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BB0664" w:rsidRPr="000B72C7" w:rsidTr="00C13808">
        <w:trPr>
          <w:trHeight w:val="1760"/>
        </w:trPr>
        <w:tc>
          <w:tcPr>
            <w:tcW w:w="4243" w:type="dxa"/>
          </w:tcPr>
          <w:p w:rsidR="00BB0664" w:rsidRPr="00E87AD2" w:rsidRDefault="00BB0664" w:rsidP="00F45372">
            <w:pPr>
              <w:rPr>
                <w:color w:val="808080"/>
                <w:lang w:val="es-ES_tradnl"/>
              </w:rPr>
            </w:pPr>
          </w:p>
        </w:tc>
        <w:tc>
          <w:tcPr>
            <w:tcW w:w="1646" w:type="dxa"/>
            <w:vAlign w:val="center"/>
          </w:tcPr>
          <w:p w:rsidR="00BB0664" w:rsidRPr="00E87AD2" w:rsidRDefault="001A24EB" w:rsidP="00F45372">
            <w:pPr>
              <w:pStyle w:val="LogoUPOV"/>
              <w:rPr>
                <w:color w:val="808080"/>
                <w:lang w:val="es-ES_tradnl"/>
              </w:rPr>
            </w:pPr>
            <w:r>
              <w:rPr>
                <w:noProof/>
              </w:rPr>
              <w:drawing>
                <wp:inline distT="0" distB="0" distL="0" distR="0">
                  <wp:extent cx="981075" cy="485775"/>
                  <wp:effectExtent l="0" t="0" r="9525" b="952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075" cy="485775"/>
                          </a:xfrm>
                          <a:prstGeom prst="rect">
                            <a:avLst/>
                          </a:prstGeom>
                          <a:noFill/>
                          <a:ln>
                            <a:noFill/>
                          </a:ln>
                        </pic:spPr>
                      </pic:pic>
                    </a:graphicData>
                  </a:graphic>
                </wp:inline>
              </w:drawing>
            </w:r>
          </w:p>
        </w:tc>
        <w:tc>
          <w:tcPr>
            <w:tcW w:w="4242" w:type="dxa"/>
            <w:vAlign w:val="center"/>
          </w:tcPr>
          <w:p w:rsidR="00BB0664" w:rsidRPr="00E87AD2" w:rsidRDefault="00BB0664" w:rsidP="00F45372">
            <w:pPr>
              <w:pStyle w:val="Lettrine"/>
              <w:rPr>
                <w:lang w:val="es-ES_tradnl"/>
              </w:rPr>
            </w:pPr>
            <w:r w:rsidRPr="00E87AD2">
              <w:rPr>
                <w:lang w:val="es-ES_tradnl"/>
              </w:rPr>
              <w:t>S</w:t>
            </w:r>
          </w:p>
          <w:p w:rsidR="00BB0664" w:rsidRPr="00E87AD2" w:rsidRDefault="00BB0664" w:rsidP="00F45372">
            <w:pPr>
              <w:pStyle w:val="Docoriginal"/>
              <w:rPr>
                <w:lang w:val="es-ES_tradnl"/>
              </w:rPr>
            </w:pPr>
            <w:r w:rsidRPr="00E87AD2">
              <w:rPr>
                <w:lang w:val="es-ES_tradnl"/>
              </w:rPr>
              <w:t>TC/51/</w:t>
            </w:r>
            <w:bookmarkStart w:id="0" w:name="Code"/>
            <w:bookmarkEnd w:id="0"/>
            <w:r w:rsidRPr="00E87AD2">
              <w:rPr>
                <w:lang w:val="es-ES_tradnl"/>
              </w:rPr>
              <w:t>10</w:t>
            </w:r>
          </w:p>
          <w:p w:rsidR="00BB0664" w:rsidRPr="00E87AD2" w:rsidRDefault="00BB0664" w:rsidP="00F45372">
            <w:pPr>
              <w:pStyle w:val="Docoriginal"/>
              <w:rPr>
                <w:b w:val="0"/>
                <w:spacing w:val="0"/>
                <w:lang w:val="es-ES_tradnl"/>
              </w:rPr>
            </w:pPr>
            <w:r w:rsidRPr="00E87AD2">
              <w:rPr>
                <w:rStyle w:val="StyleDoclangBold"/>
                <w:b/>
                <w:bCs/>
                <w:spacing w:val="0"/>
                <w:lang w:val="es-ES_tradnl"/>
              </w:rPr>
              <w:t>ORIGINAL:</w:t>
            </w:r>
            <w:r w:rsidRPr="00E87AD2">
              <w:rPr>
                <w:rStyle w:val="StyleDocoriginalNotBold1"/>
                <w:spacing w:val="0"/>
                <w:lang w:val="es-ES_tradnl"/>
              </w:rPr>
              <w:t xml:space="preserve">  </w:t>
            </w:r>
            <w:bookmarkStart w:id="1" w:name="Original"/>
            <w:bookmarkEnd w:id="1"/>
            <w:r w:rsidRPr="00E87AD2">
              <w:rPr>
                <w:b w:val="0"/>
                <w:spacing w:val="0"/>
                <w:lang w:val="es-ES_tradnl"/>
              </w:rPr>
              <w:t>Inglés</w:t>
            </w:r>
          </w:p>
          <w:p w:rsidR="00BB0664" w:rsidRPr="00E87AD2" w:rsidRDefault="00BB0664" w:rsidP="000B72C7">
            <w:pPr>
              <w:pStyle w:val="Docoriginal"/>
              <w:rPr>
                <w:lang w:val="es-ES_tradnl"/>
              </w:rPr>
            </w:pPr>
            <w:r w:rsidRPr="00E87AD2">
              <w:rPr>
                <w:spacing w:val="0"/>
                <w:lang w:val="es-ES_tradnl"/>
              </w:rPr>
              <w:t>FECHA:</w:t>
            </w:r>
            <w:r w:rsidRPr="00E87AD2">
              <w:rPr>
                <w:b w:val="0"/>
                <w:spacing w:val="0"/>
                <w:lang w:val="es-ES_tradnl"/>
              </w:rPr>
              <w:t xml:space="preserve"> </w:t>
            </w:r>
            <w:r w:rsidRPr="00E87AD2">
              <w:rPr>
                <w:rStyle w:val="StyleDocoriginalNotBold1"/>
                <w:spacing w:val="0"/>
                <w:lang w:val="es-ES_tradnl"/>
              </w:rPr>
              <w:t> </w:t>
            </w:r>
            <w:r w:rsidR="000B72C7" w:rsidRPr="000B72C7">
              <w:rPr>
                <w:rStyle w:val="StyleDocoriginalNotBold1"/>
                <w:spacing w:val="0"/>
                <w:lang w:val="es-ES_tradnl"/>
              </w:rPr>
              <w:t>4</w:t>
            </w:r>
            <w:r w:rsidRPr="000B72C7">
              <w:rPr>
                <w:rStyle w:val="StyleDocoriginalNotBold1"/>
                <w:spacing w:val="0"/>
                <w:lang w:val="es-ES_tradnl"/>
              </w:rPr>
              <w:t xml:space="preserve"> de </w:t>
            </w:r>
            <w:r w:rsidR="000B72C7" w:rsidRPr="000B72C7">
              <w:rPr>
                <w:rStyle w:val="StyleDocoriginalNotBold1"/>
                <w:spacing w:val="0"/>
                <w:lang w:val="es-ES_tradnl"/>
              </w:rPr>
              <w:t>marzo</w:t>
            </w:r>
            <w:r w:rsidRPr="000B72C7">
              <w:rPr>
                <w:rStyle w:val="StyleDocoriginalNotBold1"/>
                <w:spacing w:val="0"/>
                <w:lang w:val="es-ES_tradnl"/>
              </w:rPr>
              <w:t xml:space="preserve"> </w:t>
            </w:r>
            <w:r w:rsidRPr="000B72C7">
              <w:rPr>
                <w:b w:val="0"/>
                <w:spacing w:val="0"/>
                <w:lang w:val="es-ES_tradnl"/>
              </w:rPr>
              <w:t>de 2015</w:t>
            </w:r>
          </w:p>
        </w:tc>
      </w:tr>
      <w:tr w:rsidR="00BB0664" w:rsidRPr="000B72C7" w:rsidTr="00C13808">
        <w:tc>
          <w:tcPr>
            <w:tcW w:w="10131" w:type="dxa"/>
            <w:gridSpan w:val="3"/>
          </w:tcPr>
          <w:p w:rsidR="00BB0664" w:rsidRPr="00E87AD2" w:rsidRDefault="00BB0664" w:rsidP="00F45372">
            <w:pPr>
              <w:pStyle w:val="upove"/>
              <w:rPr>
                <w:sz w:val="28"/>
                <w:lang w:val="es-ES_tradnl"/>
              </w:rPr>
            </w:pPr>
            <w:r w:rsidRPr="00E87AD2">
              <w:rPr>
                <w:spacing w:val="2"/>
                <w:lang w:val="es-ES_tradnl"/>
              </w:rPr>
              <w:t>UNIÓN INTERNACIONAL PARA LA PROTECCIÓN DE LAS OBTENCIONES VEGETALES</w:t>
            </w:r>
          </w:p>
        </w:tc>
      </w:tr>
      <w:tr w:rsidR="00BB0664" w:rsidRPr="00E87AD2" w:rsidTr="00C13808">
        <w:tc>
          <w:tcPr>
            <w:tcW w:w="10131" w:type="dxa"/>
            <w:gridSpan w:val="3"/>
          </w:tcPr>
          <w:p w:rsidR="00BB0664" w:rsidRPr="00E87AD2" w:rsidRDefault="00BB0664" w:rsidP="00F45372">
            <w:pPr>
              <w:pStyle w:val="Country"/>
              <w:rPr>
                <w:lang w:val="es-ES_tradnl"/>
              </w:rPr>
            </w:pPr>
            <w:r w:rsidRPr="00E87AD2">
              <w:rPr>
                <w:lang w:val="es-ES_tradnl"/>
              </w:rPr>
              <w:t>Ginebra</w:t>
            </w:r>
          </w:p>
        </w:tc>
      </w:tr>
    </w:tbl>
    <w:p w:rsidR="00BB0664" w:rsidRPr="00E87AD2" w:rsidRDefault="00BB0664" w:rsidP="00F45372">
      <w:pPr>
        <w:pStyle w:val="Sessiontc"/>
        <w:rPr>
          <w:lang w:val="es-ES_tradnl"/>
        </w:rPr>
      </w:pPr>
      <w:r w:rsidRPr="00E87AD2">
        <w:rPr>
          <w:lang w:val="es-ES_tradnl"/>
        </w:rPr>
        <w:t>Comité TÉCNICO</w:t>
      </w:r>
    </w:p>
    <w:p w:rsidR="00BB0664" w:rsidRPr="00E87AD2" w:rsidRDefault="00BB0664" w:rsidP="00F45372">
      <w:pPr>
        <w:pStyle w:val="Sessiontcplacedate"/>
        <w:rPr>
          <w:lang w:val="es-ES_tradnl"/>
        </w:rPr>
      </w:pPr>
      <w:r w:rsidRPr="00E87AD2">
        <w:rPr>
          <w:lang w:val="es-ES_tradnl"/>
        </w:rPr>
        <w:t>Quincuagésima primera sesión</w:t>
      </w:r>
      <w:r w:rsidRPr="00E87AD2">
        <w:rPr>
          <w:lang w:val="es-ES_tradnl"/>
        </w:rPr>
        <w:br/>
        <w:t>Ginebra, 23 a 25 de marzo de 2015</w:t>
      </w:r>
    </w:p>
    <w:p w:rsidR="00BB0664" w:rsidRPr="00E87AD2" w:rsidRDefault="00BB0664" w:rsidP="00F45372">
      <w:pPr>
        <w:pStyle w:val="Titleofdoc0"/>
        <w:rPr>
          <w:lang w:val="es-ES_tradnl"/>
        </w:rPr>
      </w:pPr>
      <w:bookmarkStart w:id="2" w:name="TitleOfDoc"/>
      <w:bookmarkEnd w:id="2"/>
      <w:r w:rsidRPr="00E87AD2">
        <w:rPr>
          <w:lang w:val="es-ES_tradnl"/>
        </w:rPr>
        <w:t>iNFORME SOBRE LAS NOVEDADES ACAECIDAS EN LA UPOV, DONDE FIGURAN LAS CUESTIONES PERTINENTES EXAMINADAS EN LAS ÚLTIMAS SESIONES DEL COMITÉ ADMINISTRATIVO Y JURÍDICO, EL COMITÉ CONSULTIVO Y EL CONSEJO</w:t>
      </w:r>
    </w:p>
    <w:p w:rsidR="00BB0664" w:rsidRPr="00E87AD2" w:rsidRDefault="00BB0664" w:rsidP="00184D5D">
      <w:pPr>
        <w:pStyle w:val="preparedby1"/>
        <w:rPr>
          <w:lang w:val="es-ES_tradnl"/>
        </w:rPr>
      </w:pPr>
      <w:bookmarkStart w:id="3" w:name="Prepared"/>
      <w:bookmarkEnd w:id="3"/>
      <w:r w:rsidRPr="00E87AD2">
        <w:rPr>
          <w:lang w:val="es-ES_tradnl"/>
        </w:rPr>
        <w:t>Documento preparado por la Oficina de la Unión</w:t>
      </w:r>
      <w:r w:rsidRPr="00E87AD2">
        <w:rPr>
          <w:lang w:val="es-ES_tradnl"/>
        </w:rPr>
        <w:br/>
      </w:r>
      <w:r w:rsidRPr="00E87AD2">
        <w:rPr>
          <w:lang w:val="es-ES_tradnl"/>
        </w:rPr>
        <w:br/>
      </w:r>
      <w:r w:rsidRPr="00E87AD2">
        <w:rPr>
          <w:color w:val="A6A6A6"/>
          <w:lang w:val="es-ES_tradnl"/>
        </w:rPr>
        <w:t>Descargo de responsabilidad:  el presente documento no constituye</w:t>
      </w:r>
      <w:r w:rsidRPr="00E87AD2">
        <w:rPr>
          <w:color w:val="A6A6A6"/>
          <w:lang w:val="es-ES_tradnl"/>
        </w:rPr>
        <w:br/>
        <w:t>un documento de política u orientación de la UPOV</w:t>
      </w:r>
    </w:p>
    <w:p w:rsidR="00BB0664" w:rsidRPr="001D2D58" w:rsidRDefault="00BB0664" w:rsidP="00211419">
      <w:pPr>
        <w:rPr>
          <w:snapToGrid w:val="0"/>
          <w:lang w:val="es-ES"/>
        </w:rPr>
      </w:pPr>
      <w:r w:rsidRPr="00E87AD2">
        <w:rPr>
          <w:snapToGrid w:val="0"/>
        </w:rPr>
        <w:fldChar w:fldCharType="begin"/>
      </w:r>
      <w:r w:rsidRPr="001D2D58">
        <w:rPr>
          <w:snapToGrid w:val="0"/>
          <w:lang w:val="es-ES"/>
        </w:rPr>
        <w:instrText xml:space="preserve"> AUTONUM  </w:instrText>
      </w:r>
      <w:r w:rsidRPr="00E87AD2">
        <w:rPr>
          <w:snapToGrid w:val="0"/>
        </w:rPr>
        <w:fldChar w:fldCharType="end"/>
      </w:r>
      <w:r w:rsidRPr="001D2D58">
        <w:rPr>
          <w:snapToGrid w:val="0"/>
          <w:lang w:val="es-ES"/>
        </w:rPr>
        <w:tab/>
      </w:r>
      <w:r w:rsidRPr="00E87AD2">
        <w:rPr>
          <w:snapToGrid w:val="0"/>
          <w:lang w:val="es-ES_tradnl"/>
        </w:rPr>
        <w:t>El presente documento tiene por objeto informar acerca de las novedades acaecidas en la UPOV desde la quincuagésima sesión del Comité Técnico (TC) que no se abordan en el marco de los puntos del orden del día de la quincuagésima primera sesión del Comité Técnico, incluidas las cuestiones pertinentes debatidas en las últimas sesiones del Comité Administrativo y Jurídico, el Comité Consultivo y el Consejo.</w:t>
      </w:r>
    </w:p>
    <w:p w:rsidR="00BB0664" w:rsidRPr="001D2D58" w:rsidRDefault="00BB0664" w:rsidP="00211419">
      <w:pPr>
        <w:rPr>
          <w:snapToGrid w:val="0"/>
          <w:lang w:val="es-ES"/>
        </w:rPr>
      </w:pPr>
    </w:p>
    <w:p w:rsidR="00BB0664" w:rsidRPr="001D2D58" w:rsidRDefault="00BB0664" w:rsidP="00211419">
      <w:pPr>
        <w:rPr>
          <w:snapToGrid w:val="0"/>
          <w:lang w:val="es-ES"/>
        </w:rPr>
      </w:pPr>
      <w:r w:rsidRPr="00E87AD2">
        <w:rPr>
          <w:snapToGrid w:val="0"/>
        </w:rPr>
        <w:fldChar w:fldCharType="begin"/>
      </w:r>
      <w:r w:rsidRPr="001D2D58">
        <w:rPr>
          <w:snapToGrid w:val="0"/>
          <w:lang w:val="es-ES"/>
        </w:rPr>
        <w:instrText xml:space="preserve"> AUTONUM  </w:instrText>
      </w:r>
      <w:r w:rsidRPr="00E87AD2">
        <w:rPr>
          <w:snapToGrid w:val="0"/>
        </w:rPr>
        <w:fldChar w:fldCharType="end"/>
      </w:r>
      <w:r w:rsidRPr="001D2D58">
        <w:rPr>
          <w:snapToGrid w:val="0"/>
          <w:lang w:val="es-ES"/>
        </w:rPr>
        <w:tab/>
      </w:r>
      <w:r w:rsidRPr="00E87AD2">
        <w:rPr>
          <w:snapToGrid w:val="0"/>
          <w:lang w:val="es-ES_tradnl"/>
        </w:rPr>
        <w:t>Durante su quincuagésima primera sesión, se expondrá al TC una presentación que resuma los temas de este documento, cuya copia se adjuntará en una adición al presente documento (solo en inglés).</w:t>
      </w:r>
    </w:p>
    <w:p w:rsidR="00BB0664" w:rsidRPr="001D2D58" w:rsidRDefault="00BB0664" w:rsidP="00211419">
      <w:pPr>
        <w:rPr>
          <w:snapToGrid w:val="0"/>
          <w:lang w:val="es-ES"/>
        </w:rPr>
      </w:pPr>
    </w:p>
    <w:p w:rsidR="00BB0664" w:rsidRPr="001D2D58" w:rsidRDefault="00BB0664" w:rsidP="00211419">
      <w:pPr>
        <w:jc w:val="left"/>
        <w:rPr>
          <w:lang w:val="es-ES"/>
        </w:rPr>
      </w:pPr>
      <w:r w:rsidRPr="001D2D58">
        <w:rPr>
          <w:lang w:val="es-ES"/>
        </w:rPr>
        <w:br w:type="page"/>
      </w:r>
    </w:p>
    <w:p w:rsidR="00BB0664" w:rsidRDefault="00BB0664">
      <w:pPr>
        <w:pStyle w:val="TOC1"/>
        <w:rPr>
          <w:rFonts w:ascii="Times New Roman" w:hAnsi="Times New Roman"/>
          <w:caps w:val="0"/>
          <w:sz w:val="24"/>
          <w:szCs w:val="24"/>
          <w:lang w:val="es-ES_tradnl" w:eastAsia="es-ES_tradnl"/>
        </w:rPr>
      </w:pPr>
      <w:r w:rsidRPr="00E87AD2">
        <w:lastRenderedPageBreak/>
        <w:fldChar w:fldCharType="begin"/>
      </w:r>
      <w:r w:rsidRPr="00E87AD2">
        <w:instrText xml:space="preserve"> TOC \o "1-3" \h \z \u </w:instrText>
      </w:r>
      <w:r w:rsidRPr="00E87AD2">
        <w:fldChar w:fldCharType="separate"/>
      </w:r>
      <w:hyperlink w:anchor="_Toc413750051" w:history="1">
        <w:r w:rsidRPr="005E6622">
          <w:rPr>
            <w:rStyle w:val="Hyperlink"/>
          </w:rPr>
          <w:t>MIEMBROS</w:t>
        </w:r>
        <w:r>
          <w:rPr>
            <w:webHidden/>
          </w:rPr>
          <w:tab/>
        </w:r>
        <w:r>
          <w:rPr>
            <w:webHidden/>
          </w:rPr>
          <w:fldChar w:fldCharType="begin"/>
        </w:r>
        <w:r>
          <w:rPr>
            <w:webHidden/>
          </w:rPr>
          <w:instrText xml:space="preserve"> PAGEREF _Toc413750051 \h </w:instrText>
        </w:r>
        <w:r>
          <w:rPr>
            <w:webHidden/>
          </w:rPr>
        </w:r>
        <w:r>
          <w:rPr>
            <w:webHidden/>
          </w:rPr>
          <w:fldChar w:fldCharType="separate"/>
        </w:r>
        <w:r w:rsidR="001A0D74">
          <w:rPr>
            <w:webHidden/>
          </w:rPr>
          <w:t>3</w:t>
        </w:r>
        <w:r>
          <w:rPr>
            <w:webHidden/>
          </w:rPr>
          <w:fldChar w:fldCharType="end"/>
        </w:r>
      </w:hyperlink>
    </w:p>
    <w:p w:rsidR="00BB0664" w:rsidRDefault="00CF08BF">
      <w:pPr>
        <w:pStyle w:val="TOC2"/>
        <w:rPr>
          <w:rFonts w:ascii="Times New Roman" w:hAnsi="Times New Roman"/>
          <w:smallCaps w:val="0"/>
          <w:sz w:val="24"/>
          <w:szCs w:val="24"/>
          <w:lang w:val="es-ES_tradnl" w:eastAsia="es-ES_tradnl"/>
        </w:rPr>
      </w:pPr>
      <w:hyperlink w:anchor="_Toc413750052" w:history="1">
        <w:r w:rsidR="00BB0664" w:rsidRPr="005E6622">
          <w:rPr>
            <w:rStyle w:val="Hyperlink"/>
          </w:rPr>
          <w:t>Miembros de la Unión</w:t>
        </w:r>
        <w:r w:rsidR="00BB0664">
          <w:rPr>
            <w:webHidden/>
          </w:rPr>
          <w:tab/>
        </w:r>
        <w:r w:rsidR="00BB0664">
          <w:rPr>
            <w:webHidden/>
          </w:rPr>
          <w:fldChar w:fldCharType="begin"/>
        </w:r>
        <w:r w:rsidR="00BB0664">
          <w:rPr>
            <w:webHidden/>
          </w:rPr>
          <w:instrText xml:space="preserve"> PAGEREF _Toc413750052 \h </w:instrText>
        </w:r>
        <w:r w:rsidR="00BB0664">
          <w:rPr>
            <w:webHidden/>
          </w:rPr>
        </w:r>
        <w:r w:rsidR="00BB0664">
          <w:rPr>
            <w:webHidden/>
          </w:rPr>
          <w:fldChar w:fldCharType="separate"/>
        </w:r>
        <w:r w:rsidR="001A0D74">
          <w:rPr>
            <w:webHidden/>
          </w:rPr>
          <w:t>3</w:t>
        </w:r>
        <w:r w:rsidR="00BB0664">
          <w:rPr>
            <w:webHidden/>
          </w:rPr>
          <w:fldChar w:fldCharType="end"/>
        </w:r>
      </w:hyperlink>
    </w:p>
    <w:p w:rsidR="00BB0664" w:rsidRDefault="00CF08BF">
      <w:pPr>
        <w:pStyle w:val="TOC2"/>
        <w:rPr>
          <w:rFonts w:ascii="Times New Roman" w:hAnsi="Times New Roman"/>
          <w:smallCaps w:val="0"/>
          <w:sz w:val="24"/>
          <w:szCs w:val="24"/>
          <w:lang w:val="es-ES_tradnl" w:eastAsia="es-ES_tradnl"/>
        </w:rPr>
      </w:pPr>
      <w:hyperlink w:anchor="_Toc413750053" w:history="1">
        <w:r w:rsidR="00BB0664" w:rsidRPr="005E6622">
          <w:rPr>
            <w:rStyle w:val="Hyperlink"/>
          </w:rPr>
          <w:t>Situación respecto de las distintas Actas del Convenio</w:t>
        </w:r>
        <w:r w:rsidR="00BB0664">
          <w:rPr>
            <w:webHidden/>
          </w:rPr>
          <w:tab/>
        </w:r>
        <w:r w:rsidR="00BB0664">
          <w:rPr>
            <w:webHidden/>
          </w:rPr>
          <w:fldChar w:fldCharType="begin"/>
        </w:r>
        <w:r w:rsidR="00BB0664">
          <w:rPr>
            <w:webHidden/>
          </w:rPr>
          <w:instrText xml:space="preserve"> PAGEREF _Toc413750053 \h </w:instrText>
        </w:r>
        <w:r w:rsidR="00BB0664">
          <w:rPr>
            <w:webHidden/>
          </w:rPr>
        </w:r>
        <w:r w:rsidR="00BB0664">
          <w:rPr>
            <w:webHidden/>
          </w:rPr>
          <w:fldChar w:fldCharType="separate"/>
        </w:r>
        <w:r w:rsidR="001A0D74">
          <w:rPr>
            <w:webHidden/>
          </w:rPr>
          <w:t>3</w:t>
        </w:r>
        <w:r w:rsidR="00BB0664">
          <w:rPr>
            <w:webHidden/>
          </w:rPr>
          <w:fldChar w:fldCharType="end"/>
        </w:r>
      </w:hyperlink>
    </w:p>
    <w:p w:rsidR="00BB0664" w:rsidRDefault="00CF08BF">
      <w:pPr>
        <w:pStyle w:val="TOC2"/>
        <w:rPr>
          <w:rFonts w:ascii="Times New Roman" w:hAnsi="Times New Roman"/>
          <w:smallCaps w:val="0"/>
          <w:sz w:val="24"/>
          <w:szCs w:val="24"/>
          <w:lang w:val="es-ES_tradnl" w:eastAsia="es-ES_tradnl"/>
        </w:rPr>
      </w:pPr>
      <w:hyperlink w:anchor="_Toc413750054" w:history="1">
        <w:r w:rsidR="00BB0664" w:rsidRPr="005E6622">
          <w:rPr>
            <w:rStyle w:val="Hyperlink"/>
          </w:rPr>
          <w:t>Examen de la legislación</w:t>
        </w:r>
        <w:r w:rsidR="00BB0664">
          <w:rPr>
            <w:webHidden/>
          </w:rPr>
          <w:tab/>
        </w:r>
        <w:r w:rsidR="00BB0664">
          <w:rPr>
            <w:webHidden/>
          </w:rPr>
          <w:fldChar w:fldCharType="begin"/>
        </w:r>
        <w:r w:rsidR="00BB0664">
          <w:rPr>
            <w:webHidden/>
          </w:rPr>
          <w:instrText xml:space="preserve"> PAGEREF _Toc413750054 \h </w:instrText>
        </w:r>
        <w:r w:rsidR="00BB0664">
          <w:rPr>
            <w:webHidden/>
          </w:rPr>
        </w:r>
        <w:r w:rsidR="00BB0664">
          <w:rPr>
            <w:webHidden/>
          </w:rPr>
          <w:fldChar w:fldCharType="separate"/>
        </w:r>
        <w:r w:rsidR="001A0D74">
          <w:rPr>
            <w:webHidden/>
          </w:rPr>
          <w:t>3</w:t>
        </w:r>
        <w:r w:rsidR="00BB0664">
          <w:rPr>
            <w:webHidden/>
          </w:rPr>
          <w:fldChar w:fldCharType="end"/>
        </w:r>
      </w:hyperlink>
    </w:p>
    <w:p w:rsidR="00BB0664" w:rsidRDefault="00CF08BF">
      <w:pPr>
        <w:pStyle w:val="TOC3"/>
        <w:rPr>
          <w:rFonts w:ascii="Times New Roman" w:hAnsi="Times New Roman"/>
          <w:noProof/>
          <w:sz w:val="24"/>
          <w:szCs w:val="24"/>
          <w:lang w:val="es-ES_tradnl" w:eastAsia="es-ES_tradnl"/>
        </w:rPr>
      </w:pPr>
      <w:hyperlink w:anchor="_Toc413750055" w:history="1">
        <w:r w:rsidR="00BB0664" w:rsidRPr="005E6622">
          <w:rPr>
            <w:rStyle w:val="Hyperlink"/>
            <w:noProof/>
          </w:rPr>
          <w:t>Organización Regional Africana de la Propiedad Intelectual (ARIPO)</w:t>
        </w:r>
        <w:r w:rsidR="00BB0664">
          <w:rPr>
            <w:noProof/>
            <w:webHidden/>
          </w:rPr>
          <w:tab/>
        </w:r>
        <w:r w:rsidR="00BB0664">
          <w:rPr>
            <w:noProof/>
            <w:webHidden/>
          </w:rPr>
          <w:fldChar w:fldCharType="begin"/>
        </w:r>
        <w:r w:rsidR="00BB0664">
          <w:rPr>
            <w:noProof/>
            <w:webHidden/>
          </w:rPr>
          <w:instrText xml:space="preserve"> PAGEREF _Toc413750055 \h </w:instrText>
        </w:r>
        <w:r w:rsidR="00BB0664">
          <w:rPr>
            <w:noProof/>
            <w:webHidden/>
          </w:rPr>
        </w:r>
        <w:r w:rsidR="00BB0664">
          <w:rPr>
            <w:noProof/>
            <w:webHidden/>
          </w:rPr>
          <w:fldChar w:fldCharType="separate"/>
        </w:r>
        <w:r w:rsidR="001A0D74">
          <w:rPr>
            <w:noProof/>
            <w:webHidden/>
          </w:rPr>
          <w:t>3</w:t>
        </w:r>
        <w:r w:rsidR="00BB0664">
          <w:rPr>
            <w:noProof/>
            <w:webHidden/>
          </w:rPr>
          <w:fldChar w:fldCharType="end"/>
        </w:r>
      </w:hyperlink>
    </w:p>
    <w:p w:rsidR="00BB0664" w:rsidRDefault="00CF08BF">
      <w:pPr>
        <w:pStyle w:val="TOC3"/>
        <w:rPr>
          <w:rFonts w:ascii="Times New Roman" w:hAnsi="Times New Roman"/>
          <w:noProof/>
          <w:sz w:val="24"/>
          <w:szCs w:val="24"/>
          <w:lang w:val="es-ES_tradnl" w:eastAsia="es-ES_tradnl"/>
        </w:rPr>
      </w:pPr>
      <w:hyperlink w:anchor="_Toc413750056" w:history="1">
        <w:r w:rsidR="00BB0664" w:rsidRPr="005E6622">
          <w:rPr>
            <w:rStyle w:val="Hyperlink"/>
            <w:noProof/>
          </w:rPr>
          <w:t>Novedades relativas a la Ley sobre los Derechos de Obtentor para Zanzíbar</w:t>
        </w:r>
        <w:r w:rsidR="00BB0664">
          <w:rPr>
            <w:noProof/>
            <w:webHidden/>
          </w:rPr>
          <w:tab/>
        </w:r>
        <w:r w:rsidR="00BB0664">
          <w:rPr>
            <w:noProof/>
            <w:webHidden/>
          </w:rPr>
          <w:fldChar w:fldCharType="begin"/>
        </w:r>
        <w:r w:rsidR="00BB0664">
          <w:rPr>
            <w:noProof/>
            <w:webHidden/>
          </w:rPr>
          <w:instrText xml:space="preserve"> PAGEREF _Toc413750056 \h </w:instrText>
        </w:r>
        <w:r w:rsidR="00BB0664">
          <w:rPr>
            <w:noProof/>
            <w:webHidden/>
          </w:rPr>
        </w:r>
        <w:r w:rsidR="00BB0664">
          <w:rPr>
            <w:noProof/>
            <w:webHidden/>
          </w:rPr>
          <w:fldChar w:fldCharType="separate"/>
        </w:r>
        <w:r w:rsidR="001A0D74">
          <w:rPr>
            <w:noProof/>
            <w:webHidden/>
          </w:rPr>
          <w:t>3</w:t>
        </w:r>
        <w:r w:rsidR="00BB0664">
          <w:rPr>
            <w:noProof/>
            <w:webHidden/>
          </w:rPr>
          <w:fldChar w:fldCharType="end"/>
        </w:r>
      </w:hyperlink>
    </w:p>
    <w:p w:rsidR="00BB0664" w:rsidRPr="00F70558" w:rsidRDefault="00BB0664" w:rsidP="002F65C7">
      <w:pPr>
        <w:rPr>
          <w:rFonts w:eastAsia="SimSun"/>
          <w:noProof/>
          <w:lang w:val="fr-FR"/>
        </w:rPr>
      </w:pPr>
    </w:p>
    <w:p w:rsidR="00BB0664" w:rsidRDefault="00CF08BF">
      <w:pPr>
        <w:pStyle w:val="TOC1"/>
        <w:rPr>
          <w:rFonts w:ascii="Times New Roman" w:hAnsi="Times New Roman"/>
          <w:caps w:val="0"/>
          <w:sz w:val="24"/>
          <w:szCs w:val="24"/>
          <w:lang w:val="es-ES_tradnl" w:eastAsia="es-ES_tradnl"/>
        </w:rPr>
      </w:pPr>
      <w:hyperlink w:anchor="_Toc413750057" w:history="1">
        <w:r w:rsidR="00BB0664" w:rsidRPr="005E6622">
          <w:rPr>
            <w:rStyle w:val="Hyperlink"/>
          </w:rPr>
          <w:t>ObservADORES</w:t>
        </w:r>
        <w:r w:rsidR="00BB0664">
          <w:rPr>
            <w:webHidden/>
          </w:rPr>
          <w:tab/>
        </w:r>
        <w:r w:rsidR="00BB0664">
          <w:rPr>
            <w:webHidden/>
          </w:rPr>
          <w:fldChar w:fldCharType="begin"/>
        </w:r>
        <w:r w:rsidR="00BB0664">
          <w:rPr>
            <w:webHidden/>
          </w:rPr>
          <w:instrText xml:space="preserve"> PAGEREF _Toc413750057 \h </w:instrText>
        </w:r>
        <w:r w:rsidR="00BB0664">
          <w:rPr>
            <w:webHidden/>
          </w:rPr>
        </w:r>
        <w:r w:rsidR="00BB0664">
          <w:rPr>
            <w:webHidden/>
          </w:rPr>
          <w:fldChar w:fldCharType="separate"/>
        </w:r>
        <w:r w:rsidR="001A0D74">
          <w:rPr>
            <w:webHidden/>
          </w:rPr>
          <w:t>3</w:t>
        </w:r>
        <w:r w:rsidR="00BB0664">
          <w:rPr>
            <w:webHidden/>
          </w:rPr>
          <w:fldChar w:fldCharType="end"/>
        </w:r>
      </w:hyperlink>
    </w:p>
    <w:p w:rsidR="00BB0664" w:rsidRPr="00F70558" w:rsidRDefault="00BB0664" w:rsidP="002F65C7">
      <w:pPr>
        <w:rPr>
          <w:rFonts w:eastAsia="SimSun"/>
          <w:noProof/>
          <w:lang w:val="fr-FR"/>
        </w:rPr>
      </w:pPr>
    </w:p>
    <w:p w:rsidR="00BB0664" w:rsidRDefault="00CF08BF">
      <w:pPr>
        <w:pStyle w:val="TOC1"/>
        <w:rPr>
          <w:rFonts w:ascii="Times New Roman" w:hAnsi="Times New Roman"/>
          <w:caps w:val="0"/>
          <w:sz w:val="24"/>
          <w:szCs w:val="24"/>
          <w:lang w:val="es-ES_tradnl" w:eastAsia="es-ES_tradnl"/>
        </w:rPr>
      </w:pPr>
      <w:hyperlink w:anchor="_Toc413750058" w:history="1">
        <w:r w:rsidR="00BB0664" w:rsidRPr="005E6622">
          <w:rPr>
            <w:rStyle w:val="Hyperlink"/>
          </w:rPr>
          <w:t>OFICINA DE LA UNIÓN</w:t>
        </w:r>
        <w:r w:rsidR="00BB0664">
          <w:rPr>
            <w:webHidden/>
          </w:rPr>
          <w:tab/>
        </w:r>
        <w:r w:rsidR="00BB0664">
          <w:rPr>
            <w:webHidden/>
          </w:rPr>
          <w:fldChar w:fldCharType="begin"/>
        </w:r>
        <w:r w:rsidR="00BB0664">
          <w:rPr>
            <w:webHidden/>
          </w:rPr>
          <w:instrText xml:space="preserve"> PAGEREF _Toc413750058 \h </w:instrText>
        </w:r>
        <w:r w:rsidR="00BB0664">
          <w:rPr>
            <w:webHidden/>
          </w:rPr>
        </w:r>
        <w:r w:rsidR="00BB0664">
          <w:rPr>
            <w:webHidden/>
          </w:rPr>
          <w:fldChar w:fldCharType="separate"/>
        </w:r>
        <w:r w:rsidR="001A0D74">
          <w:rPr>
            <w:webHidden/>
          </w:rPr>
          <w:t>4</w:t>
        </w:r>
        <w:r w:rsidR="00BB0664">
          <w:rPr>
            <w:webHidden/>
          </w:rPr>
          <w:fldChar w:fldCharType="end"/>
        </w:r>
      </w:hyperlink>
    </w:p>
    <w:p w:rsidR="00BB0664" w:rsidRDefault="00CF08BF">
      <w:pPr>
        <w:pStyle w:val="TOC2"/>
        <w:rPr>
          <w:rFonts w:ascii="Times New Roman" w:hAnsi="Times New Roman"/>
          <w:smallCaps w:val="0"/>
          <w:sz w:val="24"/>
          <w:szCs w:val="24"/>
          <w:lang w:val="es-ES_tradnl" w:eastAsia="es-ES_tradnl"/>
        </w:rPr>
      </w:pPr>
      <w:hyperlink w:anchor="_Toc413750059" w:history="1">
        <w:r w:rsidR="00BB0664" w:rsidRPr="005E6622">
          <w:rPr>
            <w:rStyle w:val="Hyperlink"/>
          </w:rPr>
          <w:t>Nombramiento del Secretario General</w:t>
        </w:r>
        <w:r w:rsidR="00BB0664">
          <w:rPr>
            <w:webHidden/>
          </w:rPr>
          <w:tab/>
        </w:r>
        <w:r w:rsidR="00BB0664">
          <w:rPr>
            <w:webHidden/>
          </w:rPr>
          <w:fldChar w:fldCharType="begin"/>
        </w:r>
        <w:r w:rsidR="00BB0664">
          <w:rPr>
            <w:webHidden/>
          </w:rPr>
          <w:instrText xml:space="preserve"> PAGEREF _Toc413750059 \h </w:instrText>
        </w:r>
        <w:r w:rsidR="00BB0664">
          <w:rPr>
            <w:webHidden/>
          </w:rPr>
        </w:r>
        <w:r w:rsidR="00BB0664">
          <w:rPr>
            <w:webHidden/>
          </w:rPr>
          <w:fldChar w:fldCharType="separate"/>
        </w:r>
        <w:r w:rsidR="001A0D74">
          <w:rPr>
            <w:webHidden/>
          </w:rPr>
          <w:t>4</w:t>
        </w:r>
        <w:r w:rsidR="00BB0664">
          <w:rPr>
            <w:webHidden/>
          </w:rPr>
          <w:fldChar w:fldCharType="end"/>
        </w:r>
      </w:hyperlink>
    </w:p>
    <w:p w:rsidR="00BB0664" w:rsidRPr="00F70558" w:rsidRDefault="00BB0664" w:rsidP="002F65C7">
      <w:pPr>
        <w:rPr>
          <w:rFonts w:eastAsia="SimSun"/>
          <w:noProof/>
          <w:lang w:val="fr-FR"/>
        </w:rPr>
      </w:pPr>
    </w:p>
    <w:p w:rsidR="00BB0664" w:rsidRDefault="00CF08BF">
      <w:pPr>
        <w:pStyle w:val="TOC1"/>
        <w:rPr>
          <w:rFonts w:ascii="Times New Roman" w:hAnsi="Times New Roman"/>
          <w:caps w:val="0"/>
          <w:sz w:val="24"/>
          <w:szCs w:val="24"/>
          <w:lang w:val="es-ES_tradnl" w:eastAsia="es-ES_tradnl"/>
        </w:rPr>
      </w:pPr>
      <w:hyperlink w:anchor="_Toc413750060" w:history="1">
        <w:r w:rsidR="00BB0664" w:rsidRPr="005E6622">
          <w:rPr>
            <w:rStyle w:val="Hyperlink"/>
          </w:rPr>
          <w:t>ESTADÍSTICAS SOBRE LA PROTECCIÓN DE LAS OBTENCIONES VEGETALES</w:t>
        </w:r>
        <w:r w:rsidR="00BB0664">
          <w:rPr>
            <w:webHidden/>
          </w:rPr>
          <w:tab/>
        </w:r>
        <w:r w:rsidR="00BB0664">
          <w:rPr>
            <w:webHidden/>
          </w:rPr>
          <w:fldChar w:fldCharType="begin"/>
        </w:r>
        <w:r w:rsidR="00BB0664">
          <w:rPr>
            <w:webHidden/>
          </w:rPr>
          <w:instrText xml:space="preserve"> PAGEREF _Toc413750060 \h </w:instrText>
        </w:r>
        <w:r w:rsidR="00BB0664">
          <w:rPr>
            <w:webHidden/>
          </w:rPr>
        </w:r>
        <w:r w:rsidR="00BB0664">
          <w:rPr>
            <w:webHidden/>
          </w:rPr>
          <w:fldChar w:fldCharType="separate"/>
        </w:r>
        <w:r w:rsidR="001A0D74">
          <w:rPr>
            <w:webHidden/>
          </w:rPr>
          <w:t>4</w:t>
        </w:r>
        <w:r w:rsidR="00BB0664">
          <w:rPr>
            <w:webHidden/>
          </w:rPr>
          <w:fldChar w:fldCharType="end"/>
        </w:r>
      </w:hyperlink>
    </w:p>
    <w:p w:rsidR="00BB0664" w:rsidRDefault="00CF08BF">
      <w:pPr>
        <w:pStyle w:val="TOC2"/>
        <w:rPr>
          <w:rFonts w:ascii="Times New Roman" w:hAnsi="Times New Roman"/>
          <w:smallCaps w:val="0"/>
          <w:sz w:val="24"/>
          <w:szCs w:val="24"/>
          <w:lang w:val="es-ES_tradnl" w:eastAsia="es-ES_tradnl"/>
        </w:rPr>
      </w:pPr>
      <w:hyperlink w:anchor="_Toc413750061" w:history="1">
        <w:r w:rsidR="00BB0664" w:rsidRPr="005E6622">
          <w:rPr>
            <w:rStyle w:val="Hyperlink"/>
            <w:rFonts w:eastAsia="MS Mincho"/>
          </w:rPr>
          <w:t>Lista de los taxones protegidos por los miembros de la Unión</w:t>
        </w:r>
        <w:r w:rsidR="00BB0664">
          <w:rPr>
            <w:webHidden/>
          </w:rPr>
          <w:tab/>
        </w:r>
        <w:r w:rsidR="00BB0664">
          <w:rPr>
            <w:webHidden/>
          </w:rPr>
          <w:fldChar w:fldCharType="begin"/>
        </w:r>
        <w:r w:rsidR="00BB0664">
          <w:rPr>
            <w:webHidden/>
          </w:rPr>
          <w:instrText xml:space="preserve"> PAGEREF _Toc413750061 \h </w:instrText>
        </w:r>
        <w:r w:rsidR="00BB0664">
          <w:rPr>
            <w:webHidden/>
          </w:rPr>
        </w:r>
        <w:r w:rsidR="00BB0664">
          <w:rPr>
            <w:webHidden/>
          </w:rPr>
          <w:fldChar w:fldCharType="separate"/>
        </w:r>
        <w:r w:rsidR="001A0D74">
          <w:rPr>
            <w:webHidden/>
          </w:rPr>
          <w:t>4</w:t>
        </w:r>
        <w:r w:rsidR="00BB0664">
          <w:rPr>
            <w:webHidden/>
          </w:rPr>
          <w:fldChar w:fldCharType="end"/>
        </w:r>
      </w:hyperlink>
    </w:p>
    <w:p w:rsidR="00BB0664" w:rsidRDefault="00CF08BF">
      <w:pPr>
        <w:pStyle w:val="TOC2"/>
        <w:rPr>
          <w:rFonts w:ascii="Times New Roman" w:hAnsi="Times New Roman"/>
          <w:smallCaps w:val="0"/>
          <w:sz w:val="24"/>
          <w:szCs w:val="24"/>
          <w:lang w:val="es-ES_tradnl" w:eastAsia="es-ES_tradnl"/>
        </w:rPr>
      </w:pPr>
      <w:hyperlink w:anchor="_Toc413750062" w:history="1">
        <w:r w:rsidR="00BB0664" w:rsidRPr="005E6622">
          <w:rPr>
            <w:rStyle w:val="Hyperlink"/>
          </w:rPr>
          <w:t>Estadísticas sobre la protección de las obtenciones vegetales</w:t>
        </w:r>
        <w:r w:rsidR="00BB0664">
          <w:rPr>
            <w:webHidden/>
          </w:rPr>
          <w:tab/>
        </w:r>
        <w:r w:rsidR="00BB0664">
          <w:rPr>
            <w:webHidden/>
          </w:rPr>
          <w:fldChar w:fldCharType="begin"/>
        </w:r>
        <w:r w:rsidR="00BB0664">
          <w:rPr>
            <w:webHidden/>
          </w:rPr>
          <w:instrText xml:space="preserve"> PAGEREF _Toc413750062 \h </w:instrText>
        </w:r>
        <w:r w:rsidR="00BB0664">
          <w:rPr>
            <w:webHidden/>
          </w:rPr>
        </w:r>
        <w:r w:rsidR="00BB0664">
          <w:rPr>
            <w:webHidden/>
          </w:rPr>
          <w:fldChar w:fldCharType="separate"/>
        </w:r>
        <w:r w:rsidR="001A0D74">
          <w:rPr>
            <w:webHidden/>
          </w:rPr>
          <w:t>4</w:t>
        </w:r>
        <w:r w:rsidR="00BB0664">
          <w:rPr>
            <w:webHidden/>
          </w:rPr>
          <w:fldChar w:fldCharType="end"/>
        </w:r>
      </w:hyperlink>
    </w:p>
    <w:p w:rsidR="00BB0664" w:rsidRDefault="00CF08BF">
      <w:pPr>
        <w:pStyle w:val="TOC2"/>
        <w:rPr>
          <w:rFonts w:ascii="Times New Roman" w:hAnsi="Times New Roman"/>
          <w:smallCaps w:val="0"/>
          <w:sz w:val="24"/>
          <w:szCs w:val="24"/>
          <w:lang w:val="es-ES_tradnl" w:eastAsia="es-ES_tradnl"/>
        </w:rPr>
      </w:pPr>
      <w:hyperlink w:anchor="_Toc413750063" w:history="1">
        <w:r w:rsidR="00BB0664" w:rsidRPr="005E6622">
          <w:rPr>
            <w:rStyle w:val="Hyperlink"/>
          </w:rPr>
          <w:t>Cooperación en materia de examen de obtenciones vegetales</w:t>
        </w:r>
        <w:r w:rsidR="00BB0664">
          <w:rPr>
            <w:webHidden/>
          </w:rPr>
          <w:tab/>
        </w:r>
        <w:r w:rsidR="00BB0664">
          <w:rPr>
            <w:webHidden/>
          </w:rPr>
          <w:fldChar w:fldCharType="begin"/>
        </w:r>
        <w:r w:rsidR="00BB0664">
          <w:rPr>
            <w:webHidden/>
          </w:rPr>
          <w:instrText xml:space="preserve"> PAGEREF _Toc413750063 \h </w:instrText>
        </w:r>
        <w:r w:rsidR="00BB0664">
          <w:rPr>
            <w:webHidden/>
          </w:rPr>
        </w:r>
        <w:r w:rsidR="00BB0664">
          <w:rPr>
            <w:webHidden/>
          </w:rPr>
          <w:fldChar w:fldCharType="separate"/>
        </w:r>
        <w:r w:rsidR="001A0D74">
          <w:rPr>
            <w:webHidden/>
          </w:rPr>
          <w:t>4</w:t>
        </w:r>
        <w:r w:rsidR="00BB0664">
          <w:rPr>
            <w:webHidden/>
          </w:rPr>
          <w:fldChar w:fldCharType="end"/>
        </w:r>
      </w:hyperlink>
    </w:p>
    <w:p w:rsidR="00BB0664" w:rsidRPr="00F70558" w:rsidRDefault="00BB0664" w:rsidP="002F65C7">
      <w:pPr>
        <w:rPr>
          <w:rFonts w:eastAsia="SimSun"/>
          <w:noProof/>
          <w:lang w:val="fr-FR"/>
        </w:rPr>
      </w:pPr>
    </w:p>
    <w:p w:rsidR="00BB0664" w:rsidRDefault="00CF08BF">
      <w:pPr>
        <w:pStyle w:val="TOC1"/>
        <w:rPr>
          <w:rFonts w:ascii="Times New Roman" w:hAnsi="Times New Roman"/>
          <w:caps w:val="0"/>
          <w:sz w:val="24"/>
          <w:szCs w:val="24"/>
          <w:lang w:val="es-ES_tradnl" w:eastAsia="es-ES_tradnl"/>
        </w:rPr>
      </w:pPr>
      <w:hyperlink w:anchor="_Toc413750064" w:history="1">
        <w:r w:rsidR="00BB0664" w:rsidRPr="005E6622">
          <w:rPr>
            <w:rStyle w:val="Hyperlink"/>
          </w:rPr>
          <w:t>SITUACIÓN FINANCIERA</w:t>
        </w:r>
        <w:r w:rsidR="00BB0664">
          <w:rPr>
            <w:webHidden/>
          </w:rPr>
          <w:tab/>
        </w:r>
        <w:r w:rsidR="00BB0664">
          <w:rPr>
            <w:webHidden/>
          </w:rPr>
          <w:fldChar w:fldCharType="begin"/>
        </w:r>
        <w:r w:rsidR="00BB0664">
          <w:rPr>
            <w:webHidden/>
          </w:rPr>
          <w:instrText xml:space="preserve"> PAGEREF _Toc413750064 \h </w:instrText>
        </w:r>
        <w:r w:rsidR="00BB0664">
          <w:rPr>
            <w:webHidden/>
          </w:rPr>
        </w:r>
        <w:r w:rsidR="00BB0664">
          <w:rPr>
            <w:webHidden/>
          </w:rPr>
          <w:fldChar w:fldCharType="separate"/>
        </w:r>
        <w:r w:rsidR="001A0D74">
          <w:rPr>
            <w:webHidden/>
          </w:rPr>
          <w:t>4</w:t>
        </w:r>
        <w:r w:rsidR="00BB0664">
          <w:rPr>
            <w:webHidden/>
          </w:rPr>
          <w:fldChar w:fldCharType="end"/>
        </w:r>
      </w:hyperlink>
    </w:p>
    <w:p w:rsidR="00BB0664" w:rsidRDefault="00CF08BF">
      <w:pPr>
        <w:pStyle w:val="TOC2"/>
        <w:rPr>
          <w:rFonts w:ascii="Times New Roman" w:hAnsi="Times New Roman"/>
          <w:smallCaps w:val="0"/>
          <w:sz w:val="24"/>
          <w:szCs w:val="24"/>
          <w:lang w:val="es-ES_tradnl" w:eastAsia="es-ES_tradnl"/>
        </w:rPr>
      </w:pPr>
      <w:hyperlink w:anchor="_Toc413750065" w:history="1">
        <w:r w:rsidR="00BB0664" w:rsidRPr="005E6622">
          <w:rPr>
            <w:rStyle w:val="Hyperlink"/>
          </w:rPr>
          <w:t>Fondo para proyectos especiales</w:t>
        </w:r>
        <w:r w:rsidR="00BB0664">
          <w:rPr>
            <w:webHidden/>
          </w:rPr>
          <w:tab/>
        </w:r>
        <w:r w:rsidR="00BB0664">
          <w:rPr>
            <w:webHidden/>
          </w:rPr>
          <w:fldChar w:fldCharType="begin"/>
        </w:r>
        <w:r w:rsidR="00BB0664">
          <w:rPr>
            <w:webHidden/>
          </w:rPr>
          <w:instrText xml:space="preserve"> PAGEREF _Toc413750065 \h </w:instrText>
        </w:r>
        <w:r w:rsidR="00BB0664">
          <w:rPr>
            <w:webHidden/>
          </w:rPr>
        </w:r>
        <w:r w:rsidR="00BB0664">
          <w:rPr>
            <w:webHidden/>
          </w:rPr>
          <w:fldChar w:fldCharType="separate"/>
        </w:r>
        <w:r w:rsidR="001A0D74">
          <w:rPr>
            <w:webHidden/>
          </w:rPr>
          <w:t>4</w:t>
        </w:r>
        <w:r w:rsidR="00BB0664">
          <w:rPr>
            <w:webHidden/>
          </w:rPr>
          <w:fldChar w:fldCharType="end"/>
        </w:r>
      </w:hyperlink>
    </w:p>
    <w:p w:rsidR="00BB0664" w:rsidRPr="00F70558" w:rsidRDefault="00BB0664" w:rsidP="002F65C7">
      <w:pPr>
        <w:rPr>
          <w:rFonts w:eastAsia="SimSun"/>
          <w:noProof/>
          <w:lang w:val="fr-FR"/>
        </w:rPr>
      </w:pPr>
    </w:p>
    <w:p w:rsidR="00BB0664" w:rsidRDefault="00CF08BF">
      <w:pPr>
        <w:pStyle w:val="TOC1"/>
        <w:rPr>
          <w:rFonts w:ascii="Times New Roman" w:hAnsi="Times New Roman"/>
          <w:caps w:val="0"/>
          <w:sz w:val="24"/>
          <w:szCs w:val="24"/>
          <w:lang w:val="es-ES_tradnl" w:eastAsia="es-ES_tradnl"/>
        </w:rPr>
      </w:pPr>
      <w:hyperlink w:anchor="_Toc413750066" w:history="1">
        <w:r w:rsidR="00BB0664" w:rsidRPr="005E6622">
          <w:rPr>
            <w:rStyle w:val="Hyperlink"/>
          </w:rPr>
          <w:t>PRESIDENCIA DE LOS ÓRGANOS DE LA UPOV</w:t>
        </w:r>
        <w:r w:rsidR="00BB0664">
          <w:rPr>
            <w:webHidden/>
          </w:rPr>
          <w:tab/>
        </w:r>
        <w:r w:rsidR="00BB0664">
          <w:rPr>
            <w:webHidden/>
          </w:rPr>
          <w:fldChar w:fldCharType="begin"/>
        </w:r>
        <w:r w:rsidR="00BB0664">
          <w:rPr>
            <w:webHidden/>
          </w:rPr>
          <w:instrText xml:space="preserve"> PAGEREF _Toc413750066 \h </w:instrText>
        </w:r>
        <w:r w:rsidR="00BB0664">
          <w:rPr>
            <w:webHidden/>
          </w:rPr>
        </w:r>
        <w:r w:rsidR="00BB0664">
          <w:rPr>
            <w:webHidden/>
          </w:rPr>
          <w:fldChar w:fldCharType="separate"/>
        </w:r>
        <w:r w:rsidR="001A0D74">
          <w:rPr>
            <w:webHidden/>
          </w:rPr>
          <w:t>4</w:t>
        </w:r>
        <w:r w:rsidR="00BB0664">
          <w:rPr>
            <w:webHidden/>
          </w:rPr>
          <w:fldChar w:fldCharType="end"/>
        </w:r>
      </w:hyperlink>
    </w:p>
    <w:p w:rsidR="00BB0664" w:rsidRPr="00F70558" w:rsidRDefault="00BB0664" w:rsidP="002F65C7">
      <w:pPr>
        <w:rPr>
          <w:rFonts w:eastAsia="SimSun"/>
          <w:noProof/>
          <w:lang w:val="fr-FR"/>
        </w:rPr>
      </w:pPr>
    </w:p>
    <w:p w:rsidR="00BB0664" w:rsidRDefault="00CF08BF">
      <w:pPr>
        <w:pStyle w:val="TOC1"/>
        <w:rPr>
          <w:rFonts w:ascii="Times New Roman" w:hAnsi="Times New Roman"/>
          <w:caps w:val="0"/>
          <w:sz w:val="24"/>
          <w:szCs w:val="24"/>
          <w:lang w:val="es-ES_tradnl" w:eastAsia="es-ES_tradnl"/>
        </w:rPr>
      </w:pPr>
      <w:hyperlink w:anchor="_Toc413750067" w:history="1">
        <w:r w:rsidR="00BB0664" w:rsidRPr="005E6622">
          <w:rPr>
            <w:rStyle w:val="Hyperlink"/>
          </w:rPr>
          <w:t>COLECCIÓN DE LA UPOV</w:t>
        </w:r>
        <w:r w:rsidR="00BB0664">
          <w:rPr>
            <w:webHidden/>
          </w:rPr>
          <w:tab/>
        </w:r>
        <w:r w:rsidR="00BB0664">
          <w:rPr>
            <w:webHidden/>
          </w:rPr>
          <w:fldChar w:fldCharType="begin"/>
        </w:r>
        <w:r w:rsidR="00BB0664">
          <w:rPr>
            <w:webHidden/>
          </w:rPr>
          <w:instrText xml:space="preserve"> PAGEREF _Toc413750067 \h </w:instrText>
        </w:r>
        <w:r w:rsidR="00BB0664">
          <w:rPr>
            <w:webHidden/>
          </w:rPr>
        </w:r>
        <w:r w:rsidR="00BB0664">
          <w:rPr>
            <w:webHidden/>
          </w:rPr>
          <w:fldChar w:fldCharType="separate"/>
        </w:r>
        <w:r w:rsidR="001A0D74">
          <w:rPr>
            <w:webHidden/>
          </w:rPr>
          <w:t>5</w:t>
        </w:r>
        <w:r w:rsidR="00BB0664">
          <w:rPr>
            <w:webHidden/>
          </w:rPr>
          <w:fldChar w:fldCharType="end"/>
        </w:r>
      </w:hyperlink>
    </w:p>
    <w:p w:rsidR="00BB0664" w:rsidRDefault="00CF08BF">
      <w:pPr>
        <w:pStyle w:val="TOC2"/>
        <w:rPr>
          <w:rFonts w:ascii="Times New Roman" w:hAnsi="Times New Roman"/>
          <w:smallCaps w:val="0"/>
          <w:sz w:val="24"/>
          <w:szCs w:val="24"/>
          <w:lang w:val="es-ES_tradnl" w:eastAsia="es-ES_tradnl"/>
        </w:rPr>
      </w:pPr>
      <w:hyperlink w:anchor="_Toc413750068" w:history="1">
        <w:r w:rsidR="00BB0664" w:rsidRPr="005E6622">
          <w:rPr>
            <w:rStyle w:val="Hyperlink"/>
          </w:rPr>
          <w:t>Programa para la elaboración de notas explicativas sobre el Convenio de la UPOV</w:t>
        </w:r>
        <w:r w:rsidR="00BB0664">
          <w:rPr>
            <w:webHidden/>
          </w:rPr>
          <w:tab/>
        </w:r>
        <w:r w:rsidR="00BB0664">
          <w:rPr>
            <w:webHidden/>
          </w:rPr>
          <w:fldChar w:fldCharType="begin"/>
        </w:r>
        <w:r w:rsidR="00BB0664">
          <w:rPr>
            <w:webHidden/>
          </w:rPr>
          <w:instrText xml:space="preserve"> PAGEREF _Toc413750068 \h </w:instrText>
        </w:r>
        <w:r w:rsidR="00BB0664">
          <w:rPr>
            <w:webHidden/>
          </w:rPr>
        </w:r>
        <w:r w:rsidR="00BB0664">
          <w:rPr>
            <w:webHidden/>
          </w:rPr>
          <w:fldChar w:fldCharType="separate"/>
        </w:r>
        <w:r w:rsidR="001A0D74">
          <w:rPr>
            <w:webHidden/>
          </w:rPr>
          <w:t>5</w:t>
        </w:r>
        <w:r w:rsidR="00BB0664">
          <w:rPr>
            <w:webHidden/>
          </w:rPr>
          <w:fldChar w:fldCharType="end"/>
        </w:r>
      </w:hyperlink>
    </w:p>
    <w:p w:rsidR="00BB0664" w:rsidRPr="00F70558" w:rsidRDefault="00BB0664" w:rsidP="002F65C7">
      <w:pPr>
        <w:rPr>
          <w:rFonts w:eastAsia="SimSun"/>
          <w:noProof/>
          <w:lang w:val="fr-FR"/>
        </w:rPr>
      </w:pPr>
    </w:p>
    <w:p w:rsidR="00BB0664" w:rsidRDefault="00CF08BF">
      <w:pPr>
        <w:pStyle w:val="TOC1"/>
        <w:rPr>
          <w:rFonts w:ascii="Times New Roman" w:hAnsi="Times New Roman"/>
          <w:caps w:val="0"/>
          <w:sz w:val="24"/>
          <w:szCs w:val="24"/>
          <w:lang w:val="es-ES_tradnl" w:eastAsia="es-ES_tradnl"/>
        </w:rPr>
      </w:pPr>
      <w:hyperlink w:anchor="_Toc413750069" w:history="1">
        <w:r w:rsidR="00BB0664" w:rsidRPr="005E6622">
          <w:rPr>
            <w:rStyle w:val="Hyperlink"/>
          </w:rPr>
          <w:t>Documentos de la UPOV</w:t>
        </w:r>
        <w:r w:rsidR="00BB0664">
          <w:rPr>
            <w:webHidden/>
          </w:rPr>
          <w:tab/>
        </w:r>
        <w:r w:rsidR="00BB0664">
          <w:rPr>
            <w:webHidden/>
          </w:rPr>
          <w:fldChar w:fldCharType="begin"/>
        </w:r>
        <w:r w:rsidR="00BB0664">
          <w:rPr>
            <w:webHidden/>
          </w:rPr>
          <w:instrText xml:space="preserve"> PAGEREF _Toc413750069 \h </w:instrText>
        </w:r>
        <w:r w:rsidR="00BB0664">
          <w:rPr>
            <w:webHidden/>
          </w:rPr>
        </w:r>
        <w:r w:rsidR="00BB0664">
          <w:rPr>
            <w:webHidden/>
          </w:rPr>
          <w:fldChar w:fldCharType="separate"/>
        </w:r>
        <w:r w:rsidR="001A0D74">
          <w:rPr>
            <w:webHidden/>
          </w:rPr>
          <w:t>7</w:t>
        </w:r>
        <w:r w:rsidR="00BB0664">
          <w:rPr>
            <w:webHidden/>
          </w:rPr>
          <w:fldChar w:fldCharType="end"/>
        </w:r>
      </w:hyperlink>
    </w:p>
    <w:p w:rsidR="00BB0664" w:rsidRDefault="00CF08BF">
      <w:pPr>
        <w:pStyle w:val="TOC2"/>
        <w:rPr>
          <w:rFonts w:ascii="Times New Roman" w:hAnsi="Times New Roman"/>
          <w:smallCaps w:val="0"/>
          <w:sz w:val="24"/>
          <w:szCs w:val="24"/>
          <w:lang w:val="es-ES_tradnl" w:eastAsia="es-ES_tradnl"/>
        </w:rPr>
      </w:pPr>
      <w:hyperlink w:anchor="_Toc413750070" w:history="1">
        <w:r w:rsidR="00BB0664" w:rsidRPr="005E6622">
          <w:rPr>
            <w:rStyle w:val="Hyperlink"/>
          </w:rPr>
          <w:t>Documentos históricos en el sitio web de la UPOV</w:t>
        </w:r>
        <w:r w:rsidR="00BB0664">
          <w:rPr>
            <w:webHidden/>
          </w:rPr>
          <w:tab/>
        </w:r>
        <w:r w:rsidR="00BB0664">
          <w:rPr>
            <w:webHidden/>
          </w:rPr>
          <w:fldChar w:fldCharType="begin"/>
        </w:r>
        <w:r w:rsidR="00BB0664">
          <w:rPr>
            <w:webHidden/>
          </w:rPr>
          <w:instrText xml:space="preserve"> PAGEREF _Toc413750070 \h </w:instrText>
        </w:r>
        <w:r w:rsidR="00BB0664">
          <w:rPr>
            <w:webHidden/>
          </w:rPr>
        </w:r>
        <w:r w:rsidR="00BB0664">
          <w:rPr>
            <w:webHidden/>
          </w:rPr>
          <w:fldChar w:fldCharType="separate"/>
        </w:r>
        <w:r w:rsidR="001A0D74">
          <w:rPr>
            <w:webHidden/>
          </w:rPr>
          <w:t>7</w:t>
        </w:r>
        <w:r w:rsidR="00BB0664">
          <w:rPr>
            <w:webHidden/>
          </w:rPr>
          <w:fldChar w:fldCharType="end"/>
        </w:r>
      </w:hyperlink>
    </w:p>
    <w:p w:rsidR="00BB0664" w:rsidRDefault="00CF08BF">
      <w:pPr>
        <w:pStyle w:val="TOC2"/>
        <w:rPr>
          <w:rFonts w:ascii="Times New Roman" w:hAnsi="Times New Roman"/>
          <w:smallCaps w:val="0"/>
          <w:sz w:val="24"/>
          <w:szCs w:val="24"/>
          <w:lang w:val="es-ES_tradnl" w:eastAsia="es-ES_tradnl"/>
        </w:rPr>
      </w:pPr>
      <w:hyperlink w:anchor="_Toc413750071" w:history="1">
        <w:r w:rsidR="00BB0664" w:rsidRPr="005E6622">
          <w:rPr>
            <w:rStyle w:val="Hyperlink"/>
          </w:rPr>
          <w:t>Documentos de sesión del CAJ</w:t>
        </w:r>
        <w:r w:rsidR="00BB0664">
          <w:rPr>
            <w:webHidden/>
          </w:rPr>
          <w:tab/>
        </w:r>
        <w:r w:rsidR="00BB0664">
          <w:rPr>
            <w:webHidden/>
          </w:rPr>
          <w:fldChar w:fldCharType="begin"/>
        </w:r>
        <w:r w:rsidR="00BB0664">
          <w:rPr>
            <w:webHidden/>
          </w:rPr>
          <w:instrText xml:space="preserve"> PAGEREF _Toc413750071 \h </w:instrText>
        </w:r>
        <w:r w:rsidR="00BB0664">
          <w:rPr>
            <w:webHidden/>
          </w:rPr>
        </w:r>
        <w:r w:rsidR="00BB0664">
          <w:rPr>
            <w:webHidden/>
          </w:rPr>
          <w:fldChar w:fldCharType="separate"/>
        </w:r>
        <w:r w:rsidR="001A0D74">
          <w:rPr>
            <w:webHidden/>
          </w:rPr>
          <w:t>7</w:t>
        </w:r>
        <w:r w:rsidR="00BB0664">
          <w:rPr>
            <w:webHidden/>
          </w:rPr>
          <w:fldChar w:fldCharType="end"/>
        </w:r>
      </w:hyperlink>
    </w:p>
    <w:p w:rsidR="00BB0664" w:rsidRPr="00F70558" w:rsidRDefault="00BB0664" w:rsidP="002F65C7">
      <w:pPr>
        <w:rPr>
          <w:rFonts w:eastAsia="SimSun"/>
          <w:noProof/>
          <w:lang w:val="fr-FR"/>
        </w:rPr>
      </w:pPr>
    </w:p>
    <w:p w:rsidR="00BB0664" w:rsidRDefault="00CF08BF">
      <w:pPr>
        <w:pStyle w:val="TOC1"/>
        <w:rPr>
          <w:rFonts w:ascii="Times New Roman" w:hAnsi="Times New Roman"/>
          <w:caps w:val="0"/>
          <w:sz w:val="24"/>
          <w:szCs w:val="24"/>
          <w:lang w:val="es-ES_tradnl" w:eastAsia="es-ES_tradnl"/>
        </w:rPr>
      </w:pPr>
      <w:hyperlink w:anchor="_Toc413750072" w:history="1">
        <w:r w:rsidR="00BB0664" w:rsidRPr="005E6622">
          <w:rPr>
            <w:rStyle w:val="Hyperlink"/>
          </w:rPr>
          <w:t>PUBLICACIONES, ACTIVIDADES Y FORMACIONES</w:t>
        </w:r>
        <w:r w:rsidR="00BB0664">
          <w:rPr>
            <w:webHidden/>
          </w:rPr>
          <w:tab/>
        </w:r>
        <w:r w:rsidR="00BB0664">
          <w:rPr>
            <w:webHidden/>
          </w:rPr>
          <w:fldChar w:fldCharType="begin"/>
        </w:r>
        <w:r w:rsidR="00BB0664">
          <w:rPr>
            <w:webHidden/>
          </w:rPr>
          <w:instrText xml:space="preserve"> PAGEREF _Toc413750072 \h </w:instrText>
        </w:r>
        <w:r w:rsidR="00BB0664">
          <w:rPr>
            <w:webHidden/>
          </w:rPr>
        </w:r>
        <w:r w:rsidR="00BB0664">
          <w:rPr>
            <w:webHidden/>
          </w:rPr>
          <w:fldChar w:fldCharType="separate"/>
        </w:r>
        <w:r w:rsidR="001A0D74">
          <w:rPr>
            <w:webHidden/>
          </w:rPr>
          <w:t>7</w:t>
        </w:r>
        <w:r w:rsidR="00BB0664">
          <w:rPr>
            <w:webHidden/>
          </w:rPr>
          <w:fldChar w:fldCharType="end"/>
        </w:r>
      </w:hyperlink>
    </w:p>
    <w:p w:rsidR="00BB0664" w:rsidRDefault="00CF08BF">
      <w:pPr>
        <w:pStyle w:val="TOC2"/>
        <w:rPr>
          <w:rFonts w:ascii="Times New Roman" w:hAnsi="Times New Roman"/>
          <w:smallCaps w:val="0"/>
          <w:sz w:val="24"/>
          <w:szCs w:val="24"/>
          <w:lang w:val="es-ES_tradnl" w:eastAsia="es-ES_tradnl"/>
        </w:rPr>
      </w:pPr>
      <w:hyperlink w:anchor="_Toc413750073" w:history="1">
        <w:r w:rsidR="00BB0664" w:rsidRPr="005E6622">
          <w:rPr>
            <w:rStyle w:val="Hyperlink"/>
          </w:rPr>
          <w:t>Estrategia de comunicación</w:t>
        </w:r>
        <w:r w:rsidR="00BB0664">
          <w:rPr>
            <w:webHidden/>
          </w:rPr>
          <w:tab/>
        </w:r>
        <w:r w:rsidR="00BB0664">
          <w:rPr>
            <w:webHidden/>
          </w:rPr>
          <w:fldChar w:fldCharType="begin"/>
        </w:r>
        <w:r w:rsidR="00BB0664">
          <w:rPr>
            <w:webHidden/>
          </w:rPr>
          <w:instrText xml:space="preserve"> PAGEREF _Toc413750073 \h </w:instrText>
        </w:r>
        <w:r w:rsidR="00BB0664">
          <w:rPr>
            <w:webHidden/>
          </w:rPr>
        </w:r>
        <w:r w:rsidR="00BB0664">
          <w:rPr>
            <w:webHidden/>
          </w:rPr>
          <w:fldChar w:fldCharType="separate"/>
        </w:r>
        <w:r w:rsidR="001A0D74">
          <w:rPr>
            <w:webHidden/>
          </w:rPr>
          <w:t>7</w:t>
        </w:r>
        <w:r w:rsidR="00BB0664">
          <w:rPr>
            <w:webHidden/>
          </w:rPr>
          <w:fldChar w:fldCharType="end"/>
        </w:r>
      </w:hyperlink>
    </w:p>
    <w:p w:rsidR="00BB0664" w:rsidRDefault="00CF08BF">
      <w:pPr>
        <w:pStyle w:val="TOC2"/>
        <w:rPr>
          <w:rFonts w:ascii="Times New Roman" w:hAnsi="Times New Roman"/>
          <w:smallCaps w:val="0"/>
          <w:sz w:val="24"/>
          <w:szCs w:val="24"/>
          <w:lang w:val="es-ES_tradnl" w:eastAsia="es-ES_tradnl"/>
        </w:rPr>
      </w:pPr>
      <w:hyperlink w:anchor="_Toc413750074" w:history="1">
        <w:r w:rsidR="00BB0664" w:rsidRPr="005E6622">
          <w:rPr>
            <w:rStyle w:val="Hyperlink"/>
          </w:rPr>
          <w:t>Publicación de la Trilogía</w:t>
        </w:r>
        <w:r w:rsidR="00BB0664">
          <w:rPr>
            <w:webHidden/>
          </w:rPr>
          <w:tab/>
        </w:r>
        <w:r w:rsidR="00BB0664">
          <w:rPr>
            <w:webHidden/>
          </w:rPr>
          <w:fldChar w:fldCharType="begin"/>
        </w:r>
        <w:r w:rsidR="00BB0664">
          <w:rPr>
            <w:webHidden/>
          </w:rPr>
          <w:instrText xml:space="preserve"> PAGEREF _Toc413750074 \h </w:instrText>
        </w:r>
        <w:r w:rsidR="00BB0664">
          <w:rPr>
            <w:webHidden/>
          </w:rPr>
        </w:r>
        <w:r w:rsidR="00BB0664">
          <w:rPr>
            <w:webHidden/>
          </w:rPr>
          <w:fldChar w:fldCharType="separate"/>
        </w:r>
        <w:r w:rsidR="001A0D74">
          <w:rPr>
            <w:webHidden/>
          </w:rPr>
          <w:t>8</w:t>
        </w:r>
        <w:r w:rsidR="00BB0664">
          <w:rPr>
            <w:webHidden/>
          </w:rPr>
          <w:fldChar w:fldCharType="end"/>
        </w:r>
      </w:hyperlink>
    </w:p>
    <w:p w:rsidR="00BB0664" w:rsidRDefault="00CF08BF">
      <w:pPr>
        <w:pStyle w:val="TOC2"/>
        <w:rPr>
          <w:rFonts w:ascii="Times New Roman" w:hAnsi="Times New Roman"/>
          <w:smallCaps w:val="0"/>
          <w:sz w:val="24"/>
          <w:szCs w:val="24"/>
          <w:lang w:val="es-ES_tradnl" w:eastAsia="es-ES_tradnl"/>
        </w:rPr>
      </w:pPr>
      <w:hyperlink w:anchor="_Toc413750075" w:history="1">
        <w:r w:rsidR="00BB0664" w:rsidRPr="005E6622">
          <w:rPr>
            <w:rStyle w:val="Hyperlink"/>
          </w:rPr>
          <w:t>Seminario sobre variedades esencialmente derivadas</w:t>
        </w:r>
        <w:r w:rsidR="00BB0664">
          <w:rPr>
            <w:webHidden/>
          </w:rPr>
          <w:tab/>
        </w:r>
        <w:r w:rsidR="00BB0664">
          <w:rPr>
            <w:webHidden/>
          </w:rPr>
          <w:fldChar w:fldCharType="begin"/>
        </w:r>
        <w:r w:rsidR="00BB0664">
          <w:rPr>
            <w:webHidden/>
          </w:rPr>
          <w:instrText xml:space="preserve"> PAGEREF _Toc413750075 \h </w:instrText>
        </w:r>
        <w:r w:rsidR="00BB0664">
          <w:rPr>
            <w:webHidden/>
          </w:rPr>
        </w:r>
        <w:r w:rsidR="00BB0664">
          <w:rPr>
            <w:webHidden/>
          </w:rPr>
          <w:fldChar w:fldCharType="separate"/>
        </w:r>
        <w:r w:rsidR="001A0D74">
          <w:rPr>
            <w:webHidden/>
          </w:rPr>
          <w:t>8</w:t>
        </w:r>
        <w:r w:rsidR="00BB0664">
          <w:rPr>
            <w:webHidden/>
          </w:rPr>
          <w:fldChar w:fldCharType="end"/>
        </w:r>
      </w:hyperlink>
    </w:p>
    <w:p w:rsidR="00BB0664" w:rsidRDefault="00CF08BF">
      <w:pPr>
        <w:pStyle w:val="TOC2"/>
        <w:rPr>
          <w:rFonts w:ascii="Times New Roman" w:hAnsi="Times New Roman"/>
          <w:smallCaps w:val="0"/>
          <w:sz w:val="24"/>
          <w:szCs w:val="24"/>
          <w:lang w:val="es-ES_tradnl" w:eastAsia="es-ES_tradnl"/>
        </w:rPr>
      </w:pPr>
      <w:hyperlink w:anchor="_Toc413750076" w:history="1">
        <w:r w:rsidR="00BB0664" w:rsidRPr="005E6622">
          <w:rPr>
            <w:rStyle w:val="Hyperlink"/>
          </w:rPr>
          <w:t>Cursos de enseñanza a distancia</w:t>
        </w:r>
        <w:r w:rsidR="00BB0664">
          <w:rPr>
            <w:webHidden/>
          </w:rPr>
          <w:tab/>
        </w:r>
        <w:r w:rsidR="00BB0664">
          <w:rPr>
            <w:webHidden/>
          </w:rPr>
          <w:fldChar w:fldCharType="begin"/>
        </w:r>
        <w:r w:rsidR="00BB0664">
          <w:rPr>
            <w:webHidden/>
          </w:rPr>
          <w:instrText xml:space="preserve"> PAGEREF _Toc413750076 \h </w:instrText>
        </w:r>
        <w:r w:rsidR="00BB0664">
          <w:rPr>
            <w:webHidden/>
          </w:rPr>
        </w:r>
        <w:r w:rsidR="00BB0664">
          <w:rPr>
            <w:webHidden/>
          </w:rPr>
          <w:fldChar w:fldCharType="separate"/>
        </w:r>
        <w:r w:rsidR="001A0D74">
          <w:rPr>
            <w:webHidden/>
          </w:rPr>
          <w:t>8</w:t>
        </w:r>
        <w:r w:rsidR="00BB0664">
          <w:rPr>
            <w:webHidden/>
          </w:rPr>
          <w:fldChar w:fldCharType="end"/>
        </w:r>
      </w:hyperlink>
    </w:p>
    <w:p w:rsidR="00BB0664" w:rsidRPr="00F70558" w:rsidRDefault="00BB0664" w:rsidP="002F65C7">
      <w:pPr>
        <w:rPr>
          <w:rFonts w:eastAsia="SimSun"/>
          <w:noProof/>
          <w:lang w:val="fr-FR"/>
        </w:rPr>
      </w:pPr>
    </w:p>
    <w:p w:rsidR="00BB0664" w:rsidRDefault="00CF08BF">
      <w:pPr>
        <w:pStyle w:val="TOC1"/>
        <w:rPr>
          <w:rFonts w:ascii="Times New Roman" w:hAnsi="Times New Roman"/>
          <w:caps w:val="0"/>
          <w:sz w:val="24"/>
          <w:szCs w:val="24"/>
          <w:lang w:val="es-ES_tradnl" w:eastAsia="es-ES_tradnl"/>
        </w:rPr>
      </w:pPr>
      <w:hyperlink w:anchor="_Toc413750077" w:history="1">
        <w:r w:rsidR="00BB0664" w:rsidRPr="005E6622">
          <w:rPr>
            <w:rStyle w:val="Hyperlink"/>
          </w:rPr>
          <w:t>PROPUESTA DE SISTEMA INTERNACIONAL DE PRESENTACIÓN DE SOLICITUDES, CONTROL DE CALIDAD Y BÚSQUEDA DE DENOMINACIONES DE VARIEDADES</w:t>
        </w:r>
        <w:r w:rsidR="00BB0664">
          <w:rPr>
            <w:webHidden/>
          </w:rPr>
          <w:tab/>
        </w:r>
        <w:r w:rsidR="00BB0664">
          <w:rPr>
            <w:webHidden/>
          </w:rPr>
          <w:fldChar w:fldCharType="begin"/>
        </w:r>
        <w:r w:rsidR="00BB0664">
          <w:rPr>
            <w:webHidden/>
          </w:rPr>
          <w:instrText xml:space="preserve"> PAGEREF _Toc413750077 \h </w:instrText>
        </w:r>
        <w:r w:rsidR="00BB0664">
          <w:rPr>
            <w:webHidden/>
          </w:rPr>
        </w:r>
        <w:r w:rsidR="00BB0664">
          <w:rPr>
            <w:webHidden/>
          </w:rPr>
          <w:fldChar w:fldCharType="separate"/>
        </w:r>
        <w:r w:rsidR="001A0D74">
          <w:rPr>
            <w:webHidden/>
          </w:rPr>
          <w:t>9</w:t>
        </w:r>
        <w:r w:rsidR="00BB0664">
          <w:rPr>
            <w:webHidden/>
          </w:rPr>
          <w:fldChar w:fldCharType="end"/>
        </w:r>
      </w:hyperlink>
    </w:p>
    <w:p w:rsidR="00BB0664" w:rsidRPr="00F70558" w:rsidRDefault="00BB0664" w:rsidP="002F65C7">
      <w:pPr>
        <w:rPr>
          <w:rFonts w:eastAsia="SimSun"/>
          <w:noProof/>
          <w:lang w:val="fr-FR"/>
        </w:rPr>
      </w:pPr>
    </w:p>
    <w:p w:rsidR="00BB0664" w:rsidRDefault="00CF08BF">
      <w:pPr>
        <w:pStyle w:val="TOC1"/>
        <w:rPr>
          <w:rFonts w:ascii="Times New Roman" w:hAnsi="Times New Roman"/>
          <w:caps w:val="0"/>
          <w:sz w:val="24"/>
          <w:szCs w:val="24"/>
          <w:lang w:val="es-ES_tradnl" w:eastAsia="es-ES_tradnl"/>
        </w:rPr>
      </w:pPr>
      <w:hyperlink w:anchor="_Toc413750078" w:history="1">
        <w:r w:rsidR="00BB0664" w:rsidRPr="005E6622">
          <w:rPr>
            <w:rStyle w:val="Hyperlink"/>
          </w:rPr>
          <w:t>NOVEDADES RELEVANTES PARA LA UPOV EN OTRAS INSTANCIAS INTERNACIONALES</w:t>
        </w:r>
        <w:r w:rsidR="00BB0664">
          <w:rPr>
            <w:webHidden/>
          </w:rPr>
          <w:tab/>
        </w:r>
        <w:r w:rsidR="00BB0664">
          <w:rPr>
            <w:webHidden/>
          </w:rPr>
          <w:fldChar w:fldCharType="begin"/>
        </w:r>
        <w:r w:rsidR="00BB0664">
          <w:rPr>
            <w:webHidden/>
          </w:rPr>
          <w:instrText xml:space="preserve"> PAGEREF _Toc413750078 \h </w:instrText>
        </w:r>
        <w:r w:rsidR="00BB0664">
          <w:rPr>
            <w:webHidden/>
          </w:rPr>
        </w:r>
        <w:r w:rsidR="00BB0664">
          <w:rPr>
            <w:webHidden/>
          </w:rPr>
          <w:fldChar w:fldCharType="separate"/>
        </w:r>
        <w:r w:rsidR="001A0D74">
          <w:rPr>
            <w:webHidden/>
          </w:rPr>
          <w:t>9</w:t>
        </w:r>
        <w:r w:rsidR="00BB0664">
          <w:rPr>
            <w:webHidden/>
          </w:rPr>
          <w:fldChar w:fldCharType="end"/>
        </w:r>
      </w:hyperlink>
    </w:p>
    <w:p w:rsidR="00BB0664" w:rsidRDefault="00CF08BF">
      <w:pPr>
        <w:pStyle w:val="TOC2"/>
        <w:rPr>
          <w:rFonts w:ascii="Times New Roman" w:hAnsi="Times New Roman"/>
          <w:smallCaps w:val="0"/>
          <w:sz w:val="24"/>
          <w:szCs w:val="24"/>
          <w:lang w:val="es-ES_tradnl" w:eastAsia="es-ES_tradnl"/>
        </w:rPr>
      </w:pPr>
      <w:hyperlink w:anchor="_Toc413750079" w:history="1">
        <w:r w:rsidR="00BB0664" w:rsidRPr="005E6622">
          <w:rPr>
            <w:rStyle w:val="Hyperlink"/>
          </w:rPr>
          <w:t>Tratado Internacional sobre los Recursos Fitogenéticos para la Alimentación y la Agricultura (ITPGRFA)</w:t>
        </w:r>
        <w:r w:rsidR="00BB0664">
          <w:rPr>
            <w:webHidden/>
          </w:rPr>
          <w:tab/>
        </w:r>
        <w:r w:rsidR="00BB0664">
          <w:rPr>
            <w:webHidden/>
          </w:rPr>
          <w:fldChar w:fldCharType="begin"/>
        </w:r>
        <w:r w:rsidR="00BB0664">
          <w:rPr>
            <w:webHidden/>
          </w:rPr>
          <w:instrText xml:space="preserve"> PAGEREF _Toc413750079 \h </w:instrText>
        </w:r>
        <w:r w:rsidR="00BB0664">
          <w:rPr>
            <w:webHidden/>
          </w:rPr>
        </w:r>
        <w:r w:rsidR="00BB0664">
          <w:rPr>
            <w:webHidden/>
          </w:rPr>
          <w:fldChar w:fldCharType="separate"/>
        </w:r>
        <w:r w:rsidR="001A0D74">
          <w:rPr>
            <w:webHidden/>
          </w:rPr>
          <w:t>9</w:t>
        </w:r>
        <w:r w:rsidR="00BB0664">
          <w:rPr>
            <w:webHidden/>
          </w:rPr>
          <w:fldChar w:fldCharType="end"/>
        </w:r>
      </w:hyperlink>
    </w:p>
    <w:p w:rsidR="00BB0664" w:rsidRDefault="00CF08BF">
      <w:pPr>
        <w:pStyle w:val="TOC3"/>
        <w:rPr>
          <w:rFonts w:ascii="Times New Roman" w:hAnsi="Times New Roman"/>
          <w:noProof/>
          <w:sz w:val="24"/>
          <w:szCs w:val="24"/>
          <w:lang w:val="es-ES_tradnl" w:eastAsia="es-ES_tradnl"/>
        </w:rPr>
      </w:pPr>
      <w:hyperlink w:anchor="_Toc413750080" w:history="1">
        <w:r w:rsidR="00BB0664" w:rsidRPr="005E6622">
          <w:rPr>
            <w:rStyle w:val="Hyperlink"/>
            <w:noProof/>
          </w:rPr>
          <w:t>Interrelación entre el ITPGRFA, la UPOV y la OMPI</w:t>
        </w:r>
        <w:r w:rsidR="00BB0664">
          <w:rPr>
            <w:noProof/>
            <w:webHidden/>
          </w:rPr>
          <w:tab/>
        </w:r>
        <w:r w:rsidR="00BB0664">
          <w:rPr>
            <w:noProof/>
            <w:webHidden/>
          </w:rPr>
          <w:fldChar w:fldCharType="begin"/>
        </w:r>
        <w:r w:rsidR="00BB0664">
          <w:rPr>
            <w:noProof/>
            <w:webHidden/>
          </w:rPr>
          <w:instrText xml:space="preserve"> PAGEREF _Toc413750080 \h </w:instrText>
        </w:r>
        <w:r w:rsidR="00BB0664">
          <w:rPr>
            <w:noProof/>
            <w:webHidden/>
          </w:rPr>
        </w:r>
        <w:r w:rsidR="00BB0664">
          <w:rPr>
            <w:noProof/>
            <w:webHidden/>
          </w:rPr>
          <w:fldChar w:fldCharType="separate"/>
        </w:r>
        <w:r w:rsidR="001A0D74">
          <w:rPr>
            <w:noProof/>
            <w:webHidden/>
          </w:rPr>
          <w:t>9</w:t>
        </w:r>
        <w:r w:rsidR="00BB0664">
          <w:rPr>
            <w:noProof/>
            <w:webHidden/>
          </w:rPr>
          <w:fldChar w:fldCharType="end"/>
        </w:r>
      </w:hyperlink>
    </w:p>
    <w:p w:rsidR="00BB0664" w:rsidRDefault="00CF08BF">
      <w:pPr>
        <w:pStyle w:val="TOC3"/>
        <w:rPr>
          <w:rFonts w:ascii="Times New Roman" w:hAnsi="Times New Roman"/>
          <w:noProof/>
          <w:sz w:val="24"/>
          <w:szCs w:val="24"/>
          <w:lang w:val="es-ES_tradnl" w:eastAsia="es-ES_tradnl"/>
        </w:rPr>
      </w:pPr>
      <w:hyperlink w:anchor="_Toc413750081" w:history="1">
        <w:r w:rsidR="00BB0664" w:rsidRPr="005E6622">
          <w:rPr>
            <w:rStyle w:val="Hyperlink"/>
            <w:noProof/>
          </w:rPr>
          <w:t>Organización de Cooperación y Desarrollo Económicos (OCDE)</w:t>
        </w:r>
        <w:r w:rsidR="00BB0664">
          <w:rPr>
            <w:noProof/>
            <w:webHidden/>
          </w:rPr>
          <w:tab/>
        </w:r>
        <w:r w:rsidR="00BB0664">
          <w:rPr>
            <w:noProof/>
            <w:webHidden/>
          </w:rPr>
          <w:fldChar w:fldCharType="begin"/>
        </w:r>
        <w:r w:rsidR="00BB0664">
          <w:rPr>
            <w:noProof/>
            <w:webHidden/>
          </w:rPr>
          <w:instrText xml:space="preserve"> PAGEREF _Toc413750081 \h </w:instrText>
        </w:r>
        <w:r w:rsidR="00BB0664">
          <w:rPr>
            <w:noProof/>
            <w:webHidden/>
          </w:rPr>
        </w:r>
        <w:r w:rsidR="00BB0664">
          <w:rPr>
            <w:noProof/>
            <w:webHidden/>
          </w:rPr>
          <w:fldChar w:fldCharType="separate"/>
        </w:r>
        <w:r w:rsidR="001A0D74">
          <w:rPr>
            <w:noProof/>
            <w:webHidden/>
          </w:rPr>
          <w:t>9</w:t>
        </w:r>
        <w:r w:rsidR="00BB0664">
          <w:rPr>
            <w:noProof/>
            <w:webHidden/>
          </w:rPr>
          <w:fldChar w:fldCharType="end"/>
        </w:r>
      </w:hyperlink>
    </w:p>
    <w:p w:rsidR="00BB0664" w:rsidRPr="00F70558" w:rsidRDefault="00BB0664" w:rsidP="00F14D10">
      <w:pPr>
        <w:rPr>
          <w:rFonts w:eastAsia="SimSun"/>
          <w:noProof/>
          <w:lang w:val="fr-FR"/>
        </w:rPr>
      </w:pPr>
    </w:p>
    <w:p w:rsidR="00BB0664" w:rsidRDefault="00CF08BF">
      <w:pPr>
        <w:pStyle w:val="TOC1"/>
        <w:rPr>
          <w:rFonts w:ascii="Times New Roman" w:hAnsi="Times New Roman"/>
          <w:caps w:val="0"/>
          <w:sz w:val="24"/>
          <w:szCs w:val="24"/>
          <w:lang w:val="es-ES_tradnl" w:eastAsia="es-ES_tradnl"/>
        </w:rPr>
      </w:pPr>
      <w:hyperlink w:anchor="_Toc413750082" w:history="1">
        <w:r w:rsidR="00BB0664" w:rsidRPr="005E6622">
          <w:rPr>
            <w:rStyle w:val="Hyperlink"/>
          </w:rPr>
          <w:t>Homenaje al Sr. François Boulineau (Francia), Presidente del Grupo de Trabajo Técnico sobre Hortalizas (TWV)</w:t>
        </w:r>
        <w:r w:rsidR="00BB0664">
          <w:rPr>
            <w:webHidden/>
          </w:rPr>
          <w:tab/>
        </w:r>
        <w:r w:rsidR="00BB0664">
          <w:rPr>
            <w:webHidden/>
          </w:rPr>
          <w:fldChar w:fldCharType="begin"/>
        </w:r>
        <w:r w:rsidR="00BB0664">
          <w:rPr>
            <w:webHidden/>
          </w:rPr>
          <w:instrText xml:space="preserve"> PAGEREF _Toc413750082 \h </w:instrText>
        </w:r>
        <w:r w:rsidR="00BB0664">
          <w:rPr>
            <w:webHidden/>
          </w:rPr>
        </w:r>
        <w:r w:rsidR="00BB0664">
          <w:rPr>
            <w:webHidden/>
          </w:rPr>
          <w:fldChar w:fldCharType="separate"/>
        </w:r>
        <w:r w:rsidR="001A0D74">
          <w:rPr>
            <w:webHidden/>
          </w:rPr>
          <w:t>10</w:t>
        </w:r>
        <w:r w:rsidR="00BB0664">
          <w:rPr>
            <w:webHidden/>
          </w:rPr>
          <w:fldChar w:fldCharType="end"/>
        </w:r>
      </w:hyperlink>
    </w:p>
    <w:p w:rsidR="00BB0664" w:rsidRPr="00E87AD2" w:rsidRDefault="00BB0664" w:rsidP="00211419">
      <w:r w:rsidRPr="00E87AD2">
        <w:fldChar w:fldCharType="end"/>
      </w:r>
    </w:p>
    <w:p w:rsidR="00BB0664" w:rsidRPr="00E87AD2" w:rsidRDefault="00BB0664" w:rsidP="00211419">
      <w:pPr>
        <w:jc w:val="left"/>
        <w:rPr>
          <w:caps/>
        </w:rPr>
      </w:pPr>
      <w:r w:rsidRPr="00E87AD2">
        <w:br w:type="page"/>
      </w:r>
    </w:p>
    <w:p w:rsidR="00BB0664" w:rsidRPr="00E87AD2" w:rsidRDefault="00BB0664" w:rsidP="005854DE">
      <w:pPr>
        <w:pStyle w:val="Heading1"/>
      </w:pPr>
      <w:bookmarkStart w:id="4" w:name="_Toc413750051"/>
      <w:r w:rsidRPr="00E87AD2">
        <w:lastRenderedPageBreak/>
        <w:t>MIEMBROS</w:t>
      </w:r>
      <w:bookmarkEnd w:id="4"/>
    </w:p>
    <w:p w:rsidR="00BB0664" w:rsidRPr="00E87AD2" w:rsidRDefault="00BB0664" w:rsidP="00211419">
      <w:pPr>
        <w:rPr>
          <w:lang w:val="es-ES_tradnl"/>
        </w:rPr>
      </w:pPr>
    </w:p>
    <w:p w:rsidR="00BB0664" w:rsidRPr="00E87AD2" w:rsidRDefault="00BB0664" w:rsidP="00BB08EE">
      <w:pPr>
        <w:pStyle w:val="Heading2"/>
      </w:pPr>
      <w:bookmarkStart w:id="5" w:name="_Toc413750052"/>
      <w:r w:rsidRPr="00E87AD2">
        <w:t>Miembros de la Unión</w:t>
      </w:r>
      <w:bookmarkEnd w:id="5"/>
    </w:p>
    <w:p w:rsidR="00BB0664" w:rsidRPr="00E87AD2" w:rsidRDefault="00BB0664" w:rsidP="00211419">
      <w:pPr>
        <w:rPr>
          <w:lang w:val="es-ES_tradnl"/>
        </w:rPr>
      </w:pPr>
    </w:p>
    <w:p w:rsidR="00BB0664" w:rsidRPr="00E87AD2" w:rsidRDefault="00BB0664" w:rsidP="00211419">
      <w:pPr>
        <w:rPr>
          <w:rFonts w:cs="Arial"/>
          <w:lang w:val="es-ES_tradnl"/>
        </w:rPr>
      </w:pPr>
      <w:r w:rsidRPr="00E87AD2">
        <w:rPr>
          <w:rFonts w:cs="Arial"/>
          <w:lang w:val="es-ES_tradnl"/>
        </w:rPr>
        <w:fldChar w:fldCharType="begin"/>
      </w:r>
      <w:r w:rsidRPr="00E87AD2">
        <w:rPr>
          <w:rFonts w:cs="Arial"/>
          <w:lang w:val="es-ES_tradnl"/>
        </w:rPr>
        <w:instrText xml:space="preserve"> AUTONUM  </w:instrText>
      </w:r>
      <w:r w:rsidRPr="00E87AD2">
        <w:rPr>
          <w:rFonts w:cs="Arial"/>
          <w:lang w:val="es-ES_tradnl"/>
        </w:rPr>
        <w:fldChar w:fldCharType="end"/>
      </w:r>
      <w:r w:rsidRPr="00E87AD2">
        <w:rPr>
          <w:rFonts w:cs="Arial"/>
          <w:lang w:val="es-ES_tradnl"/>
        </w:rPr>
        <w:tab/>
        <w:t xml:space="preserve">La Organización Africana de la Propiedad Intelectual (OAPI) ha pasado a ser la segunda organización intergubernamental y el septuagésimo segundo miembro de la Unión Internacional para la Protección de las Obtenciones Vegetales (UPOV), el 10 de julio de 2014.  </w:t>
      </w:r>
    </w:p>
    <w:p w:rsidR="00BB0664" w:rsidRPr="00E87AD2" w:rsidRDefault="00BB0664" w:rsidP="00211419">
      <w:pPr>
        <w:rPr>
          <w:rFonts w:cs="Arial"/>
          <w:lang w:val="es-ES_tradnl"/>
        </w:rPr>
      </w:pPr>
    </w:p>
    <w:p w:rsidR="00BB0664" w:rsidRPr="00E87AD2" w:rsidRDefault="00BB0664" w:rsidP="00211419">
      <w:pPr>
        <w:rPr>
          <w:lang w:val="es-ES_tradnl"/>
        </w:rPr>
      </w:pPr>
      <w:r w:rsidRPr="00E87AD2">
        <w:rPr>
          <w:lang w:val="es-ES_tradnl"/>
        </w:rPr>
        <w:fldChar w:fldCharType="begin"/>
      </w:r>
      <w:r w:rsidRPr="00E87AD2">
        <w:rPr>
          <w:lang w:val="es-ES_tradnl"/>
        </w:rPr>
        <w:instrText xml:space="preserve"> AUTONUM  </w:instrText>
      </w:r>
      <w:r w:rsidRPr="00E87AD2">
        <w:rPr>
          <w:lang w:val="es-ES_tradnl"/>
        </w:rPr>
        <w:fldChar w:fldCharType="end"/>
      </w:r>
      <w:r w:rsidRPr="00E87AD2">
        <w:rPr>
          <w:lang w:val="es-ES_tradnl"/>
        </w:rPr>
        <w:tab/>
        <w:t xml:space="preserve">La OAPI aplica un sistema de protección de las variedades vegetales que cubre el territorio de sus 17 Estados miembros: Benin, Burkina Faso, Camerún, Chad, Comoras, Congo, Côte d’Ivoire, Gabón, Guinea, Guinea-Bissau, Guinea Ecuatorial, Malí, Mauritania, Níger, República Centroafricana, Senegal y Togo.  La sede de la OAPI está en Yaundé (Camerún) (véase </w:t>
      </w:r>
      <w:hyperlink r:id="rId9" w:history="1">
        <w:r w:rsidRPr="00E87AD2">
          <w:rPr>
            <w:rStyle w:val="Hyperlink"/>
            <w:lang w:val="es-ES_tradnl"/>
          </w:rPr>
          <w:t>http://www.oapi.int/</w:t>
        </w:r>
      </w:hyperlink>
      <w:r w:rsidRPr="00E87AD2">
        <w:rPr>
          <w:lang w:val="es-ES_tradnl"/>
        </w:rPr>
        <w:t>).</w:t>
      </w:r>
    </w:p>
    <w:p w:rsidR="00BB0664" w:rsidRPr="00E87AD2" w:rsidRDefault="00BB0664" w:rsidP="00211419">
      <w:pPr>
        <w:rPr>
          <w:color w:val="000000"/>
          <w:lang w:val="es-ES_tradnl"/>
        </w:rPr>
      </w:pPr>
    </w:p>
    <w:p w:rsidR="00BB0664" w:rsidRPr="00E87AD2" w:rsidRDefault="00BB0664" w:rsidP="00211419">
      <w:pPr>
        <w:rPr>
          <w:lang w:val="es-ES_tradnl"/>
        </w:rPr>
      </w:pPr>
      <w:r w:rsidRPr="00E87AD2">
        <w:rPr>
          <w:lang w:val="es-ES_tradnl"/>
        </w:rPr>
        <w:fldChar w:fldCharType="begin"/>
      </w:r>
      <w:r w:rsidRPr="00E87AD2">
        <w:rPr>
          <w:lang w:val="es-ES_tradnl"/>
        </w:rPr>
        <w:instrText xml:space="preserve"> AUTONUM  </w:instrText>
      </w:r>
      <w:r w:rsidRPr="00E87AD2">
        <w:rPr>
          <w:lang w:val="es-ES_tradnl"/>
        </w:rPr>
        <w:fldChar w:fldCharType="end"/>
      </w:r>
      <w:r w:rsidRPr="00E87AD2">
        <w:rPr>
          <w:lang w:val="es-ES_tradnl"/>
        </w:rPr>
        <w:tab/>
        <w:t xml:space="preserve">Al 1 de septiembre de 2015, la Unión estaba formada por 72 miembros:  Organización Africana de la Propiedad Intelectual, </w:t>
      </w:r>
      <w:r w:rsidRPr="00E87AD2">
        <w:rPr>
          <w:lang w:val="es-ES"/>
        </w:rPr>
        <w:t>Albania</w:t>
      </w:r>
      <w:r w:rsidRPr="00E87AD2">
        <w:rPr>
          <w:lang w:val="es-ES_tradnl"/>
        </w:rPr>
        <w:t xml:space="preserve">, Alemania, </w:t>
      </w:r>
      <w:r w:rsidRPr="00E87AD2">
        <w:rPr>
          <w:lang w:val="es-ES"/>
        </w:rPr>
        <w:t>Argentina</w:t>
      </w:r>
      <w:r w:rsidRPr="00E87AD2">
        <w:rPr>
          <w:lang w:val="es-ES_tradnl"/>
        </w:rPr>
        <w:t xml:space="preserve">, </w:t>
      </w:r>
      <w:r w:rsidRPr="00E87AD2">
        <w:rPr>
          <w:lang w:val="es-ES"/>
        </w:rPr>
        <w:t>Australia</w:t>
      </w:r>
      <w:r w:rsidRPr="00E87AD2">
        <w:rPr>
          <w:lang w:val="es-ES_tradnl"/>
        </w:rPr>
        <w:t xml:space="preserve">, </w:t>
      </w:r>
      <w:r w:rsidRPr="00E87AD2">
        <w:rPr>
          <w:lang w:val="es-ES"/>
        </w:rPr>
        <w:t>Austria</w:t>
      </w:r>
      <w:r w:rsidRPr="00E87AD2">
        <w:rPr>
          <w:lang w:val="es-ES_tradnl"/>
        </w:rPr>
        <w:t xml:space="preserve">, Azerbaiyán, Belarús, Bélgica, </w:t>
      </w:r>
      <w:r w:rsidRPr="00E87AD2">
        <w:rPr>
          <w:lang w:val="es-ES"/>
        </w:rPr>
        <w:t>Bolivia (</w:t>
      </w:r>
      <w:r w:rsidRPr="00E87AD2">
        <w:rPr>
          <w:lang w:val="es-ES_tradnl"/>
        </w:rPr>
        <w:t>Estado Plurinacional de</w:t>
      </w:r>
      <w:r w:rsidRPr="00E87AD2">
        <w:rPr>
          <w:lang w:val="es-ES"/>
        </w:rPr>
        <w:t>)</w:t>
      </w:r>
      <w:r w:rsidRPr="00E87AD2">
        <w:rPr>
          <w:lang w:val="es-ES_tradnl"/>
        </w:rPr>
        <w:t xml:space="preserve">, Brasil, </w:t>
      </w:r>
      <w:r w:rsidRPr="00E87AD2">
        <w:rPr>
          <w:lang w:val="es-ES"/>
        </w:rPr>
        <w:t>Bulgaria</w:t>
      </w:r>
      <w:r w:rsidRPr="00E87AD2">
        <w:rPr>
          <w:lang w:val="es-ES_tradnl"/>
        </w:rPr>
        <w:t xml:space="preserve">, Canadá, </w:t>
      </w:r>
      <w:r w:rsidRPr="00E87AD2">
        <w:rPr>
          <w:lang w:val="es-ES"/>
        </w:rPr>
        <w:t>Chile</w:t>
      </w:r>
      <w:r w:rsidRPr="00E87AD2">
        <w:rPr>
          <w:lang w:val="es-ES_tradnl"/>
        </w:rPr>
        <w:t xml:space="preserve">, </w:t>
      </w:r>
      <w:r w:rsidRPr="00E87AD2">
        <w:rPr>
          <w:lang w:val="es-ES"/>
        </w:rPr>
        <w:t>China</w:t>
      </w:r>
      <w:r w:rsidRPr="00E87AD2">
        <w:rPr>
          <w:lang w:val="es-ES_tradnl"/>
        </w:rPr>
        <w:t xml:space="preserve">, </w:t>
      </w:r>
      <w:r w:rsidRPr="00E87AD2">
        <w:rPr>
          <w:lang w:val="es-ES"/>
        </w:rPr>
        <w:t>Colombia</w:t>
      </w:r>
      <w:r w:rsidRPr="00E87AD2">
        <w:rPr>
          <w:lang w:val="es-ES_tradnl"/>
        </w:rPr>
        <w:t xml:space="preserve">, </w:t>
      </w:r>
      <w:r w:rsidRPr="00E87AD2">
        <w:rPr>
          <w:lang w:val="es-ES"/>
        </w:rPr>
        <w:t>Costa</w:t>
      </w:r>
      <w:r w:rsidRPr="00E87AD2">
        <w:rPr>
          <w:lang w:val="es-ES_tradnl"/>
        </w:rPr>
        <w:t xml:space="preserve"> </w:t>
      </w:r>
      <w:r w:rsidRPr="00E87AD2">
        <w:rPr>
          <w:lang w:val="es-ES"/>
        </w:rPr>
        <w:t>Rica</w:t>
      </w:r>
      <w:r w:rsidRPr="00E87AD2">
        <w:rPr>
          <w:lang w:val="es-ES_tradnl"/>
        </w:rPr>
        <w:t xml:space="preserve">, Croacia, Dinamarca, </w:t>
      </w:r>
      <w:r w:rsidRPr="00E87AD2">
        <w:rPr>
          <w:lang w:val="es-ES"/>
        </w:rPr>
        <w:t>Ecuador</w:t>
      </w:r>
      <w:r w:rsidRPr="00E87AD2">
        <w:rPr>
          <w:lang w:val="es-ES_tradnl"/>
        </w:rPr>
        <w:t xml:space="preserve">, Eslovaquia, Eslovenia, España, Estados Unidos de América, </w:t>
      </w:r>
      <w:r w:rsidRPr="00E87AD2">
        <w:rPr>
          <w:lang w:val="es-ES"/>
        </w:rPr>
        <w:t>Estonia</w:t>
      </w:r>
      <w:r w:rsidRPr="00E87AD2">
        <w:rPr>
          <w:lang w:val="es-ES_tradnl"/>
        </w:rPr>
        <w:t xml:space="preserve">, ex República Yugoslava de Macedonia, Federación de Rusia, Finlandia, Francia, </w:t>
      </w:r>
      <w:r w:rsidRPr="00E87AD2">
        <w:rPr>
          <w:lang w:val="es-ES"/>
        </w:rPr>
        <w:t>Georgia</w:t>
      </w:r>
      <w:r w:rsidRPr="00E87AD2">
        <w:rPr>
          <w:lang w:val="es-ES_tradnl"/>
        </w:rPr>
        <w:t xml:space="preserve">, Hungría, Irlanda, Islandia, </w:t>
      </w:r>
      <w:r w:rsidRPr="00E87AD2">
        <w:rPr>
          <w:lang w:val="es-ES"/>
        </w:rPr>
        <w:t>Israel</w:t>
      </w:r>
      <w:r w:rsidRPr="00E87AD2">
        <w:rPr>
          <w:lang w:val="es-ES_tradnl"/>
        </w:rPr>
        <w:t xml:space="preserve">, Italia, Japón, Jordania, </w:t>
      </w:r>
      <w:r w:rsidRPr="00E87AD2">
        <w:rPr>
          <w:lang w:val="es-ES"/>
        </w:rPr>
        <w:t>Kenya</w:t>
      </w:r>
      <w:r w:rsidRPr="00E87AD2">
        <w:rPr>
          <w:lang w:val="es-ES_tradnl"/>
        </w:rPr>
        <w:t xml:space="preserve">, Kirguistán, Letonia, Lituania, Marruecos, México, </w:t>
      </w:r>
      <w:r w:rsidRPr="00E87AD2">
        <w:rPr>
          <w:lang w:val="es-ES"/>
        </w:rPr>
        <w:t>Nicaragua</w:t>
      </w:r>
      <w:r w:rsidRPr="00E87AD2">
        <w:rPr>
          <w:lang w:val="es-ES_tradnl"/>
        </w:rPr>
        <w:t xml:space="preserve">, Noruega, Nueva Zelandia, Omán, Países Bajos, Panamá, </w:t>
      </w:r>
      <w:r w:rsidRPr="00E87AD2">
        <w:rPr>
          <w:lang w:val="es-ES"/>
        </w:rPr>
        <w:t>Paraguay</w:t>
      </w:r>
      <w:r w:rsidRPr="00E87AD2">
        <w:rPr>
          <w:lang w:val="es-ES_tradnl"/>
        </w:rPr>
        <w:t xml:space="preserve">, Perú, Polonia, </w:t>
      </w:r>
      <w:r w:rsidRPr="00E87AD2">
        <w:rPr>
          <w:lang w:val="es-ES"/>
        </w:rPr>
        <w:t>Portugal</w:t>
      </w:r>
      <w:r w:rsidRPr="00E87AD2">
        <w:rPr>
          <w:lang w:val="es-ES_tradnl"/>
        </w:rPr>
        <w:t xml:space="preserve">, Reino Unido, República Checa, República de Corea, República de Moldova, República Dominicana, Rumania, </w:t>
      </w:r>
      <w:r w:rsidRPr="00E87AD2">
        <w:rPr>
          <w:lang w:val="es-ES"/>
        </w:rPr>
        <w:t>Serbia</w:t>
      </w:r>
      <w:r w:rsidRPr="00E87AD2">
        <w:rPr>
          <w:lang w:val="es-ES_tradnl"/>
        </w:rPr>
        <w:t xml:space="preserve">, Singapur, Sudáfrica, Suecia, Suiza, Trinidad y Tabago, Túnez, Turquía, Ucrania, Unión Europea, </w:t>
      </w:r>
      <w:r w:rsidRPr="00E87AD2">
        <w:rPr>
          <w:lang w:val="es-ES"/>
        </w:rPr>
        <w:t>Uruguay</w:t>
      </w:r>
      <w:r w:rsidRPr="00E87AD2">
        <w:rPr>
          <w:lang w:val="es-ES_tradnl"/>
        </w:rPr>
        <w:t>, Uzbekistán</w:t>
      </w:r>
      <w:r w:rsidRPr="00E87AD2">
        <w:rPr>
          <w:lang w:val="es-ES"/>
        </w:rPr>
        <w:t xml:space="preserve"> </w:t>
      </w:r>
      <w:r w:rsidRPr="00E87AD2">
        <w:rPr>
          <w:lang w:val="es-ES_tradnl"/>
        </w:rPr>
        <w:t>y</w:t>
      </w:r>
      <w:r w:rsidRPr="00E87AD2">
        <w:rPr>
          <w:lang w:val="es-ES"/>
        </w:rPr>
        <w:t xml:space="preserve"> </w:t>
      </w:r>
      <w:r w:rsidRPr="00E87AD2">
        <w:rPr>
          <w:lang w:val="es-ES_tradnl"/>
        </w:rPr>
        <w:t>Viet Nam</w:t>
      </w:r>
      <w:r w:rsidRPr="00E87AD2">
        <w:rPr>
          <w:lang w:val="es-ES"/>
        </w:rPr>
        <w:t>.</w:t>
      </w:r>
    </w:p>
    <w:p w:rsidR="00BB0664" w:rsidRPr="00E87AD2" w:rsidRDefault="00BB0664" w:rsidP="00211419">
      <w:pPr>
        <w:rPr>
          <w:color w:val="000000"/>
          <w:lang w:val="es-ES_tradnl"/>
        </w:rPr>
      </w:pPr>
    </w:p>
    <w:p w:rsidR="00BB0664" w:rsidRPr="00E87AD2" w:rsidRDefault="00BB0664" w:rsidP="00211419">
      <w:pPr>
        <w:rPr>
          <w:color w:val="000000"/>
          <w:lang w:val="es-ES_tradnl"/>
        </w:rPr>
      </w:pPr>
    </w:p>
    <w:p w:rsidR="00BB0664" w:rsidRPr="00E87AD2" w:rsidRDefault="00BB0664" w:rsidP="00BB08EE">
      <w:pPr>
        <w:pStyle w:val="Heading2"/>
      </w:pPr>
      <w:bookmarkStart w:id="6" w:name="_Toc413750053"/>
      <w:r w:rsidRPr="00E87AD2">
        <w:t>Situación respecto de las distintas Actas del Convenio</w:t>
      </w:r>
      <w:bookmarkEnd w:id="6"/>
    </w:p>
    <w:p w:rsidR="00BB0664" w:rsidRPr="00E87AD2" w:rsidRDefault="00BB0664" w:rsidP="00211419">
      <w:pPr>
        <w:keepNext/>
        <w:rPr>
          <w:color w:val="000000"/>
          <w:lang w:val="es-ES_tradnl"/>
        </w:rPr>
      </w:pPr>
    </w:p>
    <w:p w:rsidR="00BB0664" w:rsidRPr="001D2D58" w:rsidRDefault="00BB0664" w:rsidP="00211419">
      <w:pPr>
        <w:rPr>
          <w:color w:val="000000"/>
          <w:lang w:val="es-ES"/>
        </w:rPr>
      </w:pPr>
      <w:r w:rsidRPr="00E87AD2">
        <w:rPr>
          <w:color w:val="000000"/>
        </w:rPr>
        <w:fldChar w:fldCharType="begin"/>
      </w:r>
      <w:r w:rsidRPr="001D2D58">
        <w:rPr>
          <w:color w:val="000000"/>
          <w:lang w:val="es-ES"/>
        </w:rPr>
        <w:instrText xml:space="preserve"> AUTONUM  </w:instrText>
      </w:r>
      <w:r w:rsidRPr="00E87AD2">
        <w:rPr>
          <w:color w:val="000000"/>
        </w:rPr>
        <w:fldChar w:fldCharType="end"/>
      </w:r>
      <w:r w:rsidRPr="001D2D58">
        <w:rPr>
          <w:color w:val="000000"/>
          <w:lang w:val="es-ES"/>
        </w:rPr>
        <w:tab/>
      </w:r>
      <w:r w:rsidRPr="00E87AD2">
        <w:rPr>
          <w:color w:val="000000"/>
          <w:lang w:val="es-ES_tradnl"/>
        </w:rPr>
        <w:t>Al 1 de marzo de 2015, eran 52 los miembros vinculados por el Acta de 1991.</w:t>
      </w:r>
    </w:p>
    <w:p w:rsidR="00BB0664" w:rsidRPr="001D2D58" w:rsidRDefault="00BB0664" w:rsidP="00211419">
      <w:pPr>
        <w:rPr>
          <w:color w:val="000000"/>
          <w:lang w:val="es-ES"/>
        </w:rPr>
      </w:pPr>
    </w:p>
    <w:p w:rsidR="00BB0664" w:rsidRPr="001D2D58" w:rsidRDefault="00BB0664" w:rsidP="00211419">
      <w:pPr>
        <w:rPr>
          <w:color w:val="000000"/>
          <w:lang w:val="es-ES"/>
        </w:rPr>
      </w:pPr>
      <w:r w:rsidRPr="00E87AD2">
        <w:rPr>
          <w:color w:val="000000"/>
        </w:rPr>
        <w:fldChar w:fldCharType="begin"/>
      </w:r>
      <w:r w:rsidRPr="001D2D58">
        <w:rPr>
          <w:color w:val="000000"/>
          <w:lang w:val="es-ES"/>
        </w:rPr>
        <w:instrText xml:space="preserve"> AUTONUM  </w:instrText>
      </w:r>
      <w:r w:rsidRPr="00E87AD2">
        <w:rPr>
          <w:color w:val="000000"/>
        </w:rPr>
        <w:fldChar w:fldCharType="end"/>
      </w:r>
      <w:r w:rsidRPr="001D2D58">
        <w:rPr>
          <w:color w:val="000000"/>
          <w:lang w:val="es-ES"/>
        </w:rPr>
        <w:tab/>
      </w:r>
      <w:r w:rsidRPr="00E87AD2">
        <w:rPr>
          <w:color w:val="000000"/>
          <w:lang w:val="es-ES_tradnl"/>
        </w:rPr>
        <w:t>Al 1 de marzo de 2015, un miembro estaba vinculado por el Acta de 1961 modificada por el Acta de 1972 y 19 miembros estaban vinculados por el Acta de 1978.</w:t>
      </w:r>
      <w:r w:rsidRPr="001D2D58">
        <w:rPr>
          <w:color w:val="000000"/>
          <w:lang w:val="es-ES"/>
        </w:rPr>
        <w:t xml:space="preserve"> </w:t>
      </w:r>
    </w:p>
    <w:p w:rsidR="00BB0664" w:rsidRPr="001D2D58" w:rsidRDefault="00BB0664" w:rsidP="00211419">
      <w:pPr>
        <w:rPr>
          <w:color w:val="000000"/>
          <w:lang w:val="es-ES"/>
        </w:rPr>
      </w:pPr>
    </w:p>
    <w:p w:rsidR="00BB0664" w:rsidRPr="001D2D58" w:rsidRDefault="00BB0664" w:rsidP="00211419">
      <w:pPr>
        <w:rPr>
          <w:color w:val="000000"/>
          <w:lang w:val="es-ES"/>
        </w:rPr>
      </w:pPr>
    </w:p>
    <w:p w:rsidR="00BB0664" w:rsidRPr="00E87AD2" w:rsidRDefault="00BB0664" w:rsidP="00BB08EE">
      <w:pPr>
        <w:pStyle w:val="Heading2"/>
      </w:pPr>
      <w:bookmarkStart w:id="7" w:name="_Toc413750054"/>
      <w:r w:rsidRPr="00E87AD2">
        <w:t>Examen de la legislación</w:t>
      </w:r>
      <w:bookmarkEnd w:id="7"/>
    </w:p>
    <w:p w:rsidR="00BB0664" w:rsidRPr="00E87AD2" w:rsidRDefault="00BB0664" w:rsidP="00211419">
      <w:pPr>
        <w:keepNext/>
        <w:rPr>
          <w:color w:val="000000"/>
          <w:lang w:val="es-ES_tradnl"/>
        </w:rPr>
      </w:pPr>
    </w:p>
    <w:p w:rsidR="00BB0664" w:rsidRPr="00E87AD2" w:rsidRDefault="00BB0664" w:rsidP="00110B2B">
      <w:pPr>
        <w:pStyle w:val="Heading3"/>
        <w:rPr>
          <w:color w:val="auto"/>
        </w:rPr>
      </w:pPr>
      <w:bookmarkStart w:id="8" w:name="_Toc413750055"/>
      <w:r w:rsidRPr="00E87AD2">
        <w:rPr>
          <w:color w:val="auto"/>
        </w:rPr>
        <w:t>Organización Regional Africana de la Propiedad Intelectual (ARIPO)</w:t>
      </w:r>
      <w:bookmarkEnd w:id="8"/>
    </w:p>
    <w:p w:rsidR="00BB0664" w:rsidRPr="00E87AD2" w:rsidRDefault="00BB0664" w:rsidP="00211419">
      <w:pPr>
        <w:rPr>
          <w:color w:val="000000"/>
          <w:lang w:val="es-ES_tradnl"/>
        </w:rPr>
      </w:pPr>
    </w:p>
    <w:p w:rsidR="00BB0664" w:rsidRPr="00E87AD2" w:rsidRDefault="00BB0664" w:rsidP="00211419">
      <w:pPr>
        <w:rPr>
          <w:color w:val="000000"/>
          <w:lang w:val="es-ES_tradnl"/>
        </w:rPr>
      </w:pPr>
      <w:r w:rsidRPr="00E87AD2">
        <w:rPr>
          <w:color w:val="000000"/>
        </w:rPr>
        <w:fldChar w:fldCharType="begin"/>
      </w:r>
      <w:r w:rsidRPr="001D2D58">
        <w:rPr>
          <w:color w:val="000000"/>
          <w:lang w:val="es-ES"/>
        </w:rPr>
        <w:instrText xml:space="preserve"> AUTONUM  </w:instrText>
      </w:r>
      <w:r w:rsidRPr="00E87AD2">
        <w:rPr>
          <w:color w:val="000000"/>
        </w:rPr>
        <w:fldChar w:fldCharType="end"/>
      </w:r>
      <w:r w:rsidRPr="001D2D58">
        <w:rPr>
          <w:color w:val="000000"/>
          <w:lang w:val="es-ES"/>
        </w:rPr>
        <w:tab/>
      </w:r>
      <w:r w:rsidRPr="00E87AD2">
        <w:rPr>
          <w:color w:val="000000"/>
          <w:lang w:val="es-ES_tradnl"/>
        </w:rPr>
        <w:t>El Consejo, en su trigésima primera sesión extraordinaria, celebrada en Ginebra el 11 de abril de 2014, tomó una decisión positiva acerca de la conformidad del proyecto de Protocolo de la Organización Regional Africana de la Propiedad Intelectual (ARIPO) para la Protección de las Obtenciones Vegetales con las disposiciones del Acta de 1991 del Convenio Internacional para la Protección de las Obtenciones Vegetales (Convenio de la UPOV).</w:t>
      </w:r>
      <w:r w:rsidRPr="001D2D58">
        <w:rPr>
          <w:color w:val="000000"/>
          <w:lang w:val="es-ES"/>
        </w:rPr>
        <w:t xml:space="preserve">  </w:t>
      </w:r>
      <w:r w:rsidRPr="00E87AD2">
        <w:rPr>
          <w:lang w:val="es-ES_tradnl"/>
        </w:rPr>
        <w:t>Una vez que el proyecto de Protocolo se haya adoptado sin modificación alguna y esté en vigor, los Estados Contratantes del Protocolo y la ARIPO podrán depositar su instrumento de adhesión al Convenio de la UPOV, en relación con los territorios de los Estados Contratantes obligados por el Protocolo</w:t>
      </w:r>
      <w:r w:rsidRPr="00E87AD2">
        <w:rPr>
          <w:color w:val="000000"/>
          <w:lang w:val="es-ES_tradnl"/>
        </w:rPr>
        <w:t>.</w:t>
      </w:r>
    </w:p>
    <w:p w:rsidR="00BB0664" w:rsidRPr="00E87AD2" w:rsidRDefault="00BB0664" w:rsidP="00211419">
      <w:pPr>
        <w:rPr>
          <w:color w:val="000000"/>
          <w:lang w:val="es-ES_tradnl"/>
        </w:rPr>
      </w:pPr>
    </w:p>
    <w:p w:rsidR="00BB0664" w:rsidRPr="00E87AD2" w:rsidRDefault="00BB0664" w:rsidP="00110B2B">
      <w:pPr>
        <w:pStyle w:val="Heading3"/>
        <w:rPr>
          <w:color w:val="auto"/>
        </w:rPr>
      </w:pPr>
      <w:bookmarkStart w:id="9" w:name="_Toc413750056"/>
      <w:r w:rsidRPr="00E87AD2">
        <w:rPr>
          <w:color w:val="auto"/>
        </w:rPr>
        <w:t>Novedades relativas a la Ley sobre los Derechos de Obtentor para Zanzíbar</w:t>
      </w:r>
      <w:bookmarkEnd w:id="9"/>
    </w:p>
    <w:p w:rsidR="00BB0664" w:rsidRPr="00E87AD2" w:rsidRDefault="00BB0664" w:rsidP="00211419">
      <w:pPr>
        <w:rPr>
          <w:rFonts w:cs="Arial"/>
          <w:lang w:val="es-ES_tradnl"/>
        </w:rPr>
      </w:pPr>
    </w:p>
    <w:p w:rsidR="00BB0664" w:rsidRPr="00E87AD2" w:rsidRDefault="00BB0664" w:rsidP="00211419">
      <w:pPr>
        <w:rPr>
          <w:rFonts w:cs="Arial"/>
          <w:lang w:val="es-ES_tradnl"/>
        </w:rPr>
      </w:pPr>
      <w:r w:rsidRPr="00E87AD2">
        <w:rPr>
          <w:rFonts w:cs="Arial"/>
          <w:lang w:val="es-ES_tradnl"/>
        </w:rPr>
        <w:fldChar w:fldCharType="begin"/>
      </w:r>
      <w:r w:rsidRPr="00E87AD2">
        <w:rPr>
          <w:rFonts w:cs="Arial"/>
          <w:lang w:val="es-ES_tradnl"/>
        </w:rPr>
        <w:instrText xml:space="preserve"> AUTONUM  </w:instrText>
      </w:r>
      <w:r w:rsidRPr="00E87AD2">
        <w:rPr>
          <w:rFonts w:cs="Arial"/>
          <w:lang w:val="es-ES_tradnl"/>
        </w:rPr>
        <w:fldChar w:fldCharType="end"/>
      </w:r>
      <w:r w:rsidRPr="00E87AD2">
        <w:rPr>
          <w:rFonts w:cs="Arial"/>
          <w:lang w:val="es-ES_tradnl"/>
        </w:rPr>
        <w:tab/>
        <w:t>El Consejo tomó nota de que la Ley de Derechos de Obtentor de Zanzíbar, que fue adoptada por la Cámara de Representantes de Zanzíbar, incorpora los cambios contenidos en la decisión del Consejo de 22 de marzo de 2013, y acordó que los cambios adicionales no afectan a las disposiciones sustantivas del Acta de 1991 del Convenio de la UPOV.  La legislación que rige los derechos de obtentor abarca ya todo el territorio de la República Unida de Tanzanía, y la República Unida de Tanzanía puede pasar a ser miembro de la UPOV.</w:t>
      </w:r>
    </w:p>
    <w:p w:rsidR="00BB0664" w:rsidRPr="00E87AD2" w:rsidRDefault="00BB0664" w:rsidP="00211419">
      <w:pPr>
        <w:rPr>
          <w:color w:val="000000"/>
          <w:lang w:val="es-ES_tradnl"/>
        </w:rPr>
      </w:pPr>
    </w:p>
    <w:p w:rsidR="00BB0664" w:rsidRPr="00E87AD2" w:rsidRDefault="00BB0664" w:rsidP="00211419">
      <w:pPr>
        <w:rPr>
          <w:color w:val="000000"/>
          <w:lang w:val="es-ES_tradnl"/>
        </w:rPr>
      </w:pPr>
    </w:p>
    <w:p w:rsidR="00BB0664" w:rsidRPr="00E87AD2" w:rsidRDefault="00BB0664" w:rsidP="005854DE">
      <w:pPr>
        <w:pStyle w:val="Heading1"/>
      </w:pPr>
      <w:bookmarkStart w:id="10" w:name="_Toc413750057"/>
      <w:r w:rsidRPr="00E87AD2">
        <w:t>ObservADORES</w:t>
      </w:r>
      <w:bookmarkEnd w:id="10"/>
    </w:p>
    <w:p w:rsidR="00BB0664" w:rsidRPr="001D2D58" w:rsidRDefault="00BB0664" w:rsidP="00211419">
      <w:pPr>
        <w:rPr>
          <w:color w:val="000000"/>
          <w:lang w:val="es-ES"/>
        </w:rPr>
      </w:pPr>
    </w:p>
    <w:p w:rsidR="00BB0664" w:rsidRPr="001D2D58" w:rsidRDefault="00BB0664" w:rsidP="00211419">
      <w:pPr>
        <w:rPr>
          <w:rFonts w:cs="Arial"/>
          <w:lang w:val="es-ES"/>
        </w:rPr>
      </w:pPr>
      <w:r w:rsidRPr="00E87AD2">
        <w:rPr>
          <w:rFonts w:cs="Arial"/>
        </w:rPr>
        <w:fldChar w:fldCharType="begin"/>
      </w:r>
      <w:r w:rsidRPr="001D2D58">
        <w:rPr>
          <w:rFonts w:cs="Arial"/>
          <w:lang w:val="es-ES"/>
        </w:rPr>
        <w:instrText xml:space="preserve"> AUTONUM  </w:instrText>
      </w:r>
      <w:r w:rsidRPr="00E87AD2">
        <w:rPr>
          <w:rFonts w:cs="Arial"/>
        </w:rPr>
        <w:fldChar w:fldCharType="end"/>
      </w:r>
      <w:r w:rsidRPr="001D2D58">
        <w:rPr>
          <w:rFonts w:cs="Arial"/>
          <w:lang w:val="es-ES"/>
        </w:rPr>
        <w:tab/>
      </w:r>
      <w:r w:rsidRPr="00E87AD2">
        <w:rPr>
          <w:rFonts w:cs="Arial"/>
          <w:lang w:val="es-ES_tradnl"/>
        </w:rPr>
        <w:t>En su cuadragésima octava sesión ordinaria, el Consejo tomó nota de que el Comité Consultivo</w:t>
      </w:r>
      <w:r w:rsidRPr="00E87AD2">
        <w:rPr>
          <w:rFonts w:cs="Arial"/>
          <w:color w:val="008000"/>
          <w:lang w:val="es-ES_tradnl"/>
        </w:rPr>
        <w:t xml:space="preserve"> </w:t>
      </w:r>
      <w:r w:rsidRPr="00E87AD2">
        <w:rPr>
          <w:rFonts w:cs="Arial"/>
          <w:lang w:val="es-ES_tradnl"/>
        </w:rPr>
        <w:t>había concedido la condición de observador:</w:t>
      </w:r>
    </w:p>
    <w:p w:rsidR="00BB0664" w:rsidRPr="001D2D58" w:rsidRDefault="00BB0664" w:rsidP="00211419">
      <w:pPr>
        <w:rPr>
          <w:rFonts w:cs="Arial"/>
          <w:lang w:val="es-ES"/>
        </w:rPr>
      </w:pPr>
    </w:p>
    <w:p w:rsidR="00BB0664" w:rsidRPr="00E87AD2" w:rsidRDefault="00BB0664" w:rsidP="00C854D3">
      <w:pPr>
        <w:pStyle w:val="ListParagraph"/>
        <w:numPr>
          <w:ilvl w:val="0"/>
          <w:numId w:val="9"/>
        </w:numPr>
        <w:rPr>
          <w:rFonts w:cs="Arial"/>
          <w:lang w:val="es-ES_tradnl"/>
        </w:rPr>
      </w:pPr>
      <w:r w:rsidRPr="00E87AD2">
        <w:rPr>
          <w:rFonts w:cs="Arial"/>
          <w:lang w:val="es-ES_tradnl"/>
        </w:rPr>
        <w:t>al Centro del Sur ante el Consejo y el Comité Administrativo y Jurídico (CAJ);</w:t>
      </w:r>
    </w:p>
    <w:p w:rsidR="00BB0664" w:rsidRPr="00E87AD2" w:rsidRDefault="00BB0664" w:rsidP="00C854D3">
      <w:pPr>
        <w:pStyle w:val="ListParagraph"/>
        <w:numPr>
          <w:ilvl w:val="0"/>
          <w:numId w:val="9"/>
        </w:numPr>
        <w:rPr>
          <w:rFonts w:cs="Arial"/>
          <w:lang w:val="es-ES_tradnl"/>
        </w:rPr>
      </w:pPr>
      <w:r w:rsidRPr="00E87AD2">
        <w:rPr>
          <w:rFonts w:cs="Arial"/>
          <w:lang w:val="es-ES_tradnl"/>
        </w:rPr>
        <w:lastRenderedPageBreak/>
        <w:t>a la Organización Mundial de Agricultores (OMA) ante el Consejo, el CAJ y el Comité Técnico (TC).</w:t>
      </w:r>
    </w:p>
    <w:p w:rsidR="00BB0664" w:rsidRPr="00E87AD2" w:rsidRDefault="00BB0664" w:rsidP="00211419">
      <w:pPr>
        <w:rPr>
          <w:color w:val="000000"/>
          <w:lang w:val="es-ES_tradnl"/>
        </w:rPr>
      </w:pPr>
    </w:p>
    <w:p w:rsidR="00BB0664" w:rsidRPr="00E87AD2" w:rsidRDefault="00BB0664" w:rsidP="00211419">
      <w:pPr>
        <w:rPr>
          <w:color w:val="000000"/>
          <w:lang w:val="es-ES_tradnl"/>
        </w:rPr>
      </w:pPr>
    </w:p>
    <w:p w:rsidR="00BB0664" w:rsidRPr="00E87AD2" w:rsidRDefault="00BB0664" w:rsidP="005854DE">
      <w:pPr>
        <w:pStyle w:val="Heading1"/>
      </w:pPr>
      <w:bookmarkStart w:id="11" w:name="_Toc413750058"/>
      <w:r w:rsidRPr="00E87AD2">
        <w:t>OFICINA DE LA UNIÓN</w:t>
      </w:r>
      <w:bookmarkEnd w:id="11"/>
    </w:p>
    <w:p w:rsidR="00BB0664" w:rsidRPr="00E87AD2" w:rsidRDefault="00BB0664" w:rsidP="005854DE">
      <w:pPr>
        <w:pStyle w:val="Heading1"/>
      </w:pPr>
    </w:p>
    <w:p w:rsidR="00BB0664" w:rsidRPr="00E87AD2" w:rsidRDefault="00BB0664" w:rsidP="00BB08EE">
      <w:pPr>
        <w:pStyle w:val="Heading2"/>
      </w:pPr>
      <w:bookmarkStart w:id="12" w:name="_Toc413750059"/>
      <w:r w:rsidRPr="00E87AD2">
        <w:t>Nombramiento del Secretario General</w:t>
      </w:r>
      <w:bookmarkEnd w:id="12"/>
    </w:p>
    <w:p w:rsidR="00BB0664" w:rsidRPr="001D2D58" w:rsidRDefault="00BB0664" w:rsidP="00C854D3">
      <w:pPr>
        <w:rPr>
          <w:lang w:val="es-ES"/>
        </w:rPr>
      </w:pPr>
    </w:p>
    <w:p w:rsidR="00BB0664" w:rsidRPr="001D2D58" w:rsidRDefault="00BB0664" w:rsidP="00C854D3">
      <w:pPr>
        <w:rPr>
          <w:lang w:val="es-ES"/>
        </w:rPr>
      </w:pPr>
      <w:r w:rsidRPr="00E87AD2">
        <w:fldChar w:fldCharType="begin"/>
      </w:r>
      <w:r w:rsidRPr="001D2D58">
        <w:rPr>
          <w:lang w:val="es-ES"/>
        </w:rPr>
        <w:instrText xml:space="preserve"> AUTONUM  </w:instrText>
      </w:r>
      <w:r w:rsidRPr="00E87AD2">
        <w:fldChar w:fldCharType="end"/>
      </w:r>
      <w:r w:rsidRPr="001D2D58">
        <w:rPr>
          <w:lang w:val="es-ES"/>
        </w:rPr>
        <w:tab/>
      </w:r>
      <w:r w:rsidRPr="00E87AD2">
        <w:rPr>
          <w:lang w:val="es-ES_tradnl"/>
        </w:rPr>
        <w:t>En su cuadragésima octava sesión ordinaria, celebrada en Ginebra el 16 de octubre de 2014, el Consejo decidió, por aclamación, nombrar al Sr. Francis Gurry Secretario General de la UPOV para el período comprendido entre el 16 de octubre de 2014 y el 30 de septiembre de 2020.</w:t>
      </w:r>
    </w:p>
    <w:p w:rsidR="00BB0664" w:rsidRPr="001D2D58" w:rsidRDefault="00BB0664" w:rsidP="00C854D3">
      <w:pPr>
        <w:rPr>
          <w:lang w:val="es-ES"/>
        </w:rPr>
      </w:pPr>
    </w:p>
    <w:p w:rsidR="00BB0664" w:rsidRPr="001D2D58" w:rsidRDefault="00BB0664" w:rsidP="00C854D3">
      <w:pPr>
        <w:rPr>
          <w:lang w:val="es-ES"/>
        </w:rPr>
      </w:pPr>
    </w:p>
    <w:p w:rsidR="00BB0664" w:rsidRPr="00E87AD2" w:rsidRDefault="00BB0664" w:rsidP="005854DE">
      <w:pPr>
        <w:pStyle w:val="Heading1"/>
      </w:pPr>
      <w:bookmarkStart w:id="13" w:name="_Toc413750060"/>
      <w:r w:rsidRPr="00E87AD2">
        <w:t>ESTADÍSTICAS SOBRE LA PROTECCIÓN DE LAS OBTENCIONES VEGETALES</w:t>
      </w:r>
      <w:bookmarkEnd w:id="13"/>
    </w:p>
    <w:p w:rsidR="00BB0664" w:rsidRPr="00E87AD2" w:rsidRDefault="00BB0664" w:rsidP="00C854D3">
      <w:pPr>
        <w:rPr>
          <w:lang w:val="es-ES_tradnl"/>
        </w:rPr>
      </w:pPr>
    </w:p>
    <w:p w:rsidR="00BB0664" w:rsidRPr="00E87AD2" w:rsidRDefault="00BB0664" w:rsidP="00BB08EE">
      <w:pPr>
        <w:pStyle w:val="Heading2"/>
        <w:rPr>
          <w:rFonts w:eastAsia="MS Mincho"/>
        </w:rPr>
      </w:pPr>
      <w:bookmarkStart w:id="14" w:name="_Toc413750061"/>
      <w:r w:rsidRPr="00E87AD2">
        <w:rPr>
          <w:rFonts w:eastAsia="MS Mincho"/>
        </w:rPr>
        <w:t>Lista de los taxones protegidos por los miembros de la Unión</w:t>
      </w:r>
      <w:bookmarkEnd w:id="14"/>
    </w:p>
    <w:p w:rsidR="00BB0664" w:rsidRPr="00E87AD2" w:rsidRDefault="00BB0664" w:rsidP="00C854D3">
      <w:pPr>
        <w:autoSpaceDE w:val="0"/>
        <w:autoSpaceDN w:val="0"/>
        <w:adjustRightInd w:val="0"/>
        <w:rPr>
          <w:rFonts w:eastAsia="MS Mincho" w:cs="Arial"/>
          <w:lang w:val="es-ES_tradnl" w:eastAsia="ja-JP"/>
        </w:rPr>
      </w:pPr>
      <w:r w:rsidRPr="00E87AD2">
        <w:rPr>
          <w:rFonts w:eastAsia="MS Mincho" w:cs="Arial"/>
          <w:lang w:val="es-ES_tradnl" w:eastAsia="ja-JP"/>
        </w:rPr>
        <w:t>(véase el documento C/48/6 “Lista de los taxones protegidos por los miembros de la Unión”)</w:t>
      </w:r>
    </w:p>
    <w:p w:rsidR="00BB0664" w:rsidRPr="00E87AD2" w:rsidRDefault="00BB0664" w:rsidP="00C854D3">
      <w:pPr>
        <w:autoSpaceDE w:val="0"/>
        <w:autoSpaceDN w:val="0"/>
        <w:adjustRightInd w:val="0"/>
        <w:rPr>
          <w:rFonts w:eastAsia="MS Mincho" w:cs="Arial"/>
          <w:lang w:val="es-ES_tradnl" w:eastAsia="ja-JP"/>
        </w:rPr>
      </w:pPr>
    </w:p>
    <w:p w:rsidR="00BB0664" w:rsidRPr="00E87AD2" w:rsidRDefault="00BB0664" w:rsidP="00C854D3">
      <w:pPr>
        <w:autoSpaceDE w:val="0"/>
        <w:autoSpaceDN w:val="0"/>
        <w:adjustRightInd w:val="0"/>
        <w:rPr>
          <w:rFonts w:eastAsia="MS Mincho" w:cs="Arial"/>
          <w:lang w:val="es-ES_tradnl" w:eastAsia="ja-JP"/>
        </w:rPr>
      </w:pPr>
      <w:r w:rsidRPr="00E87AD2">
        <w:rPr>
          <w:rFonts w:eastAsia="MS Mincho" w:cs="Arial"/>
          <w:lang w:val="es-ES_tradnl" w:eastAsia="ja-JP"/>
        </w:rPr>
        <w:fldChar w:fldCharType="begin"/>
      </w:r>
      <w:r w:rsidRPr="00E87AD2">
        <w:rPr>
          <w:rFonts w:eastAsia="MS Mincho" w:cs="Arial"/>
          <w:lang w:val="es-ES_tradnl" w:eastAsia="ja-JP"/>
        </w:rPr>
        <w:instrText xml:space="preserve"> AUTONUM  </w:instrText>
      </w:r>
      <w:r w:rsidRPr="00E87AD2">
        <w:rPr>
          <w:rFonts w:eastAsia="MS Mincho" w:cs="Arial"/>
          <w:lang w:val="es-ES_tradnl" w:eastAsia="ja-JP"/>
        </w:rPr>
        <w:fldChar w:fldCharType="end"/>
      </w:r>
      <w:r w:rsidRPr="00E87AD2">
        <w:rPr>
          <w:rFonts w:eastAsia="MS Mincho" w:cs="Arial"/>
          <w:lang w:val="es-ES_tradnl" w:eastAsia="ja-JP"/>
        </w:rPr>
        <w:tab/>
        <w:t>Un total de 58 miembros de la Unión protegen ahora todos los géneros y especies vegetales (56</w:t>
      </w:r>
      <w:r w:rsidR="00CF08BF">
        <w:rPr>
          <w:rFonts w:eastAsia="MS Mincho" w:cs="Arial"/>
          <w:lang w:val="es-ES_tradnl" w:eastAsia="ja-JP"/>
        </w:rPr>
        <w:t> </w:t>
      </w:r>
      <w:r w:rsidRPr="00E87AD2">
        <w:rPr>
          <w:rFonts w:eastAsia="MS Mincho" w:cs="Arial"/>
          <w:lang w:val="es-ES_tradnl" w:eastAsia="ja-JP"/>
        </w:rPr>
        <w:t>en 2013), siendo 14 los miembros de la Unión que protegen un número limitado de géneros y especies vegetales.  De esos 14, tres países (Brasil, China y Sudáfrica) extendieron la protección a otros géneros y especies en 2014.</w:t>
      </w:r>
    </w:p>
    <w:p w:rsidR="00BB0664" w:rsidRPr="00E87AD2" w:rsidRDefault="00BB0664" w:rsidP="00C854D3">
      <w:pPr>
        <w:rPr>
          <w:lang w:val="es-ES_tradnl"/>
        </w:rPr>
      </w:pPr>
    </w:p>
    <w:p w:rsidR="00BB0664" w:rsidRPr="00E87AD2" w:rsidRDefault="00BB0664" w:rsidP="00BB08EE">
      <w:pPr>
        <w:pStyle w:val="Heading2"/>
      </w:pPr>
      <w:bookmarkStart w:id="15" w:name="_Toc413750062"/>
      <w:r w:rsidRPr="00E87AD2">
        <w:t>Estadísticas sobre la protección de las obtenciones vegetales</w:t>
      </w:r>
      <w:bookmarkEnd w:id="15"/>
    </w:p>
    <w:p w:rsidR="00BB0664" w:rsidRPr="001D2D58" w:rsidRDefault="00BB0664" w:rsidP="00C854D3">
      <w:pPr>
        <w:autoSpaceDE w:val="0"/>
        <w:autoSpaceDN w:val="0"/>
        <w:adjustRightInd w:val="0"/>
        <w:rPr>
          <w:rFonts w:eastAsia="MS Mincho" w:cs="Arial"/>
          <w:lang w:val="es-ES" w:eastAsia="ja-JP"/>
        </w:rPr>
      </w:pPr>
      <w:r w:rsidRPr="00E87AD2">
        <w:rPr>
          <w:rFonts w:eastAsia="MS Mincho" w:cs="Arial"/>
          <w:lang w:val="es-ES_tradnl" w:eastAsia="ja-JP"/>
        </w:rPr>
        <w:t>(véase el documento C/48/7 “Estadísticas sobre la protección de las obtenciones vegetales para el período 2009</w:t>
      </w:r>
      <w:r w:rsidRPr="00E87AD2">
        <w:rPr>
          <w:rFonts w:eastAsia="MS Mincho" w:cs="Arial"/>
          <w:lang w:val="es-ES_tradnl" w:eastAsia="ja-JP"/>
        </w:rPr>
        <w:noBreakHyphen/>
        <w:t>2013”</w:t>
      </w:r>
      <w:r w:rsidRPr="00E87AD2">
        <w:rPr>
          <w:lang w:val="es-ES_tradnl"/>
        </w:rPr>
        <w:t>)</w:t>
      </w:r>
    </w:p>
    <w:p w:rsidR="00BB0664" w:rsidRPr="001D2D58" w:rsidRDefault="00BB0664" w:rsidP="00C854D3">
      <w:pPr>
        <w:autoSpaceDE w:val="0"/>
        <w:autoSpaceDN w:val="0"/>
        <w:adjustRightInd w:val="0"/>
        <w:rPr>
          <w:rFonts w:eastAsia="MS Mincho" w:cs="Arial"/>
          <w:lang w:val="es-ES" w:eastAsia="ja-JP"/>
        </w:rPr>
      </w:pPr>
    </w:p>
    <w:p w:rsidR="00BB0664" w:rsidRPr="00E87AD2" w:rsidRDefault="00BB0664" w:rsidP="00C854D3">
      <w:pPr>
        <w:autoSpaceDE w:val="0"/>
        <w:autoSpaceDN w:val="0"/>
        <w:adjustRightInd w:val="0"/>
        <w:rPr>
          <w:rFonts w:eastAsia="MS Mincho" w:cs="Arial"/>
          <w:lang w:val="es-ES_tradnl" w:eastAsia="ja-JP"/>
        </w:rPr>
      </w:pPr>
      <w:r w:rsidRPr="00E87AD2">
        <w:rPr>
          <w:rFonts w:eastAsia="MS Mincho" w:cs="Arial"/>
          <w:lang w:val="es-ES_tradnl" w:eastAsia="ja-JP"/>
        </w:rPr>
        <w:fldChar w:fldCharType="begin"/>
      </w:r>
      <w:r w:rsidRPr="00E87AD2">
        <w:rPr>
          <w:rFonts w:eastAsia="MS Mincho" w:cs="Arial"/>
          <w:lang w:val="es-ES_tradnl" w:eastAsia="ja-JP"/>
        </w:rPr>
        <w:instrText xml:space="preserve"> AUTONUM  </w:instrText>
      </w:r>
      <w:r w:rsidRPr="00E87AD2">
        <w:rPr>
          <w:rFonts w:eastAsia="MS Mincho" w:cs="Arial"/>
          <w:lang w:val="es-ES_tradnl" w:eastAsia="ja-JP"/>
        </w:rPr>
        <w:fldChar w:fldCharType="end"/>
      </w:r>
      <w:r w:rsidRPr="00E87AD2">
        <w:rPr>
          <w:rFonts w:eastAsia="MS Mincho" w:cs="Arial"/>
          <w:lang w:val="es-ES_tradnl" w:eastAsia="ja-JP"/>
        </w:rPr>
        <w:tab/>
        <w:t>En 2013 el número de títulos en vigor superó por primera vez los 100.000.  El total de 103.261 títulos en vigor en 2013 representó un aumento del 3,8% respecto de la cifra de 2012 (99.501).</w:t>
      </w:r>
    </w:p>
    <w:p w:rsidR="00BB0664" w:rsidRPr="00E87AD2" w:rsidRDefault="00BB0664" w:rsidP="00C854D3">
      <w:pPr>
        <w:autoSpaceDE w:val="0"/>
        <w:autoSpaceDN w:val="0"/>
        <w:adjustRightInd w:val="0"/>
        <w:rPr>
          <w:rFonts w:eastAsia="MS Mincho" w:cs="Arial"/>
          <w:lang w:val="es-ES_tradnl" w:eastAsia="ja-JP"/>
        </w:rPr>
      </w:pPr>
    </w:p>
    <w:p w:rsidR="00BB0664" w:rsidRPr="00E87AD2" w:rsidRDefault="00BB0664" w:rsidP="00C854D3">
      <w:pPr>
        <w:autoSpaceDE w:val="0"/>
        <w:autoSpaceDN w:val="0"/>
        <w:adjustRightInd w:val="0"/>
        <w:rPr>
          <w:rFonts w:eastAsia="MS Mincho" w:cs="Arial"/>
          <w:lang w:val="es-ES_tradnl" w:eastAsia="ja-JP"/>
        </w:rPr>
      </w:pPr>
      <w:r w:rsidRPr="00E87AD2">
        <w:rPr>
          <w:rFonts w:eastAsia="MS Mincho" w:cs="Arial"/>
          <w:lang w:val="es-ES_tradnl" w:eastAsia="ja-JP"/>
        </w:rPr>
        <w:fldChar w:fldCharType="begin"/>
      </w:r>
      <w:r w:rsidRPr="00E87AD2">
        <w:rPr>
          <w:rFonts w:eastAsia="MS Mincho" w:cs="Arial"/>
          <w:lang w:val="es-ES_tradnl" w:eastAsia="ja-JP"/>
        </w:rPr>
        <w:instrText xml:space="preserve"> AUTONUM  </w:instrText>
      </w:r>
      <w:r w:rsidRPr="00E87AD2">
        <w:rPr>
          <w:rFonts w:eastAsia="MS Mincho" w:cs="Arial"/>
          <w:lang w:val="es-ES_tradnl" w:eastAsia="ja-JP"/>
        </w:rPr>
        <w:fldChar w:fldCharType="end"/>
      </w:r>
      <w:r w:rsidRPr="00E87AD2">
        <w:rPr>
          <w:rFonts w:eastAsia="MS Mincho" w:cs="Arial"/>
          <w:lang w:val="es-ES_tradnl" w:eastAsia="ja-JP"/>
        </w:rPr>
        <w:tab/>
        <w:t>El Consejo tomó nota de que se había producido un aumento del 6,3% en el número de solicitudes de protección de variedades vegetales (14.788 en 2013; 13.908 en 2012), cifra que comprende un aumento del 8,7% del número de solicitudes presentadas por residentes (9.502 en 2013; 8.739 en 2012) y un aumento del 2,3% del número de solicitudes presentadas por no residentes (5.286 en 2013; 5.169 en 2012).  El número de títulos concedidos pasó de 9.822 en 2012 a 10.052 en 2013 (2,3% de aumento).</w:t>
      </w:r>
    </w:p>
    <w:p w:rsidR="00BB0664" w:rsidRPr="00E87AD2" w:rsidRDefault="00BB0664" w:rsidP="00C854D3">
      <w:pPr>
        <w:autoSpaceDE w:val="0"/>
        <w:autoSpaceDN w:val="0"/>
        <w:adjustRightInd w:val="0"/>
        <w:rPr>
          <w:rFonts w:eastAsia="MS Mincho" w:cs="Arial"/>
          <w:lang w:val="es-ES_tradnl" w:eastAsia="ja-JP"/>
        </w:rPr>
      </w:pPr>
    </w:p>
    <w:p w:rsidR="00BB0664" w:rsidRPr="00E87AD2" w:rsidRDefault="00BB0664" w:rsidP="00BB08EE">
      <w:pPr>
        <w:pStyle w:val="Heading2"/>
      </w:pPr>
      <w:bookmarkStart w:id="16" w:name="_Toc413750063"/>
      <w:r w:rsidRPr="00E87AD2">
        <w:t>Cooperación en materia de examen de obtenciones vegetales</w:t>
      </w:r>
      <w:bookmarkEnd w:id="16"/>
    </w:p>
    <w:p w:rsidR="00BB0664" w:rsidRPr="00E87AD2" w:rsidRDefault="00BB0664" w:rsidP="00C854D3">
      <w:pPr>
        <w:autoSpaceDE w:val="0"/>
        <w:autoSpaceDN w:val="0"/>
        <w:adjustRightInd w:val="0"/>
        <w:rPr>
          <w:rFonts w:eastAsia="MS Mincho" w:cs="Arial"/>
          <w:lang w:val="es-ES_tradnl" w:eastAsia="ja-JP"/>
        </w:rPr>
      </w:pPr>
      <w:r w:rsidRPr="00E87AD2">
        <w:rPr>
          <w:rFonts w:eastAsia="MS Mincho" w:cs="Arial"/>
          <w:lang w:val="es-ES_tradnl" w:eastAsia="ja-JP"/>
        </w:rPr>
        <w:t>(véase el documento C/48/5, “Cooperación en materia de examen”</w:t>
      </w:r>
      <w:r w:rsidRPr="00E87AD2">
        <w:rPr>
          <w:lang w:val="es-ES_tradnl"/>
        </w:rPr>
        <w:t>)</w:t>
      </w:r>
    </w:p>
    <w:p w:rsidR="00BB0664" w:rsidRPr="00E87AD2" w:rsidRDefault="00BB0664" w:rsidP="00C854D3">
      <w:pPr>
        <w:tabs>
          <w:tab w:val="num" w:pos="1440"/>
        </w:tabs>
        <w:autoSpaceDE w:val="0"/>
        <w:autoSpaceDN w:val="0"/>
        <w:adjustRightInd w:val="0"/>
        <w:rPr>
          <w:rFonts w:cs="Arial"/>
          <w:lang w:val="es-ES_tradnl"/>
        </w:rPr>
      </w:pPr>
    </w:p>
    <w:p w:rsidR="00BB0664" w:rsidRPr="00E87AD2" w:rsidRDefault="00BB0664" w:rsidP="00C854D3">
      <w:pPr>
        <w:autoSpaceDE w:val="0"/>
        <w:autoSpaceDN w:val="0"/>
        <w:adjustRightInd w:val="0"/>
        <w:rPr>
          <w:rFonts w:cs="Arial"/>
          <w:lang w:val="es-ES_tradnl"/>
        </w:rPr>
      </w:pPr>
      <w:r w:rsidRPr="00E87AD2">
        <w:rPr>
          <w:rFonts w:eastAsia="MS Mincho" w:cs="Arial"/>
          <w:lang w:val="es-ES_tradnl" w:eastAsia="ja-JP"/>
        </w:rPr>
        <w:fldChar w:fldCharType="begin"/>
      </w:r>
      <w:r w:rsidRPr="00E87AD2">
        <w:rPr>
          <w:rFonts w:eastAsia="MS Mincho" w:cs="Arial"/>
          <w:lang w:val="es-ES_tradnl" w:eastAsia="ja-JP"/>
        </w:rPr>
        <w:instrText xml:space="preserve"> AUTONUM  </w:instrText>
      </w:r>
      <w:r w:rsidRPr="00E87AD2">
        <w:rPr>
          <w:rFonts w:eastAsia="MS Mincho" w:cs="Arial"/>
          <w:lang w:val="es-ES_tradnl" w:eastAsia="ja-JP"/>
        </w:rPr>
        <w:fldChar w:fldCharType="end"/>
      </w:r>
      <w:r w:rsidRPr="00E87AD2">
        <w:rPr>
          <w:rFonts w:eastAsia="MS Mincho" w:cs="Arial"/>
          <w:lang w:val="es-ES_tradnl" w:eastAsia="ja-JP"/>
        </w:rPr>
        <w:tab/>
        <w:t>En 2014 se suscribieron acuerdos de cooperación entre miembros de la Unión para el examen de la distinción, la homogeneidad y la estabilidad respecto de 2.005 géneros y especies vegetales, en comparación con la cifra de 1.997 géneros y especies vegetales correspondiente a 2013.</w:t>
      </w:r>
    </w:p>
    <w:p w:rsidR="00BB0664" w:rsidRPr="00E87AD2" w:rsidRDefault="00BB0664" w:rsidP="00C854D3">
      <w:pPr>
        <w:rPr>
          <w:lang w:val="es-ES_tradnl"/>
        </w:rPr>
      </w:pPr>
    </w:p>
    <w:p w:rsidR="00BB0664" w:rsidRPr="00E87AD2" w:rsidRDefault="00BB0664" w:rsidP="00C854D3">
      <w:pPr>
        <w:rPr>
          <w:lang w:val="es-ES_tradnl"/>
        </w:rPr>
      </w:pPr>
    </w:p>
    <w:p w:rsidR="00BB0664" w:rsidRPr="00E87AD2" w:rsidRDefault="00BB0664" w:rsidP="005854DE">
      <w:pPr>
        <w:pStyle w:val="Heading1"/>
      </w:pPr>
      <w:bookmarkStart w:id="17" w:name="_Toc413750064"/>
      <w:r w:rsidRPr="00E87AD2">
        <w:t>SITUACIÓN FINANCIERA</w:t>
      </w:r>
      <w:bookmarkEnd w:id="17"/>
    </w:p>
    <w:p w:rsidR="00BB0664" w:rsidRPr="00E87AD2" w:rsidRDefault="00BB0664" w:rsidP="00C854D3">
      <w:pPr>
        <w:rPr>
          <w:lang w:val="es-ES_tradnl"/>
        </w:rPr>
      </w:pPr>
    </w:p>
    <w:p w:rsidR="00BB0664" w:rsidRPr="00E87AD2" w:rsidRDefault="00BB0664" w:rsidP="00BB08EE">
      <w:pPr>
        <w:pStyle w:val="Heading2"/>
      </w:pPr>
      <w:bookmarkStart w:id="18" w:name="_Toc413750065"/>
      <w:r w:rsidRPr="00E87AD2">
        <w:t>Fondo para proyectos especiales</w:t>
      </w:r>
      <w:bookmarkEnd w:id="18"/>
    </w:p>
    <w:p w:rsidR="00BB0664" w:rsidRPr="00E87AD2" w:rsidRDefault="00BB0664" w:rsidP="00C854D3">
      <w:pPr>
        <w:rPr>
          <w:rFonts w:cs="Arial"/>
          <w:u w:val="single"/>
          <w:lang w:val="es-ES_tradnl"/>
        </w:rPr>
      </w:pPr>
    </w:p>
    <w:p w:rsidR="00BB0664" w:rsidRPr="00E87AD2" w:rsidRDefault="00BB0664" w:rsidP="00C854D3">
      <w:pPr>
        <w:rPr>
          <w:rFonts w:cs="Arial"/>
          <w:lang w:val="es-ES_tradnl"/>
        </w:rPr>
      </w:pPr>
      <w:r w:rsidRPr="00E87AD2">
        <w:rPr>
          <w:rFonts w:cs="Arial"/>
        </w:rPr>
        <w:fldChar w:fldCharType="begin"/>
      </w:r>
      <w:r w:rsidRPr="001D2D58">
        <w:rPr>
          <w:rFonts w:cs="Arial"/>
          <w:lang w:val="es-ES"/>
        </w:rPr>
        <w:instrText xml:space="preserve"> AUTONUM  </w:instrText>
      </w:r>
      <w:r w:rsidRPr="00E87AD2">
        <w:rPr>
          <w:rFonts w:cs="Arial"/>
        </w:rPr>
        <w:fldChar w:fldCharType="end"/>
      </w:r>
      <w:r w:rsidRPr="001D2D58">
        <w:rPr>
          <w:rFonts w:cs="Arial"/>
          <w:lang w:val="es-ES"/>
        </w:rPr>
        <w:tab/>
      </w:r>
      <w:r w:rsidRPr="00E87AD2">
        <w:rPr>
          <w:rFonts w:cs="Arial"/>
          <w:lang w:val="es-ES_tradnl"/>
        </w:rPr>
        <w:t>En su trigésima primera sesión extraordinaria, el Consejo decidió crear un fondo para proyectos especiales por importe del fondo de reserva que supere el 15% de los ingresos totales para el bienio 2012</w:t>
      </w:r>
      <w:r w:rsidRPr="00E87AD2">
        <w:rPr>
          <w:rFonts w:cs="Arial"/>
          <w:lang w:val="es-ES_tradnl"/>
        </w:rPr>
        <w:noBreakHyphen/>
        <w:t>2013.</w:t>
      </w:r>
      <w:r w:rsidRPr="001D2D58">
        <w:rPr>
          <w:rFonts w:cs="Arial"/>
          <w:lang w:val="es-ES"/>
        </w:rPr>
        <w:t xml:space="preserve">  </w:t>
      </w:r>
      <w:r w:rsidRPr="00E87AD2">
        <w:rPr>
          <w:rFonts w:cs="Arial"/>
          <w:lang w:val="es-ES_tradnl"/>
        </w:rPr>
        <w:t>En su cuadragésima octava sesión ordinaria, el Consejo decidió utilizar el fondo para proyectos especiales con fines de formación.</w:t>
      </w:r>
    </w:p>
    <w:p w:rsidR="00BB0664" w:rsidRPr="00E87AD2" w:rsidRDefault="00BB0664" w:rsidP="00C854D3">
      <w:pPr>
        <w:rPr>
          <w:lang w:val="es-ES_tradnl"/>
        </w:rPr>
      </w:pPr>
    </w:p>
    <w:p w:rsidR="00BB0664" w:rsidRPr="00E87AD2" w:rsidRDefault="00BB0664" w:rsidP="00C854D3">
      <w:pPr>
        <w:rPr>
          <w:spacing w:val="-2"/>
          <w:lang w:val="es-ES_tradnl"/>
        </w:rPr>
      </w:pPr>
    </w:p>
    <w:p w:rsidR="00BB0664" w:rsidRPr="00E87AD2" w:rsidRDefault="00BB0664" w:rsidP="005854DE">
      <w:pPr>
        <w:pStyle w:val="Heading1"/>
      </w:pPr>
      <w:bookmarkStart w:id="19" w:name="_Toc413750066"/>
      <w:r w:rsidRPr="00E87AD2">
        <w:t>PRESIDENCIA DE LOS ÓRGANOS DE LA UPOV</w:t>
      </w:r>
      <w:bookmarkEnd w:id="19"/>
    </w:p>
    <w:p w:rsidR="00BB0664" w:rsidRPr="00E87AD2" w:rsidRDefault="00BB0664" w:rsidP="00C854D3">
      <w:pPr>
        <w:rPr>
          <w:rFonts w:cs="Arial"/>
          <w:lang w:val="es-ES_tradnl"/>
        </w:rPr>
      </w:pPr>
    </w:p>
    <w:p w:rsidR="00BB0664" w:rsidRPr="001D2D58" w:rsidRDefault="00BB0664" w:rsidP="00C854D3">
      <w:pPr>
        <w:rPr>
          <w:szCs w:val="24"/>
          <w:lang w:val="es-ES"/>
        </w:rPr>
      </w:pPr>
      <w:r w:rsidRPr="00E87AD2">
        <w:rPr>
          <w:szCs w:val="24"/>
        </w:rPr>
        <w:fldChar w:fldCharType="begin"/>
      </w:r>
      <w:r w:rsidRPr="001D2D58">
        <w:rPr>
          <w:szCs w:val="24"/>
          <w:lang w:val="es-ES"/>
        </w:rPr>
        <w:instrText xml:space="preserve"> AUTONUM  </w:instrText>
      </w:r>
      <w:r w:rsidRPr="00E87AD2">
        <w:rPr>
          <w:szCs w:val="24"/>
        </w:rPr>
        <w:fldChar w:fldCharType="end"/>
      </w:r>
      <w:r w:rsidRPr="001D2D58">
        <w:rPr>
          <w:szCs w:val="24"/>
          <w:lang w:val="es-ES"/>
        </w:rPr>
        <w:tab/>
      </w:r>
      <w:r w:rsidRPr="00E87AD2">
        <w:rPr>
          <w:szCs w:val="24"/>
          <w:lang w:val="es-ES_tradnl"/>
        </w:rPr>
        <w:t>En su cuadragésima octava sesión ordinaria, el Consejo eligió a las personas siguientes, en cada caso por un mandato de tres años, que concluirá con la quincuagésima primera sesión ordinaria del Consejo en 2017:</w:t>
      </w:r>
    </w:p>
    <w:p w:rsidR="00BB0664" w:rsidRPr="001D2D58" w:rsidRDefault="00BB0664" w:rsidP="00C854D3">
      <w:pPr>
        <w:rPr>
          <w:szCs w:val="24"/>
          <w:lang w:val="es-ES"/>
        </w:rPr>
      </w:pPr>
    </w:p>
    <w:p w:rsidR="00BB0664" w:rsidRPr="00E87AD2" w:rsidRDefault="00BB0664" w:rsidP="00C854D3">
      <w:pPr>
        <w:ind w:left="1134" w:hanging="567"/>
        <w:rPr>
          <w:szCs w:val="24"/>
          <w:lang w:val="es-ES_tradnl"/>
        </w:rPr>
      </w:pPr>
      <w:r w:rsidRPr="00E87AD2">
        <w:rPr>
          <w:szCs w:val="24"/>
          <w:lang w:val="es-ES_tradnl"/>
        </w:rPr>
        <w:t>a)</w:t>
      </w:r>
      <w:r w:rsidRPr="00E87AD2">
        <w:rPr>
          <w:szCs w:val="24"/>
          <w:lang w:val="es-ES_tradnl"/>
        </w:rPr>
        <w:tab/>
        <w:t>S</w:t>
      </w:r>
      <w:r w:rsidRPr="00E87AD2">
        <w:rPr>
          <w:snapToGrid w:val="0"/>
          <w:lang w:val="es-ES_tradnl"/>
        </w:rPr>
        <w:t>r. Tanvir Hossain (Australia)</w:t>
      </w:r>
      <w:r w:rsidRPr="00E87AD2">
        <w:rPr>
          <w:szCs w:val="24"/>
          <w:lang w:val="es-ES_tradnl"/>
        </w:rPr>
        <w:t>, Presidente del Grupo de Trabajo Técnico sobre Plantas Agrícolas (TWA);</w:t>
      </w:r>
    </w:p>
    <w:p w:rsidR="00BB0664" w:rsidRPr="00E87AD2" w:rsidRDefault="00BB0664" w:rsidP="00C854D3">
      <w:pPr>
        <w:ind w:left="1134" w:hanging="567"/>
        <w:rPr>
          <w:szCs w:val="24"/>
          <w:lang w:val="es-ES_tradnl"/>
        </w:rPr>
      </w:pPr>
    </w:p>
    <w:p w:rsidR="00BB0664" w:rsidRPr="00E87AD2" w:rsidRDefault="00BB0664" w:rsidP="00C854D3">
      <w:pPr>
        <w:ind w:left="1134" w:hanging="567"/>
        <w:rPr>
          <w:szCs w:val="24"/>
          <w:lang w:val="es-ES_tradnl"/>
        </w:rPr>
      </w:pPr>
      <w:r w:rsidRPr="00E87AD2">
        <w:rPr>
          <w:szCs w:val="24"/>
          <w:lang w:val="es-ES_tradnl"/>
        </w:rPr>
        <w:lastRenderedPageBreak/>
        <w:t>b)</w:t>
      </w:r>
      <w:r w:rsidRPr="00E87AD2">
        <w:rPr>
          <w:szCs w:val="24"/>
          <w:lang w:val="es-ES_tradnl"/>
        </w:rPr>
        <w:tab/>
      </w:r>
      <w:r w:rsidRPr="00E87AD2">
        <w:rPr>
          <w:snapToGrid w:val="0"/>
          <w:lang w:val="es-ES_tradnl"/>
        </w:rPr>
        <w:t xml:space="preserve">Sr. Adrian Roberts </w:t>
      </w:r>
      <w:r w:rsidRPr="00E87AD2">
        <w:rPr>
          <w:szCs w:val="24"/>
          <w:lang w:val="es-ES_tradnl"/>
        </w:rPr>
        <w:t>(Reino Unido), Presidente del Grupo de Trabajo Técnico sobre Automatización y Programas Informáticos (TWC);</w:t>
      </w:r>
    </w:p>
    <w:p w:rsidR="00BB0664" w:rsidRPr="00E87AD2" w:rsidRDefault="00BB0664" w:rsidP="00C854D3">
      <w:pPr>
        <w:ind w:left="1134" w:hanging="567"/>
        <w:rPr>
          <w:szCs w:val="24"/>
          <w:lang w:val="es-ES_tradnl"/>
        </w:rPr>
      </w:pPr>
    </w:p>
    <w:p w:rsidR="00BB0664" w:rsidRPr="00E87AD2" w:rsidRDefault="00BB0664" w:rsidP="00C854D3">
      <w:pPr>
        <w:ind w:left="1134" w:hanging="567"/>
        <w:rPr>
          <w:szCs w:val="24"/>
          <w:lang w:val="es-ES_tradnl"/>
        </w:rPr>
      </w:pPr>
      <w:r w:rsidRPr="00E87AD2">
        <w:rPr>
          <w:szCs w:val="24"/>
          <w:lang w:val="es-ES_tradnl"/>
        </w:rPr>
        <w:t>c)</w:t>
      </w:r>
      <w:r w:rsidRPr="00E87AD2">
        <w:rPr>
          <w:szCs w:val="24"/>
          <w:lang w:val="es-ES_tradnl"/>
        </w:rPr>
        <w:tab/>
        <w:t>S</w:t>
      </w:r>
      <w:r w:rsidRPr="00E87AD2">
        <w:rPr>
          <w:snapToGrid w:val="0"/>
          <w:lang w:val="es-ES_tradnl"/>
        </w:rPr>
        <w:t>r. </w:t>
      </w:r>
      <w:proofErr w:type="spellStart"/>
      <w:r w:rsidRPr="00E87AD2">
        <w:rPr>
          <w:snapToGrid w:val="0"/>
          <w:lang w:val="es-ES_tradnl"/>
        </w:rPr>
        <w:t>Katsumi</w:t>
      </w:r>
      <w:proofErr w:type="spellEnd"/>
      <w:r w:rsidRPr="00E87AD2">
        <w:rPr>
          <w:snapToGrid w:val="0"/>
          <w:lang w:val="es-ES_tradnl"/>
        </w:rPr>
        <w:t xml:space="preserve"> Yamaguchi </w:t>
      </w:r>
      <w:r w:rsidR="00CF08BF">
        <w:rPr>
          <w:snapToGrid w:val="0"/>
          <w:lang w:val="es-ES_tradnl"/>
        </w:rPr>
        <w:t>(</w:t>
      </w:r>
      <w:r w:rsidRPr="00E87AD2">
        <w:rPr>
          <w:szCs w:val="24"/>
          <w:lang w:val="es-ES_tradnl"/>
        </w:rPr>
        <w:t>Japón), Presidente del Grupo de Trabajo Técnico sobre Plantas Frutales (TWF);</w:t>
      </w:r>
    </w:p>
    <w:p w:rsidR="00BB0664" w:rsidRPr="00E87AD2" w:rsidRDefault="00BB0664" w:rsidP="00C854D3">
      <w:pPr>
        <w:ind w:left="1134" w:hanging="567"/>
        <w:rPr>
          <w:szCs w:val="24"/>
          <w:lang w:val="es-ES_tradnl"/>
        </w:rPr>
      </w:pPr>
    </w:p>
    <w:p w:rsidR="00BB0664" w:rsidRPr="00E87AD2" w:rsidRDefault="00BB0664" w:rsidP="00C854D3">
      <w:pPr>
        <w:ind w:left="1134" w:hanging="567"/>
        <w:rPr>
          <w:szCs w:val="24"/>
          <w:lang w:val="es-ES_tradnl"/>
        </w:rPr>
      </w:pPr>
      <w:r w:rsidRPr="00E87AD2">
        <w:rPr>
          <w:szCs w:val="24"/>
          <w:lang w:val="es-ES_tradnl"/>
        </w:rPr>
        <w:t>d)</w:t>
      </w:r>
      <w:r w:rsidRPr="00E87AD2">
        <w:rPr>
          <w:szCs w:val="24"/>
          <w:lang w:val="es-ES_tradnl"/>
        </w:rPr>
        <w:tab/>
      </w:r>
      <w:r w:rsidRPr="00E87AD2">
        <w:rPr>
          <w:snapToGrid w:val="0"/>
          <w:lang w:val="es-ES_tradnl"/>
        </w:rPr>
        <w:t xml:space="preserve">Sr. Kenji Numaguchi </w:t>
      </w:r>
      <w:r w:rsidRPr="00E87AD2">
        <w:rPr>
          <w:szCs w:val="24"/>
          <w:lang w:val="es-ES_tradnl"/>
        </w:rPr>
        <w:t>(Japón), Presidente del Grupo de Trabajo Técnico sobre Plantas Ornamentales y Árboles Forestales (TWO);</w:t>
      </w:r>
    </w:p>
    <w:p w:rsidR="00BB0664" w:rsidRPr="00E87AD2" w:rsidRDefault="00BB0664" w:rsidP="00C854D3">
      <w:pPr>
        <w:ind w:left="1134" w:hanging="567"/>
        <w:rPr>
          <w:szCs w:val="24"/>
          <w:lang w:val="es-ES_tradnl"/>
        </w:rPr>
      </w:pPr>
    </w:p>
    <w:p w:rsidR="00BB0664" w:rsidRPr="00E87AD2" w:rsidRDefault="00BB0664" w:rsidP="00C854D3">
      <w:pPr>
        <w:ind w:left="1134" w:hanging="567"/>
        <w:rPr>
          <w:szCs w:val="24"/>
          <w:lang w:val="es-ES_tradnl"/>
        </w:rPr>
      </w:pPr>
      <w:r w:rsidRPr="00E87AD2">
        <w:rPr>
          <w:szCs w:val="24"/>
          <w:lang w:val="es-ES_tradnl"/>
        </w:rPr>
        <w:t>e)</w:t>
      </w:r>
      <w:r w:rsidRPr="00E87AD2">
        <w:rPr>
          <w:szCs w:val="24"/>
          <w:lang w:val="es-ES_tradnl"/>
        </w:rPr>
        <w:tab/>
        <w:t>Sra.</w:t>
      </w:r>
      <w:r w:rsidRPr="00E87AD2">
        <w:rPr>
          <w:snapToGrid w:val="0"/>
          <w:lang w:val="es-ES_tradnl"/>
        </w:rPr>
        <w:t xml:space="preserve"> Swenja Tams </w:t>
      </w:r>
      <w:r w:rsidRPr="00E87AD2">
        <w:rPr>
          <w:szCs w:val="24"/>
          <w:lang w:val="es-ES_tradnl"/>
        </w:rPr>
        <w:t>(Alemania)</w:t>
      </w:r>
      <w:r w:rsidRPr="00E87AD2">
        <w:rPr>
          <w:color w:val="000000"/>
          <w:szCs w:val="24"/>
          <w:lang w:val="es-ES_tradnl"/>
        </w:rPr>
        <w:t xml:space="preserve">, </w:t>
      </w:r>
      <w:r w:rsidRPr="00E87AD2">
        <w:rPr>
          <w:szCs w:val="24"/>
          <w:lang w:val="es-ES_tradnl"/>
        </w:rPr>
        <w:t>Presidenta del Grupo de Trabajo Técnico sobre Hortalizas (TWV);  y</w:t>
      </w:r>
    </w:p>
    <w:p w:rsidR="00BB0664" w:rsidRPr="00E87AD2" w:rsidRDefault="00BB0664" w:rsidP="00C854D3">
      <w:pPr>
        <w:ind w:left="1134" w:hanging="567"/>
        <w:rPr>
          <w:lang w:val="es-ES_tradnl"/>
        </w:rPr>
      </w:pPr>
    </w:p>
    <w:p w:rsidR="00BB0664" w:rsidRPr="00E87AD2" w:rsidRDefault="00BB0664" w:rsidP="00C854D3">
      <w:pPr>
        <w:ind w:left="1134" w:hanging="567"/>
        <w:rPr>
          <w:lang w:val="es-ES_tradnl"/>
        </w:rPr>
      </w:pPr>
      <w:r w:rsidRPr="00E87AD2">
        <w:rPr>
          <w:lang w:val="es-ES_tradnl"/>
        </w:rPr>
        <w:t>f)</w:t>
      </w:r>
      <w:r w:rsidRPr="00E87AD2">
        <w:rPr>
          <w:lang w:val="es-ES_tradnl"/>
        </w:rPr>
        <w:tab/>
        <w:t>Sr. Kees van Ettekoven (Países Bajos), Presidente del Grupo de Trabajo Técnico sobre Técnicas Bioquímicas y Moleculares, y Perfiles de ADN en particular (BMT).</w:t>
      </w:r>
    </w:p>
    <w:p w:rsidR="00BB0664" w:rsidRPr="00E87AD2" w:rsidRDefault="00BB0664" w:rsidP="00C854D3">
      <w:pPr>
        <w:rPr>
          <w:lang w:val="es-ES_tradnl"/>
        </w:rPr>
      </w:pPr>
    </w:p>
    <w:p w:rsidR="00BB0664" w:rsidRPr="00E87AD2" w:rsidRDefault="00BB0664" w:rsidP="00C854D3">
      <w:pPr>
        <w:rPr>
          <w:lang w:val="es-ES_tradnl"/>
        </w:rPr>
      </w:pPr>
    </w:p>
    <w:p w:rsidR="00BB0664" w:rsidRPr="00E87AD2" w:rsidRDefault="00BB0664" w:rsidP="005854DE">
      <w:pPr>
        <w:pStyle w:val="Heading1"/>
      </w:pPr>
      <w:bookmarkStart w:id="20" w:name="_Toc381174865"/>
      <w:bookmarkStart w:id="21" w:name="_Toc413750067"/>
      <w:r w:rsidRPr="00E87AD2">
        <w:t>COLECCIÓN DE LA UPOV</w:t>
      </w:r>
      <w:bookmarkEnd w:id="20"/>
      <w:bookmarkEnd w:id="21"/>
    </w:p>
    <w:p w:rsidR="00BB0664" w:rsidRPr="001D2D58" w:rsidRDefault="00BB0664" w:rsidP="00C854D3">
      <w:pPr>
        <w:rPr>
          <w:lang w:val="es-ES"/>
        </w:rPr>
      </w:pPr>
      <w:r w:rsidRPr="001D2D58">
        <w:rPr>
          <w:rFonts w:cs="Arial"/>
          <w:lang w:val="es-ES"/>
        </w:rPr>
        <w:t>(</w:t>
      </w:r>
      <w:r w:rsidRPr="00E87AD2">
        <w:rPr>
          <w:rFonts w:cs="Arial"/>
          <w:lang w:val="es-ES_tradnl"/>
        </w:rPr>
        <w:t>véase</w:t>
      </w:r>
      <w:r w:rsidRPr="001D2D58">
        <w:rPr>
          <w:rFonts w:cs="Arial"/>
          <w:lang w:val="es-ES"/>
        </w:rPr>
        <w:t xml:space="preserve"> </w:t>
      </w:r>
      <w:hyperlink r:id="rId10" w:history="1">
        <w:r w:rsidRPr="001D2D58">
          <w:rPr>
            <w:rStyle w:val="Hyperlink"/>
            <w:rFonts w:cs="Arial"/>
            <w:lang w:val="es-ES"/>
          </w:rPr>
          <w:t>http://www.upov.int/upov_collection/es/</w:t>
        </w:r>
      </w:hyperlink>
      <w:r w:rsidRPr="001D2D58">
        <w:rPr>
          <w:rFonts w:cs="Arial"/>
          <w:lang w:val="es-ES"/>
        </w:rPr>
        <w:t>)</w:t>
      </w:r>
    </w:p>
    <w:p w:rsidR="00BB0664" w:rsidRPr="001D2D58" w:rsidRDefault="00BB0664" w:rsidP="00C854D3">
      <w:pPr>
        <w:rPr>
          <w:lang w:val="es-ES"/>
        </w:rPr>
      </w:pPr>
    </w:p>
    <w:p w:rsidR="00BB0664" w:rsidRPr="001D2D58" w:rsidRDefault="00BB0664" w:rsidP="00C854D3">
      <w:pPr>
        <w:rPr>
          <w:lang w:val="es-ES"/>
        </w:rPr>
      </w:pPr>
      <w:r w:rsidRPr="00E87AD2">
        <w:rPr>
          <w:rFonts w:cs="Arial"/>
        </w:rPr>
        <w:fldChar w:fldCharType="begin"/>
      </w:r>
      <w:r w:rsidRPr="001D2D58">
        <w:rPr>
          <w:rFonts w:cs="Arial"/>
          <w:lang w:val="es-ES"/>
        </w:rPr>
        <w:instrText xml:space="preserve"> AUTONUM  </w:instrText>
      </w:r>
      <w:r w:rsidRPr="00E87AD2">
        <w:rPr>
          <w:rFonts w:cs="Arial"/>
        </w:rPr>
        <w:fldChar w:fldCharType="end"/>
      </w:r>
      <w:r w:rsidRPr="001D2D58">
        <w:rPr>
          <w:rFonts w:cs="Arial"/>
          <w:lang w:val="es-ES"/>
        </w:rPr>
        <w:tab/>
      </w:r>
      <w:r w:rsidRPr="00E87AD2">
        <w:rPr>
          <w:rFonts w:cs="Arial"/>
          <w:lang w:val="es-ES_tradnl"/>
        </w:rPr>
        <w:t>El Consejo aprobó los siguientes documentos en su cuadragésima octava sesión ordinaria:</w:t>
      </w:r>
    </w:p>
    <w:p w:rsidR="00BB0664" w:rsidRPr="001D2D58" w:rsidRDefault="00BB0664" w:rsidP="00C854D3">
      <w:pPr>
        <w:jc w:val="left"/>
        <w:rPr>
          <w:lang w:val="es-ES"/>
        </w:rPr>
      </w:pPr>
    </w:p>
    <w:p w:rsidR="00BB0664" w:rsidRPr="00E87AD2" w:rsidRDefault="00BB0664" w:rsidP="006265DF">
      <w:pPr>
        <w:pStyle w:val="ListParagraph"/>
        <w:numPr>
          <w:ilvl w:val="0"/>
          <w:numId w:val="11"/>
        </w:numPr>
        <w:tabs>
          <w:tab w:val="left" w:pos="709"/>
        </w:tabs>
        <w:autoSpaceDE w:val="0"/>
        <w:autoSpaceDN w:val="0"/>
        <w:adjustRightInd w:val="0"/>
        <w:spacing w:after="60"/>
        <w:ind w:left="2552" w:hanging="2268"/>
        <w:contextualSpacing w:val="0"/>
        <w:jc w:val="left"/>
        <w:rPr>
          <w:rFonts w:cs="Arial"/>
          <w:sz w:val="19"/>
          <w:szCs w:val="19"/>
          <w:lang w:val="es-ES_tradnl"/>
        </w:rPr>
      </w:pPr>
      <w:r w:rsidRPr="00E87AD2">
        <w:rPr>
          <w:rFonts w:cs="Arial"/>
          <w:sz w:val="19"/>
          <w:szCs w:val="19"/>
          <w:lang w:val="es-ES_tradnl"/>
        </w:rPr>
        <w:t xml:space="preserve">TGP/2/2 </w:t>
      </w:r>
      <w:r w:rsidRPr="00E87AD2">
        <w:rPr>
          <w:rFonts w:cs="Arial"/>
          <w:sz w:val="19"/>
          <w:szCs w:val="19"/>
          <w:lang w:val="es-ES_tradnl"/>
        </w:rPr>
        <w:tab/>
        <w:t>Lista de directrices de examen aprobadas por la UPOV (revisión)</w:t>
      </w:r>
    </w:p>
    <w:p w:rsidR="00BB0664" w:rsidRPr="00E87AD2" w:rsidRDefault="00BB0664" w:rsidP="006265DF">
      <w:pPr>
        <w:pStyle w:val="ListParagraph"/>
        <w:numPr>
          <w:ilvl w:val="0"/>
          <w:numId w:val="11"/>
        </w:numPr>
        <w:tabs>
          <w:tab w:val="left" w:pos="709"/>
        </w:tabs>
        <w:autoSpaceDE w:val="0"/>
        <w:autoSpaceDN w:val="0"/>
        <w:adjustRightInd w:val="0"/>
        <w:spacing w:after="60"/>
        <w:ind w:left="2552" w:hanging="2268"/>
        <w:contextualSpacing w:val="0"/>
        <w:jc w:val="left"/>
        <w:rPr>
          <w:rFonts w:cs="Arial"/>
          <w:sz w:val="19"/>
          <w:szCs w:val="19"/>
          <w:lang w:val="es-ES_tradnl"/>
        </w:rPr>
      </w:pPr>
      <w:r w:rsidRPr="00E87AD2">
        <w:rPr>
          <w:rFonts w:cs="Arial"/>
          <w:sz w:val="19"/>
          <w:szCs w:val="19"/>
          <w:lang w:val="es-ES_tradnl"/>
        </w:rPr>
        <w:t xml:space="preserve">TGP/5 </w:t>
      </w:r>
      <w:r w:rsidRPr="00E87AD2">
        <w:rPr>
          <w:rFonts w:cs="Arial"/>
          <w:sz w:val="19"/>
          <w:szCs w:val="19"/>
          <w:lang w:val="es-ES_tradnl"/>
        </w:rPr>
        <w:tab/>
        <w:t>Experiencia y cooperación en el examen DHE, sección 10/3: Notificación de caracteres y niveles de expresión adicionales (revisión)</w:t>
      </w:r>
    </w:p>
    <w:p w:rsidR="00BB0664" w:rsidRPr="00E87AD2" w:rsidRDefault="00BB0664" w:rsidP="006265DF">
      <w:pPr>
        <w:pStyle w:val="ListParagraph"/>
        <w:numPr>
          <w:ilvl w:val="0"/>
          <w:numId w:val="11"/>
        </w:numPr>
        <w:tabs>
          <w:tab w:val="left" w:pos="709"/>
        </w:tabs>
        <w:autoSpaceDE w:val="0"/>
        <w:autoSpaceDN w:val="0"/>
        <w:adjustRightInd w:val="0"/>
        <w:spacing w:after="60"/>
        <w:ind w:left="2552" w:hanging="2268"/>
        <w:contextualSpacing w:val="0"/>
        <w:jc w:val="left"/>
        <w:rPr>
          <w:rFonts w:cs="Arial"/>
          <w:sz w:val="19"/>
          <w:szCs w:val="19"/>
          <w:lang w:val="es-ES_tradnl"/>
        </w:rPr>
      </w:pPr>
      <w:r w:rsidRPr="00E87AD2">
        <w:rPr>
          <w:rFonts w:cs="Arial"/>
          <w:sz w:val="19"/>
          <w:szCs w:val="19"/>
          <w:lang w:val="es-ES_tradnl"/>
        </w:rPr>
        <w:t xml:space="preserve">TGP/7/4 </w:t>
      </w:r>
      <w:r w:rsidRPr="00E87AD2">
        <w:rPr>
          <w:rFonts w:cs="Arial"/>
          <w:sz w:val="19"/>
          <w:szCs w:val="19"/>
          <w:lang w:val="es-ES_tradnl"/>
        </w:rPr>
        <w:tab/>
        <w:t>Elaboración de las directrices de examen (revisión)</w:t>
      </w:r>
    </w:p>
    <w:p w:rsidR="00BB0664" w:rsidRPr="00E87AD2" w:rsidRDefault="00BB0664" w:rsidP="006265DF">
      <w:pPr>
        <w:pStyle w:val="ListParagraph"/>
        <w:numPr>
          <w:ilvl w:val="0"/>
          <w:numId w:val="11"/>
        </w:numPr>
        <w:tabs>
          <w:tab w:val="left" w:pos="709"/>
        </w:tabs>
        <w:autoSpaceDE w:val="0"/>
        <w:autoSpaceDN w:val="0"/>
        <w:adjustRightInd w:val="0"/>
        <w:spacing w:after="60"/>
        <w:ind w:left="2552" w:hanging="2268"/>
        <w:contextualSpacing w:val="0"/>
        <w:jc w:val="left"/>
        <w:rPr>
          <w:rFonts w:cs="Arial"/>
          <w:sz w:val="19"/>
          <w:szCs w:val="19"/>
          <w:lang w:val="es-ES_tradnl"/>
        </w:rPr>
      </w:pPr>
      <w:r w:rsidRPr="00E87AD2">
        <w:rPr>
          <w:rFonts w:cs="Arial"/>
          <w:sz w:val="19"/>
          <w:szCs w:val="19"/>
          <w:lang w:val="es-ES_tradnl"/>
        </w:rPr>
        <w:t xml:space="preserve">TGP/8/2 </w:t>
      </w:r>
      <w:r w:rsidRPr="00E87AD2">
        <w:rPr>
          <w:rFonts w:cs="Arial"/>
          <w:sz w:val="19"/>
          <w:szCs w:val="19"/>
          <w:lang w:val="es-ES_tradnl"/>
        </w:rPr>
        <w:tab/>
        <w:t>Diseño de ensayos y técnicas utilizados en el examen de la distinción, la homogeneidad y la estabilidad (revisión)</w:t>
      </w:r>
    </w:p>
    <w:p w:rsidR="00BB0664" w:rsidRPr="00E87AD2" w:rsidRDefault="00BB0664" w:rsidP="006265DF">
      <w:pPr>
        <w:pStyle w:val="ListParagraph"/>
        <w:numPr>
          <w:ilvl w:val="0"/>
          <w:numId w:val="11"/>
        </w:numPr>
        <w:tabs>
          <w:tab w:val="left" w:pos="709"/>
        </w:tabs>
        <w:autoSpaceDE w:val="0"/>
        <w:autoSpaceDN w:val="0"/>
        <w:adjustRightInd w:val="0"/>
        <w:spacing w:after="60"/>
        <w:ind w:left="2552" w:hanging="2268"/>
        <w:contextualSpacing w:val="0"/>
        <w:jc w:val="left"/>
        <w:rPr>
          <w:rFonts w:cs="Arial"/>
          <w:sz w:val="19"/>
          <w:szCs w:val="19"/>
          <w:lang w:val="es-ES_tradnl"/>
        </w:rPr>
      </w:pPr>
      <w:r w:rsidRPr="00E87AD2">
        <w:rPr>
          <w:rFonts w:cs="Arial"/>
          <w:sz w:val="19"/>
          <w:szCs w:val="19"/>
          <w:lang w:val="es-ES_tradnl"/>
        </w:rPr>
        <w:t xml:space="preserve">TGP/14/2 </w:t>
      </w:r>
      <w:r w:rsidRPr="00E87AD2">
        <w:rPr>
          <w:rFonts w:cs="Arial"/>
          <w:sz w:val="19"/>
          <w:szCs w:val="19"/>
          <w:lang w:val="es-ES_tradnl"/>
        </w:rPr>
        <w:tab/>
        <w:t>Glosario de términos utilizados en los documentos de la UPOV (corrección de la versión en español)</w:t>
      </w:r>
    </w:p>
    <w:p w:rsidR="00BB0664" w:rsidRPr="00E87AD2" w:rsidRDefault="00BB0664" w:rsidP="006265DF">
      <w:pPr>
        <w:pStyle w:val="ListParagraph"/>
        <w:numPr>
          <w:ilvl w:val="0"/>
          <w:numId w:val="11"/>
        </w:numPr>
        <w:tabs>
          <w:tab w:val="left" w:pos="709"/>
        </w:tabs>
        <w:autoSpaceDE w:val="0"/>
        <w:autoSpaceDN w:val="0"/>
        <w:adjustRightInd w:val="0"/>
        <w:spacing w:after="60"/>
        <w:ind w:left="2552" w:hanging="2268"/>
        <w:contextualSpacing w:val="0"/>
        <w:jc w:val="left"/>
        <w:rPr>
          <w:rFonts w:cs="Arial"/>
          <w:sz w:val="19"/>
          <w:szCs w:val="19"/>
          <w:lang w:val="es-ES_tradnl"/>
        </w:rPr>
      </w:pPr>
      <w:r w:rsidRPr="00E87AD2">
        <w:rPr>
          <w:rFonts w:cs="Arial"/>
          <w:sz w:val="19"/>
          <w:szCs w:val="19"/>
          <w:lang w:val="es-ES_tradnl"/>
        </w:rPr>
        <w:t xml:space="preserve">TGP/0/7 </w:t>
      </w:r>
      <w:r w:rsidRPr="00E87AD2">
        <w:rPr>
          <w:rFonts w:cs="Arial"/>
          <w:sz w:val="19"/>
          <w:szCs w:val="19"/>
          <w:lang w:val="es-ES_tradnl"/>
        </w:rPr>
        <w:tab/>
        <w:t>Lista de documentos TGP y fechas de última publicación (revisión)</w:t>
      </w:r>
    </w:p>
    <w:p w:rsidR="00BB0664" w:rsidRPr="00E87AD2" w:rsidRDefault="00BB0664" w:rsidP="006265DF">
      <w:pPr>
        <w:pStyle w:val="ListParagraph"/>
        <w:numPr>
          <w:ilvl w:val="0"/>
          <w:numId w:val="11"/>
        </w:numPr>
        <w:tabs>
          <w:tab w:val="left" w:pos="709"/>
        </w:tabs>
        <w:autoSpaceDE w:val="0"/>
        <w:autoSpaceDN w:val="0"/>
        <w:adjustRightInd w:val="0"/>
        <w:spacing w:after="60"/>
        <w:ind w:left="2552" w:hanging="2268"/>
        <w:contextualSpacing w:val="0"/>
        <w:jc w:val="left"/>
        <w:rPr>
          <w:rFonts w:cs="Arial"/>
          <w:sz w:val="19"/>
          <w:szCs w:val="19"/>
          <w:lang w:val="es-ES_tradnl"/>
        </w:rPr>
      </w:pPr>
      <w:r w:rsidRPr="00E87AD2">
        <w:rPr>
          <w:rFonts w:cs="Arial"/>
          <w:sz w:val="19"/>
          <w:szCs w:val="19"/>
          <w:lang w:val="es-ES_tradnl"/>
        </w:rPr>
        <w:t xml:space="preserve">UPOV/INF/16/4 </w:t>
      </w:r>
      <w:r w:rsidRPr="00E87AD2">
        <w:rPr>
          <w:rFonts w:cs="Arial"/>
          <w:sz w:val="19"/>
          <w:szCs w:val="19"/>
          <w:lang w:val="es-ES_tradnl"/>
        </w:rPr>
        <w:tab/>
        <w:t>Programas informáticos para intercambio (revisión)</w:t>
      </w:r>
    </w:p>
    <w:p w:rsidR="00BB0664" w:rsidRPr="00E87AD2" w:rsidRDefault="00BB0664" w:rsidP="006265DF">
      <w:pPr>
        <w:pStyle w:val="ListParagraph"/>
        <w:numPr>
          <w:ilvl w:val="0"/>
          <w:numId w:val="11"/>
        </w:numPr>
        <w:tabs>
          <w:tab w:val="left" w:pos="709"/>
        </w:tabs>
        <w:autoSpaceDE w:val="0"/>
        <w:autoSpaceDN w:val="0"/>
        <w:adjustRightInd w:val="0"/>
        <w:spacing w:after="60"/>
        <w:ind w:left="2552" w:hanging="2268"/>
        <w:contextualSpacing w:val="0"/>
        <w:jc w:val="left"/>
        <w:rPr>
          <w:rFonts w:cs="Arial"/>
          <w:sz w:val="19"/>
          <w:szCs w:val="19"/>
          <w:lang w:val="es-ES_tradnl"/>
        </w:rPr>
      </w:pPr>
      <w:r w:rsidRPr="00E87AD2">
        <w:rPr>
          <w:rFonts w:cs="Arial"/>
          <w:sz w:val="19"/>
          <w:szCs w:val="19"/>
          <w:lang w:val="es-ES_tradnl"/>
        </w:rPr>
        <w:t xml:space="preserve">UPOV/INF/22/1 </w:t>
      </w:r>
      <w:r w:rsidRPr="00E87AD2">
        <w:rPr>
          <w:rFonts w:cs="Arial"/>
          <w:sz w:val="19"/>
          <w:szCs w:val="19"/>
          <w:lang w:val="es-ES_tradnl"/>
        </w:rPr>
        <w:tab/>
        <w:t>Programas informáticos y equipos utilizados por los miembros de la Unión</w:t>
      </w:r>
    </w:p>
    <w:p w:rsidR="00BB0664" w:rsidRPr="00E87AD2" w:rsidRDefault="00BB0664" w:rsidP="006265DF">
      <w:pPr>
        <w:pStyle w:val="ListParagraph"/>
        <w:numPr>
          <w:ilvl w:val="0"/>
          <w:numId w:val="11"/>
        </w:numPr>
        <w:tabs>
          <w:tab w:val="left" w:pos="709"/>
        </w:tabs>
        <w:autoSpaceDE w:val="0"/>
        <w:autoSpaceDN w:val="0"/>
        <w:adjustRightInd w:val="0"/>
        <w:ind w:left="2552" w:hanging="2268"/>
        <w:jc w:val="left"/>
        <w:rPr>
          <w:rFonts w:cs="Arial"/>
          <w:sz w:val="19"/>
          <w:szCs w:val="19"/>
          <w:lang w:val="es-ES_tradnl"/>
        </w:rPr>
      </w:pPr>
      <w:r w:rsidRPr="00E87AD2">
        <w:rPr>
          <w:rFonts w:cs="Arial"/>
          <w:sz w:val="19"/>
          <w:szCs w:val="19"/>
          <w:lang w:val="es-ES_tradnl"/>
        </w:rPr>
        <w:t xml:space="preserve">UPOV/INF-EXN/6 </w:t>
      </w:r>
      <w:r w:rsidRPr="00E87AD2">
        <w:rPr>
          <w:rFonts w:cs="Arial"/>
          <w:sz w:val="19"/>
          <w:szCs w:val="19"/>
          <w:lang w:val="es-ES_tradnl"/>
        </w:rPr>
        <w:tab/>
        <w:t>Lista de documentos UPOV/INF-EXN y fechas de última publicación</w:t>
      </w:r>
    </w:p>
    <w:p w:rsidR="00BB0664" w:rsidRPr="00E87AD2" w:rsidRDefault="00BB0664" w:rsidP="00C854D3">
      <w:pPr>
        <w:autoSpaceDE w:val="0"/>
        <w:autoSpaceDN w:val="0"/>
        <w:adjustRightInd w:val="0"/>
        <w:jc w:val="left"/>
        <w:rPr>
          <w:rFonts w:cs="Arial"/>
          <w:sz w:val="19"/>
          <w:szCs w:val="19"/>
          <w:lang w:val="es-ES_tradnl"/>
        </w:rPr>
      </w:pPr>
    </w:p>
    <w:p w:rsidR="00BB0664" w:rsidRPr="001D2D58" w:rsidRDefault="00BB0664" w:rsidP="00C854D3">
      <w:pPr>
        <w:rPr>
          <w:rFonts w:cs="Arial"/>
          <w:lang w:val="es-ES"/>
        </w:rPr>
      </w:pPr>
      <w:r w:rsidRPr="00E87AD2">
        <w:rPr>
          <w:rFonts w:cs="Arial"/>
        </w:rPr>
        <w:fldChar w:fldCharType="begin"/>
      </w:r>
      <w:r w:rsidRPr="001D2D58">
        <w:rPr>
          <w:rFonts w:cs="Arial"/>
          <w:lang w:val="es-ES"/>
        </w:rPr>
        <w:instrText xml:space="preserve"> AUTONUM  </w:instrText>
      </w:r>
      <w:r w:rsidRPr="00E87AD2">
        <w:rPr>
          <w:rFonts w:cs="Arial"/>
        </w:rPr>
        <w:fldChar w:fldCharType="end"/>
      </w:r>
      <w:r w:rsidRPr="001D2D58">
        <w:rPr>
          <w:rFonts w:cs="Arial"/>
          <w:lang w:val="es-ES"/>
        </w:rPr>
        <w:tab/>
      </w:r>
      <w:r w:rsidRPr="00E87AD2">
        <w:rPr>
          <w:rFonts w:cs="Arial"/>
          <w:lang w:val="es-ES_tradnl"/>
        </w:rPr>
        <w:t>Todos los documentos aprobados han quedado incluidos en la Colección de la UPOV.</w:t>
      </w:r>
      <w:r w:rsidRPr="001D2D58">
        <w:rPr>
          <w:rFonts w:cs="Arial"/>
          <w:lang w:val="es-ES"/>
        </w:rPr>
        <w:t xml:space="preserve"> </w:t>
      </w:r>
    </w:p>
    <w:p w:rsidR="00BB0664" w:rsidRPr="001D2D58" w:rsidRDefault="00BB0664" w:rsidP="00C854D3">
      <w:pPr>
        <w:rPr>
          <w:lang w:val="es-ES"/>
        </w:rPr>
      </w:pPr>
    </w:p>
    <w:p w:rsidR="00BB0664" w:rsidRPr="00E87AD2" w:rsidRDefault="00BB0664" w:rsidP="00BB08EE">
      <w:pPr>
        <w:pStyle w:val="Heading2"/>
      </w:pPr>
      <w:bookmarkStart w:id="22" w:name="_Toc381174870"/>
    </w:p>
    <w:p w:rsidR="00BB0664" w:rsidRPr="00E87AD2" w:rsidRDefault="00BB0664" w:rsidP="00BB08EE">
      <w:pPr>
        <w:pStyle w:val="Heading2"/>
      </w:pPr>
      <w:bookmarkStart w:id="23" w:name="_Toc413750068"/>
      <w:bookmarkEnd w:id="22"/>
      <w:r w:rsidRPr="00E87AD2">
        <w:t>Programa para la elaboración de notas explicativas sobre el Convenio de la UPOV</w:t>
      </w:r>
      <w:bookmarkEnd w:id="23"/>
    </w:p>
    <w:p w:rsidR="00BB0664" w:rsidRPr="00E87AD2" w:rsidRDefault="00BB0664" w:rsidP="00BB08EE">
      <w:pPr>
        <w:pStyle w:val="Heading2"/>
      </w:pPr>
    </w:p>
    <w:p w:rsidR="00BB0664" w:rsidRPr="001D2D58" w:rsidRDefault="00BB0664" w:rsidP="00C854D3">
      <w:pPr>
        <w:rPr>
          <w:color w:val="000000"/>
          <w:lang w:val="es-ES"/>
        </w:rPr>
      </w:pPr>
      <w:r w:rsidRPr="00E87AD2">
        <w:rPr>
          <w:color w:val="000000"/>
        </w:rPr>
        <w:fldChar w:fldCharType="begin"/>
      </w:r>
      <w:r w:rsidRPr="001D2D58">
        <w:rPr>
          <w:color w:val="000000"/>
          <w:lang w:val="es-ES"/>
        </w:rPr>
        <w:instrText xml:space="preserve"> AUTONUM  </w:instrText>
      </w:r>
      <w:r w:rsidRPr="00E87AD2">
        <w:rPr>
          <w:color w:val="000000"/>
        </w:rPr>
        <w:fldChar w:fldCharType="end"/>
      </w:r>
      <w:r w:rsidRPr="001D2D58">
        <w:rPr>
          <w:color w:val="000000"/>
          <w:lang w:val="es-ES"/>
        </w:rPr>
        <w:tab/>
      </w:r>
      <w:r w:rsidRPr="00E87AD2">
        <w:rPr>
          <w:color w:val="000000"/>
          <w:lang w:val="es-ES_tradnl"/>
        </w:rPr>
        <w:t>El CAJ, en su septuagésima sesión, acordó que todos los asuntos sujetos a examen por el CAJ</w:t>
      </w:r>
      <w:r w:rsidRPr="00E87AD2">
        <w:rPr>
          <w:color w:val="000000"/>
          <w:lang w:val="es-ES_tradnl"/>
        </w:rPr>
        <w:noBreakHyphen/>
        <w:t>AG en su novena sesión deberían, después de esa sesión, ser examinados por el CAJ y que solo debería convocarse puntualmente al CAJ</w:t>
      </w:r>
      <w:r w:rsidRPr="00E87AD2">
        <w:rPr>
          <w:color w:val="000000"/>
          <w:lang w:val="es-ES_tradnl"/>
        </w:rPr>
        <w:noBreakHyphen/>
        <w:t>AG si el CAJ lo considerara apropiado.</w:t>
      </w:r>
      <w:r w:rsidRPr="001D2D58">
        <w:rPr>
          <w:color w:val="000000"/>
          <w:lang w:val="es-ES"/>
        </w:rPr>
        <w:t xml:space="preserve">  </w:t>
      </w:r>
    </w:p>
    <w:p w:rsidR="00BB0664" w:rsidRPr="001D2D58" w:rsidRDefault="00BB0664" w:rsidP="00C854D3">
      <w:pPr>
        <w:rPr>
          <w:color w:val="000000"/>
          <w:lang w:val="es-ES"/>
        </w:rPr>
      </w:pPr>
    </w:p>
    <w:p w:rsidR="00BB0664" w:rsidRPr="001D2D58" w:rsidRDefault="00BB0664" w:rsidP="00C854D3">
      <w:pPr>
        <w:rPr>
          <w:color w:val="000000"/>
          <w:lang w:val="es-ES"/>
        </w:rPr>
      </w:pPr>
      <w:r w:rsidRPr="00E87AD2">
        <w:rPr>
          <w:color w:val="000000"/>
        </w:rPr>
        <w:fldChar w:fldCharType="begin"/>
      </w:r>
      <w:r w:rsidRPr="001D2D58">
        <w:rPr>
          <w:color w:val="000000"/>
          <w:lang w:val="es-ES"/>
        </w:rPr>
        <w:instrText xml:space="preserve"> AUTONUM  </w:instrText>
      </w:r>
      <w:r w:rsidRPr="00E87AD2">
        <w:rPr>
          <w:color w:val="000000"/>
        </w:rPr>
        <w:fldChar w:fldCharType="end"/>
      </w:r>
      <w:r w:rsidRPr="001D2D58">
        <w:rPr>
          <w:color w:val="000000"/>
          <w:lang w:val="es-ES"/>
        </w:rPr>
        <w:tab/>
      </w:r>
      <w:r w:rsidRPr="00E87AD2">
        <w:rPr>
          <w:color w:val="000000"/>
          <w:lang w:val="es-ES_tradnl"/>
        </w:rPr>
        <w:t>Sobre esa base, el CAJ solicitó al CAJ</w:t>
      </w:r>
      <w:r w:rsidRPr="00E87AD2">
        <w:rPr>
          <w:color w:val="000000"/>
          <w:lang w:val="es-ES_tradnl"/>
        </w:rPr>
        <w:noBreakHyphen/>
        <w:t>AG, en su novena sesión, que señalase al CAJ los documentos que debería examinar el CAJ en su septuagésima primera sesión, en marzo de 2015.</w:t>
      </w:r>
    </w:p>
    <w:p w:rsidR="00BB0664" w:rsidRPr="001D2D58" w:rsidRDefault="00BB0664" w:rsidP="00C854D3">
      <w:pPr>
        <w:rPr>
          <w:color w:val="000000"/>
          <w:lang w:val="es-ES"/>
        </w:rPr>
      </w:pPr>
    </w:p>
    <w:p w:rsidR="00BB0664" w:rsidRPr="001D2D58" w:rsidRDefault="00BB0664" w:rsidP="00C854D3">
      <w:pPr>
        <w:tabs>
          <w:tab w:val="left" w:pos="567"/>
        </w:tabs>
        <w:rPr>
          <w:lang w:val="es-ES"/>
        </w:rPr>
      </w:pPr>
      <w:r w:rsidRPr="00E87AD2">
        <w:fldChar w:fldCharType="begin"/>
      </w:r>
      <w:r w:rsidRPr="001D2D58">
        <w:rPr>
          <w:lang w:val="es-ES"/>
        </w:rPr>
        <w:instrText xml:space="preserve"> AUTONUM  </w:instrText>
      </w:r>
      <w:r w:rsidRPr="00E87AD2">
        <w:fldChar w:fldCharType="end"/>
      </w:r>
      <w:r w:rsidRPr="001D2D58">
        <w:rPr>
          <w:lang w:val="es-ES"/>
        </w:rPr>
        <w:tab/>
      </w:r>
      <w:r w:rsidRPr="00E87AD2">
        <w:rPr>
          <w:lang w:val="es-ES_tradnl"/>
        </w:rPr>
        <w:t>A este respecto, el CAJ</w:t>
      </w:r>
      <w:r w:rsidRPr="00E87AD2">
        <w:rPr>
          <w:lang w:val="es-ES_tradnl"/>
        </w:rPr>
        <w:noBreakHyphen/>
        <w:t>AG proporcionó la siguiente información relativa a los puntos “Elaboración de material de información sobre el Convenio de la UPOV” y “Denominaciones de variedades” de la septuagésima primera sesión del CAJ:</w:t>
      </w:r>
      <w:r w:rsidRPr="001D2D58">
        <w:rPr>
          <w:lang w:val="es-ES"/>
        </w:rPr>
        <w:t xml:space="preserve"> </w:t>
      </w:r>
    </w:p>
    <w:p w:rsidR="00BB0664" w:rsidRPr="001D2D58" w:rsidRDefault="00BB0664" w:rsidP="00C854D3">
      <w:pPr>
        <w:tabs>
          <w:tab w:val="left" w:pos="567"/>
        </w:tabs>
        <w:rPr>
          <w:lang w:val="es-ES"/>
        </w:rPr>
      </w:pPr>
    </w:p>
    <w:p w:rsidR="00BB0664" w:rsidRPr="00E87AD2" w:rsidRDefault="00BB0664" w:rsidP="00C854D3">
      <w:pPr>
        <w:tabs>
          <w:tab w:val="left" w:pos="567"/>
        </w:tabs>
        <w:ind w:left="1134" w:right="567" w:hanging="567"/>
        <w:rPr>
          <w:i/>
          <w:kern w:val="28"/>
          <w:lang w:val="es-ES_tradnl"/>
        </w:rPr>
      </w:pPr>
      <w:r w:rsidRPr="00E87AD2">
        <w:rPr>
          <w:i/>
          <w:kern w:val="28"/>
          <w:lang w:val="es-ES_tradnl"/>
        </w:rPr>
        <w:t xml:space="preserve">Elaboración de material de información sobre el Convenio de la UPOV </w:t>
      </w:r>
    </w:p>
    <w:p w:rsidR="00BB0664" w:rsidRPr="00E87AD2" w:rsidRDefault="00BB0664" w:rsidP="00C854D3">
      <w:pPr>
        <w:ind w:left="1134" w:right="567" w:hanging="567"/>
        <w:rPr>
          <w:lang w:val="es-ES_tradnl"/>
        </w:rPr>
      </w:pPr>
    </w:p>
    <w:p w:rsidR="00BB0664" w:rsidRPr="00E87AD2" w:rsidRDefault="00BB0664" w:rsidP="00C854D3">
      <w:pPr>
        <w:ind w:left="1701" w:right="567" w:hanging="567"/>
        <w:rPr>
          <w:lang w:val="es-ES_tradnl"/>
        </w:rPr>
      </w:pPr>
      <w:r w:rsidRPr="00E87AD2">
        <w:rPr>
          <w:lang w:val="es-ES_tradnl"/>
        </w:rPr>
        <w:t>a)</w:t>
      </w:r>
      <w:r w:rsidRPr="00E87AD2">
        <w:rPr>
          <w:lang w:val="es-ES_tradnl"/>
        </w:rPr>
        <w:tab/>
        <w:t>Notas explicativas sobre las variedades esencialmente derivadas con arreglo al Acta de 1991 del Convenio de la UPOV (Revisión) (documento CAJ/71/2: se propone una manera de proceder, con vistas a debatir en el CAJ un nuevo proyecto del documento UPOV/EXN/EDV/2 en octubre de 2015)</w:t>
      </w:r>
    </w:p>
    <w:p w:rsidR="00BB0664" w:rsidRPr="00E87AD2" w:rsidRDefault="00BB0664" w:rsidP="00C854D3">
      <w:pPr>
        <w:ind w:left="1134" w:right="567" w:hanging="567"/>
        <w:rPr>
          <w:lang w:val="es-ES_tradnl"/>
        </w:rPr>
      </w:pPr>
    </w:p>
    <w:p w:rsidR="00BB0664" w:rsidRPr="001D2D58" w:rsidRDefault="00BB0664" w:rsidP="00C854D3">
      <w:pPr>
        <w:ind w:left="1701" w:right="567" w:hanging="567"/>
        <w:rPr>
          <w:lang w:val="es-ES"/>
        </w:rPr>
      </w:pPr>
      <w:r w:rsidRPr="001D2D58">
        <w:rPr>
          <w:lang w:val="es-ES"/>
        </w:rPr>
        <w:t>b)</w:t>
      </w:r>
      <w:r w:rsidRPr="001D2D58">
        <w:rPr>
          <w:lang w:val="es-ES"/>
        </w:rPr>
        <w:tab/>
      </w:r>
      <w:r w:rsidRPr="00E87AD2">
        <w:rPr>
          <w:lang w:val="es-ES_tradnl"/>
        </w:rPr>
        <w:t>Notas explicativas sobre el material de reproducción o multiplicación con arreglo al Acta de 1991 del Convenio de la UPOV (documento UPOV/EXN/PPM/1 Draft 4)</w:t>
      </w:r>
    </w:p>
    <w:p w:rsidR="00BB0664" w:rsidRPr="001D2D58" w:rsidRDefault="00BB0664" w:rsidP="00C854D3">
      <w:pPr>
        <w:ind w:left="1701" w:right="567" w:hanging="567"/>
        <w:rPr>
          <w:lang w:val="es-ES"/>
        </w:rPr>
      </w:pPr>
    </w:p>
    <w:p w:rsidR="00BB0664" w:rsidRPr="00E87AD2" w:rsidRDefault="00BB0664" w:rsidP="00C854D3">
      <w:pPr>
        <w:ind w:left="1701" w:right="567" w:hanging="567"/>
        <w:rPr>
          <w:kern w:val="28"/>
          <w:lang w:val="es-ES_tradnl"/>
        </w:rPr>
      </w:pPr>
      <w:r w:rsidRPr="00E87AD2">
        <w:rPr>
          <w:lang w:val="es-ES_tradnl"/>
        </w:rPr>
        <w:lastRenderedPageBreak/>
        <w:t>c)</w:t>
      </w:r>
      <w:r w:rsidRPr="00E87AD2">
        <w:rPr>
          <w:lang w:val="es-ES_tradnl"/>
        </w:rPr>
        <w:tab/>
      </w:r>
      <w:r w:rsidRPr="00E87AD2">
        <w:rPr>
          <w:kern w:val="28"/>
          <w:lang w:val="es-ES_tradnl"/>
        </w:rPr>
        <w:t>Notas explicativas sobre los actos respecto del producto de la cosecha con arreglo al Acta de 1991 del Convenio de la UPOV (revisión) (documento CAJ/71/2: propuesta del CAJ-AG de interrumpir la elaboración de una revisión del documento UPOV/EXN/HRV/1)</w:t>
      </w:r>
    </w:p>
    <w:p w:rsidR="00BB0664" w:rsidRPr="00E87AD2" w:rsidRDefault="00BB0664" w:rsidP="00C854D3">
      <w:pPr>
        <w:ind w:left="1701" w:right="567" w:hanging="567"/>
        <w:rPr>
          <w:kern w:val="28"/>
          <w:lang w:val="es-ES_tradnl"/>
        </w:rPr>
      </w:pPr>
    </w:p>
    <w:p w:rsidR="00BB0664" w:rsidRPr="00E87AD2" w:rsidRDefault="00BB0664" w:rsidP="00C854D3">
      <w:pPr>
        <w:ind w:left="1701" w:right="567" w:hanging="567"/>
        <w:rPr>
          <w:lang w:val="es-ES_tradnl"/>
        </w:rPr>
      </w:pPr>
      <w:r w:rsidRPr="00E87AD2">
        <w:rPr>
          <w:kern w:val="28"/>
          <w:lang w:val="es-ES_tradnl"/>
        </w:rPr>
        <w:t>d)</w:t>
      </w:r>
      <w:r w:rsidRPr="00E87AD2">
        <w:rPr>
          <w:kern w:val="28"/>
          <w:lang w:val="es-ES_tradnl"/>
        </w:rPr>
        <w:tab/>
      </w:r>
      <w:r w:rsidRPr="00E87AD2">
        <w:rPr>
          <w:lang w:val="es-ES_tradnl"/>
        </w:rPr>
        <w:t>Notas explicativas sobre la caducidad del derecho de obtentor con arreglo al Convenio de la UPOV (revisión) (documento UPOV/EXN/CAN/2 Draft 3)</w:t>
      </w:r>
    </w:p>
    <w:p w:rsidR="00BB0664" w:rsidRPr="00E87AD2" w:rsidRDefault="00BB0664" w:rsidP="00C854D3">
      <w:pPr>
        <w:ind w:left="1701" w:right="567" w:hanging="567"/>
        <w:rPr>
          <w:lang w:val="es-ES_tradnl"/>
        </w:rPr>
      </w:pPr>
    </w:p>
    <w:p w:rsidR="00BB0664" w:rsidRPr="00E87AD2" w:rsidRDefault="00BB0664" w:rsidP="00C854D3">
      <w:pPr>
        <w:ind w:left="1701" w:right="567" w:hanging="567"/>
        <w:rPr>
          <w:lang w:val="es-ES_tradnl"/>
        </w:rPr>
      </w:pPr>
      <w:r w:rsidRPr="00E87AD2">
        <w:rPr>
          <w:lang w:val="es-ES_tradnl"/>
        </w:rPr>
        <w:t>e)</w:t>
      </w:r>
      <w:r w:rsidRPr="00E87AD2">
        <w:rPr>
          <w:lang w:val="es-ES_tradnl"/>
        </w:rPr>
        <w:tab/>
        <w:t>Notas explicativas sobre la nulidad del derecho de obtentor con arreglo al Convenio de la UPOV (revisión) (documento UPOV/EXN/NUL/2 Draft 3)</w:t>
      </w:r>
    </w:p>
    <w:p w:rsidR="00BB0664" w:rsidRPr="00E87AD2" w:rsidRDefault="00BB0664" w:rsidP="00C854D3">
      <w:pPr>
        <w:ind w:left="1701" w:right="567" w:hanging="567"/>
        <w:rPr>
          <w:lang w:val="es-ES_tradnl"/>
        </w:rPr>
      </w:pPr>
    </w:p>
    <w:p w:rsidR="00BB0664" w:rsidRPr="00E87AD2" w:rsidRDefault="00BB0664" w:rsidP="00C854D3">
      <w:pPr>
        <w:ind w:left="1701" w:right="567" w:hanging="567"/>
        <w:rPr>
          <w:kern w:val="28"/>
          <w:lang w:val="es-ES_tradnl"/>
        </w:rPr>
      </w:pPr>
      <w:r w:rsidRPr="00E87AD2">
        <w:rPr>
          <w:lang w:val="es-ES_tradnl"/>
        </w:rPr>
        <w:t>f)</w:t>
      </w:r>
      <w:r w:rsidRPr="00E87AD2">
        <w:rPr>
          <w:lang w:val="es-ES_tradnl"/>
        </w:rPr>
        <w:tab/>
      </w:r>
      <w:r w:rsidRPr="00E87AD2">
        <w:rPr>
          <w:kern w:val="28"/>
          <w:lang w:val="es-ES_tradnl"/>
        </w:rPr>
        <w:t>Asuntos relativos a las descripciones de variedades (documento CAJ/71/2: se presentará la conclusión del CAJ-AG)</w:t>
      </w:r>
    </w:p>
    <w:p w:rsidR="00BB0664" w:rsidRPr="00E87AD2" w:rsidRDefault="00BB0664" w:rsidP="00C854D3">
      <w:pPr>
        <w:ind w:left="1701" w:right="567" w:hanging="567"/>
        <w:rPr>
          <w:kern w:val="28"/>
          <w:lang w:val="es-ES_tradnl"/>
        </w:rPr>
      </w:pPr>
    </w:p>
    <w:p w:rsidR="00BB0664" w:rsidRPr="00E87AD2" w:rsidRDefault="00BB0664" w:rsidP="00C854D3">
      <w:pPr>
        <w:ind w:left="1701" w:right="567" w:hanging="567"/>
        <w:rPr>
          <w:lang w:val="es-ES_tradnl"/>
        </w:rPr>
      </w:pPr>
      <w:r w:rsidRPr="00E87AD2">
        <w:rPr>
          <w:kern w:val="28"/>
          <w:lang w:val="es-ES_tradnl"/>
        </w:rPr>
        <w:t>g)</w:t>
      </w:r>
      <w:r w:rsidRPr="00E87AD2">
        <w:rPr>
          <w:kern w:val="28"/>
          <w:lang w:val="es-ES_tradnl"/>
        </w:rPr>
        <w:tab/>
      </w:r>
      <w:r w:rsidRPr="00E87AD2">
        <w:rPr>
          <w:lang w:val="es-ES_tradnl"/>
        </w:rPr>
        <w:t>Notas explicativas sobre la protección provisional con arreglo al Convenio de la UPOV (revisión) (documento UPOV/EXN/PRP/2 Draft 3)</w:t>
      </w:r>
    </w:p>
    <w:p w:rsidR="00BB0664" w:rsidRPr="00E87AD2" w:rsidRDefault="00BB0664" w:rsidP="006265DF">
      <w:pPr>
        <w:ind w:right="567"/>
        <w:rPr>
          <w:kern w:val="28"/>
          <w:lang w:val="es-ES_tradnl"/>
        </w:rPr>
      </w:pPr>
    </w:p>
    <w:p w:rsidR="00BB0664" w:rsidRPr="00E87AD2" w:rsidRDefault="00BB0664" w:rsidP="00061704">
      <w:pPr>
        <w:ind w:left="1134" w:right="567" w:hanging="567"/>
        <w:rPr>
          <w:i/>
          <w:kern w:val="28"/>
          <w:lang w:val="es-ES_tradnl"/>
        </w:rPr>
      </w:pPr>
      <w:r w:rsidRPr="00E87AD2">
        <w:rPr>
          <w:i/>
          <w:kern w:val="28"/>
          <w:lang w:val="es-ES_tradnl"/>
        </w:rPr>
        <w:t>Denominaciones de variedades</w:t>
      </w:r>
    </w:p>
    <w:p w:rsidR="00BB0664" w:rsidRPr="00E87AD2" w:rsidRDefault="00BB0664" w:rsidP="006265DF">
      <w:pPr>
        <w:ind w:right="567"/>
        <w:rPr>
          <w:kern w:val="28"/>
          <w:lang w:val="es-ES_tradnl"/>
        </w:rPr>
      </w:pPr>
    </w:p>
    <w:p w:rsidR="00BB0664" w:rsidRPr="00E87AD2" w:rsidRDefault="00BB0664" w:rsidP="00C854D3">
      <w:pPr>
        <w:ind w:left="1134" w:right="567"/>
        <w:rPr>
          <w:lang w:val="es-ES_tradnl"/>
        </w:rPr>
      </w:pPr>
      <w:r w:rsidRPr="00E87AD2">
        <w:rPr>
          <w:lang w:val="es-ES_tradnl"/>
        </w:rPr>
        <w:t>Notas explicativas sobre las denominaciones de variedades con arreglo al Convenio de la UPOV (revisión) (se invitará al CAJ a que examine un plan relativo a la revisión del documento UPOV/INF/12/5)</w:t>
      </w:r>
    </w:p>
    <w:p w:rsidR="00BB0664" w:rsidRPr="00E87AD2" w:rsidRDefault="00BB0664" w:rsidP="00C854D3">
      <w:pPr>
        <w:ind w:left="567" w:hanging="567"/>
        <w:rPr>
          <w:lang w:val="es-ES_tradnl"/>
        </w:rPr>
      </w:pPr>
    </w:p>
    <w:p w:rsidR="00BB0664" w:rsidRPr="00E87AD2" w:rsidRDefault="00BB0664" w:rsidP="00C854D3">
      <w:pPr>
        <w:rPr>
          <w:lang w:val="es-ES_tradnl"/>
        </w:rPr>
      </w:pPr>
    </w:p>
    <w:p w:rsidR="00BB0664" w:rsidRPr="001D2D58" w:rsidRDefault="00BB0664" w:rsidP="00C854D3">
      <w:pPr>
        <w:rPr>
          <w:color w:val="000000"/>
          <w:lang w:val="es-ES"/>
        </w:rPr>
      </w:pPr>
      <w:r w:rsidRPr="00E87AD2">
        <w:fldChar w:fldCharType="begin"/>
      </w:r>
      <w:r w:rsidRPr="001D2D58">
        <w:rPr>
          <w:lang w:val="es-ES"/>
        </w:rPr>
        <w:instrText xml:space="preserve"> AUTONUM  </w:instrText>
      </w:r>
      <w:r w:rsidRPr="00E87AD2">
        <w:fldChar w:fldCharType="end"/>
      </w:r>
      <w:r w:rsidRPr="001D2D58">
        <w:rPr>
          <w:lang w:val="es-ES"/>
        </w:rPr>
        <w:tab/>
      </w:r>
      <w:r w:rsidRPr="00E87AD2">
        <w:rPr>
          <w:lang w:val="es-ES_tradnl"/>
        </w:rPr>
        <w:t xml:space="preserve">El </w:t>
      </w:r>
      <w:r w:rsidRPr="00E87AD2">
        <w:rPr>
          <w:color w:val="000000"/>
          <w:lang w:val="es-ES_tradnl"/>
        </w:rPr>
        <w:t xml:space="preserve">programa para la elaboración de material de información, que se someterá al examen del </w:t>
      </w:r>
      <w:r w:rsidRPr="00E87AD2">
        <w:rPr>
          <w:lang w:val="es-ES_tradnl"/>
        </w:rPr>
        <w:t xml:space="preserve">CAJ en su septuagésima </w:t>
      </w:r>
      <w:r w:rsidRPr="00E87AD2">
        <w:rPr>
          <w:color w:val="000000"/>
          <w:lang w:val="es-ES_tradnl"/>
        </w:rPr>
        <w:t>primera sesión, que se celebrará en Ginebra el 26 de marzo de 2015, contiene las siguientes propuestas:</w:t>
      </w:r>
    </w:p>
    <w:p w:rsidR="00BB0664" w:rsidRPr="001D2D58" w:rsidRDefault="00BB0664" w:rsidP="00C854D3">
      <w:pPr>
        <w:rPr>
          <w:color w:val="000000"/>
          <w:lang w:val="es-ES"/>
        </w:rPr>
      </w:pPr>
    </w:p>
    <w:p w:rsidR="00BB0664" w:rsidRPr="00E87AD2" w:rsidRDefault="00BB0664" w:rsidP="00C854D3">
      <w:pPr>
        <w:jc w:val="left"/>
        <w:rPr>
          <w:i/>
        </w:rPr>
      </w:pPr>
      <w:r w:rsidRPr="00E87AD2">
        <w:rPr>
          <w:i/>
          <w:lang w:val="es-ES_tradnl"/>
        </w:rPr>
        <w:t>Notas explicativas</w:t>
      </w:r>
    </w:p>
    <w:p w:rsidR="00BB0664" w:rsidRPr="00E87AD2" w:rsidRDefault="00BB0664" w:rsidP="00C854D3">
      <w:pPr>
        <w:jc w:val="left"/>
        <w:rPr>
          <w:sz w:val="16"/>
          <w:szCs w:val="16"/>
        </w:rPr>
      </w:pPr>
    </w:p>
    <w:tbl>
      <w:tblPr>
        <w:tblW w:w="1037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85" w:type="dxa"/>
          <w:left w:w="85" w:type="dxa"/>
          <w:bottom w:w="28" w:type="dxa"/>
          <w:right w:w="85" w:type="dxa"/>
        </w:tblCellMar>
        <w:tblLook w:val="0000" w:firstRow="0" w:lastRow="0" w:firstColumn="0" w:lastColumn="0" w:noHBand="0" w:noVBand="0"/>
      </w:tblPr>
      <w:tblGrid>
        <w:gridCol w:w="1741"/>
        <w:gridCol w:w="4717"/>
        <w:gridCol w:w="3912"/>
      </w:tblGrid>
      <w:tr w:rsidR="00BB0664" w:rsidRPr="00E87AD2" w:rsidTr="00211419">
        <w:trPr>
          <w:cantSplit/>
          <w:jc w:val="center"/>
        </w:trPr>
        <w:tc>
          <w:tcPr>
            <w:tcW w:w="1741" w:type="dxa"/>
            <w:shd w:val="clear" w:color="auto" w:fill="D9D9D9"/>
          </w:tcPr>
          <w:p w:rsidR="00BB0664" w:rsidRPr="00E87AD2" w:rsidRDefault="00BB0664" w:rsidP="000B7043">
            <w:pPr>
              <w:jc w:val="left"/>
              <w:rPr>
                <w:rFonts w:cs="Arial"/>
                <w:sz w:val="18"/>
                <w:szCs w:val="18"/>
              </w:rPr>
            </w:pPr>
            <w:r w:rsidRPr="00E87AD2">
              <w:rPr>
                <w:rFonts w:cs="Arial"/>
                <w:sz w:val="18"/>
                <w:szCs w:val="18"/>
                <w:lang w:val="es-ES_tradnl"/>
              </w:rPr>
              <w:t>Bibliografía</w:t>
            </w:r>
          </w:p>
        </w:tc>
        <w:tc>
          <w:tcPr>
            <w:tcW w:w="4717" w:type="dxa"/>
            <w:shd w:val="clear" w:color="auto" w:fill="D9D9D9"/>
          </w:tcPr>
          <w:p w:rsidR="00BB0664" w:rsidRPr="00E87AD2" w:rsidRDefault="00BB0664" w:rsidP="000B7043">
            <w:pPr>
              <w:jc w:val="left"/>
              <w:rPr>
                <w:rFonts w:cs="Arial"/>
                <w:sz w:val="18"/>
                <w:szCs w:val="18"/>
              </w:rPr>
            </w:pPr>
            <w:r w:rsidRPr="00E87AD2">
              <w:rPr>
                <w:rFonts w:cs="Arial"/>
                <w:sz w:val="18"/>
                <w:szCs w:val="18"/>
                <w:lang w:val="es-ES_tradnl"/>
              </w:rPr>
              <w:t>Notas explicativas sobre:</w:t>
            </w:r>
          </w:p>
        </w:tc>
        <w:tc>
          <w:tcPr>
            <w:tcW w:w="3912" w:type="dxa"/>
            <w:shd w:val="clear" w:color="auto" w:fill="D9D9D9"/>
          </w:tcPr>
          <w:p w:rsidR="00BB0664" w:rsidRPr="00E87AD2" w:rsidRDefault="00BB0664" w:rsidP="000B7043">
            <w:pPr>
              <w:jc w:val="left"/>
              <w:rPr>
                <w:rFonts w:cs="Arial"/>
                <w:sz w:val="18"/>
                <w:szCs w:val="18"/>
              </w:rPr>
            </w:pPr>
            <w:r w:rsidRPr="00E87AD2">
              <w:rPr>
                <w:rFonts w:cs="Arial"/>
                <w:sz w:val="18"/>
                <w:szCs w:val="18"/>
                <w:lang w:val="es-ES_tradnl"/>
              </w:rPr>
              <w:t>Situación</w:t>
            </w:r>
          </w:p>
        </w:tc>
      </w:tr>
      <w:tr w:rsidR="00BB0664" w:rsidRPr="000B72C7" w:rsidTr="00211419">
        <w:trPr>
          <w:cantSplit/>
          <w:jc w:val="center"/>
        </w:trPr>
        <w:tc>
          <w:tcPr>
            <w:tcW w:w="1741" w:type="dxa"/>
          </w:tcPr>
          <w:p w:rsidR="00BB0664" w:rsidRPr="00E87AD2" w:rsidRDefault="00BB0664" w:rsidP="000B7043">
            <w:pPr>
              <w:jc w:val="left"/>
              <w:rPr>
                <w:rFonts w:cs="Arial"/>
                <w:sz w:val="18"/>
                <w:szCs w:val="18"/>
              </w:rPr>
            </w:pPr>
            <w:r w:rsidRPr="00E87AD2">
              <w:rPr>
                <w:rFonts w:cs="Arial"/>
                <w:sz w:val="18"/>
                <w:szCs w:val="18"/>
                <w:lang w:val="es-ES_tradnl"/>
              </w:rPr>
              <w:t>UPOV/EXN/CAN</w:t>
            </w:r>
          </w:p>
        </w:tc>
        <w:tc>
          <w:tcPr>
            <w:tcW w:w="4717" w:type="dxa"/>
          </w:tcPr>
          <w:p w:rsidR="00BB0664" w:rsidRPr="00E87AD2" w:rsidRDefault="00BB0664" w:rsidP="000B7043">
            <w:pPr>
              <w:jc w:val="left"/>
              <w:rPr>
                <w:rFonts w:cs="Arial"/>
                <w:sz w:val="18"/>
                <w:szCs w:val="18"/>
                <w:lang w:val="es-ES_tradnl"/>
              </w:rPr>
            </w:pPr>
            <w:r w:rsidRPr="00E87AD2">
              <w:rPr>
                <w:rFonts w:cs="Arial"/>
                <w:sz w:val="18"/>
                <w:szCs w:val="18"/>
                <w:lang w:val="es-ES_tradnl"/>
              </w:rPr>
              <w:t>Caducidad del derecho de obtentor con arreglo al Convenio de la UPOV</w:t>
            </w:r>
          </w:p>
        </w:tc>
        <w:tc>
          <w:tcPr>
            <w:tcW w:w="3912" w:type="dxa"/>
          </w:tcPr>
          <w:p w:rsidR="00BB0664" w:rsidRPr="001D2D58" w:rsidRDefault="00BB0664" w:rsidP="00C854D3">
            <w:pPr>
              <w:jc w:val="left"/>
              <w:rPr>
                <w:rFonts w:cs="Arial"/>
                <w:sz w:val="18"/>
                <w:szCs w:val="18"/>
                <w:lang w:val="es-ES"/>
              </w:rPr>
            </w:pPr>
            <w:r w:rsidRPr="00E87AD2">
              <w:rPr>
                <w:rFonts w:cs="Arial"/>
                <w:spacing w:val="-2"/>
                <w:sz w:val="18"/>
                <w:szCs w:val="18"/>
                <w:lang w:val="es-ES_tradnl"/>
              </w:rPr>
              <w:t>El CAJ examinará el documento UPOV/EXN/CAN/2 Draft 3 en marzo de 2015</w:t>
            </w:r>
          </w:p>
        </w:tc>
      </w:tr>
      <w:tr w:rsidR="00BB0664" w:rsidRPr="000B72C7" w:rsidTr="00211419">
        <w:trPr>
          <w:cantSplit/>
          <w:jc w:val="center"/>
        </w:trPr>
        <w:tc>
          <w:tcPr>
            <w:tcW w:w="1741" w:type="dxa"/>
          </w:tcPr>
          <w:p w:rsidR="00BB0664" w:rsidRPr="00E87AD2" w:rsidRDefault="00BB0664" w:rsidP="000B7043">
            <w:pPr>
              <w:jc w:val="left"/>
              <w:rPr>
                <w:rFonts w:cs="Arial"/>
                <w:sz w:val="18"/>
                <w:szCs w:val="18"/>
              </w:rPr>
            </w:pPr>
            <w:r w:rsidRPr="00E87AD2">
              <w:rPr>
                <w:rFonts w:cs="Arial"/>
                <w:sz w:val="18"/>
                <w:szCs w:val="18"/>
                <w:lang w:val="es-ES_tradnl"/>
              </w:rPr>
              <w:t>UPOV/EXN/EDV</w:t>
            </w:r>
          </w:p>
        </w:tc>
        <w:tc>
          <w:tcPr>
            <w:tcW w:w="4717" w:type="dxa"/>
          </w:tcPr>
          <w:p w:rsidR="00BB0664" w:rsidRPr="00E87AD2" w:rsidRDefault="00BB0664" w:rsidP="000B7043">
            <w:pPr>
              <w:jc w:val="left"/>
              <w:rPr>
                <w:rFonts w:cs="Arial"/>
                <w:color w:val="000000"/>
                <w:sz w:val="18"/>
                <w:szCs w:val="18"/>
                <w:lang w:val="es-ES_tradnl"/>
              </w:rPr>
            </w:pPr>
            <w:r w:rsidRPr="00E87AD2">
              <w:rPr>
                <w:rFonts w:cs="Arial"/>
                <w:sz w:val="18"/>
                <w:szCs w:val="18"/>
                <w:lang w:val="es-ES_tradnl"/>
              </w:rPr>
              <w:t>Variedades esencialmente derivadas con arreglo al Acta de 1991 del Convenio de la UPOV</w:t>
            </w:r>
          </w:p>
        </w:tc>
        <w:tc>
          <w:tcPr>
            <w:tcW w:w="3912" w:type="dxa"/>
          </w:tcPr>
          <w:p w:rsidR="00BB0664" w:rsidRPr="001D2D58" w:rsidRDefault="00BB0664" w:rsidP="00C854D3">
            <w:pPr>
              <w:jc w:val="left"/>
              <w:rPr>
                <w:rFonts w:cs="Arial"/>
                <w:sz w:val="18"/>
                <w:szCs w:val="18"/>
                <w:lang w:val="es-ES"/>
              </w:rPr>
            </w:pPr>
            <w:r w:rsidRPr="00E87AD2">
              <w:rPr>
                <w:rFonts w:cs="Arial"/>
                <w:color w:val="000000"/>
                <w:sz w:val="18"/>
                <w:szCs w:val="18"/>
                <w:lang w:val="es-ES_tradnl"/>
              </w:rPr>
              <w:t>El CAJ examinará el documento UPOV/EXN/EDV/2 Draft 6 en octubre de 2015</w:t>
            </w:r>
          </w:p>
        </w:tc>
      </w:tr>
      <w:tr w:rsidR="00BB0664" w:rsidRPr="000B72C7" w:rsidTr="00211419">
        <w:trPr>
          <w:cantSplit/>
          <w:jc w:val="center"/>
        </w:trPr>
        <w:tc>
          <w:tcPr>
            <w:tcW w:w="1741" w:type="dxa"/>
          </w:tcPr>
          <w:p w:rsidR="00BB0664" w:rsidRPr="00E87AD2" w:rsidRDefault="00BB0664" w:rsidP="000B7043">
            <w:pPr>
              <w:jc w:val="left"/>
              <w:rPr>
                <w:rFonts w:cs="Arial"/>
                <w:sz w:val="18"/>
                <w:szCs w:val="18"/>
              </w:rPr>
            </w:pPr>
            <w:r w:rsidRPr="00E87AD2">
              <w:rPr>
                <w:rFonts w:cs="Arial"/>
                <w:sz w:val="18"/>
                <w:szCs w:val="18"/>
                <w:lang w:val="es-ES_tradnl"/>
              </w:rPr>
              <w:t>UPOV/EXN/HRV</w:t>
            </w:r>
          </w:p>
        </w:tc>
        <w:tc>
          <w:tcPr>
            <w:tcW w:w="4717" w:type="dxa"/>
          </w:tcPr>
          <w:p w:rsidR="00BB0664" w:rsidRPr="00E87AD2" w:rsidRDefault="00BB0664" w:rsidP="000B7043">
            <w:pPr>
              <w:jc w:val="left"/>
              <w:rPr>
                <w:rFonts w:cs="Arial"/>
                <w:sz w:val="18"/>
                <w:szCs w:val="18"/>
                <w:lang w:val="es-ES_tradnl"/>
              </w:rPr>
            </w:pPr>
            <w:r w:rsidRPr="00E87AD2">
              <w:rPr>
                <w:rFonts w:cs="Arial"/>
                <w:sz w:val="18"/>
                <w:szCs w:val="18"/>
                <w:lang w:val="es-ES_tradnl"/>
              </w:rPr>
              <w:t>Actos respecto del producto de la cosecha con arreglo al Acta de 1991 del Convenio de la UPOV</w:t>
            </w:r>
          </w:p>
        </w:tc>
        <w:tc>
          <w:tcPr>
            <w:tcW w:w="3912" w:type="dxa"/>
          </w:tcPr>
          <w:p w:rsidR="00BB0664" w:rsidRPr="001D2D58" w:rsidRDefault="00BB0664" w:rsidP="00C854D3">
            <w:pPr>
              <w:jc w:val="left"/>
              <w:rPr>
                <w:rFonts w:cs="Arial"/>
                <w:color w:val="000000"/>
                <w:sz w:val="18"/>
                <w:szCs w:val="18"/>
                <w:lang w:val="es-ES"/>
              </w:rPr>
            </w:pPr>
            <w:r w:rsidRPr="00E87AD2">
              <w:rPr>
                <w:rFonts w:cs="Arial"/>
                <w:iCs/>
                <w:sz w:val="18"/>
                <w:szCs w:val="18"/>
                <w:lang w:val="es-ES_tradnl"/>
              </w:rPr>
              <w:t>Se suspenderá la elaboración del documento UPOV/EXN/HRV/2</w:t>
            </w:r>
            <w:r w:rsidRPr="001D2D58">
              <w:rPr>
                <w:rFonts w:cs="Arial"/>
                <w:iCs/>
                <w:sz w:val="18"/>
                <w:szCs w:val="18"/>
                <w:lang w:val="es-ES"/>
              </w:rPr>
              <w:t xml:space="preserve"> </w:t>
            </w:r>
          </w:p>
        </w:tc>
      </w:tr>
      <w:tr w:rsidR="00BB0664" w:rsidRPr="000B72C7" w:rsidTr="00211419">
        <w:trPr>
          <w:cantSplit/>
          <w:jc w:val="center"/>
        </w:trPr>
        <w:tc>
          <w:tcPr>
            <w:tcW w:w="1741" w:type="dxa"/>
          </w:tcPr>
          <w:p w:rsidR="00BB0664" w:rsidRPr="00E87AD2" w:rsidRDefault="00BB0664" w:rsidP="000B7043">
            <w:pPr>
              <w:jc w:val="left"/>
              <w:rPr>
                <w:rFonts w:cs="Arial"/>
                <w:color w:val="000000"/>
                <w:sz w:val="18"/>
                <w:szCs w:val="18"/>
              </w:rPr>
            </w:pPr>
            <w:r w:rsidRPr="00E87AD2">
              <w:rPr>
                <w:rFonts w:cs="Arial"/>
                <w:sz w:val="18"/>
                <w:szCs w:val="18"/>
                <w:lang w:val="es-ES_tradnl"/>
              </w:rPr>
              <w:t>UPOV/EXN/NUL</w:t>
            </w:r>
          </w:p>
        </w:tc>
        <w:tc>
          <w:tcPr>
            <w:tcW w:w="4717" w:type="dxa"/>
          </w:tcPr>
          <w:p w:rsidR="00BB0664" w:rsidRPr="00E87AD2" w:rsidRDefault="00BB0664" w:rsidP="000B7043">
            <w:pPr>
              <w:jc w:val="left"/>
              <w:rPr>
                <w:rFonts w:cs="Arial"/>
                <w:sz w:val="18"/>
                <w:szCs w:val="18"/>
                <w:lang w:val="es-ES_tradnl"/>
              </w:rPr>
            </w:pPr>
            <w:r w:rsidRPr="00E87AD2">
              <w:rPr>
                <w:rFonts w:cs="Arial"/>
                <w:sz w:val="18"/>
                <w:szCs w:val="18"/>
                <w:lang w:val="es-ES_tradnl"/>
              </w:rPr>
              <w:t>Nulidad del derecho de obtentor con arreglo al Convenio de la UPOV</w:t>
            </w:r>
          </w:p>
        </w:tc>
        <w:tc>
          <w:tcPr>
            <w:tcW w:w="3912" w:type="dxa"/>
          </w:tcPr>
          <w:p w:rsidR="00BB0664" w:rsidRPr="001D2D58" w:rsidRDefault="00BB0664" w:rsidP="00C854D3">
            <w:pPr>
              <w:jc w:val="left"/>
              <w:rPr>
                <w:rFonts w:cs="Arial"/>
                <w:sz w:val="18"/>
                <w:szCs w:val="18"/>
                <w:lang w:val="es-ES"/>
              </w:rPr>
            </w:pPr>
            <w:r w:rsidRPr="00E87AD2">
              <w:rPr>
                <w:rFonts w:cs="Arial"/>
                <w:spacing w:val="-2"/>
                <w:sz w:val="18"/>
                <w:szCs w:val="18"/>
                <w:lang w:val="es-ES_tradnl"/>
              </w:rPr>
              <w:t>El CAJ examinará el documento UPOV/EXN/NUL/2 Draft 3 en marzo de 2015</w:t>
            </w:r>
          </w:p>
        </w:tc>
      </w:tr>
      <w:tr w:rsidR="00BB0664" w:rsidRPr="000B72C7" w:rsidTr="00211419">
        <w:trPr>
          <w:cantSplit/>
          <w:jc w:val="center"/>
        </w:trPr>
        <w:tc>
          <w:tcPr>
            <w:tcW w:w="1741" w:type="dxa"/>
          </w:tcPr>
          <w:p w:rsidR="00BB0664" w:rsidRPr="00E87AD2" w:rsidRDefault="00BB0664" w:rsidP="000B7043">
            <w:pPr>
              <w:jc w:val="left"/>
              <w:rPr>
                <w:rFonts w:cs="Arial"/>
                <w:sz w:val="18"/>
                <w:szCs w:val="18"/>
              </w:rPr>
            </w:pPr>
            <w:r w:rsidRPr="00E87AD2">
              <w:rPr>
                <w:rFonts w:cs="Arial"/>
                <w:sz w:val="18"/>
                <w:szCs w:val="18"/>
                <w:lang w:val="es-ES_tradnl"/>
              </w:rPr>
              <w:t>UPOV/EXN/PPM</w:t>
            </w:r>
          </w:p>
        </w:tc>
        <w:tc>
          <w:tcPr>
            <w:tcW w:w="4717" w:type="dxa"/>
          </w:tcPr>
          <w:p w:rsidR="00BB0664" w:rsidRPr="001D2D58" w:rsidRDefault="00BB0664" w:rsidP="00C854D3">
            <w:pPr>
              <w:jc w:val="left"/>
              <w:rPr>
                <w:rFonts w:cs="Arial"/>
                <w:sz w:val="18"/>
                <w:szCs w:val="18"/>
                <w:lang w:val="es-ES"/>
              </w:rPr>
            </w:pPr>
            <w:r w:rsidRPr="00E87AD2">
              <w:rPr>
                <w:rFonts w:cs="Arial"/>
                <w:sz w:val="18"/>
                <w:szCs w:val="18"/>
                <w:lang w:val="es-ES_tradnl"/>
              </w:rPr>
              <w:t>Material de reproducción o multiplicación con arreglo al Acta de 1991 del Convenio de la UPOV</w:t>
            </w:r>
          </w:p>
        </w:tc>
        <w:tc>
          <w:tcPr>
            <w:tcW w:w="3912" w:type="dxa"/>
          </w:tcPr>
          <w:p w:rsidR="00BB0664" w:rsidRPr="001D2D58" w:rsidRDefault="00BB0664" w:rsidP="00C854D3">
            <w:pPr>
              <w:jc w:val="left"/>
              <w:rPr>
                <w:rFonts w:cs="Arial"/>
                <w:spacing w:val="-2"/>
                <w:sz w:val="18"/>
                <w:szCs w:val="18"/>
                <w:lang w:val="es-ES"/>
              </w:rPr>
            </w:pPr>
            <w:r w:rsidRPr="00E87AD2">
              <w:rPr>
                <w:rFonts w:cs="Arial"/>
                <w:spacing w:val="-2"/>
                <w:sz w:val="18"/>
                <w:szCs w:val="18"/>
                <w:lang w:val="es-ES_tradnl"/>
              </w:rPr>
              <w:t>El CAJ examinará el documento UPOV/EXN/PPM/1 Draft 4 en marzo de 2015</w:t>
            </w:r>
          </w:p>
        </w:tc>
      </w:tr>
      <w:tr w:rsidR="00BB0664" w:rsidRPr="000B72C7" w:rsidTr="00211419">
        <w:trPr>
          <w:cantSplit/>
          <w:jc w:val="center"/>
        </w:trPr>
        <w:tc>
          <w:tcPr>
            <w:tcW w:w="1741" w:type="dxa"/>
          </w:tcPr>
          <w:p w:rsidR="00BB0664" w:rsidRPr="00E87AD2" w:rsidRDefault="00BB0664" w:rsidP="000B7043">
            <w:pPr>
              <w:jc w:val="left"/>
              <w:rPr>
                <w:rFonts w:cs="Arial"/>
                <w:sz w:val="18"/>
                <w:szCs w:val="18"/>
              </w:rPr>
            </w:pPr>
            <w:r w:rsidRPr="00E87AD2">
              <w:rPr>
                <w:rFonts w:cs="Arial"/>
                <w:sz w:val="18"/>
                <w:szCs w:val="18"/>
                <w:lang w:val="es-ES_tradnl"/>
              </w:rPr>
              <w:t>UPOV/EXN/PRP</w:t>
            </w:r>
          </w:p>
        </w:tc>
        <w:tc>
          <w:tcPr>
            <w:tcW w:w="4717" w:type="dxa"/>
          </w:tcPr>
          <w:p w:rsidR="00BB0664" w:rsidRPr="00E87AD2" w:rsidRDefault="00BB0664" w:rsidP="00C854D3">
            <w:pPr>
              <w:jc w:val="left"/>
              <w:rPr>
                <w:rFonts w:cs="Arial"/>
                <w:sz w:val="18"/>
                <w:szCs w:val="18"/>
                <w:lang w:val="es-ES_tradnl"/>
              </w:rPr>
            </w:pPr>
            <w:r w:rsidRPr="00E87AD2">
              <w:rPr>
                <w:rFonts w:cs="Arial"/>
                <w:sz w:val="18"/>
                <w:szCs w:val="18"/>
                <w:lang w:val="es-ES_tradnl"/>
              </w:rPr>
              <w:t>Protección provisional con arreglo al Convenio de la</w:t>
            </w:r>
            <w:r w:rsidRPr="00E87AD2">
              <w:rPr>
                <w:rFonts w:cs="Arial"/>
                <w:color w:val="000000"/>
                <w:sz w:val="18"/>
                <w:szCs w:val="18"/>
                <w:lang w:val="es-ES_tradnl"/>
              </w:rPr>
              <w:t xml:space="preserve"> </w:t>
            </w:r>
            <w:r w:rsidRPr="00E87AD2">
              <w:rPr>
                <w:rFonts w:cs="Arial"/>
                <w:sz w:val="18"/>
                <w:szCs w:val="18"/>
                <w:lang w:val="es-ES_tradnl"/>
              </w:rPr>
              <w:t>UPOV</w:t>
            </w:r>
          </w:p>
        </w:tc>
        <w:tc>
          <w:tcPr>
            <w:tcW w:w="3912" w:type="dxa"/>
          </w:tcPr>
          <w:p w:rsidR="00BB0664" w:rsidRPr="001D2D58" w:rsidRDefault="00BB0664" w:rsidP="00C854D3">
            <w:pPr>
              <w:jc w:val="left"/>
              <w:rPr>
                <w:rFonts w:cs="Arial"/>
                <w:spacing w:val="-2"/>
                <w:sz w:val="18"/>
                <w:szCs w:val="18"/>
                <w:lang w:val="es-ES"/>
              </w:rPr>
            </w:pPr>
            <w:r w:rsidRPr="00E87AD2">
              <w:rPr>
                <w:rFonts w:cs="Arial"/>
                <w:spacing w:val="-2"/>
                <w:sz w:val="18"/>
                <w:szCs w:val="18"/>
                <w:lang w:val="es-ES_tradnl"/>
              </w:rPr>
              <w:t>El CAJ examinará el documento UPOV/EXN/PRP/2 Draft 3 en marzo de 2015</w:t>
            </w:r>
          </w:p>
        </w:tc>
      </w:tr>
    </w:tbl>
    <w:p w:rsidR="00BB0664" w:rsidRPr="001D2D58" w:rsidRDefault="00BB0664" w:rsidP="00C854D3">
      <w:pPr>
        <w:rPr>
          <w:lang w:val="es-ES"/>
        </w:rPr>
      </w:pPr>
    </w:p>
    <w:p w:rsidR="00BB0664" w:rsidRPr="001D2D58" w:rsidRDefault="00BB0664" w:rsidP="00C854D3">
      <w:pPr>
        <w:rPr>
          <w:i/>
        </w:rPr>
      </w:pPr>
      <w:r w:rsidRPr="001D2D58">
        <w:rPr>
          <w:i/>
          <w:lang w:val="es-ES_tradnl"/>
        </w:rPr>
        <w:t>Documentos de información</w:t>
      </w:r>
    </w:p>
    <w:p w:rsidR="00BB0664" w:rsidRPr="00E87AD2" w:rsidRDefault="00BB0664" w:rsidP="00C854D3"/>
    <w:tbl>
      <w:tblPr>
        <w:tblW w:w="1048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85" w:type="dxa"/>
          <w:left w:w="85" w:type="dxa"/>
          <w:bottom w:w="28" w:type="dxa"/>
          <w:right w:w="85" w:type="dxa"/>
        </w:tblCellMar>
        <w:tblLook w:val="0000" w:firstRow="0" w:lastRow="0" w:firstColumn="0" w:lastColumn="0" w:noHBand="0" w:noVBand="0"/>
      </w:tblPr>
      <w:tblGrid>
        <w:gridCol w:w="1758"/>
        <w:gridCol w:w="4807"/>
        <w:gridCol w:w="3920"/>
      </w:tblGrid>
      <w:tr w:rsidR="00BB0664" w:rsidRPr="00E87AD2" w:rsidTr="00211419">
        <w:trPr>
          <w:cantSplit/>
          <w:jc w:val="center"/>
        </w:trPr>
        <w:tc>
          <w:tcPr>
            <w:tcW w:w="1758" w:type="dxa"/>
            <w:tcBorders>
              <w:top w:val="single" w:sz="4" w:space="0" w:color="auto"/>
            </w:tcBorders>
            <w:shd w:val="clear" w:color="auto" w:fill="D9D9D9"/>
          </w:tcPr>
          <w:p w:rsidR="00BB0664" w:rsidRPr="00E87AD2" w:rsidRDefault="00BB0664" w:rsidP="000B7043">
            <w:pPr>
              <w:jc w:val="left"/>
              <w:rPr>
                <w:rFonts w:cs="Arial"/>
                <w:sz w:val="18"/>
                <w:szCs w:val="18"/>
              </w:rPr>
            </w:pPr>
            <w:r w:rsidRPr="00E87AD2">
              <w:rPr>
                <w:rFonts w:cs="Arial"/>
                <w:sz w:val="18"/>
                <w:szCs w:val="18"/>
                <w:lang w:val="es-ES_tradnl"/>
              </w:rPr>
              <w:t>Referencia más reciente</w:t>
            </w:r>
          </w:p>
        </w:tc>
        <w:tc>
          <w:tcPr>
            <w:tcW w:w="4807" w:type="dxa"/>
            <w:tcBorders>
              <w:top w:val="single" w:sz="4" w:space="0" w:color="auto"/>
            </w:tcBorders>
            <w:shd w:val="clear" w:color="auto" w:fill="D9D9D9"/>
          </w:tcPr>
          <w:p w:rsidR="00BB0664" w:rsidRPr="00E87AD2" w:rsidRDefault="00BB0664" w:rsidP="000B7043">
            <w:pPr>
              <w:jc w:val="center"/>
              <w:rPr>
                <w:rFonts w:cs="Arial"/>
                <w:sz w:val="18"/>
                <w:szCs w:val="18"/>
              </w:rPr>
            </w:pPr>
            <w:r w:rsidRPr="00E87AD2">
              <w:rPr>
                <w:rFonts w:cs="Arial"/>
                <w:sz w:val="18"/>
                <w:szCs w:val="18"/>
                <w:lang w:val="es-ES_tradnl"/>
              </w:rPr>
              <w:t>Documentos INF</w:t>
            </w:r>
          </w:p>
        </w:tc>
        <w:tc>
          <w:tcPr>
            <w:tcW w:w="3920" w:type="dxa"/>
            <w:tcBorders>
              <w:top w:val="single" w:sz="4" w:space="0" w:color="auto"/>
            </w:tcBorders>
            <w:shd w:val="clear" w:color="auto" w:fill="D9D9D9"/>
          </w:tcPr>
          <w:p w:rsidR="00BB0664" w:rsidRPr="00E87AD2" w:rsidRDefault="00BB0664" w:rsidP="000B7043">
            <w:pPr>
              <w:jc w:val="left"/>
              <w:rPr>
                <w:rFonts w:cs="Arial"/>
                <w:sz w:val="18"/>
                <w:szCs w:val="18"/>
              </w:rPr>
            </w:pPr>
            <w:r w:rsidRPr="00E87AD2">
              <w:rPr>
                <w:rFonts w:cs="Arial"/>
                <w:sz w:val="18"/>
                <w:szCs w:val="18"/>
                <w:lang w:val="es-ES_tradnl"/>
              </w:rPr>
              <w:t>Situación</w:t>
            </w:r>
          </w:p>
        </w:tc>
      </w:tr>
      <w:tr w:rsidR="00BB0664" w:rsidRPr="000B72C7" w:rsidTr="00211419">
        <w:trPr>
          <w:cantSplit/>
          <w:jc w:val="center"/>
        </w:trPr>
        <w:tc>
          <w:tcPr>
            <w:tcW w:w="1758" w:type="dxa"/>
          </w:tcPr>
          <w:p w:rsidR="00BB0664" w:rsidRPr="00E87AD2" w:rsidRDefault="00BB0664" w:rsidP="000B7043">
            <w:pPr>
              <w:jc w:val="left"/>
              <w:rPr>
                <w:rFonts w:cs="Arial"/>
                <w:sz w:val="18"/>
                <w:szCs w:val="18"/>
              </w:rPr>
            </w:pPr>
            <w:r w:rsidRPr="00E87AD2">
              <w:rPr>
                <w:rFonts w:cs="Arial"/>
                <w:sz w:val="18"/>
                <w:szCs w:val="18"/>
                <w:lang w:val="es-ES_tradnl"/>
              </w:rPr>
              <w:t>UPOV/INF-EXN</w:t>
            </w:r>
          </w:p>
        </w:tc>
        <w:tc>
          <w:tcPr>
            <w:tcW w:w="4807" w:type="dxa"/>
          </w:tcPr>
          <w:p w:rsidR="00BB0664" w:rsidRPr="00E87AD2" w:rsidRDefault="00BB0664" w:rsidP="000B7043">
            <w:pPr>
              <w:jc w:val="left"/>
              <w:rPr>
                <w:rFonts w:cs="Arial"/>
                <w:sz w:val="18"/>
                <w:szCs w:val="18"/>
                <w:lang w:val="es-ES_tradnl"/>
              </w:rPr>
            </w:pPr>
            <w:r w:rsidRPr="00E87AD2">
              <w:rPr>
                <w:rFonts w:cs="Arial"/>
                <w:sz w:val="18"/>
                <w:szCs w:val="18"/>
                <w:lang w:val="es-ES_tradnl"/>
              </w:rPr>
              <w:t>Lista de documentos UPOV/INF-EXN y fechas de última publicación</w:t>
            </w:r>
          </w:p>
        </w:tc>
        <w:tc>
          <w:tcPr>
            <w:tcW w:w="3920" w:type="dxa"/>
          </w:tcPr>
          <w:p w:rsidR="00BB0664" w:rsidRPr="001D2D58" w:rsidRDefault="00BB0664" w:rsidP="00C854D3">
            <w:pPr>
              <w:jc w:val="left"/>
              <w:rPr>
                <w:rFonts w:cs="Arial"/>
                <w:sz w:val="18"/>
                <w:szCs w:val="18"/>
                <w:lang w:val="es-ES"/>
              </w:rPr>
            </w:pPr>
            <w:r w:rsidRPr="00E87AD2">
              <w:rPr>
                <w:rFonts w:cs="Arial"/>
                <w:sz w:val="18"/>
                <w:szCs w:val="18"/>
                <w:lang w:val="es-ES_tradnl"/>
              </w:rPr>
              <w:t>El Consejo examinará el documento UPOV/INF-EXN/7 en marzo de 2015</w:t>
            </w:r>
          </w:p>
        </w:tc>
      </w:tr>
      <w:tr w:rsidR="00BB0664" w:rsidRPr="000B72C7" w:rsidTr="00211419">
        <w:trPr>
          <w:cantSplit/>
          <w:jc w:val="center"/>
        </w:trPr>
        <w:tc>
          <w:tcPr>
            <w:tcW w:w="1758" w:type="dxa"/>
          </w:tcPr>
          <w:p w:rsidR="00BB0664" w:rsidRPr="00E87AD2" w:rsidRDefault="00BB0664" w:rsidP="000B7043">
            <w:pPr>
              <w:jc w:val="left"/>
              <w:rPr>
                <w:rFonts w:cs="Arial"/>
                <w:sz w:val="18"/>
                <w:szCs w:val="18"/>
              </w:rPr>
            </w:pPr>
            <w:r w:rsidRPr="00E87AD2">
              <w:rPr>
                <w:rFonts w:cs="Arial"/>
                <w:sz w:val="18"/>
                <w:szCs w:val="18"/>
                <w:lang w:val="es-ES_tradnl"/>
              </w:rPr>
              <w:t>UPOV/INF/4</w:t>
            </w:r>
          </w:p>
        </w:tc>
        <w:tc>
          <w:tcPr>
            <w:tcW w:w="4807" w:type="dxa"/>
          </w:tcPr>
          <w:p w:rsidR="00BB0664" w:rsidRPr="00E87AD2" w:rsidRDefault="00BB0664" w:rsidP="000B7043">
            <w:pPr>
              <w:jc w:val="left"/>
              <w:rPr>
                <w:rFonts w:cs="Arial"/>
                <w:sz w:val="18"/>
                <w:szCs w:val="18"/>
                <w:lang w:val="es-ES_tradnl"/>
              </w:rPr>
            </w:pPr>
            <w:r w:rsidRPr="00E87AD2">
              <w:rPr>
                <w:rFonts w:cs="Arial"/>
                <w:sz w:val="18"/>
                <w:szCs w:val="18"/>
                <w:lang w:val="es-ES_tradnl"/>
              </w:rPr>
              <w:t>Reglamento financiero y reglamentación financiera de la</w:t>
            </w:r>
            <w:r w:rsidRPr="00E87AD2">
              <w:rPr>
                <w:rFonts w:cs="Arial"/>
                <w:color w:val="000000"/>
                <w:sz w:val="18"/>
                <w:szCs w:val="18"/>
                <w:lang w:val="es-ES_tradnl"/>
              </w:rPr>
              <w:t xml:space="preserve"> </w:t>
            </w:r>
            <w:r w:rsidRPr="00E87AD2">
              <w:rPr>
                <w:rFonts w:cs="Arial"/>
                <w:sz w:val="18"/>
                <w:szCs w:val="18"/>
                <w:lang w:val="es-ES_tradnl"/>
              </w:rPr>
              <w:t>UPOV</w:t>
            </w:r>
          </w:p>
        </w:tc>
        <w:tc>
          <w:tcPr>
            <w:tcW w:w="3920" w:type="dxa"/>
          </w:tcPr>
          <w:p w:rsidR="00BB0664" w:rsidRPr="001D2D58" w:rsidRDefault="00BB0664" w:rsidP="00C854D3">
            <w:pPr>
              <w:jc w:val="left"/>
              <w:rPr>
                <w:rFonts w:cs="Arial"/>
                <w:sz w:val="18"/>
                <w:szCs w:val="18"/>
                <w:lang w:val="es-ES"/>
              </w:rPr>
            </w:pPr>
            <w:r w:rsidRPr="00E87AD2">
              <w:rPr>
                <w:rFonts w:cs="Arial"/>
                <w:sz w:val="18"/>
                <w:szCs w:val="18"/>
                <w:lang w:val="es-ES_tradnl"/>
              </w:rPr>
              <w:t>El Consejo examinará el documento UPOV/INF/4/4 en marzo de 2015</w:t>
            </w:r>
          </w:p>
        </w:tc>
      </w:tr>
      <w:tr w:rsidR="00BB0664" w:rsidRPr="000B72C7" w:rsidTr="00211419">
        <w:trPr>
          <w:cantSplit/>
          <w:jc w:val="center"/>
        </w:trPr>
        <w:tc>
          <w:tcPr>
            <w:tcW w:w="1758" w:type="dxa"/>
          </w:tcPr>
          <w:p w:rsidR="00BB0664" w:rsidRPr="00E87AD2" w:rsidRDefault="00BB0664" w:rsidP="000B7043">
            <w:pPr>
              <w:jc w:val="left"/>
              <w:rPr>
                <w:rFonts w:cs="Arial"/>
                <w:sz w:val="18"/>
                <w:szCs w:val="18"/>
              </w:rPr>
            </w:pPr>
            <w:r w:rsidRPr="00E87AD2">
              <w:rPr>
                <w:rFonts w:cs="Arial"/>
                <w:sz w:val="18"/>
                <w:szCs w:val="18"/>
                <w:lang w:val="es-ES_tradnl"/>
              </w:rPr>
              <w:t>UPOV/INF/15</w:t>
            </w:r>
          </w:p>
        </w:tc>
        <w:tc>
          <w:tcPr>
            <w:tcW w:w="4807" w:type="dxa"/>
          </w:tcPr>
          <w:p w:rsidR="00BB0664" w:rsidRPr="00E87AD2" w:rsidRDefault="00BB0664" w:rsidP="000B7043">
            <w:pPr>
              <w:jc w:val="left"/>
              <w:rPr>
                <w:rFonts w:cs="Arial"/>
                <w:sz w:val="18"/>
                <w:szCs w:val="18"/>
                <w:lang w:val="es-ES_tradnl"/>
              </w:rPr>
            </w:pPr>
            <w:r w:rsidRPr="00E87AD2">
              <w:rPr>
                <w:rFonts w:cs="Arial"/>
                <w:sz w:val="18"/>
                <w:szCs w:val="18"/>
                <w:lang w:val="es-ES_tradnl"/>
              </w:rPr>
              <w:t>Orientación para los miembros de la UPOV sobre las obligaciones actuales y las notificaciones conexas</w:t>
            </w:r>
          </w:p>
        </w:tc>
        <w:tc>
          <w:tcPr>
            <w:tcW w:w="3920" w:type="dxa"/>
          </w:tcPr>
          <w:p w:rsidR="00BB0664" w:rsidRPr="001D2D58" w:rsidRDefault="00BB0664" w:rsidP="00C854D3">
            <w:pPr>
              <w:jc w:val="left"/>
              <w:rPr>
                <w:rFonts w:cs="Arial"/>
                <w:sz w:val="18"/>
                <w:szCs w:val="18"/>
                <w:lang w:val="es-ES"/>
              </w:rPr>
            </w:pPr>
            <w:r w:rsidRPr="00E87AD2">
              <w:rPr>
                <w:rFonts w:cs="Arial"/>
                <w:sz w:val="18"/>
                <w:szCs w:val="18"/>
                <w:lang w:val="es-ES_tradnl"/>
              </w:rPr>
              <w:t>El Consejo examinará el documento UPOV/INF/15/3 en marzo de 2015</w:t>
            </w:r>
          </w:p>
        </w:tc>
      </w:tr>
      <w:tr w:rsidR="00BB0664" w:rsidRPr="000B72C7" w:rsidTr="00211419">
        <w:trPr>
          <w:cantSplit/>
          <w:jc w:val="center"/>
        </w:trPr>
        <w:tc>
          <w:tcPr>
            <w:tcW w:w="1758" w:type="dxa"/>
          </w:tcPr>
          <w:p w:rsidR="00BB0664" w:rsidRPr="00E87AD2" w:rsidRDefault="00BB0664" w:rsidP="000B7043">
            <w:pPr>
              <w:jc w:val="left"/>
              <w:rPr>
                <w:rFonts w:cs="Arial"/>
                <w:sz w:val="18"/>
                <w:szCs w:val="18"/>
              </w:rPr>
            </w:pPr>
            <w:r w:rsidRPr="00E87AD2">
              <w:rPr>
                <w:rFonts w:cs="Arial"/>
                <w:sz w:val="18"/>
                <w:szCs w:val="18"/>
                <w:lang w:val="es-ES_tradnl"/>
              </w:rPr>
              <w:t>UPOV/INF/16</w:t>
            </w:r>
          </w:p>
        </w:tc>
        <w:tc>
          <w:tcPr>
            <w:tcW w:w="4807" w:type="dxa"/>
          </w:tcPr>
          <w:p w:rsidR="00BB0664" w:rsidRPr="00E87AD2" w:rsidRDefault="00BB0664" w:rsidP="000B7043">
            <w:pPr>
              <w:jc w:val="left"/>
              <w:rPr>
                <w:rFonts w:cs="Arial"/>
                <w:sz w:val="18"/>
                <w:szCs w:val="18"/>
              </w:rPr>
            </w:pPr>
            <w:r w:rsidRPr="00E87AD2">
              <w:rPr>
                <w:rFonts w:cs="Arial"/>
                <w:sz w:val="18"/>
                <w:szCs w:val="18"/>
                <w:lang w:val="es-ES_tradnl"/>
              </w:rPr>
              <w:t>Programas informáticos para intercambio</w:t>
            </w:r>
          </w:p>
        </w:tc>
        <w:tc>
          <w:tcPr>
            <w:tcW w:w="3920" w:type="dxa"/>
          </w:tcPr>
          <w:p w:rsidR="00BB0664" w:rsidRPr="001D2D58" w:rsidRDefault="00BB0664" w:rsidP="00C854D3">
            <w:pPr>
              <w:jc w:val="left"/>
              <w:rPr>
                <w:rFonts w:cs="Arial"/>
                <w:sz w:val="18"/>
                <w:szCs w:val="18"/>
                <w:lang w:val="es-ES"/>
              </w:rPr>
            </w:pPr>
            <w:r w:rsidRPr="00E87AD2">
              <w:rPr>
                <w:rFonts w:cs="Arial"/>
                <w:sz w:val="18"/>
                <w:szCs w:val="18"/>
                <w:lang w:val="es-ES_tradnl"/>
              </w:rPr>
              <w:t>El Consejo examinará el documento UPOV/INF/16/5 en octubre de 2015</w:t>
            </w:r>
          </w:p>
        </w:tc>
      </w:tr>
      <w:tr w:rsidR="00BB0664" w:rsidRPr="000B72C7" w:rsidTr="00211419">
        <w:trPr>
          <w:cantSplit/>
          <w:jc w:val="center"/>
        </w:trPr>
        <w:tc>
          <w:tcPr>
            <w:tcW w:w="1758" w:type="dxa"/>
          </w:tcPr>
          <w:p w:rsidR="00BB0664" w:rsidRPr="00E87AD2" w:rsidRDefault="00BB0664" w:rsidP="000B7043">
            <w:pPr>
              <w:rPr>
                <w:sz w:val="18"/>
                <w:szCs w:val="18"/>
              </w:rPr>
            </w:pPr>
            <w:r w:rsidRPr="00E87AD2">
              <w:rPr>
                <w:sz w:val="18"/>
                <w:szCs w:val="18"/>
                <w:lang w:val="es-ES_tradnl"/>
              </w:rPr>
              <w:t>UPOV/INF/22</w:t>
            </w:r>
          </w:p>
        </w:tc>
        <w:tc>
          <w:tcPr>
            <w:tcW w:w="4807" w:type="dxa"/>
          </w:tcPr>
          <w:p w:rsidR="00BB0664" w:rsidRPr="00E87AD2" w:rsidRDefault="00BB0664" w:rsidP="000B7043">
            <w:pPr>
              <w:rPr>
                <w:sz w:val="18"/>
                <w:szCs w:val="18"/>
                <w:lang w:val="es-ES_tradnl"/>
              </w:rPr>
            </w:pPr>
            <w:r w:rsidRPr="00E87AD2">
              <w:rPr>
                <w:sz w:val="18"/>
                <w:szCs w:val="18"/>
                <w:lang w:val="es-ES_tradnl"/>
              </w:rPr>
              <w:t xml:space="preserve">Programas informáticos y equipos utilizados por los miembros de la Unión </w:t>
            </w:r>
          </w:p>
        </w:tc>
        <w:tc>
          <w:tcPr>
            <w:tcW w:w="3920" w:type="dxa"/>
          </w:tcPr>
          <w:p w:rsidR="00BB0664" w:rsidRPr="001D2D58" w:rsidRDefault="00BB0664" w:rsidP="00C854D3">
            <w:pPr>
              <w:jc w:val="left"/>
              <w:rPr>
                <w:sz w:val="18"/>
                <w:szCs w:val="18"/>
                <w:lang w:val="es-ES"/>
              </w:rPr>
            </w:pPr>
            <w:r w:rsidRPr="00E87AD2">
              <w:rPr>
                <w:sz w:val="18"/>
                <w:szCs w:val="18"/>
                <w:lang w:val="es-ES_tradnl"/>
              </w:rPr>
              <w:t>El Consejo examinará el documento UPOV/INF/22/2 en octubre de 2015</w:t>
            </w:r>
          </w:p>
        </w:tc>
      </w:tr>
    </w:tbl>
    <w:p w:rsidR="00BB0664" w:rsidRPr="001D2D58" w:rsidRDefault="00BB0664" w:rsidP="00C854D3">
      <w:pPr>
        <w:rPr>
          <w:lang w:val="es-ES"/>
        </w:rPr>
      </w:pPr>
    </w:p>
    <w:p w:rsidR="00BB0664" w:rsidRPr="001D2D58" w:rsidRDefault="00BB0664" w:rsidP="006265DF">
      <w:pPr>
        <w:rPr>
          <w:lang w:val="es-ES"/>
        </w:rPr>
      </w:pPr>
    </w:p>
    <w:p w:rsidR="00BB0664" w:rsidRPr="00E87AD2" w:rsidRDefault="00BB0664" w:rsidP="005854DE">
      <w:pPr>
        <w:pStyle w:val="Heading1"/>
      </w:pPr>
      <w:bookmarkStart w:id="24" w:name="_Toc413750069"/>
      <w:r w:rsidRPr="00E87AD2">
        <w:t>Documentos de la UPOV</w:t>
      </w:r>
      <w:bookmarkEnd w:id="24"/>
    </w:p>
    <w:p w:rsidR="00BB0664" w:rsidRPr="001D2D58" w:rsidRDefault="00BB0664" w:rsidP="000B7043">
      <w:pPr>
        <w:keepNext/>
        <w:rPr>
          <w:lang w:val="es-ES"/>
        </w:rPr>
      </w:pPr>
    </w:p>
    <w:p w:rsidR="00BB0664" w:rsidRPr="00E87AD2" w:rsidRDefault="00BB0664" w:rsidP="00BB08EE">
      <w:pPr>
        <w:pStyle w:val="Heading2"/>
      </w:pPr>
      <w:bookmarkStart w:id="25" w:name="_Toc413750070"/>
      <w:r w:rsidRPr="00E87AD2">
        <w:t>Documentos históricos en el sitio web de la UPOV</w:t>
      </w:r>
      <w:bookmarkEnd w:id="25"/>
    </w:p>
    <w:p w:rsidR="00BB0664" w:rsidRPr="001D2D58" w:rsidRDefault="00BB0664" w:rsidP="006265DF">
      <w:pPr>
        <w:keepNext/>
        <w:rPr>
          <w:lang w:val="es-ES"/>
        </w:rPr>
      </w:pPr>
    </w:p>
    <w:p w:rsidR="00BB0664" w:rsidRPr="001D2D58" w:rsidRDefault="00BB0664" w:rsidP="006265DF">
      <w:pPr>
        <w:keepNext/>
        <w:rPr>
          <w:color w:val="000000"/>
          <w:lang w:val="es-ES"/>
        </w:rPr>
      </w:pPr>
      <w:r w:rsidRPr="00E87AD2">
        <w:rPr>
          <w:color w:val="000000"/>
        </w:rPr>
        <w:fldChar w:fldCharType="begin"/>
      </w:r>
      <w:r w:rsidRPr="001D2D58">
        <w:rPr>
          <w:color w:val="000000"/>
          <w:lang w:val="es-ES"/>
        </w:rPr>
        <w:instrText xml:space="preserve"> AUTONUM  </w:instrText>
      </w:r>
      <w:r w:rsidRPr="00E87AD2">
        <w:rPr>
          <w:color w:val="000000"/>
        </w:rPr>
        <w:fldChar w:fldCharType="end"/>
      </w:r>
      <w:r w:rsidRPr="001D2D58">
        <w:rPr>
          <w:color w:val="000000"/>
          <w:lang w:val="es-ES"/>
        </w:rPr>
        <w:tab/>
      </w:r>
      <w:r w:rsidRPr="00E87AD2">
        <w:rPr>
          <w:color w:val="000000"/>
          <w:lang w:val="es-ES_tradnl"/>
        </w:rPr>
        <w:t>Alrededor de 7.000 documentos de la UPOV, que anteriormente no estaban disponibles en el sitio web de la UPOV, se han digitalizado y reproducido en forma electrónica y reconocible en Word.</w:t>
      </w:r>
      <w:r w:rsidRPr="001D2D58">
        <w:rPr>
          <w:color w:val="000000"/>
          <w:lang w:val="es-ES"/>
        </w:rPr>
        <w:t xml:space="preserve">  </w:t>
      </w:r>
      <w:r w:rsidRPr="00E87AD2">
        <w:rPr>
          <w:color w:val="000000"/>
          <w:lang w:val="es-ES_tradnl"/>
        </w:rPr>
        <w:t xml:space="preserve">Asimismo, previamente se habían incorporado al sitio web de la UPOV las actas de las conferencias diplomáticas sobre las revisiones del Convenio de la UPOV, los documentos de reuniones de la UPOV con organizaciones internacionales (documentos IOM) y los números de la </w:t>
      </w:r>
      <w:r w:rsidRPr="00E87AD2">
        <w:rPr>
          <w:i/>
          <w:color w:val="000000"/>
          <w:lang w:val="es-ES_tradnl"/>
        </w:rPr>
        <w:t>Gazette</w:t>
      </w:r>
      <w:r w:rsidRPr="00E87AD2">
        <w:rPr>
          <w:color w:val="000000"/>
          <w:lang w:val="es-ES_tradnl"/>
        </w:rPr>
        <w:t xml:space="preserve"> y el </w:t>
      </w:r>
      <w:r w:rsidRPr="00E87AD2">
        <w:rPr>
          <w:i/>
          <w:color w:val="000000"/>
          <w:lang w:val="es-ES_tradnl"/>
        </w:rPr>
        <w:t>Newsletter</w:t>
      </w:r>
      <w:r w:rsidRPr="00E87AD2">
        <w:rPr>
          <w:color w:val="000000"/>
          <w:lang w:val="es-ES_tradnl"/>
        </w:rPr>
        <w:t xml:space="preserve"> sobre la protección de las obtenciones vegetales.</w:t>
      </w:r>
      <w:r w:rsidRPr="001D2D58">
        <w:rPr>
          <w:color w:val="000000"/>
          <w:lang w:val="es-ES"/>
        </w:rPr>
        <w:t xml:space="preserve">  </w:t>
      </w:r>
      <w:r w:rsidRPr="00E87AD2">
        <w:rPr>
          <w:color w:val="000000"/>
          <w:lang w:val="es-ES_tradnl"/>
        </w:rPr>
        <w:t>Paralelamente a ese proceso, se ha llevado a cabo un examen sistemático de los documentos ya publicados en el apartado “Documentos de reunión” de la UPOV a fin de detectar y rectificar los errores y las omisiones que se habían producido durante la migración al nuevo sitio web en 2011</w:t>
      </w:r>
      <w:r w:rsidRPr="00E87AD2">
        <w:rPr>
          <w:color w:val="000000"/>
          <w:lang w:val="es-ES_tradnl"/>
        </w:rPr>
        <w:noBreakHyphen/>
        <w:t>2012.</w:t>
      </w:r>
      <w:r w:rsidRPr="001D2D58">
        <w:rPr>
          <w:color w:val="000000"/>
          <w:lang w:val="es-ES"/>
        </w:rPr>
        <w:t xml:space="preserve">  </w:t>
      </w:r>
      <w:r w:rsidRPr="00E87AD2">
        <w:rPr>
          <w:color w:val="000000"/>
          <w:lang w:val="es-ES_tradnl"/>
        </w:rPr>
        <w:t xml:space="preserve">Con respecto al trabajo pendiente, la incorporación de los documentos más antiguos de sesiones y de seminarios de la UPOV se efectuará con carácter </w:t>
      </w:r>
      <w:r w:rsidRPr="00E87AD2">
        <w:rPr>
          <w:i/>
          <w:color w:val="000000"/>
          <w:lang w:val="es-ES_tradnl"/>
        </w:rPr>
        <w:t>ad hoc</w:t>
      </w:r>
      <w:r w:rsidRPr="00E87AD2">
        <w:rPr>
          <w:color w:val="000000"/>
          <w:lang w:val="es-ES_tradnl"/>
        </w:rPr>
        <w:t>, en la medida en que lo permitan los recursos.</w:t>
      </w:r>
      <w:r w:rsidRPr="001D2D58">
        <w:rPr>
          <w:color w:val="000000"/>
          <w:lang w:val="es-ES"/>
        </w:rPr>
        <w:t xml:space="preserve">  </w:t>
      </w:r>
    </w:p>
    <w:p w:rsidR="00BB0664" w:rsidRPr="001D2D58" w:rsidRDefault="00BB0664" w:rsidP="00C854D3">
      <w:pPr>
        <w:rPr>
          <w:lang w:val="es-ES"/>
        </w:rPr>
      </w:pPr>
    </w:p>
    <w:p w:rsidR="00BB0664" w:rsidRPr="00E87AD2" w:rsidRDefault="00BB0664" w:rsidP="00BB08EE">
      <w:pPr>
        <w:pStyle w:val="Heading2"/>
      </w:pPr>
      <w:bookmarkStart w:id="26" w:name="_Toc413750071"/>
      <w:r w:rsidRPr="00E87AD2">
        <w:t>Documentos de sesión del CAJ</w:t>
      </w:r>
      <w:bookmarkEnd w:id="26"/>
    </w:p>
    <w:p w:rsidR="00BB0664" w:rsidRPr="001D2D58" w:rsidRDefault="00BB0664" w:rsidP="00C854D3">
      <w:pPr>
        <w:rPr>
          <w:lang w:val="es-ES"/>
        </w:rPr>
      </w:pPr>
    </w:p>
    <w:p w:rsidR="00BB0664" w:rsidRPr="001D2D58" w:rsidRDefault="00BB0664" w:rsidP="00C854D3">
      <w:pPr>
        <w:rPr>
          <w:lang w:val="es-ES"/>
        </w:rPr>
      </w:pPr>
      <w:r w:rsidRPr="00E87AD2">
        <w:fldChar w:fldCharType="begin"/>
      </w:r>
      <w:r w:rsidRPr="001D2D58">
        <w:rPr>
          <w:lang w:val="es-ES"/>
        </w:rPr>
        <w:instrText xml:space="preserve"> AUTONUM  </w:instrText>
      </w:r>
      <w:r w:rsidRPr="00E87AD2">
        <w:fldChar w:fldCharType="end"/>
      </w:r>
      <w:r w:rsidRPr="001D2D58">
        <w:rPr>
          <w:lang w:val="es-ES"/>
        </w:rPr>
        <w:tab/>
      </w:r>
      <w:r w:rsidRPr="00E87AD2">
        <w:rPr>
          <w:lang w:val="es-ES_tradnl"/>
        </w:rPr>
        <w:t>Con respecto al formato y al estilo de los documentos del CAJ y a su presentación en las sesiones del CAJ, el CAJ, en su septuagésima sesión, celebrada en Ginebra el 13 de octubre de 2014, acordó que, cuando proceda:</w:t>
      </w:r>
    </w:p>
    <w:p w:rsidR="00BB0664" w:rsidRPr="001D2D58" w:rsidRDefault="00BB0664" w:rsidP="00C854D3">
      <w:pPr>
        <w:rPr>
          <w:lang w:val="es-ES"/>
        </w:rPr>
      </w:pPr>
    </w:p>
    <w:p w:rsidR="00BB0664" w:rsidRPr="001D2D58" w:rsidRDefault="00BB0664" w:rsidP="00C854D3">
      <w:pPr>
        <w:ind w:left="567"/>
        <w:rPr>
          <w:lang w:val="es-ES"/>
        </w:rPr>
      </w:pPr>
      <w:r w:rsidRPr="001D2D58">
        <w:rPr>
          <w:lang w:val="es-ES"/>
        </w:rPr>
        <w:t>•</w:t>
      </w:r>
      <w:r w:rsidRPr="001D2D58">
        <w:rPr>
          <w:lang w:val="es-ES"/>
        </w:rPr>
        <w:tab/>
      </w:r>
      <w:r w:rsidRPr="00E87AD2">
        <w:rPr>
          <w:lang w:val="es-ES_tradnl"/>
        </w:rPr>
        <w:t>se incluya un resumen;</w:t>
      </w:r>
    </w:p>
    <w:p w:rsidR="00BB0664" w:rsidRPr="001D2D58" w:rsidRDefault="00BB0664" w:rsidP="00C854D3">
      <w:pPr>
        <w:ind w:left="567"/>
        <w:rPr>
          <w:lang w:val="es-ES"/>
        </w:rPr>
      </w:pPr>
      <w:r w:rsidRPr="001D2D58">
        <w:rPr>
          <w:lang w:val="es-ES"/>
        </w:rPr>
        <w:t>•</w:t>
      </w:r>
      <w:r w:rsidRPr="001D2D58">
        <w:rPr>
          <w:lang w:val="es-ES"/>
        </w:rPr>
        <w:tab/>
      </w:r>
      <w:r w:rsidRPr="00E87AD2">
        <w:rPr>
          <w:lang w:val="es-ES_tradnl"/>
        </w:rPr>
        <w:t>se haga referencia a los documentos anteriores en las notas al pie;</w:t>
      </w:r>
    </w:p>
    <w:p w:rsidR="00BB0664" w:rsidRPr="001D2D58" w:rsidRDefault="00BB0664" w:rsidP="00C854D3">
      <w:pPr>
        <w:ind w:left="567"/>
        <w:rPr>
          <w:lang w:val="es-ES"/>
        </w:rPr>
      </w:pPr>
      <w:r w:rsidRPr="001D2D58">
        <w:rPr>
          <w:lang w:val="es-ES"/>
        </w:rPr>
        <w:t>•</w:t>
      </w:r>
      <w:r w:rsidRPr="001D2D58">
        <w:rPr>
          <w:lang w:val="es-ES"/>
        </w:rPr>
        <w:tab/>
      </w:r>
      <w:r w:rsidRPr="00E87AD2">
        <w:rPr>
          <w:lang w:val="es-ES_tradnl"/>
        </w:rPr>
        <w:t>se combinen párrafos de decisión relativos a cuestiones para información;</w:t>
      </w:r>
      <w:r w:rsidRPr="001D2D58">
        <w:rPr>
          <w:lang w:val="es-ES"/>
        </w:rPr>
        <w:t xml:space="preserve">  </w:t>
      </w:r>
      <w:r w:rsidRPr="00E87AD2">
        <w:rPr>
          <w:lang w:val="es-ES_tradnl"/>
        </w:rPr>
        <w:t>y</w:t>
      </w:r>
    </w:p>
    <w:p w:rsidR="00BB0664" w:rsidRPr="001D2D58" w:rsidRDefault="00BB0664" w:rsidP="00C854D3">
      <w:pPr>
        <w:ind w:left="1134" w:hanging="567"/>
        <w:rPr>
          <w:lang w:val="es-ES"/>
        </w:rPr>
      </w:pPr>
      <w:r w:rsidRPr="001D2D58">
        <w:rPr>
          <w:lang w:val="es-ES"/>
        </w:rPr>
        <w:t>•</w:t>
      </w:r>
      <w:r w:rsidRPr="001D2D58">
        <w:rPr>
          <w:lang w:val="es-ES"/>
        </w:rPr>
        <w:tab/>
      </w:r>
      <w:r w:rsidRPr="00E87AD2">
        <w:rPr>
          <w:lang w:val="es-ES_tradnl"/>
        </w:rPr>
        <w:t>se presente un resumen de los principales puntos del documento en forma de presentación de PowerPoint en la sesión del CAJ.</w:t>
      </w:r>
    </w:p>
    <w:p w:rsidR="00BB0664" w:rsidRPr="001D2D58" w:rsidRDefault="00BB0664" w:rsidP="00C854D3">
      <w:pPr>
        <w:rPr>
          <w:lang w:val="es-ES"/>
        </w:rPr>
      </w:pPr>
    </w:p>
    <w:p w:rsidR="00BB0664" w:rsidRPr="001D2D58" w:rsidRDefault="00BB0664" w:rsidP="00C854D3">
      <w:pPr>
        <w:rPr>
          <w:lang w:val="es-ES"/>
        </w:rPr>
      </w:pPr>
    </w:p>
    <w:p w:rsidR="00BB0664" w:rsidRPr="00E87AD2" w:rsidRDefault="00BB0664" w:rsidP="005854DE">
      <w:pPr>
        <w:pStyle w:val="Heading1"/>
      </w:pPr>
      <w:bookmarkStart w:id="27" w:name="_Toc413750072"/>
      <w:r w:rsidRPr="00E87AD2">
        <w:t>PUBLICACIONES, ACTIVIDADES Y FORMACIONES</w:t>
      </w:r>
      <w:bookmarkEnd w:id="27"/>
    </w:p>
    <w:p w:rsidR="00BB0664" w:rsidRPr="00E87AD2" w:rsidRDefault="00BB0664" w:rsidP="00C854D3">
      <w:pPr>
        <w:rPr>
          <w:lang w:val="es-ES_tradnl"/>
        </w:rPr>
      </w:pPr>
    </w:p>
    <w:p w:rsidR="00BB0664" w:rsidRPr="00E87AD2" w:rsidRDefault="00BB0664" w:rsidP="00BB08EE">
      <w:pPr>
        <w:pStyle w:val="Heading2"/>
      </w:pPr>
      <w:bookmarkStart w:id="28" w:name="_Toc413750073"/>
      <w:r w:rsidRPr="00E87AD2">
        <w:t>Estrategia de comunicación</w:t>
      </w:r>
      <w:bookmarkEnd w:id="28"/>
    </w:p>
    <w:p w:rsidR="00BB0664" w:rsidRPr="00E87AD2" w:rsidRDefault="00BB0664" w:rsidP="00C854D3">
      <w:pPr>
        <w:rPr>
          <w:lang w:val="es-ES_tradnl"/>
        </w:rPr>
      </w:pPr>
    </w:p>
    <w:p w:rsidR="00BB0664" w:rsidRPr="001D2D58" w:rsidRDefault="00BB0664" w:rsidP="00C854D3">
      <w:pPr>
        <w:rPr>
          <w:rFonts w:cs="Arial"/>
          <w:lang w:val="es-ES"/>
        </w:rPr>
      </w:pPr>
      <w:r w:rsidRPr="00E87AD2">
        <w:rPr>
          <w:rFonts w:cs="Arial"/>
          <w:snapToGrid w:val="0"/>
        </w:rPr>
        <w:fldChar w:fldCharType="begin"/>
      </w:r>
      <w:r w:rsidRPr="001D2D58">
        <w:rPr>
          <w:rFonts w:cs="Arial"/>
          <w:snapToGrid w:val="0"/>
          <w:lang w:val="es-ES"/>
        </w:rPr>
        <w:instrText xml:space="preserve"> AUTONUM  </w:instrText>
      </w:r>
      <w:r w:rsidRPr="00E87AD2">
        <w:rPr>
          <w:rFonts w:cs="Arial"/>
          <w:snapToGrid w:val="0"/>
        </w:rPr>
        <w:fldChar w:fldCharType="end"/>
      </w:r>
      <w:r w:rsidRPr="001D2D58">
        <w:rPr>
          <w:rFonts w:cs="Arial"/>
          <w:snapToGrid w:val="0"/>
          <w:lang w:val="es-ES"/>
        </w:rPr>
        <w:tab/>
      </w:r>
      <w:r w:rsidRPr="00E87AD2">
        <w:rPr>
          <w:rFonts w:cs="Arial"/>
          <w:lang w:val="es-ES_tradnl"/>
        </w:rPr>
        <w:t>El Consejo, en su trigésima primera sesión extraordinaria, acordó las respuestas a las siguientes preguntas frecuentes:</w:t>
      </w:r>
    </w:p>
    <w:p w:rsidR="00BB0664" w:rsidRPr="001D2D58" w:rsidRDefault="00BB0664" w:rsidP="00C854D3">
      <w:pPr>
        <w:rPr>
          <w:rFonts w:cs="Arial"/>
          <w:lang w:val="es-ES"/>
        </w:rPr>
      </w:pPr>
    </w:p>
    <w:p w:rsidR="00BB0664" w:rsidRPr="00E87AD2" w:rsidRDefault="00BB0664" w:rsidP="006E7347">
      <w:pPr>
        <w:pStyle w:val="ListParagraph"/>
        <w:ind w:left="1134" w:hanging="567"/>
        <w:rPr>
          <w:rFonts w:cs="Arial"/>
          <w:lang w:val="es-ES_tradnl"/>
        </w:rPr>
      </w:pPr>
      <w:r w:rsidRPr="00E87AD2">
        <w:rPr>
          <w:rFonts w:cs="Arial"/>
          <w:lang w:val="es-ES_tradnl"/>
        </w:rPr>
        <w:t>•</w:t>
      </w:r>
      <w:r w:rsidRPr="00E87AD2">
        <w:rPr>
          <w:rFonts w:cs="Arial"/>
          <w:lang w:val="es-ES_tradnl"/>
        </w:rPr>
        <w:tab/>
        <w:t>¿Quiénes pueden asistir a las reuniones de la UPOV?</w:t>
      </w:r>
    </w:p>
    <w:p w:rsidR="00BB0664" w:rsidRPr="00E87AD2" w:rsidRDefault="00BB0664" w:rsidP="006E7347">
      <w:pPr>
        <w:ind w:left="1134" w:hanging="567"/>
        <w:rPr>
          <w:rFonts w:cs="Arial"/>
          <w:lang w:val="es-ES_tradnl"/>
        </w:rPr>
      </w:pPr>
      <w:r w:rsidRPr="00E87AD2">
        <w:rPr>
          <w:rFonts w:cs="Arial"/>
          <w:lang w:val="es-ES_tradnl"/>
        </w:rPr>
        <w:t>•</w:t>
      </w:r>
      <w:r w:rsidRPr="00E87AD2">
        <w:rPr>
          <w:rFonts w:cs="Arial"/>
          <w:lang w:val="es-ES_tradnl"/>
        </w:rPr>
        <w:tab/>
        <w:t>¿Qué es la UPOV?</w:t>
      </w:r>
    </w:p>
    <w:p w:rsidR="00BB0664" w:rsidRPr="00E87AD2" w:rsidRDefault="00BB0664" w:rsidP="006E7347">
      <w:pPr>
        <w:ind w:left="1134" w:hanging="567"/>
        <w:rPr>
          <w:rFonts w:cs="Arial"/>
          <w:lang w:val="es-ES_tradnl"/>
        </w:rPr>
      </w:pPr>
      <w:r w:rsidRPr="00E87AD2">
        <w:rPr>
          <w:rFonts w:cs="Arial"/>
          <w:lang w:val="es-ES_tradnl"/>
        </w:rPr>
        <w:t>•</w:t>
      </w:r>
      <w:r w:rsidRPr="00E87AD2">
        <w:rPr>
          <w:rFonts w:cs="Arial"/>
          <w:lang w:val="es-ES_tradnl"/>
        </w:rPr>
        <w:tab/>
        <w:t>¿Qué hace la UPOV?</w:t>
      </w:r>
    </w:p>
    <w:p w:rsidR="00BB0664" w:rsidRPr="00E87AD2" w:rsidRDefault="00BB0664" w:rsidP="006E7347">
      <w:pPr>
        <w:ind w:left="1134" w:hanging="567"/>
        <w:rPr>
          <w:rFonts w:cs="Arial"/>
          <w:lang w:val="es-ES_tradnl"/>
        </w:rPr>
      </w:pPr>
      <w:r w:rsidRPr="00E87AD2">
        <w:rPr>
          <w:rFonts w:cs="Arial"/>
          <w:lang w:val="es-ES_tradnl"/>
        </w:rPr>
        <w:t>•</w:t>
      </w:r>
      <w:r w:rsidRPr="00E87AD2">
        <w:rPr>
          <w:rFonts w:cs="Arial"/>
          <w:lang w:val="es-ES_tradnl"/>
        </w:rPr>
        <w:tab/>
        <w:t>¿Quiénes pueden asistir a las reuniones de la UPOV?</w:t>
      </w:r>
    </w:p>
    <w:p w:rsidR="00BB0664" w:rsidRPr="00E87AD2" w:rsidRDefault="00BB0664" w:rsidP="006E7347">
      <w:pPr>
        <w:ind w:left="1134" w:hanging="567"/>
        <w:rPr>
          <w:rFonts w:cs="Arial"/>
          <w:lang w:val="es-ES_tradnl"/>
        </w:rPr>
      </w:pPr>
      <w:r w:rsidRPr="00E87AD2">
        <w:rPr>
          <w:rFonts w:cs="Arial"/>
          <w:lang w:val="es-ES_tradnl"/>
        </w:rPr>
        <w:t>•</w:t>
      </w:r>
      <w:r w:rsidRPr="00E87AD2">
        <w:rPr>
          <w:rFonts w:cs="Arial"/>
          <w:lang w:val="es-ES_tradnl"/>
        </w:rPr>
        <w:tab/>
        <w:t>¿Qué es una variedad vegetal?</w:t>
      </w:r>
    </w:p>
    <w:p w:rsidR="00BB0664" w:rsidRPr="00E87AD2" w:rsidRDefault="00BB0664" w:rsidP="006E7347">
      <w:pPr>
        <w:ind w:left="1134" w:hanging="567"/>
        <w:rPr>
          <w:rFonts w:cs="Arial"/>
          <w:lang w:val="es-ES_tradnl"/>
        </w:rPr>
      </w:pPr>
      <w:r w:rsidRPr="00E87AD2">
        <w:rPr>
          <w:rFonts w:cs="Arial"/>
          <w:lang w:val="es-ES_tradnl"/>
        </w:rPr>
        <w:t>•</w:t>
      </w:r>
      <w:r w:rsidRPr="00E87AD2">
        <w:rPr>
          <w:rFonts w:cs="Arial"/>
          <w:lang w:val="es-ES_tradnl"/>
        </w:rPr>
        <w:tab/>
        <w:t>¿Por qué los agricultores y los productores necesitan obtenciones vegetales?</w:t>
      </w:r>
    </w:p>
    <w:p w:rsidR="00BB0664" w:rsidRPr="00E87AD2" w:rsidRDefault="00BB0664" w:rsidP="006E7347">
      <w:pPr>
        <w:ind w:left="1134" w:hanging="567"/>
        <w:rPr>
          <w:rFonts w:cs="Arial"/>
          <w:lang w:val="es-ES_tradnl"/>
        </w:rPr>
      </w:pPr>
      <w:r w:rsidRPr="00E87AD2">
        <w:rPr>
          <w:rFonts w:cs="Arial"/>
          <w:lang w:val="es-ES_tradnl"/>
        </w:rPr>
        <w:t>•</w:t>
      </w:r>
      <w:r w:rsidRPr="00E87AD2">
        <w:rPr>
          <w:rFonts w:cs="Arial"/>
          <w:lang w:val="es-ES_tradnl"/>
        </w:rPr>
        <w:tab/>
        <w:t>¿Por qué es necesaria la protección de las obtenciones vegetales?</w:t>
      </w:r>
    </w:p>
    <w:p w:rsidR="00BB0664" w:rsidRPr="00E87AD2" w:rsidRDefault="00BB0664" w:rsidP="006E7347">
      <w:pPr>
        <w:ind w:left="1134" w:hanging="567"/>
        <w:rPr>
          <w:rFonts w:cs="Arial"/>
          <w:lang w:val="es-ES_tradnl"/>
        </w:rPr>
      </w:pPr>
      <w:r w:rsidRPr="00E87AD2">
        <w:rPr>
          <w:rFonts w:cs="Arial"/>
          <w:lang w:val="es-ES_tradnl"/>
        </w:rPr>
        <w:t>•</w:t>
      </w:r>
      <w:r w:rsidRPr="00E87AD2">
        <w:rPr>
          <w:rFonts w:cs="Arial"/>
          <w:lang w:val="es-ES_tradnl"/>
        </w:rPr>
        <w:tab/>
        <w:t>¿Cómo se aplica la protección de las obtenciones vegetales?</w:t>
      </w:r>
    </w:p>
    <w:p w:rsidR="00BB0664" w:rsidRPr="00E87AD2" w:rsidRDefault="00BB0664" w:rsidP="006E7347">
      <w:pPr>
        <w:ind w:left="1134" w:hanging="567"/>
        <w:rPr>
          <w:rFonts w:cs="Arial"/>
          <w:lang w:val="es-ES_tradnl"/>
        </w:rPr>
      </w:pPr>
      <w:r w:rsidRPr="00E87AD2">
        <w:rPr>
          <w:rFonts w:cs="Arial"/>
          <w:lang w:val="es-ES_tradnl"/>
        </w:rPr>
        <w:t>•</w:t>
      </w:r>
      <w:r w:rsidRPr="00E87AD2">
        <w:rPr>
          <w:rFonts w:cs="Arial"/>
          <w:lang w:val="es-ES_tradnl"/>
        </w:rPr>
        <w:tab/>
        <w:t>¿Qué requisitos ha de cumplir una obtención vegetal para recibir protección?</w:t>
      </w:r>
    </w:p>
    <w:p w:rsidR="00BB0664" w:rsidRPr="00E87AD2" w:rsidRDefault="00BB0664" w:rsidP="006E7347">
      <w:pPr>
        <w:ind w:left="1134" w:hanging="567"/>
        <w:rPr>
          <w:rFonts w:cs="Arial"/>
          <w:lang w:val="es-ES_tradnl"/>
        </w:rPr>
      </w:pPr>
      <w:r w:rsidRPr="00E87AD2">
        <w:rPr>
          <w:rFonts w:cs="Arial"/>
          <w:lang w:val="es-ES_tradnl"/>
        </w:rPr>
        <w:t>•</w:t>
      </w:r>
      <w:r w:rsidRPr="00E87AD2">
        <w:rPr>
          <w:rFonts w:cs="Arial"/>
          <w:lang w:val="es-ES_tradnl"/>
        </w:rPr>
        <w:tab/>
        <w:t>¿Por qué exige la UPOV que las variedades sean homogéneas y estables?</w:t>
      </w:r>
    </w:p>
    <w:p w:rsidR="00BB0664" w:rsidRPr="00E87AD2" w:rsidRDefault="00BB0664" w:rsidP="006E7347">
      <w:pPr>
        <w:ind w:left="1134" w:hanging="567"/>
        <w:rPr>
          <w:rFonts w:cs="Arial"/>
          <w:lang w:val="es-ES_tradnl"/>
        </w:rPr>
      </w:pPr>
      <w:r w:rsidRPr="00E87AD2">
        <w:rPr>
          <w:rFonts w:cs="Arial"/>
          <w:lang w:val="es-ES_tradnl"/>
        </w:rPr>
        <w:t>•</w:t>
      </w:r>
      <w:r w:rsidRPr="00E87AD2">
        <w:rPr>
          <w:rFonts w:cs="Arial"/>
          <w:lang w:val="es-ES_tradnl"/>
        </w:rPr>
        <w:tab/>
        <w:t>¿Pueden los obtentores utilizar una variedad protegida en sus programas de fitomejoramiento?</w:t>
      </w:r>
    </w:p>
    <w:p w:rsidR="00BB0664" w:rsidRPr="00E87AD2" w:rsidRDefault="00BB0664" w:rsidP="006E7347">
      <w:pPr>
        <w:ind w:left="1134" w:hanging="567"/>
        <w:rPr>
          <w:rFonts w:cs="Arial"/>
          <w:lang w:val="es-ES_tradnl"/>
        </w:rPr>
      </w:pPr>
      <w:r w:rsidRPr="00E87AD2">
        <w:rPr>
          <w:rFonts w:cs="Arial"/>
          <w:lang w:val="es-ES_tradnl"/>
        </w:rPr>
        <w:t>•</w:t>
      </w:r>
      <w:r w:rsidRPr="00E87AD2">
        <w:rPr>
          <w:rFonts w:cs="Arial"/>
          <w:lang w:val="es-ES_tradnl"/>
        </w:rPr>
        <w:tab/>
        <w:t>¿Quién puede proteger una obtención vegetal?</w:t>
      </w:r>
    </w:p>
    <w:p w:rsidR="00BB0664" w:rsidRPr="00E87AD2" w:rsidRDefault="00BB0664" w:rsidP="006E7347">
      <w:pPr>
        <w:ind w:left="1134" w:hanging="567"/>
        <w:rPr>
          <w:rFonts w:cs="Arial"/>
          <w:lang w:val="es-ES_tradnl"/>
        </w:rPr>
      </w:pPr>
      <w:r w:rsidRPr="00E87AD2">
        <w:rPr>
          <w:rFonts w:cs="Arial"/>
          <w:lang w:val="es-ES_tradnl"/>
        </w:rPr>
        <w:t>•</w:t>
      </w:r>
      <w:r w:rsidRPr="00E87AD2">
        <w:rPr>
          <w:rFonts w:cs="Arial"/>
          <w:lang w:val="es-ES_tradnl"/>
        </w:rPr>
        <w:tab/>
        <w:t>¿Dónde se presentan las solicitudes de protección de variedades?</w:t>
      </w:r>
    </w:p>
    <w:p w:rsidR="00BB0664" w:rsidRPr="00E87AD2" w:rsidRDefault="00BB0664" w:rsidP="006E7347">
      <w:pPr>
        <w:ind w:left="1134" w:hanging="567"/>
        <w:rPr>
          <w:rFonts w:cs="Arial"/>
          <w:lang w:val="es-ES_tradnl"/>
        </w:rPr>
      </w:pPr>
      <w:r w:rsidRPr="00E87AD2">
        <w:rPr>
          <w:rFonts w:cs="Arial"/>
          <w:lang w:val="es-ES_tradnl"/>
        </w:rPr>
        <w:t>•</w:t>
      </w:r>
      <w:r w:rsidRPr="00E87AD2">
        <w:rPr>
          <w:rFonts w:cs="Arial"/>
          <w:lang w:val="es-ES_tradnl"/>
        </w:rPr>
        <w:tab/>
        <w:t>¿Se puede obtener protección en más de un país presentando una sola solicitud?</w:t>
      </w:r>
    </w:p>
    <w:p w:rsidR="00BB0664" w:rsidRPr="00E87AD2" w:rsidRDefault="00BB0664" w:rsidP="006E7347">
      <w:pPr>
        <w:ind w:left="1134" w:hanging="567"/>
        <w:rPr>
          <w:rFonts w:cs="Arial"/>
          <w:lang w:val="es-ES_tradnl"/>
        </w:rPr>
      </w:pPr>
      <w:r w:rsidRPr="00E87AD2">
        <w:rPr>
          <w:rFonts w:cs="Arial"/>
          <w:lang w:val="es-ES_tradnl"/>
        </w:rPr>
        <w:t>•</w:t>
      </w:r>
      <w:r w:rsidRPr="00E87AD2">
        <w:rPr>
          <w:rFonts w:cs="Arial"/>
          <w:lang w:val="es-ES_tradnl"/>
        </w:rPr>
        <w:tab/>
        <w:t>¿Qué beneficios ofrece la protección de las obtenciones vegetales y la pertenencia a la UPOV?</w:t>
      </w:r>
    </w:p>
    <w:p w:rsidR="00BB0664" w:rsidRPr="00E87AD2" w:rsidRDefault="00BB0664" w:rsidP="006E7347">
      <w:pPr>
        <w:ind w:left="1134" w:hanging="567"/>
        <w:rPr>
          <w:rFonts w:cs="Arial"/>
          <w:lang w:val="es-ES_tradnl"/>
        </w:rPr>
      </w:pPr>
      <w:r w:rsidRPr="00E87AD2">
        <w:rPr>
          <w:rFonts w:cs="Arial"/>
          <w:lang w:val="es-ES_tradnl"/>
        </w:rPr>
        <w:t>•</w:t>
      </w:r>
      <w:r w:rsidRPr="00E87AD2">
        <w:rPr>
          <w:rFonts w:cs="Arial"/>
          <w:lang w:val="es-ES_tradnl"/>
        </w:rPr>
        <w:tab/>
        <w:t>¿Qué efecto tiene la protección de las obtenciones vegetales en las variedades que no están protegidas (por ejemplo, las variedades tradicionales, las variedades locales, etcétera)?</w:t>
      </w:r>
    </w:p>
    <w:p w:rsidR="00BB0664" w:rsidRPr="00E87AD2" w:rsidRDefault="00BB0664" w:rsidP="006E7347">
      <w:pPr>
        <w:ind w:left="1134" w:hanging="567"/>
        <w:rPr>
          <w:rFonts w:cs="Arial"/>
          <w:lang w:val="es-ES_tradnl"/>
        </w:rPr>
      </w:pPr>
      <w:r w:rsidRPr="00E87AD2">
        <w:rPr>
          <w:rFonts w:cs="Arial"/>
          <w:lang w:val="es-ES_tradnl"/>
        </w:rPr>
        <w:t>•</w:t>
      </w:r>
      <w:r w:rsidRPr="00E87AD2">
        <w:rPr>
          <w:rFonts w:cs="Arial"/>
          <w:lang w:val="es-ES_tradnl"/>
        </w:rPr>
        <w:tab/>
        <w:t>¿Qué relación hay entre el Convenio de la UPOV y los tratados internacionales relativos a los recursos genéticos, como el Convenio sobre la Diversidad Biológica (CDB) y el Tratado Internacional sobre los Recursos Fitogenéticos para la Alimentación y la Agricultura (ITPGRFA)?</w:t>
      </w:r>
    </w:p>
    <w:p w:rsidR="00BB0664" w:rsidRPr="00E87AD2" w:rsidRDefault="00BB0664" w:rsidP="006E7347">
      <w:pPr>
        <w:ind w:left="1134" w:hanging="567"/>
        <w:rPr>
          <w:rFonts w:cs="Arial"/>
          <w:lang w:val="es-ES_tradnl"/>
        </w:rPr>
      </w:pPr>
      <w:r w:rsidRPr="00E87AD2">
        <w:rPr>
          <w:rFonts w:cs="Arial"/>
          <w:lang w:val="es-ES_tradnl"/>
        </w:rPr>
        <w:t>•</w:t>
      </w:r>
      <w:r w:rsidRPr="00E87AD2">
        <w:rPr>
          <w:rFonts w:cs="Arial"/>
          <w:lang w:val="es-ES_tradnl"/>
        </w:rPr>
        <w:tab/>
        <w:t>¿Qué relación hay entre las patentes y los derechos de obtentor?</w:t>
      </w:r>
    </w:p>
    <w:p w:rsidR="00BB0664" w:rsidRPr="00E87AD2" w:rsidRDefault="00BB0664" w:rsidP="006E7347">
      <w:pPr>
        <w:ind w:left="1134" w:hanging="567"/>
        <w:rPr>
          <w:rFonts w:cs="Arial"/>
          <w:lang w:val="es-ES_tradnl"/>
        </w:rPr>
      </w:pPr>
      <w:r w:rsidRPr="00E87AD2">
        <w:rPr>
          <w:rFonts w:cs="Arial"/>
          <w:lang w:val="es-ES_tradnl"/>
        </w:rPr>
        <w:t>•</w:t>
      </w:r>
      <w:r w:rsidRPr="00E87AD2">
        <w:rPr>
          <w:rFonts w:cs="Arial"/>
          <w:lang w:val="es-ES_tradnl"/>
        </w:rPr>
        <w:tab/>
        <w:t>¿Qué relación hay entre los derechos de obtentor y las medidas que regulan el comercio, como la certificación de semillas, los registros oficiales de variedades admitidas para la comercialización (por ejemplo, listas nacionales, catálogos oficiales), etcétera?</w:t>
      </w:r>
    </w:p>
    <w:p w:rsidR="00BB0664" w:rsidRPr="00E87AD2" w:rsidRDefault="00BB0664" w:rsidP="006E7347">
      <w:pPr>
        <w:ind w:left="1134" w:hanging="567"/>
        <w:rPr>
          <w:rFonts w:cs="Arial"/>
          <w:lang w:val="es-ES_tradnl"/>
        </w:rPr>
      </w:pPr>
      <w:r w:rsidRPr="00E87AD2">
        <w:rPr>
          <w:rFonts w:cs="Arial"/>
          <w:lang w:val="es-ES_tradnl"/>
        </w:rPr>
        <w:t>•</w:t>
      </w:r>
      <w:r w:rsidRPr="00E87AD2">
        <w:rPr>
          <w:rFonts w:cs="Arial"/>
          <w:lang w:val="es-ES_tradnl"/>
        </w:rPr>
        <w:tab/>
        <w:t>Si descubro una planta o variedad ya existente, ¿puedo protegerla?</w:t>
      </w:r>
    </w:p>
    <w:p w:rsidR="00BB0664" w:rsidRPr="00E87AD2" w:rsidRDefault="00BB0664" w:rsidP="006E7347">
      <w:pPr>
        <w:ind w:left="1134" w:hanging="567"/>
        <w:rPr>
          <w:rFonts w:cs="Arial"/>
          <w:lang w:val="es-ES_tradnl"/>
        </w:rPr>
      </w:pPr>
      <w:r w:rsidRPr="00E87AD2">
        <w:rPr>
          <w:rFonts w:cs="Arial"/>
          <w:lang w:val="es-ES_tradnl"/>
        </w:rPr>
        <w:lastRenderedPageBreak/>
        <w:t>•</w:t>
      </w:r>
      <w:r w:rsidRPr="00E87AD2">
        <w:rPr>
          <w:rFonts w:cs="Arial"/>
          <w:lang w:val="es-ES_tradnl"/>
        </w:rPr>
        <w:tab/>
        <w:t>¿Permite el Convenio de la UPOV denegar la protección a una variedad porque ha sido modificada genéticamente?</w:t>
      </w:r>
    </w:p>
    <w:p w:rsidR="00BB0664" w:rsidRPr="00E87AD2" w:rsidRDefault="00BB0664" w:rsidP="006E7347">
      <w:pPr>
        <w:ind w:left="1134" w:hanging="567"/>
        <w:rPr>
          <w:rFonts w:cs="Arial"/>
          <w:lang w:val="es-ES_tradnl"/>
        </w:rPr>
      </w:pPr>
      <w:r w:rsidRPr="00E87AD2">
        <w:rPr>
          <w:rFonts w:cs="Arial"/>
          <w:lang w:val="es-ES_tradnl"/>
        </w:rPr>
        <w:t>•</w:t>
      </w:r>
      <w:r w:rsidRPr="00E87AD2">
        <w:rPr>
          <w:rFonts w:cs="Arial"/>
          <w:lang w:val="es-ES_tradnl"/>
        </w:rPr>
        <w:tab/>
        <w:t>¿Puedo utilizar la protección de las obtenciones vegetales para proteger: un rasgo (por ejemplo, resistencia a las enfermedades, color de la flor), una sustancia química o de otra índole (por ejemplo, aceite, ADN), una tecnología de fitomejoramiento (por ejemplo, el cultivo de tejidos)?</w:t>
      </w:r>
    </w:p>
    <w:p w:rsidR="00BB0664" w:rsidRPr="00E87AD2" w:rsidRDefault="00BB0664" w:rsidP="006E7347">
      <w:pPr>
        <w:ind w:left="1134" w:hanging="567"/>
        <w:rPr>
          <w:rFonts w:cs="Arial"/>
          <w:lang w:val="es-ES_tradnl"/>
        </w:rPr>
      </w:pPr>
      <w:r w:rsidRPr="00E87AD2">
        <w:rPr>
          <w:rFonts w:cs="Arial"/>
          <w:lang w:val="es-ES_tradnl"/>
        </w:rPr>
        <w:t>•</w:t>
      </w:r>
      <w:r w:rsidRPr="00E87AD2">
        <w:rPr>
          <w:rFonts w:cs="Arial"/>
          <w:lang w:val="es-ES_tradnl"/>
        </w:rPr>
        <w:tab/>
        <w:t>¿En el sistema de la UPOV, se puede proteger una variedad híbrida?</w:t>
      </w:r>
    </w:p>
    <w:p w:rsidR="00BB0664" w:rsidRPr="00E87AD2" w:rsidRDefault="00BB0664" w:rsidP="006E7347">
      <w:pPr>
        <w:ind w:left="1134" w:hanging="567"/>
        <w:rPr>
          <w:rFonts w:cs="Arial"/>
          <w:lang w:val="es-ES_tradnl"/>
        </w:rPr>
      </w:pPr>
      <w:r w:rsidRPr="00E87AD2">
        <w:rPr>
          <w:rFonts w:cs="Arial"/>
          <w:lang w:val="es-ES_tradnl"/>
        </w:rPr>
        <w:t>•</w:t>
      </w:r>
      <w:r w:rsidRPr="00E87AD2">
        <w:rPr>
          <w:rFonts w:cs="Arial"/>
          <w:lang w:val="es-ES_tradnl"/>
        </w:rPr>
        <w:tab/>
        <w:t>¿Puede un agricultor volver a sembrar, sin la autorización del obtentor, semillas obtenidas de una variedad protegida?</w:t>
      </w:r>
    </w:p>
    <w:p w:rsidR="00BB0664" w:rsidRPr="00E87AD2" w:rsidRDefault="00BB0664" w:rsidP="006E7347">
      <w:pPr>
        <w:ind w:left="1134" w:hanging="567"/>
        <w:rPr>
          <w:rFonts w:cs="Arial"/>
          <w:lang w:val="es-ES_tradnl"/>
        </w:rPr>
      </w:pPr>
      <w:r w:rsidRPr="00E87AD2">
        <w:rPr>
          <w:rFonts w:cs="Arial"/>
          <w:lang w:val="es-ES_tradnl"/>
        </w:rPr>
        <w:t>•</w:t>
      </w:r>
      <w:r w:rsidRPr="00E87AD2">
        <w:rPr>
          <w:rFonts w:cs="Arial"/>
          <w:lang w:val="es-ES_tradnl"/>
        </w:rPr>
        <w:tab/>
        <w:t>¿Puede un agricultor vender, sin la autorización del obtentor, semillas obtenidas de una variedad protegida?</w:t>
      </w:r>
    </w:p>
    <w:p w:rsidR="00BB0664" w:rsidRPr="00E87AD2" w:rsidRDefault="00BB0664" w:rsidP="006E7347">
      <w:pPr>
        <w:ind w:left="1134" w:hanging="567"/>
        <w:rPr>
          <w:rFonts w:cs="Arial"/>
          <w:lang w:val="es-ES_tradnl"/>
        </w:rPr>
      </w:pPr>
      <w:r w:rsidRPr="00E87AD2">
        <w:rPr>
          <w:rFonts w:cs="Arial"/>
          <w:lang w:val="es-ES_tradnl"/>
        </w:rPr>
        <w:t>•</w:t>
      </w:r>
      <w:r w:rsidRPr="00E87AD2">
        <w:rPr>
          <w:rFonts w:cs="Arial"/>
          <w:lang w:val="es-ES_tradnl"/>
        </w:rPr>
        <w:tab/>
        <w:t>¿Cómo se puede saber si una variedad está protegida?</w:t>
      </w:r>
    </w:p>
    <w:p w:rsidR="00BB0664" w:rsidRPr="00E87AD2" w:rsidRDefault="00BB0664" w:rsidP="006E7347">
      <w:pPr>
        <w:ind w:left="1134" w:hanging="567"/>
        <w:rPr>
          <w:rFonts w:cs="Arial"/>
          <w:lang w:val="es-ES_tradnl"/>
        </w:rPr>
      </w:pPr>
      <w:r w:rsidRPr="00E87AD2">
        <w:rPr>
          <w:rFonts w:cs="Arial"/>
          <w:lang w:val="es-ES_tradnl"/>
        </w:rPr>
        <w:t>•</w:t>
      </w:r>
      <w:r w:rsidRPr="00E87AD2">
        <w:rPr>
          <w:rFonts w:cs="Arial"/>
          <w:lang w:val="es-ES_tradnl"/>
        </w:rPr>
        <w:tab/>
        <w:t>¿Quién es responsable de defender los derechos de obtentor?</w:t>
      </w:r>
    </w:p>
    <w:p w:rsidR="00BB0664" w:rsidRPr="00E87AD2" w:rsidRDefault="00BB0664" w:rsidP="006E7347">
      <w:pPr>
        <w:ind w:left="1134" w:hanging="567"/>
        <w:rPr>
          <w:rFonts w:cs="Arial"/>
          <w:lang w:val="es-ES_tradnl"/>
        </w:rPr>
      </w:pPr>
      <w:r w:rsidRPr="00E87AD2">
        <w:rPr>
          <w:rFonts w:cs="Arial"/>
          <w:lang w:val="es-ES_tradnl"/>
        </w:rPr>
        <w:t>•</w:t>
      </w:r>
      <w:r w:rsidRPr="00E87AD2">
        <w:rPr>
          <w:rFonts w:cs="Arial"/>
          <w:lang w:val="es-ES_tradnl"/>
        </w:rPr>
        <w:tab/>
        <w:t>¿Permite la UPOV la utilización de técnicas moleculares (perfiles de ADN) en el examen de la distinción, la homogeneidad y la estabilidad (“DHE”)?</w:t>
      </w:r>
    </w:p>
    <w:p w:rsidR="00BB0664" w:rsidRPr="00E87AD2" w:rsidRDefault="00BB0664" w:rsidP="006E7347">
      <w:pPr>
        <w:ind w:left="1134" w:hanging="567"/>
        <w:rPr>
          <w:lang w:val="es-ES_tradnl"/>
        </w:rPr>
      </w:pPr>
      <w:r w:rsidRPr="00E87AD2">
        <w:rPr>
          <w:rFonts w:cs="Arial"/>
          <w:lang w:val="es-ES_tradnl"/>
        </w:rPr>
        <w:t>•</w:t>
      </w:r>
      <w:r w:rsidRPr="00E87AD2">
        <w:rPr>
          <w:rFonts w:cs="Arial"/>
          <w:lang w:val="es-ES_tradnl"/>
        </w:rPr>
        <w:tab/>
      </w:r>
      <w:r w:rsidRPr="00E87AD2">
        <w:rPr>
          <w:lang w:val="es-ES_tradnl"/>
        </w:rPr>
        <w:t>¿Es cierto que la UPOV solo promueve las variedades vegetales obtenidas por medio del fitomejoramiento comercial y destinadas a los agricultores industrializados?</w:t>
      </w:r>
    </w:p>
    <w:p w:rsidR="00BB0664" w:rsidRPr="00E87AD2" w:rsidRDefault="00BB0664" w:rsidP="006E7347">
      <w:pPr>
        <w:rPr>
          <w:lang w:val="es-ES_tradnl"/>
        </w:rPr>
      </w:pPr>
    </w:p>
    <w:p w:rsidR="00BB0664" w:rsidRPr="001D2D58" w:rsidRDefault="00BB0664" w:rsidP="00C854D3">
      <w:pPr>
        <w:rPr>
          <w:rFonts w:cs="Arial"/>
          <w:lang w:val="es-ES"/>
        </w:rPr>
      </w:pPr>
      <w:r w:rsidRPr="00E87AD2">
        <w:rPr>
          <w:rFonts w:cs="Arial"/>
        </w:rPr>
        <w:fldChar w:fldCharType="begin"/>
      </w:r>
      <w:r w:rsidRPr="001D2D58">
        <w:rPr>
          <w:rFonts w:cs="Arial"/>
          <w:lang w:val="es-ES"/>
        </w:rPr>
        <w:instrText xml:space="preserve"> AUTONUM  </w:instrText>
      </w:r>
      <w:r w:rsidRPr="00E87AD2">
        <w:rPr>
          <w:rFonts w:cs="Arial"/>
        </w:rPr>
        <w:fldChar w:fldCharType="end"/>
      </w:r>
      <w:r w:rsidRPr="001D2D58">
        <w:rPr>
          <w:rFonts w:cs="Arial"/>
          <w:lang w:val="es-ES"/>
        </w:rPr>
        <w:tab/>
      </w:r>
      <w:r w:rsidRPr="00E87AD2">
        <w:rPr>
          <w:rFonts w:cs="Arial"/>
          <w:lang w:val="es-ES_tradnl"/>
        </w:rPr>
        <w:t>En su cuadragésima octava sesión ordinaria, el Consejo acordó las respuestas a las siguientes preguntas frecuentes:</w:t>
      </w:r>
    </w:p>
    <w:p w:rsidR="00BB0664" w:rsidRPr="001D2D58" w:rsidRDefault="00BB0664" w:rsidP="00C854D3">
      <w:pPr>
        <w:rPr>
          <w:rFonts w:cs="Arial"/>
          <w:lang w:val="es-ES"/>
        </w:rPr>
      </w:pPr>
    </w:p>
    <w:p w:rsidR="00BB0664" w:rsidRPr="00E87AD2" w:rsidRDefault="00BB0664" w:rsidP="00C854D3">
      <w:pPr>
        <w:pStyle w:val="ListParagraph"/>
        <w:numPr>
          <w:ilvl w:val="0"/>
          <w:numId w:val="10"/>
        </w:numPr>
        <w:rPr>
          <w:rFonts w:cs="Arial"/>
          <w:lang w:val="es-ES_tradnl"/>
        </w:rPr>
      </w:pPr>
      <w:r w:rsidRPr="00E87AD2">
        <w:rPr>
          <w:rFonts w:cs="Arial"/>
          <w:lang w:val="es-ES_tradnl"/>
        </w:rPr>
        <w:t>¿Regula el Convenio de la UPOV las condiciones de utilización de las variedades que no son objeto de la protección de derechos de obtentor?</w:t>
      </w:r>
    </w:p>
    <w:p w:rsidR="00BB0664" w:rsidRPr="00E87AD2" w:rsidRDefault="00BB0664" w:rsidP="00C854D3">
      <w:pPr>
        <w:pStyle w:val="ListParagraph"/>
        <w:numPr>
          <w:ilvl w:val="0"/>
          <w:numId w:val="10"/>
        </w:numPr>
        <w:rPr>
          <w:rFonts w:cs="Arial"/>
          <w:lang w:val="es-ES_tradnl"/>
        </w:rPr>
      </w:pPr>
      <w:r w:rsidRPr="00E87AD2">
        <w:rPr>
          <w:rFonts w:cs="Arial"/>
          <w:lang w:val="es-ES_tradnl"/>
        </w:rPr>
        <w:t>¿Tienen los agricultores de subsistencia la posibilidad de intercambiar material de reproducción o de multiplicación de variedades protegidas por otros bienes vitales dentro de la comunidad local?</w:t>
      </w:r>
    </w:p>
    <w:p w:rsidR="00BB0664" w:rsidRPr="00E87AD2" w:rsidRDefault="00BB0664" w:rsidP="00C854D3">
      <w:pPr>
        <w:pStyle w:val="ListParagraph"/>
        <w:numPr>
          <w:ilvl w:val="0"/>
          <w:numId w:val="10"/>
        </w:numPr>
        <w:rPr>
          <w:rFonts w:cs="Arial"/>
          <w:lang w:val="es-ES_tradnl"/>
        </w:rPr>
      </w:pPr>
      <w:r w:rsidRPr="00E87AD2">
        <w:rPr>
          <w:rFonts w:cs="Arial"/>
          <w:lang w:val="es-ES_tradnl"/>
        </w:rPr>
        <w:t>En virtud del sistema de la UPOV, los obtentores deciden las condiciones y las limitaciones a las que está sujeta la autorización de la explotación de sus variedades protegidas</w:t>
      </w:r>
      <w:r w:rsidRPr="00E87AD2">
        <w:rPr>
          <w:rFonts w:cs="Arial"/>
          <w:color w:val="000000"/>
          <w:lang w:val="es-ES_tradnl"/>
        </w:rPr>
        <w:t>.</w:t>
      </w:r>
      <w:r w:rsidRPr="00E87AD2">
        <w:rPr>
          <w:rFonts w:cs="Arial"/>
          <w:lang w:val="es-ES_tradnl"/>
        </w:rPr>
        <w:t xml:space="preserve">  ¿Es posible, por ejemplo, permitir a los agricultores intercambiar semillas libremente dentro de la comunidad local?</w:t>
      </w:r>
    </w:p>
    <w:p w:rsidR="00BB0664" w:rsidRPr="00E87AD2" w:rsidRDefault="00BB0664" w:rsidP="00C854D3">
      <w:pPr>
        <w:rPr>
          <w:rFonts w:cs="Arial"/>
          <w:lang w:val="es-ES_tradnl"/>
        </w:rPr>
      </w:pPr>
    </w:p>
    <w:p w:rsidR="00BB0664" w:rsidRPr="001D2D58" w:rsidRDefault="00BB0664" w:rsidP="00C854D3">
      <w:pPr>
        <w:rPr>
          <w:rFonts w:cs="Arial"/>
          <w:lang w:val="es-ES"/>
        </w:rPr>
      </w:pPr>
      <w:r w:rsidRPr="00E87AD2">
        <w:rPr>
          <w:rFonts w:cs="Arial"/>
          <w:lang w:val="es-ES_tradnl"/>
        </w:rPr>
        <w:t>y acordó asimismo la revisión de la siguiente pregunta frecuente:</w:t>
      </w:r>
    </w:p>
    <w:p w:rsidR="00BB0664" w:rsidRPr="001D2D58" w:rsidRDefault="00BB0664" w:rsidP="00C854D3">
      <w:pPr>
        <w:rPr>
          <w:rFonts w:cs="Arial"/>
          <w:lang w:val="es-ES"/>
        </w:rPr>
      </w:pPr>
    </w:p>
    <w:p w:rsidR="00BB0664" w:rsidRPr="00E87AD2" w:rsidRDefault="00BB0664" w:rsidP="00C854D3">
      <w:pPr>
        <w:pStyle w:val="ListParagraph"/>
        <w:numPr>
          <w:ilvl w:val="0"/>
          <w:numId w:val="10"/>
        </w:numPr>
        <w:rPr>
          <w:rFonts w:cs="Arial"/>
          <w:lang w:val="es-ES_tradnl"/>
        </w:rPr>
      </w:pPr>
      <w:r w:rsidRPr="00E87AD2">
        <w:rPr>
          <w:rFonts w:cs="Arial"/>
          <w:lang w:val="es-ES_tradnl"/>
        </w:rPr>
        <w:t>¿Por qué es necesaria la protección de las obtenciones vegetales?</w:t>
      </w:r>
    </w:p>
    <w:p w:rsidR="00BB0664" w:rsidRPr="00E87AD2" w:rsidRDefault="00BB0664" w:rsidP="00C854D3">
      <w:pPr>
        <w:rPr>
          <w:lang w:val="es-ES_tradnl"/>
        </w:rPr>
      </w:pPr>
    </w:p>
    <w:p w:rsidR="00BB0664" w:rsidRPr="00E87AD2" w:rsidRDefault="00BB0664" w:rsidP="00C854D3">
      <w:pPr>
        <w:rPr>
          <w:lang w:val="es-ES_tradnl"/>
        </w:rPr>
      </w:pPr>
    </w:p>
    <w:p w:rsidR="00BB0664" w:rsidRPr="00E87AD2" w:rsidRDefault="00BB0664" w:rsidP="00BB08EE">
      <w:pPr>
        <w:pStyle w:val="Heading2"/>
      </w:pPr>
      <w:bookmarkStart w:id="29" w:name="_Toc413750074"/>
      <w:r w:rsidRPr="00E87AD2">
        <w:t>Publicación de la Trilogía</w:t>
      </w:r>
      <w:bookmarkEnd w:id="29"/>
    </w:p>
    <w:p w:rsidR="00BB0664" w:rsidRPr="001D2D58" w:rsidRDefault="00BB0664" w:rsidP="00C854D3">
      <w:pPr>
        <w:rPr>
          <w:lang w:val="es-ES"/>
        </w:rPr>
      </w:pPr>
    </w:p>
    <w:p w:rsidR="00BB0664" w:rsidRPr="001D2D58" w:rsidRDefault="00BB0664" w:rsidP="00C854D3">
      <w:pPr>
        <w:rPr>
          <w:snapToGrid w:val="0"/>
          <w:lang w:val="es-ES"/>
        </w:rPr>
      </w:pPr>
      <w:r w:rsidRPr="00E87AD2">
        <w:rPr>
          <w:snapToGrid w:val="0"/>
          <w:lang w:val="es-ES_tradnl"/>
        </w:rPr>
        <w:t>La Trilogía,</w:t>
      </w:r>
      <w:r w:rsidRPr="00E87AD2">
        <w:rPr>
          <w:rStyle w:val="FootnoteReference"/>
          <w:snapToGrid w:val="0"/>
          <w:lang w:val="es-ES_tradnl"/>
        </w:rPr>
        <w:footnoteReference w:id="2"/>
      </w:r>
      <w:r w:rsidRPr="00E87AD2">
        <w:rPr>
          <w:snapToGrid w:val="0"/>
          <w:lang w:val="es-ES_tradnl"/>
        </w:rPr>
        <w:t xml:space="preserve"> incluido el resumen, se ha publicado en español (véase </w:t>
      </w:r>
      <w:hyperlink r:id="rId11" w:history="1">
        <w:r w:rsidRPr="00E87AD2">
          <w:rPr>
            <w:rStyle w:val="Hyperlink"/>
            <w:snapToGrid w:val="0"/>
            <w:lang w:val="es-ES_tradnl"/>
          </w:rPr>
          <w:t>http://www.upov.int/about/es/benefits_upov_system.html</w:t>
        </w:r>
      </w:hyperlink>
      <w:r w:rsidRPr="00E87AD2">
        <w:rPr>
          <w:snapToGrid w:val="0"/>
          <w:lang w:val="es-ES_tradnl"/>
        </w:rPr>
        <w:t xml:space="preserve">) y en francés (véase </w:t>
      </w:r>
      <w:hyperlink r:id="rId12" w:history="1">
        <w:r w:rsidRPr="00E87AD2">
          <w:rPr>
            <w:rStyle w:val="Hyperlink"/>
            <w:snapToGrid w:val="0"/>
            <w:lang w:val="es-ES_tradnl"/>
          </w:rPr>
          <w:t>http://www.upov.int/about/fr/benefits_upov_system.html</w:t>
        </w:r>
      </w:hyperlink>
      <w:r w:rsidRPr="00E87AD2">
        <w:rPr>
          <w:snapToGrid w:val="0"/>
          <w:lang w:val="es-ES_tradnl"/>
        </w:rPr>
        <w:t>).</w:t>
      </w:r>
    </w:p>
    <w:p w:rsidR="00BB0664" w:rsidRPr="001D2D58" w:rsidRDefault="00BB0664" w:rsidP="00C854D3">
      <w:pPr>
        <w:rPr>
          <w:lang w:val="es-ES"/>
        </w:rPr>
      </w:pPr>
    </w:p>
    <w:p w:rsidR="00BB0664" w:rsidRPr="001D2D58" w:rsidRDefault="00BB0664" w:rsidP="00C854D3">
      <w:pPr>
        <w:rPr>
          <w:lang w:val="es-ES"/>
        </w:rPr>
      </w:pPr>
    </w:p>
    <w:p w:rsidR="00BB0664" w:rsidRPr="00E87AD2" w:rsidRDefault="00BB0664" w:rsidP="00BB08EE">
      <w:pPr>
        <w:pStyle w:val="Heading2"/>
      </w:pPr>
      <w:bookmarkStart w:id="30" w:name="_Toc413750075"/>
      <w:r w:rsidRPr="00E87AD2">
        <w:t>Seminario sobre variedades esencialmente derivadas</w:t>
      </w:r>
      <w:bookmarkEnd w:id="30"/>
    </w:p>
    <w:p w:rsidR="00BB0664" w:rsidRPr="001D2D58" w:rsidRDefault="00BB0664" w:rsidP="00C854D3">
      <w:pPr>
        <w:rPr>
          <w:rFonts w:cs="Arial"/>
          <w:highlight w:val="yellow"/>
          <w:lang w:val="es-ES"/>
        </w:rPr>
      </w:pPr>
      <w:bookmarkStart w:id="31" w:name="OLE_LINK1"/>
    </w:p>
    <w:bookmarkEnd w:id="31"/>
    <w:p w:rsidR="00BB0664" w:rsidRPr="001D2D58" w:rsidRDefault="00BB0664" w:rsidP="00C854D3">
      <w:pPr>
        <w:rPr>
          <w:lang w:val="es-ES"/>
        </w:rPr>
      </w:pPr>
      <w:r w:rsidRPr="00E87AD2">
        <w:fldChar w:fldCharType="begin"/>
      </w:r>
      <w:r w:rsidRPr="001D2D58">
        <w:rPr>
          <w:lang w:val="es-ES"/>
        </w:rPr>
        <w:instrText xml:space="preserve"> AUTONUM  </w:instrText>
      </w:r>
      <w:r w:rsidRPr="00E87AD2">
        <w:fldChar w:fldCharType="end"/>
      </w:r>
      <w:r w:rsidRPr="001D2D58">
        <w:rPr>
          <w:lang w:val="es-ES"/>
        </w:rPr>
        <w:tab/>
      </w:r>
      <w:r w:rsidRPr="00E87AD2">
        <w:rPr>
          <w:lang w:val="es-ES_tradnl"/>
        </w:rPr>
        <w:t>Las versiones en alemán, español y francés de las actas del “Seminario sobre variedades esencialmente derivadas” (Publicación Nº 358 de la UPOV), celebrado en Ginebra el 22 de octubre de 2013, ya se han publicado en el sitio web de la UPOV</w:t>
      </w:r>
      <w:r w:rsidRPr="001D2D58">
        <w:rPr>
          <w:lang w:val="es-ES"/>
        </w:rPr>
        <w:t xml:space="preserve"> (</w:t>
      </w:r>
      <w:hyperlink r:id="rId13" w:history="1">
        <w:r w:rsidRPr="001D2D58">
          <w:rPr>
            <w:rStyle w:val="Hyperlink"/>
            <w:lang w:val="es-ES"/>
          </w:rPr>
          <w:t>http://www.upov.int/meetings/es/details.jsp?meeting_id=29782</w:t>
        </w:r>
      </w:hyperlink>
      <w:r w:rsidRPr="001D2D58">
        <w:rPr>
          <w:lang w:val="es-ES"/>
        </w:rPr>
        <w:t xml:space="preserve">). </w:t>
      </w:r>
    </w:p>
    <w:p w:rsidR="00BB0664" w:rsidRPr="001D2D58" w:rsidRDefault="00BB0664" w:rsidP="00C854D3">
      <w:pPr>
        <w:rPr>
          <w:lang w:val="es-ES"/>
        </w:rPr>
      </w:pPr>
    </w:p>
    <w:p w:rsidR="00BB0664" w:rsidRPr="00E87AD2" w:rsidRDefault="00BB0664" w:rsidP="00BB08EE">
      <w:pPr>
        <w:pStyle w:val="Heading2"/>
      </w:pPr>
      <w:bookmarkStart w:id="32" w:name="_Toc381174876"/>
    </w:p>
    <w:p w:rsidR="00BB0664" w:rsidRPr="00E87AD2" w:rsidRDefault="00BB0664" w:rsidP="00BB08EE">
      <w:pPr>
        <w:pStyle w:val="Heading2"/>
      </w:pPr>
      <w:bookmarkStart w:id="33" w:name="_Toc413750076"/>
      <w:bookmarkEnd w:id="32"/>
      <w:r w:rsidRPr="00E87AD2">
        <w:t>Cursos de enseñanza a distancia</w:t>
      </w:r>
      <w:bookmarkEnd w:id="33"/>
    </w:p>
    <w:p w:rsidR="00BB0664" w:rsidRPr="001D2D58" w:rsidRDefault="00BB0664" w:rsidP="00C854D3">
      <w:pPr>
        <w:rPr>
          <w:lang w:val="es-ES"/>
        </w:rPr>
      </w:pPr>
    </w:p>
    <w:p w:rsidR="00BB0664" w:rsidRPr="001D2D58" w:rsidRDefault="00BB0664" w:rsidP="00C854D3">
      <w:pPr>
        <w:rPr>
          <w:rFonts w:cs="Arial"/>
          <w:lang w:val="es-ES"/>
        </w:rPr>
      </w:pPr>
      <w:r w:rsidRPr="00E87AD2">
        <w:rPr>
          <w:rFonts w:cs="Arial"/>
        </w:rPr>
        <w:fldChar w:fldCharType="begin"/>
      </w:r>
      <w:r w:rsidRPr="001D2D58">
        <w:rPr>
          <w:rFonts w:cs="Arial"/>
          <w:lang w:val="es-ES"/>
        </w:rPr>
        <w:instrText xml:space="preserve"> AUTONUM  </w:instrText>
      </w:r>
      <w:r w:rsidRPr="00E87AD2">
        <w:rPr>
          <w:rFonts w:cs="Arial"/>
        </w:rPr>
        <w:fldChar w:fldCharType="end"/>
      </w:r>
      <w:r w:rsidRPr="001D2D58">
        <w:rPr>
          <w:rFonts w:cs="Arial"/>
          <w:lang w:val="es-ES"/>
        </w:rPr>
        <w:tab/>
      </w:r>
      <w:r w:rsidRPr="00E87AD2">
        <w:rPr>
          <w:rFonts w:cs="Arial"/>
          <w:lang w:val="es-ES_tradnl"/>
        </w:rPr>
        <w:t>En 2015, la UPOV impartirá, en inglés, francés y español, un nuevo curso DL-305 “Examen de solicitudes de derechos de obtentor”, tanto en un curso único como desdoblado en dos cursos que lo componen:  DL-305A “Administración de los derechos de obtentor” y DL-305B “Examen DHE”, con arreglo al calendario que figura a continuación:</w:t>
      </w:r>
    </w:p>
    <w:p w:rsidR="00BB0664" w:rsidRPr="001D2D58" w:rsidRDefault="00BB0664" w:rsidP="00C854D3">
      <w:pPr>
        <w:rPr>
          <w:rFonts w:cs="Arial"/>
          <w:lang w:val="es-ES"/>
        </w:rPr>
      </w:pPr>
    </w:p>
    <w:tbl>
      <w:tblPr>
        <w:tblW w:w="9616" w:type="dxa"/>
        <w:tblCellSpacing w:w="22" w:type="dxa"/>
        <w:tblInd w:w="284"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A0" w:firstRow="1" w:lastRow="0" w:firstColumn="1" w:lastColumn="0" w:noHBand="0" w:noVBand="0"/>
      </w:tblPr>
      <w:tblGrid>
        <w:gridCol w:w="1260"/>
        <w:gridCol w:w="4010"/>
        <w:gridCol w:w="1818"/>
        <w:gridCol w:w="2528"/>
      </w:tblGrid>
      <w:tr w:rsidR="00BB0664" w:rsidRPr="00E87AD2" w:rsidTr="00211419">
        <w:trPr>
          <w:tblCellSpacing w:w="22" w:type="dxa"/>
        </w:trPr>
        <w:tc>
          <w:tcPr>
            <w:tcW w:w="1194" w:type="dxa"/>
            <w:tcBorders>
              <w:top w:val="outset" w:sz="6" w:space="0" w:color="auto"/>
              <w:bottom w:val="outset" w:sz="6" w:space="0" w:color="auto"/>
              <w:right w:val="outset" w:sz="6" w:space="0" w:color="auto"/>
            </w:tcBorders>
            <w:vAlign w:val="center"/>
          </w:tcPr>
          <w:p w:rsidR="00BB0664" w:rsidRPr="00E87AD2" w:rsidRDefault="00BB0664" w:rsidP="001D50C4">
            <w:pPr>
              <w:keepNext/>
              <w:jc w:val="left"/>
              <w:rPr>
                <w:rFonts w:cs="Arial"/>
              </w:rPr>
            </w:pPr>
            <w:r w:rsidRPr="00E87AD2">
              <w:rPr>
                <w:rFonts w:cs="Arial"/>
                <w:lang w:val="es-ES_tradnl"/>
              </w:rPr>
              <w:lastRenderedPageBreak/>
              <w:t>Código</w:t>
            </w:r>
          </w:p>
        </w:tc>
        <w:tc>
          <w:tcPr>
            <w:tcW w:w="3966" w:type="dxa"/>
            <w:tcBorders>
              <w:top w:val="outset" w:sz="6" w:space="0" w:color="auto"/>
              <w:left w:val="outset" w:sz="6" w:space="0" w:color="auto"/>
              <w:bottom w:val="outset" w:sz="6" w:space="0" w:color="auto"/>
              <w:right w:val="outset" w:sz="6" w:space="0" w:color="auto"/>
            </w:tcBorders>
            <w:vAlign w:val="center"/>
          </w:tcPr>
          <w:p w:rsidR="00BB0664" w:rsidRPr="00E87AD2" w:rsidRDefault="00BB0664" w:rsidP="001D50C4">
            <w:pPr>
              <w:keepNext/>
              <w:jc w:val="left"/>
              <w:rPr>
                <w:rFonts w:cs="Arial"/>
              </w:rPr>
            </w:pPr>
            <w:r w:rsidRPr="00E87AD2">
              <w:rPr>
                <w:rFonts w:cs="Arial"/>
                <w:lang w:val="es-ES_tradnl"/>
              </w:rPr>
              <w:t>Curso</w:t>
            </w:r>
          </w:p>
        </w:tc>
        <w:tc>
          <w:tcPr>
            <w:tcW w:w="0" w:type="auto"/>
            <w:tcBorders>
              <w:top w:val="outset" w:sz="6" w:space="0" w:color="auto"/>
              <w:left w:val="outset" w:sz="6" w:space="0" w:color="auto"/>
              <w:bottom w:val="outset" w:sz="6" w:space="0" w:color="auto"/>
              <w:right w:val="outset" w:sz="6" w:space="0" w:color="auto"/>
            </w:tcBorders>
            <w:vAlign w:val="center"/>
          </w:tcPr>
          <w:p w:rsidR="00BB0664" w:rsidRPr="00E87AD2" w:rsidRDefault="00BB0664" w:rsidP="001D50C4">
            <w:pPr>
              <w:keepNext/>
              <w:jc w:val="left"/>
              <w:rPr>
                <w:rFonts w:cs="Arial"/>
              </w:rPr>
            </w:pPr>
            <w:r w:rsidRPr="00E87AD2">
              <w:rPr>
                <w:rFonts w:cs="Arial"/>
                <w:lang w:val="es-ES_tradnl"/>
              </w:rPr>
              <w:t>Período lectivo</w:t>
            </w:r>
          </w:p>
        </w:tc>
        <w:tc>
          <w:tcPr>
            <w:tcW w:w="0" w:type="auto"/>
            <w:tcBorders>
              <w:top w:val="outset" w:sz="6" w:space="0" w:color="auto"/>
              <w:left w:val="outset" w:sz="6" w:space="0" w:color="auto"/>
              <w:bottom w:val="outset" w:sz="6" w:space="0" w:color="auto"/>
            </w:tcBorders>
            <w:vAlign w:val="center"/>
          </w:tcPr>
          <w:p w:rsidR="00BB0664" w:rsidRPr="00E87AD2" w:rsidRDefault="00BB0664" w:rsidP="001D50C4">
            <w:pPr>
              <w:keepNext/>
              <w:jc w:val="left"/>
              <w:rPr>
                <w:rFonts w:cs="Arial"/>
              </w:rPr>
            </w:pPr>
            <w:r w:rsidRPr="00E87AD2">
              <w:rPr>
                <w:rFonts w:cs="Arial"/>
                <w:lang w:val="es-ES_tradnl"/>
              </w:rPr>
              <w:t>Plazo de inscripción</w:t>
            </w:r>
          </w:p>
        </w:tc>
      </w:tr>
      <w:tr w:rsidR="00BB0664" w:rsidRPr="000B72C7" w:rsidTr="00211419">
        <w:trPr>
          <w:tblCellSpacing w:w="22" w:type="dxa"/>
        </w:trPr>
        <w:tc>
          <w:tcPr>
            <w:tcW w:w="1194" w:type="dxa"/>
            <w:tcBorders>
              <w:top w:val="outset" w:sz="6" w:space="0" w:color="auto"/>
              <w:bottom w:val="outset" w:sz="6" w:space="0" w:color="auto"/>
              <w:right w:val="outset" w:sz="6" w:space="0" w:color="auto"/>
            </w:tcBorders>
          </w:tcPr>
          <w:p w:rsidR="00BB0664" w:rsidRPr="00E87AD2" w:rsidRDefault="00CF08BF" w:rsidP="00CB4BED">
            <w:pPr>
              <w:rPr>
                <w:sz w:val="24"/>
                <w:szCs w:val="24"/>
              </w:rPr>
            </w:pPr>
            <w:hyperlink r:id="rId14" w:anchor="plus_DL205S" w:history="1">
              <w:r w:rsidR="00BB0664" w:rsidRPr="00E87AD2">
                <w:rPr>
                  <w:rStyle w:val="Hyperlink"/>
                </w:rPr>
                <w:t>DL-205</w:t>
              </w:r>
            </w:hyperlink>
          </w:p>
        </w:tc>
        <w:tc>
          <w:tcPr>
            <w:tcW w:w="3966" w:type="dxa"/>
            <w:tcBorders>
              <w:top w:val="outset" w:sz="6" w:space="0" w:color="auto"/>
              <w:left w:val="outset" w:sz="6" w:space="0" w:color="auto"/>
              <w:bottom w:val="outset" w:sz="6" w:space="0" w:color="auto"/>
              <w:right w:val="outset" w:sz="6" w:space="0" w:color="auto"/>
            </w:tcBorders>
          </w:tcPr>
          <w:p w:rsidR="00BB0664" w:rsidRPr="001D2D58" w:rsidRDefault="00BB0664" w:rsidP="00C854D3">
            <w:pPr>
              <w:jc w:val="left"/>
              <w:rPr>
                <w:rFonts w:cs="Arial"/>
                <w:lang w:val="es-ES"/>
              </w:rPr>
            </w:pPr>
            <w:r w:rsidRPr="00E87AD2">
              <w:rPr>
                <w:rFonts w:cs="Arial"/>
                <w:lang w:val="es-ES_tradnl"/>
              </w:rPr>
              <w:t>Introducción al sistema de la UPOV de protección de las variedades vegetales en virtud del Convenio de la UPOV</w:t>
            </w:r>
          </w:p>
        </w:tc>
        <w:tc>
          <w:tcPr>
            <w:tcW w:w="0" w:type="auto"/>
            <w:tcBorders>
              <w:top w:val="outset" w:sz="6" w:space="0" w:color="auto"/>
              <w:left w:val="outset" w:sz="6" w:space="0" w:color="auto"/>
              <w:bottom w:val="outset" w:sz="6" w:space="0" w:color="auto"/>
              <w:right w:val="outset" w:sz="6" w:space="0" w:color="auto"/>
            </w:tcBorders>
          </w:tcPr>
          <w:p w:rsidR="00BB0664" w:rsidRPr="001D2D58" w:rsidRDefault="00BB0664" w:rsidP="00C854D3">
            <w:pPr>
              <w:jc w:val="left"/>
              <w:rPr>
                <w:rFonts w:cs="Arial"/>
                <w:lang w:val="es-ES"/>
              </w:rPr>
            </w:pPr>
            <w:r w:rsidRPr="00E87AD2">
              <w:rPr>
                <w:rFonts w:cs="Arial"/>
                <w:lang w:val="es-ES_tradnl"/>
              </w:rPr>
              <w:t>19 de octubre a 23 de noviembre de 2015</w:t>
            </w:r>
          </w:p>
        </w:tc>
        <w:tc>
          <w:tcPr>
            <w:tcW w:w="0" w:type="auto"/>
            <w:tcBorders>
              <w:top w:val="outset" w:sz="6" w:space="0" w:color="auto"/>
              <w:left w:val="outset" w:sz="6" w:space="0" w:color="auto"/>
              <w:bottom w:val="outset" w:sz="6" w:space="0" w:color="auto"/>
            </w:tcBorders>
          </w:tcPr>
          <w:p w:rsidR="00BB0664" w:rsidRPr="001D2D58" w:rsidRDefault="00BB0664" w:rsidP="00C854D3">
            <w:pPr>
              <w:jc w:val="left"/>
              <w:rPr>
                <w:rFonts w:cs="Arial"/>
                <w:lang w:val="es-ES"/>
              </w:rPr>
            </w:pPr>
            <w:r w:rsidRPr="00E87AD2">
              <w:rPr>
                <w:rFonts w:cs="Arial"/>
                <w:lang w:val="es-ES_tradnl"/>
              </w:rPr>
              <w:t>1 de enero a 29 de marzo y 17 de agosto a 27 de septiembre de 2015</w:t>
            </w:r>
          </w:p>
        </w:tc>
      </w:tr>
      <w:tr w:rsidR="00BB0664" w:rsidRPr="00E87AD2" w:rsidTr="00211419">
        <w:trPr>
          <w:tblCellSpacing w:w="22" w:type="dxa"/>
        </w:trPr>
        <w:tc>
          <w:tcPr>
            <w:tcW w:w="1194" w:type="dxa"/>
            <w:tcBorders>
              <w:top w:val="outset" w:sz="6" w:space="0" w:color="auto"/>
              <w:bottom w:val="outset" w:sz="6" w:space="0" w:color="auto"/>
              <w:right w:val="outset" w:sz="6" w:space="0" w:color="auto"/>
            </w:tcBorders>
          </w:tcPr>
          <w:p w:rsidR="00BB0664" w:rsidRPr="00E87AD2" w:rsidRDefault="00CF08BF" w:rsidP="00CB4BED">
            <w:pPr>
              <w:rPr>
                <w:sz w:val="24"/>
                <w:szCs w:val="24"/>
              </w:rPr>
            </w:pPr>
            <w:hyperlink r:id="rId15" w:anchor="plus_DL305AS" w:history="1">
              <w:r w:rsidR="00BB0664" w:rsidRPr="00E87AD2">
                <w:rPr>
                  <w:rStyle w:val="Hyperlink"/>
                </w:rPr>
                <w:t>DL-305A</w:t>
              </w:r>
            </w:hyperlink>
          </w:p>
        </w:tc>
        <w:tc>
          <w:tcPr>
            <w:tcW w:w="3966" w:type="dxa"/>
            <w:tcBorders>
              <w:top w:val="outset" w:sz="6" w:space="0" w:color="auto"/>
              <w:left w:val="outset" w:sz="6" w:space="0" w:color="auto"/>
              <w:bottom w:val="outset" w:sz="6" w:space="0" w:color="auto"/>
              <w:right w:val="outset" w:sz="6" w:space="0" w:color="auto"/>
            </w:tcBorders>
          </w:tcPr>
          <w:p w:rsidR="00BB0664" w:rsidRPr="001D2D58" w:rsidRDefault="00BB0664" w:rsidP="009616C0">
            <w:pPr>
              <w:pStyle w:val="NormalWeb"/>
              <w:rPr>
                <w:rFonts w:ascii="Arial" w:hAnsi="Arial" w:cs="Arial"/>
                <w:sz w:val="20"/>
                <w:szCs w:val="20"/>
                <w:lang w:val="es-ES"/>
              </w:rPr>
            </w:pPr>
            <w:r w:rsidRPr="00E87AD2">
              <w:rPr>
                <w:rFonts w:ascii="Arial" w:hAnsi="Arial" w:cs="Arial"/>
                <w:sz w:val="20"/>
                <w:szCs w:val="20"/>
                <w:lang w:val="es-ES_tradnl"/>
              </w:rPr>
              <w:t>Administración de los derechos de obtentor</w:t>
            </w:r>
            <w:r w:rsidRPr="001D2D58">
              <w:rPr>
                <w:rFonts w:ascii="Arial" w:hAnsi="Arial" w:cs="Arial"/>
                <w:sz w:val="20"/>
                <w:szCs w:val="20"/>
                <w:lang w:val="es-ES"/>
              </w:rPr>
              <w:br/>
            </w:r>
            <w:r w:rsidRPr="00E87AD2">
              <w:rPr>
                <w:rFonts w:ascii="Arial" w:hAnsi="Arial" w:cs="Arial"/>
                <w:sz w:val="20"/>
                <w:szCs w:val="20"/>
                <w:lang w:val="es-ES_tradnl"/>
              </w:rPr>
              <w:t>(Parte A del curso DL-305:</w:t>
            </w:r>
            <w:r w:rsidRPr="001D2D58">
              <w:rPr>
                <w:rFonts w:ascii="Arial" w:hAnsi="Arial" w:cs="Arial"/>
                <w:sz w:val="20"/>
                <w:szCs w:val="20"/>
                <w:lang w:val="es-ES"/>
              </w:rPr>
              <w:t xml:space="preserve">  </w:t>
            </w:r>
            <w:r w:rsidRPr="00E87AD2">
              <w:rPr>
                <w:rFonts w:ascii="Arial" w:hAnsi="Arial" w:cs="Arial"/>
                <w:sz w:val="20"/>
                <w:szCs w:val="20"/>
                <w:lang w:val="es-ES_tradnl"/>
              </w:rPr>
              <w:t>Examen de solicitudes de derechos de obtentor)</w:t>
            </w:r>
          </w:p>
        </w:tc>
        <w:tc>
          <w:tcPr>
            <w:tcW w:w="0" w:type="auto"/>
            <w:tcBorders>
              <w:top w:val="outset" w:sz="6" w:space="0" w:color="auto"/>
              <w:left w:val="outset" w:sz="6" w:space="0" w:color="auto"/>
              <w:bottom w:val="outset" w:sz="6" w:space="0" w:color="auto"/>
              <w:right w:val="outset" w:sz="6" w:space="0" w:color="auto"/>
            </w:tcBorders>
          </w:tcPr>
          <w:p w:rsidR="00BB0664" w:rsidRPr="001D2D58" w:rsidRDefault="00BB0664" w:rsidP="00C854D3">
            <w:pPr>
              <w:jc w:val="left"/>
              <w:rPr>
                <w:rFonts w:cs="Arial"/>
                <w:lang w:val="es-ES"/>
              </w:rPr>
            </w:pPr>
            <w:r w:rsidRPr="00E87AD2">
              <w:rPr>
                <w:rFonts w:cs="Arial"/>
                <w:lang w:val="es-ES_tradnl"/>
              </w:rPr>
              <w:t>16 de febrero a 22 de marzo de 2015</w:t>
            </w:r>
          </w:p>
        </w:tc>
        <w:tc>
          <w:tcPr>
            <w:tcW w:w="0" w:type="auto"/>
            <w:tcBorders>
              <w:top w:val="outset" w:sz="6" w:space="0" w:color="auto"/>
              <w:left w:val="outset" w:sz="6" w:space="0" w:color="auto"/>
              <w:bottom w:val="outset" w:sz="6" w:space="0" w:color="auto"/>
            </w:tcBorders>
          </w:tcPr>
          <w:p w:rsidR="00BB0664" w:rsidRPr="00E87AD2" w:rsidRDefault="00BB0664" w:rsidP="00C854D3">
            <w:pPr>
              <w:jc w:val="left"/>
              <w:rPr>
                <w:rFonts w:cs="Arial"/>
              </w:rPr>
            </w:pPr>
            <w:r w:rsidRPr="00E87AD2">
              <w:rPr>
                <w:rFonts w:cs="Arial"/>
                <w:lang w:val="es-ES_tradnl"/>
              </w:rPr>
              <w:t>1 a 31 de enero de 2015</w:t>
            </w:r>
          </w:p>
        </w:tc>
      </w:tr>
      <w:tr w:rsidR="00BB0664" w:rsidRPr="000B72C7" w:rsidTr="00211419">
        <w:trPr>
          <w:tblCellSpacing w:w="22" w:type="dxa"/>
        </w:trPr>
        <w:tc>
          <w:tcPr>
            <w:tcW w:w="1194" w:type="dxa"/>
            <w:tcBorders>
              <w:top w:val="outset" w:sz="6" w:space="0" w:color="auto"/>
              <w:bottom w:val="outset" w:sz="6" w:space="0" w:color="auto"/>
              <w:right w:val="outset" w:sz="6" w:space="0" w:color="auto"/>
            </w:tcBorders>
          </w:tcPr>
          <w:p w:rsidR="00BB0664" w:rsidRPr="00E87AD2" w:rsidRDefault="00CF08BF" w:rsidP="00CB4BED">
            <w:pPr>
              <w:rPr>
                <w:sz w:val="24"/>
                <w:szCs w:val="24"/>
              </w:rPr>
            </w:pPr>
            <w:hyperlink r:id="rId16" w:anchor="plus_DL305BS" w:history="1">
              <w:r w:rsidR="00BB0664" w:rsidRPr="00E87AD2">
                <w:rPr>
                  <w:rStyle w:val="Hyperlink"/>
                </w:rPr>
                <w:t>DL-305B</w:t>
              </w:r>
            </w:hyperlink>
          </w:p>
        </w:tc>
        <w:tc>
          <w:tcPr>
            <w:tcW w:w="3966" w:type="dxa"/>
            <w:tcBorders>
              <w:top w:val="outset" w:sz="6" w:space="0" w:color="auto"/>
              <w:left w:val="outset" w:sz="6" w:space="0" w:color="auto"/>
              <w:bottom w:val="outset" w:sz="6" w:space="0" w:color="auto"/>
              <w:right w:val="outset" w:sz="6" w:space="0" w:color="auto"/>
            </w:tcBorders>
          </w:tcPr>
          <w:p w:rsidR="00BB0664" w:rsidRPr="001D2D58" w:rsidRDefault="00BB0664" w:rsidP="00C854D3">
            <w:pPr>
              <w:jc w:val="left"/>
              <w:rPr>
                <w:rFonts w:cs="Arial"/>
                <w:lang w:val="es-ES"/>
              </w:rPr>
            </w:pPr>
            <w:r w:rsidRPr="00E87AD2">
              <w:rPr>
                <w:rFonts w:cs="Arial"/>
                <w:lang w:val="es-ES_tradnl"/>
              </w:rPr>
              <w:t>Examen DHE</w:t>
            </w:r>
            <w:r w:rsidRPr="001D2D58">
              <w:rPr>
                <w:rFonts w:cs="Arial"/>
                <w:lang w:val="es-ES"/>
              </w:rPr>
              <w:br/>
            </w:r>
            <w:r w:rsidRPr="00E87AD2">
              <w:rPr>
                <w:rFonts w:cs="Arial"/>
                <w:lang w:val="es-ES_tradnl"/>
              </w:rPr>
              <w:t>(Parte B del curso DL-305:</w:t>
            </w:r>
            <w:r w:rsidRPr="001D2D58">
              <w:rPr>
                <w:rFonts w:cs="Arial"/>
                <w:lang w:val="es-ES"/>
              </w:rPr>
              <w:t xml:space="preserve">  </w:t>
            </w:r>
            <w:r w:rsidRPr="00E87AD2">
              <w:rPr>
                <w:rFonts w:cs="Arial"/>
                <w:lang w:val="es-ES_tradnl"/>
              </w:rPr>
              <w:t>Examen de solicitudes de derechos de obtentor)</w:t>
            </w:r>
          </w:p>
        </w:tc>
        <w:tc>
          <w:tcPr>
            <w:tcW w:w="0" w:type="auto"/>
            <w:tcBorders>
              <w:top w:val="outset" w:sz="6" w:space="0" w:color="auto"/>
              <w:left w:val="outset" w:sz="6" w:space="0" w:color="auto"/>
              <w:bottom w:val="outset" w:sz="6" w:space="0" w:color="auto"/>
              <w:right w:val="outset" w:sz="6" w:space="0" w:color="auto"/>
            </w:tcBorders>
          </w:tcPr>
          <w:p w:rsidR="00BB0664" w:rsidRPr="001D2D58" w:rsidRDefault="00BB0664" w:rsidP="00C854D3">
            <w:pPr>
              <w:jc w:val="left"/>
              <w:rPr>
                <w:rFonts w:cs="Arial"/>
                <w:lang w:val="es-ES"/>
              </w:rPr>
            </w:pPr>
            <w:r w:rsidRPr="00E87AD2">
              <w:rPr>
                <w:rFonts w:cs="Arial"/>
                <w:lang w:val="es-ES_tradnl"/>
              </w:rPr>
              <w:t>20 de abril a 24 de mayo de 2015</w:t>
            </w:r>
          </w:p>
        </w:tc>
        <w:tc>
          <w:tcPr>
            <w:tcW w:w="0" w:type="auto"/>
            <w:tcBorders>
              <w:top w:val="outset" w:sz="6" w:space="0" w:color="auto"/>
              <w:left w:val="outset" w:sz="6" w:space="0" w:color="auto"/>
              <w:bottom w:val="outset" w:sz="6" w:space="0" w:color="auto"/>
            </w:tcBorders>
          </w:tcPr>
          <w:p w:rsidR="00BB0664" w:rsidRPr="001D2D58" w:rsidRDefault="00BB0664" w:rsidP="00C854D3">
            <w:pPr>
              <w:jc w:val="left"/>
              <w:rPr>
                <w:rFonts w:cs="Arial"/>
                <w:lang w:val="es-ES"/>
              </w:rPr>
            </w:pPr>
            <w:r w:rsidRPr="00E87AD2">
              <w:rPr>
                <w:rFonts w:cs="Arial"/>
                <w:lang w:val="es-ES_tradnl"/>
              </w:rPr>
              <w:t>1 de enero a 29 de marzo de 2015</w:t>
            </w:r>
          </w:p>
        </w:tc>
      </w:tr>
      <w:tr w:rsidR="00BB0664" w:rsidRPr="000B72C7" w:rsidTr="00211419">
        <w:trPr>
          <w:tblCellSpacing w:w="22" w:type="dxa"/>
        </w:trPr>
        <w:tc>
          <w:tcPr>
            <w:tcW w:w="1194" w:type="dxa"/>
            <w:tcBorders>
              <w:top w:val="outset" w:sz="6" w:space="0" w:color="auto"/>
              <w:bottom w:val="outset" w:sz="6" w:space="0" w:color="auto"/>
              <w:right w:val="outset" w:sz="6" w:space="0" w:color="auto"/>
            </w:tcBorders>
          </w:tcPr>
          <w:p w:rsidR="00BB0664" w:rsidRPr="00E87AD2" w:rsidRDefault="00CF08BF" w:rsidP="00CB4BED">
            <w:pPr>
              <w:rPr>
                <w:sz w:val="24"/>
                <w:szCs w:val="24"/>
              </w:rPr>
            </w:pPr>
            <w:hyperlink r:id="rId17" w:anchor="plus_DL305S" w:history="1">
              <w:r w:rsidR="00BB0664" w:rsidRPr="00E87AD2">
                <w:rPr>
                  <w:rStyle w:val="Hyperlink"/>
                </w:rPr>
                <w:t>DL-305</w:t>
              </w:r>
            </w:hyperlink>
          </w:p>
        </w:tc>
        <w:tc>
          <w:tcPr>
            <w:tcW w:w="3966" w:type="dxa"/>
            <w:tcBorders>
              <w:top w:val="outset" w:sz="6" w:space="0" w:color="auto"/>
              <w:left w:val="outset" w:sz="6" w:space="0" w:color="auto"/>
              <w:bottom w:val="outset" w:sz="6" w:space="0" w:color="auto"/>
              <w:right w:val="outset" w:sz="6" w:space="0" w:color="auto"/>
            </w:tcBorders>
          </w:tcPr>
          <w:p w:rsidR="00BB0664" w:rsidRPr="001D2D58" w:rsidRDefault="00BB0664" w:rsidP="00C854D3">
            <w:pPr>
              <w:jc w:val="left"/>
              <w:rPr>
                <w:rFonts w:cs="Arial"/>
                <w:lang w:val="es-ES"/>
              </w:rPr>
            </w:pPr>
            <w:r w:rsidRPr="00E87AD2">
              <w:rPr>
                <w:rFonts w:cs="Arial"/>
                <w:lang w:val="es-ES_tradnl"/>
              </w:rPr>
              <w:t>Examen de solicitudes de derechos de obtentor</w:t>
            </w:r>
          </w:p>
        </w:tc>
        <w:tc>
          <w:tcPr>
            <w:tcW w:w="0" w:type="auto"/>
            <w:tcBorders>
              <w:top w:val="outset" w:sz="6" w:space="0" w:color="auto"/>
              <w:left w:val="outset" w:sz="6" w:space="0" w:color="auto"/>
              <w:bottom w:val="outset" w:sz="6" w:space="0" w:color="auto"/>
              <w:right w:val="outset" w:sz="6" w:space="0" w:color="auto"/>
            </w:tcBorders>
          </w:tcPr>
          <w:p w:rsidR="00BB0664" w:rsidRPr="001D2D58" w:rsidRDefault="00BB0664" w:rsidP="00C854D3">
            <w:pPr>
              <w:jc w:val="left"/>
              <w:rPr>
                <w:rFonts w:cs="Arial"/>
                <w:lang w:val="es-ES"/>
              </w:rPr>
            </w:pPr>
            <w:r w:rsidRPr="00E87AD2">
              <w:rPr>
                <w:rFonts w:cs="Arial"/>
                <w:lang w:val="es-ES_tradnl"/>
              </w:rPr>
              <w:t>20 de abril a 24 de mayo de 2015</w:t>
            </w:r>
          </w:p>
        </w:tc>
        <w:tc>
          <w:tcPr>
            <w:tcW w:w="0" w:type="auto"/>
            <w:tcBorders>
              <w:top w:val="outset" w:sz="6" w:space="0" w:color="auto"/>
              <w:left w:val="outset" w:sz="6" w:space="0" w:color="auto"/>
              <w:bottom w:val="outset" w:sz="6" w:space="0" w:color="auto"/>
            </w:tcBorders>
          </w:tcPr>
          <w:p w:rsidR="00BB0664" w:rsidRPr="001D2D58" w:rsidRDefault="00BB0664" w:rsidP="00C854D3">
            <w:pPr>
              <w:jc w:val="left"/>
              <w:rPr>
                <w:rFonts w:cs="Arial"/>
                <w:lang w:val="es-ES"/>
              </w:rPr>
            </w:pPr>
            <w:r w:rsidRPr="00E87AD2">
              <w:rPr>
                <w:rFonts w:cs="Arial"/>
                <w:lang w:val="es-ES_tradnl"/>
              </w:rPr>
              <w:t>1 de enero a 29 de marzo de 2015</w:t>
            </w:r>
          </w:p>
        </w:tc>
      </w:tr>
    </w:tbl>
    <w:p w:rsidR="00BB0664" w:rsidRPr="001D2D58" w:rsidRDefault="00BB0664" w:rsidP="00C854D3">
      <w:pPr>
        <w:rPr>
          <w:rFonts w:cs="Arial"/>
          <w:lang w:val="es-ES"/>
        </w:rPr>
      </w:pPr>
    </w:p>
    <w:p w:rsidR="00BB0664" w:rsidRPr="00E87AD2" w:rsidRDefault="00BB0664" w:rsidP="00C854D3">
      <w:pPr>
        <w:rPr>
          <w:rFonts w:cs="Arial"/>
          <w:lang w:val="fr-FR"/>
        </w:rPr>
      </w:pPr>
      <w:r w:rsidRPr="00E87AD2">
        <w:rPr>
          <w:rFonts w:cs="Arial"/>
          <w:lang w:val="fr-FR"/>
        </w:rPr>
        <w:t>(</w:t>
      </w:r>
      <w:proofErr w:type="gramStart"/>
      <w:r w:rsidRPr="001D2D58">
        <w:rPr>
          <w:rFonts w:cs="Arial"/>
          <w:lang w:val="fr-FR"/>
        </w:rPr>
        <w:t>véase</w:t>
      </w:r>
      <w:bookmarkStart w:id="34" w:name="_GoBack"/>
      <w:bookmarkEnd w:id="34"/>
      <w:proofErr w:type="gramEnd"/>
      <w:r w:rsidRPr="00E87AD2">
        <w:rPr>
          <w:rFonts w:cs="Arial"/>
          <w:lang w:val="fr-FR"/>
        </w:rPr>
        <w:t xml:space="preserve"> </w:t>
      </w:r>
      <w:hyperlink r:id="rId18" w:history="1">
        <w:r w:rsidRPr="00E87AD2">
          <w:rPr>
            <w:rStyle w:val="Hyperlink"/>
            <w:rFonts w:cs="Arial"/>
            <w:lang w:val="fr-FR"/>
          </w:rPr>
          <w:t>http://www.upov.int/resource/es/training.html</w:t>
        </w:r>
      </w:hyperlink>
      <w:r w:rsidRPr="00E87AD2">
        <w:rPr>
          <w:rFonts w:cs="Arial"/>
          <w:lang w:val="fr-FR"/>
        </w:rPr>
        <w:t>)</w:t>
      </w:r>
    </w:p>
    <w:p w:rsidR="00BB0664" w:rsidRPr="00E87AD2" w:rsidRDefault="00BB0664" w:rsidP="00C854D3">
      <w:pPr>
        <w:rPr>
          <w:lang w:val="fr-FR"/>
        </w:rPr>
      </w:pPr>
    </w:p>
    <w:p w:rsidR="00BB0664" w:rsidRPr="001D2D58" w:rsidRDefault="00BB0664" w:rsidP="001A0D74">
      <w:pPr>
        <w:rPr>
          <w:rFonts w:cs="Arial"/>
          <w:color w:val="000000"/>
          <w:lang w:val="es-ES"/>
        </w:rPr>
      </w:pPr>
      <w:r w:rsidRPr="001A0D74">
        <w:rPr>
          <w:rFonts w:cs="Arial"/>
          <w:color w:val="000000"/>
        </w:rPr>
        <w:fldChar w:fldCharType="begin"/>
      </w:r>
      <w:r w:rsidRPr="001A0D74">
        <w:rPr>
          <w:rFonts w:cs="Arial"/>
          <w:color w:val="000000"/>
          <w:lang w:val="es-ES"/>
        </w:rPr>
        <w:instrText xml:space="preserve"> AUTONUM  </w:instrText>
      </w:r>
      <w:r w:rsidRPr="001A0D74">
        <w:rPr>
          <w:rFonts w:cs="Arial"/>
          <w:color w:val="000000"/>
        </w:rPr>
        <w:fldChar w:fldCharType="end"/>
      </w:r>
      <w:r w:rsidRPr="001A0D74">
        <w:rPr>
          <w:rFonts w:cs="Arial"/>
          <w:color w:val="000000"/>
          <w:lang w:val="es-ES"/>
        </w:rPr>
        <w:tab/>
      </w:r>
      <w:r w:rsidRPr="001A0D74">
        <w:rPr>
          <w:rFonts w:cs="Arial"/>
          <w:color w:val="000000"/>
          <w:lang w:val="es-ES_tradnl"/>
        </w:rPr>
        <w:t>La versión en alemán del curso DL-305 se impartirá en 2016.</w:t>
      </w:r>
    </w:p>
    <w:p w:rsidR="00BB0664" w:rsidRPr="001D2D58" w:rsidRDefault="00BB0664" w:rsidP="00C854D3">
      <w:pPr>
        <w:rPr>
          <w:rFonts w:cs="Arial"/>
          <w:snapToGrid w:val="0"/>
          <w:lang w:val="es-ES"/>
        </w:rPr>
      </w:pPr>
    </w:p>
    <w:p w:rsidR="00BB0664" w:rsidRPr="001D2D58" w:rsidRDefault="00BB0664" w:rsidP="00C854D3">
      <w:pPr>
        <w:rPr>
          <w:snapToGrid w:val="0"/>
          <w:lang w:val="es-ES"/>
        </w:rPr>
      </w:pPr>
    </w:p>
    <w:p w:rsidR="00BB0664" w:rsidRPr="00E87AD2" w:rsidRDefault="00BB0664" w:rsidP="005854DE">
      <w:pPr>
        <w:pStyle w:val="Heading1"/>
      </w:pPr>
      <w:bookmarkStart w:id="35" w:name="_Toc413750077"/>
      <w:bookmarkStart w:id="36" w:name="_Toc381174877"/>
      <w:r w:rsidRPr="00E87AD2">
        <w:rPr>
          <w:caps w:val="0"/>
        </w:rPr>
        <w:t>PROPUESTA</w:t>
      </w:r>
      <w:r w:rsidRPr="00E87AD2">
        <w:t xml:space="preserve"> DE </w:t>
      </w:r>
      <w:r w:rsidRPr="00E87AD2">
        <w:rPr>
          <w:caps w:val="0"/>
        </w:rPr>
        <w:t>SISTEMA INTERNACIONAL DE PRESENTACIÓN DE SOLICITUDES, CONTROL DE CALIDAD Y BÚSQUEDA DE DENOMINACIONES DE VARIEDADES</w:t>
      </w:r>
      <w:bookmarkEnd w:id="35"/>
    </w:p>
    <w:p w:rsidR="00BB0664" w:rsidRPr="001D2D58" w:rsidRDefault="00BB0664" w:rsidP="00C854D3">
      <w:pPr>
        <w:rPr>
          <w:lang w:val="es-ES"/>
        </w:rPr>
      </w:pPr>
    </w:p>
    <w:p w:rsidR="00BB0664" w:rsidRPr="001D2D58" w:rsidRDefault="00BB0664" w:rsidP="00C854D3">
      <w:pPr>
        <w:rPr>
          <w:color w:val="000000"/>
          <w:lang w:val="es-ES"/>
        </w:rPr>
      </w:pPr>
      <w:r w:rsidRPr="00E87AD2">
        <w:rPr>
          <w:color w:val="000000"/>
        </w:rPr>
        <w:fldChar w:fldCharType="begin"/>
      </w:r>
      <w:r w:rsidRPr="001D2D58">
        <w:rPr>
          <w:color w:val="000000"/>
          <w:lang w:val="es-ES"/>
        </w:rPr>
        <w:instrText xml:space="preserve"> AUTONUM  </w:instrText>
      </w:r>
      <w:r w:rsidRPr="00E87AD2">
        <w:rPr>
          <w:color w:val="000000"/>
        </w:rPr>
        <w:fldChar w:fldCharType="end"/>
      </w:r>
      <w:r w:rsidRPr="001D2D58">
        <w:rPr>
          <w:color w:val="000000"/>
          <w:lang w:val="es-ES"/>
        </w:rPr>
        <w:tab/>
      </w:r>
      <w:r w:rsidRPr="00E87AD2">
        <w:rPr>
          <w:color w:val="000000"/>
          <w:lang w:val="es-ES_tradnl"/>
        </w:rPr>
        <w:t xml:space="preserve">El Comité Consultivo, en su octogésima octava sesión, celebrada en Ginebra el 15 de octubre de 2014, tomó nota de la información sobre el Sistema internacional de patentes (PCT) de la OMPI, el Sistema internacional de marcas (Madrid) y el Sistema internacional de dibujos y modelos industriales (La Haya) y examinó la contribución formulada por escrito por la </w:t>
      </w:r>
      <w:r w:rsidRPr="00E87AD2">
        <w:rPr>
          <w:i/>
          <w:color w:val="000000"/>
          <w:lang w:val="es-ES_tradnl"/>
        </w:rPr>
        <w:t>International Seed Federation</w:t>
      </w:r>
      <w:r w:rsidRPr="00E87AD2">
        <w:rPr>
          <w:color w:val="000000"/>
          <w:lang w:val="es-ES_tradnl"/>
        </w:rPr>
        <w:t xml:space="preserve"> (ISF), la Comunidad Internacional de Obtentores de Variedades Ornamentales y Frutales de Reproducción Asexuada (CIOPORA) y CropLife International, junto con su presentación conjunta en la octogésima octava sesión del Comité Consultivo.</w:t>
      </w:r>
    </w:p>
    <w:p w:rsidR="00BB0664" w:rsidRPr="001D2D58" w:rsidRDefault="00BB0664" w:rsidP="00C854D3">
      <w:pPr>
        <w:rPr>
          <w:color w:val="000000"/>
          <w:lang w:val="es-ES"/>
        </w:rPr>
      </w:pPr>
    </w:p>
    <w:p w:rsidR="00BB0664" w:rsidRPr="00E87AD2" w:rsidRDefault="00BB0664" w:rsidP="00C854D3">
      <w:pPr>
        <w:rPr>
          <w:lang w:val="es-ES_tradnl"/>
        </w:rPr>
      </w:pPr>
      <w:r w:rsidRPr="00E87AD2">
        <w:rPr>
          <w:lang w:val="es-ES_tradnl"/>
        </w:rPr>
        <w:fldChar w:fldCharType="begin"/>
      </w:r>
      <w:r w:rsidRPr="00E87AD2">
        <w:rPr>
          <w:lang w:val="es-ES_tradnl"/>
        </w:rPr>
        <w:instrText xml:space="preserve"> AUTONUM  </w:instrText>
      </w:r>
      <w:r w:rsidRPr="00E87AD2">
        <w:rPr>
          <w:lang w:val="es-ES_tradnl"/>
        </w:rPr>
        <w:fldChar w:fldCharType="end"/>
      </w:r>
      <w:r w:rsidRPr="00E87AD2">
        <w:rPr>
          <w:color w:val="000000"/>
          <w:lang w:val="es-ES_tradnl"/>
        </w:rPr>
        <w:tab/>
      </w:r>
      <w:r w:rsidRPr="00E87AD2">
        <w:rPr>
          <w:lang w:val="es-ES_tradnl"/>
        </w:rPr>
        <w:t>El Comité Consultivo solicitó a la Oficina de la Unión que preparara un documento para aclarar las cuestiones planteadas y las posibles vías de resolución relativas a un sistema internacional de cooperación, a fin de que el propio Comité las considerase en su octogésima novena sesión que se celebraría en marzo de 2015.</w:t>
      </w:r>
    </w:p>
    <w:p w:rsidR="00BB0664" w:rsidRPr="00E87AD2" w:rsidRDefault="00BB0664" w:rsidP="00C854D3">
      <w:pPr>
        <w:rPr>
          <w:color w:val="000000"/>
          <w:lang w:val="es-ES_tradnl"/>
        </w:rPr>
      </w:pPr>
    </w:p>
    <w:p w:rsidR="00BB0664" w:rsidRPr="00E87AD2" w:rsidRDefault="00BB0664" w:rsidP="005854DE">
      <w:pPr>
        <w:pStyle w:val="Heading1"/>
      </w:pPr>
    </w:p>
    <w:p w:rsidR="00BB0664" w:rsidRPr="00E87AD2" w:rsidRDefault="00BB0664" w:rsidP="005854DE">
      <w:pPr>
        <w:pStyle w:val="Heading1"/>
      </w:pPr>
      <w:bookmarkStart w:id="37" w:name="_Toc413750078"/>
      <w:bookmarkEnd w:id="36"/>
      <w:r w:rsidRPr="00E87AD2">
        <w:t>NOVEDADES RELEVANTES PARA LA UPOV EN OTRAS INSTANCIAS INTERNACIONALES</w:t>
      </w:r>
      <w:bookmarkEnd w:id="37"/>
    </w:p>
    <w:p w:rsidR="00BB0664" w:rsidRPr="00E87AD2" w:rsidRDefault="00BB0664" w:rsidP="00C854D3">
      <w:pPr>
        <w:rPr>
          <w:snapToGrid w:val="0"/>
          <w:lang w:val="es-ES_tradnl"/>
        </w:rPr>
      </w:pPr>
    </w:p>
    <w:p w:rsidR="00BB0664" w:rsidRPr="00E87AD2" w:rsidRDefault="00BB0664" w:rsidP="00BB08EE">
      <w:pPr>
        <w:pStyle w:val="Heading2"/>
      </w:pPr>
      <w:bookmarkStart w:id="38" w:name="_Toc413750079"/>
      <w:r w:rsidRPr="00E87AD2">
        <w:t>Tratado Internacional sobre los Recursos Fitogenéticos para la Alimentación y la Agricultura (ITPGRFA)</w:t>
      </w:r>
      <w:bookmarkEnd w:id="38"/>
    </w:p>
    <w:p w:rsidR="00BB0664" w:rsidRPr="00E87AD2" w:rsidRDefault="00BB0664" w:rsidP="00C854D3">
      <w:pPr>
        <w:rPr>
          <w:snapToGrid w:val="0"/>
          <w:lang w:val="es-ES_tradnl"/>
        </w:rPr>
      </w:pPr>
    </w:p>
    <w:p w:rsidR="00BB0664" w:rsidRPr="00E87AD2" w:rsidRDefault="00BB0664" w:rsidP="00110B2B">
      <w:pPr>
        <w:pStyle w:val="Heading3"/>
        <w:rPr>
          <w:color w:val="auto"/>
        </w:rPr>
      </w:pPr>
      <w:bookmarkStart w:id="39" w:name="_Toc413750080"/>
      <w:r w:rsidRPr="00E87AD2">
        <w:rPr>
          <w:color w:val="auto"/>
        </w:rPr>
        <w:t>Interrelación entre el ITPGRFA, la UPOV y la OMPI</w:t>
      </w:r>
      <w:bookmarkEnd w:id="39"/>
    </w:p>
    <w:p w:rsidR="00BB0664" w:rsidRPr="00E87AD2" w:rsidRDefault="00BB0664" w:rsidP="00C854D3">
      <w:pPr>
        <w:rPr>
          <w:snapToGrid w:val="0"/>
          <w:lang w:val="es-ES_tradnl"/>
        </w:rPr>
      </w:pPr>
    </w:p>
    <w:p w:rsidR="00BB0664" w:rsidRPr="00E87AD2" w:rsidRDefault="00BB0664" w:rsidP="00C854D3">
      <w:pPr>
        <w:rPr>
          <w:snapToGrid w:val="0"/>
          <w:color w:val="000000"/>
          <w:lang w:val="es-ES_tradnl"/>
        </w:rPr>
      </w:pPr>
      <w:r w:rsidRPr="00E87AD2">
        <w:rPr>
          <w:snapToGrid w:val="0"/>
          <w:color w:val="000000"/>
        </w:rPr>
        <w:fldChar w:fldCharType="begin"/>
      </w:r>
      <w:r w:rsidRPr="001D2D58">
        <w:rPr>
          <w:snapToGrid w:val="0"/>
          <w:color w:val="000000"/>
          <w:lang w:val="es-ES"/>
        </w:rPr>
        <w:instrText xml:space="preserve"> AUTONUM  </w:instrText>
      </w:r>
      <w:r w:rsidRPr="00E87AD2">
        <w:rPr>
          <w:snapToGrid w:val="0"/>
          <w:color w:val="000000"/>
        </w:rPr>
        <w:fldChar w:fldCharType="end"/>
      </w:r>
      <w:r w:rsidRPr="001D2D58">
        <w:rPr>
          <w:snapToGrid w:val="0"/>
          <w:color w:val="000000"/>
          <w:lang w:val="es-ES"/>
        </w:rPr>
        <w:tab/>
      </w:r>
      <w:r w:rsidRPr="00E87AD2">
        <w:rPr>
          <w:snapToGrid w:val="0"/>
          <w:color w:val="000000"/>
          <w:lang w:val="es-ES_tradnl"/>
        </w:rPr>
        <w:t>El Consejo, en su trigésima primera sesión extraordinaria, transmitió su reconocimiento al Órgano Rector del ITPGRFA por el agradecimiento manifestado a la UPOV en relación con el apoyo práctico que la Unión había prestado al ITPGRFA y confirmó que mantendrá su compromiso con el apoyo mutuo.</w:t>
      </w:r>
      <w:r w:rsidRPr="001D2D58">
        <w:rPr>
          <w:snapToGrid w:val="0"/>
          <w:color w:val="000000"/>
          <w:lang w:val="es-ES"/>
        </w:rPr>
        <w:t xml:space="preserve"> </w:t>
      </w:r>
      <w:r w:rsidRPr="001D2D58">
        <w:rPr>
          <w:snapToGrid w:val="0"/>
          <w:lang w:val="es-ES"/>
        </w:rPr>
        <w:t xml:space="preserve"> </w:t>
      </w:r>
      <w:r w:rsidRPr="00E87AD2">
        <w:rPr>
          <w:snapToGrid w:val="0"/>
          <w:lang w:val="es-ES_tradnl"/>
        </w:rPr>
        <w:t>En respuesta a una invitación del Órgano Rector de determinar, junto con el Secretario del ITPGRFA y la Secretaría de la Organización Mundial de la Propiedad Intelectual (OMPI), las posibles esferas de interrelación de los instrumentos internacionales del ITPGRFA, la OMPI y la UPOV, el Consejo decidió analizar la idea de elaborar una publicación conjunta sobre las cuestiones interrelacionadas en lo que concierne a la innovación y los recursos fitogenéticos y otras iniciativas apropiadas.</w:t>
      </w:r>
    </w:p>
    <w:p w:rsidR="00BB0664" w:rsidRPr="00E87AD2" w:rsidRDefault="00BB0664" w:rsidP="00C854D3">
      <w:pPr>
        <w:rPr>
          <w:snapToGrid w:val="0"/>
          <w:lang w:val="es-ES_tradnl"/>
        </w:rPr>
      </w:pPr>
    </w:p>
    <w:p w:rsidR="00BB0664" w:rsidRPr="00E87AD2" w:rsidRDefault="00BB0664" w:rsidP="00110B2B">
      <w:pPr>
        <w:pStyle w:val="Heading3"/>
        <w:rPr>
          <w:color w:val="auto"/>
        </w:rPr>
      </w:pPr>
      <w:bookmarkStart w:id="40" w:name="_Toc413750081"/>
      <w:r w:rsidRPr="00E87AD2">
        <w:rPr>
          <w:color w:val="auto"/>
        </w:rPr>
        <w:t>Organización de Cooperación y Desarrollo Económicos (OCDE)</w:t>
      </w:r>
      <w:bookmarkEnd w:id="40"/>
    </w:p>
    <w:p w:rsidR="00BB0664" w:rsidRPr="00E87AD2" w:rsidRDefault="00BB0664" w:rsidP="00C854D3">
      <w:pPr>
        <w:rPr>
          <w:lang w:val="es-ES_tradnl"/>
        </w:rPr>
      </w:pPr>
    </w:p>
    <w:p w:rsidR="00BB0664" w:rsidRPr="001D2D58" w:rsidRDefault="00BB0664" w:rsidP="00C854D3">
      <w:pPr>
        <w:rPr>
          <w:lang w:val="es-ES"/>
        </w:rPr>
      </w:pPr>
      <w:r w:rsidRPr="00E87AD2">
        <w:fldChar w:fldCharType="begin"/>
      </w:r>
      <w:r w:rsidRPr="001D2D58">
        <w:rPr>
          <w:lang w:val="es-ES"/>
        </w:rPr>
        <w:instrText xml:space="preserve"> AUTONUM  </w:instrText>
      </w:r>
      <w:r w:rsidRPr="00E87AD2">
        <w:fldChar w:fldCharType="end"/>
      </w:r>
      <w:r w:rsidRPr="001D2D58">
        <w:rPr>
          <w:lang w:val="es-ES"/>
        </w:rPr>
        <w:tab/>
      </w:r>
      <w:r w:rsidRPr="00E87AD2">
        <w:rPr>
          <w:lang w:val="es-ES_tradnl"/>
        </w:rPr>
        <w:t>El Sistema de la OCDE para la certificación de semillas y plantas forestales, en su reunión anual celebrada en París los días 24 y 25 de septiembre de 2014, convino en modificar el reglamento del sistema de certificación para añadir una definición de derechos de obtentor y hacer una referencia a la definición de “variedad” con arreglo al Convenio de la UPOV.</w:t>
      </w:r>
    </w:p>
    <w:p w:rsidR="00BB0664" w:rsidRPr="001D2D58" w:rsidRDefault="00BB0664" w:rsidP="00C854D3">
      <w:pPr>
        <w:rPr>
          <w:lang w:val="es-ES"/>
        </w:rPr>
      </w:pPr>
    </w:p>
    <w:p w:rsidR="00BB0664" w:rsidRPr="001D2D58" w:rsidRDefault="00BB0664" w:rsidP="00C854D3">
      <w:pPr>
        <w:rPr>
          <w:snapToGrid w:val="0"/>
          <w:lang w:val="es-ES"/>
        </w:rPr>
      </w:pPr>
    </w:p>
    <w:p w:rsidR="00BB0664" w:rsidRPr="00E87AD2" w:rsidRDefault="00BB0664" w:rsidP="005854DE">
      <w:pPr>
        <w:pStyle w:val="Heading1"/>
      </w:pPr>
      <w:bookmarkStart w:id="41" w:name="_Toc413750082"/>
      <w:r w:rsidRPr="00E87AD2">
        <w:t>Homenaje al Sr. François Boulineau (Francia), Presidente del Grupo de Trabajo Técnico sobre Hortalizas (TWV)</w:t>
      </w:r>
      <w:bookmarkEnd w:id="41"/>
    </w:p>
    <w:p w:rsidR="00BB0664" w:rsidRPr="00E87AD2" w:rsidRDefault="00BB0664" w:rsidP="00C854D3">
      <w:pPr>
        <w:rPr>
          <w:rFonts w:cs="Arial"/>
          <w:lang w:val="es-ES_tradnl"/>
        </w:rPr>
      </w:pPr>
    </w:p>
    <w:p w:rsidR="00BB0664" w:rsidRPr="00E87AD2" w:rsidRDefault="00BB0664" w:rsidP="00C854D3">
      <w:pPr>
        <w:rPr>
          <w:rFonts w:cs="Arial"/>
          <w:lang w:val="es-ES_tradnl"/>
        </w:rPr>
      </w:pPr>
      <w:r w:rsidRPr="00E87AD2">
        <w:rPr>
          <w:rFonts w:cs="Arial"/>
        </w:rPr>
        <w:fldChar w:fldCharType="begin"/>
      </w:r>
      <w:r w:rsidRPr="001D2D58">
        <w:rPr>
          <w:rFonts w:cs="Arial"/>
          <w:lang w:val="es-ES"/>
        </w:rPr>
        <w:instrText xml:space="preserve"> AUTONUM  </w:instrText>
      </w:r>
      <w:r w:rsidRPr="00E87AD2">
        <w:rPr>
          <w:rFonts w:cs="Arial"/>
        </w:rPr>
        <w:fldChar w:fldCharType="end"/>
      </w:r>
      <w:r w:rsidRPr="001D2D58">
        <w:rPr>
          <w:rFonts w:cs="Arial"/>
          <w:lang w:val="es-ES"/>
        </w:rPr>
        <w:tab/>
      </w:r>
      <w:r w:rsidRPr="00E87AD2">
        <w:rPr>
          <w:rFonts w:cs="Arial"/>
          <w:lang w:val="es-ES_tradnl"/>
        </w:rPr>
        <w:t xml:space="preserve">El Consejo, en su trigésima primera sesión extraordinaria, expresó sus condolencias por el lamentable fallecimiento del Sr. François Boulineau, </w:t>
      </w:r>
      <w:r w:rsidRPr="00E87AD2">
        <w:rPr>
          <w:lang w:val="es-ES_tradnl"/>
        </w:rPr>
        <w:t>Presidente del Grupo de Trabajo Técnico sobre Hortalizas (TWV), ocurrido el 23 de diciembre de 2013</w:t>
      </w:r>
      <w:r w:rsidRPr="00E87AD2">
        <w:rPr>
          <w:rFonts w:cs="Arial"/>
          <w:lang w:val="es-ES_tradnl"/>
        </w:rPr>
        <w:t>.</w:t>
      </w:r>
      <w:r w:rsidR="001A0D74">
        <w:rPr>
          <w:rFonts w:cs="Arial"/>
          <w:lang w:val="es-ES"/>
        </w:rPr>
        <w:t xml:space="preserve"> </w:t>
      </w:r>
      <w:r w:rsidRPr="00E87AD2">
        <w:rPr>
          <w:rFonts w:cs="Arial"/>
          <w:lang w:val="es-ES_tradnl"/>
        </w:rPr>
        <w:t>Además de desempeñar el cargo de presidente del TWV, el Sr.</w:t>
      </w:r>
      <w:r w:rsidRPr="00E87AD2">
        <w:rPr>
          <w:rFonts w:cs="Arial"/>
          <w:color w:val="000000"/>
          <w:lang w:val="es-ES_tradnl"/>
        </w:rPr>
        <w:t xml:space="preserve"> </w:t>
      </w:r>
      <w:r w:rsidRPr="00E87AD2">
        <w:rPr>
          <w:rFonts w:cs="Arial"/>
          <w:lang w:val="es-ES_tradnl"/>
        </w:rPr>
        <w:t>Boulineau había contribuido con su gran experiencia y sus conocimientos especializados a la labor técnica de la UPOV y fue el experto principal de numerosas directrices de examen de la UPOV.  El Consejo expresó su agradecimiento por la importante contribución del Sr</w:t>
      </w:r>
      <w:r w:rsidRPr="00E87AD2">
        <w:rPr>
          <w:rFonts w:cs="Arial"/>
          <w:color w:val="000000"/>
          <w:lang w:val="es-ES_tradnl"/>
        </w:rPr>
        <w:t>.</w:t>
      </w:r>
      <w:r w:rsidRPr="00E87AD2">
        <w:rPr>
          <w:rFonts w:cs="Arial"/>
          <w:lang w:val="es-ES_tradnl"/>
        </w:rPr>
        <w:t xml:space="preserve"> Boulineau a la UPOV.</w:t>
      </w:r>
    </w:p>
    <w:p w:rsidR="00BB0664" w:rsidRPr="00E87AD2" w:rsidRDefault="00BB0664" w:rsidP="00C854D3">
      <w:pPr>
        <w:rPr>
          <w:snapToGrid w:val="0"/>
          <w:lang w:val="es-ES_tradnl"/>
        </w:rPr>
      </w:pPr>
    </w:p>
    <w:p w:rsidR="00BB0664" w:rsidRPr="00E87AD2" w:rsidRDefault="00BB0664" w:rsidP="00C854D3">
      <w:pPr>
        <w:pStyle w:val="DecisionParagraphs"/>
        <w:rPr>
          <w:snapToGrid w:val="0"/>
          <w:lang w:val="es-ES_tradnl"/>
        </w:rPr>
      </w:pPr>
    </w:p>
    <w:p w:rsidR="00BB0664" w:rsidRPr="00E87AD2" w:rsidRDefault="00BB0664" w:rsidP="00C854D3">
      <w:pPr>
        <w:pStyle w:val="DecisionParagraphs"/>
        <w:rPr>
          <w:snapToGrid w:val="0"/>
          <w:color w:val="000000"/>
          <w:lang w:val="es-ES_tradnl"/>
        </w:rPr>
      </w:pPr>
      <w:r w:rsidRPr="00E87AD2">
        <w:rPr>
          <w:snapToGrid w:val="0"/>
          <w:color w:val="000000"/>
          <w:lang w:val="es-ES_tradnl"/>
        </w:rPr>
        <w:fldChar w:fldCharType="begin"/>
      </w:r>
      <w:r w:rsidRPr="00E87AD2">
        <w:rPr>
          <w:snapToGrid w:val="0"/>
          <w:color w:val="000000"/>
          <w:lang w:val="es-ES_tradnl"/>
        </w:rPr>
        <w:instrText xml:space="preserve"> AUTONUM  </w:instrText>
      </w:r>
      <w:r w:rsidRPr="00E87AD2">
        <w:rPr>
          <w:snapToGrid w:val="0"/>
          <w:color w:val="000000"/>
          <w:lang w:val="es-ES_tradnl"/>
        </w:rPr>
        <w:fldChar w:fldCharType="end"/>
      </w:r>
      <w:r w:rsidRPr="00E87AD2">
        <w:rPr>
          <w:snapToGrid w:val="0"/>
          <w:color w:val="000000"/>
          <w:lang w:val="es-ES_tradnl"/>
        </w:rPr>
        <w:tab/>
        <w:t>Se invita al TC a tomar nota de las novedades acaecidas en la UPOV, incluidas las cuestiones pertinentes debatidas en las últimas sesiones del Comité Administrativo y Jurídico, el Comit</w:t>
      </w:r>
      <w:r w:rsidRPr="001A0D74">
        <w:rPr>
          <w:snapToGrid w:val="0"/>
          <w:color w:val="000000"/>
          <w:lang w:val="es-ES_tradnl"/>
        </w:rPr>
        <w:t>é Consultivo y el Consejo, según lo expuesto en los párrafos 3 a 35.</w:t>
      </w:r>
    </w:p>
    <w:p w:rsidR="00BB0664" w:rsidRPr="00E87AD2" w:rsidRDefault="00BB0664" w:rsidP="00C854D3">
      <w:pPr>
        <w:rPr>
          <w:lang w:val="es-ES_tradnl"/>
        </w:rPr>
      </w:pPr>
    </w:p>
    <w:p w:rsidR="00BB0664" w:rsidRPr="00E87AD2" w:rsidRDefault="00BB0664" w:rsidP="00C854D3">
      <w:pPr>
        <w:rPr>
          <w:lang w:val="es-ES_tradnl"/>
        </w:rPr>
      </w:pPr>
    </w:p>
    <w:p w:rsidR="00BB0664" w:rsidRPr="00E87AD2" w:rsidRDefault="00BB0664" w:rsidP="00C854D3">
      <w:pPr>
        <w:rPr>
          <w:lang w:val="es-ES_tradnl"/>
        </w:rPr>
      </w:pPr>
    </w:p>
    <w:p w:rsidR="00BB0664" w:rsidRPr="00E87AD2" w:rsidRDefault="00BB0664" w:rsidP="00C854D3">
      <w:pPr>
        <w:jc w:val="right"/>
        <w:rPr>
          <w:snapToGrid w:val="0"/>
          <w:lang w:val="es-ES_tradnl"/>
        </w:rPr>
      </w:pPr>
    </w:p>
    <w:p w:rsidR="00BB0664" w:rsidRPr="00E87AD2" w:rsidRDefault="00BB0664" w:rsidP="00C854D3">
      <w:pPr>
        <w:jc w:val="right"/>
        <w:rPr>
          <w:snapToGrid w:val="0"/>
          <w:lang w:val="es-ES_tradnl"/>
        </w:rPr>
      </w:pPr>
      <w:r w:rsidRPr="00E87AD2">
        <w:rPr>
          <w:snapToGrid w:val="0"/>
          <w:lang w:val="es-ES_tradnl"/>
        </w:rPr>
        <w:t>[Fin del documento]</w:t>
      </w:r>
    </w:p>
    <w:sectPr w:rsidR="00BB0664" w:rsidRPr="00E87AD2" w:rsidSect="00906DDC">
      <w:headerReference w:type="default" r:id="rId19"/>
      <w:pgSz w:w="11907" w:h="16840" w:code="9"/>
      <w:pgMar w:top="510" w:right="1134" w:bottom="1134" w:left="1134" w:header="510" w:footer="68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8BF" w:rsidRDefault="00CF08BF" w:rsidP="00F45372">
      <w:r>
        <w:separator/>
      </w:r>
    </w:p>
    <w:p w:rsidR="00CF08BF" w:rsidRDefault="00CF08BF" w:rsidP="00F45372"/>
    <w:p w:rsidR="00CF08BF" w:rsidRDefault="00CF08BF" w:rsidP="00F45372"/>
  </w:endnote>
  <w:endnote w:type="continuationSeparator" w:id="0">
    <w:p w:rsidR="00CF08BF" w:rsidRDefault="00CF08BF" w:rsidP="00F45372">
      <w:r>
        <w:separator/>
      </w:r>
    </w:p>
    <w:p w:rsidR="00CF08BF" w:rsidRPr="00970020" w:rsidRDefault="00CF08BF">
      <w:pPr>
        <w:pStyle w:val="Footer"/>
        <w:spacing w:after="60"/>
        <w:rPr>
          <w:sz w:val="18"/>
          <w:lang w:val="fr-CH"/>
        </w:rPr>
      </w:pPr>
      <w:r w:rsidRPr="00970020">
        <w:rPr>
          <w:sz w:val="18"/>
          <w:lang w:val="fr-CH"/>
        </w:rPr>
        <w:t>[Suite de la note de la page précédente]</w:t>
      </w:r>
    </w:p>
    <w:p w:rsidR="00CF08BF" w:rsidRPr="00970020" w:rsidRDefault="00CF08BF" w:rsidP="00F45372">
      <w:pPr>
        <w:rPr>
          <w:lang w:val="fr-CH"/>
        </w:rPr>
      </w:pPr>
    </w:p>
    <w:p w:rsidR="00CF08BF" w:rsidRPr="00970020" w:rsidRDefault="00CF08BF" w:rsidP="00F45372">
      <w:pPr>
        <w:rPr>
          <w:lang w:val="fr-CH"/>
        </w:rPr>
      </w:pPr>
    </w:p>
  </w:endnote>
  <w:endnote w:type="continuationNotice" w:id="1">
    <w:p w:rsidR="00CF08BF" w:rsidRPr="00970020" w:rsidRDefault="00CF08BF" w:rsidP="00F45372">
      <w:pPr>
        <w:rPr>
          <w:lang w:val="fr-CH"/>
        </w:rPr>
      </w:pPr>
      <w:r w:rsidRPr="00970020">
        <w:rPr>
          <w:lang w:val="fr-CH"/>
        </w:rPr>
        <w:t>[Suite de la note page suivante]</w:t>
      </w:r>
    </w:p>
    <w:p w:rsidR="00CF08BF" w:rsidRPr="00970020" w:rsidRDefault="00CF08BF" w:rsidP="00F45372">
      <w:pPr>
        <w:rPr>
          <w:lang w:val="fr-CH"/>
        </w:rPr>
      </w:pPr>
    </w:p>
    <w:p w:rsidR="00CF08BF" w:rsidRPr="00970020" w:rsidRDefault="00CF08BF" w:rsidP="00F45372">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8BF" w:rsidRDefault="00CF08BF" w:rsidP="00F45372">
      <w:r>
        <w:separator/>
      </w:r>
    </w:p>
  </w:footnote>
  <w:footnote w:type="continuationSeparator" w:id="0">
    <w:p w:rsidR="00CF08BF" w:rsidRDefault="00CF08BF" w:rsidP="00F45372">
      <w:r>
        <w:separator/>
      </w:r>
    </w:p>
  </w:footnote>
  <w:footnote w:type="continuationNotice" w:id="1">
    <w:p w:rsidR="00CF08BF" w:rsidRPr="00905020" w:rsidRDefault="00CF08BF" w:rsidP="00905020">
      <w:pPr>
        <w:pStyle w:val="Footer"/>
      </w:pPr>
    </w:p>
  </w:footnote>
  <w:footnote w:id="2">
    <w:p w:rsidR="00CF08BF" w:rsidRDefault="00CF08BF" w:rsidP="00BB08EE">
      <w:pPr>
        <w:pStyle w:val="FootnoteText"/>
      </w:pPr>
      <w:r>
        <w:rPr>
          <w:rStyle w:val="FootnoteReference"/>
        </w:rPr>
        <w:footnoteRef/>
      </w:r>
      <w:r>
        <w:tab/>
      </w:r>
      <w:r w:rsidRPr="00BB08EE">
        <w:t>Publicación que combina las deliberaciones del “Seminario sobre la protección de las variedades vegetales y la transferencia de tecnología:  beneficios de la colaboración público-privada”</w:t>
      </w:r>
      <w:r>
        <w:t xml:space="preserve">, </w:t>
      </w:r>
      <w:r w:rsidRPr="00BB08EE">
        <w:t>el “Simposio sobre el fitomejoramiento para el futuro” y el “Simposio sobre las ventajas de la protección de las obtenciones vegetales para los agricultores y los productores”.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8BF" w:rsidRPr="008D3729" w:rsidRDefault="00CF08BF" w:rsidP="00EB048E">
    <w:pPr>
      <w:pStyle w:val="Header"/>
      <w:rPr>
        <w:rStyle w:val="PageNumber"/>
        <w:lang w:val="es-ES_tradnl"/>
      </w:rPr>
    </w:pPr>
    <w:r>
      <w:rPr>
        <w:rStyle w:val="PageNumber"/>
        <w:lang w:val="es-ES_tradnl"/>
      </w:rPr>
      <w:t>TC/51/10</w:t>
    </w:r>
  </w:p>
  <w:p w:rsidR="00CF08BF" w:rsidRPr="008D3729" w:rsidRDefault="00CF08BF" w:rsidP="00EB048E">
    <w:pPr>
      <w:pStyle w:val="Header"/>
      <w:rPr>
        <w:lang w:val="es-ES_tradnl"/>
      </w:rPr>
    </w:pPr>
    <w:r w:rsidRPr="008D3729">
      <w:rPr>
        <w:lang w:val="es-ES_tradnl"/>
      </w:rPr>
      <w:t xml:space="preserve">página </w:t>
    </w:r>
    <w:r w:rsidRPr="008D3729">
      <w:rPr>
        <w:rStyle w:val="PageNumber"/>
        <w:lang w:val="es-ES_tradnl"/>
      </w:rPr>
      <w:fldChar w:fldCharType="begin"/>
    </w:r>
    <w:r w:rsidRPr="008D3729">
      <w:rPr>
        <w:rStyle w:val="PageNumber"/>
        <w:lang w:val="es-ES_tradnl"/>
      </w:rPr>
      <w:instrText xml:space="preserve"> PAGE </w:instrText>
    </w:r>
    <w:r w:rsidRPr="008D3729">
      <w:rPr>
        <w:rStyle w:val="PageNumber"/>
        <w:lang w:val="es-ES_tradnl"/>
      </w:rPr>
      <w:fldChar w:fldCharType="separate"/>
    </w:r>
    <w:r w:rsidR="001A0D74">
      <w:rPr>
        <w:rStyle w:val="PageNumber"/>
        <w:noProof/>
        <w:lang w:val="es-ES_tradnl"/>
      </w:rPr>
      <w:t>2</w:t>
    </w:r>
    <w:r w:rsidRPr="008D3729">
      <w:rPr>
        <w:rStyle w:val="PageNumber"/>
        <w:lang w:val="es-ES_tradnl"/>
      </w:rPr>
      <w:fldChar w:fldCharType="end"/>
    </w:r>
  </w:p>
  <w:p w:rsidR="00CF08BF" w:rsidRPr="008D3729" w:rsidRDefault="00CF08BF" w:rsidP="00C854D3">
    <w:pPr>
      <w:jc w:val="center"/>
      <w:rPr>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44B7D"/>
    <w:multiLevelType w:val="hybridMultilevel"/>
    <w:tmpl w:val="88DCDD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3D2F36"/>
    <w:multiLevelType w:val="hybridMultilevel"/>
    <w:tmpl w:val="C5B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C46AFE"/>
    <w:multiLevelType w:val="hybridMultilevel"/>
    <w:tmpl w:val="AD669FD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15C8453D"/>
    <w:multiLevelType w:val="hybridMultilevel"/>
    <w:tmpl w:val="C41E4350"/>
    <w:lvl w:ilvl="0" w:tplc="9EC42AF8">
      <w:start w:val="1"/>
      <w:numFmt w:val="lowerLetter"/>
      <w:lvlText w:val="(%1)"/>
      <w:lvlJc w:val="left"/>
      <w:pPr>
        <w:ind w:left="1137" w:hanging="57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4">
    <w:nsid w:val="1A3D5BEC"/>
    <w:multiLevelType w:val="hybridMultilevel"/>
    <w:tmpl w:val="700C0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0E0130"/>
    <w:multiLevelType w:val="hybridMultilevel"/>
    <w:tmpl w:val="F000F39A"/>
    <w:lvl w:ilvl="0" w:tplc="E09A37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B517AB"/>
    <w:multiLevelType w:val="hybridMultilevel"/>
    <w:tmpl w:val="3D0C5BA0"/>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nsid w:val="4C731A68"/>
    <w:multiLevelType w:val="hybridMultilevel"/>
    <w:tmpl w:val="48D0A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0266848"/>
    <w:multiLevelType w:val="hybridMultilevel"/>
    <w:tmpl w:val="B120A2C2"/>
    <w:lvl w:ilvl="0" w:tplc="0409000F">
      <w:start w:val="1"/>
      <w:numFmt w:val="decimal"/>
      <w:lvlText w:val="%1."/>
      <w:lvlJc w:val="left"/>
      <w:pPr>
        <w:ind w:left="1287" w:hanging="360"/>
      </w:pPr>
      <w:rPr>
        <w:rFonts w:cs="Times New Roman"/>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9">
    <w:nsid w:val="61A11D61"/>
    <w:multiLevelType w:val="hybridMultilevel"/>
    <w:tmpl w:val="4A0E51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1C3362B"/>
    <w:multiLevelType w:val="hybridMultilevel"/>
    <w:tmpl w:val="92CC3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F595D9F"/>
    <w:multiLevelType w:val="hybridMultilevel"/>
    <w:tmpl w:val="F9BC4AAA"/>
    <w:lvl w:ilvl="0" w:tplc="8826A950">
      <w:start w:val="1"/>
      <w:numFmt w:val="lowerLetter"/>
      <w:lvlText w:val="(%1)"/>
      <w:lvlJc w:val="left"/>
      <w:pPr>
        <w:ind w:left="5180" w:hanging="360"/>
      </w:pPr>
      <w:rPr>
        <w:rFonts w:cs="Times New Roman" w:hint="default"/>
      </w:rPr>
    </w:lvl>
    <w:lvl w:ilvl="1" w:tplc="04090019" w:tentative="1">
      <w:start w:val="1"/>
      <w:numFmt w:val="lowerLetter"/>
      <w:lvlText w:val="%2."/>
      <w:lvlJc w:val="left"/>
      <w:pPr>
        <w:ind w:left="5900" w:hanging="360"/>
      </w:pPr>
      <w:rPr>
        <w:rFonts w:cs="Times New Roman"/>
      </w:rPr>
    </w:lvl>
    <w:lvl w:ilvl="2" w:tplc="0409001B" w:tentative="1">
      <w:start w:val="1"/>
      <w:numFmt w:val="lowerRoman"/>
      <w:lvlText w:val="%3."/>
      <w:lvlJc w:val="right"/>
      <w:pPr>
        <w:ind w:left="6620" w:hanging="180"/>
      </w:pPr>
      <w:rPr>
        <w:rFonts w:cs="Times New Roman"/>
      </w:rPr>
    </w:lvl>
    <w:lvl w:ilvl="3" w:tplc="0409000F" w:tentative="1">
      <w:start w:val="1"/>
      <w:numFmt w:val="decimal"/>
      <w:lvlText w:val="%4."/>
      <w:lvlJc w:val="left"/>
      <w:pPr>
        <w:ind w:left="7340" w:hanging="360"/>
      </w:pPr>
      <w:rPr>
        <w:rFonts w:cs="Times New Roman"/>
      </w:rPr>
    </w:lvl>
    <w:lvl w:ilvl="4" w:tplc="04090019" w:tentative="1">
      <w:start w:val="1"/>
      <w:numFmt w:val="lowerLetter"/>
      <w:lvlText w:val="%5."/>
      <w:lvlJc w:val="left"/>
      <w:pPr>
        <w:ind w:left="8060" w:hanging="360"/>
      </w:pPr>
      <w:rPr>
        <w:rFonts w:cs="Times New Roman"/>
      </w:rPr>
    </w:lvl>
    <w:lvl w:ilvl="5" w:tplc="0409001B" w:tentative="1">
      <w:start w:val="1"/>
      <w:numFmt w:val="lowerRoman"/>
      <w:lvlText w:val="%6."/>
      <w:lvlJc w:val="right"/>
      <w:pPr>
        <w:ind w:left="8780" w:hanging="180"/>
      </w:pPr>
      <w:rPr>
        <w:rFonts w:cs="Times New Roman"/>
      </w:rPr>
    </w:lvl>
    <w:lvl w:ilvl="6" w:tplc="0409000F" w:tentative="1">
      <w:start w:val="1"/>
      <w:numFmt w:val="decimal"/>
      <w:lvlText w:val="%7."/>
      <w:lvlJc w:val="left"/>
      <w:pPr>
        <w:ind w:left="9500" w:hanging="360"/>
      </w:pPr>
      <w:rPr>
        <w:rFonts w:cs="Times New Roman"/>
      </w:rPr>
    </w:lvl>
    <w:lvl w:ilvl="7" w:tplc="04090019" w:tentative="1">
      <w:start w:val="1"/>
      <w:numFmt w:val="lowerLetter"/>
      <w:lvlText w:val="%8."/>
      <w:lvlJc w:val="left"/>
      <w:pPr>
        <w:ind w:left="10220" w:hanging="360"/>
      </w:pPr>
      <w:rPr>
        <w:rFonts w:cs="Times New Roman"/>
      </w:rPr>
    </w:lvl>
    <w:lvl w:ilvl="8" w:tplc="0409001B" w:tentative="1">
      <w:start w:val="1"/>
      <w:numFmt w:val="lowerRoman"/>
      <w:lvlText w:val="%9."/>
      <w:lvlJc w:val="right"/>
      <w:pPr>
        <w:ind w:left="10940" w:hanging="180"/>
      </w:pPr>
      <w:rPr>
        <w:rFonts w:cs="Times New Roman"/>
      </w:rPr>
    </w:lvl>
  </w:abstractNum>
  <w:num w:numId="1">
    <w:abstractNumId w:val="2"/>
  </w:num>
  <w:num w:numId="2">
    <w:abstractNumId w:val="8"/>
  </w:num>
  <w:num w:numId="3">
    <w:abstractNumId w:val="6"/>
  </w:num>
  <w:num w:numId="4">
    <w:abstractNumId w:val="3"/>
  </w:num>
  <w:num w:numId="5">
    <w:abstractNumId w:val="7"/>
  </w:num>
  <w:num w:numId="6">
    <w:abstractNumId w:val="0"/>
  </w:num>
  <w:num w:numId="7">
    <w:abstractNumId w:val="4"/>
  </w:num>
  <w:num w:numId="8">
    <w:abstractNumId w:val="11"/>
  </w:num>
  <w:num w:numId="9">
    <w:abstractNumId w:val="1"/>
  </w:num>
  <w:num w:numId="10">
    <w:abstractNumId w:val="5"/>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fColors" w:val="1"/>
  </w:docVars>
  <w:rsids>
    <w:rsidRoot w:val="00FD2ED7"/>
    <w:rsid w:val="00000FD6"/>
    <w:rsid w:val="000022C4"/>
    <w:rsid w:val="00010CF3"/>
    <w:rsid w:val="00011E27"/>
    <w:rsid w:val="000148BC"/>
    <w:rsid w:val="00024AB8"/>
    <w:rsid w:val="00030854"/>
    <w:rsid w:val="00036028"/>
    <w:rsid w:val="00044642"/>
    <w:rsid w:val="000446B9"/>
    <w:rsid w:val="00047E21"/>
    <w:rsid w:val="00050904"/>
    <w:rsid w:val="00050CF1"/>
    <w:rsid w:val="00061704"/>
    <w:rsid w:val="00065225"/>
    <w:rsid w:val="00080B6C"/>
    <w:rsid w:val="00085505"/>
    <w:rsid w:val="000B7043"/>
    <w:rsid w:val="000B72C7"/>
    <w:rsid w:val="000C4166"/>
    <w:rsid w:val="000C7021"/>
    <w:rsid w:val="000D025E"/>
    <w:rsid w:val="000D6BBC"/>
    <w:rsid w:val="000D7780"/>
    <w:rsid w:val="00105929"/>
    <w:rsid w:val="00110B2B"/>
    <w:rsid w:val="001131D5"/>
    <w:rsid w:val="00141DB8"/>
    <w:rsid w:val="00145935"/>
    <w:rsid w:val="001479AA"/>
    <w:rsid w:val="0015669F"/>
    <w:rsid w:val="0017474A"/>
    <w:rsid w:val="001758C6"/>
    <w:rsid w:val="00184D5D"/>
    <w:rsid w:val="00184EDD"/>
    <w:rsid w:val="001A0D74"/>
    <w:rsid w:val="001A24EB"/>
    <w:rsid w:val="001C553C"/>
    <w:rsid w:val="001D2D58"/>
    <w:rsid w:val="001D50C4"/>
    <w:rsid w:val="00211419"/>
    <w:rsid w:val="0021332C"/>
    <w:rsid w:val="00213982"/>
    <w:rsid w:val="00235267"/>
    <w:rsid w:val="00236FAC"/>
    <w:rsid w:val="0024416D"/>
    <w:rsid w:val="00266E18"/>
    <w:rsid w:val="002800A0"/>
    <w:rsid w:val="002801B3"/>
    <w:rsid w:val="00281060"/>
    <w:rsid w:val="00287F1C"/>
    <w:rsid w:val="00293035"/>
    <w:rsid w:val="002940E8"/>
    <w:rsid w:val="002A6E50"/>
    <w:rsid w:val="002C256A"/>
    <w:rsid w:val="002F65C7"/>
    <w:rsid w:val="00305A7F"/>
    <w:rsid w:val="003152FE"/>
    <w:rsid w:val="00320AE8"/>
    <w:rsid w:val="00327436"/>
    <w:rsid w:val="00344BD6"/>
    <w:rsid w:val="00351952"/>
    <w:rsid w:val="00352F69"/>
    <w:rsid w:val="0035528D"/>
    <w:rsid w:val="00361821"/>
    <w:rsid w:val="00366D8A"/>
    <w:rsid w:val="00370631"/>
    <w:rsid w:val="00393A59"/>
    <w:rsid w:val="003C34CD"/>
    <w:rsid w:val="003D227C"/>
    <w:rsid w:val="003D2B4D"/>
    <w:rsid w:val="003D7E71"/>
    <w:rsid w:val="00402138"/>
    <w:rsid w:val="004212B5"/>
    <w:rsid w:val="00432746"/>
    <w:rsid w:val="00444A88"/>
    <w:rsid w:val="004521E4"/>
    <w:rsid w:val="00455315"/>
    <w:rsid w:val="00466C16"/>
    <w:rsid w:val="00474DA4"/>
    <w:rsid w:val="0048312A"/>
    <w:rsid w:val="004A19E5"/>
    <w:rsid w:val="004A3874"/>
    <w:rsid w:val="004B56C9"/>
    <w:rsid w:val="004B64F5"/>
    <w:rsid w:val="004C4657"/>
    <w:rsid w:val="004D047D"/>
    <w:rsid w:val="004F0346"/>
    <w:rsid w:val="004F147E"/>
    <w:rsid w:val="004F1D89"/>
    <w:rsid w:val="004F305A"/>
    <w:rsid w:val="0050466C"/>
    <w:rsid w:val="00506508"/>
    <w:rsid w:val="00512164"/>
    <w:rsid w:val="00520297"/>
    <w:rsid w:val="005308C7"/>
    <w:rsid w:val="005338F9"/>
    <w:rsid w:val="0054281C"/>
    <w:rsid w:val="00546CBA"/>
    <w:rsid w:val="00547868"/>
    <w:rsid w:val="0055268D"/>
    <w:rsid w:val="0056332D"/>
    <w:rsid w:val="00576BE4"/>
    <w:rsid w:val="00576BF0"/>
    <w:rsid w:val="00577841"/>
    <w:rsid w:val="005815E3"/>
    <w:rsid w:val="005854DE"/>
    <w:rsid w:val="00592847"/>
    <w:rsid w:val="005A400A"/>
    <w:rsid w:val="005B31C2"/>
    <w:rsid w:val="005E6622"/>
    <w:rsid w:val="00612379"/>
    <w:rsid w:val="0061555F"/>
    <w:rsid w:val="00625523"/>
    <w:rsid w:val="006265DF"/>
    <w:rsid w:val="0063490E"/>
    <w:rsid w:val="00641200"/>
    <w:rsid w:val="00687EB4"/>
    <w:rsid w:val="006A1ECF"/>
    <w:rsid w:val="006B17D2"/>
    <w:rsid w:val="006C224E"/>
    <w:rsid w:val="006C7DD2"/>
    <w:rsid w:val="006D780A"/>
    <w:rsid w:val="006D7B18"/>
    <w:rsid w:val="006E7347"/>
    <w:rsid w:val="006F5B43"/>
    <w:rsid w:val="00732DEC"/>
    <w:rsid w:val="00735BD5"/>
    <w:rsid w:val="00744B85"/>
    <w:rsid w:val="00753A37"/>
    <w:rsid w:val="007556F6"/>
    <w:rsid w:val="00760EEF"/>
    <w:rsid w:val="007772D8"/>
    <w:rsid w:val="00777EE5"/>
    <w:rsid w:val="00784836"/>
    <w:rsid w:val="0079023E"/>
    <w:rsid w:val="007A2854"/>
    <w:rsid w:val="007B035D"/>
    <w:rsid w:val="007D0B9D"/>
    <w:rsid w:val="007D19B0"/>
    <w:rsid w:val="007D410C"/>
    <w:rsid w:val="007F498F"/>
    <w:rsid w:val="007F4BB2"/>
    <w:rsid w:val="0080679D"/>
    <w:rsid w:val="008108B0"/>
    <w:rsid w:val="00811B20"/>
    <w:rsid w:val="0082296E"/>
    <w:rsid w:val="00824099"/>
    <w:rsid w:val="00867AC1"/>
    <w:rsid w:val="008A1693"/>
    <w:rsid w:val="008A743F"/>
    <w:rsid w:val="008C0970"/>
    <w:rsid w:val="008D2CF7"/>
    <w:rsid w:val="008D3729"/>
    <w:rsid w:val="00900C26"/>
    <w:rsid w:val="0090197F"/>
    <w:rsid w:val="00905020"/>
    <w:rsid w:val="00906DDC"/>
    <w:rsid w:val="00934E09"/>
    <w:rsid w:val="00936253"/>
    <w:rsid w:val="00940A01"/>
    <w:rsid w:val="00952DD4"/>
    <w:rsid w:val="009616C0"/>
    <w:rsid w:val="00970020"/>
    <w:rsid w:val="00970FED"/>
    <w:rsid w:val="00997029"/>
    <w:rsid w:val="009B0A0F"/>
    <w:rsid w:val="009D690D"/>
    <w:rsid w:val="009E65B6"/>
    <w:rsid w:val="009F3944"/>
    <w:rsid w:val="00A13C6F"/>
    <w:rsid w:val="00A21CDF"/>
    <w:rsid w:val="00A274B8"/>
    <w:rsid w:val="00A326E8"/>
    <w:rsid w:val="00A37B04"/>
    <w:rsid w:val="00A42AC3"/>
    <w:rsid w:val="00A430CF"/>
    <w:rsid w:val="00A47CDB"/>
    <w:rsid w:val="00A54309"/>
    <w:rsid w:val="00A55B16"/>
    <w:rsid w:val="00A95D71"/>
    <w:rsid w:val="00AA65E7"/>
    <w:rsid w:val="00AB2B93"/>
    <w:rsid w:val="00AB7E5B"/>
    <w:rsid w:val="00AE0EF1"/>
    <w:rsid w:val="00B07301"/>
    <w:rsid w:val="00B224DE"/>
    <w:rsid w:val="00B45708"/>
    <w:rsid w:val="00B57B82"/>
    <w:rsid w:val="00B84BBD"/>
    <w:rsid w:val="00BA43FB"/>
    <w:rsid w:val="00BB0664"/>
    <w:rsid w:val="00BB08EE"/>
    <w:rsid w:val="00BB156B"/>
    <w:rsid w:val="00BC127D"/>
    <w:rsid w:val="00BC1FE6"/>
    <w:rsid w:val="00C061B6"/>
    <w:rsid w:val="00C070B1"/>
    <w:rsid w:val="00C13808"/>
    <w:rsid w:val="00C15B79"/>
    <w:rsid w:val="00C2446C"/>
    <w:rsid w:val="00C3520B"/>
    <w:rsid w:val="00C36AE5"/>
    <w:rsid w:val="00C41F17"/>
    <w:rsid w:val="00C45839"/>
    <w:rsid w:val="00C5791C"/>
    <w:rsid w:val="00C66290"/>
    <w:rsid w:val="00C72B7A"/>
    <w:rsid w:val="00C73F46"/>
    <w:rsid w:val="00C854D3"/>
    <w:rsid w:val="00C94D95"/>
    <w:rsid w:val="00C973F2"/>
    <w:rsid w:val="00CA2074"/>
    <w:rsid w:val="00CA774A"/>
    <w:rsid w:val="00CB1634"/>
    <w:rsid w:val="00CB4BED"/>
    <w:rsid w:val="00CC11B0"/>
    <w:rsid w:val="00CE188F"/>
    <w:rsid w:val="00CE3197"/>
    <w:rsid w:val="00CF08BF"/>
    <w:rsid w:val="00CF6DD4"/>
    <w:rsid w:val="00CF7E36"/>
    <w:rsid w:val="00D261C5"/>
    <w:rsid w:val="00D30590"/>
    <w:rsid w:val="00D3708D"/>
    <w:rsid w:val="00D40426"/>
    <w:rsid w:val="00D57C96"/>
    <w:rsid w:val="00D91203"/>
    <w:rsid w:val="00D95174"/>
    <w:rsid w:val="00DA4685"/>
    <w:rsid w:val="00DA6F36"/>
    <w:rsid w:val="00DB596E"/>
    <w:rsid w:val="00DC00EA"/>
    <w:rsid w:val="00E40997"/>
    <w:rsid w:val="00E50918"/>
    <w:rsid w:val="00E72D49"/>
    <w:rsid w:val="00E7593C"/>
    <w:rsid w:val="00E7678A"/>
    <w:rsid w:val="00E77BA9"/>
    <w:rsid w:val="00E86CC6"/>
    <w:rsid w:val="00E87AD2"/>
    <w:rsid w:val="00E935F1"/>
    <w:rsid w:val="00E94A81"/>
    <w:rsid w:val="00EA1FFB"/>
    <w:rsid w:val="00EA5245"/>
    <w:rsid w:val="00EA7B64"/>
    <w:rsid w:val="00EB048E"/>
    <w:rsid w:val="00EE34DF"/>
    <w:rsid w:val="00EF29CC"/>
    <w:rsid w:val="00EF2F89"/>
    <w:rsid w:val="00F01F35"/>
    <w:rsid w:val="00F1237A"/>
    <w:rsid w:val="00F14D10"/>
    <w:rsid w:val="00F2249B"/>
    <w:rsid w:val="00F22CBD"/>
    <w:rsid w:val="00F45372"/>
    <w:rsid w:val="00F53EAA"/>
    <w:rsid w:val="00F560F7"/>
    <w:rsid w:val="00F6334D"/>
    <w:rsid w:val="00F70558"/>
    <w:rsid w:val="00F77B84"/>
    <w:rsid w:val="00F8268A"/>
    <w:rsid w:val="00FA49AB"/>
    <w:rsid w:val="00FD2ED7"/>
    <w:rsid w:val="00FE13F7"/>
    <w:rsid w:val="00FE39C7"/>
    <w:rsid w:val="00FF6BD2"/>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ES_tradnl" w:eastAsia="es-ES_tradnl"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DA4685"/>
    <w:pPr>
      <w:jc w:val="both"/>
    </w:pPr>
    <w:rPr>
      <w:rFonts w:ascii="Arial" w:hAnsi="Arial"/>
      <w:sz w:val="20"/>
      <w:szCs w:val="20"/>
      <w:lang w:val="en-US" w:eastAsia="en-US"/>
    </w:rPr>
  </w:style>
  <w:style w:type="paragraph" w:styleId="Heading1">
    <w:name w:val="heading 1"/>
    <w:basedOn w:val="Normal"/>
    <w:next w:val="Normal"/>
    <w:link w:val="Heading1Char"/>
    <w:uiPriority w:val="99"/>
    <w:qFormat/>
    <w:rsid w:val="005854DE"/>
    <w:pPr>
      <w:outlineLvl w:val="0"/>
    </w:pPr>
    <w:rPr>
      <w:caps/>
      <w:lang w:val="es-ES_tradnl"/>
    </w:rPr>
  </w:style>
  <w:style w:type="paragraph" w:styleId="Heading2">
    <w:name w:val="heading 2"/>
    <w:basedOn w:val="Normal"/>
    <w:next w:val="Normal"/>
    <w:link w:val="Heading2Char"/>
    <w:uiPriority w:val="99"/>
    <w:qFormat/>
    <w:rsid w:val="00BB08EE"/>
    <w:pPr>
      <w:keepNext/>
      <w:outlineLvl w:val="1"/>
    </w:pPr>
    <w:rPr>
      <w:u w:val="single"/>
      <w:lang w:val="es-ES_tradnl" w:eastAsia="es-ES_tradnl"/>
    </w:rPr>
  </w:style>
  <w:style w:type="paragraph" w:styleId="Heading3">
    <w:name w:val="heading 3"/>
    <w:basedOn w:val="Normal"/>
    <w:next w:val="Normal"/>
    <w:link w:val="Heading3Char"/>
    <w:autoRedefine/>
    <w:uiPriority w:val="99"/>
    <w:qFormat/>
    <w:rsid w:val="00110B2B"/>
    <w:pPr>
      <w:keepNext/>
      <w:outlineLvl w:val="2"/>
    </w:pPr>
    <w:rPr>
      <w:rFonts w:eastAsia="MS Mincho"/>
      <w:i/>
      <w:color w:val="808080"/>
      <w:lang w:val="es-ES_tradnl" w:eastAsia="ja-JP"/>
    </w:rPr>
  </w:style>
  <w:style w:type="paragraph" w:styleId="Heading4">
    <w:name w:val="heading 4"/>
    <w:basedOn w:val="Normal"/>
    <w:next w:val="Normal"/>
    <w:link w:val="Heading4Char"/>
    <w:autoRedefine/>
    <w:uiPriority w:val="99"/>
    <w:qFormat/>
    <w:rsid w:val="00370631"/>
    <w:pPr>
      <w:keepNext/>
      <w:ind w:left="567"/>
      <w:outlineLvl w:val="3"/>
    </w:pPr>
    <w:rPr>
      <w:u w:val="single"/>
      <w:lang w:val="fr-FR"/>
    </w:rPr>
  </w:style>
  <w:style w:type="paragraph" w:styleId="Heading5">
    <w:name w:val="heading 5"/>
    <w:basedOn w:val="Normal"/>
    <w:next w:val="Normal"/>
    <w:link w:val="Heading5Char"/>
    <w:autoRedefine/>
    <w:uiPriority w:val="99"/>
    <w:qFormat/>
    <w:rsid w:val="00370631"/>
    <w:pPr>
      <w:keepNext/>
      <w:ind w:left="1134" w:hanging="567"/>
      <w:outlineLvl w:val="4"/>
    </w:pPr>
    <w:rPr>
      <w:i/>
    </w:rPr>
  </w:style>
  <w:style w:type="paragraph" w:styleId="Heading7">
    <w:name w:val="heading 7"/>
    <w:basedOn w:val="Normal"/>
    <w:next w:val="Normal"/>
    <w:link w:val="Heading7Char"/>
    <w:uiPriority w:val="99"/>
    <w:qFormat/>
    <w:rsid w:val="00211419"/>
    <w:pPr>
      <w:keepNext/>
      <w:keepLines/>
      <w:spacing w:before="200"/>
      <w:outlineLvl w:val="6"/>
    </w:pPr>
    <w:rPr>
      <w:rFonts w:ascii="Cambria" w:hAnsi="Cambria"/>
      <w:i/>
      <w:iCs/>
      <w:color w:val="404040"/>
    </w:rPr>
  </w:style>
  <w:style w:type="paragraph" w:styleId="Heading9">
    <w:name w:val="heading 9"/>
    <w:basedOn w:val="Normal"/>
    <w:next w:val="Normal"/>
    <w:link w:val="Heading9Char"/>
    <w:uiPriority w:val="99"/>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val="en-US" w:eastAsia="en-US"/>
    </w:rPr>
  </w:style>
  <w:style w:type="character" w:customStyle="1" w:styleId="Heading2Char">
    <w:name w:val="Heading 2 Char"/>
    <w:basedOn w:val="DefaultParagraphFont"/>
    <w:link w:val="Heading2"/>
    <w:uiPriority w:val="99"/>
    <w:locked/>
    <w:rsid w:val="00BB08EE"/>
    <w:rPr>
      <w:rFonts w:ascii="Arial" w:hAnsi="Arial" w:cs="Times New Roman"/>
      <w:u w:val="single"/>
      <w:lang w:val="es-ES_tradnl" w:eastAsia="es-ES_tradnl"/>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val="en-US" w:eastAsia="en-US"/>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lang w:val="en-US" w:eastAsia="en-US"/>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lang w:val="en-US" w:eastAsia="en-US"/>
    </w:rPr>
  </w:style>
  <w:style w:type="character" w:customStyle="1" w:styleId="Heading7Char">
    <w:name w:val="Heading 7 Char"/>
    <w:basedOn w:val="DefaultParagraphFont"/>
    <w:link w:val="Heading7"/>
    <w:uiPriority w:val="99"/>
    <w:semiHidden/>
    <w:locked/>
    <w:rsid w:val="00211419"/>
    <w:rPr>
      <w:rFonts w:ascii="Cambria" w:hAnsi="Cambria" w:cs="Times New Roman"/>
      <w:i/>
      <w:iCs/>
      <w:color w:val="404040"/>
    </w:rPr>
  </w:style>
  <w:style w:type="character" w:customStyle="1" w:styleId="Heading9Char">
    <w:name w:val="Heading 9 Char"/>
    <w:basedOn w:val="DefaultParagraphFont"/>
    <w:link w:val="Heading9"/>
    <w:uiPriority w:val="99"/>
    <w:semiHidden/>
    <w:locked/>
    <w:rPr>
      <w:rFonts w:ascii="Cambria" w:hAnsi="Cambria" w:cs="Times New Roman"/>
      <w:lang w:val="en-US" w:eastAsia="en-US"/>
    </w:rPr>
  </w:style>
  <w:style w:type="paragraph" w:styleId="Header">
    <w:name w:val="header"/>
    <w:basedOn w:val="Normal"/>
    <w:link w:val="HeaderChar"/>
    <w:autoRedefine/>
    <w:uiPriority w:val="99"/>
    <w:rsid w:val="006D780A"/>
    <w:pPr>
      <w:tabs>
        <w:tab w:val="center" w:pos="4536"/>
        <w:tab w:val="right" w:pos="9072"/>
      </w:tabs>
      <w:jc w:val="center"/>
    </w:pPr>
    <w:rPr>
      <w:lang w:val="fr-FR"/>
    </w:rPr>
  </w:style>
  <w:style w:type="character" w:customStyle="1" w:styleId="HeaderChar">
    <w:name w:val="Header Char"/>
    <w:basedOn w:val="DefaultParagraphFont"/>
    <w:link w:val="Header"/>
    <w:uiPriority w:val="99"/>
    <w:semiHidden/>
    <w:locked/>
    <w:rPr>
      <w:rFonts w:ascii="Arial" w:hAnsi="Arial" w:cs="Times New Roman"/>
      <w:sz w:val="20"/>
      <w:szCs w:val="20"/>
      <w:lang w:val="en-US" w:eastAsia="en-US"/>
    </w:rPr>
  </w:style>
  <w:style w:type="paragraph" w:styleId="Footer">
    <w:name w:val="footer"/>
    <w:aliases w:val="doc_path_name"/>
    <w:basedOn w:val="Normal"/>
    <w:link w:val="FooterChar"/>
    <w:autoRedefine/>
    <w:uiPriority w:val="99"/>
    <w:rsid w:val="009D690D"/>
    <w:rPr>
      <w:sz w:val="14"/>
    </w:rPr>
  </w:style>
  <w:style w:type="character" w:customStyle="1" w:styleId="FooterChar">
    <w:name w:val="Footer Char"/>
    <w:aliases w:val="doc_path_name Char"/>
    <w:basedOn w:val="DefaultParagraphFont"/>
    <w:link w:val="Footer"/>
    <w:uiPriority w:val="99"/>
    <w:semiHidden/>
    <w:locked/>
    <w:rPr>
      <w:rFonts w:ascii="Arial" w:hAnsi="Arial" w:cs="Times New Roman"/>
      <w:sz w:val="20"/>
      <w:szCs w:val="20"/>
      <w:lang w:val="en-US" w:eastAsia="en-US"/>
    </w:rPr>
  </w:style>
  <w:style w:type="character" w:styleId="PageNumber">
    <w:name w:val="page number"/>
    <w:basedOn w:val="DefaultParagraphFont"/>
    <w:uiPriority w:val="99"/>
    <w:rsid w:val="00D3708D"/>
    <w:rPr>
      <w:rFonts w:ascii="Arial" w:hAnsi="Arial" w:cs="Times New Roman"/>
      <w:sz w:val="20"/>
    </w:rPr>
  </w:style>
  <w:style w:type="paragraph" w:styleId="Title">
    <w:name w:val="Title"/>
    <w:basedOn w:val="Normal"/>
    <w:link w:val="TitleChar"/>
    <w:uiPriority w:val="99"/>
    <w:qFormat/>
    <w:rsid w:val="00D3708D"/>
    <w:pPr>
      <w:spacing w:after="300"/>
      <w:jc w:val="center"/>
    </w:pPr>
    <w:rPr>
      <w:b/>
      <w:caps/>
      <w:kern w:val="28"/>
      <w:sz w:val="30"/>
    </w:rPr>
  </w:style>
  <w:style w:type="character" w:customStyle="1" w:styleId="TitleChar">
    <w:name w:val="Title Char"/>
    <w:basedOn w:val="DefaultParagraphFont"/>
    <w:link w:val="Title"/>
    <w:uiPriority w:val="99"/>
    <w:locked/>
    <w:rPr>
      <w:rFonts w:ascii="Cambria" w:hAnsi="Cambria" w:cs="Times New Roman"/>
      <w:b/>
      <w:bCs/>
      <w:kern w:val="28"/>
      <w:sz w:val="32"/>
      <w:szCs w:val="32"/>
      <w:lang w:val="en-US" w:eastAsia="en-US"/>
    </w:rPr>
  </w:style>
  <w:style w:type="paragraph" w:customStyle="1" w:styleId="preparedby">
    <w:name w:val="preparedby"/>
    <w:basedOn w:val="Normal"/>
    <w:next w:val="Normal"/>
    <w:uiPriority w:val="99"/>
    <w:semiHidden/>
    <w:rsid w:val="00D3708D"/>
    <w:pPr>
      <w:spacing w:after="600"/>
      <w:jc w:val="center"/>
    </w:pPr>
    <w:rPr>
      <w:i/>
    </w:rPr>
  </w:style>
  <w:style w:type="paragraph" w:customStyle="1" w:styleId="Docoriginal">
    <w:name w:val="Doc_original"/>
    <w:basedOn w:val="Code"/>
    <w:link w:val="DocoriginalChar"/>
    <w:uiPriority w:val="99"/>
    <w:rsid w:val="00612379"/>
    <w:pPr>
      <w:spacing w:line="280" w:lineRule="exact"/>
      <w:ind w:left="1361"/>
    </w:pPr>
  </w:style>
  <w:style w:type="paragraph" w:customStyle="1" w:styleId="DecisionParagraphs">
    <w:name w:val="DecisionParagraphs"/>
    <w:basedOn w:val="Normal"/>
    <w:link w:val="DecisionParagraphsChar"/>
    <w:uiPriority w:val="99"/>
    <w:rsid w:val="00905020"/>
    <w:pPr>
      <w:tabs>
        <w:tab w:val="left" w:pos="5387"/>
      </w:tabs>
      <w:ind w:left="4820"/>
    </w:pPr>
    <w:rPr>
      <w:i/>
    </w:rPr>
  </w:style>
  <w:style w:type="paragraph" w:styleId="FootnoteText">
    <w:name w:val="footnote text"/>
    <w:basedOn w:val="Normal"/>
    <w:link w:val="FootnoteTextChar"/>
    <w:autoRedefine/>
    <w:uiPriority w:val="99"/>
    <w:rsid w:val="009D690D"/>
    <w:pPr>
      <w:spacing w:before="60"/>
      <w:ind w:left="567" w:hanging="567"/>
    </w:pPr>
    <w:rPr>
      <w:sz w:val="16"/>
      <w:lang w:val="es-ES_tradnl" w:eastAsia="es-ES_tradnl"/>
    </w:rPr>
  </w:style>
  <w:style w:type="character" w:customStyle="1" w:styleId="FootnoteTextChar">
    <w:name w:val="Footnote Text Char"/>
    <w:basedOn w:val="DefaultParagraphFont"/>
    <w:link w:val="FootnoteText"/>
    <w:uiPriority w:val="99"/>
    <w:locked/>
    <w:rsid w:val="00211419"/>
    <w:rPr>
      <w:rFonts w:ascii="Arial" w:hAnsi="Arial" w:cs="Times New Roman"/>
      <w:sz w:val="16"/>
    </w:rPr>
  </w:style>
  <w:style w:type="character" w:styleId="FootnoteReference">
    <w:name w:val="footnote reference"/>
    <w:basedOn w:val="DefaultParagraphFont"/>
    <w:uiPriority w:val="99"/>
    <w:rsid w:val="00D3708D"/>
    <w:rPr>
      <w:rFonts w:cs="Times New Roman"/>
      <w:vertAlign w:val="superscript"/>
    </w:rPr>
  </w:style>
  <w:style w:type="paragraph" w:styleId="Closing">
    <w:name w:val="Closing"/>
    <w:basedOn w:val="Normal"/>
    <w:link w:val="ClosingChar"/>
    <w:uiPriority w:val="99"/>
    <w:rsid w:val="00D3708D"/>
    <w:pPr>
      <w:ind w:left="4536"/>
      <w:jc w:val="center"/>
    </w:pPr>
  </w:style>
  <w:style w:type="character" w:customStyle="1" w:styleId="ClosingChar">
    <w:name w:val="Closing Char"/>
    <w:basedOn w:val="DefaultParagraphFont"/>
    <w:link w:val="Closing"/>
    <w:uiPriority w:val="99"/>
    <w:semiHidden/>
    <w:locked/>
    <w:rPr>
      <w:rFonts w:ascii="Arial" w:hAnsi="Arial" w:cs="Times New Roman"/>
      <w:sz w:val="20"/>
      <w:szCs w:val="20"/>
      <w:lang w:val="en-US" w:eastAsia="en-US"/>
    </w:rPr>
  </w:style>
  <w:style w:type="paragraph" w:styleId="Index1">
    <w:name w:val="index 1"/>
    <w:basedOn w:val="Normal"/>
    <w:next w:val="Normal"/>
    <w:uiPriority w:val="99"/>
    <w:semiHidden/>
    <w:rsid w:val="00D3708D"/>
    <w:pPr>
      <w:tabs>
        <w:tab w:val="right" w:leader="dot" w:pos="9071"/>
      </w:tabs>
      <w:ind w:left="284" w:hanging="284"/>
    </w:pPr>
    <w:rPr>
      <w:sz w:val="24"/>
    </w:rPr>
  </w:style>
  <w:style w:type="paragraph" w:styleId="Index2">
    <w:name w:val="index 2"/>
    <w:basedOn w:val="Normal"/>
    <w:next w:val="Normal"/>
    <w:uiPriority w:val="99"/>
    <w:semiHidden/>
    <w:rsid w:val="00D3708D"/>
    <w:pPr>
      <w:tabs>
        <w:tab w:val="right" w:leader="dot" w:pos="9071"/>
      </w:tabs>
      <w:ind w:left="568" w:hanging="284"/>
    </w:pPr>
    <w:rPr>
      <w:sz w:val="24"/>
    </w:rPr>
  </w:style>
  <w:style w:type="paragraph" w:styleId="Index3">
    <w:name w:val="index 3"/>
    <w:basedOn w:val="Normal"/>
    <w:next w:val="Normal"/>
    <w:uiPriority w:val="99"/>
    <w:semiHidden/>
    <w:rsid w:val="00D3708D"/>
    <w:pPr>
      <w:tabs>
        <w:tab w:val="right" w:leader="dot" w:pos="9071"/>
      </w:tabs>
      <w:ind w:left="851" w:hanging="284"/>
    </w:pPr>
    <w:rPr>
      <w:sz w:val="24"/>
    </w:rPr>
  </w:style>
  <w:style w:type="paragraph" w:styleId="MacroText">
    <w:name w:val="macro"/>
    <w:link w:val="MacroTextChar"/>
    <w:uiPriority w:val="99"/>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szCs w:val="20"/>
      <w:lang w:val="en-US" w:eastAsia="en-US"/>
    </w:rPr>
  </w:style>
  <w:style w:type="character" w:customStyle="1" w:styleId="MacroTextChar">
    <w:name w:val="Macro Text Char"/>
    <w:basedOn w:val="DefaultParagraphFont"/>
    <w:link w:val="MacroText"/>
    <w:uiPriority w:val="99"/>
    <w:semiHidden/>
    <w:locked/>
    <w:rPr>
      <w:rFonts w:ascii="Courier New" w:hAnsi="Courier New" w:cs="Times New Roman"/>
      <w:sz w:val="16"/>
      <w:lang w:val="en-US" w:eastAsia="en-US" w:bidi="ar-SA"/>
    </w:rPr>
  </w:style>
  <w:style w:type="paragraph" w:styleId="Signature">
    <w:name w:val="Signature"/>
    <w:basedOn w:val="Normal"/>
    <w:link w:val="SignatureChar"/>
    <w:uiPriority w:val="99"/>
    <w:rsid w:val="00D3708D"/>
    <w:pPr>
      <w:ind w:left="4536"/>
      <w:jc w:val="center"/>
    </w:pPr>
  </w:style>
  <w:style w:type="character" w:customStyle="1" w:styleId="SignatureChar">
    <w:name w:val="Signature Char"/>
    <w:basedOn w:val="DefaultParagraphFont"/>
    <w:link w:val="Signature"/>
    <w:uiPriority w:val="99"/>
    <w:semiHidden/>
    <w:locked/>
    <w:rPr>
      <w:rFonts w:ascii="Arial" w:hAnsi="Arial" w:cs="Times New Roman"/>
      <w:sz w:val="20"/>
      <w:szCs w:val="20"/>
      <w:lang w:val="en-US" w:eastAsia="en-US"/>
    </w:rPr>
  </w:style>
  <w:style w:type="character" w:customStyle="1" w:styleId="Doclang">
    <w:name w:val="Doc_lang"/>
    <w:basedOn w:val="DefaultParagraphFont"/>
    <w:uiPriority w:val="99"/>
    <w:rsid w:val="00D3708D"/>
    <w:rPr>
      <w:rFonts w:ascii="Arial" w:hAnsi="Arial" w:cs="Times New Roman"/>
      <w:sz w:val="20"/>
      <w:lang w:val="en-US"/>
    </w:rPr>
  </w:style>
  <w:style w:type="paragraph" w:customStyle="1" w:styleId="Session">
    <w:name w:val="Session"/>
    <w:basedOn w:val="Normal"/>
    <w:uiPriority w:val="99"/>
    <w:semiHidden/>
    <w:rsid w:val="00D3708D"/>
    <w:pPr>
      <w:spacing w:before="60"/>
      <w:jc w:val="center"/>
    </w:pPr>
    <w:rPr>
      <w:b/>
    </w:rPr>
  </w:style>
  <w:style w:type="paragraph" w:customStyle="1" w:styleId="Organizer">
    <w:name w:val="Organizer"/>
    <w:basedOn w:val="Normal"/>
    <w:uiPriority w:val="99"/>
    <w:semiHidden/>
    <w:rsid w:val="00D3708D"/>
    <w:pPr>
      <w:spacing w:after="600"/>
      <w:ind w:left="-993" w:right="-994"/>
      <w:jc w:val="center"/>
    </w:pPr>
    <w:rPr>
      <w:b/>
      <w:caps/>
      <w:kern w:val="26"/>
      <w:sz w:val="26"/>
    </w:rPr>
  </w:style>
  <w:style w:type="paragraph" w:styleId="BodyText">
    <w:name w:val="Body Text"/>
    <w:basedOn w:val="Normal"/>
    <w:link w:val="BodyTextChar"/>
    <w:uiPriority w:val="99"/>
    <w:rsid w:val="00266E18"/>
  </w:style>
  <w:style w:type="character" w:customStyle="1" w:styleId="BodyTextChar">
    <w:name w:val="Body Text Char"/>
    <w:basedOn w:val="DefaultParagraphFont"/>
    <w:link w:val="BodyText"/>
    <w:uiPriority w:val="99"/>
    <w:semiHidden/>
    <w:locked/>
    <w:rPr>
      <w:rFonts w:ascii="Arial" w:hAnsi="Arial" w:cs="Times New Roman"/>
      <w:sz w:val="20"/>
      <w:szCs w:val="20"/>
      <w:lang w:val="en-US" w:eastAsia="en-US"/>
    </w:rPr>
  </w:style>
  <w:style w:type="paragraph" w:customStyle="1" w:styleId="StyleDocoriginalNotBold">
    <w:name w:val="Style Doc_original + Not Bold"/>
    <w:basedOn w:val="Docoriginal"/>
    <w:link w:val="StyleDocoriginalNotBoldChar"/>
    <w:autoRedefine/>
    <w:uiPriority w:val="99"/>
    <w:rsid w:val="00D3708D"/>
    <w:pPr>
      <w:ind w:left="1589"/>
      <w:jc w:val="left"/>
    </w:pPr>
  </w:style>
  <w:style w:type="paragraph" w:customStyle="1" w:styleId="upove">
    <w:name w:val="upov_e"/>
    <w:basedOn w:val="TitreUpov"/>
    <w:uiPriority w:val="99"/>
    <w:rsid w:val="00D3708D"/>
    <w:rPr>
      <w:bCs/>
      <w:spacing w:val="8"/>
    </w:rPr>
  </w:style>
  <w:style w:type="paragraph" w:customStyle="1" w:styleId="TitleofDoc">
    <w:name w:val="Title of Doc"/>
    <w:basedOn w:val="Normal"/>
    <w:uiPriority w:val="99"/>
    <w:semiHidden/>
    <w:rsid w:val="00D3708D"/>
    <w:pPr>
      <w:spacing w:before="1200"/>
      <w:jc w:val="center"/>
    </w:pPr>
    <w:rPr>
      <w:caps/>
    </w:rPr>
  </w:style>
  <w:style w:type="paragraph" w:customStyle="1" w:styleId="preparedby0">
    <w:name w:val="prepared by"/>
    <w:basedOn w:val="Normal"/>
    <w:uiPriority w:val="99"/>
    <w:semiHidden/>
    <w:rsid w:val="00D3708D"/>
    <w:pPr>
      <w:spacing w:before="600" w:after="600"/>
      <w:jc w:val="center"/>
    </w:pPr>
    <w:rPr>
      <w:i/>
    </w:rPr>
  </w:style>
  <w:style w:type="paragraph" w:customStyle="1" w:styleId="PlaceAndDate">
    <w:name w:val="PlaceAndDate"/>
    <w:basedOn w:val="Session"/>
    <w:uiPriority w:val="99"/>
    <w:semiHidden/>
    <w:rsid w:val="00D3708D"/>
  </w:style>
  <w:style w:type="paragraph" w:styleId="EndnoteText">
    <w:name w:val="endnote text"/>
    <w:basedOn w:val="Normal"/>
    <w:link w:val="EndnoteTextChar"/>
    <w:uiPriority w:val="99"/>
    <w:semiHidden/>
    <w:rsid w:val="00D3708D"/>
  </w:style>
  <w:style w:type="character" w:customStyle="1" w:styleId="EndnoteTextChar">
    <w:name w:val="Endnote Text Char"/>
    <w:basedOn w:val="DefaultParagraphFont"/>
    <w:link w:val="EndnoteText"/>
    <w:uiPriority w:val="99"/>
    <w:semiHidden/>
    <w:locked/>
    <w:rPr>
      <w:rFonts w:ascii="Arial" w:hAnsi="Arial" w:cs="Times New Roman"/>
      <w:sz w:val="20"/>
      <w:szCs w:val="20"/>
      <w:lang w:val="en-US" w:eastAsia="en-US"/>
    </w:rPr>
  </w:style>
  <w:style w:type="character" w:styleId="EndnoteReference">
    <w:name w:val="endnote reference"/>
    <w:basedOn w:val="DefaultParagraphFont"/>
    <w:uiPriority w:val="99"/>
    <w:semiHidden/>
    <w:rsid w:val="00D3708D"/>
    <w:rPr>
      <w:rFonts w:cs="Times New Roman"/>
      <w:vertAlign w:val="superscript"/>
    </w:rPr>
  </w:style>
  <w:style w:type="paragraph" w:customStyle="1" w:styleId="SessionMeetingPlace">
    <w:name w:val="Session_MeetingPlace"/>
    <w:basedOn w:val="Normal"/>
    <w:uiPriority w:val="99"/>
    <w:semiHidden/>
    <w:rsid w:val="00D3708D"/>
    <w:pPr>
      <w:spacing w:before="480"/>
      <w:jc w:val="center"/>
    </w:pPr>
    <w:rPr>
      <w:b/>
      <w:bCs/>
      <w:kern w:val="28"/>
      <w:sz w:val="24"/>
    </w:rPr>
  </w:style>
  <w:style w:type="paragraph" w:customStyle="1" w:styleId="Original">
    <w:name w:val="Original"/>
    <w:basedOn w:val="Normal"/>
    <w:uiPriority w:val="99"/>
    <w:semiHidden/>
    <w:rsid w:val="00D3708D"/>
    <w:pPr>
      <w:spacing w:before="60"/>
      <w:ind w:left="1276"/>
    </w:pPr>
    <w:rPr>
      <w:b/>
      <w:sz w:val="22"/>
    </w:rPr>
  </w:style>
  <w:style w:type="paragraph" w:styleId="Date">
    <w:name w:val="Date"/>
    <w:basedOn w:val="Normal"/>
    <w:link w:val="DateChar"/>
    <w:uiPriority w:val="99"/>
    <w:semiHidden/>
    <w:rsid w:val="00D3708D"/>
    <w:pPr>
      <w:spacing w:line="340" w:lineRule="exact"/>
      <w:ind w:left="1276"/>
    </w:pPr>
    <w:rPr>
      <w:b/>
      <w:sz w:val="22"/>
    </w:rPr>
  </w:style>
  <w:style w:type="character" w:customStyle="1" w:styleId="DateChar">
    <w:name w:val="Date Char"/>
    <w:basedOn w:val="DefaultParagraphFont"/>
    <w:link w:val="Date"/>
    <w:uiPriority w:val="99"/>
    <w:semiHidden/>
    <w:locked/>
    <w:rPr>
      <w:rFonts w:ascii="Arial" w:hAnsi="Arial" w:cs="Times New Roman"/>
      <w:sz w:val="20"/>
      <w:szCs w:val="20"/>
      <w:lang w:val="en-US" w:eastAsia="en-US"/>
    </w:rPr>
  </w:style>
  <w:style w:type="paragraph" w:customStyle="1" w:styleId="Code">
    <w:name w:val="Code"/>
    <w:basedOn w:val="Normal"/>
    <w:link w:val="CodeChar"/>
    <w:uiPriority w:val="99"/>
    <w:semiHidden/>
    <w:rsid w:val="00D3708D"/>
    <w:pPr>
      <w:spacing w:line="340" w:lineRule="atLeast"/>
      <w:ind w:left="1276"/>
    </w:pPr>
    <w:rPr>
      <w:b/>
      <w:bCs/>
      <w:spacing w:val="10"/>
    </w:rPr>
  </w:style>
  <w:style w:type="paragraph" w:customStyle="1" w:styleId="Country">
    <w:name w:val="Country"/>
    <w:basedOn w:val="Normal"/>
    <w:uiPriority w:val="99"/>
    <w:semiHidden/>
    <w:rsid w:val="00D3708D"/>
    <w:pPr>
      <w:spacing w:before="60" w:after="480"/>
      <w:jc w:val="center"/>
    </w:pPr>
  </w:style>
  <w:style w:type="paragraph" w:customStyle="1" w:styleId="Lettrine">
    <w:name w:val="Lettrine"/>
    <w:basedOn w:val="Normal"/>
    <w:uiPriority w:val="99"/>
    <w:rsid w:val="00576BE4"/>
    <w:pPr>
      <w:spacing w:after="120" w:line="340" w:lineRule="atLeast"/>
      <w:jc w:val="right"/>
    </w:pPr>
    <w:rPr>
      <w:b/>
      <w:bCs/>
      <w:sz w:val="56"/>
    </w:rPr>
  </w:style>
  <w:style w:type="paragraph" w:customStyle="1" w:styleId="LogoUPOV">
    <w:name w:val="LogoUPOV"/>
    <w:basedOn w:val="Normal"/>
    <w:uiPriority w:val="99"/>
    <w:rsid w:val="00576BE4"/>
    <w:pPr>
      <w:spacing w:before="720"/>
      <w:jc w:val="center"/>
    </w:pPr>
  </w:style>
  <w:style w:type="paragraph" w:customStyle="1" w:styleId="Sessiontc">
    <w:name w:val="Session_tc"/>
    <w:basedOn w:val="StyleSessionAllcaps"/>
    <w:uiPriority w:val="99"/>
    <w:rsid w:val="00D3708D"/>
    <w:pPr>
      <w:spacing w:before="240"/>
    </w:pPr>
  </w:style>
  <w:style w:type="paragraph" w:customStyle="1" w:styleId="TitreUpov">
    <w:name w:val="TitreUpov"/>
    <w:basedOn w:val="Normal"/>
    <w:uiPriority w:val="99"/>
    <w:semiHidden/>
    <w:rsid w:val="00D3708D"/>
    <w:pPr>
      <w:spacing w:before="60"/>
      <w:jc w:val="center"/>
    </w:pPr>
    <w:rPr>
      <w:b/>
      <w:sz w:val="24"/>
    </w:rPr>
  </w:style>
  <w:style w:type="paragraph" w:customStyle="1" w:styleId="StyleSessionAllcaps">
    <w:name w:val="Style Session + All caps"/>
    <w:basedOn w:val="Session"/>
    <w:uiPriority w:val="99"/>
    <w:semiHidden/>
    <w:rsid w:val="00D3708D"/>
    <w:pPr>
      <w:spacing w:before="480"/>
    </w:pPr>
    <w:rPr>
      <w:bCs/>
      <w:caps/>
      <w:kern w:val="28"/>
      <w:sz w:val="24"/>
    </w:rPr>
  </w:style>
  <w:style w:type="paragraph" w:customStyle="1" w:styleId="plcountry">
    <w:name w:val="plcountry"/>
    <w:basedOn w:val="Normal"/>
    <w:uiPriority w:val="99"/>
    <w:rsid w:val="00905020"/>
    <w:pPr>
      <w:keepNext/>
      <w:keepLines/>
      <w:spacing w:before="180" w:after="120"/>
      <w:jc w:val="left"/>
    </w:pPr>
    <w:rPr>
      <w:caps/>
      <w:noProof/>
      <w:u w:val="single"/>
    </w:rPr>
  </w:style>
  <w:style w:type="paragraph" w:customStyle="1" w:styleId="pldetails">
    <w:name w:val="pldetails"/>
    <w:basedOn w:val="Normal"/>
    <w:uiPriority w:val="99"/>
    <w:rsid w:val="00905020"/>
    <w:pPr>
      <w:keepLines/>
      <w:spacing w:before="60" w:after="60"/>
      <w:jc w:val="left"/>
    </w:pPr>
    <w:rPr>
      <w:noProof/>
    </w:rPr>
  </w:style>
  <w:style w:type="paragraph" w:customStyle="1" w:styleId="plheading">
    <w:name w:val="plheading"/>
    <w:basedOn w:val="Normal"/>
    <w:uiPriority w:val="99"/>
    <w:rsid w:val="00905020"/>
    <w:pPr>
      <w:keepNext/>
      <w:spacing w:before="480" w:after="120"/>
      <w:jc w:val="center"/>
    </w:pPr>
    <w:rPr>
      <w:caps/>
      <w:u w:val="single"/>
    </w:rPr>
  </w:style>
  <w:style w:type="paragraph" w:customStyle="1" w:styleId="Sessiontcplacedate">
    <w:name w:val="Session_tc_place_date"/>
    <w:basedOn w:val="SessionMeetingPlace"/>
    <w:uiPriority w:val="99"/>
    <w:rsid w:val="00D3708D"/>
    <w:pPr>
      <w:spacing w:before="240"/>
    </w:pPr>
  </w:style>
  <w:style w:type="paragraph" w:customStyle="1" w:styleId="Titleofdoc0">
    <w:name w:val="Title_of_doc"/>
    <w:basedOn w:val="TitleofDoc"/>
    <w:uiPriority w:val="99"/>
    <w:rsid w:val="00D3708D"/>
    <w:pPr>
      <w:spacing w:before="600"/>
    </w:pPr>
  </w:style>
  <w:style w:type="paragraph" w:customStyle="1" w:styleId="preparedby1">
    <w:name w:val="prepared_by"/>
    <w:basedOn w:val="preparedby0"/>
    <w:uiPriority w:val="99"/>
    <w:rsid w:val="00D3708D"/>
    <w:pPr>
      <w:spacing w:before="240"/>
    </w:pPr>
    <w:rPr>
      <w:iCs/>
    </w:rPr>
  </w:style>
  <w:style w:type="character" w:customStyle="1" w:styleId="CodeChar">
    <w:name w:val="Code Char"/>
    <w:basedOn w:val="DefaultParagraphFont"/>
    <w:link w:val="Code"/>
    <w:uiPriority w:val="99"/>
    <w:locked/>
    <w:rsid w:val="00D3708D"/>
    <w:rPr>
      <w:rFonts w:ascii="Arial" w:hAnsi="Arial" w:cs="Times New Roman"/>
      <w:b/>
      <w:bCs/>
      <w:spacing w:val="10"/>
      <w:lang w:val="fr-FR" w:eastAsia="en-US" w:bidi="ar-SA"/>
    </w:rPr>
  </w:style>
  <w:style w:type="paragraph" w:customStyle="1" w:styleId="endofdoc">
    <w:name w:val="end_of_doc"/>
    <w:autoRedefine/>
    <w:uiPriority w:val="99"/>
    <w:rsid w:val="002940E8"/>
    <w:pPr>
      <w:spacing w:before="480"/>
      <w:ind w:left="567" w:hanging="567"/>
      <w:jc w:val="right"/>
    </w:pPr>
    <w:rPr>
      <w:rFonts w:ascii="Arial" w:hAnsi="Arial"/>
      <w:sz w:val="20"/>
      <w:szCs w:val="20"/>
      <w:lang w:val="en-US" w:eastAsia="en-US"/>
    </w:rPr>
  </w:style>
  <w:style w:type="character" w:customStyle="1" w:styleId="DocoriginalChar">
    <w:name w:val="Doc_original Char"/>
    <w:basedOn w:val="CodeChar"/>
    <w:link w:val="Docoriginal"/>
    <w:uiPriority w:val="99"/>
    <w:locked/>
    <w:rsid w:val="00612379"/>
    <w:rPr>
      <w:rFonts w:ascii="Arial" w:hAnsi="Arial" w:cs="Times New Roman"/>
      <w:b/>
      <w:bCs/>
      <w:spacing w:val="10"/>
      <w:lang w:val="en-US" w:eastAsia="en-US" w:bidi="ar-SA"/>
    </w:rPr>
  </w:style>
  <w:style w:type="character" w:customStyle="1" w:styleId="StyleDocoriginalNotBoldChar">
    <w:name w:val="Style Doc_original + Not Bold Char"/>
    <w:basedOn w:val="DocoriginalChar"/>
    <w:link w:val="StyleDocoriginalNotBold"/>
    <w:uiPriority w:val="99"/>
    <w:locked/>
    <w:rsid w:val="00D3708D"/>
    <w:rPr>
      <w:rFonts w:ascii="Arial" w:hAnsi="Arial" w:cs="Times New Roman"/>
      <w:b/>
      <w:bCs/>
      <w:spacing w:val="10"/>
      <w:lang w:val="en-US" w:eastAsia="en-US" w:bidi="ar-SA"/>
    </w:rPr>
  </w:style>
  <w:style w:type="paragraph" w:customStyle="1" w:styleId="StyleDocnumber">
    <w:name w:val="Style Doc_number"/>
    <w:basedOn w:val="Docoriginal"/>
    <w:uiPriority w:val="99"/>
    <w:rsid w:val="00D3708D"/>
    <w:pPr>
      <w:ind w:left="1589"/>
    </w:pPr>
  </w:style>
  <w:style w:type="paragraph" w:customStyle="1" w:styleId="StyleDocoriginal">
    <w:name w:val="Style Doc_original"/>
    <w:basedOn w:val="Docoriginal"/>
    <w:link w:val="StyleDocoriginalChar"/>
    <w:uiPriority w:val="99"/>
    <w:rsid w:val="00D3708D"/>
    <w:rPr>
      <w:spacing w:val="0"/>
    </w:rPr>
  </w:style>
  <w:style w:type="character" w:customStyle="1" w:styleId="StyleDocoriginalChar">
    <w:name w:val="Style Doc_original Char"/>
    <w:basedOn w:val="DocoriginalChar"/>
    <w:link w:val="StyleDocoriginal"/>
    <w:uiPriority w:val="99"/>
    <w:locked/>
    <w:rsid w:val="00D3708D"/>
    <w:rPr>
      <w:rFonts w:ascii="Arial" w:hAnsi="Arial" w:cs="Times New Roman"/>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uiPriority w:val="99"/>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uiPriority w:val="99"/>
    <w:locked/>
    <w:rsid w:val="00281060"/>
    <w:rPr>
      <w:rFonts w:ascii="Arial" w:hAnsi="Arial" w:cs="Times New Roman"/>
      <w:b/>
      <w:bCs/>
      <w:spacing w:val="10"/>
      <w:lang w:val="en-US" w:eastAsia="en-US" w:bidi="ar-SA"/>
    </w:rPr>
  </w:style>
  <w:style w:type="character" w:customStyle="1" w:styleId="StyleDocoriginalNotBold1">
    <w:name w:val="Style Doc_original + Not Bold1"/>
    <w:basedOn w:val="StyleStyleDocoriginalNotBoldNotBoldChar"/>
    <w:uiPriority w:val="99"/>
    <w:rsid w:val="00281060"/>
    <w:rPr>
      <w:rFonts w:ascii="Arial" w:hAnsi="Arial" w:cs="Times New Roman"/>
      <w:b/>
      <w:bCs/>
      <w:spacing w:val="10"/>
      <w:lang w:val="en-US" w:eastAsia="en-US" w:bidi="ar-SA"/>
    </w:rPr>
  </w:style>
  <w:style w:type="character" w:customStyle="1" w:styleId="StyleDoclangBold">
    <w:name w:val="Style Doc_lang + Bold"/>
    <w:basedOn w:val="Doclang"/>
    <w:uiPriority w:val="99"/>
    <w:rsid w:val="00281060"/>
    <w:rPr>
      <w:rFonts w:ascii="Arial" w:hAnsi="Arial" w:cs="Times New Roman"/>
      <w:b/>
      <w:bCs/>
      <w:sz w:val="20"/>
      <w:lang w:val="en-US"/>
    </w:rPr>
  </w:style>
  <w:style w:type="paragraph" w:styleId="TOC2">
    <w:name w:val="toc 2"/>
    <w:basedOn w:val="Normal"/>
    <w:next w:val="Normal"/>
    <w:autoRedefine/>
    <w:uiPriority w:val="99"/>
    <w:rsid w:val="00236FAC"/>
    <w:pPr>
      <w:tabs>
        <w:tab w:val="right" w:leader="dot" w:pos="9639"/>
      </w:tabs>
      <w:spacing w:before="120"/>
      <w:ind w:left="454" w:right="851" w:hanging="284"/>
      <w:contextualSpacing/>
      <w:jc w:val="left"/>
    </w:pPr>
    <w:rPr>
      <w:smallCaps/>
      <w:noProof/>
    </w:rPr>
  </w:style>
  <w:style w:type="paragraph" w:styleId="TOC3">
    <w:name w:val="toc 3"/>
    <w:basedOn w:val="Normal"/>
    <w:next w:val="Normal"/>
    <w:autoRedefine/>
    <w:uiPriority w:val="99"/>
    <w:rsid w:val="00370631"/>
    <w:pPr>
      <w:tabs>
        <w:tab w:val="right" w:leader="dot" w:pos="9639"/>
      </w:tabs>
      <w:spacing w:before="120"/>
      <w:ind w:left="568" w:right="851" w:hanging="284"/>
      <w:contextualSpacing/>
      <w:jc w:val="left"/>
    </w:pPr>
    <w:rPr>
      <w:sz w:val="18"/>
      <w:lang w:val="fr-FR"/>
    </w:rPr>
  </w:style>
  <w:style w:type="character" w:styleId="Hyperlink">
    <w:name w:val="Hyperlink"/>
    <w:basedOn w:val="DefaultParagraphFont"/>
    <w:uiPriority w:val="99"/>
    <w:rsid w:val="00905020"/>
    <w:rPr>
      <w:rFonts w:ascii="Arial" w:hAnsi="Arial" w:cs="Times New Roman"/>
      <w:color w:val="0000FF"/>
      <w:u w:val="single"/>
    </w:rPr>
  </w:style>
  <w:style w:type="paragraph" w:styleId="TOC4">
    <w:name w:val="toc 4"/>
    <w:basedOn w:val="Normal"/>
    <w:next w:val="Normal"/>
    <w:autoRedefine/>
    <w:uiPriority w:val="99"/>
    <w:semiHidden/>
    <w:rsid w:val="00370631"/>
    <w:pPr>
      <w:tabs>
        <w:tab w:val="right" w:leader="dot" w:pos="9639"/>
      </w:tabs>
      <w:spacing w:before="120"/>
      <w:ind w:left="738" w:right="851" w:hanging="284"/>
      <w:jc w:val="left"/>
    </w:pPr>
    <w:rPr>
      <w:i/>
      <w:sz w:val="18"/>
      <w:lang w:val="fr-FR"/>
    </w:rPr>
  </w:style>
  <w:style w:type="paragraph" w:styleId="TOC1">
    <w:name w:val="toc 1"/>
    <w:basedOn w:val="Normal"/>
    <w:next w:val="Normal"/>
    <w:autoRedefine/>
    <w:uiPriority w:val="99"/>
    <w:rsid w:val="00E87AD2"/>
    <w:pPr>
      <w:tabs>
        <w:tab w:val="right" w:leader="dot" w:pos="9639"/>
      </w:tabs>
      <w:contextualSpacing/>
      <w:jc w:val="left"/>
    </w:pPr>
    <w:rPr>
      <w:caps/>
      <w:noProof/>
    </w:rPr>
  </w:style>
  <w:style w:type="paragraph" w:styleId="TOC5">
    <w:name w:val="toc 5"/>
    <w:basedOn w:val="Normal"/>
    <w:next w:val="Normal"/>
    <w:autoRedefine/>
    <w:uiPriority w:val="99"/>
    <w:semiHidden/>
    <w:rsid w:val="00370631"/>
    <w:pPr>
      <w:tabs>
        <w:tab w:val="right" w:leader="dot" w:pos="9639"/>
      </w:tabs>
      <w:ind w:left="567" w:right="851" w:firstLine="284"/>
    </w:pPr>
    <w:rPr>
      <w:sz w:val="16"/>
      <w:lang w:val="fr-FR"/>
    </w:rPr>
  </w:style>
  <w:style w:type="paragraph" w:styleId="BalloonText">
    <w:name w:val="Balloon Text"/>
    <w:basedOn w:val="Normal"/>
    <w:link w:val="BalloonTextChar"/>
    <w:uiPriority w:val="99"/>
    <w:rsid w:val="001479AA"/>
    <w:rPr>
      <w:rFonts w:ascii="Tahoma" w:hAnsi="Tahoma" w:cs="Tahoma"/>
      <w:sz w:val="16"/>
      <w:szCs w:val="16"/>
    </w:rPr>
  </w:style>
  <w:style w:type="character" w:customStyle="1" w:styleId="BalloonTextChar">
    <w:name w:val="Balloon Text Char"/>
    <w:basedOn w:val="DefaultParagraphFont"/>
    <w:link w:val="BalloonText"/>
    <w:uiPriority w:val="99"/>
    <w:locked/>
    <w:rsid w:val="001479AA"/>
    <w:rPr>
      <w:rFonts w:ascii="Tahoma" w:hAnsi="Tahoma" w:cs="Tahoma"/>
      <w:sz w:val="16"/>
      <w:szCs w:val="16"/>
    </w:rPr>
  </w:style>
  <w:style w:type="paragraph" w:styleId="CommentText">
    <w:name w:val="annotation text"/>
    <w:basedOn w:val="Normal"/>
    <w:link w:val="CommentTextChar"/>
    <w:uiPriority w:val="99"/>
    <w:rsid w:val="00211419"/>
    <w:pPr>
      <w:jc w:val="left"/>
    </w:pPr>
    <w:rPr>
      <w:rFonts w:ascii="Times New Roman" w:hAnsi="Times New Roman"/>
      <w:sz w:val="22"/>
      <w:szCs w:val="22"/>
      <w:lang w:eastAsia="ja-JP"/>
    </w:rPr>
  </w:style>
  <w:style w:type="character" w:customStyle="1" w:styleId="CommentTextChar">
    <w:name w:val="Comment Text Char"/>
    <w:basedOn w:val="DefaultParagraphFont"/>
    <w:link w:val="CommentText"/>
    <w:uiPriority w:val="99"/>
    <w:locked/>
    <w:rsid w:val="00211419"/>
    <w:rPr>
      <w:rFonts w:cs="Times New Roman"/>
      <w:sz w:val="22"/>
      <w:szCs w:val="22"/>
      <w:lang w:eastAsia="ja-JP"/>
    </w:rPr>
  </w:style>
  <w:style w:type="character" w:customStyle="1" w:styleId="DecisionParagraphsChar">
    <w:name w:val="DecisionParagraphs Char"/>
    <w:basedOn w:val="DefaultParagraphFont"/>
    <w:link w:val="DecisionParagraphs"/>
    <w:uiPriority w:val="99"/>
    <w:locked/>
    <w:rsid w:val="00211419"/>
    <w:rPr>
      <w:rFonts w:ascii="Arial" w:hAnsi="Arial" w:cs="Times New Roman"/>
      <w:i/>
    </w:rPr>
  </w:style>
  <w:style w:type="paragraph" w:styleId="ListParagraph">
    <w:name w:val="List Paragraph"/>
    <w:basedOn w:val="Normal"/>
    <w:uiPriority w:val="99"/>
    <w:qFormat/>
    <w:rsid w:val="00211419"/>
    <w:pPr>
      <w:ind w:left="720"/>
      <w:contextualSpacing/>
    </w:pPr>
  </w:style>
  <w:style w:type="paragraph" w:styleId="TOCHeading">
    <w:name w:val="TOC Heading"/>
    <w:basedOn w:val="Heading1"/>
    <w:next w:val="Normal"/>
    <w:uiPriority w:val="99"/>
    <w:qFormat/>
    <w:rsid w:val="00211419"/>
    <w:pPr>
      <w:keepLines/>
      <w:spacing w:before="480" w:line="276" w:lineRule="auto"/>
      <w:jc w:val="left"/>
      <w:outlineLvl w:val="9"/>
    </w:pPr>
    <w:rPr>
      <w:rFonts w:ascii="Cambria" w:hAnsi="Cambria"/>
      <w:b/>
      <w:bCs/>
      <w:caps w:val="0"/>
      <w:color w:val="365F91"/>
      <w:sz w:val="28"/>
      <w:szCs w:val="28"/>
      <w:lang w:eastAsia="ja-JP"/>
    </w:rPr>
  </w:style>
  <w:style w:type="table" w:styleId="TableGrid">
    <w:name w:val="Table Grid"/>
    <w:basedOn w:val="TableNormal"/>
    <w:uiPriority w:val="99"/>
    <w:rsid w:val="0021141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BookTitle">
    <w:name w:val="Book Title"/>
    <w:basedOn w:val="DefaultParagraphFont"/>
    <w:uiPriority w:val="99"/>
    <w:qFormat/>
    <w:rsid w:val="00211419"/>
    <w:rPr>
      <w:rFonts w:cs="Times New Roman"/>
      <w:bCs/>
      <w:smallCaps/>
      <w:spacing w:val="5"/>
    </w:rPr>
  </w:style>
  <w:style w:type="paragraph" w:styleId="NormalWeb">
    <w:name w:val="Normal (Web)"/>
    <w:basedOn w:val="Normal"/>
    <w:uiPriority w:val="99"/>
    <w:rsid w:val="00211419"/>
    <w:pPr>
      <w:spacing w:before="100" w:beforeAutospacing="1" w:after="100" w:afterAutospacing="1"/>
      <w:jc w:val="left"/>
    </w:pPr>
    <w:rPr>
      <w:rFonts w:ascii="Times New Roman" w:hAnsi="Times New Roman"/>
      <w:sz w:val="24"/>
      <w:szCs w:val="24"/>
    </w:rPr>
  </w:style>
  <w:style w:type="character" w:styleId="FollowedHyperlink">
    <w:name w:val="FollowedHyperlink"/>
    <w:basedOn w:val="DefaultParagraphFont"/>
    <w:uiPriority w:val="99"/>
    <w:rsid w:val="00466C16"/>
    <w:rPr>
      <w:rFonts w:cs="Times New Roman"/>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ES_tradnl" w:eastAsia="es-ES_tradnl"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DA4685"/>
    <w:pPr>
      <w:jc w:val="both"/>
    </w:pPr>
    <w:rPr>
      <w:rFonts w:ascii="Arial" w:hAnsi="Arial"/>
      <w:sz w:val="20"/>
      <w:szCs w:val="20"/>
      <w:lang w:val="en-US" w:eastAsia="en-US"/>
    </w:rPr>
  </w:style>
  <w:style w:type="paragraph" w:styleId="Heading1">
    <w:name w:val="heading 1"/>
    <w:basedOn w:val="Normal"/>
    <w:next w:val="Normal"/>
    <w:link w:val="Heading1Char"/>
    <w:uiPriority w:val="99"/>
    <w:qFormat/>
    <w:rsid w:val="005854DE"/>
    <w:pPr>
      <w:outlineLvl w:val="0"/>
    </w:pPr>
    <w:rPr>
      <w:caps/>
      <w:lang w:val="es-ES_tradnl"/>
    </w:rPr>
  </w:style>
  <w:style w:type="paragraph" w:styleId="Heading2">
    <w:name w:val="heading 2"/>
    <w:basedOn w:val="Normal"/>
    <w:next w:val="Normal"/>
    <w:link w:val="Heading2Char"/>
    <w:uiPriority w:val="99"/>
    <w:qFormat/>
    <w:rsid w:val="00BB08EE"/>
    <w:pPr>
      <w:keepNext/>
      <w:outlineLvl w:val="1"/>
    </w:pPr>
    <w:rPr>
      <w:u w:val="single"/>
      <w:lang w:val="es-ES_tradnl" w:eastAsia="es-ES_tradnl"/>
    </w:rPr>
  </w:style>
  <w:style w:type="paragraph" w:styleId="Heading3">
    <w:name w:val="heading 3"/>
    <w:basedOn w:val="Normal"/>
    <w:next w:val="Normal"/>
    <w:link w:val="Heading3Char"/>
    <w:autoRedefine/>
    <w:uiPriority w:val="99"/>
    <w:qFormat/>
    <w:rsid w:val="00110B2B"/>
    <w:pPr>
      <w:keepNext/>
      <w:outlineLvl w:val="2"/>
    </w:pPr>
    <w:rPr>
      <w:rFonts w:eastAsia="MS Mincho"/>
      <w:i/>
      <w:color w:val="808080"/>
      <w:lang w:val="es-ES_tradnl" w:eastAsia="ja-JP"/>
    </w:rPr>
  </w:style>
  <w:style w:type="paragraph" w:styleId="Heading4">
    <w:name w:val="heading 4"/>
    <w:basedOn w:val="Normal"/>
    <w:next w:val="Normal"/>
    <w:link w:val="Heading4Char"/>
    <w:autoRedefine/>
    <w:uiPriority w:val="99"/>
    <w:qFormat/>
    <w:rsid w:val="00370631"/>
    <w:pPr>
      <w:keepNext/>
      <w:ind w:left="567"/>
      <w:outlineLvl w:val="3"/>
    </w:pPr>
    <w:rPr>
      <w:u w:val="single"/>
      <w:lang w:val="fr-FR"/>
    </w:rPr>
  </w:style>
  <w:style w:type="paragraph" w:styleId="Heading5">
    <w:name w:val="heading 5"/>
    <w:basedOn w:val="Normal"/>
    <w:next w:val="Normal"/>
    <w:link w:val="Heading5Char"/>
    <w:autoRedefine/>
    <w:uiPriority w:val="99"/>
    <w:qFormat/>
    <w:rsid w:val="00370631"/>
    <w:pPr>
      <w:keepNext/>
      <w:ind w:left="1134" w:hanging="567"/>
      <w:outlineLvl w:val="4"/>
    </w:pPr>
    <w:rPr>
      <w:i/>
    </w:rPr>
  </w:style>
  <w:style w:type="paragraph" w:styleId="Heading7">
    <w:name w:val="heading 7"/>
    <w:basedOn w:val="Normal"/>
    <w:next w:val="Normal"/>
    <w:link w:val="Heading7Char"/>
    <w:uiPriority w:val="99"/>
    <w:qFormat/>
    <w:rsid w:val="00211419"/>
    <w:pPr>
      <w:keepNext/>
      <w:keepLines/>
      <w:spacing w:before="200"/>
      <w:outlineLvl w:val="6"/>
    </w:pPr>
    <w:rPr>
      <w:rFonts w:ascii="Cambria" w:hAnsi="Cambria"/>
      <w:i/>
      <w:iCs/>
      <w:color w:val="404040"/>
    </w:rPr>
  </w:style>
  <w:style w:type="paragraph" w:styleId="Heading9">
    <w:name w:val="heading 9"/>
    <w:basedOn w:val="Normal"/>
    <w:next w:val="Normal"/>
    <w:link w:val="Heading9Char"/>
    <w:uiPriority w:val="99"/>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val="en-US" w:eastAsia="en-US"/>
    </w:rPr>
  </w:style>
  <w:style w:type="character" w:customStyle="1" w:styleId="Heading2Char">
    <w:name w:val="Heading 2 Char"/>
    <w:basedOn w:val="DefaultParagraphFont"/>
    <w:link w:val="Heading2"/>
    <w:uiPriority w:val="99"/>
    <w:locked/>
    <w:rsid w:val="00BB08EE"/>
    <w:rPr>
      <w:rFonts w:ascii="Arial" w:hAnsi="Arial" w:cs="Times New Roman"/>
      <w:u w:val="single"/>
      <w:lang w:val="es-ES_tradnl" w:eastAsia="es-ES_tradnl"/>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val="en-US" w:eastAsia="en-US"/>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lang w:val="en-US" w:eastAsia="en-US"/>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lang w:val="en-US" w:eastAsia="en-US"/>
    </w:rPr>
  </w:style>
  <w:style w:type="character" w:customStyle="1" w:styleId="Heading7Char">
    <w:name w:val="Heading 7 Char"/>
    <w:basedOn w:val="DefaultParagraphFont"/>
    <w:link w:val="Heading7"/>
    <w:uiPriority w:val="99"/>
    <w:semiHidden/>
    <w:locked/>
    <w:rsid w:val="00211419"/>
    <w:rPr>
      <w:rFonts w:ascii="Cambria" w:hAnsi="Cambria" w:cs="Times New Roman"/>
      <w:i/>
      <w:iCs/>
      <w:color w:val="404040"/>
    </w:rPr>
  </w:style>
  <w:style w:type="character" w:customStyle="1" w:styleId="Heading9Char">
    <w:name w:val="Heading 9 Char"/>
    <w:basedOn w:val="DefaultParagraphFont"/>
    <w:link w:val="Heading9"/>
    <w:uiPriority w:val="99"/>
    <w:semiHidden/>
    <w:locked/>
    <w:rPr>
      <w:rFonts w:ascii="Cambria" w:hAnsi="Cambria" w:cs="Times New Roman"/>
      <w:lang w:val="en-US" w:eastAsia="en-US"/>
    </w:rPr>
  </w:style>
  <w:style w:type="paragraph" w:styleId="Header">
    <w:name w:val="header"/>
    <w:basedOn w:val="Normal"/>
    <w:link w:val="HeaderChar"/>
    <w:autoRedefine/>
    <w:uiPriority w:val="99"/>
    <w:rsid w:val="006D780A"/>
    <w:pPr>
      <w:tabs>
        <w:tab w:val="center" w:pos="4536"/>
        <w:tab w:val="right" w:pos="9072"/>
      </w:tabs>
      <w:jc w:val="center"/>
    </w:pPr>
    <w:rPr>
      <w:lang w:val="fr-FR"/>
    </w:rPr>
  </w:style>
  <w:style w:type="character" w:customStyle="1" w:styleId="HeaderChar">
    <w:name w:val="Header Char"/>
    <w:basedOn w:val="DefaultParagraphFont"/>
    <w:link w:val="Header"/>
    <w:uiPriority w:val="99"/>
    <w:semiHidden/>
    <w:locked/>
    <w:rPr>
      <w:rFonts w:ascii="Arial" w:hAnsi="Arial" w:cs="Times New Roman"/>
      <w:sz w:val="20"/>
      <w:szCs w:val="20"/>
      <w:lang w:val="en-US" w:eastAsia="en-US"/>
    </w:rPr>
  </w:style>
  <w:style w:type="paragraph" w:styleId="Footer">
    <w:name w:val="footer"/>
    <w:aliases w:val="doc_path_name"/>
    <w:basedOn w:val="Normal"/>
    <w:link w:val="FooterChar"/>
    <w:autoRedefine/>
    <w:uiPriority w:val="99"/>
    <w:rsid w:val="009D690D"/>
    <w:rPr>
      <w:sz w:val="14"/>
    </w:rPr>
  </w:style>
  <w:style w:type="character" w:customStyle="1" w:styleId="FooterChar">
    <w:name w:val="Footer Char"/>
    <w:aliases w:val="doc_path_name Char"/>
    <w:basedOn w:val="DefaultParagraphFont"/>
    <w:link w:val="Footer"/>
    <w:uiPriority w:val="99"/>
    <w:semiHidden/>
    <w:locked/>
    <w:rPr>
      <w:rFonts w:ascii="Arial" w:hAnsi="Arial" w:cs="Times New Roman"/>
      <w:sz w:val="20"/>
      <w:szCs w:val="20"/>
      <w:lang w:val="en-US" w:eastAsia="en-US"/>
    </w:rPr>
  </w:style>
  <w:style w:type="character" w:styleId="PageNumber">
    <w:name w:val="page number"/>
    <w:basedOn w:val="DefaultParagraphFont"/>
    <w:uiPriority w:val="99"/>
    <w:rsid w:val="00D3708D"/>
    <w:rPr>
      <w:rFonts w:ascii="Arial" w:hAnsi="Arial" w:cs="Times New Roman"/>
      <w:sz w:val="20"/>
    </w:rPr>
  </w:style>
  <w:style w:type="paragraph" w:styleId="Title">
    <w:name w:val="Title"/>
    <w:basedOn w:val="Normal"/>
    <w:link w:val="TitleChar"/>
    <w:uiPriority w:val="99"/>
    <w:qFormat/>
    <w:rsid w:val="00D3708D"/>
    <w:pPr>
      <w:spacing w:after="300"/>
      <w:jc w:val="center"/>
    </w:pPr>
    <w:rPr>
      <w:b/>
      <w:caps/>
      <w:kern w:val="28"/>
      <w:sz w:val="30"/>
    </w:rPr>
  </w:style>
  <w:style w:type="character" w:customStyle="1" w:styleId="TitleChar">
    <w:name w:val="Title Char"/>
    <w:basedOn w:val="DefaultParagraphFont"/>
    <w:link w:val="Title"/>
    <w:uiPriority w:val="99"/>
    <w:locked/>
    <w:rPr>
      <w:rFonts w:ascii="Cambria" w:hAnsi="Cambria" w:cs="Times New Roman"/>
      <w:b/>
      <w:bCs/>
      <w:kern w:val="28"/>
      <w:sz w:val="32"/>
      <w:szCs w:val="32"/>
      <w:lang w:val="en-US" w:eastAsia="en-US"/>
    </w:rPr>
  </w:style>
  <w:style w:type="paragraph" w:customStyle="1" w:styleId="preparedby">
    <w:name w:val="preparedby"/>
    <w:basedOn w:val="Normal"/>
    <w:next w:val="Normal"/>
    <w:uiPriority w:val="99"/>
    <w:semiHidden/>
    <w:rsid w:val="00D3708D"/>
    <w:pPr>
      <w:spacing w:after="600"/>
      <w:jc w:val="center"/>
    </w:pPr>
    <w:rPr>
      <w:i/>
    </w:rPr>
  </w:style>
  <w:style w:type="paragraph" w:customStyle="1" w:styleId="Docoriginal">
    <w:name w:val="Doc_original"/>
    <w:basedOn w:val="Code"/>
    <w:link w:val="DocoriginalChar"/>
    <w:uiPriority w:val="99"/>
    <w:rsid w:val="00612379"/>
    <w:pPr>
      <w:spacing w:line="280" w:lineRule="exact"/>
      <w:ind w:left="1361"/>
    </w:pPr>
  </w:style>
  <w:style w:type="paragraph" w:customStyle="1" w:styleId="DecisionParagraphs">
    <w:name w:val="DecisionParagraphs"/>
    <w:basedOn w:val="Normal"/>
    <w:link w:val="DecisionParagraphsChar"/>
    <w:uiPriority w:val="99"/>
    <w:rsid w:val="00905020"/>
    <w:pPr>
      <w:tabs>
        <w:tab w:val="left" w:pos="5387"/>
      </w:tabs>
      <w:ind w:left="4820"/>
    </w:pPr>
    <w:rPr>
      <w:i/>
    </w:rPr>
  </w:style>
  <w:style w:type="paragraph" w:styleId="FootnoteText">
    <w:name w:val="footnote text"/>
    <w:basedOn w:val="Normal"/>
    <w:link w:val="FootnoteTextChar"/>
    <w:autoRedefine/>
    <w:uiPriority w:val="99"/>
    <w:rsid w:val="009D690D"/>
    <w:pPr>
      <w:spacing w:before="60"/>
      <w:ind w:left="567" w:hanging="567"/>
    </w:pPr>
    <w:rPr>
      <w:sz w:val="16"/>
      <w:lang w:val="es-ES_tradnl" w:eastAsia="es-ES_tradnl"/>
    </w:rPr>
  </w:style>
  <w:style w:type="character" w:customStyle="1" w:styleId="FootnoteTextChar">
    <w:name w:val="Footnote Text Char"/>
    <w:basedOn w:val="DefaultParagraphFont"/>
    <w:link w:val="FootnoteText"/>
    <w:uiPriority w:val="99"/>
    <w:locked/>
    <w:rsid w:val="00211419"/>
    <w:rPr>
      <w:rFonts w:ascii="Arial" w:hAnsi="Arial" w:cs="Times New Roman"/>
      <w:sz w:val="16"/>
    </w:rPr>
  </w:style>
  <w:style w:type="character" w:styleId="FootnoteReference">
    <w:name w:val="footnote reference"/>
    <w:basedOn w:val="DefaultParagraphFont"/>
    <w:uiPriority w:val="99"/>
    <w:rsid w:val="00D3708D"/>
    <w:rPr>
      <w:rFonts w:cs="Times New Roman"/>
      <w:vertAlign w:val="superscript"/>
    </w:rPr>
  </w:style>
  <w:style w:type="paragraph" w:styleId="Closing">
    <w:name w:val="Closing"/>
    <w:basedOn w:val="Normal"/>
    <w:link w:val="ClosingChar"/>
    <w:uiPriority w:val="99"/>
    <w:rsid w:val="00D3708D"/>
    <w:pPr>
      <w:ind w:left="4536"/>
      <w:jc w:val="center"/>
    </w:pPr>
  </w:style>
  <w:style w:type="character" w:customStyle="1" w:styleId="ClosingChar">
    <w:name w:val="Closing Char"/>
    <w:basedOn w:val="DefaultParagraphFont"/>
    <w:link w:val="Closing"/>
    <w:uiPriority w:val="99"/>
    <w:semiHidden/>
    <w:locked/>
    <w:rPr>
      <w:rFonts w:ascii="Arial" w:hAnsi="Arial" w:cs="Times New Roman"/>
      <w:sz w:val="20"/>
      <w:szCs w:val="20"/>
      <w:lang w:val="en-US" w:eastAsia="en-US"/>
    </w:rPr>
  </w:style>
  <w:style w:type="paragraph" w:styleId="Index1">
    <w:name w:val="index 1"/>
    <w:basedOn w:val="Normal"/>
    <w:next w:val="Normal"/>
    <w:uiPriority w:val="99"/>
    <w:semiHidden/>
    <w:rsid w:val="00D3708D"/>
    <w:pPr>
      <w:tabs>
        <w:tab w:val="right" w:leader="dot" w:pos="9071"/>
      </w:tabs>
      <w:ind w:left="284" w:hanging="284"/>
    </w:pPr>
    <w:rPr>
      <w:sz w:val="24"/>
    </w:rPr>
  </w:style>
  <w:style w:type="paragraph" w:styleId="Index2">
    <w:name w:val="index 2"/>
    <w:basedOn w:val="Normal"/>
    <w:next w:val="Normal"/>
    <w:uiPriority w:val="99"/>
    <w:semiHidden/>
    <w:rsid w:val="00D3708D"/>
    <w:pPr>
      <w:tabs>
        <w:tab w:val="right" w:leader="dot" w:pos="9071"/>
      </w:tabs>
      <w:ind w:left="568" w:hanging="284"/>
    </w:pPr>
    <w:rPr>
      <w:sz w:val="24"/>
    </w:rPr>
  </w:style>
  <w:style w:type="paragraph" w:styleId="Index3">
    <w:name w:val="index 3"/>
    <w:basedOn w:val="Normal"/>
    <w:next w:val="Normal"/>
    <w:uiPriority w:val="99"/>
    <w:semiHidden/>
    <w:rsid w:val="00D3708D"/>
    <w:pPr>
      <w:tabs>
        <w:tab w:val="right" w:leader="dot" w:pos="9071"/>
      </w:tabs>
      <w:ind w:left="851" w:hanging="284"/>
    </w:pPr>
    <w:rPr>
      <w:sz w:val="24"/>
    </w:rPr>
  </w:style>
  <w:style w:type="paragraph" w:styleId="MacroText">
    <w:name w:val="macro"/>
    <w:link w:val="MacroTextChar"/>
    <w:uiPriority w:val="99"/>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szCs w:val="20"/>
      <w:lang w:val="en-US" w:eastAsia="en-US"/>
    </w:rPr>
  </w:style>
  <w:style w:type="character" w:customStyle="1" w:styleId="MacroTextChar">
    <w:name w:val="Macro Text Char"/>
    <w:basedOn w:val="DefaultParagraphFont"/>
    <w:link w:val="MacroText"/>
    <w:uiPriority w:val="99"/>
    <w:semiHidden/>
    <w:locked/>
    <w:rPr>
      <w:rFonts w:ascii="Courier New" w:hAnsi="Courier New" w:cs="Times New Roman"/>
      <w:sz w:val="16"/>
      <w:lang w:val="en-US" w:eastAsia="en-US" w:bidi="ar-SA"/>
    </w:rPr>
  </w:style>
  <w:style w:type="paragraph" w:styleId="Signature">
    <w:name w:val="Signature"/>
    <w:basedOn w:val="Normal"/>
    <w:link w:val="SignatureChar"/>
    <w:uiPriority w:val="99"/>
    <w:rsid w:val="00D3708D"/>
    <w:pPr>
      <w:ind w:left="4536"/>
      <w:jc w:val="center"/>
    </w:pPr>
  </w:style>
  <w:style w:type="character" w:customStyle="1" w:styleId="SignatureChar">
    <w:name w:val="Signature Char"/>
    <w:basedOn w:val="DefaultParagraphFont"/>
    <w:link w:val="Signature"/>
    <w:uiPriority w:val="99"/>
    <w:semiHidden/>
    <w:locked/>
    <w:rPr>
      <w:rFonts w:ascii="Arial" w:hAnsi="Arial" w:cs="Times New Roman"/>
      <w:sz w:val="20"/>
      <w:szCs w:val="20"/>
      <w:lang w:val="en-US" w:eastAsia="en-US"/>
    </w:rPr>
  </w:style>
  <w:style w:type="character" w:customStyle="1" w:styleId="Doclang">
    <w:name w:val="Doc_lang"/>
    <w:basedOn w:val="DefaultParagraphFont"/>
    <w:uiPriority w:val="99"/>
    <w:rsid w:val="00D3708D"/>
    <w:rPr>
      <w:rFonts w:ascii="Arial" w:hAnsi="Arial" w:cs="Times New Roman"/>
      <w:sz w:val="20"/>
      <w:lang w:val="en-US"/>
    </w:rPr>
  </w:style>
  <w:style w:type="paragraph" w:customStyle="1" w:styleId="Session">
    <w:name w:val="Session"/>
    <w:basedOn w:val="Normal"/>
    <w:uiPriority w:val="99"/>
    <w:semiHidden/>
    <w:rsid w:val="00D3708D"/>
    <w:pPr>
      <w:spacing w:before="60"/>
      <w:jc w:val="center"/>
    </w:pPr>
    <w:rPr>
      <w:b/>
    </w:rPr>
  </w:style>
  <w:style w:type="paragraph" w:customStyle="1" w:styleId="Organizer">
    <w:name w:val="Organizer"/>
    <w:basedOn w:val="Normal"/>
    <w:uiPriority w:val="99"/>
    <w:semiHidden/>
    <w:rsid w:val="00D3708D"/>
    <w:pPr>
      <w:spacing w:after="600"/>
      <w:ind w:left="-993" w:right="-994"/>
      <w:jc w:val="center"/>
    </w:pPr>
    <w:rPr>
      <w:b/>
      <w:caps/>
      <w:kern w:val="26"/>
      <w:sz w:val="26"/>
    </w:rPr>
  </w:style>
  <w:style w:type="paragraph" w:styleId="BodyText">
    <w:name w:val="Body Text"/>
    <w:basedOn w:val="Normal"/>
    <w:link w:val="BodyTextChar"/>
    <w:uiPriority w:val="99"/>
    <w:rsid w:val="00266E18"/>
  </w:style>
  <w:style w:type="character" w:customStyle="1" w:styleId="BodyTextChar">
    <w:name w:val="Body Text Char"/>
    <w:basedOn w:val="DefaultParagraphFont"/>
    <w:link w:val="BodyText"/>
    <w:uiPriority w:val="99"/>
    <w:semiHidden/>
    <w:locked/>
    <w:rPr>
      <w:rFonts w:ascii="Arial" w:hAnsi="Arial" w:cs="Times New Roman"/>
      <w:sz w:val="20"/>
      <w:szCs w:val="20"/>
      <w:lang w:val="en-US" w:eastAsia="en-US"/>
    </w:rPr>
  </w:style>
  <w:style w:type="paragraph" w:customStyle="1" w:styleId="StyleDocoriginalNotBold">
    <w:name w:val="Style Doc_original + Not Bold"/>
    <w:basedOn w:val="Docoriginal"/>
    <w:link w:val="StyleDocoriginalNotBoldChar"/>
    <w:autoRedefine/>
    <w:uiPriority w:val="99"/>
    <w:rsid w:val="00D3708D"/>
    <w:pPr>
      <w:ind w:left="1589"/>
      <w:jc w:val="left"/>
    </w:pPr>
  </w:style>
  <w:style w:type="paragraph" w:customStyle="1" w:styleId="upove">
    <w:name w:val="upov_e"/>
    <w:basedOn w:val="TitreUpov"/>
    <w:uiPriority w:val="99"/>
    <w:rsid w:val="00D3708D"/>
    <w:rPr>
      <w:bCs/>
      <w:spacing w:val="8"/>
    </w:rPr>
  </w:style>
  <w:style w:type="paragraph" w:customStyle="1" w:styleId="TitleofDoc">
    <w:name w:val="Title of Doc"/>
    <w:basedOn w:val="Normal"/>
    <w:uiPriority w:val="99"/>
    <w:semiHidden/>
    <w:rsid w:val="00D3708D"/>
    <w:pPr>
      <w:spacing w:before="1200"/>
      <w:jc w:val="center"/>
    </w:pPr>
    <w:rPr>
      <w:caps/>
    </w:rPr>
  </w:style>
  <w:style w:type="paragraph" w:customStyle="1" w:styleId="preparedby0">
    <w:name w:val="prepared by"/>
    <w:basedOn w:val="Normal"/>
    <w:uiPriority w:val="99"/>
    <w:semiHidden/>
    <w:rsid w:val="00D3708D"/>
    <w:pPr>
      <w:spacing w:before="600" w:after="600"/>
      <w:jc w:val="center"/>
    </w:pPr>
    <w:rPr>
      <w:i/>
    </w:rPr>
  </w:style>
  <w:style w:type="paragraph" w:customStyle="1" w:styleId="PlaceAndDate">
    <w:name w:val="PlaceAndDate"/>
    <w:basedOn w:val="Session"/>
    <w:uiPriority w:val="99"/>
    <w:semiHidden/>
    <w:rsid w:val="00D3708D"/>
  </w:style>
  <w:style w:type="paragraph" w:styleId="EndnoteText">
    <w:name w:val="endnote text"/>
    <w:basedOn w:val="Normal"/>
    <w:link w:val="EndnoteTextChar"/>
    <w:uiPriority w:val="99"/>
    <w:semiHidden/>
    <w:rsid w:val="00D3708D"/>
  </w:style>
  <w:style w:type="character" w:customStyle="1" w:styleId="EndnoteTextChar">
    <w:name w:val="Endnote Text Char"/>
    <w:basedOn w:val="DefaultParagraphFont"/>
    <w:link w:val="EndnoteText"/>
    <w:uiPriority w:val="99"/>
    <w:semiHidden/>
    <w:locked/>
    <w:rPr>
      <w:rFonts w:ascii="Arial" w:hAnsi="Arial" w:cs="Times New Roman"/>
      <w:sz w:val="20"/>
      <w:szCs w:val="20"/>
      <w:lang w:val="en-US" w:eastAsia="en-US"/>
    </w:rPr>
  </w:style>
  <w:style w:type="character" w:styleId="EndnoteReference">
    <w:name w:val="endnote reference"/>
    <w:basedOn w:val="DefaultParagraphFont"/>
    <w:uiPriority w:val="99"/>
    <w:semiHidden/>
    <w:rsid w:val="00D3708D"/>
    <w:rPr>
      <w:rFonts w:cs="Times New Roman"/>
      <w:vertAlign w:val="superscript"/>
    </w:rPr>
  </w:style>
  <w:style w:type="paragraph" w:customStyle="1" w:styleId="SessionMeetingPlace">
    <w:name w:val="Session_MeetingPlace"/>
    <w:basedOn w:val="Normal"/>
    <w:uiPriority w:val="99"/>
    <w:semiHidden/>
    <w:rsid w:val="00D3708D"/>
    <w:pPr>
      <w:spacing w:before="480"/>
      <w:jc w:val="center"/>
    </w:pPr>
    <w:rPr>
      <w:b/>
      <w:bCs/>
      <w:kern w:val="28"/>
      <w:sz w:val="24"/>
    </w:rPr>
  </w:style>
  <w:style w:type="paragraph" w:customStyle="1" w:styleId="Original">
    <w:name w:val="Original"/>
    <w:basedOn w:val="Normal"/>
    <w:uiPriority w:val="99"/>
    <w:semiHidden/>
    <w:rsid w:val="00D3708D"/>
    <w:pPr>
      <w:spacing w:before="60"/>
      <w:ind w:left="1276"/>
    </w:pPr>
    <w:rPr>
      <w:b/>
      <w:sz w:val="22"/>
    </w:rPr>
  </w:style>
  <w:style w:type="paragraph" w:styleId="Date">
    <w:name w:val="Date"/>
    <w:basedOn w:val="Normal"/>
    <w:link w:val="DateChar"/>
    <w:uiPriority w:val="99"/>
    <w:semiHidden/>
    <w:rsid w:val="00D3708D"/>
    <w:pPr>
      <w:spacing w:line="340" w:lineRule="exact"/>
      <w:ind w:left="1276"/>
    </w:pPr>
    <w:rPr>
      <w:b/>
      <w:sz w:val="22"/>
    </w:rPr>
  </w:style>
  <w:style w:type="character" w:customStyle="1" w:styleId="DateChar">
    <w:name w:val="Date Char"/>
    <w:basedOn w:val="DefaultParagraphFont"/>
    <w:link w:val="Date"/>
    <w:uiPriority w:val="99"/>
    <w:semiHidden/>
    <w:locked/>
    <w:rPr>
      <w:rFonts w:ascii="Arial" w:hAnsi="Arial" w:cs="Times New Roman"/>
      <w:sz w:val="20"/>
      <w:szCs w:val="20"/>
      <w:lang w:val="en-US" w:eastAsia="en-US"/>
    </w:rPr>
  </w:style>
  <w:style w:type="paragraph" w:customStyle="1" w:styleId="Code">
    <w:name w:val="Code"/>
    <w:basedOn w:val="Normal"/>
    <w:link w:val="CodeChar"/>
    <w:uiPriority w:val="99"/>
    <w:semiHidden/>
    <w:rsid w:val="00D3708D"/>
    <w:pPr>
      <w:spacing w:line="340" w:lineRule="atLeast"/>
      <w:ind w:left="1276"/>
    </w:pPr>
    <w:rPr>
      <w:b/>
      <w:bCs/>
      <w:spacing w:val="10"/>
    </w:rPr>
  </w:style>
  <w:style w:type="paragraph" w:customStyle="1" w:styleId="Country">
    <w:name w:val="Country"/>
    <w:basedOn w:val="Normal"/>
    <w:uiPriority w:val="99"/>
    <w:semiHidden/>
    <w:rsid w:val="00D3708D"/>
    <w:pPr>
      <w:spacing w:before="60" w:after="480"/>
      <w:jc w:val="center"/>
    </w:pPr>
  </w:style>
  <w:style w:type="paragraph" w:customStyle="1" w:styleId="Lettrine">
    <w:name w:val="Lettrine"/>
    <w:basedOn w:val="Normal"/>
    <w:uiPriority w:val="99"/>
    <w:rsid w:val="00576BE4"/>
    <w:pPr>
      <w:spacing w:after="120" w:line="340" w:lineRule="atLeast"/>
      <w:jc w:val="right"/>
    </w:pPr>
    <w:rPr>
      <w:b/>
      <w:bCs/>
      <w:sz w:val="56"/>
    </w:rPr>
  </w:style>
  <w:style w:type="paragraph" w:customStyle="1" w:styleId="LogoUPOV">
    <w:name w:val="LogoUPOV"/>
    <w:basedOn w:val="Normal"/>
    <w:uiPriority w:val="99"/>
    <w:rsid w:val="00576BE4"/>
    <w:pPr>
      <w:spacing w:before="720"/>
      <w:jc w:val="center"/>
    </w:pPr>
  </w:style>
  <w:style w:type="paragraph" w:customStyle="1" w:styleId="Sessiontc">
    <w:name w:val="Session_tc"/>
    <w:basedOn w:val="StyleSessionAllcaps"/>
    <w:uiPriority w:val="99"/>
    <w:rsid w:val="00D3708D"/>
    <w:pPr>
      <w:spacing w:before="240"/>
    </w:pPr>
  </w:style>
  <w:style w:type="paragraph" w:customStyle="1" w:styleId="TitreUpov">
    <w:name w:val="TitreUpov"/>
    <w:basedOn w:val="Normal"/>
    <w:uiPriority w:val="99"/>
    <w:semiHidden/>
    <w:rsid w:val="00D3708D"/>
    <w:pPr>
      <w:spacing w:before="60"/>
      <w:jc w:val="center"/>
    </w:pPr>
    <w:rPr>
      <w:b/>
      <w:sz w:val="24"/>
    </w:rPr>
  </w:style>
  <w:style w:type="paragraph" w:customStyle="1" w:styleId="StyleSessionAllcaps">
    <w:name w:val="Style Session + All caps"/>
    <w:basedOn w:val="Session"/>
    <w:uiPriority w:val="99"/>
    <w:semiHidden/>
    <w:rsid w:val="00D3708D"/>
    <w:pPr>
      <w:spacing w:before="480"/>
    </w:pPr>
    <w:rPr>
      <w:bCs/>
      <w:caps/>
      <w:kern w:val="28"/>
      <w:sz w:val="24"/>
    </w:rPr>
  </w:style>
  <w:style w:type="paragraph" w:customStyle="1" w:styleId="plcountry">
    <w:name w:val="plcountry"/>
    <w:basedOn w:val="Normal"/>
    <w:uiPriority w:val="99"/>
    <w:rsid w:val="00905020"/>
    <w:pPr>
      <w:keepNext/>
      <w:keepLines/>
      <w:spacing w:before="180" w:after="120"/>
      <w:jc w:val="left"/>
    </w:pPr>
    <w:rPr>
      <w:caps/>
      <w:noProof/>
      <w:u w:val="single"/>
    </w:rPr>
  </w:style>
  <w:style w:type="paragraph" w:customStyle="1" w:styleId="pldetails">
    <w:name w:val="pldetails"/>
    <w:basedOn w:val="Normal"/>
    <w:uiPriority w:val="99"/>
    <w:rsid w:val="00905020"/>
    <w:pPr>
      <w:keepLines/>
      <w:spacing w:before="60" w:after="60"/>
      <w:jc w:val="left"/>
    </w:pPr>
    <w:rPr>
      <w:noProof/>
    </w:rPr>
  </w:style>
  <w:style w:type="paragraph" w:customStyle="1" w:styleId="plheading">
    <w:name w:val="plheading"/>
    <w:basedOn w:val="Normal"/>
    <w:uiPriority w:val="99"/>
    <w:rsid w:val="00905020"/>
    <w:pPr>
      <w:keepNext/>
      <w:spacing w:before="480" w:after="120"/>
      <w:jc w:val="center"/>
    </w:pPr>
    <w:rPr>
      <w:caps/>
      <w:u w:val="single"/>
    </w:rPr>
  </w:style>
  <w:style w:type="paragraph" w:customStyle="1" w:styleId="Sessiontcplacedate">
    <w:name w:val="Session_tc_place_date"/>
    <w:basedOn w:val="SessionMeetingPlace"/>
    <w:uiPriority w:val="99"/>
    <w:rsid w:val="00D3708D"/>
    <w:pPr>
      <w:spacing w:before="240"/>
    </w:pPr>
  </w:style>
  <w:style w:type="paragraph" w:customStyle="1" w:styleId="Titleofdoc0">
    <w:name w:val="Title_of_doc"/>
    <w:basedOn w:val="TitleofDoc"/>
    <w:uiPriority w:val="99"/>
    <w:rsid w:val="00D3708D"/>
    <w:pPr>
      <w:spacing w:before="600"/>
    </w:pPr>
  </w:style>
  <w:style w:type="paragraph" w:customStyle="1" w:styleId="preparedby1">
    <w:name w:val="prepared_by"/>
    <w:basedOn w:val="preparedby0"/>
    <w:uiPriority w:val="99"/>
    <w:rsid w:val="00D3708D"/>
    <w:pPr>
      <w:spacing w:before="240"/>
    </w:pPr>
    <w:rPr>
      <w:iCs/>
    </w:rPr>
  </w:style>
  <w:style w:type="character" w:customStyle="1" w:styleId="CodeChar">
    <w:name w:val="Code Char"/>
    <w:basedOn w:val="DefaultParagraphFont"/>
    <w:link w:val="Code"/>
    <w:uiPriority w:val="99"/>
    <w:locked/>
    <w:rsid w:val="00D3708D"/>
    <w:rPr>
      <w:rFonts w:ascii="Arial" w:hAnsi="Arial" w:cs="Times New Roman"/>
      <w:b/>
      <w:bCs/>
      <w:spacing w:val="10"/>
      <w:lang w:val="fr-FR" w:eastAsia="en-US" w:bidi="ar-SA"/>
    </w:rPr>
  </w:style>
  <w:style w:type="paragraph" w:customStyle="1" w:styleId="endofdoc">
    <w:name w:val="end_of_doc"/>
    <w:autoRedefine/>
    <w:uiPriority w:val="99"/>
    <w:rsid w:val="002940E8"/>
    <w:pPr>
      <w:spacing w:before="480"/>
      <w:ind w:left="567" w:hanging="567"/>
      <w:jc w:val="right"/>
    </w:pPr>
    <w:rPr>
      <w:rFonts w:ascii="Arial" w:hAnsi="Arial"/>
      <w:sz w:val="20"/>
      <w:szCs w:val="20"/>
      <w:lang w:val="en-US" w:eastAsia="en-US"/>
    </w:rPr>
  </w:style>
  <w:style w:type="character" w:customStyle="1" w:styleId="DocoriginalChar">
    <w:name w:val="Doc_original Char"/>
    <w:basedOn w:val="CodeChar"/>
    <w:link w:val="Docoriginal"/>
    <w:uiPriority w:val="99"/>
    <w:locked/>
    <w:rsid w:val="00612379"/>
    <w:rPr>
      <w:rFonts w:ascii="Arial" w:hAnsi="Arial" w:cs="Times New Roman"/>
      <w:b/>
      <w:bCs/>
      <w:spacing w:val="10"/>
      <w:lang w:val="en-US" w:eastAsia="en-US" w:bidi="ar-SA"/>
    </w:rPr>
  </w:style>
  <w:style w:type="character" w:customStyle="1" w:styleId="StyleDocoriginalNotBoldChar">
    <w:name w:val="Style Doc_original + Not Bold Char"/>
    <w:basedOn w:val="DocoriginalChar"/>
    <w:link w:val="StyleDocoriginalNotBold"/>
    <w:uiPriority w:val="99"/>
    <w:locked/>
    <w:rsid w:val="00D3708D"/>
    <w:rPr>
      <w:rFonts w:ascii="Arial" w:hAnsi="Arial" w:cs="Times New Roman"/>
      <w:b/>
      <w:bCs/>
      <w:spacing w:val="10"/>
      <w:lang w:val="en-US" w:eastAsia="en-US" w:bidi="ar-SA"/>
    </w:rPr>
  </w:style>
  <w:style w:type="paragraph" w:customStyle="1" w:styleId="StyleDocnumber">
    <w:name w:val="Style Doc_number"/>
    <w:basedOn w:val="Docoriginal"/>
    <w:uiPriority w:val="99"/>
    <w:rsid w:val="00D3708D"/>
    <w:pPr>
      <w:ind w:left="1589"/>
    </w:pPr>
  </w:style>
  <w:style w:type="paragraph" w:customStyle="1" w:styleId="StyleDocoriginal">
    <w:name w:val="Style Doc_original"/>
    <w:basedOn w:val="Docoriginal"/>
    <w:link w:val="StyleDocoriginalChar"/>
    <w:uiPriority w:val="99"/>
    <w:rsid w:val="00D3708D"/>
    <w:rPr>
      <w:spacing w:val="0"/>
    </w:rPr>
  </w:style>
  <w:style w:type="character" w:customStyle="1" w:styleId="StyleDocoriginalChar">
    <w:name w:val="Style Doc_original Char"/>
    <w:basedOn w:val="DocoriginalChar"/>
    <w:link w:val="StyleDocoriginal"/>
    <w:uiPriority w:val="99"/>
    <w:locked/>
    <w:rsid w:val="00D3708D"/>
    <w:rPr>
      <w:rFonts w:ascii="Arial" w:hAnsi="Arial" w:cs="Times New Roman"/>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uiPriority w:val="99"/>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uiPriority w:val="99"/>
    <w:locked/>
    <w:rsid w:val="00281060"/>
    <w:rPr>
      <w:rFonts w:ascii="Arial" w:hAnsi="Arial" w:cs="Times New Roman"/>
      <w:b/>
      <w:bCs/>
      <w:spacing w:val="10"/>
      <w:lang w:val="en-US" w:eastAsia="en-US" w:bidi="ar-SA"/>
    </w:rPr>
  </w:style>
  <w:style w:type="character" w:customStyle="1" w:styleId="StyleDocoriginalNotBold1">
    <w:name w:val="Style Doc_original + Not Bold1"/>
    <w:basedOn w:val="StyleStyleDocoriginalNotBoldNotBoldChar"/>
    <w:uiPriority w:val="99"/>
    <w:rsid w:val="00281060"/>
    <w:rPr>
      <w:rFonts w:ascii="Arial" w:hAnsi="Arial" w:cs="Times New Roman"/>
      <w:b/>
      <w:bCs/>
      <w:spacing w:val="10"/>
      <w:lang w:val="en-US" w:eastAsia="en-US" w:bidi="ar-SA"/>
    </w:rPr>
  </w:style>
  <w:style w:type="character" w:customStyle="1" w:styleId="StyleDoclangBold">
    <w:name w:val="Style Doc_lang + Bold"/>
    <w:basedOn w:val="Doclang"/>
    <w:uiPriority w:val="99"/>
    <w:rsid w:val="00281060"/>
    <w:rPr>
      <w:rFonts w:ascii="Arial" w:hAnsi="Arial" w:cs="Times New Roman"/>
      <w:b/>
      <w:bCs/>
      <w:sz w:val="20"/>
      <w:lang w:val="en-US"/>
    </w:rPr>
  </w:style>
  <w:style w:type="paragraph" w:styleId="TOC2">
    <w:name w:val="toc 2"/>
    <w:basedOn w:val="Normal"/>
    <w:next w:val="Normal"/>
    <w:autoRedefine/>
    <w:uiPriority w:val="99"/>
    <w:rsid w:val="00236FAC"/>
    <w:pPr>
      <w:tabs>
        <w:tab w:val="right" w:leader="dot" w:pos="9639"/>
      </w:tabs>
      <w:spacing w:before="120"/>
      <w:ind w:left="454" w:right="851" w:hanging="284"/>
      <w:contextualSpacing/>
      <w:jc w:val="left"/>
    </w:pPr>
    <w:rPr>
      <w:smallCaps/>
      <w:noProof/>
    </w:rPr>
  </w:style>
  <w:style w:type="paragraph" w:styleId="TOC3">
    <w:name w:val="toc 3"/>
    <w:basedOn w:val="Normal"/>
    <w:next w:val="Normal"/>
    <w:autoRedefine/>
    <w:uiPriority w:val="99"/>
    <w:rsid w:val="00370631"/>
    <w:pPr>
      <w:tabs>
        <w:tab w:val="right" w:leader="dot" w:pos="9639"/>
      </w:tabs>
      <w:spacing w:before="120"/>
      <w:ind w:left="568" w:right="851" w:hanging="284"/>
      <w:contextualSpacing/>
      <w:jc w:val="left"/>
    </w:pPr>
    <w:rPr>
      <w:sz w:val="18"/>
      <w:lang w:val="fr-FR"/>
    </w:rPr>
  </w:style>
  <w:style w:type="character" w:styleId="Hyperlink">
    <w:name w:val="Hyperlink"/>
    <w:basedOn w:val="DefaultParagraphFont"/>
    <w:uiPriority w:val="99"/>
    <w:rsid w:val="00905020"/>
    <w:rPr>
      <w:rFonts w:ascii="Arial" w:hAnsi="Arial" w:cs="Times New Roman"/>
      <w:color w:val="0000FF"/>
      <w:u w:val="single"/>
    </w:rPr>
  </w:style>
  <w:style w:type="paragraph" w:styleId="TOC4">
    <w:name w:val="toc 4"/>
    <w:basedOn w:val="Normal"/>
    <w:next w:val="Normal"/>
    <w:autoRedefine/>
    <w:uiPriority w:val="99"/>
    <w:semiHidden/>
    <w:rsid w:val="00370631"/>
    <w:pPr>
      <w:tabs>
        <w:tab w:val="right" w:leader="dot" w:pos="9639"/>
      </w:tabs>
      <w:spacing w:before="120"/>
      <w:ind w:left="738" w:right="851" w:hanging="284"/>
      <w:jc w:val="left"/>
    </w:pPr>
    <w:rPr>
      <w:i/>
      <w:sz w:val="18"/>
      <w:lang w:val="fr-FR"/>
    </w:rPr>
  </w:style>
  <w:style w:type="paragraph" w:styleId="TOC1">
    <w:name w:val="toc 1"/>
    <w:basedOn w:val="Normal"/>
    <w:next w:val="Normal"/>
    <w:autoRedefine/>
    <w:uiPriority w:val="99"/>
    <w:rsid w:val="00E87AD2"/>
    <w:pPr>
      <w:tabs>
        <w:tab w:val="right" w:leader="dot" w:pos="9639"/>
      </w:tabs>
      <w:contextualSpacing/>
      <w:jc w:val="left"/>
    </w:pPr>
    <w:rPr>
      <w:caps/>
      <w:noProof/>
    </w:rPr>
  </w:style>
  <w:style w:type="paragraph" w:styleId="TOC5">
    <w:name w:val="toc 5"/>
    <w:basedOn w:val="Normal"/>
    <w:next w:val="Normal"/>
    <w:autoRedefine/>
    <w:uiPriority w:val="99"/>
    <w:semiHidden/>
    <w:rsid w:val="00370631"/>
    <w:pPr>
      <w:tabs>
        <w:tab w:val="right" w:leader="dot" w:pos="9639"/>
      </w:tabs>
      <w:ind w:left="567" w:right="851" w:firstLine="284"/>
    </w:pPr>
    <w:rPr>
      <w:sz w:val="16"/>
      <w:lang w:val="fr-FR"/>
    </w:rPr>
  </w:style>
  <w:style w:type="paragraph" w:styleId="BalloonText">
    <w:name w:val="Balloon Text"/>
    <w:basedOn w:val="Normal"/>
    <w:link w:val="BalloonTextChar"/>
    <w:uiPriority w:val="99"/>
    <w:rsid w:val="001479AA"/>
    <w:rPr>
      <w:rFonts w:ascii="Tahoma" w:hAnsi="Tahoma" w:cs="Tahoma"/>
      <w:sz w:val="16"/>
      <w:szCs w:val="16"/>
    </w:rPr>
  </w:style>
  <w:style w:type="character" w:customStyle="1" w:styleId="BalloonTextChar">
    <w:name w:val="Balloon Text Char"/>
    <w:basedOn w:val="DefaultParagraphFont"/>
    <w:link w:val="BalloonText"/>
    <w:uiPriority w:val="99"/>
    <w:locked/>
    <w:rsid w:val="001479AA"/>
    <w:rPr>
      <w:rFonts w:ascii="Tahoma" w:hAnsi="Tahoma" w:cs="Tahoma"/>
      <w:sz w:val="16"/>
      <w:szCs w:val="16"/>
    </w:rPr>
  </w:style>
  <w:style w:type="paragraph" w:styleId="CommentText">
    <w:name w:val="annotation text"/>
    <w:basedOn w:val="Normal"/>
    <w:link w:val="CommentTextChar"/>
    <w:uiPriority w:val="99"/>
    <w:rsid w:val="00211419"/>
    <w:pPr>
      <w:jc w:val="left"/>
    </w:pPr>
    <w:rPr>
      <w:rFonts w:ascii="Times New Roman" w:hAnsi="Times New Roman"/>
      <w:sz w:val="22"/>
      <w:szCs w:val="22"/>
      <w:lang w:eastAsia="ja-JP"/>
    </w:rPr>
  </w:style>
  <w:style w:type="character" w:customStyle="1" w:styleId="CommentTextChar">
    <w:name w:val="Comment Text Char"/>
    <w:basedOn w:val="DefaultParagraphFont"/>
    <w:link w:val="CommentText"/>
    <w:uiPriority w:val="99"/>
    <w:locked/>
    <w:rsid w:val="00211419"/>
    <w:rPr>
      <w:rFonts w:cs="Times New Roman"/>
      <w:sz w:val="22"/>
      <w:szCs w:val="22"/>
      <w:lang w:eastAsia="ja-JP"/>
    </w:rPr>
  </w:style>
  <w:style w:type="character" w:customStyle="1" w:styleId="DecisionParagraphsChar">
    <w:name w:val="DecisionParagraphs Char"/>
    <w:basedOn w:val="DefaultParagraphFont"/>
    <w:link w:val="DecisionParagraphs"/>
    <w:uiPriority w:val="99"/>
    <w:locked/>
    <w:rsid w:val="00211419"/>
    <w:rPr>
      <w:rFonts w:ascii="Arial" w:hAnsi="Arial" w:cs="Times New Roman"/>
      <w:i/>
    </w:rPr>
  </w:style>
  <w:style w:type="paragraph" w:styleId="ListParagraph">
    <w:name w:val="List Paragraph"/>
    <w:basedOn w:val="Normal"/>
    <w:uiPriority w:val="99"/>
    <w:qFormat/>
    <w:rsid w:val="00211419"/>
    <w:pPr>
      <w:ind w:left="720"/>
      <w:contextualSpacing/>
    </w:pPr>
  </w:style>
  <w:style w:type="paragraph" w:styleId="TOCHeading">
    <w:name w:val="TOC Heading"/>
    <w:basedOn w:val="Heading1"/>
    <w:next w:val="Normal"/>
    <w:uiPriority w:val="99"/>
    <w:qFormat/>
    <w:rsid w:val="00211419"/>
    <w:pPr>
      <w:keepLines/>
      <w:spacing w:before="480" w:line="276" w:lineRule="auto"/>
      <w:jc w:val="left"/>
      <w:outlineLvl w:val="9"/>
    </w:pPr>
    <w:rPr>
      <w:rFonts w:ascii="Cambria" w:hAnsi="Cambria"/>
      <w:b/>
      <w:bCs/>
      <w:caps w:val="0"/>
      <w:color w:val="365F91"/>
      <w:sz w:val="28"/>
      <w:szCs w:val="28"/>
      <w:lang w:eastAsia="ja-JP"/>
    </w:rPr>
  </w:style>
  <w:style w:type="table" w:styleId="TableGrid">
    <w:name w:val="Table Grid"/>
    <w:basedOn w:val="TableNormal"/>
    <w:uiPriority w:val="99"/>
    <w:rsid w:val="0021141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BookTitle">
    <w:name w:val="Book Title"/>
    <w:basedOn w:val="DefaultParagraphFont"/>
    <w:uiPriority w:val="99"/>
    <w:qFormat/>
    <w:rsid w:val="00211419"/>
    <w:rPr>
      <w:rFonts w:cs="Times New Roman"/>
      <w:bCs/>
      <w:smallCaps/>
      <w:spacing w:val="5"/>
    </w:rPr>
  </w:style>
  <w:style w:type="paragraph" w:styleId="NormalWeb">
    <w:name w:val="Normal (Web)"/>
    <w:basedOn w:val="Normal"/>
    <w:uiPriority w:val="99"/>
    <w:rsid w:val="00211419"/>
    <w:pPr>
      <w:spacing w:before="100" w:beforeAutospacing="1" w:after="100" w:afterAutospacing="1"/>
      <w:jc w:val="left"/>
    </w:pPr>
    <w:rPr>
      <w:rFonts w:ascii="Times New Roman" w:hAnsi="Times New Roman"/>
      <w:sz w:val="24"/>
      <w:szCs w:val="24"/>
    </w:rPr>
  </w:style>
  <w:style w:type="character" w:styleId="FollowedHyperlink">
    <w:name w:val="FollowedHyperlink"/>
    <w:basedOn w:val="DefaultParagraphFont"/>
    <w:uiPriority w:val="99"/>
    <w:rsid w:val="00466C16"/>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pov.int/meetings/es/details.jsp?meeting_id=29782" TargetMode="External"/><Relationship Id="rId18" Type="http://schemas.openxmlformats.org/officeDocument/2006/relationships/hyperlink" Target="http://www.upov.int/resource/es/training.html"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pov.int/about/fr/benefits_upov_system.html" TargetMode="External"/><Relationship Id="rId17" Type="http://schemas.openxmlformats.org/officeDocument/2006/relationships/hyperlink" Target="http://welc.wipo.int/acc/index.jsf?page=upovCatalog.xhtml&amp;cc=DL305S&amp;lang=es&amp;" TargetMode="External"/><Relationship Id="rId2" Type="http://schemas.openxmlformats.org/officeDocument/2006/relationships/styles" Target="styles.xml"/><Relationship Id="rId16" Type="http://schemas.openxmlformats.org/officeDocument/2006/relationships/hyperlink" Target="http://welc.wipo.int/acc/index.jsf?page=upovCatalog.xhtml&amp;cc=DL305SB&amp;lang=es&amp;"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pov.int/about/es/benefits_upov_system.html" TargetMode="External"/><Relationship Id="rId5" Type="http://schemas.openxmlformats.org/officeDocument/2006/relationships/webSettings" Target="webSettings.xml"/><Relationship Id="rId15" Type="http://schemas.openxmlformats.org/officeDocument/2006/relationships/hyperlink" Target="http://welc.wipo.int/acc/index.jsf?page=upovCatalog.xhtml&amp;cc=DL305SA&amp;lang=es&amp;" TargetMode="External"/><Relationship Id="rId10" Type="http://schemas.openxmlformats.org/officeDocument/2006/relationships/hyperlink" Target="http://www.upov.int/upov_collection/e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api.int/" TargetMode="External"/><Relationship Id="rId14" Type="http://schemas.openxmlformats.org/officeDocument/2006/relationships/hyperlink" Target="http://welc.wipo.int/acc/index.jsf?page=upovCatalog.xhtml&amp;cc=DL205S&amp;lang=es&am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cevallos\AppData\Local\Microsoft\Windows\Temporary%20Internet%20Files\Content.MSO\FD6400F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FD6400FD</Template>
  <TotalTime>30</TotalTime>
  <Pages>10</Pages>
  <Words>4071</Words>
  <Characters>25679</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TC/51/10</vt:lpstr>
    </vt:vector>
  </TitlesOfParts>
  <Company>UPOV</Company>
  <LinksUpToDate>false</LinksUpToDate>
  <CharactersWithSpaces>29691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TC/51/10</dc:title>
  <dc:creator>Toni</dc:creator>
  <dc:description>(trad. ext.) - 5.3.2015</dc:description>
  <cp:lastModifiedBy>LONG Victoria</cp:lastModifiedBy>
  <cp:revision>8</cp:revision>
  <cp:lastPrinted>2015-03-10T13:37:00Z</cp:lastPrinted>
  <dcterms:created xsi:type="dcterms:W3CDTF">2015-03-10T10:41:00Z</dcterms:created>
  <dcterms:modified xsi:type="dcterms:W3CDTF">2015-03-10T13:37:00Z</dcterms:modified>
</cp:coreProperties>
</file>