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E053E1" w:rsidTr="00C13808">
        <w:trPr>
          <w:trHeight w:val="1760"/>
        </w:trPr>
        <w:tc>
          <w:tcPr>
            <w:tcW w:w="4243" w:type="dxa"/>
          </w:tcPr>
          <w:p w:rsidR="000D7780" w:rsidRPr="00E053E1" w:rsidRDefault="000D7780" w:rsidP="00E053E1">
            <w:pPr>
              <w:widowControl w:val="0"/>
              <w:rPr>
                <w:lang w:val="es-ES_tradnl"/>
              </w:rPr>
            </w:pPr>
            <w:bookmarkStart w:id="0" w:name="_GoBack"/>
            <w:bookmarkEnd w:id="0"/>
          </w:p>
        </w:tc>
        <w:tc>
          <w:tcPr>
            <w:tcW w:w="1646" w:type="dxa"/>
            <w:vAlign w:val="center"/>
          </w:tcPr>
          <w:p w:rsidR="000D7780" w:rsidRPr="00E053E1" w:rsidRDefault="002376CE" w:rsidP="00E053E1">
            <w:pPr>
              <w:pStyle w:val="LogoUPOV"/>
              <w:widowControl w:val="0"/>
              <w:rPr>
                <w:lang w:val="es-ES_tradnl"/>
              </w:rPr>
            </w:pPr>
            <w:r w:rsidRPr="00807CB6">
              <w:rPr>
                <w:noProof/>
                <w:lang w:val="en-US"/>
              </w:rPr>
              <w:drawing>
                <wp:inline distT="0" distB="0" distL="0" distR="0" wp14:anchorId="6B711052" wp14:editId="6B8BFC9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E053E1" w:rsidRDefault="00A47CDB" w:rsidP="00E053E1">
            <w:pPr>
              <w:pStyle w:val="Lettrine"/>
              <w:widowControl w:val="0"/>
              <w:rPr>
                <w:lang w:val="es-ES_tradnl"/>
              </w:rPr>
            </w:pPr>
            <w:r w:rsidRPr="00E053E1">
              <w:rPr>
                <w:lang w:val="es-ES_tradnl"/>
              </w:rPr>
              <w:t>S</w:t>
            </w:r>
          </w:p>
          <w:p w:rsidR="000D7780" w:rsidRPr="00E053E1" w:rsidRDefault="008A1693" w:rsidP="00E053E1">
            <w:pPr>
              <w:pStyle w:val="Docoriginal"/>
              <w:widowControl w:val="0"/>
              <w:rPr>
                <w:lang w:val="es-ES_tradnl"/>
              </w:rPr>
            </w:pPr>
            <w:r w:rsidRPr="00E053E1">
              <w:rPr>
                <w:lang w:val="es-ES_tradnl"/>
              </w:rPr>
              <w:t>TC/</w:t>
            </w:r>
            <w:r w:rsidR="007F4BB2" w:rsidRPr="00E053E1">
              <w:rPr>
                <w:lang w:val="es-ES_tradnl"/>
              </w:rPr>
              <w:t>50</w:t>
            </w:r>
            <w:r w:rsidRPr="00E053E1">
              <w:rPr>
                <w:lang w:val="es-ES_tradnl"/>
              </w:rPr>
              <w:t>/</w:t>
            </w:r>
            <w:bookmarkStart w:id="1" w:name="Code"/>
            <w:bookmarkEnd w:id="1"/>
            <w:r w:rsidR="00A57943" w:rsidRPr="00E053E1">
              <w:rPr>
                <w:lang w:val="es-ES_tradnl"/>
              </w:rPr>
              <w:t>3</w:t>
            </w:r>
          </w:p>
          <w:p w:rsidR="000D7780" w:rsidRPr="00E053E1" w:rsidRDefault="0061555F" w:rsidP="00E053E1">
            <w:pPr>
              <w:pStyle w:val="Docoriginal"/>
              <w:widowControl w:val="0"/>
              <w:rPr>
                <w:b w:val="0"/>
                <w:spacing w:val="0"/>
                <w:lang w:val="es-ES_tradnl"/>
              </w:rPr>
            </w:pPr>
            <w:r w:rsidRPr="00E053E1">
              <w:rPr>
                <w:rStyle w:val="StyleDoclangBold"/>
                <w:b/>
                <w:bCs/>
                <w:spacing w:val="0"/>
                <w:lang w:val="es-ES_tradnl"/>
              </w:rPr>
              <w:t>ORIGINAL</w:t>
            </w:r>
            <w:r w:rsidR="000D7780" w:rsidRPr="00E053E1">
              <w:rPr>
                <w:rStyle w:val="StyleDoclangBold"/>
                <w:b/>
                <w:bCs/>
                <w:spacing w:val="0"/>
                <w:lang w:val="es-ES_tradnl"/>
              </w:rPr>
              <w:t>:</w:t>
            </w:r>
            <w:r w:rsidRPr="00E053E1">
              <w:rPr>
                <w:rStyle w:val="StyleDocoriginalNotBold1"/>
                <w:spacing w:val="0"/>
                <w:lang w:val="es-ES_tradnl"/>
              </w:rPr>
              <w:t xml:space="preserve"> </w:t>
            </w:r>
            <w:r w:rsidR="000D7780" w:rsidRPr="00E053E1">
              <w:rPr>
                <w:rStyle w:val="StyleDocoriginalNotBold1"/>
                <w:spacing w:val="0"/>
                <w:lang w:val="es-ES_tradnl"/>
              </w:rPr>
              <w:t xml:space="preserve"> </w:t>
            </w:r>
            <w:bookmarkStart w:id="2" w:name="Original"/>
            <w:bookmarkEnd w:id="2"/>
            <w:r w:rsidR="00A47CDB" w:rsidRPr="00E053E1">
              <w:rPr>
                <w:b w:val="0"/>
                <w:spacing w:val="0"/>
                <w:lang w:val="es-ES_tradnl"/>
              </w:rPr>
              <w:t>Inglés</w:t>
            </w:r>
          </w:p>
          <w:p w:rsidR="000D7780" w:rsidRPr="00E053E1" w:rsidRDefault="00A47CDB" w:rsidP="00C534CE">
            <w:pPr>
              <w:pStyle w:val="Docoriginal"/>
              <w:widowControl w:val="0"/>
              <w:rPr>
                <w:lang w:val="es-ES_tradnl"/>
              </w:rPr>
            </w:pPr>
            <w:r w:rsidRPr="00E053E1">
              <w:rPr>
                <w:spacing w:val="0"/>
                <w:lang w:val="es-ES_tradnl"/>
              </w:rPr>
              <w:t>FECHA</w:t>
            </w:r>
            <w:r w:rsidR="000D7780" w:rsidRPr="00E053E1">
              <w:rPr>
                <w:spacing w:val="0"/>
                <w:lang w:val="es-ES_tradnl"/>
              </w:rPr>
              <w:t>:</w:t>
            </w:r>
            <w:r w:rsidR="0061555F" w:rsidRPr="00E053E1">
              <w:rPr>
                <w:b w:val="0"/>
                <w:spacing w:val="0"/>
                <w:lang w:val="es-ES_tradnl"/>
              </w:rPr>
              <w:t xml:space="preserve"> </w:t>
            </w:r>
            <w:r w:rsidR="000D7780" w:rsidRPr="00E053E1">
              <w:rPr>
                <w:rStyle w:val="StyleDocoriginalNotBold1"/>
                <w:spacing w:val="0"/>
                <w:lang w:val="es-ES_tradnl"/>
              </w:rPr>
              <w:t xml:space="preserve"> </w:t>
            </w:r>
            <w:bookmarkStart w:id="3" w:name="Date"/>
            <w:bookmarkEnd w:id="3"/>
            <w:r w:rsidR="00C534CE">
              <w:rPr>
                <w:rStyle w:val="StyleDocoriginalNotBold1"/>
                <w:spacing w:val="0"/>
                <w:lang w:val="es-ES_tradnl"/>
              </w:rPr>
              <w:t>30 de enero de 2014</w:t>
            </w:r>
          </w:p>
        </w:tc>
      </w:tr>
      <w:tr w:rsidR="000D7780" w:rsidRPr="00E053E1" w:rsidTr="00C13808">
        <w:tc>
          <w:tcPr>
            <w:tcW w:w="10131" w:type="dxa"/>
            <w:gridSpan w:val="3"/>
          </w:tcPr>
          <w:p w:rsidR="000D7780" w:rsidRPr="00E053E1" w:rsidRDefault="00A47CDB" w:rsidP="00E053E1">
            <w:pPr>
              <w:pStyle w:val="upove"/>
              <w:widowControl w:val="0"/>
              <w:rPr>
                <w:sz w:val="28"/>
                <w:lang w:val="es-ES_tradnl"/>
              </w:rPr>
            </w:pPr>
            <w:r w:rsidRPr="00E053E1">
              <w:rPr>
                <w:spacing w:val="2"/>
                <w:lang w:val="es-ES_tradnl"/>
              </w:rPr>
              <w:t>UNIÓN INTERNACIONAL PARA LA PROTECCIÓN DE LAS OBTENCIONES VEGETALES</w:t>
            </w:r>
          </w:p>
        </w:tc>
      </w:tr>
      <w:tr w:rsidR="000D7780" w:rsidRPr="00E053E1" w:rsidTr="00C13808">
        <w:tc>
          <w:tcPr>
            <w:tcW w:w="10131" w:type="dxa"/>
            <w:gridSpan w:val="3"/>
          </w:tcPr>
          <w:p w:rsidR="000D7780" w:rsidRPr="00E053E1" w:rsidRDefault="00A47CDB" w:rsidP="00E053E1">
            <w:pPr>
              <w:pStyle w:val="Country"/>
              <w:widowControl w:val="0"/>
              <w:rPr>
                <w:lang w:val="es-ES_tradnl"/>
              </w:rPr>
            </w:pPr>
            <w:r w:rsidRPr="00E053E1">
              <w:rPr>
                <w:lang w:val="es-ES_tradnl"/>
              </w:rPr>
              <w:t>Ginebra</w:t>
            </w:r>
          </w:p>
        </w:tc>
      </w:tr>
    </w:tbl>
    <w:p w:rsidR="000D7780" w:rsidRPr="00E053E1" w:rsidRDefault="00A47CDB" w:rsidP="00E053E1">
      <w:pPr>
        <w:pStyle w:val="Sessiontc"/>
        <w:widowControl w:val="0"/>
        <w:rPr>
          <w:lang w:val="es-ES_tradnl"/>
        </w:rPr>
      </w:pPr>
      <w:r w:rsidRPr="00E053E1">
        <w:rPr>
          <w:lang w:val="es-ES_tradnl"/>
        </w:rPr>
        <w:t>Comité TÉCNICO</w:t>
      </w:r>
    </w:p>
    <w:p w:rsidR="00361821" w:rsidRPr="00E053E1" w:rsidRDefault="007F4BB2" w:rsidP="00E053E1">
      <w:pPr>
        <w:pStyle w:val="Sessiontcplacedate"/>
        <w:widowControl w:val="0"/>
        <w:rPr>
          <w:lang w:val="es-ES_tradnl"/>
        </w:rPr>
      </w:pPr>
      <w:r w:rsidRPr="00E053E1">
        <w:rPr>
          <w:lang w:val="es-ES_tradnl"/>
        </w:rPr>
        <w:t>Quincua</w:t>
      </w:r>
      <w:r w:rsidR="00A47CDB" w:rsidRPr="00E053E1">
        <w:rPr>
          <w:lang w:val="es-ES_tradnl"/>
        </w:rPr>
        <w:t>gésima sesión</w:t>
      </w:r>
      <w:r w:rsidR="00A47CDB" w:rsidRPr="00E053E1">
        <w:rPr>
          <w:lang w:val="es-ES_tradnl"/>
        </w:rPr>
        <w:br/>
        <w:t xml:space="preserve">Ginebra, </w:t>
      </w:r>
      <w:r w:rsidRPr="00E053E1">
        <w:rPr>
          <w:lang w:val="es-ES_tradnl"/>
        </w:rPr>
        <w:t>7</w:t>
      </w:r>
      <w:r w:rsidR="008A1693" w:rsidRPr="00E053E1">
        <w:rPr>
          <w:lang w:val="es-ES_tradnl"/>
        </w:rPr>
        <w:t xml:space="preserve"> a </w:t>
      </w:r>
      <w:r w:rsidRPr="00E053E1">
        <w:rPr>
          <w:lang w:val="es-ES_tradnl"/>
        </w:rPr>
        <w:t>9</w:t>
      </w:r>
      <w:r w:rsidR="008A1693" w:rsidRPr="00E053E1">
        <w:rPr>
          <w:lang w:val="es-ES_tradnl"/>
        </w:rPr>
        <w:t xml:space="preserve"> </w:t>
      </w:r>
      <w:r w:rsidR="00F77B84" w:rsidRPr="00E053E1">
        <w:rPr>
          <w:lang w:val="es-ES_tradnl"/>
        </w:rPr>
        <w:t>de</w:t>
      </w:r>
      <w:r w:rsidR="008A1693" w:rsidRPr="00E053E1">
        <w:rPr>
          <w:lang w:val="es-ES_tradnl"/>
        </w:rPr>
        <w:t xml:space="preserve"> </w:t>
      </w:r>
      <w:r w:rsidRPr="00E053E1">
        <w:rPr>
          <w:lang w:val="es-ES_tradnl"/>
        </w:rPr>
        <w:t>abril</w:t>
      </w:r>
      <w:r w:rsidR="008A1693" w:rsidRPr="00E053E1">
        <w:rPr>
          <w:lang w:val="es-ES_tradnl"/>
        </w:rPr>
        <w:t xml:space="preserve"> de 201</w:t>
      </w:r>
      <w:r w:rsidRPr="00E053E1">
        <w:rPr>
          <w:lang w:val="es-ES_tradnl"/>
        </w:rPr>
        <w:t>4</w:t>
      </w:r>
    </w:p>
    <w:p w:rsidR="000D7780" w:rsidRPr="00E053E1" w:rsidRDefault="00851935" w:rsidP="00E053E1">
      <w:pPr>
        <w:pStyle w:val="Titleofdoc0"/>
        <w:widowControl w:val="0"/>
        <w:rPr>
          <w:lang w:val="es-ES_tradnl"/>
        </w:rPr>
      </w:pPr>
      <w:bookmarkStart w:id="4" w:name="TitleOfDoc"/>
      <w:bookmarkEnd w:id="4"/>
      <w:r w:rsidRPr="00E053E1">
        <w:rPr>
          <w:lang w:val="es-ES_tradnl"/>
        </w:rPr>
        <w:t>cuestiones planteadas por los grupos de trabajo técnico</w:t>
      </w:r>
    </w:p>
    <w:p w:rsidR="00184D5D" w:rsidRPr="00E053E1" w:rsidRDefault="00184D5D" w:rsidP="00E053E1">
      <w:pPr>
        <w:pStyle w:val="preparedby1"/>
        <w:widowControl w:val="0"/>
        <w:rPr>
          <w:lang w:val="es-ES_tradnl"/>
        </w:rPr>
      </w:pPr>
      <w:bookmarkStart w:id="5" w:name="Prepared"/>
      <w:bookmarkEnd w:id="5"/>
      <w:r w:rsidRPr="00E053E1">
        <w:rPr>
          <w:lang w:val="es-ES_tradnl"/>
        </w:rPr>
        <w:t>Documento preparado por la Oficina de la Unión</w:t>
      </w:r>
      <w:r w:rsidRPr="00E053E1">
        <w:rPr>
          <w:lang w:val="es-ES_tradnl"/>
        </w:rPr>
        <w:br/>
      </w:r>
      <w:r w:rsidRPr="00E053E1">
        <w:rPr>
          <w:lang w:val="es-ES_tradnl"/>
        </w:rPr>
        <w:br/>
      </w:r>
      <w:r w:rsidRPr="00E053E1">
        <w:rPr>
          <w:color w:val="A6A6A6"/>
          <w:lang w:val="es-ES_tradnl"/>
        </w:rPr>
        <w:t>Descargo de responsabilidad</w:t>
      </w:r>
      <w:proofErr w:type="gramStart"/>
      <w:r w:rsidRPr="00E053E1">
        <w:rPr>
          <w:color w:val="A6A6A6"/>
          <w:lang w:val="es-ES_tradnl"/>
        </w:rPr>
        <w:t>:  el</w:t>
      </w:r>
      <w:proofErr w:type="gramEnd"/>
      <w:r w:rsidRPr="00E053E1">
        <w:rPr>
          <w:color w:val="A6A6A6"/>
          <w:lang w:val="es-ES_tradnl"/>
        </w:rPr>
        <w:t xml:space="preserve"> presente documento no constituye</w:t>
      </w:r>
      <w:r w:rsidRPr="00E053E1">
        <w:rPr>
          <w:color w:val="A6A6A6"/>
          <w:lang w:val="es-ES_tradnl"/>
        </w:rPr>
        <w:br/>
        <w:t>un documento de política u orientación de la UPOV</w:t>
      </w:r>
    </w:p>
    <w:p w:rsidR="007152AC" w:rsidRPr="00E053E1" w:rsidRDefault="00A57943" w:rsidP="00E053E1">
      <w:pPr>
        <w:widowControl w:val="0"/>
        <w:rPr>
          <w:color w:val="000000"/>
          <w:lang w:val="es-ES_tradnl"/>
        </w:rPr>
      </w:pPr>
      <w:r w:rsidRPr="00E053E1">
        <w:rPr>
          <w:color w:val="000000"/>
          <w:lang w:val="es-ES_tradnl"/>
        </w:rPr>
        <w:fldChar w:fldCharType="begin"/>
      </w:r>
      <w:r w:rsidRPr="00E053E1">
        <w:rPr>
          <w:color w:val="000000"/>
          <w:lang w:val="es-ES_tradnl"/>
        </w:rPr>
        <w:instrText xml:space="preserve"> AUTONUM  </w:instrText>
      </w:r>
      <w:r w:rsidRPr="00E053E1">
        <w:rPr>
          <w:color w:val="000000"/>
          <w:lang w:val="es-ES_tradnl"/>
        </w:rPr>
        <w:fldChar w:fldCharType="end"/>
      </w:r>
      <w:r w:rsidRPr="00E053E1">
        <w:rPr>
          <w:color w:val="000000"/>
          <w:lang w:val="es-ES_tradnl"/>
        </w:rPr>
        <w:tab/>
      </w:r>
      <w:r w:rsidR="007152AC" w:rsidRPr="00E053E1">
        <w:rPr>
          <w:color w:val="000000"/>
          <w:lang w:val="es-ES_tradnl"/>
        </w:rPr>
        <w:t>En el presente documento se resumen algunas de las cuestiones planteadas en las sesiones de los Grupos de Trabajo Técnico (TWP) celebradas en 2013 y que no fueron incluidas explícitamente en ningún punto del orden del día.  Estas cuestiones se presentan en dos secciones.  En la primera sección, “Cuestiones para información y para una eventual decisión del Comité Técnico”, se exponen cuestiones planteadas por los TWP sobre las que debe tomar una decisión el Comité Técnico (TC)</w:t>
      </w:r>
      <w:r w:rsidR="00C534CE">
        <w:rPr>
          <w:color w:val="000000"/>
          <w:lang w:val="es-ES_tradnl"/>
        </w:rPr>
        <w:t>.  La Oficina de la </w:t>
      </w:r>
      <w:r w:rsidR="007153EE" w:rsidRPr="00E053E1">
        <w:rPr>
          <w:color w:val="000000"/>
          <w:lang w:val="es-ES_tradnl"/>
        </w:rPr>
        <w:t xml:space="preserve">Unión </w:t>
      </w:r>
      <w:r w:rsidR="007152AC" w:rsidRPr="00E053E1">
        <w:rPr>
          <w:color w:val="000000"/>
          <w:lang w:val="es-ES_tradnl"/>
        </w:rPr>
        <w:t xml:space="preserve">ha destacado los aspectos sobre los que el </w:t>
      </w:r>
      <w:r w:rsidR="004D41D6" w:rsidRPr="00E053E1">
        <w:rPr>
          <w:color w:val="000000"/>
          <w:lang w:val="es-ES_tradnl"/>
        </w:rPr>
        <w:t>TC</w:t>
      </w:r>
      <w:r w:rsidR="007152AC" w:rsidRPr="00E053E1">
        <w:rPr>
          <w:color w:val="000000"/>
          <w:lang w:val="es-ES_tradnl"/>
        </w:rPr>
        <w:t xml:space="preserve"> podría tomar una decisión mediante la inclusión de una propuesta de decisión en un párrafo en letra cursiva.  </w:t>
      </w:r>
      <w:r w:rsidR="00796311" w:rsidRPr="00E053E1">
        <w:rPr>
          <w:color w:val="000000"/>
          <w:lang w:val="es-ES_tradnl"/>
        </w:rPr>
        <w:t>En la segunda sección, “Cuestiones para información”, se exponen cuestiones para información del TC sobre las que no es necesario tomar decisiones en la etapa actual.</w:t>
      </w:r>
    </w:p>
    <w:p w:rsidR="00A57943" w:rsidRPr="00E053E1" w:rsidRDefault="00A57943" w:rsidP="00E053E1">
      <w:pPr>
        <w:widowControl w:val="0"/>
        <w:tabs>
          <w:tab w:val="left" w:pos="567"/>
          <w:tab w:val="left" w:pos="1701"/>
        </w:tabs>
        <w:ind w:left="1695" w:hanging="1695"/>
        <w:rPr>
          <w:rFonts w:eastAsia="PMingLiU"/>
          <w:szCs w:val="24"/>
          <w:lang w:val="es-ES_tradnl"/>
        </w:rPr>
      </w:pPr>
    </w:p>
    <w:p w:rsidR="00A57943" w:rsidRPr="00E053E1" w:rsidRDefault="00A57943" w:rsidP="00E053E1">
      <w:pPr>
        <w:widowControl w:val="0"/>
        <w:rPr>
          <w:lang w:val="es-ES_tradnl"/>
        </w:rPr>
      </w:pPr>
      <w:r w:rsidRPr="00E053E1">
        <w:rPr>
          <w:color w:val="000000"/>
          <w:lang w:val="es-ES_tradnl"/>
        </w:rPr>
        <w:fldChar w:fldCharType="begin"/>
      </w:r>
      <w:r w:rsidRPr="00E053E1">
        <w:rPr>
          <w:color w:val="000000"/>
          <w:lang w:val="es-ES_tradnl"/>
        </w:rPr>
        <w:instrText xml:space="preserve"> AUTONUM  </w:instrText>
      </w:r>
      <w:r w:rsidRPr="00E053E1">
        <w:rPr>
          <w:color w:val="000000"/>
          <w:lang w:val="es-ES_tradnl"/>
        </w:rPr>
        <w:fldChar w:fldCharType="end"/>
      </w:r>
      <w:r w:rsidRPr="00E053E1">
        <w:rPr>
          <w:color w:val="000000"/>
          <w:lang w:val="es-ES_tradnl"/>
        </w:rPr>
        <w:tab/>
      </w:r>
      <w:r w:rsidR="00796311" w:rsidRPr="00E053E1">
        <w:rPr>
          <w:lang w:val="es-ES_tradnl"/>
        </w:rPr>
        <w:t>La estructura del presente documento es la siguiente</w:t>
      </w:r>
      <w:r w:rsidRPr="00E053E1">
        <w:rPr>
          <w:lang w:val="es-ES_tradnl"/>
        </w:rPr>
        <w:t>:</w:t>
      </w:r>
    </w:p>
    <w:p w:rsidR="00A57943" w:rsidRPr="00E053E1" w:rsidRDefault="00A57943" w:rsidP="00E053E1">
      <w:pPr>
        <w:widowControl w:val="0"/>
        <w:rPr>
          <w:lang w:val="es-ES_tradnl"/>
        </w:rPr>
      </w:pPr>
    </w:p>
    <w:sdt>
      <w:sdtPr>
        <w:rPr>
          <w:caps w:val="0"/>
          <w:lang w:val="es-ES"/>
        </w:rPr>
        <w:id w:val="-1115665325"/>
        <w:docPartObj>
          <w:docPartGallery w:val="Table of Contents"/>
          <w:docPartUnique/>
        </w:docPartObj>
      </w:sdtPr>
      <w:sdtEndPr>
        <w:rPr>
          <w:b/>
          <w:bCs/>
          <w:noProof/>
        </w:rPr>
      </w:sdtEndPr>
      <w:sdtContent>
        <w:p w:rsidR="00C534CE" w:rsidRDefault="00E053E1" w:rsidP="00C534CE">
          <w:pPr>
            <w:pStyle w:val="TOC1"/>
            <w:rPr>
              <w:rFonts w:asciiTheme="minorHAnsi" w:eastAsiaTheme="minorEastAsia" w:hAnsiTheme="minorHAnsi" w:cstheme="minorBidi"/>
              <w:noProof/>
              <w:sz w:val="22"/>
              <w:szCs w:val="22"/>
            </w:rPr>
          </w:pPr>
          <w:r>
            <w:rPr>
              <w:rStyle w:val="Hyperlink"/>
              <w:lang w:val="es-ES_tradnl"/>
            </w:rPr>
            <w:fldChar w:fldCharType="begin"/>
          </w:r>
          <w:r w:rsidRPr="00E053E1">
            <w:rPr>
              <w:rStyle w:val="Hyperlink"/>
              <w:noProof/>
              <w:lang w:val="es-ES_tradnl"/>
            </w:rPr>
            <w:instrText xml:space="preserve"> TOC \o "1-3" \h \z \u </w:instrText>
          </w:r>
          <w:r>
            <w:rPr>
              <w:rStyle w:val="Hyperlink"/>
              <w:lang w:val="es-ES_tradnl"/>
            </w:rPr>
            <w:fldChar w:fldCharType="separate"/>
          </w:r>
          <w:hyperlink w:anchor="_Toc379380915" w:history="1">
            <w:r w:rsidR="00C534CE" w:rsidRPr="00534677">
              <w:rPr>
                <w:rStyle w:val="Hyperlink"/>
                <w:noProof/>
                <w:lang w:val="es-ES_tradnl"/>
              </w:rPr>
              <w:t>cuestiones para información y para una eventual decisión del comité técnico</w:t>
            </w:r>
            <w:r w:rsidR="00C534CE">
              <w:rPr>
                <w:noProof/>
                <w:webHidden/>
              </w:rPr>
              <w:tab/>
            </w:r>
            <w:r w:rsidR="00C534CE">
              <w:rPr>
                <w:noProof/>
                <w:webHidden/>
              </w:rPr>
              <w:fldChar w:fldCharType="begin"/>
            </w:r>
            <w:r w:rsidR="00C534CE">
              <w:rPr>
                <w:noProof/>
                <w:webHidden/>
              </w:rPr>
              <w:instrText xml:space="preserve"> PAGEREF _Toc379380915 \h </w:instrText>
            </w:r>
            <w:r w:rsidR="00C534CE">
              <w:rPr>
                <w:noProof/>
                <w:webHidden/>
              </w:rPr>
            </w:r>
            <w:r w:rsidR="00C534CE">
              <w:rPr>
                <w:noProof/>
                <w:webHidden/>
              </w:rPr>
              <w:fldChar w:fldCharType="separate"/>
            </w:r>
            <w:r w:rsidR="00F717E9">
              <w:rPr>
                <w:noProof/>
                <w:webHidden/>
              </w:rPr>
              <w:t>2</w:t>
            </w:r>
            <w:r w:rsidR="00C534CE">
              <w:rPr>
                <w:noProof/>
                <w:webHidden/>
              </w:rPr>
              <w:fldChar w:fldCharType="end"/>
            </w:r>
          </w:hyperlink>
        </w:p>
        <w:p w:rsidR="00C534CE" w:rsidRDefault="00F717E9">
          <w:pPr>
            <w:pStyle w:val="TOC2"/>
            <w:rPr>
              <w:rFonts w:asciiTheme="minorHAnsi" w:eastAsiaTheme="minorEastAsia" w:hAnsiTheme="minorHAnsi" w:cstheme="minorBidi"/>
              <w:smallCaps w:val="0"/>
              <w:sz w:val="22"/>
              <w:szCs w:val="22"/>
              <w:lang w:val="en-US"/>
            </w:rPr>
          </w:pPr>
          <w:hyperlink w:anchor="_Toc379380916" w:history="1">
            <w:r w:rsidR="00C534CE" w:rsidRPr="00534677">
              <w:rPr>
                <w:rStyle w:val="Hyperlink"/>
              </w:rPr>
              <w:t>Orientación para los redactores de directrices de examen</w:t>
            </w:r>
            <w:r w:rsidR="00C534CE">
              <w:rPr>
                <w:webHidden/>
              </w:rPr>
              <w:tab/>
            </w:r>
            <w:r w:rsidR="00C534CE">
              <w:rPr>
                <w:webHidden/>
              </w:rPr>
              <w:fldChar w:fldCharType="begin"/>
            </w:r>
            <w:r w:rsidR="00C534CE">
              <w:rPr>
                <w:webHidden/>
              </w:rPr>
              <w:instrText xml:space="preserve"> PAGEREF _Toc379380916 \h </w:instrText>
            </w:r>
            <w:r w:rsidR="00C534CE">
              <w:rPr>
                <w:webHidden/>
              </w:rPr>
            </w:r>
            <w:r w:rsidR="00C534CE">
              <w:rPr>
                <w:webHidden/>
              </w:rPr>
              <w:fldChar w:fldCharType="separate"/>
            </w:r>
            <w:r>
              <w:rPr>
                <w:webHidden/>
              </w:rPr>
              <w:t>2</w:t>
            </w:r>
            <w:r w:rsidR="00C534CE">
              <w:rPr>
                <w:webHidden/>
              </w:rPr>
              <w:fldChar w:fldCharType="end"/>
            </w:r>
          </w:hyperlink>
        </w:p>
        <w:p w:rsidR="00C534CE" w:rsidRDefault="00F717E9">
          <w:pPr>
            <w:pStyle w:val="TOC2"/>
            <w:rPr>
              <w:rFonts w:asciiTheme="minorHAnsi" w:eastAsiaTheme="minorEastAsia" w:hAnsiTheme="minorHAnsi" w:cstheme="minorBidi"/>
              <w:smallCaps w:val="0"/>
              <w:sz w:val="22"/>
              <w:szCs w:val="22"/>
              <w:lang w:val="en-US"/>
            </w:rPr>
          </w:pPr>
          <w:hyperlink w:anchor="_Toc379380917" w:history="1">
            <w:r w:rsidR="00C534CE" w:rsidRPr="00534677">
              <w:rPr>
                <w:rStyle w:val="Hyperlink"/>
              </w:rPr>
              <w:t>Registro de datos</w:t>
            </w:r>
            <w:r w:rsidR="00C534CE">
              <w:rPr>
                <w:webHidden/>
              </w:rPr>
              <w:tab/>
            </w:r>
            <w:r w:rsidR="00C534CE">
              <w:rPr>
                <w:webHidden/>
              </w:rPr>
              <w:fldChar w:fldCharType="begin"/>
            </w:r>
            <w:r w:rsidR="00C534CE">
              <w:rPr>
                <w:webHidden/>
              </w:rPr>
              <w:instrText xml:space="preserve"> PAGEREF _Toc379380917 \h </w:instrText>
            </w:r>
            <w:r w:rsidR="00C534CE">
              <w:rPr>
                <w:webHidden/>
              </w:rPr>
            </w:r>
            <w:r w:rsidR="00C534CE">
              <w:rPr>
                <w:webHidden/>
              </w:rPr>
              <w:fldChar w:fldCharType="separate"/>
            </w:r>
            <w:r>
              <w:rPr>
                <w:webHidden/>
              </w:rPr>
              <w:t>3</w:t>
            </w:r>
            <w:r w:rsidR="00C534CE">
              <w:rPr>
                <w:webHidden/>
              </w:rPr>
              <w:fldChar w:fldCharType="end"/>
            </w:r>
          </w:hyperlink>
        </w:p>
        <w:p w:rsidR="00C534CE" w:rsidRDefault="00F717E9" w:rsidP="00C534CE">
          <w:pPr>
            <w:pStyle w:val="TOC1"/>
            <w:rPr>
              <w:rFonts w:asciiTheme="minorHAnsi" w:eastAsiaTheme="minorEastAsia" w:hAnsiTheme="minorHAnsi" w:cstheme="minorBidi"/>
              <w:noProof/>
              <w:sz w:val="22"/>
              <w:szCs w:val="22"/>
            </w:rPr>
          </w:pPr>
          <w:hyperlink w:anchor="_Toc379380918" w:history="1">
            <w:r w:rsidR="00C534CE" w:rsidRPr="00534677">
              <w:rPr>
                <w:rStyle w:val="Hyperlink"/>
                <w:noProof/>
                <w:lang w:val="es-ES_tradnl"/>
              </w:rPr>
              <w:t>cuestiones para información</w:t>
            </w:r>
            <w:r w:rsidR="00C534CE">
              <w:rPr>
                <w:noProof/>
                <w:webHidden/>
              </w:rPr>
              <w:tab/>
            </w:r>
            <w:r w:rsidR="00C534CE">
              <w:rPr>
                <w:noProof/>
                <w:webHidden/>
              </w:rPr>
              <w:fldChar w:fldCharType="begin"/>
            </w:r>
            <w:r w:rsidR="00C534CE">
              <w:rPr>
                <w:noProof/>
                <w:webHidden/>
              </w:rPr>
              <w:instrText xml:space="preserve"> PAGEREF _Toc379380918 \h </w:instrText>
            </w:r>
            <w:r w:rsidR="00C534CE">
              <w:rPr>
                <w:noProof/>
                <w:webHidden/>
              </w:rPr>
            </w:r>
            <w:r w:rsidR="00C534CE">
              <w:rPr>
                <w:noProof/>
                <w:webHidden/>
              </w:rPr>
              <w:fldChar w:fldCharType="separate"/>
            </w:r>
            <w:r>
              <w:rPr>
                <w:noProof/>
                <w:webHidden/>
              </w:rPr>
              <w:t>3</w:t>
            </w:r>
            <w:r w:rsidR="00C534CE">
              <w:rPr>
                <w:noProof/>
                <w:webHidden/>
              </w:rPr>
              <w:fldChar w:fldCharType="end"/>
            </w:r>
          </w:hyperlink>
        </w:p>
        <w:p w:rsidR="00C534CE" w:rsidRDefault="00F717E9">
          <w:pPr>
            <w:pStyle w:val="TOC2"/>
            <w:rPr>
              <w:rFonts w:asciiTheme="minorHAnsi" w:eastAsiaTheme="minorEastAsia" w:hAnsiTheme="minorHAnsi" w:cstheme="minorBidi"/>
              <w:smallCaps w:val="0"/>
              <w:sz w:val="22"/>
              <w:szCs w:val="22"/>
              <w:lang w:val="en-US"/>
            </w:rPr>
          </w:pPr>
          <w:hyperlink w:anchor="_Toc379380919" w:history="1">
            <w:r w:rsidR="00C534CE" w:rsidRPr="00534677">
              <w:rPr>
                <w:rStyle w:val="Hyperlink"/>
              </w:rPr>
              <w:t>Temas de debate</w:t>
            </w:r>
            <w:r w:rsidR="00C534CE">
              <w:rPr>
                <w:webHidden/>
              </w:rPr>
              <w:tab/>
            </w:r>
            <w:r w:rsidR="00C534CE">
              <w:rPr>
                <w:webHidden/>
              </w:rPr>
              <w:fldChar w:fldCharType="begin"/>
            </w:r>
            <w:r w:rsidR="00C534CE">
              <w:rPr>
                <w:webHidden/>
              </w:rPr>
              <w:instrText xml:space="preserve"> PAGEREF _Toc379380919 \h </w:instrText>
            </w:r>
            <w:r w:rsidR="00C534CE">
              <w:rPr>
                <w:webHidden/>
              </w:rPr>
            </w:r>
            <w:r w:rsidR="00C534CE">
              <w:rPr>
                <w:webHidden/>
              </w:rPr>
              <w:fldChar w:fldCharType="separate"/>
            </w:r>
            <w:r>
              <w:rPr>
                <w:webHidden/>
              </w:rPr>
              <w:t>3</w:t>
            </w:r>
            <w:r w:rsidR="00C534CE">
              <w:rPr>
                <w:webHidden/>
              </w:rPr>
              <w:fldChar w:fldCharType="end"/>
            </w:r>
          </w:hyperlink>
        </w:p>
        <w:p w:rsidR="00C534CE" w:rsidRDefault="00F717E9">
          <w:pPr>
            <w:pStyle w:val="TOC2"/>
            <w:rPr>
              <w:rFonts w:asciiTheme="minorHAnsi" w:eastAsiaTheme="minorEastAsia" w:hAnsiTheme="minorHAnsi" w:cstheme="minorBidi"/>
              <w:smallCaps w:val="0"/>
              <w:sz w:val="22"/>
              <w:szCs w:val="22"/>
              <w:lang w:val="en-US"/>
            </w:rPr>
          </w:pPr>
          <w:hyperlink w:anchor="_Toc379380920" w:history="1">
            <w:r w:rsidR="00C534CE" w:rsidRPr="00534677">
              <w:rPr>
                <w:rStyle w:val="Hyperlink"/>
              </w:rPr>
              <w:t>Experiencias con nuevos tipos y especies</w:t>
            </w:r>
            <w:r w:rsidR="00C534CE">
              <w:rPr>
                <w:webHidden/>
              </w:rPr>
              <w:tab/>
            </w:r>
            <w:r w:rsidR="00C534CE">
              <w:rPr>
                <w:webHidden/>
              </w:rPr>
              <w:fldChar w:fldCharType="begin"/>
            </w:r>
            <w:r w:rsidR="00C534CE">
              <w:rPr>
                <w:webHidden/>
              </w:rPr>
              <w:instrText xml:space="preserve"> PAGEREF _Toc379380920 \h </w:instrText>
            </w:r>
            <w:r w:rsidR="00C534CE">
              <w:rPr>
                <w:webHidden/>
              </w:rPr>
            </w:r>
            <w:r w:rsidR="00C534CE">
              <w:rPr>
                <w:webHidden/>
              </w:rPr>
              <w:fldChar w:fldCharType="separate"/>
            </w:r>
            <w:r>
              <w:rPr>
                <w:webHidden/>
              </w:rPr>
              <w:t>4</w:t>
            </w:r>
            <w:r w:rsidR="00C534CE">
              <w:rPr>
                <w:webHidden/>
              </w:rPr>
              <w:fldChar w:fldCharType="end"/>
            </w:r>
          </w:hyperlink>
        </w:p>
        <w:p w:rsidR="00E053E1" w:rsidRDefault="00E053E1">
          <w:r>
            <w:rPr>
              <w:b/>
              <w:bCs/>
              <w:noProof/>
            </w:rPr>
            <w:fldChar w:fldCharType="end"/>
          </w:r>
        </w:p>
      </w:sdtContent>
    </w:sdt>
    <w:p w:rsidR="00C534CE" w:rsidRDefault="00C534CE" w:rsidP="00E053E1">
      <w:pPr>
        <w:widowControl w:val="0"/>
        <w:rPr>
          <w:color w:val="000000"/>
          <w:lang w:val="es-ES_tradnl"/>
        </w:rPr>
      </w:pPr>
    </w:p>
    <w:p w:rsidR="00A57943" w:rsidRPr="00E053E1" w:rsidRDefault="00A57943" w:rsidP="00E053E1">
      <w:pPr>
        <w:widowControl w:val="0"/>
        <w:rPr>
          <w:color w:val="000000"/>
          <w:lang w:val="es-ES_tradnl"/>
        </w:rPr>
      </w:pPr>
      <w:r w:rsidRPr="00E053E1">
        <w:rPr>
          <w:color w:val="000000"/>
          <w:lang w:val="es-ES_tradnl"/>
        </w:rPr>
        <w:fldChar w:fldCharType="begin"/>
      </w:r>
      <w:r w:rsidRPr="00E053E1">
        <w:rPr>
          <w:color w:val="000000"/>
          <w:lang w:val="es-ES_tradnl"/>
        </w:rPr>
        <w:instrText xml:space="preserve"> AUTONUM  </w:instrText>
      </w:r>
      <w:r w:rsidRPr="00E053E1">
        <w:rPr>
          <w:color w:val="000000"/>
          <w:lang w:val="es-ES_tradnl"/>
        </w:rPr>
        <w:fldChar w:fldCharType="end"/>
      </w:r>
      <w:r w:rsidRPr="00E053E1">
        <w:rPr>
          <w:color w:val="000000"/>
          <w:lang w:val="es-ES_tradnl"/>
        </w:rPr>
        <w:tab/>
      </w:r>
      <w:r w:rsidR="00796311" w:rsidRPr="00E053E1">
        <w:rPr>
          <w:color w:val="000000"/>
          <w:lang w:val="es-ES_tradnl"/>
        </w:rPr>
        <w:t>En el presente documento se utilizan las abreviaturas siguientes</w:t>
      </w:r>
      <w:r w:rsidRPr="00E053E1">
        <w:rPr>
          <w:color w:val="000000"/>
          <w:lang w:val="es-ES_tradnl"/>
        </w:rPr>
        <w:t>:</w:t>
      </w:r>
    </w:p>
    <w:p w:rsidR="00A57943" w:rsidRPr="00E053E1" w:rsidRDefault="00A57943" w:rsidP="00E053E1">
      <w:pPr>
        <w:widowControl w:val="0"/>
        <w:ind w:left="1692" w:hanging="1125"/>
        <w:jc w:val="left"/>
        <w:rPr>
          <w:color w:val="000000"/>
          <w:lang w:val="es-ES_tradnl"/>
        </w:rPr>
      </w:pPr>
    </w:p>
    <w:p w:rsidR="00A57943" w:rsidRPr="00E053E1" w:rsidRDefault="00A57943" w:rsidP="00E053E1">
      <w:pPr>
        <w:widowControl w:val="0"/>
        <w:tabs>
          <w:tab w:val="left" w:pos="567"/>
          <w:tab w:val="left" w:pos="1701"/>
        </w:tabs>
        <w:rPr>
          <w:lang w:val="es-ES_tradnl"/>
        </w:rPr>
      </w:pPr>
      <w:r w:rsidRPr="00E053E1">
        <w:rPr>
          <w:lang w:val="es-ES_tradnl"/>
        </w:rPr>
        <w:tab/>
        <w:t>CAJ:</w:t>
      </w:r>
      <w:r w:rsidRPr="00E053E1">
        <w:rPr>
          <w:lang w:val="es-ES_tradnl"/>
        </w:rPr>
        <w:tab/>
      </w:r>
      <w:r w:rsidR="00796311" w:rsidRPr="00E053E1">
        <w:rPr>
          <w:lang w:val="es-ES_tradnl"/>
        </w:rPr>
        <w:t>Comité Administrativo y Jurídico</w:t>
      </w:r>
      <w:r w:rsidRPr="00E053E1">
        <w:rPr>
          <w:lang w:val="es-ES_tradnl"/>
        </w:rPr>
        <w:t xml:space="preserve"> </w:t>
      </w:r>
    </w:p>
    <w:p w:rsidR="00A57943" w:rsidRPr="00E053E1" w:rsidRDefault="00A57943" w:rsidP="00E053E1">
      <w:pPr>
        <w:widowControl w:val="0"/>
        <w:tabs>
          <w:tab w:val="left" w:pos="567"/>
          <w:tab w:val="left" w:pos="1701"/>
        </w:tabs>
        <w:rPr>
          <w:lang w:val="es-ES_tradnl"/>
        </w:rPr>
      </w:pPr>
      <w:r w:rsidRPr="00E053E1">
        <w:rPr>
          <w:lang w:val="es-ES_tradnl"/>
        </w:rPr>
        <w:tab/>
        <w:t>TC:</w:t>
      </w:r>
      <w:r w:rsidRPr="00E053E1">
        <w:rPr>
          <w:lang w:val="es-ES_tradnl"/>
        </w:rPr>
        <w:tab/>
      </w:r>
      <w:r w:rsidR="00796311" w:rsidRPr="00E053E1">
        <w:rPr>
          <w:lang w:val="es-ES_tradnl"/>
        </w:rPr>
        <w:t>Comité Técnico</w:t>
      </w:r>
    </w:p>
    <w:p w:rsidR="00A57943" w:rsidRPr="00E053E1" w:rsidRDefault="00A57943" w:rsidP="00E053E1">
      <w:pPr>
        <w:widowControl w:val="0"/>
        <w:tabs>
          <w:tab w:val="left" w:pos="567"/>
          <w:tab w:val="left" w:pos="1701"/>
        </w:tabs>
        <w:rPr>
          <w:rFonts w:eastAsia="PMingLiU"/>
          <w:szCs w:val="24"/>
          <w:lang w:val="es-ES_tradnl"/>
        </w:rPr>
      </w:pPr>
      <w:r w:rsidRPr="00E053E1">
        <w:rPr>
          <w:rFonts w:eastAsia="PMingLiU"/>
          <w:szCs w:val="24"/>
          <w:lang w:val="es-ES_tradnl"/>
        </w:rPr>
        <w:tab/>
        <w:t>TC-EDC:</w:t>
      </w:r>
      <w:r w:rsidRPr="00E053E1">
        <w:rPr>
          <w:rFonts w:eastAsia="PMingLiU"/>
          <w:szCs w:val="24"/>
          <w:lang w:val="es-ES_tradnl"/>
        </w:rPr>
        <w:tab/>
      </w:r>
      <w:r w:rsidR="00796311" w:rsidRPr="00E053E1">
        <w:rPr>
          <w:rFonts w:eastAsia="PMingLiU"/>
          <w:szCs w:val="24"/>
          <w:lang w:val="es-ES_tradnl"/>
        </w:rPr>
        <w:t xml:space="preserve">Comité de Redacción Ampliado </w:t>
      </w:r>
    </w:p>
    <w:p w:rsidR="00A57943" w:rsidRPr="00E053E1" w:rsidRDefault="00A57943" w:rsidP="00E053E1">
      <w:pPr>
        <w:widowControl w:val="0"/>
        <w:tabs>
          <w:tab w:val="left" w:pos="567"/>
          <w:tab w:val="left" w:pos="1701"/>
        </w:tabs>
        <w:rPr>
          <w:rFonts w:eastAsia="PMingLiU"/>
          <w:szCs w:val="24"/>
          <w:lang w:val="es-ES_tradnl"/>
        </w:rPr>
      </w:pPr>
      <w:r w:rsidRPr="00E053E1">
        <w:rPr>
          <w:rFonts w:eastAsia="PMingLiU"/>
          <w:szCs w:val="24"/>
          <w:lang w:val="es-ES_tradnl"/>
        </w:rPr>
        <w:tab/>
        <w:t>TWA:</w:t>
      </w:r>
      <w:r w:rsidRPr="00E053E1">
        <w:rPr>
          <w:rFonts w:eastAsia="PMingLiU"/>
          <w:szCs w:val="24"/>
          <w:lang w:val="es-ES_tradnl"/>
        </w:rPr>
        <w:tab/>
      </w:r>
      <w:r w:rsidR="00796311" w:rsidRPr="00E053E1">
        <w:rPr>
          <w:rFonts w:eastAsia="PMingLiU"/>
          <w:szCs w:val="24"/>
          <w:lang w:val="es-ES_tradnl"/>
        </w:rPr>
        <w:t>Grupo de Trabajo Técnico sobre Plantas Agrícolas</w:t>
      </w:r>
    </w:p>
    <w:p w:rsidR="00A57943" w:rsidRPr="00E053E1" w:rsidRDefault="00A57943" w:rsidP="00E053E1">
      <w:pPr>
        <w:widowControl w:val="0"/>
        <w:tabs>
          <w:tab w:val="left" w:pos="567"/>
          <w:tab w:val="left" w:pos="1701"/>
        </w:tabs>
        <w:rPr>
          <w:rFonts w:eastAsia="PMingLiU"/>
          <w:szCs w:val="24"/>
          <w:lang w:val="es-ES_tradnl"/>
        </w:rPr>
      </w:pPr>
      <w:r w:rsidRPr="00E053E1">
        <w:rPr>
          <w:rFonts w:eastAsia="PMingLiU"/>
          <w:szCs w:val="24"/>
          <w:lang w:val="es-ES_tradnl"/>
        </w:rPr>
        <w:tab/>
        <w:t>TWC:</w:t>
      </w:r>
      <w:r w:rsidRPr="00E053E1">
        <w:rPr>
          <w:rFonts w:eastAsia="PMingLiU"/>
          <w:szCs w:val="24"/>
          <w:lang w:val="es-ES_tradnl"/>
        </w:rPr>
        <w:tab/>
      </w:r>
      <w:r w:rsidR="00796311" w:rsidRPr="00E053E1">
        <w:rPr>
          <w:rFonts w:eastAsia="PMingLiU"/>
          <w:szCs w:val="24"/>
          <w:lang w:val="es-ES_tradnl"/>
        </w:rPr>
        <w:t>Grupo de Trabajo Técnico sobre Automatización y Programas Informáticos</w:t>
      </w:r>
    </w:p>
    <w:p w:rsidR="00A57943" w:rsidRPr="00E053E1" w:rsidRDefault="00A57943" w:rsidP="00E053E1">
      <w:pPr>
        <w:widowControl w:val="0"/>
        <w:tabs>
          <w:tab w:val="left" w:pos="567"/>
          <w:tab w:val="left" w:pos="1701"/>
        </w:tabs>
        <w:rPr>
          <w:rFonts w:eastAsia="PMingLiU"/>
          <w:szCs w:val="24"/>
          <w:lang w:val="es-ES_tradnl"/>
        </w:rPr>
      </w:pPr>
      <w:r w:rsidRPr="00E053E1">
        <w:rPr>
          <w:rFonts w:eastAsia="PMingLiU"/>
          <w:szCs w:val="24"/>
          <w:lang w:val="es-ES_tradnl"/>
        </w:rPr>
        <w:tab/>
        <w:t xml:space="preserve">TWF: </w:t>
      </w:r>
      <w:r w:rsidRPr="00E053E1">
        <w:rPr>
          <w:rFonts w:eastAsia="PMingLiU"/>
          <w:szCs w:val="24"/>
          <w:lang w:val="es-ES_tradnl"/>
        </w:rPr>
        <w:tab/>
      </w:r>
      <w:r w:rsidR="00796311" w:rsidRPr="00E053E1">
        <w:rPr>
          <w:rFonts w:eastAsia="PMingLiU"/>
          <w:szCs w:val="24"/>
          <w:lang w:val="es-ES_tradnl"/>
        </w:rPr>
        <w:t>Grupo de Trabajo Técnico sobre Plantas Frutales</w:t>
      </w:r>
    </w:p>
    <w:p w:rsidR="00A57943" w:rsidRPr="00E053E1" w:rsidRDefault="00A57943" w:rsidP="00E053E1">
      <w:pPr>
        <w:widowControl w:val="0"/>
        <w:tabs>
          <w:tab w:val="left" w:pos="567"/>
          <w:tab w:val="left" w:pos="1701"/>
        </w:tabs>
        <w:rPr>
          <w:rFonts w:eastAsia="PMingLiU"/>
          <w:szCs w:val="24"/>
          <w:lang w:val="es-ES_tradnl"/>
        </w:rPr>
      </w:pPr>
      <w:r w:rsidRPr="00E053E1">
        <w:rPr>
          <w:rFonts w:eastAsia="PMingLiU"/>
          <w:szCs w:val="24"/>
          <w:lang w:val="es-ES_tradnl"/>
        </w:rPr>
        <w:tab/>
        <w:t>TWO:</w:t>
      </w:r>
      <w:r w:rsidRPr="00E053E1">
        <w:rPr>
          <w:rFonts w:eastAsia="PMingLiU"/>
          <w:szCs w:val="24"/>
          <w:lang w:val="es-ES_tradnl"/>
        </w:rPr>
        <w:tab/>
      </w:r>
      <w:r w:rsidR="00796311" w:rsidRPr="00E053E1">
        <w:rPr>
          <w:rFonts w:eastAsia="PMingLiU"/>
          <w:szCs w:val="24"/>
          <w:lang w:val="es-ES_tradnl"/>
        </w:rPr>
        <w:t>Grupo de Trabajo Técnico sobre Plantas Ornamentales y Cultivos Forestales</w:t>
      </w:r>
    </w:p>
    <w:p w:rsidR="00A57943" w:rsidRPr="00E053E1" w:rsidRDefault="00BF5DAF" w:rsidP="00E053E1">
      <w:pPr>
        <w:widowControl w:val="0"/>
        <w:tabs>
          <w:tab w:val="left" w:pos="567"/>
          <w:tab w:val="left" w:pos="1701"/>
        </w:tabs>
        <w:rPr>
          <w:rFonts w:eastAsia="PMingLiU"/>
          <w:szCs w:val="24"/>
          <w:lang w:val="es-ES_tradnl"/>
        </w:rPr>
      </w:pPr>
      <w:r w:rsidRPr="00E053E1">
        <w:rPr>
          <w:rFonts w:eastAsia="PMingLiU"/>
          <w:szCs w:val="24"/>
          <w:lang w:val="es-ES_tradnl"/>
        </w:rPr>
        <w:tab/>
        <w:t>TWP</w:t>
      </w:r>
      <w:r w:rsidR="00A57943" w:rsidRPr="00E053E1">
        <w:rPr>
          <w:rFonts w:eastAsia="PMingLiU"/>
          <w:szCs w:val="24"/>
          <w:lang w:val="es-ES_tradnl"/>
        </w:rPr>
        <w:t>:</w:t>
      </w:r>
      <w:r w:rsidR="00A57943" w:rsidRPr="00E053E1">
        <w:rPr>
          <w:rFonts w:eastAsia="PMingLiU"/>
          <w:szCs w:val="24"/>
          <w:lang w:val="es-ES_tradnl"/>
        </w:rPr>
        <w:tab/>
      </w:r>
      <w:r w:rsidR="00796311" w:rsidRPr="00E053E1">
        <w:rPr>
          <w:rFonts w:eastAsia="PMingLiU"/>
          <w:szCs w:val="24"/>
          <w:lang w:val="es-ES_tradnl"/>
        </w:rPr>
        <w:t>Grupos de Trabajo Técnico</w:t>
      </w:r>
    </w:p>
    <w:p w:rsidR="00A57943" w:rsidRPr="00E053E1" w:rsidRDefault="00A57943" w:rsidP="00E053E1">
      <w:pPr>
        <w:widowControl w:val="0"/>
        <w:tabs>
          <w:tab w:val="left" w:pos="567"/>
          <w:tab w:val="left" w:pos="1701"/>
        </w:tabs>
        <w:rPr>
          <w:rFonts w:eastAsia="PMingLiU"/>
          <w:szCs w:val="24"/>
          <w:lang w:val="es-ES_tradnl"/>
        </w:rPr>
      </w:pPr>
      <w:r w:rsidRPr="00E053E1">
        <w:rPr>
          <w:rFonts w:eastAsia="PMingLiU"/>
          <w:szCs w:val="24"/>
          <w:lang w:val="es-ES_tradnl"/>
        </w:rPr>
        <w:tab/>
        <w:t>TWV:</w:t>
      </w:r>
      <w:r w:rsidRPr="00E053E1">
        <w:rPr>
          <w:rFonts w:eastAsia="PMingLiU"/>
          <w:szCs w:val="24"/>
          <w:lang w:val="es-ES_tradnl"/>
        </w:rPr>
        <w:tab/>
      </w:r>
      <w:r w:rsidR="00796311" w:rsidRPr="00E053E1">
        <w:rPr>
          <w:rFonts w:eastAsia="PMingLiU"/>
          <w:szCs w:val="24"/>
          <w:lang w:val="es-ES_tradnl"/>
        </w:rPr>
        <w:t>Grupos de Trabajo Técnico sobre Hortalizas</w:t>
      </w:r>
    </w:p>
    <w:p w:rsidR="00E053E1" w:rsidRDefault="00E053E1">
      <w:pPr>
        <w:jc w:val="left"/>
        <w:rPr>
          <w:rFonts w:eastAsia="PMingLiU"/>
          <w:szCs w:val="24"/>
          <w:lang w:val="es-ES_tradnl"/>
        </w:rPr>
      </w:pPr>
      <w:r>
        <w:rPr>
          <w:rFonts w:eastAsia="PMingLiU"/>
          <w:szCs w:val="24"/>
          <w:lang w:val="es-ES_tradnl"/>
        </w:rPr>
        <w:br w:type="page"/>
      </w:r>
    </w:p>
    <w:p w:rsidR="00A57943" w:rsidRPr="00E053E1" w:rsidRDefault="00796311" w:rsidP="00C534CE">
      <w:pPr>
        <w:pStyle w:val="Heading1"/>
        <w:widowControl w:val="0"/>
        <w:rPr>
          <w:rFonts w:eastAsia="PMingLiU"/>
          <w:szCs w:val="24"/>
          <w:lang w:val="es-ES_tradnl"/>
        </w:rPr>
      </w:pPr>
      <w:bookmarkStart w:id="6" w:name="_Toc379380915"/>
      <w:r w:rsidRPr="00E053E1">
        <w:rPr>
          <w:lang w:val="es-ES_tradnl"/>
        </w:rPr>
        <w:lastRenderedPageBreak/>
        <w:t>cuestiones para información y para una eventual decisión del comité técnico</w:t>
      </w:r>
      <w:bookmarkEnd w:id="6"/>
    </w:p>
    <w:p w:rsidR="00E053E1" w:rsidRPr="00E053E1" w:rsidRDefault="00E053E1" w:rsidP="00C534CE">
      <w:pPr>
        <w:keepNext/>
        <w:widowControl w:val="0"/>
        <w:tabs>
          <w:tab w:val="left" w:pos="567"/>
          <w:tab w:val="left" w:pos="1701"/>
        </w:tabs>
        <w:rPr>
          <w:rFonts w:eastAsia="PMingLiU"/>
          <w:szCs w:val="24"/>
          <w:lang w:val="es-ES_tradnl"/>
        </w:rPr>
      </w:pPr>
    </w:p>
    <w:p w:rsidR="00A57943" w:rsidRPr="00E053E1" w:rsidRDefault="00796311" w:rsidP="00C534CE">
      <w:pPr>
        <w:pStyle w:val="Heading2"/>
        <w:widowControl w:val="0"/>
        <w:rPr>
          <w:lang w:val="es-ES_tradnl"/>
        </w:rPr>
      </w:pPr>
      <w:bookmarkStart w:id="7" w:name="_Toc379380916"/>
      <w:r w:rsidRPr="00E053E1">
        <w:rPr>
          <w:lang w:val="es-ES_tradnl"/>
        </w:rPr>
        <w:t>Orientación para los redactores de directrices de examen</w:t>
      </w:r>
      <w:bookmarkEnd w:id="7"/>
    </w:p>
    <w:p w:rsidR="00A57943" w:rsidRPr="00E053E1" w:rsidRDefault="00A57943" w:rsidP="00C534CE">
      <w:pPr>
        <w:keepNext/>
        <w:widowControl w:val="0"/>
        <w:rPr>
          <w:lang w:val="es-ES_tradnl"/>
        </w:rPr>
      </w:pPr>
    </w:p>
    <w:p w:rsidR="00D820D2" w:rsidRPr="00E053E1" w:rsidRDefault="00A57943" w:rsidP="00E053E1">
      <w:pPr>
        <w:widowControl w:val="0"/>
        <w:rPr>
          <w:lang w:val="es-ES_tradnl"/>
        </w:rPr>
      </w:pPr>
      <w:r w:rsidRPr="00E053E1">
        <w:rPr>
          <w:lang w:val="es-ES_tradnl"/>
        </w:rPr>
        <w:fldChar w:fldCharType="begin"/>
      </w:r>
      <w:r w:rsidRPr="00E053E1">
        <w:rPr>
          <w:lang w:val="es-ES_tradnl"/>
        </w:rPr>
        <w:instrText xml:space="preserve"> AUTONUM  </w:instrText>
      </w:r>
      <w:r w:rsidRPr="00E053E1">
        <w:rPr>
          <w:lang w:val="es-ES_tradnl"/>
        </w:rPr>
        <w:fldChar w:fldCharType="end"/>
      </w:r>
      <w:r w:rsidRPr="00E053E1">
        <w:rPr>
          <w:lang w:val="es-ES_tradnl"/>
        </w:rPr>
        <w:tab/>
      </w:r>
      <w:r w:rsidR="00D820D2" w:rsidRPr="00E053E1">
        <w:rPr>
          <w:lang w:val="es-ES_tradnl"/>
        </w:rPr>
        <w:t>En sus sesiones de</w:t>
      </w:r>
      <w:r w:rsidRPr="00E053E1">
        <w:rPr>
          <w:lang w:val="es-ES_tradnl"/>
        </w:rPr>
        <w:t xml:space="preserve"> 2013, </w:t>
      </w:r>
      <w:r w:rsidR="00D820D2" w:rsidRPr="00E053E1">
        <w:rPr>
          <w:lang w:val="es-ES_tradnl"/>
        </w:rPr>
        <w:t>los</w:t>
      </w:r>
      <w:r w:rsidRPr="00E053E1">
        <w:rPr>
          <w:lang w:val="es-ES_tradnl"/>
        </w:rPr>
        <w:t xml:space="preserve"> TWP </w:t>
      </w:r>
      <w:r w:rsidR="00D820D2" w:rsidRPr="00E053E1">
        <w:rPr>
          <w:lang w:val="es-ES_tradnl"/>
        </w:rPr>
        <w:t xml:space="preserve">tomaron nota de la información facilitada en </w:t>
      </w:r>
      <w:r w:rsidR="00BF5DAF" w:rsidRPr="00E053E1">
        <w:rPr>
          <w:lang w:val="es-ES_tradnl"/>
        </w:rPr>
        <w:t xml:space="preserve">la página del sitio web de la UPOV </w:t>
      </w:r>
      <w:r w:rsidR="00D820D2" w:rsidRPr="00E053E1">
        <w:rPr>
          <w:lang w:val="es-ES_tradnl"/>
        </w:rPr>
        <w:t>de</w:t>
      </w:r>
      <w:r w:rsidR="00BF5DAF" w:rsidRPr="00E053E1">
        <w:rPr>
          <w:lang w:val="es-ES_tradnl"/>
        </w:rPr>
        <w:t>stinada a</w:t>
      </w:r>
      <w:r w:rsidR="00D820D2" w:rsidRPr="00E053E1">
        <w:rPr>
          <w:lang w:val="es-ES_tradnl"/>
        </w:rPr>
        <w:t xml:space="preserve"> los redactores de</w:t>
      </w:r>
      <w:r w:rsidR="00D927A5" w:rsidRPr="00E053E1">
        <w:rPr>
          <w:lang w:val="es-ES_tradnl"/>
        </w:rPr>
        <w:t xml:space="preserve"> documentos</w:t>
      </w:r>
      <w:r w:rsidR="00D820D2" w:rsidRPr="00E053E1">
        <w:rPr>
          <w:lang w:val="es-ES_tradnl"/>
        </w:rPr>
        <w:t xml:space="preserve"> </w:t>
      </w:r>
      <w:r w:rsidR="00D927A5" w:rsidRPr="00E053E1">
        <w:rPr>
          <w:lang w:val="es-ES_tradnl"/>
        </w:rPr>
        <w:t>TG</w:t>
      </w:r>
      <w:r w:rsidR="00D820D2" w:rsidRPr="00E053E1">
        <w:rPr>
          <w:lang w:val="es-ES_tradnl"/>
        </w:rPr>
        <w:t xml:space="preserve">, incluida la “Guía práctica para redactores (expertos principales) de directrices de examen de la UPOV” y el </w:t>
      </w:r>
      <w:r w:rsidR="00A00D94" w:rsidRPr="00E053E1">
        <w:rPr>
          <w:lang w:val="es-ES_tradnl"/>
        </w:rPr>
        <w:t>documento</w:t>
      </w:r>
      <w:r w:rsidR="00D820D2" w:rsidRPr="00E053E1">
        <w:rPr>
          <w:lang w:val="es-ES_tradnl"/>
        </w:rPr>
        <w:t xml:space="preserve"> </w:t>
      </w:r>
      <w:r w:rsidR="00D820D2" w:rsidRPr="00E053E1">
        <w:rPr>
          <w:snapToGrid w:val="0"/>
          <w:lang w:val="es-ES_tradnl"/>
        </w:rPr>
        <w:t>“</w:t>
      </w:r>
      <w:proofErr w:type="spellStart"/>
      <w:r w:rsidR="00D820D2" w:rsidRPr="00E053E1">
        <w:rPr>
          <w:snapToGrid w:val="0"/>
          <w:lang w:val="es-ES_tradnl"/>
        </w:rPr>
        <w:t>Summary</w:t>
      </w:r>
      <w:proofErr w:type="spellEnd"/>
      <w:r w:rsidR="00D820D2" w:rsidRPr="00E053E1">
        <w:rPr>
          <w:snapToGrid w:val="0"/>
          <w:lang w:val="es-ES_tradnl"/>
        </w:rPr>
        <w:t xml:space="preserve"> </w:t>
      </w:r>
      <w:proofErr w:type="spellStart"/>
      <w:r w:rsidR="00D820D2" w:rsidRPr="00E053E1">
        <w:rPr>
          <w:snapToGrid w:val="0"/>
          <w:lang w:val="es-ES_tradnl"/>
        </w:rPr>
        <w:t>information</w:t>
      </w:r>
      <w:proofErr w:type="spellEnd"/>
      <w:r w:rsidR="00D820D2" w:rsidRPr="00E053E1">
        <w:rPr>
          <w:snapToGrid w:val="0"/>
          <w:lang w:val="es-ES_tradnl"/>
        </w:rPr>
        <w:t xml:space="preserve"> </w:t>
      </w:r>
      <w:proofErr w:type="spellStart"/>
      <w:r w:rsidR="00D820D2" w:rsidRPr="00E053E1">
        <w:rPr>
          <w:snapToGrid w:val="0"/>
          <w:lang w:val="es-ES_tradnl"/>
        </w:rPr>
        <w:t>on</w:t>
      </w:r>
      <w:proofErr w:type="spellEnd"/>
      <w:r w:rsidR="00D820D2" w:rsidRPr="00E053E1">
        <w:rPr>
          <w:snapToGrid w:val="0"/>
          <w:lang w:val="es-ES_tradnl"/>
        </w:rPr>
        <w:t xml:space="preserve"> </w:t>
      </w:r>
      <w:proofErr w:type="spellStart"/>
      <w:r w:rsidR="00D820D2" w:rsidRPr="00E053E1">
        <w:rPr>
          <w:snapToGrid w:val="0"/>
          <w:lang w:val="es-ES_tradnl"/>
        </w:rPr>
        <w:t>quantity</w:t>
      </w:r>
      <w:proofErr w:type="spellEnd"/>
      <w:r w:rsidR="00D820D2" w:rsidRPr="00E053E1">
        <w:rPr>
          <w:snapToGrid w:val="0"/>
          <w:lang w:val="es-ES_tradnl"/>
        </w:rPr>
        <w:t xml:space="preserve"> of </w:t>
      </w:r>
      <w:proofErr w:type="spellStart"/>
      <w:r w:rsidR="00D820D2" w:rsidRPr="00E053E1">
        <w:rPr>
          <w:snapToGrid w:val="0"/>
          <w:lang w:val="es-ES_tradnl"/>
        </w:rPr>
        <w:t>plant</w:t>
      </w:r>
      <w:proofErr w:type="spellEnd"/>
      <w:r w:rsidR="00D820D2" w:rsidRPr="00E053E1">
        <w:rPr>
          <w:snapToGrid w:val="0"/>
          <w:lang w:val="es-ES_tradnl"/>
        </w:rPr>
        <w:t xml:space="preserve"> material </w:t>
      </w:r>
      <w:proofErr w:type="spellStart"/>
      <w:r w:rsidR="00D820D2" w:rsidRPr="00E053E1">
        <w:rPr>
          <w:snapToGrid w:val="0"/>
          <w:lang w:val="es-ES_tradnl"/>
        </w:rPr>
        <w:t>required</w:t>
      </w:r>
      <w:proofErr w:type="spellEnd"/>
      <w:r w:rsidR="00D820D2" w:rsidRPr="00E053E1">
        <w:rPr>
          <w:snapToGrid w:val="0"/>
          <w:lang w:val="es-ES_tradnl"/>
        </w:rPr>
        <w:t xml:space="preserve"> </w:t>
      </w:r>
      <w:proofErr w:type="spellStart"/>
      <w:r w:rsidR="00D820D2" w:rsidRPr="00E053E1">
        <w:rPr>
          <w:snapToGrid w:val="0"/>
          <w:lang w:val="es-ES_tradnl"/>
        </w:rPr>
        <w:t>on</w:t>
      </w:r>
      <w:proofErr w:type="spellEnd"/>
      <w:r w:rsidR="00D820D2" w:rsidRPr="00E053E1">
        <w:rPr>
          <w:snapToGrid w:val="0"/>
          <w:lang w:val="es-ES_tradnl"/>
        </w:rPr>
        <w:t xml:space="preserve"> </w:t>
      </w:r>
      <w:proofErr w:type="spellStart"/>
      <w:r w:rsidR="00D820D2" w:rsidRPr="00E053E1">
        <w:rPr>
          <w:snapToGrid w:val="0"/>
          <w:lang w:val="es-ES_tradnl"/>
        </w:rPr>
        <w:t>adopted</w:t>
      </w:r>
      <w:proofErr w:type="spellEnd"/>
      <w:r w:rsidR="00D820D2" w:rsidRPr="00E053E1">
        <w:rPr>
          <w:snapToGrid w:val="0"/>
          <w:lang w:val="es-ES_tradnl"/>
        </w:rPr>
        <w:t xml:space="preserve"> Test </w:t>
      </w:r>
      <w:proofErr w:type="spellStart"/>
      <w:r w:rsidR="00D820D2" w:rsidRPr="00E053E1">
        <w:rPr>
          <w:snapToGrid w:val="0"/>
          <w:lang w:val="es-ES_tradnl"/>
        </w:rPr>
        <w:t>Guidelines</w:t>
      </w:r>
      <w:proofErr w:type="spellEnd"/>
      <w:r w:rsidR="00D820D2" w:rsidRPr="00E053E1">
        <w:rPr>
          <w:snapToGrid w:val="0"/>
          <w:lang w:val="es-ES_tradnl"/>
        </w:rPr>
        <w:t xml:space="preserve">”, disponible en </w:t>
      </w:r>
      <w:r w:rsidR="00D927A5" w:rsidRPr="00E053E1">
        <w:rPr>
          <w:snapToGrid w:val="0"/>
          <w:lang w:val="es-ES_tradnl"/>
        </w:rPr>
        <w:t xml:space="preserve">la página del sitio web de la UPOV destinada a </w:t>
      </w:r>
      <w:r w:rsidR="00D820D2" w:rsidRPr="00E053E1">
        <w:rPr>
          <w:snapToGrid w:val="0"/>
          <w:lang w:val="es-ES_tradnl"/>
        </w:rPr>
        <w:t xml:space="preserve">los redactores de </w:t>
      </w:r>
      <w:r w:rsidR="008464A0" w:rsidRPr="00E053E1">
        <w:rPr>
          <w:snapToGrid w:val="0"/>
          <w:lang w:val="es-ES_tradnl"/>
        </w:rPr>
        <w:t xml:space="preserve">documentos </w:t>
      </w:r>
      <w:r w:rsidR="00D927A5" w:rsidRPr="00E053E1">
        <w:rPr>
          <w:snapToGrid w:val="0"/>
          <w:lang w:val="es-ES_tradnl"/>
        </w:rPr>
        <w:t>TG</w:t>
      </w:r>
      <w:r w:rsidR="00D820D2" w:rsidRPr="00E053E1">
        <w:rPr>
          <w:snapToGrid w:val="0"/>
          <w:lang w:val="es-ES_tradnl"/>
        </w:rPr>
        <w:t xml:space="preserve"> (véanse los párrafos 86 y 89 del documento </w:t>
      </w:r>
      <w:r w:rsidR="00D820D2" w:rsidRPr="00E053E1">
        <w:rPr>
          <w:rFonts w:eastAsia="PMingLiU" w:cs="Arial"/>
          <w:szCs w:val="24"/>
          <w:lang w:val="es-ES_tradnl"/>
        </w:rPr>
        <w:t>TWO/46/29 “</w:t>
      </w:r>
      <w:proofErr w:type="spellStart"/>
      <w:r w:rsidR="00C534CE" w:rsidRPr="00C534CE">
        <w:rPr>
          <w:rFonts w:eastAsia="PMingLiU" w:cs="Arial"/>
          <w:i/>
          <w:szCs w:val="24"/>
          <w:lang w:val="es-ES_tradnl"/>
        </w:rPr>
        <w:t>Report</w:t>
      </w:r>
      <w:proofErr w:type="spellEnd"/>
      <w:r w:rsidR="00D820D2" w:rsidRPr="00E053E1">
        <w:rPr>
          <w:rFonts w:eastAsia="PMingLiU" w:cs="Arial"/>
          <w:szCs w:val="24"/>
          <w:lang w:val="es-ES_tradnl"/>
        </w:rPr>
        <w:t>”;  los párrafos 84 y 87 del documento TWF/44/31 “</w:t>
      </w:r>
      <w:proofErr w:type="spellStart"/>
      <w:r w:rsidR="00C534CE" w:rsidRPr="00C534CE">
        <w:rPr>
          <w:rFonts w:eastAsia="PMingLiU" w:cs="Arial"/>
          <w:i/>
          <w:szCs w:val="24"/>
          <w:lang w:val="es-ES_tradnl"/>
        </w:rPr>
        <w:t>Report</w:t>
      </w:r>
      <w:proofErr w:type="spellEnd"/>
      <w:r w:rsidR="00D820D2" w:rsidRPr="00E053E1">
        <w:rPr>
          <w:rFonts w:eastAsia="PMingLiU" w:cs="Arial"/>
          <w:szCs w:val="24"/>
          <w:lang w:val="es-ES_tradnl"/>
        </w:rPr>
        <w:t>”;  los párrafos 98 y 102 del documento TWV/47/34 “</w:t>
      </w:r>
      <w:proofErr w:type="spellStart"/>
      <w:r w:rsidR="00C534CE" w:rsidRPr="00C534CE">
        <w:rPr>
          <w:rFonts w:eastAsia="PMingLiU" w:cs="Arial"/>
          <w:i/>
          <w:szCs w:val="24"/>
          <w:lang w:val="es-ES_tradnl"/>
        </w:rPr>
        <w:t>Report</w:t>
      </w:r>
      <w:proofErr w:type="spellEnd"/>
      <w:r w:rsidR="00D820D2" w:rsidRPr="00E053E1">
        <w:rPr>
          <w:rFonts w:eastAsia="PMingLiU" w:cs="Arial"/>
          <w:szCs w:val="24"/>
          <w:lang w:val="es-ES_tradnl"/>
        </w:rPr>
        <w:t>”;  los párrafos 98 y 10</w:t>
      </w:r>
      <w:r w:rsidR="004D41D6" w:rsidRPr="00E053E1">
        <w:rPr>
          <w:rFonts w:eastAsia="PMingLiU" w:cs="Arial"/>
          <w:szCs w:val="24"/>
          <w:lang w:val="es-ES_tradnl"/>
        </w:rPr>
        <w:t>0</w:t>
      </w:r>
      <w:r w:rsidR="00D820D2" w:rsidRPr="00E053E1">
        <w:rPr>
          <w:rFonts w:eastAsia="PMingLiU" w:cs="Arial"/>
          <w:szCs w:val="24"/>
          <w:lang w:val="es-ES_tradnl"/>
        </w:rPr>
        <w:t xml:space="preserve"> del documento TWC/31/32 “</w:t>
      </w:r>
      <w:proofErr w:type="spellStart"/>
      <w:r w:rsidR="00C534CE" w:rsidRPr="00C534CE">
        <w:rPr>
          <w:rFonts w:eastAsia="PMingLiU" w:cs="Arial"/>
          <w:i/>
          <w:szCs w:val="24"/>
          <w:lang w:val="es-ES_tradnl"/>
        </w:rPr>
        <w:t>Report</w:t>
      </w:r>
      <w:proofErr w:type="spellEnd"/>
      <w:r w:rsidR="00D820D2" w:rsidRPr="00E053E1">
        <w:rPr>
          <w:rFonts w:eastAsia="PMingLiU" w:cs="Arial"/>
          <w:szCs w:val="24"/>
          <w:lang w:val="es-ES_tradnl"/>
        </w:rPr>
        <w:t>”, y los párrafos 94 y 98 de</w:t>
      </w:r>
      <w:r w:rsidR="004D41D6" w:rsidRPr="00E053E1">
        <w:rPr>
          <w:rFonts w:eastAsia="PMingLiU" w:cs="Arial"/>
          <w:szCs w:val="24"/>
          <w:lang w:val="es-ES_tradnl"/>
        </w:rPr>
        <w:t>l documento TWA/42/31 “</w:t>
      </w:r>
      <w:proofErr w:type="spellStart"/>
      <w:r w:rsidR="00C534CE" w:rsidRPr="00C534CE">
        <w:rPr>
          <w:rFonts w:eastAsia="PMingLiU" w:cs="Arial"/>
          <w:i/>
          <w:szCs w:val="24"/>
          <w:lang w:val="es-ES_tradnl"/>
        </w:rPr>
        <w:t>Report</w:t>
      </w:r>
      <w:proofErr w:type="spellEnd"/>
      <w:r w:rsidR="004D41D6" w:rsidRPr="00E053E1">
        <w:rPr>
          <w:rFonts w:eastAsia="PMingLiU" w:cs="Arial"/>
          <w:szCs w:val="24"/>
          <w:lang w:val="es-ES_tradnl"/>
        </w:rPr>
        <w:t>”</w:t>
      </w:r>
      <w:r w:rsidR="00D820D2" w:rsidRPr="00E053E1">
        <w:rPr>
          <w:rFonts w:eastAsia="PMingLiU" w:cs="Arial"/>
          <w:szCs w:val="24"/>
          <w:lang w:val="es-ES_tradnl"/>
        </w:rPr>
        <w:t>)</w:t>
      </w:r>
      <w:r w:rsidR="004D41D6" w:rsidRPr="00E053E1">
        <w:rPr>
          <w:rFonts w:eastAsia="PMingLiU" w:cs="Arial"/>
          <w:szCs w:val="24"/>
          <w:lang w:val="es-ES_tradnl"/>
        </w:rPr>
        <w:t>.</w:t>
      </w:r>
    </w:p>
    <w:p w:rsidR="00D820D2" w:rsidRPr="00E053E1" w:rsidRDefault="00D820D2" w:rsidP="00E053E1">
      <w:pPr>
        <w:widowControl w:val="0"/>
        <w:rPr>
          <w:lang w:val="es-ES_tradnl"/>
        </w:rPr>
      </w:pPr>
    </w:p>
    <w:p w:rsidR="00D927A5" w:rsidRPr="00E053E1" w:rsidRDefault="00A57943" w:rsidP="00E053E1">
      <w:pPr>
        <w:widowControl w:val="0"/>
        <w:rPr>
          <w:rFonts w:cs="Arial"/>
          <w:lang w:val="es-ES_tradnl"/>
        </w:rPr>
      </w:pPr>
      <w:r w:rsidRPr="00E053E1">
        <w:rPr>
          <w:rFonts w:cs="Arial"/>
          <w:lang w:val="es-ES_tradnl"/>
        </w:rPr>
        <w:fldChar w:fldCharType="begin"/>
      </w:r>
      <w:r w:rsidRPr="00E053E1">
        <w:rPr>
          <w:rFonts w:cs="Arial"/>
          <w:lang w:val="es-ES_tradnl"/>
        </w:rPr>
        <w:instrText xml:space="preserve"> AUTONUM  </w:instrText>
      </w:r>
      <w:r w:rsidRPr="00E053E1">
        <w:rPr>
          <w:rFonts w:cs="Arial"/>
          <w:lang w:val="es-ES_tradnl"/>
        </w:rPr>
        <w:fldChar w:fldCharType="end"/>
      </w:r>
      <w:r w:rsidRPr="00E053E1">
        <w:rPr>
          <w:rFonts w:cs="Arial"/>
          <w:lang w:val="es-ES_tradnl"/>
        </w:rPr>
        <w:tab/>
      </w:r>
      <w:r w:rsidR="00D927A5" w:rsidRPr="00E053E1">
        <w:rPr>
          <w:rFonts w:cs="Arial"/>
          <w:lang w:val="es-ES_tradnl"/>
        </w:rPr>
        <w:t xml:space="preserve">El TWO señaló las dificultades que plantea la utilización de la plantilla de los documentos TG, disponible en el sitio web de la UPOV, y propuso que en el taller preparatorio se haga una demostración sobre el modo de utilizarla.  </w:t>
      </w:r>
      <w:r w:rsidR="008464A0" w:rsidRPr="00E053E1">
        <w:rPr>
          <w:rFonts w:cs="Arial"/>
          <w:lang w:val="es-ES_tradnl"/>
        </w:rPr>
        <w:t>El TWO pidió que se facilite un documento breve que contenga el texto estándar que se aplica a los tipos de directrices de examen que se examinan en cada TWP (véase el párrafo 87 del documento TWO/46/29 “</w:t>
      </w:r>
      <w:proofErr w:type="spellStart"/>
      <w:r w:rsidR="00C534CE" w:rsidRPr="00C534CE">
        <w:rPr>
          <w:rFonts w:cs="Arial"/>
          <w:i/>
          <w:lang w:val="es-ES_tradnl"/>
        </w:rPr>
        <w:t>Report</w:t>
      </w:r>
      <w:proofErr w:type="spellEnd"/>
      <w:r w:rsidR="008464A0" w:rsidRPr="00E053E1">
        <w:rPr>
          <w:rFonts w:cs="Arial"/>
          <w:lang w:val="es-ES_tradnl"/>
        </w:rPr>
        <w:t>”).</w:t>
      </w:r>
    </w:p>
    <w:p w:rsidR="00D927A5" w:rsidRPr="00E053E1" w:rsidRDefault="00D927A5" w:rsidP="00E053E1">
      <w:pPr>
        <w:widowControl w:val="0"/>
        <w:rPr>
          <w:rFonts w:cs="Arial"/>
          <w:lang w:val="es-ES_tradnl"/>
        </w:rPr>
      </w:pPr>
    </w:p>
    <w:p w:rsidR="008464A0" w:rsidRPr="00E053E1" w:rsidRDefault="00A57943" w:rsidP="00E053E1">
      <w:pPr>
        <w:widowControl w:val="0"/>
        <w:rPr>
          <w:rFonts w:cs="Arial"/>
          <w:lang w:val="es-ES_tradnl"/>
        </w:rPr>
      </w:pPr>
      <w:r w:rsidRPr="00E053E1">
        <w:rPr>
          <w:rFonts w:cs="Arial"/>
          <w:lang w:val="es-ES_tradnl"/>
        </w:rPr>
        <w:fldChar w:fldCharType="begin"/>
      </w:r>
      <w:r w:rsidRPr="00E053E1">
        <w:rPr>
          <w:rFonts w:cs="Arial"/>
          <w:lang w:val="es-ES_tradnl"/>
        </w:rPr>
        <w:instrText xml:space="preserve"> AUTONUM  </w:instrText>
      </w:r>
      <w:r w:rsidRPr="00E053E1">
        <w:rPr>
          <w:rFonts w:cs="Arial"/>
          <w:lang w:val="es-ES_tradnl"/>
        </w:rPr>
        <w:fldChar w:fldCharType="end"/>
      </w:r>
      <w:r w:rsidRPr="00E053E1">
        <w:rPr>
          <w:rFonts w:cs="Arial"/>
          <w:lang w:val="es-ES_tradnl"/>
        </w:rPr>
        <w:tab/>
      </w:r>
      <w:r w:rsidR="008464A0" w:rsidRPr="00E053E1">
        <w:rPr>
          <w:rFonts w:cs="Arial"/>
          <w:lang w:val="es-ES_tradnl"/>
        </w:rPr>
        <w:t xml:space="preserve">El TWF propuso que en la futura plantilla </w:t>
      </w:r>
      <w:r w:rsidR="00A75B64" w:rsidRPr="00E053E1">
        <w:rPr>
          <w:rFonts w:cs="Arial"/>
          <w:lang w:val="es-ES_tradnl"/>
        </w:rPr>
        <w:t xml:space="preserve">electrónica </w:t>
      </w:r>
      <w:r w:rsidR="008464A0" w:rsidRPr="00E053E1">
        <w:rPr>
          <w:rFonts w:cs="Arial"/>
          <w:lang w:val="es-ES_tradnl"/>
        </w:rPr>
        <w:t xml:space="preserve">de </w:t>
      </w:r>
      <w:r w:rsidR="00A75B64" w:rsidRPr="00E053E1">
        <w:rPr>
          <w:rFonts w:cs="Arial"/>
          <w:lang w:val="es-ES_tradnl"/>
        </w:rPr>
        <w:t xml:space="preserve">los </w:t>
      </w:r>
      <w:r w:rsidR="008464A0" w:rsidRPr="00E053E1">
        <w:rPr>
          <w:rFonts w:cs="Arial"/>
          <w:lang w:val="es-ES_tradnl"/>
        </w:rPr>
        <w:t xml:space="preserve">documentos TG se incluya </w:t>
      </w:r>
      <w:r w:rsidR="000C31A3" w:rsidRPr="00E053E1">
        <w:rPr>
          <w:rFonts w:cs="Arial"/>
          <w:lang w:val="es-ES_tradnl"/>
        </w:rPr>
        <w:t>un</w:t>
      </w:r>
      <w:r w:rsidR="00697B59" w:rsidRPr="00E053E1">
        <w:rPr>
          <w:rFonts w:cs="Arial"/>
          <w:lang w:val="es-ES_tradnl"/>
        </w:rPr>
        <w:t xml:space="preserve">a plantilla </w:t>
      </w:r>
      <w:r w:rsidR="000C31A3" w:rsidRPr="00E053E1">
        <w:rPr>
          <w:rFonts w:cs="Arial"/>
          <w:lang w:val="es-ES_tradnl"/>
        </w:rPr>
        <w:t xml:space="preserve"> </w:t>
      </w:r>
      <w:r w:rsidR="00A00D94" w:rsidRPr="00E053E1">
        <w:rPr>
          <w:rFonts w:cs="Arial"/>
          <w:lang w:val="es-ES_tradnl"/>
        </w:rPr>
        <w:t xml:space="preserve">de cuadrícula </w:t>
      </w:r>
      <w:r w:rsidR="008203FA" w:rsidRPr="00E053E1">
        <w:rPr>
          <w:rFonts w:cs="Arial"/>
          <w:lang w:val="es-ES_tradnl"/>
        </w:rPr>
        <w:t xml:space="preserve">para </w:t>
      </w:r>
      <w:r w:rsidR="00A00D94" w:rsidRPr="00E053E1">
        <w:rPr>
          <w:rFonts w:cs="Arial"/>
          <w:lang w:val="es-ES_tradnl"/>
        </w:rPr>
        <w:t>caracteres relacionados con la</w:t>
      </w:r>
      <w:r w:rsidR="008203FA" w:rsidRPr="00E053E1">
        <w:rPr>
          <w:rFonts w:cs="Arial"/>
          <w:lang w:val="es-ES_tradnl"/>
        </w:rPr>
        <w:t xml:space="preserve"> forma y </w:t>
      </w:r>
      <w:r w:rsidR="00A00D94" w:rsidRPr="00E053E1">
        <w:rPr>
          <w:rFonts w:cs="Arial"/>
          <w:lang w:val="es-ES_tradnl"/>
        </w:rPr>
        <w:t>con</w:t>
      </w:r>
      <w:r w:rsidR="008203FA" w:rsidRPr="00E053E1">
        <w:rPr>
          <w:rFonts w:cs="Arial"/>
          <w:lang w:val="es-ES_tradnl"/>
        </w:rPr>
        <w:t xml:space="preserve"> una</w:t>
      </w:r>
      <w:r w:rsidR="000C31A3" w:rsidRPr="00E053E1">
        <w:rPr>
          <w:rFonts w:cs="Arial"/>
          <w:lang w:val="es-ES_tradnl"/>
        </w:rPr>
        <w:t xml:space="preserve"> relación</w:t>
      </w:r>
      <w:r w:rsidR="004D41D6" w:rsidRPr="00E053E1">
        <w:rPr>
          <w:rFonts w:cs="Arial"/>
          <w:lang w:val="es-ES_tradnl"/>
        </w:rPr>
        <w:t>,</w:t>
      </w:r>
      <w:r w:rsidR="000C31A3" w:rsidRPr="00E053E1">
        <w:rPr>
          <w:rFonts w:cs="Arial"/>
          <w:lang w:val="es-ES_tradnl"/>
        </w:rPr>
        <w:t xml:space="preserve"> de</w:t>
      </w:r>
      <w:r w:rsidR="001F7339" w:rsidRPr="00E053E1">
        <w:rPr>
          <w:rFonts w:cs="Arial"/>
          <w:lang w:val="es-ES_tradnl"/>
        </w:rPr>
        <w:t xml:space="preserve"> </w:t>
      </w:r>
      <w:r w:rsidR="000C31A3" w:rsidRPr="00E053E1">
        <w:rPr>
          <w:rFonts w:cs="Arial"/>
          <w:lang w:val="es-ES_tradnl"/>
        </w:rPr>
        <w:t>l</w:t>
      </w:r>
      <w:r w:rsidR="001F7339" w:rsidRPr="00E053E1">
        <w:rPr>
          <w:rFonts w:cs="Arial"/>
          <w:lang w:val="es-ES_tradnl"/>
        </w:rPr>
        <w:t>a</w:t>
      </w:r>
      <w:r w:rsidR="000C31A3" w:rsidRPr="00E053E1">
        <w:rPr>
          <w:rFonts w:cs="Arial"/>
          <w:lang w:val="es-ES_tradnl"/>
        </w:rPr>
        <w:t xml:space="preserve"> que puedan servirse los expertos principales para redactar las directrices de examen (véase el párrafo 86 del documento TWF/44/31 “</w:t>
      </w:r>
      <w:proofErr w:type="spellStart"/>
      <w:r w:rsidR="00C534CE" w:rsidRPr="00C534CE">
        <w:rPr>
          <w:rFonts w:cs="Arial"/>
          <w:i/>
          <w:lang w:val="es-ES_tradnl"/>
        </w:rPr>
        <w:t>Report</w:t>
      </w:r>
      <w:proofErr w:type="spellEnd"/>
      <w:r w:rsidR="000C31A3" w:rsidRPr="00E053E1">
        <w:rPr>
          <w:rFonts w:cs="Arial"/>
          <w:lang w:val="es-ES_tradnl"/>
        </w:rPr>
        <w:t>”).</w:t>
      </w:r>
      <w:r w:rsidR="008464A0" w:rsidRPr="00E053E1">
        <w:rPr>
          <w:rFonts w:cs="Arial"/>
          <w:lang w:val="es-ES_tradnl"/>
        </w:rPr>
        <w:t xml:space="preserve"> </w:t>
      </w:r>
    </w:p>
    <w:p w:rsidR="008464A0" w:rsidRPr="00E053E1" w:rsidRDefault="008464A0" w:rsidP="00E053E1">
      <w:pPr>
        <w:widowControl w:val="0"/>
        <w:rPr>
          <w:rFonts w:cs="Arial"/>
          <w:lang w:val="es-ES_tradnl"/>
        </w:rPr>
      </w:pPr>
    </w:p>
    <w:p w:rsidR="000C31A3" w:rsidRPr="00E053E1" w:rsidRDefault="00A57943" w:rsidP="00E053E1">
      <w:pPr>
        <w:widowControl w:val="0"/>
        <w:rPr>
          <w:rFonts w:cs="Arial"/>
          <w:lang w:val="es-ES_tradnl"/>
        </w:rPr>
      </w:pPr>
      <w:r w:rsidRPr="00E053E1">
        <w:rPr>
          <w:rFonts w:cs="Arial"/>
          <w:lang w:val="es-ES_tradnl"/>
        </w:rPr>
        <w:fldChar w:fldCharType="begin"/>
      </w:r>
      <w:r w:rsidRPr="00E053E1">
        <w:rPr>
          <w:rFonts w:cs="Arial"/>
          <w:lang w:val="es-ES_tradnl"/>
        </w:rPr>
        <w:instrText xml:space="preserve"> AUTONUM  </w:instrText>
      </w:r>
      <w:r w:rsidRPr="00E053E1">
        <w:rPr>
          <w:rFonts w:cs="Arial"/>
          <w:lang w:val="es-ES_tradnl"/>
        </w:rPr>
        <w:fldChar w:fldCharType="end"/>
      </w:r>
      <w:r w:rsidRPr="00E053E1">
        <w:rPr>
          <w:rFonts w:cs="Arial"/>
          <w:lang w:val="es-ES_tradnl"/>
        </w:rPr>
        <w:tab/>
      </w:r>
      <w:r w:rsidR="000C31A3" w:rsidRPr="00E053E1">
        <w:rPr>
          <w:rFonts w:cs="Arial"/>
          <w:lang w:val="es-ES_tradnl"/>
        </w:rPr>
        <w:t xml:space="preserve">El TWV y el TWA manifestaron su acuerdo con la propuesta formulada por el TWO en su cuadragésima sexta sesión y por el TWF en su cuadragésima cuarta sesión de que en el taller preparatorio se haga una demostración sobre cómo utilizar la plantilla de los documentos TG, disponible en el sitio web de la UPOV, y de que en </w:t>
      </w:r>
      <w:r w:rsidR="00503BF4" w:rsidRPr="00E053E1">
        <w:rPr>
          <w:rFonts w:cs="Arial"/>
          <w:lang w:val="es-ES_tradnl"/>
        </w:rPr>
        <w:t xml:space="preserve">la futura plantilla </w:t>
      </w:r>
      <w:r w:rsidR="00A75B64" w:rsidRPr="00E053E1">
        <w:rPr>
          <w:rFonts w:cs="Arial"/>
          <w:lang w:val="es-ES_tradnl"/>
        </w:rPr>
        <w:t xml:space="preserve">electrónica </w:t>
      </w:r>
      <w:r w:rsidR="00503BF4" w:rsidRPr="00E053E1">
        <w:rPr>
          <w:rFonts w:cs="Arial"/>
          <w:lang w:val="es-ES_tradnl"/>
        </w:rPr>
        <w:t>de los documentos TG</w:t>
      </w:r>
      <w:r w:rsidR="000C31A3" w:rsidRPr="00E053E1">
        <w:rPr>
          <w:rFonts w:cs="Arial"/>
          <w:lang w:val="es-ES_tradnl"/>
        </w:rPr>
        <w:t xml:space="preserve"> se incluya </w:t>
      </w:r>
      <w:r w:rsidR="00697B59" w:rsidRPr="00E053E1">
        <w:rPr>
          <w:rFonts w:cs="Arial"/>
          <w:lang w:val="es-ES_tradnl"/>
        </w:rPr>
        <w:t>una plantilla</w:t>
      </w:r>
      <w:r w:rsidR="000C31A3" w:rsidRPr="00E053E1">
        <w:rPr>
          <w:rFonts w:cs="Arial"/>
          <w:lang w:val="es-ES_tradnl"/>
        </w:rPr>
        <w:t xml:space="preserve"> </w:t>
      </w:r>
      <w:r w:rsidR="00A00D94" w:rsidRPr="00E053E1">
        <w:rPr>
          <w:rFonts w:cs="Arial"/>
          <w:lang w:val="es-ES_tradnl"/>
        </w:rPr>
        <w:t>de cuadrícula para caracteres relacionados con la forma y con una relación</w:t>
      </w:r>
      <w:r w:rsidR="004D41D6" w:rsidRPr="00E053E1">
        <w:rPr>
          <w:rFonts w:cs="Arial"/>
          <w:lang w:val="es-ES_tradnl"/>
        </w:rPr>
        <w:t>,</w:t>
      </w:r>
      <w:r w:rsidR="00A00D94" w:rsidRPr="00E053E1">
        <w:rPr>
          <w:rFonts w:cs="Arial"/>
          <w:lang w:val="es-ES_tradnl"/>
        </w:rPr>
        <w:t xml:space="preserve"> </w:t>
      </w:r>
      <w:r w:rsidR="001F7339" w:rsidRPr="00E053E1">
        <w:rPr>
          <w:rFonts w:cs="Arial"/>
          <w:lang w:val="es-ES_tradnl"/>
        </w:rPr>
        <w:t>de la</w:t>
      </w:r>
      <w:r w:rsidR="008203FA" w:rsidRPr="00E053E1">
        <w:rPr>
          <w:rFonts w:cs="Arial"/>
          <w:lang w:val="es-ES_tradnl"/>
        </w:rPr>
        <w:t xml:space="preserve"> que puedan servirse los expertos principales para redactar las directrices de examen (véase el párrafo </w:t>
      </w:r>
      <w:r w:rsidR="00503BF4" w:rsidRPr="00E053E1">
        <w:rPr>
          <w:rFonts w:cs="Arial"/>
          <w:lang w:val="es-ES_tradnl"/>
        </w:rPr>
        <w:t>101</w:t>
      </w:r>
      <w:r w:rsidR="008203FA" w:rsidRPr="00E053E1">
        <w:rPr>
          <w:rFonts w:cs="Arial"/>
          <w:lang w:val="es-ES_tradnl"/>
        </w:rPr>
        <w:t xml:space="preserve"> del documento </w:t>
      </w:r>
      <w:r w:rsidR="008203FA" w:rsidRPr="00E053E1">
        <w:rPr>
          <w:lang w:val="es-ES_tradnl"/>
        </w:rPr>
        <w:t>TWV/47/34 “</w:t>
      </w:r>
      <w:proofErr w:type="spellStart"/>
      <w:r w:rsidR="00C534CE" w:rsidRPr="00C534CE">
        <w:rPr>
          <w:i/>
          <w:lang w:val="es-ES_tradnl"/>
        </w:rPr>
        <w:t>Report</w:t>
      </w:r>
      <w:proofErr w:type="spellEnd"/>
      <w:r w:rsidR="008203FA" w:rsidRPr="00E053E1">
        <w:rPr>
          <w:lang w:val="es-ES_tradnl"/>
        </w:rPr>
        <w:t xml:space="preserve">” y el párrafo 97 del documento </w:t>
      </w:r>
      <w:r w:rsidR="008203FA" w:rsidRPr="00E053E1">
        <w:rPr>
          <w:rFonts w:eastAsia="PMingLiU" w:cs="Arial"/>
          <w:szCs w:val="24"/>
          <w:lang w:val="es-ES_tradnl"/>
        </w:rPr>
        <w:t>TWA/42/31 “</w:t>
      </w:r>
      <w:proofErr w:type="spellStart"/>
      <w:r w:rsidR="00C534CE" w:rsidRPr="00C534CE">
        <w:rPr>
          <w:rFonts w:eastAsia="PMingLiU" w:cs="Arial"/>
          <w:i/>
          <w:szCs w:val="24"/>
          <w:lang w:val="es-ES_tradnl"/>
        </w:rPr>
        <w:t>Report</w:t>
      </w:r>
      <w:proofErr w:type="spellEnd"/>
      <w:r w:rsidR="008203FA" w:rsidRPr="00E053E1">
        <w:rPr>
          <w:rFonts w:eastAsia="PMingLiU" w:cs="Arial"/>
          <w:szCs w:val="24"/>
          <w:lang w:val="es-ES_tradnl"/>
        </w:rPr>
        <w:t>”</w:t>
      </w:r>
      <w:r w:rsidR="00503BF4" w:rsidRPr="00E053E1">
        <w:rPr>
          <w:rFonts w:eastAsia="PMingLiU" w:cs="Arial"/>
          <w:szCs w:val="24"/>
          <w:lang w:val="es-ES_tradnl"/>
        </w:rPr>
        <w:t>).</w:t>
      </w:r>
    </w:p>
    <w:p w:rsidR="000C31A3" w:rsidRPr="00E053E1" w:rsidRDefault="000C31A3" w:rsidP="00E053E1">
      <w:pPr>
        <w:widowControl w:val="0"/>
        <w:rPr>
          <w:rFonts w:cs="Arial"/>
          <w:lang w:val="es-ES_tradnl"/>
        </w:rPr>
      </w:pPr>
    </w:p>
    <w:p w:rsidR="00503BF4" w:rsidRPr="00E053E1" w:rsidRDefault="00A57943" w:rsidP="00E053E1">
      <w:pPr>
        <w:widowControl w:val="0"/>
        <w:rPr>
          <w:rFonts w:cs="Arial"/>
          <w:lang w:val="es-ES_tradnl"/>
        </w:rPr>
      </w:pPr>
      <w:r w:rsidRPr="00E053E1">
        <w:rPr>
          <w:rFonts w:cs="Arial"/>
          <w:lang w:val="es-ES_tradnl"/>
        </w:rPr>
        <w:fldChar w:fldCharType="begin"/>
      </w:r>
      <w:r w:rsidRPr="00E053E1">
        <w:rPr>
          <w:rFonts w:cs="Arial"/>
          <w:lang w:val="es-ES_tradnl"/>
        </w:rPr>
        <w:instrText xml:space="preserve"> AUTONUM  </w:instrText>
      </w:r>
      <w:r w:rsidRPr="00E053E1">
        <w:rPr>
          <w:rFonts w:cs="Arial"/>
          <w:lang w:val="es-ES_tradnl"/>
        </w:rPr>
        <w:fldChar w:fldCharType="end"/>
      </w:r>
      <w:r w:rsidRPr="00E053E1">
        <w:rPr>
          <w:rFonts w:cs="Arial"/>
          <w:lang w:val="es-ES_tradnl"/>
        </w:rPr>
        <w:tab/>
      </w:r>
      <w:r w:rsidR="00503BF4" w:rsidRPr="00E053E1">
        <w:rPr>
          <w:rFonts w:cs="Arial"/>
          <w:lang w:val="es-ES_tradnl"/>
        </w:rPr>
        <w:t xml:space="preserve">El TWV y el TWA pidieron a la Oficina de la Unión que examine la posibilidad de </w:t>
      </w:r>
      <w:r w:rsidR="002D775C" w:rsidRPr="00E053E1">
        <w:rPr>
          <w:rFonts w:cs="Arial"/>
          <w:lang w:val="es-ES_tradnl"/>
        </w:rPr>
        <w:t xml:space="preserve">utilizar otro medio </w:t>
      </w:r>
      <w:r w:rsidR="00503BF4" w:rsidRPr="00E053E1">
        <w:rPr>
          <w:rFonts w:cs="Arial"/>
          <w:lang w:val="es-ES_tradnl"/>
        </w:rPr>
        <w:t xml:space="preserve">de intercambiar los proyectos de directrices de examen entre los expertos interesados (por ejemplo, mediante el servidor SharePoint o creando una zona restringida en la página del sitio web de la UPOV destinada a los redactores de documentos TG), ya que el tamaño de los documentos podría plantear problemas </w:t>
      </w:r>
      <w:r w:rsidR="000B3BC8" w:rsidRPr="00E053E1">
        <w:rPr>
          <w:rFonts w:cs="Arial"/>
          <w:lang w:val="es-ES_tradnl"/>
        </w:rPr>
        <w:t>en la utilización habitual del correo electrónico (véase el párrafo 100 del documento TWV/47/34 “</w:t>
      </w:r>
      <w:proofErr w:type="spellStart"/>
      <w:r w:rsidR="00C534CE" w:rsidRPr="00C534CE">
        <w:rPr>
          <w:rFonts w:cs="Arial"/>
          <w:i/>
          <w:lang w:val="es-ES_tradnl"/>
        </w:rPr>
        <w:t>Report</w:t>
      </w:r>
      <w:proofErr w:type="spellEnd"/>
      <w:r w:rsidR="000B3BC8" w:rsidRPr="00E053E1">
        <w:rPr>
          <w:rFonts w:cs="Arial"/>
          <w:lang w:val="es-ES_tradnl"/>
        </w:rPr>
        <w:t>” y el párrafo 96 del documento TWA/42/31 “</w:t>
      </w:r>
      <w:proofErr w:type="spellStart"/>
      <w:r w:rsidR="00C534CE" w:rsidRPr="00C534CE">
        <w:rPr>
          <w:rFonts w:cs="Arial"/>
          <w:i/>
          <w:lang w:val="es-ES_tradnl"/>
        </w:rPr>
        <w:t>Report</w:t>
      </w:r>
      <w:proofErr w:type="spellEnd"/>
      <w:r w:rsidR="002D775C" w:rsidRPr="00E053E1">
        <w:rPr>
          <w:rFonts w:cs="Arial"/>
          <w:lang w:val="es-ES_tradnl"/>
        </w:rPr>
        <w:t>”</w:t>
      </w:r>
      <w:r w:rsidR="000B3BC8" w:rsidRPr="00E053E1">
        <w:rPr>
          <w:rFonts w:cs="Arial"/>
          <w:lang w:val="es-ES_tradnl"/>
        </w:rPr>
        <w:t>).</w:t>
      </w:r>
    </w:p>
    <w:p w:rsidR="00503BF4" w:rsidRPr="00E053E1" w:rsidRDefault="00503BF4" w:rsidP="00E053E1">
      <w:pPr>
        <w:widowControl w:val="0"/>
        <w:rPr>
          <w:rFonts w:cs="Arial"/>
          <w:lang w:val="es-ES_tradnl"/>
        </w:rPr>
      </w:pPr>
    </w:p>
    <w:p w:rsidR="000B3BC8" w:rsidRPr="00E053E1" w:rsidRDefault="00A57943" w:rsidP="00E053E1">
      <w:pPr>
        <w:widowControl w:val="0"/>
        <w:rPr>
          <w:rFonts w:cs="Arial"/>
          <w:lang w:val="es-ES_tradnl"/>
        </w:rPr>
      </w:pPr>
      <w:r w:rsidRPr="00E053E1">
        <w:rPr>
          <w:rFonts w:cs="Arial"/>
          <w:lang w:val="es-ES_tradnl"/>
        </w:rPr>
        <w:fldChar w:fldCharType="begin"/>
      </w:r>
      <w:r w:rsidRPr="00E053E1">
        <w:rPr>
          <w:rFonts w:cs="Arial"/>
          <w:lang w:val="es-ES_tradnl"/>
        </w:rPr>
        <w:instrText xml:space="preserve"> AUTONUM  </w:instrText>
      </w:r>
      <w:r w:rsidRPr="00E053E1">
        <w:rPr>
          <w:rFonts w:cs="Arial"/>
          <w:lang w:val="es-ES_tradnl"/>
        </w:rPr>
        <w:fldChar w:fldCharType="end"/>
      </w:r>
      <w:r w:rsidRPr="00E053E1">
        <w:rPr>
          <w:rFonts w:cs="Arial"/>
          <w:lang w:val="es-ES_tradnl"/>
        </w:rPr>
        <w:tab/>
      </w:r>
      <w:r w:rsidR="000B3BC8" w:rsidRPr="00E053E1">
        <w:rPr>
          <w:rFonts w:cs="Arial"/>
          <w:lang w:val="es-ES_tradnl"/>
        </w:rPr>
        <w:t xml:space="preserve">El documento TC/50/10 “Informe sobre las novedades acaecidas en la UPOV, donde figuran las cuestiones pertinentes examinadas en las últimas sesiones del Comité Administrativo y Jurídico, el Comité Consultivo y el Consejo” contendrá las novedades relativas a la nueva plantilla </w:t>
      </w:r>
      <w:r w:rsidR="00A75B64" w:rsidRPr="00E053E1">
        <w:rPr>
          <w:rFonts w:cs="Arial"/>
          <w:lang w:val="es-ES_tradnl"/>
        </w:rPr>
        <w:t xml:space="preserve">electrónica </w:t>
      </w:r>
      <w:r w:rsidR="000B3BC8" w:rsidRPr="00E053E1">
        <w:rPr>
          <w:rFonts w:cs="Arial"/>
          <w:lang w:val="es-ES_tradnl"/>
        </w:rPr>
        <w:t>de los documentos TG.</w:t>
      </w:r>
    </w:p>
    <w:p w:rsidR="00A57943" w:rsidRPr="00E053E1" w:rsidRDefault="00A57943" w:rsidP="00E053E1">
      <w:pPr>
        <w:widowControl w:val="0"/>
        <w:rPr>
          <w:rFonts w:cs="Arial"/>
          <w:lang w:val="es-ES_tradnl"/>
        </w:rPr>
      </w:pPr>
    </w:p>
    <w:p w:rsidR="005A605D" w:rsidRPr="00E053E1" w:rsidRDefault="00A57943" w:rsidP="00E053E1">
      <w:pPr>
        <w:widowControl w:val="0"/>
        <w:rPr>
          <w:rFonts w:cs="Arial"/>
          <w:lang w:val="es-ES_tradnl"/>
        </w:rPr>
      </w:pPr>
      <w:r w:rsidRPr="00E053E1">
        <w:rPr>
          <w:rFonts w:cs="Arial"/>
          <w:lang w:val="es-ES_tradnl"/>
        </w:rPr>
        <w:fldChar w:fldCharType="begin"/>
      </w:r>
      <w:r w:rsidRPr="00E053E1">
        <w:rPr>
          <w:rFonts w:cs="Arial"/>
          <w:lang w:val="es-ES_tradnl"/>
        </w:rPr>
        <w:instrText xml:space="preserve"> AUTONUM  </w:instrText>
      </w:r>
      <w:r w:rsidRPr="00E053E1">
        <w:rPr>
          <w:rFonts w:cs="Arial"/>
          <w:lang w:val="es-ES_tradnl"/>
        </w:rPr>
        <w:fldChar w:fldCharType="end"/>
      </w:r>
      <w:r w:rsidRPr="00E053E1">
        <w:rPr>
          <w:rFonts w:cs="Arial"/>
          <w:lang w:val="es-ES_tradnl"/>
        </w:rPr>
        <w:tab/>
      </w:r>
      <w:r w:rsidR="005A605D" w:rsidRPr="00E053E1">
        <w:rPr>
          <w:rFonts w:cs="Arial"/>
          <w:lang w:val="es-ES_tradnl"/>
        </w:rPr>
        <w:t xml:space="preserve">En lo que respecta a la propuesta de impartir formación </w:t>
      </w:r>
      <w:r w:rsidR="00A75B64" w:rsidRPr="00E053E1">
        <w:rPr>
          <w:rFonts w:cs="Arial"/>
          <w:lang w:val="es-ES_tradnl"/>
        </w:rPr>
        <w:t>en</w:t>
      </w:r>
      <w:r w:rsidR="005A605D" w:rsidRPr="00E053E1">
        <w:rPr>
          <w:rFonts w:cs="Arial"/>
          <w:lang w:val="es-ES_tradnl"/>
        </w:rPr>
        <w:t xml:space="preserve"> la utilización de la nueva plantilla </w:t>
      </w:r>
      <w:r w:rsidR="00A75B64" w:rsidRPr="00E053E1">
        <w:rPr>
          <w:rFonts w:cs="Arial"/>
          <w:lang w:val="es-ES_tradnl"/>
        </w:rPr>
        <w:t xml:space="preserve">electrónica </w:t>
      </w:r>
      <w:r w:rsidR="005A605D" w:rsidRPr="00E053E1">
        <w:rPr>
          <w:rFonts w:cs="Arial"/>
          <w:lang w:val="es-ES_tradnl"/>
        </w:rPr>
        <w:t>de los documen</w:t>
      </w:r>
      <w:r w:rsidR="00A75B64" w:rsidRPr="00E053E1">
        <w:rPr>
          <w:rFonts w:cs="Arial"/>
          <w:lang w:val="es-ES_tradnl"/>
        </w:rPr>
        <w:t>tos TG</w:t>
      </w:r>
      <w:r w:rsidR="005A605D" w:rsidRPr="00E053E1">
        <w:rPr>
          <w:rFonts w:cs="Arial"/>
          <w:lang w:val="es-ES_tradnl"/>
        </w:rPr>
        <w:t xml:space="preserve"> durante los talleres preparatorios, se recuerda que el objeto de tales talleres es ayudar a algunos delegados a participar m</w:t>
      </w:r>
      <w:r w:rsidR="00A75B64" w:rsidRPr="00E053E1">
        <w:rPr>
          <w:rFonts w:cs="Arial"/>
          <w:lang w:val="es-ES_tradnl"/>
        </w:rPr>
        <w:t xml:space="preserve">ás activamente en las reuniones;  por otra parte, se </w:t>
      </w:r>
      <w:r w:rsidR="0012401D" w:rsidRPr="00E053E1">
        <w:rPr>
          <w:rFonts w:cs="Arial"/>
          <w:lang w:val="es-ES_tradnl"/>
        </w:rPr>
        <w:t>estima</w:t>
      </w:r>
      <w:r w:rsidR="00A75B64" w:rsidRPr="00E053E1">
        <w:rPr>
          <w:rFonts w:cs="Arial"/>
          <w:lang w:val="es-ES_tradnl"/>
        </w:rPr>
        <w:t xml:space="preserve"> que la formación </w:t>
      </w:r>
      <w:r w:rsidR="0012401D" w:rsidRPr="00E053E1">
        <w:rPr>
          <w:rFonts w:cs="Arial"/>
          <w:lang w:val="es-ES_tradnl"/>
        </w:rPr>
        <w:t>en</w:t>
      </w:r>
      <w:r w:rsidR="00A75B64" w:rsidRPr="00E053E1">
        <w:rPr>
          <w:rFonts w:cs="Arial"/>
          <w:lang w:val="es-ES_tradnl"/>
        </w:rPr>
        <w:t xml:space="preserve"> redacción de directrices de examen se</w:t>
      </w:r>
      <w:r w:rsidR="0012401D" w:rsidRPr="00E053E1">
        <w:rPr>
          <w:rFonts w:cs="Arial"/>
          <w:lang w:val="es-ES_tradnl"/>
        </w:rPr>
        <w:t>rí</w:t>
      </w:r>
      <w:r w:rsidR="002D775C" w:rsidRPr="00E053E1">
        <w:rPr>
          <w:rFonts w:cs="Arial"/>
          <w:lang w:val="es-ES_tradnl"/>
        </w:rPr>
        <w:t>a más eficaz impartida</w:t>
      </w:r>
      <w:r w:rsidR="00A75B64" w:rsidRPr="00E053E1">
        <w:rPr>
          <w:rFonts w:cs="Arial"/>
          <w:lang w:val="es-ES_tradnl"/>
        </w:rPr>
        <w:t xml:space="preserve"> </w:t>
      </w:r>
      <w:r w:rsidR="0012401D" w:rsidRPr="00E053E1">
        <w:rPr>
          <w:rFonts w:cs="Arial"/>
          <w:lang w:val="es-ES_tradnl"/>
        </w:rPr>
        <w:t xml:space="preserve">poco </w:t>
      </w:r>
      <w:r w:rsidR="00A75B64" w:rsidRPr="00E053E1">
        <w:rPr>
          <w:rFonts w:cs="Arial"/>
          <w:lang w:val="es-ES_tradnl"/>
        </w:rPr>
        <w:t>antes de que los expertos principales inicien las labores de redacción de las directrices de examen.  Por ello, se propone organizar una serie de talleres impartidos por Internet (talleres electrónicos) para mostrar cómo se utiliza la nueva plantilla electrónica de los documentos TG.  Se haría coincidir la celebración de tales talleres con el inicio de las labores de redacción de los expertos principales.</w:t>
      </w:r>
    </w:p>
    <w:p w:rsidR="005A605D" w:rsidRPr="00E053E1" w:rsidRDefault="005A605D" w:rsidP="00E053E1">
      <w:pPr>
        <w:widowControl w:val="0"/>
        <w:rPr>
          <w:rFonts w:cs="Arial"/>
          <w:lang w:val="es-ES_tradnl"/>
        </w:rPr>
      </w:pPr>
    </w:p>
    <w:p w:rsidR="00FB3C00" w:rsidRPr="00E053E1" w:rsidRDefault="00A57943" w:rsidP="00E053E1">
      <w:pPr>
        <w:widowControl w:val="0"/>
        <w:rPr>
          <w:rFonts w:cs="Arial"/>
          <w:lang w:val="es-ES_tradnl"/>
        </w:rPr>
      </w:pPr>
      <w:r w:rsidRPr="00E053E1">
        <w:rPr>
          <w:rFonts w:cs="Arial"/>
          <w:lang w:val="es-ES_tradnl"/>
        </w:rPr>
        <w:fldChar w:fldCharType="begin"/>
      </w:r>
      <w:r w:rsidRPr="00E053E1">
        <w:rPr>
          <w:rFonts w:cs="Arial"/>
          <w:lang w:val="es-ES_tradnl"/>
        </w:rPr>
        <w:instrText xml:space="preserve"> AUTONUM  </w:instrText>
      </w:r>
      <w:r w:rsidRPr="00E053E1">
        <w:rPr>
          <w:rFonts w:cs="Arial"/>
          <w:lang w:val="es-ES_tradnl"/>
        </w:rPr>
        <w:fldChar w:fldCharType="end"/>
      </w:r>
      <w:r w:rsidRPr="00E053E1">
        <w:rPr>
          <w:rFonts w:cs="Arial"/>
          <w:lang w:val="es-ES_tradnl"/>
        </w:rPr>
        <w:tab/>
      </w:r>
      <w:r w:rsidR="00FB3C00" w:rsidRPr="00E053E1">
        <w:rPr>
          <w:rFonts w:cs="Arial"/>
          <w:lang w:val="es-ES_tradnl"/>
        </w:rPr>
        <w:t xml:space="preserve">La Oficina de la Unión preparará una plantilla </w:t>
      </w:r>
      <w:r w:rsidR="00A00D94" w:rsidRPr="00E053E1">
        <w:rPr>
          <w:rFonts w:cs="Arial"/>
          <w:lang w:val="es-ES_tradnl"/>
        </w:rPr>
        <w:t xml:space="preserve">de cuadrícula para caracteres relacionados con la forma y con una relación </w:t>
      </w:r>
      <w:r w:rsidR="00FB3C00" w:rsidRPr="00E053E1">
        <w:rPr>
          <w:rFonts w:cs="Arial"/>
          <w:lang w:val="es-ES_tradnl"/>
        </w:rPr>
        <w:t>de</w:t>
      </w:r>
      <w:r w:rsidR="001F7339" w:rsidRPr="00E053E1">
        <w:rPr>
          <w:rFonts w:cs="Arial"/>
          <w:lang w:val="es-ES_tradnl"/>
        </w:rPr>
        <w:t xml:space="preserve"> la</w:t>
      </w:r>
      <w:r w:rsidR="00FB3C00" w:rsidRPr="00E053E1">
        <w:rPr>
          <w:rFonts w:cs="Arial"/>
          <w:lang w:val="es-ES_tradnl"/>
        </w:rPr>
        <w:t xml:space="preserve"> que puedan servirse los redactores de las directrices de examen.</w:t>
      </w:r>
    </w:p>
    <w:p w:rsidR="00E053E1" w:rsidRPr="00E053E1" w:rsidRDefault="00E053E1" w:rsidP="00E053E1">
      <w:pPr>
        <w:widowControl w:val="0"/>
        <w:rPr>
          <w:rFonts w:cs="Arial"/>
          <w:lang w:val="es-ES_tradnl"/>
        </w:rPr>
      </w:pPr>
    </w:p>
    <w:p w:rsidR="00E053E1" w:rsidRPr="00E053E1" w:rsidRDefault="00E053E1">
      <w:pPr>
        <w:jc w:val="left"/>
        <w:rPr>
          <w:rFonts w:cs="Arial"/>
          <w:lang w:val="es-ES_tradnl"/>
        </w:rPr>
      </w:pPr>
      <w:r w:rsidRPr="00E053E1">
        <w:rPr>
          <w:rFonts w:cs="Arial"/>
          <w:lang w:val="es-ES_tradnl"/>
        </w:rPr>
        <w:br w:type="page"/>
      </w:r>
    </w:p>
    <w:p w:rsidR="00A57943" w:rsidRPr="00E053E1" w:rsidRDefault="00A57943" w:rsidP="00E053E1">
      <w:pPr>
        <w:pStyle w:val="DecisionParagraphs"/>
        <w:widowControl w:val="0"/>
        <w:rPr>
          <w:lang w:val="es-ES_tradnl"/>
        </w:rPr>
      </w:pPr>
      <w:r w:rsidRPr="00E053E1">
        <w:rPr>
          <w:lang w:val="es-ES_tradnl"/>
        </w:rPr>
        <w:lastRenderedPageBreak/>
        <w:fldChar w:fldCharType="begin"/>
      </w:r>
      <w:r w:rsidRPr="00E053E1">
        <w:rPr>
          <w:lang w:val="es-ES_tradnl"/>
        </w:rPr>
        <w:instrText xml:space="preserve"> AUTONUM  </w:instrText>
      </w:r>
      <w:r w:rsidRPr="00E053E1">
        <w:rPr>
          <w:lang w:val="es-ES_tradnl"/>
        </w:rPr>
        <w:fldChar w:fldCharType="end"/>
      </w:r>
      <w:r w:rsidRPr="00E053E1">
        <w:rPr>
          <w:lang w:val="es-ES_tradnl"/>
        </w:rPr>
        <w:tab/>
      </w:r>
      <w:r w:rsidR="00FB3C00" w:rsidRPr="00E053E1">
        <w:rPr>
          <w:lang w:val="es-ES_tradnl"/>
        </w:rPr>
        <w:t>Se invita al TC a</w:t>
      </w:r>
      <w:r w:rsidRPr="00E053E1">
        <w:rPr>
          <w:lang w:val="es-ES_tradnl"/>
        </w:rPr>
        <w:t>:</w:t>
      </w:r>
    </w:p>
    <w:p w:rsidR="00A57943" w:rsidRPr="00E053E1" w:rsidRDefault="00A57943" w:rsidP="00E053E1">
      <w:pPr>
        <w:pStyle w:val="DecisionParagraphs"/>
        <w:widowControl w:val="0"/>
        <w:rPr>
          <w:lang w:val="es-ES_tradnl"/>
        </w:rPr>
      </w:pPr>
    </w:p>
    <w:p w:rsidR="00FB3C00" w:rsidRPr="00E053E1" w:rsidRDefault="00950F7B" w:rsidP="00950F7B">
      <w:pPr>
        <w:pStyle w:val="DecisionParagraphs"/>
        <w:widowControl w:val="0"/>
        <w:tabs>
          <w:tab w:val="clear" w:pos="5387"/>
          <w:tab w:val="left" w:pos="5954"/>
          <w:tab w:val="left" w:pos="6521"/>
        </w:tabs>
        <w:ind w:left="5387"/>
        <w:rPr>
          <w:lang w:val="es-ES_tradnl"/>
        </w:rPr>
      </w:pPr>
      <w:r>
        <w:rPr>
          <w:lang w:val="es-ES_tradnl"/>
        </w:rPr>
        <w:tab/>
      </w:r>
      <w:r w:rsidR="00FB3C00" w:rsidRPr="00E053E1">
        <w:rPr>
          <w:lang w:val="es-ES_tradnl"/>
        </w:rPr>
        <w:t>a)</w:t>
      </w:r>
      <w:r w:rsidR="00FB3C00" w:rsidRPr="00E053E1">
        <w:rPr>
          <w:lang w:val="es-ES_tradnl"/>
        </w:rPr>
        <w:tab/>
        <w:t xml:space="preserve">tomar nota de que en el documento TC/50/10 </w:t>
      </w:r>
      <w:r w:rsidR="00FB3C00" w:rsidRPr="00E053E1">
        <w:rPr>
          <w:rFonts w:cs="Arial"/>
          <w:lang w:val="es-ES_tradnl"/>
        </w:rPr>
        <w:t>“Informe sobre las novedades acaecidas en la UPOV, donde figuran las cuestiones pertinentes examinadas en las últimas sesiones del Comité Administrativo y Jurídico, el Comité Consultivo y el Consejo”</w:t>
      </w:r>
      <w:r w:rsidR="00FB3C00" w:rsidRPr="00E053E1">
        <w:rPr>
          <w:lang w:val="es-ES_tradnl"/>
        </w:rPr>
        <w:t xml:space="preserve"> </w:t>
      </w:r>
      <w:r w:rsidR="00697B59" w:rsidRPr="00E053E1">
        <w:rPr>
          <w:lang w:val="es-ES_tradnl"/>
        </w:rPr>
        <w:t xml:space="preserve">se informará de </w:t>
      </w:r>
      <w:r w:rsidR="00FB3C00" w:rsidRPr="00E053E1">
        <w:rPr>
          <w:lang w:val="es-ES_tradnl"/>
        </w:rPr>
        <w:t>las novedades relativas a la nueva plantilla electrónica de los documentos TG</w:t>
      </w:r>
      <w:r w:rsidR="0055630E">
        <w:rPr>
          <w:lang w:val="es-ES_tradnl"/>
        </w:rPr>
        <w:t>;</w:t>
      </w:r>
    </w:p>
    <w:p w:rsidR="00FB3C00" w:rsidRPr="00E053E1" w:rsidRDefault="00FB3C00" w:rsidP="00950F7B">
      <w:pPr>
        <w:pStyle w:val="DecisionParagraphs"/>
        <w:widowControl w:val="0"/>
        <w:tabs>
          <w:tab w:val="clear" w:pos="5387"/>
          <w:tab w:val="left" w:pos="5954"/>
          <w:tab w:val="left" w:pos="6521"/>
        </w:tabs>
        <w:ind w:left="5387"/>
        <w:rPr>
          <w:lang w:val="es-ES_tradnl"/>
        </w:rPr>
      </w:pPr>
    </w:p>
    <w:p w:rsidR="00A57943" w:rsidRPr="00E053E1" w:rsidRDefault="00950F7B" w:rsidP="00950F7B">
      <w:pPr>
        <w:pStyle w:val="DecisionParagraphs"/>
        <w:widowControl w:val="0"/>
        <w:tabs>
          <w:tab w:val="clear" w:pos="5387"/>
          <w:tab w:val="left" w:pos="5954"/>
          <w:tab w:val="left" w:pos="6521"/>
        </w:tabs>
        <w:ind w:left="5387"/>
        <w:rPr>
          <w:lang w:val="es-ES_tradnl"/>
        </w:rPr>
      </w:pPr>
      <w:r>
        <w:rPr>
          <w:lang w:val="es-ES_tradnl"/>
        </w:rPr>
        <w:tab/>
      </w:r>
      <w:r w:rsidR="00FB3C00" w:rsidRPr="00E053E1">
        <w:rPr>
          <w:lang w:val="es-ES_tradnl"/>
        </w:rPr>
        <w:t>b)</w:t>
      </w:r>
      <w:r w:rsidR="00FB3C00" w:rsidRPr="00E053E1">
        <w:rPr>
          <w:lang w:val="es-ES_tradnl"/>
        </w:rPr>
        <w:tab/>
      </w:r>
      <w:r w:rsidR="001F7339" w:rsidRPr="00E053E1">
        <w:rPr>
          <w:lang w:val="es-ES_tradnl"/>
        </w:rPr>
        <w:t>aprobar</w:t>
      </w:r>
      <w:r w:rsidR="00697B59" w:rsidRPr="00E053E1">
        <w:rPr>
          <w:lang w:val="es-ES_tradnl"/>
        </w:rPr>
        <w:t xml:space="preserve"> la organización de talleres electrónicos para mostrar cómo se utiliza </w:t>
      </w:r>
      <w:r w:rsidR="0055630E">
        <w:rPr>
          <w:lang w:val="es-ES_tradnl"/>
        </w:rPr>
        <w:br/>
      </w:r>
      <w:r w:rsidR="00697B59" w:rsidRPr="00E053E1">
        <w:rPr>
          <w:lang w:val="es-ES_tradnl"/>
        </w:rPr>
        <w:t>la nueva plantill</w:t>
      </w:r>
      <w:r w:rsidR="0055630E">
        <w:rPr>
          <w:lang w:val="es-ES_tradnl"/>
        </w:rPr>
        <w:t>a electrónica de los documentos </w:t>
      </w:r>
      <w:r w:rsidR="00697B59" w:rsidRPr="00E053E1">
        <w:rPr>
          <w:lang w:val="es-ES_tradnl"/>
        </w:rPr>
        <w:t>TG;  y</w:t>
      </w:r>
    </w:p>
    <w:p w:rsidR="00A57943" w:rsidRPr="00E053E1" w:rsidRDefault="00A57943" w:rsidP="00950F7B">
      <w:pPr>
        <w:pStyle w:val="DecisionParagraphs"/>
        <w:widowControl w:val="0"/>
        <w:tabs>
          <w:tab w:val="clear" w:pos="5387"/>
          <w:tab w:val="left" w:pos="5954"/>
          <w:tab w:val="left" w:pos="6521"/>
        </w:tabs>
        <w:ind w:left="5387"/>
        <w:rPr>
          <w:lang w:val="es-ES_tradnl"/>
        </w:rPr>
      </w:pPr>
    </w:p>
    <w:p w:rsidR="00A57943" w:rsidRPr="00E053E1" w:rsidRDefault="00950F7B" w:rsidP="00950F7B">
      <w:pPr>
        <w:pStyle w:val="DecisionParagraphs"/>
        <w:widowControl w:val="0"/>
        <w:tabs>
          <w:tab w:val="clear" w:pos="5387"/>
          <w:tab w:val="left" w:pos="5954"/>
          <w:tab w:val="left" w:pos="6521"/>
        </w:tabs>
        <w:ind w:left="5387"/>
        <w:rPr>
          <w:lang w:val="es-ES_tradnl"/>
        </w:rPr>
      </w:pPr>
      <w:r>
        <w:rPr>
          <w:lang w:val="es-ES_tradnl"/>
        </w:rPr>
        <w:tab/>
      </w:r>
      <w:r w:rsidR="00FB3C00" w:rsidRPr="00E053E1">
        <w:rPr>
          <w:lang w:val="es-ES_tradnl"/>
        </w:rPr>
        <w:t>c)</w:t>
      </w:r>
      <w:r w:rsidR="00FB3C00" w:rsidRPr="00E053E1">
        <w:rPr>
          <w:lang w:val="es-ES_tradnl"/>
        </w:rPr>
        <w:tab/>
      </w:r>
      <w:r w:rsidR="001F7339" w:rsidRPr="00E053E1">
        <w:rPr>
          <w:lang w:val="es-ES_tradnl"/>
        </w:rPr>
        <w:t>tom</w:t>
      </w:r>
      <w:r w:rsidR="0055630E">
        <w:rPr>
          <w:lang w:val="es-ES_tradnl"/>
        </w:rPr>
        <w:t>ar nota de que la Oficina de la </w:t>
      </w:r>
      <w:r w:rsidR="001F7339" w:rsidRPr="00E053E1">
        <w:rPr>
          <w:lang w:val="es-ES_tradnl"/>
        </w:rPr>
        <w:t xml:space="preserve">Unión preparará una plantilla </w:t>
      </w:r>
      <w:r w:rsidR="002D775C" w:rsidRPr="00E053E1">
        <w:rPr>
          <w:rFonts w:cs="Arial"/>
          <w:lang w:val="es-ES_tradnl"/>
        </w:rPr>
        <w:t>de cuadrícula para caracteres relacionados con la forma y con una relación</w:t>
      </w:r>
      <w:r w:rsidR="0055630E">
        <w:rPr>
          <w:rFonts w:cs="Arial"/>
          <w:lang w:val="es-ES_tradnl"/>
        </w:rPr>
        <w:t>,</w:t>
      </w:r>
      <w:r w:rsidR="002D775C" w:rsidRPr="00E053E1">
        <w:rPr>
          <w:rFonts w:cs="Arial"/>
          <w:lang w:val="es-ES_tradnl"/>
        </w:rPr>
        <w:t xml:space="preserve"> </w:t>
      </w:r>
      <w:r w:rsidR="001F7339" w:rsidRPr="00E053E1">
        <w:rPr>
          <w:rFonts w:cs="Arial"/>
          <w:lang w:val="es-ES_tradnl"/>
        </w:rPr>
        <w:t>de la que puedan servirse los redactores de las directrices de examen.</w:t>
      </w:r>
    </w:p>
    <w:p w:rsidR="00A57943" w:rsidRPr="00E053E1" w:rsidRDefault="00A57943" w:rsidP="00E053E1">
      <w:pPr>
        <w:widowControl w:val="0"/>
        <w:rPr>
          <w:i/>
          <w:lang w:val="es-ES_tradnl"/>
        </w:rPr>
      </w:pPr>
    </w:p>
    <w:p w:rsidR="00A57943" w:rsidRPr="00E053E1" w:rsidRDefault="00A57943" w:rsidP="00E053E1">
      <w:pPr>
        <w:widowControl w:val="0"/>
        <w:rPr>
          <w:i/>
          <w:lang w:val="es-ES_tradnl"/>
        </w:rPr>
      </w:pPr>
    </w:p>
    <w:p w:rsidR="00A57943" w:rsidRPr="00E053E1" w:rsidRDefault="001F7339" w:rsidP="00E053E1">
      <w:pPr>
        <w:pStyle w:val="Heading2"/>
        <w:keepNext w:val="0"/>
        <w:widowControl w:val="0"/>
        <w:rPr>
          <w:lang w:val="es-ES_tradnl"/>
        </w:rPr>
      </w:pPr>
      <w:bookmarkStart w:id="8" w:name="_Toc378176936"/>
      <w:bookmarkStart w:id="9" w:name="_Toc379380917"/>
      <w:r w:rsidRPr="00E053E1">
        <w:rPr>
          <w:lang w:val="es-ES_tradnl"/>
        </w:rPr>
        <w:t>Registro de dato</w:t>
      </w:r>
      <w:r w:rsidR="00A57943" w:rsidRPr="00E053E1">
        <w:rPr>
          <w:lang w:val="es-ES_tradnl"/>
        </w:rPr>
        <w:t>s</w:t>
      </w:r>
      <w:bookmarkEnd w:id="8"/>
      <w:bookmarkEnd w:id="9"/>
    </w:p>
    <w:p w:rsidR="00A57943" w:rsidRPr="00E053E1" w:rsidRDefault="00A57943" w:rsidP="00E053E1">
      <w:pPr>
        <w:widowControl w:val="0"/>
        <w:autoSpaceDE w:val="0"/>
        <w:autoSpaceDN w:val="0"/>
        <w:adjustRightInd w:val="0"/>
        <w:jc w:val="left"/>
        <w:rPr>
          <w:szCs w:val="24"/>
          <w:lang w:val="es-ES_tradnl"/>
        </w:rPr>
      </w:pPr>
    </w:p>
    <w:p w:rsidR="001F7339" w:rsidRPr="00E053E1" w:rsidRDefault="00A57943" w:rsidP="00E053E1">
      <w:pPr>
        <w:widowControl w:val="0"/>
        <w:autoSpaceDE w:val="0"/>
        <w:autoSpaceDN w:val="0"/>
        <w:adjustRightInd w:val="0"/>
        <w:rPr>
          <w:lang w:val="es-ES_tradnl"/>
        </w:rPr>
      </w:pPr>
      <w:r w:rsidRPr="00E053E1">
        <w:rPr>
          <w:lang w:val="es-ES_tradnl"/>
        </w:rPr>
        <w:fldChar w:fldCharType="begin"/>
      </w:r>
      <w:r w:rsidRPr="00E053E1">
        <w:rPr>
          <w:lang w:val="es-ES_tradnl"/>
        </w:rPr>
        <w:instrText xml:space="preserve"> AUTONUM  </w:instrText>
      </w:r>
      <w:r w:rsidRPr="00E053E1">
        <w:rPr>
          <w:lang w:val="es-ES_tradnl"/>
        </w:rPr>
        <w:fldChar w:fldCharType="end"/>
      </w:r>
      <w:r w:rsidRPr="00E053E1">
        <w:rPr>
          <w:lang w:val="es-ES_tradnl"/>
        </w:rPr>
        <w:tab/>
      </w:r>
      <w:r w:rsidR="001F7339" w:rsidRPr="00E053E1">
        <w:rPr>
          <w:lang w:val="es-ES_tradnl"/>
        </w:rPr>
        <w:t>En su trigésima primera sesión</w:t>
      </w:r>
      <w:r w:rsidR="007153EE" w:rsidRPr="00E053E1">
        <w:rPr>
          <w:lang w:val="es-ES_tradnl"/>
        </w:rPr>
        <w:t>,</w:t>
      </w:r>
      <w:r w:rsidR="001F7339" w:rsidRPr="00E053E1">
        <w:rPr>
          <w:lang w:val="es-ES_tradnl"/>
        </w:rPr>
        <w:t xml:space="preserve"> el TWC tomó nota de la información que se facilita en el Anexo del documento TWC/31/28 Rev. </w:t>
      </w:r>
      <w:proofErr w:type="gramStart"/>
      <w:r w:rsidR="001F7339" w:rsidRPr="00E053E1">
        <w:rPr>
          <w:lang w:val="es-ES_tradnl"/>
        </w:rPr>
        <w:t>acerca</w:t>
      </w:r>
      <w:proofErr w:type="gramEnd"/>
      <w:r w:rsidR="001F7339" w:rsidRPr="00E053E1">
        <w:rPr>
          <w:lang w:val="es-ES_tradnl"/>
        </w:rPr>
        <w:t xml:space="preserve"> de la encuesta actualizada sobre dispositivos portátiles de registros de datos y convino en que la Oficina de la Unión envíe una nueva circular en la que se invite nuevamente a prestar información antes de la trigésima </w:t>
      </w:r>
      <w:r w:rsidR="0055630E">
        <w:rPr>
          <w:lang w:val="es-ES_tradnl"/>
        </w:rPr>
        <w:t xml:space="preserve">segunda </w:t>
      </w:r>
      <w:r w:rsidR="001F7339" w:rsidRPr="00E053E1">
        <w:rPr>
          <w:lang w:val="es-ES_tradnl"/>
        </w:rPr>
        <w:t>sesión del TWC (véanse los párrafos 76 y 77 del documento TWC/31/32 “</w:t>
      </w:r>
      <w:proofErr w:type="spellStart"/>
      <w:r w:rsidR="00C534CE" w:rsidRPr="00C534CE">
        <w:rPr>
          <w:i/>
          <w:lang w:val="es-ES_tradnl"/>
        </w:rPr>
        <w:t>Report</w:t>
      </w:r>
      <w:proofErr w:type="spellEnd"/>
      <w:r w:rsidR="001F7339" w:rsidRPr="00E053E1">
        <w:rPr>
          <w:lang w:val="es-ES_tradnl"/>
        </w:rPr>
        <w:t>”).</w:t>
      </w:r>
    </w:p>
    <w:p w:rsidR="001F7339" w:rsidRPr="00E053E1" w:rsidRDefault="001F7339" w:rsidP="00E053E1">
      <w:pPr>
        <w:widowControl w:val="0"/>
        <w:autoSpaceDE w:val="0"/>
        <w:autoSpaceDN w:val="0"/>
        <w:adjustRightInd w:val="0"/>
        <w:rPr>
          <w:lang w:val="es-ES_tradnl"/>
        </w:rPr>
      </w:pPr>
    </w:p>
    <w:p w:rsidR="00A57943" w:rsidRPr="00E053E1" w:rsidRDefault="00A57943" w:rsidP="00E053E1">
      <w:pPr>
        <w:pStyle w:val="DecisionParagraphs"/>
        <w:widowControl w:val="0"/>
        <w:rPr>
          <w:lang w:val="es-ES_tradnl"/>
        </w:rPr>
      </w:pPr>
      <w:r w:rsidRPr="00E053E1">
        <w:rPr>
          <w:lang w:val="es-ES_tradnl"/>
        </w:rPr>
        <w:fldChar w:fldCharType="begin"/>
      </w:r>
      <w:r w:rsidRPr="00E053E1">
        <w:rPr>
          <w:lang w:val="es-ES_tradnl"/>
        </w:rPr>
        <w:instrText xml:space="preserve"> AUTONUM  </w:instrText>
      </w:r>
      <w:r w:rsidRPr="00E053E1">
        <w:rPr>
          <w:lang w:val="es-ES_tradnl"/>
        </w:rPr>
        <w:fldChar w:fldCharType="end"/>
      </w:r>
      <w:r w:rsidRPr="00E053E1">
        <w:rPr>
          <w:lang w:val="es-ES_tradnl"/>
        </w:rPr>
        <w:tab/>
      </w:r>
      <w:r w:rsidR="006F7E76" w:rsidRPr="00E053E1">
        <w:rPr>
          <w:lang w:val="es-ES_tradnl"/>
        </w:rPr>
        <w:t xml:space="preserve">Se invita al TC a pedir a la Oficina de la Unión que </w:t>
      </w:r>
      <w:r w:rsidR="00A3286F" w:rsidRPr="00E053E1">
        <w:rPr>
          <w:lang w:val="es-ES_tradnl"/>
        </w:rPr>
        <w:t>envíe</w:t>
      </w:r>
      <w:r w:rsidR="006F7E76" w:rsidRPr="00E053E1">
        <w:rPr>
          <w:lang w:val="es-ES_tradnl"/>
        </w:rPr>
        <w:t xml:space="preserve"> una nueva circular relativa a los dispositivos portátiles de registros de datos en la que se invite nuevamente a prestar información antes de la trigésima </w:t>
      </w:r>
      <w:r w:rsidR="0055630E">
        <w:rPr>
          <w:lang w:val="es-ES_tradnl"/>
        </w:rPr>
        <w:t xml:space="preserve">segunda </w:t>
      </w:r>
      <w:r w:rsidR="006F7E76" w:rsidRPr="00E053E1">
        <w:rPr>
          <w:lang w:val="es-ES_tradnl"/>
        </w:rPr>
        <w:t>sesión del TWC.</w:t>
      </w:r>
    </w:p>
    <w:p w:rsidR="00A57943" w:rsidRPr="00E053E1" w:rsidRDefault="00A57943" w:rsidP="00E053E1">
      <w:pPr>
        <w:widowControl w:val="0"/>
        <w:rPr>
          <w:caps/>
          <w:lang w:val="es-ES_tradnl"/>
        </w:rPr>
      </w:pPr>
    </w:p>
    <w:p w:rsidR="00E053E1" w:rsidRPr="00E053E1" w:rsidRDefault="00E053E1" w:rsidP="00E053E1">
      <w:pPr>
        <w:widowControl w:val="0"/>
        <w:rPr>
          <w:caps/>
          <w:lang w:val="es-ES_tradnl"/>
        </w:rPr>
      </w:pPr>
    </w:p>
    <w:p w:rsidR="00A57943" w:rsidRPr="00E053E1" w:rsidRDefault="00A57943" w:rsidP="00E053E1">
      <w:pPr>
        <w:widowControl w:val="0"/>
        <w:rPr>
          <w:caps/>
          <w:lang w:val="es-ES_tradnl"/>
        </w:rPr>
      </w:pPr>
    </w:p>
    <w:p w:rsidR="00A57943" w:rsidRPr="00E053E1" w:rsidRDefault="006F7E76" w:rsidP="00E053E1">
      <w:pPr>
        <w:pStyle w:val="Heading1"/>
        <w:keepNext w:val="0"/>
        <w:widowControl w:val="0"/>
        <w:rPr>
          <w:lang w:val="es-ES_tradnl"/>
        </w:rPr>
      </w:pPr>
      <w:bookmarkStart w:id="10" w:name="_Toc379380918"/>
      <w:r w:rsidRPr="00E053E1">
        <w:rPr>
          <w:lang w:val="es-ES_tradnl"/>
        </w:rPr>
        <w:t>cuestiones para información</w:t>
      </w:r>
      <w:bookmarkEnd w:id="10"/>
    </w:p>
    <w:p w:rsidR="00A57943" w:rsidRPr="00E053E1" w:rsidRDefault="00A57943" w:rsidP="00E053E1">
      <w:pPr>
        <w:widowControl w:val="0"/>
        <w:rPr>
          <w:caps/>
          <w:lang w:val="es-ES_tradnl"/>
        </w:rPr>
      </w:pPr>
    </w:p>
    <w:p w:rsidR="00E053E1" w:rsidRPr="00E053E1" w:rsidRDefault="00E053E1" w:rsidP="00E053E1">
      <w:pPr>
        <w:widowControl w:val="0"/>
        <w:rPr>
          <w:caps/>
          <w:lang w:val="es-ES_tradnl"/>
        </w:rPr>
      </w:pPr>
    </w:p>
    <w:p w:rsidR="00A57943" w:rsidRPr="00E053E1" w:rsidRDefault="00046CBE" w:rsidP="00E053E1">
      <w:pPr>
        <w:pStyle w:val="Heading2"/>
        <w:keepNext w:val="0"/>
        <w:widowControl w:val="0"/>
        <w:rPr>
          <w:lang w:val="es-ES_tradnl"/>
        </w:rPr>
      </w:pPr>
      <w:bookmarkStart w:id="11" w:name="_Toc379380919"/>
      <w:r w:rsidRPr="00E053E1">
        <w:rPr>
          <w:lang w:val="es-ES_tradnl"/>
        </w:rPr>
        <w:t>Temas de debate</w:t>
      </w:r>
      <w:bookmarkEnd w:id="11"/>
    </w:p>
    <w:p w:rsidR="00A57943" w:rsidRPr="00E053E1" w:rsidRDefault="00A57943" w:rsidP="00E053E1">
      <w:pPr>
        <w:pStyle w:val="Style1"/>
        <w:widowControl w:val="0"/>
        <w:tabs>
          <w:tab w:val="left" w:pos="720"/>
        </w:tabs>
        <w:rPr>
          <w:color w:val="000000"/>
          <w:lang w:val="es-ES_tradnl"/>
        </w:rPr>
      </w:pPr>
    </w:p>
    <w:p w:rsidR="00A57943" w:rsidRPr="00E053E1" w:rsidRDefault="00A57943" w:rsidP="00E053E1">
      <w:pPr>
        <w:pStyle w:val="Style1"/>
        <w:widowControl w:val="0"/>
        <w:tabs>
          <w:tab w:val="clear" w:pos="907"/>
          <w:tab w:val="clear" w:pos="1077"/>
          <w:tab w:val="left" w:pos="630"/>
        </w:tabs>
        <w:rPr>
          <w:rFonts w:ascii="Arial" w:hAnsi="Arial" w:cs="Arial"/>
          <w:color w:val="000000"/>
          <w:sz w:val="20"/>
          <w:szCs w:val="20"/>
          <w:lang w:val="es-ES_tradnl"/>
        </w:rPr>
      </w:pPr>
      <w:r w:rsidRPr="00E053E1">
        <w:rPr>
          <w:rFonts w:ascii="Arial" w:hAnsi="Arial" w:cs="Arial"/>
          <w:color w:val="000000"/>
          <w:sz w:val="20"/>
          <w:szCs w:val="20"/>
          <w:lang w:val="es-ES_tradnl"/>
        </w:rPr>
        <w:fldChar w:fldCharType="begin"/>
      </w:r>
      <w:r w:rsidRPr="00E053E1">
        <w:rPr>
          <w:rFonts w:ascii="Arial" w:hAnsi="Arial" w:cs="Arial"/>
          <w:color w:val="000000"/>
          <w:sz w:val="20"/>
          <w:szCs w:val="20"/>
          <w:lang w:val="es-ES_tradnl"/>
        </w:rPr>
        <w:instrText xml:space="preserve"> AUTONUM  </w:instrText>
      </w:r>
      <w:r w:rsidRPr="00E053E1">
        <w:rPr>
          <w:rFonts w:ascii="Arial" w:hAnsi="Arial" w:cs="Arial"/>
          <w:color w:val="000000"/>
          <w:sz w:val="20"/>
          <w:szCs w:val="20"/>
          <w:lang w:val="es-ES_tradnl"/>
        </w:rPr>
        <w:fldChar w:fldCharType="end"/>
      </w:r>
      <w:r w:rsidRPr="00E053E1">
        <w:rPr>
          <w:rFonts w:ascii="Arial" w:hAnsi="Arial" w:cs="Arial"/>
          <w:color w:val="000000"/>
          <w:sz w:val="20"/>
          <w:szCs w:val="20"/>
          <w:lang w:val="es-ES_tradnl"/>
        </w:rPr>
        <w:tab/>
      </w:r>
      <w:r w:rsidR="00A3286F" w:rsidRPr="00E053E1">
        <w:rPr>
          <w:rFonts w:ascii="Arial" w:hAnsi="Arial" w:cs="Arial"/>
          <w:color w:val="000000"/>
          <w:sz w:val="20"/>
          <w:szCs w:val="20"/>
          <w:lang w:val="es-ES_tradnl"/>
        </w:rPr>
        <w:t>En su cuadragésima cuarta sesión, el TWF propuso que al programa de su cuadragésima quinta sesi</w:t>
      </w:r>
      <w:r w:rsidR="0029739C" w:rsidRPr="00E053E1">
        <w:rPr>
          <w:rFonts w:ascii="Arial" w:hAnsi="Arial" w:cs="Arial"/>
          <w:color w:val="000000"/>
          <w:sz w:val="20"/>
          <w:szCs w:val="20"/>
          <w:lang w:val="es-ES_tradnl"/>
        </w:rPr>
        <w:t>ón se añada un punto del</w:t>
      </w:r>
      <w:r w:rsidR="00A3286F" w:rsidRPr="00E053E1">
        <w:rPr>
          <w:rFonts w:ascii="Arial" w:hAnsi="Arial" w:cs="Arial"/>
          <w:color w:val="000000"/>
          <w:sz w:val="20"/>
          <w:szCs w:val="20"/>
          <w:lang w:val="es-ES_tradnl"/>
        </w:rPr>
        <w:t xml:space="preserve"> orden del día en cuyo marco se examinen los siguientes asuntos (véase el párrafo 107 del documento TWF/44/31 “</w:t>
      </w:r>
      <w:proofErr w:type="spellStart"/>
      <w:r w:rsidR="00C534CE" w:rsidRPr="00C534CE">
        <w:rPr>
          <w:rFonts w:ascii="Arial" w:hAnsi="Arial" w:cs="Arial"/>
          <w:i/>
          <w:color w:val="000000"/>
          <w:sz w:val="20"/>
          <w:szCs w:val="20"/>
          <w:lang w:val="es-ES_tradnl"/>
        </w:rPr>
        <w:t>Report</w:t>
      </w:r>
      <w:proofErr w:type="spellEnd"/>
      <w:r w:rsidR="00A3286F" w:rsidRPr="00E053E1">
        <w:rPr>
          <w:rFonts w:ascii="Arial" w:hAnsi="Arial" w:cs="Arial"/>
          <w:color w:val="000000"/>
          <w:sz w:val="20"/>
          <w:szCs w:val="20"/>
          <w:lang w:val="es-ES_tradnl"/>
        </w:rPr>
        <w:t>”):</w:t>
      </w:r>
    </w:p>
    <w:p w:rsidR="00A57943" w:rsidRPr="00E053E1" w:rsidRDefault="00A57943" w:rsidP="00E053E1">
      <w:pPr>
        <w:pStyle w:val="Style1"/>
        <w:widowControl w:val="0"/>
        <w:tabs>
          <w:tab w:val="left" w:pos="720"/>
        </w:tabs>
        <w:rPr>
          <w:rFonts w:ascii="Arial" w:hAnsi="Arial" w:cs="Arial"/>
          <w:color w:val="000000"/>
          <w:sz w:val="20"/>
          <w:szCs w:val="20"/>
          <w:lang w:val="es-ES_tradnl"/>
        </w:rPr>
      </w:pPr>
    </w:p>
    <w:p w:rsidR="00A57943" w:rsidRPr="00E053E1" w:rsidRDefault="00F44290" w:rsidP="00E053E1">
      <w:pPr>
        <w:pStyle w:val="Style1"/>
        <w:widowControl w:val="0"/>
        <w:numPr>
          <w:ilvl w:val="0"/>
          <w:numId w:val="4"/>
        </w:numPr>
        <w:tabs>
          <w:tab w:val="clear" w:pos="907"/>
          <w:tab w:val="clear" w:pos="1077"/>
        </w:tabs>
        <w:ind w:left="1134" w:hanging="566"/>
        <w:rPr>
          <w:rFonts w:ascii="Arial" w:hAnsi="Arial" w:cs="Arial"/>
          <w:color w:val="000000"/>
          <w:sz w:val="20"/>
          <w:szCs w:val="20"/>
          <w:lang w:val="es-ES_tradnl"/>
        </w:rPr>
      </w:pPr>
      <w:r w:rsidRPr="00E053E1">
        <w:rPr>
          <w:rFonts w:ascii="Arial" w:hAnsi="Arial" w:cs="Arial"/>
          <w:color w:val="000000"/>
          <w:sz w:val="20"/>
          <w:szCs w:val="20"/>
          <w:lang w:val="es-ES_tradnl"/>
        </w:rPr>
        <w:t>g</w:t>
      </w:r>
      <w:r w:rsidR="00A3286F" w:rsidRPr="00E053E1">
        <w:rPr>
          <w:rFonts w:ascii="Arial" w:hAnsi="Arial" w:cs="Arial"/>
          <w:color w:val="000000"/>
          <w:sz w:val="20"/>
          <w:szCs w:val="20"/>
          <w:lang w:val="es-ES_tradnl"/>
        </w:rPr>
        <w:t xml:space="preserve">estión de las colecciones de referencia </w:t>
      </w:r>
      <w:r w:rsidR="0029739C" w:rsidRPr="00E053E1">
        <w:rPr>
          <w:rFonts w:ascii="Arial" w:hAnsi="Arial" w:cs="Arial"/>
          <w:color w:val="000000"/>
          <w:sz w:val="20"/>
          <w:szCs w:val="20"/>
          <w:lang w:val="es-ES_tradnl"/>
        </w:rPr>
        <w:t>para el</w:t>
      </w:r>
      <w:r w:rsidR="00A3286F" w:rsidRPr="00E053E1">
        <w:rPr>
          <w:rFonts w:ascii="Arial" w:hAnsi="Arial" w:cs="Arial"/>
          <w:color w:val="000000"/>
          <w:sz w:val="20"/>
          <w:szCs w:val="20"/>
          <w:lang w:val="es-ES_tradnl"/>
        </w:rPr>
        <w:t xml:space="preserve"> examen DHE</w:t>
      </w:r>
      <w:r w:rsidR="00A57943" w:rsidRPr="00E053E1">
        <w:rPr>
          <w:rFonts w:ascii="Arial" w:hAnsi="Arial" w:cs="Arial"/>
          <w:color w:val="000000"/>
          <w:sz w:val="20"/>
          <w:szCs w:val="20"/>
          <w:lang w:val="es-ES_tradnl"/>
        </w:rPr>
        <w:t xml:space="preserve"> (</w:t>
      </w:r>
      <w:r w:rsidRPr="00E053E1">
        <w:rPr>
          <w:rFonts w:ascii="Arial" w:hAnsi="Arial" w:cs="Arial"/>
          <w:color w:val="000000"/>
          <w:sz w:val="20"/>
          <w:szCs w:val="20"/>
          <w:lang w:val="es-ES_tradnl"/>
        </w:rPr>
        <w:t>preparación del documento a cargo de</w:t>
      </w:r>
      <w:r w:rsidR="00A3286F" w:rsidRPr="00E053E1">
        <w:rPr>
          <w:rFonts w:ascii="Arial" w:hAnsi="Arial" w:cs="Arial"/>
          <w:color w:val="000000"/>
          <w:sz w:val="20"/>
          <w:szCs w:val="20"/>
          <w:lang w:val="es-ES_tradnl"/>
        </w:rPr>
        <w:t xml:space="preserve"> Francia y la Unión Europea</w:t>
      </w:r>
      <w:r w:rsidR="00A57943" w:rsidRPr="00E053E1">
        <w:rPr>
          <w:rFonts w:ascii="Arial" w:hAnsi="Arial" w:cs="Arial"/>
          <w:color w:val="000000"/>
          <w:sz w:val="20"/>
          <w:szCs w:val="20"/>
          <w:lang w:val="es-ES_tradnl"/>
        </w:rPr>
        <w:t>)</w:t>
      </w:r>
      <w:r w:rsidR="007153EE" w:rsidRPr="00E053E1">
        <w:rPr>
          <w:rFonts w:ascii="Arial" w:hAnsi="Arial" w:cs="Arial"/>
          <w:color w:val="000000"/>
          <w:sz w:val="20"/>
          <w:szCs w:val="20"/>
          <w:lang w:val="es-ES_tradnl"/>
        </w:rPr>
        <w:t>;</w:t>
      </w:r>
    </w:p>
    <w:p w:rsidR="00A57943" w:rsidRPr="00E053E1" w:rsidRDefault="00F44290" w:rsidP="00E053E1">
      <w:pPr>
        <w:pStyle w:val="Style1"/>
        <w:widowControl w:val="0"/>
        <w:numPr>
          <w:ilvl w:val="0"/>
          <w:numId w:val="4"/>
        </w:numPr>
        <w:tabs>
          <w:tab w:val="clear" w:pos="907"/>
          <w:tab w:val="clear" w:pos="1077"/>
        </w:tabs>
        <w:ind w:left="1134" w:hanging="566"/>
        <w:rPr>
          <w:rFonts w:ascii="Arial" w:hAnsi="Arial" w:cs="Arial"/>
          <w:color w:val="000000"/>
          <w:sz w:val="20"/>
          <w:szCs w:val="20"/>
          <w:lang w:val="es-ES_tradnl"/>
        </w:rPr>
      </w:pPr>
      <w:r w:rsidRPr="00E053E1">
        <w:rPr>
          <w:rFonts w:ascii="Arial" w:hAnsi="Arial" w:cs="Arial"/>
          <w:color w:val="000000"/>
          <w:sz w:val="20"/>
          <w:szCs w:val="20"/>
          <w:lang w:val="es-ES_tradnl"/>
        </w:rPr>
        <w:t>d</w:t>
      </w:r>
      <w:r w:rsidR="00A3286F" w:rsidRPr="00E053E1">
        <w:rPr>
          <w:rFonts w:ascii="Arial" w:hAnsi="Arial" w:cs="Arial"/>
          <w:color w:val="000000"/>
          <w:sz w:val="20"/>
          <w:szCs w:val="20"/>
          <w:lang w:val="es-ES_tradnl"/>
        </w:rPr>
        <w:t>uración de los exámenes DHE en el sector frutícola</w:t>
      </w:r>
      <w:r w:rsidR="00A57943" w:rsidRPr="00E053E1">
        <w:rPr>
          <w:rFonts w:ascii="Arial" w:hAnsi="Arial" w:cs="Arial"/>
          <w:color w:val="000000"/>
          <w:sz w:val="20"/>
          <w:szCs w:val="20"/>
          <w:lang w:val="es-ES_tradnl"/>
        </w:rPr>
        <w:t xml:space="preserve"> (</w:t>
      </w:r>
      <w:r w:rsidRPr="00E053E1">
        <w:rPr>
          <w:rFonts w:ascii="Arial" w:hAnsi="Arial" w:cs="Arial"/>
          <w:color w:val="000000"/>
          <w:sz w:val="20"/>
          <w:szCs w:val="20"/>
          <w:lang w:val="es-ES_tradnl"/>
        </w:rPr>
        <w:t xml:space="preserve">preparación del </w:t>
      </w:r>
      <w:r w:rsidR="00A3286F" w:rsidRPr="00E053E1">
        <w:rPr>
          <w:rFonts w:ascii="Arial" w:hAnsi="Arial" w:cs="Arial"/>
          <w:color w:val="000000"/>
          <w:sz w:val="20"/>
          <w:szCs w:val="20"/>
          <w:lang w:val="es-ES_tradnl"/>
        </w:rPr>
        <w:t xml:space="preserve">documento </w:t>
      </w:r>
      <w:r w:rsidRPr="00E053E1">
        <w:rPr>
          <w:rFonts w:ascii="Arial" w:hAnsi="Arial" w:cs="Arial"/>
          <w:color w:val="000000"/>
          <w:sz w:val="20"/>
          <w:szCs w:val="20"/>
          <w:lang w:val="es-ES_tradnl"/>
        </w:rPr>
        <w:t>a cargo de</w:t>
      </w:r>
      <w:r w:rsidR="00A3286F" w:rsidRPr="00E053E1">
        <w:rPr>
          <w:rFonts w:ascii="Arial" w:hAnsi="Arial" w:cs="Arial"/>
          <w:color w:val="000000"/>
          <w:sz w:val="20"/>
          <w:szCs w:val="20"/>
          <w:lang w:val="es-ES_tradnl"/>
        </w:rPr>
        <w:t xml:space="preserve"> la Unión Europea</w:t>
      </w:r>
      <w:r w:rsidR="00A57943" w:rsidRPr="00E053E1">
        <w:rPr>
          <w:rFonts w:ascii="Arial" w:hAnsi="Arial" w:cs="Arial"/>
          <w:color w:val="000000"/>
          <w:sz w:val="20"/>
          <w:szCs w:val="20"/>
          <w:lang w:val="es-ES_tradnl"/>
        </w:rPr>
        <w:t>)</w:t>
      </w:r>
      <w:r w:rsidR="007153EE" w:rsidRPr="00E053E1">
        <w:rPr>
          <w:rFonts w:ascii="Arial" w:hAnsi="Arial" w:cs="Arial"/>
          <w:color w:val="000000"/>
          <w:sz w:val="20"/>
          <w:szCs w:val="20"/>
          <w:lang w:val="es-ES_tradnl"/>
        </w:rPr>
        <w:t>;</w:t>
      </w:r>
    </w:p>
    <w:p w:rsidR="00A57943" w:rsidRPr="00E053E1" w:rsidRDefault="00F44290" w:rsidP="00E053E1">
      <w:pPr>
        <w:pStyle w:val="Style1"/>
        <w:widowControl w:val="0"/>
        <w:numPr>
          <w:ilvl w:val="0"/>
          <w:numId w:val="4"/>
        </w:numPr>
        <w:tabs>
          <w:tab w:val="clear" w:pos="907"/>
          <w:tab w:val="clear" w:pos="1077"/>
        </w:tabs>
        <w:ind w:left="1134" w:hanging="566"/>
        <w:rPr>
          <w:rFonts w:ascii="Arial" w:hAnsi="Arial" w:cs="Arial"/>
          <w:color w:val="000000"/>
          <w:sz w:val="20"/>
          <w:szCs w:val="20"/>
          <w:lang w:val="es-ES_tradnl"/>
        </w:rPr>
      </w:pPr>
      <w:r w:rsidRPr="00E053E1">
        <w:rPr>
          <w:rFonts w:ascii="Arial" w:hAnsi="Arial" w:cs="Arial"/>
          <w:color w:val="000000"/>
          <w:sz w:val="20"/>
          <w:szCs w:val="20"/>
          <w:lang w:val="es-ES_tradnl"/>
        </w:rPr>
        <w:t>v</w:t>
      </w:r>
      <w:r w:rsidR="00A3286F" w:rsidRPr="00E053E1">
        <w:rPr>
          <w:rFonts w:ascii="Arial" w:hAnsi="Arial" w:cs="Arial"/>
          <w:color w:val="000000"/>
          <w:sz w:val="20"/>
          <w:szCs w:val="20"/>
          <w:lang w:val="es-ES_tradnl"/>
        </w:rPr>
        <w:t xml:space="preserve">ariedades ejemplo </w:t>
      </w:r>
      <w:r w:rsidRPr="00E053E1">
        <w:rPr>
          <w:rFonts w:ascii="Arial" w:hAnsi="Arial" w:cs="Arial"/>
          <w:color w:val="000000"/>
          <w:sz w:val="20"/>
          <w:szCs w:val="20"/>
          <w:lang w:val="es-ES_tradnl"/>
        </w:rPr>
        <w:t xml:space="preserve">armonizadas </w:t>
      </w:r>
      <w:r w:rsidR="00A3286F" w:rsidRPr="00E053E1">
        <w:rPr>
          <w:rFonts w:ascii="Arial" w:hAnsi="Arial" w:cs="Arial"/>
          <w:color w:val="000000"/>
          <w:sz w:val="20"/>
          <w:szCs w:val="20"/>
          <w:lang w:val="es-ES_tradnl"/>
        </w:rPr>
        <w:t>de la manzana</w:t>
      </w:r>
      <w:proofErr w:type="gramStart"/>
      <w:r w:rsidR="00A57943" w:rsidRPr="00E053E1">
        <w:rPr>
          <w:rFonts w:ascii="Arial" w:hAnsi="Arial" w:cs="Arial"/>
          <w:color w:val="000000"/>
          <w:sz w:val="20"/>
          <w:szCs w:val="20"/>
          <w:lang w:val="es-ES_tradnl"/>
        </w:rPr>
        <w:t>:</w:t>
      </w:r>
      <w:r w:rsidR="00A3286F" w:rsidRPr="00E053E1">
        <w:rPr>
          <w:rFonts w:ascii="Arial" w:hAnsi="Arial" w:cs="Arial"/>
          <w:color w:val="000000"/>
          <w:sz w:val="20"/>
          <w:szCs w:val="20"/>
          <w:lang w:val="es-ES_tradnl"/>
        </w:rPr>
        <w:t xml:space="preserve"> </w:t>
      </w:r>
      <w:r w:rsidR="00A57943" w:rsidRPr="00E053E1">
        <w:rPr>
          <w:rFonts w:ascii="Arial" w:hAnsi="Arial" w:cs="Arial"/>
          <w:color w:val="000000"/>
          <w:sz w:val="20"/>
          <w:szCs w:val="20"/>
          <w:lang w:val="es-ES_tradnl"/>
        </w:rPr>
        <w:t xml:space="preserve"> </w:t>
      </w:r>
      <w:r w:rsidRPr="00E053E1">
        <w:rPr>
          <w:rFonts w:ascii="Arial" w:hAnsi="Arial" w:cs="Arial"/>
          <w:color w:val="000000"/>
          <w:sz w:val="20"/>
          <w:szCs w:val="20"/>
          <w:lang w:val="es-ES_tradnl"/>
        </w:rPr>
        <w:t>datos</w:t>
      </w:r>
      <w:proofErr w:type="gramEnd"/>
      <w:r w:rsidRPr="00E053E1">
        <w:rPr>
          <w:rFonts w:ascii="Arial" w:hAnsi="Arial" w:cs="Arial"/>
          <w:color w:val="000000"/>
          <w:sz w:val="20"/>
          <w:szCs w:val="20"/>
          <w:lang w:val="es-ES_tradnl"/>
        </w:rPr>
        <w:t xml:space="preserve"> históricos y posibles novedades</w:t>
      </w:r>
      <w:r w:rsidR="00A57943" w:rsidRPr="00E053E1">
        <w:rPr>
          <w:rFonts w:ascii="Arial" w:hAnsi="Arial" w:cs="Arial"/>
          <w:color w:val="000000"/>
          <w:sz w:val="20"/>
          <w:szCs w:val="20"/>
          <w:lang w:val="es-ES_tradnl"/>
        </w:rPr>
        <w:t xml:space="preserve"> (</w:t>
      </w:r>
      <w:r w:rsidRPr="00E053E1">
        <w:rPr>
          <w:rFonts w:ascii="Arial" w:hAnsi="Arial" w:cs="Arial"/>
          <w:color w:val="000000"/>
          <w:sz w:val="20"/>
          <w:szCs w:val="20"/>
          <w:lang w:val="es-ES_tradnl"/>
        </w:rPr>
        <w:t xml:space="preserve">preparación del </w:t>
      </w:r>
      <w:r w:rsidR="00A57943" w:rsidRPr="00E053E1">
        <w:rPr>
          <w:rFonts w:ascii="Arial" w:hAnsi="Arial" w:cs="Arial"/>
          <w:color w:val="000000"/>
          <w:sz w:val="20"/>
          <w:szCs w:val="20"/>
          <w:lang w:val="es-ES_tradnl"/>
        </w:rPr>
        <w:t>document</w:t>
      </w:r>
      <w:r w:rsidRPr="00E053E1">
        <w:rPr>
          <w:rFonts w:ascii="Arial" w:hAnsi="Arial" w:cs="Arial"/>
          <w:color w:val="000000"/>
          <w:sz w:val="20"/>
          <w:szCs w:val="20"/>
          <w:lang w:val="es-ES_tradnl"/>
        </w:rPr>
        <w:t>o a cargo de Alemania, Nueva Zelandia y la Oficina de la Unión</w:t>
      </w:r>
      <w:r w:rsidR="00A57943" w:rsidRPr="00E053E1">
        <w:rPr>
          <w:rFonts w:ascii="Arial" w:hAnsi="Arial" w:cs="Arial"/>
          <w:color w:val="000000"/>
          <w:sz w:val="20"/>
          <w:szCs w:val="20"/>
          <w:lang w:val="es-ES_tradnl"/>
        </w:rPr>
        <w:t>)</w:t>
      </w:r>
      <w:r w:rsidR="007153EE" w:rsidRPr="00E053E1">
        <w:rPr>
          <w:rFonts w:ascii="Arial" w:hAnsi="Arial" w:cs="Arial"/>
          <w:color w:val="000000"/>
          <w:sz w:val="20"/>
          <w:szCs w:val="20"/>
          <w:lang w:val="es-ES_tradnl"/>
        </w:rPr>
        <w:t>.</w:t>
      </w:r>
    </w:p>
    <w:p w:rsidR="0055630E" w:rsidRDefault="0055630E">
      <w:pPr>
        <w:jc w:val="left"/>
        <w:rPr>
          <w:color w:val="000000"/>
          <w:lang w:val="es-ES_tradnl"/>
        </w:rPr>
      </w:pPr>
    </w:p>
    <w:p w:rsidR="00A57943" w:rsidRPr="00E053E1" w:rsidRDefault="00A57943" w:rsidP="00E053E1">
      <w:pPr>
        <w:pStyle w:val="Style1"/>
        <w:widowControl w:val="0"/>
        <w:tabs>
          <w:tab w:val="clear" w:pos="907"/>
          <w:tab w:val="clear" w:pos="1077"/>
          <w:tab w:val="left" w:pos="630"/>
        </w:tabs>
        <w:rPr>
          <w:rFonts w:ascii="Arial" w:hAnsi="Arial" w:cs="Arial"/>
          <w:color w:val="000000"/>
          <w:sz w:val="20"/>
          <w:szCs w:val="20"/>
          <w:lang w:val="es-ES_tradnl"/>
        </w:rPr>
      </w:pPr>
      <w:r w:rsidRPr="00E053E1">
        <w:rPr>
          <w:rFonts w:ascii="Arial" w:hAnsi="Arial"/>
          <w:sz w:val="20"/>
          <w:szCs w:val="20"/>
          <w:lang w:val="es-ES_tradnl" w:eastAsia="en-US"/>
        </w:rPr>
        <w:fldChar w:fldCharType="begin"/>
      </w:r>
      <w:r w:rsidRPr="00E053E1">
        <w:rPr>
          <w:rFonts w:ascii="Arial" w:hAnsi="Arial"/>
          <w:sz w:val="20"/>
          <w:szCs w:val="20"/>
          <w:lang w:val="es-ES_tradnl" w:eastAsia="en-US"/>
        </w:rPr>
        <w:instrText xml:space="preserve"> AUTONUM  </w:instrText>
      </w:r>
      <w:r w:rsidRPr="00E053E1">
        <w:rPr>
          <w:rFonts w:ascii="Arial" w:hAnsi="Arial"/>
          <w:sz w:val="20"/>
          <w:szCs w:val="20"/>
          <w:lang w:val="es-ES_tradnl" w:eastAsia="en-US"/>
        </w:rPr>
        <w:fldChar w:fldCharType="end"/>
      </w:r>
      <w:r w:rsidRPr="00E053E1">
        <w:rPr>
          <w:rFonts w:ascii="Arial" w:hAnsi="Arial" w:cs="Arial"/>
          <w:color w:val="000000"/>
          <w:sz w:val="20"/>
          <w:szCs w:val="20"/>
          <w:lang w:val="es-ES_tradnl"/>
        </w:rPr>
        <w:tab/>
      </w:r>
      <w:r w:rsidR="0029739C" w:rsidRPr="00E053E1">
        <w:rPr>
          <w:rFonts w:ascii="Arial" w:hAnsi="Arial" w:cs="Arial"/>
          <w:color w:val="000000"/>
          <w:sz w:val="20"/>
          <w:szCs w:val="20"/>
          <w:lang w:val="es-ES_tradnl"/>
        </w:rPr>
        <w:t>En su cuadragésima séptima sesión, el TWV propuso que al programa de su cuadragésima octava sesión se añadan puntos del orden del día en cuyo marco se presenten y examinen los siguientes asuntos (véase el párrafo 122 del documento TWV/47/34 “</w:t>
      </w:r>
      <w:proofErr w:type="spellStart"/>
      <w:r w:rsidR="00C534CE" w:rsidRPr="00C534CE">
        <w:rPr>
          <w:rFonts w:ascii="Arial" w:hAnsi="Arial" w:cs="Arial"/>
          <w:i/>
          <w:color w:val="000000"/>
          <w:sz w:val="20"/>
          <w:szCs w:val="20"/>
          <w:lang w:val="es-ES_tradnl"/>
        </w:rPr>
        <w:t>Report</w:t>
      </w:r>
      <w:proofErr w:type="spellEnd"/>
      <w:r w:rsidR="0029739C" w:rsidRPr="00E053E1">
        <w:rPr>
          <w:rFonts w:ascii="Arial" w:hAnsi="Arial" w:cs="Arial"/>
          <w:color w:val="000000"/>
          <w:sz w:val="20"/>
          <w:szCs w:val="20"/>
          <w:lang w:val="es-ES_tradnl"/>
        </w:rPr>
        <w:t>”)</w:t>
      </w:r>
      <w:r w:rsidRPr="00E053E1">
        <w:rPr>
          <w:rFonts w:ascii="Arial" w:hAnsi="Arial" w:cs="Arial"/>
          <w:color w:val="000000"/>
          <w:sz w:val="20"/>
          <w:szCs w:val="20"/>
          <w:lang w:val="es-ES_tradnl"/>
        </w:rPr>
        <w:t>:</w:t>
      </w:r>
    </w:p>
    <w:p w:rsidR="00A57943" w:rsidRPr="00E053E1" w:rsidRDefault="00A57943" w:rsidP="00E053E1">
      <w:pPr>
        <w:pStyle w:val="Style1"/>
        <w:widowControl w:val="0"/>
        <w:tabs>
          <w:tab w:val="clear" w:pos="907"/>
          <w:tab w:val="clear" w:pos="1077"/>
          <w:tab w:val="left" w:pos="630"/>
        </w:tabs>
        <w:rPr>
          <w:rFonts w:ascii="Arial" w:hAnsi="Arial" w:cs="Arial"/>
          <w:color w:val="000000"/>
          <w:sz w:val="20"/>
          <w:szCs w:val="20"/>
          <w:lang w:val="es-ES_tradnl"/>
        </w:rPr>
      </w:pPr>
    </w:p>
    <w:p w:rsidR="00A57943" w:rsidRPr="00E053E1" w:rsidRDefault="004B534E" w:rsidP="006D0865">
      <w:pPr>
        <w:pStyle w:val="Style1"/>
        <w:widowControl w:val="0"/>
        <w:numPr>
          <w:ilvl w:val="0"/>
          <w:numId w:val="7"/>
        </w:numPr>
        <w:tabs>
          <w:tab w:val="clear" w:pos="907"/>
          <w:tab w:val="clear" w:pos="1077"/>
        </w:tabs>
        <w:ind w:left="1134" w:hanging="566"/>
        <w:rPr>
          <w:rFonts w:ascii="Arial" w:hAnsi="Arial" w:cs="Arial"/>
          <w:color w:val="000000"/>
          <w:sz w:val="20"/>
          <w:szCs w:val="20"/>
          <w:lang w:val="es-ES_tradnl"/>
        </w:rPr>
      </w:pPr>
      <w:r w:rsidRPr="00E053E1">
        <w:rPr>
          <w:rFonts w:ascii="Arial" w:hAnsi="Arial" w:cs="Arial"/>
          <w:color w:val="000000"/>
          <w:sz w:val="20"/>
          <w:szCs w:val="20"/>
          <w:lang w:val="es-ES_tradnl"/>
        </w:rPr>
        <w:t>técnicas moleculares en el examen DHE</w:t>
      </w:r>
      <w:r w:rsidR="00A57943" w:rsidRPr="00E053E1">
        <w:rPr>
          <w:rFonts w:ascii="Arial" w:hAnsi="Arial" w:cs="Arial"/>
          <w:color w:val="000000"/>
          <w:sz w:val="20"/>
          <w:szCs w:val="20"/>
          <w:lang w:val="es-ES_tradnl"/>
        </w:rPr>
        <w:t xml:space="preserve"> (</w:t>
      </w:r>
      <w:r w:rsidRPr="00E053E1">
        <w:rPr>
          <w:rFonts w:ascii="Arial" w:hAnsi="Arial" w:cs="Arial"/>
          <w:color w:val="000000"/>
          <w:sz w:val="20"/>
          <w:szCs w:val="20"/>
          <w:lang w:val="es-ES_tradnl"/>
        </w:rPr>
        <w:t xml:space="preserve">preparación del </w:t>
      </w:r>
      <w:r w:rsidR="006D0865">
        <w:rPr>
          <w:rFonts w:ascii="Arial" w:hAnsi="Arial" w:cs="Arial"/>
          <w:color w:val="000000"/>
          <w:sz w:val="20"/>
          <w:szCs w:val="20"/>
          <w:lang w:val="es-ES_tradnl"/>
        </w:rPr>
        <w:t>documento a cargo de los Países </w:t>
      </w:r>
      <w:r w:rsidRPr="00E053E1">
        <w:rPr>
          <w:rFonts w:ascii="Arial" w:hAnsi="Arial" w:cs="Arial"/>
          <w:color w:val="000000"/>
          <w:sz w:val="20"/>
          <w:szCs w:val="20"/>
          <w:lang w:val="es-ES_tradnl"/>
        </w:rPr>
        <w:t xml:space="preserve">Bajos y </w:t>
      </w:r>
      <w:r w:rsidR="008716EC" w:rsidRPr="00E053E1">
        <w:rPr>
          <w:rFonts w:ascii="Arial" w:hAnsi="Arial" w:cs="Arial"/>
          <w:color w:val="000000"/>
          <w:sz w:val="20"/>
          <w:szCs w:val="20"/>
          <w:lang w:val="es-ES_tradnl"/>
        </w:rPr>
        <w:t>presentaciones</w:t>
      </w:r>
      <w:r w:rsidRPr="00E053E1">
        <w:rPr>
          <w:rFonts w:ascii="Arial" w:hAnsi="Arial" w:cs="Arial"/>
          <w:color w:val="000000"/>
          <w:sz w:val="20"/>
          <w:szCs w:val="20"/>
          <w:lang w:val="es-ES_tradnl"/>
        </w:rPr>
        <w:t xml:space="preserve"> a cargo de miembros de la Unión</w:t>
      </w:r>
      <w:r w:rsidR="00A57943" w:rsidRPr="00E053E1">
        <w:rPr>
          <w:rFonts w:ascii="Arial" w:hAnsi="Arial" w:cs="Arial"/>
          <w:color w:val="000000"/>
          <w:sz w:val="20"/>
          <w:szCs w:val="20"/>
          <w:lang w:val="es-ES_tradnl"/>
        </w:rPr>
        <w:t>)</w:t>
      </w:r>
      <w:r w:rsidR="004A7525" w:rsidRPr="00E053E1">
        <w:rPr>
          <w:rFonts w:ascii="Arial" w:hAnsi="Arial" w:cs="Arial"/>
          <w:color w:val="000000"/>
          <w:sz w:val="20"/>
          <w:szCs w:val="20"/>
          <w:lang w:val="es-ES_tradnl"/>
        </w:rPr>
        <w:t>;</w:t>
      </w:r>
    </w:p>
    <w:p w:rsidR="00A57943" w:rsidRPr="00E053E1" w:rsidRDefault="00831D9E" w:rsidP="006D0865">
      <w:pPr>
        <w:pStyle w:val="Style1"/>
        <w:widowControl w:val="0"/>
        <w:numPr>
          <w:ilvl w:val="0"/>
          <w:numId w:val="7"/>
        </w:numPr>
        <w:tabs>
          <w:tab w:val="clear" w:pos="907"/>
          <w:tab w:val="clear" w:pos="1077"/>
        </w:tabs>
        <w:ind w:left="1134" w:hanging="566"/>
        <w:rPr>
          <w:rFonts w:ascii="Arial" w:hAnsi="Arial" w:cs="Arial"/>
          <w:color w:val="000000"/>
          <w:sz w:val="20"/>
          <w:szCs w:val="20"/>
          <w:lang w:val="es-ES_tradnl"/>
        </w:rPr>
      </w:pPr>
      <w:r w:rsidRPr="00E053E1">
        <w:rPr>
          <w:rFonts w:ascii="Arial" w:hAnsi="Arial" w:cs="Arial"/>
          <w:color w:val="000000"/>
          <w:sz w:val="20"/>
          <w:szCs w:val="20"/>
          <w:lang w:val="es-ES_tradnl"/>
        </w:rPr>
        <w:t>utilización de métodos estadísticos en el examen DHE</w:t>
      </w:r>
      <w:r w:rsidR="00A57943" w:rsidRPr="00E053E1">
        <w:rPr>
          <w:rFonts w:ascii="Arial" w:hAnsi="Arial" w:cs="Arial"/>
          <w:color w:val="000000"/>
          <w:sz w:val="20"/>
          <w:szCs w:val="20"/>
          <w:lang w:val="es-ES_tradnl"/>
        </w:rPr>
        <w:t xml:space="preserve"> (</w:t>
      </w:r>
      <w:r w:rsidRPr="00E053E1">
        <w:rPr>
          <w:rFonts w:ascii="Arial" w:hAnsi="Arial" w:cs="Arial"/>
          <w:color w:val="000000"/>
          <w:sz w:val="20"/>
          <w:szCs w:val="20"/>
          <w:lang w:val="es-ES_tradnl"/>
        </w:rPr>
        <w:t xml:space="preserve">preparación del </w:t>
      </w:r>
      <w:r w:rsidR="00A57943" w:rsidRPr="00E053E1">
        <w:rPr>
          <w:rFonts w:ascii="Arial" w:hAnsi="Arial" w:cs="Arial"/>
          <w:color w:val="000000"/>
          <w:sz w:val="20"/>
          <w:szCs w:val="20"/>
          <w:lang w:val="es-ES_tradnl"/>
        </w:rPr>
        <w:t>document</w:t>
      </w:r>
      <w:r w:rsidRPr="00E053E1">
        <w:rPr>
          <w:rFonts w:ascii="Arial" w:hAnsi="Arial" w:cs="Arial"/>
          <w:color w:val="000000"/>
          <w:sz w:val="20"/>
          <w:szCs w:val="20"/>
          <w:lang w:val="es-ES_tradnl"/>
        </w:rPr>
        <w:t>o a cargo de los Países Bajos y presentaciones a cargo de miembros de la Unión</w:t>
      </w:r>
      <w:r w:rsidR="00A57943" w:rsidRPr="00E053E1">
        <w:rPr>
          <w:rFonts w:ascii="Arial" w:hAnsi="Arial" w:cs="Arial"/>
          <w:color w:val="000000"/>
          <w:sz w:val="20"/>
          <w:szCs w:val="20"/>
          <w:lang w:val="es-ES_tradnl"/>
        </w:rPr>
        <w:t>)</w:t>
      </w:r>
      <w:r w:rsidR="004A7525" w:rsidRPr="00E053E1">
        <w:rPr>
          <w:rFonts w:ascii="Arial" w:hAnsi="Arial" w:cs="Arial"/>
          <w:color w:val="000000"/>
          <w:sz w:val="20"/>
          <w:szCs w:val="20"/>
          <w:lang w:val="es-ES_tradnl"/>
        </w:rPr>
        <w:t>;</w:t>
      </w:r>
    </w:p>
    <w:p w:rsidR="00A57943" w:rsidRPr="00E053E1" w:rsidRDefault="008716EC" w:rsidP="006D0865">
      <w:pPr>
        <w:pStyle w:val="Style1"/>
        <w:widowControl w:val="0"/>
        <w:numPr>
          <w:ilvl w:val="0"/>
          <w:numId w:val="7"/>
        </w:numPr>
        <w:tabs>
          <w:tab w:val="clear" w:pos="907"/>
          <w:tab w:val="clear" w:pos="1077"/>
        </w:tabs>
        <w:ind w:left="1134" w:hanging="566"/>
        <w:rPr>
          <w:rFonts w:ascii="Arial" w:hAnsi="Arial" w:cs="Arial"/>
          <w:color w:val="000000"/>
          <w:sz w:val="20"/>
          <w:szCs w:val="20"/>
          <w:lang w:val="es-ES_tradnl"/>
        </w:rPr>
      </w:pPr>
      <w:r w:rsidRPr="00E053E1">
        <w:rPr>
          <w:rFonts w:ascii="Arial" w:hAnsi="Arial" w:cs="Arial"/>
          <w:color w:val="000000"/>
          <w:sz w:val="20"/>
          <w:szCs w:val="20"/>
          <w:lang w:val="es-ES_tradnl"/>
        </w:rPr>
        <w:t>utilización de caracteres de resistencia a las enfermedades en el examen DHE</w:t>
      </w:r>
      <w:r w:rsidR="00A57943" w:rsidRPr="00E053E1">
        <w:rPr>
          <w:rFonts w:ascii="Arial" w:hAnsi="Arial" w:cs="Arial"/>
          <w:color w:val="000000"/>
          <w:sz w:val="20"/>
          <w:szCs w:val="20"/>
          <w:lang w:val="es-ES_tradnl"/>
        </w:rPr>
        <w:t xml:space="preserve"> (</w:t>
      </w:r>
      <w:r w:rsidRPr="00E053E1">
        <w:rPr>
          <w:rFonts w:ascii="Arial" w:hAnsi="Arial" w:cs="Arial"/>
          <w:color w:val="000000"/>
          <w:sz w:val="20"/>
          <w:szCs w:val="20"/>
          <w:lang w:val="es-ES_tradnl"/>
        </w:rPr>
        <w:t>preparación del documento a cargo de la Unión Europea y presentaciones a cargo de miembros de la Unión</w:t>
      </w:r>
      <w:r w:rsidR="00A57943" w:rsidRPr="00E053E1">
        <w:rPr>
          <w:rFonts w:ascii="Arial" w:hAnsi="Arial" w:cs="Arial"/>
          <w:color w:val="000000"/>
          <w:sz w:val="20"/>
          <w:szCs w:val="20"/>
          <w:lang w:val="es-ES_tradnl"/>
        </w:rPr>
        <w:t>)</w:t>
      </w:r>
      <w:r w:rsidR="004A7525" w:rsidRPr="00E053E1">
        <w:rPr>
          <w:rFonts w:ascii="Arial" w:hAnsi="Arial" w:cs="Arial"/>
          <w:color w:val="000000"/>
          <w:sz w:val="20"/>
          <w:szCs w:val="20"/>
          <w:lang w:val="es-ES_tradnl"/>
        </w:rPr>
        <w:t>;</w:t>
      </w:r>
    </w:p>
    <w:p w:rsidR="00A57943" w:rsidRPr="00E053E1" w:rsidRDefault="00EA0866" w:rsidP="006D0865">
      <w:pPr>
        <w:pStyle w:val="Style1"/>
        <w:widowControl w:val="0"/>
        <w:numPr>
          <w:ilvl w:val="0"/>
          <w:numId w:val="7"/>
        </w:numPr>
        <w:tabs>
          <w:tab w:val="clear" w:pos="907"/>
          <w:tab w:val="clear" w:pos="1077"/>
        </w:tabs>
        <w:ind w:left="1134" w:hanging="566"/>
        <w:rPr>
          <w:rFonts w:ascii="Arial" w:hAnsi="Arial" w:cs="Arial"/>
          <w:color w:val="000000"/>
          <w:sz w:val="20"/>
          <w:szCs w:val="20"/>
          <w:lang w:val="es-ES_tradnl"/>
        </w:rPr>
      </w:pPr>
      <w:r w:rsidRPr="00E053E1">
        <w:rPr>
          <w:rFonts w:ascii="Arial" w:hAnsi="Arial" w:cs="Arial"/>
          <w:color w:val="000000"/>
          <w:sz w:val="20"/>
          <w:szCs w:val="20"/>
          <w:lang w:val="es-ES_tradnl"/>
        </w:rPr>
        <w:t>gestión de las colecciones de referencia</w:t>
      </w:r>
      <w:r w:rsidR="00A57943" w:rsidRPr="00E053E1">
        <w:rPr>
          <w:rFonts w:ascii="Arial" w:hAnsi="Arial" w:cs="Arial"/>
          <w:color w:val="000000"/>
          <w:sz w:val="20"/>
          <w:szCs w:val="20"/>
          <w:lang w:val="es-ES_tradnl"/>
        </w:rPr>
        <w:t xml:space="preserve"> (</w:t>
      </w:r>
      <w:r w:rsidRPr="00E053E1">
        <w:rPr>
          <w:rFonts w:ascii="Arial" w:hAnsi="Arial" w:cs="Arial"/>
          <w:color w:val="000000"/>
          <w:sz w:val="20"/>
          <w:szCs w:val="20"/>
          <w:lang w:val="es-ES_tradnl"/>
        </w:rPr>
        <w:t xml:space="preserve">preparación del </w:t>
      </w:r>
      <w:r w:rsidR="00A57943" w:rsidRPr="00E053E1">
        <w:rPr>
          <w:rFonts w:ascii="Arial" w:hAnsi="Arial" w:cs="Arial"/>
          <w:color w:val="000000"/>
          <w:sz w:val="20"/>
          <w:szCs w:val="20"/>
          <w:lang w:val="es-ES_tradnl"/>
        </w:rPr>
        <w:t>document</w:t>
      </w:r>
      <w:r w:rsidRPr="00E053E1">
        <w:rPr>
          <w:rFonts w:ascii="Arial" w:hAnsi="Arial" w:cs="Arial"/>
          <w:color w:val="000000"/>
          <w:sz w:val="20"/>
          <w:szCs w:val="20"/>
          <w:lang w:val="es-ES_tradnl"/>
        </w:rPr>
        <w:t>o a cargo de Francia y presentaciones a cargo de miembros de la Unión</w:t>
      </w:r>
      <w:r w:rsidR="00A57943" w:rsidRPr="00E053E1">
        <w:rPr>
          <w:rFonts w:ascii="Arial" w:hAnsi="Arial" w:cs="Arial"/>
          <w:color w:val="000000"/>
          <w:sz w:val="20"/>
          <w:szCs w:val="20"/>
          <w:lang w:val="es-ES_tradnl"/>
        </w:rPr>
        <w:t>)</w:t>
      </w:r>
      <w:r w:rsidR="004A7525" w:rsidRPr="00E053E1">
        <w:rPr>
          <w:rFonts w:ascii="Arial" w:hAnsi="Arial" w:cs="Arial"/>
          <w:color w:val="000000"/>
          <w:sz w:val="20"/>
          <w:szCs w:val="20"/>
          <w:lang w:val="es-ES_tradnl"/>
        </w:rPr>
        <w:t>;</w:t>
      </w:r>
    </w:p>
    <w:p w:rsidR="00A57943" w:rsidRPr="00E053E1" w:rsidRDefault="00EA0866" w:rsidP="006D0865">
      <w:pPr>
        <w:pStyle w:val="Style1"/>
        <w:widowControl w:val="0"/>
        <w:numPr>
          <w:ilvl w:val="0"/>
          <w:numId w:val="7"/>
        </w:numPr>
        <w:tabs>
          <w:tab w:val="clear" w:pos="907"/>
          <w:tab w:val="clear" w:pos="1077"/>
        </w:tabs>
        <w:ind w:left="1134" w:hanging="566"/>
        <w:rPr>
          <w:rFonts w:ascii="Arial" w:hAnsi="Arial" w:cs="Arial"/>
          <w:color w:val="000000"/>
          <w:sz w:val="20"/>
          <w:szCs w:val="20"/>
          <w:lang w:val="es-ES_tradnl"/>
        </w:rPr>
      </w:pPr>
      <w:r w:rsidRPr="00E053E1">
        <w:rPr>
          <w:rFonts w:ascii="Arial" w:hAnsi="Arial" w:cs="Arial"/>
          <w:color w:val="000000"/>
          <w:sz w:val="20"/>
          <w:szCs w:val="20"/>
          <w:lang w:val="es-ES_tradnl"/>
        </w:rPr>
        <w:t>nuevas cuestiones que se plantean en relación con el examen DHE</w:t>
      </w:r>
      <w:r w:rsidR="00A57943" w:rsidRPr="00E053E1">
        <w:rPr>
          <w:rFonts w:ascii="Arial" w:hAnsi="Arial" w:cs="Arial"/>
          <w:color w:val="000000"/>
          <w:sz w:val="20"/>
          <w:szCs w:val="20"/>
          <w:lang w:val="es-ES_tradnl"/>
        </w:rPr>
        <w:t xml:space="preserve"> (presenta</w:t>
      </w:r>
      <w:r w:rsidRPr="00E053E1">
        <w:rPr>
          <w:rFonts w:ascii="Arial" w:hAnsi="Arial" w:cs="Arial"/>
          <w:color w:val="000000"/>
          <w:sz w:val="20"/>
          <w:szCs w:val="20"/>
          <w:lang w:val="es-ES_tradnl"/>
        </w:rPr>
        <w:t>ciones a cargo de miembros de la Unión</w:t>
      </w:r>
      <w:r w:rsidR="00A57943" w:rsidRPr="00E053E1">
        <w:rPr>
          <w:rFonts w:ascii="Arial" w:hAnsi="Arial" w:cs="Arial"/>
          <w:color w:val="000000"/>
          <w:sz w:val="20"/>
          <w:szCs w:val="20"/>
          <w:lang w:val="es-ES_tradnl"/>
        </w:rPr>
        <w:t>)</w:t>
      </w:r>
      <w:r w:rsidR="004A7525" w:rsidRPr="00E053E1">
        <w:rPr>
          <w:rFonts w:ascii="Arial" w:hAnsi="Arial" w:cs="Arial"/>
          <w:color w:val="000000"/>
          <w:sz w:val="20"/>
          <w:szCs w:val="20"/>
          <w:lang w:val="es-ES_tradnl"/>
        </w:rPr>
        <w:t>.</w:t>
      </w:r>
    </w:p>
    <w:p w:rsidR="00A57943" w:rsidRPr="00E053E1" w:rsidRDefault="00A57943" w:rsidP="00E053E1">
      <w:pPr>
        <w:widowControl w:val="0"/>
        <w:rPr>
          <w:color w:val="000000"/>
          <w:lang w:val="es-ES_tradnl"/>
        </w:rPr>
      </w:pPr>
    </w:p>
    <w:p w:rsidR="00046CBE" w:rsidRPr="00E053E1" w:rsidRDefault="00A57943" w:rsidP="00E053E1">
      <w:pPr>
        <w:pStyle w:val="DecisionParagraphs"/>
        <w:widowControl w:val="0"/>
        <w:rPr>
          <w:lang w:val="es-ES_tradnl"/>
        </w:rPr>
      </w:pPr>
      <w:r w:rsidRPr="00E053E1">
        <w:rPr>
          <w:lang w:val="es-ES_tradnl"/>
        </w:rPr>
        <w:fldChar w:fldCharType="begin"/>
      </w:r>
      <w:r w:rsidRPr="00E053E1">
        <w:rPr>
          <w:lang w:val="es-ES_tradnl"/>
        </w:rPr>
        <w:instrText xml:space="preserve"> AUTONUM  </w:instrText>
      </w:r>
      <w:r w:rsidRPr="00E053E1">
        <w:rPr>
          <w:lang w:val="es-ES_tradnl"/>
        </w:rPr>
        <w:fldChar w:fldCharType="end"/>
      </w:r>
      <w:r w:rsidRPr="00E053E1">
        <w:rPr>
          <w:lang w:val="es-ES_tradnl"/>
        </w:rPr>
        <w:tab/>
      </w:r>
      <w:r w:rsidR="00046CBE" w:rsidRPr="00E053E1">
        <w:rPr>
          <w:lang w:val="es-ES_tradnl"/>
        </w:rPr>
        <w:t xml:space="preserve">Se invita al TC a tomar nota de la adición de temas de debate en las sesiones de 2014 del TWF y el TWV, </w:t>
      </w:r>
      <w:r w:rsidR="00016C88" w:rsidRPr="00E053E1">
        <w:rPr>
          <w:lang w:val="es-ES_tradnl"/>
        </w:rPr>
        <w:t>como se indica</w:t>
      </w:r>
      <w:r w:rsidR="00046CBE" w:rsidRPr="00E053E1">
        <w:rPr>
          <w:lang w:val="es-ES_tradnl"/>
        </w:rPr>
        <w:t xml:space="preserve"> en los párrafos 15 y 16.</w:t>
      </w:r>
    </w:p>
    <w:p w:rsidR="00A57943" w:rsidRPr="00E053E1" w:rsidRDefault="00A57943" w:rsidP="00E053E1">
      <w:pPr>
        <w:widowControl w:val="0"/>
        <w:rPr>
          <w:color w:val="000000"/>
          <w:lang w:val="es-ES_tradnl"/>
        </w:rPr>
      </w:pPr>
    </w:p>
    <w:p w:rsidR="00A57943" w:rsidRPr="00E053E1" w:rsidRDefault="00A57943" w:rsidP="00E053E1">
      <w:pPr>
        <w:widowControl w:val="0"/>
        <w:rPr>
          <w:lang w:val="es-ES_tradnl"/>
        </w:rPr>
      </w:pPr>
    </w:p>
    <w:p w:rsidR="00A57943" w:rsidRPr="00E053E1" w:rsidRDefault="00A57943" w:rsidP="00E053E1">
      <w:pPr>
        <w:pStyle w:val="Heading2"/>
        <w:keepNext w:val="0"/>
        <w:widowControl w:val="0"/>
        <w:rPr>
          <w:lang w:val="es-ES_tradnl"/>
        </w:rPr>
      </w:pPr>
      <w:bookmarkStart w:id="12" w:name="_Toc348535868"/>
      <w:bookmarkStart w:id="13" w:name="_Toc378176937"/>
      <w:bookmarkStart w:id="14" w:name="_Toc379380920"/>
      <w:r w:rsidRPr="00E053E1">
        <w:rPr>
          <w:lang w:val="es-ES_tradnl"/>
        </w:rPr>
        <w:t>Experienc</w:t>
      </w:r>
      <w:r w:rsidR="00046CBE" w:rsidRPr="00E053E1">
        <w:rPr>
          <w:lang w:val="es-ES_tradnl"/>
        </w:rPr>
        <w:t>ias con nuevos tipos y especies</w:t>
      </w:r>
      <w:bookmarkEnd w:id="12"/>
      <w:bookmarkEnd w:id="13"/>
      <w:bookmarkEnd w:id="14"/>
    </w:p>
    <w:p w:rsidR="00A57943" w:rsidRPr="00E053E1" w:rsidRDefault="00A57943" w:rsidP="00E053E1">
      <w:pPr>
        <w:widowControl w:val="0"/>
        <w:rPr>
          <w:lang w:val="es-ES_tradnl"/>
        </w:rPr>
      </w:pPr>
    </w:p>
    <w:p w:rsidR="008C3082" w:rsidRPr="00E053E1" w:rsidRDefault="00A57943" w:rsidP="00E053E1">
      <w:pPr>
        <w:widowControl w:val="0"/>
        <w:rPr>
          <w:snapToGrid w:val="0"/>
          <w:lang w:val="es-ES_tradnl"/>
        </w:rPr>
      </w:pPr>
      <w:r w:rsidRPr="00E053E1">
        <w:rPr>
          <w:snapToGrid w:val="0"/>
          <w:lang w:val="es-ES_tradnl"/>
        </w:rPr>
        <w:fldChar w:fldCharType="begin"/>
      </w:r>
      <w:r w:rsidRPr="00E053E1">
        <w:rPr>
          <w:snapToGrid w:val="0"/>
          <w:lang w:val="es-ES_tradnl"/>
        </w:rPr>
        <w:instrText xml:space="preserve"> AUTONUM  </w:instrText>
      </w:r>
      <w:r w:rsidRPr="00E053E1">
        <w:rPr>
          <w:snapToGrid w:val="0"/>
          <w:lang w:val="es-ES_tradnl"/>
        </w:rPr>
        <w:fldChar w:fldCharType="end"/>
      </w:r>
      <w:r w:rsidRPr="00E053E1">
        <w:rPr>
          <w:snapToGrid w:val="0"/>
          <w:lang w:val="es-ES_tradnl"/>
        </w:rPr>
        <w:tab/>
      </w:r>
      <w:r w:rsidR="008C3082" w:rsidRPr="00E053E1">
        <w:rPr>
          <w:snapToGrid w:val="0"/>
          <w:lang w:val="es-ES_tradnl"/>
        </w:rPr>
        <w:t xml:space="preserve">En su cuadragésima sexta sesión, el TWO atendió a la ponencia a cargo de un experto de Australia sobre una nueva variedad híbrida </w:t>
      </w:r>
      <w:proofErr w:type="spellStart"/>
      <w:r w:rsidR="008C3082" w:rsidRPr="00E053E1">
        <w:rPr>
          <w:snapToGrid w:val="0"/>
          <w:lang w:val="es-ES_tradnl"/>
        </w:rPr>
        <w:t>intergenérica</w:t>
      </w:r>
      <w:proofErr w:type="spellEnd"/>
      <w:r w:rsidR="008C3082" w:rsidRPr="00E053E1">
        <w:rPr>
          <w:snapToGrid w:val="0"/>
          <w:lang w:val="es-ES_tradnl"/>
        </w:rPr>
        <w:t xml:space="preserve"> entre</w:t>
      </w:r>
      <w:r w:rsidR="00016C88" w:rsidRPr="00E053E1">
        <w:rPr>
          <w:snapToGrid w:val="0"/>
          <w:lang w:val="es-ES_tradnl"/>
        </w:rPr>
        <w:t xml:space="preserve"> la variedad</w:t>
      </w:r>
      <w:r w:rsidR="008C3082" w:rsidRPr="00E053E1">
        <w:rPr>
          <w:snapToGrid w:val="0"/>
          <w:lang w:val="es-ES_tradnl"/>
        </w:rPr>
        <w:t xml:space="preserve"> </w:t>
      </w:r>
      <w:proofErr w:type="spellStart"/>
      <w:r w:rsidR="008C3082" w:rsidRPr="00E053E1">
        <w:rPr>
          <w:i/>
          <w:lang w:val="es-ES_tradnl"/>
        </w:rPr>
        <w:t>Disphyma</w:t>
      </w:r>
      <w:proofErr w:type="spellEnd"/>
      <w:r w:rsidR="008C3082" w:rsidRPr="00E053E1">
        <w:rPr>
          <w:i/>
          <w:lang w:val="es-ES_tradnl"/>
        </w:rPr>
        <w:t xml:space="preserve"> </w:t>
      </w:r>
      <w:proofErr w:type="spellStart"/>
      <w:r w:rsidR="008C3082" w:rsidRPr="00E053E1">
        <w:rPr>
          <w:i/>
          <w:lang w:val="es-ES_tradnl"/>
        </w:rPr>
        <w:t>crassifolium</w:t>
      </w:r>
      <w:proofErr w:type="spellEnd"/>
      <w:r w:rsidR="008C3082" w:rsidRPr="00E053E1">
        <w:rPr>
          <w:lang w:val="es-ES_tradnl"/>
        </w:rPr>
        <w:t xml:space="preserve"> </w:t>
      </w:r>
      <w:proofErr w:type="spellStart"/>
      <w:r w:rsidR="008C3082" w:rsidRPr="00E053E1">
        <w:rPr>
          <w:lang w:val="es-ES_tradnl"/>
        </w:rPr>
        <w:t>ssp</w:t>
      </w:r>
      <w:proofErr w:type="spellEnd"/>
      <w:r w:rsidR="008C3082" w:rsidRPr="00E053E1">
        <w:rPr>
          <w:lang w:val="es-ES_tradnl"/>
        </w:rPr>
        <w:t xml:space="preserve">. </w:t>
      </w:r>
      <w:proofErr w:type="spellStart"/>
      <w:r w:rsidR="008C3082" w:rsidRPr="00E053E1">
        <w:rPr>
          <w:i/>
          <w:lang w:val="es-ES_tradnl"/>
        </w:rPr>
        <w:t>Clavellatum</w:t>
      </w:r>
      <w:proofErr w:type="spellEnd"/>
      <w:r w:rsidR="008C3082" w:rsidRPr="00E053E1">
        <w:rPr>
          <w:i/>
          <w:lang w:val="es-ES_tradnl"/>
        </w:rPr>
        <w:t xml:space="preserve"> </w:t>
      </w:r>
      <w:r w:rsidR="008C3082" w:rsidRPr="00E053E1">
        <w:rPr>
          <w:lang w:val="es-ES_tradnl"/>
        </w:rPr>
        <w:t xml:space="preserve">y </w:t>
      </w:r>
      <w:r w:rsidR="00016C88" w:rsidRPr="00E053E1">
        <w:rPr>
          <w:lang w:val="es-ES_tradnl"/>
        </w:rPr>
        <w:t xml:space="preserve">la variedad </w:t>
      </w:r>
      <w:proofErr w:type="spellStart"/>
      <w:r w:rsidR="008C3082" w:rsidRPr="00E053E1">
        <w:rPr>
          <w:i/>
          <w:lang w:val="es-ES_tradnl"/>
        </w:rPr>
        <w:t>Glottiphyllum</w:t>
      </w:r>
      <w:proofErr w:type="spellEnd"/>
      <w:r w:rsidR="008C3082" w:rsidRPr="00E053E1">
        <w:rPr>
          <w:i/>
          <w:lang w:val="es-ES_tradnl"/>
        </w:rPr>
        <w:t xml:space="preserve"> </w:t>
      </w:r>
      <w:proofErr w:type="spellStart"/>
      <w:r w:rsidR="008C3082" w:rsidRPr="00E053E1">
        <w:rPr>
          <w:i/>
          <w:lang w:val="es-ES_tradnl"/>
        </w:rPr>
        <w:t>longum</w:t>
      </w:r>
      <w:proofErr w:type="spellEnd"/>
      <w:r w:rsidR="008C3082" w:rsidRPr="00E053E1">
        <w:rPr>
          <w:i/>
          <w:lang w:val="es-ES_tradnl"/>
        </w:rPr>
        <w:t xml:space="preserve">.  </w:t>
      </w:r>
      <w:r w:rsidR="00016C88" w:rsidRPr="00E053E1">
        <w:rPr>
          <w:lang w:val="es-ES_tradnl"/>
        </w:rPr>
        <w:t>Dicha ponencia se ha incluido en el</w:t>
      </w:r>
      <w:r w:rsidR="008C3082" w:rsidRPr="00E053E1">
        <w:rPr>
          <w:lang w:val="es-ES_tradnl"/>
        </w:rPr>
        <w:t xml:space="preserve"> documento TWO/46/28 </w:t>
      </w:r>
      <w:r w:rsidR="00E60DE0" w:rsidRPr="00E053E1">
        <w:rPr>
          <w:lang w:val="es-ES_tradnl"/>
        </w:rPr>
        <w:t>“</w:t>
      </w:r>
      <w:proofErr w:type="spellStart"/>
      <w:r w:rsidR="00E60DE0" w:rsidRPr="00C534CE">
        <w:rPr>
          <w:i/>
          <w:lang w:val="es-ES_tradnl"/>
        </w:rPr>
        <w:t>Reports</w:t>
      </w:r>
      <w:proofErr w:type="spellEnd"/>
      <w:r w:rsidR="00E60DE0" w:rsidRPr="00C534CE">
        <w:rPr>
          <w:i/>
          <w:lang w:val="es-ES_tradnl"/>
        </w:rPr>
        <w:t xml:space="preserve"> </w:t>
      </w:r>
      <w:proofErr w:type="spellStart"/>
      <w:r w:rsidR="00E60DE0" w:rsidRPr="00C534CE">
        <w:rPr>
          <w:i/>
          <w:lang w:val="es-ES_tradnl"/>
        </w:rPr>
        <w:t>on</w:t>
      </w:r>
      <w:proofErr w:type="spellEnd"/>
      <w:r w:rsidR="00E60DE0" w:rsidRPr="00C534CE">
        <w:rPr>
          <w:i/>
          <w:lang w:val="es-ES_tradnl"/>
        </w:rPr>
        <w:t xml:space="preserve"> </w:t>
      </w:r>
      <w:proofErr w:type="spellStart"/>
      <w:r w:rsidR="00E60DE0" w:rsidRPr="00C534CE">
        <w:rPr>
          <w:i/>
          <w:lang w:val="es-ES_tradnl"/>
        </w:rPr>
        <w:t>development</w:t>
      </w:r>
      <w:proofErr w:type="spellEnd"/>
      <w:r w:rsidR="00E60DE0" w:rsidRPr="00C534CE">
        <w:rPr>
          <w:i/>
          <w:lang w:val="es-ES_tradnl"/>
        </w:rPr>
        <w:t xml:space="preserve"> in </w:t>
      </w:r>
      <w:proofErr w:type="spellStart"/>
      <w:r w:rsidR="00E60DE0" w:rsidRPr="00C534CE">
        <w:rPr>
          <w:i/>
          <w:lang w:val="es-ES_tradnl"/>
        </w:rPr>
        <w:t>plant</w:t>
      </w:r>
      <w:proofErr w:type="spellEnd"/>
      <w:r w:rsidR="00E60DE0" w:rsidRPr="00C534CE">
        <w:rPr>
          <w:i/>
          <w:lang w:val="es-ES_tradnl"/>
        </w:rPr>
        <w:t xml:space="preserve"> </w:t>
      </w:r>
      <w:proofErr w:type="spellStart"/>
      <w:r w:rsidR="00E60DE0" w:rsidRPr="00C534CE">
        <w:rPr>
          <w:i/>
          <w:lang w:val="es-ES_tradnl"/>
        </w:rPr>
        <w:t>variety</w:t>
      </w:r>
      <w:proofErr w:type="spellEnd"/>
      <w:r w:rsidR="00E60DE0" w:rsidRPr="00C534CE">
        <w:rPr>
          <w:i/>
          <w:lang w:val="es-ES_tradnl"/>
        </w:rPr>
        <w:t xml:space="preserve"> </w:t>
      </w:r>
      <w:proofErr w:type="spellStart"/>
      <w:r w:rsidR="00E60DE0" w:rsidRPr="00C534CE">
        <w:rPr>
          <w:i/>
          <w:lang w:val="es-ES_tradnl"/>
        </w:rPr>
        <w:t>protection</w:t>
      </w:r>
      <w:proofErr w:type="spellEnd"/>
      <w:r w:rsidR="00E60DE0" w:rsidRPr="00C534CE">
        <w:rPr>
          <w:i/>
          <w:lang w:val="es-ES_tradnl"/>
        </w:rPr>
        <w:t xml:space="preserve"> </w:t>
      </w:r>
      <w:proofErr w:type="spellStart"/>
      <w:r w:rsidR="00E60DE0" w:rsidRPr="00C534CE">
        <w:rPr>
          <w:i/>
          <w:lang w:val="es-ES_tradnl"/>
        </w:rPr>
        <w:t>from</w:t>
      </w:r>
      <w:proofErr w:type="spellEnd"/>
      <w:r w:rsidR="00E60DE0" w:rsidRPr="00C534CE">
        <w:rPr>
          <w:i/>
          <w:lang w:val="es-ES_tradnl"/>
        </w:rPr>
        <w:t xml:space="preserve"> </w:t>
      </w:r>
      <w:proofErr w:type="spellStart"/>
      <w:r w:rsidR="00E60DE0" w:rsidRPr="00C534CE">
        <w:rPr>
          <w:i/>
          <w:lang w:val="es-ES_tradnl"/>
        </w:rPr>
        <w:t>members</w:t>
      </w:r>
      <w:proofErr w:type="spellEnd"/>
      <w:r w:rsidR="00E60DE0" w:rsidRPr="00C534CE">
        <w:rPr>
          <w:i/>
          <w:lang w:val="es-ES_tradnl"/>
        </w:rPr>
        <w:t xml:space="preserve"> and </w:t>
      </w:r>
      <w:proofErr w:type="spellStart"/>
      <w:r w:rsidR="00E60DE0" w:rsidRPr="00C534CE">
        <w:rPr>
          <w:i/>
          <w:lang w:val="es-ES_tradnl"/>
        </w:rPr>
        <w:t>observers</w:t>
      </w:r>
      <w:proofErr w:type="spellEnd"/>
      <w:r w:rsidR="00E60DE0">
        <w:rPr>
          <w:lang w:val="es-ES_tradnl"/>
        </w:rPr>
        <w:t>” (</w:t>
      </w:r>
      <w:r w:rsidR="00E60DE0" w:rsidRPr="00E053E1">
        <w:rPr>
          <w:lang w:val="es-ES_tradnl"/>
        </w:rPr>
        <w:t>Informes de miembros y observadores sobre los avances en la protecc</w:t>
      </w:r>
      <w:r w:rsidR="00E60DE0">
        <w:rPr>
          <w:lang w:val="es-ES_tradnl"/>
        </w:rPr>
        <w:t>ión de las variedades vegetales)</w:t>
      </w:r>
      <w:r w:rsidR="00016C88" w:rsidRPr="00E053E1">
        <w:rPr>
          <w:lang w:val="es-ES_tradnl"/>
        </w:rPr>
        <w:t xml:space="preserve"> </w:t>
      </w:r>
      <w:r w:rsidR="008C3082" w:rsidRPr="00E053E1">
        <w:rPr>
          <w:lang w:val="es-ES_tradnl"/>
        </w:rPr>
        <w:t>(véase el párrafo 103 del documento TWO/46/29 “</w:t>
      </w:r>
      <w:proofErr w:type="spellStart"/>
      <w:r w:rsidR="00C534CE" w:rsidRPr="00C534CE">
        <w:rPr>
          <w:i/>
          <w:lang w:val="es-ES_tradnl"/>
        </w:rPr>
        <w:t>Report</w:t>
      </w:r>
      <w:proofErr w:type="spellEnd"/>
      <w:r w:rsidR="008C3082" w:rsidRPr="00E053E1">
        <w:rPr>
          <w:lang w:val="es-ES_tradnl"/>
        </w:rPr>
        <w:t>”)</w:t>
      </w:r>
      <w:r w:rsidR="00016C88" w:rsidRPr="00E053E1">
        <w:rPr>
          <w:lang w:val="es-ES_tradnl"/>
        </w:rPr>
        <w:t>.</w:t>
      </w:r>
    </w:p>
    <w:p w:rsidR="00A57943" w:rsidRPr="00E053E1" w:rsidRDefault="00A57943" w:rsidP="00E053E1">
      <w:pPr>
        <w:widowControl w:val="0"/>
        <w:rPr>
          <w:lang w:val="es-ES_tradnl"/>
        </w:rPr>
      </w:pPr>
    </w:p>
    <w:p w:rsidR="00016C88" w:rsidRPr="00E053E1" w:rsidRDefault="00A57943" w:rsidP="00C534CE">
      <w:pPr>
        <w:widowControl w:val="0"/>
        <w:rPr>
          <w:lang w:val="es-ES_tradnl"/>
        </w:rPr>
      </w:pPr>
      <w:r w:rsidRPr="00E053E1">
        <w:rPr>
          <w:lang w:val="es-ES_tradnl"/>
        </w:rPr>
        <w:fldChar w:fldCharType="begin"/>
      </w:r>
      <w:r w:rsidRPr="00E053E1">
        <w:rPr>
          <w:lang w:val="es-ES_tradnl"/>
        </w:rPr>
        <w:instrText xml:space="preserve"> AUTONUM  </w:instrText>
      </w:r>
      <w:r w:rsidRPr="00E053E1">
        <w:rPr>
          <w:lang w:val="es-ES_tradnl"/>
        </w:rPr>
        <w:fldChar w:fldCharType="end"/>
      </w:r>
      <w:r w:rsidRPr="00E053E1">
        <w:rPr>
          <w:lang w:val="es-ES_tradnl"/>
        </w:rPr>
        <w:tab/>
      </w:r>
      <w:r w:rsidR="00016C88" w:rsidRPr="00E053E1">
        <w:rPr>
          <w:lang w:val="es-ES_tradnl"/>
        </w:rPr>
        <w:t xml:space="preserve">En su cuadragésima segunda sesión, el TWA atendió a la ponencia a cargo de un experto de Ucrania sobre experiencias con nuevos tipos y especies, inclusión hecha de la variedad </w:t>
      </w:r>
      <w:proofErr w:type="spellStart"/>
      <w:r w:rsidR="00016C88" w:rsidRPr="00E053E1">
        <w:rPr>
          <w:i/>
          <w:lang w:val="es-ES_tradnl"/>
        </w:rPr>
        <w:t>Sorghum</w:t>
      </w:r>
      <w:proofErr w:type="spellEnd"/>
      <w:r w:rsidR="00016C88" w:rsidRPr="00E053E1">
        <w:rPr>
          <w:i/>
          <w:lang w:val="es-ES_tradnl"/>
        </w:rPr>
        <w:t xml:space="preserve"> </w:t>
      </w:r>
      <w:proofErr w:type="spellStart"/>
      <w:r w:rsidR="00016C88" w:rsidRPr="00E053E1">
        <w:rPr>
          <w:i/>
          <w:lang w:val="es-ES_tradnl"/>
        </w:rPr>
        <w:t>oryzoidum</w:t>
      </w:r>
      <w:proofErr w:type="spellEnd"/>
      <w:r w:rsidR="00016C88" w:rsidRPr="00E053E1">
        <w:rPr>
          <w:i/>
          <w:lang w:val="es-ES_tradnl"/>
        </w:rPr>
        <w:t>,</w:t>
      </w:r>
      <w:r w:rsidR="00016C88" w:rsidRPr="00E053E1">
        <w:rPr>
          <w:lang w:val="es-ES_tradnl"/>
        </w:rPr>
        <w:t xml:space="preserve"> híbrido </w:t>
      </w:r>
      <w:proofErr w:type="spellStart"/>
      <w:r w:rsidR="00016C88" w:rsidRPr="00E053E1">
        <w:rPr>
          <w:lang w:val="es-ES_tradnl"/>
        </w:rPr>
        <w:t>intergenérico</w:t>
      </w:r>
      <w:proofErr w:type="spellEnd"/>
      <w:r w:rsidR="00016C88" w:rsidRPr="00E053E1">
        <w:rPr>
          <w:lang w:val="es-ES_tradnl"/>
        </w:rPr>
        <w:t xml:space="preserve"> entre la variedad </w:t>
      </w:r>
      <w:proofErr w:type="spellStart"/>
      <w:r w:rsidR="00016C88" w:rsidRPr="00E053E1">
        <w:rPr>
          <w:i/>
          <w:lang w:val="es-ES_tradnl"/>
        </w:rPr>
        <w:t>Sorghum</w:t>
      </w:r>
      <w:proofErr w:type="spellEnd"/>
      <w:r w:rsidR="00016C88" w:rsidRPr="00E053E1">
        <w:rPr>
          <w:i/>
          <w:lang w:val="es-ES_tradnl"/>
        </w:rPr>
        <w:t> bicolor</w:t>
      </w:r>
      <w:r w:rsidR="00016C88" w:rsidRPr="00E053E1">
        <w:rPr>
          <w:lang w:val="es-ES_tradnl"/>
        </w:rPr>
        <w:t xml:space="preserve"> y la variedad </w:t>
      </w:r>
      <w:proofErr w:type="spellStart"/>
      <w:r w:rsidR="00016C88" w:rsidRPr="00E053E1">
        <w:rPr>
          <w:i/>
          <w:lang w:val="es-ES_tradnl"/>
        </w:rPr>
        <w:t>Oryza</w:t>
      </w:r>
      <w:proofErr w:type="spellEnd"/>
      <w:r w:rsidR="00016C88" w:rsidRPr="00E053E1">
        <w:rPr>
          <w:i/>
          <w:lang w:val="es-ES_tradnl"/>
        </w:rPr>
        <w:t xml:space="preserve"> sativa.  </w:t>
      </w:r>
      <w:r w:rsidR="00016C88" w:rsidRPr="00E053E1">
        <w:rPr>
          <w:lang w:val="es-ES_tradnl"/>
        </w:rPr>
        <w:t>Dicha ponencia se ha incluido en el Anexo del documento TWA/42/28 “</w:t>
      </w:r>
      <w:proofErr w:type="spellStart"/>
      <w:r w:rsidR="00C534CE" w:rsidRPr="00C534CE">
        <w:rPr>
          <w:i/>
          <w:lang w:val="es-ES_tradnl"/>
        </w:rPr>
        <w:t>Reports</w:t>
      </w:r>
      <w:proofErr w:type="spellEnd"/>
      <w:r w:rsidR="00C534CE" w:rsidRPr="00C534CE">
        <w:rPr>
          <w:i/>
          <w:lang w:val="es-ES_tradnl"/>
        </w:rPr>
        <w:t xml:space="preserve"> </w:t>
      </w:r>
      <w:proofErr w:type="spellStart"/>
      <w:r w:rsidR="00C534CE" w:rsidRPr="00C534CE">
        <w:rPr>
          <w:i/>
          <w:lang w:val="es-ES_tradnl"/>
        </w:rPr>
        <w:t>on</w:t>
      </w:r>
      <w:proofErr w:type="spellEnd"/>
      <w:r w:rsidR="00C534CE" w:rsidRPr="00C534CE">
        <w:rPr>
          <w:i/>
          <w:lang w:val="es-ES_tradnl"/>
        </w:rPr>
        <w:t xml:space="preserve"> </w:t>
      </w:r>
      <w:proofErr w:type="spellStart"/>
      <w:r w:rsidR="00C534CE" w:rsidRPr="00C534CE">
        <w:rPr>
          <w:i/>
          <w:lang w:val="es-ES_tradnl"/>
        </w:rPr>
        <w:t>development</w:t>
      </w:r>
      <w:proofErr w:type="spellEnd"/>
      <w:r w:rsidR="00C534CE" w:rsidRPr="00C534CE">
        <w:rPr>
          <w:i/>
          <w:lang w:val="es-ES_tradnl"/>
        </w:rPr>
        <w:t xml:space="preserve"> in </w:t>
      </w:r>
      <w:proofErr w:type="spellStart"/>
      <w:r w:rsidR="00C534CE" w:rsidRPr="00C534CE">
        <w:rPr>
          <w:i/>
          <w:lang w:val="es-ES_tradnl"/>
        </w:rPr>
        <w:t>plant</w:t>
      </w:r>
      <w:proofErr w:type="spellEnd"/>
      <w:r w:rsidR="00C534CE" w:rsidRPr="00C534CE">
        <w:rPr>
          <w:i/>
          <w:lang w:val="es-ES_tradnl"/>
        </w:rPr>
        <w:t xml:space="preserve"> </w:t>
      </w:r>
      <w:proofErr w:type="spellStart"/>
      <w:r w:rsidR="00C534CE" w:rsidRPr="00C534CE">
        <w:rPr>
          <w:i/>
          <w:lang w:val="es-ES_tradnl"/>
        </w:rPr>
        <w:t>variety</w:t>
      </w:r>
      <w:proofErr w:type="spellEnd"/>
      <w:r w:rsidR="00C534CE" w:rsidRPr="00C534CE">
        <w:rPr>
          <w:i/>
          <w:lang w:val="es-ES_tradnl"/>
        </w:rPr>
        <w:t xml:space="preserve"> </w:t>
      </w:r>
      <w:proofErr w:type="spellStart"/>
      <w:r w:rsidR="00C534CE" w:rsidRPr="00C534CE">
        <w:rPr>
          <w:i/>
          <w:lang w:val="es-ES_tradnl"/>
        </w:rPr>
        <w:t>protection</w:t>
      </w:r>
      <w:proofErr w:type="spellEnd"/>
      <w:r w:rsidR="00C534CE" w:rsidRPr="00C534CE">
        <w:rPr>
          <w:i/>
          <w:lang w:val="es-ES_tradnl"/>
        </w:rPr>
        <w:t xml:space="preserve"> </w:t>
      </w:r>
      <w:proofErr w:type="spellStart"/>
      <w:r w:rsidR="00C534CE" w:rsidRPr="00C534CE">
        <w:rPr>
          <w:i/>
          <w:lang w:val="es-ES_tradnl"/>
        </w:rPr>
        <w:t>from</w:t>
      </w:r>
      <w:proofErr w:type="spellEnd"/>
      <w:r w:rsidR="00C534CE" w:rsidRPr="00C534CE">
        <w:rPr>
          <w:i/>
          <w:lang w:val="es-ES_tradnl"/>
        </w:rPr>
        <w:t xml:space="preserve"> </w:t>
      </w:r>
      <w:proofErr w:type="spellStart"/>
      <w:r w:rsidR="00C534CE" w:rsidRPr="00C534CE">
        <w:rPr>
          <w:i/>
          <w:lang w:val="es-ES_tradnl"/>
        </w:rPr>
        <w:t>members</w:t>
      </w:r>
      <w:proofErr w:type="spellEnd"/>
      <w:r w:rsidR="00C534CE" w:rsidRPr="00C534CE">
        <w:rPr>
          <w:i/>
          <w:lang w:val="es-ES_tradnl"/>
        </w:rPr>
        <w:t xml:space="preserve"> and </w:t>
      </w:r>
      <w:proofErr w:type="spellStart"/>
      <w:r w:rsidR="00C534CE" w:rsidRPr="00C534CE">
        <w:rPr>
          <w:i/>
          <w:lang w:val="es-ES_tradnl"/>
        </w:rPr>
        <w:t>observers</w:t>
      </w:r>
      <w:proofErr w:type="spellEnd"/>
      <w:r w:rsidR="00C534CE">
        <w:rPr>
          <w:lang w:val="es-ES_tradnl"/>
        </w:rPr>
        <w:t>” (</w:t>
      </w:r>
      <w:r w:rsidR="00016C88" w:rsidRPr="00E053E1">
        <w:rPr>
          <w:lang w:val="es-ES_tradnl"/>
        </w:rPr>
        <w:t>Informes de miembros y observadores sobre los avances en la protecc</w:t>
      </w:r>
      <w:r w:rsidR="00C534CE">
        <w:rPr>
          <w:lang w:val="es-ES_tradnl"/>
        </w:rPr>
        <w:t>ión de las variedades vegetales)</w:t>
      </w:r>
      <w:r w:rsidR="00016C88" w:rsidRPr="00E053E1">
        <w:rPr>
          <w:lang w:val="es-ES_tradnl"/>
        </w:rPr>
        <w:t xml:space="preserve"> (véase el párrafo 73 del documento TWA/42/31 “</w:t>
      </w:r>
      <w:proofErr w:type="spellStart"/>
      <w:r w:rsidR="00C534CE" w:rsidRPr="00C534CE">
        <w:rPr>
          <w:i/>
          <w:lang w:val="es-ES_tradnl"/>
        </w:rPr>
        <w:t>Report</w:t>
      </w:r>
      <w:proofErr w:type="spellEnd"/>
      <w:r w:rsidR="00016C88" w:rsidRPr="00E053E1">
        <w:rPr>
          <w:lang w:val="es-ES_tradnl"/>
        </w:rPr>
        <w:t>”).</w:t>
      </w:r>
    </w:p>
    <w:p w:rsidR="00A57943" w:rsidRPr="00E053E1" w:rsidRDefault="00A57943" w:rsidP="00E053E1">
      <w:pPr>
        <w:widowControl w:val="0"/>
        <w:rPr>
          <w:color w:val="000000"/>
          <w:lang w:val="es-ES_tradnl"/>
        </w:rPr>
      </w:pPr>
    </w:p>
    <w:p w:rsidR="00016C88" w:rsidRPr="00E053E1" w:rsidRDefault="00A57943" w:rsidP="00E053E1">
      <w:pPr>
        <w:pStyle w:val="DecisionParagraphs"/>
        <w:widowControl w:val="0"/>
        <w:rPr>
          <w:lang w:val="es-ES_tradnl"/>
        </w:rPr>
      </w:pPr>
      <w:r w:rsidRPr="00E053E1">
        <w:rPr>
          <w:lang w:val="es-ES_tradnl"/>
        </w:rPr>
        <w:fldChar w:fldCharType="begin"/>
      </w:r>
      <w:r w:rsidRPr="00E053E1">
        <w:rPr>
          <w:lang w:val="es-ES_tradnl"/>
        </w:rPr>
        <w:instrText xml:space="preserve"> AUTONUM  </w:instrText>
      </w:r>
      <w:r w:rsidRPr="00E053E1">
        <w:rPr>
          <w:lang w:val="es-ES_tradnl"/>
        </w:rPr>
        <w:fldChar w:fldCharType="end"/>
      </w:r>
      <w:r w:rsidRPr="00E053E1">
        <w:rPr>
          <w:lang w:val="es-ES_tradnl"/>
        </w:rPr>
        <w:tab/>
      </w:r>
      <w:r w:rsidR="00016C88" w:rsidRPr="00E053E1">
        <w:rPr>
          <w:lang w:val="es-ES_tradnl"/>
        </w:rPr>
        <w:t>Se invita al TC a tomar nota de la información sobre experiencias con nuevos tipos y especies presentada en las sesiones de 2013 del TWO y el TWA, como se indica en los párrafos 18 y 19.</w:t>
      </w:r>
    </w:p>
    <w:p w:rsidR="00A57943" w:rsidRPr="00E053E1" w:rsidRDefault="00A57943" w:rsidP="00E053E1">
      <w:pPr>
        <w:widowControl w:val="0"/>
        <w:rPr>
          <w:color w:val="000000"/>
          <w:lang w:val="es-ES_tradnl"/>
        </w:rPr>
      </w:pPr>
    </w:p>
    <w:p w:rsidR="00A57943" w:rsidRPr="00E053E1" w:rsidRDefault="00A57943" w:rsidP="00E053E1">
      <w:pPr>
        <w:widowControl w:val="0"/>
        <w:rPr>
          <w:caps/>
          <w:lang w:val="es-ES_tradnl"/>
        </w:rPr>
      </w:pPr>
    </w:p>
    <w:p w:rsidR="00A57943" w:rsidRPr="00E053E1" w:rsidRDefault="00A57943" w:rsidP="00E053E1">
      <w:pPr>
        <w:widowControl w:val="0"/>
        <w:rPr>
          <w:lang w:val="es-ES_tradnl"/>
        </w:rPr>
      </w:pPr>
    </w:p>
    <w:p w:rsidR="007F4BB2" w:rsidRPr="00E053E1" w:rsidRDefault="00A57943" w:rsidP="00E053E1">
      <w:pPr>
        <w:widowControl w:val="0"/>
        <w:jc w:val="right"/>
        <w:rPr>
          <w:snapToGrid w:val="0"/>
          <w:lang w:val="es-ES_tradnl"/>
        </w:rPr>
      </w:pPr>
      <w:r w:rsidRPr="00E053E1">
        <w:rPr>
          <w:snapToGrid w:val="0"/>
          <w:lang w:val="es-ES_tradnl"/>
        </w:rPr>
        <w:t>[Fin del</w:t>
      </w:r>
      <w:r w:rsidR="007F4BB2" w:rsidRPr="00E053E1">
        <w:rPr>
          <w:snapToGrid w:val="0"/>
          <w:lang w:val="es-ES_tradnl"/>
        </w:rPr>
        <w:t xml:space="preserve"> documento]</w:t>
      </w:r>
    </w:p>
    <w:sectPr w:rsidR="007F4BB2" w:rsidRPr="00E053E1" w:rsidSect="00906DDC">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FF3" w:rsidRDefault="005F0FF3" w:rsidP="00F45372">
      <w:r>
        <w:separator/>
      </w:r>
    </w:p>
    <w:p w:rsidR="005F0FF3" w:rsidRDefault="005F0FF3" w:rsidP="00F45372"/>
    <w:p w:rsidR="005F0FF3" w:rsidRDefault="005F0FF3" w:rsidP="00F45372"/>
  </w:endnote>
  <w:endnote w:type="continuationSeparator" w:id="0">
    <w:p w:rsidR="005F0FF3" w:rsidRDefault="005F0FF3" w:rsidP="00F45372">
      <w:r>
        <w:separator/>
      </w:r>
    </w:p>
    <w:p w:rsidR="005F0FF3" w:rsidRPr="00A57943" w:rsidRDefault="005F0FF3">
      <w:pPr>
        <w:pStyle w:val="Footer"/>
        <w:spacing w:after="60"/>
        <w:rPr>
          <w:sz w:val="18"/>
          <w:lang w:val="fr-FR"/>
        </w:rPr>
      </w:pPr>
      <w:r w:rsidRPr="00A57943">
        <w:rPr>
          <w:sz w:val="18"/>
          <w:lang w:val="fr-FR"/>
        </w:rPr>
        <w:t>[Suite de la note de la page précédente]</w:t>
      </w:r>
    </w:p>
    <w:p w:rsidR="005F0FF3" w:rsidRPr="00A57943" w:rsidRDefault="005F0FF3" w:rsidP="00F45372">
      <w:pPr>
        <w:rPr>
          <w:lang w:val="fr-FR"/>
        </w:rPr>
      </w:pPr>
    </w:p>
    <w:p w:rsidR="005F0FF3" w:rsidRPr="00A57943" w:rsidRDefault="005F0FF3" w:rsidP="00F45372">
      <w:pPr>
        <w:rPr>
          <w:lang w:val="fr-FR"/>
        </w:rPr>
      </w:pPr>
    </w:p>
  </w:endnote>
  <w:endnote w:type="continuationNotice" w:id="1">
    <w:p w:rsidR="005F0FF3" w:rsidRPr="00A57943" w:rsidRDefault="005F0FF3" w:rsidP="00F45372">
      <w:pPr>
        <w:rPr>
          <w:lang w:val="fr-FR"/>
        </w:rPr>
      </w:pPr>
      <w:r w:rsidRPr="00A57943">
        <w:rPr>
          <w:lang w:val="fr-FR"/>
        </w:rPr>
        <w:t>[Suite de la note page suivante]</w:t>
      </w:r>
    </w:p>
    <w:p w:rsidR="005F0FF3" w:rsidRPr="00A57943" w:rsidRDefault="005F0FF3" w:rsidP="00F45372">
      <w:pPr>
        <w:rPr>
          <w:lang w:val="fr-FR"/>
        </w:rPr>
      </w:pPr>
    </w:p>
    <w:p w:rsidR="005F0FF3" w:rsidRPr="00A57943" w:rsidRDefault="005F0FF3"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0C6" w:rsidRDefault="001860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0C6" w:rsidRDefault="001860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0C6" w:rsidRDefault="00186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FF3" w:rsidRDefault="005F0FF3" w:rsidP="00F45372">
      <w:r>
        <w:separator/>
      </w:r>
    </w:p>
  </w:footnote>
  <w:footnote w:type="continuationSeparator" w:id="0">
    <w:p w:rsidR="005F0FF3" w:rsidRDefault="005F0FF3" w:rsidP="00F45372">
      <w:r>
        <w:separator/>
      </w:r>
    </w:p>
  </w:footnote>
  <w:footnote w:type="continuationNotice" w:id="1">
    <w:p w:rsidR="005F0FF3" w:rsidRPr="00905020" w:rsidRDefault="005F0FF3"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0C6" w:rsidRDefault="001860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3" w:rsidRPr="008D3729" w:rsidRDefault="008A1693" w:rsidP="00EB048E">
    <w:pPr>
      <w:pStyle w:val="Header"/>
      <w:rPr>
        <w:rStyle w:val="PageNumber"/>
        <w:lang w:val="es-ES_tradnl"/>
      </w:rPr>
    </w:pPr>
    <w:r>
      <w:rPr>
        <w:rStyle w:val="PageNumber"/>
        <w:lang w:val="es-ES_tradnl"/>
      </w:rPr>
      <w:t>TC/</w:t>
    </w:r>
    <w:r w:rsidR="006A1ECF">
      <w:rPr>
        <w:rStyle w:val="PageNumber"/>
        <w:lang w:val="es-ES_tradnl"/>
      </w:rPr>
      <w:t>50</w:t>
    </w:r>
    <w:r>
      <w:rPr>
        <w:rStyle w:val="PageNumber"/>
        <w:lang w:val="es-ES_tradnl"/>
      </w:rPr>
      <w:t>/</w:t>
    </w:r>
    <w:r w:rsidR="00A57943">
      <w:rPr>
        <w:rStyle w:val="PageNumber"/>
        <w:lang w:val="es-ES_tradnl"/>
      </w:rPr>
      <w:t>3</w:t>
    </w:r>
  </w:p>
  <w:p w:rsidR="008A1693" w:rsidRPr="008D3729" w:rsidRDefault="008A1693" w:rsidP="00EB048E">
    <w:pPr>
      <w:pStyle w:val="Header"/>
      <w:rPr>
        <w:lang w:val="es-ES_tradnl"/>
      </w:rPr>
    </w:pPr>
    <w:proofErr w:type="gramStart"/>
    <w:r w:rsidRPr="008D3729">
      <w:rPr>
        <w:lang w:val="es-ES_tradnl"/>
      </w:rPr>
      <w:t>página</w:t>
    </w:r>
    <w:proofErr w:type="gramEnd"/>
    <w:r w:rsidRPr="008D3729">
      <w:rPr>
        <w:lang w:val="es-ES_tradnl"/>
      </w:rPr>
      <w:t xml:space="preserve">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F717E9">
      <w:rPr>
        <w:rStyle w:val="PageNumber"/>
        <w:noProof/>
        <w:lang w:val="es-ES_tradnl"/>
      </w:rPr>
      <w:t>1</w:t>
    </w:r>
    <w:r w:rsidRPr="008D3729">
      <w:rPr>
        <w:rStyle w:val="PageNumber"/>
        <w:lang w:val="es-ES_tradnl"/>
      </w:rPr>
      <w:fldChar w:fldCharType="end"/>
    </w:r>
  </w:p>
  <w:p w:rsidR="008A1693" w:rsidRPr="008D3729" w:rsidRDefault="008A1693" w:rsidP="001860C6">
    <w:pPr>
      <w:jc w:val="cente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0C6" w:rsidRDefault="001860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40CC"/>
    <w:multiLevelType w:val="hybridMultilevel"/>
    <w:tmpl w:val="18422570"/>
    <w:lvl w:ilvl="0" w:tplc="0C0A0017">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1E52176"/>
    <w:multiLevelType w:val="hybridMultilevel"/>
    <w:tmpl w:val="D36ED034"/>
    <w:lvl w:ilvl="0" w:tplc="0C0A0017">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B1B0DDC"/>
    <w:multiLevelType w:val="hybridMultilevel"/>
    <w:tmpl w:val="BC744628"/>
    <w:lvl w:ilvl="0" w:tplc="2BDE66FC">
      <w:start w:val="1"/>
      <w:numFmt w:val="lowerLetter"/>
      <w:lvlText w:val="%1)"/>
      <w:lvlJc w:val="left"/>
      <w:pPr>
        <w:ind w:left="92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03104F1"/>
    <w:multiLevelType w:val="hybridMultilevel"/>
    <w:tmpl w:val="9DAA3494"/>
    <w:lvl w:ilvl="0" w:tplc="178E0748">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5D3881"/>
    <w:multiLevelType w:val="hybridMultilevel"/>
    <w:tmpl w:val="5010EBC6"/>
    <w:lvl w:ilvl="0" w:tplc="A4524780">
      <w:start w:val="3"/>
      <w:numFmt w:val="lowerLetter"/>
      <w:lvlText w:val="%1)"/>
      <w:lvlJc w:val="left"/>
      <w:pPr>
        <w:ind w:left="5747" w:hanging="360"/>
      </w:pPr>
      <w:rPr>
        <w:rFonts w:hint="default"/>
      </w:rPr>
    </w:lvl>
    <w:lvl w:ilvl="1" w:tplc="0C0A0019" w:tentative="1">
      <w:start w:val="1"/>
      <w:numFmt w:val="lowerLetter"/>
      <w:lvlText w:val="%2."/>
      <w:lvlJc w:val="left"/>
      <w:pPr>
        <w:ind w:left="6467" w:hanging="360"/>
      </w:pPr>
    </w:lvl>
    <w:lvl w:ilvl="2" w:tplc="0C0A001B" w:tentative="1">
      <w:start w:val="1"/>
      <w:numFmt w:val="lowerRoman"/>
      <w:lvlText w:val="%3."/>
      <w:lvlJc w:val="right"/>
      <w:pPr>
        <w:ind w:left="7187" w:hanging="180"/>
      </w:pPr>
    </w:lvl>
    <w:lvl w:ilvl="3" w:tplc="0C0A000F" w:tentative="1">
      <w:start w:val="1"/>
      <w:numFmt w:val="decimal"/>
      <w:lvlText w:val="%4."/>
      <w:lvlJc w:val="left"/>
      <w:pPr>
        <w:ind w:left="7907" w:hanging="360"/>
      </w:pPr>
    </w:lvl>
    <w:lvl w:ilvl="4" w:tplc="0C0A0019" w:tentative="1">
      <w:start w:val="1"/>
      <w:numFmt w:val="lowerLetter"/>
      <w:lvlText w:val="%5."/>
      <w:lvlJc w:val="left"/>
      <w:pPr>
        <w:ind w:left="8627" w:hanging="360"/>
      </w:pPr>
    </w:lvl>
    <w:lvl w:ilvl="5" w:tplc="0C0A001B" w:tentative="1">
      <w:start w:val="1"/>
      <w:numFmt w:val="lowerRoman"/>
      <w:lvlText w:val="%6."/>
      <w:lvlJc w:val="right"/>
      <w:pPr>
        <w:ind w:left="9347" w:hanging="180"/>
      </w:pPr>
    </w:lvl>
    <w:lvl w:ilvl="6" w:tplc="0C0A000F" w:tentative="1">
      <w:start w:val="1"/>
      <w:numFmt w:val="decimal"/>
      <w:lvlText w:val="%7."/>
      <w:lvlJc w:val="left"/>
      <w:pPr>
        <w:ind w:left="10067" w:hanging="360"/>
      </w:pPr>
    </w:lvl>
    <w:lvl w:ilvl="7" w:tplc="0C0A0019" w:tentative="1">
      <w:start w:val="1"/>
      <w:numFmt w:val="lowerLetter"/>
      <w:lvlText w:val="%8."/>
      <w:lvlJc w:val="left"/>
      <w:pPr>
        <w:ind w:left="10787" w:hanging="360"/>
      </w:pPr>
    </w:lvl>
    <w:lvl w:ilvl="8" w:tplc="0C0A001B" w:tentative="1">
      <w:start w:val="1"/>
      <w:numFmt w:val="lowerRoman"/>
      <w:lvlText w:val="%9."/>
      <w:lvlJc w:val="right"/>
      <w:pPr>
        <w:ind w:left="11507" w:hanging="180"/>
      </w:pPr>
    </w:lvl>
  </w:abstractNum>
  <w:abstractNum w:abstractNumId="5">
    <w:nsid w:val="57A77A23"/>
    <w:multiLevelType w:val="hybridMultilevel"/>
    <w:tmpl w:val="D36ED034"/>
    <w:lvl w:ilvl="0" w:tplc="0C0A0017">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F595D9F"/>
    <w:multiLevelType w:val="hybridMultilevel"/>
    <w:tmpl w:val="F9BC4AAA"/>
    <w:lvl w:ilvl="0" w:tplc="8826A950">
      <w:start w:val="1"/>
      <w:numFmt w:val="lowerLetter"/>
      <w:lvlText w:val="(%1)"/>
      <w:lvlJc w:val="left"/>
      <w:pPr>
        <w:ind w:left="6029" w:hanging="360"/>
      </w:pPr>
      <w:rPr>
        <w:rFonts w:hint="default"/>
      </w:rPr>
    </w:lvl>
    <w:lvl w:ilvl="1" w:tplc="04090019" w:tentative="1">
      <w:start w:val="1"/>
      <w:numFmt w:val="lowerLetter"/>
      <w:lvlText w:val="%2."/>
      <w:lvlJc w:val="left"/>
      <w:pPr>
        <w:ind w:left="6749" w:hanging="360"/>
      </w:pPr>
    </w:lvl>
    <w:lvl w:ilvl="2" w:tplc="0409001B" w:tentative="1">
      <w:start w:val="1"/>
      <w:numFmt w:val="lowerRoman"/>
      <w:lvlText w:val="%3."/>
      <w:lvlJc w:val="right"/>
      <w:pPr>
        <w:ind w:left="7469" w:hanging="180"/>
      </w:pPr>
    </w:lvl>
    <w:lvl w:ilvl="3" w:tplc="0409000F" w:tentative="1">
      <w:start w:val="1"/>
      <w:numFmt w:val="decimal"/>
      <w:lvlText w:val="%4."/>
      <w:lvlJc w:val="left"/>
      <w:pPr>
        <w:ind w:left="8189" w:hanging="360"/>
      </w:pPr>
    </w:lvl>
    <w:lvl w:ilvl="4" w:tplc="04090019" w:tentative="1">
      <w:start w:val="1"/>
      <w:numFmt w:val="lowerLetter"/>
      <w:lvlText w:val="%5."/>
      <w:lvlJc w:val="left"/>
      <w:pPr>
        <w:ind w:left="8909" w:hanging="360"/>
      </w:pPr>
    </w:lvl>
    <w:lvl w:ilvl="5" w:tplc="0409001B" w:tentative="1">
      <w:start w:val="1"/>
      <w:numFmt w:val="lowerRoman"/>
      <w:lvlText w:val="%6."/>
      <w:lvlJc w:val="right"/>
      <w:pPr>
        <w:ind w:left="9629" w:hanging="180"/>
      </w:pPr>
    </w:lvl>
    <w:lvl w:ilvl="6" w:tplc="0409000F" w:tentative="1">
      <w:start w:val="1"/>
      <w:numFmt w:val="decimal"/>
      <w:lvlText w:val="%7."/>
      <w:lvlJc w:val="left"/>
      <w:pPr>
        <w:ind w:left="10349" w:hanging="360"/>
      </w:pPr>
    </w:lvl>
    <w:lvl w:ilvl="7" w:tplc="04090019" w:tentative="1">
      <w:start w:val="1"/>
      <w:numFmt w:val="lowerLetter"/>
      <w:lvlText w:val="%8."/>
      <w:lvlJc w:val="left"/>
      <w:pPr>
        <w:ind w:left="11069" w:hanging="360"/>
      </w:pPr>
    </w:lvl>
    <w:lvl w:ilvl="8" w:tplc="0409001B" w:tentative="1">
      <w:start w:val="1"/>
      <w:numFmt w:val="lowerRoman"/>
      <w:lvlText w:val="%9."/>
      <w:lvlJc w:val="right"/>
      <w:pPr>
        <w:ind w:left="11789" w:hanging="180"/>
      </w:pPr>
    </w:lvl>
  </w:abstractNum>
  <w:num w:numId="1">
    <w:abstractNumId w:val="3"/>
  </w:num>
  <w:num w:numId="2">
    <w:abstractNumId w:val="6"/>
  </w:num>
  <w:num w:numId="3">
    <w:abstractNumId w:val="4"/>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29"/>
    <w:rsid w:val="00010CF3"/>
    <w:rsid w:val="00011E27"/>
    <w:rsid w:val="000148BC"/>
    <w:rsid w:val="00016C88"/>
    <w:rsid w:val="00024AB8"/>
    <w:rsid w:val="00030854"/>
    <w:rsid w:val="00036028"/>
    <w:rsid w:val="00044642"/>
    <w:rsid w:val="000446B9"/>
    <w:rsid w:val="00046CBE"/>
    <w:rsid w:val="00047E21"/>
    <w:rsid w:val="00085505"/>
    <w:rsid w:val="000B3BC8"/>
    <w:rsid w:val="000C31A3"/>
    <w:rsid w:val="000C7021"/>
    <w:rsid w:val="000D6BBC"/>
    <w:rsid w:val="000D7780"/>
    <w:rsid w:val="00105929"/>
    <w:rsid w:val="001131D5"/>
    <w:rsid w:val="0012401D"/>
    <w:rsid w:val="00141DB8"/>
    <w:rsid w:val="001479AA"/>
    <w:rsid w:val="0017474A"/>
    <w:rsid w:val="001758C6"/>
    <w:rsid w:val="00184D5D"/>
    <w:rsid w:val="001860C6"/>
    <w:rsid w:val="00187CDC"/>
    <w:rsid w:val="001F7339"/>
    <w:rsid w:val="00201FD2"/>
    <w:rsid w:val="0021112E"/>
    <w:rsid w:val="0021332C"/>
    <w:rsid w:val="00213982"/>
    <w:rsid w:val="00235267"/>
    <w:rsid w:val="002376CE"/>
    <w:rsid w:val="00242C62"/>
    <w:rsid w:val="0024416D"/>
    <w:rsid w:val="00266E18"/>
    <w:rsid w:val="002800A0"/>
    <w:rsid w:val="002801B3"/>
    <w:rsid w:val="00281060"/>
    <w:rsid w:val="002940E8"/>
    <w:rsid w:val="0029739C"/>
    <w:rsid w:val="002A6E50"/>
    <w:rsid w:val="002C256A"/>
    <w:rsid w:val="002D775C"/>
    <w:rsid w:val="00305A7F"/>
    <w:rsid w:val="003152FE"/>
    <w:rsid w:val="00320AE8"/>
    <w:rsid w:val="00327436"/>
    <w:rsid w:val="00331621"/>
    <w:rsid w:val="00344BD6"/>
    <w:rsid w:val="0035528D"/>
    <w:rsid w:val="00361821"/>
    <w:rsid w:val="00366D8A"/>
    <w:rsid w:val="00370631"/>
    <w:rsid w:val="003D227C"/>
    <w:rsid w:val="003D2B4D"/>
    <w:rsid w:val="003D7E71"/>
    <w:rsid w:val="00444A88"/>
    <w:rsid w:val="00470C3D"/>
    <w:rsid w:val="00474DA4"/>
    <w:rsid w:val="004A7525"/>
    <w:rsid w:val="004B534E"/>
    <w:rsid w:val="004D047D"/>
    <w:rsid w:val="004D41D6"/>
    <w:rsid w:val="004F305A"/>
    <w:rsid w:val="00503BF4"/>
    <w:rsid w:val="00512164"/>
    <w:rsid w:val="00520297"/>
    <w:rsid w:val="005338F9"/>
    <w:rsid w:val="0054281C"/>
    <w:rsid w:val="0055268D"/>
    <w:rsid w:val="0055630E"/>
    <w:rsid w:val="00576BE4"/>
    <w:rsid w:val="00576BF0"/>
    <w:rsid w:val="00596477"/>
    <w:rsid w:val="005A400A"/>
    <w:rsid w:val="005A605D"/>
    <w:rsid w:val="005F0FF3"/>
    <w:rsid w:val="00612379"/>
    <w:rsid w:val="0061555F"/>
    <w:rsid w:val="00641200"/>
    <w:rsid w:val="00687EB4"/>
    <w:rsid w:val="00687F77"/>
    <w:rsid w:val="00697B59"/>
    <w:rsid w:val="006A1ECF"/>
    <w:rsid w:val="006B17D2"/>
    <w:rsid w:val="006C224E"/>
    <w:rsid w:val="006D0865"/>
    <w:rsid w:val="006D780A"/>
    <w:rsid w:val="006F7E76"/>
    <w:rsid w:val="007152AC"/>
    <w:rsid w:val="007153EE"/>
    <w:rsid w:val="00732DEC"/>
    <w:rsid w:val="00735BD5"/>
    <w:rsid w:val="00753A37"/>
    <w:rsid w:val="007556F6"/>
    <w:rsid w:val="00760EEF"/>
    <w:rsid w:val="00777EE5"/>
    <w:rsid w:val="00784836"/>
    <w:rsid w:val="0079023E"/>
    <w:rsid w:val="00796311"/>
    <w:rsid w:val="007A08F1"/>
    <w:rsid w:val="007A2854"/>
    <w:rsid w:val="007D0B9D"/>
    <w:rsid w:val="007D19B0"/>
    <w:rsid w:val="007F498F"/>
    <w:rsid w:val="007F4BB2"/>
    <w:rsid w:val="0080679D"/>
    <w:rsid w:val="008108B0"/>
    <w:rsid w:val="00811B20"/>
    <w:rsid w:val="008203FA"/>
    <w:rsid w:val="0082296E"/>
    <w:rsid w:val="00824099"/>
    <w:rsid w:val="00831D9E"/>
    <w:rsid w:val="008464A0"/>
    <w:rsid w:val="00851935"/>
    <w:rsid w:val="00867AC1"/>
    <w:rsid w:val="008716EC"/>
    <w:rsid w:val="008A1693"/>
    <w:rsid w:val="008A743F"/>
    <w:rsid w:val="008C0970"/>
    <w:rsid w:val="008C3082"/>
    <w:rsid w:val="008D2CF7"/>
    <w:rsid w:val="008D3729"/>
    <w:rsid w:val="00900C26"/>
    <w:rsid w:val="0090197F"/>
    <w:rsid w:val="00905020"/>
    <w:rsid w:val="00906DDC"/>
    <w:rsid w:val="00934E09"/>
    <w:rsid w:val="00936253"/>
    <w:rsid w:val="00950F7B"/>
    <w:rsid w:val="00952DD4"/>
    <w:rsid w:val="00970FED"/>
    <w:rsid w:val="00997029"/>
    <w:rsid w:val="009D690D"/>
    <w:rsid w:val="009E65B6"/>
    <w:rsid w:val="00A00D94"/>
    <w:rsid w:val="00A13C6F"/>
    <w:rsid w:val="00A15966"/>
    <w:rsid w:val="00A3286F"/>
    <w:rsid w:val="00A37B04"/>
    <w:rsid w:val="00A41371"/>
    <w:rsid w:val="00A42AC3"/>
    <w:rsid w:val="00A430CF"/>
    <w:rsid w:val="00A47CDB"/>
    <w:rsid w:val="00A54309"/>
    <w:rsid w:val="00A57943"/>
    <w:rsid w:val="00A75B64"/>
    <w:rsid w:val="00A90E13"/>
    <w:rsid w:val="00AB2B93"/>
    <w:rsid w:val="00AB7E5B"/>
    <w:rsid w:val="00AE0EF1"/>
    <w:rsid w:val="00B07301"/>
    <w:rsid w:val="00B224DE"/>
    <w:rsid w:val="00B32AEF"/>
    <w:rsid w:val="00B84BBD"/>
    <w:rsid w:val="00B9647B"/>
    <w:rsid w:val="00BA43FB"/>
    <w:rsid w:val="00BC127D"/>
    <w:rsid w:val="00BC1FE6"/>
    <w:rsid w:val="00BF4D87"/>
    <w:rsid w:val="00BF5DAF"/>
    <w:rsid w:val="00C061B6"/>
    <w:rsid w:val="00C13808"/>
    <w:rsid w:val="00C2446C"/>
    <w:rsid w:val="00C36AE5"/>
    <w:rsid w:val="00C41F17"/>
    <w:rsid w:val="00C42FC8"/>
    <w:rsid w:val="00C534CE"/>
    <w:rsid w:val="00C5791C"/>
    <w:rsid w:val="00C66290"/>
    <w:rsid w:val="00C72B7A"/>
    <w:rsid w:val="00C7532B"/>
    <w:rsid w:val="00C973F2"/>
    <w:rsid w:val="00CA774A"/>
    <w:rsid w:val="00CB0890"/>
    <w:rsid w:val="00CC11B0"/>
    <w:rsid w:val="00CF7E36"/>
    <w:rsid w:val="00D261C5"/>
    <w:rsid w:val="00D3708D"/>
    <w:rsid w:val="00D40426"/>
    <w:rsid w:val="00D57C96"/>
    <w:rsid w:val="00D820D2"/>
    <w:rsid w:val="00D91203"/>
    <w:rsid w:val="00D927A5"/>
    <w:rsid w:val="00D95174"/>
    <w:rsid w:val="00DA4685"/>
    <w:rsid w:val="00DA6F36"/>
    <w:rsid w:val="00DB596E"/>
    <w:rsid w:val="00DC00EA"/>
    <w:rsid w:val="00E053E1"/>
    <w:rsid w:val="00E50918"/>
    <w:rsid w:val="00E60DE0"/>
    <w:rsid w:val="00E72D49"/>
    <w:rsid w:val="00E7593C"/>
    <w:rsid w:val="00E7678A"/>
    <w:rsid w:val="00E935F1"/>
    <w:rsid w:val="00E94A81"/>
    <w:rsid w:val="00EA0866"/>
    <w:rsid w:val="00EA1FFB"/>
    <w:rsid w:val="00EA5245"/>
    <w:rsid w:val="00EB048E"/>
    <w:rsid w:val="00EE34DF"/>
    <w:rsid w:val="00EF2F89"/>
    <w:rsid w:val="00F1237A"/>
    <w:rsid w:val="00F22CBD"/>
    <w:rsid w:val="00F44290"/>
    <w:rsid w:val="00F45372"/>
    <w:rsid w:val="00F560F7"/>
    <w:rsid w:val="00F6334D"/>
    <w:rsid w:val="00F717E9"/>
    <w:rsid w:val="00F77B84"/>
    <w:rsid w:val="00FA49AB"/>
    <w:rsid w:val="00FB3C00"/>
    <w:rsid w:val="00FE39C7"/>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lang w:val="es-ES"/>
    </w:rPr>
  </w:style>
  <w:style w:type="paragraph" w:styleId="Heading1">
    <w:name w:val="heading 1"/>
    <w:next w:val="Normal"/>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C534CE"/>
    <w:pPr>
      <w:tabs>
        <w:tab w:val="right" w:leader="dot" w:pos="9639"/>
      </w:tabs>
      <w:spacing w:before="120"/>
      <w:ind w:left="454" w:right="851" w:hanging="284"/>
      <w:contextualSpacing/>
    </w:pPr>
    <w:rPr>
      <w:rFonts w:ascii="Arial" w:hAnsi="Arial"/>
      <w:smallCaps/>
      <w:noProof/>
      <w:lang w:val="es-ES_tradnl"/>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534CE"/>
    <w:pPr>
      <w:tabs>
        <w:tab w:val="right" w:leader="dot" w:pos="9639"/>
      </w:tabs>
      <w:spacing w:before="120" w:after="120"/>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2Char">
    <w:name w:val="Heading 2 Char"/>
    <w:basedOn w:val="DefaultParagraphFont"/>
    <w:link w:val="Heading2"/>
    <w:rsid w:val="00A57943"/>
    <w:rPr>
      <w:rFonts w:ascii="Arial" w:hAnsi="Arial"/>
      <w:u w:val="single"/>
    </w:rPr>
  </w:style>
  <w:style w:type="character" w:customStyle="1" w:styleId="DecisionParagraphsChar">
    <w:name w:val="DecisionParagraphs Char"/>
    <w:basedOn w:val="DefaultParagraphFont"/>
    <w:link w:val="DecisionParagraphs"/>
    <w:rsid w:val="00A57943"/>
    <w:rPr>
      <w:rFonts w:ascii="Arial" w:hAnsi="Arial"/>
      <w:i/>
    </w:rPr>
  </w:style>
  <w:style w:type="paragraph" w:styleId="ListParagraph">
    <w:name w:val="List Paragraph"/>
    <w:basedOn w:val="Normal"/>
    <w:uiPriority w:val="34"/>
    <w:qFormat/>
    <w:rsid w:val="00A57943"/>
    <w:pPr>
      <w:ind w:left="720"/>
      <w:contextualSpacing/>
    </w:pPr>
  </w:style>
  <w:style w:type="paragraph" w:customStyle="1" w:styleId="Style1">
    <w:name w:val="Style1"/>
    <w:basedOn w:val="Normal"/>
    <w:rsid w:val="00A57943"/>
    <w:pPr>
      <w:tabs>
        <w:tab w:val="decimal" w:pos="907"/>
        <w:tab w:val="left" w:pos="1077"/>
      </w:tabs>
    </w:pPr>
    <w:rPr>
      <w:rFonts w:ascii="Times New Roman" w:hAnsi="Times New Roman"/>
      <w:sz w:val="24"/>
      <w:szCs w:val="24"/>
      <w:lang w:eastAsia="ja-JP"/>
    </w:rPr>
  </w:style>
  <w:style w:type="paragraph" w:styleId="TOCHeading">
    <w:name w:val="TOC Heading"/>
    <w:basedOn w:val="Heading1"/>
    <w:next w:val="Normal"/>
    <w:uiPriority w:val="39"/>
    <w:unhideWhenUsed/>
    <w:qFormat/>
    <w:rsid w:val="00E053E1"/>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lang w:val="es-ES"/>
    </w:rPr>
  </w:style>
  <w:style w:type="paragraph" w:styleId="Heading1">
    <w:name w:val="heading 1"/>
    <w:next w:val="Normal"/>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C534CE"/>
    <w:pPr>
      <w:tabs>
        <w:tab w:val="right" w:leader="dot" w:pos="9639"/>
      </w:tabs>
      <w:spacing w:before="120"/>
      <w:ind w:left="454" w:right="851" w:hanging="284"/>
      <w:contextualSpacing/>
    </w:pPr>
    <w:rPr>
      <w:rFonts w:ascii="Arial" w:hAnsi="Arial"/>
      <w:smallCaps/>
      <w:noProof/>
      <w:lang w:val="es-ES_tradnl"/>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534CE"/>
    <w:pPr>
      <w:tabs>
        <w:tab w:val="right" w:leader="dot" w:pos="9639"/>
      </w:tabs>
      <w:spacing w:before="120" w:after="120"/>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2Char">
    <w:name w:val="Heading 2 Char"/>
    <w:basedOn w:val="DefaultParagraphFont"/>
    <w:link w:val="Heading2"/>
    <w:rsid w:val="00A57943"/>
    <w:rPr>
      <w:rFonts w:ascii="Arial" w:hAnsi="Arial"/>
      <w:u w:val="single"/>
    </w:rPr>
  </w:style>
  <w:style w:type="character" w:customStyle="1" w:styleId="DecisionParagraphsChar">
    <w:name w:val="DecisionParagraphs Char"/>
    <w:basedOn w:val="DefaultParagraphFont"/>
    <w:link w:val="DecisionParagraphs"/>
    <w:rsid w:val="00A57943"/>
    <w:rPr>
      <w:rFonts w:ascii="Arial" w:hAnsi="Arial"/>
      <w:i/>
    </w:rPr>
  </w:style>
  <w:style w:type="paragraph" w:styleId="ListParagraph">
    <w:name w:val="List Paragraph"/>
    <w:basedOn w:val="Normal"/>
    <w:uiPriority w:val="34"/>
    <w:qFormat/>
    <w:rsid w:val="00A57943"/>
    <w:pPr>
      <w:ind w:left="720"/>
      <w:contextualSpacing/>
    </w:pPr>
  </w:style>
  <w:style w:type="paragraph" w:customStyle="1" w:styleId="Style1">
    <w:name w:val="Style1"/>
    <w:basedOn w:val="Normal"/>
    <w:rsid w:val="00A57943"/>
    <w:pPr>
      <w:tabs>
        <w:tab w:val="decimal" w:pos="907"/>
        <w:tab w:val="left" w:pos="1077"/>
      </w:tabs>
    </w:pPr>
    <w:rPr>
      <w:rFonts w:ascii="Times New Roman" w:hAnsi="Times New Roman"/>
      <w:sz w:val="24"/>
      <w:szCs w:val="24"/>
      <w:lang w:eastAsia="ja-JP"/>
    </w:rPr>
  </w:style>
  <w:style w:type="paragraph" w:styleId="TOCHeading">
    <w:name w:val="TOC Heading"/>
    <w:basedOn w:val="Heading1"/>
    <w:next w:val="Normal"/>
    <w:uiPriority w:val="39"/>
    <w:unhideWhenUsed/>
    <w:qFormat/>
    <w:rsid w:val="00E053E1"/>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F4680-B843-4CAE-BEEA-8029F414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1785</Words>
  <Characters>9801</Characters>
  <Application>Microsoft Office Word</Application>
  <DocSecurity>0</DocSecurity>
  <Lines>81</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TC/50/3</vt:lpstr>
      <vt:lpstr>TC/50/3</vt:lpstr>
    </vt:vector>
  </TitlesOfParts>
  <Company>UPOV</Company>
  <LinksUpToDate>false</LinksUpToDate>
  <CharactersWithSpaces>11563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TC/50/3</dc:title>
  <dc:creator>BOU LLORET Amparo</dc:creator>
  <dc:description>ID (trad. ext.) - 3/2/2014</dc:description>
  <cp:lastModifiedBy>FAVA Alexandra</cp:lastModifiedBy>
  <cp:revision>7</cp:revision>
  <cp:lastPrinted>2014-02-14T12:42:00Z</cp:lastPrinted>
  <dcterms:created xsi:type="dcterms:W3CDTF">2014-02-05T13:12:00Z</dcterms:created>
  <dcterms:modified xsi:type="dcterms:W3CDTF">2014-02-14T12:43:00Z</dcterms:modified>
</cp:coreProperties>
</file>