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E2AE6" w:rsidRPr="00D42D8E" w:rsidTr="00705196">
        <w:tc>
          <w:tcPr>
            <w:tcW w:w="4243" w:type="dxa"/>
          </w:tcPr>
          <w:p w:rsidR="003E2AE6" w:rsidRPr="00C5280D" w:rsidRDefault="003E2AE6" w:rsidP="006655D3"/>
        </w:tc>
        <w:tc>
          <w:tcPr>
            <w:tcW w:w="1646" w:type="dxa"/>
            <w:vAlign w:val="center"/>
          </w:tcPr>
          <w:p w:rsidR="003E2AE6" w:rsidRPr="001B4658" w:rsidRDefault="00F65A6E" w:rsidP="006655D3">
            <w:pPr>
              <w:pStyle w:val="LogoUPOV"/>
            </w:pPr>
            <w:r w:rsidRPr="001B4658">
              <w:rPr>
                <w:noProof/>
              </w:rPr>
              <w:drawing>
                <wp:inline distT="0" distB="0" distL="0" distR="0" wp14:anchorId="1B80C81B" wp14:editId="36898794">
                  <wp:extent cx="954405"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405" cy="445135"/>
                          </a:xfrm>
                          <a:prstGeom prst="rect">
                            <a:avLst/>
                          </a:prstGeom>
                          <a:noFill/>
                          <a:ln>
                            <a:noFill/>
                          </a:ln>
                        </pic:spPr>
                      </pic:pic>
                    </a:graphicData>
                  </a:graphic>
                </wp:inline>
              </w:drawing>
            </w:r>
          </w:p>
        </w:tc>
        <w:tc>
          <w:tcPr>
            <w:tcW w:w="4242" w:type="dxa"/>
            <w:vAlign w:val="center"/>
          </w:tcPr>
          <w:p w:rsidR="003E2AE6" w:rsidRPr="001B4658" w:rsidRDefault="003E2AE6" w:rsidP="006655D3">
            <w:pPr>
              <w:pStyle w:val="Lettrine"/>
              <w:rPr>
                <w:lang w:val="es-ES_tradnl"/>
              </w:rPr>
            </w:pPr>
            <w:r w:rsidRPr="001B4658">
              <w:rPr>
                <w:lang w:val="es-ES_tradnl"/>
              </w:rPr>
              <w:t>S</w:t>
            </w:r>
          </w:p>
          <w:p w:rsidR="003E2AE6" w:rsidRPr="001B4658" w:rsidRDefault="003E2AE6" w:rsidP="006655D3">
            <w:pPr>
              <w:pStyle w:val="Docoriginal"/>
              <w:rPr>
                <w:lang w:val="es-ES_tradnl"/>
              </w:rPr>
            </w:pPr>
            <w:r w:rsidRPr="001B4658">
              <w:rPr>
                <w:lang w:val="es-ES_tradnl"/>
              </w:rPr>
              <w:t>TC/50/</w:t>
            </w:r>
            <w:bookmarkStart w:id="0" w:name="Code"/>
            <w:bookmarkEnd w:id="0"/>
            <w:r w:rsidRPr="001B4658">
              <w:rPr>
                <w:lang w:val="es-ES_tradnl"/>
              </w:rPr>
              <w:t>28</w:t>
            </w:r>
          </w:p>
          <w:p w:rsidR="003E2AE6" w:rsidRPr="001B4658" w:rsidRDefault="003E2AE6" w:rsidP="006655D3">
            <w:pPr>
              <w:pStyle w:val="Docoriginal"/>
              <w:rPr>
                <w:b w:val="0"/>
                <w:spacing w:val="0"/>
                <w:lang w:val="es-ES_tradnl"/>
              </w:rPr>
            </w:pPr>
            <w:r w:rsidRPr="001B4658">
              <w:rPr>
                <w:rStyle w:val="StyleDoclangBold"/>
                <w:b/>
                <w:bCs/>
                <w:spacing w:val="0"/>
                <w:lang w:val="es-ES_tradnl"/>
              </w:rPr>
              <w:t>ORIGINAL:</w:t>
            </w:r>
            <w:r w:rsidRPr="001B4658">
              <w:rPr>
                <w:rStyle w:val="StyleDocoriginalNotBold1"/>
                <w:spacing w:val="0"/>
                <w:lang w:val="es-ES_tradnl"/>
              </w:rPr>
              <w:t xml:space="preserve"> </w:t>
            </w:r>
            <w:r w:rsidRPr="001B4658">
              <w:rPr>
                <w:spacing w:val="0"/>
                <w:lang w:val="es-ES_tradnl"/>
              </w:rPr>
              <w:t xml:space="preserve"> </w:t>
            </w:r>
            <w:bookmarkStart w:id="1" w:name="Original"/>
            <w:bookmarkEnd w:id="1"/>
            <w:r w:rsidRPr="001B4658">
              <w:rPr>
                <w:b w:val="0"/>
                <w:spacing w:val="0"/>
                <w:lang w:val="es-ES_tradnl"/>
              </w:rPr>
              <w:t>Inglés</w:t>
            </w:r>
          </w:p>
          <w:p w:rsidR="003E2AE6" w:rsidRPr="00376E1B" w:rsidRDefault="003E2AE6" w:rsidP="00705196">
            <w:pPr>
              <w:pStyle w:val="Docoriginal"/>
              <w:rPr>
                <w:lang w:val="es-ES_tradnl"/>
              </w:rPr>
            </w:pPr>
            <w:r w:rsidRPr="001B4658">
              <w:rPr>
                <w:spacing w:val="0"/>
                <w:lang w:val="es-ES_tradnl"/>
              </w:rPr>
              <w:t>FECHA</w:t>
            </w:r>
            <w:r w:rsidRPr="001B4658">
              <w:rPr>
                <w:color w:val="000000"/>
                <w:spacing w:val="0"/>
                <w:lang w:val="es-ES_tradnl"/>
              </w:rPr>
              <w:t xml:space="preserve">: </w:t>
            </w:r>
            <w:r w:rsidRPr="001B4658">
              <w:rPr>
                <w:rStyle w:val="StyleDocoriginalNotBold1"/>
                <w:color w:val="000000"/>
                <w:spacing w:val="0"/>
                <w:lang w:val="es-ES_tradnl"/>
              </w:rPr>
              <w:t xml:space="preserve"> </w:t>
            </w:r>
            <w:bookmarkStart w:id="2" w:name="Date"/>
            <w:bookmarkEnd w:id="2"/>
            <w:r w:rsidR="001B4658" w:rsidRPr="001B4658">
              <w:rPr>
                <w:b w:val="0"/>
                <w:spacing w:val="0"/>
                <w:lang w:val="es-ES_tradnl"/>
              </w:rPr>
              <w:t>30</w:t>
            </w:r>
            <w:r w:rsidRPr="001B4658">
              <w:rPr>
                <w:b w:val="0"/>
                <w:spacing w:val="0"/>
                <w:lang w:val="es-ES_tradnl"/>
              </w:rPr>
              <w:t xml:space="preserve"> de enero de 2014</w:t>
            </w:r>
          </w:p>
        </w:tc>
      </w:tr>
      <w:tr w:rsidR="003E2AE6" w:rsidRPr="00D42D8E" w:rsidTr="00705196">
        <w:tc>
          <w:tcPr>
            <w:tcW w:w="10131" w:type="dxa"/>
            <w:gridSpan w:val="3"/>
          </w:tcPr>
          <w:p w:rsidR="003E2AE6" w:rsidRPr="00376E1B" w:rsidRDefault="003E2AE6" w:rsidP="006655D3">
            <w:pPr>
              <w:pStyle w:val="upove"/>
              <w:rPr>
                <w:sz w:val="28"/>
                <w:lang w:val="es-ES_tradnl"/>
              </w:rPr>
            </w:pPr>
            <w:r w:rsidRPr="00E34112">
              <w:rPr>
                <w:spacing w:val="2"/>
                <w:lang w:val="es-ES_tradnl"/>
              </w:rPr>
              <w:t>UNIÓN INTERNACIONAL PARA LA PROTECCIÓN DE LAS OBTENCIONES VEGETALES</w:t>
            </w:r>
          </w:p>
        </w:tc>
      </w:tr>
      <w:tr w:rsidR="003E2AE6" w:rsidRPr="00C5280D" w:rsidTr="00705196">
        <w:tc>
          <w:tcPr>
            <w:tcW w:w="10131" w:type="dxa"/>
            <w:gridSpan w:val="3"/>
          </w:tcPr>
          <w:p w:rsidR="003E2AE6" w:rsidRPr="00E34112" w:rsidRDefault="003E2AE6" w:rsidP="006655D3">
            <w:pPr>
              <w:pStyle w:val="Country"/>
            </w:pPr>
            <w:r w:rsidRPr="00E34112">
              <w:rPr>
                <w:lang w:val="es-ES_tradnl"/>
              </w:rPr>
              <w:t>Ginebra</w:t>
            </w:r>
          </w:p>
        </w:tc>
      </w:tr>
    </w:tbl>
    <w:p w:rsidR="003E2AE6" w:rsidRPr="00E34112" w:rsidRDefault="003E2AE6" w:rsidP="006655D3">
      <w:pPr>
        <w:pStyle w:val="Sessiontc"/>
      </w:pPr>
      <w:r w:rsidRPr="00E34112">
        <w:rPr>
          <w:lang w:val="es-ES_tradnl"/>
        </w:rPr>
        <w:t>COMITÉ TÉCNICO</w:t>
      </w:r>
    </w:p>
    <w:p w:rsidR="003E2AE6" w:rsidRPr="00376E1B" w:rsidRDefault="003E2AE6" w:rsidP="006655D3">
      <w:pPr>
        <w:pStyle w:val="Sessiontcplacedate"/>
        <w:rPr>
          <w:lang w:val="es-ES_tradnl"/>
        </w:rPr>
      </w:pPr>
      <w:r w:rsidRPr="00E34112">
        <w:rPr>
          <w:lang w:val="es-ES_tradnl"/>
        </w:rPr>
        <w:t>Quincuagésima sesión</w:t>
      </w:r>
      <w:r w:rsidRPr="00376E1B">
        <w:rPr>
          <w:lang w:val="es-ES_tradnl"/>
        </w:rPr>
        <w:br/>
      </w:r>
      <w:r w:rsidRPr="00E34112">
        <w:rPr>
          <w:lang w:val="es-ES_tradnl"/>
        </w:rPr>
        <w:t>Ginebra, 7 a 9 de abril de 2014</w:t>
      </w:r>
    </w:p>
    <w:p w:rsidR="003E2AE6" w:rsidRPr="00376E1B" w:rsidRDefault="003E2AE6" w:rsidP="00705196">
      <w:pPr>
        <w:pStyle w:val="Titleofdoc0"/>
        <w:rPr>
          <w:lang w:val="es-ES_tradnl"/>
        </w:rPr>
      </w:pPr>
      <w:bookmarkStart w:id="3" w:name="TitleOfDoc"/>
      <w:bookmarkEnd w:id="3"/>
      <w:r w:rsidRPr="00E34112">
        <w:rPr>
          <w:rFonts w:cs="Arial"/>
          <w:lang w:val="es-ES_tradnl"/>
        </w:rPr>
        <w:t>REVISIÓN DEL DOCUMENTO TGP/8:  PARTE II:</w:t>
      </w:r>
      <w:r w:rsidRPr="00376E1B">
        <w:rPr>
          <w:rFonts w:cs="Arial"/>
          <w:lang w:val="es-ES_tradnl"/>
        </w:rPr>
        <w:t xml:space="preserve">  </w:t>
      </w:r>
      <w:r w:rsidRPr="00E34112">
        <w:rPr>
          <w:rFonts w:cs="Arial"/>
          <w:lang w:val="es-ES_tradnl"/>
        </w:rPr>
        <w:t>TÉCNICAS UTILIZADAS EN EL EXAMEN DHE, NUEVA SECCIÓN:</w:t>
      </w:r>
      <w:r w:rsidRPr="00376E1B">
        <w:rPr>
          <w:rFonts w:cs="Arial"/>
          <w:lang w:val="es-ES_tradnl"/>
        </w:rPr>
        <w:t xml:space="preserve">  </w:t>
      </w:r>
      <w:r w:rsidRPr="00E34112">
        <w:rPr>
          <w:rFonts w:cs="Arial"/>
          <w:lang w:val="es-ES_tradnl"/>
        </w:rPr>
        <w:t>Métodos estadísticos aplicados a caracteres observados visualmente</w:t>
      </w:r>
    </w:p>
    <w:p w:rsidR="003E2AE6" w:rsidRPr="00376E1B" w:rsidRDefault="003E2AE6" w:rsidP="00050E16">
      <w:pPr>
        <w:pStyle w:val="preparedby1"/>
        <w:rPr>
          <w:lang w:val="es-ES_tradnl"/>
        </w:rPr>
      </w:pPr>
      <w:bookmarkStart w:id="4" w:name="Prepared"/>
      <w:bookmarkEnd w:id="4"/>
      <w:r w:rsidRPr="00E34112">
        <w:rPr>
          <w:lang w:val="es-ES_tradnl"/>
        </w:rPr>
        <w:t>Documento preparado por la Oficina de la Unión</w:t>
      </w:r>
      <w:r w:rsidRPr="00376E1B">
        <w:rPr>
          <w:lang w:val="es-ES_tradnl"/>
        </w:rPr>
        <w:br/>
      </w:r>
      <w:r w:rsidRPr="00376E1B">
        <w:rPr>
          <w:lang w:val="es-ES_tradnl"/>
        </w:rPr>
        <w:br/>
      </w:r>
      <w:r w:rsidRPr="00E34112">
        <w:rPr>
          <w:color w:val="948A77"/>
          <w:lang w:val="es-ES_tradnl"/>
        </w:rPr>
        <w:t>Descargo de responsabilidad:  el presente documento no constituye</w:t>
      </w:r>
      <w:r w:rsidRPr="00E34112">
        <w:rPr>
          <w:color w:val="948A77"/>
          <w:lang w:val="es-ES_tradnl"/>
        </w:rPr>
        <w:br/>
        <w:t>un documento de política u orientación de la UPOV</w:t>
      </w:r>
    </w:p>
    <w:p w:rsidR="003E2AE6" w:rsidRPr="00376E1B" w:rsidRDefault="003E2AE6" w:rsidP="00D86A59">
      <w:pPr>
        <w:rPr>
          <w:rFonts w:eastAsia="MS Mincho" w:cs="Arial"/>
          <w:lang w:val="es-ES_tradnl" w:eastAsia="ja-JP"/>
        </w:rPr>
      </w:pPr>
      <w:r w:rsidRPr="00D86A59">
        <w:rPr>
          <w:rFonts w:eastAsia="MS Mincho"/>
        </w:rPr>
        <w:fldChar w:fldCharType="begin"/>
      </w:r>
      <w:r w:rsidRPr="00376E1B">
        <w:rPr>
          <w:rFonts w:eastAsia="MS Mincho"/>
          <w:lang w:val="es-ES_tradnl"/>
        </w:rPr>
        <w:instrText xml:space="preserve"> AUTONUM  </w:instrText>
      </w:r>
      <w:r w:rsidRPr="00D86A59">
        <w:rPr>
          <w:rFonts w:eastAsia="MS Mincho"/>
        </w:rPr>
        <w:fldChar w:fldCharType="end"/>
      </w:r>
      <w:r w:rsidRPr="00376E1B">
        <w:rPr>
          <w:rFonts w:eastAsia="MS Mincho"/>
          <w:lang w:val="es-ES_tradnl"/>
        </w:rPr>
        <w:tab/>
      </w:r>
      <w:r w:rsidRPr="000E7943">
        <w:rPr>
          <w:rFonts w:eastAsia="MS Mincho" w:cs="Arial"/>
          <w:lang w:val="es-ES_tradnl" w:eastAsia="ja-JP"/>
        </w:rPr>
        <w:t>En el presente documento se exponen las novedades relativas a la posibilidad de incluir una nueva</w:t>
      </w:r>
      <w:r w:rsidRPr="000E7943">
        <w:rPr>
          <w:rFonts w:eastAsia="MS Mincho"/>
          <w:lang w:val="es-ES_tradnl"/>
        </w:rPr>
        <w:t xml:space="preserve"> </w:t>
      </w:r>
      <w:r w:rsidRPr="000E7943">
        <w:rPr>
          <w:rFonts w:eastAsia="MS Mincho" w:cs="Arial"/>
          <w:lang w:val="es-ES_tradnl" w:eastAsia="ja-JP"/>
        </w:rPr>
        <w:t>sección</w:t>
      </w:r>
      <w:r w:rsidR="00327D79">
        <w:rPr>
          <w:rFonts w:eastAsia="MS Mincho" w:cs="Arial"/>
          <w:lang w:val="es-ES_tradnl" w:eastAsia="ja-JP"/>
        </w:rPr>
        <w:t xml:space="preserve"> “</w:t>
      </w:r>
      <w:r w:rsidRPr="000E7943">
        <w:rPr>
          <w:rFonts w:eastAsia="MS Mincho"/>
          <w:lang w:val="es-ES_tradnl"/>
        </w:rPr>
        <w:t>Métodos estadísticos aplicados a car</w:t>
      </w:r>
      <w:r w:rsidR="00327D79">
        <w:rPr>
          <w:rFonts w:eastAsia="MS Mincho"/>
          <w:lang w:val="es-ES_tradnl"/>
        </w:rPr>
        <w:t>acteres observados visualmente”</w:t>
      </w:r>
      <w:r w:rsidRPr="000E7943">
        <w:rPr>
          <w:rFonts w:eastAsia="MS Mincho"/>
          <w:lang w:val="es-ES_tradnl"/>
        </w:rPr>
        <w:t xml:space="preserve"> en el documento TGP/8</w:t>
      </w:r>
      <w:proofErr w:type="gramStart"/>
      <w:r w:rsidRPr="000E7943">
        <w:rPr>
          <w:rFonts w:eastAsia="MS Mincho"/>
          <w:lang w:val="es-ES_tradnl"/>
        </w:rPr>
        <w:t>:  Parte</w:t>
      </w:r>
      <w:proofErr w:type="gramEnd"/>
      <w:r w:rsidRPr="000E7943">
        <w:rPr>
          <w:rFonts w:eastAsia="MS Mincho"/>
          <w:lang w:val="es-ES_tradnl"/>
        </w:rPr>
        <w:t> II:</w:t>
      </w:r>
      <w:r w:rsidRPr="00376E1B">
        <w:rPr>
          <w:rFonts w:eastAsia="MS Mincho"/>
          <w:lang w:val="es-ES_tradnl"/>
        </w:rPr>
        <w:t xml:space="preserve"> </w:t>
      </w:r>
      <w:r w:rsidRPr="000E7943">
        <w:rPr>
          <w:rFonts w:eastAsia="MS Mincho"/>
          <w:lang w:val="es-ES_tradnl"/>
        </w:rPr>
        <w:t>“Técnicas utilizadas en el examen DHE” en una futura revisión del documento TGP/8.</w:t>
      </w:r>
    </w:p>
    <w:p w:rsidR="003E2AE6" w:rsidRPr="00376E1B" w:rsidRDefault="003E2AE6" w:rsidP="00D86A59">
      <w:pPr>
        <w:rPr>
          <w:rFonts w:eastAsia="MS Mincho"/>
          <w:lang w:val="es-ES_tradnl"/>
        </w:rPr>
      </w:pPr>
    </w:p>
    <w:p w:rsidR="003E2AE6" w:rsidRPr="00376E1B" w:rsidRDefault="003E2AE6" w:rsidP="007C3C24">
      <w:pPr>
        <w:rPr>
          <w:rFonts w:cs="Arial"/>
          <w:color w:val="000000"/>
          <w:lang w:val="es-ES_tradnl"/>
        </w:rPr>
      </w:pPr>
      <w:r w:rsidRPr="00E34112">
        <w:fldChar w:fldCharType="begin"/>
      </w:r>
      <w:r w:rsidRPr="00376E1B">
        <w:rPr>
          <w:lang w:val="es-ES_tradnl"/>
        </w:rPr>
        <w:instrText xml:space="preserve"> AUTONUM  </w:instrText>
      </w:r>
      <w:r w:rsidRPr="00E34112">
        <w:fldChar w:fldCharType="end"/>
      </w:r>
      <w:r w:rsidRPr="00376E1B">
        <w:rPr>
          <w:lang w:val="es-ES_tradnl"/>
        </w:rPr>
        <w:tab/>
      </w:r>
      <w:r w:rsidRPr="00E34112">
        <w:rPr>
          <w:rFonts w:cs="Arial"/>
          <w:lang w:val="es-ES_tradnl"/>
        </w:rPr>
        <w:t>En el presente documento se utilizan las abreviaturas siguientes:</w:t>
      </w:r>
    </w:p>
    <w:p w:rsidR="003E2AE6" w:rsidRPr="00376E1B" w:rsidRDefault="003E2AE6" w:rsidP="007C3C24">
      <w:pPr>
        <w:rPr>
          <w:rFonts w:cs="Arial"/>
          <w:color w:val="000000"/>
          <w:lang w:val="es-ES_tradnl"/>
        </w:rPr>
      </w:pPr>
    </w:p>
    <w:p w:rsidR="003E2AE6" w:rsidRPr="00376E1B" w:rsidRDefault="003E2AE6" w:rsidP="007C3C24">
      <w:pPr>
        <w:rPr>
          <w:rFonts w:cs="Arial"/>
          <w:lang w:val="es-ES_tradnl"/>
        </w:rPr>
      </w:pPr>
      <w:r w:rsidRPr="00376E1B">
        <w:rPr>
          <w:rFonts w:cs="Arial"/>
          <w:lang w:val="es-ES_tradnl"/>
        </w:rPr>
        <w:tab/>
      </w:r>
      <w:r w:rsidRPr="00E34112">
        <w:rPr>
          <w:rFonts w:cs="Arial"/>
          <w:lang w:val="es-ES_tradnl"/>
        </w:rPr>
        <w:t>TC:</w:t>
      </w:r>
      <w:r w:rsidRPr="00376E1B">
        <w:rPr>
          <w:rFonts w:cs="Arial"/>
          <w:lang w:val="es-ES_tradnl"/>
        </w:rPr>
        <w:tab/>
      </w:r>
      <w:r w:rsidRPr="00376E1B">
        <w:rPr>
          <w:rFonts w:cs="Arial"/>
          <w:lang w:val="es-ES_tradnl"/>
        </w:rPr>
        <w:tab/>
      </w:r>
      <w:r w:rsidRPr="00E34112">
        <w:rPr>
          <w:rFonts w:cs="Arial"/>
          <w:lang w:val="es-ES_tradnl"/>
        </w:rPr>
        <w:t>Comité Técnico</w:t>
      </w:r>
    </w:p>
    <w:p w:rsidR="003E2AE6" w:rsidRPr="00376E1B" w:rsidRDefault="003E2AE6" w:rsidP="007C3C24">
      <w:pPr>
        <w:rPr>
          <w:rFonts w:eastAsia="PMingLiU" w:cs="Arial"/>
          <w:szCs w:val="24"/>
          <w:lang w:val="es-ES_tradnl"/>
        </w:rPr>
      </w:pPr>
      <w:r w:rsidRPr="00376E1B">
        <w:rPr>
          <w:rFonts w:eastAsia="PMingLiU" w:cs="Arial"/>
          <w:szCs w:val="24"/>
          <w:lang w:val="es-ES_tradnl"/>
        </w:rPr>
        <w:tab/>
      </w:r>
      <w:r w:rsidRPr="00E34112">
        <w:rPr>
          <w:rFonts w:eastAsia="PMingLiU" w:cs="Arial"/>
          <w:szCs w:val="24"/>
          <w:lang w:val="es-ES_tradnl"/>
        </w:rPr>
        <w:t>TC-EDC:</w:t>
      </w:r>
      <w:r w:rsidRPr="00376E1B">
        <w:rPr>
          <w:rFonts w:eastAsia="PMingLiU" w:cs="Arial"/>
          <w:szCs w:val="24"/>
          <w:lang w:val="es-ES_tradnl"/>
        </w:rPr>
        <w:tab/>
      </w:r>
      <w:r w:rsidRPr="00E34112">
        <w:rPr>
          <w:rFonts w:eastAsia="PMingLiU" w:cs="Arial"/>
          <w:szCs w:val="24"/>
          <w:lang w:val="es-ES_tradnl"/>
        </w:rPr>
        <w:t>Comité de Redacción Ampliado</w:t>
      </w:r>
    </w:p>
    <w:p w:rsidR="003E2AE6" w:rsidRPr="00376E1B" w:rsidRDefault="003E2AE6" w:rsidP="007C3C24">
      <w:pPr>
        <w:rPr>
          <w:rFonts w:eastAsia="PMingLiU" w:cs="Arial"/>
          <w:szCs w:val="24"/>
          <w:lang w:val="es-ES_tradnl"/>
        </w:rPr>
      </w:pPr>
      <w:r w:rsidRPr="00376E1B">
        <w:rPr>
          <w:rFonts w:eastAsia="PMingLiU" w:cs="Arial"/>
          <w:szCs w:val="24"/>
          <w:lang w:val="es-ES_tradnl"/>
        </w:rPr>
        <w:tab/>
      </w:r>
      <w:r w:rsidRPr="00E34112">
        <w:rPr>
          <w:rFonts w:eastAsia="PMingLiU" w:cs="Arial"/>
          <w:szCs w:val="24"/>
          <w:lang w:val="es-ES_tradnl"/>
        </w:rPr>
        <w:t>TWA:</w:t>
      </w:r>
      <w:r w:rsidRPr="00376E1B">
        <w:rPr>
          <w:rFonts w:eastAsia="PMingLiU" w:cs="Arial"/>
          <w:szCs w:val="24"/>
          <w:lang w:val="es-ES_tradnl"/>
        </w:rPr>
        <w:tab/>
      </w:r>
      <w:r w:rsidRPr="00376E1B">
        <w:rPr>
          <w:rFonts w:eastAsia="PMingLiU" w:cs="Arial"/>
          <w:szCs w:val="24"/>
          <w:lang w:val="es-ES_tradnl"/>
        </w:rPr>
        <w:tab/>
      </w:r>
      <w:r w:rsidRPr="00E34112">
        <w:rPr>
          <w:rFonts w:eastAsia="PMingLiU" w:cs="Arial"/>
          <w:szCs w:val="24"/>
          <w:lang w:val="es-ES_tradnl"/>
        </w:rPr>
        <w:t>Grupo de Trabajo Técnico sobre Plantas Agrícolas</w:t>
      </w:r>
    </w:p>
    <w:p w:rsidR="003E2AE6" w:rsidRPr="00376E1B" w:rsidRDefault="003E2AE6" w:rsidP="007C3C24">
      <w:pPr>
        <w:rPr>
          <w:rFonts w:eastAsia="PMingLiU" w:cs="Arial"/>
          <w:szCs w:val="24"/>
          <w:lang w:val="es-ES_tradnl"/>
        </w:rPr>
      </w:pPr>
      <w:r w:rsidRPr="00376E1B">
        <w:rPr>
          <w:rFonts w:eastAsia="PMingLiU" w:cs="Arial"/>
          <w:szCs w:val="24"/>
          <w:lang w:val="es-ES_tradnl"/>
        </w:rPr>
        <w:tab/>
      </w:r>
      <w:r w:rsidRPr="00E34112">
        <w:rPr>
          <w:rFonts w:eastAsia="PMingLiU" w:cs="Arial"/>
          <w:szCs w:val="24"/>
          <w:lang w:val="es-ES_tradnl"/>
        </w:rPr>
        <w:t>TWC:</w:t>
      </w:r>
      <w:r w:rsidRPr="00376E1B">
        <w:rPr>
          <w:rFonts w:eastAsia="PMingLiU" w:cs="Arial"/>
          <w:szCs w:val="24"/>
          <w:lang w:val="es-ES_tradnl"/>
        </w:rPr>
        <w:tab/>
      </w:r>
      <w:r w:rsidRPr="00376E1B">
        <w:rPr>
          <w:rFonts w:eastAsia="PMingLiU" w:cs="Arial"/>
          <w:szCs w:val="24"/>
          <w:lang w:val="es-ES_tradnl"/>
        </w:rPr>
        <w:tab/>
      </w:r>
      <w:r w:rsidRPr="00E34112">
        <w:rPr>
          <w:rFonts w:eastAsia="PMingLiU" w:cs="Arial"/>
          <w:szCs w:val="24"/>
          <w:lang w:val="es-ES_tradnl"/>
        </w:rPr>
        <w:t>Grupo de Trabajo Técnico sobre Automatización y Programas Informáticos</w:t>
      </w:r>
    </w:p>
    <w:p w:rsidR="003E2AE6" w:rsidRPr="00376E1B" w:rsidRDefault="003E2AE6" w:rsidP="007C3C24">
      <w:pPr>
        <w:rPr>
          <w:rFonts w:eastAsia="PMingLiU" w:cs="Arial"/>
          <w:szCs w:val="24"/>
          <w:lang w:val="es-ES_tradnl"/>
        </w:rPr>
      </w:pPr>
      <w:r w:rsidRPr="00376E1B">
        <w:rPr>
          <w:rFonts w:eastAsia="PMingLiU" w:cs="Arial"/>
          <w:szCs w:val="24"/>
          <w:lang w:val="es-ES_tradnl"/>
        </w:rPr>
        <w:tab/>
      </w:r>
      <w:r w:rsidRPr="00E34112">
        <w:rPr>
          <w:rFonts w:eastAsia="PMingLiU" w:cs="Arial"/>
          <w:szCs w:val="24"/>
          <w:lang w:val="es-ES_tradnl"/>
        </w:rPr>
        <w:t>TWF:</w:t>
      </w:r>
      <w:r w:rsidRPr="00376E1B">
        <w:rPr>
          <w:rFonts w:eastAsia="PMingLiU" w:cs="Arial"/>
          <w:szCs w:val="24"/>
          <w:lang w:val="es-ES_tradnl"/>
        </w:rPr>
        <w:t xml:space="preserve"> </w:t>
      </w:r>
      <w:r w:rsidRPr="00376E1B">
        <w:rPr>
          <w:rFonts w:eastAsia="PMingLiU" w:cs="Arial"/>
          <w:szCs w:val="24"/>
          <w:lang w:val="es-ES_tradnl"/>
        </w:rPr>
        <w:tab/>
      </w:r>
      <w:r w:rsidRPr="00376E1B">
        <w:rPr>
          <w:rFonts w:eastAsia="PMingLiU" w:cs="Arial"/>
          <w:szCs w:val="24"/>
          <w:lang w:val="es-ES_tradnl"/>
        </w:rPr>
        <w:tab/>
      </w:r>
      <w:r w:rsidRPr="00E34112">
        <w:rPr>
          <w:rFonts w:eastAsia="PMingLiU" w:cs="Arial"/>
          <w:szCs w:val="24"/>
          <w:lang w:val="es-ES_tradnl"/>
        </w:rPr>
        <w:t>Grupo de Trabajo Técnico sobre Plantas Frutales</w:t>
      </w:r>
    </w:p>
    <w:p w:rsidR="003E2AE6" w:rsidRPr="00376E1B" w:rsidRDefault="003E2AE6" w:rsidP="007C3C24">
      <w:pPr>
        <w:rPr>
          <w:rFonts w:eastAsia="PMingLiU" w:cs="Arial"/>
          <w:szCs w:val="24"/>
          <w:lang w:val="es-ES_tradnl"/>
        </w:rPr>
      </w:pPr>
      <w:r w:rsidRPr="00376E1B">
        <w:rPr>
          <w:rFonts w:eastAsia="PMingLiU" w:cs="Arial"/>
          <w:szCs w:val="24"/>
          <w:lang w:val="es-ES_tradnl"/>
        </w:rPr>
        <w:tab/>
      </w:r>
      <w:r w:rsidRPr="00E34112">
        <w:rPr>
          <w:rFonts w:eastAsia="PMingLiU" w:cs="Arial"/>
          <w:szCs w:val="24"/>
          <w:lang w:val="es-ES_tradnl"/>
        </w:rPr>
        <w:t>TWO:</w:t>
      </w:r>
      <w:r w:rsidRPr="00376E1B">
        <w:rPr>
          <w:rFonts w:eastAsia="PMingLiU" w:cs="Arial"/>
          <w:szCs w:val="24"/>
          <w:lang w:val="es-ES_tradnl"/>
        </w:rPr>
        <w:tab/>
      </w:r>
      <w:r w:rsidRPr="00376E1B">
        <w:rPr>
          <w:rFonts w:eastAsia="PMingLiU" w:cs="Arial"/>
          <w:szCs w:val="24"/>
          <w:lang w:val="es-ES_tradnl"/>
        </w:rPr>
        <w:tab/>
      </w:r>
      <w:r w:rsidRPr="00E34112">
        <w:rPr>
          <w:rFonts w:eastAsia="PMingLiU" w:cs="Arial"/>
          <w:szCs w:val="24"/>
          <w:lang w:val="es-ES_tradnl"/>
        </w:rPr>
        <w:t>Grupo de Trabajo Técnico sobre Plantas Ornamentales y Árboles Forestales</w:t>
      </w:r>
    </w:p>
    <w:p w:rsidR="003E2AE6" w:rsidRPr="00376E1B" w:rsidRDefault="003E2AE6" w:rsidP="007C3C24">
      <w:pPr>
        <w:rPr>
          <w:rFonts w:eastAsia="PMingLiU" w:cs="Arial"/>
          <w:szCs w:val="24"/>
          <w:lang w:val="es-ES_tradnl"/>
        </w:rPr>
      </w:pPr>
      <w:r w:rsidRPr="00376E1B">
        <w:rPr>
          <w:rFonts w:eastAsia="PMingLiU" w:cs="Arial"/>
          <w:szCs w:val="24"/>
          <w:lang w:val="es-ES_tradnl"/>
        </w:rPr>
        <w:tab/>
      </w:r>
      <w:r w:rsidRPr="00E34112">
        <w:rPr>
          <w:rFonts w:eastAsia="PMingLiU" w:cs="Arial"/>
          <w:szCs w:val="24"/>
          <w:lang w:val="es-ES_tradnl"/>
        </w:rPr>
        <w:t>TWP:</w:t>
      </w:r>
      <w:r w:rsidRPr="00376E1B">
        <w:rPr>
          <w:rFonts w:eastAsia="PMingLiU" w:cs="Arial"/>
          <w:szCs w:val="24"/>
          <w:lang w:val="es-ES_tradnl"/>
        </w:rPr>
        <w:tab/>
      </w:r>
      <w:r w:rsidRPr="00376E1B">
        <w:rPr>
          <w:rFonts w:eastAsia="PMingLiU" w:cs="Arial"/>
          <w:szCs w:val="24"/>
          <w:lang w:val="es-ES_tradnl"/>
        </w:rPr>
        <w:tab/>
      </w:r>
      <w:r w:rsidRPr="00E34112">
        <w:rPr>
          <w:rFonts w:eastAsia="PMingLiU" w:cs="Arial"/>
          <w:szCs w:val="24"/>
          <w:lang w:val="es-ES_tradnl"/>
        </w:rPr>
        <w:t>Grupos de Trabajo Técnico</w:t>
      </w:r>
    </w:p>
    <w:p w:rsidR="003E2AE6" w:rsidRPr="00376E1B" w:rsidRDefault="003E2AE6" w:rsidP="007C3C24">
      <w:pPr>
        <w:rPr>
          <w:rFonts w:eastAsia="PMingLiU" w:cs="Arial"/>
          <w:szCs w:val="24"/>
          <w:lang w:val="es-ES_tradnl"/>
        </w:rPr>
      </w:pPr>
      <w:r w:rsidRPr="00376E1B">
        <w:rPr>
          <w:rFonts w:eastAsia="PMingLiU" w:cs="Arial"/>
          <w:szCs w:val="24"/>
          <w:lang w:val="es-ES_tradnl"/>
        </w:rPr>
        <w:tab/>
      </w:r>
      <w:r w:rsidRPr="00E34112">
        <w:rPr>
          <w:rFonts w:eastAsia="PMingLiU" w:cs="Arial"/>
          <w:szCs w:val="24"/>
          <w:lang w:val="es-ES_tradnl"/>
        </w:rPr>
        <w:t>TWV:</w:t>
      </w:r>
      <w:r w:rsidRPr="00376E1B">
        <w:rPr>
          <w:rFonts w:eastAsia="PMingLiU" w:cs="Arial"/>
          <w:szCs w:val="24"/>
          <w:lang w:val="es-ES_tradnl"/>
        </w:rPr>
        <w:tab/>
      </w:r>
      <w:r w:rsidRPr="00376E1B">
        <w:rPr>
          <w:rFonts w:eastAsia="PMingLiU" w:cs="Arial"/>
          <w:szCs w:val="24"/>
          <w:lang w:val="es-ES_tradnl"/>
        </w:rPr>
        <w:tab/>
      </w:r>
      <w:r w:rsidRPr="00E34112">
        <w:rPr>
          <w:rFonts w:eastAsia="PMingLiU" w:cs="Arial"/>
          <w:szCs w:val="24"/>
          <w:lang w:val="es-ES_tradnl"/>
        </w:rPr>
        <w:t>Grupo de Trabajo Técnico sobre Hortalizas</w:t>
      </w:r>
    </w:p>
    <w:p w:rsidR="003E2AE6" w:rsidRPr="00376E1B" w:rsidRDefault="003E2AE6" w:rsidP="00D86A59">
      <w:pPr>
        <w:rPr>
          <w:rFonts w:eastAsia="MS Mincho"/>
          <w:caps/>
          <w:lang w:val="es-ES_tradnl"/>
        </w:rPr>
      </w:pPr>
    </w:p>
    <w:p w:rsidR="003E2AE6" w:rsidRPr="00376E1B" w:rsidRDefault="003E2AE6" w:rsidP="00D86A59">
      <w:pPr>
        <w:rPr>
          <w:rFonts w:eastAsia="MS Mincho"/>
          <w:caps/>
          <w:lang w:val="es-ES_tradnl"/>
        </w:rPr>
      </w:pPr>
    </w:p>
    <w:p w:rsidR="003E2AE6" w:rsidRPr="00376E1B" w:rsidRDefault="003E2AE6" w:rsidP="00D86A59">
      <w:pPr>
        <w:rPr>
          <w:rFonts w:eastAsia="MS Mincho"/>
          <w:caps/>
          <w:lang w:val="es-ES_tradnl"/>
        </w:rPr>
      </w:pPr>
      <w:r w:rsidRPr="00E34112">
        <w:rPr>
          <w:rFonts w:eastAsia="MS Mincho"/>
          <w:caps/>
          <w:lang w:val="es-ES_tradnl"/>
        </w:rPr>
        <w:t>ANTECEDENTES</w:t>
      </w:r>
    </w:p>
    <w:p w:rsidR="003E2AE6" w:rsidRPr="00376E1B" w:rsidRDefault="003E2AE6" w:rsidP="00D86A59">
      <w:pPr>
        <w:rPr>
          <w:rFonts w:eastAsia="MS Mincho"/>
          <w:caps/>
          <w:lang w:val="es-ES_tradnl"/>
        </w:rPr>
      </w:pPr>
    </w:p>
    <w:p w:rsidR="003E2AE6" w:rsidRPr="00376E1B" w:rsidRDefault="003E2AE6" w:rsidP="003D737E">
      <w:pPr>
        <w:rPr>
          <w:rFonts w:eastAsia="MS Mincho"/>
          <w:spacing w:val="-2"/>
          <w:lang w:val="es-ES_tradnl"/>
        </w:rPr>
      </w:pPr>
      <w:r w:rsidRPr="00D86A59">
        <w:rPr>
          <w:rFonts w:eastAsia="MS Mincho"/>
          <w:spacing w:val="-2"/>
        </w:rPr>
        <w:fldChar w:fldCharType="begin"/>
      </w:r>
      <w:r w:rsidRPr="00376E1B">
        <w:rPr>
          <w:rFonts w:eastAsia="MS Mincho"/>
          <w:spacing w:val="-2"/>
          <w:lang w:val="es-ES_tradnl"/>
        </w:rPr>
        <w:instrText xml:space="preserve"> AUTONUM  </w:instrText>
      </w:r>
      <w:r w:rsidRPr="00D86A59">
        <w:rPr>
          <w:rFonts w:eastAsia="MS Mincho"/>
          <w:spacing w:val="-2"/>
        </w:rPr>
        <w:fldChar w:fldCharType="end"/>
      </w:r>
      <w:r w:rsidRPr="00376E1B">
        <w:rPr>
          <w:rFonts w:eastAsia="MS Mincho"/>
          <w:spacing w:val="-2"/>
          <w:lang w:val="es-ES_tradnl"/>
        </w:rPr>
        <w:tab/>
      </w:r>
      <w:r w:rsidRPr="000E7943">
        <w:rPr>
          <w:rFonts w:eastAsia="MS Mincho"/>
          <w:spacing w:val="-2"/>
          <w:lang w:val="es-ES_tradnl"/>
        </w:rPr>
        <w:t>En su cuadragésima octava sesión, celebrada en Ginebra del 26 al 28 de marzo de 2012, el TC examinó la propuesta de introducir una nueva sección</w:t>
      </w:r>
      <w:r w:rsidR="00327D79">
        <w:rPr>
          <w:rFonts w:eastAsia="MS Mincho"/>
          <w:spacing w:val="-2"/>
          <w:lang w:val="es-ES_tradnl"/>
        </w:rPr>
        <w:t xml:space="preserve"> “</w:t>
      </w:r>
      <w:r w:rsidRPr="00E34112">
        <w:rPr>
          <w:rFonts w:eastAsia="MS Mincho"/>
          <w:spacing w:val="-2"/>
          <w:lang w:val="es-ES_tradnl"/>
        </w:rPr>
        <w:t>Métodos estadísticos aplicados a caracteres observados visualmente” en el documento TGP/8: Parte II:</w:t>
      </w:r>
      <w:r w:rsidRPr="00376E1B">
        <w:rPr>
          <w:rFonts w:eastAsia="MS Mincho"/>
          <w:spacing w:val="-2"/>
          <w:lang w:val="es-ES_tradnl"/>
        </w:rPr>
        <w:t xml:space="preserve"> </w:t>
      </w:r>
      <w:r w:rsidRPr="000E7943">
        <w:rPr>
          <w:rFonts w:eastAsia="MS Mincho"/>
          <w:spacing w:val="-2"/>
          <w:lang w:val="es-ES_tradnl"/>
        </w:rPr>
        <w:t>“Técnicas utilizadas en el examen DHE”, sobre la base del documento TC/48/19 Rev. “Revisión del documento TGP/8:  Diseño de ensayos y técnicas utilizados en el examen de la distinción, la homogeneidad y la estabilidad”, Anexo X, preparado por un experto de Dinamarca.</w:t>
      </w:r>
      <w:r w:rsidRPr="00376E1B">
        <w:rPr>
          <w:rFonts w:eastAsia="MS Mincho"/>
          <w:spacing w:val="-2"/>
          <w:lang w:val="es-ES_tradnl"/>
        </w:rPr>
        <w:t xml:space="preserve">  </w:t>
      </w:r>
      <w:r w:rsidRPr="000E7943">
        <w:rPr>
          <w:rFonts w:eastAsia="MS Mincho"/>
          <w:spacing w:val="-2"/>
          <w:lang w:val="es-ES_tradnl"/>
        </w:rPr>
        <w:t>El TC convino en que la sección “Métodos estadísticos aplicados a caracteres observados visualmente” se redacte de nuevo con la asistencia de expertos en el examen DHE de Dinamarca a fin de hacer hincapié en las orientaciones destinadas a los encargados del examen DHE y, además, que se sustituyan los modelos estadísticos detallados por una referencia general a métodos estadísticos adecuados.</w:t>
      </w:r>
      <w:r w:rsidRPr="00376E1B">
        <w:rPr>
          <w:rFonts w:eastAsia="MS Mincho"/>
          <w:spacing w:val="-2"/>
          <w:lang w:val="es-ES_tradnl"/>
        </w:rPr>
        <w:t xml:space="preserve">  </w:t>
      </w:r>
      <w:r w:rsidRPr="00E34112">
        <w:rPr>
          <w:rFonts w:eastAsia="MS Mincho"/>
          <w:spacing w:val="-2"/>
          <w:lang w:val="es-ES_tradnl"/>
        </w:rPr>
        <w:t>El TC convino en que los ejemplos basados en la remolacha azucarera se sustituyan por un cultivo para el cual existan directrices de examen y que el ejemplo del trigo se sustituya por un ejemplo acorde con la realidad, como los que pueden encontrarse en el cáñamo o la espinaca.</w:t>
      </w:r>
      <w:r w:rsidRPr="00376E1B">
        <w:rPr>
          <w:rFonts w:eastAsia="MS Mincho"/>
          <w:spacing w:val="-2"/>
          <w:lang w:val="es-ES_tradnl"/>
        </w:rPr>
        <w:t xml:space="preserve">  </w:t>
      </w:r>
      <w:r w:rsidRPr="00E34112">
        <w:rPr>
          <w:rFonts w:eastAsia="MS Mincho"/>
          <w:spacing w:val="-2"/>
          <w:lang w:val="es-ES_tradnl"/>
        </w:rPr>
        <w:t>El TC convino además en que el TWC estudie las consecuencias que las decisiones produzcan en el examen DHE, pues el método sirve para determinar diferencias en la distribución (tanto lugar como dispersión).</w:t>
      </w:r>
      <w:r w:rsidRPr="00376E1B">
        <w:rPr>
          <w:rFonts w:eastAsia="MS Mincho"/>
          <w:spacing w:val="-2"/>
          <w:lang w:val="es-ES_tradnl"/>
        </w:rPr>
        <w:t xml:space="preserve">  </w:t>
      </w:r>
      <w:r w:rsidRPr="000E7943">
        <w:rPr>
          <w:rFonts w:eastAsia="MS Mincho"/>
          <w:spacing w:val="-2"/>
          <w:lang w:val="es-ES_tradnl"/>
        </w:rPr>
        <w:t>Asimismo, acordó que se sigan estudiando las consecuencias de excluir determinadas variedades de la prueba por no contar con números suficientes en algunas celdas (véase el párrafo 61 del documento TC/48/22</w:t>
      </w:r>
      <w:r w:rsidR="00327D79">
        <w:rPr>
          <w:rFonts w:eastAsia="MS Mincho"/>
          <w:spacing w:val="-2"/>
          <w:lang w:val="es-ES_tradnl"/>
        </w:rPr>
        <w:t xml:space="preserve"> “</w:t>
      </w:r>
      <w:r w:rsidRPr="000E7943">
        <w:rPr>
          <w:rFonts w:eastAsia="MS Mincho"/>
          <w:spacing w:val="-2"/>
          <w:lang w:val="es-ES_tradnl"/>
        </w:rPr>
        <w:t>Informe sobre las conclusiones”).</w:t>
      </w:r>
    </w:p>
    <w:p w:rsidR="003E2AE6" w:rsidRPr="00376E1B" w:rsidRDefault="003E2AE6" w:rsidP="003D737E">
      <w:pPr>
        <w:rPr>
          <w:rFonts w:eastAsia="MS Mincho"/>
          <w:spacing w:val="-2"/>
          <w:lang w:val="es-ES_tradnl"/>
        </w:rPr>
      </w:pPr>
    </w:p>
    <w:p w:rsidR="003E2AE6" w:rsidRPr="00376E1B" w:rsidRDefault="003E2AE6" w:rsidP="00D86A59">
      <w:pPr>
        <w:rPr>
          <w:rFonts w:eastAsia="MS Mincho"/>
          <w:lang w:val="es-ES_tradnl"/>
        </w:rPr>
      </w:pPr>
      <w:r w:rsidRPr="00D86A59">
        <w:rPr>
          <w:rFonts w:eastAsia="MS Mincho"/>
        </w:rPr>
        <w:lastRenderedPageBreak/>
        <w:fldChar w:fldCharType="begin"/>
      </w:r>
      <w:r w:rsidRPr="00376E1B">
        <w:rPr>
          <w:rFonts w:eastAsia="MS Mincho"/>
          <w:lang w:val="es-ES_tradnl"/>
        </w:rPr>
        <w:instrText xml:space="preserve"> AUTONUM  </w:instrText>
      </w:r>
      <w:r w:rsidRPr="00D86A59">
        <w:rPr>
          <w:rFonts w:eastAsia="MS Mincho"/>
        </w:rPr>
        <w:fldChar w:fldCharType="end"/>
      </w:r>
      <w:r w:rsidRPr="00376E1B">
        <w:rPr>
          <w:rFonts w:eastAsia="MS Mincho"/>
          <w:lang w:val="es-ES_tradnl"/>
        </w:rPr>
        <w:tab/>
      </w:r>
      <w:r w:rsidRPr="000E7943">
        <w:rPr>
          <w:rFonts w:eastAsia="MS Mincho"/>
          <w:lang w:val="es-ES_tradnl"/>
        </w:rPr>
        <w:t>En su cuadragésima novena sesión, celebrada en Ginebra del 18 al 20 de marzo de 2013, el TC examinó el documento TC/49/32.</w:t>
      </w:r>
    </w:p>
    <w:p w:rsidR="003E2AE6" w:rsidRPr="00376E1B" w:rsidRDefault="003E2AE6" w:rsidP="00D86A59">
      <w:pPr>
        <w:rPr>
          <w:rFonts w:eastAsia="MS Mincho" w:cs="Arial"/>
          <w:i/>
          <w:lang w:val="es-ES_tradnl"/>
        </w:rPr>
      </w:pPr>
    </w:p>
    <w:p w:rsidR="003E2AE6" w:rsidRPr="00376E1B" w:rsidRDefault="003E2AE6" w:rsidP="00D86A59">
      <w:pPr>
        <w:keepNext/>
        <w:rPr>
          <w:rFonts w:eastAsia="MS Mincho" w:cs="Arial"/>
          <w:lang w:val="es-ES_tradnl"/>
        </w:rPr>
      </w:pPr>
      <w:r w:rsidRPr="00D86A59">
        <w:rPr>
          <w:rFonts w:eastAsia="MS Mincho"/>
        </w:rPr>
        <w:fldChar w:fldCharType="begin"/>
      </w:r>
      <w:r w:rsidRPr="00376E1B">
        <w:rPr>
          <w:rFonts w:eastAsia="MS Mincho"/>
          <w:lang w:val="es-ES_tradnl"/>
        </w:rPr>
        <w:instrText xml:space="preserve"> AUTONUM  </w:instrText>
      </w:r>
      <w:r w:rsidRPr="00D86A59">
        <w:rPr>
          <w:rFonts w:eastAsia="MS Mincho"/>
        </w:rPr>
        <w:fldChar w:fldCharType="end"/>
      </w:r>
      <w:r w:rsidRPr="00376E1B">
        <w:rPr>
          <w:rFonts w:eastAsia="MS Mincho"/>
          <w:lang w:val="es-ES_tradnl"/>
        </w:rPr>
        <w:tab/>
      </w:r>
      <w:r w:rsidRPr="000E7943">
        <w:rPr>
          <w:rFonts w:eastAsia="MS Mincho"/>
          <w:lang w:val="es-ES_tradnl"/>
        </w:rPr>
        <w:t>El Anexo II del documento TC/49/32 contiene el texto propuesto por el redactor (Sr. Kristian Kristensen, Dinamarca) de la nueva sección</w:t>
      </w:r>
      <w:r w:rsidR="00327D79">
        <w:rPr>
          <w:rFonts w:eastAsia="MS Mincho"/>
          <w:lang w:val="es-ES_tradnl"/>
        </w:rPr>
        <w:t xml:space="preserve"> “</w:t>
      </w:r>
      <w:r w:rsidRPr="000E7943">
        <w:rPr>
          <w:rFonts w:eastAsia="MS Mincho"/>
          <w:lang w:val="es-ES_tradnl"/>
        </w:rPr>
        <w:t>Métodos estadísticos aplicados a caracteres observados visualmente”, elaborado a partir de las observaciones formuladas por los TWP en sus sesiones de 2012.</w:t>
      </w:r>
      <w:r w:rsidRPr="00376E1B">
        <w:rPr>
          <w:rFonts w:eastAsia="MS Mincho"/>
          <w:lang w:val="es-ES_tradnl"/>
        </w:rPr>
        <w:t xml:space="preserve"> </w:t>
      </w:r>
      <w:r w:rsidRPr="000E7943">
        <w:rPr>
          <w:rFonts w:eastAsia="MS Mincho"/>
          <w:lang w:val="es-ES_tradnl"/>
        </w:rPr>
        <w:t>Las enmiendas del texto, examinadas por los TWP en sus sesiones de 2012, se indican mediante resaltado y tachado para las supresiones y resaltado y subrayado para las adiciones.</w:t>
      </w:r>
    </w:p>
    <w:p w:rsidR="003E2AE6" w:rsidRPr="00376E1B" w:rsidRDefault="003E2AE6" w:rsidP="00D86A59">
      <w:pPr>
        <w:rPr>
          <w:rFonts w:eastAsia="MS Mincho"/>
          <w:caps/>
          <w:lang w:val="es-ES_tradnl"/>
        </w:rPr>
      </w:pPr>
    </w:p>
    <w:p w:rsidR="003E2AE6" w:rsidRPr="00376E1B" w:rsidRDefault="003E2AE6" w:rsidP="00D86A59">
      <w:pPr>
        <w:rPr>
          <w:rFonts w:eastAsia="MS Mincho"/>
          <w:lang w:val="es-ES_tradnl" w:eastAsia="ja-JP"/>
        </w:rPr>
      </w:pPr>
      <w:r w:rsidRPr="00D86A59">
        <w:rPr>
          <w:rFonts w:eastAsia="MS Mincho"/>
        </w:rPr>
        <w:fldChar w:fldCharType="begin"/>
      </w:r>
      <w:r w:rsidRPr="00376E1B">
        <w:rPr>
          <w:rFonts w:eastAsia="MS Mincho"/>
          <w:lang w:val="es-ES_tradnl"/>
        </w:rPr>
        <w:instrText xml:space="preserve"> AUTONUM  </w:instrText>
      </w:r>
      <w:r w:rsidRPr="00D86A59">
        <w:rPr>
          <w:rFonts w:eastAsia="MS Mincho"/>
        </w:rPr>
        <w:fldChar w:fldCharType="end"/>
      </w:r>
      <w:r w:rsidRPr="00376E1B">
        <w:rPr>
          <w:rFonts w:eastAsia="MS Mincho"/>
          <w:lang w:val="es-ES_tradnl"/>
        </w:rPr>
        <w:tab/>
      </w:r>
      <w:r w:rsidRPr="000E7943">
        <w:rPr>
          <w:rFonts w:eastAsia="MS Mincho"/>
          <w:lang w:val="es-ES_tradnl"/>
        </w:rPr>
        <w:t>En el Anexo III del documento TC/49/32 figura una copia de información complementaria sobre las consecuencias de las decisiones del examen DHE en tanto que información acerca de los antecedentes, para examinarla en la consideración del documento TWC/30/29 por el TWC en su trigésima sesión, celebrada en Chisinau (República de Moldova) del 26 al 29 de junio de 2012 (véase el documento TWC/30/19</w:t>
      </w:r>
      <w:r w:rsidR="00327D79">
        <w:rPr>
          <w:rFonts w:eastAsia="MS Mincho"/>
          <w:lang w:val="es-ES_tradnl"/>
        </w:rPr>
        <w:t xml:space="preserve"> “</w:t>
      </w:r>
      <w:proofErr w:type="spellStart"/>
      <w:r w:rsidRPr="00376E1B">
        <w:rPr>
          <w:rFonts w:eastAsia="MS Mincho"/>
          <w:i/>
          <w:lang w:val="es-ES_tradnl"/>
        </w:rPr>
        <w:t>Consequences</w:t>
      </w:r>
      <w:proofErr w:type="spellEnd"/>
      <w:r w:rsidRPr="00376E1B">
        <w:rPr>
          <w:rFonts w:eastAsia="MS Mincho"/>
          <w:i/>
          <w:lang w:val="es-ES_tradnl"/>
        </w:rPr>
        <w:t xml:space="preserve"> of </w:t>
      </w:r>
      <w:proofErr w:type="spellStart"/>
      <w:r w:rsidRPr="00376E1B">
        <w:rPr>
          <w:rFonts w:eastAsia="MS Mincho"/>
          <w:i/>
          <w:lang w:val="es-ES_tradnl"/>
        </w:rPr>
        <w:t>Decisions</w:t>
      </w:r>
      <w:proofErr w:type="spellEnd"/>
      <w:r w:rsidRPr="00376E1B">
        <w:rPr>
          <w:rFonts w:eastAsia="MS Mincho"/>
          <w:i/>
          <w:lang w:val="es-ES_tradnl"/>
        </w:rPr>
        <w:t xml:space="preserve"> </w:t>
      </w:r>
      <w:proofErr w:type="spellStart"/>
      <w:r w:rsidRPr="00376E1B">
        <w:rPr>
          <w:rFonts w:eastAsia="MS Mincho"/>
          <w:i/>
          <w:lang w:val="es-ES_tradnl"/>
        </w:rPr>
        <w:t>for</w:t>
      </w:r>
      <w:proofErr w:type="spellEnd"/>
      <w:r w:rsidRPr="00376E1B">
        <w:rPr>
          <w:rFonts w:eastAsia="MS Mincho"/>
          <w:i/>
          <w:lang w:val="es-ES_tradnl"/>
        </w:rPr>
        <w:t xml:space="preserve"> Examination of Distinctness, Uniformity and Stability</w:t>
      </w:r>
      <w:r w:rsidRPr="000E7943">
        <w:rPr>
          <w:rFonts w:eastAsia="MS Mincho"/>
          <w:lang w:val="es-ES_tradnl"/>
        </w:rPr>
        <w:t>” (Consecuencias de las decisiones del examen de la distinción, la homogeneidad y la estabilidad)).</w:t>
      </w:r>
    </w:p>
    <w:p w:rsidR="003E2AE6" w:rsidRPr="00376E1B" w:rsidRDefault="003E2AE6" w:rsidP="00D86A59">
      <w:pPr>
        <w:rPr>
          <w:rFonts w:eastAsia="MS Mincho"/>
          <w:lang w:val="es-ES_tradnl" w:eastAsia="ja-JP"/>
        </w:rPr>
      </w:pPr>
    </w:p>
    <w:p w:rsidR="003E2AE6" w:rsidRPr="00376E1B" w:rsidRDefault="003E2AE6" w:rsidP="00D86A59">
      <w:pPr>
        <w:rPr>
          <w:lang w:val="es-ES_tradnl"/>
        </w:rPr>
      </w:pPr>
      <w:r w:rsidRPr="00D86A59">
        <w:fldChar w:fldCharType="begin"/>
      </w:r>
      <w:r w:rsidRPr="00376E1B">
        <w:rPr>
          <w:lang w:val="es-ES_tradnl"/>
        </w:rPr>
        <w:instrText xml:space="preserve"> AUTONUM  </w:instrText>
      </w:r>
      <w:r w:rsidRPr="00D86A59">
        <w:fldChar w:fldCharType="end"/>
      </w:r>
      <w:r w:rsidRPr="00376E1B">
        <w:rPr>
          <w:lang w:val="es-ES_tradnl"/>
        </w:rPr>
        <w:tab/>
      </w:r>
      <w:r w:rsidRPr="00E34112">
        <w:rPr>
          <w:lang w:val="es-ES_tradnl"/>
        </w:rPr>
        <w:t>En su cuadragésima novena sesión, el TC convino en que no es apropiado seguir elaborando la sección sobre “Métodos estadísticos aplicados a caracteres observados visualmente”, a no ser que se faciliten nuevas orientaciones más allá de los métodos que ya figuran en el documento TGP/8.</w:t>
      </w:r>
      <w:r w:rsidRPr="00376E1B">
        <w:rPr>
          <w:lang w:val="es-ES_tradnl"/>
        </w:rPr>
        <w:t xml:space="preserve">  </w:t>
      </w:r>
      <w:r w:rsidRPr="00E34112">
        <w:rPr>
          <w:lang w:val="es-ES_tradnl"/>
        </w:rPr>
        <w:t>En tal sentido, solicitó al TWC que aclarase si propone modificar un método existente o proporcionar un nuevo método adicional (véase el párrafo 72 del documento TC/49/41</w:t>
      </w:r>
      <w:r w:rsidR="00327D79">
        <w:rPr>
          <w:lang w:val="es-ES_tradnl"/>
        </w:rPr>
        <w:t xml:space="preserve"> “</w:t>
      </w:r>
      <w:r w:rsidRPr="00E34112">
        <w:rPr>
          <w:lang w:val="es-ES_tradnl"/>
        </w:rPr>
        <w:t>Informe sobre las conclusiones”).</w:t>
      </w:r>
      <w:r w:rsidRPr="00376E1B">
        <w:rPr>
          <w:lang w:val="es-ES_tradnl"/>
        </w:rPr>
        <w:t xml:space="preserve"> </w:t>
      </w:r>
    </w:p>
    <w:p w:rsidR="003E2AE6" w:rsidRPr="00376E1B" w:rsidRDefault="003E2AE6" w:rsidP="00D86A59">
      <w:pPr>
        <w:rPr>
          <w:rFonts w:eastAsia="MS Mincho"/>
          <w:lang w:val="es-ES_tradnl" w:eastAsia="ja-JP"/>
        </w:rPr>
      </w:pPr>
    </w:p>
    <w:p w:rsidR="003E2AE6" w:rsidRPr="00376E1B" w:rsidRDefault="003E2AE6" w:rsidP="00D86A59">
      <w:pPr>
        <w:rPr>
          <w:rFonts w:eastAsia="MS Mincho"/>
          <w:lang w:val="es-ES_tradnl" w:eastAsia="ja-JP"/>
        </w:rPr>
      </w:pPr>
    </w:p>
    <w:p w:rsidR="003E2AE6" w:rsidRPr="00376E1B" w:rsidRDefault="003E2AE6" w:rsidP="00D86A59">
      <w:pPr>
        <w:rPr>
          <w:rFonts w:eastAsia="MS Mincho"/>
          <w:caps/>
          <w:lang w:val="es-ES_tradnl"/>
        </w:rPr>
      </w:pPr>
      <w:r w:rsidRPr="00E34112">
        <w:rPr>
          <w:rFonts w:eastAsia="MS Mincho"/>
          <w:caps/>
          <w:lang w:val="es-ES_tradnl"/>
        </w:rPr>
        <w:t>OBSERVACIONES FORMULADAS POR LOS GRUPOS DE TRABAJO TÉCNICO EN 2013</w:t>
      </w:r>
    </w:p>
    <w:p w:rsidR="003E2AE6" w:rsidRPr="00376E1B" w:rsidRDefault="003E2AE6" w:rsidP="00D86A59">
      <w:pPr>
        <w:rPr>
          <w:rFonts w:eastAsia="MS Mincho"/>
          <w:lang w:val="es-ES_tradnl" w:eastAsia="ja-JP"/>
        </w:rPr>
      </w:pPr>
    </w:p>
    <w:p w:rsidR="003E2AE6" w:rsidRPr="00376E1B" w:rsidRDefault="003E2AE6" w:rsidP="00D86A59">
      <w:pPr>
        <w:rPr>
          <w:snapToGrid w:val="0"/>
          <w:color w:val="000000"/>
          <w:lang w:val="es-ES_tradnl"/>
        </w:rPr>
      </w:pPr>
      <w:r w:rsidRPr="00D86A59">
        <w:fldChar w:fldCharType="begin"/>
      </w:r>
      <w:r w:rsidRPr="00376E1B">
        <w:rPr>
          <w:lang w:val="es-ES_tradnl"/>
        </w:rPr>
        <w:instrText xml:space="preserve"> AUTONUM  </w:instrText>
      </w:r>
      <w:r w:rsidRPr="00D86A59">
        <w:fldChar w:fldCharType="end"/>
      </w:r>
      <w:r w:rsidRPr="00376E1B">
        <w:rPr>
          <w:snapToGrid w:val="0"/>
          <w:color w:val="000000"/>
          <w:lang w:val="es-ES_tradnl"/>
        </w:rPr>
        <w:tab/>
      </w:r>
      <w:r w:rsidRPr="000E7943">
        <w:rPr>
          <w:snapToGrid w:val="0"/>
          <w:color w:val="000000"/>
          <w:lang w:val="es-ES_tradnl"/>
        </w:rPr>
        <w:t>En sus sesiones de 2013, el TWO, el TWF, el TWV, el TWC y el TWA examinaron respectivamente los documentos TWO/46/23, TWF/44/23, TWV/47/23, TWC/31/23 Rev. y TWA/42/23 Rev.</w:t>
      </w:r>
    </w:p>
    <w:p w:rsidR="003E2AE6" w:rsidRPr="00376E1B" w:rsidRDefault="003E2AE6" w:rsidP="00D86A59">
      <w:pPr>
        <w:rPr>
          <w:snapToGrid w:val="0"/>
          <w:color w:val="000000"/>
          <w:lang w:val="es-ES_tradnl"/>
        </w:rPr>
      </w:pPr>
    </w:p>
    <w:p w:rsidR="003E2AE6" w:rsidRPr="00376E1B" w:rsidRDefault="003E2AE6" w:rsidP="00D86A59">
      <w:pPr>
        <w:rPr>
          <w:snapToGrid w:val="0"/>
          <w:color w:val="000000"/>
          <w:lang w:val="es-ES_tradnl"/>
        </w:rPr>
      </w:pPr>
      <w:r w:rsidRPr="00D86A59">
        <w:fldChar w:fldCharType="begin"/>
      </w:r>
      <w:r w:rsidRPr="00376E1B">
        <w:rPr>
          <w:lang w:val="es-ES_tradnl"/>
        </w:rPr>
        <w:instrText xml:space="preserve"> AUTONUM  </w:instrText>
      </w:r>
      <w:r w:rsidRPr="00D86A59">
        <w:fldChar w:fldCharType="end"/>
      </w:r>
      <w:r w:rsidRPr="00376E1B">
        <w:rPr>
          <w:snapToGrid w:val="0"/>
          <w:color w:val="000000"/>
          <w:lang w:val="es-ES_tradnl"/>
        </w:rPr>
        <w:tab/>
      </w:r>
      <w:r w:rsidRPr="000E7943">
        <w:rPr>
          <w:snapToGrid w:val="0"/>
          <w:color w:val="000000"/>
          <w:lang w:val="es-ES_tradnl"/>
        </w:rPr>
        <w:t>El TWC convino en que el método propuesto en el Anexo II del documento TC/49/32 es nuevo y consideró que presenta ventajas respecto a la prueba ji cuadrado que se indica en el documento TGP/8 para datos de distribución multinomial, como los caracteres observados visualmente, mientras que el método COYD para datos de distribución normal no resulta adecuado para datos de distribución multinomial (véase el párrafo 53 del documento TWC/31/32</w:t>
      </w:r>
      <w:r w:rsidR="00327D79">
        <w:rPr>
          <w:snapToGrid w:val="0"/>
          <w:color w:val="000000"/>
          <w:lang w:val="es-ES_tradnl"/>
        </w:rPr>
        <w:t xml:space="preserve"> “</w:t>
      </w:r>
      <w:proofErr w:type="spellStart"/>
      <w:r w:rsidRPr="00376E1B">
        <w:rPr>
          <w:i/>
          <w:snapToGrid w:val="0"/>
          <w:color w:val="000000"/>
          <w:lang w:val="es-ES_tradnl"/>
        </w:rPr>
        <w:t>Report</w:t>
      </w:r>
      <w:proofErr w:type="spellEnd"/>
      <w:r w:rsidRPr="000E7943">
        <w:rPr>
          <w:snapToGrid w:val="0"/>
          <w:color w:val="000000"/>
          <w:lang w:val="es-ES_tradnl"/>
        </w:rPr>
        <w:t>”).</w:t>
      </w:r>
    </w:p>
    <w:p w:rsidR="003E2AE6" w:rsidRPr="00376E1B" w:rsidRDefault="003E2AE6" w:rsidP="00D86A59">
      <w:pPr>
        <w:rPr>
          <w:snapToGrid w:val="0"/>
          <w:color w:val="000000"/>
          <w:lang w:val="es-ES_tradnl"/>
        </w:rPr>
      </w:pPr>
    </w:p>
    <w:p w:rsidR="003E2AE6" w:rsidRPr="00376E1B" w:rsidRDefault="003E2AE6" w:rsidP="00D86A59">
      <w:pPr>
        <w:rPr>
          <w:snapToGrid w:val="0"/>
          <w:color w:val="000000"/>
          <w:lang w:val="es-ES_tradnl"/>
        </w:rPr>
      </w:pPr>
      <w:r w:rsidRPr="00AF38AC">
        <w:fldChar w:fldCharType="begin"/>
      </w:r>
      <w:r w:rsidRPr="00376E1B">
        <w:rPr>
          <w:lang w:val="es-ES_tradnl"/>
        </w:rPr>
        <w:instrText xml:space="preserve"> AUTONUM  </w:instrText>
      </w:r>
      <w:r w:rsidRPr="00AF38AC">
        <w:fldChar w:fldCharType="end"/>
      </w:r>
      <w:r w:rsidRPr="00376E1B">
        <w:rPr>
          <w:snapToGrid w:val="0"/>
          <w:color w:val="000000"/>
          <w:lang w:val="es-ES_tradnl"/>
        </w:rPr>
        <w:tab/>
      </w:r>
      <w:r w:rsidRPr="000E7943">
        <w:rPr>
          <w:snapToGrid w:val="0"/>
          <w:color w:val="000000"/>
          <w:lang w:val="es-ES_tradnl"/>
        </w:rPr>
        <w:t>El TWC convino en que sería conveniente que se siga elaborando el método para datos multinomiales y comparar las decisiones que se adoptan con cada uno de los dos métodos —el COYD para datos de distribución normal y la prueba ji cuadrado— a partir de datos reales procedentes de Finlandia y el Reino Unido (fleo, trébol rojo y festuca pratense:  porte).</w:t>
      </w:r>
      <w:r w:rsidRPr="00376E1B">
        <w:rPr>
          <w:snapToGrid w:val="0"/>
          <w:color w:val="000000"/>
          <w:lang w:val="es-ES_tradnl"/>
        </w:rPr>
        <w:t xml:space="preserve"> </w:t>
      </w:r>
      <w:r w:rsidRPr="000E7943">
        <w:rPr>
          <w:snapToGrid w:val="0"/>
          <w:color w:val="000000"/>
          <w:lang w:val="es-ES_tradnl"/>
        </w:rPr>
        <w:t>Asimismo, el TWC tomó nota de que Finlandia —así como, posiblemente, el Reino Unido— tiene previsto utilizar el nuevo método para datos multinomiales una vez que se haya instaurado (véanse los párrafos 54 y 55 del documento TWC/31/32</w:t>
      </w:r>
      <w:r w:rsidR="00327D79">
        <w:rPr>
          <w:snapToGrid w:val="0"/>
          <w:color w:val="000000"/>
          <w:lang w:val="es-ES_tradnl"/>
        </w:rPr>
        <w:t xml:space="preserve"> “</w:t>
      </w:r>
      <w:proofErr w:type="spellStart"/>
      <w:r w:rsidRPr="00376E1B">
        <w:rPr>
          <w:i/>
          <w:snapToGrid w:val="0"/>
          <w:color w:val="000000"/>
          <w:lang w:val="es-ES_tradnl"/>
        </w:rPr>
        <w:t>Report</w:t>
      </w:r>
      <w:proofErr w:type="spellEnd"/>
      <w:r w:rsidRPr="000E7943">
        <w:rPr>
          <w:snapToGrid w:val="0"/>
          <w:color w:val="000000"/>
          <w:lang w:val="es-ES_tradnl"/>
        </w:rPr>
        <w:t>”).</w:t>
      </w:r>
    </w:p>
    <w:p w:rsidR="003E2AE6" w:rsidRPr="00376E1B" w:rsidRDefault="003E2AE6" w:rsidP="00D86A59">
      <w:pPr>
        <w:rPr>
          <w:snapToGrid w:val="0"/>
          <w:color w:val="000000"/>
          <w:lang w:val="es-ES_tradnl"/>
        </w:rPr>
      </w:pPr>
    </w:p>
    <w:p w:rsidR="003E2AE6" w:rsidRPr="00376E1B" w:rsidRDefault="003E2AE6" w:rsidP="00D86A59">
      <w:pPr>
        <w:rPr>
          <w:snapToGrid w:val="0"/>
          <w:color w:val="000000"/>
          <w:lang w:val="es-ES_tradnl"/>
        </w:rPr>
      </w:pPr>
      <w:r w:rsidRPr="00D86A59">
        <w:fldChar w:fldCharType="begin"/>
      </w:r>
      <w:r w:rsidRPr="00376E1B">
        <w:rPr>
          <w:lang w:val="es-ES_tradnl"/>
        </w:rPr>
        <w:instrText xml:space="preserve"> AUTONUM  </w:instrText>
      </w:r>
      <w:r w:rsidRPr="00D86A59">
        <w:fldChar w:fldCharType="end"/>
      </w:r>
      <w:r w:rsidRPr="00376E1B">
        <w:rPr>
          <w:snapToGrid w:val="0"/>
          <w:color w:val="000000"/>
          <w:lang w:val="es-ES_tradnl"/>
        </w:rPr>
        <w:tab/>
      </w:r>
      <w:r w:rsidRPr="000E7943">
        <w:rPr>
          <w:snapToGrid w:val="0"/>
          <w:color w:val="000000"/>
          <w:lang w:val="es-ES_tradnl"/>
        </w:rPr>
        <w:t>El TWA tomó nota del memorándum que se reproduce en el Anexo I del documento TWA/42/23 y de los comentarios del TWC aclarando que el método que se propuso al TC, en su cuadragésima novena sesión, para el tratamiento de datos de distribución multinomial, es un nuevo método (véase el párrafo 60 del documento TWA/42/31</w:t>
      </w:r>
      <w:r w:rsidR="00327D79">
        <w:rPr>
          <w:snapToGrid w:val="0"/>
          <w:color w:val="000000"/>
          <w:lang w:val="es-ES_tradnl"/>
        </w:rPr>
        <w:t xml:space="preserve"> “</w:t>
      </w:r>
      <w:proofErr w:type="spellStart"/>
      <w:r w:rsidRPr="00376E1B">
        <w:rPr>
          <w:i/>
          <w:snapToGrid w:val="0"/>
          <w:color w:val="000000"/>
          <w:lang w:val="es-ES_tradnl"/>
        </w:rPr>
        <w:t>Report</w:t>
      </w:r>
      <w:proofErr w:type="spellEnd"/>
      <w:r w:rsidRPr="000E7943">
        <w:rPr>
          <w:snapToGrid w:val="0"/>
          <w:color w:val="000000"/>
          <w:lang w:val="es-ES_tradnl"/>
        </w:rPr>
        <w:t>”).</w:t>
      </w:r>
    </w:p>
    <w:p w:rsidR="003E2AE6" w:rsidRPr="00376E1B" w:rsidRDefault="003E2AE6" w:rsidP="00D86A59">
      <w:pPr>
        <w:rPr>
          <w:snapToGrid w:val="0"/>
          <w:color w:val="000000"/>
          <w:lang w:val="es-ES_tradnl"/>
        </w:rPr>
      </w:pPr>
    </w:p>
    <w:p w:rsidR="003E2AE6" w:rsidRPr="00376E1B" w:rsidRDefault="003E2AE6" w:rsidP="00D86A59">
      <w:pPr>
        <w:rPr>
          <w:snapToGrid w:val="0"/>
          <w:color w:val="000000"/>
          <w:lang w:val="es-ES_tradnl"/>
        </w:rPr>
      </w:pPr>
      <w:r w:rsidRPr="00D86A59">
        <w:fldChar w:fldCharType="begin"/>
      </w:r>
      <w:r w:rsidRPr="00376E1B">
        <w:rPr>
          <w:lang w:val="es-ES_tradnl"/>
        </w:rPr>
        <w:instrText xml:space="preserve"> AUTONUM  </w:instrText>
      </w:r>
      <w:r w:rsidRPr="00D86A59">
        <w:fldChar w:fldCharType="end"/>
      </w:r>
      <w:r w:rsidRPr="00376E1B">
        <w:rPr>
          <w:snapToGrid w:val="0"/>
          <w:color w:val="000000"/>
          <w:lang w:val="es-ES_tradnl"/>
        </w:rPr>
        <w:tab/>
      </w:r>
      <w:r w:rsidRPr="000E7943">
        <w:rPr>
          <w:snapToGrid w:val="0"/>
          <w:color w:val="000000"/>
          <w:lang w:val="es-ES_tradnl"/>
        </w:rPr>
        <w:t>El TWA coincidió con el TWC en que sería conveniente que se siga elaborando el método para datos multinomiales y comparar las decisiones que se adoptan con cada uno de los dos métodos a partir de datos reales procedentes de Finlandia y el Reino Unido (véase el párrafo 61 del documento TWA/42/31</w:t>
      </w:r>
      <w:r w:rsidR="00327D79">
        <w:rPr>
          <w:snapToGrid w:val="0"/>
          <w:color w:val="000000"/>
          <w:lang w:val="es-ES_tradnl"/>
        </w:rPr>
        <w:t xml:space="preserve"> “</w:t>
      </w:r>
      <w:proofErr w:type="spellStart"/>
      <w:r w:rsidRPr="00376E1B">
        <w:rPr>
          <w:i/>
          <w:snapToGrid w:val="0"/>
          <w:color w:val="000000"/>
          <w:lang w:val="es-ES_tradnl"/>
        </w:rPr>
        <w:t>Report</w:t>
      </w:r>
      <w:proofErr w:type="spellEnd"/>
      <w:r w:rsidRPr="000E7943">
        <w:rPr>
          <w:snapToGrid w:val="0"/>
          <w:color w:val="000000"/>
          <w:lang w:val="es-ES_tradnl"/>
        </w:rPr>
        <w:t>”).</w:t>
      </w:r>
    </w:p>
    <w:p w:rsidR="003E2AE6" w:rsidRPr="00376E1B" w:rsidRDefault="003E2AE6" w:rsidP="00D86A59">
      <w:pPr>
        <w:rPr>
          <w:snapToGrid w:val="0"/>
          <w:color w:val="000000"/>
          <w:lang w:val="es-ES_tradnl"/>
        </w:rPr>
      </w:pPr>
    </w:p>
    <w:p w:rsidR="003E2AE6" w:rsidRPr="00376E1B" w:rsidRDefault="003E2AE6" w:rsidP="00D86A59">
      <w:pPr>
        <w:rPr>
          <w:snapToGrid w:val="0"/>
          <w:color w:val="000000"/>
          <w:lang w:val="es-ES_tradnl"/>
        </w:rPr>
      </w:pPr>
      <w:r w:rsidRPr="00D86A59">
        <w:fldChar w:fldCharType="begin"/>
      </w:r>
      <w:r w:rsidRPr="00376E1B">
        <w:rPr>
          <w:lang w:val="es-ES_tradnl"/>
        </w:rPr>
        <w:instrText xml:space="preserve"> AUTONUM  </w:instrText>
      </w:r>
      <w:r w:rsidRPr="00D86A59">
        <w:fldChar w:fldCharType="end"/>
      </w:r>
      <w:r w:rsidRPr="00376E1B">
        <w:rPr>
          <w:snapToGrid w:val="0"/>
          <w:color w:val="000000"/>
          <w:lang w:val="es-ES_tradnl"/>
        </w:rPr>
        <w:tab/>
      </w:r>
      <w:r w:rsidRPr="000E7943">
        <w:rPr>
          <w:snapToGrid w:val="0"/>
          <w:color w:val="000000"/>
          <w:lang w:val="es-ES_tradnl"/>
        </w:rPr>
        <w:t>Los expertos de los Países Bajos y Alemania manifestaron su intención de utilizar el nuevo método para datos multinomiales una vez que se haya instaurado (véase el párrafo 62 del documento TWA/42/31</w:t>
      </w:r>
      <w:r w:rsidR="00327D79">
        <w:rPr>
          <w:snapToGrid w:val="0"/>
          <w:color w:val="000000"/>
          <w:lang w:val="es-ES_tradnl"/>
        </w:rPr>
        <w:t xml:space="preserve"> “</w:t>
      </w:r>
      <w:proofErr w:type="spellStart"/>
      <w:r w:rsidRPr="00376E1B">
        <w:rPr>
          <w:i/>
          <w:snapToGrid w:val="0"/>
          <w:color w:val="000000"/>
          <w:lang w:val="es-ES_tradnl"/>
        </w:rPr>
        <w:t>Report</w:t>
      </w:r>
      <w:proofErr w:type="spellEnd"/>
      <w:r w:rsidRPr="000E7943">
        <w:rPr>
          <w:snapToGrid w:val="0"/>
          <w:color w:val="000000"/>
          <w:lang w:val="es-ES_tradnl"/>
        </w:rPr>
        <w:t>”).</w:t>
      </w:r>
    </w:p>
    <w:p w:rsidR="003E2AE6" w:rsidRPr="00376E1B" w:rsidRDefault="003E2AE6" w:rsidP="00D86A59">
      <w:pPr>
        <w:rPr>
          <w:snapToGrid w:val="0"/>
          <w:color w:val="000000"/>
          <w:lang w:val="es-ES_tradnl"/>
        </w:rPr>
      </w:pPr>
    </w:p>
    <w:p w:rsidR="003E2AE6" w:rsidRPr="00376E1B" w:rsidRDefault="003E2AE6" w:rsidP="00D86A59">
      <w:pPr>
        <w:rPr>
          <w:snapToGrid w:val="0"/>
          <w:color w:val="000000"/>
          <w:lang w:val="es-ES_tradnl"/>
        </w:rPr>
      </w:pPr>
      <w:r w:rsidRPr="00D86A59">
        <w:fldChar w:fldCharType="begin"/>
      </w:r>
      <w:r w:rsidRPr="00376E1B">
        <w:rPr>
          <w:lang w:val="es-ES_tradnl"/>
        </w:rPr>
        <w:instrText xml:space="preserve"> AUTONUM  </w:instrText>
      </w:r>
      <w:r w:rsidRPr="00D86A59">
        <w:fldChar w:fldCharType="end"/>
      </w:r>
      <w:r w:rsidRPr="00376E1B">
        <w:rPr>
          <w:snapToGrid w:val="0"/>
          <w:color w:val="000000"/>
          <w:lang w:val="es-ES_tradnl"/>
        </w:rPr>
        <w:tab/>
      </w:r>
      <w:r w:rsidRPr="000E7943">
        <w:rPr>
          <w:snapToGrid w:val="0"/>
          <w:color w:val="000000"/>
          <w:lang w:val="es-ES_tradnl"/>
        </w:rPr>
        <w:t>Tras la jubilación del Sr. Kristian Kristensen (Dinamarca), redactor de la nueva sección propuesta, el TWC procurará designar a un experto adecuado para que continúe elaborando la sección.</w:t>
      </w:r>
    </w:p>
    <w:p w:rsidR="00D42D8E" w:rsidRDefault="00D42D8E">
      <w:pPr>
        <w:jc w:val="left"/>
        <w:rPr>
          <w:snapToGrid w:val="0"/>
          <w:color w:val="000000"/>
          <w:lang w:val="es-ES_tradnl"/>
        </w:rPr>
      </w:pPr>
      <w:r>
        <w:rPr>
          <w:snapToGrid w:val="0"/>
          <w:color w:val="000000"/>
          <w:lang w:val="es-ES_tradnl"/>
        </w:rPr>
        <w:br w:type="page"/>
      </w:r>
    </w:p>
    <w:p w:rsidR="003E2AE6" w:rsidRPr="00376E1B" w:rsidRDefault="003E2AE6" w:rsidP="00327D79">
      <w:pPr>
        <w:pStyle w:val="DecisionParagraphs"/>
        <w:tabs>
          <w:tab w:val="left" w:pos="5954"/>
        </w:tabs>
        <w:rPr>
          <w:lang w:val="es-ES_tradnl"/>
        </w:rPr>
      </w:pPr>
      <w:r w:rsidRPr="009F43E1">
        <w:lastRenderedPageBreak/>
        <w:fldChar w:fldCharType="begin"/>
      </w:r>
      <w:r w:rsidRPr="00376E1B">
        <w:rPr>
          <w:lang w:val="es-ES_tradnl"/>
        </w:rPr>
        <w:instrText xml:space="preserve"> AUTONUM  </w:instrText>
      </w:r>
      <w:r w:rsidRPr="009F43E1">
        <w:fldChar w:fldCharType="end"/>
      </w:r>
      <w:r w:rsidRPr="00376E1B">
        <w:rPr>
          <w:lang w:val="es-ES_tradnl"/>
        </w:rPr>
        <w:tab/>
      </w:r>
      <w:r w:rsidRPr="00E34112">
        <w:rPr>
          <w:lang w:val="es-ES_tradnl"/>
        </w:rPr>
        <w:t>Se invita al TC a:</w:t>
      </w:r>
    </w:p>
    <w:p w:rsidR="003E2AE6" w:rsidRPr="00376E1B" w:rsidRDefault="003E2AE6" w:rsidP="00327D79">
      <w:pPr>
        <w:pStyle w:val="DecisionParagraphs"/>
        <w:tabs>
          <w:tab w:val="left" w:pos="5954"/>
        </w:tabs>
        <w:rPr>
          <w:lang w:val="es-ES_tradnl"/>
        </w:rPr>
      </w:pPr>
    </w:p>
    <w:p w:rsidR="003E2AE6" w:rsidRPr="00376E1B" w:rsidRDefault="003E2AE6" w:rsidP="00327D79">
      <w:pPr>
        <w:pStyle w:val="DecisionParagraphs"/>
        <w:tabs>
          <w:tab w:val="left" w:pos="5954"/>
        </w:tabs>
        <w:rPr>
          <w:lang w:val="es-ES_tradnl"/>
        </w:rPr>
      </w:pPr>
      <w:r w:rsidRPr="00376E1B">
        <w:rPr>
          <w:lang w:val="es-ES_tradnl"/>
        </w:rPr>
        <w:tab/>
      </w:r>
      <w:r w:rsidRPr="00E34112">
        <w:rPr>
          <w:lang w:val="es-ES_tradnl"/>
        </w:rPr>
        <w:t>a)</w:t>
      </w:r>
      <w:r w:rsidRPr="00376E1B">
        <w:rPr>
          <w:lang w:val="es-ES_tradnl"/>
        </w:rPr>
        <w:tab/>
      </w:r>
      <w:r w:rsidRPr="000E7943">
        <w:rPr>
          <w:lang w:val="es-ES_tradnl"/>
        </w:rPr>
        <w:t>aprobar la elaboración de un nuevo método para datos de distribución multinomial;</w:t>
      </w:r>
    </w:p>
    <w:p w:rsidR="003E2AE6" w:rsidRPr="00376E1B" w:rsidRDefault="003E2AE6" w:rsidP="00327D79">
      <w:pPr>
        <w:pStyle w:val="DecisionParagraphs"/>
        <w:tabs>
          <w:tab w:val="left" w:pos="5954"/>
        </w:tabs>
        <w:rPr>
          <w:lang w:val="es-ES_tradnl"/>
        </w:rPr>
      </w:pPr>
    </w:p>
    <w:p w:rsidR="003E2AE6" w:rsidRPr="00376E1B" w:rsidRDefault="003E2AE6" w:rsidP="00327D79">
      <w:pPr>
        <w:pStyle w:val="DecisionParagraphs"/>
        <w:tabs>
          <w:tab w:val="left" w:pos="5954"/>
        </w:tabs>
        <w:rPr>
          <w:lang w:val="es-ES_tradnl"/>
        </w:rPr>
      </w:pPr>
      <w:r w:rsidRPr="00376E1B">
        <w:rPr>
          <w:lang w:val="es-ES_tradnl"/>
        </w:rPr>
        <w:tab/>
      </w:r>
      <w:r w:rsidRPr="00E34112">
        <w:rPr>
          <w:lang w:val="es-ES_tradnl"/>
        </w:rPr>
        <w:t>b)</w:t>
      </w:r>
      <w:r w:rsidRPr="00376E1B">
        <w:rPr>
          <w:lang w:val="es-ES_tradnl"/>
        </w:rPr>
        <w:tab/>
      </w:r>
      <w:r w:rsidRPr="000E7943">
        <w:rPr>
          <w:lang w:val="es-ES_tradnl"/>
        </w:rPr>
        <w:t>invitar al TWC a comparar el método COYD para datos de distribución normal con la prueba ji cuadrado, según se expone en el párrafo 10 del presente documento;</w:t>
      </w:r>
      <w:r w:rsidRPr="00376E1B">
        <w:rPr>
          <w:lang w:val="es-ES_tradnl"/>
        </w:rPr>
        <w:t xml:space="preserve">  </w:t>
      </w:r>
      <w:r w:rsidRPr="00E34112">
        <w:rPr>
          <w:lang w:val="es-ES_tradnl"/>
        </w:rPr>
        <w:t>y</w:t>
      </w:r>
    </w:p>
    <w:p w:rsidR="003E2AE6" w:rsidRPr="00376E1B" w:rsidRDefault="003E2AE6" w:rsidP="00327D79">
      <w:pPr>
        <w:pStyle w:val="DecisionParagraphs"/>
        <w:tabs>
          <w:tab w:val="left" w:pos="5954"/>
        </w:tabs>
        <w:rPr>
          <w:lang w:val="es-ES_tradnl"/>
        </w:rPr>
      </w:pPr>
    </w:p>
    <w:p w:rsidR="003E2AE6" w:rsidRPr="00376E1B" w:rsidRDefault="003E2AE6" w:rsidP="00327D79">
      <w:pPr>
        <w:pStyle w:val="DecisionParagraphs"/>
        <w:tabs>
          <w:tab w:val="left" w:pos="5954"/>
        </w:tabs>
        <w:rPr>
          <w:snapToGrid w:val="0"/>
          <w:lang w:val="es-ES_tradnl"/>
        </w:rPr>
      </w:pPr>
      <w:r w:rsidRPr="00376E1B">
        <w:rPr>
          <w:lang w:val="es-ES_tradnl"/>
        </w:rPr>
        <w:tab/>
      </w:r>
      <w:r w:rsidRPr="00E34112">
        <w:rPr>
          <w:lang w:val="es-ES_tradnl"/>
        </w:rPr>
        <w:t>c)</w:t>
      </w:r>
      <w:r w:rsidRPr="00376E1B">
        <w:rPr>
          <w:lang w:val="es-ES_tradnl"/>
        </w:rPr>
        <w:tab/>
      </w:r>
      <w:r w:rsidRPr="000E7943">
        <w:rPr>
          <w:lang w:val="es-ES_tradnl"/>
        </w:rPr>
        <w:t>pedir al TWC que designe como redactor a un experto adecuado.</w:t>
      </w:r>
    </w:p>
    <w:p w:rsidR="003E2AE6" w:rsidRDefault="003E2AE6" w:rsidP="00EF3098">
      <w:pPr>
        <w:jc w:val="right"/>
        <w:rPr>
          <w:lang w:val="es-ES_tradnl"/>
        </w:rPr>
      </w:pPr>
    </w:p>
    <w:p w:rsidR="00327D79" w:rsidRDefault="00327D79" w:rsidP="00EF3098">
      <w:pPr>
        <w:jc w:val="right"/>
        <w:rPr>
          <w:lang w:val="es-ES_tradnl"/>
        </w:rPr>
      </w:pPr>
    </w:p>
    <w:p w:rsidR="00327D79" w:rsidRPr="00376E1B" w:rsidRDefault="00327D79" w:rsidP="00EF3098">
      <w:pPr>
        <w:jc w:val="right"/>
        <w:rPr>
          <w:lang w:val="es-ES_tradnl"/>
        </w:rPr>
      </w:pPr>
    </w:p>
    <w:p w:rsidR="003E2AE6" w:rsidRDefault="003E2AE6" w:rsidP="00050E16">
      <w:pPr>
        <w:jc w:val="right"/>
        <w:rPr>
          <w:lang w:val="es-ES_tradnl"/>
        </w:rPr>
      </w:pPr>
      <w:r w:rsidRPr="00E34112">
        <w:rPr>
          <w:lang w:val="es-ES_tradnl"/>
        </w:rPr>
        <w:t>[Sigue el Anexo]</w:t>
      </w:r>
    </w:p>
    <w:p w:rsidR="003E2AE6" w:rsidRDefault="003E2AE6" w:rsidP="004112FB">
      <w:pPr>
        <w:rPr>
          <w:lang w:val="es-ES_tradnl"/>
        </w:rPr>
      </w:pPr>
    </w:p>
    <w:p w:rsidR="003E2AE6" w:rsidRPr="00376E1B" w:rsidRDefault="003E2AE6" w:rsidP="00050E16">
      <w:pPr>
        <w:jc w:val="right"/>
        <w:rPr>
          <w:lang w:val="es-ES_tradnl"/>
        </w:rPr>
        <w:sectPr w:rsidR="003E2AE6" w:rsidRPr="00376E1B" w:rsidSect="00E34112">
          <w:headerReference w:type="default" r:id="rId9"/>
          <w:pgSz w:w="11907" w:h="16840" w:code="9"/>
          <w:pgMar w:top="510" w:right="1134" w:bottom="1134" w:left="1134" w:header="510" w:footer="680" w:gutter="0"/>
          <w:cols w:space="720"/>
          <w:titlePg/>
        </w:sectPr>
      </w:pPr>
    </w:p>
    <w:p w:rsidR="003E2AE6" w:rsidRPr="00376E1B" w:rsidRDefault="003E2AE6" w:rsidP="004205FD">
      <w:pPr>
        <w:jc w:val="center"/>
        <w:rPr>
          <w:rFonts w:eastAsia="MS Mincho" w:cs="Arial"/>
          <w:lang w:val="es-ES_tradnl" w:eastAsia="ja-JP"/>
        </w:rPr>
      </w:pPr>
      <w:r w:rsidRPr="000E7943">
        <w:rPr>
          <w:rFonts w:eastAsia="MS Mincho" w:cs="Arial"/>
          <w:lang w:val="es-ES_tradnl" w:eastAsia="ja-JP"/>
        </w:rPr>
        <w:t>MEMORÁNDUM DEL EXPERTO DE DINAMARCA</w:t>
      </w:r>
    </w:p>
    <w:p w:rsidR="003E2AE6" w:rsidRPr="00376E1B" w:rsidRDefault="003E2AE6" w:rsidP="004205FD">
      <w:pPr>
        <w:jc w:val="center"/>
        <w:rPr>
          <w:rFonts w:eastAsia="MS Mincho" w:cs="Arial"/>
          <w:lang w:val="es-ES_tradnl" w:eastAsia="ja-JP"/>
        </w:rPr>
      </w:pPr>
    </w:p>
    <w:p w:rsidR="003E2AE6" w:rsidRPr="00376E1B" w:rsidRDefault="003E2AE6" w:rsidP="004205FD">
      <w:pPr>
        <w:rPr>
          <w:rFonts w:eastAsia="MS Mincho" w:cs="Arial"/>
          <w:u w:val="single"/>
          <w:lang w:val="es-ES_tradnl" w:eastAsia="ja-JP"/>
        </w:rPr>
      </w:pPr>
      <w:r w:rsidRPr="00E34112">
        <w:rPr>
          <w:rFonts w:eastAsia="MS Mincho" w:cs="Arial"/>
          <w:u w:val="single"/>
          <w:lang w:val="es-ES_tradnl" w:eastAsia="ja-JP"/>
        </w:rPr>
        <w:t>Antecedentes</w:t>
      </w:r>
    </w:p>
    <w:p w:rsidR="003E2AE6" w:rsidRPr="00376E1B" w:rsidRDefault="003E2AE6" w:rsidP="004205FD">
      <w:pPr>
        <w:rPr>
          <w:rFonts w:eastAsia="MS Mincho" w:cs="Arial"/>
          <w:u w:val="single"/>
          <w:lang w:val="es-ES_tradnl" w:eastAsia="ja-JP"/>
        </w:rPr>
      </w:pPr>
    </w:p>
    <w:p w:rsidR="003E2AE6" w:rsidRPr="00376E1B" w:rsidRDefault="003E2AE6" w:rsidP="004205FD">
      <w:pPr>
        <w:rPr>
          <w:rFonts w:eastAsia="MS Mincho" w:cs="Arial"/>
          <w:lang w:val="es-ES_tradnl" w:eastAsia="ja-JP"/>
        </w:rPr>
      </w:pPr>
      <w:r w:rsidRPr="000E7943">
        <w:rPr>
          <w:rFonts w:eastAsia="MS Mincho" w:cs="Arial"/>
          <w:lang w:val="es-ES_tradnl" w:eastAsia="ja-JP"/>
        </w:rPr>
        <w:t xml:space="preserve">El método COYD para </w:t>
      </w:r>
      <w:r w:rsidRPr="000E7943">
        <w:rPr>
          <w:rFonts w:eastAsia="MS Mincho" w:cs="Arial"/>
          <w:lang w:val="es-ES_tradnl"/>
        </w:rPr>
        <w:t xml:space="preserve">datos de distribución normal </w:t>
      </w:r>
      <w:r w:rsidRPr="000E7943">
        <w:rPr>
          <w:rFonts w:eastAsia="MS Mincho" w:cs="Arial"/>
          <w:lang w:val="es-ES_tradnl" w:eastAsia="ja-JP"/>
        </w:rPr>
        <w:t xml:space="preserve">se introdujo en la UPOV hace muchos años con objeto de que las decisiones adoptadas fueran más </w:t>
      </w:r>
      <w:r w:rsidRPr="000E7943">
        <w:rPr>
          <w:rFonts w:cs="Arial"/>
          <w:lang w:val="es-ES_tradnl"/>
        </w:rPr>
        <w:t xml:space="preserve">coherentes </w:t>
      </w:r>
      <w:r w:rsidRPr="000E7943">
        <w:rPr>
          <w:rFonts w:eastAsia="MS Mincho" w:cs="Arial"/>
          <w:lang w:val="es-ES_tradnl" w:eastAsia="ja-JP"/>
        </w:rPr>
        <w:t xml:space="preserve">con las de </w:t>
      </w:r>
      <w:r>
        <w:rPr>
          <w:rFonts w:eastAsia="MS Mincho" w:cs="Arial"/>
          <w:lang w:val="es-ES_tradnl" w:eastAsia="ja-JP"/>
        </w:rPr>
        <w:t>otros años</w:t>
      </w:r>
      <w:r w:rsidRPr="000E7943">
        <w:rPr>
          <w:rFonts w:eastAsia="MS Mincho" w:cs="Arial"/>
          <w:lang w:val="es-ES_tradnl" w:eastAsia="ja-JP"/>
        </w:rPr>
        <w:t xml:space="preserve"> que las que se obtienen mediante el método convencional 2 × 1%</w:t>
      </w:r>
      <w:r w:rsidRPr="000E7943">
        <w:rPr>
          <w:rFonts w:eastAsia="MS Mincho" w:cs="Arial"/>
          <w:lang w:val="es-ES_tradnl"/>
        </w:rPr>
        <w:t>.</w:t>
      </w:r>
      <w:r w:rsidRPr="00376E1B">
        <w:rPr>
          <w:rFonts w:eastAsia="MS Mincho" w:cs="Arial"/>
          <w:lang w:val="es-ES_tradnl"/>
        </w:rPr>
        <w:t xml:space="preserve">  </w:t>
      </w:r>
      <w:r w:rsidRPr="000E7943">
        <w:rPr>
          <w:rFonts w:eastAsia="MS Mincho" w:cs="Arial"/>
          <w:lang w:val="es-ES_tradnl" w:eastAsia="ja-JP"/>
        </w:rPr>
        <w:t xml:space="preserve">Recientemente se ha reanudado la labor de elaboración de un método COYD para datos </w:t>
      </w:r>
      <w:r w:rsidRPr="000E7943">
        <w:rPr>
          <w:rFonts w:eastAsia="MS Mincho" w:cs="Arial"/>
          <w:lang w:val="es-ES_tradnl"/>
        </w:rPr>
        <w:t xml:space="preserve">de distribución multinomial, </w:t>
      </w:r>
      <w:r w:rsidRPr="000E7943">
        <w:rPr>
          <w:rFonts w:eastAsia="MS Mincho" w:cs="Arial"/>
          <w:lang w:val="es-ES_tradnl" w:eastAsia="ja-JP"/>
        </w:rPr>
        <w:t xml:space="preserve">como los </w:t>
      </w:r>
      <w:r w:rsidRPr="000E7943">
        <w:rPr>
          <w:rFonts w:eastAsia="MS Mincho" w:cs="Arial"/>
          <w:lang w:val="es-ES_tradnl"/>
        </w:rPr>
        <w:t>caracteres</w:t>
      </w:r>
      <w:r w:rsidRPr="000E7943">
        <w:rPr>
          <w:rFonts w:eastAsia="MS Mincho" w:cs="Arial"/>
          <w:lang w:val="es-ES_tradnl" w:eastAsia="ja-JP"/>
        </w:rPr>
        <w:t xml:space="preserve"> observados visualmente.</w:t>
      </w:r>
    </w:p>
    <w:p w:rsidR="003E2AE6" w:rsidRPr="00376E1B" w:rsidRDefault="003E2AE6" w:rsidP="004205FD">
      <w:pPr>
        <w:rPr>
          <w:rFonts w:eastAsia="MS Mincho" w:cs="Arial"/>
          <w:lang w:val="es-ES_tradnl" w:eastAsia="ja-JP"/>
        </w:rPr>
      </w:pPr>
    </w:p>
    <w:p w:rsidR="003E2AE6" w:rsidRPr="00376E1B" w:rsidRDefault="003E2AE6" w:rsidP="004205FD">
      <w:pPr>
        <w:rPr>
          <w:rFonts w:eastAsia="MS Mincho" w:cs="Arial"/>
          <w:lang w:val="es-ES_tradnl"/>
        </w:rPr>
      </w:pPr>
      <w:r w:rsidRPr="000E7943">
        <w:rPr>
          <w:rFonts w:eastAsia="MS Mincho" w:cs="Arial"/>
          <w:lang w:val="es-ES_tradnl" w:eastAsia="ja-JP"/>
        </w:rPr>
        <w:t xml:space="preserve">El presente memorándum contiene un análisis de las similitudes y diferencias existentes entre el método que se propuso al TC, en su cuadragésima novena sesión, para el tratamiento de datos de distribución multinomial, y los dos métodos indicados en el documento TGP/8 que están relacionados con el método propuesto:  el método COYD para datos </w:t>
      </w:r>
      <w:r w:rsidRPr="000E7943">
        <w:rPr>
          <w:rFonts w:eastAsia="MS Mincho" w:cs="ArialMT"/>
          <w:lang w:val="es-ES_tradnl"/>
        </w:rPr>
        <w:t xml:space="preserve">de distribución normal y la </w:t>
      </w:r>
      <w:r w:rsidRPr="000E7943">
        <w:rPr>
          <w:rFonts w:eastAsia="MS Mincho" w:cs="Arial"/>
          <w:lang w:val="es-ES_tradnl" w:eastAsia="ja-JP"/>
        </w:rPr>
        <w:t>prueba </w:t>
      </w:r>
      <w:r w:rsidRPr="000E7943">
        <w:rPr>
          <w:rFonts w:eastAsia="MS Mincho" w:cs="ArialMT"/>
          <w:lang w:val="es-ES_tradnl"/>
        </w:rPr>
        <w:sym w:font="Symbol" w:char="F063"/>
      </w:r>
      <w:r w:rsidRPr="000E7943">
        <w:rPr>
          <w:rFonts w:eastAsia="MS Mincho" w:cs="ArialMT"/>
          <w:vertAlign w:val="superscript"/>
          <w:lang w:val="es-ES_tradnl"/>
        </w:rPr>
        <w:t>2</w:t>
      </w:r>
      <w:r w:rsidRPr="000E7943">
        <w:rPr>
          <w:rFonts w:eastAsia="MS Mincho" w:cs="Arial"/>
          <w:lang w:val="es-ES_tradnl" w:eastAsia="ja-JP"/>
        </w:rPr>
        <w:t>.</w:t>
      </w:r>
      <w:r w:rsidRPr="00376E1B">
        <w:rPr>
          <w:rFonts w:eastAsia="MS Mincho" w:cs="Arial"/>
          <w:lang w:val="es-ES_tradnl" w:eastAsia="ja-JP"/>
        </w:rPr>
        <w:t xml:space="preserve"> </w:t>
      </w:r>
    </w:p>
    <w:p w:rsidR="003E2AE6" w:rsidRPr="00376E1B" w:rsidRDefault="003E2AE6" w:rsidP="004205FD">
      <w:pPr>
        <w:rPr>
          <w:rFonts w:eastAsia="MS Mincho" w:cs="Arial"/>
          <w:u w:val="single"/>
          <w:lang w:val="es-ES_tradnl" w:eastAsia="ja-JP"/>
        </w:rPr>
      </w:pPr>
    </w:p>
    <w:p w:rsidR="003E2AE6" w:rsidRPr="00376E1B" w:rsidRDefault="003E2AE6" w:rsidP="004205FD">
      <w:pPr>
        <w:rPr>
          <w:rFonts w:eastAsia="MS Mincho" w:cs="Arial"/>
          <w:u w:val="single"/>
          <w:lang w:val="es-ES_tradnl" w:eastAsia="ja-JP"/>
        </w:rPr>
      </w:pPr>
    </w:p>
    <w:p w:rsidR="003E2AE6" w:rsidRPr="00376E1B" w:rsidRDefault="003E2AE6" w:rsidP="004205FD">
      <w:pPr>
        <w:rPr>
          <w:rFonts w:eastAsia="MS Mincho" w:cs="Arial"/>
          <w:u w:val="single"/>
          <w:lang w:val="es-ES_tradnl" w:eastAsia="ja-JP"/>
        </w:rPr>
      </w:pPr>
      <w:r w:rsidRPr="000E7943">
        <w:rPr>
          <w:rFonts w:eastAsia="MS Mincho" w:cs="Arial"/>
          <w:u w:val="single"/>
          <w:lang w:val="es-ES_tradnl" w:eastAsia="ja-JP"/>
        </w:rPr>
        <w:t>Análisis de las similitudes y las diferencias</w:t>
      </w:r>
      <w:r w:rsidRPr="00376E1B">
        <w:rPr>
          <w:rFonts w:eastAsia="MS Mincho" w:cs="Arial"/>
          <w:u w:val="single"/>
          <w:lang w:val="es-ES_tradnl" w:eastAsia="ja-JP"/>
        </w:rPr>
        <w:t xml:space="preserve"> </w:t>
      </w:r>
    </w:p>
    <w:p w:rsidR="003E2AE6" w:rsidRPr="00376E1B" w:rsidRDefault="003E2AE6" w:rsidP="004205FD">
      <w:pPr>
        <w:rPr>
          <w:rFonts w:eastAsia="MS Mincho" w:cs="Arial"/>
          <w:lang w:val="es-ES_tradnl" w:eastAsia="ja-JP"/>
        </w:rPr>
      </w:pPr>
    </w:p>
    <w:p w:rsidR="003E2AE6" w:rsidRPr="00376E1B" w:rsidRDefault="003E2AE6" w:rsidP="004205FD">
      <w:pPr>
        <w:rPr>
          <w:rFonts w:eastAsia="MS Mincho" w:cs="Arial"/>
          <w:i/>
          <w:lang w:val="es-ES_tradnl"/>
        </w:rPr>
      </w:pPr>
      <w:r w:rsidRPr="000E7943">
        <w:rPr>
          <w:rFonts w:eastAsia="MS Mincho" w:cs="Arial"/>
          <w:i/>
          <w:lang w:val="es-ES_tradnl"/>
        </w:rPr>
        <w:t>Similitudes entre el método COYD para datos de distribución normal y el método COYD propuesto para datos de distribución multinomial</w:t>
      </w:r>
    </w:p>
    <w:p w:rsidR="003E2AE6" w:rsidRPr="00376E1B" w:rsidRDefault="003E2AE6" w:rsidP="004205FD">
      <w:pPr>
        <w:rPr>
          <w:rFonts w:eastAsia="MS Mincho" w:cs="Arial"/>
          <w:i/>
          <w:lang w:val="es-ES_tradnl" w:eastAsia="ja-JP"/>
        </w:rPr>
      </w:pPr>
    </w:p>
    <w:p w:rsidR="003E2AE6" w:rsidRPr="00376E1B" w:rsidRDefault="003E2AE6" w:rsidP="004205FD">
      <w:pPr>
        <w:numPr>
          <w:ilvl w:val="0"/>
          <w:numId w:val="3"/>
        </w:numPr>
        <w:contextualSpacing/>
        <w:rPr>
          <w:rFonts w:cs="Arial"/>
          <w:lang w:val="es-ES_tradnl"/>
        </w:rPr>
      </w:pPr>
      <w:r w:rsidRPr="000E7943">
        <w:rPr>
          <w:rFonts w:cs="Arial"/>
          <w:lang w:val="es-ES_tradnl"/>
        </w:rPr>
        <w:t xml:space="preserve">Ambos métodos tienen por finalidad que las decisiones adoptadas sean concordantes con las de </w:t>
      </w:r>
      <w:r>
        <w:rPr>
          <w:rFonts w:cs="Arial"/>
          <w:lang w:val="es-ES_tradnl"/>
        </w:rPr>
        <w:t>otros años</w:t>
      </w:r>
      <w:r w:rsidRPr="000E7943">
        <w:rPr>
          <w:rFonts w:cs="Arial"/>
          <w:lang w:val="es-ES_tradnl"/>
        </w:rPr>
        <w:t>.</w:t>
      </w:r>
    </w:p>
    <w:p w:rsidR="003E2AE6" w:rsidRPr="00376E1B" w:rsidRDefault="003E2AE6" w:rsidP="004205FD">
      <w:pPr>
        <w:rPr>
          <w:rFonts w:eastAsia="MS Mincho" w:cs="Arial"/>
          <w:lang w:val="es-ES_tradnl"/>
        </w:rPr>
      </w:pPr>
    </w:p>
    <w:p w:rsidR="003E2AE6" w:rsidRPr="00376E1B" w:rsidRDefault="003E2AE6" w:rsidP="004205FD">
      <w:pPr>
        <w:numPr>
          <w:ilvl w:val="0"/>
          <w:numId w:val="3"/>
        </w:numPr>
        <w:contextualSpacing/>
        <w:rPr>
          <w:rFonts w:cs="Arial"/>
          <w:lang w:val="es-ES_tradnl"/>
        </w:rPr>
      </w:pPr>
      <w:r w:rsidRPr="000E7943">
        <w:rPr>
          <w:lang w:val="es-ES_tradnl"/>
        </w:rPr>
        <w:t xml:space="preserve">En </w:t>
      </w:r>
      <w:r w:rsidRPr="000E7943">
        <w:rPr>
          <w:rFonts w:cs="Arial"/>
          <w:lang w:val="es-ES_tradnl"/>
        </w:rPr>
        <w:t>ambos métodos, esta finalidad se logra calculando una medida de la interacción entre años y variedades, que posteriormente se tiene en cuenta al comparar las variedades.</w:t>
      </w:r>
    </w:p>
    <w:p w:rsidR="003E2AE6" w:rsidRPr="00376E1B" w:rsidRDefault="003E2AE6" w:rsidP="004205FD">
      <w:pPr>
        <w:spacing w:line="360" w:lineRule="auto"/>
        <w:rPr>
          <w:rFonts w:eastAsia="MS Mincho" w:cs="Arial"/>
          <w:lang w:val="es-ES_tradnl"/>
        </w:rPr>
      </w:pPr>
    </w:p>
    <w:p w:rsidR="003E2AE6" w:rsidRPr="00376E1B" w:rsidRDefault="003E2AE6" w:rsidP="004205FD">
      <w:pPr>
        <w:rPr>
          <w:rFonts w:eastAsia="MS Mincho" w:cs="Arial"/>
          <w:i/>
          <w:lang w:val="es-ES_tradnl"/>
        </w:rPr>
      </w:pPr>
      <w:r w:rsidRPr="000E7943">
        <w:rPr>
          <w:rFonts w:eastAsia="MS Mincho" w:cs="Arial"/>
          <w:i/>
          <w:lang w:val="es-ES_tradnl"/>
        </w:rPr>
        <w:t>Diferencias entre el método COYD para datos de distribución normal y el método COYD propuesto para datos de distribución multinomial</w:t>
      </w:r>
    </w:p>
    <w:p w:rsidR="003E2AE6" w:rsidRPr="00376E1B" w:rsidRDefault="003E2AE6" w:rsidP="004205FD">
      <w:pPr>
        <w:rPr>
          <w:rFonts w:eastAsia="MS Mincho" w:cs="Arial"/>
          <w:lang w:val="es-ES_tradnl"/>
        </w:rPr>
      </w:pPr>
    </w:p>
    <w:p w:rsidR="003E2AE6" w:rsidRPr="00376E1B" w:rsidRDefault="003E2AE6" w:rsidP="004205FD">
      <w:pPr>
        <w:numPr>
          <w:ilvl w:val="0"/>
          <w:numId w:val="4"/>
        </w:numPr>
        <w:ind w:left="714" w:hanging="357"/>
        <w:contextualSpacing/>
        <w:rPr>
          <w:rFonts w:cs="Arial"/>
          <w:lang w:val="es-ES_tradnl"/>
        </w:rPr>
      </w:pPr>
      <w:r w:rsidRPr="000E7943">
        <w:rPr>
          <w:rFonts w:cs="Arial"/>
          <w:lang w:val="es-ES_tradnl"/>
        </w:rPr>
        <w:t>En el caso de datos de distribución normal, el resultado para una variedad determinada en un año determinado se puede caracterizar mediante una única media, mientras que en el caso de datos de distribución multinomial han de utilizarse varios valores (recuentos o porcentajes):</w:t>
      </w:r>
      <w:r w:rsidRPr="00376E1B">
        <w:rPr>
          <w:rFonts w:cs="Arial"/>
          <w:lang w:val="es-ES_tradnl" w:eastAsia="ja-JP"/>
        </w:rPr>
        <w:t xml:space="preserve">  </w:t>
      </w:r>
      <w:r w:rsidRPr="000E7943">
        <w:rPr>
          <w:rFonts w:cs="Arial"/>
          <w:lang w:val="es-ES_tradnl" w:eastAsia="ja-JP"/>
        </w:rPr>
        <w:t>por ejemplo, si una nota puede adoptar 5 valores discretos, se necesitan 5 recuentos o porcentajes para caracterizar la variedad (en rigor, solo se necesitan 4 porcentajes, ya que la suma de los 5 porcentajes ha de ser igual a 100)</w:t>
      </w:r>
      <w:r w:rsidRPr="000E7943">
        <w:rPr>
          <w:rFonts w:cs="Arial"/>
          <w:lang w:val="es-ES_tradnl"/>
        </w:rPr>
        <w:t>.</w:t>
      </w:r>
    </w:p>
    <w:p w:rsidR="003E2AE6" w:rsidRPr="00376E1B" w:rsidRDefault="003E2AE6" w:rsidP="004205FD">
      <w:pPr>
        <w:rPr>
          <w:rFonts w:eastAsia="MS Mincho" w:cs="Arial"/>
          <w:lang w:val="es-ES_tradnl"/>
        </w:rPr>
      </w:pPr>
    </w:p>
    <w:p w:rsidR="003E2AE6" w:rsidRPr="00376E1B" w:rsidRDefault="003E2AE6" w:rsidP="004205FD">
      <w:pPr>
        <w:numPr>
          <w:ilvl w:val="0"/>
          <w:numId w:val="4"/>
        </w:numPr>
        <w:ind w:left="714" w:hanging="357"/>
        <w:contextualSpacing/>
        <w:rPr>
          <w:rFonts w:cs="Arial"/>
          <w:lang w:val="es-ES_tradnl"/>
        </w:rPr>
      </w:pPr>
      <w:r w:rsidRPr="000E7943">
        <w:rPr>
          <w:rFonts w:cs="Arial"/>
          <w:lang w:val="es-ES_tradnl"/>
        </w:rPr>
        <w:t>En el caso de datos de distribución normal, la variabilidad debida al muestreo aleatorio suele considerarse independiente de las medias y, por lo tanto, igual para todas las variedades.</w:t>
      </w:r>
      <w:r w:rsidRPr="00376E1B">
        <w:rPr>
          <w:rFonts w:cs="Arial"/>
          <w:lang w:val="es-ES_tradnl"/>
        </w:rPr>
        <w:t xml:space="preserve">  </w:t>
      </w:r>
      <w:r w:rsidRPr="000E7943">
        <w:rPr>
          <w:rFonts w:cs="Arial"/>
          <w:lang w:val="es-ES_tradnl"/>
        </w:rPr>
        <w:t>Este supuesto no se puede aplicar cuando los datos tienen distribución multinomial, ya que en ese caso la variación aleatoria debida al muestreo depende del valor medio (recuento o porcentaje) de la nota.</w:t>
      </w:r>
      <w:r w:rsidRPr="00376E1B">
        <w:rPr>
          <w:rFonts w:cs="Arial"/>
          <w:lang w:val="es-ES_tradnl"/>
        </w:rPr>
        <w:t xml:space="preserve"> </w:t>
      </w:r>
    </w:p>
    <w:p w:rsidR="003E2AE6" w:rsidRPr="00376E1B" w:rsidRDefault="003E2AE6" w:rsidP="004205FD">
      <w:pPr>
        <w:rPr>
          <w:rFonts w:eastAsia="MS Mincho" w:cs="Arial"/>
          <w:lang w:val="es-ES_tradnl"/>
        </w:rPr>
      </w:pPr>
    </w:p>
    <w:p w:rsidR="003E2AE6" w:rsidRPr="00376E1B" w:rsidRDefault="003E2AE6" w:rsidP="004205FD">
      <w:pPr>
        <w:numPr>
          <w:ilvl w:val="0"/>
          <w:numId w:val="4"/>
        </w:numPr>
        <w:ind w:left="714" w:hanging="357"/>
        <w:contextualSpacing/>
        <w:rPr>
          <w:rFonts w:cs="Arial"/>
          <w:lang w:val="es-ES_tradnl"/>
        </w:rPr>
      </w:pPr>
      <w:r w:rsidRPr="000E7943">
        <w:rPr>
          <w:rFonts w:cs="Arial"/>
          <w:lang w:val="es-ES_tradnl"/>
        </w:rPr>
        <w:t>En el caso de datos de distribución normal, la variabilidad debida a la interacción entre años y variedades se puede caracterizar mediante un único valor para cada combinación de año y variedad.</w:t>
      </w:r>
      <w:r w:rsidRPr="00376E1B">
        <w:rPr>
          <w:rFonts w:cs="Arial"/>
          <w:lang w:val="es-ES_tradnl"/>
        </w:rPr>
        <w:t xml:space="preserve">  </w:t>
      </w:r>
      <w:r w:rsidRPr="000E7943">
        <w:rPr>
          <w:rFonts w:cs="Arial"/>
          <w:lang w:val="es-ES_tradnl"/>
        </w:rPr>
        <w:t>Lo mismo suele suceder en el caso de datos de distribución binomial y caracteres de distribución multinomial registrados en una escala ordinal.</w:t>
      </w:r>
      <w:r w:rsidRPr="00376E1B">
        <w:rPr>
          <w:rFonts w:cs="Arial"/>
          <w:lang w:val="es-ES_tradnl"/>
        </w:rPr>
        <w:t xml:space="preserve">  </w:t>
      </w:r>
      <w:r w:rsidRPr="000E7943">
        <w:rPr>
          <w:rFonts w:cs="Arial"/>
          <w:lang w:val="es-ES_tradnl"/>
        </w:rPr>
        <w:t>Sin embargo, en el caso de datos de distribución multinomial registrados en una escala nominal se necesitan más valores para caracterizar la interacción entre años y variedades:</w:t>
      </w:r>
      <w:r w:rsidRPr="00376E1B">
        <w:rPr>
          <w:rFonts w:cs="Arial"/>
          <w:lang w:val="es-ES_tradnl"/>
        </w:rPr>
        <w:t xml:space="preserve">  </w:t>
      </w:r>
      <w:r w:rsidRPr="000E7943">
        <w:rPr>
          <w:rFonts w:cs="Arial"/>
          <w:lang w:val="es-ES_tradnl"/>
        </w:rPr>
        <w:t>por ejemplo, si existen 5 notas diferentes, se necesita el número de combinaciones de años y variedades multiplicado por 4.</w:t>
      </w:r>
    </w:p>
    <w:p w:rsidR="003E2AE6" w:rsidRPr="00376E1B" w:rsidRDefault="003E2AE6" w:rsidP="004205FD">
      <w:pPr>
        <w:rPr>
          <w:rFonts w:eastAsia="MS Mincho" w:cs="Arial"/>
          <w:lang w:val="es-ES_tradnl"/>
        </w:rPr>
      </w:pPr>
    </w:p>
    <w:p w:rsidR="003E2AE6" w:rsidRPr="00376E1B" w:rsidRDefault="003E2AE6" w:rsidP="004205FD">
      <w:pPr>
        <w:numPr>
          <w:ilvl w:val="0"/>
          <w:numId w:val="4"/>
        </w:numPr>
        <w:contextualSpacing/>
        <w:rPr>
          <w:rFonts w:cs="Arial"/>
          <w:lang w:val="es-ES_tradnl"/>
        </w:rPr>
      </w:pPr>
      <w:r w:rsidRPr="000E7943">
        <w:rPr>
          <w:rFonts w:cs="Arial"/>
          <w:lang w:val="es-ES_tradnl"/>
        </w:rPr>
        <w:t>En el caso de datos de distribución normal, las variedades pueden compararse mediante pruebas de la t (o pruebas de la F con un grado de libertad en el numerador).</w:t>
      </w:r>
      <w:r w:rsidRPr="00376E1B">
        <w:rPr>
          <w:rFonts w:cs="Arial"/>
          <w:lang w:val="es-ES_tradnl"/>
        </w:rPr>
        <w:t xml:space="preserve">  </w:t>
      </w:r>
      <w:r w:rsidRPr="000E7943">
        <w:rPr>
          <w:rFonts w:cs="Arial"/>
          <w:lang w:val="es-ES_tradnl"/>
        </w:rPr>
        <w:t>Lo mismo suele suceder en el caso de datos de distribución binomial y caracteres de distribución multinomial registrados en una escala ordinal.</w:t>
      </w:r>
      <w:r w:rsidRPr="00376E1B">
        <w:rPr>
          <w:rFonts w:cs="Arial"/>
          <w:lang w:val="es-ES_tradnl"/>
        </w:rPr>
        <w:t xml:space="preserve">  </w:t>
      </w:r>
      <w:r w:rsidRPr="000E7943">
        <w:rPr>
          <w:rFonts w:cs="Arial"/>
          <w:lang w:val="es-ES_tradnl"/>
        </w:rPr>
        <w:t>Sin embargo, en el caso de datos de distribución multinomial registrados en una escala nominal se necesita una prueba de la F con más de un grado de libertad en el numerador</w:t>
      </w:r>
      <w:r w:rsidRPr="000E7943">
        <w:rPr>
          <w:rFonts w:cs="Arial"/>
          <w:lang w:val="es-ES_tradnl" w:eastAsia="ja-JP"/>
        </w:rPr>
        <w:t>:</w:t>
      </w:r>
      <w:r w:rsidRPr="00376E1B">
        <w:rPr>
          <w:rFonts w:cs="Arial"/>
          <w:lang w:val="es-ES_tradnl" w:eastAsia="ja-JP"/>
        </w:rPr>
        <w:t xml:space="preserve">  </w:t>
      </w:r>
      <w:r w:rsidRPr="000E7943">
        <w:rPr>
          <w:rFonts w:cs="Arial"/>
          <w:lang w:val="es-ES_tradnl" w:eastAsia="ja-JP"/>
        </w:rPr>
        <w:t xml:space="preserve">por ejemplo, </w:t>
      </w:r>
      <w:r w:rsidRPr="000E7943">
        <w:rPr>
          <w:rFonts w:cs="Arial"/>
          <w:lang w:val="es-ES_tradnl"/>
        </w:rPr>
        <w:t>si existen 5 notas diferentes, las pruebas de la F que se empleen para comparar dos variedades deberán tener 4 grados de libertad en el numerador.</w:t>
      </w:r>
    </w:p>
    <w:p w:rsidR="003E2AE6" w:rsidRPr="00376E1B" w:rsidRDefault="003E2AE6" w:rsidP="004205FD">
      <w:pPr>
        <w:rPr>
          <w:rFonts w:eastAsia="MS Mincho" w:cs="Arial"/>
          <w:lang w:val="es-ES_tradnl"/>
        </w:rPr>
      </w:pPr>
    </w:p>
    <w:p w:rsidR="003E2AE6" w:rsidRPr="00376E1B" w:rsidRDefault="003E2AE6" w:rsidP="004205FD">
      <w:pPr>
        <w:numPr>
          <w:ilvl w:val="0"/>
          <w:numId w:val="4"/>
        </w:numPr>
        <w:ind w:left="714" w:hanging="357"/>
        <w:contextualSpacing/>
        <w:rPr>
          <w:rFonts w:eastAsia="MS Mincho" w:cs="Arial"/>
          <w:i/>
          <w:lang w:val="es-ES_tradnl" w:eastAsia="ja-JP"/>
        </w:rPr>
      </w:pPr>
      <w:r w:rsidRPr="000E7943">
        <w:rPr>
          <w:rFonts w:cs="Arial"/>
          <w:lang w:val="es-ES_tradnl"/>
        </w:rPr>
        <w:t>El método COYD para datos de distribución multinomial requiere computadoras más potentes que el método COYD para datos de distribución normal.  No obstante, con las computadoras disponibles hoy en día, este hecho no debería representar un problema grave</w:t>
      </w:r>
      <w:r w:rsidRPr="000E7943">
        <w:rPr>
          <w:rFonts w:cs="Arial"/>
          <w:lang w:val="es-ES_tradnl" w:eastAsia="ja-JP"/>
        </w:rPr>
        <w:t>.</w:t>
      </w:r>
    </w:p>
    <w:p w:rsidR="003E2AE6" w:rsidRPr="00376E1B" w:rsidRDefault="003E2AE6" w:rsidP="004205FD">
      <w:pPr>
        <w:keepNext/>
        <w:rPr>
          <w:rFonts w:eastAsia="MS Mincho" w:cs="Arial"/>
          <w:i/>
          <w:lang w:val="es-ES_tradnl"/>
        </w:rPr>
      </w:pPr>
      <w:r w:rsidRPr="000E7943">
        <w:rPr>
          <w:rFonts w:eastAsia="MS Mincho" w:cs="Arial"/>
          <w:i/>
          <w:lang w:val="es-ES_tradnl" w:eastAsia="ja-JP"/>
        </w:rPr>
        <w:t>Diferencias entre la prueba </w:t>
      </w:r>
      <w:r w:rsidRPr="000E7943">
        <w:rPr>
          <w:rFonts w:eastAsia="MS Mincho" w:cs="Arial"/>
          <w:i/>
          <w:lang w:val="es-ES_tradnl"/>
        </w:rPr>
        <w:sym w:font="Symbol" w:char="F063"/>
      </w:r>
      <w:r w:rsidRPr="000E7943">
        <w:rPr>
          <w:rFonts w:eastAsia="MS Mincho" w:cs="Arial"/>
          <w:i/>
          <w:vertAlign w:val="superscript"/>
          <w:lang w:val="es-ES_tradnl"/>
        </w:rPr>
        <w:t>2</w:t>
      </w:r>
      <w:r w:rsidRPr="000E7943">
        <w:rPr>
          <w:rFonts w:eastAsia="MS Mincho" w:cs="Arial"/>
          <w:i/>
          <w:lang w:val="es-ES_tradnl" w:eastAsia="ja-JP"/>
        </w:rPr>
        <w:t xml:space="preserve"> y el método COYD propuesto para datos de distribución multinomial</w:t>
      </w:r>
      <w:r w:rsidRPr="00376E1B">
        <w:rPr>
          <w:rFonts w:eastAsia="MS Mincho" w:cs="Arial"/>
          <w:i/>
          <w:lang w:val="es-ES_tradnl"/>
        </w:rPr>
        <w:t xml:space="preserve"> </w:t>
      </w:r>
    </w:p>
    <w:p w:rsidR="003E2AE6" w:rsidRPr="00376E1B" w:rsidRDefault="003E2AE6" w:rsidP="004205FD">
      <w:pPr>
        <w:keepNext/>
        <w:rPr>
          <w:rFonts w:eastAsia="MS Mincho" w:cs="Arial"/>
          <w:lang w:val="es-ES_tradnl"/>
        </w:rPr>
      </w:pPr>
    </w:p>
    <w:p w:rsidR="003E2AE6" w:rsidRPr="00376E1B" w:rsidRDefault="003E2AE6" w:rsidP="004205FD">
      <w:pPr>
        <w:numPr>
          <w:ilvl w:val="0"/>
          <w:numId w:val="5"/>
        </w:numPr>
        <w:ind w:left="714" w:hanging="357"/>
        <w:contextualSpacing/>
        <w:rPr>
          <w:rFonts w:cs="Arial"/>
          <w:lang w:val="es-ES_tradnl"/>
        </w:rPr>
      </w:pPr>
      <w:r w:rsidRPr="000E7943">
        <w:rPr>
          <w:rFonts w:cs="Arial"/>
          <w:lang w:val="es-ES_tradnl"/>
        </w:rPr>
        <w:t>En la prueba </w:t>
      </w:r>
      <w:r w:rsidRPr="000E7943">
        <w:rPr>
          <w:rFonts w:cs="Arial"/>
          <w:lang w:val="es-ES_tradnl"/>
        </w:rPr>
        <w:sym w:font="Symbol" w:char="F063"/>
      </w:r>
      <w:r w:rsidRPr="000E7943">
        <w:rPr>
          <w:rFonts w:cs="Arial"/>
          <w:vertAlign w:val="superscript"/>
          <w:lang w:val="es-ES_tradnl"/>
        </w:rPr>
        <w:t>2</w:t>
      </w:r>
      <w:r w:rsidRPr="000E7943">
        <w:rPr>
          <w:rFonts w:cs="Arial"/>
          <w:lang w:val="es-ES_tradnl"/>
        </w:rPr>
        <w:t>, la variabilidad debida al muestreo aleatorio solo se tiene en cuenta cuando dicha prueba se emplea para comparar variedades con respecto a caracteres de distribución multinomial,</w:t>
      </w:r>
      <w:r w:rsidRPr="00376E1B">
        <w:rPr>
          <w:rFonts w:cs="Arial"/>
          <w:lang w:val="es-ES_tradnl"/>
        </w:rPr>
        <w:t xml:space="preserve"> </w:t>
      </w:r>
      <w:r w:rsidRPr="000E7943">
        <w:rPr>
          <w:rFonts w:cs="Arial"/>
          <w:lang w:val="es-ES_tradnl"/>
        </w:rPr>
        <w:t>lo cual puede considerarse similar a comparar las medias de caracteres de distribución normal mediante un análisis en el que se tenga en cuenta la variabilidad de las plantas en cada parcela cuando se efectúe una prueba de la t para comparar dos variedades.</w:t>
      </w:r>
      <w:r w:rsidRPr="00376E1B">
        <w:rPr>
          <w:rFonts w:cs="Arial"/>
          <w:lang w:val="es-ES_tradnl"/>
        </w:rPr>
        <w:t xml:space="preserve">  </w:t>
      </w:r>
      <w:r w:rsidRPr="000E7943">
        <w:rPr>
          <w:rFonts w:cs="Arial"/>
          <w:lang w:val="es-ES_tradnl"/>
        </w:rPr>
        <w:t>Es previsible que así se obtengan demasiados resultados significativos, ya que no se tiene en cuenta la variación debida al suelo o a otras condiciones de cultivo.</w:t>
      </w:r>
      <w:r w:rsidRPr="00376E1B">
        <w:rPr>
          <w:rFonts w:cs="Arial"/>
          <w:lang w:val="es-ES_tradnl"/>
        </w:rPr>
        <w:t xml:space="preserve">  </w:t>
      </w:r>
      <w:r w:rsidRPr="000E7943">
        <w:rPr>
          <w:rFonts w:cs="Arial"/>
          <w:lang w:val="es-ES_tradnl"/>
        </w:rPr>
        <w:t>Del mismo modo, es previsible que con la prueba </w:t>
      </w:r>
      <w:r w:rsidRPr="000E7943">
        <w:rPr>
          <w:rFonts w:eastAsia="MS Mincho" w:cs="Arial"/>
          <w:lang w:val="es-ES_tradnl"/>
        </w:rPr>
        <w:sym w:font="Symbol" w:char="F063"/>
      </w:r>
      <w:r w:rsidRPr="000E7943">
        <w:rPr>
          <w:rFonts w:eastAsia="MS Mincho" w:cs="Arial"/>
          <w:vertAlign w:val="superscript"/>
          <w:lang w:val="es-ES_tradnl"/>
        </w:rPr>
        <w:t>2</w:t>
      </w:r>
      <w:r w:rsidRPr="000E7943">
        <w:rPr>
          <w:rFonts w:cs="Arial"/>
          <w:lang w:val="es-ES_tradnl"/>
        </w:rPr>
        <w:t xml:space="preserve"> se obtengan demasiados resultados significativos cuando la nota dependa de la variación debida al suelo o a otras condiciones de cultivo.</w:t>
      </w:r>
    </w:p>
    <w:p w:rsidR="003E2AE6" w:rsidRPr="00376E1B" w:rsidRDefault="003E2AE6" w:rsidP="004205FD">
      <w:pPr>
        <w:rPr>
          <w:rFonts w:eastAsia="MS Mincho" w:cs="Arial"/>
          <w:lang w:val="es-ES_tradnl"/>
        </w:rPr>
      </w:pPr>
    </w:p>
    <w:p w:rsidR="003E2AE6" w:rsidRPr="00376E1B" w:rsidRDefault="003E2AE6" w:rsidP="004205FD">
      <w:pPr>
        <w:numPr>
          <w:ilvl w:val="0"/>
          <w:numId w:val="5"/>
        </w:numPr>
        <w:ind w:left="714" w:hanging="357"/>
        <w:contextualSpacing/>
        <w:rPr>
          <w:rFonts w:cs="Arial"/>
          <w:lang w:val="es-ES_tradnl"/>
        </w:rPr>
      </w:pPr>
      <w:r w:rsidRPr="000E7943">
        <w:rPr>
          <w:rFonts w:cs="Arial"/>
          <w:lang w:val="es-ES_tradnl"/>
        </w:rPr>
        <w:t>La prueba </w:t>
      </w:r>
      <w:r w:rsidRPr="000E7943">
        <w:rPr>
          <w:rFonts w:eastAsia="MS Mincho" w:cs="Arial"/>
          <w:lang w:val="es-ES_tradnl"/>
        </w:rPr>
        <w:sym w:font="Symbol" w:char="F063"/>
      </w:r>
      <w:r w:rsidRPr="000E7943">
        <w:rPr>
          <w:rFonts w:cs="Arial"/>
          <w:color w:val="008000"/>
          <w:vertAlign w:val="superscript"/>
          <w:lang w:val="es-ES_tradnl"/>
        </w:rPr>
        <w:t>2</w:t>
      </w:r>
      <w:r w:rsidRPr="000E7943">
        <w:rPr>
          <w:rFonts w:cs="Arial"/>
          <w:lang w:val="es-ES_tradnl"/>
        </w:rPr>
        <w:t xml:space="preserve"> no depende de la escala de las mediciones;  en dicha prueba, los datos registrados en una escala nominal reciben el mismo tratamiento que los registrados en una escala ordinal, pues no se tiene en cuenta el orden de las notas en la escala ordinal.</w:t>
      </w:r>
      <w:r w:rsidRPr="00376E1B">
        <w:rPr>
          <w:rFonts w:cs="Arial"/>
          <w:lang w:val="es-ES_tradnl"/>
        </w:rPr>
        <w:t xml:space="preserve">  </w:t>
      </w:r>
      <w:r w:rsidRPr="000E7943">
        <w:rPr>
          <w:rFonts w:cs="Arial"/>
          <w:lang w:val="es-ES_tradnl"/>
        </w:rPr>
        <w:t>En el nuevo método propuesto para caracteres registrados en una escala ordinal sí se tiene en cuenta el orden.</w:t>
      </w:r>
      <w:r w:rsidRPr="00376E1B">
        <w:rPr>
          <w:rFonts w:cs="Arial"/>
          <w:lang w:val="es-ES_tradnl"/>
        </w:rPr>
        <w:t xml:space="preserve">  </w:t>
      </w:r>
      <w:r w:rsidRPr="000E7943">
        <w:rPr>
          <w:rFonts w:cs="Arial"/>
          <w:lang w:val="es-ES_tradnl"/>
        </w:rPr>
        <w:t>Por lo tanto, es previsible que el método propuesto sea más eficaz cuando los datos se hayan registrado en una escala ordinal que cuando se hayan registrado en una escala nominal.</w:t>
      </w:r>
    </w:p>
    <w:p w:rsidR="003E2AE6" w:rsidRPr="00376E1B" w:rsidRDefault="003E2AE6" w:rsidP="004205FD">
      <w:pPr>
        <w:rPr>
          <w:rFonts w:eastAsia="MS Mincho"/>
          <w:lang w:val="es-ES_tradnl"/>
        </w:rPr>
      </w:pPr>
    </w:p>
    <w:p w:rsidR="003E2AE6" w:rsidRPr="00376E1B" w:rsidRDefault="003E2AE6" w:rsidP="004205FD">
      <w:pPr>
        <w:rPr>
          <w:rFonts w:eastAsia="MS Mincho"/>
          <w:lang w:val="es-ES_tradnl"/>
        </w:rPr>
      </w:pPr>
    </w:p>
    <w:p w:rsidR="003E2AE6" w:rsidRPr="00376E1B" w:rsidRDefault="003E2AE6" w:rsidP="004205FD">
      <w:pPr>
        <w:rPr>
          <w:rFonts w:eastAsia="MS Mincho"/>
          <w:u w:val="single"/>
          <w:lang w:val="es-ES_tradnl" w:eastAsia="ja-JP"/>
        </w:rPr>
      </w:pPr>
      <w:r w:rsidRPr="000E7943">
        <w:rPr>
          <w:rFonts w:eastAsia="MS Mincho"/>
          <w:u w:val="single"/>
          <w:lang w:val="es-ES_tradnl" w:eastAsia="ja-JP"/>
        </w:rPr>
        <w:t>Examen</w:t>
      </w:r>
    </w:p>
    <w:p w:rsidR="003E2AE6" w:rsidRPr="00376E1B" w:rsidRDefault="003E2AE6" w:rsidP="004205FD">
      <w:pPr>
        <w:rPr>
          <w:rFonts w:eastAsia="MS Mincho"/>
          <w:lang w:val="es-ES_tradnl"/>
        </w:rPr>
      </w:pPr>
    </w:p>
    <w:p w:rsidR="003E2AE6" w:rsidRPr="00376E1B" w:rsidRDefault="003E2AE6" w:rsidP="004205FD">
      <w:pPr>
        <w:rPr>
          <w:rFonts w:eastAsia="MS Mincho"/>
          <w:lang w:val="es-ES_tradnl"/>
        </w:rPr>
      </w:pPr>
      <w:r w:rsidRPr="000E7943">
        <w:rPr>
          <w:rFonts w:eastAsia="MS Mincho"/>
          <w:lang w:val="es-ES_tradnl"/>
        </w:rPr>
        <w:t>En el caso de datos de distribución multinomial</w:t>
      </w:r>
      <w:r w:rsidRPr="000E7943">
        <w:rPr>
          <w:rFonts w:eastAsia="MS Mincho"/>
          <w:lang w:val="es-ES_tradnl" w:eastAsia="ja-JP"/>
        </w:rPr>
        <w:t xml:space="preserve">, el método más habitual es </w:t>
      </w:r>
      <w:r w:rsidRPr="000E7943">
        <w:rPr>
          <w:rFonts w:cs="Arial"/>
          <w:lang w:val="es-ES_tradnl"/>
        </w:rPr>
        <w:t>la prueba </w:t>
      </w:r>
      <w:r w:rsidRPr="000E7943">
        <w:rPr>
          <w:rFonts w:eastAsia="MS Mincho" w:cs="Arial"/>
          <w:lang w:val="es-ES_tradnl"/>
        </w:rPr>
        <w:sym w:font="Symbol" w:char="F063"/>
      </w:r>
      <w:r w:rsidRPr="000E7943">
        <w:rPr>
          <w:rFonts w:eastAsia="MS Mincho" w:cs="Arial"/>
          <w:vertAlign w:val="superscript"/>
          <w:lang w:val="es-ES_tradnl"/>
        </w:rPr>
        <w:t>2</w:t>
      </w:r>
      <w:r w:rsidRPr="000E7943">
        <w:rPr>
          <w:rFonts w:cs="Arial"/>
          <w:lang w:val="es-ES_tradnl"/>
        </w:rPr>
        <w:t xml:space="preserve"> </w:t>
      </w:r>
      <w:r w:rsidRPr="000E7943">
        <w:rPr>
          <w:rFonts w:eastAsia="MS Mincho"/>
          <w:lang w:val="es-ES_tradnl" w:eastAsia="ja-JP"/>
        </w:rPr>
        <w:t>para determinar la independencia en un cuadro de contingencia</w:t>
      </w:r>
      <w:r w:rsidRPr="000E7943">
        <w:rPr>
          <w:rFonts w:eastAsia="MS Mincho"/>
          <w:lang w:val="es-ES_tradnl"/>
        </w:rPr>
        <w:t>.</w:t>
      </w:r>
      <w:r w:rsidRPr="00376E1B">
        <w:rPr>
          <w:rFonts w:eastAsia="MS Mincho"/>
          <w:lang w:val="es-ES_tradnl"/>
        </w:rPr>
        <w:t xml:space="preserve">  </w:t>
      </w:r>
      <w:r w:rsidRPr="000E7943">
        <w:rPr>
          <w:rFonts w:eastAsia="MS Mincho"/>
          <w:lang w:val="es-ES_tradnl"/>
        </w:rPr>
        <w:t>No obstante, en este método sólo se tiene en cuenta la variación debida al muestreo aleatorio,</w:t>
      </w:r>
      <w:r w:rsidRPr="00376E1B">
        <w:rPr>
          <w:rFonts w:eastAsia="MS Mincho"/>
          <w:lang w:val="es-ES_tradnl"/>
        </w:rPr>
        <w:t xml:space="preserve"> </w:t>
      </w:r>
      <w:r w:rsidRPr="000E7943">
        <w:rPr>
          <w:rFonts w:eastAsia="MS Mincho"/>
          <w:lang w:val="es-ES_tradnl"/>
        </w:rPr>
        <w:t xml:space="preserve">lo que significa que las decisiones relativas a caracteres que dependan de las condiciones de cultivo —como la fertilidad del suelo o el clima— serán demasiado amplias y, por consiguiente, no siempre concordantes con las de </w:t>
      </w:r>
      <w:r>
        <w:rPr>
          <w:rFonts w:eastAsia="MS Mincho"/>
          <w:lang w:val="es-ES_tradnl"/>
        </w:rPr>
        <w:t>otros años</w:t>
      </w:r>
      <w:r w:rsidRPr="000E7943">
        <w:rPr>
          <w:rFonts w:eastAsia="MS Mincho"/>
          <w:lang w:val="es-ES_tradnl"/>
        </w:rPr>
        <w:t>.</w:t>
      </w:r>
      <w:r w:rsidRPr="00376E1B">
        <w:rPr>
          <w:rFonts w:eastAsia="MS Mincho"/>
          <w:lang w:val="es-ES_tradnl"/>
        </w:rPr>
        <w:t xml:space="preserve">  </w:t>
      </w:r>
    </w:p>
    <w:p w:rsidR="003E2AE6" w:rsidRPr="00376E1B" w:rsidRDefault="003E2AE6" w:rsidP="004205FD">
      <w:pPr>
        <w:rPr>
          <w:rFonts w:eastAsia="MS Mincho"/>
          <w:lang w:val="es-ES_tradnl"/>
        </w:rPr>
      </w:pPr>
    </w:p>
    <w:p w:rsidR="003E2AE6" w:rsidRPr="00376E1B" w:rsidRDefault="003E2AE6" w:rsidP="004205FD">
      <w:pPr>
        <w:rPr>
          <w:rFonts w:eastAsia="MS Mincho"/>
          <w:lang w:val="es-ES_tradnl"/>
        </w:rPr>
      </w:pPr>
      <w:r w:rsidRPr="000E7943">
        <w:rPr>
          <w:rFonts w:eastAsia="MS Mincho"/>
          <w:lang w:val="es-ES_tradnl"/>
        </w:rPr>
        <w:t>El método COYD para datos de distribución normal no se puede utilizar con datos de distribución multinomial.</w:t>
      </w:r>
      <w:r w:rsidRPr="00376E1B">
        <w:rPr>
          <w:rFonts w:eastAsia="MS Mincho"/>
          <w:lang w:val="es-ES_tradnl"/>
        </w:rPr>
        <w:t xml:space="preserve">  </w:t>
      </w:r>
      <w:r w:rsidRPr="000E7943">
        <w:rPr>
          <w:rFonts w:eastAsia="MS Mincho"/>
          <w:lang w:val="es-ES_tradnl"/>
        </w:rPr>
        <w:t>Por ello, sería conveniente elaborar un nuevo método mediante el cual se adopten decisiones que concuerden con las de otros años.</w:t>
      </w:r>
      <w:r w:rsidRPr="00376E1B">
        <w:rPr>
          <w:rFonts w:eastAsia="MS Mincho"/>
          <w:lang w:val="es-ES_tradnl"/>
        </w:rPr>
        <w:t xml:space="preserve">  </w:t>
      </w:r>
      <w:r w:rsidRPr="000E7943">
        <w:rPr>
          <w:rFonts w:eastAsia="MS Mincho"/>
          <w:lang w:val="es-ES_tradnl"/>
        </w:rPr>
        <w:t>Este trabajo se ha titulado “Métodos estadísticos aplicados a caracteres observados visualmente” y consta de los siguientes subtítulos</w:t>
      </w:r>
      <w:proofErr w:type="gramStart"/>
      <w:r w:rsidRPr="000E7943">
        <w:rPr>
          <w:rFonts w:eastAsia="MS Mincho"/>
          <w:lang w:val="es-ES_tradnl"/>
        </w:rPr>
        <w:t>:  “</w:t>
      </w:r>
      <w:proofErr w:type="gramEnd"/>
      <w:r w:rsidRPr="000E7943">
        <w:rPr>
          <w:rFonts w:eastAsia="MS Mincho"/>
          <w:lang w:val="es-ES_tradnl"/>
        </w:rPr>
        <w:t>Método combinado interanual para caracteres ordinales”</w:t>
      </w:r>
      <w:r w:rsidR="00327D79">
        <w:rPr>
          <w:rFonts w:eastAsia="MS Mincho"/>
          <w:lang w:val="es-ES_tradnl"/>
        </w:rPr>
        <w:t xml:space="preserve"> “</w:t>
      </w:r>
      <w:r w:rsidRPr="000E7943">
        <w:rPr>
          <w:rFonts w:eastAsia="MS Mincho"/>
          <w:lang w:val="es-ES_tradnl"/>
        </w:rPr>
        <w:t>Método combinado interanual para caracteres nominales” y “Método combinado interanual para caracteres binomiales”, que podrían agruparse bajo el rubro “Método combinado interanual para caracteres multinomiales”.</w:t>
      </w:r>
    </w:p>
    <w:p w:rsidR="003E2AE6" w:rsidRPr="00376E1B" w:rsidRDefault="003E2AE6" w:rsidP="004205FD">
      <w:pPr>
        <w:rPr>
          <w:rFonts w:eastAsia="MS Mincho"/>
          <w:lang w:val="es-ES_tradnl"/>
        </w:rPr>
      </w:pPr>
    </w:p>
    <w:p w:rsidR="003E2AE6" w:rsidRPr="00376E1B" w:rsidRDefault="003E2AE6" w:rsidP="004205FD">
      <w:pPr>
        <w:rPr>
          <w:rFonts w:eastAsia="MS Mincho"/>
          <w:lang w:val="es-ES_tradnl" w:eastAsia="ja-JP"/>
        </w:rPr>
      </w:pPr>
      <w:r w:rsidRPr="000E7943">
        <w:rPr>
          <w:rFonts w:eastAsia="MS Mincho"/>
          <w:lang w:val="es-ES_tradnl"/>
        </w:rPr>
        <w:t xml:space="preserve">Se considera de suma importancia elaborar un método para caracteres observados visualmente que proporcione mejores resultados que la prueba </w:t>
      </w:r>
      <w:r w:rsidRPr="000E7943">
        <w:rPr>
          <w:rFonts w:eastAsia="MS Mincho"/>
          <w:lang w:val="es-ES_tradnl"/>
        </w:rPr>
        <w:sym w:font="Symbol" w:char="F063"/>
      </w:r>
      <w:r w:rsidRPr="000E7943">
        <w:rPr>
          <w:rFonts w:eastAsia="MS Mincho"/>
          <w:vertAlign w:val="superscript"/>
          <w:lang w:val="es-ES_tradnl"/>
        </w:rPr>
        <w:t>2</w:t>
      </w:r>
      <w:r w:rsidRPr="000E7943">
        <w:rPr>
          <w:rFonts w:eastAsia="MS Mincho"/>
          <w:lang w:val="es-ES_tradnl"/>
        </w:rPr>
        <w:t xml:space="preserve"> en cuanto a la concordancia de las conclusiones con las de otros años.</w:t>
      </w:r>
      <w:r w:rsidRPr="00376E1B">
        <w:rPr>
          <w:rFonts w:eastAsia="MS Mincho"/>
          <w:lang w:val="es-ES_tradnl"/>
        </w:rPr>
        <w:t xml:space="preserve"> </w:t>
      </w:r>
    </w:p>
    <w:p w:rsidR="003E2AE6" w:rsidRPr="00376E1B" w:rsidRDefault="003E2AE6" w:rsidP="004205FD">
      <w:pPr>
        <w:rPr>
          <w:rFonts w:eastAsia="MS Mincho"/>
          <w:lang w:val="es-ES_tradnl"/>
        </w:rPr>
      </w:pPr>
    </w:p>
    <w:p w:rsidR="003E2AE6" w:rsidRPr="00376E1B" w:rsidRDefault="003E2AE6" w:rsidP="004205FD">
      <w:pPr>
        <w:rPr>
          <w:rFonts w:eastAsia="MS Mincho"/>
          <w:lang w:val="es-ES_tradnl"/>
        </w:rPr>
      </w:pPr>
    </w:p>
    <w:p w:rsidR="003E2AE6" w:rsidRPr="00376E1B" w:rsidRDefault="003E2AE6" w:rsidP="004205FD">
      <w:pPr>
        <w:rPr>
          <w:rFonts w:eastAsia="MS Mincho"/>
          <w:snapToGrid w:val="0"/>
          <w:lang w:val="es-ES_tradnl"/>
        </w:rPr>
      </w:pPr>
    </w:p>
    <w:p w:rsidR="003E2AE6" w:rsidRPr="00376E1B" w:rsidRDefault="003E2AE6" w:rsidP="00D42D8E">
      <w:pPr>
        <w:jc w:val="right"/>
        <w:rPr>
          <w:lang w:val="es-ES_tradnl"/>
        </w:rPr>
      </w:pPr>
      <w:r w:rsidRPr="00E34112">
        <w:rPr>
          <w:rFonts w:eastAsia="MS Mincho"/>
          <w:snapToGrid w:val="0"/>
          <w:lang w:val="es-ES_tradnl"/>
        </w:rPr>
        <w:t>[Fin del Anexo y del documento]</w:t>
      </w:r>
      <w:bookmarkStart w:id="5" w:name="_GoBack"/>
      <w:bookmarkEnd w:id="5"/>
    </w:p>
    <w:sectPr w:rsidR="003E2AE6" w:rsidRPr="00376E1B" w:rsidSect="00F65A6E">
      <w:headerReference w:type="default" r:id="rId10"/>
      <w:headerReference w:type="first" r:id="rId11"/>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C8A" w:rsidRDefault="00792C8A" w:rsidP="006655D3">
      <w:r>
        <w:separator/>
      </w:r>
    </w:p>
    <w:p w:rsidR="00792C8A" w:rsidRDefault="00792C8A" w:rsidP="006655D3"/>
    <w:p w:rsidR="00792C8A" w:rsidRDefault="00792C8A" w:rsidP="006655D3"/>
  </w:endnote>
  <w:endnote w:type="continuationSeparator" w:id="0">
    <w:p w:rsidR="00792C8A" w:rsidRDefault="00792C8A" w:rsidP="006655D3">
      <w:r>
        <w:separator/>
      </w:r>
    </w:p>
    <w:p w:rsidR="00792C8A" w:rsidRPr="00D86A59" w:rsidRDefault="00792C8A">
      <w:pPr>
        <w:pStyle w:val="Footer"/>
        <w:spacing w:after="60"/>
        <w:rPr>
          <w:sz w:val="18"/>
          <w:lang w:val="fr-CH"/>
        </w:rPr>
      </w:pPr>
      <w:r w:rsidRPr="00D86A59">
        <w:rPr>
          <w:sz w:val="18"/>
          <w:lang w:val="fr-CH"/>
        </w:rPr>
        <w:t>[Suite de la note de la page précédente]</w:t>
      </w:r>
    </w:p>
    <w:p w:rsidR="00792C8A" w:rsidRPr="00D86A59" w:rsidRDefault="00792C8A" w:rsidP="006655D3">
      <w:pPr>
        <w:rPr>
          <w:lang w:val="fr-CH"/>
        </w:rPr>
      </w:pPr>
    </w:p>
    <w:p w:rsidR="00792C8A" w:rsidRPr="00D86A59" w:rsidRDefault="00792C8A" w:rsidP="006655D3">
      <w:pPr>
        <w:rPr>
          <w:lang w:val="fr-CH"/>
        </w:rPr>
      </w:pPr>
    </w:p>
  </w:endnote>
  <w:endnote w:type="continuationNotice" w:id="1">
    <w:p w:rsidR="00792C8A" w:rsidRPr="00D86A59" w:rsidRDefault="00792C8A" w:rsidP="006655D3">
      <w:pPr>
        <w:rPr>
          <w:lang w:val="fr-CH"/>
        </w:rPr>
      </w:pPr>
      <w:r w:rsidRPr="00D86A59">
        <w:rPr>
          <w:lang w:val="fr-CH"/>
        </w:rPr>
        <w:t>[Suite de la note page suivante]</w:t>
      </w:r>
    </w:p>
    <w:p w:rsidR="00792C8A" w:rsidRPr="00D86A59" w:rsidRDefault="00792C8A" w:rsidP="006655D3">
      <w:pPr>
        <w:rPr>
          <w:lang w:val="fr-CH"/>
        </w:rPr>
      </w:pPr>
    </w:p>
    <w:p w:rsidR="00792C8A" w:rsidRPr="00D86A59" w:rsidRDefault="00792C8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C8A" w:rsidRDefault="00792C8A" w:rsidP="006655D3">
      <w:r>
        <w:separator/>
      </w:r>
    </w:p>
  </w:footnote>
  <w:footnote w:type="continuationSeparator" w:id="0">
    <w:p w:rsidR="00792C8A" w:rsidRDefault="00792C8A" w:rsidP="006655D3">
      <w:r>
        <w:separator/>
      </w:r>
    </w:p>
  </w:footnote>
  <w:footnote w:type="continuationNotice" w:id="1">
    <w:p w:rsidR="00792C8A" w:rsidRPr="00AB530F" w:rsidRDefault="00792C8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E1B" w:rsidRDefault="00376E1B" w:rsidP="00376E1B">
    <w:pPr>
      <w:pStyle w:val="Header"/>
      <w:rPr>
        <w:lang w:val="en-US"/>
      </w:rPr>
    </w:pPr>
    <w:r>
      <w:rPr>
        <w:lang w:val="en-US"/>
      </w:rPr>
      <w:t>TC/50/28</w:t>
    </w:r>
  </w:p>
  <w:p w:rsidR="00376E1B" w:rsidRPr="008B30DD" w:rsidRDefault="00376E1B" w:rsidP="00376E1B">
    <w:pPr>
      <w:pStyle w:val="Header"/>
      <w:rPr>
        <w:lang w:val="en-US"/>
      </w:rPr>
    </w:pPr>
    <w:r>
      <w:rPr>
        <w:lang w:val="en-US"/>
      </w:rPr>
      <w:t xml:space="preserve">página </w:t>
    </w:r>
    <w:r w:rsidRPr="008B30DD">
      <w:rPr>
        <w:lang w:val="en-US"/>
      </w:rPr>
      <w:fldChar w:fldCharType="begin"/>
    </w:r>
    <w:r w:rsidRPr="008B30DD">
      <w:rPr>
        <w:lang w:val="en-US"/>
      </w:rPr>
      <w:instrText xml:space="preserve"> PAGE   \* MERGEFORMAT </w:instrText>
    </w:r>
    <w:r w:rsidRPr="008B30DD">
      <w:rPr>
        <w:lang w:val="en-US"/>
      </w:rPr>
      <w:fldChar w:fldCharType="separate"/>
    </w:r>
    <w:r w:rsidR="002832BF">
      <w:rPr>
        <w:noProof/>
        <w:lang w:val="en-US"/>
      </w:rPr>
      <w:t>3</w:t>
    </w:r>
    <w:r w:rsidRPr="008B30DD">
      <w:rPr>
        <w:noProof/>
        <w:lang w:val="en-US"/>
      </w:rPr>
      <w:fldChar w:fldCharType="end"/>
    </w:r>
  </w:p>
  <w:p w:rsidR="00376E1B" w:rsidRDefault="00376E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AE6" w:rsidRPr="00C5280D" w:rsidRDefault="003E2AE6" w:rsidP="00EB048E">
    <w:pPr>
      <w:pStyle w:val="Header"/>
      <w:rPr>
        <w:rStyle w:val="PageNumber"/>
        <w:lang w:val="en-US"/>
      </w:rPr>
    </w:pPr>
    <w:r>
      <w:rPr>
        <w:rStyle w:val="PageNumber"/>
        <w:lang w:val="en-US"/>
      </w:rPr>
      <w:t>TC/50/28</w:t>
    </w:r>
  </w:p>
  <w:p w:rsidR="003E2AE6" w:rsidRPr="00E34112" w:rsidRDefault="003E2AE6" w:rsidP="00EB048E">
    <w:pPr>
      <w:pStyle w:val="Header"/>
      <w:rPr>
        <w:lang w:val="es-ES_tradnl"/>
      </w:rPr>
    </w:pPr>
    <w:r>
      <w:rPr>
        <w:lang w:val="es-ES_tradnl"/>
      </w:rPr>
      <w:t xml:space="preserve">Anexo, </w:t>
    </w:r>
    <w:r w:rsidRPr="00E34112">
      <w:rPr>
        <w:lang w:val="es-ES_tradnl"/>
      </w:rPr>
      <w:t>página</w:t>
    </w:r>
    <w:r>
      <w:rPr>
        <w:lang w:val="es-ES_tradnl"/>
      </w:rPr>
      <w:t xml:space="preserve"> </w:t>
    </w:r>
    <w:r w:rsidRPr="00E34112">
      <w:rPr>
        <w:rStyle w:val="PageNumber"/>
        <w:lang w:val="es-ES_tradnl"/>
      </w:rPr>
      <w:fldChar w:fldCharType="begin"/>
    </w:r>
    <w:r w:rsidRPr="00E34112">
      <w:rPr>
        <w:rStyle w:val="PageNumber"/>
        <w:lang w:val="es-ES_tradnl"/>
      </w:rPr>
      <w:instrText xml:space="preserve"> PAGE </w:instrText>
    </w:r>
    <w:r w:rsidRPr="00E34112">
      <w:rPr>
        <w:rStyle w:val="PageNumber"/>
        <w:lang w:val="es-ES_tradnl"/>
      </w:rPr>
      <w:fldChar w:fldCharType="separate"/>
    </w:r>
    <w:r w:rsidR="002832BF">
      <w:rPr>
        <w:rStyle w:val="PageNumber"/>
        <w:noProof/>
        <w:lang w:val="es-ES_tradnl"/>
      </w:rPr>
      <w:t>2</w:t>
    </w:r>
    <w:r w:rsidRPr="00E34112">
      <w:rPr>
        <w:rStyle w:val="PageNumber"/>
        <w:lang w:val="es-ES_tradnl"/>
      </w:rPr>
      <w:fldChar w:fldCharType="end"/>
    </w:r>
  </w:p>
  <w:p w:rsidR="003E2AE6" w:rsidRPr="00C5280D" w:rsidRDefault="003E2AE6" w:rsidP="00E34112">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A6E" w:rsidRPr="00D42D8E" w:rsidRDefault="00F65A6E" w:rsidP="00376E1B">
    <w:pPr>
      <w:pStyle w:val="Header"/>
      <w:rPr>
        <w:rStyle w:val="PageNumber"/>
        <w:lang w:val="es-ES_tradnl"/>
      </w:rPr>
    </w:pPr>
    <w:r w:rsidRPr="00D42D8E">
      <w:rPr>
        <w:rStyle w:val="PageNumber"/>
        <w:lang w:val="es-ES_tradnl"/>
      </w:rPr>
      <w:t>TC/50/28</w:t>
    </w:r>
  </w:p>
  <w:p w:rsidR="00F65A6E" w:rsidRPr="00D42D8E" w:rsidRDefault="00F65A6E" w:rsidP="00376E1B">
    <w:pPr>
      <w:pStyle w:val="Header"/>
      <w:rPr>
        <w:rStyle w:val="PageNumber"/>
        <w:lang w:val="es-ES_tradnl"/>
      </w:rPr>
    </w:pPr>
  </w:p>
  <w:p w:rsidR="00F65A6E" w:rsidRPr="00D42D8E" w:rsidRDefault="00F65A6E" w:rsidP="00376E1B">
    <w:pPr>
      <w:pStyle w:val="Header"/>
      <w:rPr>
        <w:rStyle w:val="PageNumber"/>
        <w:lang w:val="es-ES_tradnl"/>
      </w:rPr>
    </w:pPr>
    <w:r w:rsidRPr="00D42D8E">
      <w:rPr>
        <w:rStyle w:val="PageNumber"/>
        <w:lang w:val="es-ES_tradnl"/>
      </w:rPr>
      <w:t>ANEXO</w:t>
    </w:r>
  </w:p>
  <w:p w:rsidR="00F65A6E" w:rsidRPr="00D42D8E" w:rsidRDefault="00F65A6E">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24CBC"/>
    <w:multiLevelType w:val="hybridMultilevel"/>
    <w:tmpl w:val="D7103B90"/>
    <w:lvl w:ilvl="0" w:tplc="92C620DA">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2">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36C93"/>
    <w:multiLevelType w:val="hybridMultilevel"/>
    <w:tmpl w:val="826A7C8E"/>
    <w:lvl w:ilvl="0" w:tplc="C338C8F2">
      <w:start w:val="1"/>
      <w:numFmt w:val="lowerLetter"/>
      <w:lvlText w:val="%1)"/>
      <w:lvlJc w:val="left"/>
      <w:pPr>
        <w:ind w:left="5840" w:hanging="360"/>
      </w:pPr>
      <w:rPr>
        <w:rFonts w:cs="Times New Roman" w:hint="default"/>
      </w:rPr>
    </w:lvl>
    <w:lvl w:ilvl="1" w:tplc="04090019" w:tentative="1">
      <w:start w:val="1"/>
      <w:numFmt w:val="lowerLetter"/>
      <w:lvlText w:val="%2."/>
      <w:lvlJc w:val="left"/>
      <w:pPr>
        <w:ind w:left="6560" w:hanging="360"/>
      </w:pPr>
      <w:rPr>
        <w:rFonts w:cs="Times New Roman"/>
      </w:rPr>
    </w:lvl>
    <w:lvl w:ilvl="2" w:tplc="0409001B" w:tentative="1">
      <w:start w:val="1"/>
      <w:numFmt w:val="lowerRoman"/>
      <w:lvlText w:val="%3."/>
      <w:lvlJc w:val="right"/>
      <w:pPr>
        <w:ind w:left="7280" w:hanging="180"/>
      </w:pPr>
      <w:rPr>
        <w:rFonts w:cs="Times New Roman"/>
      </w:rPr>
    </w:lvl>
    <w:lvl w:ilvl="3" w:tplc="0409000F" w:tentative="1">
      <w:start w:val="1"/>
      <w:numFmt w:val="decimal"/>
      <w:lvlText w:val="%4."/>
      <w:lvlJc w:val="left"/>
      <w:pPr>
        <w:ind w:left="8000" w:hanging="360"/>
      </w:pPr>
      <w:rPr>
        <w:rFonts w:cs="Times New Roman"/>
      </w:rPr>
    </w:lvl>
    <w:lvl w:ilvl="4" w:tplc="04090019" w:tentative="1">
      <w:start w:val="1"/>
      <w:numFmt w:val="lowerLetter"/>
      <w:lvlText w:val="%5."/>
      <w:lvlJc w:val="left"/>
      <w:pPr>
        <w:ind w:left="8720" w:hanging="360"/>
      </w:pPr>
      <w:rPr>
        <w:rFonts w:cs="Times New Roman"/>
      </w:rPr>
    </w:lvl>
    <w:lvl w:ilvl="5" w:tplc="0409001B" w:tentative="1">
      <w:start w:val="1"/>
      <w:numFmt w:val="lowerRoman"/>
      <w:lvlText w:val="%6."/>
      <w:lvlJc w:val="right"/>
      <w:pPr>
        <w:ind w:left="9440" w:hanging="180"/>
      </w:pPr>
      <w:rPr>
        <w:rFonts w:cs="Times New Roman"/>
      </w:rPr>
    </w:lvl>
    <w:lvl w:ilvl="6" w:tplc="0409000F" w:tentative="1">
      <w:start w:val="1"/>
      <w:numFmt w:val="decimal"/>
      <w:lvlText w:val="%7."/>
      <w:lvlJc w:val="left"/>
      <w:pPr>
        <w:ind w:left="10160" w:hanging="360"/>
      </w:pPr>
      <w:rPr>
        <w:rFonts w:cs="Times New Roman"/>
      </w:rPr>
    </w:lvl>
    <w:lvl w:ilvl="7" w:tplc="04090019" w:tentative="1">
      <w:start w:val="1"/>
      <w:numFmt w:val="lowerLetter"/>
      <w:lvlText w:val="%8."/>
      <w:lvlJc w:val="left"/>
      <w:pPr>
        <w:ind w:left="10880" w:hanging="360"/>
      </w:pPr>
      <w:rPr>
        <w:rFonts w:cs="Times New Roman"/>
      </w:rPr>
    </w:lvl>
    <w:lvl w:ilvl="8" w:tplc="0409001B" w:tentative="1">
      <w:start w:val="1"/>
      <w:numFmt w:val="lowerRoman"/>
      <w:lvlText w:val="%9."/>
      <w:lvlJc w:val="right"/>
      <w:pPr>
        <w:ind w:left="11600" w:hanging="180"/>
      </w:pPr>
      <w:rPr>
        <w:rFonts w:cs="Times New Roman"/>
      </w:rPr>
    </w:lvl>
  </w:abstractNum>
  <w:abstractNum w:abstractNumId="4">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D7921"/>
    <w:multiLevelType w:val="hybridMultilevel"/>
    <w:tmpl w:val="99828420"/>
    <w:lvl w:ilvl="0" w:tplc="08BA1A84">
      <w:start w:val="1"/>
      <w:numFmt w:val="lowerLetter"/>
      <w:lvlText w:val="%1)"/>
      <w:lvlJc w:val="left"/>
      <w:pPr>
        <w:ind w:left="5747" w:hanging="360"/>
      </w:pPr>
      <w:rPr>
        <w:rFonts w:cs="Times New Roman" w:hint="default"/>
      </w:rPr>
    </w:lvl>
    <w:lvl w:ilvl="1" w:tplc="04090019" w:tentative="1">
      <w:start w:val="1"/>
      <w:numFmt w:val="lowerLetter"/>
      <w:lvlText w:val="%2."/>
      <w:lvlJc w:val="left"/>
      <w:pPr>
        <w:ind w:left="6467" w:hanging="360"/>
      </w:pPr>
      <w:rPr>
        <w:rFonts w:cs="Times New Roman"/>
      </w:rPr>
    </w:lvl>
    <w:lvl w:ilvl="2" w:tplc="0409001B" w:tentative="1">
      <w:start w:val="1"/>
      <w:numFmt w:val="lowerRoman"/>
      <w:lvlText w:val="%3."/>
      <w:lvlJc w:val="right"/>
      <w:pPr>
        <w:ind w:left="7187" w:hanging="180"/>
      </w:pPr>
      <w:rPr>
        <w:rFonts w:cs="Times New Roman"/>
      </w:rPr>
    </w:lvl>
    <w:lvl w:ilvl="3" w:tplc="0409000F" w:tentative="1">
      <w:start w:val="1"/>
      <w:numFmt w:val="decimal"/>
      <w:lvlText w:val="%4."/>
      <w:lvlJc w:val="left"/>
      <w:pPr>
        <w:ind w:left="7907" w:hanging="360"/>
      </w:pPr>
      <w:rPr>
        <w:rFonts w:cs="Times New Roman"/>
      </w:rPr>
    </w:lvl>
    <w:lvl w:ilvl="4" w:tplc="04090019" w:tentative="1">
      <w:start w:val="1"/>
      <w:numFmt w:val="lowerLetter"/>
      <w:lvlText w:val="%5."/>
      <w:lvlJc w:val="left"/>
      <w:pPr>
        <w:ind w:left="8627" w:hanging="360"/>
      </w:pPr>
      <w:rPr>
        <w:rFonts w:cs="Times New Roman"/>
      </w:rPr>
    </w:lvl>
    <w:lvl w:ilvl="5" w:tplc="0409001B" w:tentative="1">
      <w:start w:val="1"/>
      <w:numFmt w:val="lowerRoman"/>
      <w:lvlText w:val="%6."/>
      <w:lvlJc w:val="right"/>
      <w:pPr>
        <w:ind w:left="9347" w:hanging="180"/>
      </w:pPr>
      <w:rPr>
        <w:rFonts w:cs="Times New Roman"/>
      </w:rPr>
    </w:lvl>
    <w:lvl w:ilvl="6" w:tplc="0409000F" w:tentative="1">
      <w:start w:val="1"/>
      <w:numFmt w:val="decimal"/>
      <w:lvlText w:val="%7."/>
      <w:lvlJc w:val="left"/>
      <w:pPr>
        <w:ind w:left="10067" w:hanging="360"/>
      </w:pPr>
      <w:rPr>
        <w:rFonts w:cs="Times New Roman"/>
      </w:rPr>
    </w:lvl>
    <w:lvl w:ilvl="7" w:tplc="04090019" w:tentative="1">
      <w:start w:val="1"/>
      <w:numFmt w:val="lowerLetter"/>
      <w:lvlText w:val="%8."/>
      <w:lvlJc w:val="left"/>
      <w:pPr>
        <w:ind w:left="10787" w:hanging="360"/>
      </w:pPr>
      <w:rPr>
        <w:rFonts w:cs="Times New Roman"/>
      </w:rPr>
    </w:lvl>
    <w:lvl w:ilvl="8" w:tplc="0409001B" w:tentative="1">
      <w:start w:val="1"/>
      <w:numFmt w:val="lowerRoman"/>
      <w:lvlText w:val="%9."/>
      <w:lvlJc w:val="right"/>
      <w:pPr>
        <w:ind w:left="11507" w:hanging="180"/>
      </w:pPr>
      <w:rPr>
        <w:rFonts w:cs="Times New Roman"/>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36"/>
  </w:docVars>
  <w:rsids>
    <w:rsidRoot w:val="001D5484"/>
    <w:rsid w:val="00003F6D"/>
    <w:rsid w:val="00007709"/>
    <w:rsid w:val="0000793D"/>
    <w:rsid w:val="00010CF3"/>
    <w:rsid w:val="00011E27"/>
    <w:rsid w:val="000148BC"/>
    <w:rsid w:val="00024AB8"/>
    <w:rsid w:val="00030854"/>
    <w:rsid w:val="00036028"/>
    <w:rsid w:val="00044642"/>
    <w:rsid w:val="000446B9"/>
    <w:rsid w:val="00047E21"/>
    <w:rsid w:val="00050E16"/>
    <w:rsid w:val="00053C3F"/>
    <w:rsid w:val="000674CD"/>
    <w:rsid w:val="00083CA4"/>
    <w:rsid w:val="00085505"/>
    <w:rsid w:val="000C7021"/>
    <w:rsid w:val="000D6BBC"/>
    <w:rsid w:val="000D7780"/>
    <w:rsid w:val="000E7943"/>
    <w:rsid w:val="000F2F11"/>
    <w:rsid w:val="000F6910"/>
    <w:rsid w:val="00105929"/>
    <w:rsid w:val="001131D5"/>
    <w:rsid w:val="00141DB8"/>
    <w:rsid w:val="00150D74"/>
    <w:rsid w:val="0017474A"/>
    <w:rsid w:val="001758C6"/>
    <w:rsid w:val="00182B99"/>
    <w:rsid w:val="00192206"/>
    <w:rsid w:val="001B4658"/>
    <w:rsid w:val="001D5484"/>
    <w:rsid w:val="001D7A83"/>
    <w:rsid w:val="0021332C"/>
    <w:rsid w:val="00213982"/>
    <w:rsid w:val="0024416D"/>
    <w:rsid w:val="00244610"/>
    <w:rsid w:val="002645A4"/>
    <w:rsid w:val="00270A46"/>
    <w:rsid w:val="00271911"/>
    <w:rsid w:val="002800A0"/>
    <w:rsid w:val="002801B3"/>
    <w:rsid w:val="00281060"/>
    <w:rsid w:val="002832BF"/>
    <w:rsid w:val="002940E8"/>
    <w:rsid w:val="002A6E50"/>
    <w:rsid w:val="002C256A"/>
    <w:rsid w:val="002F28D9"/>
    <w:rsid w:val="003040B4"/>
    <w:rsid w:val="00305A7F"/>
    <w:rsid w:val="003152FE"/>
    <w:rsid w:val="00327436"/>
    <w:rsid w:val="00327D79"/>
    <w:rsid w:val="00344BD6"/>
    <w:rsid w:val="0035528D"/>
    <w:rsid w:val="00361821"/>
    <w:rsid w:val="00373634"/>
    <w:rsid w:val="00376E1B"/>
    <w:rsid w:val="003954CF"/>
    <w:rsid w:val="003A54EA"/>
    <w:rsid w:val="003B3172"/>
    <w:rsid w:val="003D227C"/>
    <w:rsid w:val="003D2B4D"/>
    <w:rsid w:val="003D737E"/>
    <w:rsid w:val="003E2AE6"/>
    <w:rsid w:val="004112FB"/>
    <w:rsid w:val="004205FD"/>
    <w:rsid w:val="00423D3A"/>
    <w:rsid w:val="004401D7"/>
    <w:rsid w:val="00442457"/>
    <w:rsid w:val="00444A88"/>
    <w:rsid w:val="004621E9"/>
    <w:rsid w:val="00467275"/>
    <w:rsid w:val="00474DA4"/>
    <w:rsid w:val="00476B4D"/>
    <w:rsid w:val="004805FA"/>
    <w:rsid w:val="004A282A"/>
    <w:rsid w:val="004D047D"/>
    <w:rsid w:val="004F305A"/>
    <w:rsid w:val="004F3229"/>
    <w:rsid w:val="00512164"/>
    <w:rsid w:val="00520297"/>
    <w:rsid w:val="005338F9"/>
    <w:rsid w:val="0054281C"/>
    <w:rsid w:val="0055268D"/>
    <w:rsid w:val="00576BE4"/>
    <w:rsid w:val="005A400A"/>
    <w:rsid w:val="005B48FA"/>
    <w:rsid w:val="0060131D"/>
    <w:rsid w:val="00612379"/>
    <w:rsid w:val="0061555F"/>
    <w:rsid w:val="00641200"/>
    <w:rsid w:val="006655D3"/>
    <w:rsid w:val="00667404"/>
    <w:rsid w:val="00667BCE"/>
    <w:rsid w:val="00687EB4"/>
    <w:rsid w:val="0069780F"/>
    <w:rsid w:val="006B17D2"/>
    <w:rsid w:val="006C224E"/>
    <w:rsid w:val="006D68CB"/>
    <w:rsid w:val="006D780A"/>
    <w:rsid w:val="00705196"/>
    <w:rsid w:val="00732DEC"/>
    <w:rsid w:val="00735BD5"/>
    <w:rsid w:val="00741F38"/>
    <w:rsid w:val="007556F6"/>
    <w:rsid w:val="00760EEF"/>
    <w:rsid w:val="00777EE5"/>
    <w:rsid w:val="00784836"/>
    <w:rsid w:val="00786675"/>
    <w:rsid w:val="0079023E"/>
    <w:rsid w:val="00792C8A"/>
    <w:rsid w:val="007A2854"/>
    <w:rsid w:val="007C1A12"/>
    <w:rsid w:val="007C3C24"/>
    <w:rsid w:val="007D0B9D"/>
    <w:rsid w:val="007D19B0"/>
    <w:rsid w:val="007E44D0"/>
    <w:rsid w:val="007F498F"/>
    <w:rsid w:val="0080679D"/>
    <w:rsid w:val="008108B0"/>
    <w:rsid w:val="00811B20"/>
    <w:rsid w:val="0082296E"/>
    <w:rsid w:val="00824099"/>
    <w:rsid w:val="00825B3A"/>
    <w:rsid w:val="008574D4"/>
    <w:rsid w:val="008661CB"/>
    <w:rsid w:val="00867AC1"/>
    <w:rsid w:val="008A743F"/>
    <w:rsid w:val="008B30DD"/>
    <w:rsid w:val="008C0970"/>
    <w:rsid w:val="008D2CF7"/>
    <w:rsid w:val="00900C26"/>
    <w:rsid w:val="0090197F"/>
    <w:rsid w:val="00906DDC"/>
    <w:rsid w:val="009269FB"/>
    <w:rsid w:val="00934E09"/>
    <w:rsid w:val="00936253"/>
    <w:rsid w:val="00952DD4"/>
    <w:rsid w:val="00970FED"/>
    <w:rsid w:val="009927EA"/>
    <w:rsid w:val="00992D82"/>
    <w:rsid w:val="00997029"/>
    <w:rsid w:val="009D690D"/>
    <w:rsid w:val="009E65B6"/>
    <w:rsid w:val="009E7B9C"/>
    <w:rsid w:val="009F43E1"/>
    <w:rsid w:val="00A24C10"/>
    <w:rsid w:val="00A40F9E"/>
    <w:rsid w:val="00A42AC3"/>
    <w:rsid w:val="00A430CF"/>
    <w:rsid w:val="00A54309"/>
    <w:rsid w:val="00A54337"/>
    <w:rsid w:val="00AB2B93"/>
    <w:rsid w:val="00AB306F"/>
    <w:rsid w:val="00AB530F"/>
    <w:rsid w:val="00AB7E5B"/>
    <w:rsid w:val="00AE0EF1"/>
    <w:rsid w:val="00AE2937"/>
    <w:rsid w:val="00AF0D91"/>
    <w:rsid w:val="00AF38AC"/>
    <w:rsid w:val="00B001C1"/>
    <w:rsid w:val="00B07301"/>
    <w:rsid w:val="00B224DE"/>
    <w:rsid w:val="00B46575"/>
    <w:rsid w:val="00B562F3"/>
    <w:rsid w:val="00B6446E"/>
    <w:rsid w:val="00B8057F"/>
    <w:rsid w:val="00B84BBD"/>
    <w:rsid w:val="00B85A3E"/>
    <w:rsid w:val="00B97F6F"/>
    <w:rsid w:val="00BA337F"/>
    <w:rsid w:val="00BA43FB"/>
    <w:rsid w:val="00BC127D"/>
    <w:rsid w:val="00BC1FE6"/>
    <w:rsid w:val="00BC44F2"/>
    <w:rsid w:val="00C02B81"/>
    <w:rsid w:val="00C061B6"/>
    <w:rsid w:val="00C10E47"/>
    <w:rsid w:val="00C15A72"/>
    <w:rsid w:val="00C2446C"/>
    <w:rsid w:val="00C36AE5"/>
    <w:rsid w:val="00C41F17"/>
    <w:rsid w:val="00C5280D"/>
    <w:rsid w:val="00C5791C"/>
    <w:rsid w:val="00C66290"/>
    <w:rsid w:val="00C72B7A"/>
    <w:rsid w:val="00C973F2"/>
    <w:rsid w:val="00CA304C"/>
    <w:rsid w:val="00CA774A"/>
    <w:rsid w:val="00CC11B0"/>
    <w:rsid w:val="00CF7E36"/>
    <w:rsid w:val="00D17FAF"/>
    <w:rsid w:val="00D32CFF"/>
    <w:rsid w:val="00D36041"/>
    <w:rsid w:val="00D3708D"/>
    <w:rsid w:val="00D40426"/>
    <w:rsid w:val="00D42D8E"/>
    <w:rsid w:val="00D45F66"/>
    <w:rsid w:val="00D509DA"/>
    <w:rsid w:val="00D57C96"/>
    <w:rsid w:val="00D57D33"/>
    <w:rsid w:val="00D830C0"/>
    <w:rsid w:val="00D86A59"/>
    <w:rsid w:val="00D91203"/>
    <w:rsid w:val="00D912E8"/>
    <w:rsid w:val="00D95174"/>
    <w:rsid w:val="00DA6F36"/>
    <w:rsid w:val="00DB596E"/>
    <w:rsid w:val="00DB7773"/>
    <w:rsid w:val="00DC00EA"/>
    <w:rsid w:val="00DD0F12"/>
    <w:rsid w:val="00E21D04"/>
    <w:rsid w:val="00E300E5"/>
    <w:rsid w:val="00E313BB"/>
    <w:rsid w:val="00E32F7E"/>
    <w:rsid w:val="00E34112"/>
    <w:rsid w:val="00E72D49"/>
    <w:rsid w:val="00E7593C"/>
    <w:rsid w:val="00E7678A"/>
    <w:rsid w:val="00E86FD5"/>
    <w:rsid w:val="00E935F1"/>
    <w:rsid w:val="00E94A81"/>
    <w:rsid w:val="00EA1FFB"/>
    <w:rsid w:val="00EB048E"/>
    <w:rsid w:val="00EE34DF"/>
    <w:rsid w:val="00EF2F89"/>
    <w:rsid w:val="00EF3098"/>
    <w:rsid w:val="00F1237A"/>
    <w:rsid w:val="00F16D6A"/>
    <w:rsid w:val="00F22CBD"/>
    <w:rsid w:val="00F45372"/>
    <w:rsid w:val="00F4748C"/>
    <w:rsid w:val="00F560F7"/>
    <w:rsid w:val="00F6334D"/>
    <w:rsid w:val="00F65A6E"/>
    <w:rsid w:val="00F941A2"/>
    <w:rsid w:val="00F965D5"/>
    <w:rsid w:val="00FA49AB"/>
    <w:rsid w:val="00FD5E9B"/>
    <w:rsid w:val="00FE39C7"/>
  </w:rsids>
  <m:mathPr>
    <m:mathFont m:val="Cambria Math"/>
    <m:brkBin m:val="before"/>
    <m:brkBinSub m:val="--"/>
    <m:smallFrac m:val="0"/>
    <m:dispDef/>
    <m:lMargin m:val="0"/>
    <m:rMargin m:val="0"/>
    <m:defJc m:val="centerGroup"/>
    <m:wrapIndent m:val="1440"/>
    <m:intLim m:val="subSup"/>
    <m:naryLim m:val="undOvr"/>
  </m:mathPr>
  <w:themeFontLang w:val="es-ES_tradn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057F"/>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B8057F"/>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B8057F"/>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B8057F"/>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B8057F"/>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B8057F"/>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D86A59"/>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B8057F"/>
    <w:rPr>
      <w:rFonts w:ascii="Arial" w:hAnsi="Arial" w:cs="Times New Roman"/>
      <w:sz w:val="20"/>
      <w:szCs w:val="20"/>
      <w:lang w:val="en-US" w:eastAsia="en-US"/>
    </w:rPr>
  </w:style>
  <w:style w:type="character" w:styleId="PageNumber">
    <w:name w:val="page number"/>
    <w:basedOn w:val="DefaultParagraphFont"/>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B8057F"/>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B8057F"/>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B8057F"/>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B8057F"/>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B8057F"/>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B8057F"/>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B8057F"/>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B8057F"/>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D86A59"/>
    <w:pPr>
      <w:tabs>
        <w:tab w:val="right" w:leader="dot" w:pos="9639"/>
      </w:tabs>
      <w:contextualSpacing/>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styleId="ListParagraph">
    <w:name w:val="List Paragraph"/>
    <w:basedOn w:val="Normal"/>
    <w:uiPriority w:val="99"/>
    <w:qFormat/>
    <w:rsid w:val="00420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057F"/>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B8057F"/>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B8057F"/>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B8057F"/>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B8057F"/>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B8057F"/>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D86A59"/>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B8057F"/>
    <w:rPr>
      <w:rFonts w:ascii="Arial" w:hAnsi="Arial" w:cs="Times New Roman"/>
      <w:sz w:val="20"/>
      <w:szCs w:val="20"/>
      <w:lang w:val="en-US" w:eastAsia="en-US"/>
    </w:rPr>
  </w:style>
  <w:style w:type="character" w:styleId="PageNumber">
    <w:name w:val="page number"/>
    <w:basedOn w:val="DefaultParagraphFont"/>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B8057F"/>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B8057F"/>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B8057F"/>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B8057F"/>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B8057F"/>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B8057F"/>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B8057F"/>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B8057F"/>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semiHidden/>
    <w:rsid w:val="00D86A59"/>
    <w:pPr>
      <w:tabs>
        <w:tab w:val="right" w:leader="dot" w:pos="9639"/>
      </w:tabs>
      <w:contextualSpacing/>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styleId="ListParagraph">
    <w:name w:val="List Paragraph"/>
    <w:basedOn w:val="Normal"/>
    <w:uiPriority w:val="99"/>
    <w:qFormat/>
    <w:rsid w:val="00420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2231</Words>
  <Characters>12040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SANCHEZ-VIZCAINO GOMEZ Rosa Maria</cp:lastModifiedBy>
  <cp:revision>5</cp:revision>
  <cp:lastPrinted>2014-02-13T15:24:00Z</cp:lastPrinted>
  <dcterms:created xsi:type="dcterms:W3CDTF">2014-02-11T07:39:00Z</dcterms:created>
  <dcterms:modified xsi:type="dcterms:W3CDTF">2014-02-13T15:24:00Z</dcterms:modified>
</cp:coreProperties>
</file>