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A0ABE" w:rsidTr="00C13808">
        <w:trPr>
          <w:trHeight w:val="1760"/>
        </w:trPr>
        <w:tc>
          <w:tcPr>
            <w:tcW w:w="4243" w:type="dxa"/>
          </w:tcPr>
          <w:p w:rsidR="000D7780" w:rsidRPr="007A0ABE" w:rsidRDefault="000D7780" w:rsidP="00F45372"/>
        </w:tc>
        <w:tc>
          <w:tcPr>
            <w:tcW w:w="1646" w:type="dxa"/>
            <w:vAlign w:val="center"/>
          </w:tcPr>
          <w:p w:rsidR="000D7780" w:rsidRPr="00CD7B71" w:rsidRDefault="00CD7B71" w:rsidP="00F45372">
            <w:pPr>
              <w:pStyle w:val="LogoUPOV"/>
            </w:pPr>
            <w:r>
              <w:rPr>
                <w:noProof/>
              </w:rPr>
              <w:drawing>
                <wp:inline distT="0" distB="0" distL="0" distR="0" wp14:anchorId="7AD5D43B" wp14:editId="783BDA0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D7B71" w:rsidRDefault="00A47CDB" w:rsidP="00F45372">
            <w:pPr>
              <w:pStyle w:val="Lettrine"/>
            </w:pPr>
            <w:r w:rsidRPr="00CD7B71">
              <w:t>S</w:t>
            </w:r>
          </w:p>
          <w:p w:rsidR="000D7780" w:rsidRPr="00CD7B71" w:rsidRDefault="008A1693" w:rsidP="00F45372">
            <w:pPr>
              <w:pStyle w:val="Docoriginal"/>
            </w:pPr>
            <w:r w:rsidRPr="00CD7B71">
              <w:t>TC/</w:t>
            </w:r>
            <w:r w:rsidR="007F4BB2" w:rsidRPr="00CD7B71">
              <w:t>50</w:t>
            </w:r>
            <w:r w:rsidRPr="00CD7B71">
              <w:t>/</w:t>
            </w:r>
            <w:bookmarkStart w:id="0" w:name="Code"/>
            <w:bookmarkEnd w:id="0"/>
            <w:r w:rsidR="00696212" w:rsidRPr="00CD7B71">
              <w:t>24</w:t>
            </w:r>
          </w:p>
          <w:p w:rsidR="000D7780" w:rsidRPr="00CD7B71" w:rsidRDefault="0061555F" w:rsidP="00F45372">
            <w:pPr>
              <w:pStyle w:val="Docoriginal"/>
              <w:rPr>
                <w:b w:val="0"/>
                <w:spacing w:val="0"/>
              </w:rPr>
            </w:pPr>
            <w:r w:rsidRPr="00CD7B71">
              <w:rPr>
                <w:rStyle w:val="StyleDoclangBold"/>
                <w:b/>
                <w:bCs/>
                <w:spacing w:val="0"/>
                <w:lang w:val="es-ES"/>
              </w:rPr>
              <w:t>ORIGINAL</w:t>
            </w:r>
            <w:r w:rsidR="000D7780" w:rsidRPr="00CD7B71">
              <w:rPr>
                <w:rStyle w:val="StyleDoclangBold"/>
                <w:b/>
                <w:bCs/>
                <w:spacing w:val="0"/>
                <w:lang w:val="es-ES"/>
              </w:rPr>
              <w:t>:</w:t>
            </w:r>
            <w:r w:rsidRPr="00CD7B71">
              <w:rPr>
                <w:rStyle w:val="StyleDocoriginalNotBold1"/>
                <w:spacing w:val="0"/>
                <w:lang w:val="es-ES"/>
              </w:rPr>
              <w:t xml:space="preserve"> </w:t>
            </w:r>
            <w:r w:rsidR="000D7780" w:rsidRPr="00CD7B71">
              <w:rPr>
                <w:rStyle w:val="StyleDocoriginalNotBold1"/>
                <w:spacing w:val="0"/>
                <w:lang w:val="es-ES"/>
              </w:rPr>
              <w:t xml:space="preserve"> </w:t>
            </w:r>
            <w:bookmarkStart w:id="1" w:name="Original"/>
            <w:bookmarkEnd w:id="1"/>
            <w:r w:rsidR="00A47CDB" w:rsidRPr="00CD7B71">
              <w:rPr>
                <w:b w:val="0"/>
                <w:spacing w:val="0"/>
              </w:rPr>
              <w:t>Inglés</w:t>
            </w:r>
          </w:p>
          <w:p w:rsidR="000D7780" w:rsidRPr="007A0ABE" w:rsidRDefault="00A47CDB" w:rsidP="00696212">
            <w:pPr>
              <w:pStyle w:val="Docoriginal"/>
            </w:pPr>
            <w:r w:rsidRPr="00CD7B71">
              <w:rPr>
                <w:spacing w:val="0"/>
              </w:rPr>
              <w:t>FECHA</w:t>
            </w:r>
            <w:r w:rsidR="000D7780" w:rsidRPr="00CD7B71">
              <w:rPr>
                <w:spacing w:val="0"/>
              </w:rPr>
              <w:t>:</w:t>
            </w:r>
            <w:r w:rsidR="0061555F" w:rsidRPr="00CD7B71">
              <w:rPr>
                <w:b w:val="0"/>
                <w:spacing w:val="0"/>
              </w:rPr>
              <w:t xml:space="preserve"> </w:t>
            </w:r>
            <w:r w:rsidR="000D7780" w:rsidRPr="00CD7B71">
              <w:rPr>
                <w:rStyle w:val="StyleDocoriginalNotBold1"/>
                <w:spacing w:val="0"/>
                <w:lang w:val="es-ES"/>
              </w:rPr>
              <w:t xml:space="preserve"> </w:t>
            </w:r>
            <w:bookmarkStart w:id="2" w:name="Date"/>
            <w:bookmarkEnd w:id="2"/>
            <w:r w:rsidR="00CD7B71" w:rsidRPr="00CD7B71">
              <w:rPr>
                <w:rStyle w:val="StyleDocoriginalNotBold1"/>
                <w:spacing w:val="0"/>
                <w:lang w:val="es-ES"/>
              </w:rPr>
              <w:t>30</w:t>
            </w:r>
            <w:r w:rsidRPr="00CD7B71">
              <w:rPr>
                <w:b w:val="0"/>
                <w:spacing w:val="0"/>
              </w:rPr>
              <w:t xml:space="preserve"> de </w:t>
            </w:r>
            <w:r w:rsidR="00696212" w:rsidRPr="00CD7B71">
              <w:rPr>
                <w:b w:val="0"/>
                <w:spacing w:val="0"/>
              </w:rPr>
              <w:t>enero</w:t>
            </w:r>
            <w:r w:rsidR="00905020" w:rsidRPr="00CD7B71">
              <w:rPr>
                <w:b w:val="0"/>
                <w:spacing w:val="0"/>
              </w:rPr>
              <w:t xml:space="preserve"> </w:t>
            </w:r>
            <w:r w:rsidRPr="00CD7B71">
              <w:rPr>
                <w:b w:val="0"/>
                <w:spacing w:val="0"/>
              </w:rPr>
              <w:t xml:space="preserve">de </w:t>
            </w:r>
            <w:r w:rsidR="001131D5" w:rsidRPr="00CD7B71">
              <w:rPr>
                <w:b w:val="0"/>
                <w:spacing w:val="0"/>
              </w:rPr>
              <w:t>201</w:t>
            </w:r>
            <w:r w:rsidR="007F4BB2" w:rsidRPr="00CD7B71">
              <w:rPr>
                <w:b w:val="0"/>
                <w:spacing w:val="0"/>
              </w:rPr>
              <w:t>4</w:t>
            </w:r>
          </w:p>
        </w:tc>
      </w:tr>
      <w:tr w:rsidR="000D7780" w:rsidRPr="007A0ABE" w:rsidTr="00C13808">
        <w:tc>
          <w:tcPr>
            <w:tcW w:w="10131" w:type="dxa"/>
            <w:gridSpan w:val="3"/>
          </w:tcPr>
          <w:p w:rsidR="000D7780" w:rsidRPr="007A0ABE" w:rsidRDefault="00A47CDB" w:rsidP="00F45372">
            <w:pPr>
              <w:pStyle w:val="upove"/>
              <w:rPr>
                <w:sz w:val="28"/>
              </w:rPr>
            </w:pPr>
            <w:r w:rsidRPr="007A0ABE">
              <w:rPr>
                <w:spacing w:val="2"/>
              </w:rPr>
              <w:t>UNIÓN INTERNACIONAL PARA LA PROTECCIÓN DE LAS OBTENCIONES VEGETALES</w:t>
            </w:r>
          </w:p>
        </w:tc>
      </w:tr>
      <w:tr w:rsidR="000D7780" w:rsidRPr="007A0ABE" w:rsidTr="00C13808">
        <w:tc>
          <w:tcPr>
            <w:tcW w:w="10131" w:type="dxa"/>
            <w:gridSpan w:val="3"/>
          </w:tcPr>
          <w:p w:rsidR="000D7780" w:rsidRPr="007A0ABE" w:rsidRDefault="00A47CDB" w:rsidP="00F45372">
            <w:pPr>
              <w:pStyle w:val="Country"/>
            </w:pPr>
            <w:r w:rsidRPr="007A0ABE">
              <w:t>Ginebra</w:t>
            </w:r>
          </w:p>
        </w:tc>
      </w:tr>
    </w:tbl>
    <w:p w:rsidR="000D7780" w:rsidRPr="007A0ABE" w:rsidRDefault="00A47CDB" w:rsidP="00F45372">
      <w:pPr>
        <w:pStyle w:val="Sessiontc"/>
      </w:pPr>
      <w:r w:rsidRPr="007A0ABE">
        <w:t>Comité TÉCNICO</w:t>
      </w:r>
    </w:p>
    <w:p w:rsidR="00361821" w:rsidRPr="007A0ABE" w:rsidRDefault="007F4BB2" w:rsidP="00F45372">
      <w:pPr>
        <w:pStyle w:val="Sessiontcplacedate"/>
      </w:pPr>
      <w:r w:rsidRPr="007A0ABE">
        <w:t>Quincua</w:t>
      </w:r>
      <w:r w:rsidR="00A47CDB" w:rsidRPr="007A0ABE">
        <w:t>gésima sesión</w:t>
      </w:r>
      <w:r w:rsidR="00A47CDB" w:rsidRPr="007A0ABE">
        <w:br/>
        <w:t xml:space="preserve">Ginebra, </w:t>
      </w:r>
      <w:r w:rsidRPr="007A0ABE">
        <w:t>7</w:t>
      </w:r>
      <w:r w:rsidR="008A1693" w:rsidRPr="007A0ABE">
        <w:t xml:space="preserve"> a </w:t>
      </w:r>
      <w:r w:rsidRPr="007A0ABE">
        <w:t>9</w:t>
      </w:r>
      <w:r w:rsidR="008A1693" w:rsidRPr="007A0ABE">
        <w:t xml:space="preserve"> </w:t>
      </w:r>
      <w:r w:rsidR="00F77B84" w:rsidRPr="007A0ABE">
        <w:t>de</w:t>
      </w:r>
      <w:r w:rsidR="008A1693" w:rsidRPr="007A0ABE">
        <w:t xml:space="preserve"> </w:t>
      </w:r>
      <w:r w:rsidRPr="007A0ABE">
        <w:t>abril</w:t>
      </w:r>
      <w:r w:rsidR="008A1693" w:rsidRPr="007A0ABE">
        <w:t xml:space="preserve"> de 201</w:t>
      </w:r>
      <w:r w:rsidRPr="007A0ABE">
        <w:t>4</w:t>
      </w:r>
    </w:p>
    <w:p w:rsidR="000D7780" w:rsidRPr="007A0ABE" w:rsidRDefault="00C82237" w:rsidP="00F45372">
      <w:pPr>
        <w:pStyle w:val="Titleofdoc0"/>
      </w:pPr>
      <w:bookmarkStart w:id="3" w:name="TitleOfDoc"/>
      <w:bookmarkEnd w:id="3"/>
      <w:r w:rsidRPr="007A0ABE">
        <w:t>revisión del documento tgp</w:t>
      </w:r>
      <w:r w:rsidR="001F3DEC" w:rsidRPr="007A0ABE">
        <w:t>/8</w:t>
      </w:r>
      <w:proofErr w:type="gramStart"/>
      <w:r w:rsidRPr="007A0ABE">
        <w:t>:  parte</w:t>
      </w:r>
      <w:proofErr w:type="gramEnd"/>
      <w:r w:rsidRPr="007A0ABE">
        <w:t xml:space="preserve"> ii:  </w:t>
      </w:r>
      <w:r w:rsidR="000534EC" w:rsidRPr="007A0ABE">
        <w:rPr>
          <w:rFonts w:cs="Arial"/>
        </w:rPr>
        <w:t>Técnicas utilizadas en el</w:t>
      </w:r>
      <w:r w:rsidR="00CD7B71">
        <w:rPr>
          <w:rFonts w:cs="Arial"/>
        </w:rPr>
        <w:t xml:space="preserve"> examen DHE, nueva </w:t>
      </w:r>
      <w:r w:rsidRPr="007A0ABE">
        <w:rPr>
          <w:rFonts w:cs="Arial"/>
        </w:rPr>
        <w:t xml:space="preserve">sección 11:  </w:t>
      </w:r>
      <w:r w:rsidR="000534EC" w:rsidRPr="007A0ABE">
        <w:rPr>
          <w:rFonts w:cs="Arial"/>
        </w:rPr>
        <w:t>Examen DHE de muestras en bloque</w:t>
      </w:r>
    </w:p>
    <w:p w:rsidR="00184D5D" w:rsidRPr="007A0ABE" w:rsidRDefault="00184D5D" w:rsidP="00184D5D">
      <w:pPr>
        <w:pStyle w:val="preparedby1"/>
      </w:pPr>
      <w:bookmarkStart w:id="4" w:name="Prepared"/>
      <w:bookmarkEnd w:id="4"/>
      <w:r w:rsidRPr="007A0ABE">
        <w:t>Documento preparado por la Oficina de la Unión</w:t>
      </w:r>
      <w:r w:rsidRPr="007A0ABE">
        <w:br/>
      </w:r>
      <w:r w:rsidRPr="007A0ABE">
        <w:br/>
      </w:r>
      <w:r w:rsidRPr="007A0ABE">
        <w:rPr>
          <w:color w:val="A6A6A6"/>
        </w:rPr>
        <w:t>Descargo de responsabilidad:  el presente documento no constituye</w:t>
      </w:r>
      <w:r w:rsidRPr="007A0ABE">
        <w:rPr>
          <w:color w:val="A6A6A6"/>
        </w:rPr>
        <w:br/>
        <w:t>un documento de política u orientación de la UPOV</w:t>
      </w:r>
    </w:p>
    <w:p w:rsidR="00696212" w:rsidRPr="007A0ABE" w:rsidRDefault="00696212" w:rsidP="00696212">
      <w:pPr>
        <w:rPr>
          <w:rFonts w:cs="Arial"/>
          <w:lang w:eastAsia="ja-JP"/>
        </w:rPr>
      </w:pPr>
      <w:r w:rsidRPr="007A0ABE">
        <w:fldChar w:fldCharType="begin"/>
      </w:r>
      <w:r w:rsidRPr="007A0ABE">
        <w:instrText xml:space="preserve"> AUTONUM  </w:instrText>
      </w:r>
      <w:r w:rsidRPr="007A0ABE">
        <w:fldChar w:fldCharType="end"/>
      </w:r>
      <w:r w:rsidRPr="007A0ABE">
        <w:tab/>
      </w:r>
      <w:r w:rsidR="000534EC" w:rsidRPr="007A0ABE">
        <w:t>E</w:t>
      </w:r>
      <w:r w:rsidR="000D6A33" w:rsidRPr="007A0ABE">
        <w:t>n el presente documento se informa acerca d</w:t>
      </w:r>
      <w:r w:rsidR="000534EC" w:rsidRPr="007A0ABE">
        <w:t xml:space="preserve">e las novedades relativas </w:t>
      </w:r>
      <w:r w:rsidR="00C8409C" w:rsidRPr="007A0ABE">
        <w:t xml:space="preserve">a </w:t>
      </w:r>
      <w:r w:rsidR="00052051" w:rsidRPr="007A0ABE">
        <w:t>las orientaciones</w:t>
      </w:r>
      <w:r w:rsidR="000534EC" w:rsidRPr="007A0ABE">
        <w:t xml:space="preserve"> </w:t>
      </w:r>
      <w:r w:rsidR="001F3DEC" w:rsidRPr="007A0ABE">
        <w:t>sobre</w:t>
      </w:r>
      <w:r w:rsidR="000534EC" w:rsidRPr="007A0ABE">
        <w:t xml:space="preserve"> el examen DHE </w:t>
      </w:r>
      <w:r w:rsidR="000534EC" w:rsidRPr="007A0ABE">
        <w:rPr>
          <w:rFonts w:cs="Arial"/>
          <w:lang w:eastAsia="ja-JP"/>
        </w:rPr>
        <w:t xml:space="preserve">de muestras en bloque para su inclusión en una futura revisión del documento </w:t>
      </w:r>
      <w:r w:rsidRPr="007A0ABE">
        <w:rPr>
          <w:rFonts w:cs="Arial"/>
          <w:lang w:eastAsia="ja-JP"/>
        </w:rPr>
        <w:t>TGP/8.</w:t>
      </w:r>
    </w:p>
    <w:p w:rsidR="00696212" w:rsidRPr="007A0ABE" w:rsidRDefault="00696212" w:rsidP="00696212">
      <w:pPr>
        <w:rPr>
          <w:rFonts w:cs="Arial"/>
          <w:lang w:eastAsia="ja-JP"/>
        </w:rPr>
      </w:pPr>
    </w:p>
    <w:p w:rsidR="00696212" w:rsidRPr="007A0ABE" w:rsidRDefault="00696212" w:rsidP="00696212">
      <w:pPr>
        <w:keepNext/>
        <w:rPr>
          <w:color w:val="000000"/>
        </w:rPr>
      </w:pPr>
      <w:r w:rsidRPr="007A0ABE">
        <w:rPr>
          <w:color w:val="000000"/>
        </w:rPr>
        <w:fldChar w:fldCharType="begin"/>
      </w:r>
      <w:r w:rsidRPr="007A0ABE">
        <w:rPr>
          <w:color w:val="000000"/>
        </w:rPr>
        <w:instrText xml:space="preserve"> AUTONUM  </w:instrText>
      </w:r>
      <w:r w:rsidRPr="007A0ABE">
        <w:rPr>
          <w:color w:val="000000"/>
        </w:rPr>
        <w:fldChar w:fldCharType="end"/>
      </w:r>
      <w:r w:rsidRPr="007A0ABE">
        <w:rPr>
          <w:color w:val="000000"/>
        </w:rPr>
        <w:tab/>
      </w:r>
      <w:r w:rsidR="000431F9" w:rsidRPr="007A0ABE">
        <w:rPr>
          <w:color w:val="000000"/>
        </w:rPr>
        <w:t>En el presente documento se utilizan las abreviaturas</w:t>
      </w:r>
      <w:r w:rsidR="001F3DEC" w:rsidRPr="007A0ABE">
        <w:rPr>
          <w:color w:val="000000"/>
        </w:rPr>
        <w:t xml:space="preserve"> siguientes</w:t>
      </w:r>
      <w:r w:rsidRPr="007A0ABE">
        <w:rPr>
          <w:color w:val="000000"/>
        </w:rPr>
        <w:t>:</w:t>
      </w:r>
    </w:p>
    <w:p w:rsidR="00696212" w:rsidRPr="007A0ABE" w:rsidRDefault="00696212" w:rsidP="00696212">
      <w:pPr>
        <w:keepNext/>
        <w:ind w:left="1692" w:hanging="1125"/>
        <w:jc w:val="left"/>
        <w:rPr>
          <w:color w:val="000000"/>
        </w:rPr>
      </w:pPr>
    </w:p>
    <w:p w:rsidR="00696212" w:rsidRPr="007A0ABE" w:rsidRDefault="00696212" w:rsidP="00696212">
      <w:pPr>
        <w:keepNext/>
        <w:tabs>
          <w:tab w:val="left" w:pos="567"/>
          <w:tab w:val="left" w:pos="1701"/>
        </w:tabs>
      </w:pPr>
      <w:r w:rsidRPr="007A0ABE">
        <w:tab/>
        <w:t>TC:</w:t>
      </w:r>
      <w:r w:rsidRPr="007A0ABE">
        <w:tab/>
      </w:r>
      <w:r w:rsidR="001764EF" w:rsidRPr="007A0ABE">
        <w:t>Comité Técnico</w:t>
      </w:r>
    </w:p>
    <w:p w:rsidR="00696212" w:rsidRPr="007A0ABE" w:rsidRDefault="00696212" w:rsidP="00696212">
      <w:pPr>
        <w:keepNext/>
        <w:tabs>
          <w:tab w:val="left" w:pos="567"/>
          <w:tab w:val="left" w:pos="1701"/>
        </w:tabs>
        <w:rPr>
          <w:rFonts w:eastAsia="PMingLiU"/>
          <w:szCs w:val="24"/>
        </w:rPr>
      </w:pPr>
      <w:r w:rsidRPr="007A0ABE">
        <w:rPr>
          <w:rFonts w:eastAsia="PMingLiU"/>
          <w:szCs w:val="24"/>
        </w:rPr>
        <w:tab/>
        <w:t>TC-EDC:</w:t>
      </w:r>
      <w:r w:rsidRPr="007A0ABE">
        <w:rPr>
          <w:rFonts w:eastAsia="PMingLiU"/>
          <w:szCs w:val="24"/>
        </w:rPr>
        <w:tab/>
      </w:r>
      <w:r w:rsidR="001764EF" w:rsidRPr="007A0ABE">
        <w:rPr>
          <w:rFonts w:eastAsia="PMingLiU"/>
          <w:szCs w:val="24"/>
        </w:rPr>
        <w:t>Comité de Redacción Ampliado</w:t>
      </w:r>
    </w:p>
    <w:p w:rsidR="00696212" w:rsidRPr="007A0ABE" w:rsidRDefault="00696212" w:rsidP="00696212">
      <w:pPr>
        <w:keepNext/>
        <w:tabs>
          <w:tab w:val="left" w:pos="567"/>
          <w:tab w:val="left" w:pos="1701"/>
        </w:tabs>
        <w:rPr>
          <w:rFonts w:eastAsia="PMingLiU"/>
          <w:szCs w:val="24"/>
        </w:rPr>
      </w:pPr>
      <w:r w:rsidRPr="007A0ABE">
        <w:rPr>
          <w:rFonts w:eastAsia="PMingLiU"/>
          <w:szCs w:val="24"/>
        </w:rPr>
        <w:tab/>
        <w:t>TWA:</w:t>
      </w:r>
      <w:r w:rsidRPr="007A0ABE">
        <w:rPr>
          <w:rFonts w:eastAsia="PMingLiU"/>
          <w:szCs w:val="24"/>
        </w:rPr>
        <w:tab/>
      </w:r>
      <w:r w:rsidR="001764EF" w:rsidRPr="007A0ABE">
        <w:rPr>
          <w:rFonts w:eastAsia="PMingLiU"/>
          <w:szCs w:val="24"/>
        </w:rPr>
        <w:t>Grupo de Trabajo Técnico sobre Plantas Agrícolas</w:t>
      </w:r>
    </w:p>
    <w:p w:rsidR="00696212" w:rsidRPr="007A0ABE" w:rsidRDefault="00696212" w:rsidP="00696212">
      <w:pPr>
        <w:keepNext/>
        <w:tabs>
          <w:tab w:val="left" w:pos="567"/>
          <w:tab w:val="left" w:pos="1701"/>
        </w:tabs>
        <w:rPr>
          <w:rFonts w:eastAsia="PMingLiU"/>
          <w:szCs w:val="24"/>
        </w:rPr>
      </w:pPr>
      <w:r w:rsidRPr="007A0ABE">
        <w:rPr>
          <w:rFonts w:eastAsia="PMingLiU"/>
          <w:szCs w:val="24"/>
        </w:rPr>
        <w:tab/>
        <w:t>TWC:</w:t>
      </w:r>
      <w:r w:rsidRPr="007A0ABE">
        <w:rPr>
          <w:rFonts w:eastAsia="PMingLiU"/>
          <w:szCs w:val="24"/>
        </w:rPr>
        <w:tab/>
      </w:r>
      <w:r w:rsidR="000431F9" w:rsidRPr="007A0ABE">
        <w:rPr>
          <w:rFonts w:eastAsia="PMingLiU"/>
          <w:szCs w:val="24"/>
        </w:rPr>
        <w:t>Grupo de Trabajo Técnico sobre Automatización y Programas Informáticos</w:t>
      </w:r>
    </w:p>
    <w:p w:rsidR="00696212" w:rsidRPr="007A0ABE" w:rsidRDefault="00696212" w:rsidP="00696212">
      <w:pPr>
        <w:keepNext/>
        <w:tabs>
          <w:tab w:val="left" w:pos="567"/>
          <w:tab w:val="left" w:pos="1701"/>
        </w:tabs>
        <w:rPr>
          <w:rFonts w:eastAsia="PMingLiU"/>
          <w:szCs w:val="24"/>
        </w:rPr>
      </w:pPr>
      <w:r w:rsidRPr="007A0ABE">
        <w:rPr>
          <w:rFonts w:eastAsia="PMingLiU"/>
          <w:szCs w:val="24"/>
        </w:rPr>
        <w:tab/>
        <w:t xml:space="preserve">TWF: </w:t>
      </w:r>
      <w:r w:rsidRPr="007A0ABE">
        <w:rPr>
          <w:rFonts w:eastAsia="PMingLiU"/>
          <w:szCs w:val="24"/>
        </w:rPr>
        <w:tab/>
      </w:r>
      <w:r w:rsidR="000431F9" w:rsidRPr="007A0ABE">
        <w:rPr>
          <w:rFonts w:eastAsia="PMingLiU"/>
          <w:szCs w:val="24"/>
        </w:rPr>
        <w:t>Grupo de Trabajo Técnico sobre Plantas Frutales</w:t>
      </w:r>
    </w:p>
    <w:p w:rsidR="00696212" w:rsidRPr="007A0ABE" w:rsidRDefault="00696212" w:rsidP="00696212">
      <w:pPr>
        <w:keepNext/>
        <w:tabs>
          <w:tab w:val="left" w:pos="567"/>
          <w:tab w:val="left" w:pos="1701"/>
        </w:tabs>
        <w:rPr>
          <w:rFonts w:eastAsia="PMingLiU"/>
          <w:szCs w:val="24"/>
        </w:rPr>
      </w:pPr>
      <w:r w:rsidRPr="007A0ABE">
        <w:rPr>
          <w:rFonts w:eastAsia="PMingLiU"/>
          <w:szCs w:val="24"/>
        </w:rPr>
        <w:tab/>
        <w:t>TWO:</w:t>
      </w:r>
      <w:r w:rsidRPr="007A0ABE">
        <w:rPr>
          <w:rFonts w:eastAsia="PMingLiU"/>
          <w:szCs w:val="24"/>
        </w:rPr>
        <w:tab/>
      </w:r>
      <w:r w:rsidR="000431F9" w:rsidRPr="007A0ABE">
        <w:rPr>
          <w:rFonts w:eastAsia="PMingLiU"/>
          <w:szCs w:val="24"/>
        </w:rPr>
        <w:t>Grupo de Trabajo Técnico sobre Plantas Ornamentales y Árboles Forestales</w:t>
      </w:r>
    </w:p>
    <w:p w:rsidR="00696212" w:rsidRPr="007A0ABE" w:rsidRDefault="000534EC" w:rsidP="00696212">
      <w:pPr>
        <w:keepNext/>
        <w:tabs>
          <w:tab w:val="left" w:pos="567"/>
          <w:tab w:val="left" w:pos="1701"/>
        </w:tabs>
        <w:rPr>
          <w:rFonts w:eastAsia="PMingLiU"/>
          <w:szCs w:val="24"/>
        </w:rPr>
      </w:pPr>
      <w:r w:rsidRPr="007A0ABE">
        <w:rPr>
          <w:rFonts w:eastAsia="PMingLiU"/>
          <w:szCs w:val="24"/>
        </w:rPr>
        <w:tab/>
        <w:t>TWP</w:t>
      </w:r>
      <w:r w:rsidR="00696212" w:rsidRPr="007A0ABE">
        <w:rPr>
          <w:rFonts w:eastAsia="PMingLiU"/>
          <w:szCs w:val="24"/>
        </w:rPr>
        <w:t>:</w:t>
      </w:r>
      <w:r w:rsidR="00696212" w:rsidRPr="007A0ABE">
        <w:rPr>
          <w:rFonts w:eastAsia="PMingLiU"/>
          <w:szCs w:val="24"/>
        </w:rPr>
        <w:tab/>
      </w:r>
      <w:r w:rsidR="000431F9" w:rsidRPr="007A0ABE">
        <w:rPr>
          <w:rFonts w:eastAsia="PMingLiU"/>
          <w:szCs w:val="24"/>
        </w:rPr>
        <w:t>Grupos de Trabajo Técnico</w:t>
      </w:r>
    </w:p>
    <w:p w:rsidR="00696212" w:rsidRPr="007A0ABE" w:rsidRDefault="00696212" w:rsidP="00696212">
      <w:pPr>
        <w:keepNext/>
        <w:tabs>
          <w:tab w:val="left" w:pos="567"/>
          <w:tab w:val="left" w:pos="1701"/>
        </w:tabs>
        <w:rPr>
          <w:rFonts w:eastAsia="PMingLiU"/>
          <w:szCs w:val="24"/>
        </w:rPr>
      </w:pPr>
      <w:r w:rsidRPr="007A0ABE">
        <w:rPr>
          <w:rFonts w:eastAsia="PMingLiU"/>
          <w:szCs w:val="24"/>
        </w:rPr>
        <w:tab/>
        <w:t>TWV:</w:t>
      </w:r>
      <w:r w:rsidRPr="007A0ABE">
        <w:rPr>
          <w:rFonts w:eastAsia="PMingLiU"/>
          <w:szCs w:val="24"/>
        </w:rPr>
        <w:tab/>
      </w:r>
      <w:r w:rsidR="000431F9" w:rsidRPr="007A0ABE">
        <w:rPr>
          <w:rFonts w:eastAsia="PMingLiU"/>
          <w:szCs w:val="24"/>
        </w:rPr>
        <w:t>Grupos de Trabajo Técnico sobre Hortalizas</w:t>
      </w:r>
    </w:p>
    <w:p w:rsidR="00696212" w:rsidRPr="007A0ABE" w:rsidRDefault="00696212" w:rsidP="00696212">
      <w:pPr>
        <w:rPr>
          <w:rFonts w:cs="Arial"/>
          <w:lang w:eastAsia="ja-JP"/>
        </w:rPr>
      </w:pPr>
    </w:p>
    <w:p w:rsidR="00696212" w:rsidRPr="007A0ABE" w:rsidRDefault="00696212" w:rsidP="00696212"/>
    <w:p w:rsidR="00696212" w:rsidRPr="007A0ABE" w:rsidRDefault="000431F9" w:rsidP="00696212">
      <w:pPr>
        <w:keepNext/>
        <w:outlineLvl w:val="0"/>
        <w:rPr>
          <w:caps/>
        </w:rPr>
      </w:pPr>
      <w:r w:rsidRPr="007A0ABE">
        <w:rPr>
          <w:caps/>
        </w:rPr>
        <w:t>ANTECEDENTES</w:t>
      </w:r>
    </w:p>
    <w:p w:rsidR="00696212" w:rsidRPr="007A0ABE" w:rsidRDefault="00696212" w:rsidP="00696212"/>
    <w:p w:rsidR="000534EC" w:rsidRPr="007A0ABE" w:rsidRDefault="00696212" w:rsidP="00696212">
      <w:r w:rsidRPr="007A0ABE">
        <w:fldChar w:fldCharType="begin"/>
      </w:r>
      <w:r w:rsidRPr="007A0ABE">
        <w:instrText xml:space="preserve"> AUTONUM  </w:instrText>
      </w:r>
      <w:r w:rsidRPr="007A0ABE">
        <w:fldChar w:fldCharType="end"/>
      </w:r>
      <w:r w:rsidRPr="007A0ABE">
        <w:tab/>
      </w:r>
      <w:r w:rsidR="000534EC" w:rsidRPr="007A0ABE">
        <w:t>En su cuadragésima octava sesión, celebrada en Ginebra del 26 al 28 de marzo de 2012, el TC examinó el documento TC/48/19 Rev.</w:t>
      </w:r>
      <w:r w:rsidR="00B93BFD" w:rsidRPr="007A0ABE">
        <w:t xml:space="preserve"> </w:t>
      </w:r>
      <w:r w:rsidR="000534EC" w:rsidRPr="007A0ABE">
        <w:t xml:space="preserve">“Revisión del documento TGP/8 </w:t>
      </w:r>
      <w:r w:rsidR="00CD7B71">
        <w:rPr>
          <w:rFonts w:cs="Arial"/>
          <w:shd w:val="clear" w:color="auto" w:fill="FFFFFF"/>
        </w:rPr>
        <w:t>‘</w:t>
      </w:r>
      <w:r w:rsidR="000534EC" w:rsidRPr="007A0ABE">
        <w:rPr>
          <w:rFonts w:cs="Arial"/>
          <w:shd w:val="clear" w:color="auto" w:fill="FFFFFF"/>
        </w:rPr>
        <w:t>Diseño de ensayos y técnicas utilizados en el examen de la distinción, l</w:t>
      </w:r>
      <w:r w:rsidR="00CD7B71">
        <w:rPr>
          <w:rFonts w:cs="Arial"/>
          <w:shd w:val="clear" w:color="auto" w:fill="FFFFFF"/>
        </w:rPr>
        <w:t>a homogeneidad y la estabilidad’</w:t>
      </w:r>
      <w:r w:rsidR="00851156" w:rsidRPr="007A0ABE">
        <w:rPr>
          <w:rFonts w:cs="Arial"/>
          <w:shd w:val="clear" w:color="auto" w:fill="FFFFFF"/>
        </w:rPr>
        <w:t>”.</w:t>
      </w:r>
    </w:p>
    <w:p w:rsidR="00696212" w:rsidRPr="007A0ABE" w:rsidRDefault="00696212" w:rsidP="00696212"/>
    <w:p w:rsidR="000534EC" w:rsidRPr="007A0ABE" w:rsidRDefault="00696212" w:rsidP="00696212">
      <w:r w:rsidRPr="007A0ABE">
        <w:fldChar w:fldCharType="begin"/>
      </w:r>
      <w:r w:rsidRPr="007A0ABE">
        <w:instrText xml:space="preserve"> AUTONUM  </w:instrText>
      </w:r>
      <w:r w:rsidRPr="007A0ABE">
        <w:fldChar w:fldCharType="end"/>
      </w:r>
      <w:r w:rsidRPr="007A0ABE">
        <w:tab/>
      </w:r>
      <w:r w:rsidR="00B93BFD" w:rsidRPr="007A0ABE">
        <w:t xml:space="preserve">En su cuadragésima octava sesión, el TC acordó que la nueva sección 11 sobre el examen DHE de muestras en bloque debería redactarse de nuevo con ayuda de expertos en el examen DHE de Dinamarca a fin de centrar la atención en las </w:t>
      </w:r>
      <w:r w:rsidR="00052051" w:rsidRPr="007A0ABE">
        <w:t>orientaciones</w:t>
      </w:r>
      <w:r w:rsidR="00B93BFD" w:rsidRPr="007A0ABE">
        <w:t xml:space="preserve"> </w:t>
      </w:r>
      <w:r w:rsidR="00052051" w:rsidRPr="007A0ABE">
        <w:t>destinadas</w:t>
      </w:r>
      <w:r w:rsidR="00B93BFD" w:rsidRPr="007A0ABE">
        <w:t xml:space="preserve"> </w:t>
      </w:r>
      <w:r w:rsidR="00536210" w:rsidRPr="007A0ABE">
        <w:t xml:space="preserve">a </w:t>
      </w:r>
      <w:r w:rsidR="00B93BFD" w:rsidRPr="007A0ABE">
        <w:t xml:space="preserve">los encargados del examen DHE y que se sustituyan los modelos estadísticos detallados por una referencia general a métodos estadísticos adecuados.  También acordó que el ejemplo de la remolacha azucarera se sustituya por un cultivo para el cual existan </w:t>
      </w:r>
      <w:r w:rsidR="00B72338" w:rsidRPr="007A0ABE">
        <w:t>directrices</w:t>
      </w:r>
      <w:r w:rsidR="00B93BFD" w:rsidRPr="007A0ABE">
        <w:t xml:space="preserve"> de examen de la UPOV (véase el párrafo 55 del documento TC/48/22 “Informe sobre las conclusiones”).</w:t>
      </w:r>
    </w:p>
    <w:p w:rsidR="00696212" w:rsidRPr="007A0ABE" w:rsidRDefault="00696212" w:rsidP="00696212"/>
    <w:p w:rsidR="00B93BFD" w:rsidRPr="007A0ABE" w:rsidRDefault="00696212" w:rsidP="00696212">
      <w:r w:rsidRPr="007A0ABE">
        <w:fldChar w:fldCharType="begin"/>
      </w:r>
      <w:r w:rsidRPr="007A0ABE">
        <w:instrText xml:space="preserve"> AUTONUM  </w:instrText>
      </w:r>
      <w:r w:rsidRPr="007A0ABE">
        <w:fldChar w:fldCharType="end"/>
      </w:r>
      <w:r w:rsidRPr="007A0ABE">
        <w:tab/>
      </w:r>
      <w:r w:rsidR="00B93BFD" w:rsidRPr="007A0ABE">
        <w:t>En su cuadragésima novena sesión, celebrada en Ginebra del 18 al 20 de marzo de 2013, el TC examinó el documento TC/49/28 “</w:t>
      </w:r>
      <w:r w:rsidR="00C82237" w:rsidRPr="007A0ABE">
        <w:rPr>
          <w:rFonts w:cs="Arial"/>
          <w:shd w:val="clear" w:color="auto" w:fill="FFFFFF"/>
        </w:rPr>
        <w:t xml:space="preserve">Revisión del documento TGP/8:  Parte II:  </w:t>
      </w:r>
      <w:r w:rsidR="00B93BFD" w:rsidRPr="007A0ABE">
        <w:rPr>
          <w:rFonts w:cs="Arial"/>
          <w:shd w:val="clear" w:color="auto" w:fill="FFFFFF"/>
        </w:rPr>
        <w:t>Técnicas utilizadas en el examen DHE, nueva sección 11:</w:t>
      </w:r>
      <w:r w:rsidR="00C82237" w:rsidRPr="007A0ABE">
        <w:rPr>
          <w:rFonts w:cs="Arial"/>
          <w:shd w:val="clear" w:color="auto" w:fill="FFFFFF"/>
        </w:rPr>
        <w:t xml:space="preserve">  </w:t>
      </w:r>
      <w:r w:rsidR="00B93BFD" w:rsidRPr="007A0ABE">
        <w:rPr>
          <w:rFonts w:cs="Arial"/>
          <w:shd w:val="clear" w:color="auto" w:fill="FFFFFF"/>
        </w:rPr>
        <w:t>Examen DHE de muestras en bloque”.  El Anexo del document</w:t>
      </w:r>
      <w:r w:rsidR="00C8409C" w:rsidRPr="007A0ABE">
        <w:rPr>
          <w:rFonts w:cs="Arial"/>
          <w:shd w:val="clear" w:color="auto" w:fill="FFFFFF"/>
        </w:rPr>
        <w:t>o</w:t>
      </w:r>
      <w:r w:rsidR="00B93BFD" w:rsidRPr="007A0ABE">
        <w:rPr>
          <w:rFonts w:cs="Arial"/>
          <w:shd w:val="clear" w:color="auto" w:fill="FFFFFF"/>
        </w:rPr>
        <w:t xml:space="preserve"> TC/49/28 contiene </w:t>
      </w:r>
      <w:r w:rsidR="00C8409C" w:rsidRPr="007A0ABE">
        <w:rPr>
          <w:rFonts w:cs="Arial"/>
          <w:shd w:val="clear" w:color="auto" w:fill="FFFFFF"/>
        </w:rPr>
        <w:t>el texto propuesto para</w:t>
      </w:r>
      <w:r w:rsidR="00CD7B71">
        <w:rPr>
          <w:rFonts w:cs="Arial"/>
          <w:shd w:val="clear" w:color="auto" w:fill="FFFFFF"/>
        </w:rPr>
        <w:t xml:space="preserve"> la nueva sección 11</w:t>
      </w:r>
      <w:r w:rsidR="00B93BFD" w:rsidRPr="007A0ABE">
        <w:rPr>
          <w:rFonts w:cs="Arial"/>
          <w:shd w:val="clear" w:color="auto" w:fill="FFFFFF"/>
        </w:rPr>
        <w:t xml:space="preserve"> </w:t>
      </w:r>
      <w:r w:rsidR="00CD7B71">
        <w:rPr>
          <w:rFonts w:cs="Arial"/>
          <w:shd w:val="clear" w:color="auto" w:fill="FFFFFF"/>
        </w:rPr>
        <w:t xml:space="preserve">– </w:t>
      </w:r>
      <w:r w:rsidR="00B93BFD" w:rsidRPr="007A0ABE">
        <w:rPr>
          <w:rFonts w:cs="Arial"/>
          <w:shd w:val="clear" w:color="auto" w:fill="FFFFFF"/>
        </w:rPr>
        <w:t xml:space="preserve"> Examen DHE de muestras en bloque</w:t>
      </w:r>
      <w:r w:rsidR="00D25A8B" w:rsidRPr="007A0ABE">
        <w:rPr>
          <w:rFonts w:cs="Arial"/>
          <w:shd w:val="clear" w:color="auto" w:fill="FFFFFF"/>
        </w:rPr>
        <w:t>, preparado por el Sr. Kristian Kristensen (Dinamarca).  Las enmiendas del texto, examinadas por los TWP en s</w:t>
      </w:r>
      <w:r w:rsidR="001F3DEC" w:rsidRPr="007A0ABE">
        <w:rPr>
          <w:rFonts w:cs="Arial"/>
          <w:shd w:val="clear" w:color="auto" w:fill="FFFFFF"/>
        </w:rPr>
        <w:t xml:space="preserve">us sesiones </w:t>
      </w:r>
      <w:r w:rsidR="001F3DEC" w:rsidRPr="007A0ABE">
        <w:rPr>
          <w:rFonts w:cs="Arial"/>
          <w:shd w:val="clear" w:color="auto" w:fill="FFFFFF"/>
        </w:rPr>
        <w:lastRenderedPageBreak/>
        <w:t>de 2012, se indican</w:t>
      </w:r>
      <w:r w:rsidR="00D25A8B" w:rsidRPr="007A0ABE">
        <w:rPr>
          <w:rFonts w:cs="Arial"/>
          <w:shd w:val="clear" w:color="auto" w:fill="FFFFFF"/>
        </w:rPr>
        <w:t xml:space="preserve"> mediante</w:t>
      </w:r>
      <w:r w:rsidR="000D6A33" w:rsidRPr="007A0ABE">
        <w:rPr>
          <w:rFonts w:cs="Arial"/>
          <w:shd w:val="clear" w:color="auto" w:fill="FFFFFF"/>
        </w:rPr>
        <w:t xml:space="preserve"> resaltado y tachado para las supresiones y resaltado y subrayado para las adiciones</w:t>
      </w:r>
      <w:r w:rsidR="00C82237" w:rsidRPr="007A0ABE">
        <w:t>.</w:t>
      </w:r>
    </w:p>
    <w:p w:rsidR="00696212" w:rsidRPr="007A0ABE" w:rsidRDefault="00696212" w:rsidP="00696212"/>
    <w:p w:rsidR="00C8409C" w:rsidRPr="007A0ABE" w:rsidRDefault="00696212" w:rsidP="00696212">
      <w:pPr>
        <w:spacing w:after="240"/>
        <w:rPr>
          <w:rFonts w:cs="Arial"/>
        </w:rPr>
      </w:pPr>
      <w:r w:rsidRPr="007A0ABE">
        <w:fldChar w:fldCharType="begin"/>
      </w:r>
      <w:r w:rsidRPr="007A0ABE">
        <w:instrText xml:space="preserve"> AUTONUM  </w:instrText>
      </w:r>
      <w:r w:rsidRPr="007A0ABE">
        <w:fldChar w:fldCharType="end"/>
      </w:r>
      <w:r w:rsidRPr="007A0ABE">
        <w:rPr>
          <w:rFonts w:cs="Arial"/>
        </w:rPr>
        <w:tab/>
      </w:r>
      <w:r w:rsidR="00C8409C" w:rsidRPr="007A0ABE">
        <w:rPr>
          <w:rFonts w:cs="Arial"/>
        </w:rPr>
        <w:t>En su cuadragésima novena sesión, celebrada en Ginebra del 18 al 20 de marzo de 2013, el TC convino en sustituir el texto propuesto para la nueva sección 11 “Ex</w:t>
      </w:r>
      <w:r w:rsidR="00B72338" w:rsidRPr="007A0ABE">
        <w:rPr>
          <w:rFonts w:cs="Arial"/>
        </w:rPr>
        <w:t>amen DHE de muestras en bloque”</w:t>
      </w:r>
      <w:r w:rsidR="00C8409C" w:rsidRPr="007A0ABE">
        <w:rPr>
          <w:rFonts w:cs="Arial"/>
        </w:rPr>
        <w:t xml:space="preserve"> d</w:t>
      </w:r>
      <w:r w:rsidR="00B72338" w:rsidRPr="007A0ABE">
        <w:rPr>
          <w:rFonts w:cs="Arial"/>
        </w:rPr>
        <w:t>el Anexo del documento TC/49/28</w:t>
      </w:r>
      <w:r w:rsidR="00C8409C" w:rsidRPr="007A0ABE">
        <w:rPr>
          <w:rFonts w:cs="Arial"/>
        </w:rPr>
        <w:t xml:space="preserve"> por </w:t>
      </w:r>
      <w:r w:rsidR="00052051" w:rsidRPr="007A0ABE">
        <w:rPr>
          <w:rFonts w:cs="Arial"/>
        </w:rPr>
        <w:t>orientaciones</w:t>
      </w:r>
      <w:r w:rsidR="00C8409C" w:rsidRPr="007A0ABE">
        <w:rPr>
          <w:rFonts w:cs="Arial"/>
        </w:rPr>
        <w:t xml:space="preserve"> sobre la utilización de caracteres examinados a partir de muestras en bloque, a fin de as</w:t>
      </w:r>
      <w:r w:rsidR="00AA36B3" w:rsidRPr="007A0ABE">
        <w:rPr>
          <w:rFonts w:cs="Arial"/>
        </w:rPr>
        <w:t>egurar que los caracteres cumpla</w:t>
      </w:r>
      <w:r w:rsidR="00C8409C" w:rsidRPr="007A0ABE">
        <w:rPr>
          <w:rFonts w:cs="Arial"/>
        </w:rPr>
        <w:t xml:space="preserve">n los requisitos básicos de un carácter.  En particular, acordó que pueda solicitarse a los expertos principales de las directrices de examen que faciliten datos de años diferentes para demostrar que la expresión del carácter es “lo suficientemente consistente y repetible en un medio ambiente particular”.  Se acordó además considerar el análisis estadístico de estos caracteres </w:t>
      </w:r>
      <w:r w:rsidR="00011244" w:rsidRPr="007A0ABE">
        <w:rPr>
          <w:rFonts w:cs="Arial"/>
        </w:rPr>
        <w:t>basándose en la información proporcionada a los TWP (véase el párrafo 64 del documento TC/49/41 “Informe sobre las conclusiones”)</w:t>
      </w:r>
      <w:r w:rsidR="00C82237" w:rsidRPr="007A0ABE">
        <w:rPr>
          <w:rFonts w:cs="Arial"/>
        </w:rPr>
        <w:t>.</w:t>
      </w:r>
    </w:p>
    <w:p w:rsidR="00696212" w:rsidRPr="007A0ABE" w:rsidRDefault="00696212" w:rsidP="00696212"/>
    <w:p w:rsidR="00696212" w:rsidRPr="007A0ABE" w:rsidRDefault="000D6A33" w:rsidP="00696212">
      <w:r w:rsidRPr="007A0ABE">
        <w:t>OBSERVACIONES</w:t>
      </w:r>
      <w:r w:rsidR="00011244" w:rsidRPr="007A0ABE">
        <w:t xml:space="preserve"> FORMULAD</w:t>
      </w:r>
      <w:r w:rsidRPr="007A0ABE">
        <w:t>A</w:t>
      </w:r>
      <w:r w:rsidR="00011244" w:rsidRPr="007A0ABE">
        <w:t xml:space="preserve">S POR LOS GRUPOS DE TRABAJO TÉCNICO EN </w:t>
      </w:r>
      <w:r w:rsidR="00696212" w:rsidRPr="007A0ABE">
        <w:t>2013</w:t>
      </w:r>
    </w:p>
    <w:p w:rsidR="00696212" w:rsidRPr="007A0ABE" w:rsidRDefault="00696212" w:rsidP="00696212"/>
    <w:p w:rsidR="00011244" w:rsidRPr="007A0ABE" w:rsidRDefault="00696212" w:rsidP="00696212">
      <w:pPr>
        <w:rPr>
          <w:snapToGrid w:val="0"/>
          <w:color w:val="000000"/>
        </w:rPr>
      </w:pPr>
      <w:r w:rsidRPr="007A0ABE">
        <w:fldChar w:fldCharType="begin"/>
      </w:r>
      <w:r w:rsidRPr="007A0ABE">
        <w:instrText xml:space="preserve"> AUTONUM  </w:instrText>
      </w:r>
      <w:r w:rsidRPr="007A0ABE">
        <w:fldChar w:fldCharType="end"/>
      </w:r>
      <w:r w:rsidRPr="007A0ABE">
        <w:rPr>
          <w:snapToGrid w:val="0"/>
          <w:color w:val="000000"/>
        </w:rPr>
        <w:tab/>
      </w:r>
      <w:r w:rsidR="00011244" w:rsidRPr="007A0ABE">
        <w:rPr>
          <w:snapToGrid w:val="0"/>
          <w:color w:val="000000"/>
        </w:rPr>
        <w:t>En sus sesiones de 2013, el TWO, el TWF, el TWV, el TWC y el TWA examinaron los documentos TWO/46/17, TWF/44/17, TWV/47/17, TWC/31/17 y TWA/42/17, respectivamente.</w:t>
      </w:r>
    </w:p>
    <w:p w:rsidR="00011244" w:rsidRPr="007A0ABE" w:rsidRDefault="00011244" w:rsidP="00696212">
      <w:pPr>
        <w:rPr>
          <w:snapToGrid w:val="0"/>
          <w:color w:val="000000"/>
        </w:rPr>
      </w:pPr>
    </w:p>
    <w:p w:rsidR="00011244" w:rsidRPr="007A0ABE" w:rsidRDefault="00696212" w:rsidP="00696212">
      <w:pPr>
        <w:rPr>
          <w:snapToGrid w:val="0"/>
          <w:color w:val="000000"/>
        </w:rPr>
      </w:pPr>
      <w:r w:rsidRPr="007A0ABE">
        <w:fldChar w:fldCharType="begin"/>
      </w:r>
      <w:r w:rsidRPr="007A0ABE">
        <w:instrText xml:space="preserve"> AUTONUM  </w:instrText>
      </w:r>
      <w:r w:rsidRPr="007A0ABE">
        <w:fldChar w:fldCharType="end"/>
      </w:r>
      <w:r w:rsidRPr="007A0ABE">
        <w:rPr>
          <w:snapToGrid w:val="0"/>
          <w:color w:val="000000"/>
        </w:rPr>
        <w:tab/>
      </w:r>
      <w:r w:rsidR="00011244" w:rsidRPr="007A0ABE">
        <w:rPr>
          <w:snapToGrid w:val="0"/>
          <w:color w:val="000000"/>
        </w:rPr>
        <w:t xml:space="preserve">El TWO, el TWF, el TWV, el TWC y el TWA tomaron nota de que el TC había acordado sustituir el texto propuesto para la nueva sección 11 </w:t>
      </w:r>
      <w:r w:rsidR="00011244" w:rsidRPr="007A0ABE">
        <w:rPr>
          <w:rFonts w:cs="Arial"/>
        </w:rPr>
        <w:t>“Ex</w:t>
      </w:r>
      <w:r w:rsidR="00AA36B3" w:rsidRPr="007A0ABE">
        <w:rPr>
          <w:rFonts w:cs="Arial"/>
        </w:rPr>
        <w:t>amen DHE de muestras en bloque”</w:t>
      </w:r>
      <w:r w:rsidR="00011244" w:rsidRPr="007A0ABE">
        <w:rPr>
          <w:rFonts w:cs="Arial"/>
        </w:rPr>
        <w:t xml:space="preserve"> del Anexo del documento TC/49/28 por </w:t>
      </w:r>
      <w:r w:rsidR="00052051" w:rsidRPr="007A0ABE">
        <w:rPr>
          <w:rFonts w:cs="Arial"/>
        </w:rPr>
        <w:t>orientaciones</w:t>
      </w:r>
      <w:r w:rsidR="00011244" w:rsidRPr="007A0ABE">
        <w:rPr>
          <w:rFonts w:cs="Arial"/>
        </w:rPr>
        <w:t xml:space="preserve"> sobre la utilización de caracteres examinados a partir de muestras en bloque, a fin de as</w:t>
      </w:r>
      <w:r w:rsidR="00AA36B3" w:rsidRPr="007A0ABE">
        <w:rPr>
          <w:rFonts w:cs="Arial"/>
        </w:rPr>
        <w:t>egurar que los caracteres cumpla</w:t>
      </w:r>
      <w:r w:rsidR="00011244" w:rsidRPr="007A0ABE">
        <w:rPr>
          <w:rFonts w:cs="Arial"/>
        </w:rPr>
        <w:t xml:space="preserve">n los requisitos básicos de un carácter (véase el párrafo 38 del documento TWO/46/29 </w:t>
      </w:r>
      <w:r w:rsidR="00CD7B71">
        <w:rPr>
          <w:rFonts w:cs="Arial"/>
        </w:rPr>
        <w:t>“</w:t>
      </w:r>
      <w:proofErr w:type="spellStart"/>
      <w:r w:rsidR="00CD7B71" w:rsidRPr="00CD7B71">
        <w:rPr>
          <w:rFonts w:cs="Arial"/>
          <w:i/>
        </w:rPr>
        <w:t>Report</w:t>
      </w:r>
      <w:proofErr w:type="spellEnd"/>
      <w:r w:rsidR="00CD7B71">
        <w:rPr>
          <w:rFonts w:cs="Arial"/>
        </w:rPr>
        <w:t>”</w:t>
      </w:r>
      <w:r w:rsidR="00B40D4A" w:rsidRPr="007A0ABE">
        <w:rPr>
          <w:rFonts w:cs="Arial"/>
        </w:rPr>
        <w:t xml:space="preserve">;  el párrafo 41 del documento TWF/44/31, </w:t>
      </w:r>
      <w:r w:rsidR="00CD7B71">
        <w:rPr>
          <w:rFonts w:cs="Arial"/>
        </w:rPr>
        <w:t>“</w:t>
      </w:r>
      <w:proofErr w:type="spellStart"/>
      <w:r w:rsidR="00CD7B71" w:rsidRPr="00CD7B71">
        <w:rPr>
          <w:rFonts w:cs="Arial"/>
          <w:i/>
        </w:rPr>
        <w:t>Report</w:t>
      </w:r>
      <w:proofErr w:type="spellEnd"/>
      <w:r w:rsidR="00CD7B71">
        <w:rPr>
          <w:rFonts w:cs="Arial"/>
        </w:rPr>
        <w:t>”</w:t>
      </w:r>
      <w:r w:rsidR="00B40D4A" w:rsidRPr="007A0ABE">
        <w:rPr>
          <w:rFonts w:cs="Arial"/>
        </w:rPr>
        <w:t xml:space="preserve">;  el párrafo 41 del documento </w:t>
      </w:r>
      <w:r w:rsidR="00AA36B3" w:rsidRPr="007A0ABE">
        <w:rPr>
          <w:rFonts w:cs="Arial"/>
        </w:rPr>
        <w:t>TWV/</w:t>
      </w:r>
      <w:r w:rsidR="00B40D4A" w:rsidRPr="007A0ABE">
        <w:rPr>
          <w:rFonts w:cs="Arial"/>
        </w:rPr>
        <w:t xml:space="preserve">47/34, </w:t>
      </w:r>
      <w:r w:rsidR="00CD7B71">
        <w:rPr>
          <w:rFonts w:cs="Arial"/>
        </w:rPr>
        <w:t>“</w:t>
      </w:r>
      <w:proofErr w:type="spellStart"/>
      <w:r w:rsidR="00CD7B71" w:rsidRPr="00CD7B71">
        <w:rPr>
          <w:rFonts w:cs="Arial"/>
          <w:i/>
        </w:rPr>
        <w:t>Report</w:t>
      </w:r>
      <w:proofErr w:type="spellEnd"/>
      <w:r w:rsidR="00CD7B71">
        <w:rPr>
          <w:rFonts w:cs="Arial"/>
        </w:rPr>
        <w:t>”</w:t>
      </w:r>
      <w:r w:rsidR="00B40D4A" w:rsidRPr="007A0ABE">
        <w:rPr>
          <w:rFonts w:cs="Arial"/>
        </w:rPr>
        <w:t>;  el párrafo 38 del documento TWC/31/32</w:t>
      </w:r>
      <w:r w:rsidR="00B72338" w:rsidRPr="007A0ABE">
        <w:rPr>
          <w:rFonts w:cs="Arial"/>
        </w:rPr>
        <w:t xml:space="preserve"> </w:t>
      </w:r>
      <w:r w:rsidR="00CD7B71">
        <w:rPr>
          <w:rFonts w:cs="Arial"/>
        </w:rPr>
        <w:t>“</w:t>
      </w:r>
      <w:proofErr w:type="spellStart"/>
      <w:r w:rsidR="00CD7B71" w:rsidRPr="00CD7B71">
        <w:rPr>
          <w:rFonts w:cs="Arial"/>
          <w:i/>
        </w:rPr>
        <w:t>Report</w:t>
      </w:r>
      <w:proofErr w:type="spellEnd"/>
      <w:r w:rsidR="00CD7B71">
        <w:rPr>
          <w:rFonts w:cs="Arial"/>
        </w:rPr>
        <w:t>”</w:t>
      </w:r>
      <w:r w:rsidR="00B40D4A" w:rsidRPr="007A0ABE">
        <w:rPr>
          <w:rFonts w:cs="Arial"/>
        </w:rPr>
        <w:t>, y el pár</w:t>
      </w:r>
      <w:r w:rsidR="00B72338" w:rsidRPr="007A0ABE">
        <w:rPr>
          <w:rFonts w:cs="Arial"/>
        </w:rPr>
        <w:t xml:space="preserve">rafo 42 del documento TWA/42/31 </w:t>
      </w:r>
      <w:r w:rsidR="00CD7B71">
        <w:rPr>
          <w:rFonts w:cs="Arial"/>
        </w:rPr>
        <w:t>“</w:t>
      </w:r>
      <w:proofErr w:type="spellStart"/>
      <w:r w:rsidR="00CD7B71" w:rsidRPr="00CD7B71">
        <w:rPr>
          <w:rFonts w:cs="Arial"/>
          <w:i/>
        </w:rPr>
        <w:t>Report</w:t>
      </w:r>
      <w:proofErr w:type="spellEnd"/>
      <w:r w:rsidR="00CD7B71">
        <w:rPr>
          <w:rFonts w:cs="Arial"/>
        </w:rPr>
        <w:t>”</w:t>
      </w:r>
      <w:r w:rsidR="00B72338" w:rsidRPr="007A0ABE">
        <w:rPr>
          <w:rFonts w:cs="Arial"/>
        </w:rPr>
        <w:t>,</w:t>
      </w:r>
      <w:r w:rsidR="00B40D4A" w:rsidRPr="007A0ABE">
        <w:rPr>
          <w:rFonts w:cs="Arial"/>
        </w:rPr>
        <w:t xml:space="preserve"> respectivamente).</w:t>
      </w:r>
    </w:p>
    <w:p w:rsidR="00696212" w:rsidRPr="007A0ABE" w:rsidRDefault="00696212" w:rsidP="00696212">
      <w:pPr>
        <w:rPr>
          <w:snapToGrid w:val="0"/>
          <w:color w:val="000000"/>
        </w:rPr>
      </w:pPr>
    </w:p>
    <w:p w:rsidR="00B40D4A" w:rsidRPr="007A0ABE" w:rsidRDefault="00696212" w:rsidP="00696212">
      <w:pPr>
        <w:rPr>
          <w:rFonts w:eastAsia="MS Mincho"/>
        </w:rPr>
      </w:pPr>
      <w:r w:rsidRPr="007A0ABE">
        <w:fldChar w:fldCharType="begin"/>
      </w:r>
      <w:r w:rsidRPr="007A0ABE">
        <w:instrText xml:space="preserve"> AUTONUM  </w:instrText>
      </w:r>
      <w:r w:rsidRPr="007A0ABE">
        <w:fldChar w:fldCharType="end"/>
      </w:r>
      <w:r w:rsidRPr="007A0ABE">
        <w:rPr>
          <w:snapToGrid w:val="0"/>
          <w:color w:val="000000"/>
        </w:rPr>
        <w:tab/>
      </w:r>
      <w:r w:rsidR="00B40D4A" w:rsidRPr="007A0ABE">
        <w:rPr>
          <w:rFonts w:eastAsia="MS Mincho"/>
        </w:rPr>
        <w:t xml:space="preserve">El TWO, el TWF, el TWV, el TWC y el TWA </w:t>
      </w:r>
      <w:r w:rsidR="00851156" w:rsidRPr="007A0ABE">
        <w:rPr>
          <w:rFonts w:eastAsia="MS Mincho"/>
        </w:rPr>
        <w:t xml:space="preserve">acordaron que pueda solicitarse a los expertos principales de las directrices de examen que faciliten datos de años diferentes para demostrar que la expresión del carácter es “lo suficientemente consistente y repetible en un medio ambiente particular” (véase el párrafo 39 del documento TWO/46/29 </w:t>
      </w:r>
      <w:r w:rsidR="00CD7B71">
        <w:rPr>
          <w:rFonts w:eastAsia="MS Mincho"/>
        </w:rPr>
        <w:t>“</w:t>
      </w:r>
      <w:proofErr w:type="spellStart"/>
      <w:r w:rsidR="00CD7B71" w:rsidRPr="00CD7B71">
        <w:rPr>
          <w:rFonts w:eastAsia="MS Mincho"/>
          <w:i/>
        </w:rPr>
        <w:t>Report</w:t>
      </w:r>
      <w:proofErr w:type="spellEnd"/>
      <w:r w:rsidR="00CD7B71">
        <w:rPr>
          <w:rFonts w:eastAsia="MS Mincho"/>
        </w:rPr>
        <w:t>”</w:t>
      </w:r>
      <w:r w:rsidR="00851156" w:rsidRPr="007A0ABE">
        <w:rPr>
          <w:rFonts w:eastAsia="MS Mincho"/>
        </w:rPr>
        <w:t xml:space="preserve">;  el párrafo 42 del documento TWF/44/31 </w:t>
      </w:r>
      <w:r w:rsidR="00CD7B71">
        <w:rPr>
          <w:rFonts w:eastAsia="MS Mincho"/>
        </w:rPr>
        <w:t>“</w:t>
      </w:r>
      <w:proofErr w:type="spellStart"/>
      <w:r w:rsidR="00CD7B71" w:rsidRPr="00CD7B71">
        <w:rPr>
          <w:rFonts w:eastAsia="MS Mincho"/>
          <w:i/>
        </w:rPr>
        <w:t>Report</w:t>
      </w:r>
      <w:proofErr w:type="spellEnd"/>
      <w:r w:rsidR="00CD7B71">
        <w:rPr>
          <w:rFonts w:eastAsia="MS Mincho"/>
        </w:rPr>
        <w:t>”</w:t>
      </w:r>
      <w:r w:rsidR="00851156" w:rsidRPr="007A0ABE">
        <w:rPr>
          <w:rFonts w:eastAsia="MS Mincho"/>
        </w:rPr>
        <w:t xml:space="preserve">;  el párrafo 42 del documento TWV/47/34 </w:t>
      </w:r>
      <w:r w:rsidR="00CD7B71">
        <w:rPr>
          <w:rFonts w:eastAsia="MS Mincho"/>
        </w:rPr>
        <w:t>“</w:t>
      </w:r>
      <w:proofErr w:type="spellStart"/>
      <w:r w:rsidR="00CD7B71" w:rsidRPr="00CD7B71">
        <w:rPr>
          <w:rFonts w:eastAsia="MS Mincho"/>
          <w:i/>
        </w:rPr>
        <w:t>Report</w:t>
      </w:r>
      <w:proofErr w:type="spellEnd"/>
      <w:r w:rsidR="00CD7B71">
        <w:rPr>
          <w:rFonts w:eastAsia="MS Mincho"/>
        </w:rPr>
        <w:t>”</w:t>
      </w:r>
      <w:r w:rsidR="00851156" w:rsidRPr="007A0ABE">
        <w:rPr>
          <w:rFonts w:eastAsia="MS Mincho"/>
        </w:rPr>
        <w:t xml:space="preserve">;  el párrafo 39 del documento TWC/31/32 </w:t>
      </w:r>
      <w:r w:rsidR="00CD7B71">
        <w:rPr>
          <w:rFonts w:eastAsia="MS Mincho"/>
        </w:rPr>
        <w:t>“</w:t>
      </w:r>
      <w:proofErr w:type="spellStart"/>
      <w:r w:rsidR="00CD7B71" w:rsidRPr="00CD7B71">
        <w:rPr>
          <w:rFonts w:eastAsia="MS Mincho"/>
          <w:i/>
        </w:rPr>
        <w:t>Report</w:t>
      </w:r>
      <w:proofErr w:type="spellEnd"/>
      <w:r w:rsidR="00CD7B71">
        <w:rPr>
          <w:rFonts w:eastAsia="MS Mincho"/>
        </w:rPr>
        <w:t>”</w:t>
      </w:r>
      <w:r w:rsidR="00851156" w:rsidRPr="007A0ABE">
        <w:rPr>
          <w:rFonts w:eastAsia="MS Mincho"/>
        </w:rPr>
        <w:t xml:space="preserve"> y el párrafo 43 del documento TWA/42/31 </w:t>
      </w:r>
      <w:r w:rsidR="00CD7B71">
        <w:rPr>
          <w:rFonts w:eastAsia="MS Mincho"/>
        </w:rPr>
        <w:t>“</w:t>
      </w:r>
      <w:proofErr w:type="spellStart"/>
      <w:r w:rsidR="00CD7B71" w:rsidRPr="00CD7B71">
        <w:rPr>
          <w:rFonts w:eastAsia="MS Mincho"/>
          <w:i/>
        </w:rPr>
        <w:t>Report</w:t>
      </w:r>
      <w:proofErr w:type="spellEnd"/>
      <w:r w:rsidR="00CD7B71">
        <w:rPr>
          <w:rFonts w:eastAsia="MS Mincho"/>
        </w:rPr>
        <w:t>”</w:t>
      </w:r>
      <w:r w:rsidR="00851156" w:rsidRPr="007A0ABE">
        <w:rPr>
          <w:rFonts w:eastAsia="MS Mincho"/>
        </w:rPr>
        <w:t>, respectivamente).</w:t>
      </w:r>
    </w:p>
    <w:p w:rsidR="00696212" w:rsidRPr="007A0ABE" w:rsidRDefault="00696212" w:rsidP="00696212">
      <w:pPr>
        <w:rPr>
          <w:rFonts w:eastAsia="MS Mincho"/>
        </w:rPr>
      </w:pPr>
    </w:p>
    <w:p w:rsidR="00696212" w:rsidRPr="007A0ABE" w:rsidRDefault="00696212" w:rsidP="00696212">
      <w:pPr>
        <w:rPr>
          <w:rFonts w:eastAsia="MS Mincho"/>
        </w:rPr>
      </w:pPr>
    </w:p>
    <w:p w:rsidR="00696212" w:rsidRPr="007A0ABE" w:rsidRDefault="000D6A33" w:rsidP="00696212">
      <w:pPr>
        <w:pStyle w:val="Heading1"/>
        <w:rPr>
          <w:lang w:val="es-ES"/>
        </w:rPr>
      </w:pPr>
      <w:bookmarkStart w:id="5" w:name="_Toc377561588"/>
      <w:bookmarkStart w:id="6" w:name="_Toc377567533"/>
      <w:r w:rsidRPr="007A0ABE">
        <w:rPr>
          <w:lang w:val="es-ES"/>
        </w:rPr>
        <w:t>observaciones formulada</w:t>
      </w:r>
      <w:r w:rsidR="00851156" w:rsidRPr="007A0ABE">
        <w:rPr>
          <w:lang w:val="es-ES"/>
        </w:rPr>
        <w:t xml:space="preserve">s por el comité de redacción ampliado en su reunión de enero de </w:t>
      </w:r>
      <w:r w:rsidR="00696212" w:rsidRPr="007A0ABE">
        <w:rPr>
          <w:lang w:val="es-ES"/>
        </w:rPr>
        <w:t>2014</w:t>
      </w:r>
      <w:bookmarkEnd w:id="5"/>
      <w:bookmarkEnd w:id="6"/>
    </w:p>
    <w:p w:rsidR="00696212" w:rsidRPr="007A0ABE" w:rsidRDefault="00696212" w:rsidP="00696212">
      <w:pPr>
        <w:jc w:val="left"/>
      </w:pPr>
    </w:p>
    <w:p w:rsidR="00851156" w:rsidRPr="007A0ABE" w:rsidRDefault="00696212" w:rsidP="00696212">
      <w:r w:rsidRPr="007A0ABE">
        <w:fldChar w:fldCharType="begin"/>
      </w:r>
      <w:r w:rsidRPr="007A0ABE">
        <w:instrText xml:space="preserve"> AUTONUM  </w:instrText>
      </w:r>
      <w:r w:rsidRPr="007A0ABE">
        <w:fldChar w:fldCharType="end"/>
      </w:r>
      <w:r w:rsidRPr="007A0ABE">
        <w:tab/>
      </w:r>
      <w:r w:rsidR="00851156" w:rsidRPr="007A0ABE">
        <w:t>En su reunión celebrada en Ginebra los días 8 y 9 de enero de 2014, el TC-EDC examinó el documento TC-EDC/Jan14/12 “</w:t>
      </w:r>
      <w:r w:rsidR="00C82237" w:rsidRPr="007A0ABE">
        <w:rPr>
          <w:rFonts w:cs="Arial"/>
          <w:shd w:val="clear" w:color="auto" w:fill="FFFFFF"/>
        </w:rPr>
        <w:t xml:space="preserve">Revisión del documento TGP/8:  Parte II:  </w:t>
      </w:r>
      <w:r w:rsidR="00851156" w:rsidRPr="007A0ABE">
        <w:rPr>
          <w:rFonts w:cs="Arial"/>
          <w:shd w:val="clear" w:color="auto" w:fill="FFFFFF"/>
        </w:rPr>
        <w:t>Técnicas utilizadas en el examen DHE, nueva sección 11:</w:t>
      </w:r>
      <w:r w:rsidR="00C82237" w:rsidRPr="007A0ABE">
        <w:rPr>
          <w:rFonts w:cs="Arial"/>
          <w:shd w:val="clear" w:color="auto" w:fill="FFFFFF"/>
        </w:rPr>
        <w:t xml:space="preserve">  </w:t>
      </w:r>
      <w:r w:rsidR="00851156" w:rsidRPr="007A0ABE">
        <w:rPr>
          <w:rFonts w:cs="Arial"/>
          <w:shd w:val="clear" w:color="auto" w:fill="FFFFFF"/>
        </w:rPr>
        <w:t xml:space="preserve">Examen DHE de muestras en bloque”.  </w:t>
      </w:r>
    </w:p>
    <w:p w:rsidR="00696212" w:rsidRPr="007A0ABE" w:rsidRDefault="00696212" w:rsidP="00696212">
      <w:pPr>
        <w:rPr>
          <w:highlight w:val="yellow"/>
        </w:rPr>
      </w:pPr>
    </w:p>
    <w:p w:rsidR="00C82237" w:rsidRPr="007A0ABE" w:rsidRDefault="00696212" w:rsidP="00696212">
      <w:r w:rsidRPr="007A0ABE">
        <w:fldChar w:fldCharType="begin"/>
      </w:r>
      <w:r w:rsidRPr="007A0ABE">
        <w:instrText xml:space="preserve"> AUTONUM  </w:instrText>
      </w:r>
      <w:r w:rsidRPr="007A0ABE">
        <w:fldChar w:fldCharType="end"/>
      </w:r>
      <w:r w:rsidRPr="007A0ABE">
        <w:tab/>
      </w:r>
      <w:r w:rsidR="00C82237" w:rsidRPr="007A0ABE">
        <w:t xml:space="preserve">EL TC-EDC propuso que expertos de Francia y los Países Bajos faciliten ejemplos de su experiencia en el </w:t>
      </w:r>
      <w:r w:rsidR="000D6A33" w:rsidRPr="007A0ABE">
        <w:t>establecimiento</w:t>
      </w:r>
      <w:r w:rsidR="00C82237" w:rsidRPr="007A0ABE">
        <w:t xml:space="preserve"> de caracteres</w:t>
      </w:r>
      <w:r w:rsidR="00B72338" w:rsidRPr="007A0ABE">
        <w:t xml:space="preserve"> a partir de muestras en bloque en </w:t>
      </w:r>
      <w:r w:rsidR="00C5334A" w:rsidRPr="007A0ABE">
        <w:t>cultivos de multiplicación vegetativa o por semillas</w:t>
      </w:r>
      <w:r w:rsidR="00C82237" w:rsidRPr="007A0ABE">
        <w:rPr>
          <w:rFonts w:cs="Arial"/>
        </w:rPr>
        <w:t xml:space="preserve">.  En particular, los ejemplos ilustrarán cómo se ha considerado la </w:t>
      </w:r>
      <w:r w:rsidR="00052051" w:rsidRPr="007A0ABE">
        <w:rPr>
          <w:rFonts w:cs="Arial"/>
        </w:rPr>
        <w:t>variación entre plantas</w:t>
      </w:r>
      <w:r w:rsidR="00C82237" w:rsidRPr="007A0ABE">
        <w:rPr>
          <w:rFonts w:cs="Arial"/>
        </w:rPr>
        <w:t xml:space="preserve"> y las diferencias en los </w:t>
      </w:r>
      <w:r w:rsidR="000C10D2" w:rsidRPr="007A0ABE">
        <w:rPr>
          <w:rFonts w:cs="Arial"/>
        </w:rPr>
        <w:t>ciclos de cultivo</w:t>
      </w:r>
      <w:r w:rsidR="00C82237" w:rsidRPr="007A0ABE">
        <w:rPr>
          <w:rFonts w:cs="Arial"/>
        </w:rPr>
        <w:t xml:space="preserve"> en </w:t>
      </w:r>
      <w:r w:rsidR="00052051" w:rsidRPr="007A0ABE">
        <w:rPr>
          <w:rFonts w:cs="Arial"/>
        </w:rPr>
        <w:t>la elaboración</w:t>
      </w:r>
      <w:r w:rsidR="00C82237" w:rsidRPr="007A0ABE">
        <w:rPr>
          <w:rFonts w:cs="Arial"/>
        </w:rPr>
        <w:t xml:space="preserve"> del método de observación de los caracteres.  Así, las </w:t>
      </w:r>
      <w:r w:rsidR="00052051" w:rsidRPr="007A0ABE">
        <w:rPr>
          <w:rFonts w:cs="Arial"/>
        </w:rPr>
        <w:t>orientaciones</w:t>
      </w:r>
      <w:r w:rsidR="00C82237" w:rsidRPr="007A0ABE">
        <w:rPr>
          <w:rFonts w:cs="Arial"/>
        </w:rPr>
        <w:t xml:space="preserve"> </w:t>
      </w:r>
      <w:r w:rsidR="00052051" w:rsidRPr="007A0ABE">
        <w:rPr>
          <w:rFonts w:cs="Arial"/>
        </w:rPr>
        <w:t>sobre el establecimiento de caracteres</w:t>
      </w:r>
      <w:r w:rsidR="00C82237" w:rsidRPr="007A0ABE">
        <w:rPr>
          <w:rFonts w:cs="Arial"/>
        </w:rPr>
        <w:t xml:space="preserve"> examinados a partir de muestras en bloque se basarán en ese enfoque. </w:t>
      </w:r>
    </w:p>
    <w:p w:rsidR="00C82237" w:rsidRPr="007A0ABE" w:rsidRDefault="00C82237" w:rsidP="00696212">
      <w:bookmarkStart w:id="7" w:name="_GoBack"/>
      <w:bookmarkEnd w:id="7"/>
    </w:p>
    <w:p w:rsidR="00C82237" w:rsidRPr="007A0ABE" w:rsidRDefault="00696212" w:rsidP="00CD7B71">
      <w:pPr>
        <w:pStyle w:val="DecisionParagraphs"/>
      </w:pPr>
      <w:r w:rsidRPr="007A0ABE">
        <w:fldChar w:fldCharType="begin"/>
      </w:r>
      <w:r w:rsidRPr="007A0ABE">
        <w:instrText xml:space="preserve"> AUTONUM  </w:instrText>
      </w:r>
      <w:r w:rsidRPr="007A0ABE">
        <w:fldChar w:fldCharType="end"/>
      </w:r>
      <w:r w:rsidRPr="007A0ABE">
        <w:tab/>
      </w:r>
      <w:r w:rsidR="00C82237" w:rsidRPr="007A0ABE">
        <w:t xml:space="preserve">Se invita al TC a </w:t>
      </w:r>
      <w:r w:rsidR="00997A6D" w:rsidRPr="007A0ABE">
        <w:t xml:space="preserve">que considere la posibilidad de invitar a expertos de Francia y los Países Bajos a que faciliten ejemplos de su experiencia en el </w:t>
      </w:r>
      <w:r w:rsidR="00052051" w:rsidRPr="007A0ABE">
        <w:t>establecimiento</w:t>
      </w:r>
      <w:r w:rsidR="00997A6D" w:rsidRPr="007A0ABE">
        <w:t xml:space="preserve"> de caracteres a partir de muestras en bloque,</w:t>
      </w:r>
      <w:r w:rsidR="00997A6D" w:rsidRPr="007A0ABE">
        <w:rPr>
          <w:iCs/>
          <w:spacing w:val="-4"/>
        </w:rPr>
        <w:t xml:space="preserve"> </w:t>
      </w:r>
      <w:r w:rsidR="00052051" w:rsidRPr="007A0ABE">
        <w:rPr>
          <w:iCs/>
          <w:spacing w:val="-4"/>
        </w:rPr>
        <w:t>en cultivos de multiplicación vegetativa y por semillas</w:t>
      </w:r>
      <w:r w:rsidR="00997A6D" w:rsidRPr="007A0ABE">
        <w:rPr>
          <w:rFonts w:cs="Arial"/>
          <w:iCs/>
        </w:rPr>
        <w:t xml:space="preserve">, como base de la elaboración de </w:t>
      </w:r>
      <w:r w:rsidR="00052051" w:rsidRPr="007A0ABE">
        <w:rPr>
          <w:rFonts w:cs="Arial"/>
          <w:iCs/>
        </w:rPr>
        <w:t>orientaciones</w:t>
      </w:r>
      <w:r w:rsidR="00997A6D" w:rsidRPr="007A0ABE">
        <w:rPr>
          <w:rFonts w:cs="Arial"/>
          <w:iCs/>
        </w:rPr>
        <w:t xml:space="preserve"> sobre el </w:t>
      </w:r>
      <w:r w:rsidR="00052051" w:rsidRPr="007A0ABE">
        <w:rPr>
          <w:rFonts w:cs="Arial"/>
          <w:iCs/>
        </w:rPr>
        <w:t>establecimiento</w:t>
      </w:r>
      <w:r w:rsidR="00997A6D" w:rsidRPr="007A0ABE">
        <w:rPr>
          <w:rFonts w:cs="Arial"/>
          <w:iCs/>
        </w:rPr>
        <w:t xml:space="preserve"> de caracteres examinados a partir de muestras en bloque, </w:t>
      </w:r>
      <w:r w:rsidR="000C10D2" w:rsidRPr="007A0ABE">
        <w:rPr>
          <w:rFonts w:cs="Arial"/>
          <w:iCs/>
        </w:rPr>
        <w:t>según consta</w:t>
      </w:r>
      <w:r w:rsidR="00997A6D" w:rsidRPr="007A0ABE">
        <w:rPr>
          <w:rFonts w:cs="Arial"/>
          <w:iCs/>
        </w:rPr>
        <w:t xml:space="preserve"> en el párrafo 11 del presente documento. </w:t>
      </w:r>
    </w:p>
    <w:p w:rsidR="007F4BB2" w:rsidRPr="007A0ABE" w:rsidRDefault="007F4BB2" w:rsidP="00696212">
      <w:pPr>
        <w:spacing w:before="480"/>
        <w:ind w:left="567" w:hanging="567"/>
        <w:jc w:val="right"/>
        <w:rPr>
          <w:snapToGrid w:val="0"/>
        </w:rPr>
      </w:pPr>
      <w:r w:rsidRPr="007A0ABE">
        <w:rPr>
          <w:snapToGrid w:val="0"/>
        </w:rPr>
        <w:t>[Fin d</w:t>
      </w:r>
      <w:r w:rsidR="00696212" w:rsidRPr="007A0ABE">
        <w:rPr>
          <w:snapToGrid w:val="0"/>
        </w:rPr>
        <w:t>el</w:t>
      </w:r>
      <w:r w:rsidRPr="007A0ABE">
        <w:rPr>
          <w:snapToGrid w:val="0"/>
        </w:rPr>
        <w:t xml:space="preserve"> documento]</w:t>
      </w:r>
    </w:p>
    <w:sectPr w:rsidR="007F4BB2" w:rsidRPr="007A0AB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20" w:rsidRDefault="00067120" w:rsidP="00F45372">
      <w:r>
        <w:separator/>
      </w:r>
    </w:p>
    <w:p w:rsidR="00067120" w:rsidRDefault="00067120" w:rsidP="00F45372"/>
    <w:p w:rsidR="00067120" w:rsidRDefault="00067120" w:rsidP="00F45372"/>
  </w:endnote>
  <w:endnote w:type="continuationSeparator" w:id="0">
    <w:p w:rsidR="00067120" w:rsidRDefault="00067120" w:rsidP="00F45372">
      <w:r>
        <w:separator/>
      </w:r>
    </w:p>
    <w:p w:rsidR="00067120" w:rsidRPr="00696212" w:rsidRDefault="00067120">
      <w:pPr>
        <w:pStyle w:val="Footer"/>
        <w:spacing w:after="60"/>
        <w:rPr>
          <w:sz w:val="18"/>
          <w:lang w:val="fr-FR"/>
        </w:rPr>
      </w:pPr>
      <w:r w:rsidRPr="00696212">
        <w:rPr>
          <w:sz w:val="18"/>
          <w:lang w:val="fr-FR"/>
        </w:rPr>
        <w:t>[Suite de la note de la page précédente]</w:t>
      </w:r>
    </w:p>
    <w:p w:rsidR="00067120" w:rsidRPr="00696212" w:rsidRDefault="00067120" w:rsidP="00F45372">
      <w:pPr>
        <w:rPr>
          <w:lang w:val="fr-FR"/>
        </w:rPr>
      </w:pPr>
    </w:p>
    <w:p w:rsidR="00067120" w:rsidRPr="00696212" w:rsidRDefault="00067120" w:rsidP="00F45372">
      <w:pPr>
        <w:rPr>
          <w:lang w:val="fr-FR"/>
        </w:rPr>
      </w:pPr>
    </w:p>
  </w:endnote>
  <w:endnote w:type="continuationNotice" w:id="1">
    <w:p w:rsidR="00067120" w:rsidRPr="00696212" w:rsidRDefault="00067120" w:rsidP="00F45372">
      <w:pPr>
        <w:rPr>
          <w:lang w:val="fr-FR"/>
        </w:rPr>
      </w:pPr>
      <w:r w:rsidRPr="00696212">
        <w:rPr>
          <w:lang w:val="fr-FR"/>
        </w:rPr>
        <w:t>[Suite de la note page suivante]</w:t>
      </w:r>
    </w:p>
    <w:p w:rsidR="00067120" w:rsidRPr="00696212" w:rsidRDefault="00067120" w:rsidP="00F45372">
      <w:pPr>
        <w:rPr>
          <w:lang w:val="fr-FR"/>
        </w:rPr>
      </w:pPr>
    </w:p>
    <w:p w:rsidR="00067120" w:rsidRPr="00696212" w:rsidRDefault="0006712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20" w:rsidRDefault="00067120" w:rsidP="00F45372">
      <w:r>
        <w:separator/>
      </w:r>
    </w:p>
  </w:footnote>
  <w:footnote w:type="continuationSeparator" w:id="0">
    <w:p w:rsidR="00067120" w:rsidRDefault="00067120" w:rsidP="00F45372">
      <w:r>
        <w:separator/>
      </w:r>
    </w:p>
  </w:footnote>
  <w:footnote w:type="continuationNotice" w:id="1">
    <w:p w:rsidR="00067120" w:rsidRPr="00905020" w:rsidRDefault="00067120"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50</w:t>
    </w:r>
    <w:r>
      <w:rPr>
        <w:rStyle w:val="PageNumber"/>
        <w:lang w:val="es-ES_tradnl"/>
      </w:rPr>
      <w:t>/</w:t>
    </w:r>
    <w:r w:rsidR="00696212">
      <w:rPr>
        <w:rStyle w:val="PageNumber"/>
        <w:lang w:val="es-ES_tradnl"/>
      </w:rPr>
      <w:t>24</w:t>
    </w:r>
  </w:p>
  <w:p w:rsidR="008A1693" w:rsidRPr="008D3729" w:rsidRDefault="008A1693"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18347E">
      <w:rPr>
        <w:rStyle w:val="PageNumber"/>
        <w:noProof/>
        <w:lang w:val="es-ES_tradnl"/>
      </w:rPr>
      <w:t>2</w:t>
    </w:r>
    <w:r w:rsidRPr="008D3729">
      <w:rPr>
        <w:rStyle w:val="PageNumber"/>
        <w:lang w:val="es-ES_tradnl"/>
      </w:rPr>
      <w:fldChar w:fldCharType="end"/>
    </w:r>
  </w:p>
  <w:p w:rsidR="008A1693" w:rsidRPr="008D3729" w:rsidRDefault="008A1693" w:rsidP="00F45372">
    <w:pPr>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069A7"/>
    <w:rsid w:val="00010CF3"/>
    <w:rsid w:val="00011244"/>
    <w:rsid w:val="00011E27"/>
    <w:rsid w:val="000148BC"/>
    <w:rsid w:val="00024AB8"/>
    <w:rsid w:val="00030854"/>
    <w:rsid w:val="00036028"/>
    <w:rsid w:val="000431F9"/>
    <w:rsid w:val="00044642"/>
    <w:rsid w:val="000446B9"/>
    <w:rsid w:val="00047E21"/>
    <w:rsid w:val="00052051"/>
    <w:rsid w:val="000534EC"/>
    <w:rsid w:val="00067120"/>
    <w:rsid w:val="00085505"/>
    <w:rsid w:val="000C10D2"/>
    <w:rsid w:val="000C7021"/>
    <w:rsid w:val="000D6A33"/>
    <w:rsid w:val="000D6BBC"/>
    <w:rsid w:val="000D7780"/>
    <w:rsid w:val="00105929"/>
    <w:rsid w:val="001131D5"/>
    <w:rsid w:val="00141DB8"/>
    <w:rsid w:val="001479AA"/>
    <w:rsid w:val="0017474A"/>
    <w:rsid w:val="001758C6"/>
    <w:rsid w:val="001764EF"/>
    <w:rsid w:val="0018347E"/>
    <w:rsid w:val="00184D5D"/>
    <w:rsid w:val="001F3DEC"/>
    <w:rsid w:val="0021112E"/>
    <w:rsid w:val="0021332C"/>
    <w:rsid w:val="00213982"/>
    <w:rsid w:val="002329E4"/>
    <w:rsid w:val="00235267"/>
    <w:rsid w:val="0024416D"/>
    <w:rsid w:val="00266E18"/>
    <w:rsid w:val="002800A0"/>
    <w:rsid w:val="002801B3"/>
    <w:rsid w:val="00281060"/>
    <w:rsid w:val="002940E8"/>
    <w:rsid w:val="002A6E50"/>
    <w:rsid w:val="002C256A"/>
    <w:rsid w:val="00305A7F"/>
    <w:rsid w:val="003152FE"/>
    <w:rsid w:val="00320AE8"/>
    <w:rsid w:val="00327436"/>
    <w:rsid w:val="00344BD6"/>
    <w:rsid w:val="0035528D"/>
    <w:rsid w:val="00355775"/>
    <w:rsid w:val="00361821"/>
    <w:rsid w:val="00366D8A"/>
    <w:rsid w:val="00370631"/>
    <w:rsid w:val="00375C12"/>
    <w:rsid w:val="0039454C"/>
    <w:rsid w:val="003D227C"/>
    <w:rsid w:val="003D2B4D"/>
    <w:rsid w:val="003D7E71"/>
    <w:rsid w:val="003E0E6C"/>
    <w:rsid w:val="00444A88"/>
    <w:rsid w:val="00474DA4"/>
    <w:rsid w:val="004D047D"/>
    <w:rsid w:val="004F305A"/>
    <w:rsid w:val="004F53B0"/>
    <w:rsid w:val="00512164"/>
    <w:rsid w:val="00520297"/>
    <w:rsid w:val="005338F9"/>
    <w:rsid w:val="00536210"/>
    <w:rsid w:val="0053791C"/>
    <w:rsid w:val="0054281C"/>
    <w:rsid w:val="0055268D"/>
    <w:rsid w:val="00576BE4"/>
    <w:rsid w:val="00576BF0"/>
    <w:rsid w:val="005A400A"/>
    <w:rsid w:val="005C414F"/>
    <w:rsid w:val="00612379"/>
    <w:rsid w:val="0061555F"/>
    <w:rsid w:val="00641200"/>
    <w:rsid w:val="00687EB4"/>
    <w:rsid w:val="00696212"/>
    <w:rsid w:val="006972DA"/>
    <w:rsid w:val="006A1ECF"/>
    <w:rsid w:val="006B17D2"/>
    <w:rsid w:val="006C224E"/>
    <w:rsid w:val="006D780A"/>
    <w:rsid w:val="00723D1A"/>
    <w:rsid w:val="00732DEC"/>
    <w:rsid w:val="00735BD5"/>
    <w:rsid w:val="007474BA"/>
    <w:rsid w:val="007516BC"/>
    <w:rsid w:val="00753A37"/>
    <w:rsid w:val="007556F6"/>
    <w:rsid w:val="00760EEF"/>
    <w:rsid w:val="00777EE5"/>
    <w:rsid w:val="00784836"/>
    <w:rsid w:val="0079023E"/>
    <w:rsid w:val="007A0ABE"/>
    <w:rsid w:val="007A2854"/>
    <w:rsid w:val="007D0B9D"/>
    <w:rsid w:val="007D19B0"/>
    <w:rsid w:val="007F498F"/>
    <w:rsid w:val="007F4BB2"/>
    <w:rsid w:val="0080679D"/>
    <w:rsid w:val="008108B0"/>
    <w:rsid w:val="00811B20"/>
    <w:rsid w:val="0082296E"/>
    <w:rsid w:val="00824099"/>
    <w:rsid w:val="00851156"/>
    <w:rsid w:val="00867AC1"/>
    <w:rsid w:val="008A1693"/>
    <w:rsid w:val="008A743F"/>
    <w:rsid w:val="008C0970"/>
    <w:rsid w:val="008D2CF7"/>
    <w:rsid w:val="008D3729"/>
    <w:rsid w:val="00900C26"/>
    <w:rsid w:val="0090197F"/>
    <w:rsid w:val="00905020"/>
    <w:rsid w:val="00906DDC"/>
    <w:rsid w:val="00934E09"/>
    <w:rsid w:val="00936253"/>
    <w:rsid w:val="00952DD4"/>
    <w:rsid w:val="00970FED"/>
    <w:rsid w:val="00997029"/>
    <w:rsid w:val="00997A6D"/>
    <w:rsid w:val="009D690D"/>
    <w:rsid w:val="009E65B6"/>
    <w:rsid w:val="009F7C29"/>
    <w:rsid w:val="00A13C6F"/>
    <w:rsid w:val="00A37B04"/>
    <w:rsid w:val="00A42AC3"/>
    <w:rsid w:val="00A430CF"/>
    <w:rsid w:val="00A47CDB"/>
    <w:rsid w:val="00A54309"/>
    <w:rsid w:val="00AA36B3"/>
    <w:rsid w:val="00AB2B93"/>
    <w:rsid w:val="00AB7E5B"/>
    <w:rsid w:val="00AE0EF1"/>
    <w:rsid w:val="00B07301"/>
    <w:rsid w:val="00B11D18"/>
    <w:rsid w:val="00B224DE"/>
    <w:rsid w:val="00B40D4A"/>
    <w:rsid w:val="00B72338"/>
    <w:rsid w:val="00B8133A"/>
    <w:rsid w:val="00B84BBD"/>
    <w:rsid w:val="00B93BFD"/>
    <w:rsid w:val="00BA43FB"/>
    <w:rsid w:val="00BC127D"/>
    <w:rsid w:val="00BC1FE6"/>
    <w:rsid w:val="00BE23CA"/>
    <w:rsid w:val="00C061B6"/>
    <w:rsid w:val="00C13808"/>
    <w:rsid w:val="00C2446C"/>
    <w:rsid w:val="00C36AE5"/>
    <w:rsid w:val="00C41F17"/>
    <w:rsid w:val="00C5334A"/>
    <w:rsid w:val="00C5791C"/>
    <w:rsid w:val="00C66290"/>
    <w:rsid w:val="00C72B7A"/>
    <w:rsid w:val="00C82237"/>
    <w:rsid w:val="00C8409C"/>
    <w:rsid w:val="00C973F2"/>
    <w:rsid w:val="00CA774A"/>
    <w:rsid w:val="00CC11B0"/>
    <w:rsid w:val="00CD7B71"/>
    <w:rsid w:val="00CF7E36"/>
    <w:rsid w:val="00D25A8B"/>
    <w:rsid w:val="00D261C5"/>
    <w:rsid w:val="00D3708D"/>
    <w:rsid w:val="00D40426"/>
    <w:rsid w:val="00D57C96"/>
    <w:rsid w:val="00D91203"/>
    <w:rsid w:val="00D95174"/>
    <w:rsid w:val="00DA4685"/>
    <w:rsid w:val="00DA6F36"/>
    <w:rsid w:val="00DB596E"/>
    <w:rsid w:val="00DC00EA"/>
    <w:rsid w:val="00E50918"/>
    <w:rsid w:val="00E72D49"/>
    <w:rsid w:val="00E7593C"/>
    <w:rsid w:val="00E7678A"/>
    <w:rsid w:val="00E935F1"/>
    <w:rsid w:val="00E94A81"/>
    <w:rsid w:val="00EA1FFB"/>
    <w:rsid w:val="00EA5245"/>
    <w:rsid w:val="00EB048E"/>
    <w:rsid w:val="00EC340B"/>
    <w:rsid w:val="00EE34DF"/>
    <w:rsid w:val="00EF2F89"/>
    <w:rsid w:val="00F1237A"/>
    <w:rsid w:val="00F22CBD"/>
    <w:rsid w:val="00F45372"/>
    <w:rsid w:val="00F560F7"/>
    <w:rsid w:val="00F5615D"/>
    <w:rsid w:val="00F6334D"/>
    <w:rsid w:val="00F77B84"/>
    <w:rsid w:val="00FA49AB"/>
    <w:rsid w:val="00FE39C7"/>
    <w:rsid w:val="00FF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s-ES"/>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rsid w:val="00696212"/>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s-ES"/>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rsid w:val="00696212"/>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1016</Words>
  <Characters>5522</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TC/50/24</vt:lpstr>
      <vt:lpstr>TC/50/24</vt:lpstr>
    </vt:vector>
  </TitlesOfParts>
  <Company>UPOV</Company>
  <LinksUpToDate>false</LinksUpToDate>
  <CharactersWithSpaces>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TC/50/24</dc:title>
  <dc:creator>BOU LLORET Amparo</dc:creator>
  <dc:description>ID (trad. ext.) - 31.1.2014</dc:description>
  <cp:lastModifiedBy>SANCHEZ-VIZCAINO GOMEZ Rosa Maria</cp:lastModifiedBy>
  <cp:revision>6</cp:revision>
  <cp:lastPrinted>2014-02-10T10:52:00Z</cp:lastPrinted>
  <dcterms:created xsi:type="dcterms:W3CDTF">2014-02-04T09:46:00Z</dcterms:created>
  <dcterms:modified xsi:type="dcterms:W3CDTF">2014-02-10T10:53:00Z</dcterms:modified>
</cp:coreProperties>
</file>