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27D5E" w:rsidRPr="00970020" w:rsidTr="00E34E13">
        <w:trPr>
          <w:trHeight w:val="1760"/>
        </w:trPr>
        <w:tc>
          <w:tcPr>
            <w:tcW w:w="4243" w:type="dxa"/>
          </w:tcPr>
          <w:p w:rsidR="00D27D5E" w:rsidRPr="008D3729" w:rsidRDefault="00D27D5E" w:rsidP="00E34E13">
            <w:pPr>
              <w:rPr>
                <w:lang w:val="es-ES_tradnl"/>
              </w:rPr>
            </w:pPr>
            <w:bookmarkStart w:id="0" w:name="_GoBack"/>
            <w:bookmarkEnd w:id="0"/>
          </w:p>
        </w:tc>
        <w:tc>
          <w:tcPr>
            <w:tcW w:w="1646" w:type="dxa"/>
            <w:vAlign w:val="center"/>
          </w:tcPr>
          <w:p w:rsidR="00D27D5E" w:rsidRPr="008D3729" w:rsidRDefault="00D27D5E" w:rsidP="00E34E13">
            <w:pPr>
              <w:pStyle w:val="LogoUPOV"/>
              <w:rPr>
                <w:lang w:val="es-ES_tradnl"/>
              </w:rPr>
            </w:pPr>
            <w:r>
              <w:rPr>
                <w:noProof/>
              </w:rPr>
              <w:drawing>
                <wp:inline distT="0" distB="0" distL="0" distR="0" wp14:anchorId="2B8446C4" wp14:editId="0C9B8DA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D27D5E" w:rsidRPr="008D3729" w:rsidRDefault="00D27D5E" w:rsidP="00E34E13">
            <w:pPr>
              <w:pStyle w:val="Lettrine"/>
              <w:rPr>
                <w:lang w:val="es-ES_tradnl"/>
              </w:rPr>
            </w:pPr>
            <w:r w:rsidRPr="008D3729">
              <w:rPr>
                <w:lang w:val="es-ES_tradnl"/>
              </w:rPr>
              <w:t>S</w:t>
            </w:r>
          </w:p>
          <w:p w:rsidR="00D27D5E" w:rsidRPr="008D3729" w:rsidRDefault="00D27D5E" w:rsidP="00E34E13">
            <w:pPr>
              <w:pStyle w:val="Docoriginal"/>
              <w:rPr>
                <w:lang w:val="es-ES_tradnl"/>
              </w:rPr>
            </w:pPr>
            <w:r>
              <w:rPr>
                <w:lang w:val="es-ES_tradnl"/>
              </w:rPr>
              <w:t>TC/50/</w:t>
            </w:r>
            <w:r>
              <w:rPr>
                <w:lang w:val="es-ES_tradnl"/>
              </w:rPr>
              <w:t>23</w:t>
            </w:r>
          </w:p>
          <w:p w:rsidR="00D27D5E" w:rsidRPr="008D3729" w:rsidRDefault="00D27D5E" w:rsidP="00E34E13">
            <w:pPr>
              <w:pStyle w:val="Docoriginal"/>
              <w:rPr>
                <w:b w:val="0"/>
                <w:spacing w:val="0"/>
                <w:lang w:val="es-ES_tradnl"/>
              </w:rPr>
            </w:pPr>
            <w:r w:rsidRPr="00D27D5E">
              <w:rPr>
                <w:rStyle w:val="StyleDoclangBold"/>
                <w:b/>
                <w:spacing w:val="0"/>
                <w:lang w:val="es-ES_tradnl"/>
              </w:rPr>
              <w:t>ORIGINAL:</w:t>
            </w:r>
            <w:r w:rsidRPr="008D3729">
              <w:rPr>
                <w:rStyle w:val="StyleDocoriginalNotBold1"/>
                <w:spacing w:val="0"/>
                <w:lang w:val="es-ES_tradnl"/>
              </w:rPr>
              <w:t xml:space="preserve">  </w:t>
            </w:r>
            <w:r w:rsidRPr="008D3729">
              <w:rPr>
                <w:b w:val="0"/>
                <w:spacing w:val="0"/>
                <w:lang w:val="es-ES_tradnl"/>
              </w:rPr>
              <w:t>Inglés</w:t>
            </w:r>
          </w:p>
          <w:p w:rsidR="00D27D5E" w:rsidRPr="008D3729" w:rsidRDefault="00D27D5E" w:rsidP="00D27D5E">
            <w:pPr>
              <w:pStyle w:val="Docoriginal"/>
              <w:rPr>
                <w:lang w:val="es-ES_tradnl"/>
              </w:rPr>
            </w:pPr>
            <w:r w:rsidRPr="008D3729">
              <w:rPr>
                <w:spacing w:val="0"/>
                <w:lang w:val="es-ES_tradnl"/>
              </w:rPr>
              <w:t>FECHA:</w:t>
            </w:r>
            <w:r w:rsidRPr="008D3729">
              <w:rPr>
                <w:b w:val="0"/>
                <w:spacing w:val="0"/>
                <w:lang w:val="es-ES_tradnl"/>
              </w:rPr>
              <w:t xml:space="preserve"> </w:t>
            </w:r>
            <w:r>
              <w:rPr>
                <w:rStyle w:val="StyleDocoriginalNotBold1"/>
                <w:spacing w:val="0"/>
                <w:lang w:val="es-ES_tradnl"/>
              </w:rPr>
              <w:t>20</w:t>
            </w:r>
            <w:r w:rsidRPr="00704805">
              <w:rPr>
                <w:b w:val="0"/>
                <w:spacing w:val="0"/>
                <w:lang w:val="es-ES_tradnl"/>
              </w:rPr>
              <w:t xml:space="preserve"> de enero de 2014</w:t>
            </w:r>
          </w:p>
        </w:tc>
      </w:tr>
      <w:tr w:rsidR="00D27D5E" w:rsidRPr="00970020" w:rsidTr="00E34E13">
        <w:tc>
          <w:tcPr>
            <w:tcW w:w="10131" w:type="dxa"/>
            <w:gridSpan w:val="3"/>
          </w:tcPr>
          <w:p w:rsidR="00D27D5E" w:rsidRPr="008D3729" w:rsidRDefault="00D27D5E" w:rsidP="00E34E13">
            <w:pPr>
              <w:pStyle w:val="upove"/>
              <w:rPr>
                <w:sz w:val="28"/>
                <w:lang w:val="es-ES_tradnl"/>
              </w:rPr>
            </w:pPr>
            <w:r w:rsidRPr="008D3729">
              <w:rPr>
                <w:spacing w:val="2"/>
                <w:lang w:val="es-ES_tradnl"/>
              </w:rPr>
              <w:t>UNIÓN INTERNACIONAL PARA LA PROTECCIÓN DE LAS OBTENCIONES VEGETALES</w:t>
            </w:r>
          </w:p>
        </w:tc>
      </w:tr>
      <w:tr w:rsidR="00D27D5E" w:rsidRPr="008D3729" w:rsidTr="00E34E13">
        <w:tc>
          <w:tcPr>
            <w:tcW w:w="10131" w:type="dxa"/>
            <w:gridSpan w:val="3"/>
          </w:tcPr>
          <w:p w:rsidR="00D27D5E" w:rsidRPr="008D3729" w:rsidRDefault="00D27D5E" w:rsidP="00E34E13">
            <w:pPr>
              <w:pStyle w:val="Country"/>
              <w:rPr>
                <w:lang w:val="es-ES_tradnl"/>
              </w:rPr>
            </w:pPr>
            <w:r w:rsidRPr="008D3729">
              <w:rPr>
                <w:lang w:val="es-ES_tradnl"/>
              </w:rPr>
              <w:t>Ginebra</w:t>
            </w:r>
          </w:p>
        </w:tc>
      </w:tr>
    </w:tbl>
    <w:p w:rsidR="00D27D5E" w:rsidRPr="008D3729" w:rsidRDefault="00D27D5E" w:rsidP="00D27D5E">
      <w:pPr>
        <w:pStyle w:val="Sessiontc"/>
        <w:rPr>
          <w:lang w:val="es-ES_tradnl"/>
        </w:rPr>
      </w:pPr>
      <w:r w:rsidRPr="008D3729">
        <w:rPr>
          <w:lang w:val="es-ES_tradnl"/>
        </w:rPr>
        <w:t>Comité TÉCNICO</w:t>
      </w:r>
    </w:p>
    <w:p w:rsidR="00D27D5E" w:rsidRPr="008D3729" w:rsidRDefault="00D27D5E" w:rsidP="00D27D5E">
      <w:pPr>
        <w:pStyle w:val="Sessiontcplacedate"/>
        <w:rPr>
          <w:lang w:val="es-ES_tradnl"/>
        </w:rPr>
      </w:pPr>
      <w:r>
        <w:rPr>
          <w:lang w:val="es-ES_tradnl"/>
        </w:rPr>
        <w:t>Quincua</w:t>
      </w:r>
      <w:r w:rsidRPr="008D3729">
        <w:rPr>
          <w:lang w:val="es-ES_tradnl"/>
        </w:rPr>
        <w:t>gésima sesión</w:t>
      </w:r>
      <w:r w:rsidRPr="008D3729">
        <w:rPr>
          <w:lang w:val="es-ES_tradnl"/>
        </w:rPr>
        <w:br/>
        <w:t xml:space="preserve">Ginebra, </w:t>
      </w:r>
      <w:r>
        <w:rPr>
          <w:lang w:val="es-ES_tradnl"/>
        </w:rPr>
        <w:t xml:space="preserve">7 a 9 </w:t>
      </w:r>
      <w:r w:rsidRPr="00A13C6F">
        <w:rPr>
          <w:lang w:val="es-ES_tradnl"/>
        </w:rPr>
        <w:t>de</w:t>
      </w:r>
      <w:r>
        <w:rPr>
          <w:lang w:val="es-ES_tradnl"/>
        </w:rPr>
        <w:t xml:space="preserve"> abril de 2014</w:t>
      </w:r>
    </w:p>
    <w:p w:rsidR="00487108" w:rsidRPr="0096078C" w:rsidRDefault="00487108" w:rsidP="0082237D">
      <w:pPr>
        <w:pStyle w:val="Titleofdoc0"/>
        <w:rPr>
          <w:lang w:val="es-ES_tradnl"/>
        </w:rPr>
      </w:pPr>
      <w:bookmarkStart w:id="1" w:name="TitleOfDoc"/>
      <w:bookmarkEnd w:id="1"/>
      <w:r w:rsidRPr="00704805">
        <w:rPr>
          <w:rFonts w:cs="Arial"/>
          <w:lang w:val="es-ES_tradnl"/>
        </w:rPr>
        <w:t>Revisión del documento TGP/8:  Parte II:</w:t>
      </w:r>
      <w:r w:rsidRPr="0096078C">
        <w:rPr>
          <w:rFonts w:cs="Arial"/>
          <w:lang w:val="es-ES_tradnl"/>
        </w:rPr>
        <w:t xml:space="preserve">  </w:t>
      </w:r>
      <w:r w:rsidRPr="0082237D">
        <w:rPr>
          <w:rFonts w:cs="Arial"/>
          <w:caps w:val="0"/>
          <w:lang w:val="es-ES_tradnl"/>
        </w:rPr>
        <w:t>TÉCNICAS UTILIZADAS EN EL EXAMEN DHE</w:t>
      </w:r>
      <w:r w:rsidRPr="0082237D">
        <w:rPr>
          <w:rFonts w:cs="Arial"/>
          <w:lang w:val="es-ES_tradnl"/>
        </w:rPr>
        <w:t xml:space="preserve">, </w:t>
      </w:r>
      <w:r w:rsidRPr="0082237D">
        <w:rPr>
          <w:rFonts w:cs="Arial"/>
          <w:caps w:val="0"/>
          <w:lang w:val="es-ES_tradnl"/>
        </w:rPr>
        <w:t>SECCIÓN</w:t>
      </w:r>
      <w:r w:rsidRPr="0082237D">
        <w:rPr>
          <w:rFonts w:cs="Arial"/>
          <w:lang w:val="es-ES_tradnl"/>
        </w:rPr>
        <w:t xml:space="preserve"> 10:  </w:t>
      </w:r>
      <w:r w:rsidRPr="0082237D">
        <w:rPr>
          <w:rFonts w:cs="Arial"/>
          <w:caps w:val="0"/>
          <w:lang w:val="es-ES_tradnl"/>
        </w:rPr>
        <w:t xml:space="preserve">EVALUACIÓN DE LA HOMOGENEIDAD A PARTIR DEL MÉTODO DE </w:t>
      </w:r>
      <w:r w:rsidR="00306258">
        <w:rPr>
          <w:rFonts w:cs="Arial"/>
          <w:caps w:val="0"/>
          <w:lang w:val="es-ES_tradnl"/>
        </w:rPr>
        <w:br/>
      </w:r>
      <w:r w:rsidRPr="0082237D">
        <w:rPr>
          <w:rFonts w:cs="Arial"/>
          <w:caps w:val="0"/>
          <w:lang w:val="es-ES_tradnl"/>
        </w:rPr>
        <w:t>LA VARIANZA RELATIVA</w:t>
      </w:r>
    </w:p>
    <w:p w:rsidR="00487108" w:rsidRPr="0096078C" w:rsidRDefault="00487108" w:rsidP="0082237D">
      <w:pPr>
        <w:pStyle w:val="preparedby1"/>
        <w:rPr>
          <w:lang w:val="es-ES_tradnl"/>
        </w:rPr>
      </w:pPr>
      <w:bookmarkStart w:id="2" w:name="Prepared"/>
      <w:bookmarkEnd w:id="2"/>
      <w:r w:rsidRPr="00704805">
        <w:rPr>
          <w:lang w:val="es-ES_tradnl"/>
        </w:rPr>
        <w:t>Documento preparado por la Oficina de la Unión</w:t>
      </w:r>
      <w:r w:rsidRPr="0096078C">
        <w:rPr>
          <w:lang w:val="es-ES_tradnl"/>
        </w:rPr>
        <w:br/>
      </w:r>
      <w:r w:rsidRPr="0096078C">
        <w:rPr>
          <w:lang w:val="es-ES_tradnl"/>
        </w:rPr>
        <w:br/>
      </w:r>
      <w:r w:rsidRPr="00704805">
        <w:rPr>
          <w:color w:val="948A77"/>
          <w:lang w:val="es-ES_tradnl"/>
        </w:rPr>
        <w:t>Descargo de responsabilidad:  el presente documento no constituye</w:t>
      </w:r>
      <w:r w:rsidRPr="00704805">
        <w:rPr>
          <w:color w:val="948A77"/>
          <w:lang w:val="es-ES_tradnl"/>
        </w:rPr>
        <w:br/>
        <w:t>un documento de política u orientación de la UPOV</w:t>
      </w:r>
    </w:p>
    <w:p w:rsidR="00487108" w:rsidRPr="0096078C" w:rsidRDefault="00487108" w:rsidP="00D335A4">
      <w:pPr>
        <w:rPr>
          <w:rFonts w:cs="Arial"/>
          <w:lang w:val="es-ES_tradnl" w:eastAsia="ja-JP"/>
        </w:rPr>
      </w:pPr>
      <w:r w:rsidRPr="00100526">
        <w:fldChar w:fldCharType="begin"/>
      </w:r>
      <w:r w:rsidRPr="0096078C">
        <w:rPr>
          <w:lang w:val="es-ES_tradnl"/>
        </w:rPr>
        <w:instrText xml:space="preserve"> AUTONUM  </w:instrText>
      </w:r>
      <w:r w:rsidRPr="00100526">
        <w:fldChar w:fldCharType="end"/>
      </w:r>
      <w:r w:rsidRPr="0096078C">
        <w:rPr>
          <w:lang w:val="es-ES_tradnl"/>
        </w:rPr>
        <w:tab/>
      </w:r>
      <w:r w:rsidRPr="0082237D">
        <w:rPr>
          <w:lang w:val="es-ES_tradnl" w:eastAsia="ja-JP"/>
        </w:rPr>
        <w:t>En el presente documento se expone una propuesta de revisión de la Sección 10 “Evaluación de la homogeneidad a partir del método de la varianza relativa” del documento TGP/8/1.</w:t>
      </w:r>
      <w:r w:rsidRPr="0096078C">
        <w:rPr>
          <w:lang w:val="es-ES_tradnl"/>
        </w:rPr>
        <w:t xml:space="preserve"> </w:t>
      </w:r>
    </w:p>
    <w:p w:rsidR="00487108" w:rsidRPr="0096078C" w:rsidRDefault="00487108" w:rsidP="00D335A4">
      <w:pPr>
        <w:rPr>
          <w:lang w:val="es-ES_tradnl"/>
        </w:rPr>
      </w:pPr>
    </w:p>
    <w:p w:rsidR="00487108" w:rsidRPr="0096078C" w:rsidRDefault="00487108" w:rsidP="00D335A4">
      <w:pPr>
        <w:rPr>
          <w:rFonts w:cs="Arial"/>
          <w:color w:val="000000"/>
          <w:lang w:val="es-ES_tradnl"/>
        </w:rPr>
      </w:pPr>
      <w:r w:rsidRPr="00100526">
        <w:fldChar w:fldCharType="begin"/>
      </w:r>
      <w:r w:rsidRPr="0096078C">
        <w:rPr>
          <w:lang w:val="es-ES_tradnl"/>
        </w:rPr>
        <w:instrText xml:space="preserve"> AUTONUM  </w:instrText>
      </w:r>
      <w:r w:rsidRPr="00100526">
        <w:fldChar w:fldCharType="end"/>
      </w:r>
      <w:r w:rsidRPr="0096078C">
        <w:rPr>
          <w:lang w:val="es-ES_tradnl"/>
        </w:rPr>
        <w:tab/>
      </w:r>
      <w:r w:rsidRPr="00704805">
        <w:rPr>
          <w:rFonts w:cs="Arial"/>
          <w:lang w:val="es-ES_tradnl"/>
        </w:rPr>
        <w:t>En el presente documento se utilizan las abreviaturas siguientes:</w:t>
      </w:r>
    </w:p>
    <w:p w:rsidR="00487108" w:rsidRPr="0096078C" w:rsidRDefault="00487108" w:rsidP="00D335A4">
      <w:pPr>
        <w:rPr>
          <w:rFonts w:cs="Arial"/>
          <w:color w:val="000000"/>
          <w:lang w:val="es-ES_tradnl"/>
        </w:rPr>
      </w:pPr>
    </w:p>
    <w:p w:rsidR="00487108" w:rsidRPr="0096078C" w:rsidRDefault="00487108" w:rsidP="00D335A4">
      <w:pPr>
        <w:rPr>
          <w:rFonts w:cs="Arial"/>
          <w:lang w:val="es-ES_tradnl"/>
        </w:rPr>
      </w:pPr>
      <w:r w:rsidRPr="0096078C">
        <w:rPr>
          <w:rFonts w:cs="Arial"/>
          <w:lang w:val="es-ES_tradnl"/>
        </w:rPr>
        <w:tab/>
      </w:r>
      <w:r w:rsidRPr="00704805">
        <w:rPr>
          <w:rFonts w:cs="Arial"/>
          <w:lang w:val="es-ES_tradnl"/>
        </w:rPr>
        <w:t>TC:</w:t>
      </w:r>
      <w:r w:rsidRPr="0096078C">
        <w:rPr>
          <w:rFonts w:cs="Arial"/>
          <w:lang w:val="es-ES_tradnl"/>
        </w:rPr>
        <w:tab/>
      </w:r>
      <w:r w:rsidRPr="0096078C">
        <w:rPr>
          <w:rFonts w:cs="Arial"/>
          <w:lang w:val="es-ES_tradnl"/>
        </w:rPr>
        <w:tab/>
      </w:r>
      <w:r w:rsidRPr="00704805">
        <w:rPr>
          <w:rFonts w:cs="Arial"/>
          <w:lang w:val="es-ES_tradnl"/>
        </w:rPr>
        <w:t>Comité Técnico</w:t>
      </w:r>
    </w:p>
    <w:p w:rsidR="00487108" w:rsidRPr="0096078C" w:rsidRDefault="00487108" w:rsidP="00D335A4">
      <w:pPr>
        <w:rPr>
          <w:rFonts w:eastAsia="PMingLiU" w:cs="Arial"/>
          <w:szCs w:val="24"/>
          <w:lang w:val="es-ES_tradnl"/>
        </w:rPr>
      </w:pPr>
      <w:r w:rsidRPr="0096078C">
        <w:rPr>
          <w:rFonts w:eastAsia="PMingLiU" w:cs="Arial"/>
          <w:szCs w:val="24"/>
          <w:lang w:val="es-ES_tradnl"/>
        </w:rPr>
        <w:tab/>
      </w:r>
      <w:r w:rsidRPr="00704805">
        <w:rPr>
          <w:rFonts w:eastAsia="PMingLiU" w:cs="Arial"/>
          <w:szCs w:val="24"/>
          <w:lang w:val="es-ES_tradnl"/>
        </w:rPr>
        <w:t>TC-EDC:</w:t>
      </w:r>
      <w:r w:rsidRPr="0096078C">
        <w:rPr>
          <w:rFonts w:eastAsia="PMingLiU" w:cs="Arial"/>
          <w:szCs w:val="24"/>
          <w:lang w:val="es-ES_tradnl"/>
        </w:rPr>
        <w:tab/>
      </w:r>
      <w:r w:rsidRPr="00704805">
        <w:rPr>
          <w:rFonts w:eastAsia="PMingLiU" w:cs="Arial"/>
          <w:szCs w:val="24"/>
          <w:lang w:val="es-ES_tradnl"/>
        </w:rPr>
        <w:t>Comité de Redacción Ampliado</w:t>
      </w:r>
    </w:p>
    <w:p w:rsidR="00487108" w:rsidRPr="0096078C" w:rsidRDefault="00487108" w:rsidP="00D335A4">
      <w:pPr>
        <w:rPr>
          <w:rFonts w:eastAsia="PMingLiU" w:cs="Arial"/>
          <w:szCs w:val="24"/>
          <w:lang w:val="es-ES_tradnl"/>
        </w:rPr>
      </w:pPr>
      <w:r w:rsidRPr="0096078C">
        <w:rPr>
          <w:rFonts w:eastAsia="PMingLiU" w:cs="Arial"/>
          <w:szCs w:val="24"/>
          <w:lang w:val="es-ES_tradnl"/>
        </w:rPr>
        <w:tab/>
      </w:r>
      <w:r w:rsidRPr="00704805">
        <w:rPr>
          <w:rFonts w:eastAsia="PMingLiU" w:cs="Arial"/>
          <w:szCs w:val="24"/>
          <w:lang w:val="es-ES_tradnl"/>
        </w:rPr>
        <w:t>TWA:</w:t>
      </w:r>
      <w:r w:rsidRPr="0096078C">
        <w:rPr>
          <w:rFonts w:eastAsia="PMingLiU" w:cs="Arial"/>
          <w:szCs w:val="24"/>
          <w:lang w:val="es-ES_tradnl"/>
        </w:rPr>
        <w:tab/>
      </w:r>
      <w:r w:rsidRPr="0096078C">
        <w:rPr>
          <w:rFonts w:eastAsia="PMingLiU" w:cs="Arial"/>
          <w:szCs w:val="24"/>
          <w:lang w:val="es-ES_tradnl"/>
        </w:rPr>
        <w:tab/>
      </w:r>
      <w:r w:rsidRPr="00704805">
        <w:rPr>
          <w:rFonts w:eastAsia="PMingLiU" w:cs="Arial"/>
          <w:szCs w:val="24"/>
          <w:lang w:val="es-ES_tradnl"/>
        </w:rPr>
        <w:t>Grupo de Trabajo Técnico sobre Plantas Agrícolas</w:t>
      </w:r>
    </w:p>
    <w:p w:rsidR="00487108" w:rsidRPr="0096078C" w:rsidRDefault="00487108" w:rsidP="00D335A4">
      <w:pPr>
        <w:rPr>
          <w:rFonts w:eastAsia="PMingLiU" w:cs="Arial"/>
          <w:szCs w:val="24"/>
          <w:lang w:val="es-ES_tradnl"/>
        </w:rPr>
      </w:pPr>
      <w:r w:rsidRPr="0096078C">
        <w:rPr>
          <w:rFonts w:eastAsia="PMingLiU" w:cs="Arial"/>
          <w:szCs w:val="24"/>
          <w:lang w:val="es-ES_tradnl"/>
        </w:rPr>
        <w:tab/>
      </w:r>
      <w:r w:rsidRPr="00704805">
        <w:rPr>
          <w:rFonts w:eastAsia="PMingLiU" w:cs="Arial"/>
          <w:szCs w:val="24"/>
          <w:lang w:val="es-ES_tradnl"/>
        </w:rPr>
        <w:t>TWC:</w:t>
      </w:r>
      <w:r w:rsidRPr="0096078C">
        <w:rPr>
          <w:rFonts w:eastAsia="PMingLiU" w:cs="Arial"/>
          <w:szCs w:val="24"/>
          <w:lang w:val="es-ES_tradnl"/>
        </w:rPr>
        <w:tab/>
      </w:r>
      <w:r w:rsidRPr="0096078C">
        <w:rPr>
          <w:rFonts w:eastAsia="PMingLiU" w:cs="Arial"/>
          <w:szCs w:val="24"/>
          <w:lang w:val="es-ES_tradnl"/>
        </w:rPr>
        <w:tab/>
      </w:r>
      <w:r w:rsidRPr="00704805">
        <w:rPr>
          <w:rFonts w:eastAsia="PMingLiU" w:cs="Arial"/>
          <w:szCs w:val="24"/>
          <w:lang w:val="es-ES_tradnl"/>
        </w:rPr>
        <w:t>Grupo de Trabajo Técnico sobre Automatización y Programas Informáticos</w:t>
      </w:r>
    </w:p>
    <w:p w:rsidR="00487108" w:rsidRPr="0096078C" w:rsidRDefault="00487108" w:rsidP="00D335A4">
      <w:pPr>
        <w:rPr>
          <w:rFonts w:eastAsia="PMingLiU" w:cs="Arial"/>
          <w:szCs w:val="24"/>
          <w:lang w:val="es-ES_tradnl"/>
        </w:rPr>
      </w:pPr>
      <w:r w:rsidRPr="0096078C">
        <w:rPr>
          <w:rFonts w:eastAsia="PMingLiU" w:cs="Arial"/>
          <w:szCs w:val="24"/>
          <w:lang w:val="es-ES_tradnl"/>
        </w:rPr>
        <w:tab/>
      </w:r>
      <w:r w:rsidRPr="00704805">
        <w:rPr>
          <w:rFonts w:eastAsia="PMingLiU" w:cs="Arial"/>
          <w:szCs w:val="24"/>
          <w:lang w:val="es-ES_tradnl"/>
        </w:rPr>
        <w:t>TWF:</w:t>
      </w:r>
      <w:r w:rsidRPr="0096078C">
        <w:rPr>
          <w:rFonts w:eastAsia="PMingLiU" w:cs="Arial"/>
          <w:szCs w:val="24"/>
          <w:lang w:val="es-ES_tradnl"/>
        </w:rPr>
        <w:t xml:space="preserve"> </w:t>
      </w:r>
      <w:r w:rsidRPr="0096078C">
        <w:rPr>
          <w:rFonts w:eastAsia="PMingLiU" w:cs="Arial"/>
          <w:szCs w:val="24"/>
          <w:lang w:val="es-ES_tradnl"/>
        </w:rPr>
        <w:tab/>
      </w:r>
      <w:r w:rsidRPr="0096078C">
        <w:rPr>
          <w:rFonts w:eastAsia="PMingLiU" w:cs="Arial"/>
          <w:szCs w:val="24"/>
          <w:lang w:val="es-ES_tradnl"/>
        </w:rPr>
        <w:tab/>
      </w:r>
      <w:r w:rsidRPr="00704805">
        <w:rPr>
          <w:rFonts w:eastAsia="PMingLiU" w:cs="Arial"/>
          <w:szCs w:val="24"/>
          <w:lang w:val="es-ES_tradnl"/>
        </w:rPr>
        <w:t>Grupo de Trabajo Técnico sobre Plantas Frutales</w:t>
      </w:r>
    </w:p>
    <w:p w:rsidR="00487108" w:rsidRPr="0096078C" w:rsidRDefault="00487108" w:rsidP="00D335A4">
      <w:pPr>
        <w:rPr>
          <w:rFonts w:eastAsia="PMingLiU" w:cs="Arial"/>
          <w:szCs w:val="24"/>
          <w:lang w:val="es-ES_tradnl"/>
        </w:rPr>
      </w:pPr>
      <w:r w:rsidRPr="0096078C">
        <w:rPr>
          <w:rFonts w:eastAsia="PMingLiU" w:cs="Arial"/>
          <w:szCs w:val="24"/>
          <w:lang w:val="es-ES_tradnl"/>
        </w:rPr>
        <w:tab/>
      </w:r>
      <w:r w:rsidRPr="00704805">
        <w:rPr>
          <w:rFonts w:eastAsia="PMingLiU" w:cs="Arial"/>
          <w:szCs w:val="24"/>
          <w:lang w:val="es-ES_tradnl"/>
        </w:rPr>
        <w:t>TWO:</w:t>
      </w:r>
      <w:r w:rsidRPr="0096078C">
        <w:rPr>
          <w:rFonts w:eastAsia="PMingLiU" w:cs="Arial"/>
          <w:szCs w:val="24"/>
          <w:lang w:val="es-ES_tradnl"/>
        </w:rPr>
        <w:tab/>
      </w:r>
      <w:r w:rsidRPr="0096078C">
        <w:rPr>
          <w:rFonts w:eastAsia="PMingLiU" w:cs="Arial"/>
          <w:szCs w:val="24"/>
          <w:lang w:val="es-ES_tradnl"/>
        </w:rPr>
        <w:tab/>
      </w:r>
      <w:r w:rsidRPr="00704805">
        <w:rPr>
          <w:rFonts w:eastAsia="PMingLiU" w:cs="Arial"/>
          <w:szCs w:val="24"/>
          <w:lang w:val="es-ES_tradnl"/>
        </w:rPr>
        <w:t>Grupo de Trabajo Técnico sobre Plantas Ornamentales y Árboles Forestales</w:t>
      </w:r>
    </w:p>
    <w:p w:rsidR="00487108" w:rsidRPr="0096078C" w:rsidRDefault="00487108" w:rsidP="00D335A4">
      <w:pPr>
        <w:rPr>
          <w:rFonts w:eastAsia="PMingLiU" w:cs="Arial"/>
          <w:szCs w:val="24"/>
          <w:lang w:val="es-ES_tradnl"/>
        </w:rPr>
      </w:pPr>
      <w:r w:rsidRPr="0096078C">
        <w:rPr>
          <w:rFonts w:eastAsia="PMingLiU" w:cs="Arial"/>
          <w:szCs w:val="24"/>
          <w:lang w:val="es-ES_tradnl"/>
        </w:rPr>
        <w:tab/>
      </w:r>
      <w:r w:rsidRPr="00704805">
        <w:rPr>
          <w:rFonts w:eastAsia="PMingLiU" w:cs="Arial"/>
          <w:szCs w:val="24"/>
          <w:lang w:val="es-ES_tradnl"/>
        </w:rPr>
        <w:t>TWP:</w:t>
      </w:r>
      <w:r w:rsidRPr="0096078C">
        <w:rPr>
          <w:rFonts w:eastAsia="PMingLiU" w:cs="Arial"/>
          <w:szCs w:val="24"/>
          <w:lang w:val="es-ES_tradnl"/>
        </w:rPr>
        <w:tab/>
      </w:r>
      <w:r w:rsidRPr="0096078C">
        <w:rPr>
          <w:rFonts w:eastAsia="PMingLiU" w:cs="Arial"/>
          <w:szCs w:val="24"/>
          <w:lang w:val="es-ES_tradnl"/>
        </w:rPr>
        <w:tab/>
      </w:r>
      <w:r w:rsidRPr="00704805">
        <w:rPr>
          <w:rFonts w:eastAsia="PMingLiU" w:cs="Arial"/>
          <w:szCs w:val="24"/>
          <w:lang w:val="es-ES_tradnl"/>
        </w:rPr>
        <w:t>Grupos de Trabajo Técnico</w:t>
      </w:r>
    </w:p>
    <w:p w:rsidR="00487108" w:rsidRPr="0096078C" w:rsidRDefault="00487108" w:rsidP="00D335A4">
      <w:pPr>
        <w:rPr>
          <w:rFonts w:eastAsia="PMingLiU" w:cs="Arial"/>
          <w:szCs w:val="24"/>
          <w:lang w:val="es-ES_tradnl"/>
        </w:rPr>
      </w:pPr>
      <w:r w:rsidRPr="0096078C">
        <w:rPr>
          <w:rFonts w:eastAsia="PMingLiU" w:cs="Arial"/>
          <w:szCs w:val="24"/>
          <w:lang w:val="es-ES_tradnl"/>
        </w:rPr>
        <w:tab/>
      </w:r>
      <w:r w:rsidRPr="00704805">
        <w:rPr>
          <w:rFonts w:eastAsia="PMingLiU" w:cs="Arial"/>
          <w:szCs w:val="24"/>
          <w:lang w:val="es-ES_tradnl"/>
        </w:rPr>
        <w:t>TWV:</w:t>
      </w:r>
      <w:r w:rsidRPr="0096078C">
        <w:rPr>
          <w:rFonts w:eastAsia="PMingLiU" w:cs="Arial"/>
          <w:szCs w:val="24"/>
          <w:lang w:val="es-ES_tradnl"/>
        </w:rPr>
        <w:tab/>
      </w:r>
      <w:r w:rsidRPr="0096078C">
        <w:rPr>
          <w:rFonts w:eastAsia="PMingLiU" w:cs="Arial"/>
          <w:szCs w:val="24"/>
          <w:lang w:val="es-ES_tradnl"/>
        </w:rPr>
        <w:tab/>
      </w:r>
      <w:r w:rsidRPr="00704805">
        <w:rPr>
          <w:rFonts w:eastAsia="PMingLiU" w:cs="Arial"/>
          <w:szCs w:val="24"/>
          <w:lang w:val="es-ES_tradnl"/>
        </w:rPr>
        <w:t>Grupo de Trabajo Técnico sobre Hortalizas</w:t>
      </w:r>
    </w:p>
    <w:p w:rsidR="00487108" w:rsidRPr="0096078C" w:rsidRDefault="00487108" w:rsidP="00D335A4">
      <w:pPr>
        <w:keepNext/>
        <w:outlineLvl w:val="0"/>
        <w:rPr>
          <w:b/>
          <w:caps/>
          <w:lang w:val="es-ES_tradnl"/>
        </w:rPr>
      </w:pPr>
    </w:p>
    <w:p w:rsidR="00487108" w:rsidRPr="0096078C" w:rsidRDefault="00487108" w:rsidP="00D335A4">
      <w:pPr>
        <w:jc w:val="left"/>
        <w:rPr>
          <w:rFonts w:cs="Arial"/>
          <w:color w:val="000000"/>
          <w:lang w:val="es-ES_tradnl"/>
        </w:rPr>
      </w:pPr>
      <w:r>
        <w:rPr>
          <w:rFonts w:cs="Arial"/>
        </w:rPr>
        <w:fldChar w:fldCharType="begin"/>
      </w:r>
      <w:r w:rsidRPr="0096078C">
        <w:rPr>
          <w:rFonts w:cs="Arial"/>
          <w:lang w:val="es-ES_tradnl"/>
        </w:rPr>
        <w:instrText xml:space="preserve"> AUTONUM  </w:instrText>
      </w:r>
      <w:r>
        <w:rPr>
          <w:rFonts w:cs="Arial"/>
        </w:rPr>
        <w:fldChar w:fldCharType="end"/>
      </w:r>
      <w:r w:rsidRPr="0096078C">
        <w:rPr>
          <w:rFonts w:cs="Arial"/>
          <w:lang w:val="es-ES_tradnl"/>
        </w:rPr>
        <w:tab/>
      </w:r>
      <w:r w:rsidRPr="00704805">
        <w:rPr>
          <w:rFonts w:cs="Arial"/>
          <w:lang w:val="es-ES_tradnl" w:eastAsia="ja-JP"/>
        </w:rPr>
        <w:t>La estructura del presente documento es la siguiente:</w:t>
      </w:r>
    </w:p>
    <w:p w:rsidR="00487108" w:rsidRPr="0096078C" w:rsidRDefault="00487108" w:rsidP="00D335A4">
      <w:pPr>
        <w:pStyle w:val="Heading1"/>
        <w:rPr>
          <w:lang w:val="es-ES_tradnl"/>
        </w:rPr>
      </w:pPr>
    </w:p>
    <w:p w:rsidR="00B77BA9" w:rsidRDefault="00487108">
      <w:pPr>
        <w:pStyle w:val="TOC1"/>
        <w:rPr>
          <w:rFonts w:asciiTheme="minorHAnsi" w:eastAsiaTheme="minorEastAsia" w:hAnsiTheme="minorHAnsi" w:cstheme="minorBidi"/>
          <w:caps w:val="0"/>
          <w:noProof/>
          <w:sz w:val="22"/>
          <w:szCs w:val="22"/>
        </w:rPr>
      </w:pPr>
      <w:r w:rsidRPr="00AA2F7F">
        <w:rPr>
          <w:caps w:val="0"/>
          <w:dstrike/>
        </w:rPr>
        <w:fldChar w:fldCharType="begin"/>
      </w:r>
      <w:r w:rsidRPr="00AA2F7F">
        <w:rPr>
          <w:caps w:val="0"/>
          <w:dstrike/>
        </w:rPr>
        <w:instrText xml:space="preserve"> TOC \o "1-3" \h \z \u </w:instrText>
      </w:r>
      <w:r w:rsidRPr="00AA2F7F">
        <w:rPr>
          <w:caps w:val="0"/>
          <w:dstrike/>
        </w:rPr>
        <w:fldChar w:fldCharType="separate"/>
      </w:r>
      <w:hyperlink w:anchor="_Toc379804935" w:history="1">
        <w:r w:rsidR="00B77BA9" w:rsidRPr="00DA2687">
          <w:rPr>
            <w:rStyle w:val="Hyperlink"/>
            <w:noProof/>
            <w:lang w:val="es-ES_tradnl"/>
          </w:rPr>
          <w:t>ANTECEDENTES</w:t>
        </w:r>
        <w:r w:rsidR="00B77BA9">
          <w:rPr>
            <w:noProof/>
            <w:webHidden/>
          </w:rPr>
          <w:tab/>
        </w:r>
        <w:r w:rsidR="00B77BA9">
          <w:rPr>
            <w:noProof/>
            <w:webHidden/>
          </w:rPr>
          <w:fldChar w:fldCharType="begin"/>
        </w:r>
        <w:r w:rsidR="00B77BA9">
          <w:rPr>
            <w:noProof/>
            <w:webHidden/>
          </w:rPr>
          <w:instrText xml:space="preserve"> PAGEREF _Toc379804935 \h </w:instrText>
        </w:r>
        <w:r w:rsidR="00B77BA9">
          <w:rPr>
            <w:noProof/>
            <w:webHidden/>
          </w:rPr>
        </w:r>
        <w:r w:rsidR="00B77BA9">
          <w:rPr>
            <w:noProof/>
            <w:webHidden/>
          </w:rPr>
          <w:fldChar w:fldCharType="separate"/>
        </w:r>
        <w:r w:rsidR="00D051C7">
          <w:rPr>
            <w:noProof/>
            <w:webHidden/>
          </w:rPr>
          <w:t>2</w:t>
        </w:r>
        <w:r w:rsidR="00B77BA9">
          <w:rPr>
            <w:noProof/>
            <w:webHidden/>
          </w:rPr>
          <w:fldChar w:fldCharType="end"/>
        </w:r>
      </w:hyperlink>
    </w:p>
    <w:p w:rsidR="00B77BA9" w:rsidRDefault="00B77BA9">
      <w:pPr>
        <w:pStyle w:val="TOC1"/>
        <w:rPr>
          <w:rFonts w:asciiTheme="minorHAnsi" w:eastAsiaTheme="minorEastAsia" w:hAnsiTheme="minorHAnsi" w:cstheme="minorBidi"/>
          <w:caps w:val="0"/>
          <w:noProof/>
          <w:sz w:val="22"/>
          <w:szCs w:val="22"/>
        </w:rPr>
      </w:pPr>
      <w:hyperlink w:anchor="_Toc379804936" w:history="1">
        <w:r w:rsidRPr="00DA2687">
          <w:rPr>
            <w:rStyle w:val="Hyperlink"/>
            <w:noProof/>
            <w:lang w:val="es-ES_tradnl"/>
          </w:rPr>
          <w:t>OBSERVACIONES FORMULADAS por el Comité Técnico en 2013</w:t>
        </w:r>
        <w:r>
          <w:rPr>
            <w:noProof/>
            <w:webHidden/>
          </w:rPr>
          <w:tab/>
        </w:r>
        <w:r>
          <w:rPr>
            <w:noProof/>
            <w:webHidden/>
          </w:rPr>
          <w:fldChar w:fldCharType="begin"/>
        </w:r>
        <w:r>
          <w:rPr>
            <w:noProof/>
            <w:webHidden/>
          </w:rPr>
          <w:instrText xml:space="preserve"> PAGEREF _Toc379804936 \h </w:instrText>
        </w:r>
        <w:r>
          <w:rPr>
            <w:noProof/>
            <w:webHidden/>
          </w:rPr>
        </w:r>
        <w:r>
          <w:rPr>
            <w:noProof/>
            <w:webHidden/>
          </w:rPr>
          <w:fldChar w:fldCharType="separate"/>
        </w:r>
        <w:r w:rsidR="00D051C7">
          <w:rPr>
            <w:noProof/>
            <w:webHidden/>
          </w:rPr>
          <w:t>2</w:t>
        </w:r>
        <w:r>
          <w:rPr>
            <w:noProof/>
            <w:webHidden/>
          </w:rPr>
          <w:fldChar w:fldCharType="end"/>
        </w:r>
      </w:hyperlink>
    </w:p>
    <w:p w:rsidR="00B77BA9" w:rsidRDefault="00B77BA9">
      <w:pPr>
        <w:pStyle w:val="TOC1"/>
        <w:rPr>
          <w:rFonts w:asciiTheme="minorHAnsi" w:eastAsiaTheme="minorEastAsia" w:hAnsiTheme="minorHAnsi" w:cstheme="minorBidi"/>
          <w:caps w:val="0"/>
          <w:noProof/>
          <w:sz w:val="22"/>
          <w:szCs w:val="22"/>
        </w:rPr>
      </w:pPr>
      <w:hyperlink w:anchor="_Toc379804937" w:history="1">
        <w:r w:rsidRPr="00DA2687">
          <w:rPr>
            <w:rStyle w:val="Hyperlink"/>
            <w:noProof/>
            <w:lang w:val="es-ES_tradnl"/>
          </w:rPr>
          <w:t>OBSERVACIONES FORMULADAS POR LOS GRUPOS DE TRABAJO TÉCNICO EN 2013</w:t>
        </w:r>
        <w:r>
          <w:rPr>
            <w:noProof/>
            <w:webHidden/>
          </w:rPr>
          <w:tab/>
        </w:r>
        <w:r>
          <w:rPr>
            <w:noProof/>
            <w:webHidden/>
          </w:rPr>
          <w:fldChar w:fldCharType="begin"/>
        </w:r>
        <w:r>
          <w:rPr>
            <w:noProof/>
            <w:webHidden/>
          </w:rPr>
          <w:instrText xml:space="preserve"> PAGEREF _Toc379804937 \h </w:instrText>
        </w:r>
        <w:r>
          <w:rPr>
            <w:noProof/>
            <w:webHidden/>
          </w:rPr>
        </w:r>
        <w:r>
          <w:rPr>
            <w:noProof/>
            <w:webHidden/>
          </w:rPr>
          <w:fldChar w:fldCharType="separate"/>
        </w:r>
        <w:r w:rsidR="00D051C7">
          <w:rPr>
            <w:noProof/>
            <w:webHidden/>
          </w:rPr>
          <w:t>2</w:t>
        </w:r>
        <w:r>
          <w:rPr>
            <w:noProof/>
            <w:webHidden/>
          </w:rPr>
          <w:fldChar w:fldCharType="end"/>
        </w:r>
      </w:hyperlink>
    </w:p>
    <w:p w:rsidR="00B77BA9" w:rsidRDefault="00B77BA9">
      <w:pPr>
        <w:pStyle w:val="TOC1"/>
        <w:rPr>
          <w:rFonts w:asciiTheme="minorHAnsi" w:eastAsiaTheme="minorEastAsia" w:hAnsiTheme="minorHAnsi" w:cstheme="minorBidi"/>
          <w:caps w:val="0"/>
          <w:noProof/>
          <w:sz w:val="22"/>
          <w:szCs w:val="22"/>
        </w:rPr>
      </w:pPr>
      <w:hyperlink w:anchor="_Toc379804938" w:history="1">
        <w:r w:rsidRPr="00DA2687">
          <w:rPr>
            <w:rStyle w:val="Hyperlink"/>
            <w:noProof/>
            <w:lang w:val="es-ES_tradnl"/>
          </w:rPr>
          <w:t>Propuesta</w:t>
        </w:r>
        <w:r>
          <w:rPr>
            <w:noProof/>
            <w:webHidden/>
          </w:rPr>
          <w:tab/>
        </w:r>
        <w:r>
          <w:rPr>
            <w:noProof/>
            <w:webHidden/>
          </w:rPr>
          <w:fldChar w:fldCharType="begin"/>
        </w:r>
        <w:r>
          <w:rPr>
            <w:noProof/>
            <w:webHidden/>
          </w:rPr>
          <w:instrText xml:space="preserve"> PAGEREF _Toc379804938 \h </w:instrText>
        </w:r>
        <w:r>
          <w:rPr>
            <w:noProof/>
            <w:webHidden/>
          </w:rPr>
        </w:r>
        <w:r>
          <w:rPr>
            <w:noProof/>
            <w:webHidden/>
          </w:rPr>
          <w:fldChar w:fldCharType="separate"/>
        </w:r>
        <w:r w:rsidR="00D051C7">
          <w:rPr>
            <w:noProof/>
            <w:webHidden/>
          </w:rPr>
          <w:t>3</w:t>
        </w:r>
        <w:r>
          <w:rPr>
            <w:noProof/>
            <w:webHidden/>
          </w:rPr>
          <w:fldChar w:fldCharType="end"/>
        </w:r>
      </w:hyperlink>
    </w:p>
    <w:p w:rsidR="00487108" w:rsidRDefault="00487108" w:rsidP="00D335A4">
      <w:pPr>
        <w:tabs>
          <w:tab w:val="left" w:pos="1701"/>
        </w:tabs>
        <w:autoSpaceDE w:val="0"/>
        <w:autoSpaceDN w:val="0"/>
        <w:adjustRightInd w:val="0"/>
        <w:ind w:left="1710" w:hanging="1710"/>
        <w:rPr>
          <w:b/>
          <w:bCs/>
          <w:noProof/>
        </w:rPr>
      </w:pPr>
      <w:r w:rsidRPr="00AA2F7F">
        <w:rPr>
          <w:caps/>
          <w:dstrike/>
        </w:rPr>
        <w:fldChar w:fldCharType="end"/>
      </w:r>
    </w:p>
    <w:p w:rsidR="00487108" w:rsidRPr="0096078C" w:rsidRDefault="00487108" w:rsidP="00B77BA9">
      <w:pPr>
        <w:tabs>
          <w:tab w:val="left" w:pos="1134"/>
        </w:tabs>
        <w:autoSpaceDE w:val="0"/>
        <w:autoSpaceDN w:val="0"/>
        <w:adjustRightInd w:val="0"/>
        <w:ind w:left="1134" w:right="283" w:hanging="1134"/>
        <w:rPr>
          <w:lang w:val="es-ES_tradnl"/>
        </w:rPr>
      </w:pPr>
      <w:r w:rsidRPr="00704805">
        <w:rPr>
          <w:bCs/>
          <w:lang w:val="es-ES_tradnl"/>
        </w:rPr>
        <w:t>ANEXO I</w:t>
      </w:r>
      <w:r w:rsidRPr="0096078C">
        <w:rPr>
          <w:bCs/>
          <w:noProof/>
          <w:lang w:val="es-ES_tradnl"/>
        </w:rPr>
        <w:tab/>
      </w:r>
      <w:r w:rsidRPr="0082237D">
        <w:rPr>
          <w:rFonts w:eastAsia="MS Mincho"/>
          <w:color w:val="000000"/>
          <w:szCs w:val="24"/>
          <w:lang w:val="es-ES_tradnl" w:eastAsia="ja-JP"/>
        </w:rPr>
        <w:t>Proyecto de propuesta de revisión del documento TGP/8, Sección 10:  “Número mínimo de variedades comparables para el método de la varianza relativa” examinado por</w:t>
      </w:r>
      <w:r w:rsidRPr="0082237D">
        <w:rPr>
          <w:lang w:val="es-ES_tradnl"/>
        </w:rPr>
        <w:t xml:space="preserve"> </w:t>
      </w:r>
      <w:r w:rsidRPr="0082237D">
        <w:rPr>
          <w:rFonts w:eastAsia="MS Mincho"/>
          <w:color w:val="000000"/>
          <w:szCs w:val="24"/>
          <w:lang w:val="es-ES_tradnl" w:eastAsia="ja-JP"/>
        </w:rPr>
        <w:t>el TC</w:t>
      </w:r>
      <w:r w:rsidR="00BD0BF9">
        <w:rPr>
          <w:lang w:val="es-ES_tradnl"/>
        </w:rPr>
        <w:t xml:space="preserve"> y los </w:t>
      </w:r>
      <w:r w:rsidRPr="0082237D">
        <w:rPr>
          <w:rFonts w:eastAsia="MS Mincho"/>
          <w:color w:val="000000"/>
          <w:szCs w:val="24"/>
          <w:lang w:val="es-ES_tradnl" w:eastAsia="ja-JP"/>
        </w:rPr>
        <w:t>TWP</w:t>
      </w:r>
      <w:r w:rsidRPr="0082237D">
        <w:rPr>
          <w:lang w:val="es-ES_tradnl"/>
        </w:rPr>
        <w:t xml:space="preserve"> en sus sesiones de </w:t>
      </w:r>
      <w:r w:rsidRPr="0082237D">
        <w:rPr>
          <w:rFonts w:eastAsia="MS Mincho"/>
          <w:color w:val="000000"/>
          <w:szCs w:val="24"/>
          <w:lang w:val="es-ES_tradnl" w:eastAsia="ja-JP"/>
        </w:rPr>
        <w:t>2013</w:t>
      </w:r>
    </w:p>
    <w:p w:rsidR="00B77BA9" w:rsidRDefault="00B77BA9" w:rsidP="00B77BA9">
      <w:pPr>
        <w:tabs>
          <w:tab w:val="left" w:pos="1134"/>
        </w:tabs>
        <w:ind w:left="1134" w:right="283" w:hanging="1134"/>
        <w:rPr>
          <w:bCs/>
          <w:lang w:val="es-ES_tradnl"/>
        </w:rPr>
      </w:pPr>
    </w:p>
    <w:p w:rsidR="00487108" w:rsidRPr="0096078C" w:rsidRDefault="00487108" w:rsidP="00B77BA9">
      <w:pPr>
        <w:tabs>
          <w:tab w:val="left" w:pos="1134"/>
        </w:tabs>
        <w:ind w:left="1134" w:right="283" w:hanging="1134"/>
        <w:rPr>
          <w:caps/>
          <w:lang w:val="es-ES_tradnl"/>
        </w:rPr>
      </w:pPr>
      <w:r w:rsidRPr="00704805">
        <w:rPr>
          <w:bCs/>
          <w:lang w:val="es-ES_tradnl"/>
        </w:rPr>
        <w:t>ANEXO II</w:t>
      </w:r>
      <w:r w:rsidRPr="0096078C">
        <w:rPr>
          <w:bCs/>
          <w:noProof/>
          <w:lang w:val="es-ES_tradnl"/>
        </w:rPr>
        <w:tab/>
      </w:r>
      <w:r w:rsidRPr="0082237D">
        <w:rPr>
          <w:bCs/>
          <w:lang w:val="es-ES_tradnl"/>
        </w:rPr>
        <w:t>Proyecto revisado de propuesta de revisión del documento TGP/8, Sección 10:  “Evaluación de la homogeneidad a partir del método de la varianza relativa”</w:t>
      </w:r>
    </w:p>
    <w:p w:rsidR="00487108" w:rsidRPr="0096078C" w:rsidRDefault="00487108" w:rsidP="00D335A4">
      <w:pPr>
        <w:rPr>
          <w:lang w:val="es-ES_tradnl"/>
        </w:rPr>
      </w:pPr>
    </w:p>
    <w:p w:rsidR="00487108" w:rsidRPr="0096078C" w:rsidRDefault="00487108" w:rsidP="00D335A4">
      <w:pPr>
        <w:rPr>
          <w:lang w:val="es-ES_tradnl"/>
        </w:rPr>
      </w:pPr>
    </w:p>
    <w:p w:rsidR="00B77BA9" w:rsidRDefault="00B77BA9">
      <w:pPr>
        <w:jc w:val="left"/>
        <w:rPr>
          <w:caps/>
          <w:lang w:val="es-ES_tradnl"/>
        </w:rPr>
      </w:pPr>
      <w:bookmarkStart w:id="3" w:name="_Toc379804935"/>
      <w:r>
        <w:rPr>
          <w:caps/>
          <w:lang w:val="es-ES_tradnl"/>
        </w:rPr>
        <w:lastRenderedPageBreak/>
        <w:br w:type="page"/>
      </w:r>
    </w:p>
    <w:p w:rsidR="00487108" w:rsidRPr="0096078C" w:rsidRDefault="00487108" w:rsidP="00D335A4">
      <w:pPr>
        <w:keepNext/>
        <w:outlineLvl w:val="0"/>
        <w:rPr>
          <w:caps/>
          <w:lang w:val="es-ES_tradnl"/>
        </w:rPr>
      </w:pPr>
      <w:r w:rsidRPr="00704805">
        <w:rPr>
          <w:caps/>
          <w:lang w:val="es-ES_tradnl"/>
        </w:rPr>
        <w:t>ANTECEDENTES</w:t>
      </w:r>
      <w:bookmarkEnd w:id="3"/>
    </w:p>
    <w:p w:rsidR="00487108" w:rsidRPr="0096078C" w:rsidRDefault="00487108" w:rsidP="00D335A4">
      <w:pPr>
        <w:rPr>
          <w:lang w:val="es-ES_tradnl"/>
        </w:rPr>
      </w:pPr>
    </w:p>
    <w:p w:rsidR="00487108" w:rsidRPr="0096078C" w:rsidRDefault="00487108" w:rsidP="00D335A4">
      <w:pPr>
        <w:rPr>
          <w:lang w:val="es-ES_tradnl"/>
        </w:rPr>
      </w:pPr>
      <w:r w:rsidRPr="00100526">
        <w:fldChar w:fldCharType="begin"/>
      </w:r>
      <w:r w:rsidRPr="0096078C">
        <w:rPr>
          <w:lang w:val="es-ES_tradnl"/>
        </w:rPr>
        <w:instrText xml:space="preserve"> AUTONUM  </w:instrText>
      </w:r>
      <w:r w:rsidRPr="00100526">
        <w:fldChar w:fldCharType="end"/>
      </w:r>
      <w:r w:rsidRPr="0096078C">
        <w:rPr>
          <w:lang w:val="es-ES_tradnl"/>
        </w:rPr>
        <w:tab/>
      </w:r>
      <w:r w:rsidRPr="0082237D">
        <w:rPr>
          <w:lang w:val="es-ES_tradnl"/>
        </w:rPr>
        <w:t>En su cuadragésima octava sesión, celebrada en Ginebra del 26 al 28 de marzo de 2012, el Comité Técnico (TC) examinó la propuesta de revisión de la Sección 10:  Evaluación de la homogeneidad a partir del método de la varianza relativa, sobre la base del documento TC/48/19 Rev. “Revisión del documento TGP/8: Diseño de ensayos y técnicas utilizados en el examen de la distinción, la homogeneidad y la estabilidad”, Anexo XIV.</w:t>
      </w:r>
      <w:r w:rsidRPr="0096078C">
        <w:rPr>
          <w:lang w:val="es-ES_tradnl"/>
        </w:rPr>
        <w:t xml:space="preserve"> </w:t>
      </w:r>
      <w:r w:rsidRPr="0082237D">
        <w:rPr>
          <w:lang w:val="es-ES_tradnl"/>
        </w:rPr>
        <w:t>El TC tomó nota de los comentarios del Grupo de Trabajo Técnico sobre Automatización y Programas Informáticos (TWC) acerca de algunas premisas utilizadas para el método y de que Australia seguiría estudiando esas premisas y el valor F empleado en los cálculos (véase el párrafo 65 del documento TC/48/22 “Informe sobre las conclusiones”).</w:t>
      </w:r>
    </w:p>
    <w:p w:rsidR="00487108" w:rsidRPr="0096078C" w:rsidRDefault="00487108" w:rsidP="00D335A4">
      <w:pPr>
        <w:rPr>
          <w:lang w:val="es-ES_tradnl"/>
        </w:rPr>
      </w:pPr>
    </w:p>
    <w:p w:rsidR="00487108" w:rsidRPr="0096078C" w:rsidRDefault="00487108" w:rsidP="00D335A4">
      <w:pPr>
        <w:rPr>
          <w:lang w:val="es-ES_tradnl"/>
        </w:rPr>
      </w:pPr>
      <w:r w:rsidRPr="00100526">
        <w:fldChar w:fldCharType="begin"/>
      </w:r>
      <w:r w:rsidRPr="0096078C">
        <w:rPr>
          <w:lang w:val="es-ES_tradnl"/>
        </w:rPr>
        <w:instrText xml:space="preserve"> AUTONUM  </w:instrText>
      </w:r>
      <w:r w:rsidRPr="00100526">
        <w:fldChar w:fldCharType="end"/>
      </w:r>
      <w:r w:rsidRPr="0096078C">
        <w:rPr>
          <w:lang w:val="es-ES_tradnl"/>
        </w:rPr>
        <w:tab/>
      </w:r>
      <w:r w:rsidRPr="0082237D">
        <w:rPr>
          <w:lang w:val="es-ES_tradnl"/>
        </w:rPr>
        <w:t>El TC aprobó el plan de trabajo para la elaboración del documento TGP/8 que se presenta en el Anexo XV del documento TC/48/19 Rev., en el que se indica que la Sección 10:  Evaluación de la homogeneidad a partir del método de la varianza relativa, será examinada por los Grupos de Trabajo Técnico (TWP) en 2012.</w:t>
      </w:r>
      <w:r w:rsidRPr="0096078C">
        <w:rPr>
          <w:lang w:val="es-ES_tradnl"/>
        </w:rPr>
        <w:t xml:space="preserve">  </w:t>
      </w:r>
      <w:r w:rsidRPr="0082237D">
        <w:rPr>
          <w:lang w:val="es-ES_tradnl"/>
        </w:rPr>
        <w:t>El TC señaló que será necesario elaborar nuevos borradores de las secciones pertinentes antes del 26 de abril de 2012, para que puedan incluirse en el proyecto que se someterá a examen de los TWP en sus sesiones de 2012 (véanse los párrafos 49 y 78 del documento TC/48/22 “Informe sobre las conclusiones”).</w:t>
      </w:r>
    </w:p>
    <w:p w:rsidR="00487108" w:rsidRPr="0096078C" w:rsidRDefault="00487108" w:rsidP="00D335A4">
      <w:pPr>
        <w:rPr>
          <w:lang w:val="es-ES_tradnl"/>
        </w:rPr>
      </w:pPr>
    </w:p>
    <w:p w:rsidR="00487108" w:rsidRPr="0096078C" w:rsidRDefault="00487108" w:rsidP="00D335A4">
      <w:pPr>
        <w:rPr>
          <w:lang w:val="es-ES_tradnl"/>
        </w:rPr>
      </w:pPr>
    </w:p>
    <w:p w:rsidR="00487108" w:rsidRPr="0096078C" w:rsidRDefault="00487108" w:rsidP="00D335A4">
      <w:pPr>
        <w:keepNext/>
        <w:outlineLvl w:val="0"/>
        <w:rPr>
          <w:caps/>
          <w:lang w:val="es-ES_tradnl"/>
        </w:rPr>
      </w:pPr>
      <w:bookmarkStart w:id="4" w:name="_Toc379804936"/>
      <w:r w:rsidRPr="0082237D">
        <w:rPr>
          <w:caps/>
          <w:lang w:val="es-ES_tradnl"/>
        </w:rPr>
        <w:t>OBSERVACIONES FORMULADAS por el Comité Técnico en 2013</w:t>
      </w:r>
      <w:bookmarkEnd w:id="4"/>
    </w:p>
    <w:p w:rsidR="00487108" w:rsidRPr="0096078C" w:rsidRDefault="00487108" w:rsidP="00D335A4">
      <w:pPr>
        <w:rPr>
          <w:lang w:val="es-ES_tradnl"/>
        </w:rPr>
      </w:pPr>
    </w:p>
    <w:p w:rsidR="00487108" w:rsidRPr="0096078C" w:rsidRDefault="00487108" w:rsidP="00D335A4">
      <w:pPr>
        <w:rPr>
          <w:iCs/>
          <w:spacing w:val="-4"/>
          <w:lang w:val="es-ES_tradnl"/>
        </w:rPr>
      </w:pPr>
      <w:r w:rsidRPr="00394C32">
        <w:rPr>
          <w:rFonts w:cs="Arial"/>
        </w:rPr>
        <w:fldChar w:fldCharType="begin"/>
      </w:r>
      <w:r w:rsidRPr="0096078C">
        <w:rPr>
          <w:rFonts w:cs="Arial"/>
          <w:lang w:val="es-ES_tradnl"/>
        </w:rPr>
        <w:instrText xml:space="preserve"> AUTONUM  </w:instrText>
      </w:r>
      <w:r w:rsidRPr="00394C32">
        <w:rPr>
          <w:rFonts w:cs="Arial"/>
        </w:rPr>
        <w:fldChar w:fldCharType="end"/>
      </w:r>
      <w:r w:rsidRPr="0096078C">
        <w:rPr>
          <w:rFonts w:cs="Arial"/>
          <w:lang w:val="es-ES_tradnl"/>
        </w:rPr>
        <w:tab/>
      </w:r>
      <w:r w:rsidRPr="0082237D">
        <w:rPr>
          <w:lang w:val="es-ES_tradnl"/>
        </w:rPr>
        <w:t>En su cuadragésima novena sesión, celebrada en Ginebra del 18 al 20 de marzo de 2013, el TC examinó el documento TC/49/27 “Revisión del documento TGP/8:  Parte II:  Técnicas utilizadas en el examen DHE, Sección 10:  Número mínimo de variedades comparables para el método de la varianza relativa”.</w:t>
      </w:r>
      <w:r w:rsidRPr="0096078C">
        <w:rPr>
          <w:rFonts w:cs="Arial"/>
          <w:lang w:val="es-ES_tradnl"/>
        </w:rPr>
        <w:t xml:space="preserve">  </w:t>
      </w:r>
      <w:r w:rsidRPr="0082237D">
        <w:rPr>
          <w:iCs/>
          <w:spacing w:val="-4"/>
          <w:lang w:val="es-ES_tradnl"/>
        </w:rPr>
        <w:t>El TC tomó nota de las modificaciones propuestas de la revisión de la Sección 10 del documento TGP/8, según se expone en el Anexo II del documento TC/49/27 (véanse los párrafos 60 y 61 del documento TC/49/41 “Informe sobre las conclusiones”).</w:t>
      </w:r>
    </w:p>
    <w:p w:rsidR="00487108" w:rsidRPr="0096078C" w:rsidRDefault="00487108" w:rsidP="00D335A4">
      <w:pPr>
        <w:rPr>
          <w:iCs/>
          <w:spacing w:val="-4"/>
          <w:lang w:val="es-ES_tradnl"/>
        </w:rPr>
      </w:pPr>
    </w:p>
    <w:p w:rsidR="00487108" w:rsidRPr="0096078C" w:rsidRDefault="00487108" w:rsidP="00D335A4">
      <w:pPr>
        <w:rPr>
          <w:rFonts w:cs="Arial"/>
          <w:lang w:val="es-ES_tradnl"/>
        </w:rPr>
      </w:pPr>
      <w:r w:rsidRPr="00394C32">
        <w:rPr>
          <w:rFonts w:cs="Arial"/>
        </w:rPr>
        <w:fldChar w:fldCharType="begin"/>
      </w:r>
      <w:r w:rsidRPr="0096078C">
        <w:rPr>
          <w:rFonts w:cs="Arial"/>
          <w:lang w:val="es-ES_tradnl"/>
        </w:rPr>
        <w:instrText xml:space="preserve"> AUTONUM  </w:instrText>
      </w:r>
      <w:r w:rsidRPr="00394C32">
        <w:rPr>
          <w:rFonts w:cs="Arial"/>
        </w:rPr>
        <w:fldChar w:fldCharType="end"/>
      </w:r>
      <w:r w:rsidRPr="0096078C">
        <w:rPr>
          <w:rFonts w:cs="Arial"/>
          <w:lang w:val="es-ES_tradnl"/>
        </w:rPr>
        <w:tab/>
      </w:r>
      <w:r w:rsidRPr="0082237D">
        <w:rPr>
          <w:rFonts w:cs="Arial"/>
          <w:lang w:val="es-ES_tradnl"/>
        </w:rPr>
        <w:t>El TC convino en invitar a un experto de Australia a que redacte un nuevo borrador de la Sección 10 del documento TGP/8, con una recomendación acerca del número mínimo de variedades comparables, para someterlo al examen de los TWP en sus reuniones de 2013.</w:t>
      </w:r>
      <w:r w:rsidRPr="0096078C">
        <w:rPr>
          <w:iCs/>
          <w:spacing w:val="-4"/>
          <w:lang w:val="es-ES_tradnl"/>
        </w:rPr>
        <w:t xml:space="preserve">  </w:t>
      </w:r>
      <w:r w:rsidRPr="0082237D">
        <w:rPr>
          <w:iCs/>
          <w:spacing w:val="-4"/>
          <w:lang w:val="es-ES_tradnl"/>
        </w:rPr>
        <w:t>La Delegación de Australia explicó que el número mínimo era uno (véase el párrafo 62 del documento TC/49/41 “Informe sobre las conclusiones”).</w:t>
      </w:r>
    </w:p>
    <w:p w:rsidR="00487108" w:rsidRPr="0096078C" w:rsidRDefault="00487108" w:rsidP="00D335A4">
      <w:pPr>
        <w:rPr>
          <w:lang w:val="es-ES_tradnl"/>
        </w:rPr>
      </w:pPr>
    </w:p>
    <w:p w:rsidR="00487108" w:rsidRPr="0096078C" w:rsidRDefault="00487108" w:rsidP="00D335A4">
      <w:pPr>
        <w:rPr>
          <w:rFonts w:cs="Arial"/>
          <w:lang w:val="es-ES_tradnl"/>
        </w:rPr>
      </w:pPr>
    </w:p>
    <w:p w:rsidR="00487108" w:rsidRPr="0096078C" w:rsidRDefault="00487108" w:rsidP="00D335A4">
      <w:pPr>
        <w:pStyle w:val="Heading1"/>
        <w:rPr>
          <w:lang w:val="es-ES_tradnl"/>
        </w:rPr>
      </w:pPr>
      <w:bookmarkStart w:id="5" w:name="_Toc379804937"/>
      <w:r w:rsidRPr="00704805">
        <w:rPr>
          <w:lang w:val="es-ES_tradnl"/>
        </w:rPr>
        <w:t>OBSERVACIONES FORMULADAS POR LOS GRUPOS DE TRABAJO TÉCNICO EN 2013</w:t>
      </w:r>
      <w:bookmarkEnd w:id="5"/>
      <w:r w:rsidRPr="0096078C">
        <w:rPr>
          <w:lang w:val="es-ES_tradnl"/>
        </w:rPr>
        <w:t xml:space="preserve"> </w:t>
      </w:r>
    </w:p>
    <w:p w:rsidR="00487108" w:rsidRPr="0096078C" w:rsidRDefault="00487108" w:rsidP="00D335A4">
      <w:pPr>
        <w:rPr>
          <w:lang w:val="es-ES_tradnl"/>
        </w:rPr>
      </w:pPr>
    </w:p>
    <w:p w:rsidR="00487108" w:rsidRPr="00394C32" w:rsidRDefault="00487108" w:rsidP="00D335A4">
      <w:pPr>
        <w:keepNext/>
        <w:rPr>
          <w:rFonts w:cs="Arial"/>
        </w:rPr>
      </w:pPr>
      <w:r w:rsidRPr="00394C32">
        <w:fldChar w:fldCharType="begin"/>
      </w:r>
      <w:r w:rsidRPr="0096078C">
        <w:rPr>
          <w:lang w:val="es-ES_tradnl"/>
        </w:rPr>
        <w:instrText xml:space="preserve"> AUTONUM  </w:instrText>
      </w:r>
      <w:r w:rsidRPr="00394C32">
        <w:fldChar w:fldCharType="end"/>
      </w:r>
      <w:r w:rsidRPr="0096078C">
        <w:rPr>
          <w:lang w:val="es-ES_tradnl"/>
        </w:rPr>
        <w:tab/>
      </w:r>
      <w:r w:rsidRPr="0082237D">
        <w:rPr>
          <w:rFonts w:cs="Arial"/>
          <w:lang w:val="es-ES_tradnl"/>
        </w:rPr>
        <w:t>En sus reuniones de 2013, el TWO, el TWF, el TWV, el TWC y el TWA examinaron respectivamente los documentos TWO/46/16, TWF/44/16, TWV/47/16, TWC/31/16 y TWA/42/16.</w:t>
      </w:r>
      <w:r w:rsidRPr="0096078C">
        <w:rPr>
          <w:rFonts w:cs="Arial"/>
          <w:lang w:val="es-ES_tradnl"/>
        </w:rPr>
        <w:t xml:space="preserve">  </w:t>
      </w:r>
      <w:r w:rsidRPr="0082237D">
        <w:rPr>
          <w:rFonts w:cs="Arial"/>
          <w:lang w:val="es-ES_tradnl"/>
        </w:rPr>
        <w:t>El proyecto de propuesta de revisión del documento TGP/8, Sección 10:  “Número mínimo de variedades comparables para el método de la varianza relativa” examinado por los TWP se reproduce en el Anexo I del presente documento.</w:t>
      </w:r>
      <w:r w:rsidRPr="0096078C">
        <w:rPr>
          <w:rFonts w:cs="Arial"/>
          <w:lang w:val="es-ES_tradnl"/>
        </w:rPr>
        <w:t xml:space="preserve"> </w:t>
      </w:r>
      <w:r w:rsidRPr="0082237D">
        <w:rPr>
          <w:rFonts w:cs="Arial"/>
          <w:lang w:val="es-ES_tradnl"/>
        </w:rPr>
        <w:t>Los TWP formularon las siguientes observaciones:</w:t>
      </w:r>
    </w:p>
    <w:p w:rsidR="00487108" w:rsidRDefault="00487108" w:rsidP="00D335A4">
      <w:pPr>
        <w:rPr>
          <w:rFonts w:cs="Arial"/>
        </w:rPr>
      </w:pP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50"/>
        <w:gridCol w:w="6804"/>
        <w:gridCol w:w="823"/>
      </w:tblGrid>
      <w:tr w:rsidR="00487108" w:rsidRPr="00100526" w:rsidTr="00C622EB">
        <w:trPr>
          <w:cantSplit/>
        </w:trPr>
        <w:tc>
          <w:tcPr>
            <w:tcW w:w="1366" w:type="dxa"/>
          </w:tcPr>
          <w:p w:rsidR="00487108" w:rsidRPr="00100526" w:rsidRDefault="00487108" w:rsidP="00BD0BF9">
            <w:pPr>
              <w:jc w:val="left"/>
              <w:rPr>
                <w:rFonts w:cs="Arial"/>
              </w:rPr>
            </w:pPr>
            <w:r w:rsidRPr="00704805">
              <w:rPr>
                <w:rFonts w:cs="Arial"/>
                <w:lang w:val="es-ES_tradnl"/>
              </w:rPr>
              <w:t>Observaciones generales</w:t>
            </w:r>
          </w:p>
        </w:tc>
        <w:tc>
          <w:tcPr>
            <w:tcW w:w="6804" w:type="dxa"/>
          </w:tcPr>
          <w:p w:rsidR="00487108" w:rsidRPr="0096078C" w:rsidRDefault="00487108" w:rsidP="00C622EB">
            <w:pPr>
              <w:rPr>
                <w:rFonts w:cs="Arial"/>
                <w:lang w:val="es-ES_tradnl"/>
              </w:rPr>
            </w:pPr>
            <w:r w:rsidRPr="0082237D">
              <w:rPr>
                <w:lang w:val="es-ES_tradnl"/>
              </w:rPr>
              <w:t>El TWO tomó nota de las observaciones formuladas por los TWP en sus reuniones de 2012 y por el TC en su cuadragésima novena sesión, celebrada en 2013.</w:t>
            </w:r>
            <w:r w:rsidRPr="0096078C">
              <w:rPr>
                <w:lang w:val="es-ES_tradnl"/>
              </w:rPr>
              <w:t xml:space="preserve">  </w:t>
            </w:r>
            <w:r w:rsidRPr="0082237D">
              <w:rPr>
                <w:lang w:val="es-ES_tradnl"/>
              </w:rPr>
              <w:t xml:space="preserve">El TWO suscribió las modificaciones propuestas de la revisión de la Sección 10 del documento TGP/8 y la nueva orientación propuesta en los párrafos 10.2.2 y 10.6 para especificar el número mínimo de variedades comparables en el método de la varianza relativa </w:t>
            </w:r>
            <w:r w:rsidRPr="0082237D">
              <w:rPr>
                <w:rFonts w:cs="Arial"/>
                <w:lang w:val="es-ES_tradnl"/>
              </w:rPr>
              <w:t>(véase el párrafo 36 del documento TWO/46/29 “</w:t>
            </w:r>
            <w:r w:rsidRPr="0082237D">
              <w:rPr>
                <w:rFonts w:cs="Arial"/>
                <w:i/>
                <w:lang w:val="es-ES_tradnl"/>
              </w:rPr>
              <w:t>Report</w:t>
            </w:r>
            <w:r w:rsidRPr="0082237D">
              <w:rPr>
                <w:rFonts w:cs="Arial"/>
                <w:lang w:val="es-ES_tradnl"/>
              </w:rPr>
              <w:t>”).</w:t>
            </w:r>
          </w:p>
          <w:p w:rsidR="00487108" w:rsidRPr="0096078C" w:rsidRDefault="00487108" w:rsidP="00C622EB">
            <w:pPr>
              <w:rPr>
                <w:rFonts w:cs="Arial"/>
                <w:lang w:val="es-ES_tradnl"/>
              </w:rPr>
            </w:pPr>
          </w:p>
        </w:tc>
        <w:tc>
          <w:tcPr>
            <w:tcW w:w="823" w:type="dxa"/>
          </w:tcPr>
          <w:p w:rsidR="00487108" w:rsidRPr="00100526" w:rsidRDefault="00487108" w:rsidP="00BD0BF9">
            <w:pPr>
              <w:jc w:val="left"/>
            </w:pPr>
            <w:r w:rsidRPr="00704805">
              <w:rPr>
                <w:lang w:val="es-ES_tradnl"/>
              </w:rPr>
              <w:t>TWO</w:t>
            </w:r>
          </w:p>
        </w:tc>
      </w:tr>
      <w:tr w:rsidR="00487108" w:rsidRPr="00100526" w:rsidTr="00C622EB">
        <w:trPr>
          <w:cantSplit/>
        </w:trPr>
        <w:tc>
          <w:tcPr>
            <w:tcW w:w="1366" w:type="dxa"/>
          </w:tcPr>
          <w:p w:rsidR="00487108" w:rsidRPr="00100526" w:rsidRDefault="00487108" w:rsidP="00BD0BF9">
            <w:pPr>
              <w:jc w:val="left"/>
              <w:rPr>
                <w:rFonts w:cs="Arial"/>
              </w:rPr>
            </w:pPr>
          </w:p>
        </w:tc>
        <w:tc>
          <w:tcPr>
            <w:tcW w:w="6804" w:type="dxa"/>
          </w:tcPr>
          <w:p w:rsidR="00487108" w:rsidRPr="0096078C" w:rsidRDefault="00487108" w:rsidP="00BD0BF9">
            <w:pPr>
              <w:jc w:val="left"/>
              <w:rPr>
                <w:rFonts w:cs="Arial"/>
                <w:lang w:val="es-ES_tradnl"/>
              </w:rPr>
            </w:pPr>
            <w:r w:rsidRPr="0082237D">
              <w:rPr>
                <w:lang w:val="es-ES_tradnl"/>
              </w:rPr>
              <w:t>El TWF tomó nota de las observaciones formuladas por los TWP en sus reuniones de 2012 y por el TC en su cuadragésima novena sesión, celebrada en 2013.</w:t>
            </w:r>
            <w:r w:rsidRPr="0096078C">
              <w:rPr>
                <w:lang w:val="es-ES_tradnl"/>
              </w:rPr>
              <w:t xml:space="preserve">  </w:t>
            </w:r>
            <w:r w:rsidRPr="0082237D">
              <w:rPr>
                <w:lang w:val="es-ES_tradnl"/>
              </w:rPr>
              <w:t>El TWF suscribió las modificaciones propuestas de la revisión de la Sección 10 del documento TGP/8 y la nueva orientación propuesta en los párrafos 10.2.2 y 10.6 para especificar el número mínimo de variedades comparables en el método de la varianza relativa, que consta en el Anexo del documento TWF/44/16 (véase el párrafo 39 del documento TWF/44/31</w:t>
            </w:r>
            <w:r w:rsidRPr="0082237D">
              <w:rPr>
                <w:rFonts w:cs="Arial"/>
                <w:lang w:val="es-ES_tradnl"/>
              </w:rPr>
              <w:t xml:space="preserve"> </w:t>
            </w:r>
            <w:r w:rsidRPr="0082237D">
              <w:rPr>
                <w:lang w:val="es-ES_tradnl"/>
              </w:rPr>
              <w:t>“</w:t>
            </w:r>
            <w:r w:rsidRPr="0082237D">
              <w:rPr>
                <w:i/>
                <w:lang w:val="es-ES_tradnl"/>
              </w:rPr>
              <w:t>Report</w:t>
            </w:r>
            <w:r w:rsidRPr="0082237D">
              <w:rPr>
                <w:lang w:val="es-ES_tradnl"/>
              </w:rPr>
              <w:t>”).</w:t>
            </w:r>
          </w:p>
        </w:tc>
        <w:tc>
          <w:tcPr>
            <w:tcW w:w="823" w:type="dxa"/>
          </w:tcPr>
          <w:p w:rsidR="00487108" w:rsidRPr="00100526" w:rsidRDefault="00487108" w:rsidP="00BD0BF9">
            <w:pPr>
              <w:jc w:val="left"/>
            </w:pPr>
            <w:r w:rsidRPr="0082237D">
              <w:rPr>
                <w:lang w:val="es-ES_tradnl"/>
              </w:rPr>
              <w:t>TWF</w:t>
            </w:r>
          </w:p>
        </w:tc>
      </w:tr>
      <w:tr w:rsidR="00487108" w:rsidRPr="00100526" w:rsidTr="00C622EB">
        <w:trPr>
          <w:cantSplit/>
        </w:trPr>
        <w:tc>
          <w:tcPr>
            <w:tcW w:w="1366" w:type="dxa"/>
          </w:tcPr>
          <w:p w:rsidR="00487108" w:rsidRPr="00100526" w:rsidRDefault="00487108" w:rsidP="00BD0BF9">
            <w:pPr>
              <w:jc w:val="left"/>
              <w:rPr>
                <w:rFonts w:cs="Arial"/>
              </w:rPr>
            </w:pPr>
          </w:p>
        </w:tc>
        <w:tc>
          <w:tcPr>
            <w:tcW w:w="6804" w:type="dxa"/>
          </w:tcPr>
          <w:p w:rsidR="00487108" w:rsidRPr="0096078C" w:rsidRDefault="00487108" w:rsidP="00C622EB">
            <w:pPr>
              <w:rPr>
                <w:lang w:val="es-ES_tradnl"/>
              </w:rPr>
            </w:pPr>
            <w:r w:rsidRPr="0082237D">
              <w:rPr>
                <w:lang w:val="es-ES_tradnl"/>
              </w:rPr>
              <w:t>El TWV tomó nota de las observaciones formuladas por los TWP en sus reuniones de 2012 y por el TC en su cuadragésima novena sesión, celebrada en 2013.</w:t>
            </w:r>
            <w:r w:rsidRPr="0096078C">
              <w:rPr>
                <w:lang w:val="es-ES_tradnl"/>
              </w:rPr>
              <w:t xml:space="preserve">  </w:t>
            </w:r>
            <w:r w:rsidRPr="0082237D">
              <w:rPr>
                <w:lang w:val="es-ES_tradnl"/>
              </w:rPr>
              <w:t>El TWV suscribió las modificaciones propuestas de la revisión de la Sección 10 del documento TGP/8 y la nueva orientación propuesta para especificar el número mínimo de variedades comparables en el método de la varianza relativa, que consta en el Anexo del documento TWV/47/16 (véase el párrafo 39 del documento TWV/47/34</w:t>
            </w:r>
            <w:r w:rsidRPr="0082237D">
              <w:rPr>
                <w:rFonts w:cs="Arial"/>
                <w:lang w:val="es-ES_tradnl"/>
              </w:rPr>
              <w:t xml:space="preserve"> </w:t>
            </w:r>
            <w:r w:rsidRPr="0082237D">
              <w:rPr>
                <w:lang w:val="es-ES_tradnl"/>
              </w:rPr>
              <w:t>“</w:t>
            </w:r>
            <w:r w:rsidRPr="0082237D">
              <w:rPr>
                <w:i/>
                <w:lang w:val="es-ES_tradnl"/>
              </w:rPr>
              <w:t>Report</w:t>
            </w:r>
            <w:r w:rsidRPr="0082237D">
              <w:rPr>
                <w:lang w:val="es-ES_tradnl"/>
              </w:rPr>
              <w:t>”).</w:t>
            </w:r>
          </w:p>
          <w:p w:rsidR="00487108" w:rsidRPr="0096078C" w:rsidRDefault="00487108" w:rsidP="00C622EB">
            <w:pPr>
              <w:rPr>
                <w:lang w:val="es-ES_tradnl"/>
              </w:rPr>
            </w:pPr>
          </w:p>
        </w:tc>
        <w:tc>
          <w:tcPr>
            <w:tcW w:w="823" w:type="dxa"/>
          </w:tcPr>
          <w:p w:rsidR="00487108" w:rsidRPr="00100526" w:rsidRDefault="00487108" w:rsidP="00BD0BF9">
            <w:pPr>
              <w:jc w:val="left"/>
            </w:pPr>
            <w:r w:rsidRPr="00704805">
              <w:rPr>
                <w:lang w:val="es-ES_tradnl"/>
              </w:rPr>
              <w:t>TWV</w:t>
            </w:r>
          </w:p>
        </w:tc>
      </w:tr>
      <w:tr w:rsidR="00487108" w:rsidRPr="00100526" w:rsidTr="00C622EB">
        <w:trPr>
          <w:cantSplit/>
        </w:trPr>
        <w:tc>
          <w:tcPr>
            <w:tcW w:w="1366" w:type="dxa"/>
          </w:tcPr>
          <w:p w:rsidR="00487108" w:rsidRPr="00100526" w:rsidRDefault="00487108" w:rsidP="00BD0BF9">
            <w:pPr>
              <w:jc w:val="left"/>
              <w:rPr>
                <w:rFonts w:cs="Arial"/>
              </w:rPr>
            </w:pPr>
          </w:p>
        </w:tc>
        <w:tc>
          <w:tcPr>
            <w:tcW w:w="6804" w:type="dxa"/>
          </w:tcPr>
          <w:p w:rsidR="00487108" w:rsidRPr="0096078C" w:rsidRDefault="00487108" w:rsidP="00C622EB">
            <w:pPr>
              <w:rPr>
                <w:lang w:val="es-ES_tradnl"/>
              </w:rPr>
            </w:pPr>
            <w:r w:rsidRPr="0082237D">
              <w:rPr>
                <w:lang w:val="es-ES_tradnl"/>
              </w:rPr>
              <w:t>El TWA señaló que deberían corregirse los umbrales que figuran actualmente en la Sección 10 del documento TGP/8, pero convino en que el texto propuesto no debería sustituir al actual párrafo 10.2.1.</w:t>
            </w:r>
            <w:r w:rsidRPr="0096078C">
              <w:rPr>
                <w:lang w:val="es-ES_tradnl"/>
              </w:rPr>
              <w:t xml:space="preserve">  </w:t>
            </w:r>
            <w:r w:rsidRPr="0082237D">
              <w:rPr>
                <w:lang w:val="es-ES_tradnl"/>
              </w:rPr>
              <w:t xml:space="preserve">El TWA convino asimismo en que no es necesario elaborar orientación adicional acerca del número mínimo de variedades comparables, en particular porque podría prestarse a confusión con la orientación que se brinda en el documento TGP/10 con respecto a nuevos tipos y especies </w:t>
            </w:r>
            <w:r w:rsidRPr="0082237D">
              <w:rPr>
                <w:rFonts w:cs="Arial"/>
                <w:lang w:val="es-ES_tradnl"/>
              </w:rPr>
              <w:t>(véase el párrafo 40 del documento TWA/42/31 “</w:t>
            </w:r>
            <w:r w:rsidRPr="0082237D">
              <w:rPr>
                <w:rFonts w:cs="Arial"/>
                <w:i/>
                <w:lang w:val="es-ES_tradnl"/>
              </w:rPr>
              <w:t>Report</w:t>
            </w:r>
            <w:r w:rsidRPr="0082237D">
              <w:rPr>
                <w:rFonts w:cs="Arial"/>
                <w:lang w:val="es-ES_tradnl"/>
              </w:rPr>
              <w:t>”)</w:t>
            </w:r>
            <w:r w:rsidRPr="0082237D">
              <w:rPr>
                <w:lang w:val="es-ES_tradnl"/>
              </w:rPr>
              <w:t>.</w:t>
            </w:r>
            <w:r w:rsidRPr="0096078C">
              <w:rPr>
                <w:lang w:val="es-ES_tradnl"/>
              </w:rPr>
              <w:t xml:space="preserve"> </w:t>
            </w:r>
          </w:p>
          <w:p w:rsidR="00487108" w:rsidRPr="0096078C" w:rsidRDefault="00487108" w:rsidP="00C622EB">
            <w:pPr>
              <w:rPr>
                <w:lang w:val="es-ES_tradnl"/>
              </w:rPr>
            </w:pPr>
          </w:p>
        </w:tc>
        <w:tc>
          <w:tcPr>
            <w:tcW w:w="823" w:type="dxa"/>
          </w:tcPr>
          <w:p w:rsidR="00487108" w:rsidRPr="00100526" w:rsidRDefault="00487108" w:rsidP="00BD0BF9">
            <w:pPr>
              <w:jc w:val="left"/>
            </w:pPr>
            <w:r w:rsidRPr="00704805">
              <w:rPr>
                <w:lang w:val="es-ES_tradnl"/>
              </w:rPr>
              <w:t>TWA</w:t>
            </w:r>
          </w:p>
        </w:tc>
      </w:tr>
      <w:tr w:rsidR="00487108" w:rsidRPr="00100526" w:rsidTr="00C622EB">
        <w:trPr>
          <w:cantSplit/>
        </w:trPr>
        <w:tc>
          <w:tcPr>
            <w:tcW w:w="1366" w:type="dxa"/>
          </w:tcPr>
          <w:p w:rsidR="00487108" w:rsidRPr="0096078C" w:rsidRDefault="00487108" w:rsidP="00BD0BF9">
            <w:pPr>
              <w:jc w:val="left"/>
              <w:rPr>
                <w:rFonts w:cs="Arial"/>
                <w:lang w:val="es-ES_tradnl"/>
              </w:rPr>
            </w:pPr>
            <w:r w:rsidRPr="0082237D">
              <w:rPr>
                <w:rFonts w:cs="Arial"/>
                <w:lang w:val="es-ES_tradnl"/>
              </w:rPr>
              <w:t>Título de la sección 10.2 y otras menciones al “</w:t>
            </w:r>
            <w:r w:rsidRPr="0082237D">
              <w:rPr>
                <w:rFonts w:cs="Arial"/>
                <w:i/>
                <w:lang w:val="es-ES_tradnl"/>
              </w:rPr>
              <w:t>threshold limit</w:t>
            </w:r>
            <w:r w:rsidRPr="0082237D">
              <w:rPr>
                <w:rFonts w:cs="Arial"/>
                <w:lang w:val="es-ES_tradnl"/>
              </w:rPr>
              <w:t>” (en la versión en inglés)</w:t>
            </w:r>
          </w:p>
        </w:tc>
        <w:tc>
          <w:tcPr>
            <w:tcW w:w="6804" w:type="dxa"/>
          </w:tcPr>
          <w:p w:rsidR="00487108" w:rsidRPr="0096078C" w:rsidRDefault="00487108" w:rsidP="00C622EB">
            <w:pPr>
              <w:rPr>
                <w:rFonts w:eastAsia="MS Mincho" w:cs="Arial"/>
                <w:color w:val="000000"/>
                <w:lang w:val="es-ES_tradnl" w:eastAsia="ja-JP"/>
              </w:rPr>
            </w:pPr>
            <w:r w:rsidRPr="0082237D">
              <w:rPr>
                <w:rFonts w:eastAsia="MS Mincho" w:cs="Arial"/>
                <w:color w:val="000000"/>
                <w:lang w:val="es-ES_tradnl" w:eastAsia="ja-JP"/>
              </w:rPr>
              <w:t>El TWC convino en que, en la versión en inglés, todas las menciones al “</w:t>
            </w:r>
            <w:r w:rsidRPr="0096078C">
              <w:rPr>
                <w:rFonts w:eastAsia="MS Mincho" w:cs="Arial"/>
                <w:i/>
                <w:color w:val="000000"/>
                <w:lang w:val="es-ES_tradnl" w:eastAsia="ja-JP"/>
              </w:rPr>
              <w:t>threshold limit</w:t>
            </w:r>
            <w:r w:rsidRPr="0082237D">
              <w:rPr>
                <w:rFonts w:eastAsia="MS Mincho" w:cs="Arial"/>
                <w:color w:val="000000"/>
                <w:lang w:val="es-ES_tradnl" w:eastAsia="ja-JP"/>
              </w:rPr>
              <w:t>” deberían sustituirse por “</w:t>
            </w:r>
            <w:r w:rsidRPr="0096078C">
              <w:rPr>
                <w:rFonts w:eastAsia="MS Mincho" w:cs="Arial"/>
                <w:i/>
                <w:color w:val="000000"/>
                <w:lang w:val="es-ES_tradnl" w:eastAsia="ja-JP"/>
              </w:rPr>
              <w:t>threshold</w:t>
            </w:r>
            <w:r w:rsidRPr="0082237D">
              <w:rPr>
                <w:rFonts w:eastAsia="MS Mincho" w:cs="Arial"/>
                <w:color w:val="000000"/>
                <w:lang w:val="es-ES_tradnl" w:eastAsia="ja-JP"/>
              </w:rPr>
              <w:t>”, incluido el título de la Sección 10.2, que debería ser “10.2 </w:t>
            </w:r>
            <w:r w:rsidRPr="0096078C">
              <w:rPr>
                <w:rFonts w:eastAsia="MS Mincho" w:cs="Arial"/>
                <w:i/>
                <w:color w:val="000000"/>
                <w:lang w:val="es-ES_tradnl" w:eastAsia="ja-JP"/>
              </w:rPr>
              <w:t>Threshold for different sample sizes</w:t>
            </w:r>
            <w:r w:rsidRPr="0082237D">
              <w:rPr>
                <w:rFonts w:eastAsia="MS Mincho" w:cs="Arial"/>
                <w:color w:val="000000"/>
                <w:lang w:val="es-ES_tradnl" w:eastAsia="ja-JP"/>
              </w:rPr>
              <w:t>”.</w:t>
            </w:r>
            <w:r w:rsidRPr="0096078C">
              <w:rPr>
                <w:rFonts w:eastAsia="MS Mincho" w:cs="Arial"/>
                <w:color w:val="000000"/>
                <w:lang w:val="es-ES_tradnl" w:eastAsia="ja-JP"/>
              </w:rPr>
              <w:t xml:space="preserve">  </w:t>
            </w:r>
            <w:r w:rsidRPr="0082237D">
              <w:rPr>
                <w:rFonts w:eastAsia="MS Mincho" w:cs="Arial"/>
                <w:color w:val="000000"/>
                <w:lang w:val="es-ES_tradnl" w:eastAsia="ja-JP"/>
              </w:rPr>
              <w:t xml:space="preserve">El TWC propuso el texto siguiente para la segunda frase del párrafo 10.2.1 </w:t>
            </w:r>
            <w:r w:rsidRPr="0082237D">
              <w:rPr>
                <w:rFonts w:cs="Arial"/>
                <w:lang w:val="es-ES_tradnl"/>
              </w:rPr>
              <w:t>(véase el párrafo 36 del documento TWC/31/32 “</w:t>
            </w:r>
            <w:r w:rsidRPr="0082237D">
              <w:rPr>
                <w:rFonts w:cs="Arial"/>
                <w:i/>
                <w:lang w:val="es-ES_tradnl"/>
              </w:rPr>
              <w:t>Report</w:t>
            </w:r>
            <w:r w:rsidRPr="0082237D">
              <w:rPr>
                <w:rFonts w:cs="Arial"/>
                <w:lang w:val="es-ES_tradnl"/>
              </w:rPr>
              <w:t>”)</w:t>
            </w:r>
            <w:r w:rsidRPr="0082237D">
              <w:rPr>
                <w:rFonts w:eastAsia="MS Mincho" w:cs="Arial"/>
                <w:color w:val="000000"/>
                <w:lang w:val="es-ES_tradnl" w:eastAsia="ja-JP"/>
              </w:rPr>
              <w:t>:</w:t>
            </w:r>
            <w:r w:rsidRPr="0096078C">
              <w:rPr>
                <w:rFonts w:eastAsia="MS Mincho" w:cs="Arial"/>
                <w:color w:val="000000"/>
                <w:lang w:val="es-ES_tradnl" w:eastAsia="ja-JP"/>
              </w:rPr>
              <w:t xml:space="preserve"> </w:t>
            </w:r>
          </w:p>
          <w:p w:rsidR="00487108" w:rsidRPr="0096078C" w:rsidRDefault="00487108" w:rsidP="00C622EB">
            <w:pPr>
              <w:rPr>
                <w:rFonts w:ascii="Times New Roman" w:eastAsia="MS Mincho" w:hAnsi="Times New Roman" w:cs="Arial"/>
                <w:color w:val="000000"/>
                <w:sz w:val="24"/>
                <w:szCs w:val="24"/>
                <w:lang w:val="es-ES_tradnl" w:eastAsia="ja-JP"/>
              </w:rPr>
            </w:pPr>
          </w:p>
          <w:p w:rsidR="00487108" w:rsidRPr="0096078C" w:rsidRDefault="00487108" w:rsidP="00C622EB">
            <w:pPr>
              <w:ind w:left="630"/>
              <w:jc w:val="left"/>
              <w:rPr>
                <w:rFonts w:eastAsia="MS Mincho" w:cs="Arial"/>
                <w:color w:val="000000"/>
                <w:sz w:val="18"/>
                <w:szCs w:val="18"/>
                <w:lang w:val="es-ES_tradnl" w:eastAsia="ja-JP"/>
              </w:rPr>
            </w:pPr>
            <w:r w:rsidRPr="0082237D">
              <w:rPr>
                <w:rFonts w:eastAsia="MS Mincho" w:cs="Arial"/>
                <w:color w:val="000000"/>
                <w:sz w:val="18"/>
                <w:szCs w:val="18"/>
                <w:lang w:val="es-ES_tradnl" w:eastAsia="ja-JP"/>
              </w:rPr>
              <w:t xml:space="preserve">“Por ejemplo, si el </w:t>
            </w:r>
            <w:r w:rsidRPr="0082237D">
              <w:rPr>
                <w:rFonts w:eastAsia="MS Mincho" w:cs="Arial"/>
                <w:strike/>
                <w:color w:val="000000"/>
                <w:sz w:val="18"/>
                <w:szCs w:val="18"/>
                <w:highlight w:val="lightGray"/>
                <w:lang w:val="es-ES_tradnl" w:eastAsia="ja-JP"/>
              </w:rPr>
              <w:t>tamaño real de la muestra de las</w:t>
            </w:r>
            <w:r w:rsidRPr="0082237D">
              <w:rPr>
                <w:rFonts w:eastAsia="MS Mincho" w:cs="Arial"/>
                <w:color w:val="000000"/>
                <w:sz w:val="18"/>
                <w:szCs w:val="18"/>
                <w:highlight w:val="lightGray"/>
                <w:lang w:val="es-ES_tradnl" w:eastAsia="ja-JP"/>
              </w:rPr>
              <w:t xml:space="preserve"> </w:t>
            </w:r>
            <w:r w:rsidRPr="0082237D">
              <w:rPr>
                <w:rFonts w:eastAsia="MS Mincho" w:cs="Arial"/>
                <w:color w:val="000000"/>
                <w:sz w:val="18"/>
                <w:szCs w:val="18"/>
                <w:highlight w:val="lightGray"/>
                <w:u w:val="single"/>
                <w:lang w:val="es-ES_tradnl" w:eastAsia="ja-JP"/>
              </w:rPr>
              <w:t>número de</w:t>
            </w:r>
            <w:r w:rsidRPr="0082237D">
              <w:rPr>
                <w:rFonts w:eastAsia="MS Mincho" w:cs="Arial"/>
                <w:color w:val="000000"/>
                <w:sz w:val="18"/>
                <w:szCs w:val="18"/>
                <w:lang w:val="es-ES_tradnl" w:eastAsia="ja-JP"/>
              </w:rPr>
              <w:t xml:space="preserve"> variedades comparables es de </w:t>
            </w:r>
            <w:r w:rsidRPr="0082237D">
              <w:rPr>
                <w:rFonts w:eastAsia="MS Mincho" w:cs="Arial"/>
                <w:strike/>
                <w:color w:val="000000"/>
                <w:sz w:val="18"/>
                <w:szCs w:val="18"/>
                <w:highlight w:val="lightGray"/>
                <w:lang w:val="es-ES_tradnl" w:eastAsia="ja-JP"/>
              </w:rPr>
              <w:t>60</w:t>
            </w:r>
            <w:r w:rsidRPr="0082237D">
              <w:rPr>
                <w:rFonts w:eastAsia="MS Mincho" w:cs="Arial"/>
                <w:color w:val="000000"/>
                <w:sz w:val="18"/>
                <w:szCs w:val="18"/>
                <w:highlight w:val="lightGray"/>
                <w:lang w:val="es-ES_tradnl" w:eastAsia="ja-JP"/>
              </w:rPr>
              <w:t> </w:t>
            </w:r>
            <w:r w:rsidRPr="0082237D">
              <w:rPr>
                <w:rFonts w:eastAsia="MS Mincho" w:cs="Arial"/>
                <w:color w:val="000000"/>
                <w:sz w:val="18"/>
                <w:szCs w:val="18"/>
                <w:highlight w:val="lightGray"/>
                <w:u w:val="single"/>
                <w:lang w:val="es-ES_tradnl" w:eastAsia="ja-JP"/>
              </w:rPr>
              <w:t>1</w:t>
            </w:r>
            <w:r w:rsidRPr="0082237D">
              <w:rPr>
                <w:rFonts w:eastAsia="MS Mincho" w:cs="Arial"/>
                <w:color w:val="000000"/>
                <w:sz w:val="18"/>
                <w:szCs w:val="18"/>
                <w:lang w:val="es-ES_tradnl" w:eastAsia="ja-JP"/>
              </w:rPr>
              <w:t xml:space="preserve"> y el </w:t>
            </w:r>
            <w:r w:rsidRPr="0082237D">
              <w:rPr>
                <w:rFonts w:eastAsia="MS Mincho" w:cs="Arial"/>
                <w:strike/>
                <w:color w:val="000000"/>
                <w:sz w:val="18"/>
                <w:szCs w:val="18"/>
                <w:highlight w:val="lightGray"/>
                <w:lang w:val="es-ES_tradnl" w:eastAsia="ja-JP"/>
              </w:rPr>
              <w:t>número de variedades comparables es limitado en relación con esa especie</w:t>
            </w:r>
            <w:r w:rsidRPr="0082237D">
              <w:rPr>
                <w:rFonts w:eastAsia="MS Mincho" w:cs="Arial"/>
                <w:color w:val="000000"/>
                <w:sz w:val="18"/>
                <w:szCs w:val="18"/>
                <w:highlight w:val="lightGray"/>
                <w:lang w:val="es-ES_tradnl" w:eastAsia="ja-JP"/>
              </w:rPr>
              <w:t xml:space="preserve"> </w:t>
            </w:r>
            <w:r w:rsidRPr="0082237D">
              <w:rPr>
                <w:rFonts w:eastAsia="MS Mincho" w:cs="Arial"/>
                <w:color w:val="000000"/>
                <w:sz w:val="18"/>
                <w:szCs w:val="18"/>
                <w:highlight w:val="lightGray"/>
                <w:u w:val="single"/>
                <w:lang w:val="es-ES_tradnl" w:eastAsia="ja-JP"/>
              </w:rPr>
              <w:t>tamaño de la muestra para esa variedad es de 60</w:t>
            </w:r>
            <w:r w:rsidRPr="0082237D">
              <w:rPr>
                <w:rFonts w:eastAsia="MS Mincho" w:cs="Arial"/>
                <w:color w:val="000000"/>
                <w:sz w:val="18"/>
                <w:szCs w:val="18"/>
                <w:lang w:val="es-ES_tradnl" w:eastAsia="ja-JP"/>
              </w:rPr>
              <w:t>, el umbral es 1,84 (gl</w:t>
            </w:r>
            <w:r w:rsidRPr="0082237D">
              <w:rPr>
                <w:rFonts w:eastAsia="MS Mincho" w:cs="Arial"/>
                <w:color w:val="000000"/>
                <w:sz w:val="18"/>
                <w:szCs w:val="18"/>
                <w:vertAlign w:val="subscript"/>
                <w:lang w:val="es-ES_tradnl" w:eastAsia="ja-JP"/>
              </w:rPr>
              <w:t>1</w:t>
            </w:r>
            <w:r w:rsidRPr="0082237D">
              <w:rPr>
                <w:rFonts w:eastAsia="MS Mincho" w:cs="Arial"/>
                <w:color w:val="000000"/>
                <w:sz w:val="18"/>
                <w:szCs w:val="18"/>
                <w:lang w:val="es-ES_tradnl" w:eastAsia="ja-JP"/>
              </w:rPr>
              <w:t> = 60, gl</w:t>
            </w:r>
            <w:r w:rsidRPr="0082237D">
              <w:rPr>
                <w:rFonts w:eastAsia="MS Mincho" w:cs="Arial"/>
                <w:color w:val="000000"/>
                <w:sz w:val="18"/>
                <w:szCs w:val="18"/>
                <w:vertAlign w:val="subscript"/>
                <w:lang w:val="es-ES_tradnl" w:eastAsia="ja-JP"/>
              </w:rPr>
              <w:t>2</w:t>
            </w:r>
            <w:r w:rsidRPr="0082237D">
              <w:rPr>
                <w:rFonts w:eastAsia="MS Mincho" w:cs="Arial"/>
                <w:color w:val="000000"/>
                <w:sz w:val="18"/>
                <w:szCs w:val="18"/>
                <w:lang w:val="es-ES_tradnl" w:eastAsia="ja-JP"/>
              </w:rPr>
              <w:t> = 60)”.</w:t>
            </w:r>
          </w:p>
          <w:p w:rsidR="00487108" w:rsidRPr="0096078C" w:rsidRDefault="00487108" w:rsidP="00C622EB">
            <w:pPr>
              <w:rPr>
                <w:lang w:val="es-ES_tradnl"/>
              </w:rPr>
            </w:pPr>
          </w:p>
        </w:tc>
        <w:tc>
          <w:tcPr>
            <w:tcW w:w="823" w:type="dxa"/>
          </w:tcPr>
          <w:p w:rsidR="00487108" w:rsidRPr="00100526" w:rsidRDefault="00487108" w:rsidP="00BD0BF9">
            <w:pPr>
              <w:jc w:val="left"/>
            </w:pPr>
            <w:r w:rsidRPr="00704805">
              <w:rPr>
                <w:lang w:val="es-ES_tradnl"/>
              </w:rPr>
              <w:t>TWC</w:t>
            </w:r>
          </w:p>
        </w:tc>
      </w:tr>
    </w:tbl>
    <w:p w:rsidR="00487108" w:rsidRDefault="00487108" w:rsidP="00D335A4">
      <w:pPr>
        <w:rPr>
          <w:rFonts w:cs="Arial"/>
        </w:rPr>
      </w:pPr>
    </w:p>
    <w:p w:rsidR="00487108" w:rsidRDefault="00487108" w:rsidP="00D335A4">
      <w:pPr>
        <w:rPr>
          <w:rFonts w:cs="Arial"/>
        </w:rPr>
      </w:pPr>
    </w:p>
    <w:p w:rsidR="00487108" w:rsidRPr="00100526" w:rsidRDefault="00487108" w:rsidP="00D335A4">
      <w:pPr>
        <w:pStyle w:val="Heading1"/>
      </w:pPr>
      <w:bookmarkStart w:id="6" w:name="_Toc379804938"/>
      <w:r w:rsidRPr="00704805">
        <w:rPr>
          <w:lang w:val="es-ES_tradnl"/>
        </w:rPr>
        <w:t>Propuesta</w:t>
      </w:r>
      <w:bookmarkEnd w:id="6"/>
      <w:r>
        <w:t xml:space="preserve"> </w:t>
      </w:r>
    </w:p>
    <w:p w:rsidR="00487108" w:rsidRDefault="00487108" w:rsidP="00D335A4">
      <w:pPr>
        <w:rPr>
          <w:rFonts w:cs="Arial"/>
        </w:rPr>
      </w:pPr>
    </w:p>
    <w:p w:rsidR="00487108" w:rsidRPr="0096078C" w:rsidRDefault="00487108" w:rsidP="00D335A4">
      <w:pPr>
        <w:rPr>
          <w:rFonts w:cs="Arial"/>
          <w:lang w:val="es-ES_tradnl"/>
        </w:rPr>
      </w:pPr>
      <w:r w:rsidRPr="00100526">
        <w:fldChar w:fldCharType="begin"/>
      </w:r>
      <w:r w:rsidRPr="0096078C">
        <w:rPr>
          <w:lang w:val="es-ES_tradnl"/>
        </w:rPr>
        <w:instrText xml:space="preserve"> AUTONUM  </w:instrText>
      </w:r>
      <w:r w:rsidRPr="00100526">
        <w:fldChar w:fldCharType="end"/>
      </w:r>
      <w:r w:rsidRPr="0096078C">
        <w:rPr>
          <w:lang w:val="es-ES_tradnl"/>
        </w:rPr>
        <w:tab/>
      </w:r>
      <w:r w:rsidRPr="0082237D">
        <w:rPr>
          <w:lang w:val="es-ES_tradnl"/>
        </w:rPr>
        <w:t>El Anexo II del presente documento contiene la propuesta de revisión de la Sección 10 “Evaluación de la homogeneidad a partir del método de la varianza relativa”, elaborada por el redactor, el Sr. Nik Hulse (Australia), sobre la base de las observaciones</w:t>
      </w:r>
      <w:r w:rsidR="00BD0BF9">
        <w:rPr>
          <w:lang w:val="es-ES_tradnl"/>
        </w:rPr>
        <w:t xml:space="preserve"> formuladas por los TWP en sus s</w:t>
      </w:r>
      <w:r w:rsidRPr="0082237D">
        <w:rPr>
          <w:lang w:val="es-ES_tradnl"/>
        </w:rPr>
        <w:t>e</w:t>
      </w:r>
      <w:r w:rsidR="00BD0BF9">
        <w:rPr>
          <w:lang w:val="es-ES_tradnl"/>
        </w:rPr>
        <w:t>s</w:t>
      </w:r>
      <w:r w:rsidRPr="0082237D">
        <w:rPr>
          <w:lang w:val="es-ES_tradnl"/>
        </w:rPr>
        <w:t>iones de 2013.</w:t>
      </w:r>
    </w:p>
    <w:p w:rsidR="00487108" w:rsidRPr="0096078C" w:rsidRDefault="00487108" w:rsidP="00D335A4">
      <w:pPr>
        <w:rPr>
          <w:rFonts w:cs="Arial"/>
          <w:lang w:val="es-ES_tradnl"/>
        </w:rPr>
      </w:pPr>
    </w:p>
    <w:p w:rsidR="00487108" w:rsidRPr="0096078C" w:rsidRDefault="00487108" w:rsidP="00BD0BF9">
      <w:pPr>
        <w:pStyle w:val="DecisionParagraphs"/>
        <w:rPr>
          <w:rFonts w:cs="Arial"/>
          <w:lang w:val="es-ES_tradnl"/>
        </w:rPr>
      </w:pPr>
      <w:r w:rsidRPr="00920628">
        <w:fldChar w:fldCharType="begin"/>
      </w:r>
      <w:r w:rsidRPr="0096078C">
        <w:rPr>
          <w:lang w:val="es-ES_tradnl"/>
        </w:rPr>
        <w:instrText xml:space="preserve"> AUTONUM  </w:instrText>
      </w:r>
      <w:r w:rsidRPr="00920628">
        <w:fldChar w:fldCharType="end"/>
      </w:r>
      <w:r w:rsidRPr="0096078C">
        <w:rPr>
          <w:lang w:val="es-ES_tradnl"/>
        </w:rPr>
        <w:tab/>
      </w:r>
      <w:r w:rsidRPr="0082237D">
        <w:rPr>
          <w:lang w:val="es-ES_tradnl"/>
        </w:rPr>
        <w:t>Se invita al TC a examinar la propuesta de revisión del documento TGP/8, Sección 10 “Evaluación de la homogeneidad a partir del método de la varianza relativa”, que consta en el Anexo II del presente documento.</w:t>
      </w:r>
    </w:p>
    <w:p w:rsidR="00487108" w:rsidRPr="0096078C" w:rsidRDefault="00487108" w:rsidP="00D335A4">
      <w:pPr>
        <w:rPr>
          <w:rFonts w:cs="Arial"/>
          <w:lang w:val="es-ES_tradnl"/>
        </w:rPr>
      </w:pPr>
    </w:p>
    <w:p w:rsidR="00487108" w:rsidRPr="0096078C" w:rsidRDefault="00487108" w:rsidP="00D335A4">
      <w:pPr>
        <w:rPr>
          <w:rFonts w:cs="Arial"/>
          <w:lang w:val="es-ES_tradnl"/>
        </w:rPr>
      </w:pPr>
    </w:p>
    <w:p w:rsidR="00487108" w:rsidRPr="0096078C" w:rsidRDefault="00487108" w:rsidP="00D335A4">
      <w:pPr>
        <w:rPr>
          <w:rFonts w:cs="Arial"/>
          <w:lang w:val="es-ES_tradnl"/>
        </w:rPr>
      </w:pPr>
    </w:p>
    <w:p w:rsidR="00487108" w:rsidRPr="0096078C" w:rsidRDefault="00487108" w:rsidP="00D335A4">
      <w:pPr>
        <w:jc w:val="right"/>
        <w:rPr>
          <w:rFonts w:cs="Arial"/>
          <w:lang w:val="es-ES_tradnl"/>
        </w:rPr>
      </w:pPr>
      <w:r w:rsidRPr="00704805">
        <w:rPr>
          <w:rFonts w:cs="Arial"/>
          <w:lang w:val="es-ES_tradnl"/>
        </w:rPr>
        <w:t>[Siguen los Anexos]</w:t>
      </w:r>
    </w:p>
    <w:p w:rsidR="00487108" w:rsidRPr="0096078C" w:rsidRDefault="00487108" w:rsidP="00D335A4">
      <w:pPr>
        <w:rPr>
          <w:lang w:val="es-ES_tradnl"/>
        </w:rPr>
        <w:sectPr w:rsidR="00487108" w:rsidRPr="0096078C" w:rsidSect="00D27D5E">
          <w:headerReference w:type="default" r:id="rId8"/>
          <w:pgSz w:w="11907" w:h="16840" w:code="9"/>
          <w:pgMar w:top="510" w:right="1134" w:bottom="1134" w:left="1134" w:header="510" w:footer="680" w:gutter="0"/>
          <w:cols w:space="720"/>
          <w:titlePg/>
          <w:docGrid w:linePitch="272"/>
        </w:sectPr>
      </w:pPr>
    </w:p>
    <w:p w:rsidR="00487108" w:rsidRPr="0096078C" w:rsidRDefault="00487108" w:rsidP="00D335A4">
      <w:pPr>
        <w:widowControl w:val="0"/>
        <w:autoSpaceDE w:val="0"/>
        <w:autoSpaceDN w:val="0"/>
        <w:adjustRightInd w:val="0"/>
        <w:rPr>
          <w:caps/>
          <w:lang w:val="es-ES_tradnl"/>
        </w:rPr>
      </w:pPr>
      <w:r w:rsidRPr="00704805">
        <w:rPr>
          <w:caps/>
          <w:lang w:val="es-ES_tradnl"/>
        </w:rPr>
        <w:t>PROYECTO DE PROPUESTA DE REVISIÓN DEL DOCUMENTO TGP/8, SECCIÓN 10:  “NÚMERO MÍNIMO DE VARIEDADES COMPARABLES PARA EL MÉTODO DE LA VARIANZA RELATIVA” EXAMINADO POR EL TC Y LOS TWP EN SUS SESIONES DE 2013</w:t>
      </w:r>
    </w:p>
    <w:p w:rsidR="00487108" w:rsidRPr="0096078C" w:rsidRDefault="00487108" w:rsidP="00D335A4">
      <w:pPr>
        <w:widowControl w:val="0"/>
        <w:autoSpaceDE w:val="0"/>
        <w:autoSpaceDN w:val="0"/>
        <w:adjustRightInd w:val="0"/>
        <w:jc w:val="center"/>
        <w:rPr>
          <w:lang w:val="es-ES_tradnl"/>
        </w:rPr>
      </w:pPr>
    </w:p>
    <w:p w:rsidR="00487108" w:rsidRPr="0096078C" w:rsidRDefault="00487108" w:rsidP="00D335A4">
      <w:pPr>
        <w:widowControl w:val="0"/>
        <w:autoSpaceDE w:val="0"/>
        <w:autoSpaceDN w:val="0"/>
        <w:adjustRightInd w:val="0"/>
        <w:jc w:val="center"/>
        <w:rPr>
          <w:rFonts w:eastAsia="Batang" w:cs="Arial"/>
          <w:caps/>
          <w:color w:val="000000"/>
          <w:lang w:val="es-ES_tradnl"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left w:w="142" w:type="dxa"/>
          <w:bottom w:w="142" w:type="dxa"/>
          <w:right w:w="170" w:type="dxa"/>
        </w:tblCellMar>
        <w:tblLook w:val="01E0" w:firstRow="1" w:lastRow="1" w:firstColumn="1" w:lastColumn="1" w:noHBand="0" w:noVBand="0"/>
      </w:tblPr>
      <w:tblGrid>
        <w:gridCol w:w="6664"/>
      </w:tblGrid>
      <w:tr w:rsidR="00487108" w:rsidRPr="00665FE2" w:rsidTr="00C622EB">
        <w:trPr>
          <w:cantSplit/>
          <w:jc w:val="center"/>
        </w:trPr>
        <w:tc>
          <w:tcPr>
            <w:tcW w:w="6664" w:type="dxa"/>
            <w:shd w:val="clear" w:color="auto" w:fill="E6E6E6"/>
          </w:tcPr>
          <w:p w:rsidR="00487108" w:rsidRPr="0096078C" w:rsidRDefault="00487108" w:rsidP="00C622EB">
            <w:pPr>
              <w:jc w:val="center"/>
              <w:rPr>
                <w:rFonts w:cs="Arial"/>
                <w:sz w:val="18"/>
                <w:szCs w:val="22"/>
                <w:u w:val="single"/>
                <w:lang w:val="es-ES_tradnl"/>
              </w:rPr>
            </w:pPr>
            <w:r w:rsidRPr="00704805">
              <w:rPr>
                <w:rFonts w:cs="Arial"/>
                <w:sz w:val="18"/>
                <w:szCs w:val="22"/>
                <w:u w:val="single"/>
                <w:lang w:val="es-ES_tradnl"/>
              </w:rPr>
              <w:t>Nota sobre la versión del proyecto</w:t>
            </w:r>
          </w:p>
          <w:p w:rsidR="00487108" w:rsidRPr="0096078C" w:rsidRDefault="00487108" w:rsidP="00C622EB">
            <w:pPr>
              <w:rPr>
                <w:rFonts w:cs="Arial"/>
                <w:sz w:val="18"/>
                <w:szCs w:val="22"/>
                <w:u w:val="single"/>
                <w:lang w:val="es-ES_tradnl"/>
              </w:rPr>
            </w:pPr>
          </w:p>
          <w:p w:rsidR="00487108" w:rsidRPr="0096078C" w:rsidRDefault="00487108" w:rsidP="00C622EB">
            <w:pPr>
              <w:rPr>
                <w:rFonts w:cs="Arial"/>
                <w:bCs/>
                <w:sz w:val="18"/>
                <w:szCs w:val="22"/>
                <w:lang w:val="es-ES_tradnl"/>
              </w:rPr>
            </w:pPr>
            <w:r w:rsidRPr="0082237D">
              <w:rPr>
                <w:rFonts w:cs="Arial"/>
                <w:bCs/>
                <w:sz w:val="18"/>
                <w:szCs w:val="22"/>
                <w:lang w:val="es-ES_tradnl"/>
              </w:rPr>
              <w:t xml:space="preserve">Con el </w:t>
            </w:r>
            <w:r w:rsidRPr="0082237D">
              <w:rPr>
                <w:rFonts w:cs="Arial"/>
                <w:b/>
                <w:bCs/>
                <w:sz w:val="18"/>
                <w:szCs w:val="22"/>
                <w:u w:val="single"/>
                <w:lang w:val="es-ES_tradnl"/>
              </w:rPr>
              <w:t>subrayado</w:t>
            </w:r>
            <w:r w:rsidRPr="0082237D">
              <w:rPr>
                <w:rFonts w:cs="Arial"/>
                <w:b/>
                <w:bCs/>
                <w:sz w:val="18"/>
                <w:szCs w:val="22"/>
                <w:lang w:val="es-ES_tradnl"/>
              </w:rPr>
              <w:t xml:space="preserve"> (sombreado)</w:t>
            </w:r>
            <w:r w:rsidRPr="0082237D">
              <w:rPr>
                <w:rFonts w:cs="Arial"/>
                <w:bCs/>
                <w:sz w:val="18"/>
                <w:szCs w:val="22"/>
                <w:lang w:val="es-ES_tradnl"/>
              </w:rPr>
              <w:t xml:space="preserve"> se indican las modificaciones propuestas del documento TGP/8/1.</w:t>
            </w:r>
          </w:p>
          <w:p w:rsidR="00487108" w:rsidRPr="0096078C" w:rsidRDefault="00487108" w:rsidP="00C622EB">
            <w:pPr>
              <w:rPr>
                <w:rFonts w:cs="Arial"/>
                <w:szCs w:val="22"/>
                <w:lang w:val="es-ES_tradnl"/>
              </w:rPr>
            </w:pPr>
          </w:p>
        </w:tc>
      </w:tr>
    </w:tbl>
    <w:p w:rsidR="00487108" w:rsidRPr="0096078C" w:rsidRDefault="00487108" w:rsidP="00D335A4">
      <w:pPr>
        <w:widowControl w:val="0"/>
        <w:autoSpaceDE w:val="0"/>
        <w:autoSpaceDN w:val="0"/>
        <w:adjustRightInd w:val="0"/>
        <w:rPr>
          <w:rFonts w:eastAsia="Batang" w:cs="Arial"/>
          <w:color w:val="000000"/>
          <w:lang w:val="es-ES_tradnl" w:eastAsia="ko-KR"/>
        </w:rPr>
      </w:pPr>
    </w:p>
    <w:p w:rsidR="00487108" w:rsidRPr="00366A0A" w:rsidRDefault="00487108" w:rsidP="00D335A4">
      <w:pPr>
        <w:widowControl w:val="0"/>
        <w:autoSpaceDE w:val="0"/>
        <w:autoSpaceDN w:val="0"/>
        <w:adjustRightInd w:val="0"/>
        <w:rPr>
          <w:rFonts w:eastAsia="Batang" w:cs="Arial"/>
          <w:color w:val="000000"/>
          <w:lang w:val="es-ES_tradnl" w:eastAsia="ko-KR"/>
        </w:rPr>
      </w:pPr>
      <w:r w:rsidRPr="00366A0A">
        <w:rPr>
          <w:rFonts w:eastAsia="Batang" w:cs="Arial"/>
          <w:bCs/>
          <w:color w:val="000000"/>
          <w:lang w:val="es-ES_tradnl" w:eastAsia="ko-KR"/>
        </w:rPr>
        <w:t xml:space="preserve">10. </w:t>
      </w:r>
      <w:r w:rsidRPr="00366A0A">
        <w:rPr>
          <w:rFonts w:eastAsia="Batang" w:cs="Arial"/>
          <w:bCs/>
          <w:color w:val="000000"/>
          <w:lang w:val="es-ES_tradnl" w:eastAsia="ko-KR"/>
        </w:rPr>
        <w:tab/>
      </w:r>
      <w:r w:rsidRPr="0082237D">
        <w:rPr>
          <w:rFonts w:eastAsia="Batang" w:cs="Arial"/>
          <w:bCs/>
          <w:color w:val="000000"/>
          <w:lang w:val="es-ES_tradnl" w:eastAsia="ko-KR"/>
        </w:rPr>
        <w:t>EVALUACIÓN DE LA HOMOGENEIDAD A PARTIR DEL MÉTODO DE LA VARIANZA RELATIVA</w:t>
      </w:r>
      <w:r w:rsidRPr="00366A0A">
        <w:rPr>
          <w:rFonts w:eastAsia="Batang" w:cs="Arial"/>
          <w:bCs/>
          <w:color w:val="000000"/>
          <w:lang w:val="es-ES_tradnl" w:eastAsia="ko-KR"/>
        </w:rPr>
        <w:t xml:space="preserve"> </w:t>
      </w:r>
    </w:p>
    <w:p w:rsidR="00487108" w:rsidRPr="00366A0A" w:rsidRDefault="00487108" w:rsidP="00D335A4">
      <w:pPr>
        <w:widowControl w:val="0"/>
        <w:autoSpaceDE w:val="0"/>
        <w:autoSpaceDN w:val="0"/>
        <w:adjustRightInd w:val="0"/>
        <w:rPr>
          <w:rFonts w:eastAsia="Batang" w:cs="Arial"/>
          <w:bCs/>
          <w:color w:val="000000"/>
          <w:u w:val="single"/>
          <w:lang w:val="es-ES_tradnl" w:eastAsia="ko-KR"/>
        </w:rPr>
      </w:pPr>
    </w:p>
    <w:p w:rsidR="00487108" w:rsidRPr="0096078C" w:rsidRDefault="00487108" w:rsidP="00D335A4">
      <w:pPr>
        <w:widowControl w:val="0"/>
        <w:autoSpaceDE w:val="0"/>
        <w:autoSpaceDN w:val="0"/>
        <w:adjustRightInd w:val="0"/>
        <w:rPr>
          <w:rFonts w:eastAsia="Batang" w:cs="Arial"/>
          <w:color w:val="000000"/>
          <w:lang w:val="es-ES_tradnl" w:eastAsia="ko-KR"/>
        </w:rPr>
      </w:pPr>
      <w:r w:rsidRPr="0096078C">
        <w:rPr>
          <w:rFonts w:eastAsia="Batang" w:cs="Arial"/>
          <w:bCs/>
          <w:color w:val="000000"/>
          <w:lang w:val="es-ES_tradnl" w:eastAsia="ko-KR"/>
        </w:rPr>
        <w:t>10.1</w:t>
      </w:r>
      <w:r w:rsidRPr="0096078C">
        <w:rPr>
          <w:rFonts w:eastAsia="Batang" w:cs="Arial"/>
          <w:bCs/>
          <w:color w:val="000000"/>
          <w:lang w:val="es-ES_tradnl" w:eastAsia="ko-KR"/>
        </w:rPr>
        <w:tab/>
      </w:r>
      <w:r w:rsidRPr="0082237D">
        <w:rPr>
          <w:rFonts w:eastAsia="Batang" w:cs="Arial"/>
          <w:bCs/>
          <w:color w:val="000000"/>
          <w:u w:val="single"/>
          <w:lang w:val="es-ES_tradnl" w:eastAsia="ko-KR"/>
        </w:rPr>
        <w:t>Utilización del método de la varianza relativa</w:t>
      </w:r>
      <w:r w:rsidRPr="0096078C">
        <w:rPr>
          <w:rFonts w:eastAsia="Batang" w:cs="Arial"/>
          <w:bCs/>
          <w:color w:val="000000"/>
          <w:u w:val="single"/>
          <w:lang w:val="es-ES_tradnl" w:eastAsia="ko-KR"/>
        </w:rPr>
        <w:t xml:space="preserve"> </w:t>
      </w:r>
    </w:p>
    <w:p w:rsidR="00487108" w:rsidRPr="0096078C" w:rsidRDefault="00487108" w:rsidP="00D335A4">
      <w:pPr>
        <w:keepNext/>
        <w:keepLines/>
        <w:rPr>
          <w:rFonts w:cs="Arial"/>
          <w:b/>
          <w:u w:val="single"/>
          <w:lang w:val="es-ES_tradnl"/>
        </w:rPr>
      </w:pPr>
    </w:p>
    <w:p w:rsidR="00487108" w:rsidRPr="0096078C" w:rsidRDefault="00487108" w:rsidP="00D335A4">
      <w:pPr>
        <w:tabs>
          <w:tab w:val="left" w:pos="840"/>
        </w:tabs>
        <w:rPr>
          <w:rFonts w:ascii="TimesNewRomanPSMT" w:eastAsia="SimSun" w:hAnsi="TimesNewRomanPSMT" w:cs="TimesNewRomanPSMT"/>
          <w:szCs w:val="24"/>
          <w:lang w:val="es-ES_tradnl" w:eastAsia="zh-CN"/>
        </w:rPr>
      </w:pPr>
      <w:r w:rsidRPr="0096078C">
        <w:rPr>
          <w:rFonts w:cs="Arial"/>
          <w:color w:val="000000"/>
          <w:highlight w:val="lightGray"/>
          <w:u w:val="single"/>
          <w:lang w:val="es-ES_tradnl"/>
        </w:rPr>
        <w:t>10.1.1</w:t>
      </w:r>
      <w:r w:rsidRPr="0096078C">
        <w:rPr>
          <w:rFonts w:cs="Arial"/>
          <w:color w:val="000000"/>
          <w:lang w:val="es-ES_tradnl"/>
        </w:rPr>
        <w:tab/>
      </w:r>
      <w:r w:rsidRPr="0082237D">
        <w:rPr>
          <w:lang w:val="es-ES_tradnl"/>
        </w:rPr>
        <w:t>La varianza relativa para un carácter determinado es la varianza de la variedad candidata dividida entre el promedio de las varianzas de las variedades comparables (esto es, varianza relativa = varianza de la variedad candidata/varianza media de las variedades comparables).</w:t>
      </w:r>
      <w:r w:rsidRPr="0096078C">
        <w:rPr>
          <w:lang w:val="es-ES_tradnl"/>
        </w:rPr>
        <w:t xml:space="preserve">  </w:t>
      </w:r>
      <w:r w:rsidRPr="0082237D">
        <w:rPr>
          <w:lang w:val="es-ES_tradnl"/>
        </w:rPr>
        <w:t>Debe haber una distribución normal de los datos.</w:t>
      </w:r>
      <w:r w:rsidRPr="0096078C">
        <w:rPr>
          <w:lang w:val="es-ES_tradnl"/>
        </w:rPr>
        <w:t xml:space="preserve">  </w:t>
      </w:r>
      <w:r w:rsidRPr="0082237D">
        <w:rPr>
          <w:lang w:val="es-ES_tradnl"/>
        </w:rPr>
        <w:t>El método de la varianza relativa puede aplicarse a todo carácter medido que sea una variable continua, independientemente del método de propagación de la variedad.</w:t>
      </w:r>
      <w:r w:rsidRPr="0096078C">
        <w:rPr>
          <w:lang w:val="es-ES_tradnl"/>
        </w:rPr>
        <w:t xml:space="preserve">  </w:t>
      </w:r>
      <w:r w:rsidRPr="0082237D">
        <w:rPr>
          <w:lang w:val="es-ES_tradnl"/>
        </w:rPr>
        <w:t>Las variedades comparables son variedades del mismo tipo dentro de la misma especie, o de una especie estrechamente relacionada, que hayan sido examinadas anteriormente, considerándolas lo suficientemente homogéneas (véase la sección 5.2 “Determinación del nivel de variación aceptable” del documento TGP/10).</w:t>
      </w:r>
    </w:p>
    <w:p w:rsidR="00487108" w:rsidRPr="0096078C" w:rsidRDefault="00487108" w:rsidP="00D335A4">
      <w:pPr>
        <w:autoSpaceDE w:val="0"/>
        <w:autoSpaceDN w:val="0"/>
        <w:adjustRightInd w:val="0"/>
        <w:rPr>
          <w:rFonts w:ascii="TimesNewRomanPSMT" w:eastAsia="SimSun" w:hAnsi="TimesNewRomanPSMT" w:cs="TimesNewRomanPSMT"/>
          <w:szCs w:val="24"/>
          <w:lang w:val="es-ES_tradnl" w:eastAsia="zh-CN"/>
        </w:rPr>
      </w:pPr>
    </w:p>
    <w:p w:rsidR="00487108" w:rsidRPr="0096078C" w:rsidRDefault="00487108" w:rsidP="00D335A4">
      <w:pPr>
        <w:keepNext/>
        <w:keepLines/>
        <w:tabs>
          <w:tab w:val="left" w:pos="840"/>
        </w:tabs>
        <w:rPr>
          <w:u w:val="single"/>
          <w:lang w:val="es-ES_tradnl"/>
        </w:rPr>
      </w:pPr>
      <w:r w:rsidRPr="0096078C">
        <w:rPr>
          <w:rFonts w:cs="Arial"/>
          <w:color w:val="000000"/>
          <w:highlight w:val="lightGray"/>
          <w:u w:val="single"/>
          <w:lang w:val="es-ES_tradnl"/>
        </w:rPr>
        <w:t>10.1.2</w:t>
      </w:r>
      <w:r w:rsidRPr="0096078C">
        <w:rPr>
          <w:rFonts w:cs="Arial"/>
          <w:color w:val="000000"/>
          <w:lang w:val="es-ES_tradnl"/>
        </w:rPr>
        <w:tab/>
      </w:r>
      <w:r w:rsidRPr="0082237D">
        <w:rPr>
          <w:lang w:val="es-ES_tradnl"/>
        </w:rPr>
        <w:t>Para las variedades alógamas, una recomendación común de las Directrices de Examen de la UPOV es tomar 60 mediciones por carácter por variedad.</w:t>
      </w:r>
      <w:r w:rsidRPr="0096078C">
        <w:rPr>
          <w:lang w:val="es-ES_tradnl"/>
        </w:rPr>
        <w:t xml:space="preserve">  </w:t>
      </w:r>
      <w:r w:rsidRPr="0082237D">
        <w:rPr>
          <w:lang w:val="es-ES_tradnl"/>
        </w:rPr>
        <w:t>En esencia, la razón de varianzas es equiparable al estadístico F, y el valor tabulado de F para P = 0,01 con gl</w:t>
      </w:r>
      <w:r w:rsidRPr="0082237D">
        <w:rPr>
          <w:vertAlign w:val="subscript"/>
          <w:lang w:val="es-ES_tradnl"/>
        </w:rPr>
        <w:t>1</w:t>
      </w:r>
      <w:r w:rsidRPr="0082237D">
        <w:rPr>
          <w:lang w:val="es-ES_tradnl"/>
        </w:rPr>
        <w:t> = 60 (grados de libertad de la variedad candidata) y gl</w:t>
      </w:r>
      <w:r w:rsidRPr="0082237D">
        <w:rPr>
          <w:vertAlign w:val="subscript"/>
          <w:lang w:val="es-ES_tradnl"/>
        </w:rPr>
        <w:t>2</w:t>
      </w:r>
      <w:r w:rsidRPr="0082237D">
        <w:rPr>
          <w:lang w:val="es-ES_tradnl"/>
        </w:rPr>
        <w:t> = </w:t>
      </w:r>
      <w:r w:rsidRPr="0082237D">
        <w:rPr>
          <w:lang w:val="es-ES_tradnl"/>
        </w:rPr>
        <w:sym w:font="Symbol" w:char="F0A5"/>
      </w:r>
      <w:r w:rsidRPr="0082237D">
        <w:rPr>
          <w:lang w:val="es-ES_tradnl"/>
        </w:rPr>
        <w:t xml:space="preserve"> (grados de libertad de la(s) variedad(es) comparable(s)) es </w:t>
      </w:r>
      <w:r w:rsidRPr="0082237D">
        <w:rPr>
          <w:highlight w:val="lightGray"/>
          <w:u w:val="single"/>
          <w:lang w:val="es-ES_tradnl"/>
        </w:rPr>
        <w:t>1,47</w:t>
      </w:r>
      <w:r w:rsidRPr="0082237D">
        <w:rPr>
          <w:lang w:val="es-ES_tradnl"/>
        </w:rPr>
        <w:t>.  Se toma gl</w:t>
      </w:r>
      <w:r w:rsidRPr="0082237D">
        <w:rPr>
          <w:vertAlign w:val="subscript"/>
          <w:lang w:val="es-ES_tradnl"/>
        </w:rPr>
        <w:t>2</w:t>
      </w:r>
      <w:r w:rsidRPr="0082237D">
        <w:rPr>
          <w:lang w:val="es-ES_tradnl"/>
        </w:rPr>
        <w:t> = </w:t>
      </w:r>
      <w:r w:rsidRPr="0082237D">
        <w:rPr>
          <w:lang w:val="es-ES_tradnl"/>
        </w:rPr>
        <w:sym w:font="Symbol" w:char="F0A5"/>
      </w:r>
      <w:r w:rsidRPr="0082237D">
        <w:rPr>
          <w:lang w:val="es-ES_tradnl"/>
        </w:rPr>
        <w:t xml:space="preserve"> como estimación conservadora, ya que se supone que las variedades comparables representan fielmente el número infinito de posibles variedades comparables de la especie en su conjunto.</w:t>
      </w:r>
      <w:r w:rsidRPr="0096078C">
        <w:rPr>
          <w:lang w:val="es-ES_tradnl"/>
        </w:rPr>
        <w:t xml:space="preserve">  </w:t>
      </w:r>
      <w:r w:rsidRPr="0082237D">
        <w:rPr>
          <w:lang w:val="es-ES_tradnl"/>
        </w:rPr>
        <w:t>Luego </w:t>
      </w:r>
      <w:r w:rsidRPr="0082237D">
        <w:rPr>
          <w:highlight w:val="lightGray"/>
          <w:u w:val="single"/>
          <w:lang w:val="es-ES_tradnl"/>
        </w:rPr>
        <w:t>1,47</w:t>
      </w:r>
      <w:r w:rsidRPr="0082237D">
        <w:rPr>
          <w:lang w:val="es-ES_tradnl"/>
        </w:rPr>
        <w:t xml:space="preserve"> es el umbral para especies alógamas realizando 60 mediciones por carácter por variedad.</w:t>
      </w:r>
      <w:r w:rsidRPr="0096078C">
        <w:rPr>
          <w:lang w:val="es-ES_tradnl"/>
        </w:rPr>
        <w:t xml:space="preserve">  </w:t>
      </w:r>
      <w:r w:rsidRPr="0082237D">
        <w:rPr>
          <w:lang w:val="es-ES_tradnl"/>
        </w:rPr>
        <w:t>Para tamaños de muestra diferentes, deberá usarse un estadístico F diferente para los gl</w:t>
      </w:r>
      <w:r w:rsidRPr="0082237D">
        <w:rPr>
          <w:vertAlign w:val="subscript"/>
          <w:lang w:val="es-ES_tradnl"/>
        </w:rPr>
        <w:t>1</w:t>
      </w:r>
      <w:r w:rsidRPr="0082237D">
        <w:rPr>
          <w:lang w:val="es-ES_tradnl"/>
        </w:rPr>
        <w:t>, aunque el valor de gl</w:t>
      </w:r>
      <w:r w:rsidRPr="0082237D">
        <w:rPr>
          <w:vertAlign w:val="subscript"/>
          <w:lang w:val="es-ES_tradnl"/>
        </w:rPr>
        <w:t>2</w:t>
      </w:r>
      <w:r w:rsidRPr="0082237D">
        <w:rPr>
          <w:lang w:val="es-ES_tradnl"/>
        </w:rPr>
        <w:t xml:space="preserve"> deberá seguir siendo </w:t>
      </w:r>
      <w:r w:rsidRPr="0082237D">
        <w:rPr>
          <w:lang w:val="es-ES_tradnl"/>
        </w:rPr>
        <w:sym w:font="Symbol" w:char="F0A5"/>
      </w:r>
      <w:r w:rsidRPr="0082237D">
        <w:rPr>
          <w:lang w:val="es-ES_tradnl"/>
        </w:rPr>
        <w:t>.</w:t>
      </w:r>
      <w:r w:rsidRPr="0096078C">
        <w:rPr>
          <w:lang w:val="es-ES_tradnl"/>
        </w:rPr>
        <w:t xml:space="preserve">  </w:t>
      </w:r>
    </w:p>
    <w:p w:rsidR="00487108" w:rsidRPr="0096078C" w:rsidRDefault="00487108" w:rsidP="00D335A4">
      <w:pPr>
        <w:rPr>
          <w:lang w:val="es-ES_tradnl"/>
        </w:rPr>
      </w:pPr>
    </w:p>
    <w:p w:rsidR="00487108" w:rsidRPr="0096078C" w:rsidRDefault="00487108" w:rsidP="00D335A4">
      <w:pPr>
        <w:rPr>
          <w:lang w:val="es-ES_tradnl"/>
        </w:rPr>
      </w:pPr>
    </w:p>
    <w:p w:rsidR="00487108" w:rsidRPr="0096078C" w:rsidRDefault="00487108" w:rsidP="00D335A4">
      <w:pPr>
        <w:keepNext/>
        <w:rPr>
          <w:u w:val="single"/>
          <w:lang w:val="es-ES_tradnl"/>
        </w:rPr>
      </w:pPr>
      <w:r w:rsidRPr="0096078C">
        <w:rPr>
          <w:lang w:val="es-ES_tradnl"/>
        </w:rPr>
        <w:t>10.2</w:t>
      </w:r>
      <w:r w:rsidRPr="0096078C">
        <w:rPr>
          <w:lang w:val="es-ES_tradnl"/>
        </w:rPr>
        <w:tab/>
      </w:r>
      <w:r w:rsidRPr="0082237D">
        <w:rPr>
          <w:u w:val="single"/>
          <w:lang w:val="es-ES_tradnl"/>
        </w:rPr>
        <w:t>Umbral para diferentes tamaños de muestra</w:t>
      </w:r>
    </w:p>
    <w:p w:rsidR="00487108" w:rsidRPr="0096078C" w:rsidRDefault="00487108" w:rsidP="00D335A4">
      <w:pPr>
        <w:keepNext/>
        <w:rPr>
          <w:b/>
          <w:u w:val="single"/>
          <w:lang w:val="es-ES_tradnl"/>
        </w:rPr>
      </w:pPr>
    </w:p>
    <w:p w:rsidR="00487108" w:rsidRPr="0096078C" w:rsidRDefault="00487108" w:rsidP="00D335A4">
      <w:pPr>
        <w:keepNext/>
        <w:rPr>
          <w:u w:val="single"/>
          <w:lang w:val="es-ES_tradnl"/>
        </w:rPr>
      </w:pPr>
      <w:r w:rsidRPr="0096078C">
        <w:rPr>
          <w:lang w:val="es-ES_tradnl"/>
        </w:rPr>
        <w:t>10</w:t>
      </w:r>
      <w:r w:rsidRPr="0096078C">
        <w:rPr>
          <w:bCs/>
          <w:lang w:val="es-ES_tradnl"/>
        </w:rPr>
        <w:t>.2.1</w:t>
      </w:r>
      <w:r w:rsidRPr="0096078C">
        <w:rPr>
          <w:lang w:val="es-ES_tradnl"/>
        </w:rPr>
        <w:t xml:space="preserve"> </w:t>
      </w:r>
      <w:r w:rsidRPr="0082237D">
        <w:rPr>
          <w:lang w:val="es-ES_tradnl"/>
        </w:rPr>
        <w:t xml:space="preserve">No obstante, </w:t>
      </w:r>
      <w:r w:rsidRPr="0082237D">
        <w:rPr>
          <w:highlight w:val="lightGray"/>
          <w:u w:val="single"/>
          <w:lang w:val="es-ES_tradnl"/>
        </w:rPr>
        <w:t>cuando exista un número limitado de variedades</w:t>
      </w:r>
      <w:r w:rsidRPr="0082237D">
        <w:rPr>
          <w:lang w:val="es-ES_tradnl"/>
        </w:rPr>
        <w:t xml:space="preserve"> comparables </w:t>
      </w:r>
      <w:r w:rsidRPr="0082237D">
        <w:rPr>
          <w:highlight w:val="lightGray"/>
          <w:u w:val="single"/>
          <w:lang w:val="es-ES_tradnl"/>
        </w:rPr>
        <w:t>disponibles para</w:t>
      </w:r>
      <w:r w:rsidRPr="0082237D">
        <w:rPr>
          <w:lang w:val="es-ES_tradnl"/>
        </w:rPr>
        <w:t xml:space="preserve"> una especie, </w:t>
      </w:r>
      <w:r w:rsidRPr="0082237D">
        <w:rPr>
          <w:highlight w:val="lightGray"/>
          <w:u w:val="single"/>
          <w:lang w:val="es-ES_tradnl"/>
        </w:rPr>
        <w:t>no es práctico utilizar</w:t>
      </w:r>
      <w:r w:rsidRPr="0082237D">
        <w:rPr>
          <w:lang w:val="es-ES_tradnl"/>
        </w:rPr>
        <w:t xml:space="preserve"> una estimación conservadora de </w:t>
      </w:r>
      <w:r w:rsidRPr="0082237D">
        <w:rPr>
          <w:highlight w:val="lightGray"/>
          <w:u w:val="single"/>
          <w:lang w:val="es-ES_tradnl"/>
        </w:rPr>
        <w:t>gl</w:t>
      </w:r>
      <w:r w:rsidRPr="0082237D">
        <w:rPr>
          <w:highlight w:val="lightGray"/>
          <w:u w:val="single"/>
          <w:vertAlign w:val="subscript"/>
          <w:lang w:val="es-ES_tradnl"/>
        </w:rPr>
        <w:t>2</w:t>
      </w:r>
      <w:r w:rsidRPr="0082237D">
        <w:rPr>
          <w:highlight w:val="lightGray"/>
          <w:u w:val="single"/>
          <w:lang w:val="es-ES_tradnl"/>
        </w:rPr>
        <w:t> = </w:t>
      </w:r>
      <w:r w:rsidRPr="0082237D">
        <w:rPr>
          <w:highlight w:val="lightGray"/>
          <w:u w:val="single"/>
          <w:lang w:val="es-ES_tradnl"/>
        </w:rPr>
        <w:sym w:font="Symbol" w:char="F0A5"/>
      </w:r>
      <w:r w:rsidRPr="0082237D">
        <w:rPr>
          <w:highlight w:val="lightGray"/>
          <w:u w:val="single"/>
          <w:lang w:val="es-ES_tradnl"/>
        </w:rPr>
        <w:t>.</w:t>
      </w:r>
      <w:r w:rsidRPr="0096078C">
        <w:rPr>
          <w:rFonts w:cs="Arial"/>
          <w:highlight w:val="lightGray"/>
          <w:u w:val="single"/>
          <w:lang w:val="es-ES_tradnl"/>
        </w:rPr>
        <w:t xml:space="preserve">  </w:t>
      </w:r>
      <w:r w:rsidRPr="0082237D">
        <w:rPr>
          <w:rFonts w:cs="Arial"/>
          <w:highlight w:val="lightGray"/>
          <w:u w:val="single"/>
          <w:lang w:val="es-ES_tradnl"/>
        </w:rPr>
        <w:t>En esos casos, se recomienda utilizar el</w:t>
      </w:r>
      <w:r w:rsidRPr="0082237D">
        <w:rPr>
          <w:rFonts w:cs="Arial"/>
          <w:lang w:val="es-ES_tradnl"/>
        </w:rPr>
        <w:t xml:space="preserve"> tamaño de muestra </w:t>
      </w:r>
      <w:r w:rsidRPr="0082237D">
        <w:rPr>
          <w:rFonts w:cs="Arial"/>
          <w:highlight w:val="lightGray"/>
          <w:u w:val="single"/>
          <w:lang w:val="es-ES_tradnl"/>
        </w:rPr>
        <w:t>exacto de las variedades comparables para calcular el valor del gl</w:t>
      </w:r>
      <w:r w:rsidRPr="0082237D">
        <w:rPr>
          <w:rFonts w:cs="Arial"/>
          <w:highlight w:val="lightGray"/>
          <w:u w:val="single"/>
          <w:vertAlign w:val="subscript"/>
          <w:lang w:val="es-ES_tradnl"/>
        </w:rPr>
        <w:t>2</w:t>
      </w:r>
      <w:r w:rsidRPr="0082237D">
        <w:rPr>
          <w:rFonts w:cs="Arial"/>
          <w:highlight w:val="lightGray"/>
          <w:u w:val="single"/>
          <w:lang w:val="es-ES_tradnl"/>
        </w:rPr>
        <w:t>.</w:t>
      </w:r>
      <w:r w:rsidRPr="0096078C">
        <w:rPr>
          <w:rFonts w:cs="Arial"/>
          <w:highlight w:val="lightGray"/>
          <w:u w:val="single"/>
          <w:lang w:val="es-ES_tradnl"/>
        </w:rPr>
        <w:t xml:space="preserve">  </w:t>
      </w:r>
      <w:r w:rsidRPr="0082237D">
        <w:rPr>
          <w:rFonts w:cs="Arial"/>
          <w:highlight w:val="lightGray"/>
          <w:u w:val="single"/>
          <w:lang w:val="es-ES_tradnl"/>
        </w:rPr>
        <w:t>Por ejemplo, si el tamaño de muestra exacto de las variedades comparables es 60, y el número de variedades comparables es limitado para esa especie, el umbral es 1,84 (gl</w:t>
      </w:r>
      <w:r w:rsidRPr="0082237D">
        <w:rPr>
          <w:rFonts w:cs="Arial"/>
          <w:highlight w:val="lightGray"/>
          <w:u w:val="single"/>
          <w:vertAlign w:val="subscript"/>
          <w:lang w:val="es-ES_tradnl"/>
        </w:rPr>
        <w:t>1</w:t>
      </w:r>
      <w:r w:rsidRPr="0082237D">
        <w:rPr>
          <w:rFonts w:cs="Arial"/>
          <w:highlight w:val="lightGray"/>
          <w:u w:val="single"/>
          <w:lang w:val="es-ES_tradnl"/>
        </w:rPr>
        <w:t> = 60, gl</w:t>
      </w:r>
      <w:r w:rsidRPr="0082237D">
        <w:rPr>
          <w:rFonts w:cs="Arial"/>
          <w:highlight w:val="lightGray"/>
          <w:u w:val="single"/>
          <w:vertAlign w:val="subscript"/>
          <w:lang w:val="es-ES_tradnl"/>
        </w:rPr>
        <w:t>2</w:t>
      </w:r>
      <w:r w:rsidRPr="0082237D">
        <w:rPr>
          <w:rFonts w:cs="Arial"/>
          <w:highlight w:val="lightGray"/>
          <w:u w:val="single"/>
          <w:lang w:val="es-ES_tradnl"/>
        </w:rPr>
        <w:t> = 60).</w:t>
      </w:r>
    </w:p>
    <w:p w:rsidR="00487108" w:rsidRPr="0096078C" w:rsidRDefault="00487108" w:rsidP="00D335A4">
      <w:pPr>
        <w:autoSpaceDE w:val="0"/>
        <w:autoSpaceDN w:val="0"/>
        <w:adjustRightInd w:val="0"/>
        <w:rPr>
          <w:rFonts w:eastAsia="Batang" w:cs="Arial"/>
          <w:color w:val="000000"/>
          <w:highlight w:val="lightGray"/>
          <w:u w:val="single"/>
          <w:lang w:val="es-ES_tradnl" w:eastAsia="ko-KR"/>
        </w:rPr>
      </w:pPr>
      <w:r w:rsidRPr="0096078C">
        <w:rPr>
          <w:lang w:val="es-ES_tradnl"/>
        </w:rPr>
        <w:br/>
      </w:r>
      <w:r w:rsidRPr="0096078C">
        <w:rPr>
          <w:rFonts w:cs="Arial"/>
          <w:highlight w:val="lightGray"/>
          <w:u w:val="single"/>
          <w:lang w:val="es-ES_tradnl"/>
        </w:rPr>
        <w:t xml:space="preserve">10.2.2 </w:t>
      </w:r>
      <w:r w:rsidRPr="0082237D">
        <w:rPr>
          <w:rFonts w:eastAsia="Batang" w:cs="Arial"/>
          <w:color w:val="000000"/>
          <w:highlight w:val="lightGray"/>
          <w:u w:val="single"/>
          <w:lang w:val="es-ES_tradnl" w:eastAsia="ko-KR"/>
        </w:rPr>
        <w:t>El número mínimo de variedades comparables viene determinado en parte por el número total de variedades comparables disponibles que exista en el taxón pertinente.</w:t>
      </w:r>
      <w:r w:rsidRPr="0096078C">
        <w:rPr>
          <w:rFonts w:eastAsia="Batang" w:cs="Arial"/>
          <w:color w:val="000000"/>
          <w:highlight w:val="lightGray"/>
          <w:u w:val="single"/>
          <w:lang w:val="es-ES_tradnl" w:eastAsia="ko-KR"/>
        </w:rPr>
        <w:t xml:space="preserve"> </w:t>
      </w:r>
      <w:r w:rsidRPr="0082237D">
        <w:rPr>
          <w:rFonts w:eastAsia="Batang" w:cs="Arial"/>
          <w:color w:val="000000"/>
          <w:highlight w:val="lightGray"/>
          <w:u w:val="single"/>
          <w:lang w:val="es-ES_tradnl" w:eastAsia="ko-KR"/>
        </w:rPr>
        <w:t>Si el número de variedades comparables disponibles es muy pequeño, se recomienda incluirlas todas.</w:t>
      </w:r>
      <w:r w:rsidRPr="0096078C">
        <w:rPr>
          <w:rFonts w:eastAsia="Batang" w:cs="Arial"/>
          <w:color w:val="000000"/>
          <w:highlight w:val="lightGray"/>
          <w:u w:val="single"/>
          <w:lang w:val="es-ES_tradnl" w:eastAsia="ko-KR"/>
        </w:rPr>
        <w:t xml:space="preserve">  </w:t>
      </w:r>
      <w:r w:rsidRPr="0082237D">
        <w:rPr>
          <w:rFonts w:eastAsia="Batang" w:cs="Arial"/>
          <w:color w:val="000000"/>
          <w:highlight w:val="lightGray"/>
          <w:u w:val="single"/>
          <w:lang w:val="es-ES_tradnl" w:eastAsia="ko-KR"/>
        </w:rPr>
        <w:t>En casos en los que exista un gran número de variedades comparables, el número incluye las variedades utilizadas en el ensayo, pero también pueden tenerse en cuenta datos de ensayos anteriores en los que la autoridad haya determinado que las variedades comparables utilizadas en el ensayo quizá no proporcionen una estimación representativa de la varianza de la población para todas las variedades comparables (en la sección 3.6.2.2 del documento TGP/8.1 se ofrece orientación sobre la ampliación de los cuadros de interacción variedades × años).</w:t>
      </w:r>
      <w:r w:rsidRPr="0096078C">
        <w:rPr>
          <w:rFonts w:eastAsia="Batang" w:cs="Arial"/>
          <w:color w:val="000000"/>
          <w:highlight w:val="lightGray"/>
          <w:u w:val="single"/>
          <w:lang w:val="es-ES_tradnl" w:eastAsia="ko-KR"/>
        </w:rPr>
        <w:t xml:space="preserve">  </w:t>
      </w:r>
      <w:r w:rsidRPr="0082237D">
        <w:rPr>
          <w:rFonts w:eastAsia="Batang" w:cs="Arial"/>
          <w:color w:val="000000"/>
          <w:highlight w:val="lightGray"/>
          <w:u w:val="single"/>
          <w:lang w:val="es-ES_tradnl" w:eastAsia="ko-KR"/>
        </w:rPr>
        <w:t>Puede encontrarse más información sobre la utilización de datos empíricos anteriores para calcular la varianza en la norma ASTM E122-09e1, “</w:t>
      </w:r>
      <w:r w:rsidRPr="0096078C">
        <w:rPr>
          <w:rFonts w:eastAsia="Batang" w:cs="Arial"/>
          <w:i/>
          <w:color w:val="000000"/>
          <w:highlight w:val="lightGray"/>
          <w:u w:val="single"/>
          <w:lang w:val="es-ES_tradnl" w:eastAsia="ko-KR"/>
        </w:rPr>
        <w:t>Standard Practice for Calculating Sample Size to Estimate, With Specified Precision, the Average Characteristic of a Lot or Process</w:t>
      </w:r>
      <w:r w:rsidRPr="0082237D">
        <w:rPr>
          <w:rFonts w:eastAsia="Batang" w:cs="Arial"/>
          <w:color w:val="000000"/>
          <w:highlight w:val="lightGray"/>
          <w:u w:val="single"/>
          <w:lang w:val="es-ES_tradnl" w:eastAsia="ko-KR"/>
        </w:rPr>
        <w:t>”.</w:t>
      </w:r>
      <w:r w:rsidRPr="0096078C">
        <w:rPr>
          <w:rFonts w:eastAsia="Batang" w:cs="Arial"/>
          <w:color w:val="000000"/>
          <w:highlight w:val="lightGray"/>
          <w:u w:val="single"/>
          <w:lang w:val="es-ES_tradnl" w:eastAsia="ko-KR"/>
        </w:rPr>
        <w:t xml:space="preserve"> </w:t>
      </w:r>
    </w:p>
    <w:p w:rsidR="00487108" w:rsidRPr="0096078C" w:rsidRDefault="00487108" w:rsidP="00D335A4">
      <w:pPr>
        <w:autoSpaceDE w:val="0"/>
        <w:autoSpaceDN w:val="0"/>
        <w:adjustRightInd w:val="0"/>
        <w:jc w:val="left"/>
        <w:rPr>
          <w:rFonts w:ascii="Helv" w:eastAsia="Batang" w:hAnsi="Helv" w:cs="Helv"/>
          <w:color w:val="000000"/>
          <w:highlight w:val="yellow"/>
          <w:lang w:val="es-ES_tradnl" w:eastAsia="ko-KR"/>
        </w:rPr>
      </w:pPr>
    </w:p>
    <w:p w:rsidR="00487108" w:rsidRPr="0096078C" w:rsidRDefault="00487108" w:rsidP="00D335A4">
      <w:pPr>
        <w:autoSpaceDE w:val="0"/>
        <w:autoSpaceDN w:val="0"/>
        <w:adjustRightInd w:val="0"/>
        <w:jc w:val="left"/>
        <w:rPr>
          <w:rFonts w:ascii="Helv" w:eastAsia="Batang" w:hAnsi="Helv" w:cs="Helv"/>
          <w:color w:val="000000"/>
          <w:highlight w:val="yellow"/>
          <w:lang w:val="es-ES_tradnl" w:eastAsia="ko-KR"/>
        </w:rPr>
      </w:pPr>
    </w:p>
    <w:p w:rsidR="00487108" w:rsidRPr="0096078C" w:rsidRDefault="00487108" w:rsidP="00D335A4">
      <w:pPr>
        <w:rPr>
          <w:u w:val="single"/>
          <w:lang w:val="es-ES_tradnl"/>
        </w:rPr>
      </w:pPr>
      <w:r w:rsidRPr="0096078C">
        <w:rPr>
          <w:lang w:val="es-ES_tradnl"/>
        </w:rPr>
        <w:t>10.3</w:t>
      </w:r>
      <w:r w:rsidRPr="0096078C">
        <w:rPr>
          <w:lang w:val="es-ES_tradnl"/>
        </w:rPr>
        <w:tab/>
      </w:r>
      <w:r w:rsidRPr="0082237D">
        <w:rPr>
          <w:u w:val="single"/>
          <w:lang w:val="es-ES_tradnl"/>
        </w:rPr>
        <w:t>Uso práctico de la prueba de la varianza relativa</w:t>
      </w:r>
      <w:r w:rsidRPr="0096078C">
        <w:rPr>
          <w:u w:val="single"/>
          <w:lang w:val="es-ES_tradnl"/>
        </w:rPr>
        <w:t xml:space="preserve"> </w:t>
      </w:r>
    </w:p>
    <w:p w:rsidR="00487108" w:rsidRPr="0096078C" w:rsidRDefault="00487108" w:rsidP="00D335A4">
      <w:pPr>
        <w:rPr>
          <w:b/>
          <w:u w:val="single"/>
          <w:lang w:val="es-ES_tradnl"/>
        </w:rPr>
      </w:pPr>
    </w:p>
    <w:p w:rsidR="00487108" w:rsidRPr="0096078C" w:rsidRDefault="00487108" w:rsidP="00D335A4">
      <w:pPr>
        <w:tabs>
          <w:tab w:val="left" w:pos="810"/>
        </w:tabs>
        <w:rPr>
          <w:lang w:val="es-ES_tradnl"/>
        </w:rPr>
      </w:pPr>
      <w:r w:rsidRPr="0096078C">
        <w:rPr>
          <w:lang w:val="es-ES_tradnl"/>
        </w:rPr>
        <w:t>10.3.1</w:t>
      </w:r>
      <w:r w:rsidRPr="0096078C">
        <w:rPr>
          <w:lang w:val="es-ES_tradnl"/>
        </w:rPr>
        <w:tab/>
      </w:r>
      <w:r w:rsidRPr="0082237D">
        <w:rPr>
          <w:lang w:val="es-ES_tradnl"/>
        </w:rPr>
        <w:t>Si la varianza relativa calculada es menor que el valor tabulado del estadístico F, es razonable suponer que las varianzas son iguales y que la variedad candidata es homogénea en lo que respecta a ese carácter concreto.</w:t>
      </w:r>
      <w:r w:rsidRPr="0096078C">
        <w:rPr>
          <w:lang w:val="es-ES_tradnl"/>
        </w:rPr>
        <w:t xml:space="preserve">  </w:t>
      </w:r>
      <w:r w:rsidRPr="0082237D">
        <w:rPr>
          <w:lang w:val="es-ES_tradnl"/>
        </w:rPr>
        <w:t>Si la varianza relativa calculada es mayor que el valor tabulado del estadístico F, entonces se rechaza la hipótesis nula:  que las varianzas de las variedades son iguales.</w:t>
      </w:r>
      <w:r w:rsidRPr="0096078C">
        <w:rPr>
          <w:lang w:val="es-ES_tradnl"/>
        </w:rPr>
        <w:t xml:space="preserve">  </w:t>
      </w:r>
      <w:r w:rsidRPr="0082237D">
        <w:rPr>
          <w:lang w:val="es-ES_tradnl"/>
        </w:rPr>
        <w:t>Se consideraría entonces que la variedad candidata tiene una varianza mayor que las variedades comparables para ese carácter concreto y, por consiguiente, no cumpliría el criterio de homogeneidad.</w:t>
      </w:r>
      <w:r w:rsidRPr="0096078C">
        <w:rPr>
          <w:lang w:val="es-ES_tradnl"/>
        </w:rPr>
        <w:t xml:space="preserve"> </w:t>
      </w:r>
    </w:p>
    <w:p w:rsidR="00487108" w:rsidRDefault="00487108" w:rsidP="00D335A4">
      <w:pPr>
        <w:tabs>
          <w:tab w:val="left" w:pos="810"/>
        </w:tabs>
        <w:rPr>
          <w:lang w:val="es-ES_tradnl"/>
        </w:rPr>
      </w:pPr>
    </w:p>
    <w:p w:rsidR="000F6AF2" w:rsidRPr="0096078C" w:rsidRDefault="000F6AF2" w:rsidP="00D335A4">
      <w:pPr>
        <w:tabs>
          <w:tab w:val="left" w:pos="810"/>
        </w:tabs>
        <w:rPr>
          <w:lang w:val="es-ES_tradnl"/>
        </w:rPr>
      </w:pPr>
    </w:p>
    <w:p w:rsidR="00487108" w:rsidRPr="0096078C" w:rsidRDefault="00487108" w:rsidP="00D335A4">
      <w:pPr>
        <w:rPr>
          <w:u w:val="single"/>
          <w:lang w:val="es-ES_tradnl"/>
        </w:rPr>
      </w:pPr>
      <w:r w:rsidRPr="0096078C">
        <w:rPr>
          <w:u w:val="single"/>
          <w:lang w:val="es-ES_tradnl"/>
        </w:rPr>
        <w:t>10.4</w:t>
      </w:r>
      <w:r w:rsidRPr="0096078C">
        <w:rPr>
          <w:u w:val="single"/>
          <w:lang w:val="es-ES_tradnl"/>
        </w:rPr>
        <w:tab/>
      </w:r>
      <w:r w:rsidRPr="0082237D">
        <w:rPr>
          <w:u w:val="single"/>
          <w:lang w:val="es-ES_tradnl"/>
        </w:rPr>
        <w:t>Ejemplo del método de la varianza relativa</w:t>
      </w:r>
    </w:p>
    <w:p w:rsidR="00487108" w:rsidRPr="0096078C" w:rsidRDefault="00487108" w:rsidP="00D335A4">
      <w:pPr>
        <w:keepNext/>
        <w:keepLines/>
        <w:rPr>
          <w:b/>
          <w:bCs/>
          <w:u w:val="single"/>
          <w:lang w:val="es-ES_tradnl"/>
        </w:rPr>
      </w:pPr>
    </w:p>
    <w:p w:rsidR="00487108" w:rsidRPr="0096078C" w:rsidRDefault="00487108" w:rsidP="00D335A4">
      <w:pPr>
        <w:keepNext/>
        <w:keepLines/>
        <w:rPr>
          <w:i/>
          <w:lang w:val="es-ES_tradnl"/>
        </w:rPr>
      </w:pPr>
      <w:r w:rsidRPr="00704805">
        <w:rPr>
          <w:i/>
          <w:lang w:val="es-ES_tradnl"/>
        </w:rPr>
        <w:t>Ejemplo</w:t>
      </w:r>
      <w:r w:rsidRPr="0096078C">
        <w:rPr>
          <w:i/>
          <w:lang w:val="es-ES_tradnl"/>
        </w:rPr>
        <w:t xml:space="preserve"> </w:t>
      </w:r>
    </w:p>
    <w:p w:rsidR="00487108" w:rsidRPr="0096078C" w:rsidRDefault="00487108" w:rsidP="00D335A4">
      <w:pPr>
        <w:keepNext/>
        <w:keepLines/>
        <w:rPr>
          <w:lang w:val="es-ES_tradnl"/>
        </w:rPr>
      </w:pPr>
    </w:p>
    <w:p w:rsidR="00487108" w:rsidRPr="0096078C" w:rsidRDefault="00487108" w:rsidP="00D335A4">
      <w:pPr>
        <w:keepNext/>
        <w:keepLines/>
        <w:tabs>
          <w:tab w:val="left" w:pos="840"/>
        </w:tabs>
        <w:rPr>
          <w:lang w:val="es-ES_tradnl"/>
        </w:rPr>
      </w:pPr>
      <w:r w:rsidRPr="0096078C">
        <w:rPr>
          <w:lang w:val="es-ES_tradnl"/>
        </w:rPr>
        <w:t>10.4.1</w:t>
      </w:r>
      <w:r w:rsidRPr="0096078C">
        <w:rPr>
          <w:lang w:val="es-ES_tradnl"/>
        </w:rPr>
        <w:tab/>
      </w:r>
      <w:r w:rsidRPr="0082237D">
        <w:rPr>
          <w:lang w:val="es-ES_tradnl"/>
        </w:rPr>
        <w:t>En un ensayo DHE se cultivó una variedad candidata alógama juntamente con un cierto número de variedades que representan el nivel requerido de uniformidad para todos los caracteres pertinentes.</w:t>
      </w:r>
      <w:r w:rsidRPr="0096078C">
        <w:rPr>
          <w:lang w:val="es-ES_tradnl"/>
        </w:rPr>
        <w:t xml:space="preserve">  </w:t>
      </w:r>
      <w:r w:rsidRPr="0082237D">
        <w:rPr>
          <w:lang w:val="es-ES_tradnl"/>
        </w:rPr>
        <w:t>A fin de ilustrar el cálculo de la varianza relativa, se presenta un ejemplo con 4 variedades comparables.</w:t>
      </w:r>
      <w:r w:rsidRPr="0096078C">
        <w:rPr>
          <w:lang w:val="es-ES_tradnl"/>
        </w:rPr>
        <w:t xml:space="preserve">  </w:t>
      </w:r>
      <w:r w:rsidRPr="0082237D">
        <w:rPr>
          <w:lang w:val="es-ES_tradnl"/>
        </w:rPr>
        <w:t>El cuadro </w:t>
      </w:r>
      <w:r w:rsidRPr="0082237D">
        <w:rPr>
          <w:highlight w:val="lightGray"/>
          <w:u w:val="single"/>
          <w:lang w:val="es-ES_tradnl"/>
        </w:rPr>
        <w:t>1</w:t>
      </w:r>
      <w:r w:rsidRPr="0082237D">
        <w:rPr>
          <w:lang w:val="es-ES_tradnl"/>
        </w:rPr>
        <w:t xml:space="preserve"> muestra los datos de varianza de las mediciones de altura de las plantas para las cinco variedades.</w:t>
      </w:r>
      <w:r w:rsidRPr="0096078C">
        <w:rPr>
          <w:lang w:val="es-ES_tradnl"/>
        </w:rPr>
        <w:t xml:space="preserve">  </w:t>
      </w:r>
      <w:r w:rsidRPr="0082237D">
        <w:rPr>
          <w:lang w:val="es-ES_tradnl"/>
        </w:rPr>
        <w:t>Se midieron 60 plantas de cada variedad para medir la altura de las plantas.</w:t>
      </w:r>
    </w:p>
    <w:p w:rsidR="00487108" w:rsidRPr="0096078C" w:rsidRDefault="00487108" w:rsidP="00D335A4">
      <w:pPr>
        <w:rPr>
          <w:lang w:val="es-ES_tradnl"/>
        </w:rPr>
      </w:pPr>
    </w:p>
    <w:p w:rsidR="00487108" w:rsidRPr="0096078C" w:rsidRDefault="00487108" w:rsidP="00D335A4">
      <w:pPr>
        <w:tabs>
          <w:tab w:val="left" w:pos="840"/>
        </w:tabs>
        <w:rPr>
          <w:lang w:val="es-ES_tradnl"/>
        </w:rPr>
      </w:pPr>
      <w:r w:rsidRPr="0096078C">
        <w:rPr>
          <w:lang w:val="es-ES_tradnl"/>
        </w:rPr>
        <w:t>10.4.2</w:t>
      </w:r>
      <w:r w:rsidRPr="0096078C">
        <w:rPr>
          <w:lang w:val="es-ES_tradnl"/>
        </w:rPr>
        <w:tab/>
      </w:r>
      <w:r w:rsidRPr="0082237D">
        <w:rPr>
          <w:lang w:val="es-ES_tradnl"/>
        </w:rPr>
        <w:t>El número de observaciones por variedad es el mismo (n = 60),</w:t>
      </w:r>
      <w:r w:rsidRPr="0096078C">
        <w:rPr>
          <w:lang w:val="es-ES_tradnl"/>
        </w:rPr>
        <w:t xml:space="preserve"> </w:t>
      </w:r>
      <w:r w:rsidRPr="0082237D">
        <w:rPr>
          <w:lang w:val="es-ES_tradnl"/>
        </w:rPr>
        <w:t>de modo que podemos tomar la varianza media de las variedades comparables como su varianza combinada.</w:t>
      </w:r>
      <w:r w:rsidRPr="0096078C">
        <w:rPr>
          <w:lang w:val="es-ES_tradnl"/>
        </w:rPr>
        <w:t xml:space="preserve"> </w:t>
      </w:r>
    </w:p>
    <w:p w:rsidR="00487108" w:rsidRPr="0096078C" w:rsidRDefault="00487108" w:rsidP="00D335A4">
      <w:pPr>
        <w:rPr>
          <w:lang w:val="es-ES_tradnl"/>
        </w:rPr>
      </w:pPr>
    </w:p>
    <w:p w:rsidR="00487108" w:rsidRPr="0096078C" w:rsidRDefault="00487108" w:rsidP="00D335A4">
      <w:pPr>
        <w:tabs>
          <w:tab w:val="left" w:pos="840"/>
        </w:tabs>
        <w:rPr>
          <w:lang w:val="es-ES_tradnl"/>
        </w:rPr>
      </w:pPr>
      <w:r w:rsidRPr="0096078C">
        <w:rPr>
          <w:lang w:val="es-ES_tradnl"/>
        </w:rPr>
        <w:t>10.4.3</w:t>
      </w:r>
      <w:r w:rsidRPr="0096078C">
        <w:rPr>
          <w:lang w:val="es-ES_tradnl"/>
        </w:rPr>
        <w:tab/>
      </w:r>
      <w:r w:rsidRPr="0082237D">
        <w:rPr>
          <w:lang w:val="es-ES_tradnl"/>
        </w:rPr>
        <w:t>La varianza media de las variedades comparables es:</w:t>
      </w:r>
      <w:r w:rsidRPr="0096078C">
        <w:rPr>
          <w:lang w:val="es-ES_tradnl"/>
        </w:rPr>
        <w:t xml:space="preserve">  (7,8 + 4,5 + 3,2 + 5,8)/4 = 5,32</w:t>
      </w:r>
    </w:p>
    <w:p w:rsidR="00487108" w:rsidRPr="0096078C" w:rsidRDefault="00487108" w:rsidP="00D335A4">
      <w:pPr>
        <w:rPr>
          <w:rFonts w:cs="Arial"/>
          <w:lang w:val="es-ES_tradnl"/>
        </w:rPr>
      </w:pPr>
    </w:p>
    <w:p w:rsidR="00487108" w:rsidRPr="0096078C" w:rsidRDefault="00487108" w:rsidP="00D335A4">
      <w:pPr>
        <w:rPr>
          <w:u w:val="single"/>
          <w:lang w:val="es-ES_tradnl"/>
        </w:rPr>
      </w:pPr>
      <w:r w:rsidRPr="0082237D">
        <w:rPr>
          <w:rFonts w:cs="Arial"/>
          <w:highlight w:val="lightGray"/>
          <w:u w:val="single"/>
          <w:lang w:val="es-ES_tradnl"/>
        </w:rPr>
        <w:t>Si la varianza de la variedad candidata es inferior a la varianza media de las variedades comparables, no será necesario proceder a nuevos exámenes.</w:t>
      </w:r>
      <w:r w:rsidRPr="0096078C">
        <w:rPr>
          <w:rFonts w:cs="Arial"/>
          <w:highlight w:val="lightGray"/>
          <w:u w:val="single"/>
          <w:lang w:val="es-ES_tradnl"/>
        </w:rPr>
        <w:t xml:space="preserve">  </w:t>
      </w:r>
      <w:r w:rsidRPr="0082237D">
        <w:rPr>
          <w:rFonts w:cs="Arial"/>
          <w:highlight w:val="lightGray"/>
          <w:u w:val="single"/>
          <w:lang w:val="es-ES_tradnl"/>
        </w:rPr>
        <w:t>Cabe considerar que la variedad candidata es suficientemente homogénea en el carácter pertinente.</w:t>
      </w:r>
      <w:r w:rsidRPr="0096078C">
        <w:rPr>
          <w:rFonts w:cs="Arial"/>
          <w:highlight w:val="lightGray"/>
          <w:u w:val="single"/>
          <w:lang w:val="es-ES_tradnl"/>
        </w:rPr>
        <w:t xml:space="preserve">  </w:t>
      </w:r>
      <w:r w:rsidRPr="0082237D">
        <w:rPr>
          <w:rFonts w:cs="Arial"/>
          <w:highlight w:val="lightGray"/>
          <w:u w:val="single"/>
          <w:lang w:val="es-ES_tradnl"/>
        </w:rPr>
        <w:t>No obstante, si la varianza de la variedad candidata es superior a la varianza media de las variedades comparables, habrá que comparar las varianzas utilizando el método de la varianza relativa.</w:t>
      </w:r>
      <w:r w:rsidRPr="0096078C">
        <w:rPr>
          <w:rFonts w:cs="Arial"/>
          <w:u w:val="single"/>
          <w:lang w:val="es-ES_tradnl"/>
        </w:rPr>
        <w:t xml:space="preserve">  </w:t>
      </w:r>
    </w:p>
    <w:p w:rsidR="00487108" w:rsidRPr="0096078C" w:rsidRDefault="00487108" w:rsidP="00D335A4">
      <w:pPr>
        <w:rPr>
          <w:rFonts w:cs="Arial"/>
          <w:lang w:val="es-ES_tradnl"/>
        </w:rPr>
      </w:pPr>
    </w:p>
    <w:p w:rsidR="00487108" w:rsidRPr="0096078C" w:rsidRDefault="00487108" w:rsidP="0082237D">
      <w:pPr>
        <w:widowControl w:val="0"/>
        <w:autoSpaceDE w:val="0"/>
        <w:autoSpaceDN w:val="0"/>
        <w:adjustRightInd w:val="0"/>
        <w:spacing w:line="280" w:lineRule="atLeast"/>
        <w:rPr>
          <w:rFonts w:eastAsia="Batang" w:cs="Arial"/>
          <w:highlight w:val="lightGray"/>
          <w:u w:val="single"/>
          <w:lang w:val="es-ES_tradnl" w:eastAsia="ko-KR"/>
        </w:rPr>
      </w:pPr>
      <w:r w:rsidRPr="00704805">
        <w:rPr>
          <w:rFonts w:eastAsia="Batang" w:cs="Arial"/>
          <w:i/>
          <w:iCs/>
          <w:highlight w:val="lightGray"/>
          <w:u w:val="single"/>
          <w:lang w:val="es-ES_tradnl" w:eastAsia="ko-KR"/>
        </w:rPr>
        <w:t>Cuadro </w:t>
      </w:r>
      <w:r w:rsidRPr="00704805">
        <w:rPr>
          <w:rFonts w:eastAsia="Batang" w:cs="Arial"/>
          <w:i/>
          <w:iCs/>
          <w:u w:val="single"/>
          <w:lang w:val="es-ES_tradnl" w:eastAsia="ko-KR"/>
        </w:rPr>
        <w:t>1</w:t>
      </w:r>
      <w:r w:rsidRPr="00704805">
        <w:rPr>
          <w:rFonts w:eastAsia="Batang" w:cs="Arial"/>
          <w:i/>
          <w:iCs/>
          <w:highlight w:val="lightGray"/>
          <w:u w:val="single"/>
          <w:lang w:val="es-ES_tradnl" w:eastAsia="ko-KR"/>
        </w:rPr>
        <w:t>:</w:t>
      </w:r>
      <w:r w:rsidRPr="0096078C">
        <w:rPr>
          <w:rFonts w:eastAsia="Batang" w:cs="Arial"/>
          <w:i/>
          <w:iCs/>
          <w:highlight w:val="lightGray"/>
          <w:u w:val="single"/>
          <w:lang w:val="es-ES_tradnl" w:eastAsia="ko-KR"/>
        </w:rPr>
        <w:t xml:space="preserve">  </w:t>
      </w:r>
      <w:r w:rsidRPr="0082237D">
        <w:rPr>
          <w:rFonts w:eastAsia="Batang" w:cs="Arial"/>
          <w:i/>
          <w:iCs/>
          <w:highlight w:val="lightGray"/>
          <w:u w:val="single"/>
          <w:lang w:val="es-ES_tradnl" w:eastAsia="ko-KR"/>
        </w:rPr>
        <w:t>Varianzas de los datos de altura de las plantas de la variedad candidata y de las variedades comparables</w:t>
      </w:r>
      <w:r w:rsidRPr="0096078C">
        <w:rPr>
          <w:rFonts w:eastAsia="Batang" w:cs="Arial"/>
          <w:i/>
          <w:iCs/>
          <w:highlight w:val="lightGray"/>
          <w:u w:val="single"/>
          <w:lang w:val="es-ES_tradnl" w:eastAsia="ko-KR"/>
        </w:rPr>
        <w:t xml:space="preserve">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070"/>
        <w:gridCol w:w="2160"/>
        <w:gridCol w:w="2160"/>
        <w:gridCol w:w="2160"/>
      </w:tblGrid>
      <w:tr w:rsidR="00487108" w:rsidRPr="00100526" w:rsidTr="00B17E2B">
        <w:trPr>
          <w:jc w:val="center"/>
        </w:trPr>
        <w:tc>
          <w:tcPr>
            <w:tcW w:w="1080" w:type="dxa"/>
          </w:tcPr>
          <w:p w:rsidR="00487108" w:rsidRPr="00100526" w:rsidRDefault="00487108" w:rsidP="00704805">
            <w:pPr>
              <w:widowControl w:val="0"/>
              <w:autoSpaceDE w:val="0"/>
              <w:autoSpaceDN w:val="0"/>
              <w:adjustRightInd w:val="0"/>
              <w:jc w:val="center"/>
              <w:rPr>
                <w:rFonts w:eastAsia="Batang" w:cs="Arial"/>
                <w:spacing w:val="-6"/>
                <w:highlight w:val="lightGray"/>
                <w:u w:val="single"/>
                <w:lang w:val="en-AU" w:eastAsia="ko-KR"/>
              </w:rPr>
            </w:pPr>
            <w:r w:rsidRPr="0082237D">
              <w:rPr>
                <w:rFonts w:eastAsia="Batang" w:cs="Arial"/>
                <w:spacing w:val="-6"/>
                <w:highlight w:val="lightGray"/>
                <w:u w:val="single"/>
                <w:lang w:val="es-ES_tradnl" w:eastAsia="ko-KR"/>
              </w:rPr>
              <w:t>Candidata</w:t>
            </w:r>
          </w:p>
        </w:tc>
        <w:tc>
          <w:tcPr>
            <w:tcW w:w="2070" w:type="dxa"/>
          </w:tcPr>
          <w:p w:rsidR="00487108" w:rsidRPr="00100526" w:rsidRDefault="00487108" w:rsidP="00704805">
            <w:pPr>
              <w:widowControl w:val="0"/>
              <w:autoSpaceDE w:val="0"/>
              <w:autoSpaceDN w:val="0"/>
              <w:adjustRightInd w:val="0"/>
              <w:jc w:val="center"/>
              <w:rPr>
                <w:rFonts w:eastAsia="Batang" w:cs="Arial"/>
                <w:spacing w:val="-4"/>
                <w:highlight w:val="lightGray"/>
                <w:u w:val="single"/>
                <w:lang w:val="en-AU" w:eastAsia="ko-KR"/>
              </w:rPr>
            </w:pPr>
            <w:r w:rsidRPr="0082237D">
              <w:rPr>
                <w:rFonts w:eastAsia="Batang" w:cs="Arial"/>
                <w:spacing w:val="-4"/>
                <w:highlight w:val="lightGray"/>
                <w:u w:val="single"/>
                <w:lang w:val="es-ES_tradnl" w:eastAsia="ko-KR"/>
              </w:rPr>
              <w:t>Variedad comparable 1</w:t>
            </w:r>
          </w:p>
        </w:tc>
        <w:tc>
          <w:tcPr>
            <w:tcW w:w="2160" w:type="dxa"/>
          </w:tcPr>
          <w:p w:rsidR="00487108" w:rsidRPr="00100526" w:rsidRDefault="00487108" w:rsidP="00704805">
            <w:pPr>
              <w:widowControl w:val="0"/>
              <w:autoSpaceDE w:val="0"/>
              <w:autoSpaceDN w:val="0"/>
              <w:adjustRightInd w:val="0"/>
              <w:jc w:val="center"/>
              <w:rPr>
                <w:rFonts w:eastAsia="Batang" w:cs="Arial"/>
                <w:spacing w:val="-4"/>
                <w:highlight w:val="lightGray"/>
                <w:u w:val="single"/>
                <w:lang w:val="en-AU" w:eastAsia="ko-KR"/>
              </w:rPr>
            </w:pPr>
            <w:r w:rsidRPr="00704805">
              <w:rPr>
                <w:rFonts w:eastAsia="Batang" w:cs="Arial"/>
                <w:spacing w:val="-4"/>
                <w:highlight w:val="lightGray"/>
                <w:u w:val="single"/>
                <w:lang w:val="es-ES_tradnl" w:eastAsia="ko-KR"/>
              </w:rPr>
              <w:t>Variedad comparable 2</w:t>
            </w:r>
          </w:p>
        </w:tc>
        <w:tc>
          <w:tcPr>
            <w:tcW w:w="2160" w:type="dxa"/>
          </w:tcPr>
          <w:p w:rsidR="00487108" w:rsidRPr="00100526" w:rsidRDefault="00487108" w:rsidP="00704805">
            <w:pPr>
              <w:widowControl w:val="0"/>
              <w:autoSpaceDE w:val="0"/>
              <w:autoSpaceDN w:val="0"/>
              <w:adjustRightInd w:val="0"/>
              <w:jc w:val="center"/>
              <w:rPr>
                <w:rFonts w:eastAsia="Batang" w:cs="Arial"/>
                <w:spacing w:val="-4"/>
                <w:highlight w:val="lightGray"/>
                <w:u w:val="single"/>
                <w:lang w:val="en-AU" w:eastAsia="ko-KR"/>
              </w:rPr>
            </w:pPr>
            <w:r w:rsidRPr="00704805">
              <w:rPr>
                <w:rFonts w:eastAsia="Batang" w:cs="Arial"/>
                <w:spacing w:val="-4"/>
                <w:highlight w:val="lightGray"/>
                <w:u w:val="single"/>
                <w:lang w:val="es-ES_tradnl" w:eastAsia="ko-KR"/>
              </w:rPr>
              <w:t>Variedad comparable 3</w:t>
            </w:r>
          </w:p>
        </w:tc>
        <w:tc>
          <w:tcPr>
            <w:tcW w:w="2160" w:type="dxa"/>
          </w:tcPr>
          <w:p w:rsidR="00487108" w:rsidRPr="00100526" w:rsidRDefault="00487108" w:rsidP="00704805">
            <w:pPr>
              <w:widowControl w:val="0"/>
              <w:autoSpaceDE w:val="0"/>
              <w:autoSpaceDN w:val="0"/>
              <w:adjustRightInd w:val="0"/>
              <w:jc w:val="center"/>
              <w:rPr>
                <w:rFonts w:eastAsia="Batang" w:cs="Arial"/>
                <w:spacing w:val="-4"/>
                <w:highlight w:val="lightGray"/>
                <w:u w:val="single"/>
                <w:lang w:val="en-AU" w:eastAsia="ko-KR"/>
              </w:rPr>
            </w:pPr>
            <w:r w:rsidRPr="00704805">
              <w:rPr>
                <w:rFonts w:eastAsia="Batang" w:cs="Arial"/>
                <w:spacing w:val="-4"/>
                <w:highlight w:val="lightGray"/>
                <w:u w:val="single"/>
                <w:lang w:val="es-ES_tradnl" w:eastAsia="ko-KR"/>
              </w:rPr>
              <w:t>Variedad comparable 4</w:t>
            </w:r>
          </w:p>
        </w:tc>
      </w:tr>
      <w:tr w:rsidR="00487108" w:rsidRPr="00100526" w:rsidTr="00B17E2B">
        <w:trPr>
          <w:jc w:val="center"/>
        </w:trPr>
        <w:tc>
          <w:tcPr>
            <w:tcW w:w="1080" w:type="dxa"/>
            <w:vAlign w:val="bottom"/>
          </w:tcPr>
          <w:p w:rsidR="00487108" w:rsidRPr="00100526" w:rsidRDefault="00487108" w:rsidP="00C622EB">
            <w:pPr>
              <w:widowControl w:val="0"/>
              <w:autoSpaceDE w:val="0"/>
              <w:autoSpaceDN w:val="0"/>
              <w:adjustRightInd w:val="0"/>
              <w:jc w:val="center"/>
              <w:rPr>
                <w:rFonts w:eastAsia="Batang" w:cs="Arial"/>
                <w:highlight w:val="lightGray"/>
                <w:u w:val="single"/>
                <w:lang w:val="en-AU" w:eastAsia="ko-KR"/>
              </w:rPr>
            </w:pPr>
            <w:r w:rsidRPr="00100526">
              <w:rPr>
                <w:rFonts w:eastAsia="Batang" w:cs="Arial"/>
                <w:highlight w:val="lightGray"/>
                <w:u w:val="single"/>
                <w:lang w:val="en-AU" w:eastAsia="ko-KR"/>
              </w:rPr>
              <w:t>5</w:t>
            </w:r>
            <w:r>
              <w:rPr>
                <w:rFonts w:eastAsia="Batang" w:cs="Arial"/>
                <w:highlight w:val="lightGray"/>
                <w:u w:val="single"/>
                <w:lang w:val="en-AU" w:eastAsia="ko-KR"/>
              </w:rPr>
              <w:t>,</w:t>
            </w:r>
            <w:r w:rsidRPr="00100526">
              <w:rPr>
                <w:rFonts w:eastAsia="Batang" w:cs="Arial"/>
                <w:highlight w:val="lightGray"/>
                <w:u w:val="single"/>
                <w:lang w:val="en-AU" w:eastAsia="ko-KR"/>
              </w:rPr>
              <w:t>6</w:t>
            </w:r>
          </w:p>
        </w:tc>
        <w:tc>
          <w:tcPr>
            <w:tcW w:w="2070" w:type="dxa"/>
            <w:vAlign w:val="bottom"/>
          </w:tcPr>
          <w:p w:rsidR="00487108" w:rsidRPr="00100526" w:rsidRDefault="00487108" w:rsidP="00C622EB">
            <w:pPr>
              <w:widowControl w:val="0"/>
              <w:autoSpaceDE w:val="0"/>
              <w:autoSpaceDN w:val="0"/>
              <w:adjustRightInd w:val="0"/>
              <w:jc w:val="center"/>
              <w:rPr>
                <w:rFonts w:eastAsia="Batang" w:cs="Arial"/>
                <w:highlight w:val="lightGray"/>
                <w:u w:val="single"/>
                <w:lang w:val="en-AU" w:eastAsia="ko-KR"/>
              </w:rPr>
            </w:pPr>
            <w:r w:rsidRPr="00100526">
              <w:rPr>
                <w:rFonts w:eastAsia="Batang" w:cs="Arial"/>
                <w:highlight w:val="lightGray"/>
                <w:u w:val="single"/>
                <w:lang w:val="en-AU" w:eastAsia="ko-KR"/>
              </w:rPr>
              <w:t>7</w:t>
            </w:r>
            <w:r>
              <w:rPr>
                <w:rFonts w:eastAsia="Batang" w:cs="Arial"/>
                <w:highlight w:val="lightGray"/>
                <w:u w:val="single"/>
                <w:lang w:val="en-AU" w:eastAsia="ko-KR"/>
              </w:rPr>
              <w:t>,</w:t>
            </w:r>
            <w:r w:rsidRPr="00100526">
              <w:rPr>
                <w:rFonts w:eastAsia="Batang" w:cs="Arial"/>
                <w:highlight w:val="lightGray"/>
                <w:u w:val="single"/>
                <w:lang w:val="en-AU" w:eastAsia="ko-KR"/>
              </w:rPr>
              <w:t>8</w:t>
            </w:r>
          </w:p>
        </w:tc>
        <w:tc>
          <w:tcPr>
            <w:tcW w:w="2160" w:type="dxa"/>
            <w:vAlign w:val="bottom"/>
          </w:tcPr>
          <w:p w:rsidR="00487108" w:rsidRPr="00100526" w:rsidRDefault="00487108" w:rsidP="00C622EB">
            <w:pPr>
              <w:widowControl w:val="0"/>
              <w:autoSpaceDE w:val="0"/>
              <w:autoSpaceDN w:val="0"/>
              <w:adjustRightInd w:val="0"/>
              <w:jc w:val="center"/>
              <w:rPr>
                <w:rFonts w:eastAsia="Batang" w:cs="Arial"/>
                <w:highlight w:val="lightGray"/>
                <w:u w:val="single"/>
                <w:lang w:val="en-AU" w:eastAsia="ko-KR"/>
              </w:rPr>
            </w:pPr>
            <w:r w:rsidRPr="00100526">
              <w:rPr>
                <w:rFonts w:eastAsia="Batang" w:cs="Arial"/>
                <w:highlight w:val="lightGray"/>
                <w:u w:val="single"/>
                <w:lang w:val="en-AU" w:eastAsia="ko-KR"/>
              </w:rPr>
              <w:t>4</w:t>
            </w:r>
            <w:r>
              <w:rPr>
                <w:rFonts w:eastAsia="Batang" w:cs="Arial"/>
                <w:highlight w:val="lightGray"/>
                <w:u w:val="single"/>
                <w:lang w:val="en-AU" w:eastAsia="ko-KR"/>
              </w:rPr>
              <w:t>,</w:t>
            </w:r>
            <w:r w:rsidRPr="00100526">
              <w:rPr>
                <w:rFonts w:eastAsia="Batang" w:cs="Arial"/>
                <w:highlight w:val="lightGray"/>
                <w:u w:val="single"/>
                <w:lang w:val="en-AU" w:eastAsia="ko-KR"/>
              </w:rPr>
              <w:t>5</w:t>
            </w:r>
          </w:p>
        </w:tc>
        <w:tc>
          <w:tcPr>
            <w:tcW w:w="2160" w:type="dxa"/>
            <w:vAlign w:val="bottom"/>
          </w:tcPr>
          <w:p w:rsidR="00487108" w:rsidRPr="00100526" w:rsidRDefault="00487108" w:rsidP="00C622EB">
            <w:pPr>
              <w:widowControl w:val="0"/>
              <w:autoSpaceDE w:val="0"/>
              <w:autoSpaceDN w:val="0"/>
              <w:adjustRightInd w:val="0"/>
              <w:jc w:val="center"/>
              <w:rPr>
                <w:rFonts w:eastAsia="Batang" w:cs="Arial"/>
                <w:highlight w:val="lightGray"/>
                <w:u w:val="single"/>
                <w:lang w:val="en-AU" w:eastAsia="ko-KR"/>
              </w:rPr>
            </w:pPr>
            <w:r w:rsidRPr="00100526">
              <w:rPr>
                <w:rFonts w:eastAsia="Batang" w:cs="Arial"/>
                <w:highlight w:val="lightGray"/>
                <w:u w:val="single"/>
                <w:lang w:val="en-AU" w:eastAsia="ko-KR"/>
              </w:rPr>
              <w:t>3</w:t>
            </w:r>
            <w:r>
              <w:rPr>
                <w:rFonts w:eastAsia="Batang" w:cs="Arial"/>
                <w:highlight w:val="lightGray"/>
                <w:u w:val="single"/>
                <w:lang w:val="en-AU" w:eastAsia="ko-KR"/>
              </w:rPr>
              <w:t>,</w:t>
            </w:r>
            <w:r w:rsidRPr="00100526">
              <w:rPr>
                <w:rFonts w:eastAsia="Batang" w:cs="Arial"/>
                <w:highlight w:val="lightGray"/>
                <w:u w:val="single"/>
                <w:lang w:val="en-AU" w:eastAsia="ko-KR"/>
              </w:rPr>
              <w:t>2</w:t>
            </w:r>
          </w:p>
        </w:tc>
        <w:tc>
          <w:tcPr>
            <w:tcW w:w="2160" w:type="dxa"/>
            <w:vAlign w:val="bottom"/>
          </w:tcPr>
          <w:p w:rsidR="00487108" w:rsidRPr="00100526" w:rsidRDefault="00487108" w:rsidP="00C622EB">
            <w:pPr>
              <w:widowControl w:val="0"/>
              <w:autoSpaceDE w:val="0"/>
              <w:autoSpaceDN w:val="0"/>
              <w:adjustRightInd w:val="0"/>
              <w:jc w:val="center"/>
              <w:rPr>
                <w:rFonts w:eastAsia="Batang" w:cs="Arial"/>
                <w:u w:val="single"/>
                <w:lang w:val="en-AU" w:eastAsia="ko-KR"/>
              </w:rPr>
            </w:pPr>
            <w:r w:rsidRPr="00100526">
              <w:rPr>
                <w:rFonts w:eastAsia="Batang" w:cs="Arial"/>
                <w:highlight w:val="lightGray"/>
                <w:u w:val="single"/>
                <w:lang w:val="en-AU" w:eastAsia="ko-KR"/>
              </w:rPr>
              <w:t>5</w:t>
            </w:r>
            <w:r>
              <w:rPr>
                <w:rFonts w:eastAsia="Batang" w:cs="Arial"/>
                <w:highlight w:val="lightGray"/>
                <w:u w:val="single"/>
                <w:lang w:val="en-AU" w:eastAsia="ko-KR"/>
              </w:rPr>
              <w:t>,</w:t>
            </w:r>
            <w:r w:rsidRPr="00100526">
              <w:rPr>
                <w:rFonts w:eastAsia="Batang" w:cs="Arial"/>
                <w:highlight w:val="lightGray"/>
                <w:u w:val="single"/>
                <w:lang w:val="en-AU" w:eastAsia="ko-KR"/>
              </w:rPr>
              <w:t>8</w:t>
            </w:r>
          </w:p>
        </w:tc>
      </w:tr>
    </w:tbl>
    <w:p w:rsidR="00487108" w:rsidRPr="00100526" w:rsidRDefault="00487108" w:rsidP="00D335A4">
      <w:pPr>
        <w:rPr>
          <w:rFonts w:cs="Arial"/>
          <w:color w:val="C0C0C0"/>
          <w:u w:val="single"/>
        </w:rPr>
      </w:pPr>
    </w:p>
    <w:p w:rsidR="00487108" w:rsidRPr="0096078C" w:rsidRDefault="00487108" w:rsidP="0082237D">
      <w:pPr>
        <w:tabs>
          <w:tab w:val="left" w:pos="900"/>
        </w:tabs>
        <w:spacing w:before="60"/>
        <w:rPr>
          <w:lang w:val="es-ES_tradnl"/>
        </w:rPr>
      </w:pPr>
      <w:r w:rsidRPr="0096078C">
        <w:rPr>
          <w:lang w:val="es-ES_tradnl"/>
        </w:rPr>
        <w:t>10.4.4</w:t>
      </w:r>
      <w:r w:rsidRPr="0096078C">
        <w:rPr>
          <w:lang w:val="es-ES_tradnl"/>
        </w:rPr>
        <w:tab/>
      </w:r>
      <w:r w:rsidRPr="0082237D">
        <w:rPr>
          <w:lang w:val="es-ES_tradnl"/>
        </w:rPr>
        <w:t>La varianza relativa para un carácter determinado es la varianza de la variedad candidata dividida entre el promedio de las varianzas de las variedades comparables.</w:t>
      </w:r>
      <w:r w:rsidRPr="0096078C">
        <w:rPr>
          <w:lang w:val="es-ES_tradnl"/>
        </w:rPr>
        <w:t xml:space="preserve"> </w:t>
      </w:r>
    </w:p>
    <w:p w:rsidR="00487108" w:rsidRPr="0096078C" w:rsidRDefault="00487108" w:rsidP="00D335A4">
      <w:pPr>
        <w:rPr>
          <w:rFonts w:cs="Arial"/>
          <w:lang w:val="es-ES_tradnl"/>
        </w:rPr>
      </w:pPr>
    </w:p>
    <w:p w:rsidR="00487108" w:rsidRPr="0096078C" w:rsidRDefault="00487108" w:rsidP="00D335A4">
      <w:pPr>
        <w:ind w:left="567"/>
        <w:rPr>
          <w:rFonts w:cs="Arial"/>
          <w:lang w:val="es-ES_tradnl"/>
        </w:rPr>
      </w:pPr>
      <w:r w:rsidRPr="0082237D">
        <w:rPr>
          <w:rFonts w:cs="Arial"/>
          <w:lang w:val="es-ES_tradnl"/>
        </w:rPr>
        <w:t>Varianza relativa = varianza de la variedad candidata/varianza media de las variedades comparables</w:t>
      </w:r>
    </w:p>
    <w:p w:rsidR="00487108" w:rsidRPr="0096078C" w:rsidRDefault="00487108" w:rsidP="00D335A4">
      <w:pPr>
        <w:ind w:left="567"/>
        <w:rPr>
          <w:rFonts w:cs="Arial"/>
          <w:lang w:val="es-ES_tradnl"/>
        </w:rPr>
      </w:pPr>
    </w:p>
    <w:p w:rsidR="00487108" w:rsidRPr="0096078C" w:rsidRDefault="00487108" w:rsidP="00D335A4">
      <w:pPr>
        <w:ind w:left="567"/>
        <w:rPr>
          <w:rFonts w:cs="Arial"/>
          <w:lang w:val="es-ES_tradnl"/>
        </w:rPr>
      </w:pPr>
      <w:r w:rsidRPr="0096078C">
        <w:rPr>
          <w:rFonts w:cs="Arial"/>
          <w:lang w:val="es-ES_tradnl"/>
        </w:rPr>
        <w:tab/>
      </w:r>
      <w:r w:rsidRPr="0096078C">
        <w:rPr>
          <w:rFonts w:cs="Arial"/>
          <w:lang w:val="es-ES_tradnl"/>
        </w:rPr>
        <w:tab/>
        <w:t xml:space="preserve">        = 5,6/5,32 = 1,05</w:t>
      </w:r>
    </w:p>
    <w:p w:rsidR="00487108" w:rsidRPr="0096078C" w:rsidRDefault="00487108" w:rsidP="00D335A4">
      <w:pPr>
        <w:rPr>
          <w:rFonts w:cs="Arial"/>
          <w:lang w:val="es-ES_tradnl"/>
        </w:rPr>
      </w:pPr>
    </w:p>
    <w:p w:rsidR="00487108" w:rsidRPr="0096078C" w:rsidRDefault="00487108" w:rsidP="00D335A4">
      <w:pPr>
        <w:tabs>
          <w:tab w:val="left" w:pos="840"/>
        </w:tabs>
        <w:rPr>
          <w:rFonts w:cs="Arial"/>
          <w:lang w:val="es-ES_tradnl"/>
        </w:rPr>
      </w:pPr>
      <w:r w:rsidRPr="0096078C">
        <w:rPr>
          <w:rFonts w:cs="Arial"/>
          <w:lang w:val="es-ES_tradnl"/>
        </w:rPr>
        <w:t>10.4.5</w:t>
      </w:r>
      <w:r w:rsidRPr="0096078C">
        <w:rPr>
          <w:rFonts w:cs="Arial"/>
          <w:lang w:val="es-ES_tradnl"/>
        </w:rPr>
        <w:tab/>
        <w:t xml:space="preserve"> </w:t>
      </w:r>
      <w:r w:rsidRPr="0082237D">
        <w:rPr>
          <w:rFonts w:cs="Arial"/>
          <w:lang w:val="es-ES_tradnl"/>
        </w:rPr>
        <w:t>El umbral correspondiente a un tamaño de muestra de 60 es </w:t>
      </w:r>
      <w:r w:rsidRPr="0082237D">
        <w:rPr>
          <w:rFonts w:cs="Arial"/>
          <w:highlight w:val="lightGray"/>
          <w:u w:val="single"/>
          <w:lang w:val="es-ES_tradnl"/>
        </w:rPr>
        <w:t>1,47</w:t>
      </w:r>
      <w:r w:rsidRPr="0082237D">
        <w:rPr>
          <w:rFonts w:cs="Arial"/>
          <w:lang w:val="es-ES_tradnl"/>
        </w:rPr>
        <w:t>,</w:t>
      </w:r>
      <w:r w:rsidRPr="0096078C">
        <w:rPr>
          <w:rFonts w:cs="Arial"/>
          <w:lang w:val="es-ES_tradnl"/>
        </w:rPr>
        <w:t xml:space="preserve"> </w:t>
      </w:r>
      <w:r w:rsidRPr="0082237D">
        <w:rPr>
          <w:rFonts w:cs="Arial"/>
          <w:lang w:val="es-ES_tradnl"/>
        </w:rPr>
        <w:t>de modo que podemos concluir que la variedad candidata es suficientemente homogénea en lo que respecta a ese carácter.</w:t>
      </w:r>
    </w:p>
    <w:p w:rsidR="00487108" w:rsidRPr="0096078C" w:rsidRDefault="00487108" w:rsidP="00D335A4">
      <w:pPr>
        <w:widowControl w:val="0"/>
        <w:autoSpaceDE w:val="0"/>
        <w:autoSpaceDN w:val="0"/>
        <w:adjustRightInd w:val="0"/>
        <w:rPr>
          <w:rFonts w:eastAsia="Batang" w:cs="Arial"/>
          <w:highlight w:val="lightGray"/>
          <w:u w:val="single"/>
          <w:lang w:val="es-ES_tradnl" w:eastAsia="ko-KR"/>
        </w:rPr>
      </w:pPr>
    </w:p>
    <w:p w:rsidR="00487108" w:rsidRPr="0096078C" w:rsidRDefault="00487108" w:rsidP="00D335A4">
      <w:pPr>
        <w:tabs>
          <w:tab w:val="left" w:pos="840"/>
        </w:tabs>
        <w:rPr>
          <w:rFonts w:cs="Arial"/>
          <w:highlight w:val="lightGray"/>
          <w:u w:val="single"/>
          <w:lang w:val="es-ES_tradnl"/>
        </w:rPr>
      </w:pPr>
      <w:r w:rsidRPr="0096078C">
        <w:rPr>
          <w:rFonts w:cs="Arial"/>
          <w:highlight w:val="lightGray"/>
          <w:u w:val="single"/>
          <w:lang w:val="es-ES_tradnl"/>
        </w:rPr>
        <w:t>10.4.6</w:t>
      </w:r>
      <w:r w:rsidRPr="0096078C">
        <w:rPr>
          <w:rFonts w:cs="Arial"/>
          <w:highlight w:val="lightGray"/>
          <w:u w:val="single"/>
          <w:lang w:val="es-ES_tradnl"/>
        </w:rPr>
        <w:tab/>
      </w:r>
      <w:r w:rsidRPr="0082237D">
        <w:rPr>
          <w:rFonts w:cs="Arial"/>
          <w:highlight w:val="lightGray"/>
          <w:u w:val="single"/>
          <w:lang w:val="es-ES_tradnl"/>
        </w:rPr>
        <w:t>Se trata de una estimación conservadora del método de la varianza relativa utilizando un gl</w:t>
      </w:r>
      <w:r w:rsidRPr="0082237D">
        <w:rPr>
          <w:rFonts w:cs="Arial"/>
          <w:highlight w:val="lightGray"/>
          <w:u w:val="single"/>
          <w:vertAlign w:val="subscript"/>
          <w:lang w:val="es-ES_tradnl"/>
        </w:rPr>
        <w:t>2</w:t>
      </w:r>
      <w:r w:rsidRPr="0082237D">
        <w:rPr>
          <w:rFonts w:cs="Arial"/>
          <w:highlight w:val="lightGray"/>
          <w:u w:val="single"/>
          <w:lang w:val="es-ES_tradnl"/>
        </w:rPr>
        <w:t> = </w:t>
      </w:r>
      <w:r w:rsidRPr="0082237D">
        <w:rPr>
          <w:rFonts w:cs="Arial"/>
          <w:highlight w:val="lightGray"/>
          <w:u w:val="single"/>
          <w:lang w:val="es-ES_tradnl"/>
        </w:rPr>
        <w:sym w:font="Symbol" w:char="F0A5"/>
      </w:r>
      <w:r w:rsidRPr="0082237D">
        <w:rPr>
          <w:rFonts w:cs="Arial"/>
          <w:highlight w:val="lightGray"/>
          <w:u w:val="single"/>
          <w:lang w:val="es-ES_tradnl"/>
        </w:rPr>
        <w:t>.</w:t>
      </w:r>
      <w:r w:rsidRPr="0096078C">
        <w:rPr>
          <w:rFonts w:cs="Arial"/>
          <w:highlight w:val="lightGray"/>
          <w:u w:val="single"/>
          <w:lang w:val="es-ES_tradnl"/>
        </w:rPr>
        <w:t xml:space="preserve">  </w:t>
      </w:r>
      <w:r w:rsidRPr="0082237D">
        <w:rPr>
          <w:rFonts w:cs="Arial"/>
          <w:highlight w:val="lightGray"/>
          <w:u w:val="single"/>
          <w:lang w:val="es-ES_tradnl"/>
        </w:rPr>
        <w:t>Si al utilizar ese enfoque conservador se concluye que la variedad no es homogénea, incumbirá a las autoridades competentes considerar si, a los fines de una estimación más precisa de la homogeneidad no sería apropiado recurrir a enfoques adicionales, como utilizar la muestra exacta de las variedades comparables para la estimación del gl</w:t>
      </w:r>
      <w:r w:rsidRPr="0082237D">
        <w:rPr>
          <w:rFonts w:cs="Arial"/>
          <w:highlight w:val="lightGray"/>
          <w:u w:val="single"/>
          <w:vertAlign w:val="subscript"/>
          <w:lang w:val="es-ES_tradnl"/>
        </w:rPr>
        <w:t>2</w:t>
      </w:r>
      <w:r w:rsidRPr="0082237D">
        <w:rPr>
          <w:rFonts w:cs="Arial"/>
          <w:highlight w:val="lightGray"/>
          <w:u w:val="single"/>
          <w:lang w:val="es-ES_tradnl"/>
        </w:rPr>
        <w:t>.</w:t>
      </w:r>
    </w:p>
    <w:p w:rsidR="00487108" w:rsidRPr="0096078C" w:rsidRDefault="00487108" w:rsidP="00D335A4">
      <w:pPr>
        <w:tabs>
          <w:tab w:val="left" w:pos="840"/>
        </w:tabs>
        <w:rPr>
          <w:rFonts w:cs="Arial"/>
          <w:highlight w:val="lightGray"/>
          <w:u w:val="single"/>
          <w:lang w:val="es-ES_tradnl"/>
        </w:rPr>
      </w:pPr>
    </w:p>
    <w:p w:rsidR="00487108" w:rsidRPr="0096078C" w:rsidRDefault="00487108" w:rsidP="00D335A4">
      <w:pPr>
        <w:tabs>
          <w:tab w:val="left" w:pos="840"/>
        </w:tabs>
        <w:rPr>
          <w:rFonts w:cs="Arial"/>
          <w:highlight w:val="lightGray"/>
          <w:u w:val="single"/>
          <w:lang w:val="es-ES_tradnl"/>
        </w:rPr>
      </w:pPr>
    </w:p>
    <w:p w:rsidR="00487108" w:rsidRPr="0096078C" w:rsidRDefault="00487108" w:rsidP="00D335A4">
      <w:pPr>
        <w:rPr>
          <w:u w:val="single"/>
          <w:lang w:val="es-ES_tradnl"/>
        </w:rPr>
      </w:pPr>
      <w:r w:rsidRPr="0096078C">
        <w:rPr>
          <w:u w:val="single"/>
          <w:lang w:val="es-ES_tradnl"/>
        </w:rPr>
        <w:t>10.5</w:t>
      </w:r>
      <w:r w:rsidRPr="0096078C">
        <w:rPr>
          <w:u w:val="single"/>
          <w:lang w:val="es-ES_tradnl"/>
        </w:rPr>
        <w:tab/>
      </w:r>
      <w:r w:rsidRPr="0082237D">
        <w:rPr>
          <w:u w:val="single"/>
          <w:lang w:val="es-ES_tradnl"/>
        </w:rPr>
        <w:t>Relación entre la varianza relativa y el desvío estándar relativo</w:t>
      </w:r>
      <w:r w:rsidRPr="0096078C">
        <w:rPr>
          <w:u w:val="single"/>
          <w:lang w:val="es-ES_tradnl"/>
        </w:rPr>
        <w:t xml:space="preserve"> </w:t>
      </w:r>
    </w:p>
    <w:p w:rsidR="00487108" w:rsidRPr="0096078C" w:rsidRDefault="00487108" w:rsidP="00D335A4">
      <w:pPr>
        <w:keepNext/>
        <w:keepLines/>
        <w:rPr>
          <w:lang w:val="es-ES_tradnl"/>
        </w:rPr>
      </w:pPr>
    </w:p>
    <w:p w:rsidR="00487108" w:rsidRPr="0096078C" w:rsidRDefault="00487108" w:rsidP="00D335A4">
      <w:pPr>
        <w:keepNext/>
        <w:keepLines/>
        <w:tabs>
          <w:tab w:val="left" w:pos="840"/>
        </w:tabs>
        <w:rPr>
          <w:lang w:val="es-ES_tradnl"/>
        </w:rPr>
      </w:pPr>
      <w:r w:rsidRPr="0096078C">
        <w:rPr>
          <w:lang w:val="es-ES_tradnl"/>
        </w:rPr>
        <w:t>10.5.1</w:t>
      </w:r>
      <w:r w:rsidRPr="0096078C">
        <w:rPr>
          <w:lang w:val="es-ES_tradnl"/>
        </w:rPr>
        <w:tab/>
      </w:r>
      <w:r w:rsidRPr="0082237D">
        <w:rPr>
          <w:lang w:val="es-ES_tradnl"/>
        </w:rPr>
        <w:t>En ocasiones, en ensayos DHE, los datos de homogeneidad no se presentan en forma de varianzas, sino de desviaciones estándar.</w:t>
      </w:r>
      <w:r w:rsidRPr="0096078C">
        <w:rPr>
          <w:lang w:val="es-ES_tradnl"/>
        </w:rPr>
        <w:t xml:space="preserve">  </w:t>
      </w:r>
      <w:r w:rsidRPr="0082237D">
        <w:rPr>
          <w:lang w:val="es-ES_tradnl"/>
        </w:rPr>
        <w:t>Hay una relación matemática sencilla entre la varianza y el desvío estándar:</w:t>
      </w:r>
    </w:p>
    <w:p w:rsidR="00487108" w:rsidRPr="0096078C" w:rsidRDefault="00487108" w:rsidP="00D335A4">
      <w:pPr>
        <w:rPr>
          <w:lang w:val="es-ES_tradnl"/>
        </w:rPr>
      </w:pPr>
    </w:p>
    <w:p w:rsidR="00487108" w:rsidRPr="0096078C" w:rsidRDefault="00487108" w:rsidP="00D335A4">
      <w:pPr>
        <w:rPr>
          <w:lang w:val="es-ES_tradnl"/>
        </w:rPr>
      </w:pPr>
      <w:r w:rsidRPr="0096078C">
        <w:rPr>
          <w:lang w:val="es-ES_tradnl"/>
        </w:rPr>
        <w:tab/>
      </w:r>
      <w:r w:rsidRPr="0082237D">
        <w:rPr>
          <w:lang w:val="es-ES_tradnl"/>
        </w:rPr>
        <w:t>desvío estándar = raíz cuadrada de la varianza</w:t>
      </w:r>
    </w:p>
    <w:p w:rsidR="00487108" w:rsidRPr="0096078C" w:rsidRDefault="00487108" w:rsidP="00D335A4">
      <w:pPr>
        <w:rPr>
          <w:lang w:val="es-ES_tradnl"/>
        </w:rPr>
      </w:pPr>
    </w:p>
    <w:p w:rsidR="00487108" w:rsidRPr="0096078C" w:rsidRDefault="00487108" w:rsidP="00D335A4">
      <w:pPr>
        <w:tabs>
          <w:tab w:val="left" w:pos="840"/>
        </w:tabs>
        <w:rPr>
          <w:lang w:val="es-ES_tradnl"/>
        </w:rPr>
      </w:pPr>
      <w:r w:rsidRPr="0096078C">
        <w:rPr>
          <w:highlight w:val="lightGray"/>
          <w:u w:val="single"/>
          <w:lang w:val="es-ES_tradnl"/>
        </w:rPr>
        <w:t>10.5.2</w:t>
      </w:r>
      <w:r w:rsidRPr="0096078C">
        <w:rPr>
          <w:lang w:val="es-ES_tradnl"/>
        </w:rPr>
        <w:tab/>
      </w:r>
      <w:r w:rsidRPr="0082237D">
        <w:rPr>
          <w:lang w:val="es-ES_tradnl"/>
        </w:rPr>
        <w:t>Al tomar una decisión sobre la homogeneidad basada en los desvíos estándar relativos, se aplica el mismo principio para la aceptación o rechazo, solo que los umbrales son menores, ya que son las raíces cuadradas de los valores pertinentes.</w:t>
      </w:r>
      <w:r w:rsidRPr="0096078C">
        <w:rPr>
          <w:lang w:val="es-ES_tradnl"/>
        </w:rPr>
        <w:t xml:space="preserve">  </w:t>
      </w:r>
      <w:r w:rsidRPr="0082237D">
        <w:rPr>
          <w:lang w:val="es-ES_tradnl"/>
        </w:rPr>
        <w:t>Por ejemplo, para 60 muestras, el umbral correspondiente a la varianza relativa es </w:t>
      </w:r>
      <w:r w:rsidRPr="0082237D">
        <w:rPr>
          <w:highlight w:val="lightGray"/>
          <w:u w:val="single"/>
          <w:lang w:val="es-ES_tradnl"/>
        </w:rPr>
        <w:t>1,47</w:t>
      </w:r>
      <w:r w:rsidRPr="0082237D">
        <w:rPr>
          <w:lang w:val="es-ES_tradnl"/>
        </w:rPr>
        <w:t>;</w:t>
      </w:r>
      <w:r w:rsidRPr="0096078C">
        <w:rPr>
          <w:lang w:val="es-ES_tradnl"/>
        </w:rPr>
        <w:t xml:space="preserve">  </w:t>
      </w:r>
      <w:r w:rsidRPr="0082237D">
        <w:rPr>
          <w:lang w:val="es-ES_tradnl"/>
        </w:rPr>
        <w:t>sin embargo, el correspondiente a las desviaciones estándar relativas es </w:t>
      </w:r>
      <w:r w:rsidRPr="0082237D">
        <w:rPr>
          <w:highlight w:val="lightGray"/>
          <w:u w:val="single"/>
          <w:lang w:val="es-ES_tradnl"/>
        </w:rPr>
        <w:t>1,21</w:t>
      </w:r>
      <w:r w:rsidRPr="0082237D">
        <w:rPr>
          <w:lang w:val="es-ES_tradnl"/>
        </w:rPr>
        <w:t>, que es la raíz cuadrada de </w:t>
      </w:r>
      <w:r w:rsidRPr="0082237D">
        <w:rPr>
          <w:highlight w:val="lightGray"/>
          <w:u w:val="single"/>
          <w:lang w:val="es-ES_tradnl"/>
        </w:rPr>
        <w:t>1,47</w:t>
      </w:r>
      <w:r w:rsidRPr="0082237D">
        <w:rPr>
          <w:lang w:val="es-ES_tradnl"/>
        </w:rPr>
        <w:t>.</w:t>
      </w:r>
      <w:r w:rsidRPr="0096078C">
        <w:rPr>
          <w:lang w:val="es-ES_tradnl"/>
        </w:rPr>
        <w:t xml:space="preserve"> </w:t>
      </w:r>
    </w:p>
    <w:p w:rsidR="00487108" w:rsidRDefault="00487108" w:rsidP="00D335A4">
      <w:pPr>
        <w:jc w:val="left"/>
        <w:rPr>
          <w:highlight w:val="yellow"/>
          <w:lang w:val="es-ES_tradnl"/>
        </w:rPr>
      </w:pPr>
    </w:p>
    <w:p w:rsidR="000F6AF2" w:rsidRPr="0096078C" w:rsidRDefault="000F6AF2" w:rsidP="00D335A4">
      <w:pPr>
        <w:jc w:val="left"/>
        <w:rPr>
          <w:highlight w:val="yellow"/>
          <w:lang w:val="es-ES_tradnl"/>
        </w:rPr>
      </w:pPr>
    </w:p>
    <w:p w:rsidR="00487108" w:rsidRPr="00100526" w:rsidRDefault="00487108" w:rsidP="00D335A4">
      <w:pPr>
        <w:shd w:val="clear" w:color="auto" w:fill="FFFFFF"/>
        <w:jc w:val="left"/>
        <w:rPr>
          <w:highlight w:val="lightGray"/>
          <w:u w:val="single"/>
        </w:rPr>
      </w:pPr>
      <w:r w:rsidRPr="00100526">
        <w:rPr>
          <w:highlight w:val="lightGray"/>
        </w:rPr>
        <w:t>10.6</w:t>
      </w:r>
      <w:r w:rsidRPr="00100526">
        <w:rPr>
          <w:highlight w:val="lightGray"/>
        </w:rPr>
        <w:tab/>
      </w:r>
      <w:r w:rsidRPr="0096078C">
        <w:rPr>
          <w:highlight w:val="lightGray"/>
          <w:u w:val="single"/>
        </w:rPr>
        <w:t>Bibliografía</w:t>
      </w:r>
    </w:p>
    <w:p w:rsidR="00487108" w:rsidRPr="00704805" w:rsidRDefault="00487108" w:rsidP="00D335A4">
      <w:pPr>
        <w:shd w:val="clear" w:color="auto" w:fill="FFFFFF"/>
        <w:spacing w:before="100" w:beforeAutospacing="1" w:after="100" w:afterAutospacing="1"/>
        <w:jc w:val="left"/>
        <w:rPr>
          <w:rFonts w:eastAsia="MS Mincho" w:cs="Arial"/>
          <w:lang w:val="en-AU" w:eastAsia="ja-JP"/>
        </w:rPr>
      </w:pPr>
      <w:r w:rsidRPr="00704805">
        <w:rPr>
          <w:rFonts w:eastAsia="MS Mincho" w:cs="Arial"/>
          <w:noProof/>
          <w:highlight w:val="lightGray"/>
          <w:lang w:eastAsia="ja-JP"/>
        </w:rPr>
        <w:t xml:space="preserve">ASTM Standard C33, 2003a, </w:t>
      </w:r>
      <w:r w:rsidRPr="00704805">
        <w:rPr>
          <w:rFonts w:eastAsia="Batang" w:cs="Arial"/>
          <w:noProof/>
          <w:color w:val="000000"/>
          <w:highlight w:val="lightGray"/>
          <w:lang w:eastAsia="ko-KR"/>
        </w:rPr>
        <w:t>“Standard Practice for Calculating Sample Size to Estimate, With Specified Precision, the Average Characteristic of a Lot or Process”,</w:t>
      </w:r>
      <w:r w:rsidRPr="00704805">
        <w:rPr>
          <w:rFonts w:eastAsia="MS Mincho" w:cs="Arial"/>
          <w:noProof/>
          <w:highlight w:val="lightGray"/>
          <w:lang w:eastAsia="ja-JP"/>
        </w:rPr>
        <w:t xml:space="preserve"> ASTM International, West Conshohocken, PA, 2011, DOI: 10.1520/EO122-09EO1, </w:t>
      </w:r>
      <w:hyperlink r:id="rId9" w:history="1">
        <w:r w:rsidRPr="00704805">
          <w:rPr>
            <w:rFonts w:eastAsia="MS Mincho" w:cs="Arial"/>
            <w:noProof/>
            <w:color w:val="0000FF"/>
            <w:highlight w:val="lightGray"/>
            <w:u w:val="single"/>
            <w:lang w:eastAsia="ja-JP"/>
          </w:rPr>
          <w:t>www.astm.org</w:t>
        </w:r>
      </w:hyperlink>
      <w:r w:rsidRPr="00704805">
        <w:rPr>
          <w:rFonts w:eastAsia="MS Mincho" w:cs="Arial"/>
          <w:highlight w:val="lightGray"/>
          <w:lang w:val="en-AU" w:eastAsia="ja-JP"/>
        </w:rPr>
        <w:t>.</w:t>
      </w:r>
    </w:p>
    <w:p w:rsidR="00487108" w:rsidRPr="0096078C" w:rsidRDefault="00487108" w:rsidP="0082237D">
      <w:pPr>
        <w:pStyle w:val="endofdoc"/>
        <w:rPr>
          <w:lang w:val="es-ES_tradnl"/>
        </w:rPr>
      </w:pPr>
      <w:r w:rsidRPr="00704805">
        <w:rPr>
          <w:lang w:val="es-ES_tradnl"/>
        </w:rPr>
        <w:t>[Sigue el Anexo II]</w:t>
      </w:r>
    </w:p>
    <w:p w:rsidR="00487108" w:rsidRPr="0096078C" w:rsidRDefault="00487108" w:rsidP="000F6AF2">
      <w:pPr>
        <w:rPr>
          <w:rFonts w:cs="Arial"/>
          <w:lang w:val="es-ES_tradnl"/>
        </w:rPr>
      </w:pPr>
    </w:p>
    <w:p w:rsidR="00487108" w:rsidRPr="0096078C" w:rsidRDefault="00487108" w:rsidP="00D335A4">
      <w:pPr>
        <w:jc w:val="left"/>
        <w:rPr>
          <w:highlight w:val="yellow"/>
          <w:lang w:val="es-ES_tradnl"/>
        </w:rPr>
        <w:sectPr w:rsidR="00487108" w:rsidRPr="0096078C" w:rsidSect="00B132A9">
          <w:headerReference w:type="default" r:id="rId10"/>
          <w:headerReference w:type="first" r:id="rId11"/>
          <w:pgSz w:w="11907" w:h="16840" w:code="9"/>
          <w:pgMar w:top="510" w:right="1134" w:bottom="1134" w:left="1134" w:header="510" w:footer="680" w:gutter="0"/>
          <w:pgNumType w:start="1"/>
          <w:cols w:space="720"/>
          <w:titlePg/>
        </w:sectPr>
      </w:pPr>
    </w:p>
    <w:p w:rsidR="00487108" w:rsidRPr="0096078C" w:rsidRDefault="00487108" w:rsidP="00D335A4">
      <w:pPr>
        <w:rPr>
          <w:caps/>
          <w:lang w:val="es-ES_tradnl"/>
        </w:rPr>
      </w:pPr>
      <w:r w:rsidRPr="0082237D">
        <w:rPr>
          <w:rFonts w:cs="Arial"/>
          <w:caps/>
          <w:lang w:val="es-ES_tradnl"/>
        </w:rPr>
        <w:t>PROYECTO REVISADO DE PROPUESTA DE REVISIÓN DEL DOCUMENTO TGP/8, SECCIÓN 10:  “EVALUACIÓN DE LA HOMOGENEIDAD A PARTIR DEL MÉTODO DE LA VARIANZA RELATIVA”</w:t>
      </w:r>
    </w:p>
    <w:p w:rsidR="00487108" w:rsidRPr="0096078C" w:rsidRDefault="00487108" w:rsidP="00D335A4">
      <w:pPr>
        <w:widowControl w:val="0"/>
        <w:autoSpaceDE w:val="0"/>
        <w:autoSpaceDN w:val="0"/>
        <w:adjustRightInd w:val="0"/>
        <w:jc w:val="center"/>
        <w:rPr>
          <w:bCs/>
          <w:caps/>
          <w:noProof/>
          <w:lang w:val="es-ES_tradnl"/>
        </w:rPr>
      </w:pPr>
    </w:p>
    <w:p w:rsidR="00487108" w:rsidRPr="0096078C" w:rsidRDefault="00487108" w:rsidP="00D335A4">
      <w:pPr>
        <w:widowControl w:val="0"/>
        <w:autoSpaceDE w:val="0"/>
        <w:autoSpaceDN w:val="0"/>
        <w:adjustRightInd w:val="0"/>
        <w:jc w:val="center"/>
        <w:rPr>
          <w:bCs/>
          <w:caps/>
          <w:noProof/>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left w:w="142" w:type="dxa"/>
          <w:bottom w:w="142" w:type="dxa"/>
          <w:right w:w="170" w:type="dxa"/>
        </w:tblCellMar>
        <w:tblLook w:val="01E0" w:firstRow="1" w:lastRow="1" w:firstColumn="1" w:lastColumn="1" w:noHBand="0" w:noVBand="0"/>
      </w:tblPr>
      <w:tblGrid>
        <w:gridCol w:w="6664"/>
      </w:tblGrid>
      <w:tr w:rsidR="00487108" w:rsidRPr="00665FE2" w:rsidTr="00C622EB">
        <w:trPr>
          <w:cantSplit/>
          <w:jc w:val="center"/>
        </w:trPr>
        <w:tc>
          <w:tcPr>
            <w:tcW w:w="6664" w:type="dxa"/>
            <w:shd w:val="clear" w:color="auto" w:fill="E6E6E6"/>
          </w:tcPr>
          <w:p w:rsidR="00487108" w:rsidRPr="0096078C" w:rsidRDefault="00487108" w:rsidP="00C622EB">
            <w:pPr>
              <w:jc w:val="center"/>
              <w:rPr>
                <w:rFonts w:cs="Arial"/>
                <w:sz w:val="18"/>
                <w:szCs w:val="22"/>
                <w:u w:val="single"/>
                <w:lang w:val="es-ES_tradnl"/>
              </w:rPr>
            </w:pPr>
            <w:r w:rsidRPr="00704805">
              <w:rPr>
                <w:rFonts w:cs="Arial"/>
                <w:sz w:val="18"/>
                <w:szCs w:val="22"/>
                <w:u w:val="single"/>
                <w:lang w:val="es-ES_tradnl"/>
              </w:rPr>
              <w:t>Nota sobre la versión del proyecto</w:t>
            </w:r>
          </w:p>
          <w:p w:rsidR="00487108" w:rsidRPr="0096078C" w:rsidRDefault="00487108" w:rsidP="00C622EB">
            <w:pPr>
              <w:rPr>
                <w:rFonts w:cs="Arial"/>
                <w:sz w:val="18"/>
                <w:szCs w:val="22"/>
                <w:u w:val="single"/>
                <w:lang w:val="es-ES_tradnl"/>
              </w:rPr>
            </w:pPr>
          </w:p>
          <w:p w:rsidR="00487108" w:rsidRPr="0096078C" w:rsidRDefault="00487108" w:rsidP="00C622EB">
            <w:pPr>
              <w:rPr>
                <w:rFonts w:cs="Arial"/>
                <w:bCs/>
                <w:sz w:val="18"/>
                <w:szCs w:val="22"/>
                <w:lang w:val="es-ES_tradnl"/>
              </w:rPr>
            </w:pPr>
            <w:r w:rsidRPr="00704805">
              <w:rPr>
                <w:rFonts w:cs="Arial"/>
                <w:bCs/>
                <w:sz w:val="18"/>
                <w:szCs w:val="22"/>
                <w:lang w:val="es-ES_tradnl"/>
              </w:rPr>
              <w:t xml:space="preserve">Con el </w:t>
            </w:r>
            <w:r w:rsidRPr="00704805">
              <w:rPr>
                <w:rFonts w:cs="Arial"/>
                <w:b/>
                <w:bCs/>
                <w:sz w:val="18"/>
                <w:szCs w:val="22"/>
                <w:u w:val="single"/>
                <w:lang w:val="es-ES_tradnl"/>
              </w:rPr>
              <w:t>subrayado</w:t>
            </w:r>
            <w:r w:rsidRPr="00704805">
              <w:rPr>
                <w:rFonts w:cs="Arial"/>
                <w:b/>
                <w:bCs/>
                <w:sz w:val="18"/>
                <w:szCs w:val="22"/>
                <w:lang w:val="es-ES_tradnl"/>
              </w:rPr>
              <w:t xml:space="preserve"> (sombreado)</w:t>
            </w:r>
            <w:r w:rsidRPr="00704805">
              <w:rPr>
                <w:rFonts w:cs="Arial"/>
                <w:bCs/>
                <w:sz w:val="18"/>
                <w:szCs w:val="22"/>
                <w:lang w:val="es-ES_tradnl"/>
              </w:rPr>
              <w:t xml:space="preserve"> se indican las modificaciones propuestas del documento TGP/8/1.</w:t>
            </w:r>
          </w:p>
          <w:p w:rsidR="00487108" w:rsidRPr="0096078C" w:rsidRDefault="00487108" w:rsidP="00C622EB">
            <w:pPr>
              <w:rPr>
                <w:rFonts w:cs="Arial"/>
                <w:szCs w:val="22"/>
                <w:lang w:val="es-ES_tradnl"/>
              </w:rPr>
            </w:pPr>
          </w:p>
        </w:tc>
      </w:tr>
    </w:tbl>
    <w:p w:rsidR="00487108" w:rsidRPr="0096078C" w:rsidRDefault="00487108" w:rsidP="00D335A4">
      <w:pPr>
        <w:widowControl w:val="0"/>
        <w:autoSpaceDE w:val="0"/>
        <w:autoSpaceDN w:val="0"/>
        <w:adjustRightInd w:val="0"/>
        <w:rPr>
          <w:rFonts w:eastAsia="Batang" w:cs="Arial"/>
          <w:color w:val="000000"/>
          <w:lang w:val="es-ES_tradnl" w:eastAsia="ko-KR"/>
        </w:rPr>
      </w:pPr>
    </w:p>
    <w:p w:rsidR="00487108" w:rsidRPr="0096078C" w:rsidRDefault="00487108" w:rsidP="00D335A4">
      <w:pPr>
        <w:rPr>
          <w:lang w:val="es-ES_tradnl"/>
        </w:rPr>
      </w:pPr>
    </w:p>
    <w:p w:rsidR="00487108" w:rsidRPr="0096078C" w:rsidRDefault="00487108" w:rsidP="00D335A4">
      <w:pPr>
        <w:rPr>
          <w:lang w:val="es-ES_tradnl"/>
        </w:rPr>
      </w:pPr>
      <w:bookmarkStart w:id="7" w:name="_Toc270063979"/>
      <w:r w:rsidRPr="0096078C">
        <w:rPr>
          <w:lang w:val="es-ES_tradnl"/>
        </w:rPr>
        <w:t>10.</w:t>
      </w:r>
      <w:r w:rsidRPr="0096078C">
        <w:rPr>
          <w:lang w:val="es-ES_tradnl"/>
        </w:rPr>
        <w:tab/>
      </w:r>
      <w:bookmarkEnd w:id="7"/>
      <w:r w:rsidRPr="00704805">
        <w:rPr>
          <w:lang w:val="es-ES_tradnl"/>
        </w:rPr>
        <w:t>EVALUACIÓN DE LA HOMOGENEIDAD A PARTIR DEL MÉTODO DE LA VARIANZA RELATIVA</w:t>
      </w:r>
    </w:p>
    <w:p w:rsidR="00487108" w:rsidRPr="0096078C" w:rsidRDefault="00487108" w:rsidP="00D335A4">
      <w:pPr>
        <w:rPr>
          <w:lang w:val="es-ES_tradnl"/>
        </w:rPr>
      </w:pPr>
    </w:p>
    <w:p w:rsidR="00487108" w:rsidRPr="0096078C" w:rsidRDefault="00487108" w:rsidP="00D335A4">
      <w:pPr>
        <w:rPr>
          <w:u w:val="single"/>
          <w:lang w:val="es-ES_tradnl"/>
        </w:rPr>
      </w:pPr>
      <w:bookmarkStart w:id="8" w:name="_Toc219640859"/>
      <w:bookmarkStart w:id="9" w:name="_Toc270063980"/>
      <w:r w:rsidRPr="0096078C">
        <w:rPr>
          <w:u w:val="single"/>
          <w:lang w:val="es-ES_tradnl"/>
        </w:rPr>
        <w:t>10.1</w:t>
      </w:r>
      <w:r w:rsidRPr="0096078C">
        <w:rPr>
          <w:u w:val="single"/>
          <w:lang w:val="es-ES_tradnl"/>
        </w:rPr>
        <w:tab/>
      </w:r>
      <w:bookmarkEnd w:id="8"/>
      <w:bookmarkEnd w:id="9"/>
      <w:r w:rsidRPr="00704805">
        <w:rPr>
          <w:u w:val="single"/>
          <w:lang w:val="es-ES_tradnl"/>
        </w:rPr>
        <w:t>Utilización del método de la varianza relativa</w:t>
      </w:r>
    </w:p>
    <w:p w:rsidR="00487108" w:rsidRPr="0096078C" w:rsidRDefault="00487108" w:rsidP="00D335A4">
      <w:pPr>
        <w:rPr>
          <w:lang w:val="es-ES_tradnl"/>
        </w:rPr>
      </w:pPr>
    </w:p>
    <w:p w:rsidR="00487108" w:rsidRPr="0096078C" w:rsidRDefault="00487108" w:rsidP="00D335A4">
      <w:pPr>
        <w:rPr>
          <w:rFonts w:eastAsia="SimSun"/>
          <w:lang w:val="es-ES_tradnl" w:eastAsia="zh-CN"/>
        </w:rPr>
      </w:pPr>
      <w:bookmarkStart w:id="10" w:name="_Toc219640860"/>
      <w:r w:rsidRPr="0096078C">
        <w:rPr>
          <w:snapToGrid w:val="0"/>
          <w:color w:val="000000"/>
          <w:lang w:val="es-ES_tradnl"/>
        </w:rPr>
        <w:tab/>
      </w:r>
      <w:r w:rsidRPr="00704805">
        <w:rPr>
          <w:lang w:val="es-ES_tradnl"/>
        </w:rPr>
        <w:t>La varianza relativa para un carácter determinado es la varianza de la variedad candidata dividida entre el promedio de las varianzas de las variedades comparables (esto es, varianza relativa = varianza de la variedad candidata/varianza media de las variedades comparables).</w:t>
      </w:r>
      <w:r w:rsidRPr="0096078C">
        <w:rPr>
          <w:lang w:val="es-ES_tradnl"/>
        </w:rPr>
        <w:t xml:space="preserve">  </w:t>
      </w:r>
      <w:r w:rsidRPr="00704805">
        <w:rPr>
          <w:lang w:val="es-ES_tradnl"/>
        </w:rPr>
        <w:t>Debe haber una distribución normal de los datos.</w:t>
      </w:r>
      <w:r w:rsidRPr="0096078C">
        <w:rPr>
          <w:lang w:val="es-ES_tradnl"/>
        </w:rPr>
        <w:t xml:space="preserve">  </w:t>
      </w:r>
      <w:r w:rsidRPr="0082237D">
        <w:rPr>
          <w:lang w:val="es-ES_tradnl"/>
        </w:rPr>
        <w:t>El método de la varianza relativa puede aplicarse a todo carácter medido que sea una variable continua, independientemente del método de propagación de la variedad.</w:t>
      </w:r>
      <w:r w:rsidRPr="0096078C">
        <w:rPr>
          <w:lang w:val="es-ES_tradnl"/>
        </w:rPr>
        <w:t xml:space="preserve">  </w:t>
      </w:r>
      <w:r w:rsidRPr="00704805">
        <w:rPr>
          <w:lang w:val="es-ES_tradnl"/>
        </w:rPr>
        <w:t>Las variedades comparables son variedades del mismo tipo dentro de la misma especie, o de una especie estrechamente relacionada, que hayan sido examinadas anteriormente, considerándolas lo suficientemente homogéneas (véase la sección 5.2 “Determinación del nivel de variación aceptable” del documento TGP/10).</w:t>
      </w:r>
    </w:p>
    <w:p w:rsidR="00487108" w:rsidRPr="0096078C" w:rsidRDefault="00487108" w:rsidP="00D335A4">
      <w:pPr>
        <w:rPr>
          <w:rFonts w:eastAsia="SimSun"/>
          <w:lang w:val="es-ES_tradnl" w:eastAsia="zh-CN"/>
        </w:rPr>
      </w:pPr>
    </w:p>
    <w:bookmarkEnd w:id="10"/>
    <w:p w:rsidR="00487108" w:rsidRPr="0096078C" w:rsidRDefault="00487108" w:rsidP="00D335A4">
      <w:pPr>
        <w:rPr>
          <w:lang w:val="es-ES_tradnl"/>
        </w:rPr>
      </w:pPr>
      <w:r w:rsidRPr="0096078C">
        <w:rPr>
          <w:lang w:val="es-ES_tradnl"/>
        </w:rPr>
        <w:tab/>
      </w:r>
      <w:r w:rsidRPr="00704805">
        <w:rPr>
          <w:lang w:val="es-ES_tradnl"/>
        </w:rPr>
        <w:t>Para las variedades alógamas, una recomendación común de las Directrices de Examen de la UPOV es tomar 60 mediciones por carácter por variedad.</w:t>
      </w:r>
      <w:r w:rsidRPr="0096078C">
        <w:rPr>
          <w:lang w:val="es-ES_tradnl"/>
        </w:rPr>
        <w:t xml:space="preserve">  </w:t>
      </w:r>
      <w:r w:rsidRPr="0082237D">
        <w:rPr>
          <w:lang w:val="es-ES_tradnl"/>
        </w:rPr>
        <w:t>En esencia, la razón de varianzas es equiparable al estadístico F, y el valor tabulado de F para P = 0,01 con gl</w:t>
      </w:r>
      <w:r w:rsidRPr="0082237D">
        <w:rPr>
          <w:vertAlign w:val="subscript"/>
          <w:lang w:val="es-ES_tradnl"/>
        </w:rPr>
        <w:t>1</w:t>
      </w:r>
      <w:r w:rsidRPr="0082237D">
        <w:rPr>
          <w:lang w:val="es-ES_tradnl"/>
        </w:rPr>
        <w:t> = 60 (grados de libertad de la variedad candidata) y gl</w:t>
      </w:r>
      <w:r w:rsidRPr="0082237D">
        <w:rPr>
          <w:vertAlign w:val="subscript"/>
          <w:lang w:val="es-ES_tradnl"/>
        </w:rPr>
        <w:t>2</w:t>
      </w:r>
      <w:r w:rsidRPr="0082237D">
        <w:rPr>
          <w:lang w:val="es-ES_tradnl"/>
        </w:rPr>
        <w:t> = </w:t>
      </w:r>
      <w:r w:rsidRPr="0082237D">
        <w:rPr>
          <w:lang w:val="es-ES_tradnl"/>
        </w:rPr>
        <w:sym w:font="Symbol" w:char="F0A5"/>
      </w:r>
      <w:r w:rsidRPr="0082237D">
        <w:rPr>
          <w:lang w:val="es-ES_tradnl"/>
        </w:rPr>
        <w:t xml:space="preserve"> (grados de libertad de la(s) variedad(es) comparable(s)) es 1,47.  Se toma gl</w:t>
      </w:r>
      <w:r w:rsidRPr="0082237D">
        <w:rPr>
          <w:vertAlign w:val="subscript"/>
          <w:lang w:val="es-ES_tradnl"/>
        </w:rPr>
        <w:t>2</w:t>
      </w:r>
      <w:r w:rsidRPr="0082237D">
        <w:rPr>
          <w:lang w:val="es-ES_tradnl"/>
        </w:rPr>
        <w:t> = </w:t>
      </w:r>
      <w:r w:rsidRPr="0082237D">
        <w:rPr>
          <w:lang w:val="es-ES_tradnl"/>
        </w:rPr>
        <w:sym w:font="Symbol" w:char="F0A5"/>
      </w:r>
      <w:r w:rsidRPr="0082237D">
        <w:rPr>
          <w:lang w:val="es-ES_tradnl"/>
        </w:rPr>
        <w:t xml:space="preserve"> como estimación conservadora, ya que se supone que las variedades comparables representan fielmente el número infinito de posibles variedades comparables de la especie en su conjunto.</w:t>
      </w:r>
      <w:r w:rsidRPr="0096078C">
        <w:rPr>
          <w:lang w:val="es-ES_tradnl"/>
        </w:rPr>
        <w:t xml:space="preserve">  </w:t>
      </w:r>
      <w:r w:rsidRPr="0082237D">
        <w:rPr>
          <w:lang w:val="es-ES_tradnl"/>
        </w:rPr>
        <w:t>Luego </w:t>
      </w:r>
      <w:r w:rsidRPr="0082237D">
        <w:rPr>
          <w:highlight w:val="lightGray"/>
          <w:u w:val="single"/>
          <w:lang w:val="es-ES_tradnl"/>
        </w:rPr>
        <w:t>1,47</w:t>
      </w:r>
      <w:r w:rsidRPr="0082237D">
        <w:rPr>
          <w:lang w:val="es-ES_tradnl"/>
        </w:rPr>
        <w:t xml:space="preserve"> es el umbral para especies alógamas realizando 60 mediciones por carácter por variedad.</w:t>
      </w:r>
      <w:r w:rsidRPr="0096078C">
        <w:rPr>
          <w:lang w:val="es-ES_tradnl"/>
        </w:rPr>
        <w:t xml:space="preserve">  </w:t>
      </w:r>
      <w:r w:rsidRPr="00704805">
        <w:rPr>
          <w:lang w:val="es-ES_tradnl"/>
        </w:rPr>
        <w:t>Para tamaños de muestra diferentes, deberá usarse un estadístico F diferente para los gl</w:t>
      </w:r>
      <w:r w:rsidRPr="00704805">
        <w:rPr>
          <w:vertAlign w:val="subscript"/>
          <w:lang w:val="es-ES_tradnl"/>
        </w:rPr>
        <w:t>1,</w:t>
      </w:r>
      <w:r w:rsidRPr="00704805">
        <w:rPr>
          <w:lang w:val="es-ES_tradnl"/>
        </w:rPr>
        <w:t xml:space="preserve"> aunque el valor de gl</w:t>
      </w:r>
      <w:r w:rsidRPr="00704805">
        <w:rPr>
          <w:vertAlign w:val="subscript"/>
          <w:lang w:val="es-ES_tradnl"/>
        </w:rPr>
        <w:t>2</w:t>
      </w:r>
      <w:r w:rsidRPr="00704805">
        <w:rPr>
          <w:lang w:val="es-ES_tradnl"/>
        </w:rPr>
        <w:t xml:space="preserve"> deberá seguir siendo </w:t>
      </w:r>
      <w:r w:rsidRPr="00704805">
        <w:rPr>
          <w:lang w:val="es-ES_tradnl"/>
        </w:rPr>
        <w:sym w:font="Symbol" w:char="F0A5"/>
      </w:r>
      <w:r w:rsidRPr="00704805">
        <w:rPr>
          <w:lang w:val="es-ES_tradnl"/>
        </w:rPr>
        <w:t>.</w:t>
      </w:r>
    </w:p>
    <w:p w:rsidR="00487108" w:rsidRDefault="00487108" w:rsidP="00D335A4">
      <w:pPr>
        <w:rPr>
          <w:lang w:val="es-ES_tradnl"/>
        </w:rPr>
      </w:pPr>
    </w:p>
    <w:p w:rsidR="000F6AF2" w:rsidRPr="0096078C" w:rsidRDefault="000F6AF2" w:rsidP="00D335A4">
      <w:pPr>
        <w:rPr>
          <w:lang w:val="es-ES_tradnl"/>
        </w:rPr>
      </w:pPr>
    </w:p>
    <w:p w:rsidR="00487108" w:rsidRPr="0096078C" w:rsidRDefault="00487108" w:rsidP="00D335A4">
      <w:pPr>
        <w:rPr>
          <w:u w:val="single"/>
          <w:lang w:val="es-ES_tradnl"/>
        </w:rPr>
      </w:pPr>
      <w:bookmarkStart w:id="11" w:name="_Toc219640862"/>
      <w:bookmarkStart w:id="12" w:name="_Toc270063981"/>
      <w:r w:rsidRPr="0096078C">
        <w:rPr>
          <w:u w:val="single"/>
          <w:lang w:val="es-ES_tradnl"/>
        </w:rPr>
        <w:t>10.2</w:t>
      </w:r>
      <w:r w:rsidRPr="0096078C">
        <w:rPr>
          <w:u w:val="single"/>
          <w:lang w:val="es-ES_tradnl"/>
        </w:rPr>
        <w:tab/>
      </w:r>
      <w:bookmarkEnd w:id="11"/>
      <w:bookmarkEnd w:id="12"/>
      <w:r w:rsidRPr="0082237D">
        <w:rPr>
          <w:u w:val="single"/>
          <w:lang w:val="es-ES_tradnl"/>
        </w:rPr>
        <w:t>Umbral</w:t>
      </w:r>
      <w:r w:rsidRPr="0082237D">
        <w:rPr>
          <w:highlight w:val="lightGray"/>
          <w:u w:val="single"/>
          <w:lang w:val="es-ES_tradnl"/>
        </w:rPr>
        <w:t>es</w:t>
      </w:r>
      <w:r w:rsidRPr="0082237D">
        <w:rPr>
          <w:u w:val="single"/>
          <w:lang w:val="es-ES_tradnl"/>
        </w:rPr>
        <w:t xml:space="preserve"> para diferentes tamaños de muestra</w:t>
      </w:r>
    </w:p>
    <w:p w:rsidR="00487108" w:rsidRPr="0096078C" w:rsidRDefault="00487108" w:rsidP="00D335A4">
      <w:pPr>
        <w:rPr>
          <w:b/>
          <w:lang w:val="es-ES_tradnl"/>
        </w:rPr>
      </w:pPr>
    </w:p>
    <w:p w:rsidR="00487108" w:rsidRPr="0096078C" w:rsidRDefault="00487108" w:rsidP="000F6AF2">
      <w:pPr>
        <w:tabs>
          <w:tab w:val="left" w:pos="851"/>
        </w:tabs>
        <w:rPr>
          <w:lang w:val="es-ES_tradnl"/>
        </w:rPr>
      </w:pPr>
      <w:r w:rsidRPr="0096078C">
        <w:rPr>
          <w:lang w:val="es-ES_tradnl"/>
        </w:rPr>
        <w:t xml:space="preserve">10.2.1 </w:t>
      </w:r>
      <w:r w:rsidRPr="0096078C">
        <w:rPr>
          <w:lang w:val="es-ES_tradnl"/>
        </w:rPr>
        <w:tab/>
      </w:r>
      <w:r w:rsidRPr="0082237D">
        <w:rPr>
          <w:lang w:val="es-ES_tradnl"/>
        </w:rPr>
        <w:t>Deben aplicarse diferentes umbrales de F (con P = 0,01) para tamaños de muestra diferentes de la variedad candidata.</w:t>
      </w:r>
      <w:r w:rsidRPr="0096078C">
        <w:rPr>
          <w:lang w:val="es-ES_tradnl"/>
        </w:rPr>
        <w:t xml:space="preserve">  </w:t>
      </w:r>
      <w:r w:rsidRPr="0082237D">
        <w:rPr>
          <w:lang w:val="es-ES_tradnl"/>
        </w:rPr>
        <w:t>Los gl</w:t>
      </w:r>
      <w:r w:rsidRPr="0082237D">
        <w:rPr>
          <w:vertAlign w:val="subscript"/>
          <w:lang w:val="es-ES_tradnl"/>
        </w:rPr>
        <w:t>1</w:t>
      </w:r>
      <w:r w:rsidRPr="0082237D">
        <w:rPr>
          <w:lang w:val="es-ES_tradnl"/>
        </w:rPr>
        <w:t xml:space="preserve"> variarán en función de los diferentes tamaños de muestra de la variedad candidata.</w:t>
      </w:r>
      <w:r w:rsidRPr="0096078C">
        <w:rPr>
          <w:lang w:val="es-ES_tradnl"/>
        </w:rPr>
        <w:t xml:space="preserve">  </w:t>
      </w:r>
      <w:r w:rsidRPr="0082237D">
        <w:rPr>
          <w:lang w:val="es-ES_tradnl"/>
        </w:rPr>
        <w:t>No obstante, los gl</w:t>
      </w:r>
      <w:r w:rsidRPr="0082237D">
        <w:rPr>
          <w:vertAlign w:val="subscript"/>
          <w:lang w:val="es-ES_tradnl"/>
        </w:rPr>
        <w:t>2</w:t>
      </w:r>
      <w:r w:rsidRPr="0082237D">
        <w:rPr>
          <w:lang w:val="es-ES_tradnl"/>
        </w:rPr>
        <w:t xml:space="preserve"> se considerarán </w:t>
      </w:r>
      <w:r w:rsidRPr="0082237D">
        <w:rPr>
          <w:lang w:val="es-ES_tradnl"/>
        </w:rPr>
        <w:sym w:font="Symbol" w:char="F0A5"/>
      </w:r>
      <w:r w:rsidRPr="0082237D">
        <w:rPr>
          <w:lang w:val="es-ES_tradnl"/>
        </w:rPr>
        <w:t xml:space="preserve"> en todos los casos, para tener en cuenta la gama completa de posibles variedades comparables de una especie, lo que da lugar a una estimación conservadora del umbral.</w:t>
      </w:r>
      <w:r w:rsidRPr="0096078C">
        <w:rPr>
          <w:lang w:val="es-ES_tradnl"/>
        </w:rPr>
        <w:t xml:space="preserve">  </w:t>
      </w:r>
      <w:r w:rsidRPr="0082237D">
        <w:rPr>
          <w:lang w:val="es-ES_tradnl"/>
        </w:rPr>
        <w:t>En estas condiciones y tomando los valores pertinentes del cuadro de valores de F, el cuadro 1 muestra los umbrales aplicables para diferentes tamaños de muestra de las variedades candidatas.</w:t>
      </w:r>
      <w:r w:rsidRPr="0096078C">
        <w:rPr>
          <w:lang w:val="es-ES_tradnl"/>
        </w:rPr>
        <w:t xml:space="preserve"> </w:t>
      </w:r>
      <w:r w:rsidRPr="0082237D">
        <w:rPr>
          <w:lang w:val="es-ES_tradnl"/>
        </w:rPr>
        <w:t>En los casos en que el tamaño de muestra sea diferente que los incluidos en el cuadro 1, deberá usarse el umbral correcto para el tamaño de muestra exacto.</w:t>
      </w:r>
      <w:r w:rsidRPr="0096078C">
        <w:rPr>
          <w:lang w:val="es-ES_tradnl"/>
        </w:rPr>
        <w:t xml:space="preserve"> </w:t>
      </w:r>
    </w:p>
    <w:p w:rsidR="00487108" w:rsidRPr="0096078C" w:rsidRDefault="00487108" w:rsidP="00D335A4">
      <w:pPr>
        <w:rPr>
          <w:lang w:val="es-ES_tradnl"/>
        </w:rPr>
      </w:pPr>
    </w:p>
    <w:p w:rsidR="00487108" w:rsidRPr="0096078C" w:rsidRDefault="00487108" w:rsidP="00D335A4">
      <w:pPr>
        <w:rPr>
          <w:i/>
          <w:iCs/>
          <w:lang w:val="es-ES_tradnl"/>
        </w:rPr>
      </w:pPr>
      <w:r w:rsidRPr="00704805">
        <w:rPr>
          <w:i/>
          <w:iCs/>
          <w:lang w:val="es-ES_tradnl"/>
        </w:rPr>
        <w:t>Cuadro 1:</w:t>
      </w:r>
      <w:r w:rsidRPr="0096078C">
        <w:rPr>
          <w:i/>
          <w:iCs/>
          <w:lang w:val="es-ES_tradnl"/>
        </w:rPr>
        <w:t xml:space="preserve">  </w:t>
      </w:r>
      <w:r w:rsidRPr="0082237D">
        <w:rPr>
          <w:i/>
          <w:iCs/>
          <w:lang w:val="es-ES_tradnl"/>
        </w:rPr>
        <w:t>Umbral</w:t>
      </w:r>
      <w:r w:rsidRPr="0082237D">
        <w:rPr>
          <w:i/>
          <w:iCs/>
          <w:highlight w:val="lightGray"/>
          <w:u w:val="single"/>
          <w:lang w:val="es-ES_tradnl"/>
        </w:rPr>
        <w:t>es</w:t>
      </w:r>
      <w:r w:rsidRPr="0082237D">
        <w:rPr>
          <w:i/>
          <w:iCs/>
          <w:lang w:val="es-ES_tradnl"/>
        </w:rPr>
        <w:t xml:space="preserve"> de varianza relativa para algunos diferentes tamaños de muestra</w:t>
      </w:r>
    </w:p>
    <w:tbl>
      <w:tblPr>
        <w:tblW w:w="0" w:type="auto"/>
        <w:jc w:val="center"/>
        <w:tblInd w:w="2088" w:type="dxa"/>
        <w:tblLook w:val="01E0" w:firstRow="1" w:lastRow="1" w:firstColumn="1" w:lastColumn="1" w:noHBand="0" w:noVBand="0"/>
      </w:tblPr>
      <w:tblGrid>
        <w:gridCol w:w="2173"/>
        <w:gridCol w:w="1967"/>
      </w:tblGrid>
      <w:tr w:rsidR="00487108" w:rsidRPr="00E315FE" w:rsidTr="00C622EB">
        <w:trPr>
          <w:jc w:val="center"/>
        </w:trPr>
        <w:tc>
          <w:tcPr>
            <w:tcW w:w="2173" w:type="dxa"/>
          </w:tcPr>
          <w:p w:rsidR="00487108" w:rsidRPr="0096078C" w:rsidRDefault="00487108" w:rsidP="00C622EB">
            <w:pPr>
              <w:jc w:val="center"/>
              <w:rPr>
                <w:b/>
                <w:lang w:val="es-ES_tradnl"/>
              </w:rPr>
            </w:pPr>
            <w:r w:rsidRPr="0082237D">
              <w:rPr>
                <w:b/>
                <w:lang w:val="es-ES_tradnl"/>
              </w:rPr>
              <w:t>Tamaño de muestra de la variedad candidata</w:t>
            </w:r>
          </w:p>
        </w:tc>
        <w:tc>
          <w:tcPr>
            <w:tcW w:w="1967" w:type="dxa"/>
          </w:tcPr>
          <w:p w:rsidR="00487108" w:rsidRPr="00E315FE" w:rsidRDefault="00487108" w:rsidP="00C622EB">
            <w:pPr>
              <w:jc w:val="center"/>
              <w:rPr>
                <w:b/>
              </w:rPr>
            </w:pPr>
            <w:r w:rsidRPr="0082237D">
              <w:rPr>
                <w:b/>
                <w:lang w:val="es-ES_tradnl"/>
              </w:rPr>
              <w:t>Umbral</w:t>
            </w:r>
            <w:r w:rsidRPr="0082237D">
              <w:rPr>
                <w:b/>
                <w:highlight w:val="lightGray"/>
                <w:u w:val="single"/>
                <w:lang w:val="es-ES_tradnl"/>
              </w:rPr>
              <w:t>es</w:t>
            </w:r>
            <w:r w:rsidRPr="0082237D">
              <w:rPr>
                <w:b/>
                <w:lang w:val="es-ES_tradnl"/>
              </w:rPr>
              <w:t xml:space="preserve"> de varianza relativa</w:t>
            </w:r>
          </w:p>
        </w:tc>
      </w:tr>
      <w:tr w:rsidR="00487108" w:rsidRPr="00E315FE" w:rsidTr="00C622EB">
        <w:trPr>
          <w:jc w:val="center"/>
        </w:trPr>
        <w:tc>
          <w:tcPr>
            <w:tcW w:w="2173" w:type="dxa"/>
          </w:tcPr>
          <w:p w:rsidR="00487108" w:rsidRPr="00E315FE" w:rsidRDefault="00487108" w:rsidP="00C622EB">
            <w:pPr>
              <w:jc w:val="center"/>
            </w:pPr>
            <w:r w:rsidRPr="00E315FE">
              <w:t>30</w:t>
            </w:r>
          </w:p>
        </w:tc>
        <w:tc>
          <w:tcPr>
            <w:tcW w:w="1967" w:type="dxa"/>
          </w:tcPr>
          <w:p w:rsidR="00487108" w:rsidRPr="00B41D76" w:rsidRDefault="00487108" w:rsidP="00C622EB">
            <w:pPr>
              <w:jc w:val="center"/>
              <w:rPr>
                <w:highlight w:val="lightGray"/>
                <w:u w:val="single"/>
              </w:rPr>
            </w:pPr>
            <w:r w:rsidRPr="00B41D76">
              <w:rPr>
                <w:highlight w:val="lightGray"/>
                <w:u w:val="single"/>
              </w:rPr>
              <w:t>1</w:t>
            </w:r>
            <w:r>
              <w:rPr>
                <w:highlight w:val="lightGray"/>
                <w:u w:val="single"/>
              </w:rPr>
              <w:t>,</w:t>
            </w:r>
            <w:r w:rsidRPr="00B41D76">
              <w:rPr>
                <w:highlight w:val="lightGray"/>
                <w:u w:val="single"/>
              </w:rPr>
              <w:t>70</w:t>
            </w:r>
          </w:p>
        </w:tc>
      </w:tr>
      <w:tr w:rsidR="00487108" w:rsidRPr="00E315FE" w:rsidTr="00C622EB">
        <w:trPr>
          <w:jc w:val="center"/>
        </w:trPr>
        <w:tc>
          <w:tcPr>
            <w:tcW w:w="2173" w:type="dxa"/>
          </w:tcPr>
          <w:p w:rsidR="00487108" w:rsidRPr="00E315FE" w:rsidRDefault="00487108" w:rsidP="00C622EB">
            <w:pPr>
              <w:jc w:val="center"/>
            </w:pPr>
            <w:r w:rsidRPr="00E315FE">
              <w:t>40</w:t>
            </w:r>
          </w:p>
        </w:tc>
        <w:tc>
          <w:tcPr>
            <w:tcW w:w="1967" w:type="dxa"/>
          </w:tcPr>
          <w:p w:rsidR="00487108" w:rsidRPr="00B41D76" w:rsidRDefault="00487108" w:rsidP="00C622EB">
            <w:pPr>
              <w:jc w:val="center"/>
              <w:rPr>
                <w:highlight w:val="lightGray"/>
                <w:u w:val="single"/>
              </w:rPr>
            </w:pPr>
            <w:r w:rsidRPr="00B41D76">
              <w:rPr>
                <w:highlight w:val="lightGray"/>
                <w:u w:val="single"/>
              </w:rPr>
              <w:t>1</w:t>
            </w:r>
            <w:r>
              <w:rPr>
                <w:highlight w:val="lightGray"/>
                <w:u w:val="single"/>
              </w:rPr>
              <w:t>,</w:t>
            </w:r>
            <w:r w:rsidRPr="00B41D76">
              <w:rPr>
                <w:highlight w:val="lightGray"/>
                <w:u w:val="single"/>
              </w:rPr>
              <w:t>59</w:t>
            </w:r>
          </w:p>
        </w:tc>
      </w:tr>
      <w:tr w:rsidR="00487108" w:rsidRPr="00E315FE" w:rsidTr="00C622EB">
        <w:trPr>
          <w:jc w:val="center"/>
        </w:trPr>
        <w:tc>
          <w:tcPr>
            <w:tcW w:w="2173" w:type="dxa"/>
          </w:tcPr>
          <w:p w:rsidR="00487108" w:rsidRPr="00E315FE" w:rsidRDefault="00487108" w:rsidP="00C622EB">
            <w:pPr>
              <w:jc w:val="center"/>
            </w:pPr>
            <w:r w:rsidRPr="00E315FE">
              <w:t>50</w:t>
            </w:r>
          </w:p>
        </w:tc>
        <w:tc>
          <w:tcPr>
            <w:tcW w:w="1967" w:type="dxa"/>
          </w:tcPr>
          <w:p w:rsidR="00487108" w:rsidRPr="00B41D76" w:rsidRDefault="00487108" w:rsidP="00C622EB">
            <w:pPr>
              <w:jc w:val="center"/>
              <w:rPr>
                <w:highlight w:val="lightGray"/>
                <w:u w:val="single"/>
              </w:rPr>
            </w:pPr>
            <w:r w:rsidRPr="00B41D76">
              <w:rPr>
                <w:highlight w:val="lightGray"/>
                <w:u w:val="single"/>
              </w:rPr>
              <w:t>1</w:t>
            </w:r>
            <w:r>
              <w:rPr>
                <w:highlight w:val="lightGray"/>
                <w:u w:val="single"/>
              </w:rPr>
              <w:t>,</w:t>
            </w:r>
            <w:r w:rsidRPr="00B41D76">
              <w:rPr>
                <w:highlight w:val="lightGray"/>
                <w:u w:val="single"/>
              </w:rPr>
              <w:t>53</w:t>
            </w:r>
          </w:p>
        </w:tc>
      </w:tr>
      <w:tr w:rsidR="00487108" w:rsidRPr="00E315FE" w:rsidTr="00C622EB">
        <w:trPr>
          <w:jc w:val="center"/>
        </w:trPr>
        <w:tc>
          <w:tcPr>
            <w:tcW w:w="2173" w:type="dxa"/>
          </w:tcPr>
          <w:p w:rsidR="00487108" w:rsidRPr="00E315FE" w:rsidRDefault="00487108" w:rsidP="00C622EB">
            <w:pPr>
              <w:jc w:val="center"/>
            </w:pPr>
            <w:r w:rsidRPr="00E315FE">
              <w:t>60</w:t>
            </w:r>
          </w:p>
        </w:tc>
        <w:tc>
          <w:tcPr>
            <w:tcW w:w="1967" w:type="dxa"/>
          </w:tcPr>
          <w:p w:rsidR="00487108" w:rsidRPr="00B41D76" w:rsidRDefault="00487108" w:rsidP="00C622EB">
            <w:pPr>
              <w:jc w:val="center"/>
              <w:rPr>
                <w:highlight w:val="lightGray"/>
                <w:u w:val="single"/>
              </w:rPr>
            </w:pPr>
            <w:r w:rsidRPr="00B41D76">
              <w:rPr>
                <w:highlight w:val="lightGray"/>
                <w:u w:val="single"/>
              </w:rPr>
              <w:t>1</w:t>
            </w:r>
            <w:r>
              <w:rPr>
                <w:highlight w:val="lightGray"/>
                <w:u w:val="single"/>
              </w:rPr>
              <w:t>,</w:t>
            </w:r>
            <w:r w:rsidRPr="00B41D76">
              <w:rPr>
                <w:highlight w:val="lightGray"/>
                <w:u w:val="single"/>
              </w:rPr>
              <w:t>47</w:t>
            </w:r>
          </w:p>
        </w:tc>
      </w:tr>
      <w:tr w:rsidR="00487108" w:rsidRPr="00E315FE" w:rsidTr="00C622EB">
        <w:trPr>
          <w:jc w:val="center"/>
        </w:trPr>
        <w:tc>
          <w:tcPr>
            <w:tcW w:w="2173" w:type="dxa"/>
          </w:tcPr>
          <w:p w:rsidR="00487108" w:rsidRPr="00E315FE" w:rsidRDefault="00487108" w:rsidP="00C622EB">
            <w:pPr>
              <w:jc w:val="center"/>
            </w:pPr>
            <w:r w:rsidRPr="00E315FE">
              <w:t>80</w:t>
            </w:r>
          </w:p>
        </w:tc>
        <w:tc>
          <w:tcPr>
            <w:tcW w:w="1967" w:type="dxa"/>
          </w:tcPr>
          <w:p w:rsidR="00487108" w:rsidRPr="00B41D76" w:rsidRDefault="00487108" w:rsidP="00C622EB">
            <w:pPr>
              <w:jc w:val="center"/>
              <w:rPr>
                <w:highlight w:val="lightGray"/>
                <w:u w:val="single"/>
              </w:rPr>
            </w:pPr>
            <w:r w:rsidRPr="00B41D76">
              <w:rPr>
                <w:highlight w:val="lightGray"/>
                <w:u w:val="single"/>
              </w:rPr>
              <w:t>1</w:t>
            </w:r>
            <w:r>
              <w:rPr>
                <w:highlight w:val="lightGray"/>
                <w:u w:val="single"/>
              </w:rPr>
              <w:t>,</w:t>
            </w:r>
            <w:r w:rsidRPr="00B41D76">
              <w:rPr>
                <w:highlight w:val="lightGray"/>
                <w:u w:val="single"/>
              </w:rPr>
              <w:t>41</w:t>
            </w:r>
          </w:p>
        </w:tc>
      </w:tr>
      <w:tr w:rsidR="00487108" w:rsidRPr="00E315FE" w:rsidTr="00C622EB">
        <w:trPr>
          <w:jc w:val="center"/>
        </w:trPr>
        <w:tc>
          <w:tcPr>
            <w:tcW w:w="2173" w:type="dxa"/>
          </w:tcPr>
          <w:p w:rsidR="00487108" w:rsidRPr="00E315FE" w:rsidRDefault="00487108" w:rsidP="00C622EB">
            <w:pPr>
              <w:jc w:val="center"/>
            </w:pPr>
            <w:r w:rsidRPr="00E315FE">
              <w:t>100</w:t>
            </w:r>
          </w:p>
        </w:tc>
        <w:tc>
          <w:tcPr>
            <w:tcW w:w="1967" w:type="dxa"/>
          </w:tcPr>
          <w:p w:rsidR="00487108" w:rsidRPr="00B41D76" w:rsidRDefault="00487108" w:rsidP="00C622EB">
            <w:pPr>
              <w:jc w:val="center"/>
              <w:rPr>
                <w:highlight w:val="lightGray"/>
                <w:u w:val="single"/>
              </w:rPr>
            </w:pPr>
            <w:r w:rsidRPr="00B41D76">
              <w:rPr>
                <w:highlight w:val="lightGray"/>
                <w:u w:val="single"/>
              </w:rPr>
              <w:t>1</w:t>
            </w:r>
            <w:r>
              <w:rPr>
                <w:highlight w:val="lightGray"/>
                <w:u w:val="single"/>
              </w:rPr>
              <w:t>,</w:t>
            </w:r>
            <w:r w:rsidRPr="00B41D76">
              <w:rPr>
                <w:highlight w:val="lightGray"/>
                <w:u w:val="single"/>
              </w:rPr>
              <w:t>36</w:t>
            </w:r>
          </w:p>
        </w:tc>
      </w:tr>
      <w:tr w:rsidR="00487108" w:rsidRPr="00E315FE" w:rsidTr="00C622EB">
        <w:trPr>
          <w:jc w:val="center"/>
        </w:trPr>
        <w:tc>
          <w:tcPr>
            <w:tcW w:w="2173" w:type="dxa"/>
          </w:tcPr>
          <w:p w:rsidR="00487108" w:rsidRPr="00E315FE" w:rsidRDefault="00487108" w:rsidP="00C622EB">
            <w:pPr>
              <w:jc w:val="center"/>
            </w:pPr>
            <w:r w:rsidRPr="00E315FE">
              <w:t>150</w:t>
            </w:r>
          </w:p>
        </w:tc>
        <w:tc>
          <w:tcPr>
            <w:tcW w:w="1967" w:type="dxa"/>
          </w:tcPr>
          <w:p w:rsidR="00487108" w:rsidRPr="00B41D76" w:rsidRDefault="00487108" w:rsidP="00C622EB">
            <w:pPr>
              <w:jc w:val="center"/>
              <w:rPr>
                <w:highlight w:val="lightGray"/>
                <w:u w:val="single"/>
              </w:rPr>
            </w:pPr>
            <w:r w:rsidRPr="00B41D76">
              <w:rPr>
                <w:highlight w:val="lightGray"/>
                <w:u w:val="single"/>
              </w:rPr>
              <w:t>1</w:t>
            </w:r>
            <w:r>
              <w:rPr>
                <w:highlight w:val="lightGray"/>
                <w:u w:val="single"/>
              </w:rPr>
              <w:t>,</w:t>
            </w:r>
            <w:r w:rsidRPr="00B41D76">
              <w:rPr>
                <w:highlight w:val="lightGray"/>
                <w:u w:val="single"/>
              </w:rPr>
              <w:t>29</w:t>
            </w:r>
          </w:p>
        </w:tc>
      </w:tr>
      <w:tr w:rsidR="00487108" w:rsidRPr="00E315FE" w:rsidTr="00C622EB">
        <w:trPr>
          <w:jc w:val="center"/>
        </w:trPr>
        <w:tc>
          <w:tcPr>
            <w:tcW w:w="2173" w:type="dxa"/>
          </w:tcPr>
          <w:p w:rsidR="00487108" w:rsidRPr="00E315FE" w:rsidRDefault="00487108" w:rsidP="00C622EB">
            <w:pPr>
              <w:jc w:val="center"/>
            </w:pPr>
            <w:r w:rsidRPr="00E315FE">
              <w:t>200</w:t>
            </w:r>
          </w:p>
        </w:tc>
        <w:tc>
          <w:tcPr>
            <w:tcW w:w="1967" w:type="dxa"/>
          </w:tcPr>
          <w:p w:rsidR="00487108" w:rsidRPr="00B41D76" w:rsidRDefault="00487108" w:rsidP="00C622EB">
            <w:pPr>
              <w:jc w:val="center"/>
              <w:rPr>
                <w:highlight w:val="lightGray"/>
                <w:u w:val="single"/>
              </w:rPr>
            </w:pPr>
            <w:r w:rsidRPr="00B41D76">
              <w:rPr>
                <w:highlight w:val="lightGray"/>
                <w:u w:val="single"/>
              </w:rPr>
              <w:t>1</w:t>
            </w:r>
            <w:r>
              <w:rPr>
                <w:highlight w:val="lightGray"/>
                <w:u w:val="single"/>
              </w:rPr>
              <w:t>,</w:t>
            </w:r>
            <w:r w:rsidRPr="00B41D76">
              <w:rPr>
                <w:highlight w:val="lightGray"/>
                <w:u w:val="single"/>
              </w:rPr>
              <w:t>25</w:t>
            </w:r>
          </w:p>
        </w:tc>
      </w:tr>
    </w:tbl>
    <w:p w:rsidR="00487108" w:rsidRPr="0096078C" w:rsidRDefault="00487108" w:rsidP="00D335A4">
      <w:pPr>
        <w:rPr>
          <w:sz w:val="16"/>
          <w:szCs w:val="16"/>
          <w:lang w:val="es-ES_tradnl"/>
        </w:rPr>
      </w:pPr>
      <w:r w:rsidRPr="0096078C">
        <w:rPr>
          <w:lang w:val="es-ES_tradnl"/>
        </w:rPr>
        <w:tab/>
      </w:r>
      <w:r w:rsidRPr="0096078C">
        <w:rPr>
          <w:lang w:val="es-ES_tradnl"/>
        </w:rPr>
        <w:tab/>
      </w:r>
      <w:r w:rsidRPr="00704805">
        <w:rPr>
          <w:sz w:val="16"/>
          <w:szCs w:val="16"/>
          <w:lang w:val="es-ES_tradnl"/>
        </w:rPr>
        <w:t>Fuente:</w:t>
      </w:r>
      <w:r w:rsidRPr="0096078C">
        <w:rPr>
          <w:sz w:val="16"/>
          <w:szCs w:val="16"/>
          <w:lang w:val="es-ES_tradnl"/>
        </w:rPr>
        <w:t xml:space="preserve"> </w:t>
      </w:r>
      <w:r w:rsidRPr="0082237D">
        <w:rPr>
          <w:sz w:val="16"/>
          <w:szCs w:val="16"/>
          <w:lang w:val="es-ES_tradnl"/>
        </w:rPr>
        <w:t xml:space="preserve">cuadro de valores de F publicado en </w:t>
      </w:r>
      <w:r w:rsidRPr="0096078C">
        <w:rPr>
          <w:i/>
          <w:sz w:val="16"/>
          <w:szCs w:val="16"/>
          <w:lang w:val="es-ES_tradnl"/>
        </w:rPr>
        <w:t>Tables for Statisticians</w:t>
      </w:r>
      <w:r w:rsidRPr="0082237D">
        <w:rPr>
          <w:sz w:val="16"/>
          <w:szCs w:val="16"/>
          <w:lang w:val="es-ES_tradnl"/>
        </w:rPr>
        <w:t>, Barnes &amp; Noble, Inc.  Nueva York.</w:t>
      </w:r>
      <w:r w:rsidRPr="0096078C">
        <w:rPr>
          <w:sz w:val="16"/>
          <w:szCs w:val="16"/>
          <w:lang w:val="es-ES_tradnl"/>
        </w:rPr>
        <w:t xml:space="preserve"> </w:t>
      </w:r>
    </w:p>
    <w:p w:rsidR="00487108" w:rsidRPr="0096078C" w:rsidRDefault="00487108" w:rsidP="00D335A4">
      <w:pPr>
        <w:rPr>
          <w:sz w:val="16"/>
          <w:szCs w:val="16"/>
          <w:lang w:val="es-ES_tradnl"/>
        </w:rPr>
      </w:pPr>
    </w:p>
    <w:p w:rsidR="00487108" w:rsidRPr="0096078C" w:rsidRDefault="00487108" w:rsidP="000F6AF2">
      <w:pPr>
        <w:tabs>
          <w:tab w:val="left" w:pos="851"/>
        </w:tabs>
        <w:rPr>
          <w:lang w:val="es-ES_tradnl"/>
        </w:rPr>
      </w:pPr>
      <w:r w:rsidRPr="0096078C">
        <w:rPr>
          <w:lang w:val="es-ES_tradnl"/>
        </w:rPr>
        <w:t xml:space="preserve">10.2.2 </w:t>
      </w:r>
      <w:r w:rsidRPr="0096078C">
        <w:rPr>
          <w:lang w:val="es-ES_tradnl"/>
        </w:rPr>
        <w:tab/>
      </w:r>
      <w:r w:rsidRPr="0082237D">
        <w:rPr>
          <w:lang w:val="es-ES_tradnl"/>
        </w:rPr>
        <w:t>Para un tamaño de muestra dado, si la varianza relativa supera el umbral, la variedad candidata se considerará no homogénea en lo que respecta a ese carácter.</w:t>
      </w:r>
    </w:p>
    <w:p w:rsidR="00487108" w:rsidRDefault="00487108" w:rsidP="00D335A4">
      <w:pPr>
        <w:rPr>
          <w:u w:val="single"/>
          <w:lang w:val="es-ES_tradnl"/>
        </w:rPr>
      </w:pPr>
      <w:bookmarkStart w:id="13" w:name="_Toc219640863"/>
      <w:bookmarkStart w:id="14" w:name="_Toc270063982"/>
    </w:p>
    <w:p w:rsidR="000F6AF2" w:rsidRPr="0096078C" w:rsidRDefault="000F6AF2" w:rsidP="00D335A4">
      <w:pPr>
        <w:rPr>
          <w:u w:val="single"/>
          <w:lang w:val="es-ES_tradnl"/>
        </w:rPr>
      </w:pPr>
    </w:p>
    <w:p w:rsidR="00487108" w:rsidRPr="0096078C" w:rsidRDefault="00487108" w:rsidP="00D335A4">
      <w:pPr>
        <w:rPr>
          <w:u w:val="single"/>
          <w:lang w:val="es-ES_tradnl"/>
        </w:rPr>
      </w:pPr>
      <w:r w:rsidRPr="0096078C">
        <w:rPr>
          <w:u w:val="single"/>
          <w:lang w:val="es-ES_tradnl"/>
        </w:rPr>
        <w:t>10.3</w:t>
      </w:r>
      <w:r w:rsidRPr="0096078C">
        <w:rPr>
          <w:u w:val="single"/>
          <w:lang w:val="es-ES_tradnl"/>
        </w:rPr>
        <w:tab/>
      </w:r>
      <w:bookmarkEnd w:id="13"/>
      <w:bookmarkEnd w:id="14"/>
      <w:r w:rsidRPr="00704805">
        <w:rPr>
          <w:u w:val="single"/>
          <w:lang w:val="es-ES_tradnl"/>
        </w:rPr>
        <w:t>Uso práctico de la prueba de la varianza relativa</w:t>
      </w:r>
    </w:p>
    <w:p w:rsidR="00487108" w:rsidRPr="0096078C" w:rsidRDefault="00487108" w:rsidP="00D335A4">
      <w:pPr>
        <w:rPr>
          <w:lang w:val="es-ES_tradnl"/>
        </w:rPr>
      </w:pPr>
    </w:p>
    <w:p w:rsidR="00487108" w:rsidRPr="0096078C" w:rsidRDefault="000F6AF2" w:rsidP="000F6AF2">
      <w:pPr>
        <w:tabs>
          <w:tab w:val="left" w:pos="851"/>
        </w:tabs>
        <w:rPr>
          <w:lang w:val="es-ES_tradnl"/>
        </w:rPr>
      </w:pPr>
      <w:r>
        <w:rPr>
          <w:lang w:val="es-ES_tradnl"/>
        </w:rPr>
        <w:t>10.3.1</w:t>
      </w:r>
      <w:r>
        <w:rPr>
          <w:lang w:val="es-ES_tradnl"/>
        </w:rPr>
        <w:tab/>
      </w:r>
      <w:r w:rsidR="00487108" w:rsidRPr="0082237D">
        <w:rPr>
          <w:lang w:val="es-ES_tradnl"/>
        </w:rPr>
        <w:t>Si la varianza relativa calculada es menor que el valor tabulado del estadístico F mostrado en el cuadro 1, para el tamaño de muestra pertinente, es razonable suponer que las varianzas son iguales y que la variedad candidata es homogénea en que respecta a ese carácter concreto.</w:t>
      </w:r>
      <w:r w:rsidR="00487108" w:rsidRPr="0096078C">
        <w:rPr>
          <w:lang w:val="es-ES_tradnl"/>
        </w:rPr>
        <w:t xml:space="preserve">  </w:t>
      </w:r>
      <w:r w:rsidR="00487108" w:rsidRPr="00704805">
        <w:rPr>
          <w:lang w:val="es-ES_tradnl"/>
        </w:rPr>
        <w:t>Si la varianza relativa calculada es mayor que el valor tabulado del estadístico F, entonces se rechaza la hipótesis nula:  que las varianzas de las variedades son iguales.</w:t>
      </w:r>
      <w:r w:rsidR="00487108" w:rsidRPr="0096078C">
        <w:rPr>
          <w:lang w:val="es-ES_tradnl"/>
        </w:rPr>
        <w:t xml:space="preserve">  </w:t>
      </w:r>
      <w:r w:rsidR="00487108" w:rsidRPr="00704805">
        <w:rPr>
          <w:lang w:val="es-ES_tradnl"/>
        </w:rPr>
        <w:t>Se consideraría entonces que la variedad candidata tiene una varianza mayor que las variedades comparables para ese carácter concreto y, por consiguiente, no cumpliría el criterio de homogeneidad.</w:t>
      </w:r>
      <w:r w:rsidR="00487108" w:rsidRPr="0096078C">
        <w:rPr>
          <w:lang w:val="es-ES_tradnl"/>
        </w:rPr>
        <w:t xml:space="preserve"> </w:t>
      </w:r>
    </w:p>
    <w:p w:rsidR="00487108" w:rsidRDefault="00487108" w:rsidP="00D335A4">
      <w:pPr>
        <w:rPr>
          <w:lang w:val="es-ES_tradnl"/>
        </w:rPr>
      </w:pPr>
    </w:p>
    <w:p w:rsidR="000F6AF2" w:rsidRPr="0096078C" w:rsidRDefault="000F6AF2" w:rsidP="00D335A4">
      <w:pPr>
        <w:rPr>
          <w:lang w:val="es-ES_tradnl"/>
        </w:rPr>
      </w:pPr>
    </w:p>
    <w:p w:rsidR="00487108" w:rsidRPr="0096078C" w:rsidRDefault="00487108" w:rsidP="00D335A4">
      <w:pPr>
        <w:rPr>
          <w:u w:val="single"/>
          <w:lang w:val="es-ES_tradnl"/>
        </w:rPr>
      </w:pPr>
      <w:bookmarkStart w:id="15" w:name="_Toc219640864"/>
      <w:bookmarkStart w:id="16" w:name="_Toc270063983"/>
      <w:r w:rsidRPr="0096078C">
        <w:rPr>
          <w:u w:val="single"/>
          <w:lang w:val="es-ES_tradnl"/>
        </w:rPr>
        <w:t>10.4</w:t>
      </w:r>
      <w:r w:rsidRPr="0096078C">
        <w:rPr>
          <w:u w:val="single"/>
          <w:lang w:val="es-ES_tradnl"/>
        </w:rPr>
        <w:tab/>
      </w:r>
      <w:bookmarkEnd w:id="15"/>
      <w:bookmarkEnd w:id="16"/>
      <w:r w:rsidRPr="00704805">
        <w:rPr>
          <w:u w:val="single"/>
          <w:lang w:val="es-ES_tradnl"/>
        </w:rPr>
        <w:t>Ejemplo del método de la varianza relativa</w:t>
      </w:r>
    </w:p>
    <w:p w:rsidR="00487108" w:rsidRPr="0096078C" w:rsidRDefault="00487108" w:rsidP="00D335A4">
      <w:pPr>
        <w:rPr>
          <w:b/>
          <w:u w:val="single"/>
          <w:lang w:val="es-ES_tradnl"/>
        </w:rPr>
      </w:pPr>
    </w:p>
    <w:p w:rsidR="00487108" w:rsidRPr="0096078C" w:rsidRDefault="00487108" w:rsidP="00D335A4">
      <w:pPr>
        <w:rPr>
          <w:i/>
          <w:lang w:val="es-ES_tradnl"/>
        </w:rPr>
      </w:pPr>
      <w:r w:rsidRPr="00704805">
        <w:rPr>
          <w:i/>
          <w:lang w:val="es-ES_tradnl"/>
        </w:rPr>
        <w:t>Ejemplo</w:t>
      </w:r>
      <w:r w:rsidRPr="0096078C">
        <w:rPr>
          <w:i/>
          <w:lang w:val="es-ES_tradnl"/>
        </w:rPr>
        <w:t xml:space="preserve"> </w:t>
      </w:r>
    </w:p>
    <w:p w:rsidR="00487108" w:rsidRPr="0096078C" w:rsidRDefault="00487108" w:rsidP="00D335A4">
      <w:pPr>
        <w:rPr>
          <w:lang w:val="es-ES_tradnl"/>
        </w:rPr>
      </w:pPr>
    </w:p>
    <w:p w:rsidR="00487108" w:rsidRPr="0096078C" w:rsidRDefault="00487108" w:rsidP="000F6AF2">
      <w:pPr>
        <w:tabs>
          <w:tab w:val="left" w:pos="851"/>
        </w:tabs>
        <w:rPr>
          <w:lang w:val="es-ES_tradnl"/>
        </w:rPr>
      </w:pPr>
      <w:r w:rsidRPr="0096078C">
        <w:rPr>
          <w:lang w:val="es-ES_tradnl"/>
        </w:rPr>
        <w:t>10.4.1</w:t>
      </w:r>
      <w:r w:rsidRPr="0096078C">
        <w:rPr>
          <w:lang w:val="es-ES_tradnl"/>
        </w:rPr>
        <w:tab/>
      </w:r>
      <w:r w:rsidRPr="00704805">
        <w:rPr>
          <w:lang w:val="es-ES_tradnl"/>
        </w:rPr>
        <w:t>En un ensayo DHE se cultivó una variedad candidata alógama juntamente con un cierto número de variedades que representan el nivel requerido de uniformidad para todos los caracteres pertinentes.</w:t>
      </w:r>
      <w:r w:rsidRPr="0096078C">
        <w:rPr>
          <w:lang w:val="es-ES_tradnl"/>
        </w:rPr>
        <w:t xml:space="preserve">  </w:t>
      </w:r>
      <w:r w:rsidRPr="00704805">
        <w:rPr>
          <w:lang w:val="es-ES_tradnl"/>
        </w:rPr>
        <w:t>A fin de ilustrar el cálculo de la varianza relativa, se presenta un ejemplo con 4 variedades comparables.</w:t>
      </w:r>
      <w:r w:rsidRPr="0096078C">
        <w:rPr>
          <w:lang w:val="es-ES_tradnl"/>
        </w:rPr>
        <w:t xml:space="preserve">  </w:t>
      </w:r>
      <w:r w:rsidRPr="00704805">
        <w:rPr>
          <w:lang w:val="es-ES_tradnl"/>
        </w:rPr>
        <w:t>El cuadro 2 muestra los datos de varianza de las mediciones de altura de las plantas para las cinco variedades.</w:t>
      </w:r>
      <w:r w:rsidRPr="0096078C">
        <w:rPr>
          <w:lang w:val="es-ES_tradnl"/>
        </w:rPr>
        <w:t xml:space="preserve">  </w:t>
      </w:r>
      <w:r w:rsidRPr="00704805">
        <w:rPr>
          <w:lang w:val="es-ES_tradnl"/>
        </w:rPr>
        <w:t>Se midieron 60 plantas de cada variedad para medir la altura de las plantas.</w:t>
      </w:r>
    </w:p>
    <w:p w:rsidR="00487108" w:rsidRPr="0096078C" w:rsidRDefault="00487108" w:rsidP="00D335A4">
      <w:pPr>
        <w:rPr>
          <w:lang w:val="es-ES_tradnl"/>
        </w:rPr>
      </w:pPr>
    </w:p>
    <w:p w:rsidR="00487108" w:rsidRPr="0096078C" w:rsidRDefault="00487108" w:rsidP="00D335A4">
      <w:pPr>
        <w:rPr>
          <w:i/>
          <w:iCs/>
          <w:lang w:val="es-ES_tradnl"/>
        </w:rPr>
      </w:pPr>
      <w:r w:rsidRPr="0096078C">
        <w:rPr>
          <w:i/>
          <w:iCs/>
          <w:lang w:val="es-ES_tradnl"/>
        </w:rPr>
        <w:tab/>
      </w:r>
      <w:r w:rsidRPr="00704805">
        <w:rPr>
          <w:i/>
          <w:iCs/>
          <w:lang w:val="es-ES_tradnl"/>
        </w:rPr>
        <w:t>Cuadro 2:</w:t>
      </w:r>
      <w:r w:rsidRPr="0096078C">
        <w:rPr>
          <w:i/>
          <w:iCs/>
          <w:lang w:val="es-ES_tradnl"/>
        </w:rPr>
        <w:t xml:space="preserve">  </w:t>
      </w:r>
      <w:r w:rsidRPr="00704805">
        <w:rPr>
          <w:i/>
          <w:iCs/>
          <w:lang w:val="es-ES_tradnl"/>
        </w:rPr>
        <w:t>Varianzas de los datos de altura de las plantas de la variedad candidata y de las variedades comparables</w:t>
      </w:r>
    </w:p>
    <w:tbl>
      <w:tblPr>
        <w:tblW w:w="0" w:type="auto"/>
        <w:tblInd w:w="250" w:type="dxa"/>
        <w:tblLook w:val="01E0" w:firstRow="1" w:lastRow="1" w:firstColumn="1" w:lastColumn="1" w:noHBand="0" w:noVBand="0"/>
      </w:tblPr>
      <w:tblGrid>
        <w:gridCol w:w="1418"/>
        <w:gridCol w:w="1842"/>
        <w:gridCol w:w="1843"/>
        <w:gridCol w:w="1843"/>
        <w:gridCol w:w="1843"/>
      </w:tblGrid>
      <w:tr w:rsidR="00487108" w:rsidRPr="00E315FE" w:rsidTr="00C622EB">
        <w:tc>
          <w:tcPr>
            <w:tcW w:w="1418" w:type="dxa"/>
          </w:tcPr>
          <w:p w:rsidR="00487108" w:rsidRPr="00E315FE" w:rsidRDefault="00487108" w:rsidP="00C622EB">
            <w:pPr>
              <w:jc w:val="center"/>
            </w:pPr>
            <w:r w:rsidRPr="00704805">
              <w:rPr>
                <w:lang w:val="es-ES_tradnl"/>
              </w:rPr>
              <w:t>Candidata</w:t>
            </w:r>
          </w:p>
        </w:tc>
        <w:tc>
          <w:tcPr>
            <w:tcW w:w="1842" w:type="dxa"/>
          </w:tcPr>
          <w:p w:rsidR="00487108" w:rsidRPr="00E315FE" w:rsidRDefault="00487108" w:rsidP="00C622EB">
            <w:pPr>
              <w:jc w:val="center"/>
            </w:pPr>
            <w:r w:rsidRPr="00704805">
              <w:rPr>
                <w:lang w:val="es-ES_tradnl"/>
              </w:rPr>
              <w:t xml:space="preserve">Variedad </w:t>
            </w:r>
            <w:r w:rsidRPr="00704805">
              <w:rPr>
                <w:i/>
                <w:lang w:val="es-ES_tradnl"/>
              </w:rPr>
              <w:t>comparable</w:t>
            </w:r>
            <w:r w:rsidRPr="00704805">
              <w:rPr>
                <w:lang w:val="es-ES_tradnl"/>
              </w:rPr>
              <w:t> 1</w:t>
            </w:r>
          </w:p>
        </w:tc>
        <w:tc>
          <w:tcPr>
            <w:tcW w:w="1843" w:type="dxa"/>
          </w:tcPr>
          <w:p w:rsidR="00487108" w:rsidRPr="00E315FE" w:rsidRDefault="00487108" w:rsidP="00C622EB">
            <w:pPr>
              <w:jc w:val="center"/>
            </w:pPr>
            <w:r w:rsidRPr="00704805">
              <w:rPr>
                <w:lang w:val="es-ES_tradnl"/>
              </w:rPr>
              <w:t xml:space="preserve">Variedad </w:t>
            </w:r>
            <w:r w:rsidRPr="00704805">
              <w:rPr>
                <w:i/>
                <w:lang w:val="es-ES_tradnl"/>
              </w:rPr>
              <w:t>comparable</w:t>
            </w:r>
            <w:r w:rsidRPr="00704805">
              <w:rPr>
                <w:lang w:val="es-ES_tradnl"/>
              </w:rPr>
              <w:t> 2</w:t>
            </w:r>
          </w:p>
        </w:tc>
        <w:tc>
          <w:tcPr>
            <w:tcW w:w="1843" w:type="dxa"/>
          </w:tcPr>
          <w:p w:rsidR="00487108" w:rsidRPr="00E315FE" w:rsidRDefault="00487108" w:rsidP="00C622EB">
            <w:pPr>
              <w:jc w:val="center"/>
            </w:pPr>
            <w:r w:rsidRPr="00704805">
              <w:rPr>
                <w:lang w:val="es-ES_tradnl"/>
              </w:rPr>
              <w:t xml:space="preserve">Variedad </w:t>
            </w:r>
            <w:r w:rsidRPr="00704805">
              <w:rPr>
                <w:i/>
                <w:lang w:val="es-ES_tradnl"/>
              </w:rPr>
              <w:t>comparable</w:t>
            </w:r>
            <w:r w:rsidRPr="00704805">
              <w:rPr>
                <w:lang w:val="es-ES_tradnl"/>
              </w:rPr>
              <w:t> 3</w:t>
            </w:r>
          </w:p>
        </w:tc>
        <w:tc>
          <w:tcPr>
            <w:tcW w:w="1843" w:type="dxa"/>
          </w:tcPr>
          <w:p w:rsidR="00487108" w:rsidRPr="00E315FE" w:rsidRDefault="00487108" w:rsidP="00C622EB">
            <w:pPr>
              <w:jc w:val="center"/>
            </w:pPr>
            <w:r w:rsidRPr="00704805">
              <w:rPr>
                <w:lang w:val="es-ES_tradnl"/>
              </w:rPr>
              <w:t xml:space="preserve">Variedad </w:t>
            </w:r>
            <w:r w:rsidRPr="00704805">
              <w:rPr>
                <w:i/>
                <w:lang w:val="es-ES_tradnl"/>
              </w:rPr>
              <w:t>comparable</w:t>
            </w:r>
            <w:r w:rsidRPr="00704805">
              <w:rPr>
                <w:lang w:val="es-ES_tradnl"/>
              </w:rPr>
              <w:t> 4</w:t>
            </w:r>
          </w:p>
        </w:tc>
      </w:tr>
      <w:tr w:rsidR="00487108" w:rsidRPr="00E315FE" w:rsidTr="00C622EB">
        <w:tc>
          <w:tcPr>
            <w:tcW w:w="1418" w:type="dxa"/>
          </w:tcPr>
          <w:p w:rsidR="00487108" w:rsidRPr="00E315FE" w:rsidRDefault="00487108" w:rsidP="00C622EB">
            <w:pPr>
              <w:jc w:val="center"/>
            </w:pPr>
            <w:r w:rsidRPr="00E315FE">
              <w:t>5</w:t>
            </w:r>
            <w:r>
              <w:t>,</w:t>
            </w:r>
            <w:r w:rsidRPr="00E315FE">
              <w:t>6</w:t>
            </w:r>
          </w:p>
        </w:tc>
        <w:tc>
          <w:tcPr>
            <w:tcW w:w="1842" w:type="dxa"/>
          </w:tcPr>
          <w:p w:rsidR="00487108" w:rsidRPr="00E315FE" w:rsidRDefault="00487108" w:rsidP="00C622EB">
            <w:pPr>
              <w:jc w:val="center"/>
            </w:pPr>
            <w:r w:rsidRPr="00E315FE">
              <w:t>7</w:t>
            </w:r>
            <w:r>
              <w:t>,</w:t>
            </w:r>
            <w:r w:rsidRPr="00E315FE">
              <w:t>8</w:t>
            </w:r>
          </w:p>
        </w:tc>
        <w:tc>
          <w:tcPr>
            <w:tcW w:w="1843" w:type="dxa"/>
          </w:tcPr>
          <w:p w:rsidR="00487108" w:rsidRPr="00E315FE" w:rsidRDefault="00487108" w:rsidP="00C622EB">
            <w:pPr>
              <w:jc w:val="center"/>
            </w:pPr>
            <w:r w:rsidRPr="00E315FE">
              <w:t>4</w:t>
            </w:r>
            <w:r>
              <w:t>,</w:t>
            </w:r>
            <w:r w:rsidRPr="00E315FE">
              <w:t>5</w:t>
            </w:r>
          </w:p>
        </w:tc>
        <w:tc>
          <w:tcPr>
            <w:tcW w:w="1843" w:type="dxa"/>
          </w:tcPr>
          <w:p w:rsidR="00487108" w:rsidRPr="00E315FE" w:rsidRDefault="00487108" w:rsidP="00C622EB">
            <w:pPr>
              <w:jc w:val="center"/>
            </w:pPr>
            <w:r w:rsidRPr="00E315FE">
              <w:t>3</w:t>
            </w:r>
            <w:r>
              <w:t>,</w:t>
            </w:r>
            <w:r w:rsidRPr="00E315FE">
              <w:t>2</w:t>
            </w:r>
          </w:p>
        </w:tc>
        <w:tc>
          <w:tcPr>
            <w:tcW w:w="1843" w:type="dxa"/>
          </w:tcPr>
          <w:p w:rsidR="00487108" w:rsidRPr="00E315FE" w:rsidRDefault="00487108" w:rsidP="00C622EB">
            <w:pPr>
              <w:jc w:val="center"/>
            </w:pPr>
            <w:r w:rsidRPr="00E315FE">
              <w:t>5</w:t>
            </w:r>
            <w:r>
              <w:t>,</w:t>
            </w:r>
            <w:r w:rsidRPr="00E315FE">
              <w:t>8</w:t>
            </w:r>
          </w:p>
        </w:tc>
      </w:tr>
    </w:tbl>
    <w:p w:rsidR="00487108" w:rsidRPr="00E315FE" w:rsidRDefault="00487108" w:rsidP="00D335A4"/>
    <w:p w:rsidR="00487108" w:rsidRPr="0096078C" w:rsidRDefault="00487108" w:rsidP="000F6AF2">
      <w:pPr>
        <w:tabs>
          <w:tab w:val="left" w:pos="851"/>
        </w:tabs>
        <w:rPr>
          <w:lang w:val="es-ES_tradnl"/>
        </w:rPr>
      </w:pPr>
      <w:r w:rsidRPr="0096078C">
        <w:rPr>
          <w:lang w:val="es-ES_tradnl"/>
        </w:rPr>
        <w:t>10.4.2</w:t>
      </w:r>
      <w:r w:rsidRPr="0096078C">
        <w:rPr>
          <w:lang w:val="es-ES_tradnl"/>
        </w:rPr>
        <w:tab/>
      </w:r>
      <w:r w:rsidRPr="00704805">
        <w:rPr>
          <w:lang w:val="es-ES_tradnl"/>
        </w:rPr>
        <w:t>El número de observaciones por variedad es el mismo (n = 60),</w:t>
      </w:r>
      <w:r w:rsidRPr="0096078C">
        <w:rPr>
          <w:lang w:val="es-ES_tradnl"/>
        </w:rPr>
        <w:t xml:space="preserve"> </w:t>
      </w:r>
      <w:r w:rsidRPr="00704805">
        <w:rPr>
          <w:lang w:val="es-ES_tradnl"/>
        </w:rPr>
        <w:t xml:space="preserve">de modo que podemos tomar la varianza media de las variedades </w:t>
      </w:r>
      <w:r w:rsidRPr="00704805">
        <w:rPr>
          <w:i/>
          <w:lang w:val="es-ES_tradnl"/>
        </w:rPr>
        <w:t>comparables</w:t>
      </w:r>
      <w:r w:rsidRPr="00704805">
        <w:rPr>
          <w:lang w:val="es-ES_tradnl"/>
        </w:rPr>
        <w:t xml:space="preserve"> como su varianza combinada.</w:t>
      </w:r>
      <w:r w:rsidRPr="0096078C">
        <w:rPr>
          <w:lang w:val="es-ES_tradnl"/>
        </w:rPr>
        <w:t xml:space="preserve"> </w:t>
      </w:r>
    </w:p>
    <w:p w:rsidR="00487108" w:rsidRPr="0096078C" w:rsidRDefault="00487108" w:rsidP="00D335A4">
      <w:pPr>
        <w:rPr>
          <w:lang w:val="es-ES_tradnl"/>
        </w:rPr>
      </w:pPr>
    </w:p>
    <w:p w:rsidR="00487108" w:rsidRPr="0096078C" w:rsidRDefault="00487108" w:rsidP="000F6AF2">
      <w:pPr>
        <w:tabs>
          <w:tab w:val="left" w:pos="851"/>
        </w:tabs>
        <w:rPr>
          <w:lang w:val="es-ES_tradnl"/>
        </w:rPr>
      </w:pPr>
      <w:r w:rsidRPr="0096078C">
        <w:rPr>
          <w:lang w:val="es-ES_tradnl"/>
        </w:rPr>
        <w:t>10.4.3</w:t>
      </w:r>
      <w:r w:rsidRPr="0096078C">
        <w:rPr>
          <w:lang w:val="es-ES_tradnl"/>
        </w:rPr>
        <w:tab/>
      </w:r>
      <w:r w:rsidRPr="00704805">
        <w:rPr>
          <w:lang w:val="es-ES_tradnl"/>
        </w:rPr>
        <w:t xml:space="preserve">La varianza media de las variedades </w:t>
      </w:r>
      <w:r w:rsidRPr="00704805">
        <w:rPr>
          <w:i/>
          <w:lang w:val="es-ES_tradnl"/>
        </w:rPr>
        <w:t>comparables</w:t>
      </w:r>
      <w:r w:rsidRPr="00704805">
        <w:rPr>
          <w:lang w:val="es-ES_tradnl"/>
        </w:rPr>
        <w:t xml:space="preserve"> es:</w:t>
      </w:r>
      <w:r w:rsidRPr="0096078C">
        <w:rPr>
          <w:lang w:val="es-ES_tradnl"/>
        </w:rPr>
        <w:t xml:space="preserve">   (7,8 + 4,5 + 3,2 + 5,8)/4 = 5,32</w:t>
      </w:r>
    </w:p>
    <w:p w:rsidR="00487108" w:rsidRPr="0096078C" w:rsidRDefault="00487108" w:rsidP="00D335A4">
      <w:pPr>
        <w:rPr>
          <w:lang w:val="es-ES_tradnl"/>
        </w:rPr>
      </w:pPr>
    </w:p>
    <w:p w:rsidR="00487108" w:rsidRPr="0096078C" w:rsidRDefault="00487108" w:rsidP="000F6AF2">
      <w:pPr>
        <w:tabs>
          <w:tab w:val="left" w:pos="851"/>
        </w:tabs>
        <w:rPr>
          <w:lang w:val="es-ES_tradnl"/>
        </w:rPr>
      </w:pPr>
      <w:r w:rsidRPr="0096078C">
        <w:rPr>
          <w:lang w:val="es-ES_tradnl"/>
        </w:rPr>
        <w:t>10.4.4</w:t>
      </w:r>
      <w:r w:rsidRPr="0096078C">
        <w:rPr>
          <w:lang w:val="es-ES_tradnl"/>
        </w:rPr>
        <w:tab/>
      </w:r>
      <w:r w:rsidRPr="00704805">
        <w:rPr>
          <w:lang w:val="es-ES_tradnl"/>
        </w:rPr>
        <w:t xml:space="preserve">La varianza relativa para un carácter determinado es la varianza de la variedad candidata dividida entre el promedio de las varianzas de las variedades </w:t>
      </w:r>
      <w:r w:rsidRPr="00704805">
        <w:rPr>
          <w:i/>
          <w:lang w:val="es-ES_tradnl"/>
        </w:rPr>
        <w:t>comparables</w:t>
      </w:r>
      <w:r w:rsidRPr="00704805">
        <w:rPr>
          <w:lang w:val="es-ES_tradnl"/>
        </w:rPr>
        <w:t>.</w:t>
      </w:r>
      <w:r w:rsidRPr="0096078C">
        <w:rPr>
          <w:lang w:val="es-ES_tradnl"/>
        </w:rPr>
        <w:t xml:space="preserve"> </w:t>
      </w:r>
    </w:p>
    <w:p w:rsidR="00487108" w:rsidRPr="0096078C" w:rsidRDefault="00487108" w:rsidP="00D335A4">
      <w:pPr>
        <w:rPr>
          <w:lang w:val="es-ES_tradnl"/>
        </w:rPr>
      </w:pPr>
    </w:p>
    <w:p w:rsidR="00487108" w:rsidRPr="0096078C" w:rsidRDefault="00487108" w:rsidP="00D335A4">
      <w:pPr>
        <w:rPr>
          <w:lang w:val="es-ES_tradnl"/>
        </w:rPr>
      </w:pPr>
      <w:r w:rsidRPr="00704805">
        <w:rPr>
          <w:lang w:val="es-ES_tradnl"/>
        </w:rPr>
        <w:t xml:space="preserve">Varianza relativa = varianza de la variedad candidata/varianza media de las variedades </w:t>
      </w:r>
      <w:r w:rsidRPr="00704805">
        <w:rPr>
          <w:i/>
          <w:lang w:val="es-ES_tradnl"/>
        </w:rPr>
        <w:t>comparables</w:t>
      </w:r>
    </w:p>
    <w:p w:rsidR="00487108" w:rsidRPr="0096078C" w:rsidRDefault="00487108" w:rsidP="00D335A4">
      <w:pPr>
        <w:rPr>
          <w:lang w:val="es-ES_tradnl"/>
        </w:rPr>
      </w:pPr>
    </w:p>
    <w:p w:rsidR="00487108" w:rsidRPr="0096078C" w:rsidRDefault="00487108" w:rsidP="00D335A4">
      <w:pPr>
        <w:rPr>
          <w:lang w:val="es-ES_tradnl"/>
        </w:rPr>
      </w:pPr>
      <w:r w:rsidRPr="0096078C">
        <w:rPr>
          <w:lang w:val="es-ES_tradnl"/>
        </w:rPr>
        <w:tab/>
      </w:r>
      <w:r w:rsidRPr="0096078C">
        <w:rPr>
          <w:lang w:val="es-ES_tradnl"/>
        </w:rPr>
        <w:tab/>
        <w:t xml:space="preserve">       = 5,6/5,32 = 1,05</w:t>
      </w:r>
    </w:p>
    <w:p w:rsidR="00487108" w:rsidRPr="0096078C" w:rsidRDefault="00487108" w:rsidP="00D335A4">
      <w:pPr>
        <w:rPr>
          <w:lang w:val="es-ES_tradnl"/>
        </w:rPr>
      </w:pPr>
    </w:p>
    <w:p w:rsidR="00487108" w:rsidRPr="0096078C" w:rsidRDefault="000F6AF2" w:rsidP="000F6AF2">
      <w:pPr>
        <w:tabs>
          <w:tab w:val="left" w:pos="851"/>
        </w:tabs>
        <w:rPr>
          <w:lang w:val="es-ES_tradnl"/>
        </w:rPr>
      </w:pPr>
      <w:r>
        <w:rPr>
          <w:lang w:val="es-ES_tradnl"/>
        </w:rPr>
        <w:t>10.4.5</w:t>
      </w:r>
      <w:r>
        <w:rPr>
          <w:lang w:val="es-ES_tradnl"/>
        </w:rPr>
        <w:tab/>
      </w:r>
      <w:r w:rsidR="00487108" w:rsidRPr="0082237D">
        <w:rPr>
          <w:lang w:val="es-ES_tradnl"/>
        </w:rPr>
        <w:t>Ahora, en el cuadro 1, el umbral correspondiente a un tamaño de muestra de 60 es </w:t>
      </w:r>
      <w:r w:rsidR="00487108" w:rsidRPr="0082237D">
        <w:rPr>
          <w:highlight w:val="lightGray"/>
          <w:u w:val="single"/>
          <w:lang w:val="es-ES_tradnl"/>
        </w:rPr>
        <w:t>1,47</w:t>
      </w:r>
      <w:r w:rsidR="00487108" w:rsidRPr="0082237D">
        <w:rPr>
          <w:lang w:val="es-ES_tradnl"/>
        </w:rPr>
        <w:t>,</w:t>
      </w:r>
      <w:r w:rsidR="00487108" w:rsidRPr="0096078C">
        <w:rPr>
          <w:lang w:val="es-ES_tradnl"/>
        </w:rPr>
        <w:t xml:space="preserve"> </w:t>
      </w:r>
      <w:r w:rsidR="00487108" w:rsidRPr="00704805">
        <w:rPr>
          <w:lang w:val="es-ES_tradnl"/>
        </w:rPr>
        <w:t>de modo que podemos concluir que la variedad candidata es suficientemente homogénea en lo que respecta a ese carácter.</w:t>
      </w:r>
    </w:p>
    <w:p w:rsidR="00487108" w:rsidRPr="0096078C" w:rsidRDefault="00487108" w:rsidP="00D335A4">
      <w:pPr>
        <w:rPr>
          <w:lang w:val="es-ES_tradnl"/>
        </w:rPr>
      </w:pPr>
    </w:p>
    <w:p w:rsidR="00487108" w:rsidRPr="0096078C" w:rsidRDefault="00487108" w:rsidP="00D335A4">
      <w:pPr>
        <w:rPr>
          <w:strike/>
          <w:highlight w:val="yellow"/>
          <w:lang w:val="es-ES_tradnl"/>
        </w:rPr>
      </w:pPr>
    </w:p>
    <w:p w:rsidR="00487108" w:rsidRPr="0096078C" w:rsidRDefault="00487108" w:rsidP="00D335A4">
      <w:pPr>
        <w:rPr>
          <w:u w:val="single"/>
          <w:lang w:val="es-ES_tradnl"/>
        </w:rPr>
      </w:pPr>
      <w:bookmarkStart w:id="17" w:name="_Toc219640865"/>
      <w:bookmarkStart w:id="18" w:name="_Toc270063984"/>
      <w:r w:rsidRPr="0096078C">
        <w:rPr>
          <w:u w:val="single"/>
          <w:lang w:val="es-ES_tradnl"/>
        </w:rPr>
        <w:t>10.5</w:t>
      </w:r>
      <w:r w:rsidRPr="0096078C">
        <w:rPr>
          <w:u w:val="single"/>
          <w:lang w:val="es-ES_tradnl"/>
        </w:rPr>
        <w:tab/>
      </w:r>
      <w:bookmarkEnd w:id="17"/>
      <w:bookmarkEnd w:id="18"/>
      <w:r w:rsidRPr="00704805">
        <w:rPr>
          <w:u w:val="single"/>
          <w:lang w:val="es-ES_tradnl"/>
        </w:rPr>
        <w:t>Relación entre la varianza relativa y el desvío estándar relativo</w:t>
      </w:r>
      <w:r w:rsidRPr="0096078C">
        <w:rPr>
          <w:u w:val="single"/>
          <w:lang w:val="es-ES_tradnl"/>
        </w:rPr>
        <w:t xml:space="preserve"> </w:t>
      </w:r>
    </w:p>
    <w:p w:rsidR="00487108" w:rsidRPr="0096078C" w:rsidRDefault="00487108" w:rsidP="00D335A4">
      <w:pPr>
        <w:rPr>
          <w:lang w:val="es-ES_tradnl"/>
        </w:rPr>
      </w:pPr>
    </w:p>
    <w:p w:rsidR="00487108" w:rsidRPr="0096078C" w:rsidRDefault="000F6AF2" w:rsidP="000F6AF2">
      <w:pPr>
        <w:tabs>
          <w:tab w:val="left" w:pos="851"/>
        </w:tabs>
        <w:rPr>
          <w:lang w:val="es-ES_tradnl"/>
        </w:rPr>
      </w:pPr>
      <w:r>
        <w:rPr>
          <w:lang w:val="es-ES_tradnl"/>
        </w:rPr>
        <w:t>10.5.1</w:t>
      </w:r>
      <w:r>
        <w:rPr>
          <w:lang w:val="es-ES_tradnl"/>
        </w:rPr>
        <w:tab/>
      </w:r>
      <w:r w:rsidR="00487108" w:rsidRPr="00704805">
        <w:rPr>
          <w:lang w:val="es-ES_tradnl"/>
        </w:rPr>
        <w:t>En ocasiones, en ensayos DHE, los datos de homogeneidad no se presentan en forma de varianzas, sino de desviaciones estándar.</w:t>
      </w:r>
      <w:r w:rsidR="00487108" w:rsidRPr="0096078C">
        <w:rPr>
          <w:lang w:val="es-ES_tradnl"/>
        </w:rPr>
        <w:t xml:space="preserve">  </w:t>
      </w:r>
      <w:r w:rsidR="00487108" w:rsidRPr="00704805">
        <w:rPr>
          <w:lang w:val="es-ES_tradnl"/>
        </w:rPr>
        <w:t>Hay una relación matemática sencilla entre la varianza y el desvío estándar:</w:t>
      </w:r>
    </w:p>
    <w:p w:rsidR="00487108" w:rsidRPr="0096078C" w:rsidRDefault="00487108" w:rsidP="00D335A4">
      <w:pPr>
        <w:rPr>
          <w:lang w:val="es-ES_tradnl"/>
        </w:rPr>
      </w:pPr>
    </w:p>
    <w:p w:rsidR="00487108" w:rsidRPr="0096078C" w:rsidRDefault="00487108" w:rsidP="00D335A4">
      <w:pPr>
        <w:rPr>
          <w:lang w:val="es-ES_tradnl"/>
        </w:rPr>
      </w:pPr>
      <w:r w:rsidRPr="0096078C">
        <w:rPr>
          <w:lang w:val="es-ES_tradnl"/>
        </w:rPr>
        <w:tab/>
      </w:r>
      <w:r w:rsidRPr="00704805">
        <w:rPr>
          <w:lang w:val="es-ES_tradnl"/>
        </w:rPr>
        <w:t>desvío estándar = raíz cuadrada de la varianza</w:t>
      </w:r>
    </w:p>
    <w:p w:rsidR="00487108" w:rsidRPr="0096078C" w:rsidRDefault="00487108" w:rsidP="00D335A4">
      <w:pPr>
        <w:rPr>
          <w:lang w:val="es-ES_tradnl"/>
        </w:rPr>
      </w:pPr>
    </w:p>
    <w:p w:rsidR="00487108" w:rsidRPr="0096078C" w:rsidRDefault="000F6AF2" w:rsidP="000F6AF2">
      <w:pPr>
        <w:tabs>
          <w:tab w:val="left" w:pos="851"/>
        </w:tabs>
        <w:rPr>
          <w:lang w:val="es-ES_tradnl"/>
        </w:rPr>
      </w:pPr>
      <w:r>
        <w:rPr>
          <w:lang w:val="es-ES_tradnl"/>
        </w:rPr>
        <w:t>10.5.2</w:t>
      </w:r>
      <w:r>
        <w:rPr>
          <w:lang w:val="es-ES_tradnl"/>
        </w:rPr>
        <w:tab/>
      </w:r>
      <w:r w:rsidR="00487108" w:rsidRPr="0082237D">
        <w:rPr>
          <w:lang w:val="es-ES_tradnl"/>
        </w:rPr>
        <w:t>Luego, cuando se manejan desvíos estándar relativos, el cuadro 1 debe modificarse e incluir las raíces cuadradas de los umbrales, que se muestran en el cuadro 4.</w:t>
      </w:r>
    </w:p>
    <w:p w:rsidR="00487108" w:rsidRPr="0096078C" w:rsidRDefault="00487108" w:rsidP="00D335A4">
      <w:pPr>
        <w:rPr>
          <w:i/>
          <w:iCs/>
          <w:lang w:val="es-ES_tradnl"/>
        </w:rPr>
      </w:pPr>
    </w:p>
    <w:p w:rsidR="00487108" w:rsidRPr="0096078C" w:rsidRDefault="00487108" w:rsidP="00704805">
      <w:pPr>
        <w:keepNext/>
        <w:rPr>
          <w:i/>
          <w:iCs/>
          <w:lang w:val="es-ES_tradnl"/>
        </w:rPr>
      </w:pPr>
      <w:r w:rsidRPr="00704805">
        <w:rPr>
          <w:i/>
          <w:iCs/>
          <w:lang w:val="es-ES_tradnl"/>
        </w:rPr>
        <w:t>Cuadro 4:</w:t>
      </w:r>
      <w:r w:rsidRPr="0096078C">
        <w:rPr>
          <w:i/>
          <w:iCs/>
          <w:lang w:val="es-ES_tradnl"/>
        </w:rPr>
        <w:t xml:space="preserve">  </w:t>
      </w:r>
      <w:r w:rsidRPr="0082237D">
        <w:rPr>
          <w:i/>
          <w:iCs/>
          <w:lang w:val="es-ES_tradnl"/>
        </w:rPr>
        <w:t>Umbrales de las desviaciones estándar relativas para algunos diferentes tamaños de muestra</w:t>
      </w:r>
      <w:r w:rsidRPr="0096078C">
        <w:rPr>
          <w:i/>
          <w:iCs/>
          <w:lang w:val="es-ES_tradnl"/>
        </w:rPr>
        <w:t xml:space="preserve"> </w:t>
      </w:r>
    </w:p>
    <w:tbl>
      <w:tblPr>
        <w:tblW w:w="0" w:type="auto"/>
        <w:tblInd w:w="2088" w:type="dxa"/>
        <w:tblLook w:val="01E0" w:firstRow="1" w:lastRow="1" w:firstColumn="1" w:lastColumn="1" w:noHBand="0" w:noVBand="0"/>
      </w:tblPr>
      <w:tblGrid>
        <w:gridCol w:w="2173"/>
        <w:gridCol w:w="2226"/>
      </w:tblGrid>
      <w:tr w:rsidR="00487108" w:rsidRPr="00665FE2" w:rsidTr="002E3544">
        <w:tc>
          <w:tcPr>
            <w:tcW w:w="2173" w:type="dxa"/>
          </w:tcPr>
          <w:p w:rsidR="00487108" w:rsidRPr="0096078C" w:rsidRDefault="00487108" w:rsidP="00704805">
            <w:pPr>
              <w:keepNext/>
              <w:jc w:val="center"/>
              <w:rPr>
                <w:b/>
                <w:lang w:val="es-ES_tradnl"/>
              </w:rPr>
            </w:pPr>
            <w:r w:rsidRPr="00704805">
              <w:rPr>
                <w:b/>
                <w:lang w:val="es-ES_tradnl"/>
              </w:rPr>
              <w:t>Tamaño de muestra de la variedad candidata</w:t>
            </w:r>
          </w:p>
        </w:tc>
        <w:tc>
          <w:tcPr>
            <w:tcW w:w="2226" w:type="dxa"/>
          </w:tcPr>
          <w:p w:rsidR="00487108" w:rsidRPr="0096078C" w:rsidRDefault="00487108" w:rsidP="00704805">
            <w:pPr>
              <w:keepNext/>
              <w:jc w:val="center"/>
              <w:rPr>
                <w:b/>
                <w:lang w:val="es-ES_tradnl"/>
              </w:rPr>
            </w:pPr>
            <w:r w:rsidRPr="0082237D">
              <w:rPr>
                <w:b/>
                <w:lang w:val="es-ES_tradnl"/>
              </w:rPr>
              <w:t>Umbrales de las desviaciones estándar relativas</w:t>
            </w:r>
          </w:p>
        </w:tc>
      </w:tr>
      <w:tr w:rsidR="00487108" w:rsidRPr="00E315FE" w:rsidTr="002E3544">
        <w:tc>
          <w:tcPr>
            <w:tcW w:w="2173" w:type="dxa"/>
          </w:tcPr>
          <w:p w:rsidR="00487108" w:rsidRPr="00E315FE" w:rsidRDefault="00487108" w:rsidP="00704805">
            <w:pPr>
              <w:keepNext/>
              <w:jc w:val="center"/>
            </w:pPr>
            <w:r w:rsidRPr="00E315FE">
              <w:t>30</w:t>
            </w:r>
          </w:p>
        </w:tc>
        <w:tc>
          <w:tcPr>
            <w:tcW w:w="2226" w:type="dxa"/>
          </w:tcPr>
          <w:p w:rsidR="00487108" w:rsidRPr="00B41D76" w:rsidRDefault="00487108" w:rsidP="00704805">
            <w:pPr>
              <w:keepNext/>
              <w:jc w:val="center"/>
              <w:rPr>
                <w:color w:val="000000"/>
                <w:highlight w:val="lightGray"/>
                <w:u w:val="single"/>
              </w:rPr>
            </w:pPr>
            <w:r w:rsidRPr="00B41D76">
              <w:rPr>
                <w:color w:val="000000"/>
                <w:highlight w:val="lightGray"/>
                <w:u w:val="single"/>
              </w:rPr>
              <w:t>1</w:t>
            </w:r>
            <w:r>
              <w:rPr>
                <w:color w:val="000000"/>
                <w:highlight w:val="lightGray"/>
                <w:u w:val="single"/>
              </w:rPr>
              <w:t>,</w:t>
            </w:r>
            <w:r w:rsidRPr="00B41D76">
              <w:rPr>
                <w:color w:val="000000"/>
                <w:highlight w:val="lightGray"/>
                <w:u w:val="single"/>
              </w:rPr>
              <w:t>30</w:t>
            </w:r>
          </w:p>
        </w:tc>
      </w:tr>
      <w:tr w:rsidR="00487108" w:rsidRPr="00E315FE" w:rsidTr="002E3544">
        <w:tc>
          <w:tcPr>
            <w:tcW w:w="2173" w:type="dxa"/>
          </w:tcPr>
          <w:p w:rsidR="00487108" w:rsidRPr="00E315FE" w:rsidRDefault="00487108" w:rsidP="00704805">
            <w:pPr>
              <w:keepNext/>
              <w:jc w:val="center"/>
            </w:pPr>
            <w:r w:rsidRPr="00E315FE">
              <w:t>40</w:t>
            </w:r>
          </w:p>
        </w:tc>
        <w:tc>
          <w:tcPr>
            <w:tcW w:w="2226" w:type="dxa"/>
          </w:tcPr>
          <w:p w:rsidR="00487108" w:rsidRPr="00B41D76" w:rsidRDefault="00487108" w:rsidP="00704805">
            <w:pPr>
              <w:keepNext/>
              <w:jc w:val="center"/>
              <w:rPr>
                <w:color w:val="000000"/>
                <w:highlight w:val="lightGray"/>
                <w:u w:val="single"/>
              </w:rPr>
            </w:pPr>
            <w:r w:rsidRPr="00B41D76">
              <w:rPr>
                <w:color w:val="000000"/>
                <w:highlight w:val="lightGray"/>
                <w:u w:val="single"/>
              </w:rPr>
              <w:t>1</w:t>
            </w:r>
            <w:r>
              <w:rPr>
                <w:color w:val="000000"/>
                <w:highlight w:val="lightGray"/>
                <w:u w:val="single"/>
              </w:rPr>
              <w:t>,</w:t>
            </w:r>
            <w:r w:rsidRPr="00B41D76">
              <w:rPr>
                <w:color w:val="000000"/>
                <w:highlight w:val="lightGray"/>
                <w:u w:val="single"/>
              </w:rPr>
              <w:t>26</w:t>
            </w:r>
          </w:p>
        </w:tc>
      </w:tr>
      <w:tr w:rsidR="00487108" w:rsidRPr="00E315FE" w:rsidTr="002E3544">
        <w:tc>
          <w:tcPr>
            <w:tcW w:w="2173" w:type="dxa"/>
          </w:tcPr>
          <w:p w:rsidR="00487108" w:rsidRPr="00E315FE" w:rsidRDefault="00487108" w:rsidP="00704805">
            <w:pPr>
              <w:keepNext/>
              <w:jc w:val="center"/>
            </w:pPr>
            <w:r w:rsidRPr="00E315FE">
              <w:t>50</w:t>
            </w:r>
          </w:p>
        </w:tc>
        <w:tc>
          <w:tcPr>
            <w:tcW w:w="2226" w:type="dxa"/>
          </w:tcPr>
          <w:p w:rsidR="00487108" w:rsidRPr="00B41D76" w:rsidRDefault="00487108" w:rsidP="00704805">
            <w:pPr>
              <w:keepNext/>
              <w:jc w:val="center"/>
              <w:rPr>
                <w:color w:val="000000"/>
                <w:highlight w:val="lightGray"/>
                <w:u w:val="single"/>
              </w:rPr>
            </w:pPr>
            <w:r w:rsidRPr="00B41D76">
              <w:rPr>
                <w:color w:val="000000"/>
                <w:highlight w:val="lightGray"/>
                <w:u w:val="single"/>
              </w:rPr>
              <w:t>1</w:t>
            </w:r>
            <w:r>
              <w:rPr>
                <w:color w:val="000000"/>
                <w:highlight w:val="lightGray"/>
                <w:u w:val="single"/>
              </w:rPr>
              <w:t>,</w:t>
            </w:r>
            <w:r w:rsidRPr="00B41D76">
              <w:rPr>
                <w:color w:val="000000"/>
                <w:highlight w:val="lightGray"/>
                <w:u w:val="single"/>
              </w:rPr>
              <w:t>24</w:t>
            </w:r>
          </w:p>
        </w:tc>
      </w:tr>
      <w:tr w:rsidR="00487108" w:rsidRPr="00E315FE" w:rsidTr="002E3544">
        <w:tc>
          <w:tcPr>
            <w:tcW w:w="2173" w:type="dxa"/>
          </w:tcPr>
          <w:p w:rsidR="00487108" w:rsidRPr="00E315FE" w:rsidRDefault="00487108" w:rsidP="00704805">
            <w:pPr>
              <w:keepNext/>
              <w:jc w:val="center"/>
            </w:pPr>
            <w:r w:rsidRPr="00E315FE">
              <w:t>60</w:t>
            </w:r>
          </w:p>
        </w:tc>
        <w:tc>
          <w:tcPr>
            <w:tcW w:w="2226" w:type="dxa"/>
          </w:tcPr>
          <w:p w:rsidR="00487108" w:rsidRPr="00B41D76" w:rsidRDefault="00487108" w:rsidP="00704805">
            <w:pPr>
              <w:keepNext/>
              <w:jc w:val="center"/>
              <w:rPr>
                <w:color w:val="000000"/>
                <w:highlight w:val="lightGray"/>
                <w:u w:val="single"/>
              </w:rPr>
            </w:pPr>
            <w:r w:rsidRPr="00B41D76">
              <w:rPr>
                <w:color w:val="000000"/>
                <w:highlight w:val="lightGray"/>
                <w:u w:val="single"/>
              </w:rPr>
              <w:t>1</w:t>
            </w:r>
            <w:r>
              <w:rPr>
                <w:color w:val="000000"/>
                <w:highlight w:val="lightGray"/>
                <w:u w:val="single"/>
              </w:rPr>
              <w:t>,</w:t>
            </w:r>
            <w:r w:rsidRPr="00B41D76">
              <w:rPr>
                <w:color w:val="000000"/>
                <w:highlight w:val="lightGray"/>
                <w:u w:val="single"/>
              </w:rPr>
              <w:t>21</w:t>
            </w:r>
          </w:p>
        </w:tc>
      </w:tr>
      <w:tr w:rsidR="00487108" w:rsidRPr="00E315FE" w:rsidTr="002E3544">
        <w:tc>
          <w:tcPr>
            <w:tcW w:w="2173" w:type="dxa"/>
          </w:tcPr>
          <w:p w:rsidR="00487108" w:rsidRPr="00E315FE" w:rsidRDefault="00487108" w:rsidP="00704805">
            <w:pPr>
              <w:keepNext/>
              <w:jc w:val="center"/>
            </w:pPr>
            <w:r w:rsidRPr="00E315FE">
              <w:t>80</w:t>
            </w:r>
          </w:p>
        </w:tc>
        <w:tc>
          <w:tcPr>
            <w:tcW w:w="2226" w:type="dxa"/>
          </w:tcPr>
          <w:p w:rsidR="00487108" w:rsidRPr="00B41D76" w:rsidRDefault="00487108" w:rsidP="00704805">
            <w:pPr>
              <w:keepNext/>
              <w:jc w:val="center"/>
              <w:rPr>
                <w:color w:val="000000"/>
                <w:highlight w:val="lightGray"/>
                <w:u w:val="single"/>
              </w:rPr>
            </w:pPr>
            <w:r w:rsidRPr="00B41D76">
              <w:rPr>
                <w:color w:val="000000"/>
                <w:highlight w:val="lightGray"/>
                <w:u w:val="single"/>
              </w:rPr>
              <w:t>1</w:t>
            </w:r>
            <w:r>
              <w:rPr>
                <w:color w:val="000000"/>
                <w:highlight w:val="lightGray"/>
                <w:u w:val="single"/>
              </w:rPr>
              <w:t>,</w:t>
            </w:r>
            <w:r w:rsidRPr="00B41D76">
              <w:rPr>
                <w:color w:val="000000"/>
                <w:highlight w:val="lightGray"/>
                <w:u w:val="single"/>
              </w:rPr>
              <w:t>19</w:t>
            </w:r>
          </w:p>
        </w:tc>
      </w:tr>
      <w:tr w:rsidR="00487108" w:rsidRPr="00E315FE" w:rsidTr="002E3544">
        <w:tc>
          <w:tcPr>
            <w:tcW w:w="2173" w:type="dxa"/>
          </w:tcPr>
          <w:p w:rsidR="00487108" w:rsidRPr="00E315FE" w:rsidRDefault="00487108" w:rsidP="00704805">
            <w:pPr>
              <w:keepNext/>
              <w:jc w:val="center"/>
            </w:pPr>
            <w:r w:rsidRPr="00E315FE">
              <w:t>100</w:t>
            </w:r>
          </w:p>
        </w:tc>
        <w:tc>
          <w:tcPr>
            <w:tcW w:w="2226" w:type="dxa"/>
          </w:tcPr>
          <w:p w:rsidR="00487108" w:rsidRPr="00B41D76" w:rsidRDefault="00487108" w:rsidP="00704805">
            <w:pPr>
              <w:keepNext/>
              <w:jc w:val="center"/>
              <w:rPr>
                <w:color w:val="000000"/>
                <w:highlight w:val="lightGray"/>
                <w:u w:val="single"/>
              </w:rPr>
            </w:pPr>
            <w:r w:rsidRPr="00B41D76">
              <w:rPr>
                <w:color w:val="000000"/>
                <w:highlight w:val="lightGray"/>
                <w:u w:val="single"/>
              </w:rPr>
              <w:t>1</w:t>
            </w:r>
            <w:r>
              <w:rPr>
                <w:color w:val="000000"/>
                <w:highlight w:val="lightGray"/>
                <w:u w:val="single"/>
              </w:rPr>
              <w:t>,</w:t>
            </w:r>
            <w:r w:rsidRPr="00B41D76">
              <w:rPr>
                <w:color w:val="000000"/>
                <w:highlight w:val="lightGray"/>
                <w:u w:val="single"/>
              </w:rPr>
              <w:t>17</w:t>
            </w:r>
          </w:p>
        </w:tc>
      </w:tr>
      <w:tr w:rsidR="00487108" w:rsidRPr="00E315FE" w:rsidTr="002E3544">
        <w:tc>
          <w:tcPr>
            <w:tcW w:w="2173" w:type="dxa"/>
          </w:tcPr>
          <w:p w:rsidR="00487108" w:rsidRPr="00E315FE" w:rsidRDefault="00487108" w:rsidP="00704805">
            <w:pPr>
              <w:keepNext/>
              <w:jc w:val="center"/>
            </w:pPr>
            <w:r w:rsidRPr="00E315FE">
              <w:t>150</w:t>
            </w:r>
          </w:p>
        </w:tc>
        <w:tc>
          <w:tcPr>
            <w:tcW w:w="2226" w:type="dxa"/>
          </w:tcPr>
          <w:p w:rsidR="00487108" w:rsidRPr="00B41D76" w:rsidRDefault="00487108" w:rsidP="00704805">
            <w:pPr>
              <w:keepNext/>
              <w:jc w:val="center"/>
              <w:rPr>
                <w:color w:val="000000"/>
                <w:highlight w:val="lightGray"/>
                <w:u w:val="single"/>
              </w:rPr>
            </w:pPr>
            <w:r w:rsidRPr="00B41D76">
              <w:rPr>
                <w:color w:val="000000"/>
                <w:highlight w:val="lightGray"/>
                <w:u w:val="single"/>
              </w:rPr>
              <w:t>1</w:t>
            </w:r>
            <w:r>
              <w:rPr>
                <w:color w:val="000000"/>
                <w:highlight w:val="lightGray"/>
                <w:u w:val="single"/>
              </w:rPr>
              <w:t>,</w:t>
            </w:r>
            <w:r w:rsidRPr="00B41D76">
              <w:rPr>
                <w:color w:val="000000"/>
                <w:highlight w:val="lightGray"/>
                <w:u w:val="single"/>
              </w:rPr>
              <w:t>14</w:t>
            </w:r>
          </w:p>
        </w:tc>
      </w:tr>
      <w:tr w:rsidR="00487108" w:rsidRPr="00E315FE" w:rsidTr="002E3544">
        <w:tc>
          <w:tcPr>
            <w:tcW w:w="2173" w:type="dxa"/>
          </w:tcPr>
          <w:p w:rsidR="00487108" w:rsidRPr="00E315FE" w:rsidRDefault="00487108" w:rsidP="00C622EB">
            <w:pPr>
              <w:jc w:val="center"/>
            </w:pPr>
            <w:r w:rsidRPr="00E315FE">
              <w:t>200</w:t>
            </w:r>
          </w:p>
        </w:tc>
        <w:tc>
          <w:tcPr>
            <w:tcW w:w="2226" w:type="dxa"/>
          </w:tcPr>
          <w:p w:rsidR="00487108" w:rsidRPr="00B41D76" w:rsidRDefault="00487108" w:rsidP="00C622EB">
            <w:pPr>
              <w:jc w:val="center"/>
              <w:rPr>
                <w:color w:val="000000"/>
                <w:highlight w:val="lightGray"/>
                <w:u w:val="single"/>
              </w:rPr>
            </w:pPr>
            <w:r w:rsidRPr="00B41D76">
              <w:rPr>
                <w:color w:val="000000"/>
                <w:highlight w:val="lightGray"/>
                <w:u w:val="single"/>
              </w:rPr>
              <w:t>1</w:t>
            </w:r>
            <w:r>
              <w:rPr>
                <w:color w:val="000000"/>
                <w:highlight w:val="lightGray"/>
                <w:u w:val="single"/>
              </w:rPr>
              <w:t>,</w:t>
            </w:r>
            <w:r w:rsidRPr="00B41D76">
              <w:rPr>
                <w:color w:val="000000"/>
                <w:highlight w:val="lightGray"/>
                <w:u w:val="single"/>
              </w:rPr>
              <w:t>12</w:t>
            </w:r>
          </w:p>
        </w:tc>
      </w:tr>
    </w:tbl>
    <w:p w:rsidR="00487108" w:rsidRPr="00E315FE" w:rsidRDefault="00487108" w:rsidP="00D335A4">
      <w:pPr>
        <w:rPr>
          <w:b/>
        </w:rPr>
      </w:pPr>
    </w:p>
    <w:p w:rsidR="00487108" w:rsidRPr="0096078C" w:rsidRDefault="00487108" w:rsidP="000F6AF2">
      <w:pPr>
        <w:tabs>
          <w:tab w:val="left" w:pos="851"/>
        </w:tabs>
        <w:rPr>
          <w:lang w:val="es-ES_tradnl"/>
        </w:rPr>
      </w:pPr>
      <w:r w:rsidRPr="0096078C">
        <w:rPr>
          <w:lang w:val="es-ES_tradnl"/>
        </w:rPr>
        <w:t xml:space="preserve">10.5.3 </w:t>
      </w:r>
      <w:r w:rsidRPr="0096078C">
        <w:rPr>
          <w:lang w:val="es-ES_tradnl"/>
        </w:rPr>
        <w:tab/>
      </w:r>
      <w:r w:rsidRPr="0082237D">
        <w:rPr>
          <w:lang w:val="es-ES_tradnl"/>
        </w:rPr>
        <w:t>Cuando el examinador toma una decisión sobre la homogeneidad basada en los desvíos estándar relativos, debe usar el cuadro 4 en lugar del cuadro 1, para utilizar los umbrales correctos.</w:t>
      </w:r>
      <w:r w:rsidRPr="0096078C">
        <w:rPr>
          <w:lang w:val="es-ES_tradnl"/>
        </w:rPr>
        <w:t xml:space="preserve">  </w:t>
      </w:r>
      <w:r w:rsidRPr="0082237D">
        <w:rPr>
          <w:lang w:val="es-ES_tradnl"/>
        </w:rPr>
        <w:t>Al usar desvíos estándar relativos, se aplica el mismo principio para la aceptación o rechazo, solo que los umbrales son menores, ya que son las raíces cuadradas de los valores pertinentes.</w:t>
      </w:r>
      <w:r w:rsidRPr="0096078C">
        <w:rPr>
          <w:lang w:val="es-ES_tradnl"/>
        </w:rPr>
        <w:t xml:space="preserve">  </w:t>
      </w:r>
      <w:r w:rsidRPr="00704805">
        <w:rPr>
          <w:lang w:val="es-ES_tradnl"/>
        </w:rPr>
        <w:t>Por ejemplo, para 60 muestras, el umbral correspondiente a la varianza relativa es </w:t>
      </w:r>
      <w:r w:rsidRPr="00704805">
        <w:rPr>
          <w:highlight w:val="lightGray"/>
          <w:u w:val="single"/>
          <w:lang w:val="es-ES_tradnl"/>
        </w:rPr>
        <w:t>1,47</w:t>
      </w:r>
      <w:r w:rsidRPr="00704805">
        <w:rPr>
          <w:lang w:val="es-ES_tradnl"/>
        </w:rPr>
        <w:t>;</w:t>
      </w:r>
      <w:r w:rsidRPr="0096078C">
        <w:rPr>
          <w:lang w:val="es-ES_tradnl"/>
        </w:rPr>
        <w:t xml:space="preserve">  </w:t>
      </w:r>
      <w:r w:rsidRPr="00704805">
        <w:rPr>
          <w:lang w:val="es-ES_tradnl"/>
        </w:rPr>
        <w:t>sin embargo, el correspondiente a las desviaciones estándar relativas es </w:t>
      </w:r>
      <w:r w:rsidRPr="00704805">
        <w:rPr>
          <w:highlight w:val="lightGray"/>
          <w:u w:val="single"/>
          <w:lang w:val="es-ES_tradnl"/>
        </w:rPr>
        <w:t>1,21</w:t>
      </w:r>
      <w:r w:rsidRPr="00704805">
        <w:rPr>
          <w:lang w:val="es-ES_tradnl"/>
        </w:rPr>
        <w:t>, que es la raíz cuadrada de </w:t>
      </w:r>
      <w:r w:rsidRPr="00704805">
        <w:rPr>
          <w:highlight w:val="lightGray"/>
          <w:u w:val="single"/>
          <w:lang w:val="es-ES_tradnl"/>
        </w:rPr>
        <w:t>1,47</w:t>
      </w:r>
      <w:r w:rsidRPr="00704805">
        <w:rPr>
          <w:lang w:val="es-ES_tradnl"/>
        </w:rPr>
        <w:t>.</w:t>
      </w:r>
      <w:r w:rsidRPr="0096078C">
        <w:rPr>
          <w:lang w:val="es-ES_tradnl"/>
        </w:rPr>
        <w:t xml:space="preserve"> </w:t>
      </w:r>
    </w:p>
    <w:p w:rsidR="00487108" w:rsidRPr="0096078C" w:rsidRDefault="00487108" w:rsidP="00D335A4">
      <w:pPr>
        <w:rPr>
          <w:lang w:val="es-ES_tradnl"/>
        </w:rPr>
      </w:pPr>
    </w:p>
    <w:p w:rsidR="00487108" w:rsidRPr="0096078C" w:rsidRDefault="00487108" w:rsidP="0082237D">
      <w:pPr>
        <w:pStyle w:val="endofdoc"/>
        <w:rPr>
          <w:snapToGrid w:val="0"/>
          <w:lang w:val="es-ES_tradnl"/>
        </w:rPr>
      </w:pPr>
      <w:r w:rsidRPr="00704805">
        <w:rPr>
          <w:lang w:val="es-ES_tradnl"/>
        </w:rPr>
        <w:t>[Fin del Anexo II y del documento]</w:t>
      </w:r>
    </w:p>
    <w:sectPr w:rsidR="00487108" w:rsidRPr="0096078C" w:rsidSect="00D335A4">
      <w:headerReference w:type="default" r:id="rId12"/>
      <w:headerReference w:type="first" r:id="rId13"/>
      <w:footerReference w:type="first" r:id="rId14"/>
      <w:pgSz w:w="11907" w:h="16840" w:code="9"/>
      <w:pgMar w:top="510" w:right="1134" w:bottom="1134" w:left="1134" w:header="51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B48" w:rsidRDefault="00617B48" w:rsidP="006655D3">
      <w:r>
        <w:separator/>
      </w:r>
    </w:p>
    <w:p w:rsidR="00617B48" w:rsidRDefault="00617B48" w:rsidP="006655D3"/>
    <w:p w:rsidR="00617B48" w:rsidRDefault="00617B48" w:rsidP="006655D3"/>
  </w:endnote>
  <w:endnote w:type="continuationSeparator" w:id="0">
    <w:p w:rsidR="00617B48" w:rsidRDefault="00617B48" w:rsidP="006655D3">
      <w:r>
        <w:separator/>
      </w:r>
    </w:p>
    <w:p w:rsidR="00617B48" w:rsidRPr="00D335A4" w:rsidRDefault="00617B48">
      <w:pPr>
        <w:pStyle w:val="Footer"/>
        <w:spacing w:after="60"/>
        <w:rPr>
          <w:sz w:val="18"/>
          <w:lang w:val="fr-FR"/>
        </w:rPr>
      </w:pPr>
      <w:r w:rsidRPr="00D335A4">
        <w:rPr>
          <w:sz w:val="18"/>
          <w:lang w:val="fr-FR"/>
        </w:rPr>
        <w:t>[Suite de la note de la page précédente]</w:t>
      </w:r>
    </w:p>
    <w:p w:rsidR="00617B48" w:rsidRPr="00D335A4" w:rsidRDefault="00617B48" w:rsidP="006655D3">
      <w:pPr>
        <w:rPr>
          <w:lang w:val="fr-FR"/>
        </w:rPr>
      </w:pPr>
    </w:p>
    <w:p w:rsidR="00617B48" w:rsidRPr="00D335A4" w:rsidRDefault="00617B48" w:rsidP="006655D3">
      <w:pPr>
        <w:rPr>
          <w:lang w:val="fr-FR"/>
        </w:rPr>
      </w:pPr>
    </w:p>
  </w:endnote>
  <w:endnote w:type="continuationNotice" w:id="1">
    <w:p w:rsidR="00617B48" w:rsidRPr="00D335A4" w:rsidRDefault="00617B48" w:rsidP="006655D3">
      <w:pPr>
        <w:rPr>
          <w:lang w:val="fr-FR"/>
        </w:rPr>
      </w:pPr>
      <w:r w:rsidRPr="00D335A4">
        <w:rPr>
          <w:lang w:val="fr-FR"/>
        </w:rPr>
        <w:t>[Suite de la note page suivante]</w:t>
      </w:r>
    </w:p>
    <w:p w:rsidR="00617B48" w:rsidRPr="00D335A4" w:rsidRDefault="00617B48" w:rsidP="006655D3">
      <w:pPr>
        <w:rPr>
          <w:lang w:val="fr-FR"/>
        </w:rPr>
      </w:pPr>
    </w:p>
    <w:p w:rsidR="00617B48" w:rsidRPr="00D335A4" w:rsidRDefault="00617B4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108" w:rsidRPr="00AE0EF1" w:rsidRDefault="00487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B48" w:rsidRDefault="00617B48" w:rsidP="006655D3">
      <w:r>
        <w:separator/>
      </w:r>
    </w:p>
  </w:footnote>
  <w:footnote w:type="continuationSeparator" w:id="0">
    <w:p w:rsidR="00617B48" w:rsidRDefault="00617B48" w:rsidP="006655D3">
      <w:r>
        <w:separator/>
      </w:r>
    </w:p>
  </w:footnote>
  <w:footnote w:type="continuationNotice" w:id="1">
    <w:p w:rsidR="00617B48" w:rsidRPr="00AB530F" w:rsidRDefault="00617B4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108" w:rsidRDefault="00487108" w:rsidP="00EB048E">
    <w:pPr>
      <w:pStyle w:val="Header"/>
      <w:rPr>
        <w:rStyle w:val="PageNumber"/>
        <w:lang w:val="en-US"/>
      </w:rPr>
    </w:pPr>
    <w:r w:rsidRPr="00C5280D">
      <w:rPr>
        <w:rStyle w:val="PageNumber"/>
        <w:lang w:val="en-US"/>
      </w:rPr>
      <w:t>TC/</w:t>
    </w:r>
    <w:r>
      <w:rPr>
        <w:rStyle w:val="PageNumber"/>
        <w:lang w:val="en-US"/>
      </w:rPr>
      <w:t>50</w:t>
    </w:r>
    <w:r w:rsidRPr="00C5280D">
      <w:rPr>
        <w:rStyle w:val="PageNumber"/>
        <w:lang w:val="en-US"/>
      </w:rPr>
      <w:t>/</w:t>
    </w:r>
    <w:r>
      <w:rPr>
        <w:rStyle w:val="PageNumber"/>
        <w:lang w:val="en-US"/>
      </w:rPr>
      <w:t>23</w:t>
    </w:r>
  </w:p>
  <w:p w:rsidR="00487108" w:rsidRPr="007C1A12" w:rsidRDefault="00487108" w:rsidP="00EB048E">
    <w:pPr>
      <w:pStyle w:val="Header"/>
      <w:rPr>
        <w:lang w:val="es-ES_tradnl"/>
      </w:rPr>
    </w:pPr>
    <w:r w:rsidRPr="007C1A12">
      <w:rPr>
        <w:lang w:val="es-ES_tradnl"/>
      </w:rPr>
      <w:t>página</w:t>
    </w:r>
    <w:r>
      <w:rPr>
        <w:lang w:val="es-ES_tradnl"/>
      </w:rPr>
      <w:t xml:space="preserve"> </w:t>
    </w:r>
    <w:r w:rsidRPr="007C1A12">
      <w:rPr>
        <w:rStyle w:val="PageNumber"/>
        <w:lang w:val="es-ES_tradnl"/>
      </w:rPr>
      <w:fldChar w:fldCharType="begin"/>
    </w:r>
    <w:r w:rsidRPr="007C1A12">
      <w:rPr>
        <w:rStyle w:val="PageNumber"/>
        <w:lang w:val="es-ES_tradnl"/>
      </w:rPr>
      <w:instrText xml:space="preserve"> PAGE </w:instrText>
    </w:r>
    <w:r w:rsidRPr="007C1A12">
      <w:rPr>
        <w:rStyle w:val="PageNumber"/>
        <w:lang w:val="es-ES_tradnl"/>
      </w:rPr>
      <w:fldChar w:fldCharType="separate"/>
    </w:r>
    <w:r w:rsidR="00D051C7">
      <w:rPr>
        <w:rStyle w:val="PageNumber"/>
        <w:noProof/>
        <w:lang w:val="es-ES_tradnl"/>
      </w:rPr>
      <w:t>3</w:t>
    </w:r>
    <w:r w:rsidRPr="007C1A12">
      <w:rPr>
        <w:rStyle w:val="PageNumber"/>
        <w:lang w:val="es-ES_tradnl"/>
      </w:rPr>
      <w:fldChar w:fldCharType="end"/>
    </w:r>
  </w:p>
  <w:p w:rsidR="00487108" w:rsidRPr="00C5280D" w:rsidRDefault="00487108"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108" w:rsidRDefault="00487108" w:rsidP="006E4864">
    <w:pPr>
      <w:pStyle w:val="Header"/>
      <w:rPr>
        <w:rStyle w:val="PageNumber"/>
        <w:lang w:val="en-US"/>
      </w:rPr>
    </w:pPr>
    <w:r w:rsidRPr="00C5280D">
      <w:rPr>
        <w:rStyle w:val="PageNumber"/>
        <w:lang w:val="en-US"/>
      </w:rPr>
      <w:t>TC/</w:t>
    </w:r>
    <w:r>
      <w:rPr>
        <w:rStyle w:val="PageNumber"/>
        <w:lang w:val="en-US"/>
      </w:rPr>
      <w:t>50/23</w:t>
    </w:r>
  </w:p>
  <w:p w:rsidR="00487108" w:rsidRPr="007C1A12" w:rsidRDefault="00487108" w:rsidP="00EB048E">
    <w:pPr>
      <w:pStyle w:val="Header"/>
      <w:rPr>
        <w:lang w:val="es-ES_tradnl"/>
      </w:rPr>
    </w:pPr>
    <w:r>
      <w:rPr>
        <w:lang w:val="es-ES_tradnl"/>
      </w:rPr>
      <w:t>An</w:t>
    </w:r>
    <w:r w:rsidRPr="007C1A12">
      <w:rPr>
        <w:lang w:val="es-ES_tradnl"/>
      </w:rPr>
      <w:t>ex</w:t>
    </w:r>
    <w:r>
      <w:rPr>
        <w:lang w:val="es-ES_tradnl"/>
      </w:rPr>
      <w:t>o</w:t>
    </w:r>
    <w:r w:rsidRPr="007C1A12">
      <w:rPr>
        <w:lang w:val="es-ES_tradnl"/>
      </w:rPr>
      <w:t xml:space="preserve"> I, página</w:t>
    </w:r>
    <w:r>
      <w:rPr>
        <w:lang w:val="es-ES_tradnl"/>
      </w:rPr>
      <w:t xml:space="preserve"> </w:t>
    </w:r>
    <w:r w:rsidRPr="007C1A12">
      <w:rPr>
        <w:rStyle w:val="PageNumber"/>
        <w:lang w:val="es-ES_tradnl"/>
      </w:rPr>
      <w:fldChar w:fldCharType="begin"/>
    </w:r>
    <w:r w:rsidRPr="007C1A12">
      <w:rPr>
        <w:rStyle w:val="PageNumber"/>
        <w:lang w:val="es-ES_tradnl"/>
      </w:rPr>
      <w:instrText xml:space="preserve"> PAGE </w:instrText>
    </w:r>
    <w:r w:rsidRPr="007C1A12">
      <w:rPr>
        <w:rStyle w:val="PageNumber"/>
        <w:lang w:val="es-ES_tradnl"/>
      </w:rPr>
      <w:fldChar w:fldCharType="separate"/>
    </w:r>
    <w:r w:rsidR="00D051C7">
      <w:rPr>
        <w:rStyle w:val="PageNumber"/>
        <w:noProof/>
        <w:lang w:val="es-ES_tradnl"/>
      </w:rPr>
      <w:t>3</w:t>
    </w:r>
    <w:r w:rsidRPr="007C1A12">
      <w:rPr>
        <w:rStyle w:val="PageNumber"/>
        <w:lang w:val="es-ES_tradnl"/>
      </w:rPr>
      <w:fldChar w:fldCharType="end"/>
    </w:r>
  </w:p>
  <w:p w:rsidR="00487108" w:rsidRPr="00C5280D" w:rsidRDefault="00487108"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108" w:rsidRDefault="00487108" w:rsidP="008E4862">
    <w:pPr>
      <w:pStyle w:val="Header"/>
      <w:rPr>
        <w:rStyle w:val="PageNumber"/>
        <w:lang w:val="en-US"/>
      </w:rPr>
    </w:pPr>
    <w:r w:rsidRPr="00C5280D">
      <w:rPr>
        <w:rStyle w:val="PageNumber"/>
        <w:lang w:val="en-US"/>
      </w:rPr>
      <w:t>TC/</w:t>
    </w:r>
    <w:r>
      <w:rPr>
        <w:rStyle w:val="PageNumber"/>
        <w:lang w:val="en-US"/>
      </w:rPr>
      <w:t>50</w:t>
    </w:r>
    <w:r w:rsidRPr="00C5280D">
      <w:rPr>
        <w:rStyle w:val="PageNumber"/>
        <w:lang w:val="en-US"/>
      </w:rPr>
      <w:t>/</w:t>
    </w:r>
    <w:r>
      <w:rPr>
        <w:rStyle w:val="PageNumber"/>
        <w:lang w:val="en-US"/>
      </w:rPr>
      <w:t>23</w:t>
    </w:r>
  </w:p>
  <w:p w:rsidR="00487108" w:rsidRDefault="00487108" w:rsidP="008E4862">
    <w:pPr>
      <w:pStyle w:val="Header"/>
      <w:rPr>
        <w:rStyle w:val="PageNumber"/>
        <w:lang w:val="en-US"/>
      </w:rPr>
    </w:pPr>
  </w:p>
  <w:p w:rsidR="00487108" w:rsidRPr="007C1A12" w:rsidRDefault="00487108" w:rsidP="008E4862">
    <w:pPr>
      <w:pStyle w:val="Header"/>
      <w:rPr>
        <w:lang w:val="es-ES_tradnl"/>
      </w:rPr>
    </w:pPr>
    <w:r>
      <w:rPr>
        <w:lang w:val="es-ES_tradnl"/>
      </w:rPr>
      <w:t>AN</w:t>
    </w:r>
    <w:r w:rsidRPr="007C1A12">
      <w:rPr>
        <w:lang w:val="es-ES_tradnl"/>
      </w:rPr>
      <w:t>EX</w:t>
    </w:r>
    <w:r>
      <w:rPr>
        <w:lang w:val="es-ES_tradnl"/>
      </w:rPr>
      <w:t>O</w:t>
    </w:r>
    <w:r w:rsidRPr="007C1A12">
      <w:rPr>
        <w:lang w:val="es-ES_tradnl"/>
      </w:rPr>
      <w:t xml:space="preserve"> I</w:t>
    </w:r>
  </w:p>
  <w:p w:rsidR="00487108" w:rsidRPr="008E4862" w:rsidRDefault="00487108" w:rsidP="008E4862">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108" w:rsidRPr="00C5280D" w:rsidRDefault="00487108" w:rsidP="00EB048E">
    <w:pPr>
      <w:pStyle w:val="Header"/>
      <w:rPr>
        <w:rStyle w:val="PageNumber"/>
        <w:lang w:val="en-US"/>
      </w:rPr>
    </w:pPr>
    <w:r>
      <w:rPr>
        <w:rStyle w:val="PageNumber"/>
        <w:lang w:val="en-US"/>
      </w:rPr>
      <w:t>TC/50/23</w:t>
    </w:r>
  </w:p>
  <w:p w:rsidR="00487108" w:rsidRPr="007C1A12" w:rsidRDefault="00487108" w:rsidP="00EB048E">
    <w:pPr>
      <w:pStyle w:val="Header"/>
      <w:rPr>
        <w:lang w:val="es-ES_tradnl"/>
      </w:rPr>
    </w:pPr>
    <w:r>
      <w:rPr>
        <w:lang w:val="es-ES_tradnl"/>
      </w:rPr>
      <w:t>An</w:t>
    </w:r>
    <w:r w:rsidRPr="007C1A12">
      <w:rPr>
        <w:lang w:val="es-ES_tradnl"/>
      </w:rPr>
      <w:t>ex</w:t>
    </w:r>
    <w:r>
      <w:rPr>
        <w:lang w:val="es-ES_tradnl"/>
      </w:rPr>
      <w:t>o</w:t>
    </w:r>
    <w:r w:rsidRPr="007C1A12">
      <w:rPr>
        <w:lang w:val="es-ES_tradnl"/>
      </w:rPr>
      <w:t xml:space="preserve"> II, página</w:t>
    </w:r>
    <w:r>
      <w:rPr>
        <w:lang w:val="es-ES_tradnl"/>
      </w:rPr>
      <w:t xml:space="preserve"> </w:t>
    </w:r>
    <w:r w:rsidRPr="007C1A12">
      <w:rPr>
        <w:rStyle w:val="PageNumber"/>
        <w:lang w:val="es-ES_tradnl"/>
      </w:rPr>
      <w:fldChar w:fldCharType="begin"/>
    </w:r>
    <w:r w:rsidRPr="007C1A12">
      <w:rPr>
        <w:rStyle w:val="PageNumber"/>
        <w:lang w:val="es-ES_tradnl"/>
      </w:rPr>
      <w:instrText xml:space="preserve"> PAGE  \* Arabic </w:instrText>
    </w:r>
    <w:r w:rsidRPr="007C1A12">
      <w:rPr>
        <w:rStyle w:val="PageNumber"/>
        <w:lang w:val="es-ES_tradnl"/>
      </w:rPr>
      <w:fldChar w:fldCharType="separate"/>
    </w:r>
    <w:r w:rsidR="00D051C7">
      <w:rPr>
        <w:rStyle w:val="PageNumber"/>
        <w:noProof/>
        <w:lang w:val="es-ES_tradnl"/>
      </w:rPr>
      <w:t>2</w:t>
    </w:r>
    <w:r w:rsidRPr="007C1A12">
      <w:rPr>
        <w:rStyle w:val="PageNumber"/>
        <w:lang w:val="es-ES_tradnl"/>
      </w:rPr>
      <w:fldChar w:fldCharType="end"/>
    </w:r>
  </w:p>
  <w:p w:rsidR="00487108" w:rsidRPr="00C5280D" w:rsidRDefault="00487108"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108" w:rsidRDefault="00487108" w:rsidP="008E4862">
    <w:pPr>
      <w:pStyle w:val="Header"/>
      <w:rPr>
        <w:rStyle w:val="PageNumber"/>
        <w:lang w:val="en-US"/>
      </w:rPr>
    </w:pPr>
    <w:r w:rsidRPr="00C5280D">
      <w:rPr>
        <w:rStyle w:val="PageNumber"/>
        <w:lang w:val="en-US"/>
      </w:rPr>
      <w:t>TC/</w:t>
    </w:r>
    <w:r>
      <w:rPr>
        <w:rStyle w:val="PageNumber"/>
        <w:lang w:val="en-US"/>
      </w:rPr>
      <w:t>50</w:t>
    </w:r>
    <w:r w:rsidRPr="00C5280D">
      <w:rPr>
        <w:rStyle w:val="PageNumber"/>
        <w:lang w:val="en-US"/>
      </w:rPr>
      <w:t>/</w:t>
    </w:r>
    <w:r>
      <w:rPr>
        <w:rStyle w:val="PageNumber"/>
        <w:lang w:val="en-US"/>
      </w:rPr>
      <w:t>23</w:t>
    </w:r>
  </w:p>
  <w:p w:rsidR="00487108" w:rsidRDefault="00487108" w:rsidP="008E4862">
    <w:pPr>
      <w:pStyle w:val="Header"/>
      <w:rPr>
        <w:rStyle w:val="PageNumber"/>
        <w:lang w:val="en-US"/>
      </w:rPr>
    </w:pPr>
  </w:p>
  <w:p w:rsidR="00487108" w:rsidRPr="007C1A12" w:rsidRDefault="00487108" w:rsidP="008E4862">
    <w:pPr>
      <w:pStyle w:val="Header"/>
      <w:rPr>
        <w:lang w:val="es-ES_tradnl"/>
      </w:rPr>
    </w:pPr>
    <w:r w:rsidRPr="007C1A12">
      <w:rPr>
        <w:lang w:val="es-ES_tradnl"/>
      </w:rPr>
      <w:t>ANEX</w:t>
    </w:r>
    <w:r>
      <w:rPr>
        <w:lang w:val="es-ES_tradnl"/>
      </w:rPr>
      <w:t>O</w:t>
    </w:r>
    <w:r w:rsidRPr="007C1A12">
      <w:rPr>
        <w:lang w:val="es-ES_tradnl"/>
      </w:rPr>
      <w:t xml:space="preserve"> II</w:t>
    </w:r>
  </w:p>
  <w:p w:rsidR="00487108" w:rsidRPr="008E4862" w:rsidRDefault="00487108" w:rsidP="008E4862">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03"/>
  </w:docVars>
  <w:rsids>
    <w:rsidRoot w:val="001B2E0F"/>
    <w:rsid w:val="00010CF3"/>
    <w:rsid w:val="00011E27"/>
    <w:rsid w:val="000148BC"/>
    <w:rsid w:val="00024AB8"/>
    <w:rsid w:val="00030854"/>
    <w:rsid w:val="00034FC4"/>
    <w:rsid w:val="00036028"/>
    <w:rsid w:val="00044642"/>
    <w:rsid w:val="000446B9"/>
    <w:rsid w:val="00047E21"/>
    <w:rsid w:val="00050E16"/>
    <w:rsid w:val="00084EA3"/>
    <w:rsid w:val="00085505"/>
    <w:rsid w:val="000C7021"/>
    <w:rsid w:val="000D6BBC"/>
    <w:rsid w:val="000D7780"/>
    <w:rsid w:val="000F2F11"/>
    <w:rsid w:val="000F6AF2"/>
    <w:rsid w:val="00100526"/>
    <w:rsid w:val="00105929"/>
    <w:rsid w:val="001131D5"/>
    <w:rsid w:val="00141DB8"/>
    <w:rsid w:val="00143E49"/>
    <w:rsid w:val="0017474A"/>
    <w:rsid w:val="001758C6"/>
    <w:rsid w:val="00182B99"/>
    <w:rsid w:val="00192206"/>
    <w:rsid w:val="001B2E0F"/>
    <w:rsid w:val="001E2793"/>
    <w:rsid w:val="001F5FF2"/>
    <w:rsid w:val="0021332C"/>
    <w:rsid w:val="00213982"/>
    <w:rsid w:val="0024416D"/>
    <w:rsid w:val="00250ABE"/>
    <w:rsid w:val="00271911"/>
    <w:rsid w:val="002800A0"/>
    <w:rsid w:val="002801B3"/>
    <w:rsid w:val="00281060"/>
    <w:rsid w:val="002940E8"/>
    <w:rsid w:val="002A6E50"/>
    <w:rsid w:val="002C256A"/>
    <w:rsid w:val="002C4DF7"/>
    <w:rsid w:val="002E3544"/>
    <w:rsid w:val="002F7BD7"/>
    <w:rsid w:val="003042E3"/>
    <w:rsid w:val="00305A7F"/>
    <w:rsid w:val="00306258"/>
    <w:rsid w:val="00310DAC"/>
    <w:rsid w:val="003152FE"/>
    <w:rsid w:val="00327436"/>
    <w:rsid w:val="00344BD6"/>
    <w:rsid w:val="0035528D"/>
    <w:rsid w:val="00361821"/>
    <w:rsid w:val="00366A0A"/>
    <w:rsid w:val="00394C32"/>
    <w:rsid w:val="003C4B34"/>
    <w:rsid w:val="003D227C"/>
    <w:rsid w:val="003D2B4D"/>
    <w:rsid w:val="003D700A"/>
    <w:rsid w:val="00413373"/>
    <w:rsid w:val="00444A88"/>
    <w:rsid w:val="00467275"/>
    <w:rsid w:val="00474DA4"/>
    <w:rsid w:val="00476B4D"/>
    <w:rsid w:val="004805FA"/>
    <w:rsid w:val="00487108"/>
    <w:rsid w:val="004B761D"/>
    <w:rsid w:val="004D047D"/>
    <w:rsid w:val="004D79D9"/>
    <w:rsid w:val="004E2D56"/>
    <w:rsid w:val="004E57CA"/>
    <w:rsid w:val="004E76B9"/>
    <w:rsid w:val="004F305A"/>
    <w:rsid w:val="00512164"/>
    <w:rsid w:val="00520297"/>
    <w:rsid w:val="005338F9"/>
    <w:rsid w:val="00536457"/>
    <w:rsid w:val="00540638"/>
    <w:rsid w:val="00541DD1"/>
    <w:rsid w:val="0054281C"/>
    <w:rsid w:val="0055268D"/>
    <w:rsid w:val="00576BE4"/>
    <w:rsid w:val="005A400A"/>
    <w:rsid w:val="00612379"/>
    <w:rsid w:val="0061555F"/>
    <w:rsid w:val="00617B48"/>
    <w:rsid w:val="0063743C"/>
    <w:rsid w:val="00641200"/>
    <w:rsid w:val="006655D3"/>
    <w:rsid w:val="00665FE2"/>
    <w:rsid w:val="00667404"/>
    <w:rsid w:val="0068223C"/>
    <w:rsid w:val="00682C00"/>
    <w:rsid w:val="00687EB4"/>
    <w:rsid w:val="00696881"/>
    <w:rsid w:val="006B17D2"/>
    <w:rsid w:val="006C224E"/>
    <w:rsid w:val="006D780A"/>
    <w:rsid w:val="006E4864"/>
    <w:rsid w:val="00700478"/>
    <w:rsid w:val="00704805"/>
    <w:rsid w:val="00724934"/>
    <w:rsid w:val="00732DEC"/>
    <w:rsid w:val="00735BD5"/>
    <w:rsid w:val="007556F6"/>
    <w:rsid w:val="00760EEF"/>
    <w:rsid w:val="00777EE5"/>
    <w:rsid w:val="007824C2"/>
    <w:rsid w:val="00782F83"/>
    <w:rsid w:val="00784836"/>
    <w:rsid w:val="0079023E"/>
    <w:rsid w:val="007A2854"/>
    <w:rsid w:val="007C0D91"/>
    <w:rsid w:val="007C1A12"/>
    <w:rsid w:val="007D0B9D"/>
    <w:rsid w:val="007D19B0"/>
    <w:rsid w:val="007F498F"/>
    <w:rsid w:val="0080679D"/>
    <w:rsid w:val="008108B0"/>
    <w:rsid w:val="00811B20"/>
    <w:rsid w:val="0082237D"/>
    <w:rsid w:val="0082296E"/>
    <w:rsid w:val="00824099"/>
    <w:rsid w:val="008338A2"/>
    <w:rsid w:val="00867AC1"/>
    <w:rsid w:val="008A743F"/>
    <w:rsid w:val="008C0970"/>
    <w:rsid w:val="008D2CF7"/>
    <w:rsid w:val="008E4862"/>
    <w:rsid w:val="00900C26"/>
    <w:rsid w:val="0090197F"/>
    <w:rsid w:val="009041DE"/>
    <w:rsid w:val="00906DDC"/>
    <w:rsid w:val="00920628"/>
    <w:rsid w:val="009349F7"/>
    <w:rsid w:val="00934E09"/>
    <w:rsid w:val="00936253"/>
    <w:rsid w:val="00952DD4"/>
    <w:rsid w:val="0096078C"/>
    <w:rsid w:val="00966A08"/>
    <w:rsid w:val="00970FED"/>
    <w:rsid w:val="00992D82"/>
    <w:rsid w:val="00997029"/>
    <w:rsid w:val="009A3450"/>
    <w:rsid w:val="009D690D"/>
    <w:rsid w:val="009E65B6"/>
    <w:rsid w:val="00A00A74"/>
    <w:rsid w:val="00A22B4E"/>
    <w:rsid w:val="00A24C10"/>
    <w:rsid w:val="00A312B3"/>
    <w:rsid w:val="00A42AC3"/>
    <w:rsid w:val="00A430CF"/>
    <w:rsid w:val="00A45256"/>
    <w:rsid w:val="00A54309"/>
    <w:rsid w:val="00A8424E"/>
    <w:rsid w:val="00A87852"/>
    <w:rsid w:val="00AA2F7F"/>
    <w:rsid w:val="00AB2B93"/>
    <w:rsid w:val="00AB530F"/>
    <w:rsid w:val="00AB7E5B"/>
    <w:rsid w:val="00AE0EF1"/>
    <w:rsid w:val="00AE2937"/>
    <w:rsid w:val="00AF4E17"/>
    <w:rsid w:val="00B03F42"/>
    <w:rsid w:val="00B07301"/>
    <w:rsid w:val="00B132A9"/>
    <w:rsid w:val="00B17E2B"/>
    <w:rsid w:val="00B224DE"/>
    <w:rsid w:val="00B22AFC"/>
    <w:rsid w:val="00B41D76"/>
    <w:rsid w:val="00B46575"/>
    <w:rsid w:val="00B77BA9"/>
    <w:rsid w:val="00B80539"/>
    <w:rsid w:val="00B84BBD"/>
    <w:rsid w:val="00BA23ED"/>
    <w:rsid w:val="00BA43FB"/>
    <w:rsid w:val="00BA5473"/>
    <w:rsid w:val="00BA729F"/>
    <w:rsid w:val="00BC127D"/>
    <w:rsid w:val="00BC1FE6"/>
    <w:rsid w:val="00BD0BF9"/>
    <w:rsid w:val="00BE0660"/>
    <w:rsid w:val="00BE1106"/>
    <w:rsid w:val="00C061B6"/>
    <w:rsid w:val="00C2446C"/>
    <w:rsid w:val="00C36AE5"/>
    <w:rsid w:val="00C41F17"/>
    <w:rsid w:val="00C5280D"/>
    <w:rsid w:val="00C5791C"/>
    <w:rsid w:val="00C622EB"/>
    <w:rsid w:val="00C66290"/>
    <w:rsid w:val="00C72B7A"/>
    <w:rsid w:val="00C92BE9"/>
    <w:rsid w:val="00C973F2"/>
    <w:rsid w:val="00CA304C"/>
    <w:rsid w:val="00CA774A"/>
    <w:rsid w:val="00CC11B0"/>
    <w:rsid w:val="00CF1987"/>
    <w:rsid w:val="00CF7E36"/>
    <w:rsid w:val="00D051C7"/>
    <w:rsid w:val="00D25E50"/>
    <w:rsid w:val="00D27D5E"/>
    <w:rsid w:val="00D335A4"/>
    <w:rsid w:val="00D3708D"/>
    <w:rsid w:val="00D40426"/>
    <w:rsid w:val="00D53B3B"/>
    <w:rsid w:val="00D57C96"/>
    <w:rsid w:val="00D91203"/>
    <w:rsid w:val="00D95174"/>
    <w:rsid w:val="00DA6A61"/>
    <w:rsid w:val="00DA6F36"/>
    <w:rsid w:val="00DB596E"/>
    <w:rsid w:val="00DB7773"/>
    <w:rsid w:val="00DC00EA"/>
    <w:rsid w:val="00DC4142"/>
    <w:rsid w:val="00DD0E7F"/>
    <w:rsid w:val="00E315FE"/>
    <w:rsid w:val="00E32F7E"/>
    <w:rsid w:val="00E5513D"/>
    <w:rsid w:val="00E5756F"/>
    <w:rsid w:val="00E72D49"/>
    <w:rsid w:val="00E7593C"/>
    <w:rsid w:val="00E7678A"/>
    <w:rsid w:val="00E935F1"/>
    <w:rsid w:val="00E94A81"/>
    <w:rsid w:val="00EA1FFB"/>
    <w:rsid w:val="00EB048E"/>
    <w:rsid w:val="00EB409D"/>
    <w:rsid w:val="00EE34DF"/>
    <w:rsid w:val="00EF2F89"/>
    <w:rsid w:val="00F1237A"/>
    <w:rsid w:val="00F22CBD"/>
    <w:rsid w:val="00F30279"/>
    <w:rsid w:val="00F45372"/>
    <w:rsid w:val="00F560F7"/>
    <w:rsid w:val="00F6334D"/>
    <w:rsid w:val="00F7556C"/>
    <w:rsid w:val="00F873CC"/>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4805FA"/>
    <w:pPr>
      <w:keepNext/>
      <w:outlineLvl w:val="0"/>
    </w:pPr>
    <w:rPr>
      <w:caps/>
    </w:rPr>
  </w:style>
  <w:style w:type="paragraph" w:styleId="Heading2">
    <w:name w:val="heading 2"/>
    <w:basedOn w:val="Normal"/>
    <w:next w:val="Normal"/>
    <w:link w:val="Heading2Char"/>
    <w:autoRedefine/>
    <w:uiPriority w:val="99"/>
    <w:qFormat/>
    <w:rsid w:val="004805FA"/>
    <w:pPr>
      <w:keepNext/>
      <w:outlineLvl w:val="1"/>
    </w:pPr>
    <w:rPr>
      <w:u w:val="single"/>
    </w:rPr>
  </w:style>
  <w:style w:type="paragraph" w:styleId="Heading3">
    <w:name w:val="heading 3"/>
    <w:basedOn w:val="Normal"/>
    <w:next w:val="Normal"/>
    <w:link w:val="Heading3Char"/>
    <w:autoRedefine/>
    <w:uiPriority w:val="99"/>
    <w:qFormat/>
    <w:rsid w:val="004805FA"/>
    <w:pPr>
      <w:keepNext/>
      <w:outlineLvl w:val="2"/>
    </w:pPr>
    <w:rPr>
      <w:i/>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Pr>
      <w:rFonts w:ascii="Cambria" w:hAnsi="Cambria" w:cs="Times New Roman"/>
      <w:lang w:val="en-US" w:eastAsia="en-US"/>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basedOn w:val="DefaultParagraphFont"/>
    <w:link w:val="Header"/>
    <w:uiPriority w:val="99"/>
    <w:locked/>
    <w:rsid w:val="00D335A4"/>
    <w:rPr>
      <w:rFonts w:ascii="Arial" w:hAnsi="Arial" w:cs="Times New Roman"/>
      <w:lang w:val="fr-FR" w:eastAsia="en-US" w:bidi="ar-SA"/>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locked/>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AB530F"/>
    <w:pPr>
      <w:keepNext/>
      <w:keepLines/>
      <w:spacing w:before="180" w:after="120"/>
      <w:jc w:val="left"/>
    </w:pPr>
    <w:rPr>
      <w:caps/>
      <w:noProof/>
      <w:u w:val="single"/>
    </w:rPr>
  </w:style>
  <w:style w:type="paragraph" w:customStyle="1" w:styleId="pldetails">
    <w:name w:val="pldetails"/>
    <w:basedOn w:val="Normal"/>
    <w:uiPriority w:val="99"/>
    <w:rsid w:val="00AB530F"/>
    <w:pPr>
      <w:keepLines/>
      <w:spacing w:before="60" w:after="60"/>
      <w:jc w:val="left"/>
    </w:pPr>
    <w:rPr>
      <w:noProof/>
    </w:rPr>
  </w:style>
  <w:style w:type="paragraph" w:customStyle="1" w:styleId="plheading">
    <w:name w:val="plheading"/>
    <w:basedOn w:val="Normal"/>
    <w:uiPriority w:val="99"/>
    <w:rsid w:val="00AB530F"/>
    <w:pPr>
      <w:keepNext/>
      <w:spacing w:before="480" w:after="120"/>
      <w:jc w:val="center"/>
    </w:pPr>
    <w:rPr>
      <w:caps/>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next w:val="Header"/>
    <w:autoRedefine/>
    <w:uiPriority w:val="99"/>
    <w:rsid w:val="00E32F7E"/>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cs="Times New Roman"/>
      <w:b/>
      <w:bCs/>
      <w:spacing w:val="10"/>
      <w:lang w:val="en-US" w:eastAsia="en-US" w:bidi="ar-SA"/>
    </w:rPr>
  </w:style>
  <w:style w:type="character" w:customStyle="1" w:styleId="StyleDoclangBold">
    <w:name w:val="Style Doc_lang + Bold"/>
    <w:basedOn w:val="Doclang"/>
    <w:rsid w:val="00281060"/>
    <w:rPr>
      <w:rFonts w:ascii="Arial" w:hAnsi="Arial" w:cs="Times New Roman"/>
      <w:b/>
      <w:bCs/>
      <w:sz w:val="20"/>
      <w:lang w:val="en-US"/>
    </w:rPr>
  </w:style>
  <w:style w:type="paragraph" w:styleId="TOC2">
    <w:name w:val="toc 2"/>
    <w:basedOn w:val="Normal"/>
    <w:next w:val="Normal"/>
    <w:autoRedefine/>
    <w:uiPriority w:val="99"/>
    <w:semiHidden/>
    <w:rsid w:val="00900C26"/>
    <w:pPr>
      <w:tabs>
        <w:tab w:val="right" w:leader="dot" w:pos="9639"/>
      </w:tabs>
      <w:spacing w:before="120"/>
      <w:ind w:left="454" w:right="851" w:hanging="284"/>
      <w:contextualSpacing/>
      <w:jc w:val="left"/>
    </w:pPr>
    <w:rPr>
      <w:smallCaps/>
    </w:rPr>
  </w:style>
  <w:style w:type="paragraph" w:styleId="TOC3">
    <w:name w:val="toc 3"/>
    <w:basedOn w:val="Normal"/>
    <w:next w:val="Normal"/>
    <w:autoRedefine/>
    <w:uiPriority w:val="99"/>
    <w:semiHidden/>
    <w:rsid w:val="00900C26"/>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AB530F"/>
    <w:rPr>
      <w:rFonts w:ascii="Arial" w:hAnsi="Arial" w:cs="Times New Roman"/>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39"/>
    <w:rsid w:val="002F7BD7"/>
    <w:pPr>
      <w:tabs>
        <w:tab w:val="right" w:leader="dot" w:pos="9639"/>
      </w:tabs>
      <w:spacing w:before="120"/>
      <w:jc w:val="left"/>
    </w:pPr>
    <w:rPr>
      <w:caps/>
    </w:rPr>
  </w:style>
  <w:style w:type="paragraph" w:styleId="TOC5">
    <w:name w:val="toc 5"/>
    <w:basedOn w:val="Normal"/>
    <w:next w:val="Normal"/>
    <w:autoRedefine/>
    <w:uiPriority w:val="99"/>
    <w:semiHidden/>
    <w:rsid w:val="00C72B7A"/>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locked/>
    <w:rsid w:val="002719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4805FA"/>
    <w:pPr>
      <w:keepNext/>
      <w:outlineLvl w:val="0"/>
    </w:pPr>
    <w:rPr>
      <w:caps/>
    </w:rPr>
  </w:style>
  <w:style w:type="paragraph" w:styleId="Heading2">
    <w:name w:val="heading 2"/>
    <w:basedOn w:val="Normal"/>
    <w:next w:val="Normal"/>
    <w:link w:val="Heading2Char"/>
    <w:autoRedefine/>
    <w:uiPriority w:val="99"/>
    <w:qFormat/>
    <w:rsid w:val="004805FA"/>
    <w:pPr>
      <w:keepNext/>
      <w:outlineLvl w:val="1"/>
    </w:pPr>
    <w:rPr>
      <w:u w:val="single"/>
    </w:rPr>
  </w:style>
  <w:style w:type="paragraph" w:styleId="Heading3">
    <w:name w:val="heading 3"/>
    <w:basedOn w:val="Normal"/>
    <w:next w:val="Normal"/>
    <w:link w:val="Heading3Char"/>
    <w:autoRedefine/>
    <w:uiPriority w:val="99"/>
    <w:qFormat/>
    <w:rsid w:val="004805FA"/>
    <w:pPr>
      <w:keepNext/>
      <w:outlineLvl w:val="2"/>
    </w:pPr>
    <w:rPr>
      <w:i/>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Pr>
      <w:rFonts w:ascii="Cambria" w:hAnsi="Cambria" w:cs="Times New Roman"/>
      <w:lang w:val="en-US" w:eastAsia="en-US"/>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basedOn w:val="DefaultParagraphFont"/>
    <w:link w:val="Header"/>
    <w:uiPriority w:val="99"/>
    <w:locked/>
    <w:rsid w:val="00D335A4"/>
    <w:rPr>
      <w:rFonts w:ascii="Arial" w:hAnsi="Arial" w:cs="Times New Roman"/>
      <w:lang w:val="fr-FR" w:eastAsia="en-US" w:bidi="ar-SA"/>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locked/>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AB530F"/>
    <w:pPr>
      <w:keepNext/>
      <w:keepLines/>
      <w:spacing w:before="180" w:after="120"/>
      <w:jc w:val="left"/>
    </w:pPr>
    <w:rPr>
      <w:caps/>
      <w:noProof/>
      <w:u w:val="single"/>
    </w:rPr>
  </w:style>
  <w:style w:type="paragraph" w:customStyle="1" w:styleId="pldetails">
    <w:name w:val="pldetails"/>
    <w:basedOn w:val="Normal"/>
    <w:uiPriority w:val="99"/>
    <w:rsid w:val="00AB530F"/>
    <w:pPr>
      <w:keepLines/>
      <w:spacing w:before="60" w:after="60"/>
      <w:jc w:val="left"/>
    </w:pPr>
    <w:rPr>
      <w:noProof/>
    </w:rPr>
  </w:style>
  <w:style w:type="paragraph" w:customStyle="1" w:styleId="plheading">
    <w:name w:val="plheading"/>
    <w:basedOn w:val="Normal"/>
    <w:uiPriority w:val="99"/>
    <w:rsid w:val="00AB530F"/>
    <w:pPr>
      <w:keepNext/>
      <w:spacing w:before="480" w:after="120"/>
      <w:jc w:val="center"/>
    </w:pPr>
    <w:rPr>
      <w:caps/>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next w:val="Header"/>
    <w:autoRedefine/>
    <w:uiPriority w:val="99"/>
    <w:rsid w:val="00E32F7E"/>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cs="Times New Roman"/>
      <w:b/>
      <w:bCs/>
      <w:spacing w:val="10"/>
      <w:lang w:val="en-US" w:eastAsia="en-US" w:bidi="ar-SA"/>
    </w:rPr>
  </w:style>
  <w:style w:type="character" w:customStyle="1" w:styleId="StyleDoclangBold">
    <w:name w:val="Style Doc_lang + Bold"/>
    <w:basedOn w:val="Doclang"/>
    <w:rsid w:val="00281060"/>
    <w:rPr>
      <w:rFonts w:ascii="Arial" w:hAnsi="Arial" w:cs="Times New Roman"/>
      <w:b/>
      <w:bCs/>
      <w:sz w:val="20"/>
      <w:lang w:val="en-US"/>
    </w:rPr>
  </w:style>
  <w:style w:type="paragraph" w:styleId="TOC2">
    <w:name w:val="toc 2"/>
    <w:basedOn w:val="Normal"/>
    <w:next w:val="Normal"/>
    <w:autoRedefine/>
    <w:uiPriority w:val="99"/>
    <w:semiHidden/>
    <w:rsid w:val="00900C26"/>
    <w:pPr>
      <w:tabs>
        <w:tab w:val="right" w:leader="dot" w:pos="9639"/>
      </w:tabs>
      <w:spacing w:before="120"/>
      <w:ind w:left="454" w:right="851" w:hanging="284"/>
      <w:contextualSpacing/>
      <w:jc w:val="left"/>
    </w:pPr>
    <w:rPr>
      <w:smallCaps/>
    </w:rPr>
  </w:style>
  <w:style w:type="paragraph" w:styleId="TOC3">
    <w:name w:val="toc 3"/>
    <w:basedOn w:val="Normal"/>
    <w:next w:val="Normal"/>
    <w:autoRedefine/>
    <w:uiPriority w:val="99"/>
    <w:semiHidden/>
    <w:rsid w:val="00900C26"/>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AB530F"/>
    <w:rPr>
      <w:rFonts w:ascii="Arial" w:hAnsi="Arial" w:cs="Times New Roman"/>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39"/>
    <w:rsid w:val="002F7BD7"/>
    <w:pPr>
      <w:tabs>
        <w:tab w:val="right" w:leader="dot" w:pos="9639"/>
      </w:tabs>
      <w:spacing w:before="120"/>
      <w:jc w:val="left"/>
    </w:pPr>
    <w:rPr>
      <w:caps/>
    </w:rPr>
  </w:style>
  <w:style w:type="paragraph" w:styleId="TOC5">
    <w:name w:val="toc 5"/>
    <w:basedOn w:val="Normal"/>
    <w:next w:val="Normal"/>
    <w:autoRedefine/>
    <w:uiPriority w:val="99"/>
    <w:semiHidden/>
    <w:rsid w:val="00C72B7A"/>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locked/>
    <w:rsid w:val="002719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astm.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3508</Words>
  <Characters>19996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tc_50_23_34272</vt:lpstr>
    </vt:vector>
  </TitlesOfParts>
  <Company>UPOV</Company>
  <LinksUpToDate>false</LinksUpToDate>
  <CharactersWithSpaces>23458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tc_50_23_34272</dc:title>
  <dc:creator>FAVA Alexandra</dc:creator>
  <dc:description>AS/vz_x000d_
21.01.14</dc:description>
  <cp:lastModifiedBy>SANCHEZ-VIZCAINO GOMEZ Rosa Maria</cp:lastModifiedBy>
  <cp:revision>11</cp:revision>
  <cp:lastPrinted>2014-02-10T13:24:00Z</cp:lastPrinted>
  <dcterms:created xsi:type="dcterms:W3CDTF">2014-02-05T11:56:00Z</dcterms:created>
  <dcterms:modified xsi:type="dcterms:W3CDTF">2014-02-10T13:24:00Z</dcterms:modified>
</cp:coreProperties>
</file>