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74257" w:rsidTr="0080679D">
        <w:trPr>
          <w:trHeight w:val="1760"/>
        </w:trPr>
        <w:tc>
          <w:tcPr>
            <w:tcW w:w="3993" w:type="dxa"/>
          </w:tcPr>
          <w:p w:rsidR="000D7780" w:rsidRPr="00C5280D" w:rsidRDefault="000D7780" w:rsidP="006655D3"/>
        </w:tc>
        <w:tc>
          <w:tcPr>
            <w:tcW w:w="1549" w:type="dxa"/>
            <w:vAlign w:val="center"/>
          </w:tcPr>
          <w:p w:rsidR="000D7780" w:rsidRPr="00D86F17" w:rsidRDefault="00271911" w:rsidP="006655D3">
            <w:pPr>
              <w:pStyle w:val="LogoUPOV"/>
            </w:pPr>
            <w:r w:rsidRPr="00D86F17">
              <w:rPr>
                <w:noProof/>
              </w:rPr>
              <w:drawing>
                <wp:inline distT="0" distB="0" distL="0" distR="0" wp14:anchorId="11035562" wp14:editId="47EF51B7">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D86F17" w:rsidRDefault="0024416D" w:rsidP="006655D3">
            <w:pPr>
              <w:pStyle w:val="Lettrine"/>
              <w:rPr>
                <w:lang w:val="es-ES_tradnl"/>
              </w:rPr>
            </w:pPr>
            <w:r w:rsidRPr="00D86F17">
              <w:rPr>
                <w:lang w:val="es-ES_tradnl"/>
              </w:rPr>
              <w:t>S</w:t>
            </w:r>
          </w:p>
          <w:p w:rsidR="000D7780" w:rsidRPr="00D86F17" w:rsidRDefault="00667404" w:rsidP="006655D3">
            <w:pPr>
              <w:pStyle w:val="Docoriginal"/>
              <w:rPr>
                <w:lang w:val="es-ES_tradnl"/>
              </w:rPr>
            </w:pPr>
            <w:r w:rsidRPr="00D86F17">
              <w:rPr>
                <w:lang w:val="es-ES_tradnl"/>
              </w:rPr>
              <w:t>TC/50/</w:t>
            </w:r>
            <w:bookmarkStart w:id="0" w:name="Code"/>
            <w:bookmarkEnd w:id="0"/>
            <w:r w:rsidRPr="00D86F17">
              <w:rPr>
                <w:lang w:val="es-ES_tradnl"/>
              </w:rPr>
              <w:t>21</w:t>
            </w:r>
          </w:p>
          <w:p w:rsidR="000D7780" w:rsidRPr="00D86F17" w:rsidRDefault="0061555F" w:rsidP="006655D3">
            <w:pPr>
              <w:pStyle w:val="Docoriginal"/>
              <w:rPr>
                <w:b w:val="0"/>
                <w:spacing w:val="0"/>
                <w:lang w:val="es-ES_tradnl"/>
              </w:rPr>
            </w:pPr>
            <w:r w:rsidRPr="00D86F17">
              <w:rPr>
                <w:rStyle w:val="StyleDoclangBold"/>
                <w:b/>
                <w:spacing w:val="0"/>
                <w:lang w:val="es-ES_tradnl"/>
              </w:rPr>
              <w:t>ORIGINAL:</w:t>
            </w:r>
            <w:r w:rsidRPr="00D86F17">
              <w:rPr>
                <w:rStyle w:val="StyleDocoriginalNotBold1"/>
                <w:spacing w:val="0"/>
                <w:lang w:val="es-ES_tradnl"/>
              </w:rPr>
              <w:t xml:space="preserve"> </w:t>
            </w:r>
            <w:r w:rsidRPr="00D86F17">
              <w:rPr>
                <w:lang w:val="es-ES_tradnl"/>
              </w:rPr>
              <w:t xml:space="preserve"> </w:t>
            </w:r>
            <w:bookmarkStart w:id="1" w:name="Original"/>
            <w:bookmarkEnd w:id="1"/>
            <w:r w:rsidRPr="00D86F17">
              <w:rPr>
                <w:b w:val="0"/>
                <w:spacing w:val="0"/>
                <w:lang w:val="es-ES_tradnl"/>
              </w:rPr>
              <w:t>Inglés</w:t>
            </w:r>
          </w:p>
          <w:p w:rsidR="000D7780" w:rsidRPr="00A50447" w:rsidRDefault="000D7780" w:rsidP="00D86F17">
            <w:pPr>
              <w:pStyle w:val="Docoriginal"/>
              <w:rPr>
                <w:lang w:val="es-ES_tradnl"/>
              </w:rPr>
            </w:pPr>
            <w:r w:rsidRPr="00D86F17">
              <w:rPr>
                <w:lang w:val="es-ES_tradnl"/>
              </w:rPr>
              <w:t xml:space="preserve">FECHA: </w:t>
            </w:r>
            <w:r w:rsidRPr="00D86F17">
              <w:rPr>
                <w:rStyle w:val="StyleDocoriginalNotBold1"/>
                <w:spacing w:val="0"/>
                <w:lang w:val="es-ES_tradnl"/>
              </w:rPr>
              <w:t xml:space="preserve"> </w:t>
            </w:r>
            <w:bookmarkStart w:id="2" w:name="Date"/>
            <w:bookmarkEnd w:id="2"/>
            <w:r w:rsidRPr="00D86F17">
              <w:rPr>
                <w:b w:val="0"/>
                <w:spacing w:val="0"/>
                <w:lang w:val="es-ES_tradnl"/>
              </w:rPr>
              <w:t>2</w:t>
            </w:r>
            <w:r w:rsidR="00D86F17" w:rsidRPr="00D86F17">
              <w:rPr>
                <w:b w:val="0"/>
                <w:spacing w:val="0"/>
                <w:lang w:val="es-ES_tradnl"/>
              </w:rPr>
              <w:t>8</w:t>
            </w:r>
            <w:r w:rsidRPr="00D86F17">
              <w:rPr>
                <w:b w:val="0"/>
                <w:spacing w:val="0"/>
                <w:lang w:val="es-ES_tradnl"/>
              </w:rPr>
              <w:t xml:space="preserve"> de enero de 2014</w:t>
            </w:r>
          </w:p>
        </w:tc>
      </w:tr>
      <w:tr w:rsidR="000D7780" w:rsidRPr="00174257" w:rsidTr="00FA49AB">
        <w:tc>
          <w:tcPr>
            <w:tcW w:w="9534" w:type="dxa"/>
            <w:gridSpan w:val="3"/>
          </w:tcPr>
          <w:p w:rsidR="000D7780" w:rsidRPr="00A50447" w:rsidRDefault="00EB68B8" w:rsidP="006655D3">
            <w:pPr>
              <w:pStyle w:val="upove"/>
              <w:rPr>
                <w:sz w:val="28"/>
                <w:lang w:val="es-ES_tradnl"/>
              </w:rPr>
            </w:pPr>
            <w:r w:rsidRPr="008D3729">
              <w:rPr>
                <w:spacing w:val="2"/>
                <w:lang w:val="es-ES_tradnl"/>
              </w:rPr>
              <w:t>UNIÓN INTERNACIONAL PARA LA PROTECCIÓN DE LAS OBTENCIONES VEGETALES</w:t>
            </w:r>
            <w:r w:rsidR="0024416D" w:rsidRPr="00A50447">
              <w:rPr>
                <w:snapToGrid w:val="0"/>
                <w:lang w:val="es-ES_tradnl"/>
              </w:rPr>
              <w:t xml:space="preserve"> </w:t>
            </w:r>
          </w:p>
        </w:tc>
      </w:tr>
      <w:tr w:rsidR="000D7780" w:rsidRPr="00C5280D" w:rsidTr="00FA49AB">
        <w:tc>
          <w:tcPr>
            <w:tcW w:w="9534" w:type="dxa"/>
            <w:gridSpan w:val="3"/>
          </w:tcPr>
          <w:p w:rsidR="000D7780" w:rsidRPr="00C5280D" w:rsidRDefault="00867AC1" w:rsidP="006655D3">
            <w:pPr>
              <w:pStyle w:val="Country"/>
            </w:pPr>
            <w:proofErr w:type="spellStart"/>
            <w:r>
              <w:t>Ginebra</w:t>
            </w:r>
            <w:proofErr w:type="spellEnd"/>
          </w:p>
        </w:tc>
      </w:tr>
    </w:tbl>
    <w:p w:rsidR="000D7780" w:rsidRPr="00C5280D" w:rsidRDefault="0024416D" w:rsidP="006655D3">
      <w:pPr>
        <w:pStyle w:val="Sessiontc"/>
      </w:pPr>
      <w:r>
        <w:t>Comité Técnico</w:t>
      </w:r>
    </w:p>
    <w:p w:rsidR="00361821" w:rsidRPr="00A50447" w:rsidRDefault="0061555F" w:rsidP="006655D3">
      <w:pPr>
        <w:pStyle w:val="Sessiontcplacedate"/>
        <w:rPr>
          <w:lang w:val="es-ES_tradnl"/>
        </w:rPr>
      </w:pPr>
      <w:r w:rsidRPr="00A50447">
        <w:rPr>
          <w:lang w:val="es-ES_tradnl"/>
        </w:rPr>
        <w:t>Quincuagésima sesión</w:t>
      </w:r>
      <w:r w:rsidRPr="00A50447">
        <w:rPr>
          <w:lang w:val="es-ES_tradnl"/>
        </w:rPr>
        <w:br/>
        <w:t>Ginebra, 7 a 9 de abril de 2014</w:t>
      </w:r>
    </w:p>
    <w:p w:rsidR="000D7780" w:rsidRPr="00A50447" w:rsidRDefault="00277E2D" w:rsidP="006655D3">
      <w:pPr>
        <w:pStyle w:val="Titleofdoc0"/>
        <w:rPr>
          <w:lang w:val="es-ES_tradnl"/>
        </w:rPr>
      </w:pPr>
      <w:bookmarkStart w:id="3" w:name="TitleOfDoc"/>
      <w:bookmarkEnd w:id="3"/>
      <w:r w:rsidRPr="00A50447">
        <w:rPr>
          <w:lang w:val="es-ES_tradnl"/>
        </w:rPr>
        <w:t>Revisión del documento TGP/8</w:t>
      </w:r>
      <w:proofErr w:type="gramStart"/>
      <w:r w:rsidR="0098320D" w:rsidRPr="00A50447">
        <w:rPr>
          <w:lang w:val="es-ES_tradnl"/>
        </w:rPr>
        <w:t xml:space="preserve">:  </w:t>
      </w:r>
      <w:r w:rsidRPr="00A50447">
        <w:rPr>
          <w:lang w:val="es-ES_tradnl"/>
        </w:rPr>
        <w:t>Parte</w:t>
      </w:r>
      <w:proofErr w:type="gramEnd"/>
      <w:r w:rsidRPr="00A50447">
        <w:rPr>
          <w:lang w:val="es-ES_tradnl"/>
        </w:rPr>
        <w:t xml:space="preserve"> I: </w:t>
      </w:r>
      <w:r w:rsidR="001E035B" w:rsidRPr="00A50447">
        <w:rPr>
          <w:lang w:val="es-ES_tradnl"/>
        </w:rPr>
        <w:t xml:space="preserve"> </w:t>
      </w:r>
      <w:r w:rsidRPr="00A50447">
        <w:rPr>
          <w:lang w:val="es-ES_tradnl"/>
        </w:rPr>
        <w:t xml:space="preserve">Diseño de los ensayos DHE y análisis de </w:t>
      </w:r>
      <w:r w:rsidRPr="005D5A40">
        <w:rPr>
          <w:lang w:val="es-ES_tradnl"/>
        </w:rPr>
        <w:t xml:space="preserve">datos, nueva sección: </w:t>
      </w:r>
      <w:r w:rsidR="001E035B" w:rsidRPr="005D5A40">
        <w:rPr>
          <w:lang w:val="es-ES_tradnl"/>
        </w:rPr>
        <w:t xml:space="preserve"> </w:t>
      </w:r>
      <w:r w:rsidR="00C22CB5" w:rsidRPr="005D5A40">
        <w:rPr>
          <w:lang w:val="es-ES_tradnl"/>
        </w:rPr>
        <w:t>minimizar</w:t>
      </w:r>
      <w:r w:rsidRPr="005D5A40">
        <w:rPr>
          <w:lang w:val="es-ES_tradnl"/>
        </w:rPr>
        <w:t xml:space="preserve"> la variación resultante de la ejecución de los</w:t>
      </w:r>
      <w:r w:rsidR="005D5A40">
        <w:rPr>
          <w:lang w:val="es-ES_tradnl"/>
        </w:rPr>
        <w:t> </w:t>
      </w:r>
      <w:r w:rsidRPr="00A50447">
        <w:rPr>
          <w:lang w:val="es-ES_tradnl"/>
        </w:rPr>
        <w:t>ensayos por distintos observadores</w:t>
      </w:r>
    </w:p>
    <w:p w:rsidR="00050E16" w:rsidRPr="00A50447" w:rsidRDefault="00AE0EF1" w:rsidP="00050E16">
      <w:pPr>
        <w:pStyle w:val="preparedby1"/>
        <w:rPr>
          <w:lang w:val="es-ES_tradnl"/>
        </w:rPr>
      </w:pPr>
      <w:bookmarkStart w:id="4" w:name="Prepared"/>
      <w:bookmarkEnd w:id="4"/>
      <w:proofErr w:type="gramStart"/>
      <w:r w:rsidRPr="00A50447">
        <w:rPr>
          <w:lang w:val="es-ES_tradnl"/>
        </w:rPr>
        <w:t>preparada</w:t>
      </w:r>
      <w:proofErr w:type="gramEnd"/>
      <w:r w:rsidRPr="00A50447">
        <w:rPr>
          <w:lang w:val="es-ES_tradnl"/>
        </w:rPr>
        <w:t xml:space="preserve"> por la Oficina de la Unión</w:t>
      </w:r>
      <w:r w:rsidRPr="00A50447">
        <w:rPr>
          <w:lang w:val="es-ES_tradnl"/>
        </w:rPr>
        <w:br/>
      </w:r>
      <w:r w:rsidRPr="00A50447">
        <w:rPr>
          <w:lang w:val="es-ES_tradnl"/>
        </w:rPr>
        <w:br/>
      </w:r>
      <w:r w:rsidRPr="00A50447">
        <w:rPr>
          <w:color w:val="A6A6A6" w:themeColor="background1" w:themeShade="A6"/>
          <w:lang w:val="es-ES_tradnl"/>
        </w:rPr>
        <w:t xml:space="preserve">Descargo de responsabilidad:  el presente documento no constituye </w:t>
      </w:r>
      <w:r w:rsidR="009E6DB5" w:rsidRPr="00A50447">
        <w:rPr>
          <w:color w:val="A6A6A6" w:themeColor="background1" w:themeShade="A6"/>
          <w:lang w:val="es-ES_tradnl"/>
        </w:rPr>
        <w:br/>
      </w:r>
      <w:r w:rsidRPr="00A50447">
        <w:rPr>
          <w:color w:val="A6A6A6" w:themeColor="background1" w:themeShade="A6"/>
          <w:lang w:val="es-ES_tradnl"/>
        </w:rPr>
        <w:t>un documento de política u orientación de la UPOV</w:t>
      </w:r>
    </w:p>
    <w:p w:rsidR="00704EB7" w:rsidRPr="00A50447" w:rsidRDefault="00F605ED" w:rsidP="00704EB7">
      <w:pPr>
        <w:rPr>
          <w:rFonts w:cs="Arial"/>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t xml:space="preserve">El presente documento tiene por finalidad presentar un borrador de una nueva sección del </w:t>
      </w:r>
      <w:r w:rsidR="00704EB7" w:rsidRPr="005D5A40">
        <w:rPr>
          <w:lang w:val="es-ES_tradnl"/>
        </w:rPr>
        <w:t>documento</w:t>
      </w:r>
      <w:r w:rsidR="00536DE5" w:rsidRPr="005D5A40">
        <w:rPr>
          <w:lang w:val="es-ES_tradnl"/>
        </w:rPr>
        <w:t> </w:t>
      </w:r>
      <w:r w:rsidR="00704EB7" w:rsidRPr="005D5A40">
        <w:rPr>
          <w:lang w:val="es-ES_tradnl"/>
        </w:rPr>
        <w:t>TGP/8</w:t>
      </w:r>
      <w:r w:rsidR="00536DE5" w:rsidRPr="005D5A40">
        <w:rPr>
          <w:lang w:val="es-ES_tradnl"/>
        </w:rPr>
        <w:t> </w:t>
      </w:r>
      <w:r w:rsidR="00704EB7" w:rsidRPr="005D5A40">
        <w:rPr>
          <w:lang w:val="es-ES_tradnl"/>
        </w:rPr>
        <w:t>Parte</w:t>
      </w:r>
      <w:r w:rsidR="00536DE5" w:rsidRPr="005D5A40">
        <w:rPr>
          <w:lang w:val="es-ES_tradnl"/>
        </w:rPr>
        <w:t> </w:t>
      </w:r>
      <w:r w:rsidR="00704EB7" w:rsidRPr="005D5A40">
        <w:rPr>
          <w:lang w:val="es-ES_tradnl"/>
        </w:rPr>
        <w:t>I</w:t>
      </w:r>
      <w:proofErr w:type="gramStart"/>
      <w:r w:rsidR="00704EB7" w:rsidRPr="005D5A40">
        <w:rPr>
          <w:lang w:val="es-ES_tradnl"/>
        </w:rPr>
        <w:t>:  Diseño</w:t>
      </w:r>
      <w:proofErr w:type="gramEnd"/>
      <w:r w:rsidR="00704EB7" w:rsidRPr="005D5A40">
        <w:rPr>
          <w:lang w:val="es-ES_tradnl"/>
        </w:rPr>
        <w:t xml:space="preserve"> de ensayos DHE y análisis de datos sobre </w:t>
      </w:r>
      <w:r w:rsidR="00C22CB5" w:rsidRPr="005D5A40">
        <w:rPr>
          <w:lang w:val="es-ES_tradnl"/>
        </w:rPr>
        <w:t>“Minimizar</w:t>
      </w:r>
      <w:r w:rsidR="00704EB7" w:rsidRPr="005D5A40">
        <w:rPr>
          <w:lang w:val="es-ES_tradnl"/>
        </w:rPr>
        <w:t xml:space="preserve"> la variación</w:t>
      </w:r>
      <w:r w:rsidR="00704EB7" w:rsidRPr="00A50447">
        <w:rPr>
          <w:lang w:val="es-ES_tradnl"/>
        </w:rPr>
        <w:t xml:space="preserve"> resultante de la ejecución de los ensayos por distintos </w:t>
      </w:r>
      <w:proofErr w:type="spellStart"/>
      <w:r w:rsidR="00704EB7" w:rsidRPr="00A50447">
        <w:rPr>
          <w:lang w:val="es-ES_tradnl"/>
        </w:rPr>
        <w:t>observadores</w:t>
      </w:r>
      <w:r w:rsidR="00536DE5" w:rsidRPr="00A50447">
        <w:rPr>
          <w:rFonts w:cs="Arial"/>
          <w:lang w:val="es-ES_tradnl"/>
        </w:rPr>
        <w:t>ˮ</w:t>
      </w:r>
      <w:proofErr w:type="spellEnd"/>
      <w:r w:rsidR="00704EB7" w:rsidRPr="00A50447">
        <w:rPr>
          <w:lang w:val="es-ES_tradnl"/>
        </w:rPr>
        <w:t>.</w:t>
      </w:r>
    </w:p>
    <w:p w:rsidR="00704EB7" w:rsidRPr="00A50447" w:rsidRDefault="00704EB7" w:rsidP="00704EB7">
      <w:pPr>
        <w:rPr>
          <w:snapToGrid w:val="0"/>
          <w:lang w:val="es-ES_tradnl"/>
        </w:rPr>
      </w:pPr>
    </w:p>
    <w:p w:rsidR="00704EB7" w:rsidRPr="00A50447" w:rsidRDefault="00F605ED" w:rsidP="00704EB7">
      <w:pPr>
        <w:rPr>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t>En el presente documento se utilizan las siguientes abreviaturas:</w:t>
      </w:r>
    </w:p>
    <w:p w:rsidR="00704EB7" w:rsidRPr="00A50447" w:rsidRDefault="00704EB7" w:rsidP="00704EB7">
      <w:pPr>
        <w:rPr>
          <w:lang w:val="es-ES_tradnl"/>
        </w:rPr>
      </w:pPr>
    </w:p>
    <w:p w:rsidR="00704EB7" w:rsidRPr="00A50447" w:rsidRDefault="00704EB7" w:rsidP="00704EB7">
      <w:pPr>
        <w:ind w:left="1701" w:hanging="981"/>
        <w:rPr>
          <w:lang w:val="es-ES_tradnl"/>
        </w:rPr>
      </w:pPr>
      <w:r w:rsidRPr="00A50447">
        <w:rPr>
          <w:lang w:val="es-ES_tradnl"/>
        </w:rPr>
        <w:t xml:space="preserve">CAJ:  </w:t>
      </w:r>
      <w:r w:rsidRPr="00A50447">
        <w:rPr>
          <w:lang w:val="es-ES_tradnl"/>
        </w:rPr>
        <w:tab/>
        <w:t xml:space="preserve">Comité Administrativo y Jurídico </w:t>
      </w:r>
    </w:p>
    <w:p w:rsidR="00704EB7" w:rsidRPr="00A50447" w:rsidRDefault="00704EB7" w:rsidP="00704EB7">
      <w:pPr>
        <w:ind w:left="1701" w:hanging="981"/>
        <w:rPr>
          <w:lang w:val="es-ES_tradnl"/>
        </w:rPr>
      </w:pPr>
      <w:r w:rsidRPr="00A50447">
        <w:rPr>
          <w:lang w:val="es-ES_tradnl"/>
        </w:rPr>
        <w:t xml:space="preserve">TC:  </w:t>
      </w:r>
      <w:r w:rsidRPr="00A50447">
        <w:rPr>
          <w:lang w:val="es-ES_tradnl"/>
        </w:rPr>
        <w:tab/>
        <w:t>Comité Técnico</w:t>
      </w:r>
    </w:p>
    <w:p w:rsidR="00704EB7" w:rsidRPr="00A50447" w:rsidRDefault="00704EB7" w:rsidP="00704EB7">
      <w:pPr>
        <w:ind w:left="1701" w:hanging="981"/>
        <w:rPr>
          <w:lang w:val="es-ES_tradnl"/>
        </w:rPr>
      </w:pPr>
      <w:r w:rsidRPr="00A50447">
        <w:rPr>
          <w:lang w:val="es-ES_tradnl"/>
        </w:rPr>
        <w:t xml:space="preserve">TC-EDC:  </w:t>
      </w:r>
      <w:r w:rsidRPr="00A50447">
        <w:rPr>
          <w:lang w:val="es-ES_tradnl"/>
        </w:rPr>
        <w:tab/>
        <w:t>Comité de Redacción Ampliado</w:t>
      </w:r>
    </w:p>
    <w:p w:rsidR="00704EB7" w:rsidRPr="00A50447" w:rsidRDefault="00704EB7" w:rsidP="00704EB7">
      <w:pPr>
        <w:ind w:left="1701" w:hanging="981"/>
        <w:rPr>
          <w:lang w:val="es-ES_tradnl"/>
        </w:rPr>
      </w:pPr>
      <w:r w:rsidRPr="00A50447">
        <w:rPr>
          <w:lang w:val="es-ES_tradnl"/>
        </w:rPr>
        <w:t xml:space="preserve">TWA:  </w:t>
      </w:r>
      <w:r w:rsidRPr="00A50447">
        <w:rPr>
          <w:lang w:val="es-ES_tradnl"/>
        </w:rPr>
        <w:tab/>
        <w:t>Grupo de Trabajo Técnico sobre Plantas Agrícolas</w:t>
      </w:r>
    </w:p>
    <w:p w:rsidR="00704EB7" w:rsidRPr="00A50447" w:rsidRDefault="00704EB7" w:rsidP="00704EB7">
      <w:pPr>
        <w:ind w:left="1701" w:hanging="981"/>
        <w:rPr>
          <w:lang w:val="es-ES_tradnl"/>
        </w:rPr>
      </w:pPr>
      <w:r w:rsidRPr="00A50447">
        <w:rPr>
          <w:lang w:val="es-ES_tradnl"/>
        </w:rPr>
        <w:t xml:space="preserve">TWC:  </w:t>
      </w:r>
      <w:r w:rsidRPr="00A50447">
        <w:rPr>
          <w:lang w:val="es-ES_tradnl"/>
        </w:rPr>
        <w:tab/>
        <w:t>Grupo de Trabajo Técnico sobre Automatización y Programas Informáticos</w:t>
      </w:r>
    </w:p>
    <w:p w:rsidR="00704EB7" w:rsidRPr="00A50447" w:rsidRDefault="00704EB7" w:rsidP="00704EB7">
      <w:pPr>
        <w:ind w:left="1701" w:hanging="981"/>
        <w:rPr>
          <w:lang w:val="es-ES_tradnl"/>
        </w:rPr>
      </w:pPr>
      <w:r w:rsidRPr="00A50447">
        <w:rPr>
          <w:lang w:val="es-ES_tradnl"/>
        </w:rPr>
        <w:t xml:space="preserve">TWF:  </w:t>
      </w:r>
      <w:r w:rsidRPr="00A50447">
        <w:rPr>
          <w:lang w:val="es-ES_tradnl"/>
        </w:rPr>
        <w:tab/>
        <w:t xml:space="preserve">Grupo de Trabajo Técnico sobre Plantas Frutales </w:t>
      </w:r>
    </w:p>
    <w:p w:rsidR="00704EB7" w:rsidRPr="00A50447" w:rsidRDefault="00704EB7" w:rsidP="00704EB7">
      <w:pPr>
        <w:ind w:left="1701" w:hanging="981"/>
        <w:rPr>
          <w:lang w:val="es-ES_tradnl"/>
        </w:rPr>
      </w:pPr>
      <w:r w:rsidRPr="00A50447">
        <w:rPr>
          <w:lang w:val="es-ES_tradnl"/>
        </w:rPr>
        <w:t xml:space="preserve">TWO:  </w:t>
      </w:r>
      <w:r w:rsidRPr="00A50447">
        <w:rPr>
          <w:lang w:val="es-ES_tradnl"/>
        </w:rPr>
        <w:tab/>
        <w:t xml:space="preserve">Grupo de Trabajo Técnico sobre Plantas Ornamentales y Árboles Forestales </w:t>
      </w:r>
    </w:p>
    <w:p w:rsidR="00704EB7" w:rsidRPr="00A50447" w:rsidRDefault="00704EB7" w:rsidP="00704EB7">
      <w:pPr>
        <w:ind w:left="1701" w:hanging="981"/>
        <w:rPr>
          <w:lang w:val="es-ES_tradnl"/>
        </w:rPr>
      </w:pPr>
      <w:r w:rsidRPr="00A50447">
        <w:rPr>
          <w:lang w:val="es-ES_tradnl"/>
        </w:rPr>
        <w:t>TWP:</w:t>
      </w:r>
      <w:r w:rsidRPr="00A50447">
        <w:rPr>
          <w:lang w:val="es-ES_tradnl"/>
        </w:rPr>
        <w:tab/>
        <w:t>Grupo de Trabajo Técnico</w:t>
      </w:r>
    </w:p>
    <w:p w:rsidR="00704EB7" w:rsidRPr="00A50447" w:rsidRDefault="00704EB7" w:rsidP="00704EB7">
      <w:pPr>
        <w:ind w:left="1701" w:hanging="981"/>
        <w:rPr>
          <w:lang w:val="es-ES_tradnl"/>
        </w:rPr>
      </w:pPr>
      <w:r w:rsidRPr="00A50447">
        <w:rPr>
          <w:lang w:val="es-ES_tradnl"/>
        </w:rPr>
        <w:t xml:space="preserve">TWV:  </w:t>
      </w:r>
      <w:r w:rsidRPr="00A50447">
        <w:rPr>
          <w:lang w:val="es-ES_tradnl"/>
        </w:rPr>
        <w:tab/>
        <w:t>Grupo de Trabajo Técnico sobre Hortalizas</w:t>
      </w:r>
    </w:p>
    <w:p w:rsidR="00704EB7" w:rsidRPr="00A50447" w:rsidRDefault="00704EB7" w:rsidP="00704EB7">
      <w:pPr>
        <w:ind w:left="1701" w:hanging="981"/>
        <w:rPr>
          <w:lang w:val="es-ES_tradnl"/>
        </w:rPr>
      </w:pPr>
    </w:p>
    <w:p w:rsidR="00704EB7" w:rsidRPr="00A50447" w:rsidRDefault="00F605ED" w:rsidP="00704EB7">
      <w:pPr>
        <w:rPr>
          <w:snapToGrid w:val="0"/>
          <w:lang w:val="es-ES_tradnl"/>
        </w:rPr>
      </w:pPr>
      <w:r w:rsidRPr="006133CD">
        <w:fldChar w:fldCharType="begin"/>
      </w:r>
      <w:r w:rsidR="00704EB7" w:rsidRPr="00A50447">
        <w:rPr>
          <w:lang w:val="es-ES_tradnl"/>
        </w:rPr>
        <w:instrText xml:space="preserve"> AUTONUM  </w:instrText>
      </w:r>
      <w:r w:rsidRPr="006133CD">
        <w:fldChar w:fldCharType="end"/>
      </w:r>
      <w:r w:rsidR="00704EB7" w:rsidRPr="00A50447">
        <w:rPr>
          <w:lang w:val="es-ES_tradnl"/>
        </w:rPr>
        <w:tab/>
        <w:t>La estructura del presente documento es la</w:t>
      </w:r>
      <w:r w:rsidR="00704EB7" w:rsidRPr="00A50447">
        <w:rPr>
          <w:snapToGrid w:val="0"/>
          <w:lang w:val="es-ES_tradnl"/>
        </w:rPr>
        <w:t xml:space="preserve"> siguiente:</w:t>
      </w:r>
    </w:p>
    <w:p w:rsidR="00704EB7" w:rsidRPr="00A50447" w:rsidRDefault="00704EB7" w:rsidP="00704EB7">
      <w:pPr>
        <w:rPr>
          <w:snapToGrid w:val="0"/>
          <w:lang w:val="es-ES_tradnl"/>
        </w:rPr>
      </w:pPr>
    </w:p>
    <w:p w:rsidR="00251B98" w:rsidRDefault="00F605ED">
      <w:pPr>
        <w:pStyle w:val="TOC1"/>
        <w:rPr>
          <w:rFonts w:asciiTheme="minorHAnsi" w:eastAsiaTheme="minorEastAsia" w:hAnsiTheme="minorHAnsi" w:cstheme="minorBidi"/>
          <w:caps w:val="0"/>
          <w:noProof/>
          <w:sz w:val="22"/>
          <w:szCs w:val="22"/>
        </w:rPr>
      </w:pPr>
      <w:r w:rsidRPr="008B2341">
        <w:rPr>
          <w:noProof/>
        </w:rPr>
        <w:fldChar w:fldCharType="begin"/>
      </w:r>
      <w:r w:rsidR="00704EB7" w:rsidRPr="008B2341">
        <w:instrText xml:space="preserve"> TOC \o "1-3" \h \z \u </w:instrText>
      </w:r>
      <w:r w:rsidRPr="008B2341">
        <w:rPr>
          <w:noProof/>
        </w:rPr>
        <w:fldChar w:fldCharType="separate"/>
      </w:r>
      <w:hyperlink w:anchor="_Toc380064894" w:history="1">
        <w:r w:rsidR="00251B98" w:rsidRPr="00F1614F">
          <w:rPr>
            <w:rStyle w:val="Hyperlink"/>
            <w:noProof/>
          </w:rPr>
          <w:t>antecedentes</w:t>
        </w:r>
        <w:r w:rsidR="00251B98">
          <w:rPr>
            <w:noProof/>
            <w:webHidden/>
          </w:rPr>
          <w:tab/>
        </w:r>
        <w:r w:rsidR="00251B98">
          <w:rPr>
            <w:noProof/>
            <w:webHidden/>
          </w:rPr>
          <w:fldChar w:fldCharType="begin"/>
        </w:r>
        <w:r w:rsidR="00251B98">
          <w:rPr>
            <w:noProof/>
            <w:webHidden/>
          </w:rPr>
          <w:instrText xml:space="preserve"> PAGEREF _Toc380064894 \h </w:instrText>
        </w:r>
        <w:r w:rsidR="00251B98">
          <w:rPr>
            <w:noProof/>
            <w:webHidden/>
          </w:rPr>
        </w:r>
        <w:r w:rsidR="00251B98">
          <w:rPr>
            <w:noProof/>
            <w:webHidden/>
          </w:rPr>
          <w:fldChar w:fldCharType="separate"/>
        </w:r>
        <w:r w:rsidR="00174257">
          <w:rPr>
            <w:noProof/>
            <w:webHidden/>
          </w:rPr>
          <w:t>2</w:t>
        </w:r>
        <w:r w:rsidR="00251B98">
          <w:rPr>
            <w:noProof/>
            <w:webHidden/>
          </w:rPr>
          <w:fldChar w:fldCharType="end"/>
        </w:r>
      </w:hyperlink>
    </w:p>
    <w:p w:rsidR="00251B98" w:rsidRDefault="00174257">
      <w:pPr>
        <w:pStyle w:val="TOC1"/>
        <w:rPr>
          <w:rFonts w:asciiTheme="minorHAnsi" w:eastAsiaTheme="minorEastAsia" w:hAnsiTheme="minorHAnsi" w:cstheme="minorBidi"/>
          <w:caps w:val="0"/>
          <w:noProof/>
          <w:sz w:val="22"/>
          <w:szCs w:val="22"/>
        </w:rPr>
      </w:pPr>
      <w:hyperlink w:anchor="_Toc380064895" w:history="1">
        <w:r w:rsidR="00251B98" w:rsidRPr="00F1614F">
          <w:rPr>
            <w:rStyle w:val="Hyperlink"/>
            <w:noProof/>
          </w:rPr>
          <w:t>Novedades acaecidas en 2012</w:t>
        </w:r>
        <w:r w:rsidR="00251B98">
          <w:rPr>
            <w:noProof/>
            <w:webHidden/>
          </w:rPr>
          <w:tab/>
        </w:r>
        <w:r w:rsidR="00251B98">
          <w:rPr>
            <w:noProof/>
            <w:webHidden/>
          </w:rPr>
          <w:fldChar w:fldCharType="begin"/>
        </w:r>
        <w:r w:rsidR="00251B98">
          <w:rPr>
            <w:noProof/>
            <w:webHidden/>
          </w:rPr>
          <w:instrText xml:space="preserve"> PAGEREF _Toc380064895 \h </w:instrText>
        </w:r>
        <w:r w:rsidR="00251B98">
          <w:rPr>
            <w:noProof/>
            <w:webHidden/>
          </w:rPr>
        </w:r>
        <w:r w:rsidR="00251B98">
          <w:rPr>
            <w:noProof/>
            <w:webHidden/>
          </w:rPr>
          <w:fldChar w:fldCharType="separate"/>
        </w:r>
        <w:r>
          <w:rPr>
            <w:noProof/>
            <w:webHidden/>
          </w:rPr>
          <w:t>2</w:t>
        </w:r>
        <w:r w:rsidR="00251B98">
          <w:rPr>
            <w:noProof/>
            <w:webHidden/>
          </w:rPr>
          <w:fldChar w:fldCharType="end"/>
        </w:r>
      </w:hyperlink>
    </w:p>
    <w:p w:rsidR="00251B98" w:rsidRDefault="00174257">
      <w:pPr>
        <w:pStyle w:val="TOC2"/>
        <w:rPr>
          <w:rFonts w:asciiTheme="minorHAnsi" w:eastAsiaTheme="minorEastAsia" w:hAnsiTheme="minorHAnsi" w:cstheme="minorBidi"/>
          <w:smallCaps w:val="0"/>
          <w:noProof/>
          <w:sz w:val="22"/>
          <w:szCs w:val="22"/>
        </w:rPr>
      </w:pPr>
      <w:hyperlink w:anchor="_Toc380064896" w:history="1">
        <w:r w:rsidR="00251B98" w:rsidRPr="00F1614F">
          <w:rPr>
            <w:rStyle w:val="Hyperlink"/>
            <w:noProof/>
          </w:rPr>
          <w:t>Comité Técnico</w:t>
        </w:r>
        <w:r w:rsidR="00251B98">
          <w:rPr>
            <w:noProof/>
            <w:webHidden/>
          </w:rPr>
          <w:tab/>
        </w:r>
        <w:r w:rsidR="00251B98">
          <w:rPr>
            <w:noProof/>
            <w:webHidden/>
          </w:rPr>
          <w:fldChar w:fldCharType="begin"/>
        </w:r>
        <w:r w:rsidR="00251B98">
          <w:rPr>
            <w:noProof/>
            <w:webHidden/>
          </w:rPr>
          <w:instrText xml:space="preserve"> PAGEREF _Toc380064896 \h </w:instrText>
        </w:r>
        <w:r w:rsidR="00251B98">
          <w:rPr>
            <w:noProof/>
            <w:webHidden/>
          </w:rPr>
        </w:r>
        <w:r w:rsidR="00251B98">
          <w:rPr>
            <w:noProof/>
            <w:webHidden/>
          </w:rPr>
          <w:fldChar w:fldCharType="separate"/>
        </w:r>
        <w:r>
          <w:rPr>
            <w:noProof/>
            <w:webHidden/>
          </w:rPr>
          <w:t>2</w:t>
        </w:r>
        <w:r w:rsidR="00251B98">
          <w:rPr>
            <w:noProof/>
            <w:webHidden/>
          </w:rPr>
          <w:fldChar w:fldCharType="end"/>
        </w:r>
      </w:hyperlink>
    </w:p>
    <w:p w:rsidR="00251B98" w:rsidRDefault="00174257">
      <w:pPr>
        <w:pStyle w:val="TOC2"/>
        <w:rPr>
          <w:rFonts w:asciiTheme="minorHAnsi" w:eastAsiaTheme="minorEastAsia" w:hAnsiTheme="minorHAnsi" w:cstheme="minorBidi"/>
          <w:smallCaps w:val="0"/>
          <w:noProof/>
          <w:sz w:val="22"/>
          <w:szCs w:val="22"/>
        </w:rPr>
      </w:pPr>
      <w:hyperlink w:anchor="_Toc380064897" w:history="1">
        <w:r w:rsidR="00251B98" w:rsidRPr="00F1614F">
          <w:rPr>
            <w:rStyle w:val="Hyperlink"/>
            <w:noProof/>
            <w:lang w:val="es-ES_tradnl"/>
          </w:rPr>
          <w:t>Grupos de Trabajo Técnico</w:t>
        </w:r>
        <w:r w:rsidR="00251B98">
          <w:rPr>
            <w:noProof/>
            <w:webHidden/>
          </w:rPr>
          <w:tab/>
        </w:r>
        <w:r w:rsidR="00251B98">
          <w:rPr>
            <w:noProof/>
            <w:webHidden/>
          </w:rPr>
          <w:fldChar w:fldCharType="begin"/>
        </w:r>
        <w:r w:rsidR="00251B98">
          <w:rPr>
            <w:noProof/>
            <w:webHidden/>
          </w:rPr>
          <w:instrText xml:space="preserve"> PAGEREF _Toc380064897 \h </w:instrText>
        </w:r>
        <w:r w:rsidR="00251B98">
          <w:rPr>
            <w:noProof/>
            <w:webHidden/>
          </w:rPr>
        </w:r>
        <w:r w:rsidR="00251B98">
          <w:rPr>
            <w:noProof/>
            <w:webHidden/>
          </w:rPr>
          <w:fldChar w:fldCharType="separate"/>
        </w:r>
        <w:r>
          <w:rPr>
            <w:noProof/>
            <w:webHidden/>
          </w:rPr>
          <w:t>2</w:t>
        </w:r>
        <w:r w:rsidR="00251B98">
          <w:rPr>
            <w:noProof/>
            <w:webHidden/>
          </w:rPr>
          <w:fldChar w:fldCharType="end"/>
        </w:r>
      </w:hyperlink>
    </w:p>
    <w:p w:rsidR="00251B98" w:rsidRDefault="00174257">
      <w:pPr>
        <w:pStyle w:val="TOC1"/>
        <w:rPr>
          <w:rFonts w:asciiTheme="minorHAnsi" w:eastAsiaTheme="minorEastAsia" w:hAnsiTheme="minorHAnsi" w:cstheme="minorBidi"/>
          <w:caps w:val="0"/>
          <w:noProof/>
          <w:sz w:val="22"/>
          <w:szCs w:val="22"/>
        </w:rPr>
      </w:pPr>
      <w:hyperlink w:anchor="_Toc380064898" w:history="1">
        <w:r w:rsidR="00251B98" w:rsidRPr="00F1614F">
          <w:rPr>
            <w:rStyle w:val="Hyperlink"/>
            <w:noProof/>
          </w:rPr>
          <w:t>Novedades acaecidas en 2013</w:t>
        </w:r>
        <w:r w:rsidR="00251B98">
          <w:rPr>
            <w:noProof/>
            <w:webHidden/>
          </w:rPr>
          <w:tab/>
        </w:r>
        <w:r w:rsidR="00251B98">
          <w:rPr>
            <w:noProof/>
            <w:webHidden/>
          </w:rPr>
          <w:fldChar w:fldCharType="begin"/>
        </w:r>
        <w:r w:rsidR="00251B98">
          <w:rPr>
            <w:noProof/>
            <w:webHidden/>
          </w:rPr>
          <w:instrText xml:space="preserve"> PAGEREF _Toc380064898 \h </w:instrText>
        </w:r>
        <w:r w:rsidR="00251B98">
          <w:rPr>
            <w:noProof/>
            <w:webHidden/>
          </w:rPr>
        </w:r>
        <w:r w:rsidR="00251B98">
          <w:rPr>
            <w:noProof/>
            <w:webHidden/>
          </w:rPr>
          <w:fldChar w:fldCharType="separate"/>
        </w:r>
        <w:r>
          <w:rPr>
            <w:noProof/>
            <w:webHidden/>
          </w:rPr>
          <w:t>2</w:t>
        </w:r>
        <w:r w:rsidR="00251B98">
          <w:rPr>
            <w:noProof/>
            <w:webHidden/>
          </w:rPr>
          <w:fldChar w:fldCharType="end"/>
        </w:r>
      </w:hyperlink>
    </w:p>
    <w:p w:rsidR="00251B98" w:rsidRDefault="00174257">
      <w:pPr>
        <w:pStyle w:val="TOC2"/>
        <w:rPr>
          <w:rFonts w:asciiTheme="minorHAnsi" w:eastAsiaTheme="minorEastAsia" w:hAnsiTheme="minorHAnsi" w:cstheme="minorBidi"/>
          <w:smallCaps w:val="0"/>
          <w:noProof/>
          <w:sz w:val="22"/>
          <w:szCs w:val="22"/>
        </w:rPr>
      </w:pPr>
      <w:hyperlink w:anchor="_Toc380064899" w:history="1">
        <w:r w:rsidR="00251B98" w:rsidRPr="00F1614F">
          <w:rPr>
            <w:rStyle w:val="Hyperlink"/>
            <w:noProof/>
          </w:rPr>
          <w:t>Comité de Redacción Ampliado</w:t>
        </w:r>
        <w:r w:rsidR="00251B98">
          <w:rPr>
            <w:noProof/>
            <w:webHidden/>
          </w:rPr>
          <w:tab/>
        </w:r>
        <w:r w:rsidR="00251B98">
          <w:rPr>
            <w:noProof/>
            <w:webHidden/>
          </w:rPr>
          <w:fldChar w:fldCharType="begin"/>
        </w:r>
        <w:r w:rsidR="00251B98">
          <w:rPr>
            <w:noProof/>
            <w:webHidden/>
          </w:rPr>
          <w:instrText xml:space="preserve"> PAGEREF _Toc380064899 \h </w:instrText>
        </w:r>
        <w:r w:rsidR="00251B98">
          <w:rPr>
            <w:noProof/>
            <w:webHidden/>
          </w:rPr>
        </w:r>
        <w:r w:rsidR="00251B98">
          <w:rPr>
            <w:noProof/>
            <w:webHidden/>
          </w:rPr>
          <w:fldChar w:fldCharType="separate"/>
        </w:r>
        <w:r>
          <w:rPr>
            <w:noProof/>
            <w:webHidden/>
          </w:rPr>
          <w:t>2</w:t>
        </w:r>
        <w:r w:rsidR="00251B98">
          <w:rPr>
            <w:noProof/>
            <w:webHidden/>
          </w:rPr>
          <w:fldChar w:fldCharType="end"/>
        </w:r>
      </w:hyperlink>
    </w:p>
    <w:p w:rsidR="00251B98" w:rsidRDefault="00174257">
      <w:pPr>
        <w:pStyle w:val="TOC2"/>
        <w:rPr>
          <w:rFonts w:asciiTheme="minorHAnsi" w:eastAsiaTheme="minorEastAsia" w:hAnsiTheme="minorHAnsi" w:cstheme="minorBidi"/>
          <w:smallCaps w:val="0"/>
          <w:noProof/>
          <w:sz w:val="22"/>
          <w:szCs w:val="22"/>
        </w:rPr>
      </w:pPr>
      <w:hyperlink w:anchor="_Toc380064900" w:history="1">
        <w:r w:rsidR="00251B98" w:rsidRPr="00F1614F">
          <w:rPr>
            <w:rStyle w:val="Hyperlink"/>
            <w:noProof/>
            <w:lang w:val="es-ES_tradnl"/>
          </w:rPr>
          <w:t>Comité Técnico</w:t>
        </w:r>
        <w:r w:rsidR="00251B98">
          <w:rPr>
            <w:noProof/>
            <w:webHidden/>
          </w:rPr>
          <w:tab/>
        </w:r>
        <w:r w:rsidR="00251B98">
          <w:rPr>
            <w:noProof/>
            <w:webHidden/>
          </w:rPr>
          <w:fldChar w:fldCharType="begin"/>
        </w:r>
        <w:r w:rsidR="00251B98">
          <w:rPr>
            <w:noProof/>
            <w:webHidden/>
          </w:rPr>
          <w:instrText xml:space="preserve"> PAGEREF _Toc380064900 \h </w:instrText>
        </w:r>
        <w:r w:rsidR="00251B98">
          <w:rPr>
            <w:noProof/>
            <w:webHidden/>
          </w:rPr>
        </w:r>
        <w:r w:rsidR="00251B98">
          <w:rPr>
            <w:noProof/>
            <w:webHidden/>
          </w:rPr>
          <w:fldChar w:fldCharType="separate"/>
        </w:r>
        <w:r>
          <w:rPr>
            <w:noProof/>
            <w:webHidden/>
          </w:rPr>
          <w:t>3</w:t>
        </w:r>
        <w:r w:rsidR="00251B98">
          <w:rPr>
            <w:noProof/>
            <w:webHidden/>
          </w:rPr>
          <w:fldChar w:fldCharType="end"/>
        </w:r>
      </w:hyperlink>
    </w:p>
    <w:p w:rsidR="00251B98" w:rsidRDefault="00174257">
      <w:pPr>
        <w:pStyle w:val="TOC2"/>
        <w:rPr>
          <w:rFonts w:asciiTheme="minorHAnsi" w:eastAsiaTheme="minorEastAsia" w:hAnsiTheme="minorHAnsi" w:cstheme="minorBidi"/>
          <w:smallCaps w:val="0"/>
          <w:noProof/>
          <w:sz w:val="22"/>
          <w:szCs w:val="22"/>
        </w:rPr>
      </w:pPr>
      <w:hyperlink w:anchor="_Toc380064901" w:history="1">
        <w:r w:rsidR="00251B98" w:rsidRPr="00F1614F">
          <w:rPr>
            <w:rStyle w:val="Hyperlink"/>
            <w:noProof/>
            <w:lang w:val="es-ES_tradnl"/>
          </w:rPr>
          <w:t>Observaciones de los Grupos de Trabajo Técnico formuladas en 2013</w:t>
        </w:r>
        <w:r w:rsidR="00251B98">
          <w:rPr>
            <w:noProof/>
            <w:webHidden/>
          </w:rPr>
          <w:tab/>
        </w:r>
        <w:r w:rsidR="00251B98">
          <w:rPr>
            <w:noProof/>
            <w:webHidden/>
          </w:rPr>
          <w:fldChar w:fldCharType="begin"/>
        </w:r>
        <w:r w:rsidR="00251B98">
          <w:rPr>
            <w:noProof/>
            <w:webHidden/>
          </w:rPr>
          <w:instrText xml:space="preserve"> PAGEREF _Toc380064901 \h </w:instrText>
        </w:r>
        <w:r w:rsidR="00251B98">
          <w:rPr>
            <w:noProof/>
            <w:webHidden/>
          </w:rPr>
        </w:r>
        <w:r w:rsidR="00251B98">
          <w:rPr>
            <w:noProof/>
            <w:webHidden/>
          </w:rPr>
          <w:fldChar w:fldCharType="separate"/>
        </w:r>
        <w:r>
          <w:rPr>
            <w:noProof/>
            <w:webHidden/>
          </w:rPr>
          <w:t>3</w:t>
        </w:r>
        <w:r w:rsidR="00251B98">
          <w:rPr>
            <w:noProof/>
            <w:webHidden/>
          </w:rPr>
          <w:fldChar w:fldCharType="end"/>
        </w:r>
      </w:hyperlink>
    </w:p>
    <w:p w:rsidR="00C31582" w:rsidRDefault="00F605ED" w:rsidP="00C22CB5">
      <w:pPr>
        <w:pStyle w:val="TOC1"/>
        <w:rPr>
          <w:rFonts w:asciiTheme="minorHAnsi" w:eastAsiaTheme="minorEastAsia" w:hAnsiTheme="minorHAnsi" w:cstheme="minorBidi"/>
          <w:noProof/>
          <w:sz w:val="22"/>
          <w:szCs w:val="22"/>
        </w:rPr>
      </w:pPr>
      <w:r w:rsidRPr="008B2341">
        <w:fldChar w:fldCharType="end"/>
      </w:r>
    </w:p>
    <w:p w:rsidR="00B27346" w:rsidRDefault="00B27346">
      <w:pPr>
        <w:jc w:val="left"/>
        <w:rPr>
          <w:caps/>
        </w:rPr>
      </w:pPr>
      <w:bookmarkStart w:id="5" w:name="_Toc378063626"/>
      <w:r>
        <w:br w:type="page"/>
      </w:r>
    </w:p>
    <w:p w:rsidR="00704EB7" w:rsidRPr="00174257" w:rsidRDefault="00704EB7" w:rsidP="00704EB7">
      <w:pPr>
        <w:pStyle w:val="Heading1"/>
        <w:keepNext w:val="0"/>
        <w:rPr>
          <w:lang w:val="fr-CH"/>
        </w:rPr>
      </w:pPr>
      <w:bookmarkStart w:id="6" w:name="_Toc380064894"/>
      <w:r w:rsidRPr="00174257">
        <w:rPr>
          <w:lang w:val="fr-CH"/>
        </w:rPr>
        <w:lastRenderedPageBreak/>
        <w:t>antecedentes</w:t>
      </w:r>
      <w:bookmarkEnd w:id="5"/>
      <w:bookmarkEnd w:id="6"/>
    </w:p>
    <w:p w:rsidR="00704EB7" w:rsidRPr="00174257" w:rsidRDefault="00704EB7" w:rsidP="00704EB7">
      <w:pPr>
        <w:rPr>
          <w:lang w:val="fr-CH"/>
        </w:rPr>
      </w:pPr>
    </w:p>
    <w:p w:rsidR="00704EB7" w:rsidRPr="00A50447" w:rsidRDefault="00F605ED" w:rsidP="00704EB7">
      <w:pPr>
        <w:pStyle w:val="Header"/>
        <w:tabs>
          <w:tab w:val="left" w:pos="720"/>
        </w:tabs>
        <w:jc w:val="both"/>
        <w:rPr>
          <w:lang w:val="es-ES_tradnl"/>
        </w:rPr>
      </w:pPr>
      <w:r w:rsidRPr="00652FF1">
        <w:fldChar w:fldCharType="begin"/>
      </w:r>
      <w:r w:rsidR="00704EB7" w:rsidRPr="00A50447">
        <w:rPr>
          <w:lang w:val="es-ES_tradnl"/>
        </w:rPr>
        <w:instrText xml:space="preserve"> AUTONUM  </w:instrText>
      </w:r>
      <w:r w:rsidRPr="00652FF1">
        <w:fldChar w:fldCharType="end"/>
      </w:r>
      <w:r w:rsidR="00704EB7" w:rsidRPr="00A50447">
        <w:rPr>
          <w:lang w:val="es-ES_tradnl"/>
        </w:rPr>
        <w:tab/>
        <w:t xml:space="preserve">En el documento TGP/8/1 </w:t>
      </w:r>
      <w:proofErr w:type="spellStart"/>
      <w:r w:rsidR="00704EB7" w:rsidRPr="00A50447">
        <w:rPr>
          <w:lang w:val="es-ES_tradnl"/>
        </w:rPr>
        <w:t>Draft</w:t>
      </w:r>
      <w:proofErr w:type="spellEnd"/>
      <w:r w:rsidR="00704EB7" w:rsidRPr="00A50447">
        <w:rPr>
          <w:lang w:val="es-ES_tradnl"/>
        </w:rPr>
        <w:t xml:space="preserve"> 7 PARTE I, párrafo 2.9.1</w:t>
      </w:r>
      <w:proofErr w:type="gramStart"/>
      <w:r w:rsidR="00704EB7" w:rsidRPr="00A50447">
        <w:rPr>
          <w:lang w:val="es-ES_tradnl"/>
        </w:rPr>
        <w:t>:  “</w:t>
      </w:r>
      <w:proofErr w:type="gramEnd"/>
      <w:r w:rsidR="00704EB7" w:rsidRPr="00A50447">
        <w:rPr>
          <w:i/>
          <w:lang w:val="es-ES_tradnl"/>
        </w:rPr>
        <w:t xml:space="preserve">Control of </w:t>
      </w:r>
      <w:proofErr w:type="spellStart"/>
      <w:r w:rsidR="00704EB7" w:rsidRPr="00A50447">
        <w:rPr>
          <w:i/>
          <w:lang w:val="es-ES_tradnl"/>
        </w:rPr>
        <w:t>variation</w:t>
      </w:r>
      <w:proofErr w:type="spellEnd"/>
      <w:r w:rsidR="00704EB7" w:rsidRPr="00A50447">
        <w:rPr>
          <w:i/>
          <w:lang w:val="es-ES_tradnl"/>
        </w:rPr>
        <w:t xml:space="preserve"> </w:t>
      </w:r>
      <w:proofErr w:type="spellStart"/>
      <w:r w:rsidR="00704EB7" w:rsidRPr="00A50447">
        <w:rPr>
          <w:i/>
          <w:lang w:val="es-ES_tradnl"/>
        </w:rPr>
        <w:t>due</w:t>
      </w:r>
      <w:proofErr w:type="spellEnd"/>
      <w:r w:rsidR="00704EB7" w:rsidRPr="00A50447">
        <w:rPr>
          <w:i/>
          <w:lang w:val="es-ES_tradnl"/>
        </w:rPr>
        <w:t xml:space="preserve"> </w:t>
      </w:r>
      <w:proofErr w:type="spellStart"/>
      <w:r w:rsidR="00704EB7" w:rsidRPr="00A50447">
        <w:rPr>
          <w:i/>
          <w:lang w:val="es-ES_tradnl"/>
        </w:rPr>
        <w:t>to</w:t>
      </w:r>
      <w:proofErr w:type="spellEnd"/>
      <w:r w:rsidR="00704EB7" w:rsidRPr="00A50447">
        <w:rPr>
          <w:i/>
          <w:lang w:val="es-ES_tradnl"/>
        </w:rPr>
        <w:t xml:space="preserve"> </w:t>
      </w:r>
      <w:proofErr w:type="spellStart"/>
      <w:r w:rsidR="00704EB7" w:rsidRPr="00A50447">
        <w:rPr>
          <w:i/>
          <w:lang w:val="es-ES_tradnl"/>
        </w:rPr>
        <w:t>different</w:t>
      </w:r>
      <w:proofErr w:type="spellEnd"/>
      <w:r w:rsidR="00704EB7" w:rsidRPr="00A50447">
        <w:rPr>
          <w:i/>
          <w:lang w:val="es-ES_tradnl"/>
        </w:rPr>
        <w:t xml:space="preserve"> </w:t>
      </w:r>
      <w:proofErr w:type="spellStart"/>
      <w:r w:rsidR="00704EB7" w:rsidRPr="00A50447">
        <w:rPr>
          <w:i/>
          <w:lang w:val="es-ES_tradnl"/>
        </w:rPr>
        <w:t>observers</w:t>
      </w:r>
      <w:proofErr w:type="spellEnd"/>
      <w:r w:rsidR="00704EB7" w:rsidRPr="00A50447">
        <w:rPr>
          <w:lang w:val="es-ES_tradnl"/>
        </w:rPr>
        <w:t>” (Control de la variación resultante de la ejecución de los ensayos por distintos observadores), sometido al examen de los Grupos de Trabajo Técnico, en sus sesiones de 2007, se dispone:</w:t>
      </w:r>
    </w:p>
    <w:p w:rsidR="00704EB7" w:rsidRPr="00A50447" w:rsidRDefault="00704EB7" w:rsidP="00704EB7">
      <w:pPr>
        <w:pStyle w:val="Header"/>
        <w:tabs>
          <w:tab w:val="left" w:pos="720"/>
        </w:tabs>
        <w:jc w:val="both"/>
        <w:rPr>
          <w:lang w:val="es-ES_tradnl"/>
        </w:rPr>
      </w:pPr>
    </w:p>
    <w:p w:rsidR="00704EB7" w:rsidRPr="00A50447" w:rsidRDefault="00704EB7" w:rsidP="00704EB7">
      <w:pPr>
        <w:ind w:left="720" w:right="998"/>
        <w:rPr>
          <w:i/>
          <w:iCs/>
          <w:lang w:val="es-ES_tradnl"/>
        </w:rPr>
      </w:pPr>
      <w:r w:rsidRPr="00A50447">
        <w:rPr>
          <w:i/>
          <w:lang w:val="es-ES_tradnl"/>
        </w:rPr>
        <w:t>[</w:t>
      </w:r>
      <w:r w:rsidR="00536DE5" w:rsidRPr="00A50447">
        <w:rPr>
          <w:i/>
          <w:lang w:val="es-ES_tradnl"/>
        </w:rPr>
        <w:t xml:space="preserve">Si esta sección </w:t>
      </w:r>
      <w:r w:rsidR="00403F51" w:rsidRPr="00A50447">
        <w:rPr>
          <w:i/>
          <w:lang w:val="es-ES_tradnl"/>
        </w:rPr>
        <w:t xml:space="preserve">fuera </w:t>
      </w:r>
      <w:r w:rsidR="00536DE5" w:rsidRPr="00A50447">
        <w:rPr>
          <w:i/>
          <w:lang w:val="es-ES_tradnl"/>
        </w:rPr>
        <w:t>necesaria, se invita a los TWP a que contribuyan con orientación sobre el control de la variación resultante de la ejecución de los ensayos por distintos observadores cuando no se utiliza el análisis estadístico para determinar la distinción y a analizarla en relación con el párrafo 2.7.2.9</w:t>
      </w:r>
      <w:r w:rsidR="00536DE5" w:rsidRPr="00A50447">
        <w:rPr>
          <w:lang w:val="es-ES_tradnl"/>
        </w:rPr>
        <w:t>.</w:t>
      </w:r>
      <w:r w:rsidRPr="00A50447">
        <w:rPr>
          <w:i/>
          <w:lang w:val="es-ES_tradnl"/>
        </w:rPr>
        <w:t>]</w:t>
      </w:r>
    </w:p>
    <w:p w:rsidR="00704EB7" w:rsidRPr="00A50447" w:rsidRDefault="00704EB7" w:rsidP="00704EB7">
      <w:pPr>
        <w:ind w:left="720" w:right="998"/>
        <w:rPr>
          <w:i/>
          <w:iCs/>
          <w:lang w:val="es-ES_tradnl"/>
        </w:rPr>
      </w:pPr>
    </w:p>
    <w:p w:rsidR="00704EB7" w:rsidRPr="00A50447" w:rsidRDefault="00F605ED" w:rsidP="00704EB7">
      <w:pPr>
        <w:rPr>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r>
      <w:r w:rsidR="005D5A40">
        <w:rPr>
          <w:lang w:val="es-ES_tradnl"/>
        </w:rPr>
        <w:t>En su vigésima sexta s</w:t>
      </w:r>
      <w:r w:rsidR="00704EB7" w:rsidRPr="00A50447">
        <w:rPr>
          <w:lang w:val="es-ES_tradnl"/>
        </w:rPr>
        <w:t>e</w:t>
      </w:r>
      <w:r w:rsidR="005D5A40">
        <w:rPr>
          <w:lang w:val="es-ES_tradnl"/>
        </w:rPr>
        <w:t>s</w:t>
      </w:r>
      <w:r w:rsidR="00704EB7" w:rsidRPr="00A50447">
        <w:rPr>
          <w:lang w:val="es-ES_tradnl"/>
        </w:rPr>
        <w:t xml:space="preserve">ión celebrada en </w:t>
      </w:r>
      <w:proofErr w:type="spellStart"/>
      <w:r w:rsidR="00704EB7" w:rsidRPr="00A50447">
        <w:rPr>
          <w:lang w:val="es-ES_tradnl"/>
        </w:rPr>
        <w:t>Jeju</w:t>
      </w:r>
      <w:proofErr w:type="spellEnd"/>
      <w:r w:rsidR="00704EB7" w:rsidRPr="00A50447">
        <w:rPr>
          <w:lang w:val="es-ES_tradnl"/>
        </w:rPr>
        <w:t xml:space="preserve"> (República de Cor</w:t>
      </w:r>
      <w:r w:rsidR="005D5A40">
        <w:rPr>
          <w:lang w:val="es-ES_tradnl"/>
        </w:rPr>
        <w:t>ea) del 2 al 5 de septiembre de </w:t>
      </w:r>
      <w:r w:rsidR="00704EB7" w:rsidRPr="00A50447">
        <w:rPr>
          <w:lang w:val="es-ES_tradnl"/>
        </w:rPr>
        <w:t xml:space="preserve">2008, el TWC acordó que </w:t>
      </w:r>
      <w:r w:rsidR="00403F51" w:rsidRPr="00A50447">
        <w:rPr>
          <w:lang w:val="es-ES_tradnl"/>
        </w:rPr>
        <w:t xml:space="preserve">el Sr. </w:t>
      </w:r>
      <w:proofErr w:type="spellStart"/>
      <w:r w:rsidR="00704EB7" w:rsidRPr="00A50447">
        <w:rPr>
          <w:lang w:val="es-ES_tradnl"/>
        </w:rPr>
        <w:t>Gerie</w:t>
      </w:r>
      <w:proofErr w:type="spellEnd"/>
      <w:r w:rsidR="00704EB7" w:rsidRPr="00A50447">
        <w:rPr>
          <w:lang w:val="es-ES_tradnl"/>
        </w:rPr>
        <w:t xml:space="preserve"> van der </w:t>
      </w:r>
      <w:proofErr w:type="spellStart"/>
      <w:r w:rsidR="00704EB7" w:rsidRPr="00A50447">
        <w:rPr>
          <w:lang w:val="es-ES_tradnl"/>
        </w:rPr>
        <w:t>Heijden</w:t>
      </w:r>
      <w:proofErr w:type="spellEnd"/>
      <w:r w:rsidR="00704EB7" w:rsidRPr="00A50447">
        <w:rPr>
          <w:lang w:val="es-ES_tradnl"/>
        </w:rPr>
        <w:t xml:space="preserve"> (Países Bajos) consultara a sus colegas del </w:t>
      </w:r>
      <w:proofErr w:type="spellStart"/>
      <w:r w:rsidR="00704EB7" w:rsidRPr="00A50447">
        <w:rPr>
          <w:lang w:val="es-ES_tradnl"/>
        </w:rPr>
        <w:t>Naktuinbouw</w:t>
      </w:r>
      <w:proofErr w:type="spellEnd"/>
      <w:r w:rsidR="00704EB7" w:rsidRPr="00A50447">
        <w:rPr>
          <w:lang w:val="es-ES_tradnl"/>
        </w:rPr>
        <w:t xml:space="preserve"> de los Países Bajos para </w:t>
      </w:r>
      <w:r w:rsidR="00403F51" w:rsidRPr="00A50447">
        <w:rPr>
          <w:lang w:val="es-ES_tradnl"/>
        </w:rPr>
        <w:t>determinar</w:t>
      </w:r>
      <w:r w:rsidR="00704EB7" w:rsidRPr="00A50447">
        <w:rPr>
          <w:lang w:val="es-ES_tradnl"/>
        </w:rPr>
        <w:t xml:space="preserve"> si podrían elaborar un borrador de esta sección.</w:t>
      </w:r>
    </w:p>
    <w:p w:rsidR="00704EB7" w:rsidRPr="00A50447" w:rsidRDefault="00704EB7" w:rsidP="00704EB7">
      <w:pPr>
        <w:rPr>
          <w:rFonts w:cs="Arial"/>
          <w:color w:val="000000"/>
          <w:lang w:val="es-ES_tradnl"/>
        </w:rPr>
      </w:pPr>
    </w:p>
    <w:p w:rsidR="00704EB7" w:rsidRPr="00A50447" w:rsidRDefault="00F605ED" w:rsidP="00704EB7">
      <w:pPr>
        <w:rPr>
          <w:rFonts w:cs="Arial"/>
          <w:color w:val="000000"/>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r>
      <w:r w:rsidR="00704EB7" w:rsidRPr="00A50447">
        <w:rPr>
          <w:color w:val="000000"/>
          <w:lang w:val="es-ES_tradnl"/>
        </w:rPr>
        <w:t xml:space="preserve">En su cuadragésima segunda sesión, celebrada en Cracovia (Polonia) del 23 al 27 de junio de 2008, el TWV señaló que había instado a la elaboración de dicha sección y convino en que debía constituir un texto adecuado para aquellos aspectos que no quedaran suficientemente explicados en el </w:t>
      </w:r>
      <w:r w:rsidR="00536DE5" w:rsidRPr="00A50447">
        <w:rPr>
          <w:color w:val="000000"/>
          <w:lang w:val="es-ES_tradnl"/>
        </w:rPr>
        <w:t>documento </w:t>
      </w:r>
      <w:r w:rsidR="00704EB7" w:rsidRPr="00A50447">
        <w:rPr>
          <w:color w:val="000000"/>
          <w:lang w:val="es-ES_tradnl"/>
        </w:rPr>
        <w:t>TWC/25/12.</w:t>
      </w:r>
    </w:p>
    <w:p w:rsidR="00704EB7" w:rsidRPr="00A50447" w:rsidRDefault="00704EB7" w:rsidP="00704EB7">
      <w:pPr>
        <w:pStyle w:val="Heading1"/>
        <w:rPr>
          <w:lang w:val="es-ES_tradnl"/>
        </w:rPr>
      </w:pPr>
    </w:p>
    <w:p w:rsidR="00704EB7" w:rsidRPr="00174257" w:rsidRDefault="00704EB7" w:rsidP="00704EB7">
      <w:pPr>
        <w:pStyle w:val="Heading1"/>
        <w:rPr>
          <w:lang w:val="fr-CH"/>
        </w:rPr>
      </w:pPr>
      <w:bookmarkStart w:id="7" w:name="_Toc378063627"/>
      <w:bookmarkStart w:id="8" w:name="_Toc380064895"/>
      <w:r w:rsidRPr="00174257">
        <w:rPr>
          <w:lang w:val="fr-CH"/>
        </w:rPr>
        <w:t>Novedades acaecidas en 2012</w:t>
      </w:r>
      <w:bookmarkEnd w:id="7"/>
      <w:bookmarkEnd w:id="8"/>
    </w:p>
    <w:p w:rsidR="00704EB7" w:rsidRPr="00174257" w:rsidRDefault="00704EB7" w:rsidP="00704EB7">
      <w:pPr>
        <w:rPr>
          <w:lang w:val="fr-CH"/>
        </w:rPr>
      </w:pPr>
    </w:p>
    <w:p w:rsidR="00704EB7" w:rsidRPr="00174257" w:rsidRDefault="00704EB7" w:rsidP="00704EB7">
      <w:pPr>
        <w:pStyle w:val="Heading2"/>
        <w:rPr>
          <w:lang w:val="fr-CH"/>
        </w:rPr>
      </w:pPr>
      <w:bookmarkStart w:id="9" w:name="_Toc378063628"/>
      <w:bookmarkStart w:id="10" w:name="_Toc380064896"/>
      <w:r w:rsidRPr="00174257">
        <w:rPr>
          <w:lang w:val="fr-CH"/>
        </w:rPr>
        <w:t xml:space="preserve">Comité </w:t>
      </w:r>
      <w:proofErr w:type="spellStart"/>
      <w:r w:rsidRPr="00174257">
        <w:rPr>
          <w:lang w:val="fr-CH"/>
        </w:rPr>
        <w:t>Técnico</w:t>
      </w:r>
      <w:bookmarkEnd w:id="9"/>
      <w:bookmarkEnd w:id="10"/>
      <w:proofErr w:type="spellEnd"/>
    </w:p>
    <w:p w:rsidR="00704EB7" w:rsidRPr="00174257" w:rsidRDefault="00704EB7" w:rsidP="00704EB7">
      <w:pPr>
        <w:rPr>
          <w:lang w:val="fr-CH"/>
        </w:rPr>
      </w:pPr>
    </w:p>
    <w:p w:rsidR="00704EB7" w:rsidRPr="00A50447" w:rsidRDefault="00F605ED" w:rsidP="00704EB7">
      <w:pPr>
        <w:rPr>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t xml:space="preserve">El Comité Técnico (TC), en su cuadragésima octava sesión, celebrada en Ginebra del 26 al </w:t>
      </w:r>
      <w:r w:rsidR="005D5A40">
        <w:rPr>
          <w:lang w:val="es-ES_tradnl"/>
        </w:rPr>
        <w:br/>
      </w:r>
      <w:r w:rsidR="00704EB7" w:rsidRPr="00A50447">
        <w:rPr>
          <w:lang w:val="es-ES_tradnl"/>
        </w:rPr>
        <w:t xml:space="preserve">28 de marzo de 2012, acordó solicitar al redactor que elabore un nuevo borrador de la sección, basándose en los comentarios formulados por los TWP en 2011, que figuran en el </w:t>
      </w:r>
      <w:r w:rsidR="005D5A40">
        <w:rPr>
          <w:lang w:val="es-ES_tradnl"/>
        </w:rPr>
        <w:t>Anexo II del documento TC/48/19 </w:t>
      </w:r>
      <w:r w:rsidR="00704EB7" w:rsidRPr="00A50447">
        <w:rPr>
          <w:lang w:val="es-ES_tradnl"/>
        </w:rPr>
        <w:t>Rev. (</w:t>
      </w:r>
      <w:proofErr w:type="gramStart"/>
      <w:r w:rsidR="00704EB7" w:rsidRPr="00A50447">
        <w:rPr>
          <w:lang w:val="es-ES_tradnl"/>
        </w:rPr>
        <w:t>véase</w:t>
      </w:r>
      <w:proofErr w:type="gramEnd"/>
      <w:r w:rsidR="00704EB7" w:rsidRPr="00A50447">
        <w:rPr>
          <w:lang w:val="es-ES_tradnl"/>
        </w:rPr>
        <w:t xml:space="preserve"> el párrafo 51 del documento TC/48/22 “Informe sobre las conclusiones”)</w:t>
      </w:r>
      <w:r w:rsidR="0098320D" w:rsidRPr="00A50447">
        <w:rPr>
          <w:lang w:val="es-ES_tradnl"/>
        </w:rPr>
        <w:t>.</w:t>
      </w:r>
    </w:p>
    <w:p w:rsidR="00704EB7" w:rsidRPr="00A50447" w:rsidRDefault="00704EB7" w:rsidP="00704EB7">
      <w:pPr>
        <w:rPr>
          <w:lang w:val="es-ES_tradnl"/>
        </w:rPr>
      </w:pPr>
    </w:p>
    <w:p w:rsidR="00704EB7" w:rsidRPr="00A50447" w:rsidRDefault="00704EB7" w:rsidP="00704EB7">
      <w:pPr>
        <w:pStyle w:val="Heading2"/>
        <w:rPr>
          <w:lang w:val="es-ES_tradnl"/>
        </w:rPr>
      </w:pPr>
      <w:bookmarkStart w:id="11" w:name="_Toc378063629"/>
      <w:bookmarkStart w:id="12" w:name="_Toc380064897"/>
      <w:r w:rsidRPr="00A50447">
        <w:rPr>
          <w:lang w:val="es-ES_tradnl"/>
        </w:rPr>
        <w:t>Grupo</w:t>
      </w:r>
      <w:r w:rsidR="00EA403B" w:rsidRPr="00A50447">
        <w:rPr>
          <w:lang w:val="es-ES_tradnl"/>
        </w:rPr>
        <w:t>s</w:t>
      </w:r>
      <w:r w:rsidRPr="00A50447">
        <w:rPr>
          <w:lang w:val="es-ES_tradnl"/>
        </w:rPr>
        <w:t xml:space="preserve"> de Trabajo Técnico</w:t>
      </w:r>
      <w:bookmarkEnd w:id="11"/>
      <w:bookmarkEnd w:id="12"/>
      <w:r w:rsidRPr="00A50447">
        <w:rPr>
          <w:lang w:val="es-ES_tradnl"/>
        </w:rPr>
        <w:t xml:space="preserve"> </w:t>
      </w:r>
    </w:p>
    <w:p w:rsidR="00704EB7" w:rsidRPr="00A50447" w:rsidRDefault="00704EB7" w:rsidP="00704EB7">
      <w:pPr>
        <w:rPr>
          <w:lang w:val="es-ES_tradnl"/>
        </w:rPr>
      </w:pPr>
    </w:p>
    <w:p w:rsidR="00704EB7" w:rsidRPr="00A50447" w:rsidRDefault="00F605ED" w:rsidP="00704EB7">
      <w:pPr>
        <w:rPr>
          <w:snapToGrid w:val="0"/>
          <w:lang w:val="es-ES_tradnl"/>
        </w:rPr>
      </w:pPr>
      <w:r w:rsidRPr="00F97432">
        <w:fldChar w:fldCharType="begin"/>
      </w:r>
      <w:r w:rsidR="00704EB7" w:rsidRPr="00A50447">
        <w:rPr>
          <w:lang w:val="es-ES_tradnl"/>
        </w:rPr>
        <w:instrText xml:space="preserve"> AUTONUM  </w:instrText>
      </w:r>
      <w:r w:rsidRPr="00F97432">
        <w:fldChar w:fldCharType="end"/>
      </w:r>
      <w:r w:rsidR="005D5A40">
        <w:rPr>
          <w:lang w:val="es-ES_tradnl"/>
        </w:rPr>
        <w:tab/>
        <w:t>En sus s</w:t>
      </w:r>
      <w:r w:rsidR="00704EB7" w:rsidRPr="00A50447">
        <w:rPr>
          <w:lang w:val="es-ES_tradnl"/>
        </w:rPr>
        <w:t>e</w:t>
      </w:r>
      <w:r w:rsidR="005D5A40">
        <w:rPr>
          <w:lang w:val="es-ES_tradnl"/>
        </w:rPr>
        <w:t>s</w:t>
      </w:r>
      <w:r w:rsidR="00704EB7" w:rsidRPr="00A50447">
        <w:rPr>
          <w:lang w:val="es-ES_tradnl"/>
        </w:rPr>
        <w:t>iones de 2012, el TWA, el TWV, el TWC, el TWF y el TWO examinaron los documentos TWA/41/24, TWV/46/24, TWC/30/24, TWF/43/24 y TWO/45/24 respectivamente, en los que figura el texto propuesto de una nueva sección del documento TGP/8 Parte I:</w:t>
      </w:r>
      <w:r w:rsidR="0098320D" w:rsidRPr="00A50447">
        <w:rPr>
          <w:lang w:val="es-ES_tradnl"/>
        </w:rPr>
        <w:t xml:space="preserve">  </w:t>
      </w:r>
      <w:r w:rsidR="00704EB7" w:rsidRPr="00A50447">
        <w:rPr>
          <w:lang w:val="es-ES_tradnl"/>
        </w:rPr>
        <w:t xml:space="preserve">“Diseño de ensayos DHE y análisis de </w:t>
      </w:r>
      <w:proofErr w:type="spellStart"/>
      <w:r w:rsidR="00704EB7" w:rsidRPr="00A50447">
        <w:rPr>
          <w:lang w:val="es-ES_tradnl"/>
        </w:rPr>
        <w:t>datos</w:t>
      </w:r>
      <w:r w:rsidR="00EA403B" w:rsidRPr="00A50447">
        <w:rPr>
          <w:rFonts w:cs="Arial"/>
          <w:lang w:val="es-ES_tradnl"/>
        </w:rPr>
        <w:t>ˮ</w:t>
      </w:r>
      <w:proofErr w:type="spellEnd"/>
      <w:r w:rsidR="00704EB7" w:rsidRPr="00A50447">
        <w:rPr>
          <w:lang w:val="es-ES_tradnl"/>
        </w:rPr>
        <w:t xml:space="preserve"> sobre </w:t>
      </w:r>
      <w:r w:rsidR="00EA403B" w:rsidRPr="00A50447">
        <w:rPr>
          <w:rFonts w:cs="Arial"/>
          <w:lang w:val="es-ES_tradnl"/>
        </w:rPr>
        <w:t>‟</w:t>
      </w:r>
      <w:r w:rsidR="005D5A40">
        <w:rPr>
          <w:lang w:val="es-ES_tradnl"/>
        </w:rPr>
        <w:t xml:space="preserve">Minimizar </w:t>
      </w:r>
      <w:r w:rsidR="00704EB7" w:rsidRPr="00A50447">
        <w:rPr>
          <w:lang w:val="es-ES_tradnl"/>
        </w:rPr>
        <w:t>la variación resultante de la ejecución de los ensayos por distintos observadores” preparado por el Sr. </w:t>
      </w:r>
      <w:proofErr w:type="spellStart"/>
      <w:r w:rsidR="00704EB7" w:rsidRPr="00A50447">
        <w:rPr>
          <w:lang w:val="es-ES_tradnl"/>
        </w:rPr>
        <w:t>Gerie</w:t>
      </w:r>
      <w:proofErr w:type="spellEnd"/>
      <w:r w:rsidR="00704EB7" w:rsidRPr="00A50447">
        <w:rPr>
          <w:lang w:val="es-ES_tradnl"/>
        </w:rPr>
        <w:t xml:space="preserve"> van der </w:t>
      </w:r>
      <w:proofErr w:type="spellStart"/>
      <w:r w:rsidR="00704EB7" w:rsidRPr="00A50447">
        <w:rPr>
          <w:lang w:val="es-ES_tradnl"/>
        </w:rPr>
        <w:t>Heijden</w:t>
      </w:r>
      <w:proofErr w:type="spellEnd"/>
      <w:r w:rsidR="00704EB7" w:rsidRPr="00A50447">
        <w:rPr>
          <w:lang w:val="es-ES_tradnl"/>
        </w:rPr>
        <w:t xml:space="preserve"> (Países Bajos) y </w:t>
      </w:r>
      <w:r w:rsidR="00704EB7" w:rsidRPr="00A50447">
        <w:rPr>
          <w:snapToGrid w:val="0"/>
          <w:lang w:val="es-ES_tradnl"/>
        </w:rPr>
        <w:t>formularon los siguientes comentarios:</w:t>
      </w:r>
    </w:p>
    <w:p w:rsidR="00704EB7" w:rsidRPr="00A50447" w:rsidRDefault="00704EB7" w:rsidP="00704EB7">
      <w:pPr>
        <w:rPr>
          <w:snapToGrid w:val="0"/>
          <w:lang w:val="es-ES_tradnl"/>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1550"/>
        <w:gridCol w:w="7293"/>
        <w:gridCol w:w="899"/>
      </w:tblGrid>
      <w:tr w:rsidR="00704EB7" w:rsidRPr="00F97432" w:rsidTr="000771CF">
        <w:tc>
          <w:tcPr>
            <w:tcW w:w="938" w:type="dxa"/>
            <w:tcMar>
              <w:top w:w="0" w:type="dxa"/>
              <w:left w:w="108" w:type="dxa"/>
              <w:bottom w:w="0" w:type="dxa"/>
              <w:right w:w="108" w:type="dxa"/>
            </w:tcMar>
          </w:tcPr>
          <w:p w:rsidR="00704EB7" w:rsidRPr="00F97432" w:rsidRDefault="00704EB7" w:rsidP="000771CF">
            <w:pPr>
              <w:rPr>
                <w:rFonts w:cs="Arial"/>
                <w:sz w:val="22"/>
                <w:szCs w:val="22"/>
              </w:rPr>
            </w:pPr>
            <w:proofErr w:type="spellStart"/>
            <w:r w:rsidRPr="00F97432">
              <w:t>Observaciones</w:t>
            </w:r>
            <w:proofErr w:type="spellEnd"/>
            <w:r w:rsidRPr="00F97432">
              <w:t xml:space="preserve"> </w:t>
            </w:r>
            <w:proofErr w:type="spellStart"/>
            <w:r w:rsidRPr="00F97432">
              <w:t>generales</w:t>
            </w:r>
            <w:proofErr w:type="spellEnd"/>
          </w:p>
        </w:tc>
        <w:tc>
          <w:tcPr>
            <w:tcW w:w="7882" w:type="dxa"/>
            <w:tcMar>
              <w:top w:w="0" w:type="dxa"/>
              <w:left w:w="108" w:type="dxa"/>
              <w:bottom w:w="0" w:type="dxa"/>
              <w:right w:w="108" w:type="dxa"/>
            </w:tcMar>
          </w:tcPr>
          <w:p w:rsidR="00704EB7" w:rsidRPr="00A50447" w:rsidRDefault="00704EB7" w:rsidP="00F80D78">
            <w:pPr>
              <w:rPr>
                <w:rFonts w:cs="Arial"/>
                <w:sz w:val="22"/>
                <w:szCs w:val="22"/>
                <w:lang w:val="es-ES_tradnl"/>
              </w:rPr>
            </w:pPr>
            <w:r w:rsidRPr="00A50447">
              <w:rPr>
                <w:lang w:val="es-ES_tradnl"/>
              </w:rPr>
              <w:t xml:space="preserve">El TWV examinó el documento TWC/46/24 y destacó la importancia de la calibración efectuada por el observador (véase el párrafo 35 del documento TWV/46/41 </w:t>
            </w:r>
            <w:r w:rsidR="00F80D78" w:rsidRPr="00A50447">
              <w:rPr>
                <w:rFonts w:cs="Arial"/>
                <w:lang w:val="es-ES_tradnl"/>
              </w:rPr>
              <w:t>‟</w:t>
            </w:r>
            <w:proofErr w:type="spellStart"/>
            <w:r w:rsidRPr="00A50447">
              <w:rPr>
                <w:i/>
                <w:lang w:val="es-ES_tradnl"/>
              </w:rPr>
              <w:t>Report</w:t>
            </w:r>
            <w:r w:rsidR="00F80D78" w:rsidRPr="00A50447">
              <w:rPr>
                <w:rFonts w:cs="Arial"/>
                <w:lang w:val="es-ES_tradnl"/>
              </w:rPr>
              <w:t>ˮ</w:t>
            </w:r>
            <w:proofErr w:type="spellEnd"/>
            <w:r w:rsidRPr="00A50447">
              <w:rPr>
                <w:lang w:val="es-ES_tradnl"/>
              </w:rPr>
              <w:t xml:space="preserve"> (Informe).</w:t>
            </w:r>
          </w:p>
        </w:tc>
        <w:tc>
          <w:tcPr>
            <w:tcW w:w="922" w:type="dxa"/>
            <w:tcMar>
              <w:top w:w="0" w:type="dxa"/>
              <w:left w:w="108" w:type="dxa"/>
              <w:bottom w:w="0" w:type="dxa"/>
              <w:right w:w="108" w:type="dxa"/>
            </w:tcMar>
          </w:tcPr>
          <w:p w:rsidR="00704EB7" w:rsidRPr="00F97432" w:rsidRDefault="00704EB7" w:rsidP="000771CF">
            <w:pPr>
              <w:rPr>
                <w:rFonts w:cs="Arial"/>
                <w:sz w:val="22"/>
                <w:szCs w:val="22"/>
              </w:rPr>
            </w:pPr>
            <w:r w:rsidRPr="00F97432">
              <w:t>TWV</w:t>
            </w:r>
          </w:p>
        </w:tc>
      </w:tr>
      <w:tr w:rsidR="00704EB7" w:rsidRPr="00F97432" w:rsidTr="000771CF">
        <w:tc>
          <w:tcPr>
            <w:tcW w:w="938" w:type="dxa"/>
            <w:tcMar>
              <w:top w:w="0" w:type="dxa"/>
              <w:left w:w="108" w:type="dxa"/>
              <w:bottom w:w="0" w:type="dxa"/>
              <w:right w:w="108" w:type="dxa"/>
            </w:tcMar>
          </w:tcPr>
          <w:p w:rsidR="00704EB7" w:rsidRPr="00F97432" w:rsidRDefault="00704EB7" w:rsidP="000771CF">
            <w:pPr>
              <w:rPr>
                <w:rFonts w:cs="Arial"/>
                <w:sz w:val="22"/>
                <w:szCs w:val="22"/>
              </w:rPr>
            </w:pPr>
          </w:p>
        </w:tc>
        <w:tc>
          <w:tcPr>
            <w:tcW w:w="7882" w:type="dxa"/>
            <w:tcMar>
              <w:top w:w="0" w:type="dxa"/>
              <w:left w:w="108" w:type="dxa"/>
              <w:bottom w:w="0" w:type="dxa"/>
              <w:right w:w="108" w:type="dxa"/>
            </w:tcMar>
          </w:tcPr>
          <w:p w:rsidR="00704EB7" w:rsidRPr="00A50447" w:rsidRDefault="00704EB7" w:rsidP="009201DC">
            <w:pPr>
              <w:rPr>
                <w:rFonts w:cs="Arial"/>
                <w:sz w:val="22"/>
                <w:szCs w:val="22"/>
                <w:lang w:val="es-ES_tradnl"/>
              </w:rPr>
            </w:pPr>
            <w:r w:rsidRPr="00A50447">
              <w:rPr>
                <w:lang w:val="es-ES_tradnl"/>
              </w:rPr>
              <w:t xml:space="preserve">El TWC examinó el documento TWC/30/24 y recomendó que </w:t>
            </w:r>
            <w:r w:rsidR="009201DC" w:rsidRPr="00A50447">
              <w:rPr>
                <w:lang w:val="es-ES_tradnl"/>
              </w:rPr>
              <w:t xml:space="preserve">se sometiera </w:t>
            </w:r>
            <w:r w:rsidRPr="00A50447">
              <w:rPr>
                <w:lang w:val="es-ES_tradnl"/>
              </w:rPr>
              <w:t>a consideración del TC para su inclusión en el TGP/8 tras la modificación de la última frase de la sección 6.1 de modo que el texto sea</w:t>
            </w:r>
            <w:proofErr w:type="gramStart"/>
            <w:r w:rsidR="0098320D" w:rsidRPr="00A50447">
              <w:rPr>
                <w:lang w:val="es-ES_tradnl"/>
              </w:rPr>
              <w:t xml:space="preserve">:  </w:t>
            </w:r>
            <w:r w:rsidR="009201DC" w:rsidRPr="00A50447">
              <w:rPr>
                <w:rFonts w:cs="Arial"/>
                <w:lang w:val="es-ES_tradnl"/>
              </w:rPr>
              <w:t>‟</w:t>
            </w:r>
            <w:proofErr w:type="gramEnd"/>
            <w:r w:rsidRPr="00A50447">
              <w:rPr>
                <w:lang w:val="es-ES_tradnl"/>
              </w:rPr>
              <w:t xml:space="preserve">las diferencias </w:t>
            </w:r>
            <w:proofErr w:type="spellStart"/>
            <w:r w:rsidRPr="00A50447">
              <w:rPr>
                <w:lang w:val="es-ES_tradnl"/>
              </w:rPr>
              <w:t>sistemáticas</w:t>
            </w:r>
            <w:r w:rsidR="00F80D78" w:rsidRPr="00A50447">
              <w:rPr>
                <w:rFonts w:cs="Arial"/>
                <w:lang w:val="es-ES_tradnl"/>
              </w:rPr>
              <w:t>ˮ</w:t>
            </w:r>
            <w:proofErr w:type="spellEnd"/>
            <w:r w:rsidR="001C6EA7">
              <w:rPr>
                <w:lang w:val="es-ES_tradnl"/>
              </w:rPr>
              <w:t xml:space="preserve"> (</w:t>
            </w:r>
            <w:r w:rsidRPr="00A50447">
              <w:rPr>
                <w:lang w:val="es-ES_tradnl"/>
              </w:rPr>
              <w:t xml:space="preserve">véase el párrafo 23 del documento TWC/30/41 </w:t>
            </w:r>
            <w:r w:rsidR="00F80D78" w:rsidRPr="00A50447">
              <w:rPr>
                <w:rFonts w:cs="Arial"/>
                <w:lang w:val="es-ES_tradnl"/>
              </w:rPr>
              <w:t>‟</w:t>
            </w:r>
            <w:proofErr w:type="spellStart"/>
            <w:r w:rsidRPr="00A50447">
              <w:rPr>
                <w:i/>
                <w:lang w:val="es-ES_tradnl"/>
              </w:rPr>
              <w:t>Report</w:t>
            </w:r>
            <w:r w:rsidR="009201DC" w:rsidRPr="00A50447">
              <w:rPr>
                <w:rFonts w:cs="Arial"/>
                <w:lang w:val="es-ES_tradnl"/>
              </w:rPr>
              <w:t>ˮ</w:t>
            </w:r>
            <w:proofErr w:type="spellEnd"/>
            <w:r w:rsidR="001C6EA7">
              <w:rPr>
                <w:lang w:val="es-ES_tradnl"/>
              </w:rPr>
              <w:t xml:space="preserve"> (Informe)</w:t>
            </w:r>
            <w:r w:rsidRPr="00A50447">
              <w:rPr>
                <w:lang w:val="es-ES_tradnl"/>
              </w:rPr>
              <w:t>.</w:t>
            </w:r>
          </w:p>
        </w:tc>
        <w:tc>
          <w:tcPr>
            <w:tcW w:w="922" w:type="dxa"/>
            <w:tcMar>
              <w:top w:w="0" w:type="dxa"/>
              <w:left w:w="108" w:type="dxa"/>
              <w:bottom w:w="0" w:type="dxa"/>
              <w:right w:w="108" w:type="dxa"/>
            </w:tcMar>
          </w:tcPr>
          <w:p w:rsidR="00704EB7" w:rsidRPr="00F97432" w:rsidRDefault="00704EB7" w:rsidP="000771CF">
            <w:pPr>
              <w:rPr>
                <w:rFonts w:cs="Arial"/>
                <w:sz w:val="22"/>
                <w:szCs w:val="22"/>
              </w:rPr>
            </w:pPr>
            <w:r w:rsidRPr="00F97432">
              <w:t>TWC</w:t>
            </w:r>
          </w:p>
        </w:tc>
      </w:tr>
    </w:tbl>
    <w:p w:rsidR="00704EB7" w:rsidRPr="00F97432" w:rsidRDefault="00704EB7" w:rsidP="00704EB7">
      <w:pPr>
        <w:pStyle w:val="Heading1"/>
      </w:pPr>
    </w:p>
    <w:p w:rsidR="00704EB7" w:rsidRPr="00F97432" w:rsidRDefault="00704EB7" w:rsidP="00704EB7">
      <w:pPr>
        <w:pStyle w:val="Heading1"/>
      </w:pPr>
      <w:bookmarkStart w:id="13" w:name="_Toc378063630"/>
      <w:bookmarkStart w:id="14" w:name="_Toc380064898"/>
      <w:r w:rsidRPr="00F97432">
        <w:t>Novedades acaecidas en 2013</w:t>
      </w:r>
      <w:bookmarkEnd w:id="13"/>
      <w:bookmarkEnd w:id="14"/>
    </w:p>
    <w:p w:rsidR="00704EB7" w:rsidRPr="00F97432" w:rsidRDefault="00704EB7" w:rsidP="00704EB7"/>
    <w:p w:rsidR="00704EB7" w:rsidRPr="00F97432" w:rsidRDefault="00704EB7" w:rsidP="00704EB7">
      <w:pPr>
        <w:pStyle w:val="Heading2"/>
      </w:pPr>
      <w:bookmarkStart w:id="15" w:name="_Toc378063631"/>
      <w:bookmarkStart w:id="16" w:name="_Toc380064899"/>
      <w:proofErr w:type="spellStart"/>
      <w:r w:rsidRPr="00F97432">
        <w:t>Comité</w:t>
      </w:r>
      <w:proofErr w:type="spellEnd"/>
      <w:r w:rsidRPr="00F97432">
        <w:t xml:space="preserve"> de </w:t>
      </w:r>
      <w:proofErr w:type="spellStart"/>
      <w:r w:rsidRPr="00F97432">
        <w:t>Redacción</w:t>
      </w:r>
      <w:proofErr w:type="spellEnd"/>
      <w:r w:rsidRPr="00F97432">
        <w:t xml:space="preserve"> </w:t>
      </w:r>
      <w:proofErr w:type="spellStart"/>
      <w:r w:rsidRPr="00F97432">
        <w:t>Ampliado</w:t>
      </w:r>
      <w:bookmarkEnd w:id="15"/>
      <w:bookmarkEnd w:id="16"/>
      <w:proofErr w:type="spellEnd"/>
      <w:r w:rsidRPr="00F97432">
        <w:t xml:space="preserve"> </w:t>
      </w:r>
    </w:p>
    <w:p w:rsidR="00704EB7" w:rsidRPr="00F97432" w:rsidRDefault="00704EB7" w:rsidP="00704EB7"/>
    <w:p w:rsidR="00704EB7" w:rsidRPr="00A50447" w:rsidRDefault="00F605ED" w:rsidP="00704EB7">
      <w:pPr>
        <w:rPr>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t>En su reunión celebrada en Ginebra los días 9 y 10 de enero de 2013,</w:t>
      </w:r>
      <w:r w:rsidR="001C6EA7">
        <w:rPr>
          <w:lang w:val="es-ES_tradnl"/>
        </w:rPr>
        <w:t xml:space="preserve"> el TC-EDC examinó el documento </w:t>
      </w:r>
      <w:r w:rsidR="00704EB7" w:rsidRPr="00A50447">
        <w:rPr>
          <w:lang w:val="es-ES_tradnl"/>
        </w:rPr>
        <w:t>TC-EDC/Jan13/9 “</w:t>
      </w:r>
      <w:proofErr w:type="spellStart"/>
      <w:r w:rsidR="00704EB7" w:rsidRPr="00A50447">
        <w:rPr>
          <w:i/>
          <w:lang w:val="es-ES_tradnl"/>
        </w:rPr>
        <w:t>Revision</w:t>
      </w:r>
      <w:proofErr w:type="spellEnd"/>
      <w:r w:rsidR="00704EB7" w:rsidRPr="00A50447">
        <w:rPr>
          <w:i/>
          <w:lang w:val="es-ES_tradnl"/>
        </w:rPr>
        <w:t xml:space="preserve"> of </w:t>
      </w:r>
      <w:proofErr w:type="spellStart"/>
      <w:r w:rsidR="00704EB7" w:rsidRPr="00A50447">
        <w:rPr>
          <w:i/>
          <w:lang w:val="es-ES_tradnl"/>
        </w:rPr>
        <w:t>document</w:t>
      </w:r>
      <w:proofErr w:type="spellEnd"/>
      <w:r w:rsidR="00704EB7" w:rsidRPr="00A50447">
        <w:rPr>
          <w:i/>
          <w:lang w:val="es-ES_tradnl"/>
        </w:rPr>
        <w:t xml:space="preserve"> TGP/8 </w:t>
      </w:r>
      <w:proofErr w:type="spellStart"/>
      <w:r w:rsidR="00704EB7" w:rsidRPr="00A50447">
        <w:rPr>
          <w:i/>
          <w:lang w:val="es-ES_tradnl"/>
        </w:rPr>
        <w:t>part</w:t>
      </w:r>
      <w:proofErr w:type="spellEnd"/>
      <w:r w:rsidR="00704EB7" w:rsidRPr="00A50447">
        <w:rPr>
          <w:i/>
          <w:lang w:val="es-ES_tradnl"/>
        </w:rPr>
        <w:t xml:space="preserve"> I: DUS Trial and </w:t>
      </w:r>
      <w:proofErr w:type="spellStart"/>
      <w:r w:rsidR="00704EB7" w:rsidRPr="00A50447">
        <w:rPr>
          <w:i/>
          <w:lang w:val="es-ES_tradnl"/>
        </w:rPr>
        <w:t>Design</w:t>
      </w:r>
      <w:proofErr w:type="spellEnd"/>
      <w:r w:rsidR="00704EB7" w:rsidRPr="00A50447">
        <w:rPr>
          <w:i/>
          <w:lang w:val="es-ES_tradnl"/>
        </w:rPr>
        <w:t xml:space="preserve"> and Data </w:t>
      </w:r>
      <w:proofErr w:type="spellStart"/>
      <w:r w:rsidR="00704EB7" w:rsidRPr="00A50447">
        <w:rPr>
          <w:i/>
          <w:lang w:val="es-ES_tradnl"/>
        </w:rPr>
        <w:t>Analysis</w:t>
      </w:r>
      <w:proofErr w:type="spellEnd"/>
      <w:r w:rsidR="00704EB7" w:rsidRPr="00A50447">
        <w:rPr>
          <w:i/>
          <w:lang w:val="es-ES_tradnl"/>
        </w:rPr>
        <w:t xml:space="preserve">, New </w:t>
      </w:r>
      <w:proofErr w:type="spellStart"/>
      <w:r w:rsidR="00704EB7" w:rsidRPr="00A50447">
        <w:rPr>
          <w:i/>
          <w:lang w:val="es-ES_tradnl"/>
        </w:rPr>
        <w:t>Section</w:t>
      </w:r>
      <w:proofErr w:type="spellEnd"/>
      <w:r w:rsidR="00704EB7" w:rsidRPr="00A50447">
        <w:rPr>
          <w:i/>
          <w:lang w:val="es-ES_tradnl"/>
        </w:rPr>
        <w:t xml:space="preserve">: </w:t>
      </w:r>
      <w:proofErr w:type="spellStart"/>
      <w:r w:rsidR="00704EB7" w:rsidRPr="00A50447">
        <w:rPr>
          <w:i/>
          <w:lang w:val="es-ES_tradnl"/>
        </w:rPr>
        <w:t>Minimizing</w:t>
      </w:r>
      <w:proofErr w:type="spellEnd"/>
      <w:r w:rsidR="00704EB7" w:rsidRPr="00A50447">
        <w:rPr>
          <w:i/>
          <w:lang w:val="es-ES_tradnl"/>
        </w:rPr>
        <w:t xml:space="preserve"> </w:t>
      </w:r>
      <w:proofErr w:type="spellStart"/>
      <w:r w:rsidR="00704EB7" w:rsidRPr="00A50447">
        <w:rPr>
          <w:i/>
          <w:lang w:val="es-ES_tradnl"/>
        </w:rPr>
        <w:t>the</w:t>
      </w:r>
      <w:proofErr w:type="spellEnd"/>
      <w:r w:rsidR="00704EB7" w:rsidRPr="00A50447">
        <w:rPr>
          <w:i/>
          <w:lang w:val="es-ES_tradnl"/>
        </w:rPr>
        <w:t xml:space="preserve"> </w:t>
      </w:r>
      <w:proofErr w:type="spellStart"/>
      <w:r w:rsidR="00704EB7" w:rsidRPr="00A50447">
        <w:rPr>
          <w:i/>
          <w:lang w:val="es-ES_tradnl"/>
        </w:rPr>
        <w:t>Variation</w:t>
      </w:r>
      <w:proofErr w:type="spellEnd"/>
      <w:r w:rsidR="00704EB7" w:rsidRPr="00A50447">
        <w:rPr>
          <w:i/>
          <w:lang w:val="es-ES_tradnl"/>
        </w:rPr>
        <w:t xml:space="preserve"> </w:t>
      </w:r>
      <w:proofErr w:type="spellStart"/>
      <w:r w:rsidR="00704EB7" w:rsidRPr="00A50447">
        <w:rPr>
          <w:i/>
          <w:lang w:val="es-ES_tradnl"/>
        </w:rPr>
        <w:t>due</w:t>
      </w:r>
      <w:proofErr w:type="spellEnd"/>
      <w:r w:rsidR="00704EB7" w:rsidRPr="00A50447">
        <w:rPr>
          <w:i/>
          <w:lang w:val="es-ES_tradnl"/>
        </w:rPr>
        <w:t xml:space="preserve"> </w:t>
      </w:r>
      <w:proofErr w:type="spellStart"/>
      <w:r w:rsidR="00704EB7" w:rsidRPr="00A50447">
        <w:rPr>
          <w:i/>
          <w:lang w:val="es-ES_tradnl"/>
        </w:rPr>
        <w:t>to</w:t>
      </w:r>
      <w:proofErr w:type="spellEnd"/>
      <w:r w:rsidR="00704EB7" w:rsidRPr="00A50447">
        <w:rPr>
          <w:i/>
          <w:lang w:val="es-ES_tradnl"/>
        </w:rPr>
        <w:t xml:space="preserve"> </w:t>
      </w:r>
      <w:proofErr w:type="spellStart"/>
      <w:r w:rsidR="00704EB7" w:rsidRPr="00A50447">
        <w:rPr>
          <w:i/>
          <w:lang w:val="es-ES_tradnl"/>
        </w:rPr>
        <w:t>Different</w:t>
      </w:r>
      <w:proofErr w:type="spellEnd"/>
      <w:r w:rsidR="00704EB7" w:rsidRPr="00A50447">
        <w:rPr>
          <w:i/>
          <w:lang w:val="es-ES_tradnl"/>
        </w:rPr>
        <w:t xml:space="preserve"> </w:t>
      </w:r>
      <w:proofErr w:type="spellStart"/>
      <w:r w:rsidR="00704EB7" w:rsidRPr="00A50447">
        <w:rPr>
          <w:i/>
          <w:lang w:val="es-ES_tradnl"/>
        </w:rPr>
        <w:t>Observers</w:t>
      </w:r>
      <w:proofErr w:type="spellEnd"/>
      <w:r w:rsidR="00704EB7" w:rsidRPr="00A50447">
        <w:rPr>
          <w:lang w:val="es-ES_tradnl"/>
        </w:rPr>
        <w:t>” (Revisión del documento TGP/8 Parte I</w:t>
      </w:r>
      <w:r w:rsidR="0098320D" w:rsidRPr="00A50447">
        <w:rPr>
          <w:lang w:val="es-ES_tradnl"/>
        </w:rPr>
        <w:t>:</w:t>
      </w:r>
      <w:r w:rsidR="00FC17AB" w:rsidRPr="00A50447">
        <w:rPr>
          <w:lang w:val="es-ES_tradnl"/>
        </w:rPr>
        <w:t xml:space="preserve">  </w:t>
      </w:r>
      <w:r w:rsidR="00704EB7" w:rsidRPr="00A50447">
        <w:rPr>
          <w:lang w:val="es-ES_tradnl"/>
        </w:rPr>
        <w:t xml:space="preserve">Diseño de ensayos DHE y análisis de datos, nueva sección:  </w:t>
      </w:r>
      <w:r w:rsidR="001C6EA7">
        <w:rPr>
          <w:lang w:val="es-ES_tradnl"/>
        </w:rPr>
        <w:t xml:space="preserve">Minimizar </w:t>
      </w:r>
      <w:r w:rsidR="00704EB7" w:rsidRPr="00A50447">
        <w:rPr>
          <w:lang w:val="es-ES_tradnl"/>
        </w:rPr>
        <w:t>la variación resultante de la ejecución de los ensayos por distintos observadores) y formuló los siguientes comentarios:</w:t>
      </w:r>
    </w:p>
    <w:p w:rsidR="00704EB7" w:rsidRPr="00A50447" w:rsidRDefault="00704EB7" w:rsidP="00704EB7">
      <w:pPr>
        <w:rPr>
          <w:lang w:val="es-ES_tradnl"/>
        </w:rPr>
      </w:pP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704EB7" w:rsidRPr="00A50447" w:rsidTr="000771CF">
        <w:tc>
          <w:tcPr>
            <w:tcW w:w="1658" w:type="dxa"/>
          </w:tcPr>
          <w:p w:rsidR="00704EB7" w:rsidRPr="00F97432" w:rsidRDefault="00704EB7" w:rsidP="000771CF">
            <w:pPr>
              <w:rPr>
                <w:rFonts w:cs="Arial"/>
              </w:rPr>
            </w:pPr>
            <w:proofErr w:type="spellStart"/>
            <w:r w:rsidRPr="00F97432">
              <w:t>Observación</w:t>
            </w:r>
            <w:proofErr w:type="spellEnd"/>
            <w:r w:rsidRPr="00F97432">
              <w:t xml:space="preserve"> general</w:t>
            </w:r>
          </w:p>
        </w:tc>
        <w:tc>
          <w:tcPr>
            <w:tcW w:w="8062" w:type="dxa"/>
          </w:tcPr>
          <w:p w:rsidR="00704EB7" w:rsidRPr="00A50447" w:rsidRDefault="00704EB7" w:rsidP="000771CF">
            <w:pPr>
              <w:keepNext/>
              <w:rPr>
                <w:rFonts w:cs="Arial"/>
                <w:lang w:val="es-ES_tradnl"/>
              </w:rPr>
            </w:pPr>
            <w:r w:rsidRPr="00A50447">
              <w:rPr>
                <w:lang w:val="es-ES_tradnl"/>
              </w:rPr>
              <w:t>El documento debe abarcar también los caracteres PQ (por ejemplo, color, forma, etc.)</w:t>
            </w:r>
          </w:p>
        </w:tc>
      </w:tr>
      <w:tr w:rsidR="00704EB7" w:rsidRPr="00A50447" w:rsidTr="000771CF">
        <w:tc>
          <w:tcPr>
            <w:tcW w:w="1658" w:type="dxa"/>
          </w:tcPr>
          <w:p w:rsidR="00704EB7" w:rsidRPr="00F97432" w:rsidRDefault="00704EB7" w:rsidP="000771CF">
            <w:pPr>
              <w:rPr>
                <w:rFonts w:cs="Arial"/>
              </w:rPr>
            </w:pPr>
            <w:proofErr w:type="spellStart"/>
            <w:r w:rsidRPr="00F97432">
              <w:t>Título</w:t>
            </w:r>
            <w:proofErr w:type="spellEnd"/>
          </w:p>
        </w:tc>
        <w:tc>
          <w:tcPr>
            <w:tcW w:w="8062" w:type="dxa"/>
          </w:tcPr>
          <w:p w:rsidR="00704EB7" w:rsidRPr="00A50447" w:rsidRDefault="00704EB7" w:rsidP="001C6EA7">
            <w:pPr>
              <w:keepNext/>
              <w:rPr>
                <w:rFonts w:cs="Arial"/>
                <w:lang w:val="es-ES_tradnl"/>
              </w:rPr>
            </w:pPr>
            <w:r w:rsidRPr="00A50447">
              <w:rPr>
                <w:lang w:val="es-ES_tradnl"/>
              </w:rPr>
              <w:t>El título de la versión inglesa debe ser</w:t>
            </w:r>
            <w:r w:rsidR="0098320D" w:rsidRPr="00A50447">
              <w:rPr>
                <w:lang w:val="es-ES_tradnl"/>
              </w:rPr>
              <w:t xml:space="preserve">:  </w:t>
            </w:r>
            <w:r w:rsidRPr="00A50447">
              <w:rPr>
                <w:i/>
                <w:lang w:val="es-ES_tradnl"/>
              </w:rPr>
              <w:t xml:space="preserve">REVISION OF DOCUMENT TGP/8 PART I: DUS TRIAL DESIGN </w:t>
            </w:r>
            <w:r w:rsidRPr="00A50447">
              <w:rPr>
                <w:strike/>
                <w:lang w:val="es-ES_tradnl"/>
              </w:rPr>
              <w:t>OF</w:t>
            </w:r>
            <w:r w:rsidRPr="00A50447">
              <w:rPr>
                <w:i/>
                <w:lang w:val="es-ES_tradnl"/>
              </w:rPr>
              <w:t xml:space="preserve"> </w:t>
            </w:r>
            <w:r w:rsidRPr="00A50447">
              <w:rPr>
                <w:u w:val="single"/>
                <w:lang w:val="es-ES_tradnl"/>
              </w:rPr>
              <w:t>AND</w:t>
            </w:r>
            <w:r w:rsidRPr="00A50447">
              <w:rPr>
                <w:i/>
                <w:lang w:val="es-ES_tradnl"/>
              </w:rPr>
              <w:t xml:space="preserve"> DATA ANALYSIS, NEW SECTION: MINIMIZING THE VARIATION DUE TO DIFFERENT OBSERVERS</w:t>
            </w:r>
            <w:r w:rsidRPr="00A50447">
              <w:rPr>
                <w:lang w:val="es-ES_tradnl"/>
              </w:rPr>
              <w:t xml:space="preserve"> (</w:t>
            </w:r>
            <w:r w:rsidRPr="00A50447">
              <w:rPr>
                <w:color w:val="000000"/>
                <w:lang w:val="es-ES_tradnl"/>
              </w:rPr>
              <w:t xml:space="preserve">REVISIÓN DEL DOCUMENTO TGP/8 PARTE I:  </w:t>
            </w:r>
            <w:r w:rsidRPr="00A50447">
              <w:rPr>
                <w:lang w:val="es-ES_tradnl"/>
              </w:rPr>
              <w:t xml:space="preserve">DISEÑO DE LOS ENSAYOS DHE </w:t>
            </w:r>
            <w:r w:rsidRPr="00A50447">
              <w:rPr>
                <w:strike/>
                <w:lang w:val="es-ES_tradnl"/>
              </w:rPr>
              <w:t>DE</w:t>
            </w:r>
            <w:r w:rsidRPr="00A50447">
              <w:rPr>
                <w:lang w:val="es-ES_tradnl"/>
              </w:rPr>
              <w:t xml:space="preserve"> </w:t>
            </w:r>
            <w:r w:rsidRPr="00A50447">
              <w:rPr>
                <w:u w:val="single"/>
                <w:lang w:val="es-ES_tradnl"/>
              </w:rPr>
              <w:t>Y</w:t>
            </w:r>
            <w:r w:rsidRPr="00A50447">
              <w:rPr>
                <w:lang w:val="es-ES_tradnl"/>
              </w:rPr>
              <w:t xml:space="preserve"> ANÁLISIS DE D</w:t>
            </w:r>
            <w:r w:rsidRPr="00A50447">
              <w:rPr>
                <w:color w:val="000000"/>
                <w:lang w:val="es-ES_tradnl"/>
              </w:rPr>
              <w:t xml:space="preserve">ATOS, </w:t>
            </w:r>
            <w:r w:rsidRPr="00A50447">
              <w:rPr>
                <w:color w:val="000000"/>
                <w:lang w:val="es-ES_tradnl"/>
              </w:rPr>
              <w:lastRenderedPageBreak/>
              <w:t xml:space="preserve">NUEVA SECCIÓN:  </w:t>
            </w:r>
            <w:r w:rsidR="001C6EA7">
              <w:rPr>
                <w:color w:val="000000"/>
                <w:lang w:val="es-ES_tradnl"/>
              </w:rPr>
              <w:t xml:space="preserve">MINIMIZAR </w:t>
            </w:r>
            <w:r w:rsidRPr="00A50447">
              <w:rPr>
                <w:color w:val="000000"/>
                <w:lang w:val="es-ES_tradnl"/>
              </w:rPr>
              <w:t>LA VARIACIÓN RESULTANTE DE LA EJECUCIÓN DE LOS ENSAYOS POR DISTINTOS OBSERVADORES)</w:t>
            </w:r>
          </w:p>
        </w:tc>
      </w:tr>
      <w:tr w:rsidR="00704EB7" w:rsidRPr="00A50447" w:rsidTr="000771CF">
        <w:tc>
          <w:tcPr>
            <w:tcW w:w="1658" w:type="dxa"/>
          </w:tcPr>
          <w:p w:rsidR="00704EB7" w:rsidRPr="00F97432" w:rsidRDefault="00D623B4" w:rsidP="00D623B4">
            <w:pPr>
              <w:rPr>
                <w:rFonts w:cs="Arial"/>
              </w:rPr>
            </w:pPr>
            <w:proofErr w:type="spellStart"/>
            <w:r w:rsidRPr="00F97432">
              <w:lastRenderedPageBreak/>
              <w:t>Párrafo</w:t>
            </w:r>
            <w:proofErr w:type="spellEnd"/>
            <w:r w:rsidRPr="00F97432">
              <w:t> </w:t>
            </w:r>
            <w:r w:rsidR="00704EB7" w:rsidRPr="00F97432">
              <w:t xml:space="preserve">1 del </w:t>
            </w:r>
            <w:proofErr w:type="spellStart"/>
            <w:r w:rsidR="00704EB7" w:rsidRPr="00F97432">
              <w:t>Anexo</w:t>
            </w:r>
            <w:proofErr w:type="spellEnd"/>
          </w:p>
        </w:tc>
        <w:tc>
          <w:tcPr>
            <w:tcW w:w="8062" w:type="dxa"/>
          </w:tcPr>
          <w:p w:rsidR="00704EB7" w:rsidRPr="00A50447" w:rsidRDefault="00704EB7" w:rsidP="000771CF">
            <w:pPr>
              <w:rPr>
                <w:rFonts w:cs="Arial"/>
                <w:lang w:val="es-ES_tradnl"/>
              </w:rPr>
            </w:pPr>
            <w:r w:rsidRPr="00A50447">
              <w:rPr>
                <w:lang w:val="es-ES_tradnl"/>
              </w:rPr>
              <w:t>Se debe mencionar no sólo el carácter QN/MS sino también el carácter QN/MG</w:t>
            </w:r>
          </w:p>
        </w:tc>
      </w:tr>
      <w:tr w:rsidR="00704EB7" w:rsidRPr="00174257" w:rsidTr="000771CF">
        <w:tc>
          <w:tcPr>
            <w:tcW w:w="1658" w:type="dxa"/>
          </w:tcPr>
          <w:p w:rsidR="00704EB7" w:rsidRPr="00F97432" w:rsidRDefault="00D623B4" w:rsidP="00D623B4">
            <w:pPr>
              <w:rPr>
                <w:rFonts w:cs="Arial"/>
              </w:rPr>
            </w:pPr>
            <w:proofErr w:type="spellStart"/>
            <w:r w:rsidRPr="00F97432">
              <w:t>Párrafo</w:t>
            </w:r>
            <w:proofErr w:type="spellEnd"/>
            <w:r w:rsidRPr="00F97432">
              <w:t> </w:t>
            </w:r>
            <w:r w:rsidR="00704EB7" w:rsidRPr="00F97432">
              <w:t xml:space="preserve">1.1 del </w:t>
            </w:r>
            <w:proofErr w:type="spellStart"/>
            <w:r w:rsidR="00704EB7" w:rsidRPr="00F97432">
              <w:t>Anexo</w:t>
            </w:r>
            <w:proofErr w:type="spellEnd"/>
          </w:p>
        </w:tc>
        <w:tc>
          <w:tcPr>
            <w:tcW w:w="8062" w:type="dxa"/>
          </w:tcPr>
          <w:p w:rsidR="00704EB7" w:rsidRPr="00A50447" w:rsidRDefault="00704EB7" w:rsidP="00F80D78">
            <w:pPr>
              <w:rPr>
                <w:rFonts w:cs="Arial"/>
                <w:lang w:val="es-ES_tradnl"/>
              </w:rPr>
            </w:pPr>
            <w:r w:rsidRPr="00A50447">
              <w:rPr>
                <w:lang w:val="es-ES_tradnl"/>
              </w:rPr>
              <w:t>El texto debe ser</w:t>
            </w:r>
            <w:proofErr w:type="gramStart"/>
            <w:r w:rsidR="0098320D" w:rsidRPr="00A50447">
              <w:rPr>
                <w:lang w:val="es-ES_tradnl"/>
              </w:rPr>
              <w:t xml:space="preserve">:  </w:t>
            </w:r>
            <w:r w:rsidR="00F80D78" w:rsidRPr="00A50447">
              <w:rPr>
                <w:rFonts w:cs="Arial"/>
                <w:lang w:val="es-ES_tradnl"/>
              </w:rPr>
              <w:t>‟</w:t>
            </w:r>
            <w:proofErr w:type="gramEnd"/>
            <w:r w:rsidRPr="00A50447">
              <w:rPr>
                <w:lang w:val="es-ES_tradnl"/>
              </w:rPr>
              <w:t>..</w:t>
            </w:r>
            <w:r w:rsidR="0098320D" w:rsidRPr="00A50447">
              <w:rPr>
                <w:lang w:val="es-ES_tradnl"/>
              </w:rPr>
              <w:t xml:space="preserve">.  </w:t>
            </w:r>
            <w:r w:rsidRPr="00A50447">
              <w:rPr>
                <w:lang w:val="es-ES_tradnl"/>
              </w:rPr>
              <w:t xml:space="preserve">Así pues, si el observador </w:t>
            </w:r>
            <w:r w:rsidRPr="00A50447">
              <w:rPr>
                <w:highlight w:val="lightGray"/>
                <w:u w:val="single"/>
                <w:lang w:val="es-ES_tradnl"/>
              </w:rPr>
              <w:t>evalúa</w:t>
            </w:r>
            <w:r w:rsidRPr="00A50447">
              <w:rPr>
                <w:highlight w:val="lightGray"/>
                <w:lang w:val="es-ES_tradnl"/>
              </w:rPr>
              <w:t xml:space="preserve"> </w:t>
            </w:r>
            <w:r w:rsidRPr="00A50447">
              <w:rPr>
                <w:strike/>
                <w:highlight w:val="lightGray"/>
                <w:lang w:val="es-ES_tradnl"/>
              </w:rPr>
              <w:t>mide</w:t>
            </w:r>
            <w:r w:rsidRPr="00A50447">
              <w:rPr>
                <w:lang w:val="es-ES_tradnl"/>
              </w:rPr>
              <w:t xml:space="preserve"> la variedad 1 y el observador B evalúa la variedad 2, la diferencia </w:t>
            </w:r>
            <w:r w:rsidRPr="00A50447">
              <w:rPr>
                <w:highlight w:val="lightGray"/>
                <w:u w:val="single"/>
                <w:lang w:val="es-ES_tradnl"/>
              </w:rPr>
              <w:t>observada</w:t>
            </w:r>
            <w:r w:rsidRPr="00A50447">
              <w:rPr>
                <w:highlight w:val="lightGray"/>
                <w:lang w:val="es-ES_tradnl"/>
              </w:rPr>
              <w:t xml:space="preserve"> </w:t>
            </w:r>
            <w:r w:rsidRPr="00A50447">
              <w:rPr>
                <w:strike/>
                <w:highlight w:val="lightGray"/>
                <w:lang w:val="es-ES_tradnl"/>
              </w:rPr>
              <w:t>medida</w:t>
            </w:r>
            <w:r w:rsidRPr="00A50447">
              <w:rPr>
                <w:lang w:val="es-ES_tradnl"/>
              </w:rPr>
              <w:t xml:space="preserve"> podría deberse a las diferencias entre los observadores A y B, en lugar de tratarse de diferencias entre las variedades 1 y 2. </w:t>
            </w:r>
            <w:r w:rsidR="00D623B4" w:rsidRPr="00A50447">
              <w:rPr>
                <w:lang w:val="es-ES_tradnl"/>
              </w:rPr>
              <w:t xml:space="preserve"> </w:t>
            </w:r>
            <w:r w:rsidRPr="00A50447">
              <w:rPr>
                <w:lang w:val="es-ES_tradnl"/>
              </w:rPr>
              <w:t>Claramente, lo que más interesa son las diferencias entre las variedades y no entre los observadores...</w:t>
            </w:r>
            <w:r w:rsidR="00F80D78" w:rsidRPr="00A50447">
              <w:rPr>
                <w:rFonts w:cs="Arial"/>
                <w:lang w:val="es-ES_tradnl"/>
              </w:rPr>
              <w:t>ˮ</w:t>
            </w:r>
          </w:p>
        </w:tc>
      </w:tr>
      <w:tr w:rsidR="00704EB7" w:rsidRPr="00EE3F80" w:rsidTr="000771CF">
        <w:tc>
          <w:tcPr>
            <w:tcW w:w="1658" w:type="dxa"/>
          </w:tcPr>
          <w:p w:rsidR="00704EB7" w:rsidRPr="00F97432" w:rsidRDefault="00704EB7" w:rsidP="00CC0462">
            <w:pPr>
              <w:keepNext/>
              <w:rPr>
                <w:rFonts w:cs="Arial"/>
              </w:rPr>
            </w:pPr>
            <w:proofErr w:type="spellStart"/>
            <w:r w:rsidRPr="00F97432">
              <w:t>Párrafos</w:t>
            </w:r>
            <w:proofErr w:type="spellEnd"/>
            <w:r w:rsidRPr="00F97432">
              <w:t xml:space="preserve"> 2.1 y 2.2 del </w:t>
            </w:r>
            <w:proofErr w:type="spellStart"/>
            <w:r w:rsidRPr="00F97432">
              <w:t>Anexo</w:t>
            </w:r>
            <w:proofErr w:type="spellEnd"/>
          </w:p>
        </w:tc>
        <w:tc>
          <w:tcPr>
            <w:tcW w:w="8062" w:type="dxa"/>
          </w:tcPr>
          <w:p w:rsidR="00704EB7" w:rsidRPr="00F97432" w:rsidRDefault="00704EB7" w:rsidP="00CC0462">
            <w:pPr>
              <w:keepNext/>
              <w:rPr>
                <w:rFonts w:cs="Arial"/>
              </w:rPr>
            </w:pPr>
            <w:proofErr w:type="spellStart"/>
            <w:r w:rsidRPr="00F97432">
              <w:t>Modificar</w:t>
            </w:r>
            <w:proofErr w:type="spellEnd"/>
            <w:r w:rsidRPr="00F97432">
              <w:t xml:space="preserve"> la </w:t>
            </w:r>
            <w:proofErr w:type="spellStart"/>
            <w:r w:rsidRPr="00F97432">
              <w:t>numeración</w:t>
            </w:r>
            <w:proofErr w:type="spellEnd"/>
          </w:p>
        </w:tc>
      </w:tr>
      <w:tr w:rsidR="00704EB7" w:rsidRPr="00EE3F80" w:rsidTr="000771CF">
        <w:tc>
          <w:tcPr>
            <w:tcW w:w="1658" w:type="dxa"/>
          </w:tcPr>
          <w:p w:rsidR="00704EB7" w:rsidRPr="00F97432" w:rsidRDefault="00704EB7" w:rsidP="000771CF">
            <w:pPr>
              <w:rPr>
                <w:rFonts w:cs="Arial"/>
              </w:rPr>
            </w:pPr>
            <w:r w:rsidRPr="00F97432">
              <w:t>2.1</w:t>
            </w:r>
          </w:p>
        </w:tc>
        <w:tc>
          <w:tcPr>
            <w:tcW w:w="8062" w:type="dxa"/>
          </w:tcPr>
          <w:p w:rsidR="00704EB7" w:rsidRPr="00F97432" w:rsidRDefault="00704EB7" w:rsidP="000771CF">
            <w:pPr>
              <w:rPr>
                <w:rFonts w:cs="Arial"/>
              </w:rPr>
            </w:pPr>
            <w:proofErr w:type="spellStart"/>
            <w:r w:rsidRPr="00F97432">
              <w:t>Suprimir</w:t>
            </w:r>
            <w:proofErr w:type="spellEnd"/>
            <w:r w:rsidRPr="00F97432">
              <w:t xml:space="preserve"> la </w:t>
            </w:r>
            <w:proofErr w:type="spellStart"/>
            <w:r w:rsidRPr="00F97432">
              <w:t>última</w:t>
            </w:r>
            <w:proofErr w:type="spellEnd"/>
            <w:r w:rsidRPr="00F97432">
              <w:t xml:space="preserve"> </w:t>
            </w:r>
            <w:proofErr w:type="spellStart"/>
            <w:r w:rsidRPr="00F97432">
              <w:t>frase</w:t>
            </w:r>
            <w:proofErr w:type="spellEnd"/>
          </w:p>
        </w:tc>
      </w:tr>
      <w:tr w:rsidR="00704EB7" w:rsidRPr="00174257" w:rsidTr="000771CF">
        <w:tc>
          <w:tcPr>
            <w:tcW w:w="1658" w:type="dxa"/>
          </w:tcPr>
          <w:p w:rsidR="00704EB7" w:rsidRPr="00F97432" w:rsidRDefault="00704EB7" w:rsidP="000771CF">
            <w:pPr>
              <w:rPr>
                <w:rFonts w:cs="Arial"/>
              </w:rPr>
            </w:pPr>
            <w:r w:rsidRPr="00F97432">
              <w:t>3.1</w:t>
            </w:r>
          </w:p>
        </w:tc>
        <w:tc>
          <w:tcPr>
            <w:tcW w:w="8062" w:type="dxa"/>
          </w:tcPr>
          <w:p w:rsidR="00704EB7" w:rsidRPr="00A50447" w:rsidRDefault="00174257" w:rsidP="00D623B4">
            <w:pPr>
              <w:rPr>
                <w:rFonts w:cs="Arial"/>
                <w:lang w:val="es-ES_tradnl"/>
              </w:rPr>
            </w:pPr>
            <w:r>
              <w:rPr>
                <w:lang w:val="es-ES_tradnl"/>
              </w:rPr>
              <w:t>El texto debe ser:</w:t>
            </w:r>
            <w:bookmarkStart w:id="17" w:name="_GoBack"/>
            <w:bookmarkEnd w:id="17"/>
            <w:r w:rsidR="00704EB7" w:rsidRPr="00A50447">
              <w:rPr>
                <w:lang w:val="es-ES_tradnl"/>
              </w:rPr>
              <w:t xml:space="preserve"> “El paso siguiente a la capacitación del observador podría ser probar el desempeño de éste en un experimento de calibración. </w:t>
            </w:r>
            <w:r w:rsidR="00D623B4" w:rsidRPr="00A50447">
              <w:rPr>
                <w:lang w:val="es-ES_tradnl"/>
              </w:rPr>
              <w:t xml:space="preserve"> </w:t>
            </w:r>
            <w:r w:rsidR="00704EB7" w:rsidRPr="00A50447">
              <w:rPr>
                <w:lang w:val="es-ES_tradnl"/>
              </w:rPr>
              <w:t xml:space="preserve">Ello es útil en particular para los observadores inexpertos que tengan que realizar observaciones visuales (caracteres QN/VG </w:t>
            </w:r>
            <w:r w:rsidR="00704EB7" w:rsidRPr="00A50447">
              <w:rPr>
                <w:highlight w:val="lightGray"/>
                <w:u w:val="single"/>
                <w:lang w:val="es-ES_tradnl"/>
              </w:rPr>
              <w:t>y QN/VS</w:t>
            </w:r>
            <w:r w:rsidR="00704EB7" w:rsidRPr="00A50447">
              <w:rPr>
                <w:lang w:val="es-ES_tradnl"/>
              </w:rPr>
              <w:t>).</w:t>
            </w:r>
            <w:r w:rsidR="00D623B4" w:rsidRPr="00A50447">
              <w:rPr>
                <w:lang w:val="es-ES_tradnl"/>
              </w:rPr>
              <w:t xml:space="preserve"> </w:t>
            </w:r>
            <w:r w:rsidR="00704EB7" w:rsidRPr="00A50447">
              <w:rPr>
                <w:lang w:val="es-ES_tradnl"/>
              </w:rPr>
              <w:t xml:space="preserve"> Si realizan observaciones </w:t>
            </w:r>
            <w:r w:rsidR="00704EB7" w:rsidRPr="00A50447">
              <w:rPr>
                <w:highlight w:val="lightGray"/>
                <w:u w:val="single"/>
                <w:lang w:val="es-ES_tradnl"/>
              </w:rPr>
              <w:t>visuales</w:t>
            </w:r>
            <w:r w:rsidR="00704EB7" w:rsidRPr="00A50447">
              <w:rPr>
                <w:highlight w:val="lightGray"/>
                <w:lang w:val="es-ES_tradnl"/>
              </w:rPr>
              <w:t xml:space="preserve"> </w:t>
            </w:r>
            <w:r w:rsidR="00704EB7" w:rsidRPr="001C6EA7">
              <w:rPr>
                <w:strike/>
                <w:highlight w:val="lightGray"/>
                <w:lang w:val="es-ES_tradnl"/>
              </w:rPr>
              <w:t>VG</w:t>
            </w:r>
            <w:r w:rsidR="00704EB7" w:rsidRPr="00A50447">
              <w:rPr>
                <w:lang w:val="es-ES_tradnl"/>
              </w:rPr>
              <w:t xml:space="preserve">, de preferencia, deberían superar un examen de calibración antes de realizar observaciones en el ensayo. </w:t>
            </w:r>
            <w:r w:rsidR="00D623B4" w:rsidRPr="00A50447">
              <w:rPr>
                <w:lang w:val="es-ES_tradnl"/>
              </w:rPr>
              <w:t xml:space="preserve"> </w:t>
            </w:r>
            <w:r w:rsidR="00704EB7" w:rsidRPr="00A50447">
              <w:rPr>
                <w:lang w:val="es-ES_tradnl"/>
              </w:rPr>
              <w:t>Sin embargo, también para los observadores expertos es útil ponerse a prueba periódicamente para verificar que aún satisfacen los criterios de calibración.</w:t>
            </w:r>
            <w:r w:rsidR="00D623B4" w:rsidRPr="00A50447">
              <w:rPr>
                <w:lang w:val="es-ES_tradnl"/>
              </w:rPr>
              <w:t>”</w:t>
            </w:r>
          </w:p>
        </w:tc>
      </w:tr>
      <w:tr w:rsidR="00704EB7" w:rsidRPr="00EE3F80" w:rsidTr="000771CF">
        <w:tc>
          <w:tcPr>
            <w:tcW w:w="1658" w:type="dxa"/>
          </w:tcPr>
          <w:p w:rsidR="00704EB7" w:rsidRPr="00F97432" w:rsidRDefault="00704EB7" w:rsidP="000771CF">
            <w:pPr>
              <w:rPr>
                <w:rFonts w:cs="Arial"/>
              </w:rPr>
            </w:pPr>
            <w:r w:rsidRPr="00F97432">
              <w:t>3.3</w:t>
            </w:r>
          </w:p>
        </w:tc>
        <w:tc>
          <w:tcPr>
            <w:tcW w:w="8062" w:type="dxa"/>
          </w:tcPr>
          <w:p w:rsidR="00704EB7" w:rsidRPr="00EE3F80" w:rsidRDefault="00704EB7" w:rsidP="000771CF">
            <w:pPr>
              <w:rPr>
                <w:rFonts w:cs="Arial"/>
              </w:rPr>
            </w:pPr>
            <w:proofErr w:type="spellStart"/>
            <w:r w:rsidRPr="00F97432">
              <w:t>Suprimir</w:t>
            </w:r>
            <w:proofErr w:type="spellEnd"/>
          </w:p>
        </w:tc>
      </w:tr>
      <w:tr w:rsidR="00704EB7" w:rsidRPr="00174257" w:rsidTr="000771CF">
        <w:tc>
          <w:tcPr>
            <w:tcW w:w="1658" w:type="dxa"/>
          </w:tcPr>
          <w:p w:rsidR="00704EB7" w:rsidRPr="00F97432" w:rsidRDefault="00704EB7" w:rsidP="000771CF">
            <w:pPr>
              <w:rPr>
                <w:rFonts w:cs="Arial"/>
              </w:rPr>
            </w:pPr>
            <w:r w:rsidRPr="00F97432">
              <w:t>4.</w:t>
            </w:r>
          </w:p>
        </w:tc>
        <w:tc>
          <w:tcPr>
            <w:tcW w:w="8062" w:type="dxa"/>
          </w:tcPr>
          <w:p w:rsidR="00704EB7" w:rsidRPr="00A50447" w:rsidRDefault="00704EB7" w:rsidP="00F80D78">
            <w:pPr>
              <w:rPr>
                <w:rFonts w:cs="Arial"/>
                <w:lang w:val="es-ES_tradnl"/>
              </w:rPr>
            </w:pPr>
            <w:r w:rsidRPr="00A50447">
              <w:rPr>
                <w:lang w:val="es-ES_tradnl"/>
              </w:rPr>
              <w:t xml:space="preserve">El texto debe ser:  </w:t>
            </w:r>
            <w:r w:rsidR="00F80D78" w:rsidRPr="00A50447">
              <w:rPr>
                <w:rFonts w:cs="Arial"/>
                <w:lang w:val="es-ES_tradnl"/>
              </w:rPr>
              <w:t>‟</w:t>
            </w:r>
            <w:r w:rsidRPr="00A50447">
              <w:rPr>
                <w:lang w:val="es-ES_tradnl"/>
              </w:rPr>
              <w:t xml:space="preserve">Prueba de calibración para los caracteres </w:t>
            </w:r>
            <w:r w:rsidRPr="00A50447">
              <w:rPr>
                <w:highlight w:val="lightGray"/>
                <w:lang w:val="es-ES_tradnl"/>
              </w:rPr>
              <w:t>QN/MG o</w:t>
            </w:r>
            <w:r w:rsidRPr="00A50447">
              <w:rPr>
                <w:lang w:val="es-ES_tradnl"/>
              </w:rPr>
              <w:t xml:space="preserve"> QN/MS”</w:t>
            </w:r>
          </w:p>
        </w:tc>
      </w:tr>
      <w:tr w:rsidR="00704EB7" w:rsidRPr="00174257" w:rsidTr="000771CF">
        <w:tc>
          <w:tcPr>
            <w:tcW w:w="1658" w:type="dxa"/>
          </w:tcPr>
          <w:p w:rsidR="00704EB7" w:rsidRPr="00F97432" w:rsidRDefault="00704EB7" w:rsidP="000771CF">
            <w:pPr>
              <w:rPr>
                <w:rFonts w:cs="Arial"/>
              </w:rPr>
            </w:pPr>
            <w:r w:rsidRPr="00F97432">
              <w:t>4.1</w:t>
            </w:r>
          </w:p>
        </w:tc>
        <w:tc>
          <w:tcPr>
            <w:tcW w:w="8062" w:type="dxa"/>
          </w:tcPr>
          <w:p w:rsidR="00704EB7" w:rsidRPr="00A50447" w:rsidRDefault="00704EB7" w:rsidP="000771CF">
            <w:pPr>
              <w:rPr>
                <w:rFonts w:cs="Arial"/>
                <w:lang w:val="es-ES_tradnl"/>
              </w:rPr>
            </w:pPr>
            <w:r w:rsidRPr="00A50447">
              <w:rPr>
                <w:lang w:val="es-ES_tradnl"/>
              </w:rPr>
              <w:t>Añadir una línea en blanco después del párrafo</w:t>
            </w:r>
          </w:p>
        </w:tc>
      </w:tr>
    </w:tbl>
    <w:p w:rsidR="00704EB7" w:rsidRPr="00174257" w:rsidRDefault="00704EB7" w:rsidP="001C6EA7">
      <w:pPr>
        <w:rPr>
          <w:lang w:val="fr-CH"/>
        </w:rPr>
      </w:pPr>
    </w:p>
    <w:p w:rsidR="00704EB7" w:rsidRPr="00A50447" w:rsidRDefault="00704EB7" w:rsidP="00704EB7">
      <w:pPr>
        <w:pStyle w:val="Heading2"/>
        <w:rPr>
          <w:lang w:val="es-ES_tradnl"/>
        </w:rPr>
      </w:pPr>
      <w:bookmarkStart w:id="18" w:name="_Toc378063632"/>
      <w:bookmarkStart w:id="19" w:name="_Toc380064900"/>
      <w:r w:rsidRPr="00A50447">
        <w:rPr>
          <w:lang w:val="es-ES_tradnl"/>
        </w:rPr>
        <w:t>Comité Técnico</w:t>
      </w:r>
      <w:bookmarkEnd w:id="18"/>
      <w:bookmarkEnd w:id="19"/>
    </w:p>
    <w:p w:rsidR="00704EB7" w:rsidRPr="00A50447" w:rsidRDefault="00704EB7" w:rsidP="00704EB7">
      <w:pPr>
        <w:rPr>
          <w:lang w:val="es-ES_tradnl"/>
        </w:rPr>
      </w:pPr>
    </w:p>
    <w:p w:rsidR="00704EB7" w:rsidRPr="00A50447" w:rsidRDefault="00F605ED" w:rsidP="00704EB7">
      <w:pPr>
        <w:rPr>
          <w:lang w:val="es-ES_tradnl"/>
        </w:rPr>
      </w:pPr>
      <w:r w:rsidRPr="006133CD">
        <w:fldChar w:fldCharType="begin"/>
      </w:r>
      <w:r w:rsidR="00704EB7" w:rsidRPr="00A50447">
        <w:rPr>
          <w:lang w:val="es-ES_tradnl"/>
        </w:rPr>
        <w:instrText xml:space="preserve"> AUTONUM  </w:instrText>
      </w:r>
      <w:r w:rsidRPr="006133CD">
        <w:fldChar w:fldCharType="end"/>
      </w:r>
      <w:r w:rsidR="00704EB7" w:rsidRPr="00A50447">
        <w:rPr>
          <w:lang w:val="es-ES_tradnl"/>
        </w:rPr>
        <w:tab/>
        <w:t xml:space="preserve">El Comité Técnico (TC), en su cuadragésima novena sesión, celebrada en Ginebra del 18 al </w:t>
      </w:r>
      <w:r w:rsidR="001C6EA7">
        <w:rPr>
          <w:lang w:val="es-ES_tradnl"/>
        </w:rPr>
        <w:br/>
      </w:r>
      <w:r w:rsidR="00704EB7" w:rsidRPr="00A50447">
        <w:rPr>
          <w:lang w:val="es-ES_tradnl"/>
        </w:rPr>
        <w:t>20 de marzo de 2013, examinó la revisión del documento TGP/8</w:t>
      </w:r>
      <w:r w:rsidR="00D623B4" w:rsidRPr="00A50447">
        <w:rPr>
          <w:lang w:val="es-ES_tradnl"/>
        </w:rPr>
        <w:t>, Parte I</w:t>
      </w:r>
      <w:r w:rsidR="00704EB7" w:rsidRPr="00A50447">
        <w:rPr>
          <w:lang w:val="es-ES_tradnl"/>
        </w:rPr>
        <w:t xml:space="preserve"> “Diseño de ensayos y técnicas utilizados en el examen de la distinción, la homogeneidad y la estabilidad” sobre la base del documento TC/49/22</w:t>
      </w:r>
      <w:r w:rsidR="0098320D" w:rsidRPr="00A50447">
        <w:rPr>
          <w:lang w:val="es-ES_tradnl"/>
        </w:rPr>
        <w:t xml:space="preserve">:  </w:t>
      </w:r>
      <w:r w:rsidR="00704EB7" w:rsidRPr="00A50447">
        <w:rPr>
          <w:lang w:val="es-ES_tradnl"/>
        </w:rPr>
        <w:t>“Revisión del documento TGP/8</w:t>
      </w:r>
      <w:r w:rsidR="0098320D" w:rsidRPr="00A50447">
        <w:rPr>
          <w:lang w:val="es-ES_tradnl"/>
        </w:rPr>
        <w:t xml:space="preserve">:  </w:t>
      </w:r>
      <w:r w:rsidR="00704EB7" w:rsidRPr="00A50447">
        <w:rPr>
          <w:lang w:val="es-ES_tradnl"/>
        </w:rPr>
        <w:t>Parte I:  Diseño de los ensayos DHE y análisis de datos, nueva sección</w:t>
      </w:r>
      <w:r w:rsidR="0098320D" w:rsidRPr="00A50447">
        <w:rPr>
          <w:lang w:val="es-ES_tradnl"/>
        </w:rPr>
        <w:t xml:space="preserve">:  </w:t>
      </w:r>
      <w:r w:rsidR="001C6EA7">
        <w:rPr>
          <w:lang w:val="es-ES_tradnl"/>
        </w:rPr>
        <w:t xml:space="preserve">Minimizar </w:t>
      </w:r>
      <w:r w:rsidR="00704EB7" w:rsidRPr="00A50447">
        <w:rPr>
          <w:lang w:val="es-ES_tradnl"/>
        </w:rPr>
        <w:t>la variación resultante de la ejecución de los ensayos por distintos observadores”.</w:t>
      </w:r>
    </w:p>
    <w:p w:rsidR="00704EB7" w:rsidRPr="00A50447" w:rsidRDefault="00704EB7" w:rsidP="00704EB7">
      <w:pPr>
        <w:rPr>
          <w:lang w:val="es-ES_tradnl"/>
        </w:rPr>
      </w:pPr>
    </w:p>
    <w:p w:rsidR="00704EB7" w:rsidRPr="00A50447" w:rsidRDefault="00F605ED" w:rsidP="00704EB7">
      <w:pPr>
        <w:rPr>
          <w:lang w:val="es-ES_tradnl"/>
        </w:rPr>
      </w:pPr>
      <w:r w:rsidRPr="00F97432">
        <w:fldChar w:fldCharType="begin"/>
      </w:r>
      <w:r w:rsidR="00704EB7" w:rsidRPr="00A50447">
        <w:rPr>
          <w:lang w:val="es-ES_tradnl"/>
        </w:rPr>
        <w:instrText xml:space="preserve"> AUTONUM  </w:instrText>
      </w:r>
      <w:r w:rsidRPr="00F97432">
        <w:fldChar w:fldCharType="end"/>
      </w:r>
      <w:r w:rsidR="00704EB7" w:rsidRPr="00A50447">
        <w:rPr>
          <w:lang w:val="es-ES_tradnl"/>
        </w:rPr>
        <w:tab/>
        <w:t xml:space="preserve">El TC, en su cuadragésima novena sesión, aceptó solicitar al experto de los Países Bajos que redacte un nuevo borrador de la sección </w:t>
      </w:r>
      <w:r w:rsidR="00F80D78" w:rsidRPr="00A50447">
        <w:rPr>
          <w:rFonts w:cs="Arial"/>
          <w:lang w:val="es-ES_tradnl"/>
        </w:rPr>
        <w:t>‟</w:t>
      </w:r>
      <w:r w:rsidR="001C6EA7">
        <w:rPr>
          <w:lang w:val="es-ES_tradnl"/>
        </w:rPr>
        <w:t xml:space="preserve">Minimizar </w:t>
      </w:r>
      <w:r w:rsidR="00704EB7" w:rsidRPr="00A50447">
        <w:rPr>
          <w:lang w:val="es-ES_tradnl"/>
        </w:rPr>
        <w:t xml:space="preserve">la variación resultante de la ejecución de los ensayos por distintos </w:t>
      </w:r>
      <w:proofErr w:type="spellStart"/>
      <w:r w:rsidR="00704EB7" w:rsidRPr="00A50447">
        <w:rPr>
          <w:lang w:val="es-ES_tradnl"/>
        </w:rPr>
        <w:t>observadores</w:t>
      </w:r>
      <w:r w:rsidR="00F80D78" w:rsidRPr="00A50447">
        <w:rPr>
          <w:rFonts w:cs="Arial"/>
          <w:lang w:val="es-ES_tradnl"/>
        </w:rPr>
        <w:t>ˮ</w:t>
      </w:r>
      <w:proofErr w:type="spellEnd"/>
      <w:r w:rsidR="00704EB7" w:rsidRPr="00A50447">
        <w:rPr>
          <w:lang w:val="es-ES_tradnl"/>
        </w:rPr>
        <w:t xml:space="preserve">, para someterlo a consideración de los TWP en sus </w:t>
      </w:r>
      <w:r w:rsidR="001C6EA7">
        <w:rPr>
          <w:lang w:val="es-ES_tradnl"/>
        </w:rPr>
        <w:t>s</w:t>
      </w:r>
      <w:r w:rsidR="00704EB7" w:rsidRPr="00A50447">
        <w:rPr>
          <w:lang w:val="es-ES_tradnl"/>
        </w:rPr>
        <w:t>e</w:t>
      </w:r>
      <w:r w:rsidR="001C6EA7">
        <w:rPr>
          <w:lang w:val="es-ES_tradnl"/>
        </w:rPr>
        <w:t>s</w:t>
      </w:r>
      <w:r w:rsidR="00704EB7" w:rsidRPr="00A50447">
        <w:rPr>
          <w:lang w:val="es-ES_tradnl"/>
        </w:rPr>
        <w:t xml:space="preserve">iones de 2013, basándose en las observaciones formuladas por los TWP, en sus </w:t>
      </w:r>
      <w:r w:rsidR="001C6EA7">
        <w:rPr>
          <w:lang w:val="es-ES_tradnl"/>
        </w:rPr>
        <w:t>s</w:t>
      </w:r>
      <w:r w:rsidR="00704EB7" w:rsidRPr="00A50447">
        <w:rPr>
          <w:lang w:val="es-ES_tradnl"/>
        </w:rPr>
        <w:t>e</w:t>
      </w:r>
      <w:r w:rsidR="001C6EA7">
        <w:rPr>
          <w:lang w:val="es-ES_tradnl"/>
        </w:rPr>
        <w:t>s</w:t>
      </w:r>
      <w:r w:rsidR="00704EB7" w:rsidRPr="00A50447">
        <w:rPr>
          <w:lang w:val="es-ES_tradnl"/>
        </w:rPr>
        <w:t>iones en 2012, y por el TC-EDC, en su reunión de enero de 2013 y, en particular, con el fin de incluir orientación sobre los caracteres PQ y QN/MG (véase el párrafo 51 del documento TC/49/41 “Informe sobre las conclusiones”).</w:t>
      </w:r>
    </w:p>
    <w:p w:rsidR="00704EB7" w:rsidRPr="00A50447" w:rsidRDefault="00704EB7" w:rsidP="00704EB7">
      <w:pPr>
        <w:rPr>
          <w:lang w:val="es-ES_tradnl"/>
        </w:rPr>
      </w:pPr>
    </w:p>
    <w:p w:rsidR="00704EB7" w:rsidRDefault="00F605ED" w:rsidP="00704EB7">
      <w:pPr>
        <w:rPr>
          <w:lang w:val="es-ES_tradnl"/>
        </w:rPr>
      </w:pPr>
      <w:r w:rsidRPr="0018543E">
        <w:fldChar w:fldCharType="begin"/>
      </w:r>
      <w:r w:rsidR="00704EB7" w:rsidRPr="00A50447">
        <w:rPr>
          <w:lang w:val="es-ES_tradnl"/>
        </w:rPr>
        <w:instrText xml:space="preserve"> AUTONUM  </w:instrText>
      </w:r>
      <w:r w:rsidRPr="0018543E">
        <w:fldChar w:fldCharType="end"/>
      </w:r>
      <w:r w:rsidR="00704EB7" w:rsidRPr="00A50447">
        <w:rPr>
          <w:lang w:val="es-ES_tradnl"/>
        </w:rPr>
        <w:tab/>
        <w:t>En respuesta a la petición del TC, el redactor solicitó ayuda a los expertos de otros TWP para redactar la orientación sobre los caracteres PQ y QN/MG</w:t>
      </w:r>
      <w:r w:rsidR="0098320D" w:rsidRPr="00A50447">
        <w:rPr>
          <w:lang w:val="es-ES_tradnl"/>
        </w:rPr>
        <w:t xml:space="preserve">.  </w:t>
      </w:r>
      <w:r w:rsidR="00704EB7" w:rsidRPr="00A50447">
        <w:rPr>
          <w:lang w:val="es-ES_tradnl"/>
        </w:rPr>
        <w:t>A ese respecto, se recordó que el objetivo de la sección es facilitar orientación sobre el control de la variación resultante de la ejecución de los ensayos por distintos observadores cuando no se emplea el análisis estadístico para determinar la distinción (véase el párrafo 4 de este documento).</w:t>
      </w:r>
    </w:p>
    <w:p w:rsidR="00704EB7" w:rsidRPr="00174257" w:rsidRDefault="00704EB7" w:rsidP="001C6EA7">
      <w:pPr>
        <w:rPr>
          <w:lang w:val="fr-CH"/>
        </w:rPr>
      </w:pPr>
    </w:p>
    <w:p w:rsidR="00704EB7" w:rsidRPr="00A50447" w:rsidRDefault="00704EB7" w:rsidP="00704EB7">
      <w:pPr>
        <w:pStyle w:val="Heading2"/>
        <w:rPr>
          <w:lang w:val="es-ES_tradnl"/>
        </w:rPr>
      </w:pPr>
      <w:bookmarkStart w:id="20" w:name="_Toc372555732"/>
      <w:bookmarkStart w:id="21" w:name="_Toc372633488"/>
      <w:bookmarkStart w:id="22" w:name="_Toc378063633"/>
      <w:bookmarkStart w:id="23" w:name="_Toc380064901"/>
      <w:r w:rsidRPr="00A50447">
        <w:rPr>
          <w:lang w:val="es-ES_tradnl"/>
        </w:rPr>
        <w:t>Observaciones de los Grupos de Trabajo Técnico formuladas en 2013</w:t>
      </w:r>
      <w:bookmarkEnd w:id="20"/>
      <w:bookmarkEnd w:id="21"/>
      <w:bookmarkEnd w:id="22"/>
      <w:bookmarkEnd w:id="23"/>
    </w:p>
    <w:p w:rsidR="00704EB7" w:rsidRPr="00A50447" w:rsidRDefault="00704EB7" w:rsidP="00704EB7">
      <w:pPr>
        <w:rPr>
          <w:lang w:val="es-ES_tradnl"/>
        </w:rPr>
      </w:pPr>
    </w:p>
    <w:p w:rsidR="00704EB7" w:rsidRPr="00A50447" w:rsidRDefault="00F605ED" w:rsidP="00704EB7">
      <w:pPr>
        <w:pStyle w:val="Titleofdoc0"/>
        <w:spacing w:before="0"/>
        <w:jc w:val="both"/>
        <w:rPr>
          <w:rFonts w:cs="Arial"/>
          <w:caps w:val="0"/>
          <w:lang w:val="es-ES_tradnl"/>
        </w:rPr>
      </w:pPr>
      <w:r w:rsidRPr="00F00C80">
        <w:fldChar w:fldCharType="begin"/>
      </w:r>
      <w:r w:rsidR="00704EB7" w:rsidRPr="00A50447">
        <w:rPr>
          <w:lang w:val="es-ES_tradnl"/>
        </w:rPr>
        <w:instrText xml:space="preserve"> AUTONUM  </w:instrText>
      </w:r>
      <w:r w:rsidRPr="00F00C80">
        <w:fldChar w:fldCharType="end"/>
      </w:r>
      <w:r w:rsidR="00704EB7" w:rsidRPr="00A50447">
        <w:rPr>
          <w:lang w:val="es-ES_tradnl"/>
        </w:rPr>
        <w:tab/>
      </w:r>
      <w:r w:rsidR="00704EB7" w:rsidRPr="00A50447">
        <w:rPr>
          <w:caps w:val="0"/>
          <w:lang w:val="es-ES_tradnl"/>
        </w:rPr>
        <w:t xml:space="preserve">El TWO, el TWF, el TWV, el TWC y el TWA examinaron los documentos </w:t>
      </w:r>
      <w:r w:rsidR="00704EB7" w:rsidRPr="00A50447">
        <w:rPr>
          <w:lang w:val="es-ES_tradnl"/>
        </w:rPr>
        <w:t>TWO/46/</w:t>
      </w:r>
      <w:r w:rsidR="00704EB7" w:rsidRPr="00A50447">
        <w:rPr>
          <w:caps w:val="0"/>
          <w:lang w:val="es-ES_tradnl"/>
        </w:rPr>
        <w:t xml:space="preserve">14, TWF/44/14, TWV/47/14, TWC/31/14 y TWA/42/14, respectivamente </w:t>
      </w:r>
      <w:r w:rsidR="001C6EA7">
        <w:rPr>
          <w:caps w:val="0"/>
          <w:lang w:val="es-ES_tradnl"/>
        </w:rPr>
        <w:t>(</w:t>
      </w:r>
      <w:r w:rsidR="00704EB7" w:rsidRPr="00A50447">
        <w:rPr>
          <w:caps w:val="0"/>
          <w:lang w:val="es-ES_tradnl"/>
        </w:rPr>
        <w:t xml:space="preserve">véanse los párrafos 30 a 32 del </w:t>
      </w:r>
      <w:r w:rsidR="00CB7996" w:rsidRPr="00A50447">
        <w:rPr>
          <w:caps w:val="0"/>
          <w:lang w:val="es-ES_tradnl"/>
        </w:rPr>
        <w:t>documento </w:t>
      </w:r>
      <w:r w:rsidR="00704EB7" w:rsidRPr="00A50447">
        <w:rPr>
          <w:caps w:val="0"/>
          <w:lang w:val="es-ES_tradnl"/>
        </w:rPr>
        <w:t>TWO/46/29 “</w:t>
      </w:r>
      <w:proofErr w:type="spellStart"/>
      <w:r w:rsidR="00704EB7" w:rsidRPr="00A50447">
        <w:rPr>
          <w:i/>
          <w:caps w:val="0"/>
          <w:lang w:val="es-ES_tradnl"/>
        </w:rPr>
        <w:t>Report</w:t>
      </w:r>
      <w:proofErr w:type="spellEnd"/>
      <w:r w:rsidR="00704EB7" w:rsidRPr="00A50447">
        <w:rPr>
          <w:caps w:val="0"/>
          <w:lang w:val="es-ES_tradnl"/>
        </w:rPr>
        <w:t>” (Informe), los párrafos 33 a 35 del documento TWF/44/31 “</w:t>
      </w:r>
      <w:proofErr w:type="spellStart"/>
      <w:r w:rsidR="00704EB7" w:rsidRPr="00A50447">
        <w:rPr>
          <w:i/>
          <w:caps w:val="0"/>
          <w:lang w:val="es-ES_tradnl"/>
        </w:rPr>
        <w:t>Report</w:t>
      </w:r>
      <w:proofErr w:type="spellEnd"/>
      <w:r w:rsidR="00704EB7" w:rsidRPr="00A50447">
        <w:rPr>
          <w:caps w:val="0"/>
          <w:lang w:val="es-ES_tradnl"/>
        </w:rPr>
        <w:t>”, los párrafos 33 a 35 del documento TWV/47/34 “</w:t>
      </w:r>
      <w:proofErr w:type="spellStart"/>
      <w:r w:rsidR="00704EB7" w:rsidRPr="00A50447">
        <w:rPr>
          <w:i/>
          <w:caps w:val="0"/>
          <w:lang w:val="es-ES_tradnl"/>
        </w:rPr>
        <w:t>Report</w:t>
      </w:r>
      <w:proofErr w:type="spellEnd"/>
      <w:r w:rsidR="00704EB7" w:rsidRPr="00A50447">
        <w:rPr>
          <w:caps w:val="0"/>
          <w:lang w:val="es-ES_tradnl"/>
        </w:rPr>
        <w:t>”, los párrafos 30 a 32 del documento TWC/31/32 “</w:t>
      </w:r>
      <w:proofErr w:type="spellStart"/>
      <w:r w:rsidR="00704EB7" w:rsidRPr="00A50447">
        <w:rPr>
          <w:i/>
          <w:caps w:val="0"/>
          <w:lang w:val="es-ES_tradnl"/>
        </w:rPr>
        <w:t>Report</w:t>
      </w:r>
      <w:proofErr w:type="spellEnd"/>
      <w:r w:rsidR="00704EB7" w:rsidRPr="00A50447">
        <w:rPr>
          <w:caps w:val="0"/>
          <w:lang w:val="es-ES_tradnl"/>
        </w:rPr>
        <w:t>” y los párrafos 33 a 35 del documento TWA/42/31 “</w:t>
      </w:r>
      <w:proofErr w:type="spellStart"/>
      <w:r w:rsidR="00704EB7" w:rsidRPr="00A50447">
        <w:rPr>
          <w:i/>
          <w:caps w:val="0"/>
          <w:lang w:val="es-ES_tradnl"/>
        </w:rPr>
        <w:t>Report</w:t>
      </w:r>
      <w:proofErr w:type="spellEnd"/>
      <w:r w:rsidR="001C6EA7">
        <w:rPr>
          <w:caps w:val="0"/>
          <w:lang w:val="es-ES_tradnl"/>
        </w:rPr>
        <w:t>”)</w:t>
      </w:r>
      <w:r w:rsidR="00704EB7" w:rsidRPr="00A50447">
        <w:rPr>
          <w:caps w:val="0"/>
          <w:lang w:val="es-ES_tradnl"/>
        </w:rPr>
        <w:t>.</w:t>
      </w:r>
    </w:p>
    <w:p w:rsidR="00704EB7" w:rsidRPr="00A50447" w:rsidRDefault="00704EB7" w:rsidP="00704EB7">
      <w:pPr>
        <w:pStyle w:val="Titleofdoc0"/>
        <w:spacing w:before="0"/>
        <w:jc w:val="both"/>
        <w:rPr>
          <w:rFonts w:cs="Arial"/>
          <w:caps w:val="0"/>
          <w:lang w:val="es-ES_tradnl"/>
        </w:rPr>
      </w:pPr>
    </w:p>
    <w:p w:rsidR="00704EB7" w:rsidRPr="00A50447" w:rsidRDefault="00F605ED" w:rsidP="00704EB7">
      <w:pPr>
        <w:rPr>
          <w:lang w:val="es-ES_tradnl"/>
        </w:rPr>
      </w:pPr>
      <w:r w:rsidRPr="00297B34">
        <w:fldChar w:fldCharType="begin"/>
      </w:r>
      <w:r w:rsidR="00704EB7" w:rsidRPr="00A50447">
        <w:rPr>
          <w:lang w:val="es-ES_tradnl"/>
        </w:rPr>
        <w:instrText xml:space="preserve"> AUTONUM  </w:instrText>
      </w:r>
      <w:r w:rsidRPr="00297B34">
        <w:fldChar w:fldCharType="end"/>
      </w:r>
      <w:r w:rsidR="00704EB7" w:rsidRPr="00A50447">
        <w:rPr>
          <w:lang w:val="es-ES_tradnl"/>
        </w:rPr>
        <w:tab/>
        <w:t>El TWO propuso que expertos de Australia, Alemania, los Países Bajos y el Reino Unido contribuyeran a elaborar orientación adicional sobre el texto que se propone incluir en el TGP/8 Parte I</w:t>
      </w:r>
      <w:proofErr w:type="gramStart"/>
      <w:r w:rsidR="0098320D" w:rsidRPr="00A50447">
        <w:rPr>
          <w:lang w:val="es-ES_tradnl"/>
        </w:rPr>
        <w:t xml:space="preserve">:  </w:t>
      </w:r>
      <w:r w:rsidR="00704EB7" w:rsidRPr="00A50447">
        <w:rPr>
          <w:lang w:val="es-ES_tradnl"/>
        </w:rPr>
        <w:t>Diseño</w:t>
      </w:r>
      <w:proofErr w:type="gramEnd"/>
      <w:r w:rsidR="00704EB7" w:rsidRPr="00A50447">
        <w:rPr>
          <w:lang w:val="es-ES_tradnl"/>
        </w:rPr>
        <w:t xml:space="preserve"> de ensayos DHE y análisis de datos, nueva sección:  </w:t>
      </w:r>
      <w:r w:rsidR="001C6EA7">
        <w:rPr>
          <w:lang w:val="es-ES_tradnl"/>
        </w:rPr>
        <w:t>Minimizar</w:t>
      </w:r>
      <w:r w:rsidR="00704EB7" w:rsidRPr="00A50447">
        <w:rPr>
          <w:lang w:val="es-ES_tradnl"/>
        </w:rPr>
        <w:t xml:space="preserve"> la variación resultante de la ejecución de los ensayos por distintos observadores, en una futura revisión del documento TGP/8, en lo relativo a la orientación acerca de los caracteres PQ y QN/MG.</w:t>
      </w:r>
    </w:p>
    <w:p w:rsidR="00704EB7" w:rsidRPr="00A50447" w:rsidRDefault="00704EB7" w:rsidP="00704EB7">
      <w:pPr>
        <w:rPr>
          <w:lang w:val="es-ES_tradnl"/>
        </w:rPr>
      </w:pPr>
    </w:p>
    <w:p w:rsidR="00704EB7" w:rsidRPr="00A50447" w:rsidRDefault="00F605ED" w:rsidP="00704EB7">
      <w:pPr>
        <w:keepLines/>
        <w:rPr>
          <w:lang w:val="es-ES_tradnl"/>
        </w:rPr>
      </w:pPr>
      <w:r>
        <w:fldChar w:fldCharType="begin"/>
      </w:r>
      <w:r w:rsidR="00704EB7" w:rsidRPr="00A50447">
        <w:rPr>
          <w:lang w:val="es-ES_tradnl"/>
        </w:rPr>
        <w:instrText xml:space="preserve"> AUTONUM  </w:instrText>
      </w:r>
      <w:r>
        <w:fldChar w:fldCharType="end"/>
      </w:r>
      <w:r w:rsidR="00704EB7" w:rsidRPr="00A50447">
        <w:rPr>
          <w:lang w:val="es-ES_tradnl"/>
        </w:rPr>
        <w:tab/>
      </w:r>
      <w:r w:rsidR="002A6B4A" w:rsidRPr="00A50447">
        <w:rPr>
          <w:lang w:val="es-ES_tradnl"/>
        </w:rPr>
        <w:t>No obstante</w:t>
      </w:r>
      <w:r w:rsidR="00704EB7" w:rsidRPr="00A50447">
        <w:rPr>
          <w:lang w:val="es-ES_tradnl"/>
        </w:rPr>
        <w:t xml:space="preserve">, el TWO señaló la importancia de las directrices de examen como orientación clara para los encargados de realizar el examen DHE y como garantía de la consistencia de las observaciones. </w:t>
      </w:r>
    </w:p>
    <w:p w:rsidR="00704EB7" w:rsidRPr="00A50447" w:rsidRDefault="00704EB7" w:rsidP="00704EB7">
      <w:pPr>
        <w:keepLines/>
        <w:rPr>
          <w:lang w:val="es-ES_tradnl"/>
        </w:rPr>
      </w:pPr>
    </w:p>
    <w:p w:rsidR="00704EB7" w:rsidRPr="00A50447" w:rsidRDefault="00F605ED" w:rsidP="00704EB7">
      <w:pPr>
        <w:rPr>
          <w:lang w:val="es-ES_tradnl"/>
        </w:rPr>
      </w:pPr>
      <w:r w:rsidRPr="0042247A">
        <w:lastRenderedPageBreak/>
        <w:fldChar w:fldCharType="begin"/>
      </w:r>
      <w:r w:rsidR="00704EB7" w:rsidRPr="00A50447">
        <w:rPr>
          <w:lang w:val="es-ES_tradnl"/>
        </w:rPr>
        <w:instrText xml:space="preserve"> AUTONUM  </w:instrText>
      </w:r>
      <w:r w:rsidRPr="0042247A">
        <w:fldChar w:fldCharType="end"/>
      </w:r>
      <w:r w:rsidR="00704EB7" w:rsidRPr="00A50447">
        <w:rPr>
          <w:lang w:val="es-ES_tradnl"/>
        </w:rPr>
        <w:tab/>
        <w:t xml:space="preserve">El TWF estuvo de acuerdo en que la variación debida a diferentes observadores no era relevante en el examen DHE de los cultivos frutales, ya que normalmente es un solo observador quien realiza las observaciones y, por lo tanto, consideró innecesario facilitar expertos para elaborar más orientación sobre el texto que se propone incluir en el TGP/8 Parte I:  Diseño de ensayos DHE y análisis de datos, nueva sección:  </w:t>
      </w:r>
      <w:r w:rsidR="001C6EA7">
        <w:rPr>
          <w:lang w:val="es-ES_tradnl"/>
        </w:rPr>
        <w:t xml:space="preserve">Minimizar </w:t>
      </w:r>
      <w:r w:rsidR="00704EB7" w:rsidRPr="00A50447">
        <w:rPr>
          <w:lang w:val="es-ES_tradnl"/>
        </w:rPr>
        <w:t>la variación resultante de la ejecución de los ensayos por distintos observadores, en una futura revisión del documento TGP/8.</w:t>
      </w:r>
    </w:p>
    <w:p w:rsidR="00704EB7" w:rsidRPr="00A50447" w:rsidRDefault="00704EB7" w:rsidP="00704EB7">
      <w:pPr>
        <w:rPr>
          <w:lang w:val="es-ES_tradnl"/>
        </w:rPr>
      </w:pPr>
    </w:p>
    <w:p w:rsidR="00704EB7" w:rsidRPr="00A50447" w:rsidRDefault="00F605ED" w:rsidP="00704EB7">
      <w:pPr>
        <w:keepLines/>
        <w:rPr>
          <w:lang w:val="es-ES_tradnl"/>
        </w:rPr>
      </w:pPr>
      <w:r w:rsidRPr="0042247A">
        <w:fldChar w:fldCharType="begin"/>
      </w:r>
      <w:r w:rsidR="00704EB7" w:rsidRPr="00A50447">
        <w:rPr>
          <w:lang w:val="es-ES_tradnl"/>
        </w:rPr>
        <w:instrText xml:space="preserve"> AUTONUM  </w:instrText>
      </w:r>
      <w:r w:rsidRPr="0042247A">
        <w:fldChar w:fldCharType="end"/>
      </w:r>
      <w:r w:rsidR="00704EB7" w:rsidRPr="00A50447">
        <w:rPr>
          <w:lang w:val="es-ES_tradnl"/>
        </w:rPr>
        <w:tab/>
        <w:t xml:space="preserve">Sin embargo, el TWF señaló la importancia de la calidad de las directrices de examen como orientación clara para los encargados de realizar el examen DHE y como garantía de la consistencia de las observaciones. </w:t>
      </w:r>
      <w:r w:rsidR="00CB7996" w:rsidRPr="00A50447">
        <w:rPr>
          <w:lang w:val="es-ES_tradnl"/>
        </w:rPr>
        <w:t xml:space="preserve"> </w:t>
      </w:r>
      <w:r w:rsidR="00704EB7" w:rsidRPr="00A50447">
        <w:rPr>
          <w:lang w:val="es-ES_tradnl"/>
        </w:rPr>
        <w:t xml:space="preserve">A ese respecto, el TWF recordó la labor realizada previamente sobre la consistencia de las descripciones de variedades de fresa y manzano (véase el documento TWF/35/4). </w:t>
      </w:r>
      <w:r w:rsidR="00CB7996" w:rsidRPr="00A50447">
        <w:rPr>
          <w:lang w:val="es-ES_tradnl"/>
        </w:rPr>
        <w:t xml:space="preserve"> </w:t>
      </w:r>
      <w:r w:rsidR="00704EB7" w:rsidRPr="00A50447">
        <w:rPr>
          <w:lang w:val="es-ES_tradnl"/>
        </w:rPr>
        <w:t>El TWF propuso que el experto de Nueva Zelandia informe, en su cuadragésima quinta sesión, sobre la labor realizada en relación con la “</w:t>
      </w:r>
      <w:proofErr w:type="spellStart"/>
      <w:r w:rsidR="00704EB7" w:rsidRPr="00A50447">
        <w:rPr>
          <w:i/>
          <w:lang w:val="es-ES_tradnl"/>
        </w:rPr>
        <w:t>Publication</w:t>
      </w:r>
      <w:proofErr w:type="spellEnd"/>
      <w:r w:rsidR="00704EB7" w:rsidRPr="00A50447">
        <w:rPr>
          <w:i/>
          <w:lang w:val="es-ES_tradnl"/>
        </w:rPr>
        <w:t xml:space="preserve"> of </w:t>
      </w:r>
      <w:proofErr w:type="spellStart"/>
      <w:r w:rsidR="00704EB7" w:rsidRPr="00A50447">
        <w:rPr>
          <w:i/>
          <w:lang w:val="es-ES_tradnl"/>
        </w:rPr>
        <w:t>harmonized</w:t>
      </w:r>
      <w:proofErr w:type="spellEnd"/>
      <w:r w:rsidR="00704EB7" w:rsidRPr="00A50447">
        <w:rPr>
          <w:i/>
          <w:lang w:val="es-ES_tradnl"/>
        </w:rPr>
        <w:t xml:space="preserve"> </w:t>
      </w:r>
      <w:proofErr w:type="spellStart"/>
      <w:r w:rsidR="00704EB7" w:rsidRPr="00A50447">
        <w:rPr>
          <w:i/>
          <w:lang w:val="es-ES_tradnl"/>
        </w:rPr>
        <w:t>variety</w:t>
      </w:r>
      <w:proofErr w:type="spellEnd"/>
      <w:r w:rsidR="00704EB7" w:rsidRPr="00A50447">
        <w:rPr>
          <w:i/>
          <w:lang w:val="es-ES_tradnl"/>
        </w:rPr>
        <w:t xml:space="preserve"> </w:t>
      </w:r>
      <w:proofErr w:type="spellStart"/>
      <w:r w:rsidR="00704EB7" w:rsidRPr="00A50447">
        <w:rPr>
          <w:i/>
          <w:lang w:val="es-ES_tradnl"/>
        </w:rPr>
        <w:t>description</w:t>
      </w:r>
      <w:proofErr w:type="spellEnd"/>
      <w:r w:rsidR="00704EB7" w:rsidRPr="00A50447">
        <w:rPr>
          <w:i/>
          <w:lang w:val="es-ES_tradnl"/>
        </w:rPr>
        <w:t xml:space="preserve"> </w:t>
      </w:r>
      <w:proofErr w:type="spellStart"/>
      <w:r w:rsidR="00704EB7" w:rsidRPr="00A50447">
        <w:rPr>
          <w:i/>
          <w:lang w:val="es-ES_tradnl"/>
        </w:rPr>
        <w:t>for</w:t>
      </w:r>
      <w:proofErr w:type="spellEnd"/>
      <w:r w:rsidR="00704EB7" w:rsidRPr="00A50447">
        <w:rPr>
          <w:i/>
          <w:lang w:val="es-ES_tradnl"/>
        </w:rPr>
        <w:t xml:space="preserve"> </w:t>
      </w:r>
      <w:proofErr w:type="spellStart"/>
      <w:r w:rsidR="00704EB7" w:rsidRPr="00A50447">
        <w:rPr>
          <w:i/>
          <w:lang w:val="es-ES_tradnl"/>
        </w:rPr>
        <w:t>apple</w:t>
      </w:r>
      <w:proofErr w:type="spellEnd"/>
      <w:r w:rsidR="00704EB7" w:rsidRPr="00A50447">
        <w:rPr>
          <w:i/>
          <w:lang w:val="es-ES_tradnl"/>
        </w:rPr>
        <w:t xml:space="preserve"> </w:t>
      </w:r>
      <w:proofErr w:type="spellStart"/>
      <w:r w:rsidR="00704EB7" w:rsidRPr="00A50447">
        <w:rPr>
          <w:i/>
          <w:lang w:val="es-ES_tradnl"/>
        </w:rPr>
        <w:t>for</w:t>
      </w:r>
      <w:proofErr w:type="spellEnd"/>
      <w:r w:rsidR="00704EB7" w:rsidRPr="00A50447">
        <w:rPr>
          <w:i/>
          <w:lang w:val="es-ES_tradnl"/>
        </w:rPr>
        <w:t xml:space="preserve"> </w:t>
      </w:r>
      <w:proofErr w:type="spellStart"/>
      <w:r w:rsidR="00704EB7" w:rsidRPr="00A50447">
        <w:rPr>
          <w:i/>
          <w:lang w:val="es-ES_tradnl"/>
        </w:rPr>
        <w:t>an</w:t>
      </w:r>
      <w:proofErr w:type="spellEnd"/>
      <w:r w:rsidR="00704EB7" w:rsidRPr="00A50447">
        <w:rPr>
          <w:i/>
          <w:lang w:val="es-ES_tradnl"/>
        </w:rPr>
        <w:t xml:space="preserve"> </w:t>
      </w:r>
      <w:proofErr w:type="spellStart"/>
      <w:r w:rsidR="00704EB7" w:rsidRPr="00A50447">
        <w:rPr>
          <w:i/>
          <w:lang w:val="es-ES_tradnl"/>
        </w:rPr>
        <w:t>agreed</w:t>
      </w:r>
      <w:proofErr w:type="spellEnd"/>
      <w:r w:rsidR="00704EB7" w:rsidRPr="00A50447">
        <w:rPr>
          <w:i/>
          <w:lang w:val="es-ES_tradnl"/>
        </w:rPr>
        <w:t xml:space="preserve"> set of </w:t>
      </w:r>
      <w:proofErr w:type="spellStart"/>
      <w:r w:rsidR="00704EB7" w:rsidRPr="00A50447">
        <w:rPr>
          <w:i/>
          <w:lang w:val="es-ES_tradnl"/>
        </w:rPr>
        <w:t>varieties</w:t>
      </w:r>
      <w:proofErr w:type="spellEnd"/>
      <w:r w:rsidR="00704EB7" w:rsidRPr="00A50447">
        <w:rPr>
          <w:lang w:val="es-ES_tradnl"/>
        </w:rPr>
        <w:t>” (Publicación sobre la descripción armonizada de variedades de manzano para un conjunto acordado de variedades), para analizar si puede ser relevante para seguir desarrollando el estudio.</w:t>
      </w:r>
    </w:p>
    <w:p w:rsidR="00704EB7" w:rsidRPr="00A50447" w:rsidRDefault="00704EB7" w:rsidP="00704EB7">
      <w:pPr>
        <w:rPr>
          <w:rFonts w:eastAsiaTheme="minorEastAsia" w:cs="Arial"/>
          <w:lang w:val="es-ES_tradnl"/>
        </w:rPr>
      </w:pPr>
    </w:p>
    <w:p w:rsidR="00704EB7" w:rsidRPr="00A50447" w:rsidRDefault="00F605ED" w:rsidP="00704EB7">
      <w:pPr>
        <w:keepLines/>
        <w:shd w:val="clear" w:color="auto" w:fill="FFFFFF" w:themeFill="background1"/>
        <w:rPr>
          <w:rFonts w:eastAsiaTheme="minorEastAsia"/>
          <w:lang w:val="es-ES_tradnl"/>
        </w:rPr>
      </w:pPr>
      <w:r w:rsidRPr="0090224C">
        <w:rPr>
          <w:rFonts w:eastAsiaTheme="minorEastAsia"/>
        </w:rPr>
        <w:fldChar w:fldCharType="begin"/>
      </w:r>
      <w:r w:rsidR="00704EB7" w:rsidRPr="00A50447">
        <w:rPr>
          <w:rFonts w:eastAsiaTheme="minorEastAsia"/>
          <w:lang w:val="es-ES_tradnl"/>
        </w:rPr>
        <w:instrText xml:space="preserve"> AUTONUM  </w:instrText>
      </w:r>
      <w:r w:rsidRPr="0090224C">
        <w:rPr>
          <w:rFonts w:eastAsiaTheme="minorEastAsia"/>
        </w:rPr>
        <w:fldChar w:fldCharType="end"/>
      </w:r>
      <w:r w:rsidR="00704EB7" w:rsidRPr="00A50447">
        <w:rPr>
          <w:lang w:val="es-ES_tradnl"/>
        </w:rPr>
        <w:tab/>
        <w:t>El TWV propuso que expertos de la Unión Europea, Francia y los Países Bajos colaboraran con el redactor para elaborar orientación adicional sobre el texto que se propone incluir en el TGP/8 Parte I</w:t>
      </w:r>
      <w:proofErr w:type="gramStart"/>
      <w:r w:rsidR="0098320D" w:rsidRPr="00A50447">
        <w:rPr>
          <w:lang w:val="es-ES_tradnl"/>
        </w:rPr>
        <w:t xml:space="preserve">:  </w:t>
      </w:r>
      <w:r w:rsidR="00704EB7" w:rsidRPr="00A50447">
        <w:rPr>
          <w:lang w:val="es-ES_tradnl"/>
        </w:rPr>
        <w:t>Diseño</w:t>
      </w:r>
      <w:proofErr w:type="gramEnd"/>
      <w:r w:rsidR="00704EB7" w:rsidRPr="00A50447">
        <w:rPr>
          <w:lang w:val="es-ES_tradnl"/>
        </w:rPr>
        <w:t xml:space="preserve"> de ensayos DHE y análisis de datos, nueva sección:  </w:t>
      </w:r>
      <w:r w:rsidR="001C6EA7">
        <w:rPr>
          <w:lang w:val="es-ES_tradnl"/>
        </w:rPr>
        <w:t xml:space="preserve">Minimizar </w:t>
      </w:r>
      <w:r w:rsidR="00704EB7" w:rsidRPr="00A50447">
        <w:rPr>
          <w:lang w:val="es-ES_tradnl"/>
        </w:rPr>
        <w:t>la variación resultante de la ejecución de los ensayos por distintos observadores, en una futura revisión del documento TGP/8.</w:t>
      </w:r>
    </w:p>
    <w:p w:rsidR="00704EB7" w:rsidRPr="00A50447" w:rsidRDefault="00704EB7" w:rsidP="00704EB7">
      <w:pPr>
        <w:shd w:val="clear" w:color="auto" w:fill="FFFFFF" w:themeFill="background1"/>
        <w:rPr>
          <w:rFonts w:eastAsiaTheme="minorEastAsia"/>
          <w:lang w:val="es-ES_tradnl"/>
        </w:rPr>
      </w:pPr>
    </w:p>
    <w:p w:rsidR="00704EB7" w:rsidRPr="00A50447" w:rsidRDefault="00F605ED" w:rsidP="00704EB7">
      <w:pPr>
        <w:shd w:val="clear" w:color="auto" w:fill="FFFFFF" w:themeFill="background1"/>
        <w:rPr>
          <w:rFonts w:eastAsiaTheme="minorEastAsia"/>
          <w:lang w:val="es-ES_tradnl"/>
        </w:rPr>
      </w:pPr>
      <w:r w:rsidRPr="00F00C80">
        <w:rPr>
          <w:rFonts w:eastAsiaTheme="minorEastAsia"/>
        </w:rPr>
        <w:fldChar w:fldCharType="begin"/>
      </w:r>
      <w:r w:rsidR="00704EB7" w:rsidRPr="00A50447">
        <w:rPr>
          <w:rFonts w:eastAsiaTheme="minorEastAsia"/>
          <w:lang w:val="es-ES_tradnl"/>
        </w:rPr>
        <w:instrText xml:space="preserve"> AUTONUM  </w:instrText>
      </w:r>
      <w:r w:rsidRPr="00F00C80">
        <w:rPr>
          <w:rFonts w:eastAsiaTheme="minorEastAsia"/>
        </w:rPr>
        <w:fldChar w:fldCharType="end"/>
      </w:r>
      <w:r w:rsidR="00704EB7" w:rsidRPr="00A50447">
        <w:rPr>
          <w:lang w:val="es-ES_tradnl"/>
        </w:rPr>
        <w:tab/>
        <w:t>EL TWV y el TWA observaron que el experto de los Países Bajos, junto con otros expertos, redactaría una propuesta de texto de orientación adicional sobre los caracteres PQ y QN/MG para distribuirla a los grupos de expertos de los otros grupos de trabajo (TWP) interesados.</w:t>
      </w:r>
    </w:p>
    <w:p w:rsidR="00704EB7" w:rsidRPr="00A50447" w:rsidRDefault="00704EB7" w:rsidP="00704EB7">
      <w:pPr>
        <w:rPr>
          <w:lang w:val="es-ES_tradnl"/>
        </w:rPr>
      </w:pPr>
    </w:p>
    <w:p w:rsidR="00704EB7" w:rsidRPr="00A50447" w:rsidRDefault="00F605ED" w:rsidP="00704EB7">
      <w:pPr>
        <w:rPr>
          <w:lang w:val="es-ES_tradnl"/>
        </w:rPr>
      </w:pPr>
      <w:r w:rsidRPr="00917C3E">
        <w:fldChar w:fldCharType="begin"/>
      </w:r>
      <w:r w:rsidR="00704EB7" w:rsidRPr="00A50447">
        <w:rPr>
          <w:lang w:val="es-ES_tradnl"/>
        </w:rPr>
        <w:instrText xml:space="preserve"> AUTONUM  </w:instrText>
      </w:r>
      <w:r w:rsidRPr="00917C3E">
        <w:fldChar w:fldCharType="end"/>
      </w:r>
      <w:r w:rsidR="00704EB7" w:rsidRPr="00A50447">
        <w:rPr>
          <w:lang w:val="es-ES_tradnl"/>
        </w:rPr>
        <w:tab/>
        <w:t xml:space="preserve">El TWC </w:t>
      </w:r>
      <w:r w:rsidR="002A6B4A" w:rsidRPr="00A50447">
        <w:rPr>
          <w:lang w:val="es-ES_tradnl"/>
        </w:rPr>
        <w:t>señaló</w:t>
      </w:r>
      <w:r w:rsidR="00704EB7" w:rsidRPr="00A50447">
        <w:rPr>
          <w:lang w:val="es-ES_tradnl"/>
        </w:rPr>
        <w:t xml:space="preserve"> que el redactor de los Países </w:t>
      </w:r>
      <w:r w:rsidR="001C6EA7">
        <w:rPr>
          <w:lang w:val="es-ES_tradnl"/>
        </w:rPr>
        <w:t>Bajos ya no participaba en las s</w:t>
      </w:r>
      <w:r w:rsidR="00704EB7" w:rsidRPr="00A50447">
        <w:rPr>
          <w:lang w:val="es-ES_tradnl"/>
        </w:rPr>
        <w:t>e</w:t>
      </w:r>
      <w:r w:rsidR="001C6EA7">
        <w:rPr>
          <w:lang w:val="es-ES_tradnl"/>
        </w:rPr>
        <w:t>s</w:t>
      </w:r>
      <w:r w:rsidR="00704EB7" w:rsidRPr="00A50447">
        <w:rPr>
          <w:lang w:val="es-ES_tradnl"/>
        </w:rPr>
        <w:t xml:space="preserve">iones del TWC y que no era posible proponer a otro experto o expertos del TWC para que </w:t>
      </w:r>
      <w:r w:rsidR="002A6B4A" w:rsidRPr="00A50447">
        <w:rPr>
          <w:lang w:val="es-ES_tradnl"/>
        </w:rPr>
        <w:t xml:space="preserve">continuaran </w:t>
      </w:r>
      <w:r w:rsidR="00704EB7" w:rsidRPr="00A50447">
        <w:rPr>
          <w:lang w:val="es-ES_tradnl"/>
        </w:rPr>
        <w:t>con su labor</w:t>
      </w:r>
      <w:r w:rsidR="0098320D" w:rsidRPr="00A50447">
        <w:rPr>
          <w:lang w:val="es-ES_tradnl"/>
        </w:rPr>
        <w:t xml:space="preserve">.  </w:t>
      </w:r>
      <w:r w:rsidR="00704EB7" w:rsidRPr="00A50447">
        <w:rPr>
          <w:lang w:val="es-ES_tradnl"/>
        </w:rPr>
        <w:t>Sin embargo, el TWC señaló que el TWO y el TWV había</w:t>
      </w:r>
      <w:r w:rsidR="002A6B4A" w:rsidRPr="00A50447">
        <w:rPr>
          <w:lang w:val="es-ES_tradnl"/>
        </w:rPr>
        <w:t>n</w:t>
      </w:r>
      <w:r w:rsidR="00704EB7" w:rsidRPr="00A50447">
        <w:rPr>
          <w:lang w:val="es-ES_tradnl"/>
        </w:rPr>
        <w:t xml:space="preserve"> propuesto expertos para que colaboraran en la elaboración de orientación adicional sobre el texto propuesto que se incluirá en el TGP/8 Parte I</w:t>
      </w:r>
      <w:proofErr w:type="gramStart"/>
      <w:r w:rsidR="00704EB7" w:rsidRPr="00A50447">
        <w:rPr>
          <w:lang w:val="es-ES_tradnl"/>
        </w:rPr>
        <w:t>:  Diseño</w:t>
      </w:r>
      <w:proofErr w:type="gramEnd"/>
      <w:r w:rsidR="00704EB7" w:rsidRPr="00A50447">
        <w:rPr>
          <w:lang w:val="es-ES_tradnl"/>
        </w:rPr>
        <w:t xml:space="preserve"> de ensayos DHE y análisis de datos, nueva sección:  </w:t>
      </w:r>
      <w:r w:rsidR="001C6EA7">
        <w:rPr>
          <w:lang w:val="es-ES_tradnl"/>
        </w:rPr>
        <w:t>Minimizar</w:t>
      </w:r>
      <w:r w:rsidR="00704EB7" w:rsidRPr="00A50447">
        <w:rPr>
          <w:lang w:val="es-ES_tradnl"/>
        </w:rPr>
        <w:t xml:space="preserve"> la variación resultante de la ejecución de los ensayos por distintos observadores, en una futura revisión del documento TGP/8, en lo relativo a la orientación sobre los caracteres PQ y QN/MG.</w:t>
      </w:r>
    </w:p>
    <w:p w:rsidR="00704EB7" w:rsidRPr="00A50447" w:rsidRDefault="00704EB7" w:rsidP="00704EB7">
      <w:pPr>
        <w:rPr>
          <w:lang w:val="es-ES_tradnl"/>
        </w:rPr>
      </w:pPr>
    </w:p>
    <w:p w:rsidR="00704EB7" w:rsidRPr="00A50447" w:rsidRDefault="00F605ED" w:rsidP="00704EB7">
      <w:pPr>
        <w:rPr>
          <w:lang w:val="es-ES_tradnl"/>
        </w:rPr>
      </w:pPr>
      <w:r w:rsidRPr="00917C3E">
        <w:fldChar w:fldCharType="begin"/>
      </w:r>
      <w:r w:rsidR="00704EB7" w:rsidRPr="00A50447">
        <w:rPr>
          <w:lang w:val="es-ES_tradnl"/>
        </w:rPr>
        <w:instrText xml:space="preserve"> AUTONUM  </w:instrText>
      </w:r>
      <w:r w:rsidRPr="00917C3E">
        <w:fldChar w:fldCharType="end"/>
      </w:r>
      <w:r w:rsidR="00704EB7" w:rsidRPr="00A50447">
        <w:rPr>
          <w:lang w:val="es-ES_tradnl"/>
        </w:rPr>
        <w:tab/>
        <w:t>El TWC observó que el TWF había propuesto que, en su cuadragésima quinta sesión, un experto de Nueva Zelandia informara sobre la labor realizada en relación con la “</w:t>
      </w:r>
      <w:proofErr w:type="spellStart"/>
      <w:r w:rsidR="00704EB7" w:rsidRPr="00A50447">
        <w:rPr>
          <w:i/>
          <w:lang w:val="es-ES_tradnl"/>
        </w:rPr>
        <w:t>Publication</w:t>
      </w:r>
      <w:proofErr w:type="spellEnd"/>
      <w:r w:rsidR="00704EB7" w:rsidRPr="00A50447">
        <w:rPr>
          <w:i/>
          <w:lang w:val="es-ES_tradnl"/>
        </w:rPr>
        <w:t xml:space="preserve"> of </w:t>
      </w:r>
      <w:proofErr w:type="spellStart"/>
      <w:r w:rsidR="00704EB7" w:rsidRPr="00A50447">
        <w:rPr>
          <w:i/>
          <w:lang w:val="es-ES_tradnl"/>
        </w:rPr>
        <w:t>harmonized</w:t>
      </w:r>
      <w:proofErr w:type="spellEnd"/>
      <w:r w:rsidR="00704EB7" w:rsidRPr="00A50447">
        <w:rPr>
          <w:i/>
          <w:lang w:val="es-ES_tradnl"/>
        </w:rPr>
        <w:t xml:space="preserve"> </w:t>
      </w:r>
      <w:proofErr w:type="spellStart"/>
      <w:r w:rsidR="00704EB7" w:rsidRPr="00A50447">
        <w:rPr>
          <w:i/>
          <w:lang w:val="es-ES_tradnl"/>
        </w:rPr>
        <w:t>variety</w:t>
      </w:r>
      <w:proofErr w:type="spellEnd"/>
      <w:r w:rsidR="00704EB7" w:rsidRPr="00A50447">
        <w:rPr>
          <w:i/>
          <w:lang w:val="es-ES_tradnl"/>
        </w:rPr>
        <w:t xml:space="preserve"> </w:t>
      </w:r>
      <w:proofErr w:type="spellStart"/>
      <w:r w:rsidR="00704EB7" w:rsidRPr="00A50447">
        <w:rPr>
          <w:i/>
          <w:lang w:val="es-ES_tradnl"/>
        </w:rPr>
        <w:t>description</w:t>
      </w:r>
      <w:proofErr w:type="spellEnd"/>
      <w:r w:rsidR="00704EB7" w:rsidRPr="00A50447">
        <w:rPr>
          <w:i/>
          <w:lang w:val="es-ES_tradnl"/>
        </w:rPr>
        <w:t xml:space="preserve"> </w:t>
      </w:r>
      <w:proofErr w:type="spellStart"/>
      <w:r w:rsidR="00704EB7" w:rsidRPr="00A50447">
        <w:rPr>
          <w:i/>
          <w:lang w:val="es-ES_tradnl"/>
        </w:rPr>
        <w:t>for</w:t>
      </w:r>
      <w:proofErr w:type="spellEnd"/>
      <w:r w:rsidR="00704EB7" w:rsidRPr="00A50447">
        <w:rPr>
          <w:i/>
          <w:lang w:val="es-ES_tradnl"/>
        </w:rPr>
        <w:t xml:space="preserve"> </w:t>
      </w:r>
      <w:proofErr w:type="spellStart"/>
      <w:r w:rsidR="00704EB7" w:rsidRPr="00A50447">
        <w:rPr>
          <w:i/>
          <w:lang w:val="es-ES_tradnl"/>
        </w:rPr>
        <w:t>apple</w:t>
      </w:r>
      <w:proofErr w:type="spellEnd"/>
      <w:r w:rsidR="00704EB7" w:rsidRPr="00A50447">
        <w:rPr>
          <w:i/>
          <w:lang w:val="es-ES_tradnl"/>
        </w:rPr>
        <w:t xml:space="preserve"> </w:t>
      </w:r>
      <w:proofErr w:type="spellStart"/>
      <w:r w:rsidR="00704EB7" w:rsidRPr="00A50447">
        <w:rPr>
          <w:i/>
          <w:lang w:val="es-ES_tradnl"/>
        </w:rPr>
        <w:t>for</w:t>
      </w:r>
      <w:proofErr w:type="spellEnd"/>
      <w:r w:rsidR="00704EB7" w:rsidRPr="00A50447">
        <w:rPr>
          <w:i/>
          <w:lang w:val="es-ES_tradnl"/>
        </w:rPr>
        <w:t xml:space="preserve"> </w:t>
      </w:r>
      <w:proofErr w:type="spellStart"/>
      <w:r w:rsidR="00704EB7" w:rsidRPr="00A50447">
        <w:rPr>
          <w:i/>
          <w:lang w:val="es-ES_tradnl"/>
        </w:rPr>
        <w:t>an</w:t>
      </w:r>
      <w:proofErr w:type="spellEnd"/>
      <w:r w:rsidR="00704EB7" w:rsidRPr="00A50447">
        <w:rPr>
          <w:i/>
          <w:lang w:val="es-ES_tradnl"/>
        </w:rPr>
        <w:t xml:space="preserve"> </w:t>
      </w:r>
      <w:proofErr w:type="spellStart"/>
      <w:r w:rsidR="00704EB7" w:rsidRPr="00A50447">
        <w:rPr>
          <w:i/>
          <w:lang w:val="es-ES_tradnl"/>
        </w:rPr>
        <w:t>agreed</w:t>
      </w:r>
      <w:proofErr w:type="spellEnd"/>
      <w:r w:rsidR="00704EB7" w:rsidRPr="00A50447">
        <w:rPr>
          <w:i/>
          <w:lang w:val="es-ES_tradnl"/>
        </w:rPr>
        <w:t xml:space="preserve"> set of </w:t>
      </w:r>
      <w:proofErr w:type="spellStart"/>
      <w:r w:rsidR="00704EB7" w:rsidRPr="00A50447">
        <w:rPr>
          <w:i/>
          <w:lang w:val="es-ES_tradnl"/>
        </w:rPr>
        <w:t>varieties</w:t>
      </w:r>
      <w:proofErr w:type="spellEnd"/>
      <w:r w:rsidR="00704EB7" w:rsidRPr="00A50447">
        <w:rPr>
          <w:lang w:val="es-ES_tradnl"/>
        </w:rPr>
        <w:t>” (Publicación sobre la descripción armonizada de variedades de manzano para un conjunto acordado de variedades), a fin de analizar si puede ser relevante para perfeccionar el estudio.</w:t>
      </w:r>
    </w:p>
    <w:p w:rsidR="00704EB7" w:rsidRPr="00A50447" w:rsidRDefault="00704EB7" w:rsidP="00704EB7">
      <w:pPr>
        <w:rPr>
          <w:lang w:val="es-ES_tradnl"/>
        </w:rPr>
      </w:pPr>
    </w:p>
    <w:p w:rsidR="00704EB7" w:rsidRPr="00A50447" w:rsidRDefault="00F605ED" w:rsidP="00704EB7">
      <w:pPr>
        <w:keepLines/>
        <w:shd w:val="clear" w:color="auto" w:fill="FFFFFF"/>
        <w:rPr>
          <w:lang w:val="es-ES_tradnl"/>
        </w:rPr>
      </w:pPr>
      <w:r w:rsidRPr="004B761D">
        <w:fldChar w:fldCharType="begin"/>
      </w:r>
      <w:r w:rsidR="00704EB7" w:rsidRPr="00A50447">
        <w:rPr>
          <w:lang w:val="es-ES_tradnl"/>
        </w:rPr>
        <w:instrText xml:space="preserve"> AUTONUM  </w:instrText>
      </w:r>
      <w:r w:rsidRPr="004B761D">
        <w:fldChar w:fldCharType="end"/>
      </w:r>
      <w:r w:rsidR="00704EB7" w:rsidRPr="00A50447">
        <w:rPr>
          <w:lang w:val="es-ES_tradnl"/>
        </w:rPr>
        <w:tab/>
        <w:t xml:space="preserve">El TWA propuso que sus expertos de Australia y </w:t>
      </w:r>
      <w:r w:rsidR="00704EB7" w:rsidRPr="00A50447">
        <w:rPr>
          <w:snapToGrid w:val="0"/>
          <w:lang w:val="es-ES_tradnl"/>
        </w:rPr>
        <w:t xml:space="preserve">los </w:t>
      </w:r>
      <w:r w:rsidR="00704EB7" w:rsidRPr="00A50447">
        <w:rPr>
          <w:lang w:val="es-ES_tradnl"/>
        </w:rPr>
        <w:t>Países Bajos colaboraran con el redactor para elaborar más orientación sobre el texto propuesto que se incluirá en el TGP/8 Parte I</w:t>
      </w:r>
      <w:proofErr w:type="gramStart"/>
      <w:r w:rsidR="00704EB7" w:rsidRPr="00A50447">
        <w:rPr>
          <w:lang w:val="es-ES_tradnl"/>
        </w:rPr>
        <w:t>:  Diseño</w:t>
      </w:r>
      <w:proofErr w:type="gramEnd"/>
      <w:r w:rsidR="00704EB7" w:rsidRPr="00A50447">
        <w:rPr>
          <w:lang w:val="es-ES_tradnl"/>
        </w:rPr>
        <w:t xml:space="preserve"> de ensayos DHE y análisis de datos, nueva sección:  </w:t>
      </w:r>
      <w:r w:rsidR="001C6EA7">
        <w:rPr>
          <w:lang w:val="es-ES_tradnl"/>
        </w:rPr>
        <w:t>Minimizar</w:t>
      </w:r>
      <w:r w:rsidR="00704EB7" w:rsidRPr="00A50447">
        <w:rPr>
          <w:lang w:val="es-ES_tradnl"/>
        </w:rPr>
        <w:t xml:space="preserve"> la variación resultante de la ejecución de los ensayos por distintos observadores, en una futura revisión del documento TGP/8.</w:t>
      </w:r>
    </w:p>
    <w:p w:rsidR="00704EB7" w:rsidRPr="00A50447" w:rsidRDefault="00704EB7" w:rsidP="00704EB7">
      <w:pPr>
        <w:rPr>
          <w:lang w:val="es-ES_tradnl"/>
        </w:rPr>
      </w:pPr>
    </w:p>
    <w:p w:rsidR="00704EB7" w:rsidRPr="00A50447" w:rsidRDefault="00F605ED" w:rsidP="00704EB7">
      <w:pPr>
        <w:rPr>
          <w:lang w:val="es-ES_tradnl"/>
        </w:rPr>
      </w:pPr>
      <w:r w:rsidRPr="004B761D">
        <w:fldChar w:fldCharType="begin"/>
      </w:r>
      <w:r w:rsidR="00704EB7" w:rsidRPr="00A50447">
        <w:rPr>
          <w:lang w:val="es-ES_tradnl"/>
        </w:rPr>
        <w:instrText xml:space="preserve"> AUTONUM  </w:instrText>
      </w:r>
      <w:r w:rsidRPr="004B761D">
        <w:fldChar w:fldCharType="end"/>
      </w:r>
      <w:r w:rsidR="00704EB7" w:rsidRPr="00A50447">
        <w:rPr>
          <w:lang w:val="es-ES_tradnl"/>
        </w:rPr>
        <w:tab/>
      </w:r>
      <w:r w:rsidR="00CB7996" w:rsidRPr="00A50447">
        <w:rPr>
          <w:lang w:val="es-ES_tradnl"/>
        </w:rPr>
        <w:t xml:space="preserve">El Sr. </w:t>
      </w:r>
      <w:proofErr w:type="spellStart"/>
      <w:r w:rsidR="00704EB7" w:rsidRPr="00A50447">
        <w:rPr>
          <w:lang w:val="es-ES_tradnl"/>
        </w:rPr>
        <w:t>Nik</w:t>
      </w:r>
      <w:proofErr w:type="spellEnd"/>
      <w:r w:rsidR="00704EB7" w:rsidRPr="00A50447">
        <w:rPr>
          <w:lang w:val="es-ES_tradnl"/>
        </w:rPr>
        <w:t xml:space="preserve"> </w:t>
      </w:r>
      <w:proofErr w:type="spellStart"/>
      <w:r w:rsidR="00704EB7" w:rsidRPr="00A50447">
        <w:rPr>
          <w:lang w:val="es-ES_tradnl"/>
        </w:rPr>
        <w:t>Hulse</w:t>
      </w:r>
      <w:proofErr w:type="spellEnd"/>
      <w:r w:rsidR="00704EB7" w:rsidRPr="00A50447">
        <w:rPr>
          <w:lang w:val="es-ES_tradnl"/>
        </w:rPr>
        <w:t xml:space="preserve"> (Australia), con ayuda de los expertos de la Unión Europea, Francia, Alemania, los Países Bajos y el Reino Unido ha acordado elaborar orientación adicional para incluir en el TGP/8 Parte I</w:t>
      </w:r>
      <w:r w:rsidR="0098320D" w:rsidRPr="00A50447">
        <w:rPr>
          <w:lang w:val="es-ES_tradnl"/>
        </w:rPr>
        <w:t xml:space="preserve">:  </w:t>
      </w:r>
      <w:r w:rsidR="00704EB7" w:rsidRPr="00A50447">
        <w:rPr>
          <w:lang w:val="es-ES_tradnl"/>
        </w:rPr>
        <w:t xml:space="preserve">Diseño de ensayos DHE y análisis de datos, nueva sección:  </w:t>
      </w:r>
      <w:r w:rsidR="001C6EA7">
        <w:rPr>
          <w:lang w:val="es-ES_tradnl"/>
        </w:rPr>
        <w:t>Minimizar</w:t>
      </w:r>
      <w:r w:rsidR="00704EB7" w:rsidRPr="00A50447">
        <w:rPr>
          <w:lang w:val="es-ES_tradnl"/>
        </w:rPr>
        <w:t xml:space="preserve"> la variación resultante de la ejecución de los ensayos por distintos observadores, en una futura revisión del documento TGP/8, en lo relativo a la orientación sobre los caracteres PQ y QN/MG, para someterla al examen de los TWP en sus sesiones de 2014. </w:t>
      </w:r>
    </w:p>
    <w:p w:rsidR="00704EB7" w:rsidRPr="00A50447" w:rsidRDefault="00704EB7" w:rsidP="00704EB7">
      <w:pPr>
        <w:rPr>
          <w:lang w:val="es-ES_tradnl"/>
        </w:rPr>
      </w:pPr>
    </w:p>
    <w:p w:rsidR="004B5768" w:rsidRPr="00A50447" w:rsidRDefault="00F605ED" w:rsidP="004B5768">
      <w:pPr>
        <w:tabs>
          <w:tab w:val="left" w:pos="5103"/>
          <w:tab w:val="left" w:pos="5670"/>
        </w:tabs>
        <w:ind w:left="4536"/>
        <w:rPr>
          <w:i/>
          <w:lang w:val="es-ES_tradnl"/>
        </w:rPr>
      </w:pPr>
      <w:r w:rsidRPr="008A668D">
        <w:rPr>
          <w:i/>
        </w:rPr>
        <w:fldChar w:fldCharType="begin"/>
      </w:r>
      <w:r w:rsidR="004B5768" w:rsidRPr="00A50447">
        <w:rPr>
          <w:i/>
          <w:lang w:val="es-ES_tradnl"/>
        </w:rPr>
        <w:instrText xml:space="preserve"> AUTONUM  </w:instrText>
      </w:r>
      <w:r w:rsidRPr="008A668D">
        <w:rPr>
          <w:i/>
        </w:rPr>
        <w:fldChar w:fldCharType="end"/>
      </w:r>
      <w:r w:rsidR="004B5768" w:rsidRPr="00A50447">
        <w:rPr>
          <w:lang w:val="es-ES_tradnl"/>
        </w:rPr>
        <w:tab/>
      </w:r>
      <w:r w:rsidR="004B5768" w:rsidRPr="00A50447">
        <w:rPr>
          <w:i/>
          <w:lang w:val="es-ES_tradnl"/>
        </w:rPr>
        <w:t>Se invita al TC a:</w:t>
      </w:r>
    </w:p>
    <w:p w:rsidR="004B5768" w:rsidRPr="00A50447" w:rsidRDefault="004B5768" w:rsidP="004B5768">
      <w:pPr>
        <w:tabs>
          <w:tab w:val="left" w:pos="5103"/>
          <w:tab w:val="left" w:pos="5670"/>
        </w:tabs>
        <w:rPr>
          <w:i/>
          <w:lang w:val="es-ES_tradnl"/>
        </w:rPr>
      </w:pPr>
    </w:p>
    <w:p w:rsidR="004B5768" w:rsidRPr="00A50447" w:rsidRDefault="004B5768" w:rsidP="004B5768">
      <w:pPr>
        <w:tabs>
          <w:tab w:val="left" w:pos="5103"/>
          <w:tab w:val="left" w:pos="5670"/>
        </w:tabs>
        <w:ind w:left="4536" w:firstLine="567"/>
        <w:rPr>
          <w:i/>
          <w:lang w:val="es-ES_tradnl"/>
        </w:rPr>
      </w:pPr>
      <w:r w:rsidRPr="00A50447">
        <w:rPr>
          <w:i/>
          <w:lang w:val="es-ES_tradnl"/>
        </w:rPr>
        <w:t>a)</w:t>
      </w:r>
      <w:r w:rsidRPr="00A50447">
        <w:rPr>
          <w:lang w:val="es-ES_tradnl"/>
        </w:rPr>
        <w:tab/>
        <w:t>tomar nota de que</w:t>
      </w:r>
      <w:r w:rsidRPr="00A50447">
        <w:rPr>
          <w:i/>
          <w:lang w:val="es-ES_tradnl"/>
        </w:rPr>
        <w:t xml:space="preserve"> el TWF ha solicitado que un experto de </w:t>
      </w:r>
      <w:r w:rsidR="003D2E65" w:rsidRPr="00A50447">
        <w:rPr>
          <w:i/>
          <w:lang w:val="es-ES_tradnl"/>
        </w:rPr>
        <w:t>Nueva Zelandia</w:t>
      </w:r>
      <w:r w:rsidRPr="00A50447">
        <w:rPr>
          <w:i/>
          <w:lang w:val="es-ES_tradnl"/>
        </w:rPr>
        <w:t xml:space="preserve"> informe, en su sesión de 2014, sobre la labor previa realizada en relación con la descripción de variedades de manzano para un conjunto de variedades acordado, como se expone en el </w:t>
      </w:r>
      <w:r w:rsidR="00165308" w:rsidRPr="00A50447">
        <w:rPr>
          <w:i/>
          <w:lang w:val="es-ES_tradnl"/>
        </w:rPr>
        <w:t>párrafo </w:t>
      </w:r>
      <w:r w:rsidRPr="00A50447">
        <w:rPr>
          <w:i/>
          <w:lang w:val="es-ES_tradnl"/>
        </w:rPr>
        <w:t xml:space="preserve">17 de este documento; </w:t>
      </w:r>
      <w:r w:rsidR="00165308" w:rsidRPr="00A50447">
        <w:rPr>
          <w:i/>
          <w:lang w:val="es-ES_tradnl"/>
        </w:rPr>
        <w:t>e</w:t>
      </w:r>
    </w:p>
    <w:p w:rsidR="004B5768" w:rsidRPr="00A50447" w:rsidRDefault="004B5768" w:rsidP="004B5768">
      <w:pPr>
        <w:tabs>
          <w:tab w:val="left" w:pos="5103"/>
          <w:tab w:val="left" w:pos="5670"/>
        </w:tabs>
        <w:ind w:left="4536" w:firstLine="567"/>
        <w:rPr>
          <w:i/>
          <w:lang w:val="es-ES_tradnl"/>
        </w:rPr>
      </w:pPr>
    </w:p>
    <w:p w:rsidR="00A50447" w:rsidRPr="00A50447" w:rsidRDefault="00A50447">
      <w:pPr>
        <w:jc w:val="left"/>
        <w:rPr>
          <w:i/>
          <w:lang w:val="es-ES_tradnl"/>
        </w:rPr>
      </w:pPr>
      <w:r w:rsidRPr="00A50447">
        <w:rPr>
          <w:i/>
          <w:lang w:val="es-ES_tradnl"/>
        </w:rPr>
        <w:br w:type="page"/>
      </w:r>
    </w:p>
    <w:p w:rsidR="004B5768" w:rsidRPr="00A50447" w:rsidRDefault="004B5768" w:rsidP="004B5768">
      <w:pPr>
        <w:tabs>
          <w:tab w:val="left" w:pos="4536"/>
          <w:tab w:val="left" w:pos="5670"/>
        </w:tabs>
        <w:ind w:left="4536" w:firstLine="567"/>
        <w:rPr>
          <w:i/>
          <w:lang w:val="es-ES_tradnl"/>
        </w:rPr>
      </w:pPr>
      <w:r w:rsidRPr="00A50447">
        <w:rPr>
          <w:i/>
          <w:lang w:val="es-ES_tradnl"/>
        </w:rPr>
        <w:lastRenderedPageBreak/>
        <w:t>b)</w:t>
      </w:r>
      <w:r w:rsidR="001C6EA7">
        <w:rPr>
          <w:i/>
          <w:lang w:val="es-ES_tradnl"/>
        </w:rPr>
        <w:tab/>
      </w:r>
      <w:r w:rsidRPr="00A50447">
        <w:rPr>
          <w:i/>
          <w:lang w:val="es-ES_tradnl"/>
        </w:rPr>
        <w:t xml:space="preserve">invitar al experto de Australia a que, con la ayuda de expertos de la Unión Europea, Francia, Alemania, los Países Bajos y el Reino Unido, elabore orientación adicional para incluir en una futura revisión del documento TGP/8 sobre </w:t>
      </w:r>
      <w:r w:rsidR="007D08E1">
        <w:rPr>
          <w:i/>
          <w:lang w:val="es-ES_tradnl"/>
        </w:rPr>
        <w:t>minimizar</w:t>
      </w:r>
      <w:r w:rsidRPr="00A50447">
        <w:rPr>
          <w:i/>
          <w:lang w:val="es-ES_tradnl"/>
        </w:rPr>
        <w:t xml:space="preserve"> la variación resultante de la ejecución de los ensayos por distintos observadores, que incluya orientación relativa a los caracteres PQ y QN/MG, para someterla al examen de los TWP en sus sesiones de 2014.</w:t>
      </w:r>
    </w:p>
    <w:p w:rsidR="004B5768" w:rsidRPr="00174257" w:rsidRDefault="004B5768" w:rsidP="007D08E1">
      <w:pPr>
        <w:rPr>
          <w:lang w:val="fr-CH"/>
        </w:rPr>
      </w:pPr>
    </w:p>
    <w:p w:rsidR="007D08E1" w:rsidRPr="00174257" w:rsidRDefault="007D08E1" w:rsidP="007D08E1">
      <w:pPr>
        <w:rPr>
          <w:lang w:val="fr-CH"/>
        </w:rPr>
      </w:pPr>
    </w:p>
    <w:p w:rsidR="00704EB7" w:rsidRPr="00A50447" w:rsidRDefault="00704EB7" w:rsidP="00704EB7">
      <w:pPr>
        <w:rPr>
          <w:lang w:val="es-ES_tradnl"/>
        </w:rPr>
      </w:pPr>
    </w:p>
    <w:p w:rsidR="00050E16" w:rsidRPr="00C5280D" w:rsidRDefault="00050E16" w:rsidP="00050E16">
      <w:pPr>
        <w:jc w:val="right"/>
      </w:pPr>
      <w:r>
        <w:t xml:space="preserve">[Fin </w:t>
      </w:r>
      <w:proofErr w:type="gramStart"/>
      <w:r>
        <w:t>del</w:t>
      </w:r>
      <w:proofErr w:type="gramEnd"/>
      <w:r>
        <w:t xml:space="preserve"> </w:t>
      </w:r>
      <w:proofErr w:type="spellStart"/>
      <w:r>
        <w:t>documento</w:t>
      </w:r>
      <w:proofErr w:type="spellEnd"/>
      <w:r>
        <w: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8E" w:rsidRDefault="00DB1D8E" w:rsidP="006655D3">
      <w:r>
        <w:separator/>
      </w:r>
    </w:p>
    <w:p w:rsidR="00DB1D8E" w:rsidRDefault="00DB1D8E" w:rsidP="006655D3"/>
    <w:p w:rsidR="00DB1D8E" w:rsidRDefault="00DB1D8E" w:rsidP="006655D3"/>
  </w:endnote>
  <w:endnote w:type="continuationSeparator" w:id="0">
    <w:p w:rsidR="00DB1D8E" w:rsidRDefault="00DB1D8E" w:rsidP="006655D3">
      <w:r>
        <w:separator/>
      </w:r>
    </w:p>
    <w:p w:rsidR="00DB1D8E" w:rsidRPr="00704EB7" w:rsidRDefault="00DB1D8E">
      <w:pPr>
        <w:pStyle w:val="Footer"/>
        <w:spacing w:after="60"/>
        <w:rPr>
          <w:sz w:val="18"/>
          <w:lang w:val="fr-FR"/>
        </w:rPr>
      </w:pPr>
      <w:r w:rsidRPr="00704EB7">
        <w:rPr>
          <w:sz w:val="18"/>
          <w:lang w:val="fr-FR"/>
        </w:rPr>
        <w:t>[Suite de la note de la page précédente]</w:t>
      </w:r>
    </w:p>
    <w:p w:rsidR="00DB1D8E" w:rsidRPr="00704EB7" w:rsidRDefault="00DB1D8E" w:rsidP="006655D3">
      <w:pPr>
        <w:rPr>
          <w:lang w:val="fr-FR"/>
        </w:rPr>
      </w:pPr>
    </w:p>
    <w:p w:rsidR="00DB1D8E" w:rsidRPr="00704EB7" w:rsidRDefault="00DB1D8E" w:rsidP="006655D3">
      <w:pPr>
        <w:rPr>
          <w:lang w:val="fr-FR"/>
        </w:rPr>
      </w:pPr>
    </w:p>
  </w:endnote>
  <w:endnote w:type="continuationNotice" w:id="1">
    <w:p w:rsidR="00DB1D8E" w:rsidRPr="00704EB7" w:rsidRDefault="00DB1D8E" w:rsidP="006655D3">
      <w:pPr>
        <w:rPr>
          <w:lang w:val="fr-FR"/>
        </w:rPr>
      </w:pPr>
      <w:r w:rsidRPr="00704EB7">
        <w:rPr>
          <w:lang w:val="fr-FR"/>
        </w:rPr>
        <w:t>[Suite de la note page suivante]</w:t>
      </w:r>
    </w:p>
    <w:p w:rsidR="00DB1D8E" w:rsidRPr="00704EB7" w:rsidRDefault="00DB1D8E" w:rsidP="006655D3">
      <w:pPr>
        <w:rPr>
          <w:lang w:val="fr-FR"/>
        </w:rPr>
      </w:pPr>
    </w:p>
    <w:p w:rsidR="00DB1D8E" w:rsidRPr="00704EB7" w:rsidRDefault="00DB1D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8E" w:rsidRDefault="00DB1D8E" w:rsidP="006655D3">
      <w:r>
        <w:separator/>
      </w:r>
    </w:p>
  </w:footnote>
  <w:footnote w:type="continuationSeparator" w:id="0">
    <w:p w:rsidR="00DB1D8E" w:rsidRDefault="00DB1D8E" w:rsidP="006655D3">
      <w:r>
        <w:separator/>
      </w:r>
    </w:p>
  </w:footnote>
  <w:footnote w:type="continuationNotice" w:id="1">
    <w:p w:rsidR="00DB1D8E" w:rsidRPr="00AB530F" w:rsidRDefault="00DB1D8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TC/50/21</w:t>
    </w:r>
  </w:p>
  <w:p w:rsidR="00182B99" w:rsidRPr="00C5280D" w:rsidRDefault="00182B99" w:rsidP="00EB048E">
    <w:pPr>
      <w:pStyle w:val="Header"/>
    </w:pPr>
    <w:proofErr w:type="spellStart"/>
    <w:proofErr w:type="gramStart"/>
    <w:r>
      <w:t>página</w:t>
    </w:r>
    <w:proofErr w:type="spellEnd"/>
    <w:proofErr w:type="gramEnd"/>
    <w:r>
      <w:t xml:space="preserve"> </w:t>
    </w:r>
    <w:r w:rsidR="00F605ED" w:rsidRPr="00C5280D">
      <w:rPr>
        <w:rStyle w:val="PageNumber"/>
      </w:rPr>
      <w:fldChar w:fldCharType="begin"/>
    </w:r>
    <w:r w:rsidRPr="00C5280D">
      <w:rPr>
        <w:rStyle w:val="PageNumber"/>
      </w:rPr>
      <w:instrText xml:space="preserve"> PAGE </w:instrText>
    </w:r>
    <w:r w:rsidR="00F605ED" w:rsidRPr="00C5280D">
      <w:rPr>
        <w:rStyle w:val="PageNumber"/>
      </w:rPr>
      <w:fldChar w:fldCharType="separate"/>
    </w:r>
    <w:r w:rsidR="00174257">
      <w:rPr>
        <w:rStyle w:val="PageNumber"/>
        <w:noProof/>
      </w:rPr>
      <w:t>5</w:t>
    </w:r>
    <w:r w:rsidR="00F605ED" w:rsidRPr="00C5280D">
      <w:rPr>
        <w:rStyle w:val="PageNumber"/>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F2F11"/>
    <w:rsid w:val="00105929"/>
    <w:rsid w:val="001131D5"/>
    <w:rsid w:val="00124C8C"/>
    <w:rsid w:val="00141DB8"/>
    <w:rsid w:val="00165308"/>
    <w:rsid w:val="00174257"/>
    <w:rsid w:val="0017474A"/>
    <w:rsid w:val="001758C6"/>
    <w:rsid w:val="00182B99"/>
    <w:rsid w:val="001C6EA7"/>
    <w:rsid w:val="001E035B"/>
    <w:rsid w:val="0021332C"/>
    <w:rsid w:val="00213982"/>
    <w:rsid w:val="002268E0"/>
    <w:rsid w:val="0024416D"/>
    <w:rsid w:val="00251B98"/>
    <w:rsid w:val="00271911"/>
    <w:rsid w:val="00273FAC"/>
    <w:rsid w:val="00277E2D"/>
    <w:rsid w:val="002800A0"/>
    <w:rsid w:val="002801B3"/>
    <w:rsid w:val="00281060"/>
    <w:rsid w:val="002940E8"/>
    <w:rsid w:val="002A6B4A"/>
    <w:rsid w:val="002A6E50"/>
    <w:rsid w:val="002C256A"/>
    <w:rsid w:val="002D0CBC"/>
    <w:rsid w:val="00305A7F"/>
    <w:rsid w:val="003152FE"/>
    <w:rsid w:val="00327436"/>
    <w:rsid w:val="00344BD6"/>
    <w:rsid w:val="0035528D"/>
    <w:rsid w:val="00361821"/>
    <w:rsid w:val="003D227C"/>
    <w:rsid w:val="003D2B4D"/>
    <w:rsid w:val="003D2E65"/>
    <w:rsid w:val="00403F51"/>
    <w:rsid w:val="00444A88"/>
    <w:rsid w:val="00474DA4"/>
    <w:rsid w:val="00476B4D"/>
    <w:rsid w:val="004805FA"/>
    <w:rsid w:val="0048667A"/>
    <w:rsid w:val="004B5768"/>
    <w:rsid w:val="004D047D"/>
    <w:rsid w:val="004F305A"/>
    <w:rsid w:val="00512164"/>
    <w:rsid w:val="00520297"/>
    <w:rsid w:val="005338F9"/>
    <w:rsid w:val="0053429E"/>
    <w:rsid w:val="00536DE5"/>
    <w:rsid w:val="0054281C"/>
    <w:rsid w:val="0055268D"/>
    <w:rsid w:val="005652FA"/>
    <w:rsid w:val="00576BE4"/>
    <w:rsid w:val="005926B7"/>
    <w:rsid w:val="005A400A"/>
    <w:rsid w:val="005B7641"/>
    <w:rsid w:val="005D5A40"/>
    <w:rsid w:val="00612379"/>
    <w:rsid w:val="0061555F"/>
    <w:rsid w:val="00641200"/>
    <w:rsid w:val="006655D3"/>
    <w:rsid w:val="00667254"/>
    <w:rsid w:val="00667404"/>
    <w:rsid w:val="00687EB4"/>
    <w:rsid w:val="006B17D2"/>
    <w:rsid w:val="006B569B"/>
    <w:rsid w:val="006C224E"/>
    <w:rsid w:val="006D780A"/>
    <w:rsid w:val="00700056"/>
    <w:rsid w:val="00704EB7"/>
    <w:rsid w:val="00732DEC"/>
    <w:rsid w:val="00735BD5"/>
    <w:rsid w:val="00737C00"/>
    <w:rsid w:val="007556F6"/>
    <w:rsid w:val="00760EEF"/>
    <w:rsid w:val="00777EE5"/>
    <w:rsid w:val="00784836"/>
    <w:rsid w:val="0079023E"/>
    <w:rsid w:val="00797356"/>
    <w:rsid w:val="007A2854"/>
    <w:rsid w:val="007D08E1"/>
    <w:rsid w:val="007D0B9D"/>
    <w:rsid w:val="007D19B0"/>
    <w:rsid w:val="007D7322"/>
    <w:rsid w:val="007F498F"/>
    <w:rsid w:val="0080679D"/>
    <w:rsid w:val="008108B0"/>
    <w:rsid w:val="00811B20"/>
    <w:rsid w:val="0082296E"/>
    <w:rsid w:val="00824099"/>
    <w:rsid w:val="00867AC1"/>
    <w:rsid w:val="008A743F"/>
    <w:rsid w:val="008C0970"/>
    <w:rsid w:val="008D2CF7"/>
    <w:rsid w:val="00900C26"/>
    <w:rsid w:val="0090197F"/>
    <w:rsid w:val="00906DDC"/>
    <w:rsid w:val="009201DC"/>
    <w:rsid w:val="00934E09"/>
    <w:rsid w:val="00936253"/>
    <w:rsid w:val="00952DD4"/>
    <w:rsid w:val="00970FED"/>
    <w:rsid w:val="0098320D"/>
    <w:rsid w:val="00992D82"/>
    <w:rsid w:val="00997029"/>
    <w:rsid w:val="009D658B"/>
    <w:rsid w:val="009D690D"/>
    <w:rsid w:val="009E49BC"/>
    <w:rsid w:val="009E65B6"/>
    <w:rsid w:val="009E6DB5"/>
    <w:rsid w:val="00A24C10"/>
    <w:rsid w:val="00A42AC3"/>
    <w:rsid w:val="00A430CF"/>
    <w:rsid w:val="00A50447"/>
    <w:rsid w:val="00A54309"/>
    <w:rsid w:val="00AA342C"/>
    <w:rsid w:val="00AB2B93"/>
    <w:rsid w:val="00AB530F"/>
    <w:rsid w:val="00AB7E5B"/>
    <w:rsid w:val="00AD1383"/>
    <w:rsid w:val="00AE0EF1"/>
    <w:rsid w:val="00AE2937"/>
    <w:rsid w:val="00B07301"/>
    <w:rsid w:val="00B224DE"/>
    <w:rsid w:val="00B27346"/>
    <w:rsid w:val="00B46575"/>
    <w:rsid w:val="00B84BBD"/>
    <w:rsid w:val="00BA43FB"/>
    <w:rsid w:val="00BC127D"/>
    <w:rsid w:val="00BC1FE6"/>
    <w:rsid w:val="00C061B6"/>
    <w:rsid w:val="00C22CB5"/>
    <w:rsid w:val="00C2446C"/>
    <w:rsid w:val="00C31582"/>
    <w:rsid w:val="00C36AE5"/>
    <w:rsid w:val="00C41F17"/>
    <w:rsid w:val="00C5280D"/>
    <w:rsid w:val="00C5791C"/>
    <w:rsid w:val="00C660A7"/>
    <w:rsid w:val="00C66290"/>
    <w:rsid w:val="00C72B7A"/>
    <w:rsid w:val="00C973F2"/>
    <w:rsid w:val="00CA304C"/>
    <w:rsid w:val="00CA774A"/>
    <w:rsid w:val="00CB7996"/>
    <w:rsid w:val="00CC0462"/>
    <w:rsid w:val="00CC11B0"/>
    <w:rsid w:val="00CF7E36"/>
    <w:rsid w:val="00D3708D"/>
    <w:rsid w:val="00D40426"/>
    <w:rsid w:val="00D57C96"/>
    <w:rsid w:val="00D623B4"/>
    <w:rsid w:val="00D86F17"/>
    <w:rsid w:val="00D91203"/>
    <w:rsid w:val="00D95174"/>
    <w:rsid w:val="00DA6F36"/>
    <w:rsid w:val="00DB1D8E"/>
    <w:rsid w:val="00DB596E"/>
    <w:rsid w:val="00DB7773"/>
    <w:rsid w:val="00DC00EA"/>
    <w:rsid w:val="00E00DD4"/>
    <w:rsid w:val="00E32F7E"/>
    <w:rsid w:val="00E72D49"/>
    <w:rsid w:val="00E7593C"/>
    <w:rsid w:val="00E7678A"/>
    <w:rsid w:val="00E935F1"/>
    <w:rsid w:val="00E94A81"/>
    <w:rsid w:val="00EA1FFB"/>
    <w:rsid w:val="00EA403B"/>
    <w:rsid w:val="00EB048E"/>
    <w:rsid w:val="00EB68B8"/>
    <w:rsid w:val="00EE34DF"/>
    <w:rsid w:val="00EF2F89"/>
    <w:rsid w:val="00F1237A"/>
    <w:rsid w:val="00F22CBD"/>
    <w:rsid w:val="00F45372"/>
    <w:rsid w:val="00F560F7"/>
    <w:rsid w:val="00F605ED"/>
    <w:rsid w:val="00F6334D"/>
    <w:rsid w:val="00F74E70"/>
    <w:rsid w:val="00F772CF"/>
    <w:rsid w:val="00F80D78"/>
    <w:rsid w:val="00F97432"/>
    <w:rsid w:val="00FA49AB"/>
    <w:rsid w:val="00FC17AB"/>
    <w:rsid w:val="00FE39C7"/>
    <w:rsid w:val="00FF07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22CB5"/>
    <w:pPr>
      <w:tabs>
        <w:tab w:val="right" w:leader="dot" w:pos="9639"/>
      </w:tabs>
      <w:spacing w:before="120" w:line="276" w:lineRule="auto"/>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22CB5"/>
    <w:pPr>
      <w:tabs>
        <w:tab w:val="right" w:leader="dot" w:pos="9639"/>
      </w:tabs>
      <w:spacing w:before="120" w:line="276" w:lineRule="auto"/>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2305</Words>
  <Characters>12749</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tc_5_xx_xxx</vt:lpstr>
      <vt:lpstr>tc_5_xx_xxx</vt:lpstr>
    </vt:vector>
  </TitlesOfParts>
  <Company>UPOV</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dc:description>DG_x000d_
27.01.14</dc:description>
  <cp:lastModifiedBy>LONG Victoria</cp:lastModifiedBy>
  <cp:revision>10</cp:revision>
  <cp:lastPrinted>2014-02-14T14:21:00Z</cp:lastPrinted>
  <dcterms:created xsi:type="dcterms:W3CDTF">2014-02-12T09:28:00Z</dcterms:created>
  <dcterms:modified xsi:type="dcterms:W3CDTF">2014-02-14T14:22:00Z</dcterms:modified>
</cp:coreProperties>
</file>