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C06856" w:rsidRPr="002849CF" w:rsidTr="007F3F7C">
        <w:tc>
          <w:tcPr>
            <w:tcW w:w="3993" w:type="dxa"/>
          </w:tcPr>
          <w:p w:rsidR="00C06856" w:rsidRPr="002849CF" w:rsidRDefault="00C06856" w:rsidP="006655D3">
            <w:pPr>
              <w:rPr>
                <w:lang w:val="es-ES_tradnl"/>
              </w:rPr>
            </w:pPr>
          </w:p>
        </w:tc>
        <w:tc>
          <w:tcPr>
            <w:tcW w:w="1549" w:type="dxa"/>
            <w:vAlign w:val="center"/>
          </w:tcPr>
          <w:p w:rsidR="00C06856" w:rsidRPr="000D6699" w:rsidRDefault="00DD5639" w:rsidP="006655D3">
            <w:pPr>
              <w:pStyle w:val="LogoUPOV"/>
              <w:rPr>
                <w:lang w:val="es-ES_tradnl"/>
              </w:rPr>
            </w:pPr>
            <w:r w:rsidRPr="000D6699">
              <w:rPr>
                <w:noProof/>
              </w:rPr>
              <w:drawing>
                <wp:inline distT="0" distB="0" distL="0" distR="0" wp14:anchorId="330F6D54" wp14:editId="71E20AF6">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C06856" w:rsidRPr="000D6699" w:rsidRDefault="00C06856" w:rsidP="006655D3">
            <w:pPr>
              <w:pStyle w:val="Lettrine"/>
              <w:rPr>
                <w:lang w:val="es-ES_tradnl"/>
              </w:rPr>
            </w:pPr>
            <w:r w:rsidRPr="000D6699">
              <w:rPr>
                <w:lang w:val="es-ES_tradnl"/>
              </w:rPr>
              <w:t>S</w:t>
            </w:r>
          </w:p>
          <w:p w:rsidR="00C06856" w:rsidRPr="000D6699" w:rsidRDefault="00C06856" w:rsidP="006655D3">
            <w:pPr>
              <w:pStyle w:val="Docoriginal"/>
              <w:rPr>
                <w:lang w:val="es-ES_tradnl"/>
              </w:rPr>
            </w:pPr>
            <w:r w:rsidRPr="000D6699">
              <w:rPr>
                <w:lang w:val="es-ES_tradnl"/>
              </w:rPr>
              <w:t>TC/50/</w:t>
            </w:r>
            <w:bookmarkStart w:id="0" w:name="Code"/>
            <w:bookmarkEnd w:id="0"/>
            <w:r w:rsidRPr="000D6699">
              <w:rPr>
                <w:lang w:val="es-ES_tradnl"/>
              </w:rPr>
              <w:t>16</w:t>
            </w:r>
          </w:p>
          <w:p w:rsidR="00C06856" w:rsidRPr="000D6699" w:rsidRDefault="00C06856" w:rsidP="00893205">
            <w:pPr>
              <w:pStyle w:val="Docoriginal"/>
              <w:rPr>
                <w:b w:val="0"/>
                <w:spacing w:val="0"/>
                <w:lang w:val="es-ES_tradnl"/>
              </w:rPr>
            </w:pPr>
            <w:r w:rsidRPr="000D6699">
              <w:rPr>
                <w:rStyle w:val="StyleDoclangBold"/>
                <w:b/>
                <w:bCs/>
                <w:spacing w:val="0"/>
                <w:lang w:val="es-ES_tradnl"/>
              </w:rPr>
              <w:t>ORIGINAL:</w:t>
            </w:r>
            <w:r w:rsidRPr="000D6699">
              <w:rPr>
                <w:rStyle w:val="StyleDocoriginalNotBold1"/>
                <w:spacing w:val="0"/>
                <w:lang w:val="es-ES_tradnl"/>
              </w:rPr>
              <w:t xml:space="preserve"> </w:t>
            </w:r>
            <w:r w:rsidRPr="000D6699">
              <w:rPr>
                <w:spacing w:val="0"/>
                <w:lang w:val="es-ES_tradnl"/>
              </w:rPr>
              <w:t xml:space="preserve"> </w:t>
            </w:r>
            <w:bookmarkStart w:id="1" w:name="Original"/>
            <w:bookmarkEnd w:id="1"/>
            <w:r w:rsidRPr="000D6699">
              <w:rPr>
                <w:b w:val="0"/>
                <w:spacing w:val="0"/>
                <w:lang w:val="es-ES_tradnl"/>
              </w:rPr>
              <w:t>Inglés</w:t>
            </w:r>
          </w:p>
          <w:p w:rsidR="00C06856" w:rsidRPr="002849CF" w:rsidRDefault="00C06856" w:rsidP="003736DD">
            <w:pPr>
              <w:pStyle w:val="Docoriginal"/>
              <w:rPr>
                <w:lang w:val="es-ES_tradnl"/>
              </w:rPr>
            </w:pPr>
            <w:r w:rsidRPr="000D6699">
              <w:rPr>
                <w:spacing w:val="0"/>
                <w:lang w:val="es-ES_tradnl"/>
              </w:rPr>
              <w:t xml:space="preserve">FECHA: </w:t>
            </w:r>
            <w:r w:rsidRPr="000D6699">
              <w:rPr>
                <w:rStyle w:val="StyleDocoriginalNotBold1"/>
                <w:spacing w:val="0"/>
                <w:lang w:val="es-ES_tradnl"/>
              </w:rPr>
              <w:t xml:space="preserve"> </w:t>
            </w:r>
            <w:bookmarkStart w:id="2" w:name="Date"/>
            <w:bookmarkEnd w:id="2"/>
            <w:r w:rsidR="000D6699" w:rsidRPr="000D6699">
              <w:rPr>
                <w:b w:val="0"/>
                <w:spacing w:val="0"/>
                <w:lang w:val="es-ES_tradnl"/>
              </w:rPr>
              <w:t>2</w:t>
            </w:r>
            <w:r w:rsidR="003736DD">
              <w:rPr>
                <w:b w:val="0"/>
                <w:spacing w:val="0"/>
                <w:lang w:val="es-ES_tradnl"/>
              </w:rPr>
              <w:t>8</w:t>
            </w:r>
            <w:bookmarkStart w:id="3" w:name="_GoBack"/>
            <w:bookmarkEnd w:id="3"/>
            <w:r w:rsidRPr="000D6699">
              <w:rPr>
                <w:b w:val="0"/>
                <w:spacing w:val="0"/>
                <w:lang w:val="es-ES_tradnl"/>
              </w:rPr>
              <w:t xml:space="preserve"> de enero de 2014</w:t>
            </w:r>
          </w:p>
        </w:tc>
      </w:tr>
      <w:tr w:rsidR="00C06856" w:rsidRPr="003736DD" w:rsidTr="007F3F7C">
        <w:tc>
          <w:tcPr>
            <w:tcW w:w="9534" w:type="dxa"/>
            <w:gridSpan w:val="3"/>
          </w:tcPr>
          <w:p w:rsidR="00C06856" w:rsidRPr="002849CF" w:rsidRDefault="00C06856" w:rsidP="006655D3">
            <w:pPr>
              <w:pStyle w:val="upove"/>
              <w:rPr>
                <w:sz w:val="28"/>
                <w:lang w:val="es-ES_tradnl"/>
              </w:rPr>
            </w:pPr>
            <w:r w:rsidRPr="002849CF">
              <w:rPr>
                <w:spacing w:val="2"/>
                <w:lang w:val="es-ES_tradnl"/>
              </w:rPr>
              <w:t>UNIÓN INTERNACIONAL PARA LA PROTECCIÓN DE LAS OBTENCIONES VEGETALES</w:t>
            </w:r>
          </w:p>
        </w:tc>
      </w:tr>
      <w:tr w:rsidR="00C06856" w:rsidRPr="002849CF" w:rsidTr="007F3F7C">
        <w:tc>
          <w:tcPr>
            <w:tcW w:w="9534" w:type="dxa"/>
            <w:gridSpan w:val="3"/>
          </w:tcPr>
          <w:p w:rsidR="00C06856" w:rsidRPr="002849CF" w:rsidRDefault="00C06856" w:rsidP="00893205">
            <w:pPr>
              <w:pStyle w:val="Country"/>
              <w:rPr>
                <w:lang w:val="es-ES_tradnl"/>
              </w:rPr>
            </w:pPr>
            <w:r w:rsidRPr="002849CF">
              <w:rPr>
                <w:lang w:val="es-ES_tradnl"/>
              </w:rPr>
              <w:t>Ginebra</w:t>
            </w:r>
          </w:p>
        </w:tc>
      </w:tr>
    </w:tbl>
    <w:p w:rsidR="00C06856" w:rsidRPr="002849CF" w:rsidRDefault="00C06856" w:rsidP="00893205">
      <w:pPr>
        <w:pStyle w:val="Sessiontc"/>
        <w:rPr>
          <w:lang w:val="es-ES_tradnl"/>
        </w:rPr>
      </w:pPr>
      <w:r w:rsidRPr="002849CF">
        <w:rPr>
          <w:lang w:val="es-ES_tradnl"/>
        </w:rPr>
        <w:t>COMITÉ TÉCNICO</w:t>
      </w:r>
    </w:p>
    <w:p w:rsidR="00C06856" w:rsidRPr="002849CF" w:rsidRDefault="00C06856" w:rsidP="00893205">
      <w:pPr>
        <w:pStyle w:val="Sessiontcplacedate"/>
        <w:rPr>
          <w:lang w:val="es-ES_tradnl"/>
        </w:rPr>
      </w:pPr>
      <w:r w:rsidRPr="002849CF">
        <w:rPr>
          <w:lang w:val="es-ES_tradnl"/>
        </w:rPr>
        <w:t>Quincuagésima sesión</w:t>
      </w:r>
      <w:r w:rsidRPr="002849CF">
        <w:rPr>
          <w:lang w:val="es-ES_tradnl"/>
        </w:rPr>
        <w:br/>
        <w:t>Ginebra, 7 a 9 de abril de 2014</w:t>
      </w:r>
    </w:p>
    <w:p w:rsidR="00C06856" w:rsidRPr="002849CF" w:rsidRDefault="00C06856" w:rsidP="00893205">
      <w:pPr>
        <w:pStyle w:val="Titleofdoc0"/>
        <w:rPr>
          <w:lang w:val="es-ES_tradnl"/>
        </w:rPr>
      </w:pPr>
      <w:bookmarkStart w:id="4" w:name="TitleOfDoc"/>
      <w:bookmarkEnd w:id="4"/>
      <w:r w:rsidRPr="002849CF">
        <w:rPr>
          <w:rFonts w:cs="Arial"/>
          <w:lang w:val="es-ES_tradnl"/>
        </w:rPr>
        <w:t xml:space="preserve">REVISIÓN DEL DOCUMENTO TGP/7: </w:t>
      </w:r>
      <w:r w:rsidRPr="002849CF">
        <w:rPr>
          <w:rFonts w:cs="Arial"/>
          <w:lang w:val="es-ES_tradnl"/>
        </w:rPr>
        <w:br/>
        <w:t>Texto estándar adicional RELATIVO Al ciclo de cultivo PARA especieS TROPICALES</w:t>
      </w:r>
    </w:p>
    <w:p w:rsidR="00C06856" w:rsidRPr="002849CF" w:rsidRDefault="00C06856" w:rsidP="00893205">
      <w:pPr>
        <w:pStyle w:val="preparedby1"/>
        <w:rPr>
          <w:lang w:val="es-ES_tradnl"/>
        </w:rPr>
      </w:pPr>
      <w:bookmarkStart w:id="5" w:name="Prepared"/>
      <w:bookmarkEnd w:id="5"/>
      <w:r w:rsidRPr="002849CF">
        <w:rPr>
          <w:lang w:val="es-ES_tradnl"/>
        </w:rPr>
        <w:t>Documento preparado por la Oficina de la Unión</w:t>
      </w:r>
      <w:r w:rsidRPr="002849CF">
        <w:rPr>
          <w:lang w:val="es-ES_tradnl"/>
        </w:rPr>
        <w:br/>
      </w:r>
      <w:r w:rsidRPr="002849CF">
        <w:rPr>
          <w:lang w:val="es-ES_tradnl"/>
        </w:rPr>
        <w:br/>
      </w:r>
      <w:r w:rsidRPr="002849CF">
        <w:rPr>
          <w:color w:val="948A77"/>
          <w:lang w:val="es-ES_tradnl"/>
        </w:rPr>
        <w:t>Descargo de responsabilidad:  el presente documento no constituye</w:t>
      </w:r>
      <w:r w:rsidRPr="002849CF">
        <w:rPr>
          <w:color w:val="948A77"/>
          <w:lang w:val="es-ES_tradnl"/>
        </w:rPr>
        <w:br/>
        <w:t>un documento de política u orientación de la UPOV</w:t>
      </w:r>
    </w:p>
    <w:p w:rsidR="00C06856" w:rsidRPr="002849CF" w:rsidRDefault="00C06856" w:rsidP="002849CF">
      <w:pPr>
        <w:widowControl w:val="0"/>
        <w:rPr>
          <w:rFonts w:cs="Arial"/>
          <w:lang w:val="es-ES_tradnl" w:eastAsia="ja-JP"/>
        </w:rPr>
      </w:pPr>
      <w:r w:rsidRPr="002849CF">
        <w:rPr>
          <w:rFonts w:cs="Arial"/>
          <w:lang w:val="es-ES_tradnl" w:eastAsia="ja-JP"/>
        </w:rPr>
        <w:fldChar w:fldCharType="begin"/>
      </w:r>
      <w:r w:rsidRPr="002849CF">
        <w:rPr>
          <w:rFonts w:cs="Arial"/>
          <w:lang w:val="es-ES_tradnl" w:eastAsia="ja-JP"/>
        </w:rPr>
        <w:instrText xml:space="preserve"> AUTONUM  </w:instrText>
      </w:r>
      <w:r w:rsidRPr="002849CF">
        <w:rPr>
          <w:rFonts w:cs="Arial"/>
          <w:lang w:val="es-ES_tradnl" w:eastAsia="ja-JP"/>
        </w:rPr>
        <w:fldChar w:fldCharType="end"/>
      </w:r>
      <w:r w:rsidRPr="002849CF">
        <w:rPr>
          <w:rFonts w:cs="Arial"/>
          <w:lang w:val="es-ES_tradnl" w:eastAsia="ja-JP"/>
        </w:rPr>
        <w:tab/>
      </w:r>
      <w:r w:rsidRPr="002849CF">
        <w:rPr>
          <w:lang w:val="es-ES_tradnl"/>
        </w:rPr>
        <w:t xml:space="preserve">En el presente documento se expone una propuesta de texto estándar adicional (ASW) relativo al ciclo de cultivo para especies tropicales, </w:t>
      </w:r>
      <w:r w:rsidRPr="002849CF">
        <w:rPr>
          <w:iCs/>
          <w:lang w:val="es-ES_tradnl"/>
        </w:rPr>
        <w:t>a fin de incluirlo</w:t>
      </w:r>
      <w:r w:rsidRPr="002849CF">
        <w:rPr>
          <w:lang w:val="es-ES_tradnl"/>
        </w:rPr>
        <w:t xml:space="preserve"> en una futura revisión del documento TGP/7 “Elaboración de las directrices de examen”.</w:t>
      </w:r>
    </w:p>
    <w:p w:rsidR="00C06856" w:rsidRPr="002849CF" w:rsidRDefault="00C06856" w:rsidP="002849CF">
      <w:pPr>
        <w:widowControl w:val="0"/>
        <w:rPr>
          <w:rFonts w:cs="Arial"/>
          <w:lang w:val="es-ES_tradnl" w:eastAsia="ja-JP"/>
        </w:rPr>
      </w:pPr>
    </w:p>
    <w:p w:rsidR="00C06856" w:rsidRPr="002849CF" w:rsidRDefault="00C06856" w:rsidP="002849CF">
      <w:pPr>
        <w:widowControl w:val="0"/>
        <w:rPr>
          <w:rFonts w:cs="Arial"/>
          <w:color w:val="000000"/>
          <w:lang w:val="es-ES_tradnl"/>
        </w:rPr>
      </w:pPr>
      <w:r w:rsidRPr="002849CF">
        <w:rPr>
          <w:rFonts w:cs="Arial"/>
          <w:color w:val="000000"/>
          <w:lang w:val="es-ES_tradnl"/>
        </w:rPr>
        <w:fldChar w:fldCharType="begin"/>
      </w:r>
      <w:r w:rsidRPr="002849CF">
        <w:rPr>
          <w:rFonts w:cs="Arial"/>
          <w:color w:val="000000"/>
          <w:lang w:val="es-ES_tradnl"/>
        </w:rPr>
        <w:instrText xml:space="preserve"> AUTONUM  </w:instrText>
      </w:r>
      <w:r w:rsidRPr="002849CF">
        <w:rPr>
          <w:rFonts w:cs="Arial"/>
          <w:color w:val="000000"/>
          <w:lang w:val="es-ES_tradnl"/>
        </w:rPr>
        <w:fldChar w:fldCharType="end"/>
      </w:r>
      <w:r w:rsidRPr="002849CF">
        <w:rPr>
          <w:rFonts w:cs="Arial"/>
          <w:color w:val="000000"/>
          <w:lang w:val="es-ES_tradnl"/>
        </w:rPr>
        <w:tab/>
      </w:r>
      <w:r w:rsidRPr="002849CF">
        <w:rPr>
          <w:rFonts w:cs="Arial"/>
          <w:lang w:val="es-ES_tradnl"/>
        </w:rPr>
        <w:t>En el presente documento se utilizan las abreviaturas siguientes:</w:t>
      </w:r>
    </w:p>
    <w:p w:rsidR="00C06856" w:rsidRPr="002849CF" w:rsidRDefault="00C06856" w:rsidP="002849CF">
      <w:pPr>
        <w:widowControl w:val="0"/>
        <w:rPr>
          <w:rFonts w:cs="Arial"/>
          <w:color w:val="000000"/>
          <w:lang w:val="es-ES_tradnl"/>
        </w:rPr>
      </w:pPr>
    </w:p>
    <w:p w:rsidR="00C06856" w:rsidRPr="002849CF" w:rsidRDefault="00C06856" w:rsidP="002849CF">
      <w:pPr>
        <w:widowControl w:val="0"/>
        <w:rPr>
          <w:rFonts w:cs="Arial"/>
          <w:lang w:val="es-ES_tradnl"/>
        </w:rPr>
      </w:pPr>
      <w:r w:rsidRPr="002849CF">
        <w:rPr>
          <w:rFonts w:cs="Arial"/>
          <w:lang w:val="es-ES_tradnl"/>
        </w:rPr>
        <w:tab/>
        <w:t>TC:</w:t>
      </w:r>
      <w:r w:rsidRPr="002849CF">
        <w:rPr>
          <w:rFonts w:cs="Arial"/>
          <w:lang w:val="es-ES_tradnl"/>
        </w:rPr>
        <w:tab/>
      </w:r>
      <w:r w:rsidRPr="002849CF">
        <w:rPr>
          <w:rFonts w:cs="Arial"/>
          <w:lang w:val="es-ES_tradnl"/>
        </w:rPr>
        <w:tab/>
        <w:t>Comité Técnico</w:t>
      </w:r>
    </w:p>
    <w:p w:rsidR="00C06856" w:rsidRPr="002849CF" w:rsidRDefault="00C06856" w:rsidP="002849CF">
      <w:pPr>
        <w:widowControl w:val="0"/>
        <w:rPr>
          <w:rFonts w:eastAsia="PMingLiU" w:cs="Arial"/>
          <w:lang w:val="es-ES_tradnl"/>
        </w:rPr>
      </w:pPr>
      <w:r w:rsidRPr="002849CF">
        <w:rPr>
          <w:rFonts w:eastAsia="PMingLiU" w:cs="Arial"/>
          <w:lang w:val="es-ES_tradnl"/>
        </w:rPr>
        <w:tab/>
        <w:t>TC-EDC:</w:t>
      </w:r>
      <w:r w:rsidRPr="002849CF">
        <w:rPr>
          <w:rFonts w:eastAsia="PMingLiU" w:cs="Arial"/>
          <w:lang w:val="es-ES_tradnl"/>
        </w:rPr>
        <w:tab/>
        <w:t>Comité de Redacción Ampliado</w:t>
      </w:r>
    </w:p>
    <w:p w:rsidR="00C06856" w:rsidRPr="002849CF" w:rsidRDefault="00C06856" w:rsidP="002849CF">
      <w:pPr>
        <w:widowControl w:val="0"/>
        <w:rPr>
          <w:rFonts w:eastAsia="PMingLiU" w:cs="Arial"/>
          <w:lang w:val="es-ES_tradnl"/>
        </w:rPr>
      </w:pPr>
      <w:r w:rsidRPr="002849CF">
        <w:rPr>
          <w:rFonts w:eastAsia="PMingLiU" w:cs="Arial"/>
          <w:lang w:val="es-ES_tradnl"/>
        </w:rPr>
        <w:tab/>
        <w:t>TWA:</w:t>
      </w:r>
      <w:r w:rsidRPr="002849CF">
        <w:rPr>
          <w:rFonts w:eastAsia="PMingLiU" w:cs="Arial"/>
          <w:lang w:val="es-ES_tradnl"/>
        </w:rPr>
        <w:tab/>
      </w:r>
      <w:r w:rsidRPr="002849CF">
        <w:rPr>
          <w:rFonts w:eastAsia="PMingLiU" w:cs="Arial"/>
          <w:lang w:val="es-ES_tradnl"/>
        </w:rPr>
        <w:tab/>
        <w:t>Grupo de Trabajo Técnico sobre Plantas Agrícolas</w:t>
      </w:r>
    </w:p>
    <w:p w:rsidR="00C06856" w:rsidRPr="002849CF" w:rsidRDefault="00C06856" w:rsidP="002849CF">
      <w:pPr>
        <w:widowControl w:val="0"/>
        <w:rPr>
          <w:rFonts w:eastAsia="PMingLiU" w:cs="Arial"/>
          <w:lang w:val="es-ES_tradnl"/>
        </w:rPr>
      </w:pPr>
      <w:r w:rsidRPr="002849CF">
        <w:rPr>
          <w:rFonts w:eastAsia="PMingLiU" w:cs="Arial"/>
          <w:lang w:val="es-ES_tradnl"/>
        </w:rPr>
        <w:tab/>
        <w:t>TWC:</w:t>
      </w:r>
      <w:r w:rsidRPr="002849CF">
        <w:rPr>
          <w:rFonts w:eastAsia="PMingLiU" w:cs="Arial"/>
          <w:lang w:val="es-ES_tradnl"/>
        </w:rPr>
        <w:tab/>
      </w:r>
      <w:r w:rsidRPr="002849CF">
        <w:rPr>
          <w:rFonts w:eastAsia="PMingLiU" w:cs="Arial"/>
          <w:lang w:val="es-ES_tradnl"/>
        </w:rPr>
        <w:tab/>
        <w:t>Grupo de Trabajo Técnico sobre Automatización y Programas Informáticos</w:t>
      </w:r>
    </w:p>
    <w:p w:rsidR="00C06856" w:rsidRPr="002849CF" w:rsidRDefault="00C06856" w:rsidP="002849CF">
      <w:pPr>
        <w:widowControl w:val="0"/>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lang w:val="es-ES_tradnl"/>
        </w:rPr>
      </w:pPr>
      <w:r w:rsidRPr="002849CF">
        <w:rPr>
          <w:rFonts w:eastAsia="PMingLiU" w:cs="Arial"/>
          <w:lang w:val="es-ES_tradnl"/>
        </w:rPr>
        <w:tab/>
        <w:t xml:space="preserve">TWF: </w:t>
      </w:r>
      <w:r w:rsidRPr="002849CF">
        <w:rPr>
          <w:rFonts w:eastAsia="PMingLiU" w:cs="Arial"/>
          <w:lang w:val="es-ES_tradnl"/>
        </w:rPr>
        <w:tab/>
      </w:r>
      <w:r w:rsidRPr="002849CF">
        <w:rPr>
          <w:rFonts w:eastAsia="PMingLiU" w:cs="Arial"/>
          <w:lang w:val="es-ES_tradnl"/>
        </w:rPr>
        <w:tab/>
        <w:t>Grupo de Trabajo</w:t>
      </w:r>
      <w:r w:rsidR="000D6699">
        <w:rPr>
          <w:rFonts w:eastAsia="PMingLiU" w:cs="Arial"/>
          <w:lang w:val="es-ES_tradnl"/>
        </w:rPr>
        <w:t xml:space="preserve"> Técnico sobre Plantas Frutales</w:t>
      </w:r>
    </w:p>
    <w:p w:rsidR="00C06856" w:rsidRPr="002849CF" w:rsidRDefault="00C06856" w:rsidP="002849CF">
      <w:pPr>
        <w:widowControl w:val="0"/>
        <w:rPr>
          <w:rFonts w:eastAsia="PMingLiU" w:cs="Arial"/>
          <w:lang w:val="es-ES_tradnl"/>
        </w:rPr>
      </w:pPr>
      <w:r w:rsidRPr="002849CF">
        <w:rPr>
          <w:rFonts w:eastAsia="PMingLiU" w:cs="Arial"/>
          <w:lang w:val="es-ES_tradnl"/>
        </w:rPr>
        <w:tab/>
        <w:t>TWO:</w:t>
      </w:r>
      <w:r w:rsidRPr="002849CF">
        <w:rPr>
          <w:rFonts w:eastAsia="PMingLiU" w:cs="Arial"/>
          <w:lang w:val="es-ES_tradnl"/>
        </w:rPr>
        <w:tab/>
      </w:r>
      <w:r w:rsidRPr="002849CF">
        <w:rPr>
          <w:rFonts w:eastAsia="PMingLiU" w:cs="Arial"/>
          <w:lang w:val="es-ES_tradnl"/>
        </w:rPr>
        <w:tab/>
        <w:t>Grupo de Trabajo Técnico sobre Plantas Ornamentales y Árboles Forestales</w:t>
      </w:r>
    </w:p>
    <w:p w:rsidR="00C06856" w:rsidRPr="002849CF" w:rsidRDefault="00C06856" w:rsidP="002849CF">
      <w:pPr>
        <w:widowControl w:val="0"/>
        <w:rPr>
          <w:rFonts w:eastAsia="PMingLiU" w:cs="Arial"/>
          <w:lang w:val="es-ES_tradnl"/>
        </w:rPr>
      </w:pPr>
      <w:r w:rsidRPr="002849CF">
        <w:rPr>
          <w:rFonts w:eastAsia="PMingLiU" w:cs="Arial"/>
          <w:lang w:val="es-ES_tradnl"/>
        </w:rPr>
        <w:tab/>
        <w:t>TWP:</w:t>
      </w:r>
      <w:r w:rsidRPr="002849CF">
        <w:rPr>
          <w:rFonts w:eastAsia="PMingLiU" w:cs="Arial"/>
          <w:lang w:val="es-ES_tradnl"/>
        </w:rPr>
        <w:tab/>
      </w:r>
      <w:r w:rsidRPr="002849CF">
        <w:rPr>
          <w:rFonts w:eastAsia="PMingLiU" w:cs="Arial"/>
          <w:lang w:val="es-ES_tradnl"/>
        </w:rPr>
        <w:tab/>
        <w:t>Grupos de Trabajo Técnico</w:t>
      </w:r>
    </w:p>
    <w:p w:rsidR="00C06856" w:rsidRPr="002849CF" w:rsidRDefault="00C06856" w:rsidP="002849CF">
      <w:pPr>
        <w:widowControl w:val="0"/>
        <w:rPr>
          <w:rFonts w:eastAsia="PMingLiU" w:cs="Arial"/>
          <w:lang w:val="es-ES_tradnl"/>
        </w:rPr>
      </w:pPr>
      <w:r w:rsidRPr="002849CF">
        <w:rPr>
          <w:rFonts w:eastAsia="PMingLiU" w:cs="Arial"/>
          <w:lang w:val="es-ES_tradnl"/>
        </w:rPr>
        <w:tab/>
        <w:t>TWV:</w:t>
      </w:r>
      <w:r w:rsidRPr="002849CF">
        <w:rPr>
          <w:rFonts w:eastAsia="PMingLiU" w:cs="Arial"/>
          <w:lang w:val="es-ES_tradnl"/>
        </w:rPr>
        <w:tab/>
      </w:r>
      <w:r w:rsidRPr="002849CF">
        <w:rPr>
          <w:rFonts w:eastAsia="PMingLiU" w:cs="Arial"/>
          <w:lang w:val="es-ES_tradnl"/>
        </w:rPr>
        <w:tab/>
        <w:t>Grupo de Trabajo Técnico sobre Hortalizas</w:t>
      </w:r>
    </w:p>
    <w:p w:rsidR="00C06856" w:rsidRPr="002849CF" w:rsidRDefault="00C06856" w:rsidP="002849CF">
      <w:pPr>
        <w:widowControl w:val="0"/>
        <w:rPr>
          <w:snapToGrid w:val="0"/>
          <w:lang w:val="es-ES_tradnl"/>
        </w:rPr>
      </w:pPr>
    </w:p>
    <w:p w:rsidR="00C06856" w:rsidRPr="002849CF" w:rsidRDefault="00C06856" w:rsidP="002849CF">
      <w:pPr>
        <w:widowControl w:val="0"/>
        <w:rPr>
          <w:lang w:val="es-ES_tradnl" w:eastAsia="ja-JP"/>
        </w:rPr>
      </w:pPr>
      <w:r w:rsidRPr="002849CF">
        <w:rPr>
          <w:lang w:val="es-ES_tradnl"/>
        </w:rPr>
        <w:fldChar w:fldCharType="begin"/>
      </w:r>
      <w:r w:rsidRPr="002849CF">
        <w:rPr>
          <w:lang w:val="es-ES_tradnl"/>
        </w:rPr>
        <w:instrText xml:space="preserve"> AUTONUM  </w:instrText>
      </w:r>
      <w:r w:rsidRPr="002849CF">
        <w:rPr>
          <w:lang w:val="es-ES_tradnl"/>
        </w:rPr>
        <w:fldChar w:fldCharType="end"/>
      </w:r>
      <w:r w:rsidRPr="002849CF">
        <w:rPr>
          <w:lang w:val="es-ES_tradnl"/>
        </w:rPr>
        <w:tab/>
      </w:r>
      <w:r w:rsidRPr="002849CF">
        <w:rPr>
          <w:lang w:val="es-ES_tradnl" w:eastAsia="ja-JP"/>
        </w:rPr>
        <w:t>La estructura del presente documento es la siguiente:</w:t>
      </w:r>
    </w:p>
    <w:p w:rsidR="00C06856" w:rsidRPr="002849CF" w:rsidRDefault="00C06856" w:rsidP="002849CF">
      <w:pPr>
        <w:pStyle w:val="TOC1"/>
        <w:widowControl w:val="0"/>
        <w:rPr>
          <w:snapToGrid w:val="0"/>
          <w:lang w:val="es-ES_tradnl"/>
        </w:rPr>
      </w:pPr>
    </w:p>
    <w:p w:rsidR="000D6699" w:rsidRPr="003736DD" w:rsidRDefault="00C06856">
      <w:pPr>
        <w:pStyle w:val="TOC1"/>
        <w:rPr>
          <w:rFonts w:asciiTheme="minorHAnsi" w:eastAsiaTheme="minorEastAsia" w:hAnsiTheme="minorHAnsi" w:cstheme="minorBidi"/>
          <w:caps w:val="0"/>
          <w:noProof/>
          <w:sz w:val="22"/>
          <w:szCs w:val="22"/>
          <w:lang w:val="fr-CH"/>
        </w:rPr>
      </w:pPr>
      <w:r w:rsidRPr="002849CF">
        <w:rPr>
          <w:caps w:val="0"/>
          <w:snapToGrid w:val="0"/>
          <w:lang w:val="es-ES_tradnl"/>
        </w:rPr>
        <w:fldChar w:fldCharType="begin"/>
      </w:r>
      <w:r w:rsidRPr="002849CF">
        <w:rPr>
          <w:caps w:val="0"/>
          <w:snapToGrid w:val="0"/>
          <w:lang w:val="es-ES_tradnl"/>
        </w:rPr>
        <w:instrText xml:space="preserve"> TOC \o "1-5" \u </w:instrText>
      </w:r>
      <w:r w:rsidRPr="002849CF">
        <w:rPr>
          <w:caps w:val="0"/>
          <w:snapToGrid w:val="0"/>
          <w:lang w:val="es-ES_tradnl"/>
        </w:rPr>
        <w:fldChar w:fldCharType="separate"/>
      </w:r>
      <w:r w:rsidR="000D6699" w:rsidRPr="00907E3A">
        <w:rPr>
          <w:noProof/>
          <w:snapToGrid w:val="0"/>
          <w:lang w:val="es-ES_tradnl"/>
        </w:rPr>
        <w:t>ANTECEDENTES</w:t>
      </w:r>
      <w:r w:rsidR="000D6699" w:rsidRPr="003736DD">
        <w:rPr>
          <w:noProof/>
          <w:lang w:val="fr-CH"/>
        </w:rPr>
        <w:tab/>
      </w:r>
      <w:r w:rsidR="000D6699">
        <w:rPr>
          <w:noProof/>
        </w:rPr>
        <w:fldChar w:fldCharType="begin"/>
      </w:r>
      <w:r w:rsidR="000D6699" w:rsidRPr="003736DD">
        <w:rPr>
          <w:noProof/>
          <w:lang w:val="fr-CH"/>
        </w:rPr>
        <w:instrText xml:space="preserve"> PAGEREF _Toc379794436 \h </w:instrText>
      </w:r>
      <w:r w:rsidR="000D6699">
        <w:rPr>
          <w:noProof/>
        </w:rPr>
      </w:r>
      <w:r w:rsidR="000D6699">
        <w:rPr>
          <w:noProof/>
        </w:rPr>
        <w:fldChar w:fldCharType="separate"/>
      </w:r>
      <w:r w:rsidR="002F0825" w:rsidRPr="003736DD">
        <w:rPr>
          <w:noProof/>
          <w:lang w:val="fr-CH"/>
        </w:rPr>
        <w:t>1</w:t>
      </w:r>
      <w:r w:rsidR="000D6699">
        <w:rPr>
          <w:noProof/>
        </w:rPr>
        <w:fldChar w:fldCharType="end"/>
      </w:r>
    </w:p>
    <w:p w:rsidR="000D6699" w:rsidRPr="003736DD" w:rsidRDefault="000D6699">
      <w:pPr>
        <w:pStyle w:val="TOC1"/>
        <w:rPr>
          <w:rFonts w:asciiTheme="minorHAnsi" w:eastAsiaTheme="minorEastAsia" w:hAnsiTheme="minorHAnsi" w:cstheme="minorBidi"/>
          <w:caps w:val="0"/>
          <w:noProof/>
          <w:sz w:val="22"/>
          <w:szCs w:val="22"/>
          <w:lang w:val="fr-CH"/>
        </w:rPr>
      </w:pPr>
      <w:r w:rsidRPr="00907E3A">
        <w:rPr>
          <w:noProof/>
          <w:lang w:val="es-ES_tradnl"/>
        </w:rPr>
        <w:t>TEXTO ACTUAL</w:t>
      </w:r>
      <w:r w:rsidRPr="003736DD">
        <w:rPr>
          <w:noProof/>
          <w:lang w:val="fr-CH"/>
        </w:rPr>
        <w:tab/>
      </w:r>
      <w:r>
        <w:rPr>
          <w:noProof/>
        </w:rPr>
        <w:fldChar w:fldCharType="begin"/>
      </w:r>
      <w:r w:rsidRPr="003736DD">
        <w:rPr>
          <w:noProof/>
          <w:lang w:val="fr-CH"/>
        </w:rPr>
        <w:instrText xml:space="preserve"> PAGEREF _Toc379794437 \h </w:instrText>
      </w:r>
      <w:r>
        <w:rPr>
          <w:noProof/>
        </w:rPr>
      </w:r>
      <w:r>
        <w:rPr>
          <w:noProof/>
        </w:rPr>
        <w:fldChar w:fldCharType="separate"/>
      </w:r>
      <w:r w:rsidR="002F0825" w:rsidRPr="003736DD">
        <w:rPr>
          <w:noProof/>
          <w:lang w:val="fr-CH"/>
        </w:rPr>
        <w:t>2</w:t>
      </w:r>
      <w:r>
        <w:rPr>
          <w:noProof/>
        </w:rPr>
        <w:fldChar w:fldCharType="end"/>
      </w:r>
    </w:p>
    <w:p w:rsidR="000D6699" w:rsidRPr="003736DD" w:rsidRDefault="000D6699">
      <w:pPr>
        <w:pStyle w:val="TOC1"/>
        <w:rPr>
          <w:rFonts w:asciiTheme="minorHAnsi" w:eastAsiaTheme="minorEastAsia" w:hAnsiTheme="minorHAnsi" w:cstheme="minorBidi"/>
          <w:caps w:val="0"/>
          <w:noProof/>
          <w:sz w:val="22"/>
          <w:szCs w:val="22"/>
          <w:lang w:val="fr-CH"/>
        </w:rPr>
      </w:pPr>
      <w:r w:rsidRPr="00907E3A">
        <w:rPr>
          <w:noProof/>
          <w:lang w:val="es-ES_tradnl"/>
        </w:rPr>
        <w:t>COMENTARIOS FORMULADOS POR LOS GRUPOS DE TRABAJO TÉCNICO EN 2013</w:t>
      </w:r>
      <w:r w:rsidRPr="003736DD">
        <w:rPr>
          <w:noProof/>
          <w:lang w:val="fr-CH"/>
        </w:rPr>
        <w:tab/>
      </w:r>
      <w:r>
        <w:rPr>
          <w:noProof/>
        </w:rPr>
        <w:fldChar w:fldCharType="begin"/>
      </w:r>
      <w:r w:rsidRPr="003736DD">
        <w:rPr>
          <w:noProof/>
          <w:lang w:val="fr-CH"/>
        </w:rPr>
        <w:instrText xml:space="preserve"> PAGEREF _Toc379794438 \h </w:instrText>
      </w:r>
      <w:r>
        <w:rPr>
          <w:noProof/>
        </w:rPr>
      </w:r>
      <w:r>
        <w:rPr>
          <w:noProof/>
        </w:rPr>
        <w:fldChar w:fldCharType="separate"/>
      </w:r>
      <w:r w:rsidR="002F0825" w:rsidRPr="003736DD">
        <w:rPr>
          <w:noProof/>
          <w:lang w:val="fr-CH"/>
        </w:rPr>
        <w:t>2</w:t>
      </w:r>
      <w:r>
        <w:rPr>
          <w:noProof/>
        </w:rPr>
        <w:fldChar w:fldCharType="end"/>
      </w:r>
    </w:p>
    <w:p w:rsidR="000D6699" w:rsidRPr="003736DD" w:rsidRDefault="000D6699">
      <w:pPr>
        <w:pStyle w:val="TOC1"/>
        <w:rPr>
          <w:rFonts w:asciiTheme="minorHAnsi" w:eastAsiaTheme="minorEastAsia" w:hAnsiTheme="minorHAnsi" w:cstheme="minorBidi"/>
          <w:caps w:val="0"/>
          <w:noProof/>
          <w:sz w:val="22"/>
          <w:szCs w:val="22"/>
          <w:lang w:val="fr-CH"/>
        </w:rPr>
      </w:pPr>
      <w:r w:rsidRPr="00907E3A">
        <w:rPr>
          <w:noProof/>
          <w:lang w:val="es-ES_tradnl"/>
        </w:rPr>
        <w:t>PROPUESTA</w:t>
      </w:r>
      <w:r w:rsidRPr="003736DD">
        <w:rPr>
          <w:noProof/>
          <w:lang w:val="fr-CH"/>
        </w:rPr>
        <w:tab/>
      </w:r>
      <w:r>
        <w:rPr>
          <w:noProof/>
        </w:rPr>
        <w:fldChar w:fldCharType="begin"/>
      </w:r>
      <w:r w:rsidRPr="003736DD">
        <w:rPr>
          <w:noProof/>
          <w:lang w:val="fr-CH"/>
        </w:rPr>
        <w:instrText xml:space="preserve"> PAGEREF _Toc379794439 \h </w:instrText>
      </w:r>
      <w:r>
        <w:rPr>
          <w:noProof/>
        </w:rPr>
      </w:r>
      <w:r>
        <w:rPr>
          <w:noProof/>
        </w:rPr>
        <w:fldChar w:fldCharType="separate"/>
      </w:r>
      <w:r w:rsidR="002F0825" w:rsidRPr="003736DD">
        <w:rPr>
          <w:noProof/>
          <w:lang w:val="fr-CH"/>
        </w:rPr>
        <w:t>3</w:t>
      </w:r>
      <w:r>
        <w:rPr>
          <w:noProof/>
        </w:rPr>
        <w:fldChar w:fldCharType="end"/>
      </w:r>
    </w:p>
    <w:p w:rsidR="00C06856" w:rsidRPr="002849CF" w:rsidRDefault="00C06856" w:rsidP="002849CF">
      <w:pPr>
        <w:widowControl w:val="0"/>
        <w:spacing w:line="360" w:lineRule="auto"/>
        <w:rPr>
          <w:snapToGrid w:val="0"/>
          <w:lang w:val="es-ES_tradnl"/>
        </w:rPr>
      </w:pPr>
      <w:r w:rsidRPr="002849CF">
        <w:rPr>
          <w:caps/>
          <w:snapToGrid w:val="0"/>
          <w:lang w:val="es-ES_tradnl"/>
        </w:rPr>
        <w:fldChar w:fldCharType="end"/>
      </w:r>
    </w:p>
    <w:p w:rsidR="00C06856" w:rsidRPr="002849CF" w:rsidRDefault="00C06856" w:rsidP="002849CF">
      <w:pPr>
        <w:widowControl w:val="0"/>
        <w:rPr>
          <w:lang w:val="es-ES_tradnl"/>
        </w:rPr>
      </w:pPr>
    </w:p>
    <w:p w:rsidR="00C06856" w:rsidRPr="002849CF" w:rsidRDefault="00C06856" w:rsidP="002849CF">
      <w:pPr>
        <w:pStyle w:val="Heading1"/>
        <w:keepNext w:val="0"/>
        <w:widowControl w:val="0"/>
        <w:rPr>
          <w:snapToGrid w:val="0"/>
          <w:lang w:val="es-ES_tradnl"/>
        </w:rPr>
      </w:pPr>
      <w:bookmarkStart w:id="6" w:name="_Toc379794436"/>
      <w:r w:rsidRPr="002849CF">
        <w:rPr>
          <w:snapToGrid w:val="0"/>
          <w:lang w:val="es-ES_tradnl"/>
        </w:rPr>
        <w:t>ANTECEDENTES</w:t>
      </w:r>
      <w:bookmarkEnd w:id="6"/>
    </w:p>
    <w:p w:rsidR="00C06856" w:rsidRPr="002849CF" w:rsidRDefault="00C06856" w:rsidP="002849CF">
      <w:pPr>
        <w:widowControl w:val="0"/>
        <w:rPr>
          <w:lang w:val="es-ES_tradnl"/>
        </w:rPr>
      </w:pPr>
    </w:p>
    <w:p w:rsidR="00C06856" w:rsidRPr="002849CF" w:rsidRDefault="00C06856" w:rsidP="002849CF">
      <w:pPr>
        <w:widowControl w:val="0"/>
        <w:rPr>
          <w:rFonts w:cs="Arial"/>
          <w:lang w:val="es-ES_tradnl"/>
        </w:rPr>
      </w:pPr>
      <w:r w:rsidRPr="002849CF">
        <w:rPr>
          <w:rFonts w:cs="Arial"/>
          <w:color w:val="000000"/>
          <w:lang w:val="es-ES_tradnl"/>
        </w:rPr>
        <w:fldChar w:fldCharType="begin"/>
      </w:r>
      <w:r w:rsidRPr="002849CF">
        <w:rPr>
          <w:rFonts w:cs="Arial"/>
          <w:color w:val="000000"/>
          <w:lang w:val="es-ES_tradnl"/>
        </w:rPr>
        <w:instrText xml:space="preserve"> AUTONUM  </w:instrText>
      </w:r>
      <w:r w:rsidRPr="002849CF">
        <w:rPr>
          <w:rFonts w:cs="Arial"/>
          <w:color w:val="000000"/>
          <w:lang w:val="es-ES_tradnl"/>
        </w:rPr>
        <w:fldChar w:fldCharType="end"/>
      </w:r>
      <w:r w:rsidRPr="002849CF">
        <w:rPr>
          <w:rFonts w:cs="Arial"/>
          <w:lang w:val="es-ES_tradnl"/>
        </w:rPr>
        <w:tab/>
      </w:r>
      <w:r w:rsidRPr="002849CF">
        <w:rPr>
          <w:rFonts w:cs="Arial"/>
          <w:color w:val="000000"/>
          <w:lang w:val="es-ES_tradnl"/>
        </w:rPr>
        <w:t>El Comité Técnico (TC), en su cuadragésima novena sesión,</w:t>
      </w:r>
      <w:r w:rsidR="000D6699">
        <w:rPr>
          <w:rFonts w:cs="Arial"/>
          <w:color w:val="000000"/>
          <w:lang w:val="es-ES_tradnl"/>
        </w:rPr>
        <w:t xml:space="preserve"> celebrada en Ginebra del 18 al</w:t>
      </w:r>
      <w:r w:rsidR="000D6699">
        <w:rPr>
          <w:rFonts w:cs="Arial"/>
          <w:color w:val="000000"/>
          <w:lang w:val="es-ES_tradnl"/>
        </w:rPr>
        <w:br/>
      </w:r>
      <w:r w:rsidRPr="002849CF">
        <w:rPr>
          <w:rFonts w:cs="Arial"/>
          <w:color w:val="000000"/>
          <w:lang w:val="es-ES_tradnl"/>
        </w:rPr>
        <w:t>20 de marzo de 2013, invitó al TWF a considerar si es necesario elaborar un nuevo ASW relativo a un ciclo de cultivo para especies tropicales (véase el párrafo 80 del documento TC/49/41</w:t>
      </w:r>
      <w:r w:rsidRPr="002849CF">
        <w:rPr>
          <w:rFonts w:cs="Arial"/>
          <w:lang w:val="es-ES_tradnl"/>
        </w:rPr>
        <w:t xml:space="preserve"> </w:t>
      </w:r>
      <w:r w:rsidRPr="002849CF">
        <w:rPr>
          <w:rFonts w:cs="Arial"/>
          <w:color w:val="000000"/>
          <w:lang w:val="es-ES_tradnl"/>
        </w:rPr>
        <w:t>“Informe sobre las conclusiones”).</w:t>
      </w:r>
    </w:p>
    <w:p w:rsidR="00C06856" w:rsidRPr="002849CF" w:rsidRDefault="00C06856" w:rsidP="002849CF">
      <w:pPr>
        <w:widowControl w:val="0"/>
        <w:rPr>
          <w:rFonts w:cs="Arial"/>
          <w:lang w:val="es-ES_tradnl"/>
        </w:rPr>
      </w:pPr>
    </w:p>
    <w:p w:rsidR="00C06856" w:rsidRPr="002849CF" w:rsidRDefault="00C06856" w:rsidP="002849CF">
      <w:pPr>
        <w:widowControl w:val="0"/>
        <w:jc w:val="left"/>
        <w:rPr>
          <w:caps/>
          <w:lang w:val="es-ES_tradnl"/>
        </w:rPr>
      </w:pPr>
      <w:r w:rsidRPr="002849CF">
        <w:rPr>
          <w:lang w:val="es-ES_tradnl"/>
        </w:rPr>
        <w:br w:type="page"/>
      </w:r>
    </w:p>
    <w:p w:rsidR="00C06856" w:rsidRPr="002849CF" w:rsidRDefault="00C06856" w:rsidP="002849CF">
      <w:pPr>
        <w:pStyle w:val="Heading1"/>
        <w:keepNext w:val="0"/>
        <w:widowControl w:val="0"/>
        <w:rPr>
          <w:lang w:val="es-ES_tradnl"/>
        </w:rPr>
      </w:pPr>
      <w:bookmarkStart w:id="7" w:name="_Toc379794437"/>
      <w:r w:rsidRPr="002849CF">
        <w:rPr>
          <w:lang w:val="es-ES_tradnl"/>
        </w:rPr>
        <w:lastRenderedPageBreak/>
        <w:t>TEXTO ACTUAL</w:t>
      </w:r>
      <w:bookmarkEnd w:id="7"/>
    </w:p>
    <w:p w:rsidR="00C06856" w:rsidRPr="002849CF" w:rsidRDefault="00C06856" w:rsidP="002849CF">
      <w:pPr>
        <w:widowControl w:val="0"/>
        <w:rPr>
          <w:lang w:val="es-ES_tradnl"/>
        </w:rPr>
      </w:pPr>
    </w:p>
    <w:p w:rsidR="00C06856" w:rsidRPr="002849CF" w:rsidRDefault="00C06856" w:rsidP="002849CF">
      <w:pPr>
        <w:widowControl w:val="0"/>
        <w:rPr>
          <w:rFonts w:cs="Arial"/>
          <w:color w:val="000000"/>
          <w:lang w:val="es-ES_tradnl"/>
        </w:rPr>
      </w:pPr>
      <w:r w:rsidRPr="002849CF">
        <w:rPr>
          <w:rFonts w:cs="Arial"/>
          <w:color w:val="000000"/>
          <w:lang w:val="es-ES_tradnl"/>
        </w:rPr>
        <w:fldChar w:fldCharType="begin"/>
      </w:r>
      <w:r w:rsidRPr="002849CF">
        <w:rPr>
          <w:rFonts w:cs="Arial"/>
          <w:color w:val="000000"/>
          <w:lang w:val="es-ES_tradnl"/>
        </w:rPr>
        <w:instrText xml:space="preserve"> AUTONUM  </w:instrText>
      </w:r>
      <w:r w:rsidRPr="002849CF">
        <w:rPr>
          <w:rFonts w:cs="Arial"/>
          <w:color w:val="000000"/>
          <w:lang w:val="es-ES_tradnl"/>
        </w:rPr>
        <w:fldChar w:fldCharType="end"/>
      </w:r>
      <w:r w:rsidRPr="002849CF">
        <w:rPr>
          <w:rFonts w:cs="Arial"/>
          <w:color w:val="000000"/>
          <w:lang w:val="es-ES_tradnl"/>
        </w:rPr>
        <w:tab/>
        <w:t>La orientación que figura actualmente en el documento TGP/7 en relación con el ciclo de cultivo de las especies frutales es la siguiente:</w:t>
      </w:r>
    </w:p>
    <w:p w:rsidR="00C06856" w:rsidRPr="002849CF" w:rsidRDefault="00C06856" w:rsidP="002849CF">
      <w:pPr>
        <w:widowControl w:val="0"/>
        <w:rPr>
          <w:rFonts w:cs="Arial"/>
          <w:color w:val="000000"/>
          <w:lang w:val="es-ES_tradnl"/>
        </w:rPr>
      </w:pP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after="120"/>
        <w:ind w:left="992" w:right="1559"/>
        <w:rPr>
          <w:lang w:val="es-ES_tradnl"/>
        </w:rPr>
      </w:pPr>
      <w:bookmarkStart w:id="8" w:name="_Toc309114901"/>
      <w:bookmarkStart w:id="9" w:name="_Toc309114847"/>
      <w:r w:rsidRPr="002849CF">
        <w:rPr>
          <w:u w:val="single"/>
          <w:lang w:val="es-ES_tradnl"/>
        </w:rPr>
        <w:t>GN 8</w:t>
      </w:r>
      <w:r w:rsidRPr="002849CF">
        <w:rPr>
          <w:u w:val="single"/>
          <w:lang w:val="es-ES_tradnl"/>
        </w:rPr>
        <w:tab/>
        <w:t>(Plantilla de los documentos TG</w:t>
      </w:r>
      <w:proofErr w:type="gramStart"/>
      <w:r w:rsidRPr="002849CF">
        <w:rPr>
          <w:u w:val="single"/>
          <w:lang w:val="es-ES_tradnl"/>
        </w:rPr>
        <w:t xml:space="preserve">:  </w:t>
      </w:r>
      <w:bookmarkEnd w:id="8"/>
      <w:r w:rsidRPr="002849CF">
        <w:rPr>
          <w:u w:val="single"/>
          <w:lang w:val="es-ES_tradnl"/>
        </w:rPr>
        <w:t>Capítulo</w:t>
      </w:r>
      <w:proofErr w:type="gramEnd"/>
      <w:r w:rsidRPr="002849CF">
        <w:rPr>
          <w:u w:val="single"/>
          <w:lang w:val="es-ES_tradnl"/>
        </w:rPr>
        <w:t> 3.1.2) – Explicación del ciclo de cultivo</w:t>
      </w: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after="120"/>
        <w:ind w:left="992" w:right="1559"/>
        <w:rPr>
          <w:lang w:val="es-ES_tradnl"/>
        </w:rPr>
      </w:pPr>
      <w:r w:rsidRPr="002849CF">
        <w:rPr>
          <w:lang w:val="es-ES_tradnl"/>
        </w:rPr>
        <w:t>En el Capítulo 3.1 se hace referencia al número de ciclos de cultivo.  En algunos casos puede que sea necesario aclarar lo que se entiende por “ciclo de cultivo”.  Se ha elaborado un texto estándar adicional para tener en cuenta determinadas situaciones (véase el ASW 3).</w:t>
      </w: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after="120"/>
        <w:ind w:left="992" w:right="1559"/>
        <w:rPr>
          <w:u w:val="single"/>
          <w:lang w:val="es-ES_tradnl"/>
        </w:rPr>
      </w:pPr>
      <w:r w:rsidRPr="002849CF">
        <w:rPr>
          <w:u w:val="single"/>
          <w:lang w:val="es-ES_tradnl"/>
        </w:rPr>
        <w:t xml:space="preserve">ASW 3 (Plantilla de los documentos TG:  </w:t>
      </w:r>
      <w:bookmarkEnd w:id="9"/>
      <w:r w:rsidRPr="002849CF">
        <w:rPr>
          <w:u w:val="single"/>
          <w:lang w:val="es-ES_tradnl"/>
        </w:rPr>
        <w:t xml:space="preserve">Capítulo 3.1.2) – Explicación del ciclo de cultivo </w:t>
      </w: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after="120"/>
        <w:ind w:left="992" w:right="1559"/>
        <w:rPr>
          <w:i/>
          <w:lang w:val="es-ES_tradnl"/>
        </w:rPr>
      </w:pPr>
      <w:r w:rsidRPr="002849CF">
        <w:rPr>
          <w:i/>
          <w:lang w:val="es-ES_tradnl"/>
        </w:rPr>
        <w:t>a) Especies frutales con un período de letargo claramente definido</w:t>
      </w: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after="120"/>
        <w:ind w:left="992" w:right="1559"/>
        <w:rPr>
          <w:iCs/>
          <w:lang w:val="es-ES_tradnl"/>
        </w:rPr>
      </w:pPr>
      <w:r w:rsidRPr="002849CF">
        <w:rPr>
          <w:iCs/>
          <w:lang w:val="es-ES_tradnl"/>
        </w:rPr>
        <w:t>“3.1.2</w:t>
      </w:r>
      <w:r w:rsidRPr="002849CF">
        <w:rPr>
          <w:iCs/>
          <w:lang w:val="es-ES_tradnl"/>
        </w:rPr>
        <w:tab/>
        <w:t>Se considera que la duración del ciclo de cultivo es equivalente a un único período de cultivo que empieza con la apertura de las yemas (floral y/o vegetativa), la floración y la cosecha de los frutos, y que concluye cuando finaliza el período de letargo siguiente con la hinchazón de las yemas en la nueva temporada.”</w:t>
      </w: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after="120"/>
        <w:ind w:left="992" w:right="1559"/>
        <w:rPr>
          <w:i/>
          <w:lang w:val="es-ES_tradnl"/>
        </w:rPr>
      </w:pPr>
      <w:r w:rsidRPr="002849CF">
        <w:rPr>
          <w:i/>
          <w:lang w:val="es-ES_tradnl"/>
        </w:rPr>
        <w:t xml:space="preserve">b) Especies frutales sin un período de letargo claramente definido </w:t>
      </w: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after="120"/>
        <w:ind w:left="992" w:right="1559"/>
        <w:rPr>
          <w:iCs/>
          <w:lang w:val="es-ES_tradnl"/>
        </w:rPr>
      </w:pPr>
      <w:r w:rsidRPr="002849CF">
        <w:rPr>
          <w:iCs/>
          <w:lang w:val="es-ES_tradnl"/>
        </w:rPr>
        <w:t>“3.1.2</w:t>
      </w:r>
      <w:r w:rsidRPr="002849CF">
        <w:rPr>
          <w:iCs/>
          <w:lang w:val="es-ES_tradnl"/>
        </w:rPr>
        <w:tab/>
        <w:t>Se considera que el ciclo de cultivo se inicia con el período de desarrollo vegetativo activo o floración, continúa con el período de desarrollo vegetativo activo o floración y el crecimiento de los frutos, y concluye con la cosecha de los frutos.”</w:t>
      </w: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after="120"/>
        <w:ind w:left="992" w:right="1559"/>
        <w:rPr>
          <w:i/>
          <w:lang w:val="es-ES_tradnl"/>
        </w:rPr>
      </w:pPr>
      <w:r w:rsidRPr="002849CF">
        <w:rPr>
          <w:i/>
          <w:lang w:val="es-ES_tradnl"/>
        </w:rPr>
        <w:t>c) Especies frutales</w:t>
      </w: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after="120"/>
        <w:ind w:left="992" w:right="1559"/>
        <w:rPr>
          <w:lang w:val="es-ES_tradnl"/>
        </w:rPr>
      </w:pPr>
      <w:r w:rsidRPr="002849CF">
        <w:rPr>
          <w:lang w:val="es-ES_tradnl"/>
        </w:rPr>
        <w:t>En el caso de directrices de examen aplicables a especies frutales, se añadirá la siguiente frase en el Capítulo 3.1:</w:t>
      </w: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after="120"/>
        <w:ind w:left="992" w:right="1559"/>
        <w:rPr>
          <w:sz w:val="12"/>
          <w:szCs w:val="12"/>
          <w:lang w:val="es-ES_tradnl"/>
        </w:rPr>
      </w:pP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after="120"/>
        <w:ind w:left="992" w:right="1559"/>
        <w:rPr>
          <w:iCs/>
          <w:lang w:val="es-ES_tradnl"/>
        </w:rPr>
      </w:pPr>
      <w:r w:rsidRPr="002849CF">
        <w:rPr>
          <w:iCs/>
          <w:lang w:val="es-ES_tradnl"/>
        </w:rPr>
        <w:t>“En particular, es esencial que los [árboles]/[las plantas] produzcan una cosecha satisfactoria de frutos en cada uno de los dos ciclos de cultivo.”</w:t>
      </w: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after="120"/>
        <w:ind w:left="992" w:right="1559"/>
        <w:rPr>
          <w:iCs/>
          <w:lang w:val="es-ES_tradnl"/>
        </w:rPr>
      </w:pPr>
    </w:p>
    <w:p w:rsidR="00C06856" w:rsidRPr="002849CF" w:rsidRDefault="00C06856" w:rsidP="002849CF">
      <w:pPr>
        <w:pStyle w:val="Heading1"/>
        <w:keepNext w:val="0"/>
        <w:widowControl w:val="0"/>
        <w:rPr>
          <w:lang w:val="es-ES_tradnl"/>
        </w:rPr>
      </w:pPr>
    </w:p>
    <w:p w:rsidR="00C06856" w:rsidRPr="002849CF" w:rsidRDefault="00C06856" w:rsidP="002849CF">
      <w:pPr>
        <w:pStyle w:val="Heading1"/>
        <w:keepNext w:val="0"/>
        <w:widowControl w:val="0"/>
        <w:rPr>
          <w:lang w:val="es-ES_tradnl"/>
        </w:rPr>
      </w:pPr>
      <w:bookmarkStart w:id="10" w:name="_Toc379794438"/>
      <w:r w:rsidRPr="002849CF">
        <w:rPr>
          <w:lang w:val="es-ES_tradnl"/>
        </w:rPr>
        <w:t>COMENTARIOS FORMULADOS POR LOS GRUPOS DE TRABAJO TÉCNICO EN 2013</w:t>
      </w:r>
      <w:bookmarkEnd w:id="10"/>
    </w:p>
    <w:p w:rsidR="00C06856" w:rsidRPr="002849CF" w:rsidRDefault="00C06856" w:rsidP="002849CF">
      <w:pPr>
        <w:pStyle w:val="Titleofdoc0"/>
        <w:widowControl w:val="0"/>
        <w:spacing w:before="0"/>
        <w:jc w:val="both"/>
        <w:rPr>
          <w:lang w:val="es-ES_tradnl"/>
        </w:rPr>
      </w:pPr>
    </w:p>
    <w:p w:rsidR="00C06856" w:rsidRPr="002849CF" w:rsidRDefault="00C06856" w:rsidP="002849CF">
      <w:pPr>
        <w:pStyle w:val="Titleofdoc0"/>
        <w:widowControl w:val="0"/>
        <w:spacing w:before="0"/>
        <w:jc w:val="both"/>
        <w:rPr>
          <w:caps w:val="0"/>
          <w:lang w:val="es-ES_tradnl"/>
        </w:rPr>
      </w:pPr>
      <w:r w:rsidRPr="002849CF">
        <w:rPr>
          <w:lang w:val="es-ES_tradnl"/>
        </w:rPr>
        <w:fldChar w:fldCharType="begin"/>
      </w:r>
      <w:r w:rsidRPr="002849CF">
        <w:rPr>
          <w:lang w:val="es-ES_tradnl"/>
        </w:rPr>
        <w:instrText xml:space="preserve"> AUTONUM  </w:instrText>
      </w:r>
      <w:r w:rsidRPr="002849CF">
        <w:rPr>
          <w:lang w:val="es-ES_tradnl"/>
        </w:rPr>
        <w:fldChar w:fldCharType="end"/>
      </w:r>
      <w:r w:rsidRPr="002849CF">
        <w:rPr>
          <w:lang w:val="es-ES_tradnl"/>
        </w:rPr>
        <w:tab/>
      </w:r>
      <w:r w:rsidRPr="002849CF">
        <w:rPr>
          <w:rFonts w:cs="Arial"/>
          <w:caps w:val="0"/>
          <w:lang w:val="es-ES_tradnl"/>
        </w:rPr>
        <w:t xml:space="preserve">El TWO, el TWF, el TWV, el TWC y el TWA examinaron </w:t>
      </w:r>
      <w:r w:rsidRPr="002849CF">
        <w:rPr>
          <w:caps w:val="0"/>
          <w:lang w:val="es-ES_tradnl"/>
        </w:rPr>
        <w:t xml:space="preserve">respectivamente los </w:t>
      </w:r>
      <w:r w:rsidRPr="002849CF">
        <w:rPr>
          <w:rFonts w:cs="Arial"/>
          <w:caps w:val="0"/>
          <w:lang w:val="es-ES_tradnl"/>
        </w:rPr>
        <w:t>documentos TWO</w:t>
      </w:r>
      <w:r w:rsidRPr="002849CF">
        <w:rPr>
          <w:lang w:val="es-ES_tradnl"/>
        </w:rPr>
        <w:t>/46/9</w:t>
      </w:r>
      <w:r w:rsidRPr="002849CF">
        <w:rPr>
          <w:caps w:val="0"/>
          <w:lang w:val="es-ES_tradnl"/>
        </w:rPr>
        <w:t xml:space="preserve">, </w:t>
      </w:r>
      <w:r w:rsidRPr="002849CF">
        <w:rPr>
          <w:lang w:val="es-ES_tradnl"/>
        </w:rPr>
        <w:t xml:space="preserve">TWF/44/9, </w:t>
      </w:r>
      <w:r w:rsidRPr="002849CF">
        <w:rPr>
          <w:caps w:val="0"/>
          <w:lang w:val="es-ES_tradnl"/>
        </w:rPr>
        <w:t xml:space="preserve">TWV/47/9, TWC/31/9 y TWA/42/9, que contienen la propuesta de ASW relativo al ciclo de cultivo para especies tropicales </w:t>
      </w:r>
      <w:r w:rsidRPr="002849CF">
        <w:rPr>
          <w:rFonts w:cs="Arial"/>
          <w:caps w:val="0"/>
          <w:lang w:val="es-ES_tradnl"/>
        </w:rPr>
        <w:t>(véanse los párrafos 19 a 21 del documento TWO/46/29 “</w:t>
      </w:r>
      <w:r w:rsidRPr="002849CF">
        <w:rPr>
          <w:rFonts w:cs="Arial"/>
          <w:i/>
          <w:caps w:val="0"/>
          <w:lang w:val="es-ES_tradnl"/>
        </w:rPr>
        <w:t>Report</w:t>
      </w:r>
      <w:r w:rsidRPr="002849CF">
        <w:rPr>
          <w:rFonts w:cs="Arial"/>
          <w:caps w:val="0"/>
          <w:lang w:val="es-ES_tradnl"/>
        </w:rPr>
        <w:t>”, los párrafos 23 y 24 del documento TWF/44/31 “</w:t>
      </w:r>
      <w:r w:rsidRPr="002849CF">
        <w:rPr>
          <w:rFonts w:cs="Arial"/>
          <w:i/>
          <w:caps w:val="0"/>
          <w:lang w:val="es-ES_tradnl"/>
        </w:rPr>
        <w:t>Report</w:t>
      </w:r>
      <w:r w:rsidRPr="002849CF">
        <w:rPr>
          <w:rFonts w:cs="Arial"/>
          <w:caps w:val="0"/>
          <w:lang w:val="es-ES_tradnl"/>
        </w:rPr>
        <w:t>”, los párrafos 23 y 24 del documento TWV/47/34 “</w:t>
      </w:r>
      <w:r w:rsidRPr="002849CF">
        <w:rPr>
          <w:rFonts w:cs="Arial"/>
          <w:i/>
          <w:caps w:val="0"/>
          <w:lang w:val="es-ES_tradnl"/>
        </w:rPr>
        <w:t>Report</w:t>
      </w:r>
      <w:r w:rsidRPr="002849CF">
        <w:rPr>
          <w:rFonts w:cs="Arial"/>
          <w:caps w:val="0"/>
          <w:lang w:val="es-ES_tradnl"/>
        </w:rPr>
        <w:t>”, los párrafos 21 y 22 del documento TWC/31/32 “</w:t>
      </w:r>
      <w:r w:rsidRPr="002849CF">
        <w:rPr>
          <w:rFonts w:cs="Arial"/>
          <w:i/>
          <w:caps w:val="0"/>
          <w:lang w:val="es-ES_tradnl"/>
        </w:rPr>
        <w:t>Report</w:t>
      </w:r>
      <w:r w:rsidRPr="002849CF">
        <w:rPr>
          <w:rFonts w:cs="Arial"/>
          <w:caps w:val="0"/>
          <w:lang w:val="es-ES_tradnl"/>
        </w:rPr>
        <w:t>” y los párrafos 21 a 23 del documento TWA/42/31 “</w:t>
      </w:r>
      <w:r w:rsidRPr="002849CF">
        <w:rPr>
          <w:rFonts w:cs="Arial"/>
          <w:i/>
          <w:caps w:val="0"/>
          <w:lang w:val="es-ES_tradnl"/>
        </w:rPr>
        <w:t>Report</w:t>
      </w:r>
      <w:r w:rsidRPr="002849CF">
        <w:rPr>
          <w:rFonts w:cs="Arial"/>
          <w:caps w:val="0"/>
          <w:lang w:val="es-ES_tradnl"/>
        </w:rPr>
        <w:t>”)</w:t>
      </w:r>
      <w:r w:rsidRPr="002849CF">
        <w:rPr>
          <w:caps w:val="0"/>
          <w:lang w:val="es-ES_tradnl"/>
        </w:rPr>
        <w:t>.</w:t>
      </w:r>
    </w:p>
    <w:p w:rsidR="00C06856" w:rsidRPr="002849CF" w:rsidRDefault="00C06856" w:rsidP="002849CF">
      <w:pPr>
        <w:pStyle w:val="Titleofdoc0"/>
        <w:widowControl w:val="0"/>
        <w:spacing w:before="0"/>
        <w:jc w:val="both"/>
        <w:rPr>
          <w:caps w:val="0"/>
          <w:lang w:val="es-ES_tradnl"/>
        </w:rPr>
      </w:pPr>
    </w:p>
    <w:p w:rsidR="00C06856" w:rsidRPr="002849CF" w:rsidRDefault="00C06856" w:rsidP="002849CF">
      <w:pPr>
        <w:widowControl w:val="0"/>
        <w:rPr>
          <w:lang w:val="es-ES_tradnl"/>
        </w:rPr>
      </w:pPr>
      <w:r w:rsidRPr="002849CF">
        <w:rPr>
          <w:lang w:val="es-ES_tradnl"/>
        </w:rPr>
        <w:fldChar w:fldCharType="begin"/>
      </w:r>
      <w:r w:rsidRPr="002849CF">
        <w:rPr>
          <w:lang w:val="es-ES_tradnl"/>
        </w:rPr>
        <w:instrText xml:space="preserve"> AUTONUM  </w:instrText>
      </w:r>
      <w:r w:rsidRPr="002849CF">
        <w:rPr>
          <w:lang w:val="es-ES_tradnl"/>
        </w:rPr>
        <w:fldChar w:fldCharType="end"/>
      </w:r>
      <w:r w:rsidRPr="002849CF">
        <w:rPr>
          <w:lang w:val="es-ES_tradnl"/>
        </w:rPr>
        <w:tab/>
        <w:t>El TWO examinó la siguiente propuesta de ASW relativo al ciclo de cultivo para especies tropicales:</w:t>
      </w:r>
    </w:p>
    <w:p w:rsidR="00C06856" w:rsidRPr="002849CF" w:rsidRDefault="00C06856" w:rsidP="002849CF">
      <w:pPr>
        <w:widowControl w:val="0"/>
        <w:rPr>
          <w:lang w:val="es-ES_tradnl"/>
        </w:rPr>
      </w:pP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before="120"/>
        <w:ind w:left="993" w:right="1559"/>
        <w:rPr>
          <w:rFonts w:cs="Arial"/>
          <w:lang w:val="es-ES_tradnl"/>
        </w:rPr>
      </w:pPr>
      <w:r w:rsidRPr="002849CF">
        <w:rPr>
          <w:rFonts w:cs="Arial"/>
          <w:lang w:val="es-ES_tradnl"/>
        </w:rPr>
        <w:t xml:space="preserve">Nuevo (después de b)):  Especies frutales tropicales </w:t>
      </w: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before="120"/>
        <w:ind w:left="993" w:right="1559"/>
        <w:rPr>
          <w:rFonts w:cs="Arial"/>
          <w:lang w:val="es-ES_tradnl"/>
        </w:rPr>
      </w:pPr>
      <w:r w:rsidRPr="002849CF">
        <w:rPr>
          <w:rFonts w:cs="Arial"/>
          <w:lang w:val="es-ES_tradnl"/>
        </w:rPr>
        <w:t>Se considera que el ciclo de cultivo se inicia con la floración de una flor individual o una inflorescencia, continúa con el período de floración activa y el crecimiento de los frutos y concluye con la cosecha de los frutos.</w:t>
      </w:r>
    </w:p>
    <w:p w:rsidR="00C06856" w:rsidRPr="002849CF" w:rsidRDefault="00C06856" w:rsidP="002849CF">
      <w:pPr>
        <w:widowControl w:val="0"/>
        <w:rPr>
          <w:i/>
          <w:lang w:val="es-ES_tradnl"/>
        </w:rPr>
      </w:pPr>
    </w:p>
    <w:p w:rsidR="00C06856" w:rsidRPr="002849CF" w:rsidRDefault="00C06856" w:rsidP="002849CF">
      <w:pPr>
        <w:widowControl w:val="0"/>
        <w:rPr>
          <w:lang w:val="es-ES_tradnl"/>
        </w:rPr>
      </w:pPr>
      <w:r w:rsidRPr="002849CF">
        <w:rPr>
          <w:lang w:val="es-ES_tradnl"/>
        </w:rPr>
        <w:fldChar w:fldCharType="begin"/>
      </w:r>
      <w:r w:rsidRPr="002849CF">
        <w:rPr>
          <w:lang w:val="es-ES_tradnl"/>
        </w:rPr>
        <w:instrText xml:space="preserve"> AUTONUM  </w:instrText>
      </w:r>
      <w:r w:rsidRPr="002849CF">
        <w:rPr>
          <w:lang w:val="es-ES_tradnl"/>
        </w:rPr>
        <w:fldChar w:fldCharType="end"/>
      </w:r>
      <w:r w:rsidRPr="002849CF">
        <w:rPr>
          <w:lang w:val="es-ES_tradnl"/>
        </w:rPr>
        <w:tab/>
        <w:t xml:space="preserve">El TWO observó que el ASW propuesto constituye una orientación para especies frutales y convino en que debe someterse al examen del TWF.  Asimismo, señaló que el redactor de Nueva Zelandia propondría al TWF que el título del ASW sea “Especies frutales de crecimiento indeterminado”. </w:t>
      </w:r>
    </w:p>
    <w:p w:rsidR="00C06856" w:rsidRPr="002849CF" w:rsidRDefault="00C06856" w:rsidP="002849CF">
      <w:pPr>
        <w:widowControl w:val="0"/>
        <w:rPr>
          <w:lang w:val="es-ES_tradnl"/>
        </w:rPr>
      </w:pPr>
    </w:p>
    <w:p w:rsidR="000D6699" w:rsidRDefault="000D6699">
      <w:pPr>
        <w:jc w:val="left"/>
        <w:rPr>
          <w:lang w:val="es-ES_tradnl"/>
        </w:rPr>
      </w:pPr>
      <w:r>
        <w:rPr>
          <w:lang w:val="es-ES_tradnl"/>
        </w:rPr>
        <w:br w:type="page"/>
      </w:r>
    </w:p>
    <w:p w:rsidR="00C06856" w:rsidRPr="002849CF" w:rsidRDefault="00C06856" w:rsidP="002849CF">
      <w:pPr>
        <w:keepNext/>
        <w:widowControl w:val="0"/>
        <w:autoSpaceDE w:val="0"/>
        <w:autoSpaceDN w:val="0"/>
        <w:adjustRightInd w:val="0"/>
        <w:jc w:val="left"/>
        <w:rPr>
          <w:lang w:val="es-ES_tradnl"/>
        </w:rPr>
      </w:pPr>
      <w:r w:rsidRPr="002849CF">
        <w:rPr>
          <w:lang w:val="es-ES_tradnl"/>
        </w:rPr>
        <w:lastRenderedPageBreak/>
        <w:fldChar w:fldCharType="begin"/>
      </w:r>
      <w:r w:rsidRPr="002849CF">
        <w:rPr>
          <w:lang w:val="es-ES_tradnl"/>
        </w:rPr>
        <w:instrText xml:space="preserve"> AUTONUM  </w:instrText>
      </w:r>
      <w:r w:rsidRPr="002849CF">
        <w:rPr>
          <w:lang w:val="es-ES_tradnl"/>
        </w:rPr>
        <w:fldChar w:fldCharType="end"/>
      </w:r>
      <w:r w:rsidRPr="002849CF">
        <w:rPr>
          <w:lang w:val="es-ES_tradnl"/>
        </w:rPr>
        <w:tab/>
        <w:t>El TWF propuso el siguiente ASW para el ciclo de cultivo de especies tropicales:</w:t>
      </w:r>
    </w:p>
    <w:p w:rsidR="00C06856" w:rsidRPr="002849CF" w:rsidRDefault="00C06856" w:rsidP="002849CF">
      <w:pPr>
        <w:widowControl w:val="0"/>
        <w:rPr>
          <w:rFonts w:cs="Arial"/>
          <w:sz w:val="19"/>
          <w:szCs w:val="19"/>
          <w:lang w:val="es-ES_tradnl"/>
        </w:rPr>
      </w:pP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ind w:left="992" w:right="1559"/>
        <w:rPr>
          <w:rFonts w:cs="Arial"/>
          <w:u w:val="single"/>
          <w:lang w:val="es-ES_tradnl"/>
        </w:rPr>
      </w:pPr>
      <w:r w:rsidRPr="002849CF">
        <w:rPr>
          <w:rFonts w:cs="Arial"/>
          <w:lang w:val="es-ES_tradnl"/>
        </w:rPr>
        <w:t xml:space="preserve">Nuevo (después de b)):  </w:t>
      </w:r>
      <w:r w:rsidRPr="002849CF">
        <w:rPr>
          <w:rFonts w:cs="Arial"/>
          <w:strike/>
          <w:lang w:val="es-ES_tradnl"/>
        </w:rPr>
        <w:t>Especies frutales tropicales</w:t>
      </w:r>
      <w:r w:rsidRPr="002849CF">
        <w:rPr>
          <w:rFonts w:cs="Arial"/>
          <w:lang w:val="es-ES_tradnl"/>
        </w:rPr>
        <w:t xml:space="preserve"> </w:t>
      </w:r>
      <w:r w:rsidRPr="002849CF">
        <w:rPr>
          <w:rFonts w:cs="Arial"/>
          <w:u w:val="single"/>
          <w:lang w:val="es-ES_tradnl"/>
        </w:rPr>
        <w:t xml:space="preserve">Especies </w:t>
      </w:r>
      <w:r w:rsidRPr="002849CF">
        <w:rPr>
          <w:rFonts w:cs="Arial"/>
          <w:highlight w:val="lightGray"/>
          <w:u w:val="single"/>
          <w:lang w:val="es-ES_tradnl"/>
        </w:rPr>
        <w:t>perennes</w:t>
      </w:r>
      <w:r w:rsidRPr="002849CF">
        <w:rPr>
          <w:rFonts w:cs="Arial"/>
          <w:u w:val="single"/>
          <w:lang w:val="es-ES_tradnl"/>
        </w:rPr>
        <w:t xml:space="preserve"> de crecimiento indeterminado</w:t>
      </w: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ind w:left="992" w:right="1559"/>
        <w:rPr>
          <w:rFonts w:cs="Arial"/>
          <w:lang w:val="es-ES_tradnl"/>
        </w:rPr>
      </w:pPr>
      <w:r w:rsidRPr="002849CF">
        <w:rPr>
          <w:rFonts w:cs="Arial"/>
          <w:highlight w:val="lightGray"/>
          <w:u w:val="single"/>
          <w:lang w:val="es-ES_tradnl"/>
        </w:rPr>
        <w:t>Se considera que el ciclo de cultivo</w:t>
      </w:r>
      <w:r w:rsidRPr="002849CF">
        <w:rPr>
          <w:rFonts w:cs="Arial"/>
          <w:lang w:val="es-ES_tradnl"/>
        </w:rPr>
        <w:t xml:space="preserve"> se inicia con la floración de una flor individual o una inflorescencia, continúa con el período de floración activa y el crecimiento de los frutos</w:t>
      </w:r>
      <w:r w:rsidRPr="002849CF">
        <w:rPr>
          <w:rFonts w:cs="Arial"/>
          <w:highlight w:val="lightGray"/>
          <w:lang w:val="es-ES_tradnl"/>
        </w:rPr>
        <w:t>,</w:t>
      </w:r>
      <w:r w:rsidRPr="002849CF">
        <w:rPr>
          <w:rFonts w:cs="Arial"/>
          <w:lang w:val="es-ES_tradnl"/>
        </w:rPr>
        <w:t xml:space="preserve"> y concluye con la cosecha de los frutos.</w:t>
      </w:r>
    </w:p>
    <w:p w:rsidR="00C06856" w:rsidRPr="002849CF" w:rsidRDefault="00C06856" w:rsidP="002849CF">
      <w:pPr>
        <w:widowControl w:val="0"/>
        <w:rPr>
          <w:lang w:val="es-ES_tradnl"/>
        </w:rPr>
      </w:pPr>
    </w:p>
    <w:p w:rsidR="00C06856" w:rsidRPr="002849CF" w:rsidRDefault="00C06856" w:rsidP="002849CF">
      <w:pPr>
        <w:widowControl w:val="0"/>
        <w:rPr>
          <w:lang w:val="es-ES_tradnl"/>
        </w:rPr>
      </w:pPr>
      <w:r w:rsidRPr="002849CF">
        <w:rPr>
          <w:lang w:val="es-ES_tradnl"/>
        </w:rPr>
        <w:fldChar w:fldCharType="begin"/>
      </w:r>
      <w:r w:rsidRPr="002849CF">
        <w:rPr>
          <w:lang w:val="es-ES_tradnl"/>
        </w:rPr>
        <w:instrText xml:space="preserve"> AUTONUM  </w:instrText>
      </w:r>
      <w:r w:rsidRPr="002849CF">
        <w:rPr>
          <w:lang w:val="es-ES_tradnl"/>
        </w:rPr>
        <w:fldChar w:fldCharType="end"/>
      </w:r>
      <w:r w:rsidRPr="002849CF">
        <w:rPr>
          <w:lang w:val="es-ES_tradnl"/>
        </w:rPr>
        <w:tab/>
        <w:t>El TWV y el TWC aprobaron el ASW propuesto por el TWF (véase más arriba).</w:t>
      </w:r>
    </w:p>
    <w:p w:rsidR="00C06856" w:rsidRPr="002849CF" w:rsidRDefault="00C06856" w:rsidP="002849CF">
      <w:pPr>
        <w:widowControl w:val="0"/>
        <w:rPr>
          <w:lang w:val="es-ES_tradnl"/>
        </w:rPr>
      </w:pPr>
    </w:p>
    <w:p w:rsidR="00C06856" w:rsidRPr="002849CF" w:rsidRDefault="00C06856" w:rsidP="002849CF">
      <w:pPr>
        <w:widowControl w:val="0"/>
        <w:rPr>
          <w:lang w:val="es-ES_tradnl"/>
        </w:rPr>
      </w:pPr>
      <w:r w:rsidRPr="002849CF">
        <w:rPr>
          <w:lang w:val="es-ES_tradnl"/>
        </w:rPr>
        <w:fldChar w:fldCharType="begin"/>
      </w:r>
      <w:r w:rsidRPr="002849CF">
        <w:rPr>
          <w:lang w:val="es-ES_tradnl"/>
        </w:rPr>
        <w:instrText xml:space="preserve"> AUTONUM  </w:instrText>
      </w:r>
      <w:r w:rsidRPr="002849CF">
        <w:rPr>
          <w:lang w:val="es-ES_tradnl"/>
        </w:rPr>
        <w:fldChar w:fldCharType="end"/>
      </w:r>
      <w:r w:rsidRPr="002849CF">
        <w:rPr>
          <w:lang w:val="es-ES_tradnl"/>
        </w:rPr>
        <w:tab/>
        <w:t>El TWA propuso suprimir las palabras “floración activa y el” del texto propuesto por el TWF:</w:t>
      </w:r>
    </w:p>
    <w:p w:rsidR="00C06856" w:rsidRPr="002849CF" w:rsidRDefault="00C06856" w:rsidP="002849CF">
      <w:pPr>
        <w:pStyle w:val="Titleofdoc0"/>
        <w:widowControl w:val="0"/>
        <w:spacing w:before="0"/>
        <w:jc w:val="both"/>
        <w:rPr>
          <w:caps w:val="0"/>
          <w:lang w:val="es-ES_tradnl"/>
        </w:rPr>
      </w:pP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before="120"/>
        <w:ind w:left="993" w:right="1559"/>
        <w:rPr>
          <w:i/>
          <w:iCs/>
          <w:lang w:val="es-ES_tradnl"/>
        </w:rPr>
      </w:pPr>
      <w:r w:rsidRPr="002849CF">
        <w:rPr>
          <w:i/>
          <w:iCs/>
          <w:lang w:val="es-ES_tradnl"/>
        </w:rPr>
        <w:t xml:space="preserve">Nuevo (después de b)): </w:t>
      </w:r>
      <w:r w:rsidRPr="002849CF">
        <w:rPr>
          <w:i/>
          <w:iCs/>
          <w:strike/>
          <w:lang w:val="es-ES_tradnl"/>
        </w:rPr>
        <w:t>Especies frutales tropicales</w:t>
      </w:r>
      <w:r w:rsidRPr="002849CF">
        <w:rPr>
          <w:i/>
          <w:iCs/>
          <w:lang w:val="es-ES_tradnl"/>
        </w:rPr>
        <w:t xml:space="preserve"> </w:t>
      </w:r>
      <w:r w:rsidRPr="002849CF">
        <w:rPr>
          <w:i/>
          <w:iCs/>
          <w:u w:val="single"/>
          <w:lang w:val="es-ES_tradnl"/>
        </w:rPr>
        <w:t xml:space="preserve">Especies </w:t>
      </w:r>
      <w:r w:rsidRPr="002849CF">
        <w:rPr>
          <w:i/>
          <w:iCs/>
          <w:highlight w:val="lightGray"/>
          <w:u w:val="single"/>
          <w:lang w:val="es-ES_tradnl"/>
        </w:rPr>
        <w:t>perennes</w:t>
      </w:r>
      <w:r w:rsidRPr="002849CF">
        <w:rPr>
          <w:i/>
          <w:iCs/>
          <w:u w:val="single"/>
          <w:lang w:val="es-ES_tradnl"/>
        </w:rPr>
        <w:t xml:space="preserve"> de crecimiento indeterminado</w:t>
      </w: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before="120"/>
        <w:ind w:left="993" w:right="1559"/>
        <w:rPr>
          <w:lang w:val="es-ES_tradnl"/>
        </w:rPr>
      </w:pPr>
      <w:r w:rsidRPr="002849CF">
        <w:rPr>
          <w:rFonts w:cs="Arial"/>
          <w:highlight w:val="lightGray"/>
          <w:u w:val="single"/>
          <w:lang w:val="es-ES_tradnl"/>
        </w:rPr>
        <w:t>Se considera que el ciclo de cultivo</w:t>
      </w:r>
      <w:r w:rsidRPr="002849CF">
        <w:rPr>
          <w:lang w:val="es-ES_tradnl"/>
        </w:rPr>
        <w:t xml:space="preserve"> se inicia con la floración de una flor individual o una inflorescencia, continúa con el período de </w:t>
      </w:r>
      <w:r w:rsidRPr="002849CF">
        <w:rPr>
          <w:strike/>
          <w:highlight w:val="lightGray"/>
          <w:lang w:val="es-ES_tradnl"/>
        </w:rPr>
        <w:t>floración activa y el</w:t>
      </w:r>
      <w:r w:rsidRPr="002849CF">
        <w:rPr>
          <w:lang w:val="es-ES_tradnl"/>
        </w:rPr>
        <w:t xml:space="preserve"> crecimiento de los frutos, y concluye con la cosecha de los frutos.</w:t>
      </w:r>
    </w:p>
    <w:p w:rsidR="00C06856" w:rsidRPr="002849CF" w:rsidRDefault="00C06856" w:rsidP="002849CF">
      <w:pPr>
        <w:widowControl w:val="0"/>
        <w:rPr>
          <w:lang w:val="es-ES_tradnl"/>
        </w:rPr>
      </w:pPr>
    </w:p>
    <w:p w:rsidR="00C06856" w:rsidRPr="002849CF" w:rsidRDefault="00C06856" w:rsidP="002849CF">
      <w:pPr>
        <w:widowControl w:val="0"/>
        <w:rPr>
          <w:lang w:val="es-ES_tradnl"/>
        </w:rPr>
      </w:pPr>
      <w:r w:rsidRPr="002849CF">
        <w:rPr>
          <w:lang w:val="es-ES_tradnl"/>
        </w:rPr>
        <w:fldChar w:fldCharType="begin"/>
      </w:r>
      <w:r w:rsidRPr="002849CF">
        <w:rPr>
          <w:lang w:val="es-ES_tradnl"/>
        </w:rPr>
        <w:instrText xml:space="preserve"> AUTONUM  </w:instrText>
      </w:r>
      <w:r w:rsidRPr="002849CF">
        <w:rPr>
          <w:lang w:val="es-ES_tradnl"/>
        </w:rPr>
        <w:fldChar w:fldCharType="end"/>
      </w:r>
      <w:r w:rsidRPr="002849CF">
        <w:rPr>
          <w:lang w:val="es-ES_tradnl"/>
        </w:rPr>
        <w:tab/>
        <w:t>El TWA solicitó que el redactor de la propuesta aclare la relación entre una flor individual y la cosecha de los frutos.</w:t>
      </w:r>
    </w:p>
    <w:p w:rsidR="00C06856" w:rsidRDefault="00C06856" w:rsidP="002849CF">
      <w:pPr>
        <w:widowControl w:val="0"/>
        <w:rPr>
          <w:lang w:val="es-ES_tradnl"/>
        </w:rPr>
      </w:pPr>
    </w:p>
    <w:p w:rsidR="000D6699" w:rsidRPr="002849CF" w:rsidRDefault="000D6699" w:rsidP="002849CF">
      <w:pPr>
        <w:widowControl w:val="0"/>
        <w:rPr>
          <w:lang w:val="es-ES_tradnl"/>
        </w:rPr>
      </w:pPr>
    </w:p>
    <w:p w:rsidR="00C06856" w:rsidRPr="002849CF" w:rsidRDefault="00C06856" w:rsidP="002849CF">
      <w:pPr>
        <w:pStyle w:val="Heading1"/>
        <w:keepNext w:val="0"/>
        <w:widowControl w:val="0"/>
        <w:rPr>
          <w:lang w:val="es-ES_tradnl"/>
        </w:rPr>
      </w:pPr>
      <w:bookmarkStart w:id="11" w:name="_Toc379794439"/>
      <w:r w:rsidRPr="002849CF">
        <w:rPr>
          <w:lang w:val="es-ES_tradnl"/>
        </w:rPr>
        <w:t>PROPUESTA</w:t>
      </w:r>
      <w:bookmarkEnd w:id="11"/>
    </w:p>
    <w:p w:rsidR="00C06856" w:rsidRPr="002849CF" w:rsidRDefault="00C06856" w:rsidP="002849CF">
      <w:pPr>
        <w:widowControl w:val="0"/>
        <w:rPr>
          <w:lang w:val="es-ES_tradnl"/>
        </w:rPr>
      </w:pPr>
    </w:p>
    <w:p w:rsidR="00C06856" w:rsidRPr="002849CF" w:rsidRDefault="00C06856" w:rsidP="002849CF">
      <w:pPr>
        <w:widowControl w:val="0"/>
        <w:rPr>
          <w:lang w:val="es-ES_tradnl"/>
        </w:rPr>
      </w:pPr>
      <w:r w:rsidRPr="002849CF">
        <w:rPr>
          <w:lang w:val="es-ES_tradnl"/>
        </w:rPr>
        <w:fldChar w:fldCharType="begin"/>
      </w:r>
      <w:r w:rsidRPr="002849CF">
        <w:rPr>
          <w:lang w:val="es-ES_tradnl"/>
        </w:rPr>
        <w:instrText xml:space="preserve"> AUTONUM  </w:instrText>
      </w:r>
      <w:r w:rsidRPr="002849CF">
        <w:rPr>
          <w:lang w:val="es-ES_tradnl"/>
        </w:rPr>
        <w:fldChar w:fldCharType="end"/>
      </w:r>
      <w:r w:rsidRPr="002849CF">
        <w:rPr>
          <w:lang w:val="es-ES_tradnl"/>
        </w:rPr>
        <w:tab/>
        <w:t>A partir de los comentarios formulados por los TWP en sus reuniones de 2013, el experto de Nueva</w:t>
      </w:r>
      <w:r w:rsidR="000D6699">
        <w:rPr>
          <w:lang w:val="es-ES_tradnl"/>
        </w:rPr>
        <w:t> </w:t>
      </w:r>
      <w:r w:rsidRPr="002849CF">
        <w:rPr>
          <w:lang w:val="es-ES_tradnl"/>
        </w:rPr>
        <w:t>Zelandia ha propuesto el siguiente ASW:</w:t>
      </w:r>
    </w:p>
    <w:p w:rsidR="00C06856" w:rsidRPr="002849CF" w:rsidRDefault="00C06856" w:rsidP="002849CF">
      <w:pPr>
        <w:widowControl w:val="0"/>
        <w:rPr>
          <w:lang w:val="es-ES_tradnl"/>
        </w:rPr>
      </w:pP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before="120"/>
        <w:ind w:left="993" w:right="1559" w:firstLine="141"/>
        <w:rPr>
          <w:rFonts w:cs="Arial"/>
          <w:u w:val="single"/>
          <w:lang w:val="es-ES_tradnl"/>
        </w:rPr>
      </w:pPr>
      <w:r w:rsidRPr="002849CF">
        <w:rPr>
          <w:iCs/>
          <w:u w:val="single"/>
          <w:lang w:val="es-ES_tradnl"/>
        </w:rPr>
        <w:t xml:space="preserve">Nuevo (después de b)):  </w:t>
      </w:r>
      <w:r w:rsidRPr="002849CF">
        <w:rPr>
          <w:rFonts w:cs="Arial"/>
          <w:u w:val="single"/>
          <w:lang w:val="es-ES_tradnl"/>
        </w:rPr>
        <w:t>Especies perennes de crecimiento indeterminado</w:t>
      </w:r>
    </w:p>
    <w:p w:rsidR="00C06856" w:rsidRPr="002849CF" w:rsidRDefault="00C06856" w:rsidP="002849CF">
      <w:pPr>
        <w:widowControl w:val="0"/>
        <w:pBdr>
          <w:top w:val="dotted" w:sz="4" w:space="1" w:color="auto"/>
          <w:left w:val="dotted" w:sz="4" w:space="4" w:color="auto"/>
          <w:bottom w:val="dotted" w:sz="4" w:space="1" w:color="auto"/>
          <w:right w:val="dotted" w:sz="4" w:space="4" w:color="auto"/>
        </w:pBdr>
        <w:spacing w:before="120"/>
        <w:ind w:left="993" w:right="1559"/>
        <w:rPr>
          <w:rFonts w:cs="Arial"/>
          <w:lang w:val="es-ES_tradnl"/>
        </w:rPr>
      </w:pPr>
      <w:r w:rsidRPr="002849CF">
        <w:rPr>
          <w:rFonts w:cs="Arial"/>
          <w:lang w:val="es-ES_tradnl"/>
        </w:rPr>
        <w:t>Se considera que el ciclo de cultivo se inicia con la floración de una flor individual o una inflorescencia, continúa con el período de crecimiento de los frutos y concluye con la cosecha de los frutos de la correspondiente flor individual o inflorescencia.</w:t>
      </w:r>
    </w:p>
    <w:p w:rsidR="00C06856" w:rsidRPr="002849CF" w:rsidRDefault="00C06856" w:rsidP="002849CF">
      <w:pPr>
        <w:widowControl w:val="0"/>
        <w:rPr>
          <w:lang w:val="es-ES_tradnl"/>
        </w:rPr>
      </w:pPr>
    </w:p>
    <w:p w:rsidR="00C06856" w:rsidRPr="002849CF" w:rsidRDefault="00C06856" w:rsidP="002849CF">
      <w:pPr>
        <w:widowControl w:val="0"/>
        <w:tabs>
          <w:tab w:val="left" w:pos="5387"/>
        </w:tabs>
        <w:ind w:left="4820"/>
        <w:rPr>
          <w:lang w:val="es-ES_tradnl"/>
        </w:rPr>
      </w:pPr>
      <w:r w:rsidRPr="002849CF">
        <w:rPr>
          <w:i/>
          <w:lang w:val="es-ES_tradnl"/>
        </w:rPr>
        <w:fldChar w:fldCharType="begin"/>
      </w:r>
      <w:r w:rsidRPr="002849CF">
        <w:rPr>
          <w:i/>
          <w:lang w:val="es-ES_tradnl"/>
        </w:rPr>
        <w:instrText xml:space="preserve"> AUTONUM  </w:instrText>
      </w:r>
      <w:r w:rsidRPr="002849CF">
        <w:rPr>
          <w:i/>
          <w:lang w:val="es-ES_tradnl"/>
        </w:rPr>
        <w:fldChar w:fldCharType="end"/>
      </w:r>
      <w:r w:rsidRPr="002849CF">
        <w:rPr>
          <w:i/>
          <w:lang w:val="es-ES_tradnl"/>
        </w:rPr>
        <w:tab/>
        <w:t xml:space="preserve">Se invita al TC a examinar el ASW propuesto </w:t>
      </w:r>
      <w:r w:rsidRPr="00843665">
        <w:rPr>
          <w:i/>
          <w:spacing w:val="-2"/>
          <w:lang w:val="es-ES_tradnl"/>
        </w:rPr>
        <w:t xml:space="preserve">para especies perennes de crecimiento indeterminado, </w:t>
      </w:r>
      <w:r w:rsidRPr="002849CF">
        <w:rPr>
          <w:i/>
          <w:lang w:val="es-ES_tradnl"/>
        </w:rPr>
        <w:t>que figura en el párrafo 13 del presente documento, a fin de incluirlo en el documento TGP/7.</w:t>
      </w:r>
    </w:p>
    <w:p w:rsidR="00C06856" w:rsidRPr="002849CF" w:rsidRDefault="00C06856" w:rsidP="002849CF">
      <w:pPr>
        <w:pStyle w:val="endofdoc"/>
        <w:widowControl w:val="0"/>
        <w:rPr>
          <w:snapToGrid w:val="0"/>
          <w:lang w:val="es-ES_tradnl"/>
        </w:rPr>
      </w:pPr>
      <w:r w:rsidRPr="002849CF">
        <w:rPr>
          <w:snapToGrid w:val="0"/>
          <w:lang w:val="es-ES_tradnl"/>
        </w:rPr>
        <w:t>[Fin del documento]</w:t>
      </w:r>
    </w:p>
    <w:sectPr w:rsidR="00C06856" w:rsidRPr="002849CF" w:rsidSect="00906DDC">
      <w:headerReference w:type="default" r:id="rId8"/>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C63" w:rsidRDefault="00EA1C63" w:rsidP="006655D3">
      <w:r>
        <w:separator/>
      </w:r>
    </w:p>
    <w:p w:rsidR="00EA1C63" w:rsidRDefault="00EA1C63" w:rsidP="006655D3"/>
    <w:p w:rsidR="00EA1C63" w:rsidRDefault="00EA1C63" w:rsidP="006655D3"/>
  </w:endnote>
  <w:endnote w:type="continuationSeparator" w:id="0">
    <w:p w:rsidR="00EA1C63" w:rsidRDefault="00EA1C63" w:rsidP="006655D3">
      <w:r>
        <w:separator/>
      </w:r>
    </w:p>
    <w:p w:rsidR="00EA1C63" w:rsidRPr="004E0DDA" w:rsidRDefault="00EA1C63">
      <w:pPr>
        <w:pStyle w:val="Footer"/>
        <w:spacing w:after="60"/>
        <w:rPr>
          <w:sz w:val="18"/>
          <w:lang w:val="fr-FR"/>
        </w:rPr>
      </w:pPr>
      <w:r w:rsidRPr="004E0DDA">
        <w:rPr>
          <w:sz w:val="18"/>
          <w:lang w:val="fr-FR"/>
        </w:rPr>
        <w:t>[Suite de la note de la page précédente]</w:t>
      </w:r>
    </w:p>
    <w:p w:rsidR="00EA1C63" w:rsidRPr="004E0DDA" w:rsidRDefault="00EA1C63" w:rsidP="006655D3">
      <w:pPr>
        <w:rPr>
          <w:lang w:val="fr-FR"/>
        </w:rPr>
      </w:pPr>
    </w:p>
    <w:p w:rsidR="00EA1C63" w:rsidRPr="004E0DDA" w:rsidRDefault="00EA1C63" w:rsidP="006655D3">
      <w:pPr>
        <w:rPr>
          <w:lang w:val="fr-FR"/>
        </w:rPr>
      </w:pPr>
    </w:p>
  </w:endnote>
  <w:endnote w:type="continuationNotice" w:id="1">
    <w:p w:rsidR="00EA1C63" w:rsidRPr="004E0DDA" w:rsidRDefault="00EA1C63" w:rsidP="006655D3">
      <w:pPr>
        <w:rPr>
          <w:lang w:val="fr-FR"/>
        </w:rPr>
      </w:pPr>
      <w:r w:rsidRPr="004E0DDA">
        <w:rPr>
          <w:lang w:val="fr-FR"/>
        </w:rPr>
        <w:t>[Suite de la note page suivante]</w:t>
      </w:r>
    </w:p>
    <w:p w:rsidR="00EA1C63" w:rsidRPr="004E0DDA" w:rsidRDefault="00EA1C63" w:rsidP="006655D3">
      <w:pPr>
        <w:rPr>
          <w:lang w:val="fr-FR"/>
        </w:rPr>
      </w:pPr>
    </w:p>
    <w:p w:rsidR="00EA1C63" w:rsidRPr="004E0DDA" w:rsidRDefault="00EA1C6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C63" w:rsidRDefault="00EA1C63" w:rsidP="006655D3">
      <w:r>
        <w:separator/>
      </w:r>
    </w:p>
  </w:footnote>
  <w:footnote w:type="continuationSeparator" w:id="0">
    <w:p w:rsidR="00EA1C63" w:rsidRDefault="00EA1C63" w:rsidP="006655D3">
      <w:r>
        <w:separator/>
      </w:r>
    </w:p>
  </w:footnote>
  <w:footnote w:type="continuationNotice" w:id="1">
    <w:p w:rsidR="00EA1C63" w:rsidRPr="00AB530F" w:rsidRDefault="00EA1C6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856" w:rsidRPr="00C5280D" w:rsidRDefault="00C06856" w:rsidP="00EB048E">
    <w:pPr>
      <w:pStyle w:val="Header"/>
      <w:rPr>
        <w:rStyle w:val="PageNumber"/>
        <w:lang w:val="en-US"/>
      </w:rPr>
    </w:pPr>
    <w:r w:rsidRPr="002849CF">
      <w:rPr>
        <w:rStyle w:val="PageNumber"/>
        <w:lang w:val="es-ES_tradnl"/>
      </w:rPr>
      <w:t>TC</w:t>
    </w:r>
    <w:r>
      <w:rPr>
        <w:rStyle w:val="PageNumber"/>
        <w:lang w:val="en-US"/>
      </w:rPr>
      <w:t>/50/16</w:t>
    </w:r>
  </w:p>
  <w:p w:rsidR="00C06856" w:rsidRPr="009B1979" w:rsidRDefault="00C06856" w:rsidP="00EB048E">
    <w:pPr>
      <w:pStyle w:val="Header"/>
      <w:rPr>
        <w:lang w:val="es-ES_tradnl"/>
      </w:rPr>
    </w:pPr>
    <w:r w:rsidRPr="009B1979">
      <w:rPr>
        <w:lang w:val="es-ES_tradnl"/>
      </w:rPr>
      <w:t>página</w:t>
    </w:r>
    <w:r>
      <w:rPr>
        <w:lang w:val="es-ES_tradnl"/>
      </w:rPr>
      <w:t xml:space="preserve"> </w:t>
    </w:r>
    <w:r w:rsidRPr="009B1979">
      <w:rPr>
        <w:rStyle w:val="PageNumber"/>
        <w:lang w:val="es-ES_tradnl"/>
      </w:rPr>
      <w:fldChar w:fldCharType="begin"/>
    </w:r>
    <w:r w:rsidRPr="009B1979">
      <w:rPr>
        <w:rStyle w:val="PageNumber"/>
        <w:lang w:val="es-ES_tradnl"/>
      </w:rPr>
      <w:instrText xml:space="preserve"> PAGE </w:instrText>
    </w:r>
    <w:r w:rsidRPr="009B1979">
      <w:rPr>
        <w:rStyle w:val="PageNumber"/>
        <w:lang w:val="es-ES_tradnl"/>
      </w:rPr>
      <w:fldChar w:fldCharType="separate"/>
    </w:r>
    <w:r w:rsidR="003736DD">
      <w:rPr>
        <w:rStyle w:val="PageNumber"/>
        <w:noProof/>
        <w:lang w:val="es-ES_tradnl"/>
      </w:rPr>
      <w:t>3</w:t>
    </w:r>
    <w:r w:rsidRPr="009B1979">
      <w:rPr>
        <w:rStyle w:val="PageNumber"/>
        <w:lang w:val="es-ES_tradnl"/>
      </w:rPr>
      <w:fldChar w:fldCharType="end"/>
    </w:r>
  </w:p>
  <w:p w:rsidR="00C06856" w:rsidRPr="00C5280D" w:rsidRDefault="00C06856"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02"/>
  </w:docVars>
  <w:rsids>
    <w:rsidRoot w:val="002B5C33"/>
    <w:rsid w:val="00010CF3"/>
    <w:rsid w:val="00011E27"/>
    <w:rsid w:val="000148BC"/>
    <w:rsid w:val="00024AB8"/>
    <w:rsid w:val="00030854"/>
    <w:rsid w:val="00035D12"/>
    <w:rsid w:val="00036028"/>
    <w:rsid w:val="00044642"/>
    <w:rsid w:val="000446B9"/>
    <w:rsid w:val="00047E21"/>
    <w:rsid w:val="00050E16"/>
    <w:rsid w:val="00085505"/>
    <w:rsid w:val="000B2ED0"/>
    <w:rsid w:val="000C7021"/>
    <w:rsid w:val="000D6699"/>
    <w:rsid w:val="000D6BBC"/>
    <w:rsid w:val="000D7780"/>
    <w:rsid w:val="000E1552"/>
    <w:rsid w:val="000E1EAF"/>
    <w:rsid w:val="000F2F11"/>
    <w:rsid w:val="000F69F9"/>
    <w:rsid w:val="00105929"/>
    <w:rsid w:val="001131D5"/>
    <w:rsid w:val="00141C18"/>
    <w:rsid w:val="00141DB8"/>
    <w:rsid w:val="0017474A"/>
    <w:rsid w:val="001758C6"/>
    <w:rsid w:val="00182B99"/>
    <w:rsid w:val="00193A92"/>
    <w:rsid w:val="001B5CEE"/>
    <w:rsid w:val="0021332C"/>
    <w:rsid w:val="00213982"/>
    <w:rsid w:val="0024416D"/>
    <w:rsid w:val="002449E8"/>
    <w:rsid w:val="00265734"/>
    <w:rsid w:val="00271911"/>
    <w:rsid w:val="002800A0"/>
    <w:rsid w:val="002801B3"/>
    <w:rsid w:val="00281060"/>
    <w:rsid w:val="002849CF"/>
    <w:rsid w:val="002940E8"/>
    <w:rsid w:val="002A6E50"/>
    <w:rsid w:val="002B5C33"/>
    <w:rsid w:val="002C256A"/>
    <w:rsid w:val="002E3368"/>
    <w:rsid w:val="002F0825"/>
    <w:rsid w:val="00305A7F"/>
    <w:rsid w:val="003152FE"/>
    <w:rsid w:val="00327436"/>
    <w:rsid w:val="00330930"/>
    <w:rsid w:val="00344BD6"/>
    <w:rsid w:val="00347939"/>
    <w:rsid w:val="0035528D"/>
    <w:rsid w:val="00361821"/>
    <w:rsid w:val="0036710C"/>
    <w:rsid w:val="0037054E"/>
    <w:rsid w:val="003736DD"/>
    <w:rsid w:val="003B2298"/>
    <w:rsid w:val="003D227C"/>
    <w:rsid w:val="003D2B4D"/>
    <w:rsid w:val="003D5AEE"/>
    <w:rsid w:val="00444A88"/>
    <w:rsid w:val="00451B5C"/>
    <w:rsid w:val="00474DA4"/>
    <w:rsid w:val="00476B4D"/>
    <w:rsid w:val="004805FA"/>
    <w:rsid w:val="004D047D"/>
    <w:rsid w:val="004E0DDA"/>
    <w:rsid w:val="004F1C91"/>
    <w:rsid w:val="004F305A"/>
    <w:rsid w:val="00512164"/>
    <w:rsid w:val="00520297"/>
    <w:rsid w:val="00530DCF"/>
    <w:rsid w:val="005338F9"/>
    <w:rsid w:val="0054281C"/>
    <w:rsid w:val="0055268D"/>
    <w:rsid w:val="00576BE4"/>
    <w:rsid w:val="00576D33"/>
    <w:rsid w:val="0059553F"/>
    <w:rsid w:val="005A400A"/>
    <w:rsid w:val="005B7E1B"/>
    <w:rsid w:val="005C6034"/>
    <w:rsid w:val="00612379"/>
    <w:rsid w:val="0061555F"/>
    <w:rsid w:val="00622821"/>
    <w:rsid w:val="00641200"/>
    <w:rsid w:val="00654057"/>
    <w:rsid w:val="006655D3"/>
    <w:rsid w:val="00667404"/>
    <w:rsid w:val="00671CB8"/>
    <w:rsid w:val="00687EB4"/>
    <w:rsid w:val="00696BA3"/>
    <w:rsid w:val="006B17D2"/>
    <w:rsid w:val="006C224E"/>
    <w:rsid w:val="006D3366"/>
    <w:rsid w:val="006D780A"/>
    <w:rsid w:val="00732DEC"/>
    <w:rsid w:val="00735BD5"/>
    <w:rsid w:val="007556F6"/>
    <w:rsid w:val="00760EEF"/>
    <w:rsid w:val="00777EE5"/>
    <w:rsid w:val="00784836"/>
    <w:rsid w:val="0079023E"/>
    <w:rsid w:val="007A2854"/>
    <w:rsid w:val="007D0B9D"/>
    <w:rsid w:val="007D19B0"/>
    <w:rsid w:val="007E6585"/>
    <w:rsid w:val="007F3F7C"/>
    <w:rsid w:val="007F498F"/>
    <w:rsid w:val="0080679D"/>
    <w:rsid w:val="008108B0"/>
    <w:rsid w:val="00811B20"/>
    <w:rsid w:val="008152FA"/>
    <w:rsid w:val="0082296E"/>
    <w:rsid w:val="00824099"/>
    <w:rsid w:val="00825996"/>
    <w:rsid w:val="008367CD"/>
    <w:rsid w:val="00836A2B"/>
    <w:rsid w:val="00841902"/>
    <w:rsid w:val="00843665"/>
    <w:rsid w:val="0085184A"/>
    <w:rsid w:val="00867AC1"/>
    <w:rsid w:val="0087667E"/>
    <w:rsid w:val="00893205"/>
    <w:rsid w:val="008A743F"/>
    <w:rsid w:val="008C0970"/>
    <w:rsid w:val="008C2501"/>
    <w:rsid w:val="008D2CF7"/>
    <w:rsid w:val="008E7555"/>
    <w:rsid w:val="00900C26"/>
    <w:rsid w:val="0090197F"/>
    <w:rsid w:val="00906DDC"/>
    <w:rsid w:val="00934E09"/>
    <w:rsid w:val="00936253"/>
    <w:rsid w:val="00952DD4"/>
    <w:rsid w:val="00970FED"/>
    <w:rsid w:val="00992D82"/>
    <w:rsid w:val="00997029"/>
    <w:rsid w:val="009A0F71"/>
    <w:rsid w:val="009B1979"/>
    <w:rsid w:val="009D690D"/>
    <w:rsid w:val="009E65B6"/>
    <w:rsid w:val="009E6CB5"/>
    <w:rsid w:val="00A00A74"/>
    <w:rsid w:val="00A053B3"/>
    <w:rsid w:val="00A132F8"/>
    <w:rsid w:val="00A24C10"/>
    <w:rsid w:val="00A42AC3"/>
    <w:rsid w:val="00A430CF"/>
    <w:rsid w:val="00A54309"/>
    <w:rsid w:val="00A828C9"/>
    <w:rsid w:val="00A9583F"/>
    <w:rsid w:val="00A96B30"/>
    <w:rsid w:val="00AA576D"/>
    <w:rsid w:val="00AB2B93"/>
    <w:rsid w:val="00AB530F"/>
    <w:rsid w:val="00AB7E5B"/>
    <w:rsid w:val="00AE0EF1"/>
    <w:rsid w:val="00AE2937"/>
    <w:rsid w:val="00AF342C"/>
    <w:rsid w:val="00B07301"/>
    <w:rsid w:val="00B224DE"/>
    <w:rsid w:val="00B41A29"/>
    <w:rsid w:val="00B461C7"/>
    <w:rsid w:val="00B46575"/>
    <w:rsid w:val="00B84BBD"/>
    <w:rsid w:val="00BA43FB"/>
    <w:rsid w:val="00BB178E"/>
    <w:rsid w:val="00BC127D"/>
    <w:rsid w:val="00BC1FE6"/>
    <w:rsid w:val="00BE664A"/>
    <w:rsid w:val="00C061B6"/>
    <w:rsid w:val="00C06856"/>
    <w:rsid w:val="00C2446C"/>
    <w:rsid w:val="00C261AA"/>
    <w:rsid w:val="00C36AE5"/>
    <w:rsid w:val="00C41F17"/>
    <w:rsid w:val="00C5280D"/>
    <w:rsid w:val="00C5791C"/>
    <w:rsid w:val="00C651CE"/>
    <w:rsid w:val="00C66290"/>
    <w:rsid w:val="00C72B7A"/>
    <w:rsid w:val="00C973F2"/>
    <w:rsid w:val="00CA304C"/>
    <w:rsid w:val="00CA774A"/>
    <w:rsid w:val="00CC11B0"/>
    <w:rsid w:val="00CD4740"/>
    <w:rsid w:val="00CE3136"/>
    <w:rsid w:val="00CE3258"/>
    <w:rsid w:val="00CF7E36"/>
    <w:rsid w:val="00D14F90"/>
    <w:rsid w:val="00D34A85"/>
    <w:rsid w:val="00D3708D"/>
    <w:rsid w:val="00D40426"/>
    <w:rsid w:val="00D57C96"/>
    <w:rsid w:val="00D91203"/>
    <w:rsid w:val="00D95174"/>
    <w:rsid w:val="00DA6F36"/>
    <w:rsid w:val="00DB5165"/>
    <w:rsid w:val="00DB596E"/>
    <w:rsid w:val="00DB7773"/>
    <w:rsid w:val="00DC00EA"/>
    <w:rsid w:val="00DD4626"/>
    <w:rsid w:val="00DD5639"/>
    <w:rsid w:val="00E32F7E"/>
    <w:rsid w:val="00E72D49"/>
    <w:rsid w:val="00E7593C"/>
    <w:rsid w:val="00E7678A"/>
    <w:rsid w:val="00E935F1"/>
    <w:rsid w:val="00E94A81"/>
    <w:rsid w:val="00EA1C63"/>
    <w:rsid w:val="00EA1FFB"/>
    <w:rsid w:val="00EB048E"/>
    <w:rsid w:val="00ED4516"/>
    <w:rsid w:val="00EE34DF"/>
    <w:rsid w:val="00EF2F89"/>
    <w:rsid w:val="00EF6F6F"/>
    <w:rsid w:val="00F00C80"/>
    <w:rsid w:val="00F1237A"/>
    <w:rsid w:val="00F17534"/>
    <w:rsid w:val="00F2282B"/>
    <w:rsid w:val="00F22CBD"/>
    <w:rsid w:val="00F45372"/>
    <w:rsid w:val="00F560F7"/>
    <w:rsid w:val="00F6150C"/>
    <w:rsid w:val="00F6334D"/>
    <w:rsid w:val="00F767C1"/>
    <w:rsid w:val="00F912C0"/>
    <w:rsid w:val="00FA49AB"/>
    <w:rsid w:val="00FE39C7"/>
    <w:rsid w:val="00FF2AF5"/>
  </w:rsids>
  <m:mathPr>
    <m:mathFont m:val="Cambria Math"/>
    <m:brkBin m:val="before"/>
    <m:brkBinSub m:val="--"/>
    <m:smallFrac m:val="0"/>
    <m:dispDef/>
    <m:lMargin m:val="0"/>
    <m:rMargin m:val="0"/>
    <m:defJc m:val="centerGroup"/>
    <m:wrapIndent m:val="1440"/>
    <m:intLim m:val="subSup"/>
    <m:naryLim m:val="undOvr"/>
  </m:mathPr>
  <w:themeFontLang w:val="es-ES_tradn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0DDA"/>
    <w:rPr>
      <w:rFonts w:ascii="Arial" w:hAnsi="Arial" w:cs="Times New Roman"/>
      <w:caps/>
      <w:lang w:val="en-US" w:eastAsia="en-US" w:bidi="ar-SA"/>
    </w:rPr>
  </w:style>
  <w:style w:type="character" w:customStyle="1" w:styleId="Heading2Char">
    <w:name w:val="Heading 2 Char"/>
    <w:basedOn w:val="DefaultParagraphFont"/>
    <w:link w:val="Heading2"/>
    <w:uiPriority w:val="99"/>
    <w:semiHidden/>
    <w:locked/>
    <w:rsid w:val="00622821"/>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622821"/>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622821"/>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622821"/>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622821"/>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semiHidden/>
    <w:locked/>
    <w:rsid w:val="00622821"/>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622821"/>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622821"/>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622821"/>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622821"/>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622821"/>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622821"/>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sid w:val="00622821"/>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622821"/>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622821"/>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39"/>
    <w:rsid w:val="008367CD"/>
    <w:pPr>
      <w:tabs>
        <w:tab w:val="right" w:leader="dot" w:pos="9639"/>
      </w:tabs>
      <w:spacing w:line="360" w:lineRule="auto"/>
      <w:ind w:left="576"/>
      <w:contextualSpacing/>
      <w:jc w:val="left"/>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character" w:customStyle="1" w:styleId="st">
    <w:name w:val="st"/>
    <w:basedOn w:val="DefaultParagraphFont"/>
    <w:uiPriority w:val="99"/>
    <w:rsid w:val="007F3F7C"/>
    <w:rPr>
      <w:rFonts w:cs="Times New Roman"/>
    </w:rPr>
  </w:style>
  <w:style w:type="character" w:styleId="Emphasis">
    <w:name w:val="Emphasis"/>
    <w:basedOn w:val="DefaultParagraphFont"/>
    <w:uiPriority w:val="99"/>
    <w:qFormat/>
    <w:locked/>
    <w:rsid w:val="007F3F7C"/>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0DDA"/>
    <w:rPr>
      <w:rFonts w:ascii="Arial" w:hAnsi="Arial" w:cs="Times New Roman"/>
      <w:caps/>
      <w:lang w:val="en-US" w:eastAsia="en-US" w:bidi="ar-SA"/>
    </w:rPr>
  </w:style>
  <w:style w:type="character" w:customStyle="1" w:styleId="Heading2Char">
    <w:name w:val="Heading 2 Char"/>
    <w:basedOn w:val="DefaultParagraphFont"/>
    <w:link w:val="Heading2"/>
    <w:uiPriority w:val="99"/>
    <w:semiHidden/>
    <w:locked/>
    <w:rsid w:val="00622821"/>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622821"/>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622821"/>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622821"/>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622821"/>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semiHidden/>
    <w:locked/>
    <w:rsid w:val="00622821"/>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622821"/>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622821"/>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622821"/>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622821"/>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622821"/>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622821"/>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sid w:val="00622821"/>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622821"/>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622821"/>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39"/>
    <w:rsid w:val="008367CD"/>
    <w:pPr>
      <w:tabs>
        <w:tab w:val="right" w:leader="dot" w:pos="9639"/>
      </w:tabs>
      <w:spacing w:line="360" w:lineRule="auto"/>
      <w:ind w:left="576"/>
      <w:contextualSpacing/>
      <w:jc w:val="left"/>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character" w:customStyle="1" w:styleId="st">
    <w:name w:val="st"/>
    <w:basedOn w:val="DefaultParagraphFont"/>
    <w:uiPriority w:val="99"/>
    <w:rsid w:val="007F3F7C"/>
    <w:rPr>
      <w:rFonts w:cs="Times New Roman"/>
    </w:rPr>
  </w:style>
  <w:style w:type="character" w:styleId="Emphasis">
    <w:name w:val="Emphasis"/>
    <w:basedOn w:val="DefaultParagraphFont"/>
    <w:uiPriority w:val="99"/>
    <w:qFormat/>
    <w:locked/>
    <w:rsid w:val="007F3F7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7</cp:revision>
  <cp:lastPrinted>2014-02-10T10:25:00Z</cp:lastPrinted>
  <dcterms:created xsi:type="dcterms:W3CDTF">2014-02-05T08:23:00Z</dcterms:created>
  <dcterms:modified xsi:type="dcterms:W3CDTF">2014-02-14T13:34:00Z</dcterms:modified>
</cp:coreProperties>
</file>