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8547A" w:rsidRPr="006C0377" w:rsidTr="00B51CFE">
        <w:tc>
          <w:tcPr>
            <w:tcW w:w="4243" w:type="dxa"/>
          </w:tcPr>
          <w:p w:rsidR="0018547A" w:rsidRPr="00342717" w:rsidRDefault="0018547A" w:rsidP="00F45372">
            <w:pPr>
              <w:rPr>
                <w:dstrike/>
                <w:lang w:val="es-ES_tradnl"/>
              </w:rPr>
            </w:pPr>
            <w:bookmarkStart w:id="0" w:name="_GoBack"/>
            <w:bookmarkEnd w:id="0"/>
          </w:p>
        </w:tc>
        <w:tc>
          <w:tcPr>
            <w:tcW w:w="1646" w:type="dxa"/>
            <w:vAlign w:val="center"/>
          </w:tcPr>
          <w:p w:rsidR="0018547A" w:rsidRPr="00DA576C" w:rsidRDefault="004A1CDC" w:rsidP="00F45372">
            <w:pPr>
              <w:pStyle w:val="LogoUPOV"/>
              <w:rPr>
                <w:dstrike/>
                <w:lang w:val="es-ES_tradnl"/>
              </w:rPr>
            </w:pPr>
            <w:r w:rsidRPr="00DA576C">
              <w:rPr>
                <w:noProof/>
              </w:rPr>
              <w:drawing>
                <wp:inline distT="0" distB="0" distL="0" distR="0" wp14:anchorId="53C74819" wp14:editId="1F25D3F5">
                  <wp:extent cx="956945" cy="446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446405"/>
                          </a:xfrm>
                          <a:prstGeom prst="rect">
                            <a:avLst/>
                          </a:prstGeom>
                          <a:noFill/>
                          <a:ln>
                            <a:noFill/>
                          </a:ln>
                        </pic:spPr>
                      </pic:pic>
                    </a:graphicData>
                  </a:graphic>
                </wp:inline>
              </w:drawing>
            </w:r>
          </w:p>
        </w:tc>
        <w:tc>
          <w:tcPr>
            <w:tcW w:w="4242" w:type="dxa"/>
            <w:vAlign w:val="center"/>
          </w:tcPr>
          <w:p w:rsidR="0018547A" w:rsidRPr="00DA576C" w:rsidRDefault="0018547A" w:rsidP="00F45372">
            <w:pPr>
              <w:pStyle w:val="Lettrine"/>
              <w:rPr>
                <w:lang w:val="es-ES_tradnl"/>
              </w:rPr>
            </w:pPr>
            <w:r w:rsidRPr="00DA576C">
              <w:rPr>
                <w:lang w:val="es-ES_tradnl"/>
              </w:rPr>
              <w:t>S</w:t>
            </w:r>
          </w:p>
          <w:p w:rsidR="0018547A" w:rsidRPr="00DA576C" w:rsidRDefault="0018547A" w:rsidP="00F45372">
            <w:pPr>
              <w:pStyle w:val="Docoriginal"/>
              <w:rPr>
                <w:lang w:val="es-ES_tradnl"/>
              </w:rPr>
            </w:pPr>
            <w:r w:rsidRPr="00DA576C">
              <w:rPr>
                <w:lang w:val="es-ES_tradnl"/>
              </w:rPr>
              <w:t>TC/50/</w:t>
            </w:r>
            <w:bookmarkStart w:id="1" w:name="Code"/>
            <w:bookmarkEnd w:id="1"/>
            <w:r w:rsidRPr="00DA576C">
              <w:rPr>
                <w:lang w:val="es-ES_tradnl"/>
              </w:rPr>
              <w:t>15</w:t>
            </w:r>
          </w:p>
          <w:p w:rsidR="0018547A" w:rsidRPr="00DA576C" w:rsidRDefault="0018547A" w:rsidP="00F45372">
            <w:pPr>
              <w:pStyle w:val="Docoriginal"/>
              <w:rPr>
                <w:b w:val="0"/>
                <w:spacing w:val="0"/>
                <w:lang w:val="es-ES_tradnl"/>
              </w:rPr>
            </w:pPr>
            <w:r w:rsidRPr="00DA576C">
              <w:rPr>
                <w:rStyle w:val="StyleDoclangBold"/>
                <w:b/>
                <w:bCs/>
                <w:spacing w:val="0"/>
                <w:lang w:val="es-ES_tradnl"/>
              </w:rPr>
              <w:t>ORIGINAL:</w:t>
            </w:r>
            <w:r w:rsidRPr="00DA576C">
              <w:rPr>
                <w:rStyle w:val="StyleDocoriginalNotBold1"/>
                <w:spacing w:val="0"/>
                <w:lang w:val="es-ES_tradnl"/>
              </w:rPr>
              <w:t xml:space="preserve">  </w:t>
            </w:r>
            <w:bookmarkStart w:id="2" w:name="Original"/>
            <w:bookmarkEnd w:id="2"/>
            <w:r w:rsidRPr="00DA576C">
              <w:rPr>
                <w:b w:val="0"/>
                <w:spacing w:val="0"/>
                <w:lang w:val="es-ES_tradnl"/>
              </w:rPr>
              <w:t>Inglés</w:t>
            </w:r>
          </w:p>
          <w:p w:rsidR="0018547A" w:rsidRPr="00342717" w:rsidRDefault="0018547A" w:rsidP="00DA576C">
            <w:pPr>
              <w:pStyle w:val="Docoriginal"/>
              <w:rPr>
                <w:lang w:val="es-ES_tradnl"/>
              </w:rPr>
            </w:pPr>
            <w:r w:rsidRPr="00DA576C">
              <w:rPr>
                <w:spacing w:val="0"/>
                <w:lang w:val="es-ES_tradnl"/>
              </w:rPr>
              <w:t>FECHA:</w:t>
            </w:r>
            <w:r w:rsidRPr="00DA576C">
              <w:rPr>
                <w:b w:val="0"/>
                <w:spacing w:val="0"/>
                <w:lang w:val="es-ES_tradnl"/>
              </w:rPr>
              <w:t xml:space="preserve"> </w:t>
            </w:r>
            <w:r w:rsidRPr="00DA576C">
              <w:rPr>
                <w:rStyle w:val="StyleDocoriginalNotBold1"/>
                <w:spacing w:val="0"/>
                <w:lang w:val="es-ES_tradnl"/>
              </w:rPr>
              <w:t xml:space="preserve"> </w:t>
            </w:r>
            <w:bookmarkStart w:id="3" w:name="Date"/>
            <w:bookmarkEnd w:id="3"/>
            <w:r w:rsidRPr="00DA576C">
              <w:rPr>
                <w:rStyle w:val="StyleDocoriginalNotBold1"/>
                <w:spacing w:val="0"/>
                <w:lang w:val="es-ES_tradnl"/>
              </w:rPr>
              <w:t>1</w:t>
            </w:r>
            <w:r w:rsidR="00DA576C" w:rsidRPr="00DA576C">
              <w:rPr>
                <w:rStyle w:val="StyleDocoriginalNotBold1"/>
                <w:spacing w:val="0"/>
                <w:lang w:val="es-ES_tradnl"/>
              </w:rPr>
              <w:t>9</w:t>
            </w:r>
            <w:r w:rsidRPr="00DA576C">
              <w:rPr>
                <w:b w:val="0"/>
                <w:spacing w:val="0"/>
                <w:lang w:val="es-ES_tradnl"/>
              </w:rPr>
              <w:t xml:space="preserve"> de enero de 2014</w:t>
            </w:r>
          </w:p>
        </w:tc>
      </w:tr>
      <w:tr w:rsidR="0018547A" w:rsidRPr="006C0377" w:rsidTr="00B51CFE">
        <w:tc>
          <w:tcPr>
            <w:tcW w:w="10131" w:type="dxa"/>
            <w:gridSpan w:val="3"/>
          </w:tcPr>
          <w:p w:rsidR="0018547A" w:rsidRPr="00342717" w:rsidRDefault="0018547A" w:rsidP="00F45372">
            <w:pPr>
              <w:pStyle w:val="upove"/>
              <w:rPr>
                <w:sz w:val="28"/>
                <w:lang w:val="es-ES_tradnl"/>
              </w:rPr>
            </w:pPr>
            <w:r w:rsidRPr="00342717">
              <w:rPr>
                <w:spacing w:val="2"/>
                <w:lang w:val="es-ES_tradnl"/>
              </w:rPr>
              <w:t>UNIÓN INTERNACIONAL PARA LA PROTECCIÓN DE LAS OBTENCIONES VEGETALES</w:t>
            </w:r>
          </w:p>
        </w:tc>
      </w:tr>
      <w:tr w:rsidR="0018547A" w:rsidRPr="00342717" w:rsidTr="00B51CFE">
        <w:tc>
          <w:tcPr>
            <w:tcW w:w="10131" w:type="dxa"/>
            <w:gridSpan w:val="3"/>
          </w:tcPr>
          <w:p w:rsidR="0018547A" w:rsidRPr="00342717" w:rsidRDefault="0018547A" w:rsidP="00B51CFE">
            <w:pPr>
              <w:pStyle w:val="Country"/>
              <w:rPr>
                <w:lang w:val="es-ES_tradnl"/>
              </w:rPr>
            </w:pPr>
            <w:r w:rsidRPr="00342717">
              <w:rPr>
                <w:lang w:val="es-ES_tradnl"/>
              </w:rPr>
              <w:t>Ginebra</w:t>
            </w:r>
          </w:p>
        </w:tc>
      </w:tr>
    </w:tbl>
    <w:p w:rsidR="0018547A" w:rsidRPr="00342717" w:rsidRDefault="0018547A" w:rsidP="00F45372">
      <w:pPr>
        <w:pStyle w:val="Sessiontc"/>
        <w:rPr>
          <w:lang w:val="es-ES_tradnl"/>
        </w:rPr>
      </w:pPr>
      <w:r w:rsidRPr="00342717">
        <w:rPr>
          <w:lang w:val="es-ES_tradnl"/>
        </w:rPr>
        <w:t>Comité TÉCNICO</w:t>
      </w:r>
    </w:p>
    <w:p w:rsidR="0018547A" w:rsidRPr="00342717" w:rsidRDefault="0018547A" w:rsidP="00F45372">
      <w:pPr>
        <w:pStyle w:val="Sessiontcplacedate"/>
        <w:rPr>
          <w:lang w:val="es-ES_tradnl"/>
        </w:rPr>
      </w:pPr>
      <w:r w:rsidRPr="00342717">
        <w:rPr>
          <w:lang w:val="es-ES_tradnl"/>
        </w:rPr>
        <w:t>Quincuagésima sesión</w:t>
      </w:r>
      <w:r w:rsidRPr="00342717">
        <w:rPr>
          <w:lang w:val="es-ES_tradnl"/>
        </w:rPr>
        <w:br/>
        <w:t>Ginebra, 7 a 9 de abril de 2014</w:t>
      </w:r>
    </w:p>
    <w:p w:rsidR="0018547A" w:rsidRPr="00342717" w:rsidRDefault="0018547A" w:rsidP="00B51CFE">
      <w:pPr>
        <w:pStyle w:val="Titleofdoc0"/>
        <w:rPr>
          <w:lang w:val="es-ES_tradnl"/>
        </w:rPr>
      </w:pPr>
      <w:bookmarkStart w:id="4" w:name="TitleOfDoc"/>
      <w:bookmarkEnd w:id="4"/>
      <w:r w:rsidRPr="00342717">
        <w:rPr>
          <w:rFonts w:cs="Arial"/>
          <w:snapToGrid w:val="0"/>
          <w:lang w:val="es-ES_tradnl"/>
        </w:rPr>
        <w:t>REVISIÓN DEL DOCUMENTO TGP/5, Sección 10</w:t>
      </w:r>
      <w:proofErr w:type="gramStart"/>
      <w:r w:rsidRPr="00342717">
        <w:rPr>
          <w:rFonts w:cs="Arial"/>
          <w:snapToGrid w:val="0"/>
          <w:lang w:val="es-ES_tradnl"/>
        </w:rPr>
        <w:t>:  Notificación</w:t>
      </w:r>
      <w:proofErr w:type="gramEnd"/>
      <w:r w:rsidRPr="00342717">
        <w:rPr>
          <w:rFonts w:cs="Arial"/>
          <w:snapToGrid w:val="0"/>
          <w:lang w:val="es-ES_tradnl"/>
        </w:rPr>
        <w:t xml:space="preserve"> de caracteres adicionales</w:t>
      </w:r>
    </w:p>
    <w:p w:rsidR="0018547A" w:rsidRPr="00342717" w:rsidRDefault="0018547A" w:rsidP="00184D5D">
      <w:pPr>
        <w:pStyle w:val="preparedby1"/>
        <w:rPr>
          <w:lang w:val="es-ES_tradnl"/>
        </w:rPr>
      </w:pPr>
      <w:bookmarkStart w:id="5" w:name="Prepared"/>
      <w:bookmarkEnd w:id="5"/>
      <w:r w:rsidRPr="00342717">
        <w:rPr>
          <w:lang w:val="es-ES_tradnl"/>
        </w:rPr>
        <w:t>Documento preparado por la Oficina de la Unión</w:t>
      </w:r>
      <w:r w:rsidRPr="00342717">
        <w:rPr>
          <w:lang w:val="es-ES_tradnl"/>
        </w:rPr>
        <w:br/>
      </w:r>
      <w:r w:rsidRPr="00342717">
        <w:rPr>
          <w:lang w:val="es-ES_tradnl"/>
        </w:rPr>
        <w:br/>
      </w:r>
      <w:r w:rsidRPr="00342717">
        <w:rPr>
          <w:color w:val="A6A6A6"/>
          <w:lang w:val="es-ES_tradnl"/>
        </w:rPr>
        <w:t>Descargo de responsabilidad</w:t>
      </w:r>
      <w:proofErr w:type="gramStart"/>
      <w:r w:rsidRPr="00342717">
        <w:rPr>
          <w:color w:val="A6A6A6"/>
          <w:lang w:val="es-ES_tradnl"/>
        </w:rPr>
        <w:t>:  el</w:t>
      </w:r>
      <w:proofErr w:type="gramEnd"/>
      <w:r w:rsidRPr="00342717">
        <w:rPr>
          <w:color w:val="A6A6A6"/>
          <w:lang w:val="es-ES_tradnl"/>
        </w:rPr>
        <w:t xml:space="preserve"> presente documento no constituye</w:t>
      </w:r>
      <w:r w:rsidRPr="00342717">
        <w:rPr>
          <w:color w:val="A6A6A6"/>
          <w:lang w:val="es-ES_tradnl"/>
        </w:rPr>
        <w:br/>
        <w:t>un documento de política u orientación de la UPOV</w:t>
      </w:r>
    </w:p>
    <w:p w:rsidR="0018547A" w:rsidRPr="00342717" w:rsidRDefault="0018547A" w:rsidP="00FA72E5">
      <w:pPr>
        <w:rPr>
          <w:rFonts w:cs="Arial"/>
          <w:lang w:val="es-ES_tradnl" w:eastAsia="ja-JP"/>
        </w:rPr>
      </w:pPr>
      <w:r w:rsidRPr="00342717">
        <w:rPr>
          <w:lang w:val="es-ES_tradnl"/>
        </w:rPr>
        <w:fldChar w:fldCharType="begin"/>
      </w:r>
      <w:r w:rsidRPr="00342717">
        <w:rPr>
          <w:lang w:val="es-ES_tradnl"/>
        </w:rPr>
        <w:instrText xml:space="preserve"> AUTONUM  </w:instrText>
      </w:r>
      <w:r w:rsidRPr="00342717">
        <w:rPr>
          <w:lang w:val="es-ES_tradnl"/>
        </w:rPr>
        <w:fldChar w:fldCharType="end"/>
      </w:r>
      <w:r w:rsidRPr="00342717">
        <w:rPr>
          <w:lang w:val="es-ES_tradnl"/>
        </w:rPr>
        <w:tab/>
      </w:r>
      <w:r w:rsidRPr="00342717">
        <w:rPr>
          <w:lang w:val="es-ES_tradnl" w:eastAsia="ja-JP"/>
        </w:rPr>
        <w:t>En el presente documento se expone una propuesta de revisión de la Sección 10 “Notificación de caracteres y niveles de expresión adicionales” del documento TGP/5 “Experiencia y cooperación en el examen DHE”.</w:t>
      </w:r>
      <w:r w:rsidRPr="00342717">
        <w:rPr>
          <w:lang w:val="es-ES_tradnl"/>
        </w:rPr>
        <w:t xml:space="preserve"> </w:t>
      </w:r>
    </w:p>
    <w:p w:rsidR="0018547A" w:rsidRPr="00342717" w:rsidRDefault="0018547A" w:rsidP="00342717">
      <w:pPr>
        <w:rPr>
          <w:lang w:val="es-ES_tradnl"/>
        </w:rPr>
      </w:pPr>
    </w:p>
    <w:p w:rsidR="0018547A" w:rsidRPr="00342717" w:rsidRDefault="0018547A" w:rsidP="00FA72E5">
      <w:pPr>
        <w:rPr>
          <w:rFonts w:cs="Arial"/>
          <w:color w:val="000000"/>
          <w:lang w:val="es-ES_tradnl"/>
        </w:rPr>
      </w:pPr>
      <w:r w:rsidRPr="00342717">
        <w:rPr>
          <w:lang w:val="es-ES_tradnl"/>
        </w:rPr>
        <w:fldChar w:fldCharType="begin"/>
      </w:r>
      <w:r w:rsidRPr="00342717">
        <w:rPr>
          <w:lang w:val="es-ES_tradnl"/>
        </w:rPr>
        <w:instrText xml:space="preserve"> AUTONUM  </w:instrText>
      </w:r>
      <w:r w:rsidRPr="00342717">
        <w:rPr>
          <w:lang w:val="es-ES_tradnl"/>
        </w:rPr>
        <w:fldChar w:fldCharType="end"/>
      </w:r>
      <w:r w:rsidRPr="00342717">
        <w:rPr>
          <w:lang w:val="es-ES_tradnl"/>
        </w:rPr>
        <w:tab/>
      </w:r>
      <w:r w:rsidRPr="00342717">
        <w:rPr>
          <w:rFonts w:cs="Arial"/>
          <w:lang w:val="es-ES_tradnl"/>
        </w:rPr>
        <w:t>En el presente documento se utilizan las abreviaturas siguientes:</w:t>
      </w:r>
    </w:p>
    <w:p w:rsidR="0018547A" w:rsidRPr="00342717" w:rsidRDefault="0018547A" w:rsidP="00FA72E5">
      <w:pPr>
        <w:rPr>
          <w:rFonts w:cs="Arial"/>
          <w:color w:val="000000"/>
          <w:lang w:val="es-ES_tradnl"/>
        </w:rPr>
      </w:pPr>
    </w:p>
    <w:p w:rsidR="0018547A" w:rsidRPr="00342717" w:rsidRDefault="0018547A" w:rsidP="00FA72E5">
      <w:pPr>
        <w:rPr>
          <w:rFonts w:cs="Arial"/>
          <w:lang w:val="es-ES_tradnl"/>
        </w:rPr>
      </w:pPr>
      <w:r w:rsidRPr="00342717">
        <w:rPr>
          <w:rFonts w:cs="Arial"/>
          <w:lang w:val="es-ES_tradnl"/>
        </w:rPr>
        <w:tab/>
        <w:t>TC:</w:t>
      </w:r>
      <w:r w:rsidRPr="00342717">
        <w:rPr>
          <w:rFonts w:cs="Arial"/>
          <w:lang w:val="es-ES_tradnl"/>
        </w:rPr>
        <w:tab/>
      </w:r>
      <w:r w:rsidRPr="00342717">
        <w:rPr>
          <w:rFonts w:cs="Arial"/>
          <w:lang w:val="es-ES_tradnl"/>
        </w:rPr>
        <w:tab/>
        <w:t>Comité Técnico</w:t>
      </w:r>
    </w:p>
    <w:p w:rsidR="0018547A" w:rsidRPr="00342717" w:rsidRDefault="0018547A" w:rsidP="00FA72E5">
      <w:pPr>
        <w:rPr>
          <w:rFonts w:eastAsia="PMingLiU" w:cs="Arial"/>
          <w:szCs w:val="24"/>
          <w:lang w:val="es-ES_tradnl"/>
        </w:rPr>
      </w:pPr>
      <w:r w:rsidRPr="00342717">
        <w:rPr>
          <w:rFonts w:eastAsia="PMingLiU" w:cs="Arial"/>
          <w:szCs w:val="24"/>
          <w:lang w:val="es-ES_tradnl"/>
        </w:rPr>
        <w:tab/>
        <w:t>TC-EDC:</w:t>
      </w:r>
      <w:r w:rsidRPr="00342717">
        <w:rPr>
          <w:rFonts w:eastAsia="PMingLiU" w:cs="Arial"/>
          <w:szCs w:val="24"/>
          <w:lang w:val="es-ES_tradnl"/>
        </w:rPr>
        <w:tab/>
        <w:t>Comité de Redacción Ampliado</w:t>
      </w:r>
    </w:p>
    <w:p w:rsidR="0018547A" w:rsidRPr="00342717" w:rsidRDefault="0018547A" w:rsidP="00FA72E5">
      <w:pPr>
        <w:rPr>
          <w:rFonts w:eastAsia="PMingLiU" w:cs="Arial"/>
          <w:szCs w:val="24"/>
          <w:lang w:val="es-ES_tradnl"/>
        </w:rPr>
      </w:pPr>
      <w:r w:rsidRPr="00342717">
        <w:rPr>
          <w:rFonts w:eastAsia="PMingLiU" w:cs="Arial"/>
          <w:szCs w:val="24"/>
          <w:lang w:val="es-ES_tradnl"/>
        </w:rPr>
        <w:tab/>
        <w:t>TWA:</w:t>
      </w:r>
      <w:r w:rsidRPr="00342717">
        <w:rPr>
          <w:rFonts w:eastAsia="PMingLiU" w:cs="Arial"/>
          <w:szCs w:val="24"/>
          <w:lang w:val="es-ES_tradnl"/>
        </w:rPr>
        <w:tab/>
      </w:r>
      <w:r w:rsidRPr="00342717">
        <w:rPr>
          <w:rFonts w:eastAsia="PMingLiU" w:cs="Arial"/>
          <w:szCs w:val="24"/>
          <w:lang w:val="es-ES_tradnl"/>
        </w:rPr>
        <w:tab/>
        <w:t>Grupo de Trabajo Técnico sobre Plantas Agrícolas</w:t>
      </w:r>
    </w:p>
    <w:p w:rsidR="0018547A" w:rsidRPr="00342717" w:rsidRDefault="0018547A" w:rsidP="00FA72E5">
      <w:pPr>
        <w:rPr>
          <w:rFonts w:eastAsia="PMingLiU" w:cs="Arial"/>
          <w:szCs w:val="24"/>
          <w:lang w:val="es-ES_tradnl"/>
        </w:rPr>
      </w:pPr>
      <w:r w:rsidRPr="00342717">
        <w:rPr>
          <w:rFonts w:eastAsia="PMingLiU" w:cs="Arial"/>
          <w:szCs w:val="24"/>
          <w:lang w:val="es-ES_tradnl"/>
        </w:rPr>
        <w:tab/>
        <w:t>TWC:</w:t>
      </w:r>
      <w:r w:rsidRPr="00342717">
        <w:rPr>
          <w:rFonts w:eastAsia="PMingLiU" w:cs="Arial"/>
          <w:szCs w:val="24"/>
          <w:lang w:val="es-ES_tradnl"/>
        </w:rPr>
        <w:tab/>
      </w:r>
      <w:r w:rsidRPr="00342717">
        <w:rPr>
          <w:rFonts w:eastAsia="PMingLiU" w:cs="Arial"/>
          <w:szCs w:val="24"/>
          <w:lang w:val="es-ES_tradnl"/>
        </w:rPr>
        <w:tab/>
        <w:t>Grupo de Trabajo Técnico sobre Automatización y Programas Informáticos</w:t>
      </w:r>
    </w:p>
    <w:p w:rsidR="0018547A" w:rsidRPr="00342717" w:rsidRDefault="0018547A" w:rsidP="00FA72E5">
      <w:pPr>
        <w:rPr>
          <w:rFonts w:eastAsia="PMingLiU" w:cs="Arial"/>
          <w:szCs w:val="24"/>
          <w:lang w:val="es-ES_tradnl"/>
        </w:rPr>
      </w:pPr>
      <w:r w:rsidRPr="00342717">
        <w:rPr>
          <w:rFonts w:eastAsia="PMingLiU" w:cs="Arial"/>
          <w:szCs w:val="24"/>
          <w:lang w:val="es-ES_tradnl"/>
        </w:rPr>
        <w:tab/>
        <w:t xml:space="preserve">TWF: </w:t>
      </w:r>
      <w:r w:rsidRPr="00342717">
        <w:rPr>
          <w:rFonts w:eastAsia="PMingLiU" w:cs="Arial"/>
          <w:szCs w:val="24"/>
          <w:lang w:val="es-ES_tradnl"/>
        </w:rPr>
        <w:tab/>
      </w:r>
      <w:r w:rsidRPr="00342717">
        <w:rPr>
          <w:rFonts w:eastAsia="PMingLiU" w:cs="Arial"/>
          <w:szCs w:val="24"/>
          <w:lang w:val="es-ES_tradnl"/>
        </w:rPr>
        <w:tab/>
        <w:t>Grupo de Trabajo Técnico sobre Plantas Frutales</w:t>
      </w:r>
    </w:p>
    <w:p w:rsidR="0018547A" w:rsidRPr="00342717" w:rsidRDefault="0018547A" w:rsidP="00FA72E5">
      <w:pPr>
        <w:rPr>
          <w:rFonts w:eastAsia="PMingLiU" w:cs="Arial"/>
          <w:szCs w:val="24"/>
          <w:lang w:val="es-ES_tradnl"/>
        </w:rPr>
      </w:pPr>
      <w:r w:rsidRPr="00342717">
        <w:rPr>
          <w:rFonts w:eastAsia="PMingLiU" w:cs="Arial"/>
          <w:szCs w:val="24"/>
          <w:lang w:val="es-ES_tradnl"/>
        </w:rPr>
        <w:tab/>
        <w:t>TWO:</w:t>
      </w:r>
      <w:r w:rsidRPr="00342717">
        <w:rPr>
          <w:rFonts w:eastAsia="PMingLiU" w:cs="Arial"/>
          <w:szCs w:val="24"/>
          <w:lang w:val="es-ES_tradnl"/>
        </w:rPr>
        <w:tab/>
      </w:r>
      <w:r w:rsidRPr="00342717">
        <w:rPr>
          <w:rFonts w:eastAsia="PMingLiU" w:cs="Arial"/>
          <w:szCs w:val="24"/>
          <w:lang w:val="es-ES_tradnl"/>
        </w:rPr>
        <w:tab/>
        <w:t>Grupo de Trabajo Técnico sobre Plantas Ornamentales y Árboles Forestales</w:t>
      </w:r>
    </w:p>
    <w:p w:rsidR="0018547A" w:rsidRPr="00342717" w:rsidRDefault="0018547A" w:rsidP="00FA72E5">
      <w:pPr>
        <w:rPr>
          <w:rFonts w:eastAsia="PMingLiU" w:cs="Arial"/>
          <w:szCs w:val="24"/>
          <w:lang w:val="es-ES_tradnl"/>
        </w:rPr>
      </w:pPr>
      <w:r w:rsidRPr="00342717">
        <w:rPr>
          <w:rFonts w:eastAsia="PMingLiU" w:cs="Arial"/>
          <w:szCs w:val="24"/>
          <w:lang w:val="es-ES_tradnl"/>
        </w:rPr>
        <w:tab/>
        <w:t>TWP:</w:t>
      </w:r>
      <w:r w:rsidRPr="00342717">
        <w:rPr>
          <w:rFonts w:eastAsia="PMingLiU" w:cs="Arial"/>
          <w:szCs w:val="24"/>
          <w:lang w:val="es-ES_tradnl"/>
        </w:rPr>
        <w:tab/>
      </w:r>
      <w:r w:rsidRPr="00342717">
        <w:rPr>
          <w:rFonts w:eastAsia="PMingLiU" w:cs="Arial"/>
          <w:szCs w:val="24"/>
          <w:lang w:val="es-ES_tradnl"/>
        </w:rPr>
        <w:tab/>
        <w:t>Grupos de Trabajo Técnico</w:t>
      </w:r>
    </w:p>
    <w:p w:rsidR="0018547A" w:rsidRPr="00342717" w:rsidRDefault="0018547A" w:rsidP="00FA72E5">
      <w:pPr>
        <w:rPr>
          <w:rFonts w:eastAsia="PMingLiU" w:cs="Arial"/>
          <w:szCs w:val="24"/>
          <w:lang w:val="es-ES_tradnl"/>
        </w:rPr>
      </w:pPr>
      <w:r w:rsidRPr="00342717">
        <w:rPr>
          <w:rFonts w:eastAsia="PMingLiU" w:cs="Arial"/>
          <w:szCs w:val="24"/>
          <w:lang w:val="es-ES_tradnl"/>
        </w:rPr>
        <w:tab/>
        <w:t>TWV:</w:t>
      </w:r>
      <w:r w:rsidRPr="00342717">
        <w:rPr>
          <w:rFonts w:eastAsia="PMingLiU" w:cs="Arial"/>
          <w:szCs w:val="24"/>
          <w:lang w:val="es-ES_tradnl"/>
        </w:rPr>
        <w:tab/>
      </w:r>
      <w:r w:rsidRPr="00342717">
        <w:rPr>
          <w:rFonts w:eastAsia="PMingLiU" w:cs="Arial"/>
          <w:szCs w:val="24"/>
          <w:lang w:val="es-ES_tradnl"/>
        </w:rPr>
        <w:tab/>
        <w:t>Grupo de Trabajo Técnico sobre Hortalizas</w:t>
      </w:r>
    </w:p>
    <w:p w:rsidR="0018547A" w:rsidRPr="00342717" w:rsidRDefault="0018547A" w:rsidP="00342717">
      <w:pPr>
        <w:outlineLvl w:val="0"/>
        <w:rPr>
          <w:bCs/>
          <w:caps/>
          <w:lang w:val="es-ES_tradnl"/>
        </w:rPr>
      </w:pPr>
    </w:p>
    <w:p w:rsidR="0018547A" w:rsidRPr="00342717" w:rsidRDefault="0018547A" w:rsidP="00FA72E5">
      <w:pPr>
        <w:jc w:val="left"/>
        <w:rPr>
          <w:rFonts w:cs="Arial"/>
          <w:lang w:val="es-ES_tradnl" w:eastAsia="ja-JP"/>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rFonts w:cs="Arial"/>
          <w:lang w:val="es-ES_tradnl"/>
        </w:rPr>
        <w:tab/>
      </w:r>
      <w:r w:rsidRPr="00342717">
        <w:rPr>
          <w:rFonts w:cs="Arial"/>
          <w:lang w:val="es-ES_tradnl" w:eastAsia="ja-JP"/>
        </w:rPr>
        <w:t>La estructura del presente documento es la siguiente:</w:t>
      </w:r>
    </w:p>
    <w:p w:rsidR="0018547A" w:rsidRPr="00342717" w:rsidRDefault="0018547A" w:rsidP="00FA72E5">
      <w:pPr>
        <w:jc w:val="left"/>
        <w:rPr>
          <w:rFonts w:cs="Arial"/>
          <w:color w:val="000000"/>
          <w:lang w:val="es-ES_tradnl"/>
        </w:rPr>
      </w:pPr>
    </w:p>
    <w:p w:rsidR="0018547A" w:rsidRPr="00342717" w:rsidRDefault="0018547A" w:rsidP="003203F0">
      <w:pPr>
        <w:pStyle w:val="TOC1"/>
        <w:rPr>
          <w:rFonts w:ascii="Times New Roman" w:hAnsi="Times New Roman"/>
          <w:noProof/>
          <w:sz w:val="24"/>
          <w:szCs w:val="24"/>
          <w:lang w:val="es-ES_tradnl" w:eastAsia="es-ES_tradnl"/>
        </w:rPr>
      </w:pPr>
      <w:r w:rsidRPr="00342717">
        <w:rPr>
          <w:rFonts w:cs="Arial"/>
          <w:lang w:val="es-ES_tradnl"/>
        </w:rPr>
        <w:fldChar w:fldCharType="begin"/>
      </w:r>
      <w:r w:rsidRPr="00342717">
        <w:rPr>
          <w:rFonts w:cs="Arial"/>
          <w:lang w:val="es-ES_tradnl"/>
        </w:rPr>
        <w:instrText xml:space="preserve"> TOC \o "1-1" \p " " \h \z \u </w:instrText>
      </w:r>
      <w:r w:rsidRPr="00342717">
        <w:rPr>
          <w:rFonts w:cs="Arial"/>
          <w:lang w:val="es-ES_tradnl"/>
        </w:rPr>
        <w:fldChar w:fldCharType="separate"/>
      </w:r>
      <w:hyperlink w:anchor="_Toc378064851" w:history="1">
        <w:r w:rsidRPr="00342717">
          <w:rPr>
            <w:rStyle w:val="Hyperlink"/>
            <w:noProof/>
            <w:lang w:val="es-ES_tradnl"/>
          </w:rPr>
          <w:t>ANTECEDENTES</w:t>
        </w:r>
        <w:r w:rsidRPr="00342717">
          <w:rPr>
            <w:noProof/>
            <w:webHidden/>
            <w:lang w:val="es-ES_tradnl"/>
          </w:rPr>
          <w:tab/>
        </w:r>
        <w:r w:rsidRPr="00342717">
          <w:rPr>
            <w:noProof/>
            <w:webHidden/>
            <w:lang w:val="es-ES_tradnl"/>
          </w:rPr>
          <w:fldChar w:fldCharType="begin"/>
        </w:r>
        <w:r w:rsidRPr="00342717">
          <w:rPr>
            <w:noProof/>
            <w:webHidden/>
            <w:lang w:val="es-ES_tradnl"/>
          </w:rPr>
          <w:instrText xml:space="preserve"> PAGEREF _Toc378064851 \h </w:instrText>
        </w:r>
        <w:r w:rsidRPr="00342717">
          <w:rPr>
            <w:noProof/>
            <w:webHidden/>
            <w:lang w:val="es-ES_tradnl"/>
          </w:rPr>
        </w:r>
        <w:r w:rsidRPr="00342717">
          <w:rPr>
            <w:noProof/>
            <w:webHidden/>
            <w:lang w:val="es-ES_tradnl"/>
          </w:rPr>
          <w:fldChar w:fldCharType="separate"/>
        </w:r>
        <w:r w:rsidR="00881273">
          <w:rPr>
            <w:noProof/>
            <w:webHidden/>
            <w:lang w:val="es-ES_tradnl"/>
          </w:rPr>
          <w:t>1</w:t>
        </w:r>
        <w:r w:rsidRPr="00342717">
          <w:rPr>
            <w:noProof/>
            <w:webHidden/>
            <w:lang w:val="es-ES_tradnl"/>
          </w:rPr>
          <w:fldChar w:fldCharType="end"/>
        </w:r>
      </w:hyperlink>
    </w:p>
    <w:p w:rsidR="0018547A" w:rsidRPr="00342717" w:rsidRDefault="00881273" w:rsidP="003203F0">
      <w:pPr>
        <w:pStyle w:val="TOC1"/>
        <w:rPr>
          <w:rFonts w:ascii="Times New Roman" w:hAnsi="Times New Roman"/>
          <w:noProof/>
          <w:sz w:val="24"/>
          <w:szCs w:val="24"/>
          <w:lang w:val="es-ES_tradnl" w:eastAsia="es-ES_tradnl"/>
        </w:rPr>
      </w:pPr>
      <w:hyperlink w:anchor="_Toc378064852" w:history="1">
        <w:r w:rsidR="0018547A" w:rsidRPr="00342717">
          <w:rPr>
            <w:rStyle w:val="Hyperlink"/>
            <w:noProof/>
            <w:lang w:val="es-ES_tradnl"/>
          </w:rPr>
          <w:t>propuesta de revisión del documento TGP/5, SECCIÓN 10:  “Notificación de caracteres y niveles de expresión adicionales”</w:t>
        </w:r>
        <w:r w:rsidR="0018547A" w:rsidRPr="00342717">
          <w:rPr>
            <w:noProof/>
            <w:webHidden/>
            <w:lang w:val="es-ES_tradnl"/>
          </w:rPr>
          <w:tab/>
        </w:r>
        <w:r w:rsidR="0018547A" w:rsidRPr="00342717">
          <w:rPr>
            <w:noProof/>
            <w:webHidden/>
            <w:lang w:val="es-ES_tradnl"/>
          </w:rPr>
          <w:fldChar w:fldCharType="begin"/>
        </w:r>
        <w:r w:rsidR="0018547A" w:rsidRPr="00342717">
          <w:rPr>
            <w:noProof/>
            <w:webHidden/>
            <w:lang w:val="es-ES_tradnl"/>
          </w:rPr>
          <w:instrText xml:space="preserve"> PAGEREF _Toc378064852 \h </w:instrText>
        </w:r>
        <w:r w:rsidR="0018547A" w:rsidRPr="00342717">
          <w:rPr>
            <w:noProof/>
            <w:webHidden/>
            <w:lang w:val="es-ES_tradnl"/>
          </w:rPr>
        </w:r>
        <w:r w:rsidR="0018547A" w:rsidRPr="00342717">
          <w:rPr>
            <w:noProof/>
            <w:webHidden/>
            <w:lang w:val="es-ES_tradnl"/>
          </w:rPr>
          <w:fldChar w:fldCharType="separate"/>
        </w:r>
        <w:r>
          <w:rPr>
            <w:noProof/>
            <w:webHidden/>
            <w:lang w:val="es-ES_tradnl"/>
          </w:rPr>
          <w:t>2</w:t>
        </w:r>
        <w:r w:rsidR="0018547A" w:rsidRPr="00342717">
          <w:rPr>
            <w:noProof/>
            <w:webHidden/>
            <w:lang w:val="es-ES_tradnl"/>
          </w:rPr>
          <w:fldChar w:fldCharType="end"/>
        </w:r>
      </w:hyperlink>
    </w:p>
    <w:p w:rsidR="0018547A" w:rsidRPr="00342717" w:rsidRDefault="0018547A" w:rsidP="003203F0">
      <w:pPr>
        <w:jc w:val="left"/>
        <w:rPr>
          <w:rFonts w:cs="Arial"/>
          <w:color w:val="000000"/>
          <w:lang w:val="es-ES_tradnl"/>
        </w:rPr>
      </w:pPr>
      <w:r w:rsidRPr="00342717">
        <w:rPr>
          <w:rFonts w:cs="Arial"/>
          <w:lang w:val="es-ES_tradnl"/>
        </w:rPr>
        <w:fldChar w:fldCharType="end"/>
      </w:r>
    </w:p>
    <w:p w:rsidR="0018547A" w:rsidRPr="00342717" w:rsidRDefault="0018547A" w:rsidP="00342717">
      <w:pPr>
        <w:rPr>
          <w:lang w:val="es-ES_tradnl"/>
        </w:rPr>
      </w:pPr>
    </w:p>
    <w:p w:rsidR="0018547A" w:rsidRPr="00342717" w:rsidRDefault="0018547A" w:rsidP="00342717">
      <w:pPr>
        <w:pStyle w:val="Heading1"/>
        <w:keepNext w:val="0"/>
        <w:rPr>
          <w:lang w:val="es-ES_tradnl"/>
        </w:rPr>
      </w:pPr>
      <w:bookmarkStart w:id="6" w:name="_Toc378064851"/>
      <w:r w:rsidRPr="00342717">
        <w:rPr>
          <w:lang w:val="es-ES_tradnl"/>
        </w:rPr>
        <w:t>ANTECEDENTES</w:t>
      </w:r>
      <w:bookmarkEnd w:id="6"/>
    </w:p>
    <w:p w:rsidR="0018547A" w:rsidRPr="00342717" w:rsidRDefault="0018547A" w:rsidP="00342717">
      <w:pPr>
        <w:rPr>
          <w:lang w:val="es-ES_tradnl"/>
        </w:rPr>
      </w:pPr>
    </w:p>
    <w:p w:rsidR="0018547A" w:rsidRPr="00342717" w:rsidRDefault="0018547A" w:rsidP="00342717">
      <w:pPr>
        <w:tabs>
          <w:tab w:val="left" w:pos="567"/>
        </w:tabs>
        <w:rPr>
          <w:spacing w:val="-2"/>
          <w:lang w:val="es-ES_tradnl"/>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rFonts w:cs="Arial"/>
          <w:lang w:val="es-ES_tradnl"/>
        </w:rPr>
        <w:tab/>
      </w:r>
      <w:r w:rsidRPr="00342717">
        <w:rPr>
          <w:lang w:val="es-ES_tradnl"/>
        </w:rPr>
        <w:t>En su cuadragésima quinta sesión ordinaria, celebrada en Ginebra el 20 de octubre de 2011, el</w:t>
      </w:r>
      <w:r w:rsidR="00DA576C">
        <w:rPr>
          <w:lang w:val="es-ES_tradnl"/>
        </w:rPr>
        <w:t> </w:t>
      </w:r>
      <w:r w:rsidRPr="00342717">
        <w:rPr>
          <w:lang w:val="es-ES_tradnl"/>
        </w:rPr>
        <w:t>Consejo aprobó la revisión del documento TGP/5 Sección 10/1 “Experie</w:t>
      </w:r>
      <w:r w:rsidR="00DA576C">
        <w:rPr>
          <w:lang w:val="es-ES_tradnl"/>
        </w:rPr>
        <w:t>ncia y cooperación en el examen </w:t>
      </w:r>
      <w:r w:rsidRPr="00342717">
        <w:rPr>
          <w:lang w:val="es-ES_tradnl"/>
        </w:rPr>
        <w:t>DHE, Sección 10: Notificación de caracteres adicionale</w:t>
      </w:r>
      <w:r w:rsidR="00DA576C">
        <w:rPr>
          <w:lang w:val="es-ES_tradnl"/>
        </w:rPr>
        <w:t>s”, sobre la base del documento TGP/5 </w:t>
      </w:r>
      <w:r w:rsidRPr="00342717">
        <w:rPr>
          <w:lang w:val="es-ES_tradnl"/>
        </w:rPr>
        <w:t xml:space="preserve">Sección 10/2 </w:t>
      </w:r>
      <w:proofErr w:type="spellStart"/>
      <w:r w:rsidRPr="00342717">
        <w:rPr>
          <w:lang w:val="es-ES_tradnl"/>
        </w:rPr>
        <w:t>Draft</w:t>
      </w:r>
      <w:proofErr w:type="spellEnd"/>
      <w:r w:rsidRPr="00342717">
        <w:rPr>
          <w:lang w:val="es-ES_tradnl"/>
        </w:rPr>
        <w:t> 3 (véase el párrafo 12 del documento C/45/17 “Informe sobre las decisiones”).</w:t>
      </w:r>
    </w:p>
    <w:p w:rsidR="0018547A" w:rsidRPr="00342717" w:rsidRDefault="0018547A" w:rsidP="00FA72E5">
      <w:pPr>
        <w:tabs>
          <w:tab w:val="left" w:pos="567"/>
        </w:tabs>
        <w:rPr>
          <w:spacing w:val="-2"/>
          <w:lang w:val="es-ES_tradnl"/>
        </w:rPr>
      </w:pPr>
    </w:p>
    <w:p w:rsidR="0018547A" w:rsidRPr="00342717" w:rsidRDefault="0018547A" w:rsidP="00FA72E5">
      <w:pPr>
        <w:rPr>
          <w:szCs w:val="24"/>
          <w:lang w:val="es-ES_tradnl"/>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lang w:val="es-ES_tradnl"/>
        </w:rPr>
        <w:tab/>
        <w:t>En el documento TGP/5 Sección 10/2 “Experiencia y cooperación en el examen DHE, Sección 10: Notificación de caracteres y niveles de expresión adicionales” se dispone que:</w:t>
      </w:r>
    </w:p>
    <w:p w:rsidR="0018547A" w:rsidRPr="00342717" w:rsidRDefault="0018547A" w:rsidP="00FA72E5">
      <w:pPr>
        <w:rPr>
          <w:szCs w:val="24"/>
          <w:lang w:val="es-ES_tradnl"/>
        </w:rPr>
      </w:pPr>
    </w:p>
    <w:p w:rsidR="0018547A" w:rsidRPr="00342717" w:rsidRDefault="0018547A" w:rsidP="00FA72E5">
      <w:pPr>
        <w:ind w:left="567" w:right="566"/>
        <w:rPr>
          <w:sz w:val="18"/>
          <w:szCs w:val="18"/>
          <w:lang w:val="es-ES_tradnl"/>
        </w:rPr>
      </w:pPr>
      <w:r w:rsidRPr="00342717">
        <w:rPr>
          <w:sz w:val="18"/>
          <w:szCs w:val="18"/>
          <w:lang w:val="es-ES_tradnl"/>
        </w:rPr>
        <w:t>“4.2</w:t>
      </w:r>
      <w:r w:rsidRPr="00342717">
        <w:rPr>
          <w:sz w:val="18"/>
          <w:szCs w:val="18"/>
          <w:lang w:val="es-ES_tradnl"/>
        </w:rPr>
        <w:tab/>
        <w:t>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  Según corresponda, los caracteres se publicarán posteriormente en la zona restringida del sitio Web de la UPOV (</w:t>
      </w:r>
      <w:hyperlink r:id="rId8" w:history="1">
        <w:r w:rsidRPr="00342717">
          <w:rPr>
            <w:rStyle w:val="Hyperlink"/>
            <w:i/>
            <w:sz w:val="18"/>
            <w:szCs w:val="18"/>
            <w:lang w:val="es-ES_tradnl"/>
          </w:rPr>
          <w:t>http://www.upov.int/restricted_temporary/twptg/es/drafters_kit.html</w:t>
        </w:r>
      </w:hyperlink>
      <w:r w:rsidRPr="00342717">
        <w:rPr>
          <w:sz w:val="18"/>
          <w:szCs w:val="18"/>
          <w:lang w:val="es-ES_tradnl"/>
        </w:rPr>
        <w:t xml:space="preserve">), conforme a los </w:t>
      </w:r>
      <w:r w:rsidRPr="00342717">
        <w:rPr>
          <w:sz w:val="18"/>
          <w:szCs w:val="18"/>
          <w:lang w:val="es-ES_tradnl"/>
        </w:rPr>
        <w:lastRenderedPageBreak/>
        <w:t>comentarios formulados por el (los) Grupo(s) de Trabajo Técnico correspondiente(s), o bien el (los) Grupo(s) de Trabajo Técnico podrá(n) iniciar una revisión total o parcial de las Directrices de examen de que se trate.”</w:t>
      </w:r>
    </w:p>
    <w:p w:rsidR="0018547A" w:rsidRPr="00342717" w:rsidRDefault="0018547A" w:rsidP="00FA72E5">
      <w:pPr>
        <w:ind w:left="567" w:right="566"/>
        <w:rPr>
          <w:sz w:val="18"/>
          <w:szCs w:val="18"/>
          <w:lang w:val="es-ES_tradnl"/>
        </w:rPr>
      </w:pPr>
    </w:p>
    <w:p w:rsidR="0018547A" w:rsidRPr="00342717" w:rsidRDefault="0018547A" w:rsidP="00FA72E5">
      <w:pPr>
        <w:shd w:val="clear" w:color="auto" w:fill="FFFFFF"/>
        <w:rPr>
          <w:lang w:val="es-ES_tradnl"/>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lang w:val="es-ES_tradnl"/>
        </w:rPr>
        <w:tab/>
      </w:r>
      <w:r w:rsidRPr="00342717">
        <w:rPr>
          <w:rFonts w:cs="Arial"/>
          <w:lang w:val="es-ES_tradnl"/>
        </w:rPr>
        <w:t>En su octogésima segunda sesión, celebrada en Ginebra e</w:t>
      </w:r>
      <w:r w:rsidR="00DA576C">
        <w:rPr>
          <w:rFonts w:cs="Arial"/>
          <w:lang w:val="es-ES_tradnl"/>
        </w:rPr>
        <w:t>l 19 de octubre y la mañana del</w:t>
      </w:r>
      <w:r w:rsidR="00DA576C">
        <w:rPr>
          <w:rFonts w:cs="Arial"/>
          <w:lang w:val="es-ES_tradnl"/>
        </w:rPr>
        <w:br/>
      </w:r>
      <w:r w:rsidRPr="00342717">
        <w:rPr>
          <w:rFonts w:cs="Arial"/>
          <w:lang w:val="es-ES_tradnl"/>
        </w:rPr>
        <w:t>20 de octubre de 2011, el Comité Consultivo recomendó al Consejo, en su cuadragésima quinta sesión ordinaria, que los documentos que figuraban en la primera zona restringida del sitio web de la UPOV se pusieran a disposición del público, suprimiendo la necesidad de contraseña.</w:t>
      </w:r>
      <w:r w:rsidRPr="00342717">
        <w:rPr>
          <w:lang w:val="es-ES_tradnl"/>
        </w:rPr>
        <w:t xml:space="preserve">  Asimismo, acordó que, de ser posible, la supresión de la contraseña coincidiera con la puesta en funcionamiento del nuevo sitio web de la UPOV, el 1 de noviembre de 2011.</w:t>
      </w:r>
    </w:p>
    <w:p w:rsidR="0018547A" w:rsidRPr="00342717" w:rsidRDefault="0018547A" w:rsidP="00FA72E5">
      <w:pPr>
        <w:rPr>
          <w:lang w:val="es-ES_tradnl"/>
        </w:rPr>
      </w:pPr>
    </w:p>
    <w:p w:rsidR="0018547A" w:rsidRPr="00342717" w:rsidRDefault="0018547A" w:rsidP="00FA72E5">
      <w:pPr>
        <w:shd w:val="clear" w:color="auto" w:fill="FFFFFF"/>
        <w:rPr>
          <w:rFonts w:cs="Arial"/>
          <w:lang w:val="es-ES_tradnl"/>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rFonts w:cs="Arial"/>
          <w:lang w:val="es-ES_tradnl"/>
        </w:rPr>
        <w:tab/>
        <w:t>A partir de las recomendaciones del Comité Consultivo, el Consejo, en su cuadragésima quinta sesión ordinaria, acordó que los documentos que figuraban en la primera zona restringida del sitio web de la UPOV se pusieran a disposición del público, suprimiendo la necesidad de contraseña.  Asimismo, acordó que, de ser posible, la supresión de la contraseña coincidiera con la puesta en funcionamiento del nuevo sitio web de la UPOV, el 1 de noviembre de 2011.</w:t>
      </w:r>
    </w:p>
    <w:p w:rsidR="0018547A" w:rsidRPr="00342717" w:rsidRDefault="0018547A" w:rsidP="00FA72E5">
      <w:pPr>
        <w:pStyle w:val="BodyText"/>
        <w:keepNext/>
        <w:ind w:left="567" w:hanging="567"/>
        <w:rPr>
          <w:lang w:val="es-ES_tradnl"/>
        </w:rPr>
      </w:pPr>
    </w:p>
    <w:p w:rsidR="0018547A" w:rsidRPr="00342717" w:rsidRDefault="0018547A" w:rsidP="00FA72E5">
      <w:pPr>
        <w:rPr>
          <w:rFonts w:cs="Arial"/>
          <w:lang w:val="es-ES_tradnl"/>
        </w:rPr>
      </w:pPr>
      <w:r w:rsidRPr="00342717">
        <w:rPr>
          <w:rFonts w:cs="Arial"/>
          <w:lang w:val="es-ES_tradnl"/>
        </w:rPr>
        <w:fldChar w:fldCharType="begin"/>
      </w:r>
      <w:r w:rsidRPr="00342717">
        <w:rPr>
          <w:rFonts w:cs="Arial"/>
          <w:lang w:val="es-ES_tradnl"/>
        </w:rPr>
        <w:instrText xml:space="preserve"> AUTONUM  </w:instrText>
      </w:r>
      <w:r w:rsidRPr="00342717">
        <w:rPr>
          <w:rFonts w:cs="Arial"/>
          <w:lang w:val="es-ES_tradnl"/>
        </w:rPr>
        <w:fldChar w:fldCharType="end"/>
      </w:r>
      <w:r w:rsidRPr="00342717">
        <w:rPr>
          <w:rFonts w:cs="Arial"/>
          <w:lang w:val="es-ES_tradnl"/>
        </w:rPr>
        <w:tab/>
        <w:t>A tenor de los asuntos mencionados en los párrafos anteriores, en su cuadragésima octava sesión, celebrada en Ginebra del 26 al 28 de marzo de 2012, el TC acordó que primeramente se publiquen caracteres adicionales en la página web de los redactores de las directrices de examen y que más adelante podría contemplarse la posibilidad de publicar caracteres adicionales en el sitio web general (véase el párrafo 152 del documento TC/48/22 “Informe sobre las conclusiones”).</w:t>
      </w:r>
    </w:p>
    <w:p w:rsidR="0018547A" w:rsidRPr="00342717" w:rsidRDefault="0018547A" w:rsidP="00FA72E5">
      <w:pPr>
        <w:rPr>
          <w:rFonts w:cs="Arial"/>
          <w:lang w:val="es-ES_tradnl"/>
        </w:rPr>
      </w:pPr>
    </w:p>
    <w:p w:rsidR="0018547A" w:rsidRPr="00342717" w:rsidRDefault="0018547A" w:rsidP="00FA72E5">
      <w:pPr>
        <w:rPr>
          <w:rFonts w:cs="Arial"/>
          <w:lang w:val="es-ES_tradnl"/>
        </w:rPr>
      </w:pPr>
      <w:r w:rsidRPr="00342717">
        <w:rPr>
          <w:lang w:val="es-ES_tradnl"/>
        </w:rPr>
        <w:fldChar w:fldCharType="begin"/>
      </w:r>
      <w:r w:rsidRPr="00342717">
        <w:rPr>
          <w:lang w:val="es-ES_tradnl"/>
        </w:rPr>
        <w:instrText xml:space="preserve"> AUTONUM  </w:instrText>
      </w:r>
      <w:r w:rsidRPr="00342717">
        <w:rPr>
          <w:lang w:val="es-ES_tradnl"/>
        </w:rPr>
        <w:fldChar w:fldCharType="end"/>
      </w:r>
      <w:r w:rsidRPr="00342717">
        <w:rPr>
          <w:lang w:val="es-ES_tradnl"/>
        </w:rPr>
        <w:tab/>
        <w:t>En su cuadragésima novena sesión, celebrada en Ginebra del 18 al 20 de marzo de 2013, el TC decidió que, en función de la conclusión de los debates mantenidos en el Comité Consultivo sobre los descargos de responsabilidad en los documentos de la UPOV, se someta al examen del TC, en su quincuagésima sesión, un proyecto de revisión del documento TGP/5, Sección 10 (véase el párrafo 150 del documento TC/49/41</w:t>
      </w:r>
      <w:r w:rsidRPr="00342717">
        <w:rPr>
          <w:rFonts w:cs="Arial"/>
          <w:lang w:val="es-ES_tradnl"/>
        </w:rPr>
        <w:t xml:space="preserve"> </w:t>
      </w:r>
      <w:r w:rsidRPr="00342717">
        <w:rPr>
          <w:lang w:val="es-ES_tradnl"/>
        </w:rPr>
        <w:t>“Informe</w:t>
      </w:r>
      <w:r w:rsidR="006C0377">
        <w:rPr>
          <w:lang w:val="es-ES_tradnl"/>
        </w:rPr>
        <w:t xml:space="preserve"> sobre las conclusiones</w:t>
      </w:r>
      <w:r w:rsidRPr="00342717">
        <w:rPr>
          <w:lang w:val="es-ES_tradnl"/>
        </w:rPr>
        <w:t>”).</w:t>
      </w:r>
    </w:p>
    <w:p w:rsidR="0018547A" w:rsidRPr="00342717" w:rsidRDefault="0018547A" w:rsidP="00FA72E5">
      <w:pPr>
        <w:rPr>
          <w:lang w:val="es-ES_tradnl"/>
        </w:rPr>
      </w:pPr>
    </w:p>
    <w:p w:rsidR="0018547A" w:rsidRPr="00342717" w:rsidRDefault="0018547A" w:rsidP="00FA72E5">
      <w:pPr>
        <w:rPr>
          <w:lang w:val="es-ES_tradnl"/>
        </w:rPr>
      </w:pPr>
      <w:r w:rsidRPr="00342717">
        <w:rPr>
          <w:lang w:val="es-ES_tradnl"/>
        </w:rPr>
        <w:fldChar w:fldCharType="begin"/>
      </w:r>
      <w:r w:rsidRPr="00342717">
        <w:rPr>
          <w:lang w:val="es-ES_tradnl"/>
        </w:rPr>
        <w:instrText xml:space="preserve"> AUTONUM  </w:instrText>
      </w:r>
      <w:r w:rsidRPr="00342717">
        <w:rPr>
          <w:lang w:val="es-ES_tradnl"/>
        </w:rPr>
        <w:fldChar w:fldCharType="end"/>
      </w:r>
      <w:r w:rsidRPr="00342717">
        <w:rPr>
          <w:lang w:val="es-ES_tradnl"/>
        </w:rPr>
        <w:tab/>
        <w:t>El Comité Consultivo, en su octogésima quinta sesión, celebrada en Ginebra el 22 de marzo de 2013, aprobó el texto revisado de descargo de responsabilidad destinado a la sección Documentos de reunión del sitio web de la UPOV, así como la adición de un descargo de responsabilidad en cada uno de los documentos de sesión de la UPOV.  El texto revisado del descargo de responsabilidad se ha publicado en la sección Documentos de reunión del sitio web de la UPOV (</w:t>
      </w:r>
      <w:hyperlink r:id="rId9" w:history="1">
        <w:r w:rsidRPr="00342717">
          <w:rPr>
            <w:rStyle w:val="Hyperlink"/>
            <w:lang w:val="es-ES_tradnl"/>
          </w:rPr>
          <w:t>http://www.upov.int/meetings/es/topic.jsp</w:t>
        </w:r>
      </w:hyperlink>
      <w:r w:rsidRPr="00342717">
        <w:rPr>
          <w:lang w:val="es-ES_tradnl"/>
        </w:rPr>
        <w:t xml:space="preserve">) y se ha incorporado un descargo de responsabilidad a los documentos de sesión de la UPOV. </w:t>
      </w:r>
    </w:p>
    <w:p w:rsidR="0018547A" w:rsidRPr="00342717" w:rsidRDefault="0018547A" w:rsidP="00FA72E5">
      <w:pPr>
        <w:rPr>
          <w:lang w:val="es-ES_tradnl"/>
        </w:rPr>
      </w:pPr>
    </w:p>
    <w:p w:rsidR="0018547A" w:rsidRPr="00342717" w:rsidRDefault="0018547A" w:rsidP="00FA72E5">
      <w:pPr>
        <w:rPr>
          <w:lang w:val="es-ES_tradnl"/>
        </w:rPr>
      </w:pPr>
    </w:p>
    <w:p w:rsidR="0018547A" w:rsidRPr="00342717" w:rsidRDefault="0018547A" w:rsidP="00342717">
      <w:pPr>
        <w:pStyle w:val="Heading1"/>
        <w:keepNext w:val="0"/>
        <w:rPr>
          <w:lang w:val="es-ES_tradnl"/>
        </w:rPr>
      </w:pPr>
      <w:bookmarkStart w:id="7" w:name="_Toc378064852"/>
      <w:r w:rsidRPr="00342717">
        <w:rPr>
          <w:lang w:val="es-ES_tradnl"/>
        </w:rPr>
        <w:t>propuesta de revisión del documento TGP/5, SECCIÓN 10</w:t>
      </w:r>
      <w:proofErr w:type="gramStart"/>
      <w:r w:rsidRPr="00342717">
        <w:rPr>
          <w:lang w:val="es-ES_tradnl"/>
        </w:rPr>
        <w:t>:  “</w:t>
      </w:r>
      <w:proofErr w:type="gramEnd"/>
      <w:r w:rsidRPr="00342717">
        <w:rPr>
          <w:lang w:val="es-ES_tradnl"/>
        </w:rPr>
        <w:t>Notificación de caracteres y niveles de expresión adicionales”</w:t>
      </w:r>
      <w:bookmarkEnd w:id="7"/>
    </w:p>
    <w:p w:rsidR="0018547A" w:rsidRPr="00342717" w:rsidRDefault="0018547A" w:rsidP="00FA72E5">
      <w:pPr>
        <w:rPr>
          <w:lang w:val="es-ES_tradnl"/>
        </w:rPr>
      </w:pPr>
    </w:p>
    <w:p w:rsidR="0018547A" w:rsidRPr="00342717" w:rsidRDefault="0018547A" w:rsidP="00FA72E5">
      <w:pPr>
        <w:rPr>
          <w:lang w:val="es-ES_tradnl"/>
        </w:rPr>
      </w:pPr>
      <w:r w:rsidRPr="00342717">
        <w:rPr>
          <w:lang w:val="es-ES_tradnl"/>
        </w:rPr>
        <w:fldChar w:fldCharType="begin"/>
      </w:r>
      <w:r w:rsidRPr="00342717">
        <w:rPr>
          <w:lang w:val="es-ES_tradnl"/>
        </w:rPr>
        <w:instrText xml:space="preserve"> AUTONUM  </w:instrText>
      </w:r>
      <w:r w:rsidRPr="00342717">
        <w:rPr>
          <w:lang w:val="es-ES_tradnl"/>
        </w:rPr>
        <w:fldChar w:fldCharType="end"/>
      </w:r>
      <w:r w:rsidRPr="00342717">
        <w:rPr>
          <w:lang w:val="es-ES_tradnl"/>
        </w:rPr>
        <w:t xml:space="preserve"> </w:t>
      </w:r>
      <w:r w:rsidRPr="00342717">
        <w:rPr>
          <w:lang w:val="es-ES_tradnl"/>
        </w:rPr>
        <w:tab/>
        <w:t xml:space="preserve">Se propone modificar del modo siguiente la orientación de la Sección 10 del documento TGP/5: </w:t>
      </w:r>
    </w:p>
    <w:p w:rsidR="0018547A" w:rsidRPr="00342717" w:rsidRDefault="0018547A" w:rsidP="00FA72E5">
      <w:pPr>
        <w:rPr>
          <w:lang w:val="es-ES_tradnl"/>
        </w:rPr>
      </w:pPr>
    </w:p>
    <w:p w:rsidR="0018547A" w:rsidRPr="00342717" w:rsidRDefault="0018547A" w:rsidP="00FA72E5">
      <w:pPr>
        <w:ind w:left="567" w:right="566"/>
        <w:rPr>
          <w:sz w:val="18"/>
          <w:szCs w:val="18"/>
          <w:lang w:val="es-ES_tradnl"/>
        </w:rPr>
      </w:pPr>
      <w:r w:rsidRPr="00342717">
        <w:rPr>
          <w:sz w:val="18"/>
          <w:szCs w:val="18"/>
          <w:lang w:val="es-ES_tradnl"/>
        </w:rPr>
        <w:t>“4.2</w:t>
      </w:r>
      <w:r w:rsidRPr="00342717">
        <w:rPr>
          <w:sz w:val="18"/>
          <w:szCs w:val="18"/>
          <w:lang w:val="es-ES_tradnl"/>
        </w:rPr>
        <w:tab/>
        <w:t xml:space="preserve">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  Según corresponda, los caracteres se publicarán posteriormente en la </w:t>
      </w:r>
      <w:r w:rsidRPr="00342717">
        <w:rPr>
          <w:strike/>
          <w:sz w:val="18"/>
          <w:szCs w:val="18"/>
          <w:lang w:val="es-ES_tradnl"/>
        </w:rPr>
        <w:t>zona restringida</w:t>
      </w:r>
      <w:r w:rsidRPr="00342717">
        <w:rPr>
          <w:sz w:val="18"/>
          <w:szCs w:val="18"/>
          <w:lang w:val="es-ES_tradnl"/>
        </w:rPr>
        <w:t xml:space="preserve"> </w:t>
      </w:r>
      <w:r w:rsidRPr="00342717">
        <w:rPr>
          <w:sz w:val="18"/>
          <w:szCs w:val="18"/>
          <w:u w:val="single"/>
          <w:lang w:val="es-ES_tradnl"/>
        </w:rPr>
        <w:t>página web de los redactores de las directrices de examen</w:t>
      </w:r>
      <w:r w:rsidRPr="00342717">
        <w:rPr>
          <w:sz w:val="18"/>
          <w:szCs w:val="18"/>
          <w:lang w:val="es-ES_tradnl"/>
        </w:rPr>
        <w:t xml:space="preserve"> del sitio web de la UPOV (</w:t>
      </w:r>
      <w:hyperlink r:id="rId10" w:history="1">
        <w:r w:rsidRPr="00342717">
          <w:rPr>
            <w:rStyle w:val="Hyperlink"/>
            <w:i/>
            <w:strike/>
            <w:color w:val="auto"/>
            <w:sz w:val="18"/>
            <w:szCs w:val="18"/>
            <w:highlight w:val="lightGray"/>
            <w:lang w:val="es-ES_tradnl"/>
          </w:rPr>
          <w:t>http://www.upov.int/restricted_temporary/twptg/es/drafters_kit.html</w:t>
        </w:r>
      </w:hyperlink>
      <w:r w:rsidRPr="00342717">
        <w:rPr>
          <w:lang w:val="es-ES_tradnl"/>
        </w:rPr>
        <w:t xml:space="preserve"> </w:t>
      </w:r>
      <w:hyperlink r:id="rId11" w:history="1">
        <w:r w:rsidRPr="00342717">
          <w:rPr>
            <w:rStyle w:val="Hyperlink"/>
            <w:i/>
            <w:color w:val="auto"/>
            <w:sz w:val="18"/>
            <w:szCs w:val="18"/>
            <w:highlight w:val="lightGray"/>
            <w:lang w:val="es-ES_tradnl"/>
          </w:rPr>
          <w:t>http://www.upov.int/restricted_temporary/tg/index.html</w:t>
        </w:r>
      </w:hyperlink>
      <w:r w:rsidRPr="00342717">
        <w:rPr>
          <w:sz w:val="18"/>
          <w:szCs w:val="18"/>
          <w:lang w:val="es-ES_tradnl"/>
        </w:rPr>
        <w:t>), conforme a los comentarios formulados por el (los) Grupo(s) de Trabajo Técnico correspondiente(s), o bien el (los) Grupo(s) de Trabajo Técnico podrá(n) iniciar una revisión total o parcial de las Directrices de examen de que se trate.”</w:t>
      </w:r>
    </w:p>
    <w:p w:rsidR="0018547A" w:rsidRPr="00342717" w:rsidRDefault="0018547A" w:rsidP="00FA72E5">
      <w:pPr>
        <w:rPr>
          <w:lang w:val="es-ES_tradnl"/>
        </w:rPr>
      </w:pPr>
    </w:p>
    <w:p w:rsidR="0018547A" w:rsidRPr="00342717" w:rsidRDefault="0018547A" w:rsidP="00FA72E5">
      <w:pPr>
        <w:tabs>
          <w:tab w:val="left" w:pos="5529"/>
        </w:tabs>
        <w:ind w:left="4820"/>
        <w:rPr>
          <w:i/>
          <w:lang w:val="es-ES_tradnl"/>
        </w:rPr>
      </w:pPr>
      <w:r w:rsidRPr="00342717">
        <w:rPr>
          <w:i/>
          <w:lang w:val="es-ES_tradnl"/>
        </w:rPr>
        <w:fldChar w:fldCharType="begin"/>
      </w:r>
      <w:r w:rsidRPr="00342717">
        <w:rPr>
          <w:i/>
          <w:lang w:val="es-ES_tradnl"/>
        </w:rPr>
        <w:instrText xml:space="preserve"> AUTONUM  </w:instrText>
      </w:r>
      <w:r w:rsidRPr="00342717">
        <w:rPr>
          <w:i/>
          <w:lang w:val="es-ES_tradnl"/>
        </w:rPr>
        <w:fldChar w:fldCharType="end"/>
      </w:r>
      <w:r w:rsidRPr="00342717">
        <w:rPr>
          <w:i/>
          <w:lang w:val="es-ES_tradnl"/>
        </w:rPr>
        <w:tab/>
        <w:t>Se invita al TC a examinar la propuesta de modificación de la orientación de la Sección 10 del documento TGP/5, que figura en el párrafo 11 del presente documento.</w:t>
      </w:r>
    </w:p>
    <w:p w:rsidR="0018547A" w:rsidRDefault="0018547A" w:rsidP="00905020">
      <w:pPr>
        <w:rPr>
          <w:snapToGrid w:val="0"/>
          <w:lang w:val="es-ES_tradnl"/>
        </w:rPr>
      </w:pPr>
    </w:p>
    <w:p w:rsidR="00DA576C" w:rsidRPr="00342717" w:rsidRDefault="00DA576C" w:rsidP="00905020">
      <w:pPr>
        <w:rPr>
          <w:snapToGrid w:val="0"/>
          <w:lang w:val="es-ES_tradnl"/>
        </w:rPr>
      </w:pPr>
    </w:p>
    <w:p w:rsidR="0018547A" w:rsidRPr="00342717" w:rsidRDefault="0018547A" w:rsidP="00905020">
      <w:pPr>
        <w:rPr>
          <w:snapToGrid w:val="0"/>
          <w:lang w:val="es-ES_tradnl"/>
        </w:rPr>
      </w:pPr>
    </w:p>
    <w:p w:rsidR="0018547A" w:rsidRPr="00342717" w:rsidRDefault="0018547A" w:rsidP="007F4BB2">
      <w:pPr>
        <w:jc w:val="right"/>
        <w:rPr>
          <w:snapToGrid w:val="0"/>
          <w:lang w:val="es-ES_tradnl"/>
        </w:rPr>
      </w:pPr>
      <w:r w:rsidRPr="00342717">
        <w:rPr>
          <w:snapToGrid w:val="0"/>
          <w:lang w:val="es-ES_tradnl"/>
        </w:rPr>
        <w:t>[Fin del documento]</w:t>
      </w:r>
    </w:p>
    <w:sectPr w:rsidR="0018547A" w:rsidRPr="00342717" w:rsidSect="00906DDC">
      <w:headerReference w:type="default" r:id="rId12"/>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4E" w:rsidRDefault="0074614E" w:rsidP="00F45372">
      <w:r>
        <w:separator/>
      </w:r>
    </w:p>
    <w:p w:rsidR="0074614E" w:rsidRDefault="0074614E" w:rsidP="00F45372"/>
    <w:p w:rsidR="0074614E" w:rsidRDefault="0074614E" w:rsidP="00F45372"/>
  </w:endnote>
  <w:endnote w:type="continuationSeparator" w:id="0">
    <w:p w:rsidR="0074614E" w:rsidRDefault="0074614E" w:rsidP="00F45372">
      <w:r>
        <w:separator/>
      </w:r>
    </w:p>
    <w:p w:rsidR="0074614E" w:rsidRPr="00FA72E5" w:rsidRDefault="0074614E">
      <w:pPr>
        <w:pStyle w:val="Footer"/>
        <w:spacing w:after="60"/>
        <w:rPr>
          <w:sz w:val="18"/>
          <w:lang w:val="fr-CH"/>
        </w:rPr>
      </w:pPr>
      <w:r w:rsidRPr="00FA72E5">
        <w:rPr>
          <w:sz w:val="18"/>
          <w:lang w:val="fr-CH"/>
        </w:rPr>
        <w:t>[Suite de la note de la page précédente]</w:t>
      </w:r>
    </w:p>
    <w:p w:rsidR="0074614E" w:rsidRPr="00FA72E5" w:rsidRDefault="0074614E" w:rsidP="00F45372">
      <w:pPr>
        <w:rPr>
          <w:lang w:val="fr-CH"/>
        </w:rPr>
      </w:pPr>
    </w:p>
    <w:p w:rsidR="0074614E" w:rsidRPr="00FA72E5" w:rsidRDefault="0074614E" w:rsidP="00F45372">
      <w:pPr>
        <w:rPr>
          <w:lang w:val="fr-CH"/>
        </w:rPr>
      </w:pPr>
    </w:p>
  </w:endnote>
  <w:endnote w:type="continuationNotice" w:id="1">
    <w:p w:rsidR="0074614E" w:rsidRPr="00FA72E5" w:rsidRDefault="0074614E" w:rsidP="00F45372">
      <w:pPr>
        <w:rPr>
          <w:lang w:val="fr-CH"/>
        </w:rPr>
      </w:pPr>
      <w:r w:rsidRPr="00FA72E5">
        <w:rPr>
          <w:lang w:val="fr-CH"/>
        </w:rPr>
        <w:t>[Suite de la note page suivante]</w:t>
      </w:r>
    </w:p>
    <w:p w:rsidR="0074614E" w:rsidRPr="00FA72E5" w:rsidRDefault="0074614E" w:rsidP="00F45372">
      <w:pPr>
        <w:rPr>
          <w:lang w:val="fr-CH"/>
        </w:rPr>
      </w:pPr>
    </w:p>
    <w:p w:rsidR="0074614E" w:rsidRPr="00FA72E5" w:rsidRDefault="0074614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4E" w:rsidRDefault="0074614E" w:rsidP="00F45372">
      <w:r>
        <w:separator/>
      </w:r>
    </w:p>
  </w:footnote>
  <w:footnote w:type="continuationSeparator" w:id="0">
    <w:p w:rsidR="0074614E" w:rsidRDefault="0074614E" w:rsidP="00F45372">
      <w:r>
        <w:separator/>
      </w:r>
    </w:p>
  </w:footnote>
  <w:footnote w:type="continuationNotice" w:id="1">
    <w:p w:rsidR="0074614E" w:rsidRPr="00905020" w:rsidRDefault="0074614E"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7A" w:rsidRPr="008D3729" w:rsidRDefault="0018547A" w:rsidP="00EB048E">
    <w:pPr>
      <w:pStyle w:val="Header"/>
      <w:rPr>
        <w:rStyle w:val="PageNumber"/>
        <w:lang w:val="es-ES_tradnl"/>
      </w:rPr>
    </w:pPr>
    <w:r>
      <w:rPr>
        <w:rStyle w:val="PageNumber"/>
        <w:lang w:val="es-ES_tradnl"/>
      </w:rPr>
      <w:t>TC/50/15</w:t>
    </w:r>
  </w:p>
  <w:p w:rsidR="0018547A" w:rsidRPr="008D3729" w:rsidRDefault="0018547A"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881273">
      <w:rPr>
        <w:rStyle w:val="PageNumber"/>
        <w:noProof/>
        <w:lang w:val="es-ES_tradnl"/>
      </w:rPr>
      <w:t>2</w:t>
    </w:r>
    <w:r w:rsidRPr="008D3729">
      <w:rPr>
        <w:rStyle w:val="PageNumber"/>
        <w:lang w:val="es-ES_tradnl"/>
      </w:rPr>
      <w:fldChar w:fldCharType="end"/>
    </w:r>
  </w:p>
  <w:p w:rsidR="0018547A" w:rsidRPr="008D3729" w:rsidRDefault="0018547A" w:rsidP="00342717">
    <w:pPr>
      <w:jc w:val="cent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997029"/>
    <w:rsid w:val="00010CF3"/>
    <w:rsid w:val="00011E27"/>
    <w:rsid w:val="000148BC"/>
    <w:rsid w:val="00024AB8"/>
    <w:rsid w:val="00030854"/>
    <w:rsid w:val="00036028"/>
    <w:rsid w:val="00044642"/>
    <w:rsid w:val="000446B9"/>
    <w:rsid w:val="00047E21"/>
    <w:rsid w:val="00061334"/>
    <w:rsid w:val="00085505"/>
    <w:rsid w:val="000A7C8C"/>
    <w:rsid w:val="000C7021"/>
    <w:rsid w:val="000D6BBC"/>
    <w:rsid w:val="000D7780"/>
    <w:rsid w:val="000E7EF1"/>
    <w:rsid w:val="000F1523"/>
    <w:rsid w:val="00100526"/>
    <w:rsid w:val="00105929"/>
    <w:rsid w:val="001131D5"/>
    <w:rsid w:val="00136DA3"/>
    <w:rsid w:val="00141DB8"/>
    <w:rsid w:val="001479AA"/>
    <w:rsid w:val="0017474A"/>
    <w:rsid w:val="001758C6"/>
    <w:rsid w:val="00184D5D"/>
    <w:rsid w:val="0018547A"/>
    <w:rsid w:val="001F42B2"/>
    <w:rsid w:val="0021112E"/>
    <w:rsid w:val="0021332C"/>
    <w:rsid w:val="00213982"/>
    <w:rsid w:val="00226049"/>
    <w:rsid w:val="00235267"/>
    <w:rsid w:val="0024416D"/>
    <w:rsid w:val="00266E18"/>
    <w:rsid w:val="002800A0"/>
    <w:rsid w:val="002801B3"/>
    <w:rsid w:val="00281060"/>
    <w:rsid w:val="002940E8"/>
    <w:rsid w:val="00295543"/>
    <w:rsid w:val="002A6E50"/>
    <w:rsid w:val="002C256A"/>
    <w:rsid w:val="002F3C88"/>
    <w:rsid w:val="00305A7F"/>
    <w:rsid w:val="003152FE"/>
    <w:rsid w:val="003203F0"/>
    <w:rsid w:val="00320AE8"/>
    <w:rsid w:val="003212D8"/>
    <w:rsid w:val="00327436"/>
    <w:rsid w:val="003276AE"/>
    <w:rsid w:val="00330930"/>
    <w:rsid w:val="00342717"/>
    <w:rsid w:val="00344BD6"/>
    <w:rsid w:val="00353A4C"/>
    <w:rsid w:val="0035528D"/>
    <w:rsid w:val="00361821"/>
    <w:rsid w:val="00366D8A"/>
    <w:rsid w:val="00370631"/>
    <w:rsid w:val="003D227C"/>
    <w:rsid w:val="003D2B4D"/>
    <w:rsid w:val="003D7E71"/>
    <w:rsid w:val="004437F3"/>
    <w:rsid w:val="00444A88"/>
    <w:rsid w:val="00474DA4"/>
    <w:rsid w:val="004A1CDC"/>
    <w:rsid w:val="004D047D"/>
    <w:rsid w:val="004D4C11"/>
    <w:rsid w:val="004D79D9"/>
    <w:rsid w:val="004F305A"/>
    <w:rsid w:val="00512164"/>
    <w:rsid w:val="00520297"/>
    <w:rsid w:val="00523BE5"/>
    <w:rsid w:val="005338F9"/>
    <w:rsid w:val="0054281C"/>
    <w:rsid w:val="0055268D"/>
    <w:rsid w:val="005763CA"/>
    <w:rsid w:val="00576BE4"/>
    <w:rsid w:val="00576BF0"/>
    <w:rsid w:val="005A400A"/>
    <w:rsid w:val="005C7CC5"/>
    <w:rsid w:val="005F349D"/>
    <w:rsid w:val="005F4DEE"/>
    <w:rsid w:val="00612379"/>
    <w:rsid w:val="0061555F"/>
    <w:rsid w:val="00641200"/>
    <w:rsid w:val="00687EB4"/>
    <w:rsid w:val="006A1ECF"/>
    <w:rsid w:val="006B17D2"/>
    <w:rsid w:val="006B6C0C"/>
    <w:rsid w:val="006C0377"/>
    <w:rsid w:val="006C224E"/>
    <w:rsid w:val="006D780A"/>
    <w:rsid w:val="00732DEC"/>
    <w:rsid w:val="00735BD5"/>
    <w:rsid w:val="00736E51"/>
    <w:rsid w:val="0074614E"/>
    <w:rsid w:val="00753A37"/>
    <w:rsid w:val="007556F6"/>
    <w:rsid w:val="00760EEF"/>
    <w:rsid w:val="00777EE5"/>
    <w:rsid w:val="00784836"/>
    <w:rsid w:val="0079023E"/>
    <w:rsid w:val="00796D4D"/>
    <w:rsid w:val="007A13C8"/>
    <w:rsid w:val="007A2854"/>
    <w:rsid w:val="007D0B9D"/>
    <w:rsid w:val="007D19B0"/>
    <w:rsid w:val="007F498F"/>
    <w:rsid w:val="007F4BB2"/>
    <w:rsid w:val="0080679D"/>
    <w:rsid w:val="008108B0"/>
    <w:rsid w:val="00811B20"/>
    <w:rsid w:val="0082296E"/>
    <w:rsid w:val="00824099"/>
    <w:rsid w:val="00855682"/>
    <w:rsid w:val="0086604C"/>
    <w:rsid w:val="00867AC1"/>
    <w:rsid w:val="00881273"/>
    <w:rsid w:val="008A1693"/>
    <w:rsid w:val="008A743F"/>
    <w:rsid w:val="008C0970"/>
    <w:rsid w:val="008D2CF7"/>
    <w:rsid w:val="008D3729"/>
    <w:rsid w:val="008D76C9"/>
    <w:rsid w:val="008E5608"/>
    <w:rsid w:val="008E6889"/>
    <w:rsid w:val="00900C26"/>
    <w:rsid w:val="0090197F"/>
    <w:rsid w:val="00905020"/>
    <w:rsid w:val="00906DDC"/>
    <w:rsid w:val="00917C3E"/>
    <w:rsid w:val="00934E09"/>
    <w:rsid w:val="00936253"/>
    <w:rsid w:val="0095258E"/>
    <w:rsid w:val="00952DD4"/>
    <w:rsid w:val="00970FED"/>
    <w:rsid w:val="00971829"/>
    <w:rsid w:val="00997029"/>
    <w:rsid w:val="009A2396"/>
    <w:rsid w:val="009C1FFE"/>
    <w:rsid w:val="009D690D"/>
    <w:rsid w:val="009E65B6"/>
    <w:rsid w:val="009F50E8"/>
    <w:rsid w:val="00A13C6F"/>
    <w:rsid w:val="00A37B04"/>
    <w:rsid w:val="00A42AC3"/>
    <w:rsid w:val="00A430CF"/>
    <w:rsid w:val="00A47CDB"/>
    <w:rsid w:val="00A54309"/>
    <w:rsid w:val="00A77E21"/>
    <w:rsid w:val="00AB235C"/>
    <w:rsid w:val="00AB2B93"/>
    <w:rsid w:val="00AB7E5B"/>
    <w:rsid w:val="00AD5FD8"/>
    <w:rsid w:val="00AE0EF1"/>
    <w:rsid w:val="00AF342C"/>
    <w:rsid w:val="00B07301"/>
    <w:rsid w:val="00B224DE"/>
    <w:rsid w:val="00B51CFE"/>
    <w:rsid w:val="00B743E3"/>
    <w:rsid w:val="00B84BBD"/>
    <w:rsid w:val="00BA2092"/>
    <w:rsid w:val="00BA43FB"/>
    <w:rsid w:val="00BC127D"/>
    <w:rsid w:val="00BC1FE6"/>
    <w:rsid w:val="00BF1C73"/>
    <w:rsid w:val="00C061B6"/>
    <w:rsid w:val="00C13808"/>
    <w:rsid w:val="00C2446C"/>
    <w:rsid w:val="00C36AE5"/>
    <w:rsid w:val="00C41F17"/>
    <w:rsid w:val="00C5280D"/>
    <w:rsid w:val="00C5791C"/>
    <w:rsid w:val="00C66290"/>
    <w:rsid w:val="00C72979"/>
    <w:rsid w:val="00C72B7A"/>
    <w:rsid w:val="00C81C8D"/>
    <w:rsid w:val="00C973F2"/>
    <w:rsid w:val="00CA774A"/>
    <w:rsid w:val="00CC11B0"/>
    <w:rsid w:val="00CF22FA"/>
    <w:rsid w:val="00CF7E36"/>
    <w:rsid w:val="00D261C5"/>
    <w:rsid w:val="00D3708D"/>
    <w:rsid w:val="00D40426"/>
    <w:rsid w:val="00D57C96"/>
    <w:rsid w:val="00D91203"/>
    <w:rsid w:val="00D95174"/>
    <w:rsid w:val="00DA4685"/>
    <w:rsid w:val="00DA576C"/>
    <w:rsid w:val="00DA61AE"/>
    <w:rsid w:val="00DA6F36"/>
    <w:rsid w:val="00DB596E"/>
    <w:rsid w:val="00DC00EA"/>
    <w:rsid w:val="00DC6CCF"/>
    <w:rsid w:val="00E50918"/>
    <w:rsid w:val="00E72D49"/>
    <w:rsid w:val="00E7593C"/>
    <w:rsid w:val="00E7678A"/>
    <w:rsid w:val="00E935F1"/>
    <w:rsid w:val="00E94A81"/>
    <w:rsid w:val="00EA1FFB"/>
    <w:rsid w:val="00EA5245"/>
    <w:rsid w:val="00EB048E"/>
    <w:rsid w:val="00EE34DF"/>
    <w:rsid w:val="00EF2F89"/>
    <w:rsid w:val="00F00A88"/>
    <w:rsid w:val="00F1237A"/>
    <w:rsid w:val="00F22CBD"/>
    <w:rsid w:val="00F45372"/>
    <w:rsid w:val="00F560F7"/>
    <w:rsid w:val="00F6334D"/>
    <w:rsid w:val="00F77B84"/>
    <w:rsid w:val="00FA49AB"/>
    <w:rsid w:val="00FA72E5"/>
    <w:rsid w:val="00FB2A0D"/>
    <w:rsid w:val="00FE39C7"/>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2E5"/>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FA72E5"/>
    <w:rPr>
      <w:rFonts w:ascii="Arial" w:hAnsi="Arial" w:cs="Times New Roman"/>
      <w:u w:val="single"/>
      <w:lang w:val="en-US" w:eastAsia="en-US"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locked/>
    <w:rsid w:val="00FA72E5"/>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3203F0"/>
    <w:pPr>
      <w:tabs>
        <w:tab w:val="right" w:leader="dot" w:pos="9639"/>
      </w:tabs>
      <w:spacing w:before="120"/>
      <w:ind w:left="567" w:right="708"/>
      <w:contextualSpacing/>
      <w:jc w:val="left"/>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styleId="FollowedHyperlink">
    <w:name w:val="FollowedHyperlink"/>
    <w:basedOn w:val="DefaultParagraphFont"/>
    <w:uiPriority w:val="99"/>
    <w:rsid w:val="00136DA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2E5"/>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FA72E5"/>
    <w:rPr>
      <w:rFonts w:ascii="Arial" w:hAnsi="Arial" w:cs="Times New Roman"/>
      <w:u w:val="single"/>
      <w:lang w:val="en-US" w:eastAsia="en-US"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locked/>
    <w:rsid w:val="00FA72E5"/>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3203F0"/>
    <w:pPr>
      <w:tabs>
        <w:tab w:val="right" w:leader="dot" w:pos="9639"/>
      </w:tabs>
      <w:spacing w:before="120"/>
      <w:ind w:left="567" w:right="708"/>
      <w:contextualSpacing/>
      <w:jc w:val="left"/>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styleId="FollowedHyperlink">
    <w:name w:val="FollowedHyperlink"/>
    <w:basedOn w:val="DefaultParagraphFont"/>
    <w:uiPriority w:val="99"/>
    <w:rsid w:val="00136DA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ov.int/restricted_temporary/twptg/es/drafters_ki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restricted_temporary/tg/index.html" TargetMode="External"/><Relationship Id="rId5" Type="http://schemas.openxmlformats.org/officeDocument/2006/relationships/footnotes" Target="footnotes.xml"/><Relationship Id="rId10" Type="http://schemas.openxmlformats.org/officeDocument/2006/relationships/hyperlink" Target="http://www.upov.int/restricted_temporary/twptg/es/drafters_kit.html" TargetMode="External"/><Relationship Id="rId4" Type="http://schemas.openxmlformats.org/officeDocument/2006/relationships/webSettings" Target="webSettings.xml"/><Relationship Id="rId9" Type="http://schemas.openxmlformats.org/officeDocument/2006/relationships/hyperlink" Target="http://www.upov.int/meetings/es/topic.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984</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SANCHEZ-VIZCAINO GOMEZ Rosa Maria</cp:lastModifiedBy>
  <cp:revision>5</cp:revision>
  <cp:lastPrinted>2014-02-24T15:15:00Z</cp:lastPrinted>
  <dcterms:created xsi:type="dcterms:W3CDTF">2014-01-27T10:45:00Z</dcterms:created>
  <dcterms:modified xsi:type="dcterms:W3CDTF">2014-02-24T15:15:00Z</dcterms:modified>
</cp:coreProperties>
</file>