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92EB9" w:rsidRPr="0080269A" w:rsidTr="00CD127F">
        <w:tc>
          <w:tcPr>
            <w:tcW w:w="4243" w:type="dxa"/>
          </w:tcPr>
          <w:p w:rsidR="00292EB9" w:rsidRPr="00C5280D" w:rsidRDefault="00292EB9" w:rsidP="006655D3"/>
        </w:tc>
        <w:tc>
          <w:tcPr>
            <w:tcW w:w="1646" w:type="dxa"/>
            <w:vAlign w:val="center"/>
          </w:tcPr>
          <w:p w:rsidR="00292EB9" w:rsidRPr="00B32F15" w:rsidRDefault="0080269A" w:rsidP="006655D3">
            <w:pPr>
              <w:pStyle w:val="LogoUPOV"/>
            </w:pPr>
            <w:r w:rsidRPr="00B32F15">
              <w:rPr>
                <w:noProof/>
              </w:rPr>
              <w:drawing>
                <wp:inline distT="0" distB="0" distL="0" distR="0" wp14:anchorId="3DB2970C" wp14:editId="07598A91">
                  <wp:extent cx="954405"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405" cy="445135"/>
                          </a:xfrm>
                          <a:prstGeom prst="rect">
                            <a:avLst/>
                          </a:prstGeom>
                          <a:noFill/>
                          <a:ln>
                            <a:noFill/>
                          </a:ln>
                        </pic:spPr>
                      </pic:pic>
                    </a:graphicData>
                  </a:graphic>
                </wp:inline>
              </w:drawing>
            </w:r>
          </w:p>
        </w:tc>
        <w:tc>
          <w:tcPr>
            <w:tcW w:w="4242" w:type="dxa"/>
            <w:vAlign w:val="center"/>
          </w:tcPr>
          <w:p w:rsidR="00292EB9" w:rsidRPr="00B32F15" w:rsidRDefault="00292EB9" w:rsidP="006655D3">
            <w:pPr>
              <w:pStyle w:val="Lettrine"/>
              <w:rPr>
                <w:lang w:val="es-ES_tradnl"/>
              </w:rPr>
            </w:pPr>
            <w:r w:rsidRPr="00B32F15">
              <w:rPr>
                <w:lang w:val="es-ES_tradnl"/>
              </w:rPr>
              <w:t>S</w:t>
            </w:r>
          </w:p>
          <w:p w:rsidR="00292EB9" w:rsidRPr="00B32F15" w:rsidRDefault="00292EB9" w:rsidP="006655D3">
            <w:pPr>
              <w:pStyle w:val="Docoriginal"/>
              <w:rPr>
                <w:lang w:val="es-ES_tradnl"/>
              </w:rPr>
            </w:pPr>
            <w:r w:rsidRPr="00B32F15">
              <w:rPr>
                <w:lang w:val="es-ES_tradnl"/>
              </w:rPr>
              <w:t>TC/50/</w:t>
            </w:r>
            <w:bookmarkStart w:id="0" w:name="Code"/>
            <w:bookmarkEnd w:id="0"/>
            <w:r w:rsidRPr="00B32F15">
              <w:rPr>
                <w:lang w:val="es-ES_tradnl"/>
              </w:rPr>
              <w:t>12</w:t>
            </w:r>
          </w:p>
          <w:p w:rsidR="00292EB9" w:rsidRPr="00B32F15" w:rsidRDefault="00292EB9" w:rsidP="00150809">
            <w:pPr>
              <w:pStyle w:val="Docoriginal"/>
              <w:rPr>
                <w:b w:val="0"/>
                <w:spacing w:val="0"/>
                <w:lang w:val="es-ES_tradnl"/>
              </w:rPr>
            </w:pPr>
            <w:r w:rsidRPr="00B32F15">
              <w:rPr>
                <w:rStyle w:val="StyleDoclangBold"/>
                <w:b/>
                <w:bCs/>
                <w:spacing w:val="0"/>
                <w:lang w:val="es-ES_tradnl"/>
              </w:rPr>
              <w:t>ORIGINAL:</w:t>
            </w:r>
            <w:r w:rsidRPr="00B32F15">
              <w:rPr>
                <w:rStyle w:val="StyleDocoriginalNotBold1"/>
                <w:spacing w:val="0"/>
                <w:lang w:val="es-ES_tradnl"/>
              </w:rPr>
              <w:t xml:space="preserve"> </w:t>
            </w:r>
            <w:r w:rsidRPr="00B32F15">
              <w:rPr>
                <w:spacing w:val="0"/>
                <w:lang w:val="es-ES_tradnl"/>
              </w:rPr>
              <w:t xml:space="preserve"> </w:t>
            </w:r>
            <w:bookmarkStart w:id="1" w:name="Original"/>
            <w:bookmarkEnd w:id="1"/>
            <w:r w:rsidRPr="00B32F15">
              <w:rPr>
                <w:b w:val="0"/>
                <w:spacing w:val="0"/>
                <w:lang w:val="es-ES_tradnl"/>
              </w:rPr>
              <w:t>Inglés</w:t>
            </w:r>
          </w:p>
          <w:p w:rsidR="00292EB9" w:rsidRPr="0080269A" w:rsidRDefault="00292EB9" w:rsidP="00B32F15">
            <w:pPr>
              <w:pStyle w:val="Docoriginal"/>
              <w:rPr>
                <w:lang w:val="es-ES_tradnl"/>
              </w:rPr>
            </w:pPr>
            <w:r w:rsidRPr="00B32F15">
              <w:rPr>
                <w:spacing w:val="0"/>
                <w:lang w:val="es-ES_tradnl"/>
              </w:rPr>
              <w:t>FECHA</w:t>
            </w:r>
            <w:r w:rsidRPr="00B32F15">
              <w:rPr>
                <w:color w:val="000000"/>
                <w:spacing w:val="0"/>
                <w:lang w:val="es-ES_tradnl"/>
              </w:rPr>
              <w:t xml:space="preserve">: </w:t>
            </w:r>
            <w:r w:rsidRPr="00B32F15">
              <w:rPr>
                <w:rStyle w:val="StyleDocoriginalNotBold1"/>
                <w:color w:val="000000"/>
                <w:spacing w:val="0"/>
                <w:lang w:val="es-ES_tradnl"/>
              </w:rPr>
              <w:t> </w:t>
            </w:r>
            <w:r w:rsidRPr="00B32F15">
              <w:rPr>
                <w:b w:val="0"/>
                <w:spacing w:val="0"/>
                <w:lang w:val="es-ES_tradnl"/>
              </w:rPr>
              <w:t>2</w:t>
            </w:r>
            <w:r w:rsidR="00B32F15" w:rsidRPr="00B32F15">
              <w:rPr>
                <w:b w:val="0"/>
                <w:spacing w:val="0"/>
                <w:lang w:val="es-ES_tradnl"/>
              </w:rPr>
              <w:t>7</w:t>
            </w:r>
            <w:r w:rsidRPr="00B32F15">
              <w:rPr>
                <w:b w:val="0"/>
                <w:spacing w:val="0"/>
                <w:lang w:val="es-ES_tradnl"/>
              </w:rPr>
              <w:t xml:space="preserve"> de enero de 2014</w:t>
            </w:r>
          </w:p>
        </w:tc>
      </w:tr>
      <w:tr w:rsidR="00292EB9" w:rsidRPr="0080269A" w:rsidTr="00CD127F">
        <w:tc>
          <w:tcPr>
            <w:tcW w:w="10131" w:type="dxa"/>
            <w:gridSpan w:val="3"/>
          </w:tcPr>
          <w:p w:rsidR="00292EB9" w:rsidRPr="0080269A" w:rsidRDefault="00292EB9" w:rsidP="00F06E4B">
            <w:pPr>
              <w:pStyle w:val="upove"/>
              <w:rPr>
                <w:sz w:val="28"/>
                <w:lang w:val="es-ES_tradnl"/>
              </w:rPr>
            </w:pPr>
            <w:r w:rsidRPr="004055B7">
              <w:rPr>
                <w:spacing w:val="2"/>
                <w:lang w:val="es-ES_tradnl"/>
              </w:rPr>
              <w:t>UNIÓN INTERNACIONAL PARA LA PROTECCIÓN DE LAS OBTENCIONES VEGETALES</w:t>
            </w:r>
          </w:p>
        </w:tc>
      </w:tr>
      <w:tr w:rsidR="00292EB9" w:rsidRPr="00C5280D" w:rsidTr="00CD127F">
        <w:tc>
          <w:tcPr>
            <w:tcW w:w="10131" w:type="dxa"/>
            <w:gridSpan w:val="3"/>
          </w:tcPr>
          <w:p w:rsidR="00292EB9" w:rsidRPr="00C5280D" w:rsidRDefault="00292EB9" w:rsidP="00F06E4B">
            <w:pPr>
              <w:pStyle w:val="Country"/>
            </w:pPr>
            <w:r w:rsidRPr="004055B7">
              <w:rPr>
                <w:lang w:val="es-ES_tradnl"/>
              </w:rPr>
              <w:t>Ginebra</w:t>
            </w:r>
          </w:p>
        </w:tc>
      </w:tr>
    </w:tbl>
    <w:p w:rsidR="00292EB9" w:rsidRPr="004055B7" w:rsidRDefault="00292EB9" w:rsidP="00150809">
      <w:pPr>
        <w:pStyle w:val="Sessiontc"/>
      </w:pPr>
      <w:r w:rsidRPr="004055B7">
        <w:rPr>
          <w:lang w:val="es-ES_tradnl"/>
        </w:rPr>
        <w:t>COMITÉ TÉCNICO</w:t>
      </w:r>
    </w:p>
    <w:p w:rsidR="00292EB9" w:rsidRPr="0080269A" w:rsidRDefault="00292EB9" w:rsidP="00150809">
      <w:pPr>
        <w:pStyle w:val="Sessiontcplacedate"/>
        <w:rPr>
          <w:lang w:val="es-ES_tradnl"/>
        </w:rPr>
      </w:pPr>
      <w:r w:rsidRPr="004055B7">
        <w:rPr>
          <w:lang w:val="es-ES_tradnl"/>
        </w:rPr>
        <w:t>Quincuagésima sesión</w:t>
      </w:r>
      <w:r w:rsidRPr="0080269A">
        <w:rPr>
          <w:lang w:val="es-ES_tradnl"/>
        </w:rPr>
        <w:br/>
      </w:r>
      <w:r w:rsidRPr="004055B7">
        <w:rPr>
          <w:lang w:val="es-ES_tradnl"/>
        </w:rPr>
        <w:t>Ginebra, 7 a 9 de abril de 2014</w:t>
      </w:r>
    </w:p>
    <w:p w:rsidR="00292EB9" w:rsidRPr="0080269A" w:rsidRDefault="00292EB9" w:rsidP="00CD127F">
      <w:pPr>
        <w:pStyle w:val="Titleofdoc0"/>
        <w:rPr>
          <w:lang w:val="es-ES_tradnl"/>
        </w:rPr>
      </w:pPr>
      <w:bookmarkStart w:id="2" w:name="TitleOfDoc"/>
      <w:bookmarkEnd w:id="2"/>
      <w:r w:rsidRPr="00CD127F">
        <w:rPr>
          <w:lang w:val="es-ES_tradnl"/>
        </w:rPr>
        <w:t>EVALUACIÓN DE LA HOMOGENEIDAD DE LAS PLANTAS FUERA DE TIPO</w:t>
      </w:r>
      <w:r w:rsidRPr="0080269A">
        <w:rPr>
          <w:lang w:val="es-ES_tradnl"/>
        </w:rPr>
        <w:br/>
      </w:r>
      <w:r w:rsidRPr="00CD127F">
        <w:rPr>
          <w:lang w:val="es-ES_tradnl"/>
        </w:rPr>
        <w:t xml:space="preserve">MEDIANTE LA OBSERVACIÓN DE MÁS DE UNA MUESTRA O </w:t>
      </w:r>
      <w:r w:rsidR="00B32F15">
        <w:rPr>
          <w:lang w:val="es-ES_tradnl"/>
        </w:rPr>
        <w:t xml:space="preserve">de </w:t>
      </w:r>
      <w:r w:rsidRPr="00CD127F">
        <w:rPr>
          <w:lang w:val="es-ES_tradnl"/>
        </w:rPr>
        <w:t>SUBMUESTRA</w:t>
      </w:r>
      <w:r w:rsidR="00B32F15">
        <w:rPr>
          <w:lang w:val="es-ES_tradnl"/>
        </w:rPr>
        <w:t>s</w:t>
      </w:r>
    </w:p>
    <w:p w:rsidR="00292EB9" w:rsidRPr="0080269A" w:rsidRDefault="00292EB9" w:rsidP="00C16F5E">
      <w:pPr>
        <w:pStyle w:val="preparedby1"/>
        <w:rPr>
          <w:lang w:val="es-ES_tradnl"/>
        </w:rPr>
      </w:pPr>
      <w:bookmarkStart w:id="3" w:name="Prepared"/>
      <w:bookmarkEnd w:id="3"/>
      <w:r w:rsidRPr="004055B7">
        <w:rPr>
          <w:lang w:val="es-ES_tradnl"/>
        </w:rPr>
        <w:t>Documento preparado por la Oficina de la Unión</w:t>
      </w:r>
      <w:r w:rsidRPr="0080269A">
        <w:rPr>
          <w:lang w:val="es-ES_tradnl"/>
        </w:rPr>
        <w:br/>
      </w:r>
      <w:r w:rsidRPr="0080269A">
        <w:rPr>
          <w:lang w:val="es-ES_tradnl"/>
        </w:rPr>
        <w:br/>
      </w:r>
      <w:r w:rsidRPr="004055B7">
        <w:rPr>
          <w:color w:val="948A77"/>
          <w:lang w:val="es-ES_tradnl"/>
        </w:rPr>
        <w:t>Descargo de responsabilidad</w:t>
      </w:r>
      <w:proofErr w:type="gramStart"/>
      <w:r w:rsidRPr="004055B7">
        <w:rPr>
          <w:color w:val="948A77"/>
          <w:lang w:val="es-ES_tradnl"/>
        </w:rPr>
        <w:t>:  el</w:t>
      </w:r>
      <w:proofErr w:type="gramEnd"/>
      <w:r w:rsidRPr="004055B7">
        <w:rPr>
          <w:color w:val="948A77"/>
          <w:lang w:val="es-ES_tradnl"/>
        </w:rPr>
        <w:t xml:space="preserve"> presente documento no constituye</w:t>
      </w:r>
      <w:r w:rsidRPr="004055B7">
        <w:rPr>
          <w:color w:val="948A77"/>
          <w:lang w:val="es-ES_tradnl"/>
        </w:rPr>
        <w:br/>
        <w:t>un documento de política u orientación de la UPOV</w:t>
      </w:r>
    </w:p>
    <w:p w:rsidR="00292EB9" w:rsidRPr="0080269A" w:rsidRDefault="00292EB9" w:rsidP="00183337">
      <w:pPr>
        <w:autoSpaceDE w:val="0"/>
        <w:autoSpaceDN w:val="0"/>
        <w:adjustRightInd w:val="0"/>
        <w:rPr>
          <w:rFonts w:eastAsia="MS Mincho"/>
          <w:color w:val="000000"/>
          <w:szCs w:val="24"/>
          <w:lang w:val="es-ES_tradnl" w:eastAsia="ja-JP"/>
        </w:rPr>
      </w:pPr>
      <w:r w:rsidRPr="00ED3415">
        <w:rPr>
          <w:szCs w:val="24"/>
        </w:rPr>
        <w:fldChar w:fldCharType="begin"/>
      </w:r>
      <w:r w:rsidRPr="0080269A">
        <w:rPr>
          <w:szCs w:val="24"/>
          <w:lang w:val="es-ES_tradnl"/>
        </w:rPr>
        <w:instrText xml:space="preserve"> AUTONUM  </w:instrText>
      </w:r>
      <w:r w:rsidRPr="00ED3415">
        <w:rPr>
          <w:szCs w:val="24"/>
        </w:rPr>
        <w:fldChar w:fldCharType="end"/>
      </w:r>
      <w:r w:rsidRPr="0080269A">
        <w:rPr>
          <w:szCs w:val="24"/>
          <w:lang w:val="es-ES_tradnl"/>
        </w:rPr>
        <w:tab/>
      </w:r>
      <w:r w:rsidRPr="00CD127F">
        <w:rPr>
          <w:rFonts w:eastAsia="MS Mincho"/>
          <w:color w:val="000000"/>
          <w:szCs w:val="24"/>
          <w:lang w:val="es-ES_tradnl" w:eastAsia="ja-JP"/>
        </w:rPr>
        <w:t xml:space="preserve">En el presente documento se informa de las novedades relativas al resumen de los métodos aplicados por los miembros de la Unión para evaluar la homogeneidad de las plantas fuera de tipo mediante la observación de más de una muestra o </w:t>
      </w:r>
      <w:r w:rsidR="00B32F15">
        <w:rPr>
          <w:rFonts w:eastAsia="MS Mincho"/>
          <w:color w:val="000000"/>
          <w:szCs w:val="24"/>
          <w:lang w:val="es-ES_tradnl" w:eastAsia="ja-JP"/>
        </w:rPr>
        <w:t xml:space="preserve">de </w:t>
      </w:r>
      <w:proofErr w:type="spellStart"/>
      <w:r w:rsidRPr="00CD127F">
        <w:rPr>
          <w:rFonts w:eastAsia="MS Mincho"/>
          <w:color w:val="000000"/>
          <w:szCs w:val="24"/>
          <w:lang w:val="es-ES_tradnl" w:eastAsia="ja-JP"/>
        </w:rPr>
        <w:t>submuestra</w:t>
      </w:r>
      <w:r w:rsidR="00B32F15">
        <w:rPr>
          <w:rFonts w:eastAsia="MS Mincho"/>
          <w:color w:val="000000"/>
          <w:szCs w:val="24"/>
          <w:lang w:val="es-ES_tradnl" w:eastAsia="ja-JP"/>
        </w:rPr>
        <w:t>s</w:t>
      </w:r>
      <w:proofErr w:type="spellEnd"/>
      <w:r w:rsidRPr="00CD127F">
        <w:rPr>
          <w:rFonts w:eastAsia="MS Mincho"/>
          <w:color w:val="000000"/>
          <w:szCs w:val="24"/>
          <w:lang w:val="es-ES_tradnl" w:eastAsia="ja-JP"/>
        </w:rPr>
        <w:t>.</w:t>
      </w:r>
    </w:p>
    <w:p w:rsidR="00292EB9" w:rsidRPr="0080269A" w:rsidRDefault="00292EB9" w:rsidP="00183337">
      <w:pPr>
        <w:autoSpaceDE w:val="0"/>
        <w:autoSpaceDN w:val="0"/>
        <w:adjustRightInd w:val="0"/>
        <w:rPr>
          <w:rFonts w:eastAsia="MS Mincho"/>
          <w:color w:val="000000"/>
          <w:szCs w:val="24"/>
          <w:lang w:val="es-ES_tradnl" w:eastAsia="ja-JP"/>
        </w:rPr>
      </w:pPr>
    </w:p>
    <w:p w:rsidR="00292EB9" w:rsidRPr="0080269A" w:rsidRDefault="00292EB9" w:rsidP="00C16F5E">
      <w:pPr>
        <w:rPr>
          <w:rFonts w:cs="Arial"/>
          <w:color w:val="000000"/>
          <w:lang w:val="es-ES_tradnl"/>
        </w:rPr>
      </w:pPr>
      <w:r w:rsidRPr="004F1C91">
        <w:rPr>
          <w:rFonts w:cs="Arial"/>
          <w:color w:val="000000"/>
        </w:rPr>
        <w:fldChar w:fldCharType="begin"/>
      </w:r>
      <w:r w:rsidRPr="0080269A">
        <w:rPr>
          <w:rFonts w:cs="Arial"/>
          <w:color w:val="000000"/>
          <w:lang w:val="es-ES_tradnl"/>
        </w:rPr>
        <w:instrText xml:space="preserve"> AUTONUM  </w:instrText>
      </w:r>
      <w:r w:rsidRPr="004F1C91">
        <w:rPr>
          <w:rFonts w:cs="Arial"/>
          <w:color w:val="000000"/>
        </w:rPr>
        <w:fldChar w:fldCharType="end"/>
      </w:r>
      <w:r w:rsidRPr="0080269A">
        <w:rPr>
          <w:rFonts w:cs="Arial"/>
          <w:color w:val="000000"/>
          <w:lang w:val="es-ES_tradnl"/>
        </w:rPr>
        <w:tab/>
      </w:r>
      <w:r w:rsidRPr="004055B7">
        <w:rPr>
          <w:rFonts w:cs="Arial"/>
          <w:lang w:val="es-ES_tradnl"/>
        </w:rPr>
        <w:t>En el presente documento se utilizan las abreviaturas siguientes:</w:t>
      </w:r>
    </w:p>
    <w:p w:rsidR="00292EB9" w:rsidRPr="0080269A" w:rsidRDefault="00292EB9" w:rsidP="00C16F5E">
      <w:pPr>
        <w:rPr>
          <w:rFonts w:cs="Arial"/>
          <w:color w:val="000000"/>
          <w:lang w:val="es-ES_tradnl"/>
        </w:rPr>
      </w:pPr>
    </w:p>
    <w:p w:rsidR="00292EB9" w:rsidRPr="0080269A" w:rsidRDefault="00292EB9" w:rsidP="00C16F5E">
      <w:pPr>
        <w:rPr>
          <w:rFonts w:cs="Arial"/>
          <w:lang w:val="es-ES_tradnl"/>
        </w:rPr>
      </w:pPr>
      <w:r w:rsidRPr="0080269A">
        <w:rPr>
          <w:rFonts w:cs="Arial"/>
          <w:lang w:val="es-ES_tradnl"/>
        </w:rPr>
        <w:tab/>
      </w:r>
      <w:r w:rsidRPr="004055B7">
        <w:rPr>
          <w:rFonts w:cs="Arial"/>
          <w:lang w:val="es-ES_tradnl"/>
        </w:rPr>
        <w:t>TC:</w:t>
      </w:r>
      <w:r w:rsidRPr="0080269A">
        <w:rPr>
          <w:rFonts w:cs="Arial"/>
          <w:lang w:val="es-ES_tradnl"/>
        </w:rPr>
        <w:tab/>
      </w:r>
      <w:r w:rsidRPr="0080269A">
        <w:rPr>
          <w:rFonts w:cs="Arial"/>
          <w:lang w:val="es-ES_tradnl"/>
        </w:rPr>
        <w:tab/>
      </w:r>
      <w:r w:rsidRPr="004055B7">
        <w:rPr>
          <w:rFonts w:cs="Arial"/>
          <w:lang w:val="es-ES_tradnl"/>
        </w:rPr>
        <w:t>Comité Técnico</w:t>
      </w:r>
    </w:p>
    <w:p w:rsidR="00292EB9" w:rsidRPr="0080269A" w:rsidRDefault="00292EB9" w:rsidP="00C16F5E">
      <w:pPr>
        <w:rPr>
          <w:rFonts w:eastAsia="PMingLiU" w:cs="Arial"/>
          <w:szCs w:val="24"/>
          <w:lang w:val="es-ES_tradnl"/>
        </w:rPr>
      </w:pPr>
      <w:r w:rsidRPr="0080269A">
        <w:rPr>
          <w:rFonts w:eastAsia="PMingLiU" w:cs="Arial"/>
          <w:szCs w:val="24"/>
          <w:lang w:val="es-ES_tradnl"/>
        </w:rPr>
        <w:tab/>
      </w:r>
      <w:r w:rsidRPr="004055B7">
        <w:rPr>
          <w:rFonts w:eastAsia="PMingLiU" w:cs="Arial"/>
          <w:szCs w:val="24"/>
          <w:lang w:val="es-ES_tradnl"/>
        </w:rPr>
        <w:t>TC-EDC:</w:t>
      </w:r>
      <w:r w:rsidRPr="0080269A">
        <w:rPr>
          <w:rFonts w:eastAsia="PMingLiU" w:cs="Arial"/>
          <w:szCs w:val="24"/>
          <w:lang w:val="es-ES_tradnl"/>
        </w:rPr>
        <w:tab/>
      </w:r>
      <w:r w:rsidRPr="004055B7">
        <w:rPr>
          <w:rFonts w:eastAsia="PMingLiU" w:cs="Arial"/>
          <w:szCs w:val="24"/>
          <w:lang w:val="es-ES_tradnl"/>
        </w:rPr>
        <w:t>Comité de Redacción Ampliado</w:t>
      </w:r>
    </w:p>
    <w:p w:rsidR="00292EB9" w:rsidRPr="0080269A" w:rsidRDefault="00292EB9" w:rsidP="00C16F5E">
      <w:pPr>
        <w:rPr>
          <w:rFonts w:eastAsia="PMingLiU" w:cs="Arial"/>
          <w:szCs w:val="24"/>
          <w:lang w:val="es-ES_tradnl"/>
        </w:rPr>
      </w:pPr>
      <w:r w:rsidRPr="0080269A">
        <w:rPr>
          <w:rFonts w:eastAsia="PMingLiU" w:cs="Arial"/>
          <w:szCs w:val="24"/>
          <w:lang w:val="es-ES_tradnl"/>
        </w:rPr>
        <w:tab/>
      </w:r>
      <w:r w:rsidRPr="004055B7">
        <w:rPr>
          <w:rFonts w:eastAsia="PMingLiU" w:cs="Arial"/>
          <w:szCs w:val="24"/>
          <w:lang w:val="es-ES_tradnl"/>
        </w:rPr>
        <w:t>TWA:</w:t>
      </w:r>
      <w:r w:rsidRPr="0080269A">
        <w:rPr>
          <w:rFonts w:eastAsia="PMingLiU" w:cs="Arial"/>
          <w:szCs w:val="24"/>
          <w:lang w:val="es-ES_tradnl"/>
        </w:rPr>
        <w:tab/>
      </w:r>
      <w:r w:rsidRPr="0080269A">
        <w:rPr>
          <w:rFonts w:eastAsia="PMingLiU" w:cs="Arial"/>
          <w:szCs w:val="24"/>
          <w:lang w:val="es-ES_tradnl"/>
        </w:rPr>
        <w:tab/>
      </w:r>
      <w:r w:rsidRPr="004055B7">
        <w:rPr>
          <w:rFonts w:eastAsia="PMingLiU" w:cs="Arial"/>
          <w:szCs w:val="24"/>
          <w:lang w:val="es-ES_tradnl"/>
        </w:rPr>
        <w:t>Grupo de Trabajo Técnico sobre Plantas Agrícolas</w:t>
      </w:r>
    </w:p>
    <w:p w:rsidR="00292EB9" w:rsidRPr="0080269A" w:rsidRDefault="00292EB9" w:rsidP="00C16F5E">
      <w:pPr>
        <w:rPr>
          <w:rFonts w:eastAsia="PMingLiU" w:cs="Arial"/>
          <w:szCs w:val="24"/>
          <w:lang w:val="es-ES_tradnl"/>
        </w:rPr>
      </w:pPr>
      <w:r w:rsidRPr="0080269A">
        <w:rPr>
          <w:rFonts w:eastAsia="PMingLiU" w:cs="Arial"/>
          <w:szCs w:val="24"/>
          <w:lang w:val="es-ES_tradnl"/>
        </w:rPr>
        <w:tab/>
      </w:r>
      <w:r w:rsidRPr="004055B7">
        <w:rPr>
          <w:rFonts w:eastAsia="PMingLiU" w:cs="Arial"/>
          <w:szCs w:val="24"/>
          <w:lang w:val="es-ES_tradnl"/>
        </w:rPr>
        <w:t>TWC:</w:t>
      </w:r>
      <w:r w:rsidRPr="0080269A">
        <w:rPr>
          <w:rFonts w:eastAsia="PMingLiU" w:cs="Arial"/>
          <w:szCs w:val="24"/>
          <w:lang w:val="es-ES_tradnl"/>
        </w:rPr>
        <w:tab/>
      </w:r>
      <w:r w:rsidRPr="0080269A">
        <w:rPr>
          <w:rFonts w:eastAsia="PMingLiU" w:cs="Arial"/>
          <w:szCs w:val="24"/>
          <w:lang w:val="es-ES_tradnl"/>
        </w:rPr>
        <w:tab/>
      </w:r>
      <w:r w:rsidRPr="004055B7">
        <w:rPr>
          <w:rFonts w:eastAsia="PMingLiU" w:cs="Arial"/>
          <w:szCs w:val="24"/>
          <w:lang w:val="es-ES_tradnl"/>
        </w:rPr>
        <w:t>Grupo de Trabajo Técnico sobre Automatización y Programas Informáticos</w:t>
      </w:r>
    </w:p>
    <w:p w:rsidR="00292EB9" w:rsidRPr="0080269A" w:rsidRDefault="00292EB9" w:rsidP="00C16F5E">
      <w:pPr>
        <w:rPr>
          <w:rFonts w:eastAsia="PMingLiU" w:cs="Arial"/>
          <w:szCs w:val="24"/>
          <w:lang w:val="es-ES_tradnl"/>
        </w:rPr>
      </w:pPr>
      <w:r w:rsidRPr="0080269A">
        <w:rPr>
          <w:rFonts w:eastAsia="PMingLiU" w:cs="Arial"/>
          <w:szCs w:val="24"/>
          <w:lang w:val="es-ES_tradnl"/>
        </w:rPr>
        <w:tab/>
      </w:r>
      <w:r w:rsidRPr="004055B7">
        <w:rPr>
          <w:rFonts w:eastAsia="PMingLiU" w:cs="Arial"/>
          <w:szCs w:val="24"/>
          <w:lang w:val="es-ES_tradnl"/>
        </w:rPr>
        <w:t>TWF:</w:t>
      </w:r>
      <w:r w:rsidRPr="0080269A">
        <w:rPr>
          <w:rFonts w:eastAsia="PMingLiU" w:cs="Arial"/>
          <w:szCs w:val="24"/>
          <w:lang w:val="es-ES_tradnl"/>
        </w:rPr>
        <w:t xml:space="preserve"> </w:t>
      </w:r>
      <w:r w:rsidRPr="0080269A">
        <w:rPr>
          <w:rFonts w:eastAsia="PMingLiU" w:cs="Arial"/>
          <w:szCs w:val="24"/>
          <w:lang w:val="es-ES_tradnl"/>
        </w:rPr>
        <w:tab/>
      </w:r>
      <w:r w:rsidRPr="0080269A">
        <w:rPr>
          <w:rFonts w:eastAsia="PMingLiU" w:cs="Arial"/>
          <w:szCs w:val="24"/>
          <w:lang w:val="es-ES_tradnl"/>
        </w:rPr>
        <w:tab/>
      </w:r>
      <w:r w:rsidRPr="004055B7">
        <w:rPr>
          <w:rFonts w:eastAsia="PMingLiU" w:cs="Arial"/>
          <w:szCs w:val="24"/>
          <w:lang w:val="es-ES_tradnl"/>
        </w:rPr>
        <w:t>Grupo de Trabajo Técnico sobre Plantas Frutales</w:t>
      </w:r>
    </w:p>
    <w:p w:rsidR="00292EB9" w:rsidRPr="0080269A" w:rsidRDefault="00292EB9" w:rsidP="00C16F5E">
      <w:pPr>
        <w:rPr>
          <w:rFonts w:eastAsia="PMingLiU" w:cs="Arial"/>
          <w:szCs w:val="24"/>
          <w:lang w:val="es-ES_tradnl"/>
        </w:rPr>
      </w:pPr>
      <w:r w:rsidRPr="0080269A">
        <w:rPr>
          <w:rFonts w:eastAsia="PMingLiU" w:cs="Arial"/>
          <w:szCs w:val="24"/>
          <w:lang w:val="es-ES_tradnl"/>
        </w:rPr>
        <w:tab/>
      </w:r>
      <w:r w:rsidRPr="004055B7">
        <w:rPr>
          <w:rFonts w:eastAsia="PMingLiU" w:cs="Arial"/>
          <w:szCs w:val="24"/>
          <w:lang w:val="es-ES_tradnl"/>
        </w:rPr>
        <w:t>TWO:</w:t>
      </w:r>
      <w:r w:rsidRPr="0080269A">
        <w:rPr>
          <w:rFonts w:eastAsia="PMingLiU" w:cs="Arial"/>
          <w:szCs w:val="24"/>
          <w:lang w:val="es-ES_tradnl"/>
        </w:rPr>
        <w:tab/>
      </w:r>
      <w:r w:rsidRPr="0080269A">
        <w:rPr>
          <w:rFonts w:eastAsia="PMingLiU" w:cs="Arial"/>
          <w:szCs w:val="24"/>
          <w:lang w:val="es-ES_tradnl"/>
        </w:rPr>
        <w:tab/>
      </w:r>
      <w:r w:rsidRPr="004055B7">
        <w:rPr>
          <w:rFonts w:eastAsia="PMingLiU" w:cs="Arial"/>
          <w:szCs w:val="24"/>
          <w:lang w:val="es-ES_tradnl"/>
        </w:rPr>
        <w:t>Grupo de Trabajo Técnico sobre Plantas Ornamentales y Árboles Forestales</w:t>
      </w:r>
    </w:p>
    <w:p w:rsidR="00292EB9" w:rsidRPr="0080269A" w:rsidRDefault="00292EB9" w:rsidP="00C16F5E">
      <w:pPr>
        <w:rPr>
          <w:rFonts w:eastAsia="PMingLiU" w:cs="Arial"/>
          <w:szCs w:val="24"/>
          <w:lang w:val="es-ES_tradnl"/>
        </w:rPr>
      </w:pPr>
      <w:r w:rsidRPr="0080269A">
        <w:rPr>
          <w:rFonts w:eastAsia="PMingLiU" w:cs="Arial"/>
          <w:szCs w:val="24"/>
          <w:lang w:val="es-ES_tradnl"/>
        </w:rPr>
        <w:tab/>
      </w:r>
      <w:r w:rsidRPr="004055B7">
        <w:rPr>
          <w:rFonts w:eastAsia="PMingLiU" w:cs="Arial"/>
          <w:szCs w:val="24"/>
          <w:lang w:val="es-ES_tradnl"/>
        </w:rPr>
        <w:t>TWP:</w:t>
      </w:r>
      <w:r w:rsidRPr="0080269A">
        <w:rPr>
          <w:rFonts w:eastAsia="PMingLiU" w:cs="Arial"/>
          <w:szCs w:val="24"/>
          <w:lang w:val="es-ES_tradnl"/>
        </w:rPr>
        <w:tab/>
      </w:r>
      <w:r w:rsidRPr="0080269A">
        <w:rPr>
          <w:rFonts w:eastAsia="PMingLiU" w:cs="Arial"/>
          <w:szCs w:val="24"/>
          <w:lang w:val="es-ES_tradnl"/>
        </w:rPr>
        <w:tab/>
      </w:r>
      <w:r w:rsidRPr="004055B7">
        <w:rPr>
          <w:rFonts w:eastAsia="PMingLiU" w:cs="Arial"/>
          <w:szCs w:val="24"/>
          <w:lang w:val="es-ES_tradnl"/>
        </w:rPr>
        <w:t>Grupos de Trabajo Técnico</w:t>
      </w:r>
    </w:p>
    <w:p w:rsidR="00292EB9" w:rsidRPr="0080269A" w:rsidRDefault="00292EB9" w:rsidP="00C16F5E">
      <w:pPr>
        <w:rPr>
          <w:rFonts w:eastAsia="PMingLiU" w:cs="Arial"/>
          <w:lang w:val="es-ES_tradnl"/>
        </w:rPr>
      </w:pPr>
      <w:r w:rsidRPr="0080269A">
        <w:rPr>
          <w:rFonts w:eastAsia="PMingLiU" w:cs="Arial"/>
          <w:szCs w:val="24"/>
          <w:lang w:val="es-ES_tradnl"/>
        </w:rPr>
        <w:tab/>
      </w:r>
      <w:r w:rsidRPr="004055B7">
        <w:rPr>
          <w:rFonts w:eastAsia="PMingLiU" w:cs="Arial"/>
          <w:szCs w:val="24"/>
          <w:lang w:val="es-ES_tradnl"/>
        </w:rPr>
        <w:t>TWV:</w:t>
      </w:r>
      <w:r w:rsidRPr="0080269A">
        <w:rPr>
          <w:rFonts w:eastAsia="PMingLiU" w:cs="Arial"/>
          <w:szCs w:val="24"/>
          <w:lang w:val="es-ES_tradnl"/>
        </w:rPr>
        <w:tab/>
      </w:r>
      <w:r w:rsidRPr="0080269A">
        <w:rPr>
          <w:rFonts w:eastAsia="PMingLiU" w:cs="Arial"/>
          <w:szCs w:val="24"/>
          <w:lang w:val="es-ES_tradnl"/>
        </w:rPr>
        <w:tab/>
      </w:r>
      <w:r w:rsidRPr="004055B7">
        <w:rPr>
          <w:rFonts w:eastAsia="PMingLiU" w:cs="Arial"/>
          <w:szCs w:val="24"/>
          <w:lang w:val="es-ES_tradnl"/>
        </w:rPr>
        <w:t>Grupo de Trabajo Técnico sobre Hortalizas</w:t>
      </w:r>
    </w:p>
    <w:p w:rsidR="00292EB9" w:rsidRPr="0080269A" w:rsidRDefault="00292EB9">
      <w:pPr>
        <w:jc w:val="left"/>
        <w:rPr>
          <w:lang w:val="es-ES_tradnl"/>
        </w:rPr>
      </w:pPr>
      <w:r w:rsidRPr="0080269A">
        <w:rPr>
          <w:lang w:val="es-ES_tradnl"/>
        </w:rPr>
        <w:br w:type="page"/>
      </w:r>
    </w:p>
    <w:p w:rsidR="00292EB9" w:rsidRPr="0080269A" w:rsidRDefault="00292EB9" w:rsidP="00183337">
      <w:pPr>
        <w:autoSpaceDE w:val="0"/>
        <w:autoSpaceDN w:val="0"/>
        <w:adjustRightInd w:val="0"/>
        <w:rPr>
          <w:lang w:val="es-ES_tradnl"/>
        </w:rPr>
      </w:pPr>
    </w:p>
    <w:p w:rsidR="00292EB9" w:rsidRPr="0080269A" w:rsidRDefault="00292EB9" w:rsidP="00CD127F">
      <w:pPr>
        <w:autoSpaceDE w:val="0"/>
        <w:autoSpaceDN w:val="0"/>
        <w:adjustRightInd w:val="0"/>
        <w:spacing w:before="120"/>
        <w:rPr>
          <w:rFonts w:eastAsia="MS Mincho"/>
          <w:color w:val="000000"/>
          <w:szCs w:val="24"/>
          <w:lang w:val="es-ES_tradnl" w:eastAsia="ja-JP"/>
        </w:rPr>
      </w:pPr>
      <w:r w:rsidRPr="005623A7">
        <w:fldChar w:fldCharType="begin"/>
      </w:r>
      <w:r w:rsidRPr="0080269A">
        <w:rPr>
          <w:lang w:val="es-ES_tradnl"/>
        </w:rPr>
        <w:instrText xml:space="preserve"> AUTONUM  </w:instrText>
      </w:r>
      <w:r w:rsidRPr="005623A7">
        <w:fldChar w:fldCharType="end"/>
      </w:r>
      <w:r w:rsidRPr="0080269A">
        <w:rPr>
          <w:lang w:val="es-ES_tradnl"/>
        </w:rPr>
        <w:tab/>
      </w:r>
      <w:r w:rsidRPr="004055B7">
        <w:rPr>
          <w:rFonts w:eastAsia="MS Mincho"/>
          <w:szCs w:val="24"/>
          <w:lang w:val="es-ES_tradnl" w:eastAsia="ja-JP"/>
        </w:rPr>
        <w:t>El presente documento se estructura del modo siguiente:</w:t>
      </w:r>
    </w:p>
    <w:p w:rsidR="00292EB9" w:rsidRPr="0080269A" w:rsidRDefault="00292EB9" w:rsidP="00183337">
      <w:pPr>
        <w:autoSpaceDE w:val="0"/>
        <w:autoSpaceDN w:val="0"/>
        <w:adjustRightInd w:val="0"/>
        <w:rPr>
          <w:rFonts w:eastAsia="MS Mincho"/>
          <w:color w:val="000000"/>
          <w:szCs w:val="16"/>
          <w:lang w:val="es-ES_tradnl" w:eastAsia="ja-JP"/>
        </w:rPr>
      </w:pPr>
      <w:bookmarkStart w:id="4" w:name="_GoBack"/>
      <w:bookmarkEnd w:id="4"/>
    </w:p>
    <w:p w:rsidR="00B32F15" w:rsidRDefault="00292EB9" w:rsidP="00B32F15">
      <w:pPr>
        <w:pStyle w:val="TOC1"/>
        <w:rPr>
          <w:rFonts w:asciiTheme="minorHAnsi" w:eastAsiaTheme="minorEastAsia" w:hAnsiTheme="minorHAnsi" w:cstheme="minorBidi"/>
          <w:noProof/>
          <w:sz w:val="22"/>
          <w:szCs w:val="22"/>
        </w:rPr>
      </w:pPr>
      <w:r w:rsidRPr="006C40F8">
        <w:rPr>
          <w:rFonts w:eastAsia="MS Mincho"/>
          <w:dstrike/>
          <w:szCs w:val="24"/>
          <w:lang w:eastAsia="ja-JP"/>
        </w:rPr>
        <w:fldChar w:fldCharType="begin"/>
      </w:r>
      <w:r w:rsidRPr="00BC440A">
        <w:rPr>
          <w:rFonts w:eastAsia="MS Mincho"/>
          <w:dstrike/>
          <w:szCs w:val="24"/>
          <w:lang w:val="es-ES_tradnl" w:eastAsia="ja-JP"/>
        </w:rPr>
        <w:instrText xml:space="preserve"> TOC \o "1-3" \u </w:instrText>
      </w:r>
      <w:r w:rsidRPr="006C40F8">
        <w:rPr>
          <w:rFonts w:eastAsia="MS Mincho"/>
          <w:dstrike/>
          <w:szCs w:val="24"/>
          <w:lang w:eastAsia="ja-JP"/>
        </w:rPr>
        <w:fldChar w:fldCharType="separate"/>
      </w:r>
      <w:r w:rsidR="00B32F15" w:rsidRPr="002310A5">
        <w:rPr>
          <w:rFonts w:eastAsia="MS Mincho"/>
          <w:noProof/>
          <w:lang w:val="es-ES_tradnl" w:eastAsia="ja-JP"/>
        </w:rPr>
        <w:t>I.</w:t>
      </w:r>
      <w:r w:rsidR="00B32F15">
        <w:rPr>
          <w:rFonts w:asciiTheme="minorHAnsi" w:eastAsiaTheme="minorEastAsia" w:hAnsiTheme="minorHAnsi" w:cstheme="minorBidi"/>
          <w:noProof/>
          <w:sz w:val="22"/>
          <w:szCs w:val="22"/>
        </w:rPr>
        <w:tab/>
      </w:r>
      <w:r w:rsidR="00B32F15" w:rsidRPr="002310A5">
        <w:rPr>
          <w:rFonts w:eastAsia="MS Mincho"/>
          <w:noProof/>
          <w:lang w:val="es-ES_tradnl" w:eastAsia="ja-JP"/>
        </w:rPr>
        <w:t>ANTECEDENTES</w:t>
      </w:r>
      <w:r w:rsidR="00B32F15">
        <w:rPr>
          <w:noProof/>
        </w:rPr>
        <w:tab/>
      </w:r>
      <w:r w:rsidR="00B32F15">
        <w:rPr>
          <w:noProof/>
        </w:rPr>
        <w:fldChar w:fldCharType="begin"/>
      </w:r>
      <w:r w:rsidR="00B32F15">
        <w:rPr>
          <w:noProof/>
        </w:rPr>
        <w:instrText xml:space="preserve"> PAGEREF _Toc380067137 \h </w:instrText>
      </w:r>
      <w:r w:rsidR="00B32F15">
        <w:rPr>
          <w:noProof/>
        </w:rPr>
      </w:r>
      <w:r w:rsidR="00B32F15">
        <w:rPr>
          <w:noProof/>
        </w:rPr>
        <w:fldChar w:fldCharType="separate"/>
      </w:r>
      <w:r w:rsidR="000A14DD">
        <w:rPr>
          <w:noProof/>
        </w:rPr>
        <w:t>2</w:t>
      </w:r>
      <w:r w:rsidR="00B32F15">
        <w:rPr>
          <w:noProof/>
        </w:rPr>
        <w:fldChar w:fldCharType="end"/>
      </w:r>
    </w:p>
    <w:p w:rsidR="00B32F15" w:rsidRDefault="00B32F15" w:rsidP="00B32F15">
      <w:pPr>
        <w:pStyle w:val="TOC1"/>
        <w:rPr>
          <w:rFonts w:asciiTheme="minorHAnsi" w:eastAsiaTheme="minorEastAsia" w:hAnsiTheme="minorHAnsi" w:cstheme="minorBidi"/>
          <w:noProof/>
          <w:sz w:val="22"/>
          <w:szCs w:val="22"/>
        </w:rPr>
      </w:pPr>
      <w:r w:rsidRPr="002310A5">
        <w:rPr>
          <w:rFonts w:eastAsia="MS Mincho"/>
          <w:noProof/>
          <w:lang w:val="es-ES_tradnl" w:eastAsia="ja-JP"/>
        </w:rPr>
        <w:t>II.</w:t>
      </w:r>
      <w:r>
        <w:rPr>
          <w:rFonts w:asciiTheme="minorHAnsi" w:eastAsiaTheme="minorEastAsia" w:hAnsiTheme="minorHAnsi" w:cstheme="minorBidi"/>
          <w:noProof/>
          <w:sz w:val="22"/>
          <w:szCs w:val="22"/>
        </w:rPr>
        <w:tab/>
      </w:r>
      <w:r w:rsidRPr="002310A5">
        <w:rPr>
          <w:rFonts w:eastAsia="MS Mincho"/>
          <w:noProof/>
          <w:lang w:val="es-ES_tradnl" w:eastAsia="ja-JP"/>
        </w:rPr>
        <w:t>NOVEDADES ACONTECIDAS EN 2012</w:t>
      </w:r>
      <w:r>
        <w:rPr>
          <w:noProof/>
        </w:rPr>
        <w:tab/>
      </w:r>
      <w:r>
        <w:rPr>
          <w:noProof/>
        </w:rPr>
        <w:fldChar w:fldCharType="begin"/>
      </w:r>
      <w:r>
        <w:rPr>
          <w:noProof/>
        </w:rPr>
        <w:instrText xml:space="preserve"> PAGEREF _Toc380067138 \h </w:instrText>
      </w:r>
      <w:r>
        <w:rPr>
          <w:noProof/>
        </w:rPr>
      </w:r>
      <w:r>
        <w:rPr>
          <w:noProof/>
        </w:rPr>
        <w:fldChar w:fldCharType="separate"/>
      </w:r>
      <w:r w:rsidR="000A14DD">
        <w:rPr>
          <w:noProof/>
        </w:rPr>
        <w:t>2</w:t>
      </w:r>
      <w:r>
        <w:rPr>
          <w:noProof/>
        </w:rPr>
        <w:fldChar w:fldCharType="end"/>
      </w:r>
    </w:p>
    <w:p w:rsidR="00B32F15" w:rsidRDefault="00B32F15">
      <w:pPr>
        <w:pStyle w:val="TOC2"/>
        <w:rPr>
          <w:rFonts w:asciiTheme="minorHAnsi" w:eastAsiaTheme="minorEastAsia" w:hAnsiTheme="minorHAnsi" w:cstheme="minorBidi"/>
          <w:smallCaps w:val="0"/>
          <w:noProof/>
          <w:sz w:val="22"/>
          <w:szCs w:val="22"/>
        </w:rPr>
      </w:pPr>
      <w:r w:rsidRPr="002310A5">
        <w:rPr>
          <w:rFonts w:eastAsia="MS Mincho"/>
          <w:noProof/>
          <w:lang w:val="es-ES_tradnl" w:eastAsia="ja-JP"/>
        </w:rPr>
        <w:t>Grupo de Trabajo Técnico sobre Plantas Agrícolas</w:t>
      </w:r>
      <w:r>
        <w:rPr>
          <w:noProof/>
        </w:rPr>
        <w:tab/>
      </w:r>
      <w:r>
        <w:rPr>
          <w:noProof/>
        </w:rPr>
        <w:fldChar w:fldCharType="begin"/>
      </w:r>
      <w:r>
        <w:rPr>
          <w:noProof/>
        </w:rPr>
        <w:instrText xml:space="preserve"> PAGEREF _Toc380067139 \h </w:instrText>
      </w:r>
      <w:r>
        <w:rPr>
          <w:noProof/>
        </w:rPr>
      </w:r>
      <w:r>
        <w:rPr>
          <w:noProof/>
        </w:rPr>
        <w:fldChar w:fldCharType="separate"/>
      </w:r>
      <w:r w:rsidR="000A14DD">
        <w:rPr>
          <w:noProof/>
        </w:rPr>
        <w:t>2</w:t>
      </w:r>
      <w:r>
        <w:rPr>
          <w:noProof/>
        </w:rPr>
        <w:fldChar w:fldCharType="end"/>
      </w:r>
    </w:p>
    <w:p w:rsidR="00B32F15" w:rsidRDefault="00B32F15">
      <w:pPr>
        <w:pStyle w:val="TOC2"/>
        <w:rPr>
          <w:rFonts w:asciiTheme="minorHAnsi" w:eastAsiaTheme="minorEastAsia" w:hAnsiTheme="minorHAnsi" w:cstheme="minorBidi"/>
          <w:smallCaps w:val="0"/>
          <w:noProof/>
          <w:sz w:val="22"/>
          <w:szCs w:val="22"/>
        </w:rPr>
      </w:pPr>
      <w:r w:rsidRPr="002310A5">
        <w:rPr>
          <w:noProof/>
          <w:lang w:val="es-ES_tradnl" w:eastAsia="de-DE"/>
        </w:rPr>
        <w:t>Grupo de Trabajo Técnico sobre Hortalizas</w:t>
      </w:r>
      <w:r>
        <w:rPr>
          <w:noProof/>
        </w:rPr>
        <w:tab/>
      </w:r>
      <w:r>
        <w:rPr>
          <w:noProof/>
        </w:rPr>
        <w:fldChar w:fldCharType="begin"/>
      </w:r>
      <w:r>
        <w:rPr>
          <w:noProof/>
        </w:rPr>
        <w:instrText xml:space="preserve"> PAGEREF _Toc380067140 \h </w:instrText>
      </w:r>
      <w:r>
        <w:rPr>
          <w:noProof/>
        </w:rPr>
      </w:r>
      <w:r>
        <w:rPr>
          <w:noProof/>
        </w:rPr>
        <w:fldChar w:fldCharType="separate"/>
      </w:r>
      <w:r w:rsidR="000A14DD">
        <w:rPr>
          <w:noProof/>
        </w:rPr>
        <w:t>3</w:t>
      </w:r>
      <w:r>
        <w:rPr>
          <w:noProof/>
        </w:rPr>
        <w:fldChar w:fldCharType="end"/>
      </w:r>
    </w:p>
    <w:p w:rsidR="00B32F15" w:rsidRDefault="00B32F15">
      <w:pPr>
        <w:pStyle w:val="TOC2"/>
        <w:rPr>
          <w:rFonts w:asciiTheme="minorHAnsi" w:eastAsiaTheme="minorEastAsia" w:hAnsiTheme="minorHAnsi" w:cstheme="minorBidi"/>
          <w:smallCaps w:val="0"/>
          <w:noProof/>
          <w:sz w:val="22"/>
          <w:szCs w:val="22"/>
        </w:rPr>
      </w:pPr>
      <w:r w:rsidRPr="002310A5">
        <w:rPr>
          <w:rFonts w:eastAsia="MS Mincho"/>
          <w:noProof/>
          <w:lang w:val="es-ES_tradnl" w:eastAsia="ja-JP"/>
        </w:rPr>
        <w:t>Grupo de Trabajo Técnico sobre Automatización y Programas Informáticos</w:t>
      </w:r>
      <w:r>
        <w:rPr>
          <w:noProof/>
        </w:rPr>
        <w:tab/>
      </w:r>
      <w:r>
        <w:rPr>
          <w:noProof/>
        </w:rPr>
        <w:fldChar w:fldCharType="begin"/>
      </w:r>
      <w:r>
        <w:rPr>
          <w:noProof/>
        </w:rPr>
        <w:instrText xml:space="preserve"> PAGEREF _Toc380067141 \h </w:instrText>
      </w:r>
      <w:r>
        <w:rPr>
          <w:noProof/>
        </w:rPr>
      </w:r>
      <w:r>
        <w:rPr>
          <w:noProof/>
        </w:rPr>
        <w:fldChar w:fldCharType="separate"/>
      </w:r>
      <w:r w:rsidR="000A14DD">
        <w:rPr>
          <w:noProof/>
        </w:rPr>
        <w:t>3</w:t>
      </w:r>
      <w:r>
        <w:rPr>
          <w:noProof/>
        </w:rPr>
        <w:fldChar w:fldCharType="end"/>
      </w:r>
    </w:p>
    <w:p w:rsidR="00B32F15" w:rsidRDefault="00B32F15">
      <w:pPr>
        <w:pStyle w:val="TOC2"/>
        <w:rPr>
          <w:rFonts w:asciiTheme="minorHAnsi" w:eastAsiaTheme="minorEastAsia" w:hAnsiTheme="minorHAnsi" w:cstheme="minorBidi"/>
          <w:smallCaps w:val="0"/>
          <w:noProof/>
          <w:sz w:val="22"/>
          <w:szCs w:val="22"/>
        </w:rPr>
      </w:pPr>
      <w:r w:rsidRPr="002310A5">
        <w:rPr>
          <w:rFonts w:eastAsia="MS Mincho"/>
          <w:noProof/>
          <w:lang w:val="es-ES_tradnl" w:eastAsia="ja-JP"/>
        </w:rPr>
        <w:t>Grupo de Trabajo Técnico sobre Plantas Frutales</w:t>
      </w:r>
      <w:r>
        <w:rPr>
          <w:noProof/>
        </w:rPr>
        <w:tab/>
      </w:r>
      <w:r>
        <w:rPr>
          <w:noProof/>
        </w:rPr>
        <w:fldChar w:fldCharType="begin"/>
      </w:r>
      <w:r>
        <w:rPr>
          <w:noProof/>
        </w:rPr>
        <w:instrText xml:space="preserve"> PAGEREF _Toc380067142 \h </w:instrText>
      </w:r>
      <w:r>
        <w:rPr>
          <w:noProof/>
        </w:rPr>
      </w:r>
      <w:r>
        <w:rPr>
          <w:noProof/>
        </w:rPr>
        <w:fldChar w:fldCharType="separate"/>
      </w:r>
      <w:r w:rsidR="000A14DD">
        <w:rPr>
          <w:noProof/>
        </w:rPr>
        <w:t>4</w:t>
      </w:r>
      <w:r>
        <w:rPr>
          <w:noProof/>
        </w:rPr>
        <w:fldChar w:fldCharType="end"/>
      </w:r>
    </w:p>
    <w:p w:rsidR="00B32F15" w:rsidRDefault="00B32F15">
      <w:pPr>
        <w:pStyle w:val="TOC2"/>
        <w:rPr>
          <w:rFonts w:asciiTheme="minorHAnsi" w:eastAsiaTheme="minorEastAsia" w:hAnsiTheme="minorHAnsi" w:cstheme="minorBidi"/>
          <w:smallCaps w:val="0"/>
          <w:noProof/>
          <w:sz w:val="22"/>
          <w:szCs w:val="22"/>
        </w:rPr>
      </w:pPr>
      <w:r w:rsidRPr="002310A5">
        <w:rPr>
          <w:rFonts w:eastAsia="MS Mincho"/>
          <w:noProof/>
          <w:lang w:val="es-ES_tradnl" w:eastAsia="ja-JP"/>
        </w:rPr>
        <w:t>Grupo de Trabajo Técnico sobre Plantas Ornamentales y Árboles Forestales</w:t>
      </w:r>
      <w:r>
        <w:rPr>
          <w:noProof/>
        </w:rPr>
        <w:tab/>
      </w:r>
      <w:r>
        <w:rPr>
          <w:noProof/>
        </w:rPr>
        <w:fldChar w:fldCharType="begin"/>
      </w:r>
      <w:r>
        <w:rPr>
          <w:noProof/>
        </w:rPr>
        <w:instrText xml:space="preserve"> PAGEREF _Toc380067143 \h </w:instrText>
      </w:r>
      <w:r>
        <w:rPr>
          <w:noProof/>
        </w:rPr>
      </w:r>
      <w:r>
        <w:rPr>
          <w:noProof/>
        </w:rPr>
        <w:fldChar w:fldCharType="separate"/>
      </w:r>
      <w:r w:rsidR="000A14DD">
        <w:rPr>
          <w:noProof/>
        </w:rPr>
        <w:t>4</w:t>
      </w:r>
      <w:r>
        <w:rPr>
          <w:noProof/>
        </w:rPr>
        <w:fldChar w:fldCharType="end"/>
      </w:r>
    </w:p>
    <w:p w:rsidR="00B32F15" w:rsidRDefault="00B32F15" w:rsidP="00B32F15">
      <w:pPr>
        <w:pStyle w:val="TOC1"/>
        <w:rPr>
          <w:rFonts w:asciiTheme="minorHAnsi" w:eastAsiaTheme="minorEastAsia" w:hAnsiTheme="minorHAnsi" w:cstheme="minorBidi"/>
          <w:noProof/>
          <w:sz w:val="22"/>
          <w:szCs w:val="22"/>
        </w:rPr>
      </w:pPr>
      <w:r w:rsidRPr="002310A5">
        <w:rPr>
          <w:noProof/>
          <w:lang w:val="es-ES_tradnl"/>
        </w:rPr>
        <w:t>III.</w:t>
      </w:r>
      <w:r>
        <w:rPr>
          <w:rFonts w:asciiTheme="minorHAnsi" w:eastAsiaTheme="minorEastAsia" w:hAnsiTheme="minorHAnsi" w:cstheme="minorBidi"/>
          <w:noProof/>
          <w:sz w:val="22"/>
          <w:szCs w:val="22"/>
        </w:rPr>
        <w:tab/>
      </w:r>
      <w:r w:rsidRPr="002310A5">
        <w:rPr>
          <w:noProof/>
          <w:lang w:val="es-ES_tradnl"/>
        </w:rPr>
        <w:t>NOVEDADES ACONTECIDAS EN 2013</w:t>
      </w:r>
      <w:r>
        <w:rPr>
          <w:noProof/>
        </w:rPr>
        <w:tab/>
      </w:r>
      <w:r>
        <w:rPr>
          <w:noProof/>
        </w:rPr>
        <w:fldChar w:fldCharType="begin"/>
      </w:r>
      <w:r>
        <w:rPr>
          <w:noProof/>
        </w:rPr>
        <w:instrText xml:space="preserve"> PAGEREF _Toc380067144 \h </w:instrText>
      </w:r>
      <w:r>
        <w:rPr>
          <w:noProof/>
        </w:rPr>
      </w:r>
      <w:r>
        <w:rPr>
          <w:noProof/>
        </w:rPr>
        <w:fldChar w:fldCharType="separate"/>
      </w:r>
      <w:r w:rsidR="000A14DD">
        <w:rPr>
          <w:noProof/>
        </w:rPr>
        <w:t>4</w:t>
      </w:r>
      <w:r>
        <w:rPr>
          <w:noProof/>
        </w:rPr>
        <w:fldChar w:fldCharType="end"/>
      </w:r>
    </w:p>
    <w:p w:rsidR="00B32F15" w:rsidRDefault="00B32F15">
      <w:pPr>
        <w:pStyle w:val="TOC2"/>
        <w:rPr>
          <w:rFonts w:asciiTheme="minorHAnsi" w:eastAsiaTheme="minorEastAsia" w:hAnsiTheme="minorHAnsi" w:cstheme="minorBidi"/>
          <w:smallCaps w:val="0"/>
          <w:noProof/>
          <w:sz w:val="22"/>
          <w:szCs w:val="22"/>
        </w:rPr>
      </w:pPr>
      <w:r w:rsidRPr="002310A5">
        <w:rPr>
          <w:rFonts w:eastAsia="MS Mincho"/>
          <w:noProof/>
          <w:lang w:val="es-ES_tradnl" w:eastAsia="ja-JP"/>
        </w:rPr>
        <w:t>Comité Técnico</w:t>
      </w:r>
      <w:r>
        <w:rPr>
          <w:noProof/>
        </w:rPr>
        <w:tab/>
      </w:r>
      <w:r>
        <w:rPr>
          <w:noProof/>
        </w:rPr>
        <w:fldChar w:fldCharType="begin"/>
      </w:r>
      <w:r>
        <w:rPr>
          <w:noProof/>
        </w:rPr>
        <w:instrText xml:space="preserve"> PAGEREF _Toc380067145 \h </w:instrText>
      </w:r>
      <w:r>
        <w:rPr>
          <w:noProof/>
        </w:rPr>
      </w:r>
      <w:r>
        <w:rPr>
          <w:noProof/>
        </w:rPr>
        <w:fldChar w:fldCharType="separate"/>
      </w:r>
      <w:r w:rsidR="000A14DD">
        <w:rPr>
          <w:noProof/>
        </w:rPr>
        <w:t>4</w:t>
      </w:r>
      <w:r>
        <w:rPr>
          <w:noProof/>
        </w:rPr>
        <w:fldChar w:fldCharType="end"/>
      </w:r>
    </w:p>
    <w:p w:rsidR="00B32F15" w:rsidRDefault="00B32F15">
      <w:pPr>
        <w:pStyle w:val="TOC2"/>
        <w:rPr>
          <w:rFonts w:asciiTheme="minorHAnsi" w:eastAsiaTheme="minorEastAsia" w:hAnsiTheme="minorHAnsi" w:cstheme="minorBidi"/>
          <w:smallCaps w:val="0"/>
          <w:noProof/>
          <w:sz w:val="22"/>
          <w:szCs w:val="22"/>
        </w:rPr>
      </w:pPr>
      <w:r w:rsidRPr="002310A5">
        <w:rPr>
          <w:rFonts w:eastAsia="MS Mincho"/>
          <w:noProof/>
          <w:lang w:val="es-ES_tradnl" w:eastAsia="ja-JP"/>
        </w:rPr>
        <w:t>Grupo de Trabajo Técnico sobre Plantas Ornamentales y Árboles Forestales</w:t>
      </w:r>
      <w:r>
        <w:rPr>
          <w:noProof/>
        </w:rPr>
        <w:tab/>
      </w:r>
      <w:r>
        <w:rPr>
          <w:noProof/>
        </w:rPr>
        <w:fldChar w:fldCharType="begin"/>
      </w:r>
      <w:r>
        <w:rPr>
          <w:noProof/>
        </w:rPr>
        <w:instrText xml:space="preserve"> PAGEREF _Toc380067146 \h </w:instrText>
      </w:r>
      <w:r>
        <w:rPr>
          <w:noProof/>
        </w:rPr>
      </w:r>
      <w:r>
        <w:rPr>
          <w:noProof/>
        </w:rPr>
        <w:fldChar w:fldCharType="separate"/>
      </w:r>
      <w:r w:rsidR="000A14DD">
        <w:rPr>
          <w:noProof/>
        </w:rPr>
        <w:t>5</w:t>
      </w:r>
      <w:r>
        <w:rPr>
          <w:noProof/>
        </w:rPr>
        <w:fldChar w:fldCharType="end"/>
      </w:r>
    </w:p>
    <w:p w:rsidR="00B32F15" w:rsidRDefault="00B32F15">
      <w:pPr>
        <w:pStyle w:val="TOC2"/>
        <w:rPr>
          <w:rFonts w:asciiTheme="minorHAnsi" w:eastAsiaTheme="minorEastAsia" w:hAnsiTheme="minorHAnsi" w:cstheme="minorBidi"/>
          <w:smallCaps w:val="0"/>
          <w:noProof/>
          <w:sz w:val="22"/>
          <w:szCs w:val="22"/>
        </w:rPr>
      </w:pPr>
      <w:r w:rsidRPr="002310A5">
        <w:rPr>
          <w:rFonts w:eastAsia="MS Mincho"/>
          <w:noProof/>
          <w:lang w:val="es-ES_tradnl" w:eastAsia="ja-JP"/>
        </w:rPr>
        <w:t>Grupo de Trabajo Técnico sobre Plantas Frutales</w:t>
      </w:r>
      <w:r>
        <w:rPr>
          <w:noProof/>
        </w:rPr>
        <w:tab/>
      </w:r>
      <w:r>
        <w:rPr>
          <w:noProof/>
        </w:rPr>
        <w:fldChar w:fldCharType="begin"/>
      </w:r>
      <w:r>
        <w:rPr>
          <w:noProof/>
        </w:rPr>
        <w:instrText xml:space="preserve"> PAGEREF _Toc380067147 \h </w:instrText>
      </w:r>
      <w:r>
        <w:rPr>
          <w:noProof/>
        </w:rPr>
      </w:r>
      <w:r>
        <w:rPr>
          <w:noProof/>
        </w:rPr>
        <w:fldChar w:fldCharType="separate"/>
      </w:r>
      <w:r w:rsidR="000A14DD">
        <w:rPr>
          <w:noProof/>
        </w:rPr>
        <w:t>5</w:t>
      </w:r>
      <w:r>
        <w:rPr>
          <w:noProof/>
        </w:rPr>
        <w:fldChar w:fldCharType="end"/>
      </w:r>
    </w:p>
    <w:p w:rsidR="00B32F15" w:rsidRDefault="00B32F15">
      <w:pPr>
        <w:pStyle w:val="TOC2"/>
        <w:rPr>
          <w:rFonts w:asciiTheme="minorHAnsi" w:eastAsiaTheme="minorEastAsia" w:hAnsiTheme="minorHAnsi" w:cstheme="minorBidi"/>
          <w:smallCaps w:val="0"/>
          <w:noProof/>
          <w:sz w:val="22"/>
          <w:szCs w:val="22"/>
        </w:rPr>
      </w:pPr>
      <w:r w:rsidRPr="002310A5">
        <w:rPr>
          <w:noProof/>
          <w:lang w:val="es-ES_tradnl" w:eastAsia="de-DE"/>
        </w:rPr>
        <w:t>Grupo de Trabajo Técnico sobre Hortalizas</w:t>
      </w:r>
      <w:r>
        <w:rPr>
          <w:noProof/>
        </w:rPr>
        <w:tab/>
      </w:r>
      <w:r>
        <w:rPr>
          <w:noProof/>
        </w:rPr>
        <w:fldChar w:fldCharType="begin"/>
      </w:r>
      <w:r>
        <w:rPr>
          <w:noProof/>
        </w:rPr>
        <w:instrText xml:space="preserve"> PAGEREF _Toc380067148 \h </w:instrText>
      </w:r>
      <w:r>
        <w:rPr>
          <w:noProof/>
        </w:rPr>
      </w:r>
      <w:r>
        <w:rPr>
          <w:noProof/>
        </w:rPr>
        <w:fldChar w:fldCharType="separate"/>
      </w:r>
      <w:r w:rsidR="000A14DD">
        <w:rPr>
          <w:noProof/>
        </w:rPr>
        <w:t>5</w:t>
      </w:r>
      <w:r>
        <w:rPr>
          <w:noProof/>
        </w:rPr>
        <w:fldChar w:fldCharType="end"/>
      </w:r>
    </w:p>
    <w:p w:rsidR="00B32F15" w:rsidRDefault="00B32F15">
      <w:pPr>
        <w:pStyle w:val="TOC2"/>
        <w:rPr>
          <w:rFonts w:asciiTheme="minorHAnsi" w:eastAsiaTheme="minorEastAsia" w:hAnsiTheme="minorHAnsi" w:cstheme="minorBidi"/>
          <w:smallCaps w:val="0"/>
          <w:noProof/>
          <w:sz w:val="22"/>
          <w:szCs w:val="22"/>
        </w:rPr>
      </w:pPr>
      <w:r w:rsidRPr="002310A5">
        <w:rPr>
          <w:rFonts w:eastAsia="MS Mincho"/>
          <w:noProof/>
          <w:lang w:val="es-ES_tradnl" w:eastAsia="ja-JP"/>
        </w:rPr>
        <w:t>Grupo de Trabajo Técnico sobre Automatización y Programas Informáticos</w:t>
      </w:r>
      <w:r>
        <w:rPr>
          <w:noProof/>
        </w:rPr>
        <w:tab/>
      </w:r>
      <w:r>
        <w:rPr>
          <w:noProof/>
        </w:rPr>
        <w:fldChar w:fldCharType="begin"/>
      </w:r>
      <w:r>
        <w:rPr>
          <w:noProof/>
        </w:rPr>
        <w:instrText xml:space="preserve"> PAGEREF _Toc380067149 \h </w:instrText>
      </w:r>
      <w:r>
        <w:rPr>
          <w:noProof/>
        </w:rPr>
      </w:r>
      <w:r>
        <w:rPr>
          <w:noProof/>
        </w:rPr>
        <w:fldChar w:fldCharType="separate"/>
      </w:r>
      <w:r w:rsidR="000A14DD">
        <w:rPr>
          <w:noProof/>
        </w:rPr>
        <w:t>7</w:t>
      </w:r>
      <w:r>
        <w:rPr>
          <w:noProof/>
        </w:rPr>
        <w:fldChar w:fldCharType="end"/>
      </w:r>
    </w:p>
    <w:p w:rsidR="00B32F15" w:rsidRDefault="00B32F15">
      <w:pPr>
        <w:pStyle w:val="TOC2"/>
        <w:rPr>
          <w:rFonts w:asciiTheme="minorHAnsi" w:eastAsiaTheme="minorEastAsia" w:hAnsiTheme="minorHAnsi" w:cstheme="minorBidi"/>
          <w:smallCaps w:val="0"/>
          <w:noProof/>
          <w:sz w:val="22"/>
          <w:szCs w:val="22"/>
        </w:rPr>
      </w:pPr>
      <w:r w:rsidRPr="002310A5">
        <w:rPr>
          <w:rFonts w:eastAsia="MS Mincho"/>
          <w:noProof/>
          <w:lang w:val="es-ES_tradnl" w:eastAsia="ja-JP"/>
        </w:rPr>
        <w:t>Grupo de Trabajo Técnico sobre Plantas Agrícolas</w:t>
      </w:r>
      <w:r>
        <w:rPr>
          <w:noProof/>
        </w:rPr>
        <w:tab/>
      </w:r>
      <w:r>
        <w:rPr>
          <w:noProof/>
        </w:rPr>
        <w:fldChar w:fldCharType="begin"/>
      </w:r>
      <w:r>
        <w:rPr>
          <w:noProof/>
        </w:rPr>
        <w:instrText xml:space="preserve"> PAGEREF _Toc380067150 \h </w:instrText>
      </w:r>
      <w:r>
        <w:rPr>
          <w:noProof/>
        </w:rPr>
      </w:r>
      <w:r>
        <w:rPr>
          <w:noProof/>
        </w:rPr>
        <w:fldChar w:fldCharType="separate"/>
      </w:r>
      <w:r w:rsidR="000A14DD">
        <w:rPr>
          <w:noProof/>
        </w:rPr>
        <w:t>7</w:t>
      </w:r>
      <w:r>
        <w:rPr>
          <w:noProof/>
        </w:rPr>
        <w:fldChar w:fldCharType="end"/>
      </w:r>
    </w:p>
    <w:p w:rsidR="00B32F15" w:rsidRDefault="00B32F15" w:rsidP="00B32F15">
      <w:pPr>
        <w:pStyle w:val="TOC1"/>
        <w:rPr>
          <w:rFonts w:asciiTheme="minorHAnsi" w:eastAsiaTheme="minorEastAsia" w:hAnsiTheme="minorHAnsi" w:cstheme="minorBidi"/>
          <w:noProof/>
          <w:sz w:val="22"/>
          <w:szCs w:val="22"/>
        </w:rPr>
      </w:pPr>
      <w:r w:rsidRPr="002310A5">
        <w:rPr>
          <w:noProof/>
          <w:lang w:val="es-ES_tradnl"/>
        </w:rPr>
        <w:t>IV.</w:t>
      </w:r>
      <w:r>
        <w:rPr>
          <w:rFonts w:asciiTheme="minorHAnsi" w:eastAsiaTheme="minorEastAsia" w:hAnsiTheme="minorHAnsi" w:cstheme="minorBidi"/>
          <w:noProof/>
          <w:sz w:val="22"/>
          <w:szCs w:val="22"/>
        </w:rPr>
        <w:tab/>
      </w:r>
      <w:r w:rsidRPr="002310A5">
        <w:rPr>
          <w:noProof/>
          <w:lang w:val="es-ES_tradnl"/>
        </w:rPr>
        <w:t>NOVEDADES ACONTECIDAS EN 2014</w:t>
      </w:r>
      <w:r>
        <w:rPr>
          <w:noProof/>
        </w:rPr>
        <w:tab/>
      </w:r>
      <w:r>
        <w:rPr>
          <w:noProof/>
        </w:rPr>
        <w:fldChar w:fldCharType="begin"/>
      </w:r>
      <w:r>
        <w:rPr>
          <w:noProof/>
        </w:rPr>
        <w:instrText xml:space="preserve"> PAGEREF _Toc380067151 \h </w:instrText>
      </w:r>
      <w:r>
        <w:rPr>
          <w:noProof/>
        </w:rPr>
      </w:r>
      <w:r>
        <w:rPr>
          <w:noProof/>
        </w:rPr>
        <w:fldChar w:fldCharType="separate"/>
      </w:r>
      <w:r w:rsidR="000A14DD">
        <w:rPr>
          <w:noProof/>
        </w:rPr>
        <w:t>8</w:t>
      </w:r>
      <w:r>
        <w:rPr>
          <w:noProof/>
        </w:rPr>
        <w:fldChar w:fldCharType="end"/>
      </w:r>
    </w:p>
    <w:p w:rsidR="00B32F15" w:rsidRDefault="00B32F15">
      <w:pPr>
        <w:pStyle w:val="TOC2"/>
        <w:rPr>
          <w:rFonts w:asciiTheme="minorHAnsi" w:eastAsiaTheme="minorEastAsia" w:hAnsiTheme="minorHAnsi" w:cstheme="minorBidi"/>
          <w:smallCaps w:val="0"/>
          <w:noProof/>
          <w:sz w:val="22"/>
          <w:szCs w:val="22"/>
        </w:rPr>
      </w:pPr>
      <w:r w:rsidRPr="002310A5">
        <w:rPr>
          <w:noProof/>
          <w:lang w:val="es-ES_tradnl"/>
        </w:rPr>
        <w:t>Comité de Redacción Ampliado</w:t>
      </w:r>
      <w:r>
        <w:rPr>
          <w:noProof/>
        </w:rPr>
        <w:tab/>
      </w:r>
      <w:r>
        <w:rPr>
          <w:noProof/>
        </w:rPr>
        <w:fldChar w:fldCharType="begin"/>
      </w:r>
      <w:r>
        <w:rPr>
          <w:noProof/>
        </w:rPr>
        <w:instrText xml:space="preserve"> PAGEREF _Toc380067152 \h </w:instrText>
      </w:r>
      <w:r>
        <w:rPr>
          <w:noProof/>
        </w:rPr>
      </w:r>
      <w:r>
        <w:rPr>
          <w:noProof/>
        </w:rPr>
        <w:fldChar w:fldCharType="separate"/>
      </w:r>
      <w:r w:rsidR="000A14DD">
        <w:rPr>
          <w:noProof/>
        </w:rPr>
        <w:t>8</w:t>
      </w:r>
      <w:r>
        <w:rPr>
          <w:noProof/>
        </w:rPr>
        <w:fldChar w:fldCharType="end"/>
      </w:r>
    </w:p>
    <w:p w:rsidR="00B32F15" w:rsidRDefault="00B32F15" w:rsidP="00B32F15">
      <w:pPr>
        <w:pStyle w:val="TOC1"/>
        <w:rPr>
          <w:rFonts w:asciiTheme="minorHAnsi" w:eastAsiaTheme="minorEastAsia" w:hAnsiTheme="minorHAnsi" w:cstheme="minorBidi"/>
          <w:noProof/>
          <w:sz w:val="22"/>
          <w:szCs w:val="22"/>
        </w:rPr>
      </w:pPr>
      <w:r w:rsidRPr="002310A5">
        <w:rPr>
          <w:noProof/>
          <w:lang w:val="es-ES_tradnl"/>
        </w:rPr>
        <w:t>V.</w:t>
      </w:r>
      <w:r>
        <w:rPr>
          <w:rFonts w:asciiTheme="minorHAnsi" w:eastAsiaTheme="minorEastAsia" w:hAnsiTheme="minorHAnsi" w:cstheme="minorBidi"/>
          <w:noProof/>
          <w:sz w:val="22"/>
          <w:szCs w:val="22"/>
        </w:rPr>
        <w:tab/>
      </w:r>
      <w:r w:rsidRPr="002310A5">
        <w:rPr>
          <w:noProof/>
          <w:lang w:val="es-ES_tradnl"/>
        </w:rPr>
        <w:t>RESUMEN DE métodos</w:t>
      </w:r>
      <w:r>
        <w:rPr>
          <w:noProof/>
        </w:rPr>
        <w:tab/>
      </w:r>
      <w:r>
        <w:rPr>
          <w:noProof/>
        </w:rPr>
        <w:fldChar w:fldCharType="begin"/>
      </w:r>
      <w:r>
        <w:rPr>
          <w:noProof/>
        </w:rPr>
        <w:instrText xml:space="preserve"> PAGEREF _Toc380067153 \h </w:instrText>
      </w:r>
      <w:r>
        <w:rPr>
          <w:noProof/>
        </w:rPr>
      </w:r>
      <w:r>
        <w:rPr>
          <w:noProof/>
        </w:rPr>
        <w:fldChar w:fldCharType="separate"/>
      </w:r>
      <w:r w:rsidR="000A14DD">
        <w:rPr>
          <w:noProof/>
        </w:rPr>
        <w:t>8</w:t>
      </w:r>
      <w:r>
        <w:rPr>
          <w:noProof/>
        </w:rPr>
        <w:fldChar w:fldCharType="end"/>
      </w:r>
    </w:p>
    <w:p w:rsidR="00292EB9" w:rsidRDefault="00292EB9" w:rsidP="00183337">
      <w:pPr>
        <w:autoSpaceDE w:val="0"/>
        <w:autoSpaceDN w:val="0"/>
        <w:adjustRightInd w:val="0"/>
        <w:spacing w:before="60"/>
        <w:jc w:val="left"/>
        <w:rPr>
          <w:rFonts w:eastAsia="MS Mincho"/>
          <w:caps/>
          <w:szCs w:val="24"/>
          <w:lang w:eastAsia="ja-JP"/>
        </w:rPr>
      </w:pPr>
      <w:r w:rsidRPr="006C40F8">
        <w:rPr>
          <w:rFonts w:eastAsia="MS Mincho"/>
          <w:dstrike/>
          <w:szCs w:val="24"/>
          <w:lang w:eastAsia="ja-JP"/>
        </w:rPr>
        <w:fldChar w:fldCharType="end"/>
      </w:r>
    </w:p>
    <w:p w:rsidR="00292EB9" w:rsidRPr="0080269A" w:rsidRDefault="00292EB9" w:rsidP="00CD127F">
      <w:pPr>
        <w:autoSpaceDE w:val="0"/>
        <w:autoSpaceDN w:val="0"/>
        <w:adjustRightInd w:val="0"/>
        <w:spacing w:before="60"/>
        <w:jc w:val="left"/>
        <w:rPr>
          <w:rFonts w:eastAsia="MS Mincho"/>
          <w:color w:val="000000"/>
          <w:szCs w:val="24"/>
          <w:lang w:val="es-ES_tradnl" w:eastAsia="ja-JP"/>
        </w:rPr>
      </w:pPr>
      <w:r w:rsidRPr="004055B7">
        <w:rPr>
          <w:rFonts w:eastAsia="MS Mincho"/>
          <w:szCs w:val="24"/>
          <w:lang w:val="es-ES_tradnl" w:eastAsia="ja-JP"/>
        </w:rPr>
        <w:t>ANEXO I:</w:t>
      </w:r>
      <w:r w:rsidRPr="0080269A">
        <w:rPr>
          <w:rFonts w:eastAsia="MS Mincho"/>
          <w:color w:val="000000"/>
          <w:szCs w:val="24"/>
          <w:lang w:val="es-ES_tradnl" w:eastAsia="ja-JP"/>
        </w:rPr>
        <w:t xml:space="preserve"> </w:t>
      </w:r>
      <w:r w:rsidRPr="0080269A">
        <w:rPr>
          <w:rFonts w:eastAsia="MS Mincho"/>
          <w:color w:val="000000"/>
          <w:szCs w:val="24"/>
          <w:lang w:val="es-ES_tradnl" w:eastAsia="ja-JP"/>
        </w:rPr>
        <w:tab/>
      </w:r>
      <w:r w:rsidRPr="0080269A">
        <w:rPr>
          <w:rFonts w:eastAsia="MS Mincho"/>
          <w:color w:val="000000"/>
          <w:szCs w:val="24"/>
          <w:lang w:val="es-ES_tradnl" w:eastAsia="ja-JP"/>
        </w:rPr>
        <w:tab/>
      </w:r>
      <w:r w:rsidRPr="00CD127F">
        <w:rPr>
          <w:rFonts w:eastAsia="MS Mincho"/>
          <w:color w:val="000000"/>
          <w:szCs w:val="24"/>
          <w:lang w:val="es-ES_tradnl" w:eastAsia="ja-JP"/>
        </w:rPr>
        <w:t>Situación A</w:t>
      </w:r>
      <w:proofErr w:type="gramStart"/>
      <w:r w:rsidRPr="00CD127F">
        <w:rPr>
          <w:rFonts w:eastAsia="MS Mincho"/>
          <w:color w:val="000000"/>
          <w:szCs w:val="24"/>
          <w:lang w:val="es-ES_tradnl" w:eastAsia="ja-JP"/>
        </w:rPr>
        <w:t>:</w:t>
      </w:r>
      <w:r w:rsidRPr="0080269A">
        <w:rPr>
          <w:rFonts w:eastAsia="MS Mincho"/>
          <w:color w:val="000000"/>
          <w:szCs w:val="24"/>
          <w:lang w:val="es-ES_tradnl" w:eastAsia="ja-JP"/>
        </w:rPr>
        <w:t xml:space="preserve">  </w:t>
      </w:r>
      <w:r w:rsidRPr="00CD127F">
        <w:rPr>
          <w:rFonts w:eastAsia="MS Mincho"/>
          <w:color w:val="000000"/>
          <w:szCs w:val="24"/>
          <w:lang w:val="es-ES_tradnl" w:eastAsia="ja-JP"/>
        </w:rPr>
        <w:t>Dos</w:t>
      </w:r>
      <w:proofErr w:type="gramEnd"/>
      <w:r w:rsidRPr="00CD127F">
        <w:rPr>
          <w:rFonts w:eastAsia="MS Mincho"/>
          <w:color w:val="000000"/>
          <w:szCs w:val="24"/>
          <w:lang w:val="es-ES_tradnl" w:eastAsia="ja-JP"/>
        </w:rPr>
        <w:t xml:space="preserve"> ciclos de cultivo en un solo lugar</w:t>
      </w:r>
    </w:p>
    <w:p w:rsidR="00292EB9" w:rsidRPr="0080269A" w:rsidRDefault="00292EB9" w:rsidP="00183337">
      <w:pPr>
        <w:tabs>
          <w:tab w:val="left" w:pos="1701"/>
        </w:tabs>
        <w:autoSpaceDE w:val="0"/>
        <w:autoSpaceDN w:val="0"/>
        <w:adjustRightInd w:val="0"/>
        <w:rPr>
          <w:rFonts w:eastAsia="MS Mincho"/>
          <w:color w:val="000000"/>
          <w:szCs w:val="24"/>
          <w:lang w:val="es-ES_tradnl" w:eastAsia="ja-JP"/>
        </w:rPr>
      </w:pPr>
      <w:r w:rsidRPr="004055B7">
        <w:rPr>
          <w:rFonts w:eastAsia="MS Mincho"/>
          <w:szCs w:val="24"/>
          <w:lang w:val="es-ES_tradnl" w:eastAsia="ja-JP"/>
        </w:rPr>
        <w:t>ANEXO II:</w:t>
      </w:r>
      <w:r w:rsidRPr="0080269A">
        <w:rPr>
          <w:rFonts w:eastAsia="MS Mincho"/>
          <w:color w:val="000000"/>
          <w:szCs w:val="24"/>
          <w:lang w:val="es-ES_tradnl" w:eastAsia="ja-JP"/>
        </w:rPr>
        <w:tab/>
      </w:r>
      <w:r w:rsidRPr="00CD127F">
        <w:rPr>
          <w:rFonts w:eastAsia="MS Mincho"/>
          <w:color w:val="000000"/>
          <w:szCs w:val="24"/>
          <w:lang w:val="es-ES_tradnl" w:eastAsia="ja-JP"/>
        </w:rPr>
        <w:t>Situación B</w:t>
      </w:r>
      <w:proofErr w:type="gramStart"/>
      <w:r w:rsidRPr="00CD127F">
        <w:rPr>
          <w:rFonts w:eastAsia="MS Mincho"/>
          <w:color w:val="000000"/>
          <w:szCs w:val="24"/>
          <w:lang w:val="es-ES_tradnl" w:eastAsia="ja-JP"/>
        </w:rPr>
        <w:t>:</w:t>
      </w:r>
      <w:r w:rsidRPr="0080269A">
        <w:rPr>
          <w:rFonts w:eastAsia="MS Mincho"/>
          <w:color w:val="000000"/>
          <w:szCs w:val="24"/>
          <w:lang w:val="es-ES_tradnl" w:eastAsia="ja-JP"/>
        </w:rPr>
        <w:t xml:space="preserve">  </w:t>
      </w:r>
      <w:r w:rsidRPr="00CD127F">
        <w:rPr>
          <w:rFonts w:eastAsia="MS Mincho"/>
          <w:color w:val="000000"/>
          <w:szCs w:val="24"/>
          <w:lang w:val="es-ES_tradnl" w:eastAsia="ja-JP"/>
        </w:rPr>
        <w:t>Dos</w:t>
      </w:r>
      <w:proofErr w:type="gramEnd"/>
      <w:r w:rsidRPr="00CD127F">
        <w:rPr>
          <w:rFonts w:eastAsia="MS Mincho"/>
          <w:color w:val="000000"/>
          <w:szCs w:val="24"/>
          <w:lang w:val="es-ES_tradnl" w:eastAsia="ja-JP"/>
        </w:rPr>
        <w:t xml:space="preserve"> lugares de cultivo en el mismo año</w:t>
      </w:r>
    </w:p>
    <w:p w:rsidR="00292EB9" w:rsidRPr="0080269A" w:rsidRDefault="00292EB9" w:rsidP="004055B7">
      <w:pPr>
        <w:tabs>
          <w:tab w:val="left" w:pos="1701"/>
        </w:tabs>
        <w:autoSpaceDE w:val="0"/>
        <w:autoSpaceDN w:val="0"/>
        <w:adjustRightInd w:val="0"/>
        <w:ind w:left="1701" w:hanging="1701"/>
        <w:rPr>
          <w:rFonts w:eastAsia="MS Mincho"/>
          <w:color w:val="000000"/>
          <w:szCs w:val="24"/>
          <w:lang w:val="es-ES_tradnl" w:eastAsia="ja-JP"/>
        </w:rPr>
      </w:pPr>
      <w:r w:rsidRPr="004055B7">
        <w:rPr>
          <w:rFonts w:eastAsia="MS Mincho"/>
          <w:szCs w:val="24"/>
          <w:lang w:val="es-ES_tradnl" w:eastAsia="ja-JP"/>
        </w:rPr>
        <w:t>ANEXO III:</w:t>
      </w:r>
      <w:r w:rsidRPr="0080269A">
        <w:rPr>
          <w:rFonts w:eastAsia="MS Mincho"/>
          <w:color w:val="000000"/>
          <w:szCs w:val="24"/>
          <w:lang w:val="es-ES_tradnl" w:eastAsia="ja-JP"/>
        </w:rPr>
        <w:tab/>
      </w:r>
      <w:r w:rsidRPr="00CD127F">
        <w:rPr>
          <w:rFonts w:eastAsia="MS Mincho"/>
          <w:color w:val="000000"/>
          <w:szCs w:val="24"/>
          <w:lang w:val="es-ES_tradnl" w:eastAsia="ja-JP"/>
        </w:rPr>
        <w:t>Situación C</w:t>
      </w:r>
      <w:proofErr w:type="gramStart"/>
      <w:r w:rsidRPr="00CD127F">
        <w:rPr>
          <w:rFonts w:eastAsia="MS Mincho"/>
          <w:color w:val="000000"/>
          <w:szCs w:val="24"/>
          <w:lang w:val="es-ES_tradnl" w:eastAsia="ja-JP"/>
        </w:rPr>
        <w:t>:</w:t>
      </w:r>
      <w:r w:rsidRPr="0080269A">
        <w:rPr>
          <w:rFonts w:eastAsia="MS Mincho"/>
          <w:color w:val="000000"/>
          <w:szCs w:val="24"/>
          <w:lang w:val="es-ES_tradnl" w:eastAsia="ja-JP"/>
        </w:rPr>
        <w:t xml:space="preserve">  </w:t>
      </w:r>
      <w:r w:rsidRPr="00CD127F">
        <w:rPr>
          <w:rFonts w:eastAsia="MS Mincho"/>
          <w:color w:val="000000"/>
          <w:szCs w:val="24"/>
          <w:lang w:val="es-ES_tradnl" w:eastAsia="ja-JP"/>
        </w:rPr>
        <w:t>Más</w:t>
      </w:r>
      <w:proofErr w:type="gramEnd"/>
      <w:r w:rsidRPr="00CD127F">
        <w:rPr>
          <w:rFonts w:eastAsia="MS Mincho"/>
          <w:color w:val="000000"/>
          <w:szCs w:val="24"/>
          <w:lang w:val="es-ES_tradnl" w:eastAsia="ja-JP"/>
        </w:rPr>
        <w:t xml:space="preserve"> de un examen o ensayo para la observación de un carácter en el mismo ciclo de cultivo</w:t>
      </w:r>
    </w:p>
    <w:p w:rsidR="00292EB9" w:rsidRPr="0080269A" w:rsidRDefault="00292EB9" w:rsidP="00183337">
      <w:pPr>
        <w:tabs>
          <w:tab w:val="left" w:pos="1701"/>
        </w:tabs>
        <w:autoSpaceDE w:val="0"/>
        <w:autoSpaceDN w:val="0"/>
        <w:adjustRightInd w:val="0"/>
        <w:rPr>
          <w:rFonts w:eastAsia="MS Mincho"/>
          <w:color w:val="000000"/>
          <w:szCs w:val="24"/>
          <w:lang w:val="es-ES_tradnl" w:eastAsia="ja-JP"/>
        </w:rPr>
      </w:pPr>
      <w:r w:rsidRPr="004055B7">
        <w:rPr>
          <w:rFonts w:eastAsia="MS Mincho"/>
          <w:szCs w:val="24"/>
          <w:lang w:val="es-ES_tradnl" w:eastAsia="ja-JP"/>
        </w:rPr>
        <w:t>ANEXO IV:</w:t>
      </w:r>
      <w:r w:rsidRPr="0080269A">
        <w:rPr>
          <w:rFonts w:eastAsia="MS Mincho"/>
          <w:color w:val="000000"/>
          <w:szCs w:val="24"/>
          <w:lang w:val="es-ES_tradnl" w:eastAsia="ja-JP"/>
        </w:rPr>
        <w:tab/>
      </w:r>
      <w:r w:rsidRPr="00CD127F">
        <w:rPr>
          <w:rFonts w:eastAsia="MS Mincho"/>
          <w:color w:val="000000"/>
          <w:szCs w:val="24"/>
          <w:lang w:val="es-ES_tradnl" w:eastAsia="ja-JP"/>
        </w:rPr>
        <w:t>Situación D</w:t>
      </w:r>
      <w:proofErr w:type="gramStart"/>
      <w:r w:rsidRPr="00CD127F">
        <w:rPr>
          <w:rFonts w:eastAsia="MS Mincho"/>
          <w:color w:val="000000"/>
          <w:szCs w:val="24"/>
          <w:lang w:val="es-ES_tradnl" w:eastAsia="ja-JP"/>
        </w:rPr>
        <w:t>:</w:t>
      </w:r>
      <w:r w:rsidRPr="0080269A">
        <w:rPr>
          <w:rFonts w:eastAsia="MS Mincho"/>
          <w:color w:val="000000"/>
          <w:szCs w:val="24"/>
          <w:lang w:val="es-ES_tradnl" w:eastAsia="ja-JP"/>
        </w:rPr>
        <w:t xml:space="preserve">  </w:t>
      </w:r>
      <w:r w:rsidRPr="00CD127F">
        <w:rPr>
          <w:rFonts w:eastAsia="MS Mincho"/>
          <w:color w:val="000000"/>
          <w:szCs w:val="24"/>
          <w:lang w:val="es-ES_tradnl" w:eastAsia="ja-JP"/>
        </w:rPr>
        <w:t>Evaluación</w:t>
      </w:r>
      <w:proofErr w:type="gramEnd"/>
      <w:r w:rsidRPr="00CD127F">
        <w:rPr>
          <w:rFonts w:eastAsia="MS Mincho"/>
          <w:color w:val="000000"/>
          <w:szCs w:val="24"/>
          <w:lang w:val="es-ES_tradnl" w:eastAsia="ja-JP"/>
        </w:rPr>
        <w:t xml:space="preserve"> de </w:t>
      </w:r>
      <w:proofErr w:type="spellStart"/>
      <w:r w:rsidRPr="00CD127F">
        <w:rPr>
          <w:rFonts w:eastAsia="MS Mincho"/>
          <w:color w:val="000000"/>
          <w:szCs w:val="24"/>
          <w:lang w:val="es-ES_tradnl" w:eastAsia="ja-JP"/>
        </w:rPr>
        <w:t>submuestras</w:t>
      </w:r>
      <w:proofErr w:type="spellEnd"/>
      <w:r w:rsidRPr="00CD127F">
        <w:rPr>
          <w:rFonts w:eastAsia="MS Mincho"/>
          <w:color w:val="000000"/>
          <w:szCs w:val="24"/>
          <w:lang w:val="es-ES_tradnl" w:eastAsia="ja-JP"/>
        </w:rPr>
        <w:t xml:space="preserve"> en único examen o ensayo</w:t>
      </w:r>
      <w:r w:rsidRPr="0080269A">
        <w:rPr>
          <w:rFonts w:eastAsia="MS Mincho"/>
          <w:color w:val="000000"/>
          <w:szCs w:val="24"/>
          <w:lang w:val="es-ES_tradnl" w:eastAsia="ja-JP"/>
        </w:rPr>
        <w:t xml:space="preserve"> </w:t>
      </w:r>
    </w:p>
    <w:p w:rsidR="00292EB9" w:rsidRPr="0080269A" w:rsidRDefault="00292EB9" w:rsidP="00183337">
      <w:pPr>
        <w:pStyle w:val="Heading1"/>
        <w:rPr>
          <w:rFonts w:eastAsia="MS Mincho"/>
          <w:lang w:val="es-ES_tradnl" w:eastAsia="ja-JP"/>
        </w:rPr>
      </w:pPr>
    </w:p>
    <w:p w:rsidR="00292EB9" w:rsidRPr="0080269A" w:rsidRDefault="00292EB9" w:rsidP="00183337">
      <w:pPr>
        <w:pStyle w:val="Heading1"/>
        <w:rPr>
          <w:rFonts w:eastAsia="MS Mincho"/>
          <w:lang w:val="es-ES_tradnl" w:eastAsia="ja-JP"/>
        </w:rPr>
      </w:pPr>
    </w:p>
    <w:p w:rsidR="00292EB9" w:rsidRPr="0080269A" w:rsidRDefault="00292EB9" w:rsidP="00183337">
      <w:pPr>
        <w:pStyle w:val="Heading1"/>
        <w:rPr>
          <w:rFonts w:eastAsia="MS Mincho"/>
          <w:lang w:val="es-ES_tradnl" w:eastAsia="ja-JP"/>
        </w:rPr>
      </w:pPr>
    </w:p>
    <w:p w:rsidR="00292EB9" w:rsidRPr="0080269A" w:rsidRDefault="00292EB9" w:rsidP="00E5345F">
      <w:pPr>
        <w:rPr>
          <w:rFonts w:eastAsia="MS Mincho"/>
          <w:lang w:val="es-ES_tradnl" w:eastAsia="ja-JP"/>
        </w:rPr>
      </w:pPr>
    </w:p>
    <w:p w:rsidR="00292EB9" w:rsidRPr="0080269A" w:rsidRDefault="00292EB9" w:rsidP="00183337">
      <w:pPr>
        <w:pStyle w:val="Heading1"/>
        <w:rPr>
          <w:rFonts w:eastAsia="MS Mincho"/>
          <w:lang w:val="es-ES_tradnl" w:eastAsia="ja-JP"/>
        </w:rPr>
      </w:pPr>
      <w:bookmarkStart w:id="5" w:name="_Toc380067137"/>
      <w:r w:rsidRPr="004055B7">
        <w:rPr>
          <w:rFonts w:eastAsia="MS Mincho"/>
          <w:lang w:val="es-ES_tradnl" w:eastAsia="ja-JP"/>
        </w:rPr>
        <w:t>I.</w:t>
      </w:r>
      <w:r w:rsidRPr="0080269A">
        <w:rPr>
          <w:rFonts w:eastAsia="MS Mincho"/>
          <w:lang w:val="es-ES_tradnl" w:eastAsia="ja-JP"/>
        </w:rPr>
        <w:tab/>
      </w:r>
      <w:r w:rsidRPr="004055B7">
        <w:rPr>
          <w:rFonts w:eastAsia="MS Mincho"/>
          <w:lang w:val="es-ES_tradnl" w:eastAsia="ja-JP"/>
        </w:rPr>
        <w:t>ANTECEDENTES</w:t>
      </w:r>
      <w:bookmarkEnd w:id="5"/>
    </w:p>
    <w:p w:rsidR="00292EB9" w:rsidRPr="0080269A" w:rsidRDefault="00292EB9" w:rsidP="00183337">
      <w:pPr>
        <w:keepNext/>
        <w:autoSpaceDE w:val="0"/>
        <w:autoSpaceDN w:val="0"/>
        <w:adjustRightInd w:val="0"/>
        <w:rPr>
          <w:rFonts w:eastAsia="MS Mincho"/>
          <w:color w:val="000000"/>
          <w:szCs w:val="24"/>
          <w:lang w:val="es-ES_tradnl" w:eastAsia="ja-JP"/>
        </w:rPr>
      </w:pPr>
    </w:p>
    <w:p w:rsidR="00292EB9" w:rsidRPr="0080269A" w:rsidRDefault="00292EB9" w:rsidP="00183337">
      <w:pPr>
        <w:rPr>
          <w:lang w:val="es-ES_tradnl"/>
        </w:rPr>
      </w:pPr>
      <w:r w:rsidRPr="005623A7">
        <w:fldChar w:fldCharType="begin"/>
      </w:r>
      <w:r w:rsidRPr="0080269A">
        <w:rPr>
          <w:lang w:val="es-ES_tradnl"/>
        </w:rPr>
        <w:instrText xml:space="preserve"> AUTONUM  </w:instrText>
      </w:r>
      <w:r w:rsidRPr="005623A7">
        <w:fldChar w:fldCharType="end"/>
      </w:r>
      <w:r w:rsidRPr="0080269A">
        <w:rPr>
          <w:lang w:val="es-ES_tradnl"/>
        </w:rPr>
        <w:tab/>
      </w:r>
      <w:r w:rsidRPr="00CD127F">
        <w:rPr>
          <w:szCs w:val="24"/>
          <w:lang w:val="es-ES_tradnl"/>
        </w:rPr>
        <w:t>Los antecedentes de esta cuestión f</w:t>
      </w:r>
      <w:r w:rsidR="00B32F15">
        <w:rPr>
          <w:szCs w:val="24"/>
          <w:lang w:val="es-ES_tradnl"/>
        </w:rPr>
        <w:t>iguran en el documento TC/48/14</w:t>
      </w:r>
      <w:r w:rsidRPr="00CD127F">
        <w:rPr>
          <w:szCs w:val="24"/>
          <w:lang w:val="es-ES_tradnl"/>
        </w:rPr>
        <w:t xml:space="preserve"> “Evaluación de la homogeneidad de las plantas fuera de tipo mediante la observación de una muestra o </w:t>
      </w:r>
      <w:proofErr w:type="spellStart"/>
      <w:r w:rsidRPr="00CD127F">
        <w:rPr>
          <w:szCs w:val="24"/>
          <w:lang w:val="es-ES_tradnl"/>
        </w:rPr>
        <w:t>submuestra</w:t>
      </w:r>
      <w:proofErr w:type="spellEnd"/>
      <w:r w:rsidRPr="00CD127F">
        <w:rPr>
          <w:szCs w:val="24"/>
          <w:lang w:val="es-ES_tradnl"/>
        </w:rPr>
        <w:t>”.</w:t>
      </w:r>
    </w:p>
    <w:p w:rsidR="00292EB9" w:rsidRPr="0080269A" w:rsidRDefault="00292EB9" w:rsidP="00183337">
      <w:pPr>
        <w:rPr>
          <w:lang w:val="es-ES_tradnl"/>
        </w:rPr>
      </w:pPr>
    </w:p>
    <w:p w:rsidR="00292EB9" w:rsidRPr="0080269A" w:rsidRDefault="00292EB9" w:rsidP="00183337">
      <w:pPr>
        <w:pStyle w:val="Heading1"/>
        <w:keepNext w:val="0"/>
        <w:rPr>
          <w:lang w:val="es-ES_tradnl"/>
        </w:rPr>
      </w:pPr>
    </w:p>
    <w:p w:rsidR="00292EB9" w:rsidRPr="0080269A" w:rsidRDefault="00292EB9" w:rsidP="00183337">
      <w:pPr>
        <w:pStyle w:val="Heading1"/>
        <w:keepNext w:val="0"/>
        <w:rPr>
          <w:rFonts w:eastAsia="MS Mincho"/>
          <w:lang w:val="es-ES_tradnl" w:eastAsia="ja-JP"/>
        </w:rPr>
      </w:pPr>
      <w:bookmarkStart w:id="6" w:name="_Toc380067138"/>
      <w:r w:rsidRPr="004055B7">
        <w:rPr>
          <w:rFonts w:eastAsia="MS Mincho"/>
          <w:lang w:val="es-ES_tradnl" w:eastAsia="ja-JP"/>
        </w:rPr>
        <w:t>II.</w:t>
      </w:r>
      <w:r w:rsidRPr="0080269A">
        <w:rPr>
          <w:rFonts w:eastAsia="MS Mincho"/>
          <w:lang w:val="es-ES_tradnl" w:eastAsia="ja-JP"/>
        </w:rPr>
        <w:tab/>
      </w:r>
      <w:r w:rsidRPr="004055B7">
        <w:rPr>
          <w:rFonts w:eastAsia="MS Mincho"/>
          <w:lang w:val="es-ES_tradnl" w:eastAsia="ja-JP"/>
        </w:rPr>
        <w:t>NOVEDADES ACONTECIDAS EN 2012</w:t>
      </w:r>
      <w:bookmarkEnd w:id="6"/>
      <w:r w:rsidRPr="0080269A">
        <w:rPr>
          <w:rFonts w:eastAsia="MS Mincho"/>
          <w:lang w:val="es-ES_tradnl" w:eastAsia="ja-JP"/>
        </w:rPr>
        <w:t xml:space="preserve"> </w:t>
      </w:r>
    </w:p>
    <w:p w:rsidR="00292EB9" w:rsidRPr="0080269A" w:rsidRDefault="00292EB9" w:rsidP="00183337">
      <w:pPr>
        <w:rPr>
          <w:rFonts w:eastAsia="MS Mincho"/>
          <w:color w:val="000000"/>
          <w:szCs w:val="24"/>
          <w:lang w:val="es-ES_tradnl" w:eastAsia="ja-JP"/>
        </w:rPr>
      </w:pPr>
    </w:p>
    <w:p w:rsidR="00292EB9" w:rsidRPr="0080269A" w:rsidRDefault="00292EB9" w:rsidP="00183337">
      <w:pPr>
        <w:pStyle w:val="Heading2"/>
        <w:keepNext w:val="0"/>
        <w:rPr>
          <w:lang w:val="es-ES_tradnl"/>
        </w:rPr>
      </w:pPr>
      <w:bookmarkStart w:id="7" w:name="_Toc380067139"/>
      <w:r w:rsidRPr="004055B7">
        <w:rPr>
          <w:rFonts w:eastAsia="MS Mincho"/>
          <w:lang w:val="es-ES_tradnl" w:eastAsia="ja-JP"/>
        </w:rPr>
        <w:t>Grupo de Trabajo Técnico sobre Plantas Agrícolas</w:t>
      </w:r>
      <w:bookmarkEnd w:id="7"/>
    </w:p>
    <w:p w:rsidR="00292EB9" w:rsidRPr="0080269A" w:rsidRDefault="00292EB9" w:rsidP="00183337">
      <w:pPr>
        <w:rPr>
          <w:lang w:val="es-ES_tradnl"/>
        </w:rPr>
      </w:pPr>
    </w:p>
    <w:p w:rsidR="00292EB9" w:rsidRPr="0080269A" w:rsidRDefault="00292EB9" w:rsidP="00183337">
      <w:pPr>
        <w:autoSpaceDE w:val="0"/>
        <w:autoSpaceDN w:val="0"/>
        <w:adjustRightInd w:val="0"/>
        <w:rPr>
          <w:rFonts w:eastAsia="MS Mincho"/>
          <w:color w:val="000000"/>
          <w:szCs w:val="24"/>
          <w:lang w:val="es-ES_tradnl" w:eastAsia="ja-JP"/>
        </w:rPr>
      </w:pPr>
      <w:r w:rsidRPr="00CC4F79">
        <w:rPr>
          <w:rFonts w:cs="Arial"/>
        </w:rPr>
        <w:fldChar w:fldCharType="begin"/>
      </w:r>
      <w:r w:rsidRPr="0080269A">
        <w:rPr>
          <w:rFonts w:cs="Arial"/>
          <w:lang w:val="es-ES_tradnl"/>
        </w:rPr>
        <w:instrText xml:space="preserve"> AUTONUM  </w:instrText>
      </w:r>
      <w:r w:rsidRPr="00CC4F79">
        <w:rPr>
          <w:rFonts w:cs="Arial"/>
        </w:rPr>
        <w:fldChar w:fldCharType="end"/>
      </w:r>
      <w:r w:rsidRPr="0080269A">
        <w:rPr>
          <w:rFonts w:cs="Arial"/>
          <w:lang w:val="es-ES_tradnl"/>
        </w:rPr>
        <w:tab/>
      </w:r>
      <w:r w:rsidRPr="00CD127F">
        <w:rPr>
          <w:rFonts w:cs="Arial"/>
          <w:lang w:val="es-ES_tradnl"/>
        </w:rPr>
        <w:t>En su cuadragésima primera sesión, celebrada en Angers (Francia) del 21 al 25 de mayo de 2012, el TWA examinó el documento TWA/41/9</w:t>
      </w:r>
      <w:r w:rsidR="00B32F15">
        <w:rPr>
          <w:rFonts w:cs="Arial"/>
          <w:lang w:val="es-ES_tradnl"/>
        </w:rPr>
        <w:t xml:space="preserve"> “</w:t>
      </w:r>
      <w:proofErr w:type="spellStart"/>
      <w:r w:rsidRPr="0080269A">
        <w:rPr>
          <w:rFonts w:cs="Arial"/>
          <w:i/>
          <w:lang w:val="es-ES_tradnl"/>
        </w:rPr>
        <w:t>Assessing</w:t>
      </w:r>
      <w:proofErr w:type="spellEnd"/>
      <w:r w:rsidRPr="0080269A">
        <w:rPr>
          <w:rFonts w:cs="Arial"/>
          <w:i/>
          <w:lang w:val="es-ES_tradnl"/>
        </w:rPr>
        <w:t xml:space="preserve"> </w:t>
      </w:r>
      <w:proofErr w:type="spellStart"/>
      <w:r w:rsidRPr="0080269A">
        <w:rPr>
          <w:rFonts w:cs="Arial"/>
          <w:i/>
          <w:lang w:val="es-ES_tradnl"/>
        </w:rPr>
        <w:t>uniformity</w:t>
      </w:r>
      <w:proofErr w:type="spellEnd"/>
      <w:r w:rsidRPr="0080269A">
        <w:rPr>
          <w:rFonts w:cs="Arial"/>
          <w:i/>
          <w:lang w:val="es-ES_tradnl"/>
        </w:rPr>
        <w:t xml:space="preserve"> </w:t>
      </w:r>
      <w:proofErr w:type="spellStart"/>
      <w:r w:rsidRPr="0080269A">
        <w:rPr>
          <w:rFonts w:cs="Arial"/>
          <w:i/>
          <w:lang w:val="es-ES_tradnl"/>
        </w:rPr>
        <w:t>by</w:t>
      </w:r>
      <w:proofErr w:type="spellEnd"/>
      <w:r w:rsidRPr="0080269A">
        <w:rPr>
          <w:rFonts w:cs="Arial"/>
          <w:i/>
          <w:lang w:val="es-ES_tradnl"/>
        </w:rPr>
        <w:t xml:space="preserve"> off-</w:t>
      </w:r>
      <w:proofErr w:type="spellStart"/>
      <w:r w:rsidRPr="0080269A">
        <w:rPr>
          <w:rFonts w:cs="Arial"/>
          <w:i/>
          <w:lang w:val="es-ES_tradnl"/>
        </w:rPr>
        <w:t>types</w:t>
      </w:r>
      <w:proofErr w:type="spellEnd"/>
      <w:r w:rsidRPr="0080269A">
        <w:rPr>
          <w:rFonts w:cs="Arial"/>
          <w:i/>
          <w:lang w:val="es-ES_tradnl"/>
        </w:rPr>
        <w:t xml:space="preserve"> </w:t>
      </w:r>
      <w:proofErr w:type="spellStart"/>
      <w:r w:rsidRPr="0080269A">
        <w:rPr>
          <w:rFonts w:cs="Arial"/>
          <w:i/>
          <w:lang w:val="es-ES_tradnl"/>
        </w:rPr>
        <w:t>on</w:t>
      </w:r>
      <w:proofErr w:type="spellEnd"/>
      <w:r w:rsidRPr="0080269A">
        <w:rPr>
          <w:rFonts w:cs="Arial"/>
          <w:i/>
          <w:lang w:val="es-ES_tradnl"/>
        </w:rPr>
        <w:t xml:space="preserve"> </w:t>
      </w:r>
      <w:proofErr w:type="spellStart"/>
      <w:r w:rsidRPr="0080269A">
        <w:rPr>
          <w:rFonts w:cs="Arial"/>
          <w:i/>
          <w:lang w:val="es-ES_tradnl"/>
        </w:rPr>
        <w:t>the</w:t>
      </w:r>
      <w:proofErr w:type="spellEnd"/>
      <w:r w:rsidRPr="0080269A">
        <w:rPr>
          <w:rFonts w:cs="Arial"/>
          <w:i/>
          <w:lang w:val="es-ES_tradnl"/>
        </w:rPr>
        <w:t xml:space="preserve"> </w:t>
      </w:r>
      <w:proofErr w:type="spellStart"/>
      <w:r w:rsidRPr="0080269A">
        <w:rPr>
          <w:rFonts w:cs="Arial"/>
          <w:i/>
          <w:lang w:val="es-ES_tradnl"/>
        </w:rPr>
        <w:t>basis</w:t>
      </w:r>
      <w:proofErr w:type="spellEnd"/>
      <w:r w:rsidRPr="0080269A">
        <w:rPr>
          <w:rFonts w:cs="Arial"/>
          <w:i/>
          <w:lang w:val="es-ES_tradnl"/>
        </w:rPr>
        <w:t xml:space="preserve"> of more </w:t>
      </w:r>
      <w:proofErr w:type="spellStart"/>
      <w:r w:rsidRPr="0080269A">
        <w:rPr>
          <w:rFonts w:cs="Arial"/>
          <w:i/>
          <w:lang w:val="es-ES_tradnl"/>
        </w:rPr>
        <w:t>than</w:t>
      </w:r>
      <w:proofErr w:type="spellEnd"/>
      <w:r w:rsidRPr="0080269A">
        <w:rPr>
          <w:rFonts w:cs="Arial"/>
          <w:i/>
          <w:lang w:val="es-ES_tradnl"/>
        </w:rPr>
        <w:t xml:space="preserve"> </w:t>
      </w:r>
      <w:proofErr w:type="spellStart"/>
      <w:r w:rsidRPr="0080269A">
        <w:rPr>
          <w:rFonts w:cs="Arial"/>
          <w:i/>
          <w:lang w:val="es-ES_tradnl"/>
        </w:rPr>
        <w:t>one</w:t>
      </w:r>
      <w:proofErr w:type="spellEnd"/>
      <w:r w:rsidRPr="0080269A">
        <w:rPr>
          <w:rFonts w:cs="Arial"/>
          <w:i/>
          <w:lang w:val="es-ES_tradnl"/>
        </w:rPr>
        <w:t xml:space="preserve"> </w:t>
      </w:r>
      <w:proofErr w:type="spellStart"/>
      <w:r w:rsidRPr="0080269A">
        <w:rPr>
          <w:rFonts w:cs="Arial"/>
          <w:i/>
          <w:lang w:val="es-ES_tradnl"/>
        </w:rPr>
        <w:t>sample</w:t>
      </w:r>
      <w:proofErr w:type="spellEnd"/>
      <w:r w:rsidRPr="0080269A">
        <w:rPr>
          <w:rFonts w:cs="Arial"/>
          <w:i/>
          <w:lang w:val="es-ES_tradnl"/>
        </w:rPr>
        <w:t xml:space="preserve"> </w:t>
      </w:r>
      <w:proofErr w:type="spellStart"/>
      <w:r w:rsidRPr="0080269A">
        <w:rPr>
          <w:rFonts w:cs="Arial"/>
          <w:i/>
          <w:lang w:val="es-ES_tradnl"/>
        </w:rPr>
        <w:t>or</w:t>
      </w:r>
      <w:proofErr w:type="spellEnd"/>
      <w:r w:rsidRPr="0080269A">
        <w:rPr>
          <w:rFonts w:cs="Arial"/>
          <w:i/>
          <w:lang w:val="es-ES_tradnl"/>
        </w:rPr>
        <w:t xml:space="preserve"> sub-</w:t>
      </w:r>
      <w:proofErr w:type="spellStart"/>
      <w:r w:rsidRPr="0080269A">
        <w:rPr>
          <w:rFonts w:cs="Arial"/>
          <w:i/>
          <w:lang w:val="es-ES_tradnl"/>
        </w:rPr>
        <w:t>sample</w:t>
      </w:r>
      <w:proofErr w:type="spellEnd"/>
      <w:r w:rsidRPr="00CD127F">
        <w:rPr>
          <w:rFonts w:cs="Arial"/>
          <w:lang w:val="es-ES_tradnl"/>
        </w:rPr>
        <w:t xml:space="preserve">” (Evaluación de la homogeneidad de las plantas fuera de tipo mediante la observación de más de una muestra o </w:t>
      </w:r>
      <w:proofErr w:type="spellStart"/>
      <w:r w:rsidRPr="00CD127F">
        <w:rPr>
          <w:rFonts w:cs="Arial"/>
          <w:lang w:val="es-ES_tradnl"/>
        </w:rPr>
        <w:t>submuestra</w:t>
      </w:r>
      <w:proofErr w:type="spellEnd"/>
      <w:r w:rsidRPr="00CD127F">
        <w:rPr>
          <w:rFonts w:cs="Arial"/>
          <w:lang w:val="es-ES_tradnl"/>
        </w:rPr>
        <w:t>) (véase el párrafo 46 del documento TWA/41/34</w:t>
      </w:r>
      <w:r w:rsidR="00B32F15">
        <w:rPr>
          <w:rFonts w:cs="Arial"/>
          <w:lang w:val="es-ES_tradnl"/>
        </w:rPr>
        <w:t xml:space="preserve"> “</w:t>
      </w:r>
      <w:proofErr w:type="spellStart"/>
      <w:r w:rsidRPr="0080269A">
        <w:rPr>
          <w:rFonts w:cs="Arial"/>
          <w:i/>
          <w:lang w:val="es-ES_tradnl"/>
        </w:rPr>
        <w:t>Report</w:t>
      </w:r>
      <w:proofErr w:type="spellEnd"/>
      <w:r w:rsidRPr="00CD127F">
        <w:rPr>
          <w:rFonts w:cs="Arial"/>
          <w:lang w:val="es-ES_tradnl"/>
        </w:rPr>
        <w:t>”).</w:t>
      </w:r>
      <w:r w:rsidRPr="0080269A">
        <w:rPr>
          <w:rFonts w:cs="Arial"/>
          <w:lang w:val="es-ES_tradnl"/>
        </w:rPr>
        <w:t xml:space="preserve"> </w:t>
      </w:r>
    </w:p>
    <w:p w:rsidR="00292EB9" w:rsidRPr="0080269A" w:rsidRDefault="00292EB9" w:rsidP="00183337">
      <w:pPr>
        <w:rPr>
          <w:rFonts w:cs="Arial"/>
          <w:lang w:val="es-ES_tradnl"/>
        </w:rPr>
      </w:pPr>
    </w:p>
    <w:p w:rsidR="00292EB9" w:rsidRPr="0080269A" w:rsidRDefault="00292EB9" w:rsidP="00183337">
      <w:pPr>
        <w:rPr>
          <w:rFonts w:cs="Arial"/>
          <w:lang w:val="es-ES_tradnl"/>
        </w:rPr>
      </w:pPr>
      <w:r w:rsidRPr="00CC4F79">
        <w:rPr>
          <w:rFonts w:cs="Arial"/>
        </w:rPr>
        <w:fldChar w:fldCharType="begin"/>
      </w:r>
      <w:r w:rsidRPr="0080269A">
        <w:rPr>
          <w:rFonts w:cs="Arial"/>
          <w:lang w:val="es-ES_tradnl"/>
        </w:rPr>
        <w:instrText xml:space="preserve"> AUTONUM  </w:instrText>
      </w:r>
      <w:r w:rsidRPr="00CC4F79">
        <w:rPr>
          <w:rFonts w:cs="Arial"/>
        </w:rPr>
        <w:fldChar w:fldCharType="end"/>
      </w:r>
      <w:r w:rsidRPr="0080269A">
        <w:rPr>
          <w:rFonts w:cs="Arial"/>
          <w:lang w:val="es-ES_tradnl"/>
        </w:rPr>
        <w:tab/>
      </w:r>
      <w:r w:rsidRPr="00CD127F">
        <w:rPr>
          <w:rFonts w:cs="Arial"/>
          <w:lang w:val="es-ES_tradnl"/>
        </w:rPr>
        <w:t>En su cuadragésima primera sesión, el TWA convino en que se faciliten aclaraciones sobre las Situaciones A y B en caso de que se considere que el método en que se combinan los resultados de dos ciclos de cultivo corresponde al requisito de ciclos de cultivo “independientes” (véase el párrafo 47 del documento TWA/41/34</w:t>
      </w:r>
      <w:r w:rsidR="00B32F15">
        <w:rPr>
          <w:rFonts w:cs="Arial"/>
          <w:lang w:val="es-ES_tradnl"/>
        </w:rPr>
        <w:t xml:space="preserve"> “</w:t>
      </w:r>
      <w:proofErr w:type="spellStart"/>
      <w:r w:rsidRPr="0080269A">
        <w:rPr>
          <w:rFonts w:cs="Arial"/>
          <w:i/>
          <w:lang w:val="es-ES_tradnl"/>
        </w:rPr>
        <w:t>Report</w:t>
      </w:r>
      <w:proofErr w:type="spellEnd"/>
      <w:r w:rsidRPr="00CD127F">
        <w:rPr>
          <w:rFonts w:cs="Arial"/>
          <w:lang w:val="es-ES_tradnl"/>
        </w:rPr>
        <w:t>”).</w:t>
      </w:r>
    </w:p>
    <w:p w:rsidR="00292EB9" w:rsidRPr="0080269A" w:rsidRDefault="00292EB9" w:rsidP="00183337">
      <w:pPr>
        <w:rPr>
          <w:rFonts w:cs="Arial"/>
          <w:lang w:val="es-ES_tradnl"/>
        </w:rPr>
      </w:pPr>
    </w:p>
    <w:p w:rsidR="00292EB9" w:rsidRPr="0080269A" w:rsidRDefault="00292EB9" w:rsidP="00183337">
      <w:pPr>
        <w:rPr>
          <w:rFonts w:cs="Arial"/>
          <w:lang w:val="es-ES_tradnl"/>
        </w:rPr>
      </w:pPr>
      <w:r w:rsidRPr="00CC4F79">
        <w:rPr>
          <w:rFonts w:cs="Arial"/>
        </w:rPr>
        <w:fldChar w:fldCharType="begin"/>
      </w:r>
      <w:r w:rsidRPr="0080269A">
        <w:rPr>
          <w:rFonts w:cs="Arial"/>
          <w:lang w:val="es-ES_tradnl"/>
        </w:rPr>
        <w:instrText xml:space="preserve"> AUTONUM  </w:instrText>
      </w:r>
      <w:r w:rsidRPr="00CC4F79">
        <w:rPr>
          <w:rFonts w:cs="Arial"/>
        </w:rPr>
        <w:fldChar w:fldCharType="end"/>
      </w:r>
      <w:r w:rsidRPr="0080269A">
        <w:rPr>
          <w:rFonts w:cs="Arial"/>
          <w:lang w:val="es-ES_tradnl"/>
        </w:rPr>
        <w:tab/>
      </w:r>
      <w:r w:rsidRPr="00CD127F">
        <w:rPr>
          <w:rFonts w:cs="Arial"/>
          <w:lang w:val="es-ES_tradnl"/>
        </w:rPr>
        <w:t>En su cuadragésima primera sesión, el TWA tomó nota de la explicación ofrecida por el experto de la República Checa relativa a la supresión del ejemplo del manzano, debido a que en otros cultivos se utiliza el mismo método (véase el párrafo 48 del documento TWA/41/34</w:t>
      </w:r>
      <w:r w:rsidR="00B32F15">
        <w:rPr>
          <w:rFonts w:cs="Arial"/>
          <w:lang w:val="es-ES_tradnl"/>
        </w:rPr>
        <w:t xml:space="preserve"> “</w:t>
      </w:r>
      <w:proofErr w:type="spellStart"/>
      <w:r w:rsidRPr="0080269A">
        <w:rPr>
          <w:rFonts w:cs="Arial"/>
          <w:i/>
          <w:lang w:val="es-ES_tradnl"/>
        </w:rPr>
        <w:t>Report</w:t>
      </w:r>
      <w:proofErr w:type="spellEnd"/>
      <w:r w:rsidRPr="00CD127F">
        <w:rPr>
          <w:rFonts w:cs="Arial"/>
          <w:lang w:val="es-ES_tradnl"/>
        </w:rPr>
        <w:t>”).</w:t>
      </w:r>
    </w:p>
    <w:p w:rsidR="00292EB9" w:rsidRPr="0080269A" w:rsidRDefault="00292EB9" w:rsidP="00183337">
      <w:pPr>
        <w:rPr>
          <w:rFonts w:cs="Arial"/>
          <w:lang w:val="es-ES_tradnl"/>
        </w:rPr>
      </w:pPr>
    </w:p>
    <w:p w:rsidR="00292EB9" w:rsidRPr="0080269A" w:rsidRDefault="00292EB9" w:rsidP="00183337">
      <w:pPr>
        <w:rPr>
          <w:rFonts w:cs="Arial"/>
          <w:lang w:val="es-ES_tradnl"/>
        </w:rPr>
      </w:pPr>
      <w:r w:rsidRPr="00CC4F79">
        <w:rPr>
          <w:rFonts w:cs="Arial"/>
        </w:rPr>
        <w:lastRenderedPageBreak/>
        <w:fldChar w:fldCharType="begin"/>
      </w:r>
      <w:r w:rsidRPr="0080269A">
        <w:rPr>
          <w:rFonts w:cs="Arial"/>
          <w:lang w:val="es-ES_tradnl"/>
        </w:rPr>
        <w:instrText xml:space="preserve"> AUTONUM  </w:instrText>
      </w:r>
      <w:r w:rsidRPr="00CC4F79">
        <w:rPr>
          <w:rFonts w:cs="Arial"/>
        </w:rPr>
        <w:fldChar w:fldCharType="end"/>
      </w:r>
      <w:r w:rsidRPr="0080269A">
        <w:rPr>
          <w:rFonts w:cs="Arial"/>
          <w:lang w:val="es-ES_tradnl"/>
        </w:rPr>
        <w:tab/>
      </w:r>
      <w:r w:rsidRPr="00CD127F">
        <w:rPr>
          <w:rFonts w:cs="Arial"/>
          <w:lang w:val="es-ES_tradnl"/>
        </w:rPr>
        <w:t>A partir de la información facilitada en la reunión sobre la “Situación B</w:t>
      </w:r>
      <w:proofErr w:type="gramStart"/>
      <w:r w:rsidRPr="00CD127F">
        <w:rPr>
          <w:rFonts w:cs="Arial"/>
          <w:lang w:val="es-ES_tradnl"/>
        </w:rPr>
        <w:t>:  dos</w:t>
      </w:r>
      <w:proofErr w:type="gramEnd"/>
      <w:r w:rsidRPr="00CD127F">
        <w:rPr>
          <w:rFonts w:cs="Arial"/>
          <w:lang w:val="es-ES_tradnl"/>
        </w:rPr>
        <w:t xml:space="preserve"> lugares de cultivo en el mismo año, Método:  tercer ciclo de cultivo en caso de resultados contradictorios”, el TWA convino en revisar el texto, de modo que sea:</w:t>
      </w:r>
    </w:p>
    <w:p w:rsidR="00292EB9" w:rsidRPr="0080269A" w:rsidRDefault="00292EB9" w:rsidP="00183337">
      <w:pPr>
        <w:rPr>
          <w:rFonts w:cs="Arial"/>
          <w:lang w:val="es-ES_tradnl"/>
        </w:rPr>
      </w:pPr>
    </w:p>
    <w:p w:rsidR="00292EB9" w:rsidRPr="00BC440A" w:rsidRDefault="00292EB9" w:rsidP="00CD127F">
      <w:pPr>
        <w:keepNext/>
        <w:keepLines/>
        <w:spacing w:before="120" w:after="120"/>
        <w:ind w:left="562" w:right="708"/>
        <w:rPr>
          <w:rFonts w:eastAsia="SimSun"/>
          <w:lang w:val="es-ES_tradnl" w:eastAsia="zh-CN"/>
        </w:rPr>
      </w:pPr>
      <w:r w:rsidRPr="00CD127F">
        <w:rPr>
          <w:rFonts w:eastAsia="SimSun"/>
          <w:lang w:val="es-ES_tradnl" w:eastAsia="zh-CN"/>
        </w:rPr>
        <w:t>“[…] Si la variedad cumple el estándar de homogeneidad en un lugar de cultivo, pero no cumple el estándar de homogeneidad en el otro lugar de cultivo:</w:t>
      </w:r>
      <w:r w:rsidRPr="00BC440A">
        <w:rPr>
          <w:rFonts w:eastAsia="SimSun"/>
          <w:lang w:val="es-ES_tradnl" w:eastAsia="zh-CN"/>
        </w:rPr>
        <w:t xml:space="preserve"> </w:t>
      </w:r>
    </w:p>
    <w:p w:rsidR="00292EB9" w:rsidRPr="0080269A" w:rsidRDefault="00292EB9" w:rsidP="00CD127F">
      <w:pPr>
        <w:keepNext/>
        <w:keepLines/>
        <w:spacing w:before="120" w:after="120"/>
        <w:ind w:left="562" w:right="708"/>
        <w:rPr>
          <w:rFonts w:eastAsia="SimSun"/>
          <w:lang w:val="es-ES_tradnl" w:eastAsia="zh-CN"/>
        </w:rPr>
      </w:pPr>
      <w:r w:rsidRPr="00CD127F">
        <w:rPr>
          <w:rFonts w:eastAsia="SimSun"/>
          <w:lang w:val="es-ES_tradnl" w:eastAsia="zh-CN"/>
        </w:rPr>
        <w:t>Alternativa a)</w:t>
      </w:r>
      <w:r w:rsidRPr="0080269A">
        <w:rPr>
          <w:rFonts w:eastAsia="SimSun"/>
          <w:lang w:val="es-ES_tradnl" w:eastAsia="zh-CN"/>
        </w:rPr>
        <w:tab/>
      </w:r>
      <w:r w:rsidRPr="00CD127F">
        <w:rPr>
          <w:rFonts w:eastAsia="SimSun"/>
          <w:lang w:val="es-ES_tradnl" w:eastAsia="zh-CN"/>
        </w:rPr>
        <w:t>el ensayo se repite en ambos lugares un segundo año;</w:t>
      </w:r>
    </w:p>
    <w:p w:rsidR="00292EB9" w:rsidRPr="0080269A" w:rsidRDefault="00292EB9" w:rsidP="00CD127F">
      <w:pPr>
        <w:keepNext/>
        <w:keepLines/>
        <w:spacing w:before="120" w:after="120"/>
        <w:ind w:left="562" w:right="708"/>
        <w:rPr>
          <w:rFonts w:eastAsia="SimSun"/>
          <w:lang w:val="es-ES_tradnl" w:eastAsia="zh-CN"/>
        </w:rPr>
      </w:pPr>
      <w:r w:rsidRPr="004055B7">
        <w:rPr>
          <w:rFonts w:eastAsia="SimSun"/>
          <w:lang w:val="es-ES_tradnl" w:eastAsia="zh-CN"/>
        </w:rPr>
        <w:t>Alternativa b)</w:t>
      </w:r>
      <w:r w:rsidRPr="0080269A">
        <w:rPr>
          <w:rFonts w:eastAsia="SimSun"/>
          <w:lang w:val="es-ES_tradnl" w:eastAsia="zh-CN"/>
        </w:rPr>
        <w:tab/>
      </w:r>
      <w:r w:rsidRPr="00CD127F">
        <w:rPr>
          <w:rFonts w:eastAsia="SimSun"/>
          <w:lang w:val="es-ES_tradnl" w:eastAsia="zh-CN"/>
        </w:rPr>
        <w:t>el ensayo se repite en la estación principal (lugar) (Unión Europea)”</w:t>
      </w:r>
    </w:p>
    <w:p w:rsidR="00292EB9" w:rsidRPr="0080269A" w:rsidRDefault="00292EB9" w:rsidP="00183337">
      <w:pPr>
        <w:rPr>
          <w:rFonts w:eastAsia="PMingLiU" w:cs="Arial"/>
          <w:szCs w:val="24"/>
          <w:lang w:val="es-ES_tradnl"/>
        </w:rPr>
      </w:pPr>
      <w:r w:rsidRPr="00CD127F">
        <w:rPr>
          <w:rFonts w:cs="Arial"/>
          <w:szCs w:val="24"/>
          <w:lang w:val="es-ES_tradnl"/>
        </w:rPr>
        <w:t>(</w:t>
      </w:r>
      <w:proofErr w:type="gramStart"/>
      <w:r w:rsidRPr="00CD127F">
        <w:rPr>
          <w:rFonts w:cs="Arial"/>
          <w:szCs w:val="24"/>
          <w:lang w:val="es-ES_tradnl"/>
        </w:rPr>
        <w:t>véase</w:t>
      </w:r>
      <w:proofErr w:type="gramEnd"/>
      <w:r w:rsidRPr="00CD127F">
        <w:rPr>
          <w:rFonts w:cs="Arial"/>
          <w:szCs w:val="24"/>
          <w:lang w:val="es-ES_tradnl"/>
        </w:rPr>
        <w:t xml:space="preserve"> el párrafo 49 del documento TWA/41/34</w:t>
      </w:r>
      <w:r w:rsidR="00B32F15">
        <w:rPr>
          <w:rFonts w:cs="Arial"/>
          <w:szCs w:val="24"/>
          <w:lang w:val="es-ES_tradnl"/>
        </w:rPr>
        <w:t xml:space="preserve"> “</w:t>
      </w:r>
      <w:proofErr w:type="spellStart"/>
      <w:r w:rsidRPr="0080269A">
        <w:rPr>
          <w:rFonts w:cs="Arial"/>
          <w:i/>
          <w:szCs w:val="24"/>
          <w:lang w:val="es-ES_tradnl"/>
        </w:rPr>
        <w:t>Report</w:t>
      </w:r>
      <w:proofErr w:type="spellEnd"/>
      <w:r w:rsidRPr="00CD127F">
        <w:rPr>
          <w:rFonts w:cs="Arial"/>
          <w:szCs w:val="24"/>
          <w:lang w:val="es-ES_tradnl"/>
        </w:rPr>
        <w:t>”).</w:t>
      </w:r>
    </w:p>
    <w:p w:rsidR="00292EB9" w:rsidRPr="0080269A" w:rsidRDefault="00292EB9" w:rsidP="00183337">
      <w:pPr>
        <w:rPr>
          <w:rFonts w:cs="Arial"/>
          <w:lang w:val="es-ES_tradnl"/>
        </w:rPr>
      </w:pPr>
    </w:p>
    <w:p w:rsidR="00292EB9" w:rsidRPr="0080269A" w:rsidRDefault="00292EB9" w:rsidP="00183337">
      <w:pPr>
        <w:rPr>
          <w:rFonts w:cs="Arial"/>
          <w:lang w:val="es-ES_tradnl"/>
        </w:rPr>
      </w:pPr>
      <w:r w:rsidRPr="00CC4F79">
        <w:rPr>
          <w:rFonts w:cs="Arial"/>
        </w:rPr>
        <w:fldChar w:fldCharType="begin"/>
      </w:r>
      <w:r w:rsidRPr="0080269A">
        <w:rPr>
          <w:rFonts w:cs="Arial"/>
          <w:lang w:val="es-ES_tradnl"/>
        </w:rPr>
        <w:instrText xml:space="preserve"> AUTONUM  </w:instrText>
      </w:r>
      <w:r w:rsidRPr="00CC4F79">
        <w:rPr>
          <w:rFonts w:cs="Arial"/>
        </w:rPr>
        <w:fldChar w:fldCharType="end"/>
      </w:r>
      <w:r w:rsidRPr="0080269A">
        <w:rPr>
          <w:rFonts w:cs="Arial"/>
          <w:lang w:val="es-ES_tradnl"/>
        </w:rPr>
        <w:tab/>
      </w:r>
      <w:r w:rsidRPr="00CD127F">
        <w:rPr>
          <w:rFonts w:cs="Arial"/>
          <w:lang w:val="es-ES_tradnl"/>
        </w:rPr>
        <w:t>En el caso de la “Situación D</w:t>
      </w:r>
      <w:proofErr w:type="gramStart"/>
      <w:r w:rsidRPr="00CD127F">
        <w:rPr>
          <w:rFonts w:cs="Arial"/>
          <w:lang w:val="es-ES_tradnl"/>
        </w:rPr>
        <w:t>:  Evaluación</w:t>
      </w:r>
      <w:proofErr w:type="gramEnd"/>
      <w:r w:rsidRPr="00CD127F">
        <w:rPr>
          <w:rFonts w:cs="Arial"/>
          <w:lang w:val="es-ES_tradnl"/>
        </w:rPr>
        <w:t xml:space="preserve"> de </w:t>
      </w:r>
      <w:proofErr w:type="spellStart"/>
      <w:r w:rsidRPr="00CD127F">
        <w:rPr>
          <w:rFonts w:cs="Arial"/>
          <w:lang w:val="es-ES_tradnl"/>
        </w:rPr>
        <w:t>submuestras</w:t>
      </w:r>
      <w:proofErr w:type="spellEnd"/>
      <w:r w:rsidRPr="00CD127F">
        <w:rPr>
          <w:rFonts w:cs="Arial"/>
          <w:lang w:val="es-ES_tradnl"/>
        </w:rPr>
        <w:t xml:space="preserve"> en un único examen o ensayo, Método:  </w:t>
      </w:r>
      <w:proofErr w:type="spellStart"/>
      <w:r w:rsidRPr="00CD127F">
        <w:rPr>
          <w:rFonts w:cs="Arial"/>
          <w:lang w:val="es-ES_tradnl"/>
        </w:rPr>
        <w:t>submuestra</w:t>
      </w:r>
      <w:proofErr w:type="spellEnd"/>
      <w:r w:rsidRPr="00CD127F">
        <w:rPr>
          <w:rFonts w:cs="Arial"/>
          <w:lang w:val="es-ES_tradnl"/>
        </w:rPr>
        <w:t xml:space="preserve"> como primera etapa de la evaluación”, el TWA convino en que debía generalizarse la explicación (por ejemplo, no hacer referencia a 0 plantas fuera de tipo en la </w:t>
      </w:r>
      <w:proofErr w:type="spellStart"/>
      <w:r w:rsidRPr="00CD127F">
        <w:rPr>
          <w:rFonts w:cs="Arial"/>
          <w:lang w:val="es-ES_tradnl"/>
        </w:rPr>
        <w:t>submuestra</w:t>
      </w:r>
      <w:proofErr w:type="spellEnd"/>
      <w:r w:rsidRPr="00CD127F">
        <w:rPr>
          <w:rFonts w:cs="Arial"/>
          <w:lang w:val="es-ES_tradnl"/>
        </w:rPr>
        <w:t>) y debería facilitarse una explicación de la base estadística del método.</w:t>
      </w:r>
      <w:r w:rsidRPr="0080269A">
        <w:rPr>
          <w:rFonts w:cs="Arial"/>
          <w:lang w:val="es-ES_tradnl"/>
        </w:rPr>
        <w:t xml:space="preserve">  </w:t>
      </w:r>
      <w:r w:rsidRPr="00CD127F">
        <w:rPr>
          <w:rFonts w:cs="Arial"/>
          <w:lang w:val="es-ES_tradnl"/>
        </w:rPr>
        <w:t xml:space="preserve">El TWA convino además en que se invite a los expertos en estadística de Francia y Alemania para que expliquen las bases estadísticas en relación con el número aceptable de plantas fuera de tipo en la </w:t>
      </w:r>
      <w:proofErr w:type="spellStart"/>
      <w:r w:rsidRPr="00CD127F">
        <w:rPr>
          <w:rFonts w:cs="Arial"/>
          <w:lang w:val="es-ES_tradnl"/>
        </w:rPr>
        <w:t>submuestra</w:t>
      </w:r>
      <w:proofErr w:type="spellEnd"/>
      <w:r w:rsidRPr="00CD127F">
        <w:rPr>
          <w:rFonts w:cs="Arial"/>
          <w:lang w:val="es-ES_tradnl"/>
        </w:rPr>
        <w:t xml:space="preserve"> de 20 plantas que se utiliza en el contexto de un tamaño de muestra de 100 plantas (véase el párrafo 50 del documento TWA/41/34</w:t>
      </w:r>
      <w:r w:rsidR="00B32F15">
        <w:rPr>
          <w:rFonts w:cs="Arial"/>
          <w:lang w:val="es-ES_tradnl"/>
        </w:rPr>
        <w:t xml:space="preserve"> “</w:t>
      </w:r>
      <w:proofErr w:type="spellStart"/>
      <w:r w:rsidRPr="0080269A">
        <w:rPr>
          <w:rFonts w:cs="Arial"/>
          <w:i/>
          <w:lang w:val="es-ES_tradnl"/>
        </w:rPr>
        <w:t>Report</w:t>
      </w:r>
      <w:proofErr w:type="spellEnd"/>
      <w:r w:rsidRPr="00CD127F">
        <w:rPr>
          <w:rFonts w:cs="Arial"/>
          <w:lang w:val="es-ES_tradnl"/>
        </w:rPr>
        <w:t>”).</w:t>
      </w:r>
    </w:p>
    <w:p w:rsidR="00292EB9" w:rsidRPr="0080269A" w:rsidRDefault="00292EB9" w:rsidP="00183337">
      <w:pPr>
        <w:rPr>
          <w:rFonts w:cs="Arial"/>
          <w:lang w:val="es-ES_tradnl"/>
        </w:rPr>
      </w:pPr>
    </w:p>
    <w:p w:rsidR="00292EB9" w:rsidRPr="0080269A" w:rsidRDefault="00292EB9" w:rsidP="003232C8">
      <w:pPr>
        <w:rPr>
          <w:rFonts w:eastAsia="PMingLiU"/>
          <w:szCs w:val="24"/>
          <w:lang w:val="es-ES_tradnl"/>
        </w:rPr>
      </w:pPr>
      <w:r w:rsidRPr="00CC4F79">
        <w:fldChar w:fldCharType="begin"/>
      </w:r>
      <w:r w:rsidRPr="0080269A">
        <w:rPr>
          <w:lang w:val="es-ES_tradnl"/>
        </w:rPr>
        <w:instrText xml:space="preserve"> AUTONUM  </w:instrText>
      </w:r>
      <w:r w:rsidRPr="00CC4F79">
        <w:fldChar w:fldCharType="end"/>
      </w:r>
      <w:r w:rsidRPr="0080269A">
        <w:rPr>
          <w:lang w:val="es-ES_tradnl"/>
        </w:rPr>
        <w:tab/>
      </w:r>
      <w:r w:rsidRPr="00CD127F">
        <w:rPr>
          <w:lang w:val="es-ES_tradnl"/>
        </w:rPr>
        <w:t>En su cuadragésima primera sesión, el TWA tomó nota de que se invitará al TWC a facilitar orientación sobre las posibles consecuencias de diferentes métodos (véase el párrafo 51 del documento TWA/41/34</w:t>
      </w:r>
      <w:r w:rsidR="00B32F15">
        <w:rPr>
          <w:lang w:val="es-ES_tradnl"/>
        </w:rPr>
        <w:t xml:space="preserve"> “</w:t>
      </w:r>
      <w:proofErr w:type="spellStart"/>
      <w:r w:rsidRPr="0080269A">
        <w:rPr>
          <w:i/>
          <w:lang w:val="es-ES_tradnl"/>
        </w:rPr>
        <w:t>Report</w:t>
      </w:r>
      <w:proofErr w:type="spellEnd"/>
      <w:r w:rsidRPr="00CD127F">
        <w:rPr>
          <w:lang w:val="es-ES_tradnl"/>
        </w:rPr>
        <w:t>”</w:t>
      </w:r>
      <w:r w:rsidRPr="00CD127F">
        <w:rPr>
          <w:rFonts w:eastAsia="PMingLiU"/>
          <w:szCs w:val="24"/>
          <w:lang w:val="es-ES_tradnl"/>
        </w:rPr>
        <w:t>).</w:t>
      </w:r>
    </w:p>
    <w:p w:rsidR="00292EB9" w:rsidRPr="0080269A" w:rsidRDefault="00292EB9" w:rsidP="003232C8">
      <w:pPr>
        <w:rPr>
          <w:rFonts w:eastAsia="PMingLiU"/>
          <w:szCs w:val="24"/>
          <w:lang w:val="es-ES_tradnl"/>
        </w:rPr>
      </w:pPr>
    </w:p>
    <w:p w:rsidR="00292EB9" w:rsidRPr="0080269A" w:rsidRDefault="00292EB9" w:rsidP="003232C8">
      <w:pPr>
        <w:rPr>
          <w:rFonts w:eastAsia="PMingLiU"/>
          <w:szCs w:val="24"/>
          <w:lang w:val="es-ES_tradnl"/>
        </w:rPr>
      </w:pPr>
    </w:p>
    <w:p w:rsidR="00292EB9" w:rsidRPr="0080269A" w:rsidRDefault="00292EB9" w:rsidP="00183337">
      <w:pPr>
        <w:pStyle w:val="Heading2"/>
        <w:rPr>
          <w:lang w:val="es-ES_tradnl" w:eastAsia="de-DE"/>
        </w:rPr>
      </w:pPr>
      <w:bookmarkStart w:id="8" w:name="_Toc380067140"/>
      <w:r w:rsidRPr="004055B7">
        <w:rPr>
          <w:lang w:val="es-ES_tradnl" w:eastAsia="de-DE"/>
        </w:rPr>
        <w:t>Grupo de Trabajo Técnico sobre Hortalizas</w:t>
      </w:r>
      <w:bookmarkEnd w:id="8"/>
      <w:r w:rsidRPr="0080269A">
        <w:rPr>
          <w:lang w:val="es-ES_tradnl" w:eastAsia="de-DE"/>
        </w:rPr>
        <w:t xml:space="preserve"> </w:t>
      </w:r>
    </w:p>
    <w:p w:rsidR="00292EB9" w:rsidRPr="0080269A" w:rsidRDefault="00292EB9" w:rsidP="003232C8">
      <w:pPr>
        <w:rPr>
          <w:lang w:val="es-ES_tradnl" w:eastAsia="de-DE"/>
        </w:rPr>
      </w:pPr>
    </w:p>
    <w:p w:rsidR="00292EB9" w:rsidRPr="0080269A" w:rsidRDefault="00292EB9" w:rsidP="003232C8">
      <w:pPr>
        <w:rPr>
          <w:rFonts w:eastAsia="MS Mincho"/>
          <w:lang w:val="es-ES_tradnl" w:eastAsia="ja-JP"/>
        </w:rPr>
      </w:pPr>
      <w:r w:rsidRPr="00722A02">
        <w:rPr>
          <w:rFonts w:cs="Arial"/>
        </w:rPr>
        <w:fldChar w:fldCharType="begin"/>
      </w:r>
      <w:r w:rsidRPr="0080269A">
        <w:rPr>
          <w:rFonts w:cs="Arial"/>
          <w:lang w:val="es-ES_tradnl"/>
        </w:rPr>
        <w:instrText xml:space="preserve"> AUTONUM  </w:instrText>
      </w:r>
      <w:r w:rsidRPr="00722A02">
        <w:rPr>
          <w:rFonts w:cs="Arial"/>
        </w:rPr>
        <w:fldChar w:fldCharType="end"/>
      </w:r>
      <w:r w:rsidRPr="0080269A">
        <w:rPr>
          <w:rFonts w:cs="Arial"/>
          <w:lang w:val="es-ES_tradnl"/>
        </w:rPr>
        <w:tab/>
      </w:r>
      <w:r w:rsidRPr="00CD127F">
        <w:rPr>
          <w:rFonts w:cs="Arial"/>
          <w:lang w:val="es-ES_tradnl"/>
        </w:rPr>
        <w:t>En su cuadragésima sexta sesión, celebrada cerca de la ciudad de Venlo (Países Bajos) del 11 al 15 de junio de 2012, el TWV examinó el documento TWV/46/9</w:t>
      </w:r>
      <w:r w:rsidR="00B32F15">
        <w:rPr>
          <w:rFonts w:cs="Arial"/>
          <w:lang w:val="es-ES_tradnl"/>
        </w:rPr>
        <w:t xml:space="preserve"> “</w:t>
      </w:r>
      <w:proofErr w:type="spellStart"/>
      <w:r w:rsidRPr="0080269A">
        <w:rPr>
          <w:rFonts w:cs="Arial"/>
          <w:i/>
          <w:lang w:val="es-ES_tradnl"/>
        </w:rPr>
        <w:t>Assessing</w:t>
      </w:r>
      <w:proofErr w:type="spellEnd"/>
      <w:r w:rsidRPr="0080269A">
        <w:rPr>
          <w:rFonts w:cs="Arial"/>
          <w:i/>
          <w:lang w:val="es-ES_tradnl"/>
        </w:rPr>
        <w:t xml:space="preserve"> </w:t>
      </w:r>
      <w:proofErr w:type="spellStart"/>
      <w:r w:rsidRPr="0080269A">
        <w:rPr>
          <w:rFonts w:cs="Arial"/>
          <w:i/>
          <w:lang w:val="es-ES_tradnl"/>
        </w:rPr>
        <w:t>uniformity</w:t>
      </w:r>
      <w:proofErr w:type="spellEnd"/>
      <w:r w:rsidRPr="0080269A">
        <w:rPr>
          <w:rFonts w:cs="Arial"/>
          <w:i/>
          <w:lang w:val="es-ES_tradnl"/>
        </w:rPr>
        <w:t xml:space="preserve"> </w:t>
      </w:r>
      <w:proofErr w:type="spellStart"/>
      <w:r w:rsidRPr="0080269A">
        <w:rPr>
          <w:rFonts w:cs="Arial"/>
          <w:i/>
          <w:lang w:val="es-ES_tradnl"/>
        </w:rPr>
        <w:t>by</w:t>
      </w:r>
      <w:proofErr w:type="spellEnd"/>
      <w:r w:rsidRPr="0080269A">
        <w:rPr>
          <w:rFonts w:cs="Arial"/>
          <w:i/>
          <w:lang w:val="es-ES_tradnl"/>
        </w:rPr>
        <w:t xml:space="preserve"> off-</w:t>
      </w:r>
      <w:proofErr w:type="spellStart"/>
      <w:r w:rsidRPr="0080269A">
        <w:rPr>
          <w:rFonts w:cs="Arial"/>
          <w:i/>
          <w:lang w:val="es-ES_tradnl"/>
        </w:rPr>
        <w:t>types</w:t>
      </w:r>
      <w:proofErr w:type="spellEnd"/>
      <w:r w:rsidRPr="0080269A">
        <w:rPr>
          <w:rFonts w:cs="Arial"/>
          <w:i/>
          <w:lang w:val="es-ES_tradnl"/>
        </w:rPr>
        <w:t xml:space="preserve"> </w:t>
      </w:r>
      <w:proofErr w:type="spellStart"/>
      <w:r w:rsidRPr="0080269A">
        <w:rPr>
          <w:rFonts w:cs="Arial"/>
          <w:i/>
          <w:lang w:val="es-ES_tradnl"/>
        </w:rPr>
        <w:t>on</w:t>
      </w:r>
      <w:proofErr w:type="spellEnd"/>
      <w:r w:rsidRPr="0080269A">
        <w:rPr>
          <w:rFonts w:cs="Arial"/>
          <w:i/>
          <w:lang w:val="es-ES_tradnl"/>
        </w:rPr>
        <w:t xml:space="preserve"> </w:t>
      </w:r>
      <w:proofErr w:type="spellStart"/>
      <w:r w:rsidRPr="0080269A">
        <w:rPr>
          <w:rFonts w:cs="Arial"/>
          <w:i/>
          <w:lang w:val="es-ES_tradnl"/>
        </w:rPr>
        <w:t>the</w:t>
      </w:r>
      <w:proofErr w:type="spellEnd"/>
      <w:r w:rsidRPr="0080269A">
        <w:rPr>
          <w:rFonts w:cs="Arial"/>
          <w:i/>
          <w:lang w:val="es-ES_tradnl"/>
        </w:rPr>
        <w:t xml:space="preserve"> </w:t>
      </w:r>
      <w:proofErr w:type="spellStart"/>
      <w:r w:rsidRPr="0080269A">
        <w:rPr>
          <w:rFonts w:cs="Arial"/>
          <w:i/>
          <w:lang w:val="es-ES_tradnl"/>
        </w:rPr>
        <w:t>basis</w:t>
      </w:r>
      <w:proofErr w:type="spellEnd"/>
      <w:r w:rsidRPr="0080269A">
        <w:rPr>
          <w:rFonts w:cs="Arial"/>
          <w:i/>
          <w:lang w:val="es-ES_tradnl"/>
        </w:rPr>
        <w:t xml:space="preserve"> of more </w:t>
      </w:r>
      <w:proofErr w:type="spellStart"/>
      <w:r w:rsidRPr="0080269A">
        <w:rPr>
          <w:rFonts w:cs="Arial"/>
          <w:i/>
          <w:lang w:val="es-ES_tradnl"/>
        </w:rPr>
        <w:t>than</w:t>
      </w:r>
      <w:proofErr w:type="spellEnd"/>
      <w:r w:rsidRPr="0080269A">
        <w:rPr>
          <w:rFonts w:cs="Arial"/>
          <w:i/>
          <w:lang w:val="es-ES_tradnl"/>
        </w:rPr>
        <w:t xml:space="preserve"> </w:t>
      </w:r>
      <w:proofErr w:type="spellStart"/>
      <w:r w:rsidRPr="0080269A">
        <w:rPr>
          <w:rFonts w:cs="Arial"/>
          <w:i/>
          <w:lang w:val="es-ES_tradnl"/>
        </w:rPr>
        <w:t>one</w:t>
      </w:r>
      <w:proofErr w:type="spellEnd"/>
      <w:r w:rsidRPr="0080269A">
        <w:rPr>
          <w:rFonts w:cs="Arial"/>
          <w:i/>
          <w:lang w:val="es-ES_tradnl"/>
        </w:rPr>
        <w:t xml:space="preserve"> </w:t>
      </w:r>
      <w:proofErr w:type="spellStart"/>
      <w:r w:rsidRPr="0080269A">
        <w:rPr>
          <w:rFonts w:cs="Arial"/>
          <w:i/>
          <w:lang w:val="es-ES_tradnl"/>
        </w:rPr>
        <w:t>sample</w:t>
      </w:r>
      <w:proofErr w:type="spellEnd"/>
      <w:r w:rsidRPr="0080269A">
        <w:rPr>
          <w:rFonts w:cs="Arial"/>
          <w:i/>
          <w:lang w:val="es-ES_tradnl"/>
        </w:rPr>
        <w:t xml:space="preserve"> </w:t>
      </w:r>
      <w:proofErr w:type="spellStart"/>
      <w:r w:rsidRPr="0080269A">
        <w:rPr>
          <w:rFonts w:cs="Arial"/>
          <w:i/>
          <w:lang w:val="es-ES_tradnl"/>
        </w:rPr>
        <w:t>or</w:t>
      </w:r>
      <w:proofErr w:type="spellEnd"/>
      <w:r w:rsidRPr="0080269A">
        <w:rPr>
          <w:rFonts w:cs="Arial"/>
          <w:i/>
          <w:lang w:val="es-ES_tradnl"/>
        </w:rPr>
        <w:t xml:space="preserve"> sub-</w:t>
      </w:r>
      <w:proofErr w:type="spellStart"/>
      <w:r w:rsidRPr="0080269A">
        <w:rPr>
          <w:rFonts w:cs="Arial"/>
          <w:i/>
          <w:lang w:val="es-ES_tradnl"/>
        </w:rPr>
        <w:t>sample</w:t>
      </w:r>
      <w:proofErr w:type="spellEnd"/>
      <w:r w:rsidRPr="00CD127F">
        <w:rPr>
          <w:rFonts w:cs="Arial"/>
          <w:lang w:val="es-ES_tradnl"/>
        </w:rPr>
        <w:t xml:space="preserve">” (Evaluación de la homogeneidad de las plantas fuera de tipo mediante la observación de más de una muestra o </w:t>
      </w:r>
      <w:proofErr w:type="spellStart"/>
      <w:r w:rsidRPr="00CD127F">
        <w:rPr>
          <w:rFonts w:cs="Arial"/>
          <w:lang w:val="es-ES_tradnl"/>
        </w:rPr>
        <w:t>submuestra</w:t>
      </w:r>
      <w:proofErr w:type="spellEnd"/>
      <w:r w:rsidRPr="00CD127F">
        <w:rPr>
          <w:rFonts w:cs="Arial"/>
          <w:lang w:val="es-ES_tradnl"/>
        </w:rPr>
        <w:t>).</w:t>
      </w:r>
      <w:r w:rsidRPr="0080269A">
        <w:rPr>
          <w:rFonts w:eastAsia="MS Mincho"/>
          <w:lang w:val="es-ES_tradnl" w:eastAsia="ja-JP"/>
        </w:rPr>
        <w:t xml:space="preserve">  </w:t>
      </w:r>
      <w:r w:rsidRPr="00CD127F">
        <w:rPr>
          <w:rFonts w:eastAsia="MS Mincho"/>
          <w:lang w:val="es-ES_tradnl" w:eastAsia="ja-JP"/>
        </w:rPr>
        <w:t>Se introdujeron los siguientes cambios en el documento TWV/46/9 a partir del documento TWA/41/9 sobre la base de los comentarios del TWA, en su cuadragésima primera sesión:</w:t>
      </w:r>
    </w:p>
    <w:p w:rsidR="00292EB9" w:rsidRPr="0080269A" w:rsidRDefault="00292EB9" w:rsidP="003232C8">
      <w:pPr>
        <w:rPr>
          <w:rFonts w:eastAsia="MS Mincho"/>
          <w:lang w:val="es-ES_tradnl" w:eastAsia="ja-JP"/>
        </w:rPr>
      </w:pPr>
    </w:p>
    <w:p w:rsidR="00292EB9" w:rsidRPr="0080269A" w:rsidRDefault="00292EB9" w:rsidP="00183337">
      <w:pPr>
        <w:keepNext/>
        <w:numPr>
          <w:ilvl w:val="0"/>
          <w:numId w:val="1"/>
        </w:numPr>
        <w:autoSpaceDE w:val="0"/>
        <w:autoSpaceDN w:val="0"/>
        <w:adjustRightInd w:val="0"/>
        <w:rPr>
          <w:rFonts w:eastAsia="MS Mincho"/>
          <w:color w:val="000000"/>
          <w:szCs w:val="24"/>
          <w:lang w:val="es-ES_tradnl" w:eastAsia="ja-JP"/>
        </w:rPr>
      </w:pPr>
      <w:r w:rsidRPr="00CD127F">
        <w:rPr>
          <w:rFonts w:eastAsia="MS Mincho"/>
          <w:color w:val="000000"/>
          <w:szCs w:val="24"/>
          <w:lang w:val="es-ES_tradnl" w:eastAsia="ja-JP"/>
        </w:rPr>
        <w:t>Supresión del método:  “Requisito de cumplir el estándar de homogeneidad en ambos ciclos de cultivo” (propuesto para el ejemplo del manzano), en la sección “Resumen de métodos” y en el Anexo I</w:t>
      </w:r>
      <w:r w:rsidR="00B32F15">
        <w:rPr>
          <w:rFonts w:eastAsia="MS Mincho"/>
          <w:color w:val="000000"/>
          <w:szCs w:val="24"/>
          <w:lang w:val="es-ES_tradnl" w:eastAsia="ja-JP"/>
        </w:rPr>
        <w:t xml:space="preserve"> “</w:t>
      </w:r>
      <w:r w:rsidRPr="00CD127F">
        <w:rPr>
          <w:rFonts w:eastAsia="MS Mincho"/>
          <w:color w:val="000000"/>
          <w:szCs w:val="24"/>
          <w:lang w:val="es-ES_tradnl" w:eastAsia="ja-JP"/>
        </w:rPr>
        <w:t xml:space="preserve">Situación A:  </w:t>
      </w:r>
      <w:r w:rsidRPr="00CD127F">
        <w:rPr>
          <w:rFonts w:eastAsia="MS Mincho"/>
          <w:i/>
          <w:color w:val="000000"/>
          <w:szCs w:val="24"/>
          <w:lang w:val="es-ES_tradnl" w:eastAsia="ja-JP"/>
        </w:rPr>
        <w:t>Dos ciclos de cultivo en un solo lugar</w:t>
      </w:r>
      <w:r w:rsidRPr="00CD127F">
        <w:rPr>
          <w:rFonts w:eastAsia="MS Mincho"/>
          <w:color w:val="000000"/>
          <w:szCs w:val="24"/>
          <w:lang w:val="es-ES_tradnl" w:eastAsia="ja-JP"/>
        </w:rPr>
        <w:t>”, como se establece en el párrafo 10 del presente documento;</w:t>
      </w:r>
    </w:p>
    <w:p w:rsidR="00292EB9" w:rsidRPr="0080269A" w:rsidRDefault="00292EB9" w:rsidP="00183337">
      <w:pPr>
        <w:keepNext/>
        <w:autoSpaceDE w:val="0"/>
        <w:autoSpaceDN w:val="0"/>
        <w:adjustRightInd w:val="0"/>
        <w:rPr>
          <w:rFonts w:eastAsia="MS Mincho"/>
          <w:color w:val="000000"/>
          <w:szCs w:val="24"/>
          <w:lang w:val="es-ES_tradnl" w:eastAsia="ja-JP"/>
        </w:rPr>
      </w:pPr>
    </w:p>
    <w:p w:rsidR="00292EB9" w:rsidRPr="0080269A" w:rsidRDefault="00292EB9" w:rsidP="00183337">
      <w:pPr>
        <w:keepNext/>
        <w:numPr>
          <w:ilvl w:val="0"/>
          <w:numId w:val="1"/>
        </w:numPr>
        <w:autoSpaceDE w:val="0"/>
        <w:autoSpaceDN w:val="0"/>
        <w:adjustRightInd w:val="0"/>
        <w:rPr>
          <w:rFonts w:eastAsia="MS Mincho"/>
          <w:color w:val="000000"/>
          <w:szCs w:val="24"/>
          <w:lang w:val="es-ES_tradnl" w:eastAsia="ja-JP"/>
        </w:rPr>
      </w:pPr>
      <w:r w:rsidRPr="00CD127F">
        <w:rPr>
          <w:rFonts w:eastAsia="MS Mincho"/>
          <w:color w:val="000000"/>
          <w:szCs w:val="24"/>
          <w:lang w:val="es-ES_tradnl" w:eastAsia="ja-JP"/>
        </w:rPr>
        <w:t>Revisión del texto del método</w:t>
      </w:r>
      <w:proofErr w:type="gramStart"/>
      <w:r w:rsidRPr="00CD127F">
        <w:rPr>
          <w:rFonts w:eastAsia="MS Mincho"/>
          <w:color w:val="000000"/>
          <w:szCs w:val="24"/>
          <w:lang w:val="es-ES_tradnl" w:eastAsia="ja-JP"/>
        </w:rPr>
        <w:t>:  “</w:t>
      </w:r>
      <w:proofErr w:type="gramEnd"/>
      <w:r w:rsidRPr="00CD127F">
        <w:rPr>
          <w:rFonts w:eastAsia="MS Mincho"/>
          <w:color w:val="000000"/>
          <w:szCs w:val="24"/>
          <w:lang w:val="es-ES_tradnl" w:eastAsia="ja-JP"/>
        </w:rPr>
        <w:t>Tercer ciclo de cultivo en caso de resultados contradictorios” del Anexo II</w:t>
      </w:r>
      <w:r w:rsidR="00B32F15">
        <w:rPr>
          <w:rFonts w:eastAsia="MS Mincho"/>
          <w:color w:val="000000"/>
          <w:szCs w:val="24"/>
          <w:lang w:val="es-ES_tradnl" w:eastAsia="ja-JP"/>
        </w:rPr>
        <w:t xml:space="preserve"> “</w:t>
      </w:r>
      <w:r w:rsidRPr="00CD127F">
        <w:rPr>
          <w:rFonts w:eastAsia="MS Mincho"/>
          <w:color w:val="000000"/>
          <w:szCs w:val="24"/>
          <w:lang w:val="es-ES_tradnl" w:eastAsia="ja-JP"/>
        </w:rPr>
        <w:t xml:space="preserve">Situación B:  </w:t>
      </w:r>
      <w:r w:rsidRPr="00CD127F">
        <w:rPr>
          <w:rFonts w:eastAsia="MS Mincho"/>
          <w:i/>
          <w:color w:val="000000"/>
          <w:szCs w:val="24"/>
          <w:lang w:val="es-ES_tradnl" w:eastAsia="ja-JP"/>
        </w:rPr>
        <w:t>Dos lugares de cultivo en el mismo año</w:t>
      </w:r>
      <w:r w:rsidRPr="00CD127F">
        <w:rPr>
          <w:rFonts w:eastAsia="MS Mincho"/>
          <w:color w:val="000000"/>
          <w:szCs w:val="24"/>
          <w:lang w:val="es-ES_tradnl" w:eastAsia="ja-JP"/>
        </w:rPr>
        <w:t>”, como se establece en el párrafo 11 del presente documento.</w:t>
      </w:r>
    </w:p>
    <w:p w:rsidR="00292EB9" w:rsidRPr="0080269A" w:rsidRDefault="00292EB9" w:rsidP="00183337">
      <w:pPr>
        <w:keepNext/>
        <w:autoSpaceDE w:val="0"/>
        <w:autoSpaceDN w:val="0"/>
        <w:adjustRightInd w:val="0"/>
        <w:rPr>
          <w:rFonts w:cs="Arial"/>
          <w:lang w:val="es-ES_tradnl"/>
        </w:rPr>
      </w:pPr>
    </w:p>
    <w:p w:rsidR="00292EB9" w:rsidRPr="0080269A" w:rsidRDefault="00292EB9" w:rsidP="00183337">
      <w:pPr>
        <w:rPr>
          <w:lang w:val="es-ES_tradnl"/>
        </w:rPr>
      </w:pPr>
      <w:r w:rsidRPr="00722A02">
        <w:rPr>
          <w:rFonts w:cs="Arial"/>
        </w:rPr>
        <w:fldChar w:fldCharType="begin"/>
      </w:r>
      <w:r w:rsidRPr="0080269A">
        <w:rPr>
          <w:rFonts w:cs="Arial"/>
          <w:lang w:val="es-ES_tradnl"/>
        </w:rPr>
        <w:instrText xml:space="preserve"> AUTONUM  </w:instrText>
      </w:r>
      <w:r w:rsidRPr="00722A02">
        <w:rPr>
          <w:rFonts w:cs="Arial"/>
        </w:rPr>
        <w:fldChar w:fldCharType="end"/>
      </w:r>
      <w:r w:rsidRPr="0080269A">
        <w:rPr>
          <w:rFonts w:cs="Arial"/>
          <w:lang w:val="es-ES_tradnl"/>
        </w:rPr>
        <w:tab/>
      </w:r>
      <w:r w:rsidRPr="00CD127F">
        <w:rPr>
          <w:rFonts w:cs="Arial"/>
          <w:lang w:val="es-ES_tradnl"/>
        </w:rPr>
        <w:t>En su cuadragésima sexta sesión, el TWV tomó nota de los diferentes métodos y de la similitud entre los métodos aplicados por diferentes miembros de la UPOV.</w:t>
      </w:r>
      <w:r w:rsidRPr="0080269A">
        <w:rPr>
          <w:rFonts w:cs="Arial"/>
          <w:lang w:val="es-ES_tradnl"/>
        </w:rPr>
        <w:t xml:space="preserve">  </w:t>
      </w:r>
      <w:r w:rsidRPr="00CD127F">
        <w:rPr>
          <w:rFonts w:cs="Arial"/>
          <w:lang w:val="es-ES_tradnl"/>
        </w:rPr>
        <w:t>Convino en invitar al Grupo de Trabajo Técnico sobre Automatización y Programas Informáticos (TWC) a asesorar sobre la conveniencia de utilizar resultados independientes o combinados.</w:t>
      </w:r>
      <w:r w:rsidRPr="0080269A">
        <w:rPr>
          <w:rFonts w:cs="Arial"/>
          <w:lang w:val="es-ES_tradnl"/>
        </w:rPr>
        <w:t xml:space="preserve">  </w:t>
      </w:r>
      <w:r w:rsidRPr="00CD127F">
        <w:rPr>
          <w:rFonts w:cs="Arial"/>
          <w:lang w:val="es-ES_tradnl"/>
        </w:rPr>
        <w:t>Expertos de Alemania, Italia, Francia y los Países Bajos se ofrecieron a facilitar ejemplos y datos al TWC, si fuera necesario (véase el párrafo 55 del documento TWV/46/41</w:t>
      </w:r>
      <w:r w:rsidR="00B32F15">
        <w:rPr>
          <w:rFonts w:cs="Arial"/>
          <w:lang w:val="es-ES_tradnl"/>
        </w:rPr>
        <w:t xml:space="preserve"> “</w:t>
      </w:r>
      <w:proofErr w:type="spellStart"/>
      <w:r w:rsidRPr="0080269A">
        <w:rPr>
          <w:rFonts w:cs="Arial"/>
          <w:i/>
          <w:lang w:val="es-ES_tradnl"/>
        </w:rPr>
        <w:t>Report</w:t>
      </w:r>
      <w:proofErr w:type="spellEnd"/>
      <w:r w:rsidRPr="00CD127F">
        <w:rPr>
          <w:rFonts w:cs="Arial"/>
          <w:lang w:val="es-ES_tradnl"/>
        </w:rPr>
        <w:t>”).</w:t>
      </w:r>
    </w:p>
    <w:p w:rsidR="00292EB9" w:rsidRPr="0080269A" w:rsidRDefault="00292EB9" w:rsidP="00183337">
      <w:pPr>
        <w:rPr>
          <w:rFonts w:cs="Arial"/>
          <w:lang w:val="es-ES_tradnl"/>
        </w:rPr>
      </w:pPr>
    </w:p>
    <w:p w:rsidR="00292EB9" w:rsidRPr="0080269A" w:rsidRDefault="00292EB9" w:rsidP="00183337">
      <w:pPr>
        <w:rPr>
          <w:lang w:val="es-ES_tradnl"/>
        </w:rPr>
      </w:pPr>
      <w:r w:rsidRPr="00722A02">
        <w:rPr>
          <w:rFonts w:cs="Arial"/>
        </w:rPr>
        <w:fldChar w:fldCharType="begin"/>
      </w:r>
      <w:r w:rsidRPr="0080269A">
        <w:rPr>
          <w:rFonts w:cs="Arial"/>
          <w:lang w:val="es-ES_tradnl"/>
        </w:rPr>
        <w:instrText xml:space="preserve"> AUTONUM  </w:instrText>
      </w:r>
      <w:r w:rsidRPr="00722A02">
        <w:rPr>
          <w:rFonts w:cs="Arial"/>
        </w:rPr>
        <w:fldChar w:fldCharType="end"/>
      </w:r>
      <w:r w:rsidRPr="0080269A">
        <w:rPr>
          <w:rFonts w:cs="Arial"/>
          <w:lang w:val="es-ES_tradnl"/>
        </w:rPr>
        <w:tab/>
      </w:r>
      <w:r w:rsidRPr="00CD127F">
        <w:rPr>
          <w:rFonts w:cs="Arial"/>
          <w:lang w:val="es-ES_tradnl"/>
        </w:rPr>
        <w:t>En su cuadragésima sexta sesión, el TWV convino en que debería precisarse la definición del tamaño de la muestra (véase el párrafo 56 del documento TWV/46/41</w:t>
      </w:r>
      <w:r w:rsidR="00B32F15">
        <w:rPr>
          <w:rFonts w:cs="Arial"/>
          <w:lang w:val="es-ES_tradnl"/>
        </w:rPr>
        <w:t xml:space="preserve"> “</w:t>
      </w:r>
      <w:proofErr w:type="spellStart"/>
      <w:r w:rsidRPr="0080269A">
        <w:rPr>
          <w:rFonts w:cs="Arial"/>
          <w:i/>
          <w:lang w:val="es-ES_tradnl"/>
        </w:rPr>
        <w:t>Report</w:t>
      </w:r>
      <w:proofErr w:type="spellEnd"/>
      <w:r w:rsidRPr="00CD127F">
        <w:rPr>
          <w:rFonts w:cs="Arial"/>
          <w:lang w:val="es-ES_tradnl"/>
        </w:rPr>
        <w:t>”).</w:t>
      </w:r>
    </w:p>
    <w:p w:rsidR="00292EB9" w:rsidRPr="0080269A" w:rsidRDefault="00292EB9" w:rsidP="00183337">
      <w:pPr>
        <w:rPr>
          <w:lang w:val="es-ES_tradnl"/>
        </w:rPr>
      </w:pPr>
    </w:p>
    <w:p w:rsidR="00292EB9" w:rsidRPr="0080269A" w:rsidRDefault="00292EB9" w:rsidP="00183337">
      <w:pPr>
        <w:rPr>
          <w:lang w:val="es-ES_tradnl"/>
        </w:rPr>
      </w:pPr>
    </w:p>
    <w:p w:rsidR="00292EB9" w:rsidRPr="0080269A" w:rsidRDefault="00292EB9" w:rsidP="00183337">
      <w:pPr>
        <w:pStyle w:val="Heading2"/>
        <w:rPr>
          <w:rFonts w:eastAsia="MS Mincho"/>
          <w:lang w:val="es-ES_tradnl" w:eastAsia="ja-JP"/>
        </w:rPr>
      </w:pPr>
      <w:bookmarkStart w:id="9" w:name="_Toc380067141"/>
      <w:r w:rsidRPr="004055B7">
        <w:rPr>
          <w:rFonts w:eastAsia="MS Mincho"/>
          <w:lang w:val="es-ES_tradnl" w:eastAsia="ja-JP"/>
        </w:rPr>
        <w:t>Grupo de Trabajo Técnico sobre Automatización y Programas Informáticos</w:t>
      </w:r>
      <w:bookmarkEnd w:id="9"/>
      <w:r w:rsidRPr="0080269A">
        <w:rPr>
          <w:rFonts w:eastAsia="MS Mincho"/>
          <w:lang w:val="es-ES_tradnl" w:eastAsia="ja-JP"/>
        </w:rPr>
        <w:t xml:space="preserve"> </w:t>
      </w:r>
    </w:p>
    <w:p w:rsidR="00292EB9" w:rsidRPr="0080269A" w:rsidRDefault="00292EB9" w:rsidP="00183337">
      <w:pPr>
        <w:rPr>
          <w:lang w:val="es-ES_tradnl"/>
        </w:rPr>
      </w:pPr>
    </w:p>
    <w:p w:rsidR="00292EB9" w:rsidRPr="0080269A" w:rsidRDefault="00292EB9" w:rsidP="00183337">
      <w:pPr>
        <w:keepNext/>
        <w:autoSpaceDE w:val="0"/>
        <w:autoSpaceDN w:val="0"/>
        <w:adjustRightInd w:val="0"/>
        <w:rPr>
          <w:rFonts w:eastAsia="MS Mincho"/>
          <w:color w:val="000000"/>
          <w:szCs w:val="24"/>
          <w:lang w:val="es-ES_tradnl" w:eastAsia="ja-JP"/>
        </w:rPr>
      </w:pPr>
      <w:r>
        <w:rPr>
          <w:szCs w:val="24"/>
        </w:rPr>
        <w:fldChar w:fldCharType="begin"/>
      </w:r>
      <w:r w:rsidRPr="0080269A">
        <w:rPr>
          <w:szCs w:val="24"/>
          <w:lang w:val="es-ES_tradnl"/>
        </w:rPr>
        <w:instrText xml:space="preserve"> AUTONUM  </w:instrText>
      </w:r>
      <w:r>
        <w:rPr>
          <w:szCs w:val="24"/>
        </w:rPr>
        <w:fldChar w:fldCharType="end"/>
      </w:r>
      <w:r w:rsidRPr="0080269A">
        <w:rPr>
          <w:szCs w:val="24"/>
          <w:lang w:val="es-ES_tradnl"/>
        </w:rPr>
        <w:tab/>
      </w:r>
      <w:r w:rsidRPr="00CD127F">
        <w:rPr>
          <w:szCs w:val="24"/>
          <w:lang w:val="es-ES_tradnl"/>
        </w:rPr>
        <w:t xml:space="preserve">En su trigésima sesión, celebrada en Chisinau (República de </w:t>
      </w:r>
      <w:proofErr w:type="spellStart"/>
      <w:r w:rsidRPr="00CD127F">
        <w:rPr>
          <w:szCs w:val="24"/>
          <w:lang w:val="es-ES_tradnl"/>
        </w:rPr>
        <w:t>Moldova</w:t>
      </w:r>
      <w:proofErr w:type="spellEnd"/>
      <w:r w:rsidRPr="00CD127F">
        <w:rPr>
          <w:szCs w:val="24"/>
          <w:lang w:val="es-ES_tradnl"/>
        </w:rPr>
        <w:t>) del 26 al 29 de junio de 2012, el TWC examinó el documento TWC/30/9</w:t>
      </w:r>
      <w:r w:rsidR="00B32F15">
        <w:rPr>
          <w:szCs w:val="24"/>
          <w:lang w:val="es-ES_tradnl"/>
        </w:rPr>
        <w:t xml:space="preserve"> “</w:t>
      </w:r>
      <w:proofErr w:type="spellStart"/>
      <w:r w:rsidRPr="0080269A">
        <w:rPr>
          <w:i/>
          <w:szCs w:val="24"/>
          <w:lang w:val="es-ES_tradnl"/>
        </w:rPr>
        <w:t>Assessing</w:t>
      </w:r>
      <w:proofErr w:type="spellEnd"/>
      <w:r w:rsidRPr="0080269A">
        <w:rPr>
          <w:i/>
          <w:szCs w:val="24"/>
          <w:lang w:val="es-ES_tradnl"/>
        </w:rPr>
        <w:t xml:space="preserve"> </w:t>
      </w:r>
      <w:proofErr w:type="spellStart"/>
      <w:r w:rsidRPr="0080269A">
        <w:rPr>
          <w:i/>
          <w:szCs w:val="24"/>
          <w:lang w:val="es-ES_tradnl"/>
        </w:rPr>
        <w:t>uniformity</w:t>
      </w:r>
      <w:proofErr w:type="spellEnd"/>
      <w:r w:rsidRPr="0080269A">
        <w:rPr>
          <w:i/>
          <w:szCs w:val="24"/>
          <w:lang w:val="es-ES_tradnl"/>
        </w:rPr>
        <w:t xml:space="preserve"> </w:t>
      </w:r>
      <w:proofErr w:type="spellStart"/>
      <w:r w:rsidRPr="0080269A">
        <w:rPr>
          <w:i/>
          <w:szCs w:val="24"/>
          <w:lang w:val="es-ES_tradnl"/>
        </w:rPr>
        <w:t>by</w:t>
      </w:r>
      <w:proofErr w:type="spellEnd"/>
      <w:r w:rsidRPr="0080269A">
        <w:rPr>
          <w:i/>
          <w:szCs w:val="24"/>
          <w:lang w:val="es-ES_tradnl"/>
        </w:rPr>
        <w:t xml:space="preserve"> off-</w:t>
      </w:r>
      <w:proofErr w:type="spellStart"/>
      <w:r w:rsidRPr="0080269A">
        <w:rPr>
          <w:i/>
          <w:szCs w:val="24"/>
          <w:lang w:val="es-ES_tradnl"/>
        </w:rPr>
        <w:t>types</w:t>
      </w:r>
      <w:proofErr w:type="spellEnd"/>
      <w:r w:rsidRPr="0080269A">
        <w:rPr>
          <w:i/>
          <w:szCs w:val="24"/>
          <w:lang w:val="es-ES_tradnl"/>
        </w:rPr>
        <w:t xml:space="preserve"> </w:t>
      </w:r>
      <w:proofErr w:type="spellStart"/>
      <w:r w:rsidRPr="0080269A">
        <w:rPr>
          <w:i/>
          <w:szCs w:val="24"/>
          <w:lang w:val="es-ES_tradnl"/>
        </w:rPr>
        <w:t>on</w:t>
      </w:r>
      <w:proofErr w:type="spellEnd"/>
      <w:r w:rsidRPr="0080269A">
        <w:rPr>
          <w:i/>
          <w:szCs w:val="24"/>
          <w:lang w:val="es-ES_tradnl"/>
        </w:rPr>
        <w:t xml:space="preserve"> </w:t>
      </w:r>
      <w:proofErr w:type="spellStart"/>
      <w:r w:rsidRPr="0080269A">
        <w:rPr>
          <w:i/>
          <w:szCs w:val="24"/>
          <w:lang w:val="es-ES_tradnl"/>
        </w:rPr>
        <w:t>the</w:t>
      </w:r>
      <w:proofErr w:type="spellEnd"/>
      <w:r w:rsidRPr="0080269A">
        <w:rPr>
          <w:i/>
          <w:szCs w:val="24"/>
          <w:lang w:val="es-ES_tradnl"/>
        </w:rPr>
        <w:t xml:space="preserve"> </w:t>
      </w:r>
      <w:proofErr w:type="spellStart"/>
      <w:r w:rsidRPr="0080269A">
        <w:rPr>
          <w:i/>
          <w:szCs w:val="24"/>
          <w:lang w:val="es-ES_tradnl"/>
        </w:rPr>
        <w:t>basis</w:t>
      </w:r>
      <w:proofErr w:type="spellEnd"/>
      <w:r w:rsidRPr="0080269A">
        <w:rPr>
          <w:i/>
          <w:szCs w:val="24"/>
          <w:lang w:val="es-ES_tradnl"/>
        </w:rPr>
        <w:t xml:space="preserve"> of more </w:t>
      </w:r>
      <w:proofErr w:type="spellStart"/>
      <w:r w:rsidRPr="0080269A">
        <w:rPr>
          <w:i/>
          <w:szCs w:val="24"/>
          <w:lang w:val="es-ES_tradnl"/>
        </w:rPr>
        <w:t>than</w:t>
      </w:r>
      <w:proofErr w:type="spellEnd"/>
      <w:r w:rsidRPr="0080269A">
        <w:rPr>
          <w:i/>
          <w:szCs w:val="24"/>
          <w:lang w:val="es-ES_tradnl"/>
        </w:rPr>
        <w:t xml:space="preserve"> </w:t>
      </w:r>
      <w:proofErr w:type="spellStart"/>
      <w:r w:rsidRPr="0080269A">
        <w:rPr>
          <w:i/>
          <w:szCs w:val="24"/>
          <w:lang w:val="es-ES_tradnl"/>
        </w:rPr>
        <w:t>one</w:t>
      </w:r>
      <w:proofErr w:type="spellEnd"/>
      <w:r w:rsidRPr="0080269A">
        <w:rPr>
          <w:i/>
          <w:szCs w:val="24"/>
          <w:lang w:val="es-ES_tradnl"/>
        </w:rPr>
        <w:t xml:space="preserve"> </w:t>
      </w:r>
      <w:proofErr w:type="spellStart"/>
      <w:r w:rsidRPr="0080269A">
        <w:rPr>
          <w:i/>
          <w:szCs w:val="24"/>
          <w:lang w:val="es-ES_tradnl"/>
        </w:rPr>
        <w:t>sample</w:t>
      </w:r>
      <w:proofErr w:type="spellEnd"/>
      <w:r w:rsidRPr="0080269A">
        <w:rPr>
          <w:i/>
          <w:szCs w:val="24"/>
          <w:lang w:val="es-ES_tradnl"/>
        </w:rPr>
        <w:t xml:space="preserve"> </w:t>
      </w:r>
      <w:proofErr w:type="spellStart"/>
      <w:r w:rsidRPr="0080269A">
        <w:rPr>
          <w:i/>
          <w:szCs w:val="24"/>
          <w:lang w:val="es-ES_tradnl"/>
        </w:rPr>
        <w:t>or</w:t>
      </w:r>
      <w:proofErr w:type="spellEnd"/>
      <w:r w:rsidRPr="0080269A">
        <w:rPr>
          <w:i/>
          <w:szCs w:val="24"/>
          <w:lang w:val="es-ES_tradnl"/>
        </w:rPr>
        <w:t xml:space="preserve"> sub-</w:t>
      </w:r>
      <w:proofErr w:type="spellStart"/>
      <w:r w:rsidRPr="0080269A">
        <w:rPr>
          <w:i/>
          <w:szCs w:val="24"/>
          <w:lang w:val="es-ES_tradnl"/>
        </w:rPr>
        <w:t>sample</w:t>
      </w:r>
      <w:proofErr w:type="spellEnd"/>
      <w:r w:rsidRPr="00CD127F">
        <w:rPr>
          <w:szCs w:val="24"/>
          <w:lang w:val="es-ES_tradnl"/>
        </w:rPr>
        <w:t xml:space="preserve">” (Evaluación de la homogeneidad de las plantas fuera de tipo mediante la observación de una muestra o </w:t>
      </w:r>
      <w:proofErr w:type="spellStart"/>
      <w:r w:rsidRPr="00CD127F">
        <w:rPr>
          <w:szCs w:val="24"/>
          <w:lang w:val="es-ES_tradnl"/>
        </w:rPr>
        <w:t>submuestra</w:t>
      </w:r>
      <w:proofErr w:type="spellEnd"/>
      <w:r w:rsidRPr="00CD127F">
        <w:rPr>
          <w:szCs w:val="24"/>
          <w:lang w:val="es-ES_tradnl"/>
        </w:rPr>
        <w:t>), juntamente con la sección “Resumen de métodos” y los anexos, como se establece en el presente documento.</w:t>
      </w:r>
      <w:r w:rsidRPr="0080269A">
        <w:rPr>
          <w:rFonts w:eastAsia="MS Mincho"/>
          <w:color w:val="000000"/>
          <w:szCs w:val="24"/>
          <w:lang w:val="es-ES_tradnl" w:eastAsia="ja-JP"/>
        </w:rPr>
        <w:t xml:space="preserve"> </w:t>
      </w:r>
    </w:p>
    <w:p w:rsidR="00292EB9" w:rsidRPr="0080269A" w:rsidRDefault="00292EB9" w:rsidP="00183337">
      <w:pPr>
        <w:autoSpaceDE w:val="0"/>
        <w:autoSpaceDN w:val="0"/>
        <w:adjustRightInd w:val="0"/>
        <w:rPr>
          <w:szCs w:val="24"/>
          <w:lang w:val="es-ES_tradnl"/>
        </w:rPr>
      </w:pPr>
    </w:p>
    <w:p w:rsidR="00292EB9" w:rsidRPr="0080269A" w:rsidRDefault="00292EB9" w:rsidP="00183337">
      <w:pPr>
        <w:autoSpaceDE w:val="0"/>
        <w:autoSpaceDN w:val="0"/>
        <w:adjustRightInd w:val="0"/>
        <w:rPr>
          <w:lang w:val="es-ES_tradnl"/>
        </w:rPr>
      </w:pPr>
      <w:r w:rsidRPr="00A726B5">
        <w:rPr>
          <w:szCs w:val="24"/>
        </w:rPr>
        <w:fldChar w:fldCharType="begin"/>
      </w:r>
      <w:r w:rsidRPr="0080269A">
        <w:rPr>
          <w:szCs w:val="24"/>
          <w:lang w:val="es-ES_tradnl"/>
        </w:rPr>
        <w:instrText xml:space="preserve"> AUTONUM  </w:instrText>
      </w:r>
      <w:r w:rsidRPr="00A726B5">
        <w:rPr>
          <w:szCs w:val="24"/>
        </w:rPr>
        <w:fldChar w:fldCharType="end"/>
      </w:r>
      <w:r w:rsidRPr="0080269A">
        <w:rPr>
          <w:szCs w:val="24"/>
          <w:lang w:val="es-ES_tradnl"/>
        </w:rPr>
        <w:tab/>
      </w:r>
      <w:r w:rsidRPr="00CD127F">
        <w:rPr>
          <w:szCs w:val="24"/>
          <w:lang w:val="es-ES_tradnl"/>
        </w:rPr>
        <w:t>En su trigésima sesión, el TWC tomó nota de la necesidad de explicar más ampliamente las situaciones descritas, como la aclaración acerca de si dos ciclos de cultivo guardan relación con el uso de la misma muestra y si tienen lugar en el mismo año.</w:t>
      </w:r>
      <w:r w:rsidRPr="0080269A">
        <w:rPr>
          <w:szCs w:val="24"/>
          <w:lang w:val="es-ES_tradnl"/>
        </w:rPr>
        <w:t xml:space="preserve"> </w:t>
      </w:r>
      <w:r w:rsidRPr="00CD127F">
        <w:rPr>
          <w:szCs w:val="24"/>
          <w:lang w:val="es-ES_tradnl"/>
        </w:rPr>
        <w:t>El TWC convino en que es necesario disponer de más información y análisis para poder ofrecer orientación sobre las consecuencias de la utilización de métodos diferentes (véase el párrafo 83 del documento TWC/30/41</w:t>
      </w:r>
      <w:r w:rsidR="00B32F15">
        <w:rPr>
          <w:szCs w:val="24"/>
          <w:lang w:val="es-ES_tradnl"/>
        </w:rPr>
        <w:t xml:space="preserve"> “</w:t>
      </w:r>
      <w:proofErr w:type="spellStart"/>
      <w:r w:rsidRPr="0080269A">
        <w:rPr>
          <w:i/>
          <w:szCs w:val="24"/>
          <w:lang w:val="es-ES_tradnl"/>
        </w:rPr>
        <w:t>Report</w:t>
      </w:r>
      <w:proofErr w:type="spellEnd"/>
      <w:r w:rsidRPr="00CD127F">
        <w:rPr>
          <w:szCs w:val="24"/>
          <w:lang w:val="es-ES_tradnl"/>
        </w:rPr>
        <w:t>”).</w:t>
      </w:r>
    </w:p>
    <w:p w:rsidR="00292EB9" w:rsidRPr="0080269A" w:rsidRDefault="00292EB9" w:rsidP="00183337">
      <w:pPr>
        <w:autoSpaceDE w:val="0"/>
        <w:autoSpaceDN w:val="0"/>
        <w:adjustRightInd w:val="0"/>
        <w:rPr>
          <w:szCs w:val="24"/>
          <w:lang w:val="es-ES_tradnl"/>
        </w:rPr>
      </w:pPr>
    </w:p>
    <w:p w:rsidR="00292EB9" w:rsidRPr="0080269A" w:rsidRDefault="00292EB9" w:rsidP="00183337">
      <w:pPr>
        <w:autoSpaceDE w:val="0"/>
        <w:autoSpaceDN w:val="0"/>
        <w:adjustRightInd w:val="0"/>
        <w:rPr>
          <w:lang w:val="es-ES_tradnl"/>
        </w:rPr>
      </w:pPr>
      <w:r w:rsidRPr="00A726B5">
        <w:rPr>
          <w:szCs w:val="24"/>
        </w:rPr>
        <w:fldChar w:fldCharType="begin"/>
      </w:r>
      <w:r w:rsidRPr="0080269A">
        <w:rPr>
          <w:szCs w:val="24"/>
          <w:lang w:val="es-ES_tradnl"/>
        </w:rPr>
        <w:instrText xml:space="preserve"> AUTONUM  </w:instrText>
      </w:r>
      <w:r w:rsidRPr="00A726B5">
        <w:rPr>
          <w:szCs w:val="24"/>
        </w:rPr>
        <w:fldChar w:fldCharType="end"/>
      </w:r>
      <w:r w:rsidRPr="0080269A">
        <w:rPr>
          <w:szCs w:val="24"/>
          <w:lang w:val="es-ES_tradnl"/>
        </w:rPr>
        <w:tab/>
      </w:r>
      <w:r w:rsidRPr="00CD127F">
        <w:rPr>
          <w:rFonts w:cs="Arial"/>
          <w:lang w:val="es-ES_tradnl"/>
        </w:rPr>
        <w:t>En su trigésima sesión, el TWC convino en que Francia, Alemania y los Países Bajos presenten una o más situaciones concretas en sus países así como las bases estadísticas de sus análisis en su siguiente sesión (véase el párrafo 84 del documento TWC/30/41</w:t>
      </w:r>
      <w:r w:rsidR="00B32F15">
        <w:rPr>
          <w:rFonts w:cs="Arial"/>
          <w:lang w:val="es-ES_tradnl"/>
        </w:rPr>
        <w:t xml:space="preserve"> “</w:t>
      </w:r>
      <w:proofErr w:type="spellStart"/>
      <w:r w:rsidRPr="0080269A">
        <w:rPr>
          <w:rFonts w:cs="Arial"/>
          <w:i/>
          <w:lang w:val="es-ES_tradnl"/>
        </w:rPr>
        <w:t>Report</w:t>
      </w:r>
      <w:proofErr w:type="spellEnd"/>
      <w:r w:rsidRPr="00CD127F">
        <w:rPr>
          <w:rFonts w:cs="Arial"/>
          <w:lang w:val="es-ES_tradnl"/>
        </w:rPr>
        <w:t>”).</w:t>
      </w:r>
    </w:p>
    <w:p w:rsidR="00292EB9" w:rsidRPr="0080269A" w:rsidRDefault="00292EB9" w:rsidP="00183337">
      <w:pPr>
        <w:autoSpaceDE w:val="0"/>
        <w:autoSpaceDN w:val="0"/>
        <w:adjustRightInd w:val="0"/>
        <w:rPr>
          <w:rFonts w:cs="Arial"/>
          <w:lang w:val="es-ES_tradnl"/>
        </w:rPr>
      </w:pPr>
    </w:p>
    <w:p w:rsidR="00292EB9" w:rsidRPr="0080269A" w:rsidRDefault="00292EB9" w:rsidP="00183337">
      <w:pPr>
        <w:autoSpaceDE w:val="0"/>
        <w:autoSpaceDN w:val="0"/>
        <w:adjustRightInd w:val="0"/>
        <w:rPr>
          <w:lang w:val="es-ES_tradnl"/>
        </w:rPr>
      </w:pPr>
      <w:r w:rsidRPr="00A726B5">
        <w:rPr>
          <w:szCs w:val="24"/>
        </w:rPr>
        <w:fldChar w:fldCharType="begin"/>
      </w:r>
      <w:r w:rsidRPr="0080269A">
        <w:rPr>
          <w:szCs w:val="24"/>
          <w:lang w:val="es-ES_tradnl"/>
        </w:rPr>
        <w:instrText xml:space="preserve"> AUTONUM  </w:instrText>
      </w:r>
      <w:r w:rsidRPr="00A726B5">
        <w:rPr>
          <w:szCs w:val="24"/>
        </w:rPr>
        <w:fldChar w:fldCharType="end"/>
      </w:r>
      <w:r w:rsidRPr="0080269A">
        <w:rPr>
          <w:szCs w:val="24"/>
          <w:lang w:val="es-ES_tradnl"/>
        </w:rPr>
        <w:tab/>
      </w:r>
      <w:r w:rsidRPr="00CD127F">
        <w:rPr>
          <w:szCs w:val="24"/>
          <w:lang w:val="es-ES_tradnl"/>
        </w:rPr>
        <w:t>En su trigésima sesión, el TWC convino en que expertos de Francia y Alemania evalúen las bases estadísticas del número aceptable de plantas fu</w:t>
      </w:r>
      <w:r w:rsidR="002C4A49">
        <w:rPr>
          <w:szCs w:val="24"/>
          <w:lang w:val="es-ES_tradnl"/>
        </w:rPr>
        <w:t xml:space="preserve">era de tipo en la </w:t>
      </w:r>
      <w:proofErr w:type="spellStart"/>
      <w:r w:rsidR="002C4A49">
        <w:rPr>
          <w:szCs w:val="24"/>
          <w:lang w:val="es-ES_tradnl"/>
        </w:rPr>
        <w:t>submuestra</w:t>
      </w:r>
      <w:proofErr w:type="spellEnd"/>
      <w:r w:rsidR="002C4A49">
        <w:rPr>
          <w:szCs w:val="24"/>
          <w:lang w:val="es-ES_tradnl"/>
        </w:rPr>
        <w:t xml:space="preserve"> de </w:t>
      </w:r>
      <w:r w:rsidRPr="00CD127F">
        <w:rPr>
          <w:szCs w:val="24"/>
          <w:lang w:val="es-ES_tradnl"/>
        </w:rPr>
        <w:t>20 plantas que se utiliza en el cont</w:t>
      </w:r>
      <w:r w:rsidR="002C4A49">
        <w:rPr>
          <w:szCs w:val="24"/>
          <w:lang w:val="es-ES_tradnl"/>
        </w:rPr>
        <w:t>exto de un tamaño de muestra de 100 </w:t>
      </w:r>
      <w:r w:rsidRPr="00CD127F">
        <w:rPr>
          <w:szCs w:val="24"/>
          <w:lang w:val="es-ES_tradnl"/>
        </w:rPr>
        <w:t>plantas (situación D) (véase el párrafo 85 del documento TWC/30/41</w:t>
      </w:r>
      <w:r w:rsidR="00B32F15">
        <w:rPr>
          <w:szCs w:val="24"/>
          <w:lang w:val="es-ES_tradnl"/>
        </w:rPr>
        <w:t xml:space="preserve"> “</w:t>
      </w:r>
      <w:proofErr w:type="spellStart"/>
      <w:r w:rsidRPr="0080269A">
        <w:rPr>
          <w:i/>
          <w:szCs w:val="24"/>
          <w:lang w:val="es-ES_tradnl"/>
        </w:rPr>
        <w:t>Report</w:t>
      </w:r>
      <w:proofErr w:type="spellEnd"/>
      <w:r w:rsidRPr="00CD127F">
        <w:rPr>
          <w:szCs w:val="24"/>
          <w:lang w:val="es-ES_tradnl"/>
        </w:rPr>
        <w:t>”).</w:t>
      </w:r>
    </w:p>
    <w:p w:rsidR="00292EB9" w:rsidRDefault="00292EB9" w:rsidP="00183337">
      <w:pPr>
        <w:rPr>
          <w:lang w:val="es-ES_tradnl"/>
        </w:rPr>
      </w:pPr>
    </w:p>
    <w:p w:rsidR="00104686" w:rsidRPr="0080269A" w:rsidRDefault="00104686" w:rsidP="00183337">
      <w:pPr>
        <w:rPr>
          <w:lang w:val="es-ES_tradnl"/>
        </w:rPr>
      </w:pPr>
    </w:p>
    <w:p w:rsidR="00292EB9" w:rsidRPr="0080269A" w:rsidRDefault="00292EB9" w:rsidP="00183337">
      <w:pPr>
        <w:pStyle w:val="Heading2"/>
        <w:rPr>
          <w:rFonts w:eastAsia="MS Mincho"/>
          <w:lang w:val="es-ES_tradnl" w:eastAsia="ja-JP"/>
        </w:rPr>
      </w:pPr>
      <w:bookmarkStart w:id="10" w:name="_Toc380067142"/>
      <w:r w:rsidRPr="004055B7">
        <w:rPr>
          <w:rFonts w:eastAsia="MS Mincho"/>
          <w:lang w:val="es-ES_tradnl" w:eastAsia="ja-JP"/>
        </w:rPr>
        <w:t>Grupo de Trabajo Técnico sobre Plantas Frutales</w:t>
      </w:r>
      <w:bookmarkEnd w:id="10"/>
      <w:r w:rsidRPr="0080269A">
        <w:rPr>
          <w:rFonts w:eastAsia="MS Mincho"/>
          <w:lang w:val="es-ES_tradnl" w:eastAsia="ja-JP"/>
        </w:rPr>
        <w:t xml:space="preserve"> </w:t>
      </w:r>
    </w:p>
    <w:p w:rsidR="00292EB9" w:rsidRPr="0080269A" w:rsidRDefault="00292EB9" w:rsidP="00183337">
      <w:pPr>
        <w:rPr>
          <w:lang w:val="es-ES_tradnl"/>
        </w:rPr>
      </w:pPr>
    </w:p>
    <w:p w:rsidR="00292EB9" w:rsidRPr="0080269A" w:rsidRDefault="00292EB9" w:rsidP="00183337">
      <w:pPr>
        <w:keepNext/>
        <w:autoSpaceDE w:val="0"/>
        <w:autoSpaceDN w:val="0"/>
        <w:adjustRightInd w:val="0"/>
        <w:rPr>
          <w:rFonts w:eastAsia="MS Mincho"/>
          <w:color w:val="000000"/>
          <w:szCs w:val="24"/>
          <w:lang w:val="es-ES_tradnl" w:eastAsia="ja-JP"/>
        </w:rPr>
      </w:pPr>
      <w:r w:rsidRPr="000936D2">
        <w:rPr>
          <w:rFonts w:cs="Arial"/>
        </w:rPr>
        <w:fldChar w:fldCharType="begin"/>
      </w:r>
      <w:r w:rsidRPr="0080269A">
        <w:rPr>
          <w:rFonts w:cs="Arial"/>
          <w:lang w:val="es-ES_tradnl"/>
        </w:rPr>
        <w:instrText xml:space="preserve"> AUTONUM  </w:instrText>
      </w:r>
      <w:r w:rsidRPr="000936D2">
        <w:rPr>
          <w:rFonts w:cs="Arial"/>
        </w:rPr>
        <w:fldChar w:fldCharType="end"/>
      </w:r>
      <w:r w:rsidRPr="0080269A">
        <w:rPr>
          <w:rFonts w:cs="Arial"/>
          <w:lang w:val="es-ES_tradnl"/>
        </w:rPr>
        <w:tab/>
      </w:r>
      <w:r w:rsidRPr="00CD127F">
        <w:rPr>
          <w:rFonts w:cs="Arial"/>
          <w:lang w:val="es-ES_tradnl"/>
        </w:rPr>
        <w:t>En su cuadragésima tercera sesión, celebrada en Beijing (China) del 30 de julio al 3 de agosto de 2012, el TWF examinó el documento TWF/43/9 Rev.</w:t>
      </w:r>
      <w:r w:rsidR="00B32F15">
        <w:rPr>
          <w:rFonts w:cs="Arial"/>
          <w:lang w:val="es-ES_tradnl"/>
        </w:rPr>
        <w:t xml:space="preserve"> “</w:t>
      </w:r>
      <w:proofErr w:type="spellStart"/>
      <w:r w:rsidRPr="0080269A">
        <w:rPr>
          <w:rFonts w:cs="Arial"/>
          <w:i/>
          <w:lang w:val="es-ES_tradnl"/>
        </w:rPr>
        <w:t>Assessing</w:t>
      </w:r>
      <w:proofErr w:type="spellEnd"/>
      <w:r w:rsidRPr="0080269A">
        <w:rPr>
          <w:rFonts w:cs="Arial"/>
          <w:i/>
          <w:lang w:val="es-ES_tradnl"/>
        </w:rPr>
        <w:t xml:space="preserve"> </w:t>
      </w:r>
      <w:proofErr w:type="spellStart"/>
      <w:r w:rsidRPr="0080269A">
        <w:rPr>
          <w:rFonts w:cs="Arial"/>
          <w:i/>
          <w:lang w:val="es-ES_tradnl"/>
        </w:rPr>
        <w:t>uniformity</w:t>
      </w:r>
      <w:proofErr w:type="spellEnd"/>
      <w:r w:rsidRPr="0080269A">
        <w:rPr>
          <w:rFonts w:cs="Arial"/>
          <w:i/>
          <w:lang w:val="es-ES_tradnl"/>
        </w:rPr>
        <w:t xml:space="preserve"> </w:t>
      </w:r>
      <w:proofErr w:type="spellStart"/>
      <w:r w:rsidRPr="0080269A">
        <w:rPr>
          <w:rFonts w:cs="Arial"/>
          <w:i/>
          <w:lang w:val="es-ES_tradnl"/>
        </w:rPr>
        <w:t>by</w:t>
      </w:r>
      <w:proofErr w:type="spellEnd"/>
      <w:r w:rsidRPr="0080269A">
        <w:rPr>
          <w:rFonts w:cs="Arial"/>
          <w:i/>
          <w:lang w:val="es-ES_tradnl"/>
        </w:rPr>
        <w:t xml:space="preserve"> off-</w:t>
      </w:r>
      <w:proofErr w:type="spellStart"/>
      <w:r w:rsidRPr="0080269A">
        <w:rPr>
          <w:rFonts w:cs="Arial"/>
          <w:i/>
          <w:lang w:val="es-ES_tradnl"/>
        </w:rPr>
        <w:t>types</w:t>
      </w:r>
      <w:proofErr w:type="spellEnd"/>
      <w:r w:rsidRPr="0080269A">
        <w:rPr>
          <w:rFonts w:cs="Arial"/>
          <w:i/>
          <w:lang w:val="es-ES_tradnl"/>
        </w:rPr>
        <w:t xml:space="preserve"> </w:t>
      </w:r>
      <w:proofErr w:type="spellStart"/>
      <w:r w:rsidRPr="0080269A">
        <w:rPr>
          <w:rFonts w:cs="Arial"/>
          <w:i/>
          <w:lang w:val="es-ES_tradnl"/>
        </w:rPr>
        <w:t>on</w:t>
      </w:r>
      <w:proofErr w:type="spellEnd"/>
      <w:r w:rsidRPr="0080269A">
        <w:rPr>
          <w:rFonts w:cs="Arial"/>
          <w:i/>
          <w:lang w:val="es-ES_tradnl"/>
        </w:rPr>
        <w:t xml:space="preserve"> </w:t>
      </w:r>
      <w:proofErr w:type="spellStart"/>
      <w:r w:rsidRPr="0080269A">
        <w:rPr>
          <w:rFonts w:cs="Arial"/>
          <w:i/>
          <w:lang w:val="es-ES_tradnl"/>
        </w:rPr>
        <w:t>the</w:t>
      </w:r>
      <w:proofErr w:type="spellEnd"/>
      <w:r w:rsidRPr="0080269A">
        <w:rPr>
          <w:rFonts w:cs="Arial"/>
          <w:i/>
          <w:lang w:val="es-ES_tradnl"/>
        </w:rPr>
        <w:t xml:space="preserve"> </w:t>
      </w:r>
      <w:proofErr w:type="spellStart"/>
      <w:r w:rsidRPr="0080269A">
        <w:rPr>
          <w:rFonts w:cs="Arial"/>
          <w:i/>
          <w:lang w:val="es-ES_tradnl"/>
        </w:rPr>
        <w:t>basis</w:t>
      </w:r>
      <w:proofErr w:type="spellEnd"/>
      <w:r w:rsidRPr="0080269A">
        <w:rPr>
          <w:rFonts w:cs="Arial"/>
          <w:i/>
          <w:lang w:val="es-ES_tradnl"/>
        </w:rPr>
        <w:t xml:space="preserve"> of more </w:t>
      </w:r>
      <w:proofErr w:type="spellStart"/>
      <w:r w:rsidRPr="0080269A">
        <w:rPr>
          <w:rFonts w:cs="Arial"/>
          <w:i/>
          <w:lang w:val="es-ES_tradnl"/>
        </w:rPr>
        <w:t>than</w:t>
      </w:r>
      <w:proofErr w:type="spellEnd"/>
      <w:r w:rsidRPr="0080269A">
        <w:rPr>
          <w:rFonts w:cs="Arial"/>
          <w:i/>
          <w:lang w:val="es-ES_tradnl"/>
        </w:rPr>
        <w:t xml:space="preserve"> </w:t>
      </w:r>
      <w:proofErr w:type="spellStart"/>
      <w:r w:rsidRPr="0080269A">
        <w:rPr>
          <w:rFonts w:cs="Arial"/>
          <w:i/>
          <w:lang w:val="es-ES_tradnl"/>
        </w:rPr>
        <w:t>one</w:t>
      </w:r>
      <w:proofErr w:type="spellEnd"/>
      <w:r w:rsidRPr="0080269A">
        <w:rPr>
          <w:rFonts w:cs="Arial"/>
          <w:i/>
          <w:lang w:val="es-ES_tradnl"/>
        </w:rPr>
        <w:t xml:space="preserve"> </w:t>
      </w:r>
      <w:proofErr w:type="spellStart"/>
      <w:r w:rsidRPr="0080269A">
        <w:rPr>
          <w:rFonts w:cs="Arial"/>
          <w:i/>
          <w:lang w:val="es-ES_tradnl"/>
        </w:rPr>
        <w:t>sample</w:t>
      </w:r>
      <w:proofErr w:type="spellEnd"/>
      <w:r w:rsidRPr="0080269A">
        <w:rPr>
          <w:rFonts w:cs="Arial"/>
          <w:i/>
          <w:lang w:val="es-ES_tradnl"/>
        </w:rPr>
        <w:t xml:space="preserve"> </w:t>
      </w:r>
      <w:proofErr w:type="spellStart"/>
      <w:r w:rsidRPr="0080269A">
        <w:rPr>
          <w:rFonts w:cs="Arial"/>
          <w:i/>
          <w:lang w:val="es-ES_tradnl"/>
        </w:rPr>
        <w:t>or</w:t>
      </w:r>
      <w:proofErr w:type="spellEnd"/>
      <w:r w:rsidRPr="0080269A">
        <w:rPr>
          <w:rFonts w:cs="Arial"/>
          <w:i/>
          <w:lang w:val="es-ES_tradnl"/>
        </w:rPr>
        <w:t xml:space="preserve"> sub-</w:t>
      </w:r>
      <w:proofErr w:type="spellStart"/>
      <w:r w:rsidRPr="0080269A">
        <w:rPr>
          <w:rFonts w:cs="Arial"/>
          <w:i/>
          <w:lang w:val="es-ES_tradnl"/>
        </w:rPr>
        <w:t>sample</w:t>
      </w:r>
      <w:proofErr w:type="spellEnd"/>
      <w:r w:rsidRPr="00CD127F">
        <w:rPr>
          <w:rFonts w:cs="Arial"/>
          <w:lang w:val="es-ES_tradnl"/>
        </w:rPr>
        <w:t xml:space="preserve">” (Evaluación de la homogeneidad de las plantas fuera de tipo mediante la observación de una muestra o </w:t>
      </w:r>
      <w:proofErr w:type="spellStart"/>
      <w:r w:rsidRPr="00CD127F">
        <w:rPr>
          <w:rFonts w:cs="Arial"/>
          <w:lang w:val="es-ES_tradnl"/>
        </w:rPr>
        <w:t>submuestra</w:t>
      </w:r>
      <w:proofErr w:type="spellEnd"/>
      <w:r w:rsidRPr="00CD127F">
        <w:rPr>
          <w:rFonts w:cs="Arial"/>
          <w:lang w:val="es-ES_tradnl"/>
        </w:rPr>
        <w:t>), juntamente con la sección “Resumen de métodos” y los anexos, como se establece en el presente documento.</w:t>
      </w:r>
    </w:p>
    <w:p w:rsidR="00292EB9" w:rsidRPr="0080269A" w:rsidRDefault="00292EB9" w:rsidP="00183337">
      <w:pPr>
        <w:rPr>
          <w:rFonts w:cs="Arial"/>
          <w:lang w:val="es-ES_tradnl"/>
        </w:rPr>
      </w:pPr>
    </w:p>
    <w:p w:rsidR="00292EB9" w:rsidRPr="0080269A" w:rsidRDefault="00292EB9" w:rsidP="00183337">
      <w:pPr>
        <w:rPr>
          <w:rFonts w:cs="Arial"/>
          <w:lang w:val="es-ES_tradnl"/>
        </w:rPr>
      </w:pPr>
      <w:r w:rsidRPr="000936D2">
        <w:rPr>
          <w:rFonts w:cs="Arial"/>
        </w:rPr>
        <w:fldChar w:fldCharType="begin"/>
      </w:r>
      <w:r w:rsidRPr="0080269A">
        <w:rPr>
          <w:rFonts w:cs="Arial"/>
          <w:lang w:val="es-ES_tradnl"/>
        </w:rPr>
        <w:instrText xml:space="preserve"> AUTONUM  </w:instrText>
      </w:r>
      <w:r w:rsidRPr="000936D2">
        <w:rPr>
          <w:rFonts w:cs="Arial"/>
        </w:rPr>
        <w:fldChar w:fldCharType="end"/>
      </w:r>
      <w:r w:rsidRPr="0080269A">
        <w:rPr>
          <w:rFonts w:cs="Arial"/>
          <w:lang w:val="es-ES_tradnl"/>
        </w:rPr>
        <w:tab/>
      </w:r>
      <w:r w:rsidRPr="00CD127F">
        <w:rPr>
          <w:rFonts w:cs="Arial"/>
          <w:lang w:val="es-ES_tradnl"/>
        </w:rPr>
        <w:t>En su cuadragésima tercera sesión, el TWF tomó nota de los diferentes métodos y las similitudes entre los métodos utilizados por diferentes miembros de la UPOV.</w:t>
      </w:r>
      <w:r w:rsidRPr="0080269A">
        <w:rPr>
          <w:rFonts w:cs="Arial"/>
          <w:lang w:val="es-ES_tradnl"/>
        </w:rPr>
        <w:t xml:space="preserve">  </w:t>
      </w:r>
      <w:r w:rsidRPr="00CD127F">
        <w:rPr>
          <w:rFonts w:cs="Arial"/>
          <w:lang w:val="es-ES_tradnl"/>
        </w:rPr>
        <w:t>Además, convino en invitar al Grupo de Trabajo Técnico sobre Automatización y Programas Informáticos (TWC) a asesorar sobre la conveniencia de utilizar resultados independientes o combinados (véase el párrafo 51 del documento TWF/43/38</w:t>
      </w:r>
      <w:r w:rsidR="00B32F15">
        <w:rPr>
          <w:rFonts w:cs="Arial"/>
          <w:lang w:val="es-ES_tradnl"/>
        </w:rPr>
        <w:t xml:space="preserve"> “</w:t>
      </w:r>
      <w:proofErr w:type="spellStart"/>
      <w:r w:rsidRPr="0080269A">
        <w:rPr>
          <w:rFonts w:cs="Arial"/>
          <w:i/>
          <w:lang w:val="es-ES_tradnl"/>
        </w:rPr>
        <w:t>Report</w:t>
      </w:r>
      <w:proofErr w:type="spellEnd"/>
      <w:r w:rsidRPr="00CD127F">
        <w:rPr>
          <w:rFonts w:cs="Arial"/>
          <w:lang w:val="es-ES_tradnl"/>
        </w:rPr>
        <w:t>”).</w:t>
      </w:r>
    </w:p>
    <w:p w:rsidR="00292EB9" w:rsidRPr="0080269A" w:rsidRDefault="00292EB9" w:rsidP="00183337">
      <w:pPr>
        <w:rPr>
          <w:rFonts w:cs="Arial"/>
          <w:lang w:val="es-ES_tradnl"/>
        </w:rPr>
      </w:pPr>
    </w:p>
    <w:p w:rsidR="00292EB9" w:rsidRPr="0080269A" w:rsidRDefault="00292EB9" w:rsidP="00183337">
      <w:pPr>
        <w:rPr>
          <w:rFonts w:cs="Arial"/>
          <w:lang w:val="es-ES_tradnl"/>
        </w:rPr>
      </w:pPr>
      <w:r w:rsidRPr="000936D2">
        <w:rPr>
          <w:rFonts w:cs="Arial"/>
        </w:rPr>
        <w:fldChar w:fldCharType="begin"/>
      </w:r>
      <w:r w:rsidRPr="0080269A">
        <w:rPr>
          <w:rFonts w:cs="Arial"/>
          <w:lang w:val="es-ES_tradnl"/>
        </w:rPr>
        <w:instrText xml:space="preserve"> AUTONUM  </w:instrText>
      </w:r>
      <w:r w:rsidRPr="000936D2">
        <w:rPr>
          <w:rFonts w:cs="Arial"/>
        </w:rPr>
        <w:fldChar w:fldCharType="end"/>
      </w:r>
      <w:r w:rsidRPr="0080269A">
        <w:rPr>
          <w:rFonts w:cs="Arial"/>
          <w:lang w:val="es-ES_tradnl"/>
        </w:rPr>
        <w:tab/>
      </w:r>
      <w:r w:rsidRPr="00CD127F">
        <w:rPr>
          <w:rFonts w:cs="Arial"/>
          <w:lang w:val="es-ES_tradnl"/>
        </w:rPr>
        <w:t xml:space="preserve">En su cuadragésima tercera sesión, el TWF pidió que, en la </w:t>
      </w:r>
      <w:r w:rsidR="002C4A49">
        <w:rPr>
          <w:rFonts w:cs="Arial"/>
          <w:lang w:val="es-ES_tradnl"/>
        </w:rPr>
        <w:t>sesión</w:t>
      </w:r>
      <w:r w:rsidRPr="00CD127F">
        <w:rPr>
          <w:rFonts w:cs="Arial"/>
          <w:lang w:val="es-ES_tradnl"/>
        </w:rPr>
        <w:t xml:space="preserve"> del TWF de 2013, el experto de Nueva Zelandia haga una ponencia sobre el ensayo de la homogeneidad de las variedades del manzano que se producen como consecuencia de las mutaciones (véase el párrafo 52 del documento TWF/43/38</w:t>
      </w:r>
      <w:r w:rsidR="00B32F15">
        <w:rPr>
          <w:rFonts w:cs="Arial"/>
          <w:lang w:val="es-ES_tradnl"/>
        </w:rPr>
        <w:t xml:space="preserve"> “</w:t>
      </w:r>
      <w:proofErr w:type="spellStart"/>
      <w:r w:rsidRPr="0080269A">
        <w:rPr>
          <w:rFonts w:cs="Arial"/>
          <w:i/>
          <w:lang w:val="es-ES_tradnl"/>
        </w:rPr>
        <w:t>Report</w:t>
      </w:r>
      <w:proofErr w:type="spellEnd"/>
      <w:r w:rsidRPr="00CD127F">
        <w:rPr>
          <w:rFonts w:cs="Arial"/>
          <w:lang w:val="es-ES_tradnl"/>
        </w:rPr>
        <w:t>”).</w:t>
      </w:r>
    </w:p>
    <w:p w:rsidR="00292EB9" w:rsidRPr="0080269A" w:rsidRDefault="00292EB9" w:rsidP="00183337">
      <w:pPr>
        <w:rPr>
          <w:rFonts w:cs="Arial"/>
          <w:lang w:val="es-ES_tradnl"/>
        </w:rPr>
      </w:pPr>
    </w:p>
    <w:p w:rsidR="00292EB9" w:rsidRPr="0080269A" w:rsidRDefault="00292EB9" w:rsidP="00183337">
      <w:pPr>
        <w:rPr>
          <w:rFonts w:cs="Arial"/>
          <w:lang w:val="es-ES_tradnl"/>
        </w:rPr>
      </w:pPr>
      <w:r w:rsidRPr="000936D2">
        <w:rPr>
          <w:rFonts w:cs="Arial"/>
        </w:rPr>
        <w:fldChar w:fldCharType="begin"/>
      </w:r>
      <w:r w:rsidRPr="0080269A">
        <w:rPr>
          <w:rFonts w:cs="Arial"/>
          <w:lang w:val="es-ES_tradnl"/>
        </w:rPr>
        <w:instrText xml:space="preserve"> AUTONUM  </w:instrText>
      </w:r>
      <w:r w:rsidRPr="000936D2">
        <w:rPr>
          <w:rFonts w:cs="Arial"/>
        </w:rPr>
        <w:fldChar w:fldCharType="end"/>
      </w:r>
      <w:r w:rsidRPr="0080269A">
        <w:rPr>
          <w:rFonts w:cs="Arial"/>
          <w:lang w:val="es-ES_tradnl"/>
        </w:rPr>
        <w:tab/>
      </w:r>
      <w:r w:rsidRPr="00CD127F">
        <w:rPr>
          <w:rFonts w:cs="Arial"/>
          <w:lang w:val="es-ES_tradnl"/>
        </w:rPr>
        <w:t>En su cuadragésima tercera sesión, el TWF convino en que la definición de ciclos de cultivo debería ser más precisa y en que, en el futuro, debería incluirse, bajo el rubro “Cuestiones que han de examinarse ulteriormente”, una descripción detallada del modo en que debe efectuarse el examen (véase el párrafo 53 del documento TWF/43/38</w:t>
      </w:r>
      <w:r w:rsidR="00B32F15">
        <w:rPr>
          <w:rFonts w:cs="Arial"/>
          <w:lang w:val="es-ES_tradnl"/>
        </w:rPr>
        <w:t xml:space="preserve"> “</w:t>
      </w:r>
      <w:proofErr w:type="spellStart"/>
      <w:r w:rsidRPr="0080269A">
        <w:rPr>
          <w:rFonts w:cs="Arial"/>
          <w:i/>
          <w:lang w:val="es-ES_tradnl"/>
        </w:rPr>
        <w:t>Report</w:t>
      </w:r>
      <w:proofErr w:type="spellEnd"/>
      <w:r w:rsidRPr="00CD127F">
        <w:rPr>
          <w:rFonts w:cs="Arial"/>
          <w:lang w:val="es-ES_tradnl"/>
        </w:rPr>
        <w:t xml:space="preserve">”). </w:t>
      </w:r>
    </w:p>
    <w:p w:rsidR="00292EB9" w:rsidRPr="0080269A" w:rsidRDefault="00292EB9" w:rsidP="00183337">
      <w:pPr>
        <w:rPr>
          <w:lang w:val="es-ES_tradnl"/>
        </w:rPr>
      </w:pPr>
    </w:p>
    <w:p w:rsidR="00292EB9" w:rsidRPr="0080269A" w:rsidRDefault="00292EB9" w:rsidP="00183337">
      <w:pPr>
        <w:rPr>
          <w:lang w:val="es-ES_tradnl"/>
        </w:rPr>
      </w:pPr>
    </w:p>
    <w:p w:rsidR="00292EB9" w:rsidRPr="0080269A" w:rsidRDefault="00292EB9" w:rsidP="00183337">
      <w:pPr>
        <w:pStyle w:val="Heading2"/>
        <w:rPr>
          <w:rFonts w:eastAsia="MS Mincho"/>
          <w:lang w:val="es-ES_tradnl" w:eastAsia="ja-JP"/>
        </w:rPr>
      </w:pPr>
      <w:bookmarkStart w:id="11" w:name="_Toc380067143"/>
      <w:r w:rsidRPr="004055B7">
        <w:rPr>
          <w:rFonts w:eastAsia="MS Mincho"/>
          <w:lang w:val="es-ES_tradnl" w:eastAsia="ja-JP"/>
        </w:rPr>
        <w:t>Grupo de Trabajo Técnico sobre Plantas Ornamentales y Árboles Forestales</w:t>
      </w:r>
      <w:bookmarkEnd w:id="11"/>
      <w:r w:rsidRPr="0080269A">
        <w:rPr>
          <w:rFonts w:eastAsia="MS Mincho"/>
          <w:lang w:val="es-ES_tradnl" w:eastAsia="ja-JP"/>
        </w:rPr>
        <w:t xml:space="preserve"> </w:t>
      </w:r>
    </w:p>
    <w:p w:rsidR="00292EB9" w:rsidRPr="0080269A" w:rsidRDefault="00292EB9" w:rsidP="00183337">
      <w:pPr>
        <w:keepNext/>
        <w:rPr>
          <w:rFonts w:eastAsia="MS Mincho"/>
          <w:i/>
          <w:iCs/>
          <w:color w:val="000000"/>
          <w:szCs w:val="24"/>
          <w:lang w:val="es-ES_tradnl" w:eastAsia="ja-JP"/>
        </w:rPr>
      </w:pPr>
    </w:p>
    <w:p w:rsidR="00292EB9" w:rsidRPr="0080269A" w:rsidRDefault="00292EB9" w:rsidP="00E500C7">
      <w:pPr>
        <w:autoSpaceDE w:val="0"/>
        <w:autoSpaceDN w:val="0"/>
        <w:adjustRightInd w:val="0"/>
        <w:rPr>
          <w:rFonts w:eastAsia="MS Mincho"/>
          <w:color w:val="000000"/>
          <w:szCs w:val="24"/>
          <w:lang w:val="es-ES_tradnl" w:eastAsia="ja-JP"/>
        </w:rPr>
      </w:pPr>
      <w:r w:rsidRPr="005623A7">
        <w:fldChar w:fldCharType="begin"/>
      </w:r>
      <w:r w:rsidRPr="0080269A">
        <w:rPr>
          <w:lang w:val="es-ES_tradnl"/>
        </w:rPr>
        <w:instrText xml:space="preserve"> AUTONUM  </w:instrText>
      </w:r>
      <w:r w:rsidRPr="005623A7">
        <w:fldChar w:fldCharType="end"/>
      </w:r>
      <w:r w:rsidRPr="0080269A">
        <w:rPr>
          <w:lang w:val="es-ES_tradnl"/>
        </w:rPr>
        <w:tab/>
      </w:r>
      <w:r w:rsidRPr="00CD127F">
        <w:rPr>
          <w:rFonts w:cs="Arial"/>
          <w:lang w:val="es-ES_tradnl"/>
        </w:rPr>
        <w:t xml:space="preserve">En su cuadragésima quinta sesión, celebrada en </w:t>
      </w:r>
      <w:proofErr w:type="spellStart"/>
      <w:r w:rsidRPr="00CD127F">
        <w:rPr>
          <w:rFonts w:cs="Arial"/>
          <w:lang w:val="es-ES_tradnl"/>
        </w:rPr>
        <w:t>Jeju</w:t>
      </w:r>
      <w:proofErr w:type="spellEnd"/>
      <w:r w:rsidRPr="00CD127F">
        <w:rPr>
          <w:rFonts w:cs="Arial"/>
          <w:lang w:val="es-ES_tradnl"/>
        </w:rPr>
        <w:t xml:space="preserve"> (República de Corea) del 6 al 10 de agosto de 2012, el TWO examinó el documento TWO/45/9</w:t>
      </w:r>
      <w:r w:rsidR="00B32F15">
        <w:rPr>
          <w:rFonts w:cs="Arial"/>
          <w:lang w:val="es-ES_tradnl"/>
        </w:rPr>
        <w:t xml:space="preserve"> “</w:t>
      </w:r>
      <w:proofErr w:type="spellStart"/>
      <w:r w:rsidRPr="0080269A">
        <w:rPr>
          <w:rFonts w:cs="Arial"/>
          <w:i/>
          <w:lang w:val="es-ES_tradnl"/>
        </w:rPr>
        <w:t>Assessing</w:t>
      </w:r>
      <w:proofErr w:type="spellEnd"/>
      <w:r w:rsidRPr="0080269A">
        <w:rPr>
          <w:rFonts w:cs="Arial"/>
          <w:i/>
          <w:lang w:val="es-ES_tradnl"/>
        </w:rPr>
        <w:t xml:space="preserve"> </w:t>
      </w:r>
      <w:proofErr w:type="spellStart"/>
      <w:r w:rsidRPr="0080269A">
        <w:rPr>
          <w:rFonts w:cs="Arial"/>
          <w:i/>
          <w:lang w:val="es-ES_tradnl"/>
        </w:rPr>
        <w:t>uniformity</w:t>
      </w:r>
      <w:proofErr w:type="spellEnd"/>
      <w:r w:rsidRPr="0080269A">
        <w:rPr>
          <w:rFonts w:cs="Arial"/>
          <w:i/>
          <w:lang w:val="es-ES_tradnl"/>
        </w:rPr>
        <w:t xml:space="preserve"> </w:t>
      </w:r>
      <w:proofErr w:type="spellStart"/>
      <w:r w:rsidRPr="0080269A">
        <w:rPr>
          <w:rFonts w:cs="Arial"/>
          <w:i/>
          <w:lang w:val="es-ES_tradnl"/>
        </w:rPr>
        <w:t>by</w:t>
      </w:r>
      <w:proofErr w:type="spellEnd"/>
      <w:r w:rsidRPr="0080269A">
        <w:rPr>
          <w:rFonts w:cs="Arial"/>
          <w:i/>
          <w:lang w:val="es-ES_tradnl"/>
        </w:rPr>
        <w:t xml:space="preserve"> off-</w:t>
      </w:r>
      <w:proofErr w:type="spellStart"/>
      <w:r w:rsidRPr="0080269A">
        <w:rPr>
          <w:rFonts w:cs="Arial"/>
          <w:i/>
          <w:lang w:val="es-ES_tradnl"/>
        </w:rPr>
        <w:t>types</w:t>
      </w:r>
      <w:proofErr w:type="spellEnd"/>
      <w:r w:rsidRPr="0080269A">
        <w:rPr>
          <w:rFonts w:cs="Arial"/>
          <w:i/>
          <w:lang w:val="es-ES_tradnl"/>
        </w:rPr>
        <w:t xml:space="preserve"> </w:t>
      </w:r>
      <w:proofErr w:type="spellStart"/>
      <w:r w:rsidRPr="0080269A">
        <w:rPr>
          <w:rFonts w:cs="Arial"/>
          <w:i/>
          <w:lang w:val="es-ES_tradnl"/>
        </w:rPr>
        <w:t>on</w:t>
      </w:r>
      <w:proofErr w:type="spellEnd"/>
      <w:r w:rsidRPr="0080269A">
        <w:rPr>
          <w:rFonts w:cs="Arial"/>
          <w:i/>
          <w:lang w:val="es-ES_tradnl"/>
        </w:rPr>
        <w:t xml:space="preserve"> </w:t>
      </w:r>
      <w:proofErr w:type="spellStart"/>
      <w:r w:rsidRPr="0080269A">
        <w:rPr>
          <w:rFonts w:cs="Arial"/>
          <w:i/>
          <w:lang w:val="es-ES_tradnl"/>
        </w:rPr>
        <w:t>the</w:t>
      </w:r>
      <w:proofErr w:type="spellEnd"/>
      <w:r w:rsidRPr="0080269A">
        <w:rPr>
          <w:rFonts w:cs="Arial"/>
          <w:i/>
          <w:lang w:val="es-ES_tradnl"/>
        </w:rPr>
        <w:t xml:space="preserve"> </w:t>
      </w:r>
      <w:proofErr w:type="spellStart"/>
      <w:r w:rsidRPr="0080269A">
        <w:rPr>
          <w:rFonts w:cs="Arial"/>
          <w:i/>
          <w:lang w:val="es-ES_tradnl"/>
        </w:rPr>
        <w:t>basis</w:t>
      </w:r>
      <w:proofErr w:type="spellEnd"/>
      <w:r w:rsidRPr="0080269A">
        <w:rPr>
          <w:rFonts w:cs="Arial"/>
          <w:i/>
          <w:lang w:val="es-ES_tradnl"/>
        </w:rPr>
        <w:t xml:space="preserve"> of more </w:t>
      </w:r>
      <w:proofErr w:type="spellStart"/>
      <w:r w:rsidRPr="0080269A">
        <w:rPr>
          <w:rFonts w:cs="Arial"/>
          <w:i/>
          <w:lang w:val="es-ES_tradnl"/>
        </w:rPr>
        <w:t>than</w:t>
      </w:r>
      <w:proofErr w:type="spellEnd"/>
      <w:r w:rsidRPr="0080269A">
        <w:rPr>
          <w:rFonts w:cs="Arial"/>
          <w:i/>
          <w:lang w:val="es-ES_tradnl"/>
        </w:rPr>
        <w:t xml:space="preserve"> </w:t>
      </w:r>
      <w:proofErr w:type="spellStart"/>
      <w:r w:rsidRPr="0080269A">
        <w:rPr>
          <w:rFonts w:cs="Arial"/>
          <w:i/>
          <w:lang w:val="es-ES_tradnl"/>
        </w:rPr>
        <w:t>one</w:t>
      </w:r>
      <w:proofErr w:type="spellEnd"/>
      <w:r w:rsidRPr="0080269A">
        <w:rPr>
          <w:rFonts w:cs="Arial"/>
          <w:i/>
          <w:lang w:val="es-ES_tradnl"/>
        </w:rPr>
        <w:t xml:space="preserve"> </w:t>
      </w:r>
      <w:proofErr w:type="spellStart"/>
      <w:r w:rsidRPr="0080269A">
        <w:rPr>
          <w:rFonts w:cs="Arial"/>
          <w:i/>
          <w:lang w:val="es-ES_tradnl"/>
        </w:rPr>
        <w:t>sample</w:t>
      </w:r>
      <w:proofErr w:type="spellEnd"/>
      <w:r w:rsidRPr="0080269A">
        <w:rPr>
          <w:rFonts w:cs="Arial"/>
          <w:i/>
          <w:lang w:val="es-ES_tradnl"/>
        </w:rPr>
        <w:t xml:space="preserve"> </w:t>
      </w:r>
      <w:proofErr w:type="spellStart"/>
      <w:r w:rsidRPr="0080269A">
        <w:rPr>
          <w:rFonts w:cs="Arial"/>
          <w:i/>
          <w:lang w:val="es-ES_tradnl"/>
        </w:rPr>
        <w:t>or</w:t>
      </w:r>
      <w:proofErr w:type="spellEnd"/>
      <w:r w:rsidRPr="0080269A">
        <w:rPr>
          <w:rFonts w:cs="Arial"/>
          <w:i/>
          <w:lang w:val="es-ES_tradnl"/>
        </w:rPr>
        <w:t xml:space="preserve"> sub-</w:t>
      </w:r>
      <w:proofErr w:type="spellStart"/>
      <w:r w:rsidRPr="0080269A">
        <w:rPr>
          <w:rFonts w:cs="Arial"/>
          <w:i/>
          <w:lang w:val="es-ES_tradnl"/>
        </w:rPr>
        <w:t>sample</w:t>
      </w:r>
      <w:proofErr w:type="spellEnd"/>
      <w:r w:rsidRPr="00CD127F">
        <w:rPr>
          <w:rFonts w:cs="Arial"/>
          <w:lang w:val="es-ES_tradnl"/>
        </w:rPr>
        <w:t xml:space="preserve">” (Evaluación de la homogeneidad de las plantas fuera de tipo mediante la observación de más de una muestra o </w:t>
      </w:r>
      <w:proofErr w:type="spellStart"/>
      <w:r w:rsidRPr="00CD127F">
        <w:rPr>
          <w:rFonts w:cs="Arial"/>
          <w:lang w:val="es-ES_tradnl"/>
        </w:rPr>
        <w:t>submuestra</w:t>
      </w:r>
      <w:proofErr w:type="spellEnd"/>
      <w:r w:rsidRPr="00CD127F">
        <w:rPr>
          <w:rFonts w:cs="Arial"/>
          <w:lang w:val="es-ES_tradnl"/>
        </w:rPr>
        <w:t>), juntamente con la sección “Resumen de métodos” y los anexos, como se establece en el presente documento.</w:t>
      </w:r>
      <w:r w:rsidRPr="0080269A">
        <w:rPr>
          <w:rFonts w:eastAsia="MS Mincho"/>
          <w:color w:val="000000"/>
          <w:szCs w:val="24"/>
          <w:lang w:val="es-ES_tradnl" w:eastAsia="ja-JP"/>
        </w:rPr>
        <w:t xml:space="preserve"> </w:t>
      </w:r>
      <w:r w:rsidRPr="00CD127F">
        <w:rPr>
          <w:rFonts w:eastAsia="MS Mincho"/>
          <w:color w:val="000000"/>
          <w:szCs w:val="24"/>
          <w:lang w:val="es-ES_tradnl" w:eastAsia="ja-JP"/>
        </w:rPr>
        <w:t>El TWO tomó nota de los diferentes métodos utilizados por diferentes miembros de la UPOV (véase el párrafo 54 del documento TWO/45/37</w:t>
      </w:r>
      <w:r w:rsidR="00B32F15">
        <w:rPr>
          <w:rFonts w:eastAsia="MS Mincho"/>
          <w:color w:val="000000"/>
          <w:szCs w:val="24"/>
          <w:lang w:val="es-ES_tradnl" w:eastAsia="ja-JP"/>
        </w:rPr>
        <w:t xml:space="preserve"> “</w:t>
      </w:r>
      <w:proofErr w:type="spellStart"/>
      <w:r w:rsidRPr="0080269A">
        <w:rPr>
          <w:rFonts w:eastAsia="MS Mincho"/>
          <w:i/>
          <w:color w:val="000000"/>
          <w:szCs w:val="24"/>
          <w:lang w:val="es-ES_tradnl" w:eastAsia="ja-JP"/>
        </w:rPr>
        <w:t>Report</w:t>
      </w:r>
      <w:proofErr w:type="spellEnd"/>
      <w:r w:rsidRPr="00CD127F">
        <w:rPr>
          <w:rFonts w:eastAsia="MS Mincho"/>
          <w:color w:val="000000"/>
          <w:szCs w:val="24"/>
          <w:lang w:val="es-ES_tradnl" w:eastAsia="ja-JP"/>
        </w:rPr>
        <w:t>”).</w:t>
      </w:r>
    </w:p>
    <w:p w:rsidR="00292EB9" w:rsidRPr="0080269A" w:rsidRDefault="00292EB9" w:rsidP="00183337">
      <w:pPr>
        <w:rPr>
          <w:lang w:val="es-ES_tradnl"/>
        </w:rPr>
      </w:pPr>
    </w:p>
    <w:p w:rsidR="00292EB9" w:rsidRPr="0080269A" w:rsidRDefault="00292EB9" w:rsidP="00183337">
      <w:pPr>
        <w:rPr>
          <w:caps/>
          <w:lang w:val="es-ES_tradnl"/>
        </w:rPr>
      </w:pPr>
    </w:p>
    <w:p w:rsidR="00292EB9" w:rsidRPr="0080269A" w:rsidRDefault="00292EB9" w:rsidP="00183337">
      <w:pPr>
        <w:pStyle w:val="Heading1"/>
        <w:rPr>
          <w:lang w:val="es-ES_tradnl"/>
        </w:rPr>
      </w:pPr>
      <w:bookmarkStart w:id="12" w:name="_Toc380067144"/>
      <w:r w:rsidRPr="004055B7">
        <w:rPr>
          <w:lang w:val="es-ES_tradnl"/>
        </w:rPr>
        <w:t>III.</w:t>
      </w:r>
      <w:r w:rsidRPr="0080269A">
        <w:rPr>
          <w:lang w:val="es-ES_tradnl"/>
        </w:rPr>
        <w:tab/>
      </w:r>
      <w:r w:rsidRPr="004055B7">
        <w:rPr>
          <w:lang w:val="es-ES_tradnl"/>
        </w:rPr>
        <w:t>NOVEDADES ACONTECIDAS EN 2013</w:t>
      </w:r>
      <w:bookmarkEnd w:id="12"/>
    </w:p>
    <w:p w:rsidR="00292EB9" w:rsidRPr="0080269A" w:rsidRDefault="00292EB9" w:rsidP="00183337">
      <w:pPr>
        <w:keepNext/>
        <w:rPr>
          <w:lang w:val="es-ES_tradnl"/>
        </w:rPr>
      </w:pPr>
    </w:p>
    <w:p w:rsidR="00292EB9" w:rsidRPr="0080269A" w:rsidRDefault="00292EB9" w:rsidP="00183337">
      <w:pPr>
        <w:pStyle w:val="Heading2"/>
        <w:rPr>
          <w:lang w:val="es-ES_tradnl"/>
        </w:rPr>
      </w:pPr>
      <w:bookmarkStart w:id="13" w:name="_Toc380067145"/>
      <w:r w:rsidRPr="004055B7">
        <w:rPr>
          <w:rFonts w:eastAsia="MS Mincho"/>
          <w:lang w:val="es-ES_tradnl" w:eastAsia="ja-JP"/>
        </w:rPr>
        <w:t>Comité Técnico</w:t>
      </w:r>
      <w:bookmarkEnd w:id="13"/>
    </w:p>
    <w:p w:rsidR="00292EB9" w:rsidRPr="0080269A" w:rsidRDefault="00292EB9" w:rsidP="00183337">
      <w:pPr>
        <w:keepNext/>
        <w:rPr>
          <w:rFonts w:eastAsia="MS Mincho"/>
          <w:color w:val="000000"/>
          <w:szCs w:val="24"/>
          <w:lang w:val="es-ES_tradnl" w:eastAsia="ja-JP"/>
        </w:rPr>
      </w:pPr>
    </w:p>
    <w:p w:rsidR="00292EB9" w:rsidRPr="0080269A" w:rsidRDefault="00292EB9" w:rsidP="00E500C7">
      <w:pPr>
        <w:rPr>
          <w:snapToGrid w:val="0"/>
          <w:lang w:val="es-ES_tradnl"/>
        </w:rPr>
      </w:pPr>
      <w:r w:rsidRPr="00AF342C">
        <w:rPr>
          <w:snapToGrid w:val="0"/>
        </w:rPr>
        <w:fldChar w:fldCharType="begin"/>
      </w:r>
      <w:r w:rsidRPr="0080269A">
        <w:rPr>
          <w:snapToGrid w:val="0"/>
          <w:lang w:val="es-ES_tradnl"/>
        </w:rPr>
        <w:instrText xml:space="preserve"> AUTONUM  </w:instrText>
      </w:r>
      <w:r w:rsidRPr="00AF342C">
        <w:rPr>
          <w:snapToGrid w:val="0"/>
        </w:rPr>
        <w:fldChar w:fldCharType="end"/>
      </w:r>
      <w:r w:rsidRPr="0080269A">
        <w:rPr>
          <w:snapToGrid w:val="0"/>
          <w:lang w:val="es-ES_tradnl"/>
        </w:rPr>
        <w:tab/>
      </w:r>
      <w:r w:rsidRPr="00CD127F">
        <w:rPr>
          <w:rFonts w:cs="Arial"/>
          <w:color w:val="000000"/>
          <w:lang w:val="es-ES_tradnl"/>
        </w:rPr>
        <w:t xml:space="preserve">En su cuadragésima novena sesión, celebrada en Ginebra del 18 al 20 de marzo de 2013, el TC examinó el documento </w:t>
      </w:r>
      <w:r w:rsidRPr="00CD127F">
        <w:rPr>
          <w:lang w:val="es-ES_tradnl"/>
        </w:rPr>
        <w:t xml:space="preserve">TC/49/14 </w:t>
      </w:r>
      <w:r w:rsidRPr="00CD127F">
        <w:rPr>
          <w:rFonts w:cs="Arial"/>
          <w:lang w:val="es-ES_tradnl"/>
        </w:rPr>
        <w:t>(</w:t>
      </w:r>
      <w:r w:rsidRPr="00CD127F">
        <w:rPr>
          <w:lang w:val="es-ES_tradnl"/>
        </w:rPr>
        <w:t xml:space="preserve">véase el </w:t>
      </w:r>
      <w:r w:rsidRPr="00CD127F">
        <w:rPr>
          <w:rFonts w:eastAsia="PMingLiU" w:cs="Arial"/>
          <w:szCs w:val="24"/>
          <w:lang w:val="es-ES_tradnl"/>
        </w:rPr>
        <w:t xml:space="preserve">párrafo 114 del </w:t>
      </w:r>
      <w:r w:rsidRPr="00CD127F">
        <w:rPr>
          <w:lang w:val="es-ES_tradnl"/>
        </w:rPr>
        <w:t>documento</w:t>
      </w:r>
      <w:r w:rsidRPr="00CD127F">
        <w:rPr>
          <w:rFonts w:eastAsia="PMingLiU" w:cs="Arial"/>
          <w:szCs w:val="24"/>
          <w:lang w:val="es-ES_tradnl"/>
        </w:rPr>
        <w:t xml:space="preserve"> TC/49/41</w:t>
      </w:r>
      <w:r w:rsidR="00B32F15">
        <w:rPr>
          <w:rFonts w:eastAsia="PMingLiU" w:cs="Arial"/>
          <w:szCs w:val="24"/>
          <w:lang w:val="es-ES_tradnl"/>
        </w:rPr>
        <w:t xml:space="preserve"> “</w:t>
      </w:r>
      <w:r w:rsidRPr="00CD127F">
        <w:rPr>
          <w:rFonts w:eastAsia="PMingLiU" w:cs="Arial"/>
          <w:szCs w:val="24"/>
          <w:lang w:val="es-ES_tradnl"/>
        </w:rPr>
        <w:t>Informe sobre las conclusiones”)</w:t>
      </w:r>
      <w:r w:rsidRPr="00CD127F">
        <w:rPr>
          <w:lang w:val="es-ES_tradnl"/>
        </w:rPr>
        <w:t>.</w:t>
      </w:r>
    </w:p>
    <w:p w:rsidR="00292EB9" w:rsidRPr="0080269A" w:rsidRDefault="00292EB9" w:rsidP="00E500C7">
      <w:pPr>
        <w:ind w:left="567" w:hanging="567"/>
        <w:rPr>
          <w:snapToGrid w:val="0"/>
          <w:lang w:val="es-ES_tradnl"/>
        </w:rPr>
      </w:pPr>
    </w:p>
    <w:p w:rsidR="00292EB9" w:rsidRPr="0080269A" w:rsidRDefault="00292EB9" w:rsidP="00E500C7">
      <w:pPr>
        <w:rPr>
          <w:snapToGrid w:val="0"/>
          <w:lang w:val="es-ES_tradnl"/>
        </w:rPr>
      </w:pPr>
      <w:r w:rsidRPr="00AF342C">
        <w:rPr>
          <w:snapToGrid w:val="0"/>
        </w:rPr>
        <w:fldChar w:fldCharType="begin"/>
      </w:r>
      <w:r w:rsidRPr="0080269A">
        <w:rPr>
          <w:snapToGrid w:val="0"/>
          <w:lang w:val="es-ES_tradnl"/>
        </w:rPr>
        <w:instrText xml:space="preserve"> AUTONUM  </w:instrText>
      </w:r>
      <w:r w:rsidRPr="00AF342C">
        <w:rPr>
          <w:snapToGrid w:val="0"/>
        </w:rPr>
        <w:fldChar w:fldCharType="end"/>
      </w:r>
      <w:r w:rsidRPr="0080269A">
        <w:rPr>
          <w:snapToGrid w:val="0"/>
          <w:lang w:val="es-ES_tradnl"/>
        </w:rPr>
        <w:tab/>
      </w:r>
      <w:r w:rsidRPr="004055B7">
        <w:rPr>
          <w:snapToGrid w:val="0"/>
          <w:lang w:val="es-ES_tradnl"/>
        </w:rPr>
        <w:t>El TC tomó nota de que el TWC examinará nueva información sobre las situaciones que se exponen en los anexos I a IV del documento TC/49/14, como la aclaración acerca de si dos ciclos de cultivo guardan relación con el uso de la misma muestra y si tienen lugar en el mismo año.</w:t>
      </w:r>
      <w:r w:rsidRPr="0080269A">
        <w:rPr>
          <w:szCs w:val="24"/>
          <w:lang w:val="es-ES_tradnl"/>
        </w:rPr>
        <w:t xml:space="preserve">  </w:t>
      </w:r>
      <w:r w:rsidRPr="004055B7">
        <w:rPr>
          <w:szCs w:val="24"/>
          <w:lang w:val="es-ES_tradnl"/>
        </w:rPr>
        <w:t>El TC tomó nota de que el TWC convino en que es necesario disponer de más información y análisis para poder ofrecer orientación sobre las consecuencias de la utilización de métodos diferentes.</w:t>
      </w:r>
      <w:r w:rsidRPr="0080269A">
        <w:rPr>
          <w:szCs w:val="24"/>
          <w:lang w:val="es-ES_tradnl"/>
        </w:rPr>
        <w:t xml:space="preserve">  </w:t>
      </w:r>
      <w:r w:rsidRPr="00CD127F">
        <w:rPr>
          <w:szCs w:val="24"/>
          <w:lang w:val="es-ES_tradnl"/>
        </w:rPr>
        <w:t>El TWC convino, además, en que Francia, Alemania y los Países Bajos presenten una o más situaciones concretas en sus países así como las bases estadísticas de sus análisis en su siguiente sesión, y que expertos de Francia y Alemania evalúen las bases estadísticas del número aceptable de plantas fu</w:t>
      </w:r>
      <w:r w:rsidR="002C4A49">
        <w:rPr>
          <w:szCs w:val="24"/>
          <w:lang w:val="es-ES_tradnl"/>
        </w:rPr>
        <w:t xml:space="preserve">era de tipo en la </w:t>
      </w:r>
      <w:proofErr w:type="spellStart"/>
      <w:r w:rsidR="002C4A49">
        <w:rPr>
          <w:szCs w:val="24"/>
          <w:lang w:val="es-ES_tradnl"/>
        </w:rPr>
        <w:t>submuestra</w:t>
      </w:r>
      <w:proofErr w:type="spellEnd"/>
      <w:r w:rsidR="002C4A49">
        <w:rPr>
          <w:szCs w:val="24"/>
          <w:lang w:val="es-ES_tradnl"/>
        </w:rPr>
        <w:t xml:space="preserve"> de 20 </w:t>
      </w:r>
      <w:r w:rsidRPr="00CD127F">
        <w:rPr>
          <w:szCs w:val="24"/>
          <w:lang w:val="es-ES_tradnl"/>
        </w:rPr>
        <w:t xml:space="preserve">plantas que se utiliza en el contexto de un </w:t>
      </w:r>
      <w:r w:rsidR="002C4A49">
        <w:rPr>
          <w:szCs w:val="24"/>
          <w:lang w:val="es-ES_tradnl"/>
        </w:rPr>
        <w:t>tamaño de muestra de 100 </w:t>
      </w:r>
      <w:r w:rsidRPr="00CD127F">
        <w:rPr>
          <w:szCs w:val="24"/>
          <w:lang w:val="es-ES_tradnl"/>
        </w:rPr>
        <w:t xml:space="preserve">plantas (situación D) </w:t>
      </w:r>
      <w:r w:rsidRPr="00CD127F">
        <w:rPr>
          <w:rFonts w:cs="Arial"/>
          <w:lang w:val="es-ES_tradnl"/>
        </w:rPr>
        <w:t>(</w:t>
      </w:r>
      <w:r w:rsidRPr="00CD127F">
        <w:rPr>
          <w:lang w:val="es-ES_tradnl"/>
        </w:rPr>
        <w:t xml:space="preserve">véase el </w:t>
      </w:r>
      <w:r w:rsidRPr="00CD127F">
        <w:rPr>
          <w:rFonts w:eastAsia="PMingLiU" w:cs="Arial"/>
          <w:szCs w:val="24"/>
          <w:lang w:val="es-ES_tradnl"/>
        </w:rPr>
        <w:t xml:space="preserve">párrafo 115 del </w:t>
      </w:r>
      <w:r w:rsidRPr="00CD127F">
        <w:rPr>
          <w:lang w:val="es-ES_tradnl"/>
        </w:rPr>
        <w:t>documento</w:t>
      </w:r>
      <w:r w:rsidRPr="00CD127F">
        <w:rPr>
          <w:rFonts w:eastAsia="PMingLiU" w:cs="Arial"/>
          <w:szCs w:val="24"/>
          <w:lang w:val="es-ES_tradnl"/>
        </w:rPr>
        <w:t xml:space="preserve"> TC/49/41</w:t>
      </w:r>
      <w:r w:rsidR="00B32F15">
        <w:rPr>
          <w:rFonts w:eastAsia="PMingLiU" w:cs="Arial"/>
          <w:szCs w:val="24"/>
          <w:lang w:val="es-ES_tradnl"/>
        </w:rPr>
        <w:t xml:space="preserve"> “</w:t>
      </w:r>
      <w:r w:rsidRPr="00CD127F">
        <w:rPr>
          <w:rFonts w:eastAsia="PMingLiU" w:cs="Arial"/>
          <w:szCs w:val="24"/>
          <w:lang w:val="es-ES_tradnl"/>
        </w:rPr>
        <w:t>Informe sobre las conclusiones”)</w:t>
      </w:r>
      <w:r w:rsidRPr="00CD127F">
        <w:rPr>
          <w:rFonts w:cs="Arial"/>
          <w:lang w:val="es-ES_tradnl"/>
        </w:rPr>
        <w:t>.</w:t>
      </w:r>
    </w:p>
    <w:p w:rsidR="00292EB9" w:rsidRPr="0080269A" w:rsidRDefault="00292EB9" w:rsidP="00183337">
      <w:pPr>
        <w:ind w:left="567" w:hanging="567"/>
        <w:rPr>
          <w:lang w:val="es-ES_tradnl"/>
        </w:rPr>
      </w:pPr>
    </w:p>
    <w:p w:rsidR="00292EB9" w:rsidRPr="0080269A" w:rsidRDefault="00292EB9" w:rsidP="00183337">
      <w:pPr>
        <w:rPr>
          <w:lang w:val="es-ES_tradnl"/>
        </w:rPr>
      </w:pPr>
      <w:r w:rsidRPr="00AF342C">
        <w:fldChar w:fldCharType="begin"/>
      </w:r>
      <w:r w:rsidRPr="0080269A">
        <w:rPr>
          <w:lang w:val="es-ES_tradnl"/>
        </w:rPr>
        <w:instrText xml:space="preserve"> AUTONUM  </w:instrText>
      </w:r>
      <w:r w:rsidRPr="00AF342C">
        <w:fldChar w:fldCharType="end"/>
      </w:r>
      <w:r w:rsidRPr="0080269A">
        <w:rPr>
          <w:lang w:val="es-ES_tradnl"/>
        </w:rPr>
        <w:tab/>
      </w:r>
      <w:r w:rsidRPr="004055B7">
        <w:rPr>
          <w:lang w:val="es-ES_tradnl"/>
        </w:rPr>
        <w:t>El TC convino en que el método de combinar resultados de dos ciclos de cultivo, como se establece en los anexos I y II, Situación A y B, no es incompatible con el requisito de ciclos de cultivo “independientes”.</w:t>
      </w:r>
      <w:r w:rsidRPr="0080269A">
        <w:rPr>
          <w:iCs/>
          <w:spacing w:val="-4"/>
          <w:lang w:val="es-ES_tradnl"/>
        </w:rPr>
        <w:t xml:space="preserve">  </w:t>
      </w:r>
      <w:r w:rsidRPr="00CD127F">
        <w:rPr>
          <w:iCs/>
          <w:spacing w:val="-4"/>
          <w:lang w:val="es-ES_tradnl"/>
        </w:rPr>
        <w:t>No obstante, convino en que sería preciso poner cuidado, por ejemplo, al examinar resultados que fueran muy diferentes en cada uno de los ciclos de cultivo, por ejemplo cuando se observase una gran abundancia de plantas fuera de tipo en un ciclo de cultivo y su ausencia en otro ciclo (véase el párrafo 116 del documento TC/49/41</w:t>
      </w:r>
      <w:r w:rsidR="00B32F15">
        <w:rPr>
          <w:iCs/>
          <w:spacing w:val="-4"/>
          <w:lang w:val="es-ES_tradnl"/>
        </w:rPr>
        <w:t xml:space="preserve"> “</w:t>
      </w:r>
      <w:r w:rsidRPr="00CD127F">
        <w:rPr>
          <w:iCs/>
          <w:spacing w:val="-4"/>
          <w:lang w:val="es-ES_tradnl"/>
        </w:rPr>
        <w:t>Informe sobre las conclusiones”).</w:t>
      </w:r>
    </w:p>
    <w:p w:rsidR="00292EB9" w:rsidRPr="0080269A" w:rsidRDefault="00292EB9" w:rsidP="00183337">
      <w:pPr>
        <w:ind w:left="567" w:hanging="567"/>
        <w:rPr>
          <w:lang w:val="es-ES_tradnl"/>
        </w:rPr>
      </w:pPr>
    </w:p>
    <w:p w:rsidR="00292EB9" w:rsidRPr="0080269A" w:rsidRDefault="00292EB9" w:rsidP="00183337">
      <w:pPr>
        <w:rPr>
          <w:lang w:val="es-ES_tradnl"/>
        </w:rPr>
      </w:pPr>
      <w:r w:rsidRPr="00AF342C">
        <w:fldChar w:fldCharType="begin"/>
      </w:r>
      <w:r w:rsidRPr="0080269A">
        <w:rPr>
          <w:lang w:val="es-ES_tradnl"/>
        </w:rPr>
        <w:instrText xml:space="preserve"> AUTONUM  </w:instrText>
      </w:r>
      <w:r w:rsidRPr="00AF342C">
        <w:fldChar w:fldCharType="end"/>
      </w:r>
      <w:r w:rsidRPr="0080269A">
        <w:rPr>
          <w:lang w:val="es-ES_tradnl"/>
        </w:rPr>
        <w:tab/>
      </w:r>
      <w:r w:rsidRPr="00CD127F">
        <w:rPr>
          <w:lang w:val="es-ES_tradnl"/>
        </w:rPr>
        <w:t>El TC tomó nota de que un experto de Nueva Zelandia ofrecerá una ponencia, en la sesión del TWF en 2013, sobre el ensayo de la homogeneidad de las variedades del manzano resultantes de una mutación (véase el párrafo 117 del documento TC/49/41</w:t>
      </w:r>
      <w:r w:rsidR="00B32F15">
        <w:rPr>
          <w:lang w:val="es-ES_tradnl"/>
        </w:rPr>
        <w:t xml:space="preserve"> “</w:t>
      </w:r>
      <w:r w:rsidRPr="00CD127F">
        <w:rPr>
          <w:lang w:val="es-ES_tradnl"/>
        </w:rPr>
        <w:t>Informe sobre las conclusiones”).</w:t>
      </w:r>
    </w:p>
    <w:p w:rsidR="00292EB9" w:rsidRPr="0080269A" w:rsidRDefault="00292EB9" w:rsidP="00183337">
      <w:pPr>
        <w:rPr>
          <w:lang w:val="es-ES_tradnl"/>
        </w:rPr>
      </w:pPr>
    </w:p>
    <w:p w:rsidR="00292EB9" w:rsidRPr="0080269A" w:rsidRDefault="00292EB9" w:rsidP="00183337">
      <w:pPr>
        <w:rPr>
          <w:lang w:val="es-ES_tradnl"/>
        </w:rPr>
      </w:pPr>
      <w:r>
        <w:fldChar w:fldCharType="begin"/>
      </w:r>
      <w:r w:rsidRPr="0080269A">
        <w:rPr>
          <w:lang w:val="es-ES_tradnl"/>
        </w:rPr>
        <w:instrText xml:space="preserve"> AUTONUM  </w:instrText>
      </w:r>
      <w:r>
        <w:fldChar w:fldCharType="end"/>
      </w:r>
      <w:r w:rsidRPr="0080269A">
        <w:rPr>
          <w:lang w:val="es-ES_tradnl"/>
        </w:rPr>
        <w:tab/>
      </w:r>
      <w:r w:rsidRPr="00CD127F">
        <w:rPr>
          <w:lang w:val="es-ES_tradnl"/>
        </w:rPr>
        <w:t xml:space="preserve">Tras la sesión del TC, el experto de Nueva Zelandia convino en elaborar un documento para presentarlo en las </w:t>
      </w:r>
      <w:r w:rsidR="002C4A49">
        <w:rPr>
          <w:lang w:val="es-ES_tradnl"/>
        </w:rPr>
        <w:t>sesiones</w:t>
      </w:r>
      <w:r w:rsidRPr="00CD127F">
        <w:rPr>
          <w:lang w:val="es-ES_tradnl"/>
        </w:rPr>
        <w:t xml:space="preserve"> de los TWP del año 2013 (véanse los documentos TWO/46/26, TWF/44/26, TWV/47/26, TWC/31/26 y TWA/42/26</w:t>
      </w:r>
      <w:r w:rsidR="00B32F15">
        <w:rPr>
          <w:lang w:val="es-ES_tradnl"/>
        </w:rPr>
        <w:t xml:space="preserve"> “</w:t>
      </w:r>
      <w:proofErr w:type="spellStart"/>
      <w:r w:rsidRPr="0080269A">
        <w:rPr>
          <w:i/>
          <w:lang w:val="es-ES_tradnl"/>
        </w:rPr>
        <w:t>Testing</w:t>
      </w:r>
      <w:proofErr w:type="spellEnd"/>
      <w:r w:rsidRPr="0080269A">
        <w:rPr>
          <w:i/>
          <w:lang w:val="es-ES_tradnl"/>
        </w:rPr>
        <w:t xml:space="preserve"> </w:t>
      </w:r>
      <w:proofErr w:type="spellStart"/>
      <w:r w:rsidRPr="0080269A">
        <w:rPr>
          <w:i/>
          <w:lang w:val="es-ES_tradnl"/>
        </w:rPr>
        <w:t>Uniformity</w:t>
      </w:r>
      <w:proofErr w:type="spellEnd"/>
      <w:r w:rsidRPr="0080269A">
        <w:rPr>
          <w:i/>
          <w:lang w:val="es-ES_tradnl"/>
        </w:rPr>
        <w:t xml:space="preserve"> of Apple </w:t>
      </w:r>
      <w:proofErr w:type="spellStart"/>
      <w:r w:rsidRPr="0080269A">
        <w:rPr>
          <w:i/>
          <w:lang w:val="es-ES_tradnl"/>
        </w:rPr>
        <w:t>Varieties</w:t>
      </w:r>
      <w:proofErr w:type="spellEnd"/>
      <w:r w:rsidRPr="0080269A">
        <w:rPr>
          <w:i/>
          <w:lang w:val="es-ES_tradnl"/>
        </w:rPr>
        <w:t xml:space="preserve"> </w:t>
      </w:r>
      <w:proofErr w:type="spellStart"/>
      <w:r w:rsidRPr="0080269A">
        <w:rPr>
          <w:i/>
          <w:lang w:val="es-ES_tradnl"/>
        </w:rPr>
        <w:t>Arising</w:t>
      </w:r>
      <w:proofErr w:type="spellEnd"/>
      <w:r w:rsidRPr="0080269A">
        <w:rPr>
          <w:i/>
          <w:lang w:val="es-ES_tradnl"/>
        </w:rPr>
        <w:t xml:space="preserve"> </w:t>
      </w:r>
      <w:proofErr w:type="spellStart"/>
      <w:r w:rsidRPr="0080269A">
        <w:rPr>
          <w:i/>
          <w:lang w:val="es-ES_tradnl"/>
        </w:rPr>
        <w:t>from</w:t>
      </w:r>
      <w:proofErr w:type="spellEnd"/>
      <w:r w:rsidRPr="0080269A">
        <w:rPr>
          <w:i/>
          <w:lang w:val="es-ES_tradnl"/>
        </w:rPr>
        <w:t xml:space="preserve"> </w:t>
      </w:r>
      <w:proofErr w:type="spellStart"/>
      <w:r w:rsidRPr="0080269A">
        <w:rPr>
          <w:i/>
          <w:lang w:val="es-ES_tradnl"/>
        </w:rPr>
        <w:t>Mutation</w:t>
      </w:r>
      <w:proofErr w:type="spellEnd"/>
      <w:r w:rsidRPr="00CD127F">
        <w:rPr>
          <w:lang w:val="es-ES_tradnl"/>
        </w:rPr>
        <w:t>” (Ensayo de la homogeneidad de las variedades del manzano resultantes de una mutación)).</w:t>
      </w:r>
    </w:p>
    <w:p w:rsidR="00292EB9" w:rsidRPr="0080269A" w:rsidRDefault="00292EB9" w:rsidP="00183337">
      <w:pPr>
        <w:rPr>
          <w:lang w:val="es-ES_tradnl"/>
        </w:rPr>
      </w:pPr>
    </w:p>
    <w:p w:rsidR="00292EB9" w:rsidRPr="0080269A" w:rsidRDefault="00292EB9" w:rsidP="00183337">
      <w:pPr>
        <w:rPr>
          <w:lang w:val="es-ES_tradnl"/>
        </w:rPr>
      </w:pPr>
    </w:p>
    <w:p w:rsidR="00292EB9" w:rsidRPr="0080269A" w:rsidRDefault="00292EB9" w:rsidP="00183337">
      <w:pPr>
        <w:pStyle w:val="Heading2"/>
        <w:rPr>
          <w:rFonts w:eastAsia="MS Mincho"/>
          <w:lang w:val="es-ES_tradnl" w:eastAsia="ja-JP"/>
        </w:rPr>
      </w:pPr>
      <w:bookmarkStart w:id="14" w:name="_Toc380067146"/>
      <w:r w:rsidRPr="004055B7">
        <w:rPr>
          <w:rFonts w:eastAsia="MS Mincho"/>
          <w:lang w:val="es-ES_tradnl" w:eastAsia="ja-JP"/>
        </w:rPr>
        <w:t>Grupo de Trabajo Técnico sobre Plantas Ornamentales y Árboles Forestales</w:t>
      </w:r>
      <w:bookmarkEnd w:id="14"/>
      <w:r w:rsidRPr="0080269A">
        <w:rPr>
          <w:rFonts w:eastAsia="MS Mincho"/>
          <w:lang w:val="es-ES_tradnl" w:eastAsia="ja-JP"/>
        </w:rPr>
        <w:t xml:space="preserve"> </w:t>
      </w:r>
    </w:p>
    <w:p w:rsidR="00292EB9" w:rsidRPr="0080269A" w:rsidRDefault="00292EB9" w:rsidP="00183337">
      <w:pPr>
        <w:pStyle w:val="Heading2"/>
        <w:rPr>
          <w:rFonts w:eastAsia="MS Mincho"/>
          <w:lang w:val="es-ES_tradnl" w:eastAsia="ja-JP"/>
        </w:rPr>
      </w:pPr>
      <w:bookmarkStart w:id="15" w:name="_Toc380067147"/>
      <w:r w:rsidRPr="004055B7">
        <w:rPr>
          <w:rFonts w:eastAsia="MS Mincho"/>
          <w:lang w:val="es-ES_tradnl" w:eastAsia="ja-JP"/>
        </w:rPr>
        <w:t>Grupo de Trabajo Técnico sobre Plantas Frutales</w:t>
      </w:r>
      <w:bookmarkEnd w:id="15"/>
      <w:r w:rsidRPr="0080269A">
        <w:rPr>
          <w:rFonts w:eastAsia="MS Mincho"/>
          <w:lang w:val="es-ES_tradnl" w:eastAsia="ja-JP"/>
        </w:rPr>
        <w:t xml:space="preserve"> </w:t>
      </w:r>
    </w:p>
    <w:p w:rsidR="00292EB9" w:rsidRPr="0080269A" w:rsidRDefault="00292EB9" w:rsidP="00183337">
      <w:pPr>
        <w:rPr>
          <w:rFonts w:eastAsia="MS Mincho"/>
          <w:lang w:val="es-ES_tradnl" w:eastAsia="ja-JP"/>
        </w:rPr>
      </w:pPr>
    </w:p>
    <w:p w:rsidR="00292EB9" w:rsidRPr="0080269A" w:rsidRDefault="00292EB9" w:rsidP="00183337">
      <w:pPr>
        <w:rPr>
          <w:rFonts w:eastAsia="MS Mincho"/>
          <w:lang w:val="es-ES_tradnl"/>
        </w:rPr>
      </w:pPr>
      <w:r>
        <w:fldChar w:fldCharType="begin"/>
      </w:r>
      <w:r w:rsidRPr="0080269A">
        <w:rPr>
          <w:lang w:val="es-ES_tradnl"/>
        </w:rPr>
        <w:instrText xml:space="preserve"> AUTONUM  </w:instrText>
      </w:r>
      <w:r>
        <w:fldChar w:fldCharType="end"/>
      </w:r>
      <w:r w:rsidRPr="0080269A">
        <w:rPr>
          <w:lang w:val="es-ES_tradnl"/>
        </w:rPr>
        <w:tab/>
      </w:r>
      <w:r w:rsidRPr="00CD127F">
        <w:rPr>
          <w:lang w:val="es-ES_tradnl"/>
        </w:rPr>
        <w:t xml:space="preserve">El TWO y el TWF examinaron los </w:t>
      </w:r>
      <w:r w:rsidRPr="00CD127F">
        <w:rPr>
          <w:rFonts w:eastAsia="MS Mincho"/>
          <w:lang w:val="es-ES_tradnl"/>
        </w:rPr>
        <w:t xml:space="preserve">documentos TWO/46/22 Rev. </w:t>
      </w:r>
      <w:proofErr w:type="gramStart"/>
      <w:r w:rsidRPr="00CD127F">
        <w:rPr>
          <w:rFonts w:eastAsia="MS Mincho"/>
          <w:lang w:val="es-ES_tradnl"/>
        </w:rPr>
        <w:t>y</w:t>
      </w:r>
      <w:proofErr w:type="gramEnd"/>
      <w:r w:rsidRPr="00CD127F">
        <w:rPr>
          <w:rFonts w:eastAsia="MS Mincho"/>
          <w:lang w:val="es-ES_tradnl"/>
        </w:rPr>
        <w:t xml:space="preserve"> TWF/44/22, respectivamente, y tomaron nota de que </w:t>
      </w:r>
      <w:r w:rsidRPr="00CD127F">
        <w:rPr>
          <w:rFonts w:cs="Arial"/>
          <w:lang w:val="es-ES_tradnl"/>
        </w:rPr>
        <w:t>(véanse el párrafo 63 del documento TWO/46/29</w:t>
      </w:r>
      <w:r w:rsidR="00B32F15">
        <w:rPr>
          <w:rFonts w:cs="Arial"/>
          <w:lang w:val="es-ES_tradnl"/>
        </w:rPr>
        <w:t xml:space="preserve"> “</w:t>
      </w:r>
      <w:proofErr w:type="spellStart"/>
      <w:r w:rsidRPr="0080269A">
        <w:rPr>
          <w:rFonts w:cs="Arial"/>
          <w:i/>
          <w:lang w:val="es-ES_tradnl"/>
        </w:rPr>
        <w:t>Report</w:t>
      </w:r>
      <w:proofErr w:type="spellEnd"/>
      <w:r w:rsidRPr="00CD127F">
        <w:rPr>
          <w:rFonts w:cs="Arial"/>
          <w:lang w:val="es-ES_tradnl"/>
        </w:rPr>
        <w:t>”, y el párrafo 61 del documento TWF/44/31</w:t>
      </w:r>
      <w:r w:rsidR="00B32F15">
        <w:rPr>
          <w:rFonts w:cs="Arial"/>
          <w:lang w:val="es-ES_tradnl"/>
        </w:rPr>
        <w:t xml:space="preserve"> “</w:t>
      </w:r>
      <w:proofErr w:type="spellStart"/>
      <w:r w:rsidRPr="0080269A">
        <w:rPr>
          <w:rFonts w:cs="Arial"/>
          <w:i/>
          <w:lang w:val="es-ES_tradnl"/>
        </w:rPr>
        <w:t>Report</w:t>
      </w:r>
      <w:proofErr w:type="spellEnd"/>
      <w:r w:rsidRPr="00CD127F">
        <w:rPr>
          <w:rFonts w:cs="Arial"/>
          <w:lang w:val="es-ES_tradnl"/>
        </w:rPr>
        <w:t>”)</w:t>
      </w:r>
      <w:r w:rsidRPr="00CD127F">
        <w:rPr>
          <w:rFonts w:eastAsia="MS Mincho"/>
          <w:lang w:val="es-ES_tradnl"/>
        </w:rPr>
        <w:t>:</w:t>
      </w:r>
    </w:p>
    <w:p w:rsidR="00292EB9" w:rsidRPr="0080269A" w:rsidRDefault="00292EB9" w:rsidP="00183337">
      <w:pPr>
        <w:rPr>
          <w:rFonts w:eastAsia="MS Mincho"/>
          <w:lang w:val="es-ES_tradnl"/>
        </w:rPr>
      </w:pPr>
    </w:p>
    <w:p w:rsidR="00292EB9" w:rsidRPr="0080269A" w:rsidRDefault="00292EB9" w:rsidP="0015552E">
      <w:pPr>
        <w:ind w:firstLine="540"/>
        <w:rPr>
          <w:lang w:val="es-ES_tradnl"/>
        </w:rPr>
      </w:pPr>
      <w:r w:rsidRPr="004055B7">
        <w:rPr>
          <w:rFonts w:eastAsia="MS Mincho"/>
          <w:lang w:val="es-ES_tradnl"/>
        </w:rPr>
        <w:t>a)</w:t>
      </w:r>
      <w:r w:rsidRPr="0080269A">
        <w:rPr>
          <w:rFonts w:eastAsia="MS Mincho"/>
          <w:lang w:val="es-ES_tradnl"/>
        </w:rPr>
        <w:tab/>
      </w:r>
      <w:r w:rsidRPr="00CD127F">
        <w:rPr>
          <w:rFonts w:eastAsia="MS Mincho"/>
          <w:lang w:val="es-ES_tradnl"/>
        </w:rPr>
        <w:t xml:space="preserve">el TWC había convenido en que es necesario disponer de más información y análisis para poder ofrecer orientación sobre las consecuencias de la utilización de los diferentes métodos que figuran en los Anexos I a IV del documento TWO/46/22 Rev. </w:t>
      </w:r>
      <w:proofErr w:type="gramStart"/>
      <w:r w:rsidRPr="00CD127F">
        <w:rPr>
          <w:rFonts w:eastAsia="MS Mincho"/>
          <w:lang w:val="es-ES_tradnl"/>
        </w:rPr>
        <w:t>y</w:t>
      </w:r>
      <w:proofErr w:type="gramEnd"/>
      <w:r w:rsidRPr="00CD127F">
        <w:rPr>
          <w:rFonts w:eastAsia="MS Mincho"/>
          <w:lang w:val="es-ES_tradnl"/>
        </w:rPr>
        <w:t xml:space="preserve"> en que Francia, Alemania y los Países Bajos presenten una o más situaciones concretas en sus países así como las bases estadísticas de sus análisis en su siguiente sesión;</w:t>
      </w:r>
    </w:p>
    <w:p w:rsidR="00292EB9" w:rsidRPr="0080269A" w:rsidRDefault="00292EB9" w:rsidP="00183337">
      <w:pPr>
        <w:ind w:firstLine="540"/>
        <w:rPr>
          <w:lang w:val="es-ES_tradnl"/>
        </w:rPr>
      </w:pPr>
    </w:p>
    <w:p w:rsidR="00292EB9" w:rsidRPr="0080269A" w:rsidRDefault="00292EB9" w:rsidP="0015552E">
      <w:pPr>
        <w:ind w:firstLine="540"/>
        <w:rPr>
          <w:rFonts w:eastAsia="MS Mincho"/>
          <w:lang w:val="es-ES_tradnl"/>
        </w:rPr>
      </w:pPr>
      <w:r w:rsidRPr="004055B7">
        <w:rPr>
          <w:lang w:val="es-ES_tradnl"/>
        </w:rPr>
        <w:t>b)</w:t>
      </w:r>
      <w:r w:rsidRPr="0080269A">
        <w:rPr>
          <w:lang w:val="es-ES_tradnl"/>
        </w:rPr>
        <w:tab/>
      </w:r>
      <w:r w:rsidRPr="00CD127F">
        <w:rPr>
          <w:lang w:val="es-ES_tradnl"/>
        </w:rPr>
        <w:t xml:space="preserve">el TWC había convenido en que expertos de Francia y Alemania evalúen las bases estadísticas del número aceptable de plantas fuera de tipo en la </w:t>
      </w:r>
      <w:proofErr w:type="spellStart"/>
      <w:r w:rsidRPr="00CD127F">
        <w:rPr>
          <w:lang w:val="es-ES_tradnl"/>
        </w:rPr>
        <w:t>submuestra</w:t>
      </w:r>
      <w:proofErr w:type="spellEnd"/>
      <w:r w:rsidRPr="00CD127F">
        <w:rPr>
          <w:lang w:val="es-ES_tradnl"/>
        </w:rPr>
        <w:t xml:space="preserve"> de</w:t>
      </w:r>
      <w:r w:rsidR="002C4A49">
        <w:rPr>
          <w:lang w:val="es-ES_tradnl"/>
        </w:rPr>
        <w:t xml:space="preserve"> 20 </w:t>
      </w:r>
      <w:r w:rsidRPr="00CD127F">
        <w:rPr>
          <w:lang w:val="es-ES_tradnl"/>
        </w:rPr>
        <w:t>plantas que se utiliza en el contexto de un tamaño de muestra de 100 plantas (situación D);</w:t>
      </w:r>
      <w:r w:rsidRPr="0080269A">
        <w:rPr>
          <w:lang w:val="es-ES_tradnl"/>
        </w:rPr>
        <w:t xml:space="preserve">  </w:t>
      </w:r>
      <w:r w:rsidRPr="004055B7">
        <w:rPr>
          <w:lang w:val="es-ES_tradnl"/>
        </w:rPr>
        <w:t>y</w:t>
      </w:r>
    </w:p>
    <w:p w:rsidR="00292EB9" w:rsidRPr="0080269A" w:rsidRDefault="00292EB9" w:rsidP="00183337">
      <w:pPr>
        <w:ind w:firstLine="540"/>
        <w:rPr>
          <w:rFonts w:eastAsia="MS Mincho"/>
          <w:lang w:val="es-ES_tradnl"/>
        </w:rPr>
      </w:pPr>
    </w:p>
    <w:p w:rsidR="00292EB9" w:rsidRPr="0080269A" w:rsidRDefault="00292EB9" w:rsidP="00183337">
      <w:pPr>
        <w:ind w:firstLine="540"/>
        <w:rPr>
          <w:rFonts w:eastAsia="MS Mincho"/>
          <w:lang w:val="es-ES_tradnl"/>
        </w:rPr>
      </w:pPr>
      <w:r w:rsidRPr="004055B7">
        <w:rPr>
          <w:rFonts w:eastAsia="MS Mincho"/>
          <w:lang w:val="es-ES_tradnl"/>
        </w:rPr>
        <w:t>c)</w:t>
      </w:r>
      <w:r w:rsidRPr="0080269A">
        <w:rPr>
          <w:rFonts w:eastAsia="MS Mincho"/>
          <w:lang w:val="es-ES_tradnl"/>
        </w:rPr>
        <w:tab/>
      </w:r>
      <w:r w:rsidRPr="00CD127F">
        <w:rPr>
          <w:rFonts w:eastAsia="MS Mincho"/>
          <w:lang w:val="es-ES_tradnl"/>
        </w:rPr>
        <w:t>con respecto al método de combinar resultados de dos ciclos de cultivo, como se establece en los Anexos I y II, Situación A y B, el TC había convenido en que sería preciso poner cuidado al examinar resultados que fueran muy diferentes en cada uno de los ciclos de cultivo, por ejemplo cuando se observase una gran abundancia de plantas de fuera de tipo en un ciclo de cultivo y su ausencia en otro ciclo.</w:t>
      </w:r>
    </w:p>
    <w:p w:rsidR="00292EB9" w:rsidRPr="0080269A" w:rsidRDefault="00292EB9" w:rsidP="00183337">
      <w:pPr>
        <w:rPr>
          <w:rFonts w:eastAsia="MS Mincho"/>
          <w:lang w:val="es-ES_tradnl" w:eastAsia="ja-JP"/>
        </w:rPr>
      </w:pPr>
    </w:p>
    <w:p w:rsidR="00292EB9" w:rsidRPr="0080269A" w:rsidRDefault="00292EB9" w:rsidP="00183337">
      <w:pPr>
        <w:rPr>
          <w:caps/>
          <w:lang w:val="es-ES_tradnl"/>
        </w:rPr>
      </w:pPr>
    </w:p>
    <w:p w:rsidR="00292EB9" w:rsidRPr="0080269A" w:rsidRDefault="00292EB9" w:rsidP="00183337">
      <w:pPr>
        <w:pStyle w:val="Heading2"/>
        <w:rPr>
          <w:lang w:val="es-ES_tradnl" w:eastAsia="de-DE"/>
        </w:rPr>
      </w:pPr>
      <w:bookmarkStart w:id="16" w:name="_Toc380067148"/>
      <w:r w:rsidRPr="004055B7">
        <w:rPr>
          <w:lang w:val="es-ES_tradnl" w:eastAsia="de-DE"/>
        </w:rPr>
        <w:t>Grupo de Trabajo Técnico sobre Hortalizas</w:t>
      </w:r>
      <w:bookmarkEnd w:id="16"/>
      <w:r w:rsidRPr="0080269A">
        <w:rPr>
          <w:lang w:val="es-ES_tradnl" w:eastAsia="de-DE"/>
        </w:rPr>
        <w:t xml:space="preserve"> </w:t>
      </w:r>
    </w:p>
    <w:p w:rsidR="00292EB9" w:rsidRPr="0080269A" w:rsidRDefault="00292EB9" w:rsidP="00183337">
      <w:pPr>
        <w:rPr>
          <w:caps/>
          <w:lang w:val="es-ES_tradnl"/>
        </w:rPr>
      </w:pPr>
    </w:p>
    <w:p w:rsidR="00292EB9" w:rsidRPr="0080269A" w:rsidRDefault="00292EB9" w:rsidP="00183337">
      <w:pPr>
        <w:pStyle w:val="Titleofdoc0"/>
        <w:spacing w:before="0"/>
        <w:jc w:val="both"/>
        <w:rPr>
          <w:rFonts w:eastAsia="MS Mincho"/>
          <w:lang w:val="es-ES_tradnl"/>
        </w:rPr>
      </w:pPr>
      <w:r w:rsidRPr="004B761D">
        <w:fldChar w:fldCharType="begin"/>
      </w:r>
      <w:r w:rsidRPr="0080269A">
        <w:rPr>
          <w:lang w:val="es-ES_tradnl"/>
        </w:rPr>
        <w:instrText xml:space="preserve"> AUTONUM  </w:instrText>
      </w:r>
      <w:r w:rsidRPr="004B761D">
        <w:fldChar w:fldCharType="end"/>
      </w:r>
      <w:r w:rsidRPr="0080269A">
        <w:rPr>
          <w:lang w:val="es-ES_tradnl"/>
        </w:rPr>
        <w:tab/>
      </w:r>
      <w:r w:rsidRPr="00CD127F">
        <w:rPr>
          <w:rFonts w:cs="Arial"/>
          <w:caps w:val="0"/>
          <w:lang w:val="es-ES_tradnl"/>
        </w:rPr>
        <w:t xml:space="preserve">El TWV examinó el documento </w:t>
      </w:r>
      <w:r w:rsidRPr="00CD127F">
        <w:rPr>
          <w:lang w:val="es-ES_tradnl"/>
        </w:rPr>
        <w:t>TWV/47/22</w:t>
      </w:r>
      <w:r w:rsidRPr="00CD127F">
        <w:rPr>
          <w:rFonts w:cs="Arial"/>
          <w:caps w:val="0"/>
          <w:lang w:val="es-ES_tradnl"/>
        </w:rPr>
        <w:t xml:space="preserve"> y tomó nota de que (véanse los párrafos 62 a 64 del documento TWV/47/34</w:t>
      </w:r>
      <w:r w:rsidR="00B32F15">
        <w:rPr>
          <w:rFonts w:cs="Arial"/>
          <w:caps w:val="0"/>
          <w:lang w:val="es-ES_tradnl"/>
        </w:rPr>
        <w:t xml:space="preserve"> “</w:t>
      </w:r>
      <w:proofErr w:type="spellStart"/>
      <w:r w:rsidRPr="0080269A">
        <w:rPr>
          <w:rFonts w:cs="Arial"/>
          <w:i/>
          <w:caps w:val="0"/>
          <w:lang w:val="es-ES_tradnl"/>
        </w:rPr>
        <w:t>Report</w:t>
      </w:r>
      <w:proofErr w:type="spellEnd"/>
      <w:r w:rsidRPr="00CD127F">
        <w:rPr>
          <w:rFonts w:cs="Arial"/>
          <w:caps w:val="0"/>
          <w:lang w:val="es-ES_tradnl"/>
        </w:rPr>
        <w:t>”):</w:t>
      </w:r>
    </w:p>
    <w:p w:rsidR="00292EB9" w:rsidRPr="0080269A" w:rsidRDefault="00292EB9" w:rsidP="00183337">
      <w:pPr>
        <w:rPr>
          <w:rFonts w:eastAsia="MS Mincho"/>
          <w:lang w:val="es-ES_tradnl"/>
        </w:rPr>
      </w:pPr>
    </w:p>
    <w:p w:rsidR="00292EB9" w:rsidRPr="0080269A" w:rsidRDefault="00292EB9" w:rsidP="00183337">
      <w:pPr>
        <w:ind w:firstLine="540"/>
        <w:rPr>
          <w:lang w:val="es-ES_tradnl"/>
        </w:rPr>
      </w:pPr>
      <w:r w:rsidRPr="004055B7">
        <w:rPr>
          <w:rFonts w:eastAsia="MS Mincho"/>
          <w:lang w:val="es-ES_tradnl"/>
        </w:rPr>
        <w:t>a)</w:t>
      </w:r>
      <w:r w:rsidRPr="0080269A">
        <w:rPr>
          <w:rFonts w:eastAsia="MS Mincho"/>
          <w:lang w:val="es-ES_tradnl"/>
        </w:rPr>
        <w:tab/>
      </w:r>
      <w:r w:rsidRPr="00CD127F">
        <w:rPr>
          <w:rFonts w:eastAsia="MS Mincho"/>
          <w:lang w:val="es-ES_tradnl"/>
        </w:rPr>
        <w:t xml:space="preserve">el TWC había convenido en que es necesario disponer de más información y análisis para poder ofrecer orientación sobre las consecuencias de la utilización de los diferentes métodos que figuran en los Anexos I a IV del documento TWV/47/22 Rev. </w:t>
      </w:r>
      <w:proofErr w:type="gramStart"/>
      <w:r w:rsidRPr="00CD127F">
        <w:rPr>
          <w:rFonts w:eastAsia="MS Mincho"/>
          <w:lang w:val="es-ES_tradnl"/>
        </w:rPr>
        <w:t>y</w:t>
      </w:r>
      <w:proofErr w:type="gramEnd"/>
      <w:r w:rsidRPr="00CD127F">
        <w:rPr>
          <w:rFonts w:eastAsia="MS Mincho"/>
          <w:lang w:val="es-ES_tradnl"/>
        </w:rPr>
        <w:t xml:space="preserve"> en que Francia, Alemania y los Países Bajos presenten una o más situaciones concretas en sus países así como las bases estadísticas de sus análisis en su siguiente sesión;</w:t>
      </w:r>
    </w:p>
    <w:p w:rsidR="00292EB9" w:rsidRPr="0080269A" w:rsidRDefault="00292EB9" w:rsidP="00183337">
      <w:pPr>
        <w:ind w:firstLine="540"/>
        <w:rPr>
          <w:lang w:val="es-ES_tradnl"/>
        </w:rPr>
      </w:pPr>
    </w:p>
    <w:p w:rsidR="00292EB9" w:rsidRPr="0080269A" w:rsidRDefault="00292EB9" w:rsidP="00183337">
      <w:pPr>
        <w:ind w:firstLine="540"/>
        <w:rPr>
          <w:rFonts w:eastAsia="MS Mincho"/>
          <w:lang w:val="es-ES_tradnl"/>
        </w:rPr>
      </w:pPr>
      <w:r w:rsidRPr="004055B7">
        <w:rPr>
          <w:lang w:val="es-ES_tradnl"/>
        </w:rPr>
        <w:t>b)</w:t>
      </w:r>
      <w:r w:rsidRPr="0080269A">
        <w:rPr>
          <w:lang w:val="es-ES_tradnl"/>
        </w:rPr>
        <w:tab/>
      </w:r>
      <w:r w:rsidRPr="004055B7">
        <w:rPr>
          <w:lang w:val="es-ES_tradnl"/>
        </w:rPr>
        <w:t xml:space="preserve">el TWC había convenido en que expertos de Francia y Alemania evalúen las bases estadísticas del número aceptable de plantas fuera de tipo en la </w:t>
      </w:r>
      <w:proofErr w:type="spellStart"/>
      <w:r w:rsidRPr="004055B7">
        <w:rPr>
          <w:lang w:val="es-ES_tradnl"/>
        </w:rPr>
        <w:t>submuestra</w:t>
      </w:r>
      <w:proofErr w:type="spellEnd"/>
      <w:r w:rsidRPr="004055B7">
        <w:rPr>
          <w:lang w:val="es-ES_tradnl"/>
        </w:rPr>
        <w:t xml:space="preserve"> de 20 plantas que se utiliza en el contexto de un tamaño de muestra de 100 plantas (situación D);</w:t>
      </w:r>
      <w:r w:rsidRPr="0080269A">
        <w:rPr>
          <w:lang w:val="es-ES_tradnl"/>
        </w:rPr>
        <w:t xml:space="preserve">  </w:t>
      </w:r>
      <w:r w:rsidRPr="004055B7">
        <w:rPr>
          <w:lang w:val="es-ES_tradnl"/>
        </w:rPr>
        <w:t>y</w:t>
      </w:r>
    </w:p>
    <w:p w:rsidR="00292EB9" w:rsidRPr="0080269A" w:rsidRDefault="00292EB9" w:rsidP="00183337">
      <w:pPr>
        <w:ind w:firstLine="540"/>
        <w:rPr>
          <w:rFonts w:eastAsia="MS Mincho"/>
          <w:lang w:val="es-ES_tradnl"/>
        </w:rPr>
      </w:pPr>
    </w:p>
    <w:p w:rsidR="00292EB9" w:rsidRPr="0080269A" w:rsidRDefault="00292EB9" w:rsidP="00183337">
      <w:pPr>
        <w:ind w:firstLine="540"/>
        <w:rPr>
          <w:rFonts w:eastAsia="MS Mincho"/>
          <w:lang w:val="es-ES_tradnl"/>
        </w:rPr>
      </w:pPr>
      <w:r w:rsidRPr="004055B7">
        <w:rPr>
          <w:rFonts w:eastAsia="MS Mincho"/>
          <w:lang w:val="es-ES_tradnl"/>
        </w:rPr>
        <w:t>c)</w:t>
      </w:r>
      <w:r w:rsidRPr="0080269A">
        <w:rPr>
          <w:rFonts w:eastAsia="MS Mincho"/>
          <w:lang w:val="es-ES_tradnl"/>
        </w:rPr>
        <w:tab/>
      </w:r>
      <w:r w:rsidRPr="00CD127F">
        <w:rPr>
          <w:rFonts w:eastAsia="MS Mincho"/>
          <w:lang w:val="es-ES_tradnl"/>
        </w:rPr>
        <w:t>con respecto al método de combinar resultados de dos ciclos de cultivo, como se establece en los Anexos I y II del documento TWV/47/22, Situación A y B, el TC había convenido en que sería preciso poner cuidado al examinar resultados que fueran muy diferentes en cada uno de los ciclos de cultivo, por ejemplo cuando se observase una gran abundancia de plantas de fuera de tipo en un ciclo de cultivo y su ausencia en otro ciclo.</w:t>
      </w:r>
    </w:p>
    <w:p w:rsidR="00292EB9" w:rsidRPr="0080269A" w:rsidRDefault="00292EB9" w:rsidP="00183337">
      <w:pPr>
        <w:ind w:firstLine="540"/>
        <w:rPr>
          <w:rFonts w:eastAsia="MS Mincho"/>
          <w:lang w:val="es-ES_tradnl"/>
        </w:rPr>
      </w:pPr>
    </w:p>
    <w:p w:rsidR="00292EB9" w:rsidRPr="0080269A" w:rsidRDefault="00292EB9" w:rsidP="00183337">
      <w:pPr>
        <w:pStyle w:val="Titleofdoc0"/>
        <w:spacing w:before="0"/>
        <w:jc w:val="both"/>
        <w:rPr>
          <w:caps w:val="0"/>
          <w:lang w:val="es-ES_tradnl"/>
        </w:rPr>
      </w:pPr>
      <w:r w:rsidRPr="004B761D">
        <w:fldChar w:fldCharType="begin"/>
      </w:r>
      <w:r w:rsidRPr="0080269A">
        <w:rPr>
          <w:lang w:val="es-ES_tradnl"/>
        </w:rPr>
        <w:instrText xml:space="preserve"> AUTONUM  </w:instrText>
      </w:r>
      <w:r w:rsidRPr="004B761D">
        <w:fldChar w:fldCharType="end"/>
      </w:r>
      <w:r w:rsidRPr="0080269A">
        <w:rPr>
          <w:lang w:val="es-ES_tradnl"/>
        </w:rPr>
        <w:tab/>
      </w:r>
      <w:r w:rsidRPr="00CD127F">
        <w:rPr>
          <w:caps w:val="0"/>
          <w:lang w:val="es-ES_tradnl"/>
        </w:rPr>
        <w:t>El TWV tomó nota de que, en lo que respecta a la situación B, según consta en el Anexo II del documento TWV/47/22, el experto de Francia había indicado que, actualmente, Francia considera cada ciclo como independiente y ya no combina los resultados de dos lugares, por lo que la referencia a Francia y la coliflor ya no es procedente y el texto ha de modificarse del modo siguiente:</w:t>
      </w:r>
    </w:p>
    <w:p w:rsidR="00292EB9" w:rsidRPr="0080269A" w:rsidRDefault="00292EB9">
      <w:pPr>
        <w:jc w:val="left"/>
        <w:rPr>
          <w:lang w:val="es-ES_tradnl"/>
        </w:rPr>
      </w:pPr>
    </w:p>
    <w:p w:rsidR="00292EB9" w:rsidRPr="0080269A" w:rsidRDefault="00292EB9" w:rsidP="00183337">
      <w:pPr>
        <w:pStyle w:val="Titleofdoc0"/>
        <w:spacing w:before="0"/>
        <w:jc w:val="both"/>
        <w:rPr>
          <w:caps w:val="0"/>
          <w:lang w:val="es-ES_trad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92EB9" w:rsidRPr="0080269A" w:rsidTr="0015552E">
        <w:tc>
          <w:tcPr>
            <w:tcW w:w="9889" w:type="dxa"/>
          </w:tcPr>
          <w:p w:rsidR="00292EB9" w:rsidRPr="0080269A" w:rsidRDefault="00292EB9" w:rsidP="00CD127F">
            <w:pPr>
              <w:keepNext/>
              <w:autoSpaceDE w:val="0"/>
              <w:autoSpaceDN w:val="0"/>
              <w:adjustRightInd w:val="0"/>
              <w:spacing w:before="120" w:after="120"/>
              <w:jc w:val="center"/>
              <w:rPr>
                <w:rFonts w:eastAsia="SimSun"/>
                <w:sz w:val="18"/>
                <w:szCs w:val="18"/>
                <w:lang w:val="es-ES_tradnl" w:eastAsia="zh-CN"/>
              </w:rPr>
            </w:pPr>
            <w:r w:rsidRPr="004055B7">
              <w:rPr>
                <w:rFonts w:eastAsia="SimSun"/>
                <w:sz w:val="18"/>
                <w:szCs w:val="18"/>
                <w:lang w:val="es-ES_tradnl" w:eastAsia="zh-CN"/>
              </w:rPr>
              <w:t>SITUACIÓN B:</w:t>
            </w:r>
            <w:r w:rsidRPr="0080269A">
              <w:rPr>
                <w:rFonts w:eastAsia="SimSun"/>
                <w:sz w:val="18"/>
                <w:szCs w:val="18"/>
                <w:lang w:val="es-ES_tradnl" w:eastAsia="zh-CN"/>
              </w:rPr>
              <w:t xml:space="preserve">  </w:t>
            </w:r>
            <w:r w:rsidRPr="004055B7">
              <w:rPr>
                <w:rFonts w:eastAsia="SimSun"/>
                <w:sz w:val="18"/>
                <w:szCs w:val="18"/>
                <w:lang w:val="es-ES_tradnl" w:eastAsia="zh-CN"/>
              </w:rPr>
              <w:t>DOS LUGARES DE CULTIVO EN EL MISMO AÑO</w:t>
            </w:r>
          </w:p>
        </w:tc>
      </w:tr>
      <w:tr w:rsidR="00292EB9" w:rsidRPr="0080269A" w:rsidTr="0015552E">
        <w:tc>
          <w:tcPr>
            <w:tcW w:w="9889" w:type="dxa"/>
          </w:tcPr>
          <w:p w:rsidR="00292EB9" w:rsidRPr="0080269A" w:rsidRDefault="00292EB9" w:rsidP="003941D8">
            <w:pPr>
              <w:keepNext/>
              <w:ind w:left="567" w:right="601"/>
              <w:rPr>
                <w:b/>
                <w:sz w:val="18"/>
                <w:szCs w:val="18"/>
                <w:lang w:val="es-ES_tradnl"/>
              </w:rPr>
            </w:pPr>
          </w:p>
          <w:p w:rsidR="00292EB9" w:rsidRPr="0080269A" w:rsidRDefault="00292EB9" w:rsidP="003941D8">
            <w:pPr>
              <w:keepNext/>
              <w:ind w:left="567" w:right="601"/>
              <w:rPr>
                <w:b/>
                <w:sz w:val="18"/>
                <w:szCs w:val="18"/>
                <w:lang w:val="es-ES_tradnl"/>
              </w:rPr>
            </w:pPr>
            <w:r w:rsidRPr="00CD127F">
              <w:rPr>
                <w:b/>
                <w:sz w:val="18"/>
                <w:szCs w:val="18"/>
                <w:lang w:val="es-ES_tradnl"/>
              </w:rPr>
              <w:t>Método:</w:t>
            </w:r>
            <w:r w:rsidRPr="0080269A">
              <w:rPr>
                <w:b/>
                <w:sz w:val="18"/>
                <w:szCs w:val="18"/>
                <w:lang w:val="es-ES_tradnl"/>
              </w:rPr>
              <w:t xml:space="preserve">  </w:t>
            </w:r>
            <w:r w:rsidRPr="00CD127F">
              <w:rPr>
                <w:b/>
                <w:sz w:val="18"/>
                <w:szCs w:val="18"/>
                <w:lang w:val="es-ES_tradnl"/>
              </w:rPr>
              <w:t>Tercer ciclo de cultivo para resultados contradictorios</w:t>
            </w:r>
            <w:r w:rsidRPr="0080269A">
              <w:rPr>
                <w:b/>
                <w:sz w:val="18"/>
                <w:szCs w:val="18"/>
                <w:lang w:val="es-ES_tradnl"/>
              </w:rPr>
              <w:t xml:space="preserve"> </w:t>
            </w:r>
          </w:p>
          <w:p w:rsidR="00292EB9" w:rsidRPr="0080269A" w:rsidRDefault="00292EB9" w:rsidP="003941D8">
            <w:pPr>
              <w:keepNext/>
              <w:ind w:left="567" w:right="601"/>
              <w:rPr>
                <w:rFonts w:eastAsia="SimSun"/>
                <w:sz w:val="18"/>
                <w:szCs w:val="18"/>
                <w:lang w:val="es-ES_tradnl" w:eastAsia="zh-CN"/>
              </w:rPr>
            </w:pPr>
          </w:p>
          <w:p w:rsidR="00292EB9" w:rsidRPr="0080269A" w:rsidRDefault="00292EB9" w:rsidP="003941D8">
            <w:pPr>
              <w:keepNext/>
              <w:ind w:left="567" w:right="601"/>
              <w:rPr>
                <w:rFonts w:eastAsia="SimSun"/>
                <w:sz w:val="18"/>
                <w:szCs w:val="18"/>
                <w:lang w:val="es-ES_tradnl" w:eastAsia="zh-CN"/>
              </w:rPr>
            </w:pPr>
            <w:r w:rsidRPr="00CD127F">
              <w:rPr>
                <w:rFonts w:eastAsia="SimSun"/>
                <w:sz w:val="18"/>
                <w:szCs w:val="18"/>
                <w:lang w:val="es-ES_tradnl" w:eastAsia="zh-CN"/>
              </w:rPr>
              <w:t>Se considera que una variedad es homogénea si cumple el estándar de homogeneidad en ambos lugares de cultivo.</w:t>
            </w:r>
          </w:p>
          <w:p w:rsidR="00292EB9" w:rsidRPr="0080269A" w:rsidRDefault="00292EB9" w:rsidP="003941D8">
            <w:pPr>
              <w:keepNext/>
              <w:ind w:left="567" w:right="601"/>
              <w:rPr>
                <w:rFonts w:eastAsia="SimSun"/>
                <w:sz w:val="18"/>
                <w:szCs w:val="18"/>
                <w:lang w:val="es-ES_tradnl" w:eastAsia="zh-CN"/>
              </w:rPr>
            </w:pPr>
          </w:p>
          <w:p w:rsidR="00292EB9" w:rsidRPr="0080269A" w:rsidRDefault="00292EB9" w:rsidP="003941D8">
            <w:pPr>
              <w:keepNext/>
              <w:ind w:left="567" w:right="601"/>
              <w:rPr>
                <w:rFonts w:eastAsia="SimSun"/>
                <w:sz w:val="18"/>
                <w:szCs w:val="18"/>
                <w:lang w:val="es-ES_tradnl" w:eastAsia="zh-CN"/>
              </w:rPr>
            </w:pPr>
            <w:r w:rsidRPr="00CD127F">
              <w:rPr>
                <w:rFonts w:eastAsia="SimSun"/>
                <w:sz w:val="18"/>
                <w:szCs w:val="18"/>
                <w:lang w:val="es-ES_tradnl" w:eastAsia="zh-CN"/>
              </w:rPr>
              <w:t>Se considera que una variedad no es homogénea si no cumple el estándar de homogeneidad en ambos lugares de cultivo.</w:t>
            </w:r>
          </w:p>
          <w:p w:rsidR="00292EB9" w:rsidRPr="0080269A" w:rsidRDefault="00292EB9" w:rsidP="003941D8">
            <w:pPr>
              <w:keepNext/>
              <w:ind w:left="567" w:right="601"/>
              <w:rPr>
                <w:rFonts w:eastAsia="SimSun"/>
                <w:sz w:val="18"/>
                <w:szCs w:val="18"/>
                <w:lang w:val="es-ES_tradnl" w:eastAsia="zh-CN"/>
              </w:rPr>
            </w:pPr>
          </w:p>
          <w:p w:rsidR="00292EB9" w:rsidRPr="0080269A" w:rsidRDefault="00292EB9" w:rsidP="003941D8">
            <w:pPr>
              <w:keepNext/>
              <w:keepLines/>
              <w:ind w:left="567" w:right="601"/>
              <w:rPr>
                <w:rFonts w:eastAsia="SimSun"/>
                <w:sz w:val="18"/>
                <w:szCs w:val="18"/>
                <w:lang w:val="es-ES_tradnl" w:eastAsia="zh-CN"/>
              </w:rPr>
            </w:pPr>
            <w:r w:rsidRPr="00CD127F">
              <w:rPr>
                <w:rFonts w:eastAsia="SimSun"/>
                <w:sz w:val="18"/>
                <w:szCs w:val="18"/>
                <w:lang w:val="es-ES_tradnl" w:eastAsia="zh-CN"/>
              </w:rPr>
              <w:t>Si la variedad cumple el estándar de homogeneidad en un lugar de cultivo pero no lo cumple en el otro lugar de cultivo:</w:t>
            </w:r>
            <w:r w:rsidRPr="0080269A">
              <w:rPr>
                <w:rFonts w:eastAsia="SimSun"/>
                <w:sz w:val="18"/>
                <w:szCs w:val="18"/>
                <w:lang w:val="es-ES_tradnl" w:eastAsia="zh-CN"/>
              </w:rPr>
              <w:t xml:space="preserve"> </w:t>
            </w:r>
          </w:p>
          <w:p w:rsidR="00292EB9" w:rsidRPr="0080269A" w:rsidRDefault="00292EB9" w:rsidP="003941D8">
            <w:pPr>
              <w:keepNext/>
              <w:keepLines/>
              <w:ind w:left="567" w:right="601"/>
              <w:rPr>
                <w:rFonts w:eastAsia="SimSun"/>
                <w:sz w:val="18"/>
                <w:szCs w:val="18"/>
                <w:lang w:val="es-ES_tradnl" w:eastAsia="zh-CN"/>
              </w:rPr>
            </w:pPr>
          </w:p>
          <w:p w:rsidR="00292EB9" w:rsidRPr="0080269A" w:rsidRDefault="00292EB9" w:rsidP="003941D8">
            <w:pPr>
              <w:keepNext/>
              <w:keepLines/>
              <w:ind w:left="567" w:right="601"/>
              <w:rPr>
                <w:rFonts w:eastAsia="SimSun"/>
                <w:sz w:val="18"/>
                <w:szCs w:val="18"/>
                <w:lang w:val="es-ES_tradnl" w:eastAsia="zh-CN"/>
              </w:rPr>
            </w:pPr>
            <w:r w:rsidRPr="004055B7">
              <w:rPr>
                <w:rFonts w:eastAsia="SimSun"/>
                <w:sz w:val="18"/>
                <w:szCs w:val="18"/>
                <w:lang w:val="es-ES_tradnl" w:eastAsia="zh-CN"/>
              </w:rPr>
              <w:t>Alternativa a)</w:t>
            </w:r>
            <w:r w:rsidRPr="0080269A">
              <w:rPr>
                <w:rFonts w:eastAsia="SimSun"/>
                <w:sz w:val="18"/>
                <w:szCs w:val="18"/>
                <w:lang w:val="es-ES_tradnl" w:eastAsia="zh-CN"/>
              </w:rPr>
              <w:tab/>
            </w:r>
            <w:r w:rsidRPr="004055B7">
              <w:rPr>
                <w:rFonts w:eastAsia="SimSun"/>
                <w:sz w:val="18"/>
                <w:szCs w:val="18"/>
                <w:lang w:val="es-ES_tradnl" w:eastAsia="zh-CN"/>
              </w:rPr>
              <w:t>el ensayo se repite en ambos lugares un segundo año;</w:t>
            </w:r>
          </w:p>
          <w:p w:rsidR="00292EB9" w:rsidRPr="0080269A" w:rsidRDefault="00292EB9" w:rsidP="003941D8">
            <w:pPr>
              <w:keepNext/>
              <w:keepLines/>
              <w:ind w:left="567" w:right="601"/>
              <w:rPr>
                <w:rFonts w:eastAsia="SimSun"/>
                <w:sz w:val="18"/>
                <w:szCs w:val="18"/>
                <w:lang w:val="es-ES_tradnl" w:eastAsia="zh-CN"/>
              </w:rPr>
            </w:pPr>
          </w:p>
          <w:p w:rsidR="00292EB9" w:rsidRPr="0080269A" w:rsidRDefault="00292EB9" w:rsidP="003941D8">
            <w:pPr>
              <w:keepNext/>
              <w:keepLines/>
              <w:ind w:left="567" w:right="601"/>
              <w:rPr>
                <w:rFonts w:eastAsia="SimSun"/>
                <w:sz w:val="18"/>
                <w:szCs w:val="18"/>
                <w:lang w:val="es-ES_tradnl" w:eastAsia="zh-CN"/>
              </w:rPr>
            </w:pPr>
            <w:r w:rsidRPr="004055B7">
              <w:rPr>
                <w:rFonts w:eastAsia="SimSun"/>
                <w:sz w:val="18"/>
                <w:szCs w:val="18"/>
                <w:lang w:val="es-ES_tradnl" w:eastAsia="zh-CN"/>
              </w:rPr>
              <w:t>Alternativa b)</w:t>
            </w:r>
            <w:r w:rsidRPr="0080269A">
              <w:rPr>
                <w:rFonts w:eastAsia="SimSun"/>
                <w:sz w:val="18"/>
                <w:szCs w:val="18"/>
                <w:lang w:val="es-ES_tradnl" w:eastAsia="zh-CN"/>
              </w:rPr>
              <w:tab/>
            </w:r>
            <w:r w:rsidRPr="00CD127F">
              <w:rPr>
                <w:rFonts w:eastAsia="SimSun"/>
                <w:sz w:val="18"/>
                <w:szCs w:val="18"/>
                <w:lang w:val="es-ES_tradnl" w:eastAsia="zh-CN"/>
              </w:rPr>
              <w:t>el ensayo se repite en la estación principal (lugar)</w:t>
            </w:r>
          </w:p>
          <w:p w:rsidR="00292EB9" w:rsidRPr="0080269A" w:rsidRDefault="00292EB9" w:rsidP="003941D8">
            <w:pPr>
              <w:keepNext/>
              <w:keepLines/>
              <w:ind w:left="567" w:right="601"/>
              <w:rPr>
                <w:rFonts w:eastAsia="MS Mincho"/>
                <w:color w:val="000000"/>
                <w:sz w:val="18"/>
                <w:szCs w:val="18"/>
                <w:lang w:val="es-ES_tradnl" w:eastAsia="ja-JP"/>
              </w:rPr>
            </w:pPr>
            <w:r w:rsidRPr="00CD127F">
              <w:rPr>
                <w:sz w:val="18"/>
                <w:szCs w:val="18"/>
                <w:lang w:val="es-ES_tradnl"/>
              </w:rPr>
              <w:t>(Unión Europea (Coliflor))</w:t>
            </w:r>
          </w:p>
          <w:p w:rsidR="00292EB9" w:rsidRPr="0080269A" w:rsidRDefault="00292EB9" w:rsidP="003941D8">
            <w:pPr>
              <w:keepNext/>
              <w:keepLines/>
              <w:ind w:left="567" w:right="601"/>
              <w:rPr>
                <w:b/>
                <w:sz w:val="18"/>
                <w:szCs w:val="18"/>
                <w:lang w:val="es-ES_tradnl"/>
              </w:rPr>
            </w:pPr>
          </w:p>
          <w:p w:rsidR="00292EB9" w:rsidRPr="0080269A" w:rsidRDefault="00292EB9" w:rsidP="003941D8">
            <w:pPr>
              <w:keepNext/>
              <w:ind w:left="567" w:right="601"/>
              <w:rPr>
                <w:rFonts w:eastAsia="SimSun"/>
                <w:b/>
                <w:sz w:val="18"/>
                <w:szCs w:val="18"/>
                <w:lang w:val="es-ES_tradnl" w:eastAsia="zh-CN"/>
              </w:rPr>
            </w:pPr>
            <w:r w:rsidRPr="004055B7">
              <w:rPr>
                <w:b/>
                <w:sz w:val="18"/>
                <w:szCs w:val="18"/>
                <w:lang w:val="es-ES_tradnl"/>
              </w:rPr>
              <w:t>Método:</w:t>
            </w:r>
            <w:r w:rsidRPr="0080269A">
              <w:rPr>
                <w:b/>
                <w:sz w:val="18"/>
                <w:szCs w:val="18"/>
                <w:lang w:val="es-ES_tradnl"/>
              </w:rPr>
              <w:t xml:space="preserve">  </w:t>
            </w:r>
            <w:r w:rsidRPr="00CD127F">
              <w:rPr>
                <w:rFonts w:eastAsia="SimSun"/>
                <w:b/>
                <w:sz w:val="18"/>
                <w:szCs w:val="18"/>
                <w:lang w:val="es-ES_tradnl" w:eastAsia="zh-CN"/>
              </w:rPr>
              <w:t>Combinar los resultados de dos lugares</w:t>
            </w:r>
            <w:r w:rsidRPr="0080269A">
              <w:rPr>
                <w:rFonts w:eastAsia="SimSun"/>
                <w:b/>
                <w:sz w:val="18"/>
                <w:szCs w:val="18"/>
                <w:lang w:val="es-ES_tradnl" w:eastAsia="zh-CN"/>
              </w:rPr>
              <w:t xml:space="preserve"> </w:t>
            </w:r>
          </w:p>
          <w:p w:rsidR="00292EB9" w:rsidRPr="0080269A" w:rsidRDefault="00292EB9" w:rsidP="003941D8">
            <w:pPr>
              <w:keepNext/>
              <w:ind w:left="567" w:right="601"/>
              <w:rPr>
                <w:rFonts w:eastAsia="SimSun"/>
                <w:b/>
                <w:sz w:val="18"/>
                <w:szCs w:val="18"/>
                <w:lang w:val="es-ES_tradnl" w:eastAsia="zh-CN"/>
              </w:rPr>
            </w:pPr>
          </w:p>
          <w:p w:rsidR="00292EB9" w:rsidRPr="0080269A" w:rsidRDefault="00292EB9" w:rsidP="003941D8">
            <w:pPr>
              <w:keepNext/>
              <w:ind w:left="567" w:right="601"/>
              <w:rPr>
                <w:rFonts w:eastAsia="SimSun"/>
                <w:strike/>
                <w:sz w:val="18"/>
                <w:szCs w:val="18"/>
                <w:u w:val="single"/>
                <w:lang w:val="es-ES_tradnl" w:eastAsia="zh-CN"/>
              </w:rPr>
            </w:pPr>
            <w:r w:rsidRPr="00CD127F">
              <w:rPr>
                <w:rFonts w:eastAsia="SimSun"/>
                <w:strike/>
                <w:sz w:val="18"/>
                <w:szCs w:val="18"/>
                <w:highlight w:val="lightGray"/>
                <w:u w:val="single"/>
                <w:lang w:val="es-ES_tradnl" w:eastAsia="zh-CN"/>
              </w:rPr>
              <w:t>(Francia (Coliflor))</w:t>
            </w:r>
          </w:p>
          <w:p w:rsidR="00292EB9" w:rsidRPr="0080269A" w:rsidRDefault="00292EB9" w:rsidP="003941D8">
            <w:pPr>
              <w:keepNext/>
              <w:ind w:left="567" w:right="601"/>
              <w:rPr>
                <w:rFonts w:eastAsia="SimSun"/>
                <w:b/>
                <w:sz w:val="18"/>
                <w:szCs w:val="18"/>
                <w:lang w:val="es-ES_tradnl" w:eastAsia="zh-CN"/>
              </w:rPr>
            </w:pPr>
          </w:p>
          <w:p w:rsidR="00292EB9" w:rsidRPr="0080269A" w:rsidRDefault="00292EB9" w:rsidP="003941D8">
            <w:pPr>
              <w:keepNext/>
              <w:ind w:left="567" w:right="601"/>
              <w:rPr>
                <w:rFonts w:eastAsia="SimSun"/>
                <w:sz w:val="18"/>
                <w:szCs w:val="18"/>
                <w:lang w:val="es-ES_tradnl" w:eastAsia="zh-CN"/>
              </w:rPr>
            </w:pPr>
            <w:r w:rsidRPr="00CD127F">
              <w:rPr>
                <w:rFonts w:eastAsia="SimSun"/>
                <w:sz w:val="18"/>
                <w:szCs w:val="18"/>
                <w:lang w:val="es-ES_tradnl" w:eastAsia="zh-CN"/>
              </w:rPr>
              <w:t>Se considera que una variedad es homogénea si cumple el estándar de homogeneidad en ambos lugares.</w:t>
            </w:r>
          </w:p>
          <w:p w:rsidR="00292EB9" w:rsidRPr="0080269A" w:rsidRDefault="00292EB9" w:rsidP="003941D8">
            <w:pPr>
              <w:keepNext/>
              <w:ind w:left="567" w:right="601"/>
              <w:rPr>
                <w:rFonts w:eastAsia="SimSun"/>
                <w:sz w:val="18"/>
                <w:szCs w:val="18"/>
                <w:lang w:val="es-ES_tradnl" w:eastAsia="zh-CN"/>
              </w:rPr>
            </w:pPr>
          </w:p>
          <w:p w:rsidR="00292EB9" w:rsidRPr="0080269A" w:rsidRDefault="00292EB9" w:rsidP="003941D8">
            <w:pPr>
              <w:keepNext/>
              <w:keepLines/>
              <w:tabs>
                <w:tab w:val="left" w:pos="1985"/>
              </w:tabs>
              <w:ind w:left="567" w:right="601"/>
              <w:rPr>
                <w:rFonts w:eastAsia="SimSun"/>
                <w:sz w:val="18"/>
                <w:szCs w:val="18"/>
                <w:lang w:val="es-ES_tradnl" w:eastAsia="zh-CN"/>
              </w:rPr>
            </w:pPr>
            <w:r w:rsidRPr="00CD127F">
              <w:rPr>
                <w:rFonts w:eastAsia="SimSun"/>
                <w:sz w:val="18"/>
                <w:szCs w:val="18"/>
                <w:lang w:val="es-ES_tradnl" w:eastAsia="zh-CN"/>
              </w:rPr>
              <w:t>Se considera que una variedad no es homogénea si no cumple el estándar de homogeneidad en ambos lugares.</w:t>
            </w:r>
          </w:p>
          <w:p w:rsidR="00292EB9" w:rsidRPr="0080269A" w:rsidRDefault="00292EB9" w:rsidP="003941D8">
            <w:pPr>
              <w:keepNext/>
              <w:keepLines/>
              <w:tabs>
                <w:tab w:val="left" w:pos="1985"/>
              </w:tabs>
              <w:ind w:left="567" w:right="601"/>
              <w:rPr>
                <w:rFonts w:eastAsia="SimSun"/>
                <w:sz w:val="18"/>
                <w:szCs w:val="18"/>
                <w:lang w:val="es-ES_tradnl" w:eastAsia="zh-CN"/>
              </w:rPr>
            </w:pPr>
          </w:p>
          <w:p w:rsidR="00292EB9" w:rsidRPr="0080269A" w:rsidRDefault="00292EB9" w:rsidP="003941D8">
            <w:pPr>
              <w:keepNext/>
              <w:ind w:left="567" w:right="601"/>
              <w:rPr>
                <w:rFonts w:eastAsia="SimSun"/>
                <w:sz w:val="18"/>
                <w:szCs w:val="18"/>
                <w:lang w:val="es-ES_tradnl" w:eastAsia="zh-CN"/>
              </w:rPr>
            </w:pPr>
            <w:r w:rsidRPr="00CD127F">
              <w:rPr>
                <w:rFonts w:eastAsia="SimSun"/>
                <w:sz w:val="18"/>
                <w:szCs w:val="18"/>
                <w:lang w:val="es-ES_tradnl" w:eastAsia="zh-CN"/>
              </w:rPr>
              <w:t>Se considera que una variedad es homogénea si el número total de plantas o partes de plantas fuera de tipo no supera el número permitido de plantas fuera de tipo en una muestra combinada (dos lugares).</w:t>
            </w:r>
          </w:p>
          <w:p w:rsidR="00292EB9" w:rsidRPr="0080269A" w:rsidRDefault="00292EB9" w:rsidP="003941D8">
            <w:pPr>
              <w:keepNext/>
              <w:ind w:left="567" w:right="601"/>
              <w:rPr>
                <w:rFonts w:eastAsia="SimSun"/>
                <w:sz w:val="18"/>
                <w:szCs w:val="18"/>
                <w:lang w:val="es-ES_tradnl" w:eastAsia="zh-CN"/>
              </w:rPr>
            </w:pPr>
          </w:p>
          <w:p w:rsidR="00292EB9" w:rsidRPr="0080269A" w:rsidRDefault="00292EB9" w:rsidP="003941D8">
            <w:pPr>
              <w:keepNext/>
              <w:ind w:left="567" w:right="601"/>
              <w:rPr>
                <w:sz w:val="18"/>
                <w:szCs w:val="18"/>
                <w:lang w:val="es-ES_tradnl"/>
              </w:rPr>
            </w:pPr>
          </w:p>
        </w:tc>
      </w:tr>
    </w:tbl>
    <w:p w:rsidR="00292EB9" w:rsidRPr="0080269A" w:rsidRDefault="00292EB9" w:rsidP="00183337">
      <w:pPr>
        <w:pStyle w:val="Titleofdoc0"/>
        <w:spacing w:before="0"/>
        <w:jc w:val="both"/>
        <w:rPr>
          <w:rFonts w:cs="Arial"/>
          <w:caps w:val="0"/>
          <w:lang w:val="es-ES_tradnl"/>
        </w:rPr>
      </w:pPr>
    </w:p>
    <w:p w:rsidR="00292EB9" w:rsidRPr="0080269A" w:rsidRDefault="00292EB9" w:rsidP="00183337">
      <w:pPr>
        <w:pStyle w:val="Titleofdoc0"/>
        <w:spacing w:before="0"/>
        <w:jc w:val="both"/>
        <w:rPr>
          <w:caps w:val="0"/>
          <w:lang w:val="es-ES_tradnl"/>
        </w:rPr>
      </w:pPr>
      <w:r w:rsidRPr="00700478">
        <w:fldChar w:fldCharType="begin"/>
      </w:r>
      <w:r w:rsidRPr="0080269A">
        <w:rPr>
          <w:lang w:val="es-ES_tradnl"/>
        </w:rPr>
        <w:instrText xml:space="preserve"> AUTONUM  </w:instrText>
      </w:r>
      <w:r w:rsidRPr="00700478">
        <w:fldChar w:fldCharType="end"/>
      </w:r>
      <w:r w:rsidRPr="0080269A">
        <w:rPr>
          <w:lang w:val="es-ES_tradnl"/>
        </w:rPr>
        <w:tab/>
      </w:r>
      <w:r w:rsidRPr="00CD127F">
        <w:rPr>
          <w:caps w:val="0"/>
          <w:lang w:val="es-ES_tradnl"/>
        </w:rPr>
        <w:t>El TWV convino en que, en el caso de las hortalizas, para evaluar la homogeneidad es preferible utilizar los resultados independientes y no los resultados combinados, y pidió al TWC que considere el ejemplo siguiente cuando examine los diferentes métodos:</w:t>
      </w:r>
    </w:p>
    <w:p w:rsidR="00292EB9" w:rsidRPr="0080269A" w:rsidRDefault="00292EB9" w:rsidP="00183337">
      <w:pPr>
        <w:pStyle w:val="Titleofdoc0"/>
        <w:spacing w:before="0"/>
        <w:jc w:val="both"/>
        <w:rPr>
          <w:caps w:val="0"/>
          <w:lang w:val="es-ES_tradnl"/>
        </w:rPr>
      </w:pPr>
    </w:p>
    <w:p w:rsidR="00292EB9" w:rsidRPr="0080269A" w:rsidRDefault="00292EB9" w:rsidP="00183337">
      <w:pPr>
        <w:pStyle w:val="Titleofdoc0"/>
        <w:spacing w:before="0"/>
        <w:ind w:left="567"/>
        <w:jc w:val="both"/>
        <w:rPr>
          <w:caps w:val="0"/>
          <w:lang w:val="es-ES_tradnl"/>
        </w:rPr>
      </w:pPr>
      <w:r w:rsidRPr="00CD127F">
        <w:rPr>
          <w:caps w:val="0"/>
          <w:lang w:val="es-ES_tradnl"/>
        </w:rPr>
        <w:t>Ensayo 1</w:t>
      </w:r>
      <w:proofErr w:type="gramStart"/>
      <w:r w:rsidRPr="00CD127F">
        <w:rPr>
          <w:caps w:val="0"/>
          <w:lang w:val="es-ES_tradnl"/>
        </w:rPr>
        <w:t>:</w:t>
      </w:r>
      <w:r w:rsidR="002C4A49">
        <w:rPr>
          <w:caps w:val="0"/>
          <w:lang w:val="es-ES_tradnl"/>
        </w:rPr>
        <w:t xml:space="preserve">  </w:t>
      </w:r>
      <w:r w:rsidRPr="00CD127F">
        <w:rPr>
          <w:caps w:val="0"/>
          <w:lang w:val="es-ES_tradnl"/>
        </w:rPr>
        <w:t>50</w:t>
      </w:r>
      <w:proofErr w:type="gramEnd"/>
      <w:r w:rsidRPr="00CD127F">
        <w:rPr>
          <w:caps w:val="0"/>
          <w:lang w:val="es-ES_tradnl"/>
        </w:rPr>
        <w:t xml:space="preserve"> plantas /</w:t>
      </w:r>
      <w:r>
        <w:rPr>
          <w:caps w:val="0"/>
          <w:lang w:val="es-ES_tradnl"/>
        </w:rPr>
        <w:t> </w:t>
      </w:r>
      <w:r w:rsidRPr="00CD127F">
        <w:rPr>
          <w:caps w:val="0"/>
          <w:lang w:val="es-ES_tradnl"/>
        </w:rPr>
        <w:t>2 fuera de tipo</w:t>
      </w:r>
      <w:r w:rsidRPr="0080269A">
        <w:rPr>
          <w:caps w:val="0"/>
          <w:lang w:val="es-ES_tradnl"/>
        </w:rPr>
        <w:t xml:space="preserve"> </w:t>
      </w:r>
      <w:r w:rsidRPr="0080269A">
        <w:rPr>
          <w:caps w:val="0"/>
          <w:lang w:val="es-ES_tradnl"/>
        </w:rPr>
        <w:tab/>
      </w:r>
      <w:r w:rsidRPr="0080269A">
        <w:rPr>
          <w:rFonts w:cs="Arial"/>
          <w:caps w:val="0"/>
          <w:lang w:val="es-ES_tradnl"/>
        </w:rPr>
        <w:t>→</w:t>
      </w:r>
      <w:r w:rsidRPr="0080269A">
        <w:rPr>
          <w:caps w:val="0"/>
          <w:lang w:val="es-ES_tradnl"/>
        </w:rPr>
        <w:tab/>
      </w:r>
      <w:r w:rsidRPr="00CD127F">
        <w:rPr>
          <w:caps w:val="0"/>
          <w:lang w:val="es-ES_tradnl"/>
        </w:rPr>
        <w:t>la variedad se considera homogénea</w:t>
      </w:r>
    </w:p>
    <w:p w:rsidR="00292EB9" w:rsidRPr="0080269A" w:rsidRDefault="00292EB9" w:rsidP="00183337">
      <w:pPr>
        <w:pStyle w:val="Titleofdoc0"/>
        <w:spacing w:before="0"/>
        <w:ind w:left="567"/>
        <w:jc w:val="both"/>
        <w:rPr>
          <w:caps w:val="0"/>
          <w:lang w:val="es-ES_tradnl"/>
        </w:rPr>
      </w:pPr>
      <w:r w:rsidRPr="00CD127F">
        <w:rPr>
          <w:caps w:val="0"/>
          <w:lang w:val="es-ES_tradnl"/>
        </w:rPr>
        <w:t>(</w:t>
      </w:r>
      <w:proofErr w:type="gramStart"/>
      <w:r w:rsidRPr="00CD127F">
        <w:rPr>
          <w:caps w:val="0"/>
          <w:lang w:val="es-ES_tradnl"/>
        </w:rPr>
        <w:t>aplicando</w:t>
      </w:r>
      <w:proofErr w:type="gramEnd"/>
      <w:r w:rsidRPr="00CD127F">
        <w:rPr>
          <w:caps w:val="0"/>
          <w:lang w:val="es-ES_tradnl"/>
        </w:rPr>
        <w:t xml:space="preserve"> una población estándar del 1% y una probabilidad de aceptación del 95%, en una muestra de 36 a 82 plantas)</w:t>
      </w:r>
    </w:p>
    <w:p w:rsidR="00292EB9" w:rsidRPr="0080269A" w:rsidRDefault="00292EB9" w:rsidP="00183337">
      <w:pPr>
        <w:pStyle w:val="Titleofdoc0"/>
        <w:spacing w:before="0"/>
        <w:ind w:left="567"/>
        <w:jc w:val="both"/>
        <w:rPr>
          <w:caps w:val="0"/>
          <w:lang w:val="es-ES_tradnl"/>
        </w:rPr>
      </w:pPr>
    </w:p>
    <w:p w:rsidR="00292EB9" w:rsidRPr="0080269A" w:rsidRDefault="00292EB9" w:rsidP="00183337">
      <w:pPr>
        <w:pStyle w:val="Titleofdoc0"/>
        <w:spacing w:before="0"/>
        <w:ind w:left="567"/>
        <w:jc w:val="both"/>
        <w:rPr>
          <w:caps w:val="0"/>
          <w:lang w:val="es-ES_tradnl"/>
        </w:rPr>
      </w:pPr>
      <w:r w:rsidRPr="004055B7">
        <w:rPr>
          <w:caps w:val="0"/>
          <w:lang w:val="es-ES_tradnl"/>
        </w:rPr>
        <w:t>Ensayo 2</w:t>
      </w:r>
      <w:proofErr w:type="gramStart"/>
      <w:r w:rsidRPr="004055B7">
        <w:rPr>
          <w:caps w:val="0"/>
          <w:lang w:val="es-ES_tradnl"/>
        </w:rPr>
        <w:t>:</w:t>
      </w:r>
      <w:r w:rsidR="002C4A49">
        <w:rPr>
          <w:caps w:val="0"/>
          <w:lang w:val="es-ES_tradnl"/>
        </w:rPr>
        <w:t xml:space="preserve">  </w:t>
      </w:r>
      <w:r w:rsidRPr="004055B7">
        <w:rPr>
          <w:caps w:val="0"/>
          <w:lang w:val="es-ES_tradnl"/>
        </w:rPr>
        <w:t>50</w:t>
      </w:r>
      <w:proofErr w:type="gramEnd"/>
      <w:r w:rsidRPr="004055B7">
        <w:rPr>
          <w:caps w:val="0"/>
          <w:lang w:val="es-ES_tradnl"/>
        </w:rPr>
        <w:t xml:space="preserve"> plantas /</w:t>
      </w:r>
      <w:r>
        <w:rPr>
          <w:caps w:val="0"/>
          <w:lang w:val="es-ES_tradnl"/>
        </w:rPr>
        <w:t> </w:t>
      </w:r>
      <w:r w:rsidRPr="004055B7">
        <w:rPr>
          <w:caps w:val="0"/>
          <w:lang w:val="es-ES_tradnl"/>
        </w:rPr>
        <w:t>2 fuera de tipo</w:t>
      </w:r>
      <w:r w:rsidRPr="0080269A">
        <w:rPr>
          <w:caps w:val="0"/>
          <w:lang w:val="es-ES_tradnl"/>
        </w:rPr>
        <w:t xml:space="preserve"> </w:t>
      </w:r>
      <w:r w:rsidRPr="0080269A">
        <w:rPr>
          <w:caps w:val="0"/>
          <w:lang w:val="es-ES_tradnl"/>
        </w:rPr>
        <w:tab/>
      </w:r>
      <w:r w:rsidRPr="0080269A">
        <w:rPr>
          <w:rFonts w:cs="Arial"/>
          <w:caps w:val="0"/>
          <w:lang w:val="es-ES_tradnl"/>
        </w:rPr>
        <w:t>→</w:t>
      </w:r>
      <w:r w:rsidRPr="0080269A">
        <w:rPr>
          <w:caps w:val="0"/>
          <w:lang w:val="es-ES_tradnl"/>
        </w:rPr>
        <w:t xml:space="preserve"> </w:t>
      </w:r>
      <w:r w:rsidRPr="0080269A">
        <w:rPr>
          <w:caps w:val="0"/>
          <w:lang w:val="es-ES_tradnl"/>
        </w:rPr>
        <w:tab/>
      </w:r>
      <w:r w:rsidRPr="004055B7">
        <w:rPr>
          <w:caps w:val="0"/>
          <w:lang w:val="es-ES_tradnl"/>
        </w:rPr>
        <w:t>la variedad se considera homogénea</w:t>
      </w:r>
    </w:p>
    <w:p w:rsidR="00292EB9" w:rsidRPr="0080269A" w:rsidRDefault="00292EB9" w:rsidP="00183337">
      <w:pPr>
        <w:pStyle w:val="Titleofdoc0"/>
        <w:spacing w:before="0"/>
        <w:ind w:left="567"/>
        <w:jc w:val="both"/>
        <w:rPr>
          <w:caps w:val="0"/>
          <w:lang w:val="es-ES_tradnl"/>
        </w:rPr>
      </w:pPr>
      <w:r w:rsidRPr="004055B7">
        <w:rPr>
          <w:caps w:val="0"/>
          <w:lang w:val="es-ES_tradnl"/>
        </w:rPr>
        <w:t>(</w:t>
      </w:r>
      <w:proofErr w:type="gramStart"/>
      <w:r w:rsidRPr="004055B7">
        <w:rPr>
          <w:caps w:val="0"/>
          <w:lang w:val="es-ES_tradnl"/>
        </w:rPr>
        <w:t>aplicando</w:t>
      </w:r>
      <w:proofErr w:type="gramEnd"/>
      <w:r w:rsidRPr="004055B7">
        <w:rPr>
          <w:caps w:val="0"/>
          <w:lang w:val="es-ES_tradnl"/>
        </w:rPr>
        <w:t xml:space="preserve"> una población estándar del 1% y una probabilidad de aceptación del 95%, en una muestra de 36 a 82 plantas)</w:t>
      </w:r>
    </w:p>
    <w:p w:rsidR="00292EB9" w:rsidRPr="0080269A" w:rsidRDefault="00292EB9" w:rsidP="00183337">
      <w:pPr>
        <w:pStyle w:val="Titleofdoc0"/>
        <w:spacing w:before="0"/>
        <w:jc w:val="both"/>
        <w:rPr>
          <w:caps w:val="0"/>
          <w:lang w:val="es-ES_tradnl"/>
        </w:rPr>
      </w:pPr>
    </w:p>
    <w:p w:rsidR="00292EB9" w:rsidRPr="0080269A" w:rsidRDefault="00292EB9" w:rsidP="00183337">
      <w:pPr>
        <w:pStyle w:val="Titleofdoc0"/>
        <w:spacing w:before="0"/>
        <w:ind w:left="567"/>
        <w:jc w:val="both"/>
        <w:rPr>
          <w:caps w:val="0"/>
          <w:lang w:val="es-ES_tradnl"/>
        </w:rPr>
      </w:pPr>
      <w:r w:rsidRPr="004055B7">
        <w:rPr>
          <w:caps w:val="0"/>
          <w:lang w:val="es-ES_tradnl"/>
        </w:rPr>
        <w:t>Ensayo 1+2</w:t>
      </w:r>
      <w:proofErr w:type="gramStart"/>
      <w:r w:rsidRPr="004055B7">
        <w:rPr>
          <w:caps w:val="0"/>
          <w:lang w:val="es-ES_tradnl"/>
        </w:rPr>
        <w:t>:</w:t>
      </w:r>
      <w:r w:rsidRPr="0080269A">
        <w:rPr>
          <w:caps w:val="0"/>
          <w:lang w:val="es-ES_tradnl"/>
        </w:rPr>
        <w:t xml:space="preserve"> </w:t>
      </w:r>
      <w:r w:rsidR="002C4A49">
        <w:rPr>
          <w:caps w:val="0"/>
          <w:lang w:val="es-ES_tradnl"/>
        </w:rPr>
        <w:t xml:space="preserve"> </w:t>
      </w:r>
      <w:r w:rsidRPr="004055B7">
        <w:rPr>
          <w:caps w:val="0"/>
          <w:lang w:val="es-ES_tradnl"/>
        </w:rPr>
        <w:t>100</w:t>
      </w:r>
      <w:proofErr w:type="gramEnd"/>
      <w:r w:rsidRPr="004055B7">
        <w:rPr>
          <w:caps w:val="0"/>
          <w:lang w:val="es-ES_tradnl"/>
        </w:rPr>
        <w:t xml:space="preserve"> plantas /</w:t>
      </w:r>
      <w:r>
        <w:rPr>
          <w:caps w:val="0"/>
          <w:lang w:val="es-ES_tradnl"/>
        </w:rPr>
        <w:t> </w:t>
      </w:r>
      <w:r w:rsidRPr="004055B7">
        <w:rPr>
          <w:caps w:val="0"/>
          <w:lang w:val="es-ES_tradnl"/>
        </w:rPr>
        <w:t>4 fuera de tipo</w:t>
      </w:r>
      <w:r w:rsidRPr="0080269A">
        <w:rPr>
          <w:caps w:val="0"/>
          <w:lang w:val="es-ES_tradnl"/>
        </w:rPr>
        <w:tab/>
      </w:r>
      <w:r w:rsidRPr="0080269A">
        <w:rPr>
          <w:rFonts w:cs="Arial"/>
          <w:caps w:val="0"/>
          <w:lang w:val="es-ES_tradnl"/>
        </w:rPr>
        <w:t>→</w:t>
      </w:r>
      <w:r w:rsidRPr="0080269A">
        <w:rPr>
          <w:caps w:val="0"/>
          <w:lang w:val="es-ES_tradnl"/>
        </w:rPr>
        <w:t xml:space="preserve"> </w:t>
      </w:r>
      <w:r w:rsidRPr="0080269A">
        <w:rPr>
          <w:caps w:val="0"/>
          <w:lang w:val="es-ES_tradnl"/>
        </w:rPr>
        <w:tab/>
      </w:r>
      <w:r w:rsidRPr="00CD127F">
        <w:rPr>
          <w:caps w:val="0"/>
          <w:lang w:val="es-ES_tradnl"/>
        </w:rPr>
        <w:t>la variedad se considera no homogénea</w:t>
      </w:r>
    </w:p>
    <w:p w:rsidR="00292EB9" w:rsidRPr="0080269A" w:rsidRDefault="00292EB9" w:rsidP="00183337">
      <w:pPr>
        <w:pStyle w:val="Titleofdoc0"/>
        <w:spacing w:before="0"/>
        <w:ind w:left="567"/>
        <w:jc w:val="both"/>
        <w:rPr>
          <w:caps w:val="0"/>
          <w:lang w:val="es-ES_tradnl"/>
        </w:rPr>
      </w:pPr>
      <w:r w:rsidRPr="004055B7">
        <w:rPr>
          <w:caps w:val="0"/>
          <w:lang w:val="es-ES_tradnl"/>
        </w:rPr>
        <w:t>(</w:t>
      </w:r>
      <w:proofErr w:type="gramStart"/>
      <w:r w:rsidRPr="004055B7">
        <w:rPr>
          <w:caps w:val="0"/>
          <w:lang w:val="es-ES_tradnl"/>
        </w:rPr>
        <w:t>aplicando</w:t>
      </w:r>
      <w:proofErr w:type="gramEnd"/>
      <w:r w:rsidRPr="004055B7">
        <w:rPr>
          <w:caps w:val="0"/>
          <w:lang w:val="es-ES_tradnl"/>
        </w:rPr>
        <w:t xml:space="preserve"> una población estándar del 1% y una probabilidad de aceptación del 95%, en una muestra de 83 a 130 plantas)</w:t>
      </w:r>
    </w:p>
    <w:p w:rsidR="00292EB9" w:rsidRPr="0080269A" w:rsidRDefault="00292EB9" w:rsidP="00183337">
      <w:pPr>
        <w:pStyle w:val="Titleofdoc0"/>
        <w:spacing w:before="0"/>
        <w:jc w:val="both"/>
        <w:rPr>
          <w:caps w:val="0"/>
          <w:lang w:val="es-ES_tradnl"/>
        </w:rPr>
      </w:pPr>
    </w:p>
    <w:p w:rsidR="00292EB9" w:rsidRPr="0080269A" w:rsidRDefault="00292EB9" w:rsidP="00183337">
      <w:pPr>
        <w:pStyle w:val="Titleofdoc0"/>
        <w:spacing w:before="0"/>
        <w:jc w:val="both"/>
        <w:rPr>
          <w:caps w:val="0"/>
          <w:lang w:val="es-ES_tradnl"/>
        </w:rPr>
      </w:pPr>
      <w:r w:rsidRPr="00CD127F">
        <w:rPr>
          <w:caps w:val="0"/>
          <w:lang w:val="es-ES_tradnl"/>
        </w:rPr>
        <w:t>Si los dos ensayos se consideran independientes, la variedad se considera homogénea.</w:t>
      </w:r>
      <w:r w:rsidRPr="0080269A">
        <w:rPr>
          <w:caps w:val="0"/>
          <w:lang w:val="es-ES_tradnl"/>
        </w:rPr>
        <w:t xml:space="preserve">  </w:t>
      </w:r>
      <w:r w:rsidRPr="00CD127F">
        <w:rPr>
          <w:caps w:val="0"/>
          <w:lang w:val="es-ES_tradnl"/>
        </w:rPr>
        <w:t>Si los dos ensayos se combinan, la variedad se considera no homogénea.</w:t>
      </w:r>
    </w:p>
    <w:p w:rsidR="00292EB9" w:rsidRPr="0080269A" w:rsidRDefault="00292EB9" w:rsidP="00183337">
      <w:pPr>
        <w:rPr>
          <w:caps/>
          <w:lang w:val="es-ES_tradnl"/>
        </w:rPr>
      </w:pPr>
    </w:p>
    <w:p w:rsidR="00292EB9" w:rsidRPr="0080269A" w:rsidRDefault="00292EB9" w:rsidP="00183337">
      <w:pPr>
        <w:rPr>
          <w:caps/>
          <w:lang w:val="es-ES_tradnl"/>
        </w:rPr>
      </w:pPr>
    </w:p>
    <w:p w:rsidR="00292EB9" w:rsidRPr="0080269A" w:rsidRDefault="00292EB9" w:rsidP="00183337">
      <w:pPr>
        <w:pStyle w:val="Heading2"/>
        <w:rPr>
          <w:rFonts w:eastAsia="MS Mincho"/>
          <w:lang w:val="es-ES_tradnl" w:eastAsia="ja-JP"/>
        </w:rPr>
      </w:pPr>
      <w:bookmarkStart w:id="17" w:name="_Toc380067149"/>
      <w:r w:rsidRPr="004055B7">
        <w:rPr>
          <w:rFonts w:eastAsia="MS Mincho"/>
          <w:lang w:val="es-ES_tradnl" w:eastAsia="ja-JP"/>
        </w:rPr>
        <w:t>Grupo de Trabajo Técnico sobre Automatización y Programas Informáticos</w:t>
      </w:r>
      <w:bookmarkEnd w:id="17"/>
      <w:r w:rsidRPr="0080269A">
        <w:rPr>
          <w:rFonts w:eastAsia="MS Mincho"/>
          <w:lang w:val="es-ES_tradnl" w:eastAsia="ja-JP"/>
        </w:rPr>
        <w:t xml:space="preserve"> </w:t>
      </w:r>
    </w:p>
    <w:p w:rsidR="00292EB9" w:rsidRPr="0080269A" w:rsidRDefault="00292EB9" w:rsidP="00183337">
      <w:pPr>
        <w:rPr>
          <w:caps/>
          <w:lang w:val="es-ES_tradnl"/>
        </w:rPr>
      </w:pPr>
    </w:p>
    <w:p w:rsidR="00292EB9" w:rsidRPr="0080269A" w:rsidRDefault="00292EB9" w:rsidP="00183337">
      <w:pPr>
        <w:autoSpaceDE w:val="0"/>
        <w:autoSpaceDN w:val="0"/>
        <w:adjustRightInd w:val="0"/>
        <w:ind w:left="567" w:hanging="567"/>
        <w:jc w:val="left"/>
        <w:rPr>
          <w:color w:val="000000"/>
          <w:lang w:val="es-ES_tradnl"/>
        </w:rPr>
      </w:pPr>
      <w:r w:rsidRPr="00917C3E">
        <w:rPr>
          <w:color w:val="000000"/>
        </w:rPr>
        <w:fldChar w:fldCharType="begin"/>
      </w:r>
      <w:r w:rsidRPr="0080269A">
        <w:rPr>
          <w:color w:val="000000"/>
          <w:lang w:val="es-ES_tradnl"/>
        </w:rPr>
        <w:instrText xml:space="preserve"> AUTONUM  </w:instrText>
      </w:r>
      <w:r w:rsidRPr="00917C3E">
        <w:rPr>
          <w:color w:val="000000"/>
        </w:rPr>
        <w:fldChar w:fldCharType="end"/>
      </w:r>
      <w:r w:rsidRPr="0080269A">
        <w:rPr>
          <w:color w:val="000000"/>
          <w:lang w:val="es-ES_tradnl"/>
        </w:rPr>
        <w:tab/>
      </w:r>
      <w:r w:rsidRPr="00CD127F">
        <w:rPr>
          <w:color w:val="000000"/>
          <w:lang w:val="es-ES_tradnl"/>
        </w:rPr>
        <w:t>El TWC examinó el documento TWC/31/22.</w:t>
      </w:r>
    </w:p>
    <w:p w:rsidR="00292EB9" w:rsidRPr="0080269A" w:rsidRDefault="00292EB9" w:rsidP="00183337">
      <w:pPr>
        <w:autoSpaceDE w:val="0"/>
        <w:autoSpaceDN w:val="0"/>
        <w:adjustRightInd w:val="0"/>
        <w:ind w:left="567" w:hanging="567"/>
        <w:jc w:val="left"/>
        <w:rPr>
          <w:color w:val="000000"/>
          <w:lang w:val="es-ES_tradnl"/>
        </w:rPr>
      </w:pPr>
    </w:p>
    <w:p w:rsidR="00292EB9" w:rsidRPr="0080269A" w:rsidRDefault="00292EB9" w:rsidP="00183337">
      <w:pPr>
        <w:autoSpaceDE w:val="0"/>
        <w:autoSpaceDN w:val="0"/>
        <w:adjustRightInd w:val="0"/>
        <w:rPr>
          <w:color w:val="000000"/>
          <w:szCs w:val="24"/>
          <w:lang w:val="es-ES_tradnl"/>
        </w:rPr>
      </w:pPr>
      <w:r w:rsidRPr="00917C3E">
        <w:rPr>
          <w:color w:val="000000"/>
        </w:rPr>
        <w:fldChar w:fldCharType="begin"/>
      </w:r>
      <w:r w:rsidRPr="0080269A">
        <w:rPr>
          <w:color w:val="000000"/>
          <w:lang w:val="es-ES_tradnl"/>
        </w:rPr>
        <w:instrText xml:space="preserve"> AUTONUM  </w:instrText>
      </w:r>
      <w:r w:rsidRPr="00917C3E">
        <w:rPr>
          <w:color w:val="000000"/>
        </w:rPr>
        <w:fldChar w:fldCharType="end"/>
      </w:r>
      <w:r w:rsidRPr="0080269A">
        <w:rPr>
          <w:color w:val="000000"/>
          <w:szCs w:val="24"/>
          <w:lang w:val="es-ES_tradnl"/>
        </w:rPr>
        <w:tab/>
      </w:r>
      <w:r w:rsidRPr="00CD127F">
        <w:rPr>
          <w:color w:val="000000"/>
          <w:szCs w:val="24"/>
          <w:lang w:val="es-ES_tradnl"/>
        </w:rPr>
        <w:t>El TWC observó que había convenido en que es necesario disponer de más información y análisis para poder ofrecer orientación sobre las consecuencias de la utilización de los diferentes métodos que figuran en los Anexos I a IV del documento TWC/31/22 y en que Francia, Alemania y los Países Bajos presenten una o más situaciones concretas en sus países así como las bases estadísticas de sus análisis en su próxima sesión.</w:t>
      </w:r>
      <w:r w:rsidRPr="0080269A">
        <w:rPr>
          <w:color w:val="000000"/>
          <w:szCs w:val="24"/>
          <w:lang w:val="es-ES_tradnl"/>
        </w:rPr>
        <w:t xml:space="preserve"> </w:t>
      </w:r>
    </w:p>
    <w:p w:rsidR="00292EB9" w:rsidRPr="00E500C7" w:rsidRDefault="00292EB9" w:rsidP="00E500C7"/>
    <w:p w:rsidR="00292EB9" w:rsidRPr="0080269A" w:rsidRDefault="00292EB9" w:rsidP="00183337">
      <w:pPr>
        <w:autoSpaceDE w:val="0"/>
        <w:autoSpaceDN w:val="0"/>
        <w:adjustRightInd w:val="0"/>
        <w:rPr>
          <w:color w:val="000000"/>
          <w:szCs w:val="24"/>
          <w:lang w:val="es-ES_tradnl"/>
        </w:rPr>
      </w:pPr>
      <w:r w:rsidRPr="00917C3E">
        <w:rPr>
          <w:color w:val="000000"/>
        </w:rPr>
        <w:fldChar w:fldCharType="begin"/>
      </w:r>
      <w:r w:rsidRPr="0080269A">
        <w:rPr>
          <w:color w:val="000000"/>
          <w:lang w:val="es-ES_tradnl"/>
        </w:rPr>
        <w:instrText xml:space="preserve"> AUTONUM  </w:instrText>
      </w:r>
      <w:r w:rsidRPr="00917C3E">
        <w:rPr>
          <w:color w:val="000000"/>
        </w:rPr>
        <w:fldChar w:fldCharType="end"/>
      </w:r>
      <w:r w:rsidRPr="0080269A">
        <w:rPr>
          <w:color w:val="000000"/>
          <w:szCs w:val="24"/>
          <w:lang w:val="es-ES_tradnl"/>
        </w:rPr>
        <w:tab/>
      </w:r>
      <w:r w:rsidRPr="00CD127F">
        <w:rPr>
          <w:color w:val="000000"/>
          <w:szCs w:val="24"/>
          <w:lang w:val="es-ES_tradnl"/>
        </w:rPr>
        <w:t xml:space="preserve">El TWC examinó las bases estadísticas del número aceptable de plantas fuera de tipo en la </w:t>
      </w:r>
      <w:proofErr w:type="spellStart"/>
      <w:r w:rsidRPr="00CD127F">
        <w:rPr>
          <w:color w:val="000000"/>
          <w:szCs w:val="24"/>
          <w:lang w:val="es-ES_tradnl"/>
        </w:rPr>
        <w:t>submuestra</w:t>
      </w:r>
      <w:proofErr w:type="spellEnd"/>
      <w:r w:rsidRPr="00CD127F">
        <w:rPr>
          <w:color w:val="000000"/>
          <w:szCs w:val="24"/>
          <w:lang w:val="es-ES_tradnl"/>
        </w:rPr>
        <w:t xml:space="preserve"> de 20 plantas que se utiliza en el contexto de un tamaño de muestra de 100 plantas, según se exponen en el Anexo V del documento TWC/31/22, que fue presentado por un experto de Alemania por medios electrónicos.</w:t>
      </w:r>
      <w:r w:rsidRPr="0080269A">
        <w:rPr>
          <w:color w:val="000000"/>
          <w:szCs w:val="24"/>
          <w:lang w:val="es-ES_tradnl"/>
        </w:rPr>
        <w:t xml:space="preserve"> </w:t>
      </w:r>
    </w:p>
    <w:p w:rsidR="00292EB9" w:rsidRPr="0080269A" w:rsidRDefault="00292EB9" w:rsidP="00183337">
      <w:pPr>
        <w:autoSpaceDE w:val="0"/>
        <w:autoSpaceDN w:val="0"/>
        <w:adjustRightInd w:val="0"/>
        <w:rPr>
          <w:color w:val="000000"/>
          <w:szCs w:val="24"/>
          <w:lang w:val="es-ES_tradnl"/>
        </w:rPr>
      </w:pPr>
    </w:p>
    <w:p w:rsidR="00292EB9" w:rsidRPr="0080269A" w:rsidRDefault="00292EB9" w:rsidP="00183337">
      <w:pPr>
        <w:autoSpaceDE w:val="0"/>
        <w:autoSpaceDN w:val="0"/>
        <w:adjustRightInd w:val="0"/>
        <w:rPr>
          <w:color w:val="000000"/>
          <w:szCs w:val="24"/>
          <w:lang w:val="es-ES_tradnl"/>
        </w:rPr>
      </w:pPr>
      <w:r w:rsidRPr="008232BD">
        <w:rPr>
          <w:color w:val="000000"/>
          <w:szCs w:val="24"/>
        </w:rPr>
        <w:fldChar w:fldCharType="begin"/>
      </w:r>
      <w:r w:rsidRPr="0080269A">
        <w:rPr>
          <w:color w:val="000000"/>
          <w:szCs w:val="24"/>
          <w:lang w:val="es-ES_tradnl"/>
        </w:rPr>
        <w:instrText xml:space="preserve"> AUTONUM  </w:instrText>
      </w:r>
      <w:r w:rsidRPr="008232BD">
        <w:rPr>
          <w:color w:val="000000"/>
          <w:szCs w:val="24"/>
        </w:rPr>
        <w:fldChar w:fldCharType="end"/>
      </w:r>
      <w:r w:rsidRPr="0080269A">
        <w:rPr>
          <w:color w:val="000000"/>
          <w:szCs w:val="24"/>
          <w:lang w:val="es-ES_tradnl"/>
        </w:rPr>
        <w:tab/>
      </w:r>
      <w:r w:rsidRPr="00CD127F">
        <w:rPr>
          <w:color w:val="000000"/>
          <w:szCs w:val="24"/>
          <w:lang w:val="es-ES_tradnl"/>
        </w:rPr>
        <w:t>El TWC solicitó a los expertos de Alemania que expliquen los errores de tipo I y de tipo II que se emplean en las bases estadísticas del número aceptable de plantas fuera d</w:t>
      </w:r>
      <w:r w:rsidR="002C4A49">
        <w:rPr>
          <w:color w:val="000000"/>
          <w:szCs w:val="24"/>
          <w:lang w:val="es-ES_tradnl"/>
        </w:rPr>
        <w:t xml:space="preserve">e tipo en la </w:t>
      </w:r>
      <w:proofErr w:type="spellStart"/>
      <w:r w:rsidR="002C4A49">
        <w:rPr>
          <w:color w:val="000000"/>
          <w:szCs w:val="24"/>
          <w:lang w:val="es-ES_tradnl"/>
        </w:rPr>
        <w:t>submuestra</w:t>
      </w:r>
      <w:proofErr w:type="spellEnd"/>
      <w:r w:rsidR="002C4A49">
        <w:rPr>
          <w:color w:val="000000"/>
          <w:szCs w:val="24"/>
          <w:lang w:val="es-ES_tradnl"/>
        </w:rPr>
        <w:t xml:space="preserve"> de 20 </w:t>
      </w:r>
      <w:r w:rsidRPr="00CD127F">
        <w:rPr>
          <w:color w:val="000000"/>
          <w:szCs w:val="24"/>
          <w:lang w:val="es-ES_tradnl"/>
        </w:rPr>
        <w:t>plantas que se utiliza en el contexto de un tamaño de muestra de 100 plantas.</w:t>
      </w:r>
      <w:r w:rsidRPr="0080269A">
        <w:rPr>
          <w:color w:val="000000"/>
          <w:szCs w:val="24"/>
          <w:lang w:val="es-ES_tradnl"/>
        </w:rPr>
        <w:t xml:space="preserve">  </w:t>
      </w:r>
      <w:r w:rsidRPr="00CD127F">
        <w:rPr>
          <w:color w:val="000000"/>
          <w:szCs w:val="24"/>
          <w:lang w:val="es-ES_tradnl"/>
        </w:rPr>
        <w:t>El TWC convino en que las bases estadísticas de este método se sigan debatiendo en su trigésima segunda sesión.</w:t>
      </w:r>
      <w:r w:rsidRPr="0080269A">
        <w:rPr>
          <w:color w:val="000000"/>
          <w:szCs w:val="24"/>
          <w:lang w:val="es-ES_tradnl"/>
        </w:rPr>
        <w:t xml:space="preserve">  </w:t>
      </w:r>
      <w:r w:rsidRPr="00CD127F">
        <w:rPr>
          <w:color w:val="000000"/>
          <w:szCs w:val="24"/>
          <w:lang w:val="es-ES_tradnl"/>
        </w:rPr>
        <w:t>El TWC convino en que no es conveniente recomendar este método para otros cultivos o tamaños de muestra hasta que haya acordado las bases estadísticas.</w:t>
      </w:r>
      <w:r w:rsidRPr="0080269A">
        <w:rPr>
          <w:color w:val="000000"/>
          <w:szCs w:val="24"/>
          <w:lang w:val="es-ES_tradnl"/>
        </w:rPr>
        <w:t xml:space="preserve"> </w:t>
      </w:r>
    </w:p>
    <w:p w:rsidR="00292EB9" w:rsidRPr="0080269A" w:rsidRDefault="00292EB9" w:rsidP="00183337">
      <w:pPr>
        <w:autoSpaceDE w:val="0"/>
        <w:autoSpaceDN w:val="0"/>
        <w:adjustRightInd w:val="0"/>
        <w:ind w:left="567" w:hanging="27"/>
        <w:jc w:val="left"/>
        <w:rPr>
          <w:color w:val="000000"/>
          <w:szCs w:val="24"/>
          <w:lang w:val="es-ES_tradnl"/>
        </w:rPr>
      </w:pPr>
    </w:p>
    <w:p w:rsidR="00292EB9" w:rsidRPr="0080269A" w:rsidRDefault="00292EB9" w:rsidP="00183337">
      <w:pPr>
        <w:autoSpaceDE w:val="0"/>
        <w:autoSpaceDN w:val="0"/>
        <w:adjustRightInd w:val="0"/>
        <w:rPr>
          <w:color w:val="000000"/>
          <w:szCs w:val="24"/>
          <w:lang w:val="es-ES_tradnl"/>
        </w:rPr>
      </w:pPr>
      <w:r w:rsidRPr="00917C3E">
        <w:rPr>
          <w:color w:val="000000"/>
        </w:rPr>
        <w:fldChar w:fldCharType="begin"/>
      </w:r>
      <w:r w:rsidRPr="0080269A">
        <w:rPr>
          <w:color w:val="000000"/>
          <w:lang w:val="es-ES_tradnl"/>
        </w:rPr>
        <w:instrText xml:space="preserve"> AUTONUM  </w:instrText>
      </w:r>
      <w:r w:rsidRPr="00917C3E">
        <w:rPr>
          <w:color w:val="000000"/>
        </w:rPr>
        <w:fldChar w:fldCharType="end"/>
      </w:r>
      <w:r w:rsidRPr="0080269A">
        <w:rPr>
          <w:color w:val="000000"/>
          <w:lang w:val="es-ES_tradnl"/>
        </w:rPr>
        <w:tab/>
      </w:r>
      <w:r w:rsidRPr="00CD127F">
        <w:rPr>
          <w:color w:val="000000"/>
          <w:lang w:val="es-ES_tradnl"/>
        </w:rPr>
        <w:t>El TWC tomó nota de que, con respecto al método de combinar resultados de dos ciclos de cultivo, como se establece en los Anexos I y II del documento TWC/31/22, Situación A y B, el TC había convenido en que sería preciso poner cuidado al examinar resultados que fueran muy diferentes en cada uno de los ciclos de cultivo, por ejemplo cuando se observase una gran abundancia de plantas de fuera de tipo en un ciclo de cultivo y su ausencia en otro ciclo.</w:t>
      </w:r>
    </w:p>
    <w:p w:rsidR="00292EB9" w:rsidRPr="0080269A" w:rsidRDefault="00292EB9" w:rsidP="00183337">
      <w:pPr>
        <w:autoSpaceDE w:val="0"/>
        <w:autoSpaceDN w:val="0"/>
        <w:adjustRightInd w:val="0"/>
        <w:ind w:left="567" w:hanging="27"/>
        <w:rPr>
          <w:color w:val="000000"/>
          <w:szCs w:val="24"/>
          <w:lang w:val="es-ES_tradnl"/>
        </w:rPr>
      </w:pPr>
    </w:p>
    <w:p w:rsidR="00292EB9" w:rsidRPr="0080269A" w:rsidRDefault="00292EB9" w:rsidP="00183337">
      <w:pPr>
        <w:autoSpaceDE w:val="0"/>
        <w:autoSpaceDN w:val="0"/>
        <w:adjustRightInd w:val="0"/>
        <w:rPr>
          <w:color w:val="000000"/>
          <w:szCs w:val="24"/>
          <w:lang w:val="es-ES_tradnl"/>
        </w:rPr>
      </w:pPr>
      <w:r w:rsidRPr="00917C3E">
        <w:rPr>
          <w:color w:val="000000"/>
        </w:rPr>
        <w:fldChar w:fldCharType="begin"/>
      </w:r>
      <w:r w:rsidRPr="0080269A">
        <w:rPr>
          <w:color w:val="000000"/>
          <w:lang w:val="es-ES_tradnl"/>
        </w:rPr>
        <w:instrText xml:space="preserve"> AUTONUM  </w:instrText>
      </w:r>
      <w:r w:rsidRPr="00917C3E">
        <w:rPr>
          <w:color w:val="000000"/>
        </w:rPr>
        <w:fldChar w:fldCharType="end"/>
      </w:r>
      <w:r w:rsidRPr="0080269A">
        <w:rPr>
          <w:color w:val="000000"/>
          <w:szCs w:val="24"/>
          <w:lang w:val="es-ES_tradnl"/>
        </w:rPr>
        <w:tab/>
      </w:r>
      <w:r w:rsidRPr="00CD127F">
        <w:rPr>
          <w:color w:val="000000"/>
          <w:szCs w:val="24"/>
          <w:lang w:val="es-ES_tradnl"/>
        </w:rPr>
        <w:t xml:space="preserve">El TWC tomó nota de que en el documento TWC/31/26 se presentará información sobre el ensayo de la homogeneidad de las variedades del manzano resultantes de una mutación en Nueva Zelandia </w:t>
      </w:r>
      <w:r w:rsidRPr="00CD127F">
        <w:rPr>
          <w:rFonts w:cs="Arial"/>
          <w:lang w:val="es-ES_tradnl"/>
        </w:rPr>
        <w:t>(véanse los párrafos 82 a 87 del documento TWC/31/32</w:t>
      </w:r>
      <w:r w:rsidR="00B32F15">
        <w:rPr>
          <w:rFonts w:cs="Arial"/>
          <w:lang w:val="es-ES_tradnl"/>
        </w:rPr>
        <w:t xml:space="preserve"> “</w:t>
      </w:r>
      <w:proofErr w:type="spellStart"/>
      <w:r w:rsidRPr="0080269A">
        <w:rPr>
          <w:rFonts w:cs="Arial"/>
          <w:i/>
          <w:lang w:val="es-ES_tradnl"/>
        </w:rPr>
        <w:t>Report</w:t>
      </w:r>
      <w:proofErr w:type="spellEnd"/>
      <w:r w:rsidRPr="00CD127F">
        <w:rPr>
          <w:rFonts w:cs="Arial"/>
          <w:lang w:val="es-ES_tradnl"/>
        </w:rPr>
        <w:t>”)</w:t>
      </w:r>
      <w:r w:rsidRPr="00CD127F">
        <w:rPr>
          <w:color w:val="000000"/>
          <w:szCs w:val="24"/>
          <w:lang w:val="es-ES_tradnl"/>
        </w:rPr>
        <w:t>.</w:t>
      </w:r>
    </w:p>
    <w:p w:rsidR="00292EB9" w:rsidRPr="0080269A" w:rsidRDefault="00292EB9" w:rsidP="00183337">
      <w:pPr>
        <w:rPr>
          <w:caps/>
          <w:lang w:val="es-ES_tradnl"/>
        </w:rPr>
      </w:pPr>
    </w:p>
    <w:p w:rsidR="00292EB9" w:rsidRPr="0080269A" w:rsidRDefault="00292EB9" w:rsidP="00183337">
      <w:pPr>
        <w:rPr>
          <w:caps/>
          <w:lang w:val="es-ES_tradnl"/>
        </w:rPr>
      </w:pPr>
    </w:p>
    <w:p w:rsidR="00292EB9" w:rsidRPr="0080269A" w:rsidRDefault="00292EB9" w:rsidP="00183337">
      <w:pPr>
        <w:pStyle w:val="Heading2"/>
        <w:keepNext w:val="0"/>
        <w:rPr>
          <w:lang w:val="es-ES_tradnl"/>
        </w:rPr>
      </w:pPr>
      <w:bookmarkStart w:id="18" w:name="_Toc380067150"/>
      <w:r w:rsidRPr="004055B7">
        <w:rPr>
          <w:rFonts w:eastAsia="MS Mincho"/>
          <w:lang w:val="es-ES_tradnl" w:eastAsia="ja-JP"/>
        </w:rPr>
        <w:t>Grupo de Trabajo Técnico sobre Plantas Agrícolas</w:t>
      </w:r>
      <w:bookmarkEnd w:id="18"/>
    </w:p>
    <w:p w:rsidR="00292EB9" w:rsidRPr="0080269A" w:rsidRDefault="00292EB9" w:rsidP="00183337">
      <w:pPr>
        <w:rPr>
          <w:caps/>
          <w:lang w:val="es-ES_tradnl"/>
        </w:rPr>
      </w:pPr>
    </w:p>
    <w:p w:rsidR="00292EB9" w:rsidRPr="0080269A" w:rsidRDefault="00292EB9" w:rsidP="00183337">
      <w:pPr>
        <w:pStyle w:val="Titleofdoc0"/>
        <w:spacing w:before="0"/>
        <w:jc w:val="both"/>
        <w:rPr>
          <w:rFonts w:eastAsia="MS Mincho"/>
          <w:lang w:val="es-ES_tradnl"/>
        </w:rPr>
      </w:pPr>
      <w:r w:rsidRPr="004B761D">
        <w:fldChar w:fldCharType="begin"/>
      </w:r>
      <w:r w:rsidRPr="0080269A">
        <w:rPr>
          <w:lang w:val="es-ES_tradnl"/>
        </w:rPr>
        <w:instrText xml:space="preserve"> AUTONUM  </w:instrText>
      </w:r>
      <w:r w:rsidRPr="004B761D">
        <w:fldChar w:fldCharType="end"/>
      </w:r>
      <w:r w:rsidRPr="0080269A">
        <w:rPr>
          <w:lang w:val="es-ES_tradnl"/>
        </w:rPr>
        <w:tab/>
      </w:r>
      <w:r w:rsidRPr="00CD127F">
        <w:rPr>
          <w:caps w:val="0"/>
          <w:lang w:val="es-ES_tradnl"/>
        </w:rPr>
        <w:t xml:space="preserve">El TWA examinó el documento </w:t>
      </w:r>
      <w:r w:rsidRPr="00CD127F">
        <w:rPr>
          <w:lang w:val="es-ES_tradnl"/>
        </w:rPr>
        <w:t>TWA/42/22</w:t>
      </w:r>
      <w:r w:rsidRPr="00CD127F">
        <w:rPr>
          <w:caps w:val="0"/>
          <w:lang w:val="es-ES_tradnl"/>
        </w:rPr>
        <w:t xml:space="preserve"> y tomó nota de que:</w:t>
      </w:r>
    </w:p>
    <w:p w:rsidR="00292EB9" w:rsidRPr="0080269A" w:rsidRDefault="00292EB9" w:rsidP="00183337">
      <w:pPr>
        <w:rPr>
          <w:rFonts w:eastAsia="MS Mincho"/>
          <w:lang w:val="es-ES_tradnl"/>
        </w:rPr>
      </w:pPr>
    </w:p>
    <w:p w:rsidR="00292EB9" w:rsidRPr="0080269A" w:rsidRDefault="00292EB9" w:rsidP="00183337">
      <w:pPr>
        <w:ind w:firstLine="540"/>
        <w:rPr>
          <w:lang w:val="es-ES_tradnl"/>
        </w:rPr>
      </w:pPr>
      <w:r w:rsidRPr="004055B7">
        <w:rPr>
          <w:rFonts w:eastAsia="MS Mincho"/>
          <w:lang w:val="es-ES_tradnl"/>
        </w:rPr>
        <w:t>a)</w:t>
      </w:r>
      <w:r w:rsidRPr="0080269A">
        <w:rPr>
          <w:rFonts w:eastAsia="MS Mincho"/>
          <w:lang w:val="es-ES_tradnl"/>
        </w:rPr>
        <w:tab/>
      </w:r>
      <w:r w:rsidRPr="004055B7">
        <w:rPr>
          <w:rFonts w:eastAsia="MS Mincho"/>
          <w:lang w:val="es-ES_tradnl"/>
        </w:rPr>
        <w:t xml:space="preserve">el TWC había convenido en que es necesario disponer de más información y análisis para poder ofrecer orientación sobre las consecuencias de la utilización de los diferentes métodos que figuran en los Anexos I a IV del documento TWA/42/22 Rev. </w:t>
      </w:r>
      <w:proofErr w:type="gramStart"/>
      <w:r w:rsidRPr="004055B7">
        <w:rPr>
          <w:rFonts w:eastAsia="MS Mincho"/>
          <w:lang w:val="es-ES_tradnl"/>
        </w:rPr>
        <w:t>y</w:t>
      </w:r>
      <w:proofErr w:type="gramEnd"/>
      <w:r w:rsidRPr="004055B7">
        <w:rPr>
          <w:rFonts w:eastAsia="MS Mincho"/>
          <w:lang w:val="es-ES_tradnl"/>
        </w:rPr>
        <w:t xml:space="preserve"> en que Francia, Alemania y los Países Bajos presenten una o más situaciones concretas en sus países así como las bases estadísticas de sus análisis en su siguiente sesión;</w:t>
      </w:r>
    </w:p>
    <w:p w:rsidR="00292EB9" w:rsidRPr="0080269A" w:rsidRDefault="00292EB9" w:rsidP="00183337">
      <w:pPr>
        <w:ind w:firstLine="540"/>
        <w:rPr>
          <w:lang w:val="es-ES_tradnl"/>
        </w:rPr>
      </w:pPr>
    </w:p>
    <w:p w:rsidR="00292EB9" w:rsidRPr="0080269A" w:rsidRDefault="00292EB9" w:rsidP="00183337">
      <w:pPr>
        <w:ind w:firstLine="540"/>
        <w:rPr>
          <w:rFonts w:eastAsia="MS Mincho"/>
          <w:lang w:val="es-ES_tradnl"/>
        </w:rPr>
      </w:pPr>
      <w:r w:rsidRPr="004055B7">
        <w:rPr>
          <w:lang w:val="es-ES_tradnl"/>
        </w:rPr>
        <w:t>b)</w:t>
      </w:r>
      <w:r w:rsidRPr="0080269A">
        <w:rPr>
          <w:lang w:val="es-ES_tradnl"/>
        </w:rPr>
        <w:tab/>
      </w:r>
      <w:r w:rsidRPr="004055B7">
        <w:rPr>
          <w:lang w:val="es-ES_tradnl"/>
        </w:rPr>
        <w:t xml:space="preserve">el TWC había convenido en que expertos de Francia y Alemania evalúen las bases estadísticas del número aceptable de plantas fuera de tipo en la </w:t>
      </w:r>
      <w:proofErr w:type="spellStart"/>
      <w:r w:rsidRPr="004055B7">
        <w:rPr>
          <w:lang w:val="es-ES_tradnl"/>
        </w:rPr>
        <w:t>submuestra</w:t>
      </w:r>
      <w:proofErr w:type="spellEnd"/>
      <w:r w:rsidRPr="004055B7">
        <w:rPr>
          <w:lang w:val="es-ES_tradnl"/>
        </w:rPr>
        <w:t xml:space="preserve"> de 20 plantas que se utiliza en el contexto de un tamaño de muestra de 100 plantas (situación D);</w:t>
      </w:r>
      <w:r w:rsidRPr="0080269A">
        <w:rPr>
          <w:lang w:val="es-ES_tradnl"/>
        </w:rPr>
        <w:t xml:space="preserve">  </w:t>
      </w:r>
      <w:r w:rsidRPr="004055B7">
        <w:rPr>
          <w:lang w:val="es-ES_tradnl"/>
        </w:rPr>
        <w:t>y</w:t>
      </w:r>
    </w:p>
    <w:p w:rsidR="00292EB9" w:rsidRPr="0080269A" w:rsidRDefault="00292EB9" w:rsidP="00183337">
      <w:pPr>
        <w:ind w:firstLine="540"/>
        <w:rPr>
          <w:rFonts w:eastAsia="MS Mincho"/>
          <w:lang w:val="es-ES_tradnl"/>
        </w:rPr>
      </w:pPr>
    </w:p>
    <w:p w:rsidR="00292EB9" w:rsidRPr="0080269A" w:rsidRDefault="00292EB9" w:rsidP="00183337">
      <w:pPr>
        <w:ind w:firstLine="540"/>
        <w:rPr>
          <w:rFonts w:eastAsia="MS Mincho"/>
          <w:lang w:val="es-ES_tradnl"/>
        </w:rPr>
      </w:pPr>
      <w:r w:rsidRPr="004055B7">
        <w:rPr>
          <w:rFonts w:eastAsia="MS Mincho"/>
          <w:lang w:val="es-ES_tradnl"/>
        </w:rPr>
        <w:t>c)</w:t>
      </w:r>
      <w:r w:rsidRPr="0080269A">
        <w:rPr>
          <w:rFonts w:eastAsia="MS Mincho"/>
          <w:lang w:val="es-ES_tradnl"/>
        </w:rPr>
        <w:tab/>
      </w:r>
      <w:r w:rsidRPr="004055B7">
        <w:rPr>
          <w:rFonts w:eastAsia="MS Mincho"/>
          <w:lang w:val="es-ES_tradnl"/>
        </w:rPr>
        <w:t>con respecto al método de combinar resultados de dos ciclos de cultivo, como se establece en los Anexos I y II del documento TWA/42/22, Situación A y B, el TC había convenido en que sería preciso poner cuidado al examinar resultados que fueran muy diferentes en cada uno de los ciclos de cultivo, por ejemplo cuando se observase una gran abundancia de plantas de fuera de tipo en un ciclo de cultivo y su ausencia en otro ciclo.</w:t>
      </w:r>
    </w:p>
    <w:p w:rsidR="00292EB9" w:rsidRPr="0080269A" w:rsidRDefault="00292EB9" w:rsidP="00183337">
      <w:pPr>
        <w:ind w:firstLine="540"/>
        <w:rPr>
          <w:rFonts w:eastAsia="MS Mincho"/>
          <w:lang w:val="es-ES_tradnl"/>
        </w:rPr>
      </w:pPr>
    </w:p>
    <w:p w:rsidR="00292EB9" w:rsidRPr="0080269A" w:rsidRDefault="00292EB9" w:rsidP="00183337">
      <w:pPr>
        <w:pStyle w:val="Titleofdoc0"/>
        <w:spacing w:before="0"/>
        <w:jc w:val="both"/>
        <w:rPr>
          <w:caps w:val="0"/>
          <w:lang w:val="es-ES_tradnl"/>
        </w:rPr>
      </w:pPr>
      <w:r w:rsidRPr="005076CA">
        <w:rPr>
          <w:caps w:val="0"/>
        </w:rPr>
        <w:fldChar w:fldCharType="begin"/>
      </w:r>
      <w:r w:rsidRPr="0080269A">
        <w:rPr>
          <w:caps w:val="0"/>
          <w:lang w:val="es-ES_tradnl"/>
        </w:rPr>
        <w:instrText xml:space="preserve"> AUTONUM  </w:instrText>
      </w:r>
      <w:r w:rsidRPr="005076CA">
        <w:rPr>
          <w:caps w:val="0"/>
        </w:rPr>
        <w:fldChar w:fldCharType="end"/>
      </w:r>
      <w:r w:rsidRPr="0080269A">
        <w:rPr>
          <w:caps w:val="0"/>
          <w:lang w:val="es-ES_tradnl"/>
        </w:rPr>
        <w:tab/>
      </w:r>
      <w:r w:rsidRPr="00CD127F">
        <w:rPr>
          <w:caps w:val="0"/>
          <w:lang w:val="es-ES_tradnl"/>
        </w:rPr>
        <w:t>El TWA pidió a la Oficina de la Unión que se sigan elaborando los Anexos del documento TWA/42/22 que han de presentarse en su cuadragésima tercera sesión en relación con el suministro de la información solicitada por el TWC para analizar las consecuencias de la aplicación de los diferentes métodos.</w:t>
      </w:r>
      <w:r w:rsidRPr="0080269A">
        <w:rPr>
          <w:caps w:val="0"/>
          <w:lang w:val="es-ES_tradnl"/>
        </w:rPr>
        <w:t xml:space="preserve">  </w:t>
      </w:r>
      <w:r w:rsidRPr="00CD127F">
        <w:rPr>
          <w:caps w:val="0"/>
          <w:lang w:val="es-ES_tradnl"/>
        </w:rPr>
        <w:t>El TWA convino en que los expertos de Alemania, Francia, los Países Bajos y el Reino Unido presten asistencia a la Oficina en la elaboración del documento.</w:t>
      </w:r>
      <w:r w:rsidRPr="0080269A">
        <w:rPr>
          <w:caps w:val="0"/>
          <w:lang w:val="es-ES_tradnl"/>
        </w:rPr>
        <w:t xml:space="preserve"> </w:t>
      </w:r>
    </w:p>
    <w:p w:rsidR="00292EB9" w:rsidRPr="0080269A" w:rsidRDefault="00292EB9" w:rsidP="00183337">
      <w:pPr>
        <w:pStyle w:val="Titleofdoc0"/>
        <w:spacing w:before="0"/>
        <w:jc w:val="both"/>
        <w:rPr>
          <w:caps w:val="0"/>
          <w:lang w:val="es-ES_tradnl"/>
        </w:rPr>
      </w:pPr>
    </w:p>
    <w:p w:rsidR="00292EB9" w:rsidRPr="0080269A" w:rsidRDefault="00292EB9" w:rsidP="00183337">
      <w:pPr>
        <w:pStyle w:val="Titleofdoc0"/>
        <w:spacing w:before="0"/>
        <w:jc w:val="both"/>
        <w:rPr>
          <w:caps w:val="0"/>
          <w:lang w:val="es-ES_tradnl"/>
        </w:rPr>
      </w:pPr>
      <w:r w:rsidRPr="005076CA">
        <w:rPr>
          <w:caps w:val="0"/>
        </w:rPr>
        <w:fldChar w:fldCharType="begin"/>
      </w:r>
      <w:r w:rsidRPr="0080269A">
        <w:rPr>
          <w:caps w:val="0"/>
          <w:lang w:val="es-ES_tradnl"/>
        </w:rPr>
        <w:instrText xml:space="preserve"> AUTONUM  </w:instrText>
      </w:r>
      <w:r w:rsidRPr="005076CA">
        <w:rPr>
          <w:caps w:val="0"/>
        </w:rPr>
        <w:fldChar w:fldCharType="end"/>
      </w:r>
      <w:r w:rsidRPr="0080269A">
        <w:rPr>
          <w:caps w:val="0"/>
          <w:lang w:val="es-ES_tradnl"/>
        </w:rPr>
        <w:tab/>
      </w:r>
      <w:r w:rsidRPr="00CD127F">
        <w:rPr>
          <w:caps w:val="0"/>
          <w:lang w:val="es-ES_tradnl"/>
        </w:rPr>
        <w:t>El TWA convino en que las diferentes situaciones se presenten en un ejemplo sin mencionar a los miembros de la Unión.</w:t>
      </w:r>
      <w:r w:rsidRPr="0080269A">
        <w:rPr>
          <w:caps w:val="0"/>
          <w:lang w:val="es-ES_tradnl"/>
        </w:rPr>
        <w:t xml:space="preserve">  </w:t>
      </w:r>
      <w:r w:rsidRPr="00CD127F">
        <w:rPr>
          <w:caps w:val="0"/>
          <w:lang w:val="es-ES_tradnl"/>
        </w:rPr>
        <w:t xml:space="preserve">El TWA convino además en que ha de aclararse si los dos métodos de la situación A son incompatibles o si uno de ellos resulta más adecuado, y si la situación C debe referirse a la utilización de muestras o </w:t>
      </w:r>
      <w:proofErr w:type="spellStart"/>
      <w:r w:rsidRPr="00CD127F">
        <w:rPr>
          <w:caps w:val="0"/>
          <w:lang w:val="es-ES_tradnl"/>
        </w:rPr>
        <w:t>submuestras</w:t>
      </w:r>
      <w:proofErr w:type="spellEnd"/>
      <w:r w:rsidRPr="00CD127F">
        <w:rPr>
          <w:caps w:val="0"/>
          <w:lang w:val="es-ES_tradnl"/>
        </w:rPr>
        <w:t xml:space="preserve"> en lugar de referirse a “examen o ensayo” (véanse los párrafos 68 a 70 del documento TWA/42/31</w:t>
      </w:r>
      <w:r w:rsidR="00B32F15">
        <w:rPr>
          <w:caps w:val="0"/>
          <w:lang w:val="es-ES_tradnl"/>
        </w:rPr>
        <w:t xml:space="preserve"> “</w:t>
      </w:r>
      <w:proofErr w:type="spellStart"/>
      <w:r w:rsidRPr="0080269A">
        <w:rPr>
          <w:i/>
          <w:caps w:val="0"/>
          <w:lang w:val="es-ES_tradnl"/>
        </w:rPr>
        <w:t>Report</w:t>
      </w:r>
      <w:proofErr w:type="spellEnd"/>
      <w:r w:rsidRPr="00CD127F">
        <w:rPr>
          <w:caps w:val="0"/>
          <w:lang w:val="es-ES_tradnl"/>
        </w:rPr>
        <w:t>”).</w:t>
      </w:r>
      <w:r w:rsidRPr="0080269A">
        <w:rPr>
          <w:caps w:val="0"/>
          <w:lang w:val="es-ES_tradnl"/>
        </w:rPr>
        <w:t xml:space="preserve"> </w:t>
      </w:r>
    </w:p>
    <w:p w:rsidR="00292EB9" w:rsidRPr="0080269A" w:rsidRDefault="00292EB9" w:rsidP="00183337">
      <w:pPr>
        <w:rPr>
          <w:caps/>
          <w:lang w:val="es-ES_tradnl"/>
        </w:rPr>
      </w:pPr>
    </w:p>
    <w:p w:rsidR="00292EB9" w:rsidRPr="0080269A" w:rsidRDefault="00292EB9" w:rsidP="00183337">
      <w:pPr>
        <w:rPr>
          <w:caps/>
          <w:lang w:val="es-ES_tradnl"/>
        </w:rPr>
      </w:pPr>
    </w:p>
    <w:p w:rsidR="00292EB9" w:rsidRPr="0080269A" w:rsidRDefault="00292EB9" w:rsidP="00B74E0F">
      <w:pPr>
        <w:pStyle w:val="Heading1"/>
        <w:rPr>
          <w:lang w:val="es-ES_tradnl"/>
        </w:rPr>
      </w:pPr>
      <w:bookmarkStart w:id="19" w:name="_Toc380067151"/>
      <w:r w:rsidRPr="004055B7">
        <w:rPr>
          <w:lang w:val="es-ES_tradnl"/>
        </w:rPr>
        <w:t>IV.</w:t>
      </w:r>
      <w:r w:rsidRPr="0080269A">
        <w:rPr>
          <w:lang w:val="es-ES_tradnl"/>
        </w:rPr>
        <w:tab/>
      </w:r>
      <w:r w:rsidRPr="004055B7">
        <w:rPr>
          <w:lang w:val="es-ES_tradnl"/>
        </w:rPr>
        <w:t>NOVEDADES ACONTECIDAS EN 2014</w:t>
      </w:r>
      <w:bookmarkEnd w:id="19"/>
    </w:p>
    <w:p w:rsidR="00292EB9" w:rsidRPr="0080269A" w:rsidRDefault="00292EB9" w:rsidP="00183337">
      <w:pPr>
        <w:rPr>
          <w:caps/>
          <w:lang w:val="es-ES_tradnl"/>
        </w:rPr>
      </w:pPr>
    </w:p>
    <w:p w:rsidR="00292EB9" w:rsidRPr="0080269A" w:rsidRDefault="00292EB9" w:rsidP="00B74E0F">
      <w:pPr>
        <w:pStyle w:val="Heading2"/>
        <w:rPr>
          <w:lang w:val="es-ES_tradnl"/>
        </w:rPr>
      </w:pPr>
      <w:bookmarkStart w:id="20" w:name="_Toc380067152"/>
      <w:r w:rsidRPr="004055B7">
        <w:rPr>
          <w:lang w:val="es-ES_tradnl"/>
        </w:rPr>
        <w:t>Comité de Redacción Ampliado</w:t>
      </w:r>
      <w:bookmarkEnd w:id="20"/>
    </w:p>
    <w:p w:rsidR="00292EB9" w:rsidRPr="0080269A" w:rsidRDefault="00292EB9" w:rsidP="00183337">
      <w:pPr>
        <w:rPr>
          <w:lang w:val="es-ES_tradnl"/>
        </w:rPr>
      </w:pPr>
    </w:p>
    <w:p w:rsidR="00292EB9" w:rsidRPr="0080269A" w:rsidRDefault="00292EB9" w:rsidP="00B74E0F">
      <w:pPr>
        <w:rPr>
          <w:lang w:val="es-ES_tradnl"/>
        </w:rPr>
      </w:pPr>
      <w:r>
        <w:fldChar w:fldCharType="begin"/>
      </w:r>
      <w:r w:rsidRPr="0080269A">
        <w:rPr>
          <w:lang w:val="es-ES_tradnl"/>
        </w:rPr>
        <w:instrText xml:space="preserve"> AUTONUM  </w:instrText>
      </w:r>
      <w:r>
        <w:fldChar w:fldCharType="end"/>
      </w:r>
      <w:r w:rsidRPr="0080269A">
        <w:rPr>
          <w:lang w:val="es-ES_tradnl"/>
        </w:rPr>
        <w:tab/>
      </w:r>
      <w:r w:rsidRPr="00CD127F">
        <w:rPr>
          <w:lang w:val="es-ES_tradnl"/>
        </w:rPr>
        <w:t xml:space="preserve">En su </w:t>
      </w:r>
      <w:r w:rsidRPr="00CD127F">
        <w:rPr>
          <w:rFonts w:cs="Arial"/>
          <w:lang w:val="es-ES_tradnl" w:eastAsia="ja-JP"/>
        </w:rPr>
        <w:t>reunión celebrada en Ginebra los días 8 y 9 de enero de 2014,</w:t>
      </w:r>
      <w:r w:rsidRPr="00CD127F">
        <w:rPr>
          <w:color w:val="000000"/>
          <w:lang w:val="es-ES_tradnl"/>
        </w:rPr>
        <w:t xml:space="preserve"> </w:t>
      </w:r>
      <w:r w:rsidRPr="00CD127F">
        <w:rPr>
          <w:lang w:val="es-ES_tradnl"/>
        </w:rPr>
        <w:t>el TC-EDC</w:t>
      </w:r>
      <w:r w:rsidRPr="00CD127F">
        <w:rPr>
          <w:rFonts w:cs="Arial"/>
          <w:lang w:val="es-ES_tradnl" w:eastAsia="ja-JP"/>
        </w:rPr>
        <w:t xml:space="preserve"> </w:t>
      </w:r>
      <w:r w:rsidRPr="00CD127F">
        <w:rPr>
          <w:lang w:val="es-ES_tradnl"/>
        </w:rPr>
        <w:t>examinó el documento TC-EDC/Jan14/23</w:t>
      </w:r>
      <w:r w:rsidR="00B32F15">
        <w:rPr>
          <w:lang w:val="es-ES_tradnl"/>
        </w:rPr>
        <w:t xml:space="preserve"> “</w:t>
      </w:r>
      <w:r w:rsidRPr="00CD127F">
        <w:rPr>
          <w:lang w:val="es-ES_tradnl"/>
        </w:rPr>
        <w:t xml:space="preserve">Evaluación de la homogeneidad de las plantas fuera de tipo mediante la observación de una muestra o </w:t>
      </w:r>
      <w:r w:rsidR="007814EC">
        <w:rPr>
          <w:lang w:val="es-ES_tradnl"/>
        </w:rPr>
        <w:t xml:space="preserve">de </w:t>
      </w:r>
      <w:proofErr w:type="spellStart"/>
      <w:r w:rsidRPr="00CD127F">
        <w:rPr>
          <w:lang w:val="es-ES_tradnl"/>
        </w:rPr>
        <w:t>submuestra</w:t>
      </w:r>
      <w:r w:rsidR="007814EC">
        <w:rPr>
          <w:lang w:val="es-ES_tradnl"/>
        </w:rPr>
        <w:t>s</w:t>
      </w:r>
      <w:proofErr w:type="spellEnd"/>
      <w:r w:rsidRPr="00CD127F">
        <w:rPr>
          <w:lang w:val="es-ES_tradnl"/>
        </w:rPr>
        <w:t xml:space="preserve">”, así como </w:t>
      </w:r>
      <w:r w:rsidRPr="00CD127F">
        <w:rPr>
          <w:szCs w:val="24"/>
          <w:lang w:val="es-ES_tradnl"/>
        </w:rPr>
        <w:t xml:space="preserve">los comentarios formulados </w:t>
      </w:r>
      <w:r w:rsidRPr="00CD127F">
        <w:rPr>
          <w:lang w:val="es-ES_tradnl"/>
        </w:rPr>
        <w:t xml:space="preserve">por los TWP en sus </w:t>
      </w:r>
      <w:r w:rsidR="002C4A49">
        <w:rPr>
          <w:lang w:val="es-ES_tradnl"/>
        </w:rPr>
        <w:t>sesiones</w:t>
      </w:r>
      <w:r w:rsidRPr="00CD127F">
        <w:rPr>
          <w:lang w:val="es-ES_tradnl"/>
        </w:rPr>
        <w:t xml:space="preserve"> de 2013, y formuló las siguientes observaciones:</w:t>
      </w:r>
    </w:p>
    <w:p w:rsidR="00292EB9" w:rsidRPr="0080269A" w:rsidRDefault="00292EB9" w:rsidP="00B74E0F">
      <w:pPr>
        <w:rPr>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079"/>
      </w:tblGrid>
      <w:tr w:rsidR="00292EB9" w:rsidRPr="00BC440A" w:rsidTr="005A47E8">
        <w:trPr>
          <w:cantSplit/>
        </w:trPr>
        <w:tc>
          <w:tcPr>
            <w:tcW w:w="1560" w:type="dxa"/>
          </w:tcPr>
          <w:p w:rsidR="00292EB9" w:rsidRPr="002302DC" w:rsidRDefault="00292EB9" w:rsidP="00AE2B12">
            <w:pPr>
              <w:rPr>
                <w:rFonts w:cs="Arial"/>
              </w:rPr>
            </w:pPr>
            <w:r w:rsidRPr="004055B7">
              <w:rPr>
                <w:rFonts w:cs="Arial"/>
                <w:lang w:val="es-ES_tradnl"/>
              </w:rPr>
              <w:t>Observaciones generales</w:t>
            </w:r>
          </w:p>
        </w:tc>
        <w:tc>
          <w:tcPr>
            <w:tcW w:w="8079" w:type="dxa"/>
          </w:tcPr>
          <w:p w:rsidR="00292EB9" w:rsidRPr="00BC440A" w:rsidRDefault="00292EB9" w:rsidP="00DD41C2">
            <w:pPr>
              <w:keepNext/>
              <w:jc w:val="left"/>
              <w:rPr>
                <w:rFonts w:cs="Arial"/>
                <w:color w:val="000000"/>
                <w:lang w:val="es-ES_tradnl"/>
              </w:rPr>
            </w:pPr>
            <w:r w:rsidRPr="00CD127F">
              <w:rPr>
                <w:rFonts w:cs="Arial"/>
                <w:bCs/>
                <w:snapToGrid w:val="0"/>
                <w:color w:val="000000"/>
                <w:lang w:val="es-ES_tradnl"/>
              </w:rPr>
              <w:t>Considerar si han de elaborarse orientaciones para las situaciones A, B, C y D del documento TGP/10 y, en el caso de las situaciones A y B, si las orientaciones han de elaborarse a partir de uno de los métodos o de ambos.</w:t>
            </w:r>
          </w:p>
        </w:tc>
      </w:tr>
      <w:tr w:rsidR="00292EB9" w:rsidRPr="00BC440A" w:rsidTr="005A47E8">
        <w:trPr>
          <w:cantSplit/>
        </w:trPr>
        <w:tc>
          <w:tcPr>
            <w:tcW w:w="1560" w:type="dxa"/>
          </w:tcPr>
          <w:p w:rsidR="00292EB9" w:rsidRPr="002302DC" w:rsidRDefault="00292EB9" w:rsidP="00E14650">
            <w:pPr>
              <w:jc w:val="left"/>
              <w:rPr>
                <w:rFonts w:cs="Arial"/>
              </w:rPr>
            </w:pPr>
            <w:r w:rsidRPr="00CD127F">
              <w:rPr>
                <w:rFonts w:cs="Arial"/>
                <w:lang w:val="es-ES_tradnl"/>
              </w:rPr>
              <w:t>Anexos I y II</w:t>
            </w:r>
          </w:p>
        </w:tc>
        <w:tc>
          <w:tcPr>
            <w:tcW w:w="8079" w:type="dxa"/>
          </w:tcPr>
          <w:p w:rsidR="00292EB9" w:rsidRPr="00BC440A" w:rsidRDefault="00292EB9" w:rsidP="00E14650">
            <w:pPr>
              <w:autoSpaceDE w:val="0"/>
              <w:autoSpaceDN w:val="0"/>
              <w:adjustRightInd w:val="0"/>
              <w:rPr>
                <w:rFonts w:cs="Arial"/>
                <w:color w:val="000000"/>
                <w:lang w:val="es-ES_tradnl"/>
              </w:rPr>
            </w:pPr>
            <w:r w:rsidRPr="00CD127F">
              <w:rPr>
                <w:rFonts w:cs="Arial"/>
                <w:color w:val="000000"/>
                <w:lang w:val="es-ES_tradnl"/>
              </w:rPr>
              <w:t>En el método 2 debe añadirse “</w:t>
            </w:r>
            <w:r w:rsidRPr="00CD127F">
              <w:rPr>
                <w:rFonts w:cs="Arial"/>
                <w:color w:val="000000"/>
                <w:highlight w:val="lightGray"/>
                <w:u w:val="single"/>
                <w:lang w:val="es-ES_tradnl"/>
              </w:rPr>
              <w:t>Si al término de los dos ciclos de cultivo la variedad cumple el estándar de homogeneidad en un ciclo de cultivo pero no cumple el estándar de homogeneidad en el otro ciclo de cultivo,</w:t>
            </w:r>
            <w:r w:rsidRPr="00CD127F">
              <w:rPr>
                <w:rFonts w:eastAsia="SimSun"/>
                <w:szCs w:val="24"/>
                <w:lang w:val="es-ES_tradnl" w:eastAsia="zh-CN"/>
              </w:rPr>
              <w:t>” al comienzo del tercer párrafo.</w:t>
            </w:r>
            <w:r w:rsidRPr="00BC440A">
              <w:rPr>
                <w:rFonts w:eastAsia="SimSun"/>
                <w:szCs w:val="24"/>
                <w:lang w:val="es-ES_tradnl" w:eastAsia="zh-CN"/>
              </w:rPr>
              <w:t xml:space="preserve"> </w:t>
            </w:r>
          </w:p>
        </w:tc>
      </w:tr>
      <w:tr w:rsidR="00292EB9" w:rsidRPr="00BC440A" w:rsidTr="005A47E8">
        <w:trPr>
          <w:cantSplit/>
        </w:trPr>
        <w:tc>
          <w:tcPr>
            <w:tcW w:w="1560" w:type="dxa"/>
          </w:tcPr>
          <w:p w:rsidR="00292EB9" w:rsidRPr="002302DC" w:rsidRDefault="00292EB9" w:rsidP="00DD41C2">
            <w:pPr>
              <w:rPr>
                <w:rFonts w:cs="Arial"/>
              </w:rPr>
            </w:pPr>
            <w:r w:rsidRPr="004055B7">
              <w:rPr>
                <w:rFonts w:cs="Arial"/>
                <w:lang w:val="es-ES_tradnl"/>
              </w:rPr>
              <w:t>Anexo III</w:t>
            </w:r>
            <w:r w:rsidRPr="002302DC">
              <w:rPr>
                <w:rFonts w:cs="Arial"/>
              </w:rPr>
              <w:t xml:space="preserve"> </w:t>
            </w:r>
          </w:p>
        </w:tc>
        <w:tc>
          <w:tcPr>
            <w:tcW w:w="8079" w:type="dxa"/>
          </w:tcPr>
          <w:p w:rsidR="00292EB9" w:rsidRPr="00BC440A" w:rsidRDefault="00292EB9" w:rsidP="00DD41C2">
            <w:pPr>
              <w:autoSpaceDE w:val="0"/>
              <w:autoSpaceDN w:val="0"/>
              <w:adjustRightInd w:val="0"/>
              <w:rPr>
                <w:rFonts w:cs="Arial"/>
                <w:color w:val="000000"/>
                <w:lang w:val="es-ES_tradnl"/>
              </w:rPr>
            </w:pPr>
            <w:r w:rsidRPr="00CD127F">
              <w:rPr>
                <w:rFonts w:cs="Arial"/>
                <w:color w:val="000000"/>
                <w:lang w:val="es-ES_tradnl"/>
              </w:rPr>
              <w:t>Verificar si debe suprimirse el método que figura en el Anexo III sobre la base de que no se refiere a una situación habitual.</w:t>
            </w:r>
          </w:p>
        </w:tc>
      </w:tr>
    </w:tbl>
    <w:p w:rsidR="00292EB9" w:rsidRPr="00BC440A" w:rsidRDefault="00292EB9" w:rsidP="005A47E8">
      <w:pPr>
        <w:rPr>
          <w:caps/>
          <w:lang w:val="es-ES_tradnl"/>
        </w:rPr>
      </w:pPr>
    </w:p>
    <w:p w:rsidR="00292EB9" w:rsidRPr="00BC440A" w:rsidRDefault="00292EB9" w:rsidP="005A47E8">
      <w:pPr>
        <w:rPr>
          <w:caps/>
          <w:lang w:val="es-ES_tradnl"/>
        </w:rPr>
      </w:pPr>
    </w:p>
    <w:p w:rsidR="00292EB9" w:rsidRPr="00BC440A" w:rsidRDefault="00292EB9" w:rsidP="00183337">
      <w:pPr>
        <w:pStyle w:val="Heading1"/>
        <w:rPr>
          <w:lang w:val="es-ES_tradnl"/>
        </w:rPr>
      </w:pPr>
      <w:bookmarkStart w:id="21" w:name="_Toc380067153"/>
      <w:r w:rsidRPr="004055B7">
        <w:rPr>
          <w:lang w:val="es-ES_tradnl"/>
        </w:rPr>
        <w:t>V.</w:t>
      </w:r>
      <w:r w:rsidRPr="00BC440A">
        <w:rPr>
          <w:lang w:val="es-ES_tradnl"/>
        </w:rPr>
        <w:tab/>
      </w:r>
      <w:r w:rsidRPr="00CD127F">
        <w:rPr>
          <w:caps w:val="0"/>
          <w:lang w:val="es-ES_tradnl"/>
        </w:rPr>
        <w:t>RESUMEN</w:t>
      </w:r>
      <w:r w:rsidRPr="00CD127F">
        <w:rPr>
          <w:lang w:val="es-ES_tradnl"/>
        </w:rPr>
        <w:t xml:space="preserve"> </w:t>
      </w:r>
      <w:r w:rsidRPr="00CD127F">
        <w:rPr>
          <w:caps w:val="0"/>
          <w:lang w:val="es-ES_tradnl"/>
        </w:rPr>
        <w:t>DE</w:t>
      </w:r>
      <w:r w:rsidRPr="00CD127F">
        <w:rPr>
          <w:lang w:val="es-ES_tradnl"/>
        </w:rPr>
        <w:t xml:space="preserve"> métodos</w:t>
      </w:r>
      <w:bookmarkEnd w:id="21"/>
    </w:p>
    <w:p w:rsidR="00292EB9" w:rsidRPr="00BC440A" w:rsidRDefault="00292EB9" w:rsidP="00183337">
      <w:pPr>
        <w:rPr>
          <w:rFonts w:cs="Arial"/>
          <w:caps/>
          <w:snapToGrid w:val="0"/>
          <w:lang w:val="es-ES_tradnl"/>
        </w:rPr>
      </w:pPr>
    </w:p>
    <w:p w:rsidR="00292EB9" w:rsidRPr="00BC440A" w:rsidRDefault="00292EB9" w:rsidP="00183337">
      <w:pPr>
        <w:rPr>
          <w:szCs w:val="24"/>
          <w:lang w:val="es-ES_tradnl"/>
        </w:rPr>
      </w:pPr>
      <w:r w:rsidRPr="00D8502F">
        <w:fldChar w:fldCharType="begin"/>
      </w:r>
      <w:r w:rsidRPr="00BC440A">
        <w:rPr>
          <w:lang w:val="es-ES_tradnl"/>
        </w:rPr>
        <w:instrText xml:space="preserve"> AUTONUM  </w:instrText>
      </w:r>
      <w:r w:rsidRPr="00D8502F">
        <w:fldChar w:fldCharType="end"/>
      </w:r>
      <w:r w:rsidRPr="00BC440A">
        <w:rPr>
          <w:lang w:val="es-ES_tradnl"/>
        </w:rPr>
        <w:tab/>
      </w:r>
      <w:r w:rsidRPr="00CD127F">
        <w:rPr>
          <w:szCs w:val="24"/>
          <w:lang w:val="es-ES_tradnl"/>
        </w:rPr>
        <w:t>En los Anexos I a IV del presente documento, modificados a partir de los comentarios formulados por los TWP en sus sesiones de 2013, se resumen del siguiente modo diferentes situaciones en que se combinan muestras diferentes para la evaluación general de la homogeneidad de una variedad:</w:t>
      </w:r>
      <w:r w:rsidRPr="00BC440A">
        <w:rPr>
          <w:szCs w:val="24"/>
          <w:lang w:val="es-ES_tradnl"/>
        </w:rPr>
        <w:t xml:space="preserve"> </w:t>
      </w:r>
    </w:p>
    <w:p w:rsidR="00292EB9" w:rsidRPr="00BC440A" w:rsidRDefault="00292EB9" w:rsidP="00183337">
      <w:pPr>
        <w:snapToGrid w:val="0"/>
        <w:rPr>
          <w:szCs w:val="24"/>
          <w:lang w:val="es-ES_tradnl"/>
        </w:rPr>
      </w:pPr>
    </w:p>
    <w:p w:rsidR="00292EB9" w:rsidRPr="00BC440A" w:rsidRDefault="00292EB9" w:rsidP="00183337">
      <w:pPr>
        <w:autoSpaceDE w:val="0"/>
        <w:autoSpaceDN w:val="0"/>
        <w:adjustRightInd w:val="0"/>
        <w:snapToGrid w:val="0"/>
        <w:rPr>
          <w:i/>
          <w:szCs w:val="24"/>
          <w:lang w:val="es-ES_tradnl"/>
        </w:rPr>
      </w:pPr>
      <w:r w:rsidRPr="004055B7">
        <w:rPr>
          <w:i/>
          <w:szCs w:val="24"/>
          <w:lang w:val="es-ES_tradnl"/>
        </w:rPr>
        <w:t>Anexo I</w:t>
      </w:r>
      <w:proofErr w:type="gramStart"/>
      <w:r w:rsidRPr="004055B7">
        <w:rPr>
          <w:i/>
          <w:szCs w:val="24"/>
          <w:lang w:val="es-ES_tradnl"/>
        </w:rPr>
        <w:t>:</w:t>
      </w:r>
      <w:r w:rsidRPr="00BC440A">
        <w:rPr>
          <w:i/>
          <w:szCs w:val="24"/>
          <w:lang w:val="es-ES_tradnl"/>
        </w:rPr>
        <w:t xml:space="preserve">  </w:t>
      </w:r>
      <w:r w:rsidRPr="004055B7">
        <w:rPr>
          <w:i/>
          <w:szCs w:val="24"/>
          <w:lang w:val="es-ES_tradnl"/>
        </w:rPr>
        <w:t>Situación</w:t>
      </w:r>
      <w:proofErr w:type="gramEnd"/>
      <w:r w:rsidRPr="004055B7">
        <w:rPr>
          <w:i/>
          <w:szCs w:val="24"/>
          <w:lang w:val="es-ES_tradnl"/>
        </w:rPr>
        <w:t> A:</w:t>
      </w:r>
      <w:r w:rsidRPr="00BC440A">
        <w:rPr>
          <w:i/>
          <w:szCs w:val="24"/>
          <w:lang w:val="es-ES_tradnl"/>
        </w:rPr>
        <w:t xml:space="preserve">  </w:t>
      </w:r>
      <w:r w:rsidRPr="004055B7">
        <w:rPr>
          <w:i/>
          <w:szCs w:val="24"/>
          <w:lang w:val="es-ES_tradnl"/>
        </w:rPr>
        <w:t>Dos ciclos de cultivo en un solo lugar</w:t>
      </w:r>
    </w:p>
    <w:p w:rsidR="00292EB9" w:rsidRPr="00BC440A" w:rsidRDefault="00292EB9" w:rsidP="00183337">
      <w:pPr>
        <w:autoSpaceDE w:val="0"/>
        <w:autoSpaceDN w:val="0"/>
        <w:adjustRightInd w:val="0"/>
        <w:snapToGrid w:val="0"/>
        <w:ind w:left="567"/>
        <w:rPr>
          <w:szCs w:val="24"/>
          <w:lang w:val="es-ES_tradnl"/>
        </w:rPr>
      </w:pPr>
    </w:p>
    <w:p w:rsidR="00292EB9" w:rsidRPr="00BC440A" w:rsidRDefault="00292EB9" w:rsidP="00183337">
      <w:pPr>
        <w:autoSpaceDE w:val="0"/>
        <w:autoSpaceDN w:val="0"/>
        <w:adjustRightInd w:val="0"/>
        <w:snapToGrid w:val="0"/>
        <w:ind w:left="567" w:firstLine="273"/>
        <w:rPr>
          <w:szCs w:val="24"/>
          <w:lang w:val="es-ES_tradnl"/>
        </w:rPr>
      </w:pPr>
      <w:r w:rsidRPr="00CD127F">
        <w:rPr>
          <w:szCs w:val="24"/>
          <w:lang w:val="es-ES_tradnl"/>
        </w:rPr>
        <w:t>Método 1</w:t>
      </w:r>
      <w:proofErr w:type="gramStart"/>
      <w:r w:rsidRPr="00CD127F">
        <w:rPr>
          <w:szCs w:val="24"/>
          <w:lang w:val="es-ES_tradnl"/>
        </w:rPr>
        <w:t>:</w:t>
      </w:r>
      <w:r w:rsidRPr="00BC440A">
        <w:rPr>
          <w:szCs w:val="24"/>
          <w:lang w:val="es-ES_tradnl"/>
        </w:rPr>
        <w:t xml:space="preserve">  </w:t>
      </w:r>
      <w:r w:rsidRPr="00CD127F">
        <w:rPr>
          <w:szCs w:val="24"/>
          <w:lang w:val="es-ES_tradnl"/>
        </w:rPr>
        <w:t>Tercer</w:t>
      </w:r>
      <w:proofErr w:type="gramEnd"/>
      <w:r w:rsidRPr="00CD127F">
        <w:rPr>
          <w:szCs w:val="24"/>
          <w:lang w:val="es-ES_tradnl"/>
        </w:rPr>
        <w:t xml:space="preserve"> ciclo de cultivo en el caso de resultados contradictorios</w:t>
      </w:r>
      <w:r w:rsidRPr="00BC440A">
        <w:rPr>
          <w:szCs w:val="24"/>
          <w:lang w:val="es-ES_tradnl"/>
        </w:rPr>
        <w:t xml:space="preserve"> </w:t>
      </w:r>
    </w:p>
    <w:p w:rsidR="00292EB9" w:rsidRPr="00BC440A" w:rsidRDefault="00292EB9" w:rsidP="00183337">
      <w:pPr>
        <w:autoSpaceDE w:val="0"/>
        <w:autoSpaceDN w:val="0"/>
        <w:adjustRightInd w:val="0"/>
        <w:snapToGrid w:val="0"/>
        <w:ind w:left="567" w:firstLine="273"/>
        <w:rPr>
          <w:szCs w:val="24"/>
          <w:lang w:val="es-ES_tradnl"/>
        </w:rPr>
      </w:pPr>
      <w:r w:rsidRPr="004055B7">
        <w:rPr>
          <w:szCs w:val="24"/>
          <w:lang w:val="es-ES_tradnl"/>
        </w:rPr>
        <w:t>Método 2</w:t>
      </w:r>
      <w:proofErr w:type="gramStart"/>
      <w:r w:rsidRPr="004055B7">
        <w:rPr>
          <w:szCs w:val="24"/>
          <w:lang w:val="es-ES_tradnl"/>
        </w:rPr>
        <w:t>:</w:t>
      </w:r>
      <w:r w:rsidRPr="00BC440A">
        <w:rPr>
          <w:szCs w:val="24"/>
          <w:lang w:val="es-ES_tradnl"/>
        </w:rPr>
        <w:t xml:space="preserve">  </w:t>
      </w:r>
      <w:r w:rsidRPr="00CD127F">
        <w:rPr>
          <w:szCs w:val="24"/>
          <w:lang w:val="es-ES_tradnl"/>
        </w:rPr>
        <w:t>Combinar</w:t>
      </w:r>
      <w:proofErr w:type="gramEnd"/>
      <w:r w:rsidRPr="00CD127F">
        <w:rPr>
          <w:szCs w:val="24"/>
          <w:lang w:val="es-ES_tradnl"/>
        </w:rPr>
        <w:t xml:space="preserve"> los resultados de dos ciclos de cultivo</w:t>
      </w:r>
    </w:p>
    <w:p w:rsidR="00292EB9" w:rsidRPr="00BC440A" w:rsidRDefault="00292EB9" w:rsidP="00183337">
      <w:pPr>
        <w:autoSpaceDE w:val="0"/>
        <w:autoSpaceDN w:val="0"/>
        <w:adjustRightInd w:val="0"/>
        <w:snapToGrid w:val="0"/>
        <w:ind w:left="567" w:firstLine="273"/>
        <w:rPr>
          <w:szCs w:val="24"/>
          <w:lang w:val="es-ES_tradnl"/>
        </w:rPr>
      </w:pPr>
    </w:p>
    <w:p w:rsidR="00292EB9" w:rsidRPr="00BC440A" w:rsidRDefault="00292EB9" w:rsidP="00183337">
      <w:pPr>
        <w:snapToGrid w:val="0"/>
        <w:jc w:val="left"/>
        <w:rPr>
          <w:i/>
          <w:szCs w:val="24"/>
          <w:lang w:val="es-ES_tradnl"/>
        </w:rPr>
      </w:pPr>
      <w:r w:rsidRPr="004055B7">
        <w:rPr>
          <w:i/>
          <w:szCs w:val="24"/>
          <w:lang w:val="es-ES_tradnl"/>
        </w:rPr>
        <w:t>Anexo II</w:t>
      </w:r>
      <w:proofErr w:type="gramStart"/>
      <w:r w:rsidRPr="004055B7">
        <w:rPr>
          <w:i/>
          <w:szCs w:val="24"/>
          <w:lang w:val="es-ES_tradnl"/>
        </w:rPr>
        <w:t>:</w:t>
      </w:r>
      <w:r w:rsidRPr="00BC440A">
        <w:rPr>
          <w:i/>
          <w:szCs w:val="24"/>
          <w:lang w:val="es-ES_tradnl"/>
        </w:rPr>
        <w:t xml:space="preserve">  </w:t>
      </w:r>
      <w:r w:rsidRPr="004055B7">
        <w:rPr>
          <w:i/>
          <w:szCs w:val="24"/>
          <w:lang w:val="es-ES_tradnl"/>
        </w:rPr>
        <w:t>Situación</w:t>
      </w:r>
      <w:proofErr w:type="gramEnd"/>
      <w:r w:rsidRPr="004055B7">
        <w:rPr>
          <w:i/>
          <w:szCs w:val="24"/>
          <w:lang w:val="es-ES_tradnl"/>
        </w:rPr>
        <w:t> B:</w:t>
      </w:r>
      <w:r w:rsidRPr="00BC440A">
        <w:rPr>
          <w:i/>
          <w:szCs w:val="24"/>
          <w:lang w:val="es-ES_tradnl"/>
        </w:rPr>
        <w:t xml:space="preserve">  </w:t>
      </w:r>
      <w:r w:rsidRPr="004055B7">
        <w:rPr>
          <w:i/>
          <w:szCs w:val="24"/>
          <w:lang w:val="es-ES_tradnl"/>
        </w:rPr>
        <w:t>Dos lugares de cultivo en el mismo año</w:t>
      </w:r>
      <w:r w:rsidRPr="00BC440A">
        <w:rPr>
          <w:i/>
          <w:szCs w:val="24"/>
          <w:lang w:val="es-ES_tradnl"/>
        </w:rPr>
        <w:t xml:space="preserve"> </w:t>
      </w:r>
    </w:p>
    <w:p w:rsidR="00292EB9" w:rsidRPr="00BC440A" w:rsidRDefault="00292EB9" w:rsidP="00183337">
      <w:pPr>
        <w:snapToGrid w:val="0"/>
        <w:ind w:left="567"/>
        <w:jc w:val="left"/>
        <w:rPr>
          <w:lang w:val="es-ES_tradnl"/>
        </w:rPr>
      </w:pPr>
    </w:p>
    <w:p w:rsidR="00292EB9" w:rsidRPr="00BC440A" w:rsidRDefault="00292EB9" w:rsidP="00183337">
      <w:pPr>
        <w:snapToGrid w:val="0"/>
        <w:ind w:left="567" w:firstLine="273"/>
        <w:rPr>
          <w:szCs w:val="24"/>
          <w:lang w:val="es-ES_tradnl"/>
        </w:rPr>
      </w:pPr>
      <w:r w:rsidRPr="004055B7">
        <w:rPr>
          <w:szCs w:val="24"/>
          <w:lang w:val="es-ES_tradnl"/>
        </w:rPr>
        <w:t>Método 1</w:t>
      </w:r>
      <w:proofErr w:type="gramStart"/>
      <w:r w:rsidRPr="004055B7">
        <w:rPr>
          <w:szCs w:val="24"/>
          <w:lang w:val="es-ES_tradnl"/>
        </w:rPr>
        <w:t>:</w:t>
      </w:r>
      <w:r w:rsidRPr="00BC440A">
        <w:rPr>
          <w:szCs w:val="24"/>
          <w:lang w:val="es-ES_tradnl"/>
        </w:rPr>
        <w:t xml:space="preserve">  </w:t>
      </w:r>
      <w:r w:rsidRPr="004055B7">
        <w:rPr>
          <w:szCs w:val="24"/>
          <w:lang w:val="es-ES_tradnl"/>
        </w:rPr>
        <w:t>Tercer</w:t>
      </w:r>
      <w:proofErr w:type="gramEnd"/>
      <w:r w:rsidRPr="004055B7">
        <w:rPr>
          <w:szCs w:val="24"/>
          <w:lang w:val="es-ES_tradnl"/>
        </w:rPr>
        <w:t xml:space="preserve"> ciclo de cultivo en el caso de resultados contradictorios</w:t>
      </w:r>
      <w:r w:rsidRPr="00BC440A">
        <w:rPr>
          <w:szCs w:val="24"/>
          <w:lang w:val="es-ES_tradnl"/>
        </w:rPr>
        <w:t xml:space="preserve"> </w:t>
      </w:r>
    </w:p>
    <w:p w:rsidR="00292EB9" w:rsidRPr="00BC440A" w:rsidRDefault="00292EB9" w:rsidP="00183337">
      <w:pPr>
        <w:snapToGrid w:val="0"/>
        <w:ind w:left="567" w:firstLine="273"/>
        <w:rPr>
          <w:szCs w:val="24"/>
          <w:lang w:val="es-ES_tradnl"/>
        </w:rPr>
      </w:pPr>
      <w:r w:rsidRPr="004055B7">
        <w:rPr>
          <w:szCs w:val="24"/>
          <w:lang w:val="es-ES_tradnl"/>
        </w:rPr>
        <w:t>Método 2</w:t>
      </w:r>
      <w:proofErr w:type="gramStart"/>
      <w:r w:rsidRPr="004055B7">
        <w:rPr>
          <w:szCs w:val="24"/>
          <w:lang w:val="es-ES_tradnl"/>
        </w:rPr>
        <w:t>:</w:t>
      </w:r>
      <w:r w:rsidRPr="00BC440A">
        <w:rPr>
          <w:szCs w:val="24"/>
          <w:lang w:val="es-ES_tradnl"/>
        </w:rPr>
        <w:t xml:space="preserve">  </w:t>
      </w:r>
      <w:r w:rsidRPr="004055B7">
        <w:rPr>
          <w:szCs w:val="24"/>
          <w:lang w:val="es-ES_tradnl"/>
        </w:rPr>
        <w:t>Combinar</w:t>
      </w:r>
      <w:proofErr w:type="gramEnd"/>
      <w:r w:rsidRPr="004055B7">
        <w:rPr>
          <w:szCs w:val="24"/>
          <w:lang w:val="es-ES_tradnl"/>
        </w:rPr>
        <w:t xml:space="preserve"> los resultados de dos lugares</w:t>
      </w:r>
      <w:r w:rsidRPr="00BC440A">
        <w:rPr>
          <w:szCs w:val="24"/>
          <w:lang w:val="es-ES_tradnl"/>
        </w:rPr>
        <w:t xml:space="preserve"> </w:t>
      </w:r>
    </w:p>
    <w:p w:rsidR="00292EB9" w:rsidRPr="00BC440A" w:rsidRDefault="00292EB9" w:rsidP="00183337">
      <w:pPr>
        <w:autoSpaceDE w:val="0"/>
        <w:autoSpaceDN w:val="0"/>
        <w:adjustRightInd w:val="0"/>
        <w:snapToGrid w:val="0"/>
        <w:ind w:left="567"/>
        <w:rPr>
          <w:szCs w:val="24"/>
          <w:lang w:val="es-ES_tradnl"/>
        </w:rPr>
      </w:pPr>
    </w:p>
    <w:p w:rsidR="00292EB9" w:rsidRPr="00BC440A" w:rsidRDefault="00292EB9" w:rsidP="00183337">
      <w:pPr>
        <w:snapToGrid w:val="0"/>
        <w:jc w:val="left"/>
        <w:rPr>
          <w:i/>
          <w:lang w:val="es-ES_tradnl"/>
        </w:rPr>
      </w:pPr>
      <w:r w:rsidRPr="004055B7">
        <w:rPr>
          <w:i/>
          <w:szCs w:val="24"/>
          <w:lang w:val="es-ES_tradnl"/>
        </w:rPr>
        <w:t>Anexo III</w:t>
      </w:r>
      <w:proofErr w:type="gramStart"/>
      <w:r w:rsidRPr="004055B7">
        <w:rPr>
          <w:i/>
          <w:szCs w:val="24"/>
          <w:lang w:val="es-ES_tradnl"/>
        </w:rPr>
        <w:t>:</w:t>
      </w:r>
      <w:r w:rsidRPr="00BC440A">
        <w:rPr>
          <w:i/>
          <w:szCs w:val="24"/>
          <w:lang w:val="es-ES_tradnl"/>
        </w:rPr>
        <w:t xml:space="preserve">  </w:t>
      </w:r>
      <w:r w:rsidRPr="004055B7">
        <w:rPr>
          <w:i/>
          <w:szCs w:val="24"/>
          <w:lang w:val="es-ES_tradnl"/>
        </w:rPr>
        <w:t>Situación</w:t>
      </w:r>
      <w:proofErr w:type="gramEnd"/>
      <w:r w:rsidRPr="004055B7">
        <w:rPr>
          <w:i/>
          <w:szCs w:val="24"/>
          <w:lang w:val="es-ES_tradnl"/>
        </w:rPr>
        <w:t> C:</w:t>
      </w:r>
      <w:r w:rsidRPr="00BC440A">
        <w:rPr>
          <w:i/>
          <w:szCs w:val="24"/>
          <w:lang w:val="es-ES_tradnl"/>
        </w:rPr>
        <w:t xml:space="preserve">  </w:t>
      </w:r>
      <w:r w:rsidRPr="00CD127F">
        <w:rPr>
          <w:i/>
          <w:lang w:val="es-ES_tradnl"/>
        </w:rPr>
        <w:t xml:space="preserve">Más de una muestra o </w:t>
      </w:r>
      <w:proofErr w:type="spellStart"/>
      <w:r w:rsidRPr="00CD127F">
        <w:rPr>
          <w:i/>
          <w:lang w:val="es-ES_tradnl"/>
        </w:rPr>
        <w:t>submuestra</w:t>
      </w:r>
      <w:proofErr w:type="spellEnd"/>
      <w:r w:rsidRPr="00CD127F">
        <w:rPr>
          <w:i/>
          <w:lang w:val="es-ES_tradnl"/>
        </w:rPr>
        <w:t xml:space="preserve"> para la observación de un carácter en el mismo ciclo de cultivo</w:t>
      </w:r>
    </w:p>
    <w:p w:rsidR="00292EB9" w:rsidRPr="00BC440A" w:rsidRDefault="00292EB9" w:rsidP="00183337">
      <w:pPr>
        <w:snapToGrid w:val="0"/>
        <w:ind w:left="567"/>
        <w:jc w:val="left"/>
        <w:rPr>
          <w:i/>
          <w:lang w:val="es-ES_tradnl"/>
        </w:rPr>
      </w:pPr>
    </w:p>
    <w:p w:rsidR="00292EB9" w:rsidRPr="00BC440A" w:rsidRDefault="00292EB9" w:rsidP="00183337">
      <w:pPr>
        <w:snapToGrid w:val="0"/>
        <w:ind w:left="567" w:firstLine="273"/>
        <w:jc w:val="left"/>
        <w:rPr>
          <w:lang w:val="es-ES_tradnl"/>
        </w:rPr>
      </w:pPr>
      <w:r w:rsidRPr="004055B7">
        <w:rPr>
          <w:lang w:val="es-ES_tradnl"/>
        </w:rPr>
        <w:t>Método</w:t>
      </w:r>
      <w:proofErr w:type="gramStart"/>
      <w:r w:rsidRPr="004055B7">
        <w:rPr>
          <w:lang w:val="es-ES_tradnl"/>
        </w:rPr>
        <w:t>:</w:t>
      </w:r>
      <w:r w:rsidRPr="00BC440A">
        <w:rPr>
          <w:lang w:val="es-ES_tradnl"/>
        </w:rPr>
        <w:t xml:space="preserve">  </w:t>
      </w:r>
      <w:r w:rsidRPr="00CD127F">
        <w:rPr>
          <w:lang w:val="es-ES_tradnl"/>
        </w:rPr>
        <w:t>Ciclo</w:t>
      </w:r>
      <w:proofErr w:type="gramEnd"/>
      <w:r w:rsidRPr="00CD127F">
        <w:rPr>
          <w:lang w:val="es-ES_tradnl"/>
        </w:rPr>
        <w:t xml:space="preserve"> de cultivo adicional en el caso de resultados contradictorios</w:t>
      </w:r>
    </w:p>
    <w:p w:rsidR="00292EB9" w:rsidRPr="00BC440A" w:rsidRDefault="00292EB9" w:rsidP="00183337">
      <w:pPr>
        <w:autoSpaceDE w:val="0"/>
        <w:autoSpaceDN w:val="0"/>
        <w:adjustRightInd w:val="0"/>
        <w:snapToGrid w:val="0"/>
        <w:ind w:left="567"/>
        <w:rPr>
          <w:szCs w:val="24"/>
          <w:lang w:val="es-ES_tradnl"/>
        </w:rPr>
      </w:pPr>
    </w:p>
    <w:p w:rsidR="00292EB9" w:rsidRPr="00BC440A" w:rsidRDefault="00292EB9" w:rsidP="00183337">
      <w:pPr>
        <w:snapToGrid w:val="0"/>
        <w:jc w:val="left"/>
        <w:rPr>
          <w:i/>
          <w:szCs w:val="24"/>
          <w:lang w:val="es-ES_tradnl"/>
        </w:rPr>
      </w:pPr>
      <w:r w:rsidRPr="004055B7">
        <w:rPr>
          <w:i/>
          <w:szCs w:val="24"/>
          <w:lang w:val="es-ES_tradnl"/>
        </w:rPr>
        <w:t>Anexo IV</w:t>
      </w:r>
      <w:proofErr w:type="gramStart"/>
      <w:r w:rsidRPr="004055B7">
        <w:rPr>
          <w:i/>
          <w:szCs w:val="24"/>
          <w:lang w:val="es-ES_tradnl"/>
        </w:rPr>
        <w:t>:</w:t>
      </w:r>
      <w:r w:rsidRPr="00BC440A">
        <w:rPr>
          <w:i/>
          <w:szCs w:val="24"/>
          <w:lang w:val="es-ES_tradnl"/>
        </w:rPr>
        <w:t xml:space="preserve">  </w:t>
      </w:r>
      <w:r w:rsidRPr="004055B7">
        <w:rPr>
          <w:i/>
          <w:szCs w:val="24"/>
          <w:lang w:val="es-ES_tradnl"/>
        </w:rPr>
        <w:t>Situación</w:t>
      </w:r>
      <w:proofErr w:type="gramEnd"/>
      <w:r w:rsidRPr="004055B7">
        <w:rPr>
          <w:i/>
          <w:szCs w:val="24"/>
          <w:lang w:val="es-ES_tradnl"/>
        </w:rPr>
        <w:t> D:</w:t>
      </w:r>
      <w:r w:rsidRPr="00BC440A">
        <w:rPr>
          <w:i/>
          <w:szCs w:val="24"/>
          <w:lang w:val="es-ES_tradnl"/>
        </w:rPr>
        <w:t xml:space="preserve">  </w:t>
      </w:r>
      <w:r w:rsidRPr="004055B7">
        <w:rPr>
          <w:i/>
          <w:szCs w:val="24"/>
          <w:lang w:val="es-ES_tradnl"/>
        </w:rPr>
        <w:t xml:space="preserve">Evaluación de </w:t>
      </w:r>
      <w:proofErr w:type="spellStart"/>
      <w:r w:rsidRPr="004055B7">
        <w:rPr>
          <w:i/>
          <w:szCs w:val="24"/>
          <w:lang w:val="es-ES_tradnl"/>
        </w:rPr>
        <w:t>submuestras</w:t>
      </w:r>
      <w:proofErr w:type="spellEnd"/>
      <w:r w:rsidRPr="004055B7">
        <w:rPr>
          <w:i/>
          <w:szCs w:val="24"/>
          <w:lang w:val="es-ES_tradnl"/>
        </w:rPr>
        <w:t xml:space="preserve"> en un único examen o ensayo</w:t>
      </w:r>
      <w:r w:rsidRPr="00BC440A">
        <w:rPr>
          <w:i/>
          <w:szCs w:val="24"/>
          <w:lang w:val="es-ES_tradnl"/>
        </w:rPr>
        <w:t xml:space="preserve"> </w:t>
      </w:r>
    </w:p>
    <w:p w:rsidR="00292EB9" w:rsidRPr="00BC440A" w:rsidRDefault="00292EB9" w:rsidP="00183337">
      <w:pPr>
        <w:snapToGrid w:val="0"/>
        <w:ind w:left="567"/>
        <w:jc w:val="left"/>
        <w:rPr>
          <w:i/>
          <w:szCs w:val="24"/>
          <w:lang w:val="es-ES_tradnl"/>
        </w:rPr>
      </w:pPr>
    </w:p>
    <w:p w:rsidR="00292EB9" w:rsidRPr="00BC440A" w:rsidRDefault="00292EB9" w:rsidP="00183337">
      <w:pPr>
        <w:snapToGrid w:val="0"/>
        <w:ind w:left="567" w:firstLine="273"/>
        <w:jc w:val="left"/>
        <w:rPr>
          <w:i/>
          <w:szCs w:val="24"/>
          <w:lang w:val="es-ES_tradnl"/>
        </w:rPr>
      </w:pPr>
      <w:r w:rsidRPr="004055B7">
        <w:rPr>
          <w:szCs w:val="24"/>
          <w:lang w:val="es-ES_tradnl"/>
        </w:rPr>
        <w:t>Método</w:t>
      </w:r>
      <w:proofErr w:type="gramStart"/>
      <w:r w:rsidRPr="004055B7">
        <w:rPr>
          <w:i/>
          <w:szCs w:val="24"/>
          <w:lang w:val="es-ES_tradnl"/>
        </w:rPr>
        <w:t>:</w:t>
      </w:r>
      <w:r w:rsidRPr="00BC440A">
        <w:rPr>
          <w:i/>
          <w:szCs w:val="24"/>
          <w:lang w:val="es-ES_tradnl"/>
        </w:rPr>
        <w:t xml:space="preserve"> </w:t>
      </w:r>
      <w:r w:rsidRPr="00BC440A">
        <w:rPr>
          <w:szCs w:val="24"/>
          <w:lang w:val="es-ES_tradnl"/>
        </w:rPr>
        <w:t xml:space="preserve"> </w:t>
      </w:r>
      <w:proofErr w:type="spellStart"/>
      <w:r w:rsidRPr="00CD127F">
        <w:rPr>
          <w:szCs w:val="24"/>
          <w:lang w:val="es-ES_tradnl"/>
        </w:rPr>
        <w:t>Submuestra</w:t>
      </w:r>
      <w:proofErr w:type="spellEnd"/>
      <w:proofErr w:type="gramEnd"/>
      <w:r w:rsidRPr="00CD127F">
        <w:rPr>
          <w:szCs w:val="24"/>
          <w:lang w:val="es-ES_tradnl"/>
        </w:rPr>
        <w:t xml:space="preserve"> como primera etapa de la evaluación</w:t>
      </w:r>
      <w:r w:rsidRPr="00BC440A">
        <w:rPr>
          <w:szCs w:val="24"/>
          <w:lang w:val="es-ES_tradnl"/>
        </w:rPr>
        <w:t xml:space="preserve"> </w:t>
      </w:r>
    </w:p>
    <w:p w:rsidR="00292EB9" w:rsidRPr="00BC440A" w:rsidRDefault="00292EB9" w:rsidP="00183337">
      <w:pPr>
        <w:snapToGrid w:val="0"/>
        <w:jc w:val="left"/>
        <w:rPr>
          <w:szCs w:val="24"/>
          <w:lang w:val="es-ES_tradnl"/>
        </w:rPr>
      </w:pPr>
    </w:p>
    <w:p w:rsidR="00292EB9" w:rsidRPr="00BC440A" w:rsidRDefault="00292EB9" w:rsidP="00183337">
      <w:pPr>
        <w:rPr>
          <w:lang w:val="es-ES_tradnl"/>
        </w:rPr>
      </w:pPr>
      <w:r w:rsidRPr="00654E37">
        <w:fldChar w:fldCharType="begin"/>
      </w:r>
      <w:r w:rsidRPr="00BC440A">
        <w:rPr>
          <w:lang w:val="es-ES_tradnl"/>
        </w:rPr>
        <w:instrText xml:space="preserve"> AUTONUM  </w:instrText>
      </w:r>
      <w:r w:rsidRPr="00654E37">
        <w:fldChar w:fldCharType="end"/>
      </w:r>
      <w:r w:rsidRPr="00BC440A">
        <w:rPr>
          <w:lang w:val="es-ES_tradnl"/>
        </w:rPr>
        <w:tab/>
      </w:r>
      <w:r w:rsidRPr="00CD127F">
        <w:rPr>
          <w:lang w:val="es-ES_tradnl"/>
        </w:rPr>
        <w:t xml:space="preserve">El resumen de los Anexos I a IV atañe únicamente a situaciones en que más de una muestra, o una </w:t>
      </w:r>
      <w:proofErr w:type="spellStart"/>
      <w:r w:rsidRPr="00CD127F">
        <w:rPr>
          <w:lang w:val="es-ES_tradnl"/>
        </w:rPr>
        <w:t>submuestra</w:t>
      </w:r>
      <w:proofErr w:type="spellEnd"/>
      <w:r w:rsidRPr="00CD127F">
        <w:rPr>
          <w:lang w:val="es-ES_tradnl"/>
        </w:rPr>
        <w:t>, corresponden al examen del mismo carácter.</w:t>
      </w:r>
      <w:r w:rsidRPr="00BC440A">
        <w:rPr>
          <w:lang w:val="es-ES_tradnl"/>
        </w:rPr>
        <w:t xml:space="preserve">  </w:t>
      </w:r>
      <w:r w:rsidRPr="00CD127F">
        <w:rPr>
          <w:lang w:val="es-ES_tradnl"/>
        </w:rPr>
        <w:t xml:space="preserve">En el caso de diferentes muestras o </w:t>
      </w:r>
      <w:proofErr w:type="spellStart"/>
      <w:r w:rsidRPr="00CD127F">
        <w:rPr>
          <w:lang w:val="es-ES_tradnl"/>
        </w:rPr>
        <w:t>submuestras</w:t>
      </w:r>
      <w:proofErr w:type="spellEnd"/>
      <w:r w:rsidRPr="00CD127F">
        <w:rPr>
          <w:lang w:val="es-ES_tradnl"/>
        </w:rPr>
        <w:t xml:space="preserve"> (por ejemplo, un ensayo especial), para examinar un carácter diferente no se exige combinar los resultados, ya que una variedad debe ser homogénea para todos los caracteres pertinentes.</w:t>
      </w:r>
    </w:p>
    <w:p w:rsidR="00292EB9" w:rsidRPr="00BC440A" w:rsidRDefault="00292EB9" w:rsidP="00183337">
      <w:pPr>
        <w:jc w:val="left"/>
        <w:rPr>
          <w:szCs w:val="24"/>
          <w:lang w:val="es-ES_tradnl"/>
        </w:rPr>
      </w:pPr>
    </w:p>
    <w:p w:rsidR="00292EB9" w:rsidRPr="00BC440A" w:rsidRDefault="00292EB9" w:rsidP="007814EC">
      <w:pPr>
        <w:pStyle w:val="DecisionParagraphs"/>
        <w:tabs>
          <w:tab w:val="left" w:pos="5954"/>
        </w:tabs>
        <w:rPr>
          <w:lang w:val="es-ES_tradnl"/>
        </w:rPr>
      </w:pPr>
      <w:r>
        <w:fldChar w:fldCharType="begin"/>
      </w:r>
      <w:r w:rsidRPr="00BC440A">
        <w:rPr>
          <w:lang w:val="es-ES_tradnl"/>
        </w:rPr>
        <w:instrText xml:space="preserve"> AUTONUM  </w:instrText>
      </w:r>
      <w:r>
        <w:fldChar w:fldCharType="end"/>
      </w:r>
      <w:r w:rsidRPr="00BC440A">
        <w:rPr>
          <w:lang w:val="es-ES_tradnl"/>
        </w:rPr>
        <w:tab/>
      </w:r>
      <w:r w:rsidRPr="004055B7">
        <w:rPr>
          <w:lang w:val="es-ES_tradnl"/>
        </w:rPr>
        <w:t>Se invita al TC a:</w:t>
      </w:r>
      <w:r w:rsidRPr="00BC440A">
        <w:rPr>
          <w:lang w:val="es-ES_tradnl"/>
        </w:rPr>
        <w:t xml:space="preserve"> </w:t>
      </w:r>
    </w:p>
    <w:p w:rsidR="00292EB9" w:rsidRPr="00BC440A" w:rsidRDefault="00292EB9" w:rsidP="007814EC">
      <w:pPr>
        <w:pStyle w:val="DecisionParagraphs"/>
        <w:tabs>
          <w:tab w:val="left" w:pos="5954"/>
        </w:tabs>
        <w:rPr>
          <w:lang w:val="es-ES_tradnl"/>
        </w:rPr>
      </w:pPr>
    </w:p>
    <w:p w:rsidR="00292EB9" w:rsidRPr="00BC440A" w:rsidRDefault="007814EC" w:rsidP="007814EC">
      <w:pPr>
        <w:pStyle w:val="DecisionParagraphs"/>
        <w:tabs>
          <w:tab w:val="left" w:pos="5954"/>
        </w:tabs>
        <w:rPr>
          <w:lang w:val="es-ES_tradnl"/>
        </w:rPr>
      </w:pPr>
      <w:r>
        <w:rPr>
          <w:lang w:val="es-ES_tradnl"/>
        </w:rPr>
        <w:tab/>
      </w:r>
      <w:r w:rsidR="00292EB9" w:rsidRPr="004055B7">
        <w:rPr>
          <w:lang w:val="es-ES_tradnl"/>
        </w:rPr>
        <w:t>a)</w:t>
      </w:r>
      <w:r w:rsidR="00292EB9" w:rsidRPr="00BC440A">
        <w:rPr>
          <w:lang w:val="es-ES_tradnl"/>
        </w:rPr>
        <w:tab/>
      </w:r>
      <w:proofErr w:type="gramStart"/>
      <w:r w:rsidR="00292EB9" w:rsidRPr="00CD127F">
        <w:rPr>
          <w:lang w:val="es-ES_tradnl"/>
        </w:rPr>
        <w:t>tomar</w:t>
      </w:r>
      <w:proofErr w:type="gramEnd"/>
      <w:r w:rsidR="00292EB9" w:rsidRPr="00CD127F">
        <w:rPr>
          <w:lang w:val="es-ES_tradnl"/>
        </w:rPr>
        <w:t xml:space="preserve"> nota de que el TWC ha propuesto proporcionar, en su sesión de 2014, más información y análisis sobre las consecuencias de la utilización de los métodos que se presentan en las situaciones A, B, C y D, como se indica en el párrafo 33;</w:t>
      </w:r>
    </w:p>
    <w:p w:rsidR="00292EB9" w:rsidRPr="00BC440A" w:rsidRDefault="00292EB9" w:rsidP="007814EC">
      <w:pPr>
        <w:pStyle w:val="DecisionParagraphs"/>
        <w:tabs>
          <w:tab w:val="left" w:pos="5954"/>
        </w:tabs>
        <w:rPr>
          <w:lang w:val="es-ES_tradnl"/>
        </w:rPr>
      </w:pPr>
    </w:p>
    <w:p w:rsidR="00292EB9" w:rsidRPr="00BC440A" w:rsidRDefault="007814EC" w:rsidP="007814EC">
      <w:pPr>
        <w:pStyle w:val="DecisionParagraphs"/>
        <w:tabs>
          <w:tab w:val="left" w:pos="5954"/>
        </w:tabs>
        <w:rPr>
          <w:lang w:val="es-ES_tradnl"/>
        </w:rPr>
      </w:pPr>
      <w:r>
        <w:rPr>
          <w:lang w:val="es-ES_tradnl"/>
        </w:rPr>
        <w:tab/>
      </w:r>
      <w:r w:rsidR="00292EB9" w:rsidRPr="004055B7">
        <w:rPr>
          <w:lang w:val="es-ES_tradnl"/>
        </w:rPr>
        <w:t>b)</w:t>
      </w:r>
      <w:r w:rsidR="00292EB9" w:rsidRPr="00BC440A">
        <w:rPr>
          <w:lang w:val="es-ES_tradnl"/>
        </w:rPr>
        <w:tab/>
      </w:r>
      <w:r w:rsidR="00292EB9" w:rsidRPr="00CD127F">
        <w:rPr>
          <w:lang w:val="es-ES_tradnl"/>
        </w:rPr>
        <w:t>tomar nota de que el TWC ha propuesto seguir examinando, en su sesión de 2014, las bases estadísticas del número aceptable de plantas fuera de tipo en la situación D, como se indica en los párrafos 34 y 35;</w:t>
      </w:r>
    </w:p>
    <w:p w:rsidR="00292EB9" w:rsidRPr="00BC440A" w:rsidRDefault="00292EB9" w:rsidP="007814EC">
      <w:pPr>
        <w:pStyle w:val="DecisionParagraphs"/>
        <w:tabs>
          <w:tab w:val="left" w:pos="5954"/>
        </w:tabs>
        <w:rPr>
          <w:lang w:val="es-ES_tradnl"/>
        </w:rPr>
      </w:pPr>
    </w:p>
    <w:p w:rsidR="00292EB9" w:rsidRPr="00BC440A" w:rsidRDefault="007814EC" w:rsidP="007814EC">
      <w:pPr>
        <w:pStyle w:val="DecisionParagraphs"/>
        <w:tabs>
          <w:tab w:val="left" w:pos="5954"/>
        </w:tabs>
        <w:rPr>
          <w:rFonts w:cs="Arial"/>
          <w:lang w:val="es-ES_tradnl"/>
        </w:rPr>
      </w:pPr>
      <w:r>
        <w:rPr>
          <w:lang w:val="es-ES_tradnl"/>
        </w:rPr>
        <w:tab/>
      </w:r>
      <w:r w:rsidR="00292EB9" w:rsidRPr="004055B7">
        <w:rPr>
          <w:lang w:val="es-ES_tradnl"/>
        </w:rPr>
        <w:t>c)</w:t>
      </w:r>
      <w:r w:rsidR="00292EB9" w:rsidRPr="00BC440A">
        <w:rPr>
          <w:lang w:val="es-ES_tradnl"/>
        </w:rPr>
        <w:tab/>
      </w:r>
      <w:r w:rsidR="00292EB9" w:rsidRPr="00CD127F">
        <w:rPr>
          <w:lang w:val="es-ES_tradnl"/>
        </w:rPr>
        <w:t>considerar si han de elaborarse orientaciones para las situaciones A, B, C y D del documento TGP/10</w:t>
      </w:r>
      <w:r w:rsidR="00292EB9" w:rsidRPr="00CD127F">
        <w:rPr>
          <w:rFonts w:cs="Arial"/>
          <w:bCs/>
          <w:snapToGrid w:val="0"/>
          <w:color w:val="000000"/>
          <w:lang w:val="es-ES_tradnl"/>
        </w:rPr>
        <w:t>, según se exponen en los Anexos I a IV del presente documento,</w:t>
      </w:r>
      <w:r w:rsidR="00292EB9" w:rsidRPr="00CD127F">
        <w:rPr>
          <w:lang w:val="es-ES_tradnl"/>
        </w:rPr>
        <w:t xml:space="preserve"> y, en el caso de las situaciones A y B, si las orientaciones han de elaborarse a partir de uno de los métodos o de ambos;</w:t>
      </w:r>
      <w:r w:rsidR="00292EB9" w:rsidRPr="00BC440A">
        <w:rPr>
          <w:lang w:val="es-ES_tradnl"/>
        </w:rPr>
        <w:t xml:space="preserve">  </w:t>
      </w:r>
      <w:r w:rsidR="00292EB9" w:rsidRPr="004055B7">
        <w:rPr>
          <w:lang w:val="es-ES_tradnl"/>
        </w:rPr>
        <w:t>y</w:t>
      </w:r>
    </w:p>
    <w:p w:rsidR="00292EB9" w:rsidRPr="00BC440A" w:rsidRDefault="00292EB9" w:rsidP="007814EC">
      <w:pPr>
        <w:pStyle w:val="DecisionParagraphs"/>
        <w:tabs>
          <w:tab w:val="left" w:pos="5954"/>
        </w:tabs>
        <w:rPr>
          <w:rFonts w:cs="Arial"/>
          <w:lang w:val="es-ES_tradnl"/>
        </w:rPr>
      </w:pPr>
    </w:p>
    <w:p w:rsidR="00292EB9" w:rsidRPr="00BC440A" w:rsidRDefault="007814EC" w:rsidP="007814EC">
      <w:pPr>
        <w:pStyle w:val="DecisionParagraphs"/>
        <w:tabs>
          <w:tab w:val="left" w:pos="5954"/>
        </w:tabs>
        <w:rPr>
          <w:rFonts w:cs="Arial"/>
          <w:lang w:val="es-ES_tradnl"/>
        </w:rPr>
      </w:pPr>
      <w:r>
        <w:rPr>
          <w:lang w:val="es-ES_tradnl"/>
        </w:rPr>
        <w:tab/>
      </w:r>
      <w:r w:rsidR="00292EB9" w:rsidRPr="004055B7">
        <w:rPr>
          <w:lang w:val="es-ES_tradnl"/>
        </w:rPr>
        <w:t>d)</w:t>
      </w:r>
      <w:r w:rsidR="00292EB9" w:rsidRPr="00BC440A">
        <w:rPr>
          <w:lang w:val="es-ES_tradnl"/>
        </w:rPr>
        <w:tab/>
      </w:r>
      <w:r w:rsidR="00292EB9" w:rsidRPr="00CD127F">
        <w:rPr>
          <w:lang w:val="es-ES_tradnl"/>
        </w:rPr>
        <w:t>considerar si debe suprimirse el método de la situación C, que se recoge en el Anexo III del presente documento.</w:t>
      </w:r>
    </w:p>
    <w:p w:rsidR="00292EB9" w:rsidRPr="00BC440A" w:rsidRDefault="00292EB9" w:rsidP="003232C8">
      <w:pPr>
        <w:pStyle w:val="ListParagraph"/>
        <w:rPr>
          <w:rFonts w:cs="Arial"/>
          <w:lang w:val="es-ES_tradnl"/>
        </w:rPr>
      </w:pPr>
    </w:p>
    <w:p w:rsidR="00292EB9" w:rsidRPr="00BC440A" w:rsidRDefault="00292EB9" w:rsidP="00183337">
      <w:pPr>
        <w:jc w:val="right"/>
        <w:rPr>
          <w:lang w:val="es-ES_tradnl"/>
        </w:rPr>
      </w:pPr>
    </w:p>
    <w:p w:rsidR="00292EB9" w:rsidRPr="00BC440A" w:rsidRDefault="00292EB9" w:rsidP="00183337">
      <w:pPr>
        <w:jc w:val="right"/>
        <w:rPr>
          <w:lang w:val="es-ES_tradnl"/>
        </w:rPr>
      </w:pPr>
    </w:p>
    <w:p w:rsidR="00292EB9" w:rsidRDefault="00292EB9" w:rsidP="00183337">
      <w:pPr>
        <w:jc w:val="right"/>
      </w:pPr>
      <w:r w:rsidRPr="004055B7">
        <w:rPr>
          <w:lang w:val="es-ES_tradnl"/>
        </w:rPr>
        <w:t>[Siguen los Anexos]</w:t>
      </w:r>
    </w:p>
    <w:p w:rsidR="00292EB9" w:rsidRDefault="00292EB9" w:rsidP="00183337">
      <w:pPr>
        <w:rPr>
          <w:snapToGrid w:val="0"/>
        </w:rPr>
        <w:sectPr w:rsidR="00292EB9" w:rsidSect="00906DDC">
          <w:headerReference w:type="default" r:id="rId10"/>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292EB9" w:rsidRPr="00BC440A" w:rsidTr="003672CD">
        <w:tc>
          <w:tcPr>
            <w:tcW w:w="9889" w:type="dxa"/>
          </w:tcPr>
          <w:p w:rsidR="00292EB9" w:rsidRPr="00BC440A" w:rsidRDefault="00292EB9" w:rsidP="00CD127F">
            <w:pPr>
              <w:autoSpaceDE w:val="0"/>
              <w:autoSpaceDN w:val="0"/>
              <w:adjustRightInd w:val="0"/>
              <w:spacing w:before="120" w:after="120"/>
              <w:jc w:val="center"/>
              <w:rPr>
                <w:rFonts w:eastAsia="SimSun"/>
                <w:szCs w:val="24"/>
                <w:lang w:val="es-ES_tradnl" w:eastAsia="zh-CN"/>
              </w:rPr>
            </w:pPr>
            <w:r w:rsidRPr="004055B7">
              <w:rPr>
                <w:rFonts w:eastAsia="SimSun"/>
                <w:szCs w:val="24"/>
                <w:lang w:val="es-ES_tradnl" w:eastAsia="zh-CN"/>
              </w:rPr>
              <w:t>SITUACIÓN A:</w:t>
            </w:r>
            <w:r w:rsidRPr="00BC440A">
              <w:rPr>
                <w:rFonts w:eastAsia="SimSun"/>
                <w:szCs w:val="24"/>
                <w:lang w:val="es-ES_tradnl" w:eastAsia="zh-CN"/>
              </w:rPr>
              <w:t xml:space="preserve">  </w:t>
            </w:r>
            <w:r w:rsidRPr="004055B7">
              <w:rPr>
                <w:rFonts w:eastAsia="SimSun"/>
                <w:szCs w:val="24"/>
                <w:lang w:val="es-ES_tradnl" w:eastAsia="zh-CN"/>
              </w:rPr>
              <w:t>DOS CICLOS DE CULTIVO EN UN SOLO LUGAR</w:t>
            </w:r>
          </w:p>
        </w:tc>
      </w:tr>
      <w:tr w:rsidR="00292EB9" w:rsidRPr="00ED3415" w:rsidTr="003672CD">
        <w:tc>
          <w:tcPr>
            <w:tcW w:w="9889" w:type="dxa"/>
          </w:tcPr>
          <w:p w:rsidR="00292EB9" w:rsidRPr="00BC440A" w:rsidRDefault="00292EB9" w:rsidP="00183337">
            <w:pPr>
              <w:rPr>
                <w:b/>
                <w:szCs w:val="24"/>
                <w:lang w:val="es-ES_tradnl"/>
              </w:rPr>
            </w:pPr>
          </w:p>
          <w:p w:rsidR="00292EB9" w:rsidRPr="00BC440A" w:rsidRDefault="00292EB9" w:rsidP="00183337">
            <w:pPr>
              <w:rPr>
                <w:b/>
                <w:szCs w:val="24"/>
                <w:lang w:val="es-ES_tradnl"/>
              </w:rPr>
            </w:pPr>
            <w:r w:rsidRPr="004055B7">
              <w:rPr>
                <w:b/>
                <w:szCs w:val="24"/>
                <w:lang w:val="es-ES_tradnl"/>
              </w:rPr>
              <w:t>Método 1:</w:t>
            </w:r>
            <w:r w:rsidRPr="00BC440A">
              <w:rPr>
                <w:b/>
                <w:szCs w:val="24"/>
                <w:lang w:val="es-ES_tradnl"/>
              </w:rPr>
              <w:t xml:space="preserve">  </w:t>
            </w:r>
            <w:r w:rsidRPr="004055B7">
              <w:rPr>
                <w:b/>
                <w:szCs w:val="24"/>
                <w:lang w:val="es-ES_tradnl"/>
              </w:rPr>
              <w:t>Tercer ciclo de cultivo en el caso de resultados contradictorios</w:t>
            </w:r>
            <w:r w:rsidRPr="00BC440A">
              <w:rPr>
                <w:b/>
                <w:szCs w:val="24"/>
                <w:lang w:val="es-ES_tradnl"/>
              </w:rPr>
              <w:t xml:space="preserve"> </w:t>
            </w:r>
          </w:p>
          <w:p w:rsidR="00292EB9" w:rsidRPr="00BC440A" w:rsidRDefault="00292EB9" w:rsidP="00183337">
            <w:pPr>
              <w:rPr>
                <w:b/>
                <w:szCs w:val="24"/>
                <w:lang w:val="es-ES_tradnl"/>
              </w:rPr>
            </w:pPr>
          </w:p>
          <w:p w:rsidR="00292EB9" w:rsidRPr="00BC440A" w:rsidRDefault="00292EB9" w:rsidP="00183337">
            <w:pPr>
              <w:rPr>
                <w:rFonts w:eastAsia="SimSun"/>
                <w:szCs w:val="24"/>
                <w:lang w:val="es-ES_tradnl" w:eastAsia="zh-CN"/>
              </w:rPr>
            </w:pPr>
            <w:r w:rsidRPr="004055B7">
              <w:rPr>
                <w:rFonts w:eastAsia="SimSun"/>
                <w:szCs w:val="24"/>
                <w:lang w:val="es-ES_tradnl" w:eastAsia="zh-CN"/>
              </w:rPr>
              <w:t>Se considera que una variedad es homogénea si cumple el estándar de homogeneidad en ambos ciclos de cultivo.</w:t>
            </w:r>
          </w:p>
          <w:p w:rsidR="00292EB9" w:rsidRPr="00BC440A" w:rsidRDefault="00292EB9" w:rsidP="00183337">
            <w:pPr>
              <w:rPr>
                <w:rFonts w:eastAsia="SimSun"/>
                <w:szCs w:val="24"/>
                <w:lang w:val="es-ES_tradnl" w:eastAsia="zh-CN"/>
              </w:rPr>
            </w:pPr>
          </w:p>
          <w:p w:rsidR="00292EB9" w:rsidRPr="00BC440A" w:rsidRDefault="00292EB9" w:rsidP="00183337">
            <w:pPr>
              <w:rPr>
                <w:rFonts w:eastAsia="SimSun"/>
                <w:szCs w:val="24"/>
                <w:lang w:val="es-ES_tradnl" w:eastAsia="zh-CN"/>
              </w:rPr>
            </w:pPr>
            <w:r w:rsidRPr="004055B7">
              <w:rPr>
                <w:rFonts w:eastAsia="SimSun"/>
                <w:szCs w:val="24"/>
                <w:lang w:val="es-ES_tradnl" w:eastAsia="zh-CN"/>
              </w:rPr>
              <w:t>Se considera que una variedad no es homogénea si no cumple el estándar de homogeneidad en ambos ciclos de cultivo.</w:t>
            </w:r>
          </w:p>
          <w:p w:rsidR="00292EB9" w:rsidRPr="00BC440A" w:rsidRDefault="00292EB9" w:rsidP="00183337">
            <w:pPr>
              <w:rPr>
                <w:rFonts w:eastAsia="SimSun"/>
                <w:szCs w:val="24"/>
                <w:lang w:val="es-ES_tradnl" w:eastAsia="zh-CN"/>
              </w:rPr>
            </w:pPr>
          </w:p>
          <w:p w:rsidR="00292EB9" w:rsidRPr="00BC440A" w:rsidRDefault="00292EB9" w:rsidP="00183337">
            <w:pPr>
              <w:keepNext/>
              <w:keepLines/>
              <w:rPr>
                <w:rFonts w:eastAsia="SimSun"/>
                <w:szCs w:val="24"/>
                <w:lang w:val="es-ES_tradnl" w:eastAsia="zh-CN"/>
              </w:rPr>
            </w:pPr>
            <w:r w:rsidRPr="00CD127F">
              <w:rPr>
                <w:rFonts w:eastAsia="SimSun"/>
                <w:szCs w:val="24"/>
                <w:lang w:val="es-ES_tradnl" w:eastAsia="zh-CN"/>
              </w:rPr>
              <w:t>Si al término de los dos ciclos de cultivo la variedad cumple el estándar de homogeneidad en un ciclo de cultivo pero no lo cumple en el otro ciclo de cultivo, se evalúa la homogeneidad en un tercer ciclo de cultivo tras consultarlo con el solicitante.</w:t>
            </w:r>
            <w:r w:rsidRPr="00BC440A">
              <w:rPr>
                <w:rFonts w:eastAsia="SimSun"/>
                <w:szCs w:val="24"/>
                <w:lang w:val="es-ES_tradnl" w:eastAsia="zh-CN"/>
              </w:rPr>
              <w:t xml:space="preserve">  </w:t>
            </w:r>
            <w:r w:rsidRPr="004055B7">
              <w:rPr>
                <w:rFonts w:eastAsia="SimSun"/>
                <w:szCs w:val="24"/>
                <w:lang w:val="es-ES_tradnl" w:eastAsia="zh-CN"/>
              </w:rPr>
              <w:t>Si en el tercer ciclo de cultivo la variedad cumple el estándar de homogeneidad, la variedad se considerará homogénea.</w:t>
            </w:r>
            <w:r w:rsidRPr="00BC440A">
              <w:rPr>
                <w:rFonts w:eastAsia="SimSun"/>
                <w:szCs w:val="24"/>
                <w:lang w:val="es-ES_tradnl" w:eastAsia="zh-CN"/>
              </w:rPr>
              <w:t xml:space="preserve">  </w:t>
            </w:r>
            <w:r w:rsidRPr="00CD127F">
              <w:rPr>
                <w:rFonts w:eastAsia="SimSun"/>
                <w:szCs w:val="24"/>
                <w:lang w:val="es-ES_tradnl" w:eastAsia="zh-CN"/>
              </w:rPr>
              <w:t>Si al término del tercer ciclo de cultivo la variedad no cumple el estándar de homogeneidad, la variedad se considerará no homogénea.</w:t>
            </w:r>
          </w:p>
          <w:p w:rsidR="00292EB9" w:rsidRPr="00BC440A" w:rsidRDefault="00292EB9" w:rsidP="00183337">
            <w:pPr>
              <w:keepNext/>
              <w:keepLines/>
              <w:rPr>
                <w:color w:val="000000"/>
                <w:szCs w:val="24"/>
                <w:lang w:val="es-ES_tradnl"/>
              </w:rPr>
            </w:pPr>
          </w:p>
          <w:p w:rsidR="00292EB9" w:rsidRPr="00BC440A" w:rsidRDefault="00292EB9" w:rsidP="00183337">
            <w:pPr>
              <w:keepNext/>
              <w:keepLines/>
              <w:rPr>
                <w:rFonts w:eastAsia="SimSun"/>
                <w:szCs w:val="24"/>
                <w:lang w:val="es-ES_tradnl" w:eastAsia="zh-CN"/>
              </w:rPr>
            </w:pPr>
            <w:r w:rsidRPr="00CD127F">
              <w:rPr>
                <w:color w:val="000000"/>
                <w:szCs w:val="24"/>
                <w:lang w:val="es-ES_tradnl"/>
              </w:rPr>
              <w:t>Es preciso poner cuidado al examinar resultados que sean muy diferentes en cada uno de los ciclos de cultivo, por ejemplo cuando se observe una gran abundancia de plantas fuera de tipo en un ciclo de cultivo y su ausencia en otro ciclo.</w:t>
            </w:r>
          </w:p>
          <w:p w:rsidR="00292EB9" w:rsidRPr="00BC440A" w:rsidRDefault="00292EB9" w:rsidP="00183337">
            <w:pPr>
              <w:keepNext/>
              <w:keepLines/>
              <w:rPr>
                <w:rFonts w:eastAsia="SimSun"/>
                <w:szCs w:val="24"/>
                <w:lang w:val="es-ES_tradnl" w:eastAsia="zh-CN"/>
              </w:rPr>
            </w:pPr>
          </w:p>
          <w:p w:rsidR="00292EB9" w:rsidRPr="00BC440A" w:rsidRDefault="00292EB9" w:rsidP="00183337">
            <w:pPr>
              <w:keepNext/>
              <w:keepLines/>
              <w:rPr>
                <w:rFonts w:eastAsia="SimSun"/>
                <w:szCs w:val="24"/>
                <w:lang w:val="es-ES_tradnl" w:eastAsia="zh-CN"/>
              </w:rPr>
            </w:pPr>
          </w:p>
          <w:p w:rsidR="00292EB9" w:rsidRPr="00BC440A" w:rsidRDefault="00292EB9" w:rsidP="00183337">
            <w:pPr>
              <w:rPr>
                <w:b/>
                <w:szCs w:val="24"/>
                <w:lang w:val="es-ES_tradnl"/>
              </w:rPr>
            </w:pPr>
            <w:r w:rsidRPr="004055B7">
              <w:rPr>
                <w:b/>
                <w:szCs w:val="24"/>
                <w:lang w:val="es-ES_tradnl"/>
              </w:rPr>
              <w:t>Método 2:</w:t>
            </w:r>
            <w:r w:rsidRPr="00BC440A">
              <w:rPr>
                <w:b/>
                <w:szCs w:val="24"/>
                <w:lang w:val="es-ES_tradnl"/>
              </w:rPr>
              <w:t xml:space="preserve">  </w:t>
            </w:r>
            <w:r w:rsidRPr="004055B7">
              <w:rPr>
                <w:b/>
                <w:szCs w:val="24"/>
                <w:lang w:val="es-ES_tradnl"/>
              </w:rPr>
              <w:t>Combinar los resultados de dos ciclos de cultivo</w:t>
            </w:r>
          </w:p>
          <w:p w:rsidR="00292EB9" w:rsidRPr="00BC440A" w:rsidRDefault="00292EB9" w:rsidP="00183337">
            <w:pPr>
              <w:keepNext/>
              <w:keepLines/>
              <w:rPr>
                <w:rFonts w:eastAsia="MS Mincho"/>
                <w:color w:val="000000"/>
                <w:lang w:val="es-ES_tradnl" w:eastAsia="ja-JP"/>
              </w:rPr>
            </w:pPr>
          </w:p>
          <w:p w:rsidR="00292EB9" w:rsidRPr="00BC440A" w:rsidRDefault="00292EB9" w:rsidP="00183337">
            <w:pPr>
              <w:rPr>
                <w:rFonts w:eastAsia="SimSun"/>
                <w:lang w:val="es-ES_tradnl" w:eastAsia="zh-CN"/>
              </w:rPr>
            </w:pPr>
            <w:r w:rsidRPr="004055B7">
              <w:rPr>
                <w:rFonts w:eastAsia="SimSun"/>
                <w:lang w:val="es-ES_tradnl" w:eastAsia="zh-CN"/>
              </w:rPr>
              <w:t>Se considera que una variedad es homogénea si cumple el estándar de homogeneidad en ambos ciclos de cultivo.</w:t>
            </w:r>
          </w:p>
          <w:p w:rsidR="00292EB9" w:rsidRPr="00BC440A" w:rsidRDefault="00292EB9" w:rsidP="00183337">
            <w:pPr>
              <w:rPr>
                <w:rFonts w:eastAsia="SimSun"/>
                <w:lang w:val="es-ES_tradnl" w:eastAsia="zh-CN"/>
              </w:rPr>
            </w:pPr>
          </w:p>
          <w:p w:rsidR="00292EB9" w:rsidRPr="00BC440A" w:rsidRDefault="00292EB9" w:rsidP="00183337">
            <w:pPr>
              <w:rPr>
                <w:rFonts w:eastAsia="SimSun"/>
                <w:lang w:val="es-ES_tradnl" w:eastAsia="zh-CN"/>
              </w:rPr>
            </w:pPr>
            <w:r w:rsidRPr="004055B7">
              <w:rPr>
                <w:rFonts w:eastAsia="SimSun"/>
                <w:lang w:val="es-ES_tradnl" w:eastAsia="zh-CN"/>
              </w:rPr>
              <w:t>Se considera que una variedad no es homogénea si no cumple el estándar de homogeneidad en ambos ciclos de cultivo.</w:t>
            </w:r>
          </w:p>
          <w:p w:rsidR="00292EB9" w:rsidRPr="00BC440A" w:rsidRDefault="00292EB9" w:rsidP="00183337">
            <w:pPr>
              <w:rPr>
                <w:rFonts w:eastAsia="SimSun"/>
                <w:lang w:val="es-ES_tradnl" w:eastAsia="zh-CN"/>
              </w:rPr>
            </w:pPr>
          </w:p>
          <w:p w:rsidR="00292EB9" w:rsidRPr="00BC440A" w:rsidRDefault="00292EB9" w:rsidP="00183337">
            <w:pPr>
              <w:keepNext/>
              <w:keepLines/>
              <w:rPr>
                <w:rFonts w:eastAsia="SimSun"/>
                <w:lang w:val="es-ES_tradnl" w:eastAsia="zh-CN"/>
              </w:rPr>
            </w:pPr>
            <w:r w:rsidRPr="00CD127F">
              <w:rPr>
                <w:rFonts w:eastAsia="SimSun"/>
                <w:lang w:val="es-ES_tradnl" w:eastAsia="zh-CN"/>
              </w:rPr>
              <w:t>Si al término de los dos ciclos de cultivo la variedad cumple el estándar de homogeneidad en un ciclo de cultivo pero no cumple el estándar de homogeneidad en el otro ciclo de cultivo, se considera que la variedad es homogénea si el número total de plantas fuera de tipo al término de los dos ciclos de cultivo no supera el número permitido de plantas fuera de tipo en una muestra combinada.</w:t>
            </w:r>
          </w:p>
          <w:p w:rsidR="00292EB9" w:rsidRPr="00BC440A" w:rsidRDefault="00292EB9" w:rsidP="00183337">
            <w:pPr>
              <w:keepNext/>
              <w:keepLines/>
              <w:ind w:right="459"/>
              <w:rPr>
                <w:rFonts w:eastAsia="SimSun"/>
                <w:lang w:val="es-ES_tradnl" w:eastAsia="zh-CN"/>
              </w:rPr>
            </w:pPr>
          </w:p>
          <w:p w:rsidR="00292EB9" w:rsidRPr="00BC440A" w:rsidRDefault="00292EB9" w:rsidP="00183337">
            <w:pPr>
              <w:keepNext/>
              <w:keepLines/>
              <w:rPr>
                <w:rFonts w:eastAsia="SimSun"/>
                <w:lang w:val="es-ES_tradnl" w:eastAsia="zh-CN"/>
              </w:rPr>
            </w:pPr>
            <w:r w:rsidRPr="004055B7">
              <w:rPr>
                <w:rFonts w:eastAsia="SimSun"/>
                <w:lang w:val="es-ES_tradnl" w:eastAsia="zh-CN"/>
              </w:rPr>
              <w:t>Es preciso poner cuidado al examinar resultados que sean muy diferentes en cada uno de los ciclos de cultivo, por ejemplo cuando se observe una gran abundancia de plantas fuera de tipo en un ciclo de cultivo y su ausencia en otro ciclo.</w:t>
            </w:r>
          </w:p>
          <w:p w:rsidR="00292EB9" w:rsidRDefault="00292EB9" w:rsidP="00183337">
            <w:pPr>
              <w:rPr>
                <w:szCs w:val="24"/>
              </w:rPr>
            </w:pPr>
            <w:r>
              <w:rPr>
                <w:color w:val="000000"/>
                <w:szCs w:val="24"/>
              </w:rPr>
              <w:t>______________________________________________________________________________________</w:t>
            </w:r>
          </w:p>
          <w:p w:rsidR="00292EB9" w:rsidRDefault="00292EB9" w:rsidP="00183337">
            <w:pPr>
              <w:rPr>
                <w:szCs w:val="24"/>
              </w:rPr>
            </w:pPr>
          </w:p>
          <w:p w:rsidR="00292EB9" w:rsidRPr="00BD2498" w:rsidRDefault="00292EB9" w:rsidP="00183337">
            <w:pPr>
              <w:rPr>
                <w:szCs w:val="24"/>
              </w:rPr>
            </w:pPr>
            <w:r w:rsidRPr="00CD127F">
              <w:rPr>
                <w:szCs w:val="24"/>
                <w:lang w:val="es-ES_tradnl"/>
              </w:rPr>
              <w:t>Ejemplo ilustrativo:</w:t>
            </w:r>
            <w:r w:rsidRPr="00BD2498">
              <w:rPr>
                <w:szCs w:val="24"/>
              </w:rPr>
              <w:t xml:space="preserve"> </w:t>
            </w:r>
          </w:p>
          <w:p w:rsidR="00292EB9" w:rsidRDefault="00292EB9" w:rsidP="00183337">
            <w:pPr>
              <w:rPr>
                <w:szCs w:val="24"/>
              </w:rPr>
            </w:pPr>
          </w:p>
          <w:tbl>
            <w:tblPr>
              <w:tblW w:w="6521" w:type="dxa"/>
              <w:tblInd w:w="1134" w:type="dxa"/>
              <w:tblLayout w:type="fixed"/>
              <w:tblLook w:val="00A0" w:firstRow="1" w:lastRow="0" w:firstColumn="1" w:lastColumn="0" w:noHBand="0" w:noVBand="0"/>
            </w:tblPr>
            <w:tblGrid>
              <w:gridCol w:w="6521"/>
            </w:tblGrid>
            <w:tr w:rsidR="00292EB9" w:rsidRPr="00304612" w:rsidTr="003672CD">
              <w:trPr>
                <w:trHeight w:val="227"/>
              </w:trPr>
              <w:tc>
                <w:tcPr>
                  <w:tcW w:w="6521" w:type="dxa"/>
                  <w:tcBorders>
                    <w:top w:val="nil"/>
                    <w:left w:val="nil"/>
                    <w:bottom w:val="nil"/>
                    <w:right w:val="nil"/>
                  </w:tcBorders>
                  <w:noWrap/>
                  <w:vAlign w:val="bottom"/>
                </w:tcPr>
                <w:p w:rsidR="00292EB9" w:rsidRPr="00304612" w:rsidRDefault="00292EB9" w:rsidP="00183337">
                  <w:pPr>
                    <w:jc w:val="left"/>
                    <w:rPr>
                      <w:rFonts w:cs="Arial"/>
                      <w:color w:val="000000"/>
                    </w:rPr>
                  </w:pPr>
                  <w:r w:rsidRPr="00CD127F">
                    <w:rPr>
                      <w:rFonts w:cs="Arial"/>
                      <w:color w:val="000000"/>
                      <w:lang w:val="es-ES_tradnl"/>
                    </w:rPr>
                    <w:t>Población estándar = 1%</w:t>
                  </w:r>
                  <w:r w:rsidRPr="00304612">
                    <w:rPr>
                      <w:rFonts w:cs="Arial"/>
                      <w:color w:val="000000"/>
                    </w:rPr>
                    <w:t xml:space="preserve">  </w:t>
                  </w:r>
                </w:p>
              </w:tc>
            </w:tr>
            <w:tr w:rsidR="00292EB9" w:rsidRPr="00304612" w:rsidTr="003672CD">
              <w:trPr>
                <w:trHeight w:val="227"/>
              </w:trPr>
              <w:tc>
                <w:tcPr>
                  <w:tcW w:w="6521" w:type="dxa"/>
                  <w:tcBorders>
                    <w:top w:val="nil"/>
                    <w:left w:val="nil"/>
                    <w:bottom w:val="nil"/>
                    <w:right w:val="nil"/>
                  </w:tcBorders>
                  <w:noWrap/>
                  <w:vAlign w:val="bottom"/>
                </w:tcPr>
                <w:p w:rsidR="00292EB9" w:rsidRPr="00304612" w:rsidRDefault="00292EB9" w:rsidP="00183337">
                  <w:pPr>
                    <w:jc w:val="left"/>
                    <w:rPr>
                      <w:rFonts w:cs="Arial"/>
                      <w:color w:val="000000"/>
                    </w:rPr>
                  </w:pPr>
                  <w:r w:rsidRPr="00CD127F">
                    <w:rPr>
                      <w:rFonts w:cs="Arial"/>
                      <w:color w:val="000000"/>
                      <w:lang w:val="es-ES_tradnl"/>
                    </w:rPr>
                    <w:t>Probabilidad de aceptación ≥ 95%</w:t>
                  </w:r>
                </w:p>
              </w:tc>
            </w:tr>
            <w:tr w:rsidR="00292EB9" w:rsidRPr="00BC440A" w:rsidTr="003672CD">
              <w:trPr>
                <w:trHeight w:val="227"/>
              </w:trPr>
              <w:tc>
                <w:tcPr>
                  <w:tcW w:w="6521" w:type="dxa"/>
                  <w:tcBorders>
                    <w:top w:val="single" w:sz="8" w:space="0" w:color="auto"/>
                    <w:left w:val="single" w:sz="8" w:space="0" w:color="auto"/>
                    <w:bottom w:val="nil"/>
                    <w:right w:val="single" w:sz="8" w:space="0" w:color="000000"/>
                  </w:tcBorders>
                  <w:noWrap/>
                  <w:vAlign w:val="bottom"/>
                </w:tcPr>
                <w:p w:rsidR="00292EB9" w:rsidRPr="00BC440A" w:rsidRDefault="00292EB9" w:rsidP="00183337">
                  <w:pPr>
                    <w:jc w:val="left"/>
                    <w:rPr>
                      <w:rFonts w:cs="Arial"/>
                      <w:color w:val="000000"/>
                      <w:lang w:val="es-ES_tradnl"/>
                    </w:rPr>
                  </w:pPr>
                  <w:r w:rsidRPr="00CD127F">
                    <w:rPr>
                      <w:rFonts w:cs="Arial"/>
                      <w:color w:val="000000"/>
                      <w:lang w:val="es-ES_tradnl"/>
                    </w:rPr>
                    <w:t>Tamaño de la muestra en cada uno de los ciclos de cultivo 1 y 2 = 50</w:t>
                  </w:r>
                </w:p>
              </w:tc>
            </w:tr>
            <w:tr w:rsidR="00292EB9" w:rsidRPr="00BC440A" w:rsidTr="003672CD">
              <w:trPr>
                <w:trHeight w:val="227"/>
              </w:trPr>
              <w:tc>
                <w:tcPr>
                  <w:tcW w:w="6521" w:type="dxa"/>
                  <w:tcBorders>
                    <w:top w:val="nil"/>
                    <w:left w:val="single" w:sz="4" w:space="0" w:color="auto"/>
                    <w:bottom w:val="single" w:sz="8" w:space="0" w:color="auto"/>
                    <w:right w:val="single" w:sz="8" w:space="0" w:color="000000"/>
                  </w:tcBorders>
                  <w:noWrap/>
                  <w:vAlign w:val="bottom"/>
                </w:tcPr>
                <w:p w:rsidR="00292EB9" w:rsidRPr="00BC440A" w:rsidRDefault="00292EB9" w:rsidP="00183337">
                  <w:pPr>
                    <w:jc w:val="left"/>
                    <w:rPr>
                      <w:rFonts w:cs="Arial"/>
                      <w:color w:val="000000"/>
                      <w:lang w:val="es-ES_tradnl"/>
                    </w:rPr>
                  </w:pPr>
                  <w:r w:rsidRPr="00CD127F">
                    <w:rPr>
                      <w:rFonts w:cs="Arial"/>
                      <w:color w:val="000000"/>
                      <w:lang w:val="es-ES_tradnl"/>
                    </w:rPr>
                    <w:t>Número máximo de plantas fuera de tipo = 2</w:t>
                  </w:r>
                </w:p>
              </w:tc>
            </w:tr>
            <w:tr w:rsidR="00292EB9" w:rsidRPr="00BC440A" w:rsidTr="003672CD">
              <w:trPr>
                <w:trHeight w:val="227"/>
              </w:trPr>
              <w:tc>
                <w:tcPr>
                  <w:tcW w:w="6521" w:type="dxa"/>
                  <w:tcBorders>
                    <w:top w:val="nil"/>
                    <w:left w:val="single" w:sz="4" w:space="0" w:color="auto"/>
                    <w:bottom w:val="nil"/>
                    <w:right w:val="single" w:sz="4" w:space="0" w:color="auto"/>
                  </w:tcBorders>
                  <w:noWrap/>
                  <w:vAlign w:val="bottom"/>
                </w:tcPr>
                <w:p w:rsidR="00292EB9" w:rsidRPr="00BC440A" w:rsidRDefault="00292EB9" w:rsidP="00183337">
                  <w:pPr>
                    <w:jc w:val="left"/>
                    <w:rPr>
                      <w:rFonts w:cs="Arial"/>
                      <w:color w:val="000000"/>
                      <w:lang w:val="es-ES_tradnl"/>
                    </w:rPr>
                  </w:pPr>
                  <w:r w:rsidRPr="00CD127F">
                    <w:rPr>
                      <w:rFonts w:cs="Arial"/>
                      <w:color w:val="000000"/>
                      <w:lang w:val="es-ES_tradnl"/>
                    </w:rPr>
                    <w:t>Tamaño de la muestra en los ciclos de cultivo 1 y 2 combinados = 100</w:t>
                  </w:r>
                </w:p>
              </w:tc>
            </w:tr>
            <w:tr w:rsidR="00292EB9" w:rsidRPr="00BC440A" w:rsidTr="003672CD">
              <w:trPr>
                <w:trHeight w:val="227"/>
              </w:trPr>
              <w:tc>
                <w:tcPr>
                  <w:tcW w:w="6521" w:type="dxa"/>
                  <w:tcBorders>
                    <w:top w:val="nil"/>
                    <w:left w:val="single" w:sz="4" w:space="0" w:color="auto"/>
                    <w:bottom w:val="single" w:sz="4" w:space="0" w:color="auto"/>
                    <w:right w:val="single" w:sz="4" w:space="0" w:color="auto"/>
                  </w:tcBorders>
                  <w:noWrap/>
                  <w:vAlign w:val="bottom"/>
                </w:tcPr>
                <w:p w:rsidR="00292EB9" w:rsidRPr="00BC440A" w:rsidRDefault="00292EB9" w:rsidP="00183337">
                  <w:pPr>
                    <w:jc w:val="left"/>
                    <w:rPr>
                      <w:rFonts w:cs="Arial"/>
                      <w:color w:val="000000"/>
                      <w:lang w:val="es-ES_tradnl"/>
                    </w:rPr>
                  </w:pPr>
                  <w:r w:rsidRPr="004055B7">
                    <w:rPr>
                      <w:rFonts w:cs="Arial"/>
                      <w:lang w:val="es-ES_tradnl"/>
                    </w:rPr>
                    <w:t>Número máximo de plantas fuera de tipo = 3</w:t>
                  </w:r>
                </w:p>
              </w:tc>
            </w:tr>
          </w:tbl>
          <w:p w:rsidR="00292EB9" w:rsidRPr="00BC440A" w:rsidRDefault="00292EB9" w:rsidP="00183337">
            <w:pPr>
              <w:pStyle w:val="Titleofdoc0"/>
              <w:spacing w:before="0"/>
              <w:jc w:val="both"/>
              <w:rPr>
                <w:szCs w:val="24"/>
                <w:lang w:val="es-ES_tradnl"/>
              </w:rPr>
            </w:pPr>
          </w:p>
          <w:tbl>
            <w:tblPr>
              <w:tblW w:w="6482" w:type="dxa"/>
              <w:tblInd w:w="1134" w:type="dxa"/>
              <w:tblLayout w:type="fixed"/>
              <w:tblLook w:val="00A0" w:firstRow="1" w:lastRow="0" w:firstColumn="1" w:lastColumn="0" w:noHBand="0" w:noVBand="0"/>
            </w:tblPr>
            <w:tblGrid>
              <w:gridCol w:w="979"/>
              <w:gridCol w:w="1080"/>
              <w:gridCol w:w="1260"/>
              <w:gridCol w:w="1501"/>
              <w:gridCol w:w="80"/>
              <w:gridCol w:w="1582"/>
            </w:tblGrid>
            <w:tr w:rsidR="00292EB9" w:rsidRPr="00BC440A" w:rsidTr="003672CD">
              <w:trPr>
                <w:cantSplit/>
              </w:trPr>
              <w:tc>
                <w:tcPr>
                  <w:tcW w:w="979" w:type="dxa"/>
                  <w:tcBorders>
                    <w:top w:val="nil"/>
                    <w:left w:val="nil"/>
                    <w:bottom w:val="nil"/>
                    <w:right w:val="nil"/>
                  </w:tcBorders>
                  <w:noWrap/>
                  <w:vAlign w:val="bottom"/>
                </w:tcPr>
                <w:p w:rsidR="00292EB9" w:rsidRPr="00BC440A" w:rsidRDefault="00292EB9" w:rsidP="00183337">
                  <w:pPr>
                    <w:jc w:val="left"/>
                    <w:rPr>
                      <w:rFonts w:cs="Arial"/>
                      <w:color w:val="000000"/>
                      <w:lang w:val="es-ES_tradnl"/>
                    </w:rPr>
                  </w:pPr>
                </w:p>
              </w:tc>
              <w:tc>
                <w:tcPr>
                  <w:tcW w:w="1080" w:type="dxa"/>
                  <w:tcBorders>
                    <w:top w:val="nil"/>
                    <w:left w:val="nil"/>
                    <w:bottom w:val="single" w:sz="4" w:space="0" w:color="auto"/>
                    <w:right w:val="nil"/>
                  </w:tcBorders>
                  <w:noWrap/>
                  <w:vAlign w:val="bottom"/>
                </w:tcPr>
                <w:p w:rsidR="00292EB9" w:rsidRPr="00BC440A" w:rsidRDefault="00292EB9" w:rsidP="00183337">
                  <w:pPr>
                    <w:jc w:val="left"/>
                    <w:rPr>
                      <w:rFonts w:cs="Arial"/>
                      <w:color w:val="000000"/>
                      <w:lang w:val="es-ES_tradnl"/>
                    </w:rPr>
                  </w:pPr>
                  <w:r w:rsidRPr="00BC440A">
                    <w:rPr>
                      <w:rFonts w:cs="Arial"/>
                      <w:color w:val="000000"/>
                      <w:lang w:val="es-ES_tradnl"/>
                    </w:rPr>
                    <w:t> </w:t>
                  </w:r>
                </w:p>
              </w:tc>
              <w:tc>
                <w:tcPr>
                  <w:tcW w:w="1260" w:type="dxa"/>
                  <w:tcBorders>
                    <w:top w:val="nil"/>
                    <w:left w:val="nil"/>
                    <w:bottom w:val="single" w:sz="4" w:space="0" w:color="auto"/>
                    <w:right w:val="nil"/>
                  </w:tcBorders>
                  <w:noWrap/>
                  <w:vAlign w:val="bottom"/>
                </w:tcPr>
                <w:p w:rsidR="00292EB9" w:rsidRPr="00BC440A" w:rsidRDefault="00292EB9" w:rsidP="00183337">
                  <w:pPr>
                    <w:jc w:val="left"/>
                    <w:rPr>
                      <w:rFonts w:cs="Arial"/>
                      <w:color w:val="000000"/>
                      <w:lang w:val="es-ES_tradnl"/>
                    </w:rPr>
                  </w:pPr>
                  <w:r w:rsidRPr="00BC440A">
                    <w:rPr>
                      <w:rFonts w:cs="Arial"/>
                      <w:color w:val="000000"/>
                      <w:lang w:val="es-ES_tradnl"/>
                    </w:rPr>
                    <w:t> </w:t>
                  </w:r>
                </w:p>
              </w:tc>
              <w:tc>
                <w:tcPr>
                  <w:tcW w:w="1501" w:type="dxa"/>
                  <w:tcBorders>
                    <w:top w:val="nil"/>
                    <w:left w:val="nil"/>
                    <w:bottom w:val="single" w:sz="4" w:space="0" w:color="auto"/>
                    <w:right w:val="nil"/>
                  </w:tcBorders>
                  <w:noWrap/>
                  <w:vAlign w:val="bottom"/>
                </w:tcPr>
                <w:p w:rsidR="00292EB9" w:rsidRPr="00BC440A" w:rsidRDefault="00292EB9" w:rsidP="00183337">
                  <w:pPr>
                    <w:jc w:val="left"/>
                    <w:rPr>
                      <w:rFonts w:cs="Arial"/>
                      <w:color w:val="000000"/>
                      <w:lang w:val="es-ES_tradnl"/>
                    </w:rPr>
                  </w:pPr>
                  <w:r w:rsidRPr="00BC440A">
                    <w:rPr>
                      <w:rFonts w:cs="Arial"/>
                      <w:color w:val="000000"/>
                      <w:lang w:val="es-ES_tradnl"/>
                    </w:rPr>
                    <w:t> </w:t>
                  </w:r>
                </w:p>
              </w:tc>
              <w:tc>
                <w:tcPr>
                  <w:tcW w:w="1662" w:type="dxa"/>
                  <w:gridSpan w:val="2"/>
                  <w:tcBorders>
                    <w:top w:val="nil"/>
                    <w:left w:val="nil"/>
                    <w:bottom w:val="single" w:sz="4" w:space="0" w:color="auto"/>
                    <w:right w:val="nil"/>
                  </w:tcBorders>
                  <w:noWrap/>
                  <w:vAlign w:val="bottom"/>
                </w:tcPr>
                <w:p w:rsidR="00292EB9" w:rsidRPr="00BC440A" w:rsidRDefault="00292EB9" w:rsidP="00183337">
                  <w:pPr>
                    <w:jc w:val="left"/>
                    <w:rPr>
                      <w:rFonts w:cs="Arial"/>
                      <w:color w:val="000000"/>
                      <w:lang w:val="es-ES_tradnl"/>
                    </w:rPr>
                  </w:pPr>
                  <w:r w:rsidRPr="00BC440A">
                    <w:rPr>
                      <w:rFonts w:cs="Arial"/>
                      <w:color w:val="000000"/>
                      <w:lang w:val="es-ES_tradnl"/>
                    </w:rPr>
                    <w:t> </w:t>
                  </w:r>
                </w:p>
              </w:tc>
            </w:tr>
            <w:tr w:rsidR="00292EB9" w:rsidRPr="00BD2498" w:rsidTr="003672CD">
              <w:trPr>
                <w:cantSplit/>
              </w:trPr>
              <w:tc>
                <w:tcPr>
                  <w:tcW w:w="979" w:type="dxa"/>
                  <w:tcBorders>
                    <w:top w:val="nil"/>
                    <w:left w:val="nil"/>
                    <w:bottom w:val="nil"/>
                    <w:right w:val="single" w:sz="4" w:space="0" w:color="auto"/>
                  </w:tcBorders>
                  <w:noWrap/>
                  <w:vAlign w:val="bottom"/>
                </w:tcPr>
                <w:p w:rsidR="00292EB9" w:rsidRPr="00BC440A" w:rsidRDefault="00292EB9" w:rsidP="00183337">
                  <w:pPr>
                    <w:jc w:val="left"/>
                    <w:rPr>
                      <w:rFonts w:cs="Arial"/>
                      <w:color w:val="000000"/>
                      <w:lang w:val="es-ES_tradnl"/>
                    </w:rPr>
                  </w:pPr>
                  <w:r w:rsidRPr="00BC440A">
                    <w:rPr>
                      <w:rFonts w:cs="Arial"/>
                      <w:color w:val="000000"/>
                      <w:lang w:val="es-ES_tradnl"/>
                    </w:rPr>
                    <w:t> </w:t>
                  </w:r>
                </w:p>
              </w:tc>
              <w:tc>
                <w:tcPr>
                  <w:tcW w:w="2340" w:type="dxa"/>
                  <w:gridSpan w:val="2"/>
                  <w:tcBorders>
                    <w:top w:val="nil"/>
                    <w:left w:val="nil"/>
                    <w:bottom w:val="single" w:sz="4" w:space="0" w:color="auto"/>
                    <w:right w:val="single" w:sz="4" w:space="0" w:color="000000"/>
                  </w:tcBorders>
                  <w:noWrap/>
                  <w:vAlign w:val="bottom"/>
                </w:tcPr>
                <w:p w:rsidR="00292EB9" w:rsidRPr="00BD2498" w:rsidRDefault="00292EB9" w:rsidP="00183337">
                  <w:pPr>
                    <w:jc w:val="center"/>
                    <w:rPr>
                      <w:rFonts w:cs="Arial"/>
                      <w:color w:val="000000"/>
                    </w:rPr>
                  </w:pPr>
                  <w:r w:rsidRPr="004055B7">
                    <w:rPr>
                      <w:rFonts w:cs="Arial"/>
                      <w:lang w:val="es-ES_tradnl"/>
                    </w:rPr>
                    <w:t>Ciclo de cultivo</w:t>
                  </w:r>
                </w:p>
              </w:tc>
              <w:tc>
                <w:tcPr>
                  <w:tcW w:w="3163" w:type="dxa"/>
                  <w:gridSpan w:val="3"/>
                  <w:tcBorders>
                    <w:top w:val="single" w:sz="4" w:space="0" w:color="auto"/>
                    <w:left w:val="nil"/>
                    <w:bottom w:val="single" w:sz="4" w:space="0" w:color="auto"/>
                    <w:right w:val="single" w:sz="4" w:space="0" w:color="000000"/>
                  </w:tcBorders>
                  <w:noWrap/>
                  <w:vAlign w:val="bottom"/>
                </w:tcPr>
                <w:p w:rsidR="00292EB9" w:rsidRPr="00BD2498" w:rsidRDefault="00292EB9" w:rsidP="00183337">
                  <w:pPr>
                    <w:jc w:val="center"/>
                    <w:rPr>
                      <w:rFonts w:cs="Arial"/>
                      <w:color w:val="000000"/>
                    </w:rPr>
                  </w:pPr>
                  <w:r w:rsidRPr="00CD127F">
                    <w:rPr>
                      <w:rFonts w:cs="Arial"/>
                      <w:color w:val="000000"/>
                      <w:lang w:val="es-ES_tradnl"/>
                    </w:rPr>
                    <w:t>Decisión</w:t>
                  </w:r>
                </w:p>
              </w:tc>
            </w:tr>
            <w:tr w:rsidR="00292EB9" w:rsidRPr="00BD2498" w:rsidTr="003672CD">
              <w:trPr>
                <w:cantSplit/>
              </w:trPr>
              <w:tc>
                <w:tcPr>
                  <w:tcW w:w="979" w:type="dxa"/>
                  <w:tcBorders>
                    <w:top w:val="nil"/>
                    <w:left w:val="nil"/>
                    <w:bottom w:val="single" w:sz="4" w:space="0" w:color="auto"/>
                    <w:right w:val="single" w:sz="4" w:space="0" w:color="auto"/>
                  </w:tcBorders>
                  <w:noWrap/>
                  <w:vAlign w:val="bottom"/>
                </w:tcPr>
                <w:p w:rsidR="00292EB9" w:rsidRPr="00BD2498" w:rsidRDefault="00292EB9" w:rsidP="00183337">
                  <w:pPr>
                    <w:jc w:val="left"/>
                    <w:rPr>
                      <w:rFonts w:cs="Arial"/>
                      <w:color w:val="000000"/>
                    </w:rPr>
                  </w:pPr>
                  <w:r w:rsidRPr="00BD2498">
                    <w:rPr>
                      <w:rFonts w:cs="Arial"/>
                      <w:color w:val="000000"/>
                    </w:rPr>
                    <w:t> </w:t>
                  </w:r>
                </w:p>
              </w:tc>
              <w:tc>
                <w:tcPr>
                  <w:tcW w:w="1080" w:type="dxa"/>
                  <w:tcBorders>
                    <w:top w:val="nil"/>
                    <w:left w:val="nil"/>
                    <w:bottom w:val="single" w:sz="8" w:space="0" w:color="auto"/>
                    <w:right w:val="single" w:sz="4" w:space="0" w:color="auto"/>
                  </w:tcBorders>
                  <w:noWrap/>
                  <w:vAlign w:val="bottom"/>
                </w:tcPr>
                <w:p w:rsidR="00292EB9" w:rsidRPr="00BD2498" w:rsidRDefault="00292EB9" w:rsidP="00183337">
                  <w:pPr>
                    <w:jc w:val="center"/>
                    <w:rPr>
                      <w:rFonts w:cs="Arial"/>
                      <w:color w:val="000000"/>
                    </w:rPr>
                  </w:pPr>
                  <w:r w:rsidRPr="00CD127F">
                    <w:rPr>
                      <w:rFonts w:cs="Arial"/>
                      <w:color w:val="000000"/>
                      <w:lang w:val="es-ES_tradnl"/>
                    </w:rPr>
                    <w:t>Primero</w:t>
                  </w:r>
                </w:p>
              </w:tc>
              <w:tc>
                <w:tcPr>
                  <w:tcW w:w="1260" w:type="dxa"/>
                  <w:tcBorders>
                    <w:top w:val="nil"/>
                    <w:left w:val="nil"/>
                    <w:bottom w:val="single" w:sz="8" w:space="0" w:color="auto"/>
                    <w:right w:val="single" w:sz="4" w:space="0" w:color="auto"/>
                  </w:tcBorders>
                  <w:noWrap/>
                  <w:vAlign w:val="bottom"/>
                </w:tcPr>
                <w:p w:rsidR="00292EB9" w:rsidRPr="00BD2498" w:rsidRDefault="00292EB9" w:rsidP="00183337">
                  <w:pPr>
                    <w:jc w:val="center"/>
                    <w:rPr>
                      <w:rFonts w:cs="Arial"/>
                      <w:color w:val="000000"/>
                    </w:rPr>
                  </w:pPr>
                  <w:r w:rsidRPr="00CD127F">
                    <w:rPr>
                      <w:rFonts w:cs="Arial"/>
                      <w:color w:val="000000"/>
                      <w:lang w:val="es-ES_tradnl"/>
                    </w:rPr>
                    <w:t>Segundo</w:t>
                  </w:r>
                </w:p>
              </w:tc>
              <w:tc>
                <w:tcPr>
                  <w:tcW w:w="1581" w:type="dxa"/>
                  <w:gridSpan w:val="2"/>
                  <w:tcBorders>
                    <w:top w:val="nil"/>
                    <w:left w:val="nil"/>
                    <w:bottom w:val="single" w:sz="8" w:space="0" w:color="auto"/>
                    <w:right w:val="single" w:sz="4" w:space="0" w:color="auto"/>
                  </w:tcBorders>
                  <w:noWrap/>
                  <w:vAlign w:val="bottom"/>
                </w:tcPr>
                <w:p w:rsidR="00292EB9" w:rsidRPr="00BD2498" w:rsidRDefault="00292EB9" w:rsidP="00183337">
                  <w:pPr>
                    <w:jc w:val="center"/>
                    <w:rPr>
                      <w:rFonts w:cs="Arial"/>
                      <w:color w:val="000000"/>
                    </w:rPr>
                  </w:pPr>
                  <w:r w:rsidRPr="00CD127F">
                    <w:rPr>
                      <w:rFonts w:cs="Arial"/>
                      <w:color w:val="000000"/>
                      <w:lang w:val="es-ES_tradnl"/>
                    </w:rPr>
                    <w:t>Método 1</w:t>
                  </w:r>
                </w:p>
              </w:tc>
              <w:tc>
                <w:tcPr>
                  <w:tcW w:w="1582" w:type="dxa"/>
                  <w:tcBorders>
                    <w:top w:val="nil"/>
                    <w:left w:val="nil"/>
                    <w:bottom w:val="single" w:sz="8" w:space="0" w:color="auto"/>
                    <w:right w:val="single" w:sz="4" w:space="0" w:color="auto"/>
                  </w:tcBorders>
                  <w:noWrap/>
                  <w:vAlign w:val="bottom"/>
                </w:tcPr>
                <w:p w:rsidR="00292EB9" w:rsidRPr="00BD2498" w:rsidRDefault="00292EB9" w:rsidP="00183337">
                  <w:pPr>
                    <w:jc w:val="center"/>
                    <w:rPr>
                      <w:rFonts w:cs="Arial"/>
                      <w:color w:val="000000"/>
                    </w:rPr>
                  </w:pPr>
                  <w:r w:rsidRPr="004055B7">
                    <w:rPr>
                      <w:rFonts w:cs="Arial"/>
                      <w:lang w:val="es-ES_tradnl"/>
                    </w:rPr>
                    <w:t>Método 2</w:t>
                  </w:r>
                </w:p>
              </w:tc>
            </w:tr>
            <w:tr w:rsidR="00292EB9" w:rsidRPr="00BD2498" w:rsidTr="003672CD">
              <w:trPr>
                <w:cantSplit/>
              </w:trPr>
              <w:tc>
                <w:tcPr>
                  <w:tcW w:w="979" w:type="dxa"/>
                  <w:vMerge w:val="restart"/>
                  <w:tcBorders>
                    <w:top w:val="nil"/>
                    <w:left w:val="single" w:sz="4" w:space="0" w:color="auto"/>
                    <w:bottom w:val="single" w:sz="4" w:space="0" w:color="000000"/>
                    <w:right w:val="single" w:sz="4" w:space="0" w:color="000000"/>
                  </w:tcBorders>
                  <w:textDirection w:val="btLr"/>
                  <w:vAlign w:val="bottom"/>
                </w:tcPr>
                <w:p w:rsidR="00292EB9" w:rsidRPr="00BC440A" w:rsidRDefault="00292EB9" w:rsidP="00183337">
                  <w:pPr>
                    <w:jc w:val="center"/>
                    <w:rPr>
                      <w:rFonts w:cs="Arial"/>
                      <w:color w:val="000000"/>
                      <w:lang w:val="es-ES_tradnl"/>
                    </w:rPr>
                  </w:pPr>
                  <w:r w:rsidRPr="004055B7">
                    <w:rPr>
                      <w:rFonts w:cs="Arial"/>
                      <w:lang w:val="es-ES_tradnl"/>
                    </w:rPr>
                    <w:t>Número de plantas fuera de tipo</w:t>
                  </w:r>
                </w:p>
              </w:tc>
              <w:tc>
                <w:tcPr>
                  <w:tcW w:w="1080" w:type="dxa"/>
                  <w:tcBorders>
                    <w:top w:val="nil"/>
                    <w:left w:val="single" w:sz="8" w:space="0" w:color="auto"/>
                    <w:bottom w:val="single" w:sz="8" w:space="0" w:color="auto"/>
                    <w:right w:val="single" w:sz="4" w:space="0" w:color="auto"/>
                  </w:tcBorders>
                  <w:noWrap/>
                  <w:vAlign w:val="center"/>
                </w:tcPr>
                <w:p w:rsidR="00292EB9" w:rsidRPr="00BD2498" w:rsidRDefault="00292EB9" w:rsidP="00183337">
                  <w:pPr>
                    <w:jc w:val="center"/>
                    <w:rPr>
                      <w:rFonts w:cs="Arial"/>
                      <w:color w:val="000000"/>
                    </w:rPr>
                  </w:pPr>
                  <w:r>
                    <w:rPr>
                      <w:rFonts w:cs="Arial"/>
                      <w:color w:val="000000"/>
                    </w:rPr>
                    <w:t>2</w:t>
                  </w:r>
                </w:p>
              </w:tc>
              <w:tc>
                <w:tcPr>
                  <w:tcW w:w="1260" w:type="dxa"/>
                  <w:tcBorders>
                    <w:top w:val="nil"/>
                    <w:left w:val="nil"/>
                    <w:bottom w:val="single" w:sz="8" w:space="0" w:color="auto"/>
                    <w:right w:val="single" w:sz="4" w:space="0" w:color="auto"/>
                  </w:tcBorders>
                  <w:noWrap/>
                  <w:vAlign w:val="center"/>
                </w:tcPr>
                <w:p w:rsidR="00292EB9" w:rsidRPr="00BD2498" w:rsidRDefault="00292EB9" w:rsidP="00183337">
                  <w:pPr>
                    <w:jc w:val="center"/>
                    <w:rPr>
                      <w:rFonts w:cs="Arial"/>
                      <w:color w:val="000000"/>
                    </w:rPr>
                  </w:pPr>
                  <w:r>
                    <w:rPr>
                      <w:rFonts w:cs="Arial"/>
                      <w:color w:val="000000"/>
                    </w:rPr>
                    <w:t>2</w:t>
                  </w:r>
                </w:p>
              </w:tc>
              <w:tc>
                <w:tcPr>
                  <w:tcW w:w="1581" w:type="dxa"/>
                  <w:gridSpan w:val="2"/>
                  <w:tcBorders>
                    <w:top w:val="nil"/>
                    <w:left w:val="nil"/>
                    <w:bottom w:val="single" w:sz="8" w:space="0" w:color="auto"/>
                    <w:right w:val="single" w:sz="4" w:space="0" w:color="auto"/>
                  </w:tcBorders>
                  <w:noWrap/>
                  <w:vAlign w:val="center"/>
                </w:tcPr>
                <w:p w:rsidR="00292EB9" w:rsidRPr="00BD2498" w:rsidRDefault="00292EB9" w:rsidP="00183337">
                  <w:pPr>
                    <w:jc w:val="center"/>
                    <w:rPr>
                      <w:rFonts w:cs="Arial"/>
                      <w:color w:val="000000"/>
                    </w:rPr>
                  </w:pPr>
                  <w:r w:rsidRPr="00CD127F">
                    <w:rPr>
                      <w:rFonts w:cs="Arial"/>
                      <w:color w:val="000000"/>
                      <w:lang w:val="es-ES_tradnl"/>
                    </w:rPr>
                    <w:t>homogénea</w:t>
                  </w:r>
                </w:p>
              </w:tc>
              <w:tc>
                <w:tcPr>
                  <w:tcW w:w="1582" w:type="dxa"/>
                  <w:tcBorders>
                    <w:top w:val="nil"/>
                    <w:left w:val="nil"/>
                    <w:bottom w:val="single" w:sz="8" w:space="0" w:color="auto"/>
                    <w:right w:val="single" w:sz="8" w:space="0" w:color="auto"/>
                  </w:tcBorders>
                  <w:vAlign w:val="center"/>
                </w:tcPr>
                <w:p w:rsidR="00292EB9" w:rsidRPr="00BD2498" w:rsidRDefault="00292EB9" w:rsidP="00183337">
                  <w:pPr>
                    <w:jc w:val="center"/>
                    <w:rPr>
                      <w:rFonts w:cs="Arial"/>
                      <w:color w:val="000000"/>
                    </w:rPr>
                  </w:pPr>
                  <w:r w:rsidRPr="004055B7">
                    <w:rPr>
                      <w:rFonts w:cs="Arial"/>
                      <w:lang w:val="es-ES_tradnl"/>
                    </w:rPr>
                    <w:t>homogénea</w:t>
                  </w:r>
                </w:p>
              </w:tc>
            </w:tr>
            <w:tr w:rsidR="00292EB9" w:rsidRPr="00BD2498" w:rsidTr="003672CD">
              <w:trPr>
                <w:cantSplit/>
              </w:trPr>
              <w:tc>
                <w:tcPr>
                  <w:tcW w:w="979" w:type="dxa"/>
                  <w:vMerge/>
                  <w:tcBorders>
                    <w:top w:val="nil"/>
                    <w:left w:val="single" w:sz="4" w:space="0" w:color="auto"/>
                    <w:bottom w:val="single" w:sz="4" w:space="0" w:color="000000"/>
                    <w:right w:val="single" w:sz="4" w:space="0" w:color="000000"/>
                  </w:tcBorders>
                  <w:vAlign w:val="center"/>
                </w:tcPr>
                <w:p w:rsidR="00292EB9" w:rsidRPr="00BD2498" w:rsidRDefault="00292EB9" w:rsidP="00183337">
                  <w:pPr>
                    <w:jc w:val="left"/>
                    <w:rPr>
                      <w:rFonts w:cs="Arial"/>
                      <w:color w:val="000000"/>
                    </w:rPr>
                  </w:pPr>
                </w:p>
              </w:tc>
              <w:tc>
                <w:tcPr>
                  <w:tcW w:w="1080" w:type="dxa"/>
                  <w:tcBorders>
                    <w:top w:val="nil"/>
                    <w:left w:val="nil"/>
                    <w:bottom w:val="single" w:sz="8" w:space="0" w:color="auto"/>
                    <w:right w:val="single" w:sz="4" w:space="0" w:color="auto"/>
                  </w:tcBorders>
                  <w:vAlign w:val="center"/>
                </w:tcPr>
                <w:p w:rsidR="00292EB9" w:rsidRPr="00BD2498" w:rsidRDefault="00292EB9" w:rsidP="00183337">
                  <w:pPr>
                    <w:jc w:val="center"/>
                    <w:rPr>
                      <w:rFonts w:cs="Arial"/>
                      <w:color w:val="000000"/>
                    </w:rPr>
                  </w:pPr>
                  <w:r w:rsidRPr="00BD2498">
                    <w:rPr>
                      <w:rFonts w:cs="Arial"/>
                      <w:color w:val="000000"/>
                    </w:rPr>
                    <w:t>0</w:t>
                  </w:r>
                </w:p>
              </w:tc>
              <w:tc>
                <w:tcPr>
                  <w:tcW w:w="1260" w:type="dxa"/>
                  <w:tcBorders>
                    <w:top w:val="nil"/>
                    <w:left w:val="nil"/>
                    <w:bottom w:val="single" w:sz="8" w:space="0" w:color="auto"/>
                    <w:right w:val="single" w:sz="4" w:space="0" w:color="auto"/>
                  </w:tcBorders>
                  <w:vAlign w:val="center"/>
                </w:tcPr>
                <w:p w:rsidR="00292EB9" w:rsidRPr="00BD2498" w:rsidRDefault="00292EB9" w:rsidP="00183337">
                  <w:pPr>
                    <w:jc w:val="center"/>
                    <w:rPr>
                      <w:rFonts w:cs="Arial"/>
                      <w:color w:val="000000"/>
                    </w:rPr>
                  </w:pPr>
                  <w:r w:rsidRPr="00BD2498">
                    <w:rPr>
                      <w:rFonts w:cs="Arial"/>
                      <w:color w:val="000000"/>
                    </w:rPr>
                    <w:t>3</w:t>
                  </w:r>
                </w:p>
              </w:tc>
              <w:tc>
                <w:tcPr>
                  <w:tcW w:w="1581" w:type="dxa"/>
                  <w:gridSpan w:val="2"/>
                  <w:tcBorders>
                    <w:top w:val="nil"/>
                    <w:left w:val="nil"/>
                    <w:bottom w:val="single" w:sz="8" w:space="0" w:color="auto"/>
                    <w:right w:val="single" w:sz="4" w:space="0" w:color="auto"/>
                  </w:tcBorders>
                  <w:vAlign w:val="center"/>
                </w:tcPr>
                <w:p w:rsidR="00292EB9" w:rsidRPr="00BD2498" w:rsidRDefault="00292EB9" w:rsidP="00183337">
                  <w:pPr>
                    <w:jc w:val="center"/>
                    <w:rPr>
                      <w:rFonts w:cs="Arial"/>
                      <w:color w:val="000000"/>
                    </w:rPr>
                  </w:pPr>
                  <w:r w:rsidRPr="003C1932">
                    <w:rPr>
                      <w:rFonts w:cs="Arial"/>
                      <w:color w:val="000000"/>
                      <w:lang w:val="es-ES_tradnl"/>
                    </w:rPr>
                    <w:t>tercer ciclo de cultivo</w:t>
                  </w:r>
                </w:p>
              </w:tc>
              <w:tc>
                <w:tcPr>
                  <w:tcW w:w="1582" w:type="dxa"/>
                  <w:tcBorders>
                    <w:top w:val="nil"/>
                    <w:left w:val="nil"/>
                    <w:bottom w:val="single" w:sz="8" w:space="0" w:color="auto"/>
                    <w:right w:val="single" w:sz="4" w:space="0" w:color="auto"/>
                  </w:tcBorders>
                  <w:vAlign w:val="center"/>
                </w:tcPr>
                <w:p w:rsidR="00292EB9" w:rsidRPr="00BD2498" w:rsidRDefault="00292EB9" w:rsidP="00183337">
                  <w:pPr>
                    <w:jc w:val="center"/>
                    <w:rPr>
                      <w:rFonts w:cs="Arial"/>
                      <w:color w:val="000000"/>
                    </w:rPr>
                  </w:pPr>
                  <w:r w:rsidRPr="004055B7">
                    <w:rPr>
                      <w:rFonts w:cs="Arial"/>
                      <w:lang w:val="es-ES_tradnl"/>
                    </w:rPr>
                    <w:t>homogénea</w:t>
                  </w:r>
                </w:p>
              </w:tc>
            </w:tr>
            <w:tr w:rsidR="00292EB9" w:rsidRPr="00BD2498" w:rsidTr="003672CD">
              <w:trPr>
                <w:cantSplit/>
              </w:trPr>
              <w:tc>
                <w:tcPr>
                  <w:tcW w:w="979" w:type="dxa"/>
                  <w:vMerge/>
                  <w:tcBorders>
                    <w:top w:val="nil"/>
                    <w:left w:val="single" w:sz="4" w:space="0" w:color="auto"/>
                    <w:bottom w:val="single" w:sz="4" w:space="0" w:color="000000"/>
                    <w:right w:val="single" w:sz="4" w:space="0" w:color="000000"/>
                  </w:tcBorders>
                  <w:vAlign w:val="center"/>
                </w:tcPr>
                <w:p w:rsidR="00292EB9" w:rsidRPr="00BD2498" w:rsidRDefault="00292EB9" w:rsidP="00183337">
                  <w:pPr>
                    <w:jc w:val="left"/>
                    <w:rPr>
                      <w:rFonts w:cs="Arial"/>
                      <w:color w:val="000000"/>
                    </w:rPr>
                  </w:pPr>
                </w:p>
              </w:tc>
              <w:tc>
                <w:tcPr>
                  <w:tcW w:w="1080" w:type="dxa"/>
                  <w:tcBorders>
                    <w:top w:val="nil"/>
                    <w:left w:val="single" w:sz="8" w:space="0" w:color="auto"/>
                    <w:bottom w:val="single" w:sz="8" w:space="0" w:color="auto"/>
                    <w:right w:val="single" w:sz="4" w:space="0" w:color="auto"/>
                  </w:tcBorders>
                  <w:vAlign w:val="center"/>
                </w:tcPr>
                <w:p w:rsidR="00292EB9" w:rsidRPr="00BD2498" w:rsidRDefault="00292EB9" w:rsidP="00183337">
                  <w:pPr>
                    <w:jc w:val="center"/>
                    <w:rPr>
                      <w:rFonts w:cs="Arial"/>
                      <w:color w:val="000000"/>
                    </w:rPr>
                  </w:pPr>
                  <w:r w:rsidRPr="00BD2498">
                    <w:rPr>
                      <w:rFonts w:cs="Arial"/>
                      <w:color w:val="000000"/>
                    </w:rPr>
                    <w:t>1</w:t>
                  </w:r>
                </w:p>
              </w:tc>
              <w:tc>
                <w:tcPr>
                  <w:tcW w:w="1260" w:type="dxa"/>
                  <w:tcBorders>
                    <w:top w:val="nil"/>
                    <w:left w:val="nil"/>
                    <w:bottom w:val="single" w:sz="8" w:space="0" w:color="auto"/>
                    <w:right w:val="single" w:sz="4" w:space="0" w:color="auto"/>
                  </w:tcBorders>
                  <w:vAlign w:val="center"/>
                </w:tcPr>
                <w:p w:rsidR="00292EB9" w:rsidRPr="00BD2498" w:rsidRDefault="00292EB9" w:rsidP="00183337">
                  <w:pPr>
                    <w:jc w:val="center"/>
                    <w:rPr>
                      <w:rFonts w:cs="Arial"/>
                      <w:color w:val="000000"/>
                    </w:rPr>
                  </w:pPr>
                  <w:r w:rsidRPr="00BD2498">
                    <w:rPr>
                      <w:rFonts w:cs="Arial"/>
                      <w:color w:val="000000"/>
                    </w:rPr>
                    <w:t>3</w:t>
                  </w:r>
                </w:p>
              </w:tc>
              <w:tc>
                <w:tcPr>
                  <w:tcW w:w="1581" w:type="dxa"/>
                  <w:gridSpan w:val="2"/>
                  <w:tcBorders>
                    <w:top w:val="nil"/>
                    <w:left w:val="nil"/>
                    <w:bottom w:val="single" w:sz="8" w:space="0" w:color="auto"/>
                    <w:right w:val="single" w:sz="4" w:space="0" w:color="auto"/>
                  </w:tcBorders>
                  <w:vAlign w:val="center"/>
                </w:tcPr>
                <w:p w:rsidR="00292EB9" w:rsidRPr="00BD2498" w:rsidRDefault="00292EB9" w:rsidP="00183337">
                  <w:pPr>
                    <w:jc w:val="center"/>
                    <w:rPr>
                      <w:rFonts w:cs="Arial"/>
                      <w:color w:val="000000"/>
                    </w:rPr>
                  </w:pPr>
                  <w:r w:rsidRPr="004055B7">
                    <w:rPr>
                      <w:rFonts w:cs="Arial"/>
                      <w:lang w:val="es-ES_tradnl"/>
                    </w:rPr>
                    <w:t>tercer ciclo de cultivo</w:t>
                  </w:r>
                </w:p>
              </w:tc>
              <w:tc>
                <w:tcPr>
                  <w:tcW w:w="1582" w:type="dxa"/>
                  <w:tcBorders>
                    <w:top w:val="nil"/>
                    <w:left w:val="nil"/>
                    <w:bottom w:val="single" w:sz="8" w:space="0" w:color="auto"/>
                    <w:right w:val="single" w:sz="8" w:space="0" w:color="auto"/>
                  </w:tcBorders>
                  <w:vAlign w:val="center"/>
                </w:tcPr>
                <w:p w:rsidR="00292EB9" w:rsidRPr="00BD2498" w:rsidRDefault="00292EB9" w:rsidP="00183337">
                  <w:pPr>
                    <w:jc w:val="center"/>
                    <w:rPr>
                      <w:rFonts w:cs="Arial"/>
                      <w:color w:val="000000"/>
                    </w:rPr>
                  </w:pPr>
                  <w:r w:rsidRPr="003C1932">
                    <w:rPr>
                      <w:rFonts w:cs="Arial"/>
                      <w:color w:val="000000"/>
                      <w:lang w:val="es-ES_tradnl"/>
                    </w:rPr>
                    <w:t>no homogénea</w:t>
                  </w:r>
                </w:p>
              </w:tc>
            </w:tr>
            <w:tr w:rsidR="00292EB9" w:rsidRPr="00BD2498" w:rsidTr="003672CD">
              <w:trPr>
                <w:cantSplit/>
              </w:trPr>
              <w:tc>
                <w:tcPr>
                  <w:tcW w:w="979" w:type="dxa"/>
                  <w:vMerge/>
                  <w:tcBorders>
                    <w:top w:val="nil"/>
                    <w:left w:val="single" w:sz="4" w:space="0" w:color="auto"/>
                    <w:bottom w:val="single" w:sz="4" w:space="0" w:color="000000"/>
                    <w:right w:val="single" w:sz="4" w:space="0" w:color="000000"/>
                  </w:tcBorders>
                  <w:vAlign w:val="center"/>
                </w:tcPr>
                <w:p w:rsidR="00292EB9" w:rsidRPr="00BD2498" w:rsidRDefault="00292EB9" w:rsidP="00183337">
                  <w:pPr>
                    <w:jc w:val="left"/>
                    <w:rPr>
                      <w:rFonts w:cs="Arial"/>
                      <w:color w:val="000000"/>
                    </w:rPr>
                  </w:pPr>
                </w:p>
              </w:tc>
              <w:tc>
                <w:tcPr>
                  <w:tcW w:w="1080" w:type="dxa"/>
                  <w:tcBorders>
                    <w:top w:val="nil"/>
                    <w:left w:val="nil"/>
                    <w:bottom w:val="single" w:sz="4" w:space="0" w:color="auto"/>
                    <w:right w:val="single" w:sz="4" w:space="0" w:color="auto"/>
                  </w:tcBorders>
                  <w:noWrap/>
                  <w:vAlign w:val="center"/>
                </w:tcPr>
                <w:p w:rsidR="00292EB9" w:rsidRPr="00BD2498" w:rsidRDefault="00292EB9" w:rsidP="00183337">
                  <w:pPr>
                    <w:jc w:val="center"/>
                    <w:rPr>
                      <w:rFonts w:cs="Arial"/>
                      <w:color w:val="000000"/>
                    </w:rPr>
                  </w:pPr>
                  <w:r w:rsidRPr="00BD2498">
                    <w:rPr>
                      <w:rFonts w:cs="Arial"/>
                      <w:color w:val="000000"/>
                    </w:rPr>
                    <w:t>0</w:t>
                  </w:r>
                </w:p>
              </w:tc>
              <w:tc>
                <w:tcPr>
                  <w:tcW w:w="1260" w:type="dxa"/>
                  <w:tcBorders>
                    <w:top w:val="nil"/>
                    <w:left w:val="nil"/>
                    <w:bottom w:val="single" w:sz="4" w:space="0" w:color="auto"/>
                    <w:right w:val="single" w:sz="4" w:space="0" w:color="auto"/>
                  </w:tcBorders>
                  <w:noWrap/>
                  <w:vAlign w:val="center"/>
                </w:tcPr>
                <w:p w:rsidR="00292EB9" w:rsidRPr="00BD2498" w:rsidRDefault="00292EB9" w:rsidP="00183337">
                  <w:pPr>
                    <w:jc w:val="center"/>
                    <w:rPr>
                      <w:rFonts w:cs="Arial"/>
                      <w:color w:val="000000"/>
                    </w:rPr>
                  </w:pPr>
                  <w:r w:rsidRPr="00BD2498">
                    <w:rPr>
                      <w:rFonts w:cs="Arial"/>
                      <w:color w:val="000000"/>
                    </w:rPr>
                    <w:t>10</w:t>
                  </w:r>
                </w:p>
              </w:tc>
              <w:tc>
                <w:tcPr>
                  <w:tcW w:w="1581" w:type="dxa"/>
                  <w:gridSpan w:val="2"/>
                  <w:tcBorders>
                    <w:top w:val="nil"/>
                    <w:left w:val="nil"/>
                    <w:bottom w:val="single" w:sz="4" w:space="0" w:color="auto"/>
                    <w:right w:val="single" w:sz="4" w:space="0" w:color="auto"/>
                  </w:tcBorders>
                  <w:vAlign w:val="center"/>
                </w:tcPr>
                <w:p w:rsidR="00292EB9" w:rsidRPr="00BD2498" w:rsidRDefault="00292EB9" w:rsidP="00183337">
                  <w:pPr>
                    <w:jc w:val="center"/>
                    <w:rPr>
                      <w:rFonts w:cs="Arial"/>
                      <w:color w:val="000000"/>
                    </w:rPr>
                  </w:pPr>
                  <w:r w:rsidRPr="004055B7">
                    <w:rPr>
                      <w:rFonts w:cs="Arial"/>
                      <w:lang w:val="es-ES_tradnl"/>
                    </w:rPr>
                    <w:t>tercer ciclo de cultivo</w:t>
                  </w:r>
                </w:p>
              </w:tc>
              <w:tc>
                <w:tcPr>
                  <w:tcW w:w="1582" w:type="dxa"/>
                  <w:tcBorders>
                    <w:top w:val="nil"/>
                    <w:left w:val="nil"/>
                    <w:bottom w:val="single" w:sz="4" w:space="0" w:color="auto"/>
                    <w:right w:val="single" w:sz="4" w:space="0" w:color="auto"/>
                  </w:tcBorders>
                  <w:vAlign w:val="center"/>
                </w:tcPr>
                <w:p w:rsidR="00292EB9" w:rsidRPr="00BD2498" w:rsidRDefault="00292EB9" w:rsidP="00183337">
                  <w:pPr>
                    <w:jc w:val="center"/>
                    <w:rPr>
                      <w:rFonts w:cs="Arial"/>
                      <w:color w:val="000000"/>
                    </w:rPr>
                  </w:pPr>
                  <w:r w:rsidRPr="004055B7">
                    <w:rPr>
                      <w:rFonts w:cs="Arial"/>
                      <w:lang w:val="es-ES_tradnl"/>
                    </w:rPr>
                    <w:t>no homogénea</w:t>
                  </w:r>
                </w:p>
              </w:tc>
            </w:tr>
            <w:tr w:rsidR="00292EB9" w:rsidRPr="00BD2498" w:rsidTr="003672CD">
              <w:trPr>
                <w:cantSplit/>
              </w:trPr>
              <w:tc>
                <w:tcPr>
                  <w:tcW w:w="979" w:type="dxa"/>
                  <w:tcBorders>
                    <w:top w:val="nil"/>
                    <w:left w:val="nil"/>
                    <w:bottom w:val="nil"/>
                    <w:right w:val="nil"/>
                  </w:tcBorders>
                  <w:noWrap/>
                  <w:vAlign w:val="bottom"/>
                </w:tcPr>
                <w:p w:rsidR="00292EB9" w:rsidRPr="00BD2498" w:rsidRDefault="00292EB9" w:rsidP="00183337">
                  <w:pPr>
                    <w:jc w:val="left"/>
                    <w:rPr>
                      <w:rFonts w:cs="Arial"/>
                      <w:color w:val="000000"/>
                    </w:rPr>
                  </w:pPr>
                </w:p>
              </w:tc>
              <w:tc>
                <w:tcPr>
                  <w:tcW w:w="1080" w:type="dxa"/>
                  <w:tcBorders>
                    <w:top w:val="nil"/>
                    <w:left w:val="nil"/>
                    <w:bottom w:val="nil"/>
                    <w:right w:val="nil"/>
                  </w:tcBorders>
                  <w:noWrap/>
                  <w:vAlign w:val="bottom"/>
                </w:tcPr>
                <w:p w:rsidR="00292EB9" w:rsidRPr="00BD2498" w:rsidRDefault="00292EB9" w:rsidP="00183337">
                  <w:pPr>
                    <w:jc w:val="left"/>
                    <w:rPr>
                      <w:rFonts w:cs="Arial"/>
                      <w:color w:val="000000"/>
                    </w:rPr>
                  </w:pPr>
                </w:p>
              </w:tc>
              <w:tc>
                <w:tcPr>
                  <w:tcW w:w="1260" w:type="dxa"/>
                  <w:tcBorders>
                    <w:top w:val="nil"/>
                    <w:left w:val="nil"/>
                    <w:bottom w:val="nil"/>
                    <w:right w:val="nil"/>
                  </w:tcBorders>
                  <w:noWrap/>
                  <w:vAlign w:val="bottom"/>
                </w:tcPr>
                <w:p w:rsidR="00292EB9" w:rsidRPr="00BD2498" w:rsidRDefault="00292EB9" w:rsidP="00183337">
                  <w:pPr>
                    <w:jc w:val="left"/>
                    <w:rPr>
                      <w:rFonts w:cs="Arial"/>
                      <w:color w:val="000000"/>
                    </w:rPr>
                  </w:pPr>
                </w:p>
              </w:tc>
              <w:tc>
                <w:tcPr>
                  <w:tcW w:w="1581" w:type="dxa"/>
                  <w:gridSpan w:val="2"/>
                  <w:tcBorders>
                    <w:top w:val="nil"/>
                    <w:left w:val="nil"/>
                    <w:bottom w:val="nil"/>
                    <w:right w:val="nil"/>
                  </w:tcBorders>
                  <w:noWrap/>
                  <w:vAlign w:val="bottom"/>
                </w:tcPr>
                <w:p w:rsidR="00292EB9" w:rsidRPr="00BD2498" w:rsidRDefault="00292EB9" w:rsidP="00183337">
                  <w:pPr>
                    <w:jc w:val="left"/>
                    <w:rPr>
                      <w:rFonts w:cs="Arial"/>
                      <w:color w:val="000000"/>
                    </w:rPr>
                  </w:pPr>
                </w:p>
              </w:tc>
              <w:tc>
                <w:tcPr>
                  <w:tcW w:w="1582" w:type="dxa"/>
                  <w:tcBorders>
                    <w:top w:val="nil"/>
                    <w:left w:val="nil"/>
                    <w:bottom w:val="nil"/>
                    <w:right w:val="nil"/>
                  </w:tcBorders>
                  <w:noWrap/>
                  <w:vAlign w:val="bottom"/>
                </w:tcPr>
                <w:p w:rsidR="00292EB9" w:rsidRPr="00BD2498" w:rsidRDefault="00292EB9" w:rsidP="00183337">
                  <w:pPr>
                    <w:jc w:val="left"/>
                    <w:rPr>
                      <w:rFonts w:cs="Arial"/>
                      <w:color w:val="000000"/>
                    </w:rPr>
                  </w:pPr>
                </w:p>
              </w:tc>
            </w:tr>
          </w:tbl>
          <w:p w:rsidR="00292EB9" w:rsidRPr="0071257F" w:rsidRDefault="00292EB9" w:rsidP="00183337">
            <w:pPr>
              <w:pStyle w:val="Titleofdoc0"/>
              <w:spacing w:before="0"/>
              <w:jc w:val="both"/>
              <w:rPr>
                <w:szCs w:val="24"/>
              </w:rPr>
            </w:pPr>
          </w:p>
        </w:tc>
      </w:tr>
    </w:tbl>
    <w:p w:rsidR="009E0FA0" w:rsidRDefault="009E0FA0" w:rsidP="009E0FA0">
      <w:pPr>
        <w:rPr>
          <w:rFonts w:eastAsia="MS Mincho"/>
          <w:lang w:val="es-ES_tradnl" w:eastAsia="ja-JP"/>
        </w:rPr>
      </w:pPr>
    </w:p>
    <w:p w:rsidR="00292EB9" w:rsidRDefault="00292EB9" w:rsidP="00183337">
      <w:pPr>
        <w:jc w:val="right"/>
        <w:rPr>
          <w:snapToGrid w:val="0"/>
        </w:rPr>
      </w:pPr>
      <w:r w:rsidRPr="004055B7">
        <w:rPr>
          <w:rFonts w:eastAsia="MS Mincho"/>
          <w:lang w:val="es-ES_tradnl" w:eastAsia="ja-JP"/>
        </w:rPr>
        <w:t>[Sigue el Anexo II]</w:t>
      </w:r>
    </w:p>
    <w:p w:rsidR="00292EB9" w:rsidRDefault="00292EB9" w:rsidP="00183337">
      <w:pPr>
        <w:rPr>
          <w:snapToGrid w:val="0"/>
        </w:rPr>
        <w:sectPr w:rsidR="00292EB9" w:rsidSect="009E0FA0">
          <w:headerReference w:type="default" r:id="rId11"/>
          <w:headerReference w:type="first" r:id="rId12"/>
          <w:footerReference w:type="first" r:id="rId13"/>
          <w:pgSz w:w="11907" w:h="16840" w:code="9"/>
          <w:pgMar w:top="510" w:right="1134" w:bottom="851" w:left="1134" w:header="510" w:footer="680" w:gutter="0"/>
          <w:pgNumType w:start="1"/>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292EB9" w:rsidRPr="00BC440A" w:rsidTr="003672CD">
        <w:tc>
          <w:tcPr>
            <w:tcW w:w="9889" w:type="dxa"/>
          </w:tcPr>
          <w:p w:rsidR="00292EB9" w:rsidRPr="00BC440A" w:rsidRDefault="00292EB9" w:rsidP="003C1932">
            <w:pPr>
              <w:autoSpaceDE w:val="0"/>
              <w:autoSpaceDN w:val="0"/>
              <w:adjustRightInd w:val="0"/>
              <w:spacing w:before="120" w:after="120"/>
              <w:jc w:val="center"/>
              <w:rPr>
                <w:rFonts w:eastAsia="SimSun"/>
                <w:szCs w:val="24"/>
                <w:lang w:val="es-ES_tradnl" w:eastAsia="zh-CN"/>
              </w:rPr>
            </w:pPr>
            <w:r w:rsidRPr="004055B7">
              <w:rPr>
                <w:rFonts w:eastAsia="SimSun"/>
                <w:szCs w:val="24"/>
                <w:lang w:val="es-ES_tradnl" w:eastAsia="zh-CN"/>
              </w:rPr>
              <w:t>SITUACIÓN B:</w:t>
            </w:r>
            <w:r w:rsidRPr="00BC440A">
              <w:rPr>
                <w:rFonts w:eastAsia="SimSun"/>
                <w:szCs w:val="24"/>
                <w:lang w:val="es-ES_tradnl" w:eastAsia="zh-CN"/>
              </w:rPr>
              <w:t xml:space="preserve">  </w:t>
            </w:r>
            <w:r w:rsidRPr="004055B7">
              <w:rPr>
                <w:rFonts w:eastAsia="SimSun"/>
                <w:szCs w:val="24"/>
                <w:lang w:val="es-ES_tradnl" w:eastAsia="zh-CN"/>
              </w:rPr>
              <w:t>DOS LUGARES DE CULTIVO EN EL MISMO AÑO</w:t>
            </w:r>
          </w:p>
        </w:tc>
      </w:tr>
      <w:tr w:rsidR="00292EB9" w:rsidRPr="00ED3415" w:rsidTr="003672CD">
        <w:tc>
          <w:tcPr>
            <w:tcW w:w="9889" w:type="dxa"/>
          </w:tcPr>
          <w:p w:rsidR="00292EB9" w:rsidRPr="009E0FA0" w:rsidRDefault="00292EB9" w:rsidP="00183337">
            <w:pPr>
              <w:rPr>
                <w:szCs w:val="24"/>
                <w:lang w:val="es-ES_tradnl"/>
              </w:rPr>
            </w:pPr>
          </w:p>
          <w:p w:rsidR="00292EB9" w:rsidRPr="00BC440A" w:rsidRDefault="00292EB9" w:rsidP="00183337">
            <w:pPr>
              <w:rPr>
                <w:b/>
                <w:szCs w:val="24"/>
                <w:lang w:val="es-ES_tradnl"/>
              </w:rPr>
            </w:pPr>
            <w:r w:rsidRPr="004055B7">
              <w:rPr>
                <w:b/>
                <w:szCs w:val="24"/>
                <w:lang w:val="es-ES_tradnl"/>
              </w:rPr>
              <w:t>Método 1:</w:t>
            </w:r>
            <w:r w:rsidRPr="00BC440A">
              <w:rPr>
                <w:b/>
                <w:szCs w:val="24"/>
                <w:lang w:val="es-ES_tradnl"/>
              </w:rPr>
              <w:t xml:space="preserve">  </w:t>
            </w:r>
            <w:r w:rsidRPr="004055B7">
              <w:rPr>
                <w:b/>
                <w:szCs w:val="24"/>
                <w:lang w:val="es-ES_tradnl"/>
              </w:rPr>
              <w:t>Tercer ciclo de cultivo para resultados contradictorios</w:t>
            </w:r>
            <w:r w:rsidRPr="00BC440A">
              <w:rPr>
                <w:b/>
                <w:szCs w:val="24"/>
                <w:lang w:val="es-ES_tradnl"/>
              </w:rPr>
              <w:t xml:space="preserve"> </w:t>
            </w:r>
          </w:p>
          <w:p w:rsidR="00292EB9" w:rsidRPr="00BC440A" w:rsidRDefault="00292EB9" w:rsidP="00183337">
            <w:pPr>
              <w:rPr>
                <w:rFonts w:eastAsia="SimSun"/>
                <w:szCs w:val="24"/>
                <w:lang w:val="es-ES_tradnl" w:eastAsia="zh-CN"/>
              </w:rPr>
            </w:pPr>
          </w:p>
          <w:p w:rsidR="00292EB9" w:rsidRPr="00BC440A" w:rsidRDefault="00292EB9" w:rsidP="00183337">
            <w:pPr>
              <w:rPr>
                <w:rFonts w:eastAsia="SimSun"/>
                <w:szCs w:val="24"/>
                <w:lang w:val="es-ES_tradnl" w:eastAsia="zh-CN"/>
              </w:rPr>
            </w:pPr>
            <w:r w:rsidRPr="004055B7">
              <w:rPr>
                <w:rFonts w:eastAsia="SimSun"/>
                <w:szCs w:val="24"/>
                <w:lang w:val="es-ES_tradnl" w:eastAsia="zh-CN"/>
              </w:rPr>
              <w:t>Se considera que una variedad es homogénea si cumple el estándar de homogeneidad en ambos lugares de cultivo.</w:t>
            </w:r>
          </w:p>
          <w:p w:rsidR="00292EB9" w:rsidRPr="00BC440A" w:rsidRDefault="00292EB9" w:rsidP="00183337">
            <w:pPr>
              <w:rPr>
                <w:rFonts w:eastAsia="SimSun"/>
                <w:szCs w:val="24"/>
                <w:lang w:val="es-ES_tradnl" w:eastAsia="zh-CN"/>
              </w:rPr>
            </w:pPr>
          </w:p>
          <w:p w:rsidR="00292EB9" w:rsidRPr="00BC440A" w:rsidRDefault="00292EB9" w:rsidP="00183337">
            <w:pPr>
              <w:rPr>
                <w:rFonts w:eastAsia="SimSun"/>
                <w:szCs w:val="24"/>
                <w:lang w:val="es-ES_tradnl" w:eastAsia="zh-CN"/>
              </w:rPr>
            </w:pPr>
            <w:r w:rsidRPr="004055B7">
              <w:rPr>
                <w:rFonts w:eastAsia="SimSun"/>
                <w:szCs w:val="24"/>
                <w:lang w:val="es-ES_tradnl" w:eastAsia="zh-CN"/>
              </w:rPr>
              <w:t>Se considera que una variedad no es homogénea si no cumple el estándar de homogeneidad en ambos lugares de cultivo.</w:t>
            </w:r>
          </w:p>
          <w:p w:rsidR="00292EB9" w:rsidRPr="00BC440A" w:rsidRDefault="00292EB9" w:rsidP="00183337">
            <w:pPr>
              <w:rPr>
                <w:rFonts w:eastAsia="SimSun"/>
                <w:szCs w:val="24"/>
                <w:lang w:val="es-ES_tradnl" w:eastAsia="zh-CN"/>
              </w:rPr>
            </w:pPr>
          </w:p>
          <w:p w:rsidR="00292EB9" w:rsidRPr="00BC440A" w:rsidRDefault="00292EB9" w:rsidP="00183337">
            <w:pPr>
              <w:keepNext/>
              <w:keepLines/>
              <w:rPr>
                <w:rFonts w:eastAsia="SimSun"/>
                <w:szCs w:val="24"/>
                <w:lang w:val="es-ES_tradnl" w:eastAsia="zh-CN"/>
              </w:rPr>
            </w:pPr>
            <w:r w:rsidRPr="004055B7">
              <w:rPr>
                <w:rFonts w:eastAsia="SimSun"/>
                <w:szCs w:val="24"/>
                <w:lang w:val="es-ES_tradnl" w:eastAsia="zh-CN"/>
              </w:rPr>
              <w:t>Si la variedad cumple el estándar de homogeneidad en un lugar de cultivo pero no lo cumple en el otro lugar de cultivo:</w:t>
            </w:r>
            <w:r w:rsidRPr="00BC440A">
              <w:rPr>
                <w:rFonts w:eastAsia="SimSun"/>
                <w:szCs w:val="24"/>
                <w:lang w:val="es-ES_tradnl" w:eastAsia="zh-CN"/>
              </w:rPr>
              <w:t xml:space="preserve"> </w:t>
            </w:r>
          </w:p>
          <w:p w:rsidR="00292EB9" w:rsidRPr="00BC440A" w:rsidRDefault="00292EB9" w:rsidP="00183337">
            <w:pPr>
              <w:keepNext/>
              <w:keepLines/>
              <w:rPr>
                <w:rFonts w:eastAsia="SimSun"/>
                <w:szCs w:val="24"/>
                <w:lang w:val="es-ES_tradnl" w:eastAsia="zh-CN"/>
              </w:rPr>
            </w:pPr>
          </w:p>
          <w:p w:rsidR="00292EB9" w:rsidRPr="00BC440A" w:rsidRDefault="00292EB9" w:rsidP="00183337">
            <w:pPr>
              <w:keepNext/>
              <w:keepLines/>
              <w:ind w:left="561" w:right="709"/>
              <w:rPr>
                <w:rFonts w:eastAsia="SimSun"/>
                <w:lang w:val="es-ES_tradnl" w:eastAsia="zh-CN"/>
              </w:rPr>
            </w:pPr>
            <w:r w:rsidRPr="004055B7">
              <w:rPr>
                <w:rFonts w:eastAsia="SimSun"/>
                <w:lang w:val="es-ES_tradnl" w:eastAsia="zh-CN"/>
              </w:rPr>
              <w:t>Alternativa a)</w:t>
            </w:r>
            <w:r w:rsidRPr="00BC440A">
              <w:rPr>
                <w:rFonts w:eastAsia="SimSun"/>
                <w:lang w:val="es-ES_tradnl" w:eastAsia="zh-CN"/>
              </w:rPr>
              <w:tab/>
            </w:r>
            <w:r w:rsidRPr="004055B7">
              <w:rPr>
                <w:rFonts w:eastAsia="SimSun"/>
                <w:lang w:val="es-ES_tradnl" w:eastAsia="zh-CN"/>
              </w:rPr>
              <w:t>el ensayo se repite en ambos lugares un segundo año;</w:t>
            </w:r>
          </w:p>
          <w:p w:rsidR="00292EB9" w:rsidRPr="00BC440A" w:rsidRDefault="00292EB9" w:rsidP="00183337">
            <w:pPr>
              <w:keepNext/>
              <w:keepLines/>
              <w:ind w:left="561" w:right="709"/>
              <w:rPr>
                <w:rFonts w:eastAsia="SimSun"/>
                <w:lang w:val="es-ES_tradnl" w:eastAsia="zh-CN"/>
              </w:rPr>
            </w:pPr>
          </w:p>
          <w:p w:rsidR="00292EB9" w:rsidRPr="00BC440A" w:rsidRDefault="00292EB9" w:rsidP="00183337">
            <w:pPr>
              <w:keepNext/>
              <w:keepLines/>
              <w:ind w:left="561" w:right="709"/>
              <w:rPr>
                <w:rFonts w:eastAsia="SimSun"/>
                <w:lang w:val="es-ES_tradnl" w:eastAsia="zh-CN"/>
              </w:rPr>
            </w:pPr>
            <w:r w:rsidRPr="004055B7">
              <w:rPr>
                <w:rFonts w:eastAsia="SimSun"/>
                <w:lang w:val="es-ES_tradnl" w:eastAsia="zh-CN"/>
              </w:rPr>
              <w:t>Alternativa b)</w:t>
            </w:r>
            <w:r w:rsidRPr="00BC440A">
              <w:rPr>
                <w:rFonts w:eastAsia="SimSun"/>
                <w:lang w:val="es-ES_tradnl" w:eastAsia="zh-CN"/>
              </w:rPr>
              <w:tab/>
            </w:r>
            <w:r w:rsidRPr="004055B7">
              <w:rPr>
                <w:rFonts w:eastAsia="SimSun"/>
                <w:lang w:val="es-ES_tradnl" w:eastAsia="zh-CN"/>
              </w:rPr>
              <w:t>el ensayo se repite en la estación principal (lugar)</w:t>
            </w:r>
          </w:p>
          <w:p w:rsidR="00292EB9" w:rsidRPr="00BC440A" w:rsidRDefault="00292EB9" w:rsidP="00183337">
            <w:pPr>
              <w:keepNext/>
              <w:keepLines/>
              <w:ind w:left="561" w:right="709"/>
              <w:rPr>
                <w:lang w:val="es-ES_tradnl"/>
              </w:rPr>
            </w:pPr>
          </w:p>
          <w:p w:rsidR="00292EB9" w:rsidRPr="00BC440A" w:rsidRDefault="00292EB9" w:rsidP="00183337">
            <w:pPr>
              <w:keepNext/>
              <w:keepLines/>
              <w:rPr>
                <w:rFonts w:eastAsia="SimSun"/>
                <w:szCs w:val="24"/>
                <w:lang w:val="es-ES_tradnl" w:eastAsia="zh-CN"/>
              </w:rPr>
            </w:pPr>
            <w:r w:rsidRPr="004055B7">
              <w:rPr>
                <w:szCs w:val="24"/>
                <w:lang w:val="es-ES_tradnl"/>
              </w:rPr>
              <w:t>Es preciso poner cuidado al examinar resultados que sean muy diferentes en cada uno de los ciclos de cultivo, por ejemplo cuando se observe una gran abundancia de plantas fuera de tipo en un ciclo de cultivo y su ausencia en otro ciclo.</w:t>
            </w:r>
          </w:p>
          <w:p w:rsidR="00292EB9" w:rsidRPr="00BC440A" w:rsidRDefault="00292EB9" w:rsidP="00183337">
            <w:pPr>
              <w:keepNext/>
              <w:keepLines/>
              <w:rPr>
                <w:rFonts w:eastAsia="SimSun"/>
                <w:szCs w:val="24"/>
                <w:lang w:val="es-ES_tradnl" w:eastAsia="zh-CN"/>
              </w:rPr>
            </w:pPr>
          </w:p>
          <w:p w:rsidR="00292EB9" w:rsidRPr="00BC440A" w:rsidRDefault="00292EB9" w:rsidP="009E0FA0">
            <w:pPr>
              <w:keepNext/>
              <w:keepLines/>
              <w:ind w:right="709"/>
              <w:rPr>
                <w:b/>
                <w:szCs w:val="24"/>
                <w:lang w:val="es-ES_tradnl"/>
              </w:rPr>
            </w:pPr>
          </w:p>
          <w:p w:rsidR="00292EB9" w:rsidRPr="00BC440A" w:rsidRDefault="00292EB9" w:rsidP="00183337">
            <w:pPr>
              <w:rPr>
                <w:rFonts w:eastAsia="SimSun"/>
                <w:b/>
                <w:szCs w:val="24"/>
                <w:lang w:val="es-ES_tradnl" w:eastAsia="zh-CN"/>
              </w:rPr>
            </w:pPr>
            <w:r w:rsidRPr="004055B7">
              <w:rPr>
                <w:b/>
                <w:szCs w:val="24"/>
                <w:lang w:val="es-ES_tradnl"/>
              </w:rPr>
              <w:t>Método 2:</w:t>
            </w:r>
            <w:r w:rsidRPr="00BC440A">
              <w:rPr>
                <w:b/>
                <w:szCs w:val="24"/>
                <w:lang w:val="es-ES_tradnl"/>
              </w:rPr>
              <w:t xml:space="preserve">  </w:t>
            </w:r>
            <w:r w:rsidRPr="004055B7">
              <w:rPr>
                <w:rFonts w:eastAsia="SimSun"/>
                <w:b/>
                <w:szCs w:val="24"/>
                <w:lang w:val="es-ES_tradnl" w:eastAsia="zh-CN"/>
              </w:rPr>
              <w:t>Combinar los resultados de dos lugares</w:t>
            </w:r>
            <w:r w:rsidRPr="00BC440A">
              <w:rPr>
                <w:rFonts w:eastAsia="SimSun"/>
                <w:b/>
                <w:szCs w:val="24"/>
                <w:lang w:val="es-ES_tradnl" w:eastAsia="zh-CN"/>
              </w:rPr>
              <w:t xml:space="preserve"> </w:t>
            </w:r>
          </w:p>
          <w:p w:rsidR="00292EB9" w:rsidRPr="00BC440A" w:rsidRDefault="00292EB9" w:rsidP="00183337">
            <w:pPr>
              <w:rPr>
                <w:rFonts w:eastAsia="SimSun"/>
                <w:b/>
                <w:szCs w:val="24"/>
                <w:lang w:val="es-ES_tradnl" w:eastAsia="zh-CN"/>
              </w:rPr>
            </w:pPr>
          </w:p>
          <w:p w:rsidR="00292EB9" w:rsidRPr="00BC440A" w:rsidRDefault="00292EB9" w:rsidP="00183337">
            <w:pPr>
              <w:rPr>
                <w:rFonts w:eastAsia="SimSun"/>
                <w:szCs w:val="24"/>
                <w:lang w:val="es-ES_tradnl" w:eastAsia="zh-CN"/>
              </w:rPr>
            </w:pPr>
            <w:r w:rsidRPr="004055B7">
              <w:rPr>
                <w:rFonts w:eastAsia="SimSun"/>
                <w:szCs w:val="24"/>
                <w:lang w:val="es-ES_tradnl" w:eastAsia="zh-CN"/>
              </w:rPr>
              <w:t>Se considera que una variedad es homogénea si cumple el estándar de homogeneidad en ambos lugares.</w:t>
            </w:r>
          </w:p>
          <w:p w:rsidR="00292EB9" w:rsidRPr="00BC440A" w:rsidRDefault="00292EB9" w:rsidP="00183337">
            <w:pPr>
              <w:rPr>
                <w:rFonts w:eastAsia="SimSun"/>
                <w:szCs w:val="24"/>
                <w:lang w:val="es-ES_tradnl" w:eastAsia="zh-CN"/>
              </w:rPr>
            </w:pPr>
          </w:p>
          <w:p w:rsidR="00292EB9" w:rsidRPr="00BC440A" w:rsidRDefault="00292EB9" w:rsidP="00183337">
            <w:pPr>
              <w:keepNext/>
              <w:keepLines/>
              <w:tabs>
                <w:tab w:val="left" w:pos="1985"/>
              </w:tabs>
              <w:rPr>
                <w:rFonts w:eastAsia="SimSun"/>
                <w:szCs w:val="24"/>
                <w:lang w:val="es-ES_tradnl" w:eastAsia="zh-CN"/>
              </w:rPr>
            </w:pPr>
            <w:r w:rsidRPr="004055B7">
              <w:rPr>
                <w:rFonts w:eastAsia="SimSun"/>
                <w:szCs w:val="24"/>
                <w:lang w:val="es-ES_tradnl" w:eastAsia="zh-CN"/>
              </w:rPr>
              <w:t>Se considera que una variedad no es homogénea si no cumple el estándar de homogeneidad en ambos lugares.</w:t>
            </w:r>
          </w:p>
          <w:p w:rsidR="00292EB9" w:rsidRPr="00BC440A" w:rsidRDefault="00292EB9" w:rsidP="00183337">
            <w:pPr>
              <w:keepNext/>
              <w:keepLines/>
              <w:tabs>
                <w:tab w:val="left" w:pos="1985"/>
              </w:tabs>
              <w:rPr>
                <w:rFonts w:eastAsia="SimSun"/>
                <w:szCs w:val="24"/>
                <w:lang w:val="es-ES_tradnl" w:eastAsia="zh-CN"/>
              </w:rPr>
            </w:pPr>
          </w:p>
          <w:p w:rsidR="00292EB9" w:rsidRPr="00BC440A" w:rsidRDefault="00292EB9" w:rsidP="00183337">
            <w:pPr>
              <w:rPr>
                <w:rFonts w:eastAsia="SimSun"/>
                <w:szCs w:val="24"/>
                <w:lang w:val="es-ES_tradnl" w:eastAsia="zh-CN"/>
              </w:rPr>
            </w:pPr>
            <w:r w:rsidRPr="003C1932">
              <w:rPr>
                <w:rFonts w:eastAsia="SimSun"/>
                <w:szCs w:val="24"/>
                <w:lang w:val="es-ES_tradnl" w:eastAsia="zh-CN"/>
              </w:rPr>
              <w:t>Si la variedad cumple el estándar de homogeneidad en un lugar de cultivo pero no cumple el estándar de homogeneidad en el otro lugar de cultivo, se considera que la variedad es homogénea si el número total de plantas o partes de plantas fuera de tipo no supera el número permitido de plantas fuera de tipo en una muestra combinada (dos lugares).</w:t>
            </w:r>
          </w:p>
          <w:p w:rsidR="00292EB9" w:rsidRPr="00BC440A" w:rsidRDefault="00292EB9" w:rsidP="00183337">
            <w:pPr>
              <w:keepNext/>
              <w:keepLines/>
              <w:rPr>
                <w:rFonts w:eastAsia="SimSun"/>
                <w:szCs w:val="24"/>
                <w:lang w:val="es-ES_tradnl" w:eastAsia="zh-CN"/>
              </w:rPr>
            </w:pPr>
          </w:p>
          <w:p w:rsidR="00292EB9" w:rsidRPr="00BC440A" w:rsidRDefault="00292EB9" w:rsidP="00183337">
            <w:pPr>
              <w:keepNext/>
              <w:keepLines/>
              <w:rPr>
                <w:color w:val="000000"/>
                <w:szCs w:val="24"/>
                <w:lang w:val="es-ES_tradnl"/>
              </w:rPr>
            </w:pPr>
            <w:r w:rsidRPr="004055B7">
              <w:rPr>
                <w:szCs w:val="24"/>
                <w:lang w:val="es-ES_tradnl"/>
              </w:rPr>
              <w:t>Es preciso poner cuidado al examinar resultados que sean muy diferentes en cada uno de los ciclos de cultivo, por ejemplo cuando se observe una gran abundancia de plantas fuera de tipo en un ciclo de cultivo y su ausencia en otro ciclo.</w:t>
            </w:r>
          </w:p>
          <w:p w:rsidR="00292EB9" w:rsidRDefault="00292EB9" w:rsidP="00183337">
            <w:pPr>
              <w:keepNext/>
              <w:keepLines/>
              <w:rPr>
                <w:rFonts w:eastAsia="SimSun"/>
                <w:szCs w:val="24"/>
                <w:lang w:eastAsia="zh-CN"/>
              </w:rPr>
            </w:pPr>
            <w:r>
              <w:rPr>
                <w:rFonts w:eastAsia="SimSun"/>
                <w:szCs w:val="24"/>
                <w:lang w:eastAsia="zh-CN"/>
              </w:rPr>
              <w:t>______________________________________________________________________________________</w:t>
            </w:r>
          </w:p>
          <w:p w:rsidR="00292EB9" w:rsidRDefault="00292EB9" w:rsidP="00183337">
            <w:pPr>
              <w:rPr>
                <w:szCs w:val="24"/>
              </w:rPr>
            </w:pPr>
          </w:p>
          <w:p w:rsidR="00292EB9" w:rsidRPr="00BD2498" w:rsidRDefault="00292EB9" w:rsidP="00183337">
            <w:pPr>
              <w:rPr>
                <w:szCs w:val="24"/>
              </w:rPr>
            </w:pPr>
            <w:r w:rsidRPr="005F20AE">
              <w:rPr>
                <w:lang w:val="es-ES_tradnl"/>
              </w:rPr>
              <w:t>Ejemplo ilustrativo:</w:t>
            </w:r>
            <w:r w:rsidRPr="00BD2498">
              <w:rPr>
                <w:szCs w:val="24"/>
              </w:rPr>
              <w:t xml:space="preserve"> </w:t>
            </w:r>
          </w:p>
          <w:p w:rsidR="00292EB9" w:rsidRDefault="00292EB9" w:rsidP="00183337">
            <w:pPr>
              <w:rPr>
                <w:szCs w:val="24"/>
              </w:rPr>
            </w:pPr>
          </w:p>
          <w:tbl>
            <w:tblPr>
              <w:tblW w:w="6521" w:type="dxa"/>
              <w:tblInd w:w="1276" w:type="dxa"/>
              <w:tblLayout w:type="fixed"/>
              <w:tblLook w:val="00A0" w:firstRow="1" w:lastRow="0" w:firstColumn="1" w:lastColumn="0" w:noHBand="0" w:noVBand="0"/>
            </w:tblPr>
            <w:tblGrid>
              <w:gridCol w:w="6521"/>
            </w:tblGrid>
            <w:tr w:rsidR="00292EB9" w:rsidRPr="00304612" w:rsidTr="003672CD">
              <w:tc>
                <w:tcPr>
                  <w:tcW w:w="6521" w:type="dxa"/>
                  <w:tcBorders>
                    <w:top w:val="nil"/>
                    <w:left w:val="nil"/>
                    <w:bottom w:val="nil"/>
                    <w:right w:val="nil"/>
                  </w:tcBorders>
                  <w:noWrap/>
                  <w:vAlign w:val="bottom"/>
                </w:tcPr>
                <w:p w:rsidR="00292EB9" w:rsidRPr="00304612" w:rsidRDefault="00292EB9" w:rsidP="00183337">
                  <w:pPr>
                    <w:jc w:val="left"/>
                    <w:rPr>
                      <w:rFonts w:cs="Arial"/>
                      <w:color w:val="000000"/>
                    </w:rPr>
                  </w:pPr>
                  <w:r w:rsidRPr="004055B7">
                    <w:rPr>
                      <w:rFonts w:cs="Arial"/>
                      <w:lang w:val="es-ES_tradnl"/>
                    </w:rPr>
                    <w:t>Población estándar = 1%</w:t>
                  </w:r>
                  <w:r w:rsidRPr="00304612">
                    <w:rPr>
                      <w:rFonts w:cs="Arial"/>
                      <w:color w:val="000000"/>
                    </w:rPr>
                    <w:t xml:space="preserve">  </w:t>
                  </w:r>
                </w:p>
              </w:tc>
            </w:tr>
            <w:tr w:rsidR="00292EB9" w:rsidRPr="00304612" w:rsidTr="003672CD">
              <w:tc>
                <w:tcPr>
                  <w:tcW w:w="6521" w:type="dxa"/>
                  <w:tcBorders>
                    <w:top w:val="nil"/>
                    <w:left w:val="nil"/>
                    <w:bottom w:val="nil"/>
                    <w:right w:val="nil"/>
                  </w:tcBorders>
                  <w:noWrap/>
                  <w:vAlign w:val="bottom"/>
                </w:tcPr>
                <w:p w:rsidR="00292EB9" w:rsidRPr="00304612" w:rsidRDefault="00292EB9" w:rsidP="00183337">
                  <w:pPr>
                    <w:jc w:val="left"/>
                    <w:rPr>
                      <w:rFonts w:cs="Arial"/>
                      <w:color w:val="000000"/>
                    </w:rPr>
                  </w:pPr>
                  <w:r w:rsidRPr="004055B7">
                    <w:rPr>
                      <w:rFonts w:cs="Arial"/>
                      <w:lang w:val="es-ES_tradnl"/>
                    </w:rPr>
                    <w:t>Probabilidad de aceptación ≥ 95%</w:t>
                  </w:r>
                </w:p>
              </w:tc>
            </w:tr>
            <w:tr w:rsidR="00292EB9" w:rsidRPr="00BC440A" w:rsidTr="003672CD">
              <w:tc>
                <w:tcPr>
                  <w:tcW w:w="6521" w:type="dxa"/>
                  <w:tcBorders>
                    <w:top w:val="single" w:sz="8" w:space="0" w:color="auto"/>
                    <w:left w:val="single" w:sz="8" w:space="0" w:color="auto"/>
                    <w:bottom w:val="nil"/>
                    <w:right w:val="single" w:sz="8" w:space="0" w:color="000000"/>
                  </w:tcBorders>
                  <w:noWrap/>
                  <w:vAlign w:val="bottom"/>
                </w:tcPr>
                <w:p w:rsidR="00292EB9" w:rsidRPr="00BC440A" w:rsidRDefault="00292EB9" w:rsidP="00183337">
                  <w:pPr>
                    <w:jc w:val="left"/>
                    <w:rPr>
                      <w:rFonts w:cs="Arial"/>
                      <w:color w:val="000000"/>
                      <w:lang w:val="es-ES_tradnl"/>
                    </w:rPr>
                  </w:pPr>
                  <w:r w:rsidRPr="004055B7">
                    <w:rPr>
                      <w:rFonts w:cs="Arial"/>
                      <w:lang w:val="es-ES_tradnl"/>
                    </w:rPr>
                    <w:t>Tamaño de la muestra en cada uno de los ciclos de cultivo 1 y 2 = 50</w:t>
                  </w:r>
                </w:p>
              </w:tc>
            </w:tr>
            <w:tr w:rsidR="00292EB9" w:rsidRPr="00BC440A" w:rsidTr="003672CD">
              <w:tc>
                <w:tcPr>
                  <w:tcW w:w="6521" w:type="dxa"/>
                  <w:tcBorders>
                    <w:top w:val="nil"/>
                    <w:left w:val="single" w:sz="4" w:space="0" w:color="auto"/>
                    <w:bottom w:val="single" w:sz="8" w:space="0" w:color="auto"/>
                    <w:right w:val="single" w:sz="8" w:space="0" w:color="000000"/>
                  </w:tcBorders>
                  <w:noWrap/>
                  <w:vAlign w:val="bottom"/>
                </w:tcPr>
                <w:p w:rsidR="00292EB9" w:rsidRPr="00BC440A" w:rsidRDefault="00292EB9" w:rsidP="00183337">
                  <w:pPr>
                    <w:jc w:val="left"/>
                    <w:rPr>
                      <w:rFonts w:cs="Arial"/>
                      <w:color w:val="000000"/>
                      <w:lang w:val="es-ES_tradnl"/>
                    </w:rPr>
                  </w:pPr>
                  <w:r w:rsidRPr="004055B7">
                    <w:rPr>
                      <w:rFonts w:cs="Arial"/>
                      <w:lang w:val="es-ES_tradnl"/>
                    </w:rPr>
                    <w:t>Número máximo de plantas fuera de tipo = 2</w:t>
                  </w:r>
                </w:p>
              </w:tc>
            </w:tr>
            <w:tr w:rsidR="00292EB9" w:rsidRPr="00BC440A" w:rsidTr="003672CD">
              <w:tc>
                <w:tcPr>
                  <w:tcW w:w="6521" w:type="dxa"/>
                  <w:tcBorders>
                    <w:top w:val="nil"/>
                    <w:left w:val="single" w:sz="4" w:space="0" w:color="auto"/>
                    <w:bottom w:val="nil"/>
                    <w:right w:val="single" w:sz="4" w:space="0" w:color="auto"/>
                  </w:tcBorders>
                  <w:noWrap/>
                  <w:vAlign w:val="bottom"/>
                </w:tcPr>
                <w:p w:rsidR="00292EB9" w:rsidRPr="00BC440A" w:rsidRDefault="00292EB9" w:rsidP="00183337">
                  <w:pPr>
                    <w:jc w:val="left"/>
                    <w:rPr>
                      <w:rFonts w:cs="Arial"/>
                      <w:color w:val="000000"/>
                      <w:lang w:val="es-ES_tradnl"/>
                    </w:rPr>
                  </w:pPr>
                  <w:r w:rsidRPr="004055B7">
                    <w:rPr>
                      <w:rFonts w:cs="Arial"/>
                      <w:lang w:val="es-ES_tradnl"/>
                    </w:rPr>
                    <w:t>Tamaño de la muestra en los ciclos de cultivo 1 y 2 combinados = 100</w:t>
                  </w:r>
                </w:p>
              </w:tc>
            </w:tr>
            <w:tr w:rsidR="00292EB9" w:rsidRPr="00BC440A" w:rsidTr="003672CD">
              <w:tc>
                <w:tcPr>
                  <w:tcW w:w="6521" w:type="dxa"/>
                  <w:tcBorders>
                    <w:top w:val="nil"/>
                    <w:left w:val="single" w:sz="4" w:space="0" w:color="auto"/>
                    <w:bottom w:val="single" w:sz="4" w:space="0" w:color="auto"/>
                    <w:right w:val="single" w:sz="4" w:space="0" w:color="auto"/>
                  </w:tcBorders>
                  <w:noWrap/>
                  <w:vAlign w:val="bottom"/>
                </w:tcPr>
                <w:p w:rsidR="00292EB9" w:rsidRPr="00BC440A" w:rsidRDefault="00292EB9" w:rsidP="00183337">
                  <w:pPr>
                    <w:jc w:val="left"/>
                    <w:rPr>
                      <w:rFonts w:cs="Arial"/>
                      <w:color w:val="000000"/>
                      <w:lang w:val="es-ES_tradnl"/>
                    </w:rPr>
                  </w:pPr>
                  <w:r w:rsidRPr="004055B7">
                    <w:rPr>
                      <w:rFonts w:cs="Arial"/>
                      <w:lang w:val="es-ES_tradnl"/>
                    </w:rPr>
                    <w:t>Número máximo de plantas fuera de tipo = 3</w:t>
                  </w:r>
                </w:p>
              </w:tc>
            </w:tr>
          </w:tbl>
          <w:p w:rsidR="00292EB9" w:rsidRPr="00BC440A" w:rsidRDefault="00292EB9" w:rsidP="00183337">
            <w:pPr>
              <w:pStyle w:val="Titleofdoc0"/>
              <w:spacing w:before="0"/>
              <w:jc w:val="both"/>
              <w:rPr>
                <w:szCs w:val="24"/>
                <w:lang w:val="es-ES_tradnl"/>
              </w:rPr>
            </w:pPr>
          </w:p>
          <w:tbl>
            <w:tblPr>
              <w:tblW w:w="6521" w:type="dxa"/>
              <w:tblInd w:w="1276" w:type="dxa"/>
              <w:tblLayout w:type="fixed"/>
              <w:tblLook w:val="00A0" w:firstRow="1" w:lastRow="0" w:firstColumn="1" w:lastColumn="0" w:noHBand="0" w:noVBand="0"/>
            </w:tblPr>
            <w:tblGrid>
              <w:gridCol w:w="837"/>
              <w:gridCol w:w="1080"/>
              <w:gridCol w:w="1260"/>
              <w:gridCol w:w="1501"/>
              <w:gridCol w:w="171"/>
              <w:gridCol w:w="1672"/>
            </w:tblGrid>
            <w:tr w:rsidR="00292EB9" w:rsidRPr="00BC440A" w:rsidTr="003672CD">
              <w:trPr>
                <w:cantSplit/>
              </w:trPr>
              <w:tc>
                <w:tcPr>
                  <w:tcW w:w="837" w:type="dxa"/>
                  <w:tcBorders>
                    <w:top w:val="nil"/>
                    <w:left w:val="nil"/>
                    <w:bottom w:val="nil"/>
                    <w:right w:val="nil"/>
                  </w:tcBorders>
                  <w:noWrap/>
                  <w:vAlign w:val="bottom"/>
                </w:tcPr>
                <w:p w:rsidR="00292EB9" w:rsidRPr="00BC440A" w:rsidRDefault="00292EB9" w:rsidP="00183337">
                  <w:pPr>
                    <w:jc w:val="left"/>
                    <w:rPr>
                      <w:rFonts w:cs="Arial"/>
                      <w:color w:val="000000"/>
                      <w:lang w:val="es-ES_tradnl"/>
                    </w:rPr>
                  </w:pPr>
                </w:p>
              </w:tc>
              <w:tc>
                <w:tcPr>
                  <w:tcW w:w="1080" w:type="dxa"/>
                  <w:tcBorders>
                    <w:top w:val="nil"/>
                    <w:left w:val="nil"/>
                    <w:bottom w:val="single" w:sz="4" w:space="0" w:color="auto"/>
                    <w:right w:val="nil"/>
                  </w:tcBorders>
                  <w:noWrap/>
                  <w:vAlign w:val="bottom"/>
                </w:tcPr>
                <w:p w:rsidR="00292EB9" w:rsidRPr="00BC440A" w:rsidRDefault="00292EB9" w:rsidP="00183337">
                  <w:pPr>
                    <w:jc w:val="left"/>
                    <w:rPr>
                      <w:rFonts w:cs="Arial"/>
                      <w:color w:val="000000"/>
                      <w:lang w:val="es-ES_tradnl"/>
                    </w:rPr>
                  </w:pPr>
                  <w:r w:rsidRPr="00BC440A">
                    <w:rPr>
                      <w:rFonts w:cs="Arial"/>
                      <w:color w:val="000000"/>
                      <w:lang w:val="es-ES_tradnl"/>
                    </w:rPr>
                    <w:t> </w:t>
                  </w:r>
                </w:p>
              </w:tc>
              <w:tc>
                <w:tcPr>
                  <w:tcW w:w="1260" w:type="dxa"/>
                  <w:tcBorders>
                    <w:top w:val="nil"/>
                    <w:left w:val="nil"/>
                    <w:bottom w:val="single" w:sz="4" w:space="0" w:color="auto"/>
                    <w:right w:val="nil"/>
                  </w:tcBorders>
                  <w:noWrap/>
                  <w:vAlign w:val="bottom"/>
                </w:tcPr>
                <w:p w:rsidR="00292EB9" w:rsidRPr="00BC440A" w:rsidRDefault="00292EB9" w:rsidP="00183337">
                  <w:pPr>
                    <w:jc w:val="left"/>
                    <w:rPr>
                      <w:rFonts w:cs="Arial"/>
                      <w:color w:val="000000"/>
                      <w:lang w:val="es-ES_tradnl"/>
                    </w:rPr>
                  </w:pPr>
                  <w:r w:rsidRPr="00BC440A">
                    <w:rPr>
                      <w:rFonts w:cs="Arial"/>
                      <w:color w:val="000000"/>
                      <w:lang w:val="es-ES_tradnl"/>
                    </w:rPr>
                    <w:t> </w:t>
                  </w:r>
                </w:p>
              </w:tc>
              <w:tc>
                <w:tcPr>
                  <w:tcW w:w="1501" w:type="dxa"/>
                  <w:tcBorders>
                    <w:top w:val="nil"/>
                    <w:left w:val="nil"/>
                    <w:bottom w:val="single" w:sz="4" w:space="0" w:color="auto"/>
                    <w:right w:val="nil"/>
                  </w:tcBorders>
                  <w:noWrap/>
                  <w:vAlign w:val="bottom"/>
                </w:tcPr>
                <w:p w:rsidR="00292EB9" w:rsidRPr="00BC440A" w:rsidRDefault="00292EB9" w:rsidP="00183337">
                  <w:pPr>
                    <w:jc w:val="left"/>
                    <w:rPr>
                      <w:rFonts w:cs="Arial"/>
                      <w:color w:val="000000"/>
                      <w:lang w:val="es-ES_tradnl"/>
                    </w:rPr>
                  </w:pPr>
                  <w:r w:rsidRPr="00BC440A">
                    <w:rPr>
                      <w:rFonts w:cs="Arial"/>
                      <w:color w:val="000000"/>
                      <w:lang w:val="es-ES_tradnl"/>
                    </w:rPr>
                    <w:t> </w:t>
                  </w:r>
                </w:p>
              </w:tc>
              <w:tc>
                <w:tcPr>
                  <w:tcW w:w="1843" w:type="dxa"/>
                  <w:gridSpan w:val="2"/>
                  <w:tcBorders>
                    <w:top w:val="nil"/>
                    <w:left w:val="nil"/>
                    <w:bottom w:val="single" w:sz="4" w:space="0" w:color="auto"/>
                    <w:right w:val="nil"/>
                  </w:tcBorders>
                  <w:noWrap/>
                  <w:vAlign w:val="bottom"/>
                </w:tcPr>
                <w:p w:rsidR="00292EB9" w:rsidRPr="00BC440A" w:rsidRDefault="00292EB9" w:rsidP="00183337">
                  <w:pPr>
                    <w:jc w:val="left"/>
                    <w:rPr>
                      <w:rFonts w:cs="Arial"/>
                      <w:color w:val="000000"/>
                      <w:lang w:val="es-ES_tradnl"/>
                    </w:rPr>
                  </w:pPr>
                  <w:r w:rsidRPr="00BC440A">
                    <w:rPr>
                      <w:rFonts w:cs="Arial"/>
                      <w:color w:val="000000"/>
                      <w:lang w:val="es-ES_tradnl"/>
                    </w:rPr>
                    <w:t> </w:t>
                  </w:r>
                </w:p>
              </w:tc>
            </w:tr>
            <w:tr w:rsidR="00292EB9" w:rsidRPr="00BD2498" w:rsidTr="003672CD">
              <w:trPr>
                <w:cantSplit/>
              </w:trPr>
              <w:tc>
                <w:tcPr>
                  <w:tcW w:w="837" w:type="dxa"/>
                  <w:tcBorders>
                    <w:top w:val="nil"/>
                    <w:left w:val="nil"/>
                    <w:bottom w:val="nil"/>
                    <w:right w:val="single" w:sz="4" w:space="0" w:color="auto"/>
                  </w:tcBorders>
                  <w:noWrap/>
                  <w:vAlign w:val="bottom"/>
                </w:tcPr>
                <w:p w:rsidR="00292EB9" w:rsidRPr="00BC440A" w:rsidRDefault="00292EB9" w:rsidP="00183337">
                  <w:pPr>
                    <w:jc w:val="left"/>
                    <w:rPr>
                      <w:rFonts w:cs="Arial"/>
                      <w:color w:val="000000"/>
                      <w:lang w:val="es-ES_tradnl"/>
                    </w:rPr>
                  </w:pPr>
                  <w:r w:rsidRPr="00BC440A">
                    <w:rPr>
                      <w:rFonts w:cs="Arial"/>
                      <w:color w:val="000000"/>
                      <w:lang w:val="es-ES_tradnl"/>
                    </w:rPr>
                    <w:t> </w:t>
                  </w:r>
                </w:p>
              </w:tc>
              <w:tc>
                <w:tcPr>
                  <w:tcW w:w="2340" w:type="dxa"/>
                  <w:gridSpan w:val="2"/>
                  <w:tcBorders>
                    <w:top w:val="nil"/>
                    <w:left w:val="nil"/>
                    <w:bottom w:val="single" w:sz="4" w:space="0" w:color="auto"/>
                    <w:right w:val="single" w:sz="4" w:space="0" w:color="000000"/>
                  </w:tcBorders>
                  <w:noWrap/>
                  <w:vAlign w:val="bottom"/>
                </w:tcPr>
                <w:p w:rsidR="00292EB9" w:rsidRPr="00BD2498" w:rsidRDefault="00292EB9" w:rsidP="00183337">
                  <w:pPr>
                    <w:jc w:val="center"/>
                    <w:rPr>
                      <w:rFonts w:cs="Arial"/>
                      <w:color w:val="000000"/>
                    </w:rPr>
                  </w:pPr>
                  <w:r w:rsidRPr="003C1932">
                    <w:rPr>
                      <w:rFonts w:cs="Arial"/>
                      <w:color w:val="000000"/>
                      <w:lang w:val="es-ES_tradnl"/>
                    </w:rPr>
                    <w:t>Lugar de cultivo</w:t>
                  </w:r>
                </w:p>
              </w:tc>
              <w:tc>
                <w:tcPr>
                  <w:tcW w:w="3344" w:type="dxa"/>
                  <w:gridSpan w:val="3"/>
                  <w:tcBorders>
                    <w:top w:val="single" w:sz="4" w:space="0" w:color="auto"/>
                    <w:left w:val="nil"/>
                    <w:bottom w:val="single" w:sz="4" w:space="0" w:color="auto"/>
                    <w:right w:val="single" w:sz="4" w:space="0" w:color="000000"/>
                  </w:tcBorders>
                  <w:noWrap/>
                  <w:vAlign w:val="bottom"/>
                </w:tcPr>
                <w:p w:rsidR="00292EB9" w:rsidRPr="00BD2498" w:rsidRDefault="00292EB9" w:rsidP="00183337">
                  <w:pPr>
                    <w:jc w:val="center"/>
                    <w:rPr>
                      <w:rFonts w:cs="Arial"/>
                      <w:color w:val="000000"/>
                    </w:rPr>
                  </w:pPr>
                  <w:r w:rsidRPr="004055B7">
                    <w:rPr>
                      <w:rFonts w:cs="Arial"/>
                      <w:lang w:val="es-ES_tradnl"/>
                    </w:rPr>
                    <w:t>Decisión</w:t>
                  </w:r>
                </w:p>
              </w:tc>
            </w:tr>
            <w:tr w:rsidR="00292EB9" w:rsidRPr="00BD2498" w:rsidTr="003672CD">
              <w:trPr>
                <w:cantSplit/>
              </w:trPr>
              <w:tc>
                <w:tcPr>
                  <w:tcW w:w="837" w:type="dxa"/>
                  <w:tcBorders>
                    <w:top w:val="nil"/>
                    <w:left w:val="nil"/>
                    <w:bottom w:val="single" w:sz="4" w:space="0" w:color="auto"/>
                    <w:right w:val="single" w:sz="4" w:space="0" w:color="auto"/>
                  </w:tcBorders>
                  <w:noWrap/>
                  <w:vAlign w:val="bottom"/>
                </w:tcPr>
                <w:p w:rsidR="00292EB9" w:rsidRPr="00BD2498" w:rsidRDefault="00292EB9" w:rsidP="00183337">
                  <w:pPr>
                    <w:jc w:val="left"/>
                    <w:rPr>
                      <w:rFonts w:cs="Arial"/>
                      <w:color w:val="000000"/>
                    </w:rPr>
                  </w:pPr>
                  <w:r w:rsidRPr="00BD2498">
                    <w:rPr>
                      <w:rFonts w:cs="Arial"/>
                      <w:color w:val="000000"/>
                    </w:rPr>
                    <w:t> </w:t>
                  </w:r>
                </w:p>
              </w:tc>
              <w:tc>
                <w:tcPr>
                  <w:tcW w:w="1080" w:type="dxa"/>
                  <w:tcBorders>
                    <w:top w:val="nil"/>
                    <w:left w:val="nil"/>
                    <w:bottom w:val="single" w:sz="8" w:space="0" w:color="auto"/>
                    <w:right w:val="single" w:sz="4" w:space="0" w:color="auto"/>
                  </w:tcBorders>
                  <w:noWrap/>
                  <w:vAlign w:val="bottom"/>
                </w:tcPr>
                <w:p w:rsidR="00292EB9" w:rsidRPr="00BD2498" w:rsidRDefault="00292EB9" w:rsidP="00183337">
                  <w:pPr>
                    <w:jc w:val="center"/>
                    <w:rPr>
                      <w:rFonts w:cs="Arial"/>
                      <w:color w:val="000000"/>
                    </w:rPr>
                  </w:pPr>
                  <w:r w:rsidRPr="004055B7">
                    <w:rPr>
                      <w:rFonts w:cs="Arial"/>
                      <w:lang w:val="es-ES_tradnl"/>
                    </w:rPr>
                    <w:t>Primero</w:t>
                  </w:r>
                </w:p>
              </w:tc>
              <w:tc>
                <w:tcPr>
                  <w:tcW w:w="1260" w:type="dxa"/>
                  <w:tcBorders>
                    <w:top w:val="nil"/>
                    <w:left w:val="nil"/>
                    <w:bottom w:val="single" w:sz="8" w:space="0" w:color="auto"/>
                    <w:right w:val="single" w:sz="4" w:space="0" w:color="auto"/>
                  </w:tcBorders>
                  <w:noWrap/>
                  <w:vAlign w:val="bottom"/>
                </w:tcPr>
                <w:p w:rsidR="00292EB9" w:rsidRPr="00BD2498" w:rsidRDefault="00292EB9" w:rsidP="00183337">
                  <w:pPr>
                    <w:jc w:val="center"/>
                    <w:rPr>
                      <w:rFonts w:cs="Arial"/>
                      <w:color w:val="000000"/>
                    </w:rPr>
                  </w:pPr>
                  <w:r w:rsidRPr="004055B7">
                    <w:rPr>
                      <w:rFonts w:cs="Arial"/>
                      <w:lang w:val="es-ES_tradnl"/>
                    </w:rPr>
                    <w:t>Segundo</w:t>
                  </w:r>
                </w:p>
              </w:tc>
              <w:tc>
                <w:tcPr>
                  <w:tcW w:w="1672" w:type="dxa"/>
                  <w:gridSpan w:val="2"/>
                  <w:tcBorders>
                    <w:top w:val="nil"/>
                    <w:left w:val="nil"/>
                    <w:bottom w:val="single" w:sz="8" w:space="0" w:color="auto"/>
                    <w:right w:val="single" w:sz="4" w:space="0" w:color="auto"/>
                  </w:tcBorders>
                  <w:noWrap/>
                  <w:vAlign w:val="bottom"/>
                </w:tcPr>
                <w:p w:rsidR="00292EB9" w:rsidRPr="00BD2498" w:rsidRDefault="00292EB9" w:rsidP="00183337">
                  <w:pPr>
                    <w:jc w:val="center"/>
                    <w:rPr>
                      <w:rFonts w:cs="Arial"/>
                      <w:color w:val="000000"/>
                    </w:rPr>
                  </w:pPr>
                  <w:r w:rsidRPr="004055B7">
                    <w:rPr>
                      <w:rFonts w:cs="Arial"/>
                      <w:lang w:val="es-ES_tradnl"/>
                    </w:rPr>
                    <w:t>Método 1</w:t>
                  </w:r>
                </w:p>
              </w:tc>
              <w:tc>
                <w:tcPr>
                  <w:tcW w:w="1672" w:type="dxa"/>
                  <w:tcBorders>
                    <w:top w:val="nil"/>
                    <w:left w:val="nil"/>
                    <w:bottom w:val="single" w:sz="8" w:space="0" w:color="auto"/>
                    <w:right w:val="single" w:sz="4" w:space="0" w:color="auto"/>
                  </w:tcBorders>
                  <w:noWrap/>
                  <w:vAlign w:val="bottom"/>
                </w:tcPr>
                <w:p w:rsidR="00292EB9" w:rsidRPr="00BD2498" w:rsidRDefault="00292EB9" w:rsidP="00183337">
                  <w:pPr>
                    <w:jc w:val="center"/>
                    <w:rPr>
                      <w:rFonts w:cs="Arial"/>
                      <w:color w:val="000000"/>
                    </w:rPr>
                  </w:pPr>
                  <w:r w:rsidRPr="004055B7">
                    <w:rPr>
                      <w:rFonts w:cs="Arial"/>
                      <w:lang w:val="es-ES_tradnl"/>
                    </w:rPr>
                    <w:t>Método 2</w:t>
                  </w:r>
                </w:p>
              </w:tc>
            </w:tr>
            <w:tr w:rsidR="00292EB9" w:rsidRPr="00BD2498" w:rsidTr="003672CD">
              <w:trPr>
                <w:cantSplit/>
              </w:trPr>
              <w:tc>
                <w:tcPr>
                  <w:tcW w:w="837" w:type="dxa"/>
                  <w:vMerge w:val="restart"/>
                  <w:tcBorders>
                    <w:top w:val="nil"/>
                    <w:left w:val="single" w:sz="4" w:space="0" w:color="auto"/>
                    <w:bottom w:val="single" w:sz="4" w:space="0" w:color="000000"/>
                    <w:right w:val="single" w:sz="4" w:space="0" w:color="000000"/>
                  </w:tcBorders>
                  <w:textDirection w:val="btLr"/>
                  <w:vAlign w:val="bottom"/>
                </w:tcPr>
                <w:p w:rsidR="00292EB9" w:rsidRPr="00BC440A" w:rsidRDefault="00292EB9" w:rsidP="00183337">
                  <w:pPr>
                    <w:jc w:val="center"/>
                    <w:rPr>
                      <w:rFonts w:cs="Arial"/>
                      <w:color w:val="000000"/>
                      <w:lang w:val="es-ES_tradnl"/>
                    </w:rPr>
                  </w:pPr>
                  <w:r w:rsidRPr="004055B7">
                    <w:rPr>
                      <w:rFonts w:cs="Arial"/>
                      <w:lang w:val="es-ES_tradnl"/>
                    </w:rPr>
                    <w:t>Número de plantas fuera de tipo</w:t>
                  </w:r>
                </w:p>
              </w:tc>
              <w:tc>
                <w:tcPr>
                  <w:tcW w:w="1080" w:type="dxa"/>
                  <w:tcBorders>
                    <w:top w:val="nil"/>
                    <w:left w:val="single" w:sz="8" w:space="0" w:color="auto"/>
                    <w:bottom w:val="single" w:sz="8" w:space="0" w:color="auto"/>
                    <w:right w:val="single" w:sz="4" w:space="0" w:color="auto"/>
                  </w:tcBorders>
                  <w:noWrap/>
                  <w:vAlign w:val="center"/>
                </w:tcPr>
                <w:p w:rsidR="00292EB9" w:rsidRPr="00BD2498" w:rsidRDefault="00292EB9" w:rsidP="00183337">
                  <w:pPr>
                    <w:jc w:val="center"/>
                    <w:rPr>
                      <w:rFonts w:cs="Arial"/>
                      <w:color w:val="000000"/>
                    </w:rPr>
                  </w:pPr>
                  <w:r>
                    <w:rPr>
                      <w:rFonts w:cs="Arial"/>
                      <w:color w:val="000000"/>
                    </w:rPr>
                    <w:t>2</w:t>
                  </w:r>
                </w:p>
              </w:tc>
              <w:tc>
                <w:tcPr>
                  <w:tcW w:w="1260" w:type="dxa"/>
                  <w:tcBorders>
                    <w:top w:val="nil"/>
                    <w:left w:val="nil"/>
                    <w:bottom w:val="single" w:sz="8" w:space="0" w:color="auto"/>
                    <w:right w:val="single" w:sz="4" w:space="0" w:color="auto"/>
                  </w:tcBorders>
                  <w:noWrap/>
                  <w:vAlign w:val="center"/>
                </w:tcPr>
                <w:p w:rsidR="00292EB9" w:rsidRPr="00BD2498" w:rsidRDefault="00292EB9" w:rsidP="00183337">
                  <w:pPr>
                    <w:jc w:val="center"/>
                    <w:rPr>
                      <w:rFonts w:cs="Arial"/>
                      <w:color w:val="000000"/>
                    </w:rPr>
                  </w:pPr>
                  <w:r>
                    <w:rPr>
                      <w:rFonts w:cs="Arial"/>
                      <w:color w:val="000000"/>
                    </w:rPr>
                    <w:t>2</w:t>
                  </w:r>
                </w:p>
              </w:tc>
              <w:tc>
                <w:tcPr>
                  <w:tcW w:w="1672" w:type="dxa"/>
                  <w:gridSpan w:val="2"/>
                  <w:tcBorders>
                    <w:top w:val="nil"/>
                    <w:left w:val="nil"/>
                    <w:bottom w:val="single" w:sz="8" w:space="0" w:color="auto"/>
                    <w:right w:val="single" w:sz="4" w:space="0" w:color="auto"/>
                  </w:tcBorders>
                  <w:noWrap/>
                  <w:vAlign w:val="center"/>
                </w:tcPr>
                <w:p w:rsidR="00292EB9" w:rsidRPr="00BD2498" w:rsidRDefault="00292EB9" w:rsidP="00183337">
                  <w:pPr>
                    <w:jc w:val="center"/>
                    <w:rPr>
                      <w:rFonts w:cs="Arial"/>
                      <w:color w:val="000000"/>
                    </w:rPr>
                  </w:pPr>
                  <w:r w:rsidRPr="004055B7">
                    <w:rPr>
                      <w:rFonts w:cs="Arial"/>
                      <w:lang w:val="es-ES_tradnl"/>
                    </w:rPr>
                    <w:t>homogénea</w:t>
                  </w:r>
                </w:p>
              </w:tc>
              <w:tc>
                <w:tcPr>
                  <w:tcW w:w="1672" w:type="dxa"/>
                  <w:tcBorders>
                    <w:top w:val="nil"/>
                    <w:left w:val="nil"/>
                    <w:bottom w:val="single" w:sz="8" w:space="0" w:color="auto"/>
                    <w:right w:val="single" w:sz="8" w:space="0" w:color="auto"/>
                  </w:tcBorders>
                  <w:vAlign w:val="center"/>
                </w:tcPr>
                <w:p w:rsidR="00292EB9" w:rsidRPr="00BD2498" w:rsidRDefault="00292EB9" w:rsidP="00183337">
                  <w:pPr>
                    <w:jc w:val="center"/>
                    <w:rPr>
                      <w:rFonts w:cs="Arial"/>
                      <w:color w:val="000000"/>
                    </w:rPr>
                  </w:pPr>
                  <w:r w:rsidRPr="004055B7">
                    <w:rPr>
                      <w:rFonts w:cs="Arial"/>
                      <w:lang w:val="es-ES_tradnl"/>
                    </w:rPr>
                    <w:t>homogénea</w:t>
                  </w:r>
                </w:p>
              </w:tc>
            </w:tr>
            <w:tr w:rsidR="00292EB9" w:rsidRPr="00BD2498" w:rsidTr="003672CD">
              <w:trPr>
                <w:cantSplit/>
              </w:trPr>
              <w:tc>
                <w:tcPr>
                  <w:tcW w:w="837" w:type="dxa"/>
                  <w:vMerge/>
                  <w:tcBorders>
                    <w:top w:val="nil"/>
                    <w:left w:val="single" w:sz="4" w:space="0" w:color="auto"/>
                    <w:bottom w:val="single" w:sz="4" w:space="0" w:color="000000"/>
                    <w:right w:val="single" w:sz="4" w:space="0" w:color="000000"/>
                  </w:tcBorders>
                  <w:vAlign w:val="center"/>
                </w:tcPr>
                <w:p w:rsidR="00292EB9" w:rsidRPr="00BD2498" w:rsidRDefault="00292EB9" w:rsidP="00183337">
                  <w:pPr>
                    <w:jc w:val="left"/>
                    <w:rPr>
                      <w:rFonts w:cs="Arial"/>
                      <w:color w:val="000000"/>
                    </w:rPr>
                  </w:pPr>
                </w:p>
              </w:tc>
              <w:tc>
                <w:tcPr>
                  <w:tcW w:w="1080" w:type="dxa"/>
                  <w:tcBorders>
                    <w:top w:val="nil"/>
                    <w:left w:val="nil"/>
                    <w:bottom w:val="single" w:sz="8" w:space="0" w:color="auto"/>
                    <w:right w:val="single" w:sz="4" w:space="0" w:color="auto"/>
                  </w:tcBorders>
                  <w:vAlign w:val="center"/>
                </w:tcPr>
                <w:p w:rsidR="00292EB9" w:rsidRPr="00BD2498" w:rsidRDefault="00292EB9" w:rsidP="00183337">
                  <w:pPr>
                    <w:jc w:val="center"/>
                    <w:rPr>
                      <w:rFonts w:cs="Arial"/>
                      <w:color w:val="000000"/>
                    </w:rPr>
                  </w:pPr>
                  <w:r w:rsidRPr="00BD2498">
                    <w:rPr>
                      <w:rFonts w:cs="Arial"/>
                      <w:color w:val="000000"/>
                    </w:rPr>
                    <w:t>0</w:t>
                  </w:r>
                </w:p>
              </w:tc>
              <w:tc>
                <w:tcPr>
                  <w:tcW w:w="1260" w:type="dxa"/>
                  <w:tcBorders>
                    <w:top w:val="nil"/>
                    <w:left w:val="nil"/>
                    <w:bottom w:val="single" w:sz="8" w:space="0" w:color="auto"/>
                    <w:right w:val="single" w:sz="4" w:space="0" w:color="auto"/>
                  </w:tcBorders>
                  <w:vAlign w:val="center"/>
                </w:tcPr>
                <w:p w:rsidR="00292EB9" w:rsidRPr="00BD2498" w:rsidRDefault="00292EB9" w:rsidP="00183337">
                  <w:pPr>
                    <w:jc w:val="center"/>
                    <w:rPr>
                      <w:rFonts w:cs="Arial"/>
                      <w:color w:val="000000"/>
                    </w:rPr>
                  </w:pPr>
                  <w:r w:rsidRPr="00BD2498">
                    <w:rPr>
                      <w:rFonts w:cs="Arial"/>
                      <w:color w:val="000000"/>
                    </w:rPr>
                    <w:t>3</w:t>
                  </w:r>
                </w:p>
              </w:tc>
              <w:tc>
                <w:tcPr>
                  <w:tcW w:w="1672" w:type="dxa"/>
                  <w:gridSpan w:val="2"/>
                  <w:tcBorders>
                    <w:top w:val="nil"/>
                    <w:left w:val="nil"/>
                    <w:bottom w:val="single" w:sz="8" w:space="0" w:color="auto"/>
                    <w:right w:val="single" w:sz="4" w:space="0" w:color="auto"/>
                  </w:tcBorders>
                  <w:vAlign w:val="center"/>
                </w:tcPr>
                <w:p w:rsidR="00292EB9" w:rsidRPr="00BD2498" w:rsidRDefault="00292EB9" w:rsidP="00183337">
                  <w:pPr>
                    <w:jc w:val="center"/>
                    <w:rPr>
                      <w:rFonts w:cs="Arial"/>
                      <w:color w:val="000000"/>
                    </w:rPr>
                  </w:pPr>
                  <w:r w:rsidRPr="003C1932">
                    <w:rPr>
                      <w:rFonts w:cs="Arial"/>
                      <w:color w:val="000000"/>
                      <w:lang w:val="es-ES_tradnl"/>
                    </w:rPr>
                    <w:t>repetición del ensayo</w:t>
                  </w:r>
                </w:p>
              </w:tc>
              <w:tc>
                <w:tcPr>
                  <w:tcW w:w="1672" w:type="dxa"/>
                  <w:tcBorders>
                    <w:top w:val="nil"/>
                    <w:left w:val="nil"/>
                    <w:bottom w:val="single" w:sz="8" w:space="0" w:color="auto"/>
                    <w:right w:val="single" w:sz="4" w:space="0" w:color="auto"/>
                  </w:tcBorders>
                  <w:vAlign w:val="center"/>
                </w:tcPr>
                <w:p w:rsidR="00292EB9" w:rsidRPr="00BD2498" w:rsidRDefault="00292EB9" w:rsidP="00183337">
                  <w:pPr>
                    <w:jc w:val="center"/>
                    <w:rPr>
                      <w:rFonts w:cs="Arial"/>
                      <w:color w:val="000000"/>
                    </w:rPr>
                  </w:pPr>
                  <w:r w:rsidRPr="004055B7">
                    <w:rPr>
                      <w:rFonts w:cs="Arial"/>
                      <w:lang w:val="es-ES_tradnl"/>
                    </w:rPr>
                    <w:t>homogénea</w:t>
                  </w:r>
                </w:p>
              </w:tc>
            </w:tr>
            <w:tr w:rsidR="00292EB9" w:rsidRPr="00BD2498" w:rsidTr="003672CD">
              <w:trPr>
                <w:cantSplit/>
              </w:trPr>
              <w:tc>
                <w:tcPr>
                  <w:tcW w:w="837" w:type="dxa"/>
                  <w:vMerge/>
                  <w:tcBorders>
                    <w:top w:val="nil"/>
                    <w:left w:val="single" w:sz="4" w:space="0" w:color="auto"/>
                    <w:bottom w:val="single" w:sz="4" w:space="0" w:color="000000"/>
                    <w:right w:val="single" w:sz="4" w:space="0" w:color="000000"/>
                  </w:tcBorders>
                  <w:vAlign w:val="center"/>
                </w:tcPr>
                <w:p w:rsidR="00292EB9" w:rsidRPr="00BD2498" w:rsidRDefault="00292EB9" w:rsidP="00183337">
                  <w:pPr>
                    <w:jc w:val="left"/>
                    <w:rPr>
                      <w:rFonts w:cs="Arial"/>
                      <w:color w:val="000000"/>
                    </w:rPr>
                  </w:pPr>
                </w:p>
              </w:tc>
              <w:tc>
                <w:tcPr>
                  <w:tcW w:w="1080" w:type="dxa"/>
                  <w:tcBorders>
                    <w:top w:val="nil"/>
                    <w:left w:val="single" w:sz="8" w:space="0" w:color="auto"/>
                    <w:bottom w:val="single" w:sz="8" w:space="0" w:color="auto"/>
                    <w:right w:val="single" w:sz="4" w:space="0" w:color="auto"/>
                  </w:tcBorders>
                  <w:vAlign w:val="center"/>
                </w:tcPr>
                <w:p w:rsidR="00292EB9" w:rsidRPr="00BD2498" w:rsidRDefault="00292EB9" w:rsidP="00183337">
                  <w:pPr>
                    <w:jc w:val="center"/>
                    <w:rPr>
                      <w:rFonts w:cs="Arial"/>
                      <w:color w:val="000000"/>
                    </w:rPr>
                  </w:pPr>
                  <w:r w:rsidRPr="00BD2498">
                    <w:rPr>
                      <w:rFonts w:cs="Arial"/>
                      <w:color w:val="000000"/>
                    </w:rPr>
                    <w:t>1</w:t>
                  </w:r>
                </w:p>
              </w:tc>
              <w:tc>
                <w:tcPr>
                  <w:tcW w:w="1260" w:type="dxa"/>
                  <w:tcBorders>
                    <w:top w:val="nil"/>
                    <w:left w:val="nil"/>
                    <w:bottom w:val="single" w:sz="8" w:space="0" w:color="auto"/>
                    <w:right w:val="single" w:sz="4" w:space="0" w:color="auto"/>
                  </w:tcBorders>
                  <w:vAlign w:val="center"/>
                </w:tcPr>
                <w:p w:rsidR="00292EB9" w:rsidRPr="00BD2498" w:rsidRDefault="00292EB9" w:rsidP="00183337">
                  <w:pPr>
                    <w:jc w:val="center"/>
                    <w:rPr>
                      <w:rFonts w:cs="Arial"/>
                      <w:color w:val="000000"/>
                    </w:rPr>
                  </w:pPr>
                  <w:r w:rsidRPr="00BD2498">
                    <w:rPr>
                      <w:rFonts w:cs="Arial"/>
                      <w:color w:val="000000"/>
                    </w:rPr>
                    <w:t>3</w:t>
                  </w:r>
                </w:p>
              </w:tc>
              <w:tc>
                <w:tcPr>
                  <w:tcW w:w="1672" w:type="dxa"/>
                  <w:gridSpan w:val="2"/>
                  <w:tcBorders>
                    <w:top w:val="nil"/>
                    <w:left w:val="nil"/>
                    <w:bottom w:val="single" w:sz="8" w:space="0" w:color="auto"/>
                    <w:right w:val="single" w:sz="4" w:space="0" w:color="auto"/>
                  </w:tcBorders>
                  <w:vAlign w:val="center"/>
                </w:tcPr>
                <w:p w:rsidR="00292EB9" w:rsidRPr="00BD2498" w:rsidRDefault="00292EB9" w:rsidP="00183337">
                  <w:pPr>
                    <w:jc w:val="center"/>
                    <w:rPr>
                      <w:rFonts w:cs="Arial"/>
                      <w:color w:val="000000"/>
                    </w:rPr>
                  </w:pPr>
                  <w:r w:rsidRPr="004055B7">
                    <w:rPr>
                      <w:rFonts w:cs="Arial"/>
                      <w:lang w:val="es-ES_tradnl"/>
                    </w:rPr>
                    <w:t>repetición del ensayo</w:t>
                  </w:r>
                </w:p>
              </w:tc>
              <w:tc>
                <w:tcPr>
                  <w:tcW w:w="1672" w:type="dxa"/>
                  <w:tcBorders>
                    <w:top w:val="nil"/>
                    <w:left w:val="nil"/>
                    <w:bottom w:val="single" w:sz="8" w:space="0" w:color="auto"/>
                    <w:right w:val="single" w:sz="8" w:space="0" w:color="auto"/>
                  </w:tcBorders>
                  <w:vAlign w:val="center"/>
                </w:tcPr>
                <w:p w:rsidR="00292EB9" w:rsidRPr="00BD2498" w:rsidRDefault="00292EB9" w:rsidP="00183337">
                  <w:pPr>
                    <w:jc w:val="center"/>
                    <w:rPr>
                      <w:rFonts w:cs="Arial"/>
                      <w:color w:val="000000"/>
                    </w:rPr>
                  </w:pPr>
                  <w:r w:rsidRPr="004055B7">
                    <w:rPr>
                      <w:rFonts w:cs="Arial"/>
                      <w:lang w:val="es-ES_tradnl"/>
                    </w:rPr>
                    <w:t>no homogénea</w:t>
                  </w:r>
                </w:p>
              </w:tc>
            </w:tr>
            <w:tr w:rsidR="00292EB9" w:rsidRPr="00BD2498" w:rsidTr="003672CD">
              <w:trPr>
                <w:cantSplit/>
              </w:trPr>
              <w:tc>
                <w:tcPr>
                  <w:tcW w:w="837" w:type="dxa"/>
                  <w:vMerge/>
                  <w:tcBorders>
                    <w:top w:val="nil"/>
                    <w:left w:val="single" w:sz="4" w:space="0" w:color="auto"/>
                    <w:bottom w:val="single" w:sz="4" w:space="0" w:color="000000"/>
                    <w:right w:val="single" w:sz="4" w:space="0" w:color="000000"/>
                  </w:tcBorders>
                  <w:vAlign w:val="center"/>
                </w:tcPr>
                <w:p w:rsidR="00292EB9" w:rsidRPr="00BD2498" w:rsidRDefault="00292EB9" w:rsidP="00183337">
                  <w:pPr>
                    <w:jc w:val="left"/>
                    <w:rPr>
                      <w:rFonts w:cs="Arial"/>
                      <w:color w:val="000000"/>
                    </w:rPr>
                  </w:pPr>
                </w:p>
              </w:tc>
              <w:tc>
                <w:tcPr>
                  <w:tcW w:w="1080" w:type="dxa"/>
                  <w:tcBorders>
                    <w:top w:val="nil"/>
                    <w:left w:val="nil"/>
                    <w:bottom w:val="single" w:sz="4" w:space="0" w:color="auto"/>
                    <w:right w:val="single" w:sz="4" w:space="0" w:color="auto"/>
                  </w:tcBorders>
                  <w:noWrap/>
                  <w:vAlign w:val="center"/>
                </w:tcPr>
                <w:p w:rsidR="00292EB9" w:rsidRPr="00BD2498" w:rsidRDefault="00292EB9" w:rsidP="00183337">
                  <w:pPr>
                    <w:jc w:val="center"/>
                    <w:rPr>
                      <w:rFonts w:cs="Arial"/>
                      <w:color w:val="000000"/>
                    </w:rPr>
                  </w:pPr>
                  <w:r w:rsidRPr="00BD2498">
                    <w:rPr>
                      <w:rFonts w:cs="Arial"/>
                      <w:color w:val="000000"/>
                    </w:rPr>
                    <w:t>0</w:t>
                  </w:r>
                </w:p>
              </w:tc>
              <w:tc>
                <w:tcPr>
                  <w:tcW w:w="1260" w:type="dxa"/>
                  <w:tcBorders>
                    <w:top w:val="nil"/>
                    <w:left w:val="nil"/>
                    <w:bottom w:val="single" w:sz="4" w:space="0" w:color="auto"/>
                    <w:right w:val="single" w:sz="4" w:space="0" w:color="auto"/>
                  </w:tcBorders>
                  <w:noWrap/>
                  <w:vAlign w:val="center"/>
                </w:tcPr>
                <w:p w:rsidR="00292EB9" w:rsidRPr="00BD2498" w:rsidRDefault="00292EB9" w:rsidP="00183337">
                  <w:pPr>
                    <w:jc w:val="center"/>
                    <w:rPr>
                      <w:rFonts w:cs="Arial"/>
                      <w:color w:val="000000"/>
                    </w:rPr>
                  </w:pPr>
                  <w:r w:rsidRPr="00BD2498">
                    <w:rPr>
                      <w:rFonts w:cs="Arial"/>
                      <w:color w:val="000000"/>
                    </w:rPr>
                    <w:t>10</w:t>
                  </w:r>
                </w:p>
              </w:tc>
              <w:tc>
                <w:tcPr>
                  <w:tcW w:w="1672" w:type="dxa"/>
                  <w:gridSpan w:val="2"/>
                  <w:tcBorders>
                    <w:top w:val="nil"/>
                    <w:left w:val="nil"/>
                    <w:bottom w:val="single" w:sz="4" w:space="0" w:color="auto"/>
                    <w:right w:val="single" w:sz="4" w:space="0" w:color="auto"/>
                  </w:tcBorders>
                  <w:vAlign w:val="center"/>
                </w:tcPr>
                <w:p w:rsidR="00292EB9" w:rsidRPr="00BD2498" w:rsidRDefault="00292EB9" w:rsidP="00183337">
                  <w:pPr>
                    <w:jc w:val="center"/>
                    <w:rPr>
                      <w:rFonts w:cs="Arial"/>
                      <w:color w:val="000000"/>
                    </w:rPr>
                  </w:pPr>
                  <w:r w:rsidRPr="004055B7">
                    <w:rPr>
                      <w:rFonts w:cs="Arial"/>
                      <w:lang w:val="es-ES_tradnl"/>
                    </w:rPr>
                    <w:t>repetición del ensayo</w:t>
                  </w:r>
                </w:p>
              </w:tc>
              <w:tc>
                <w:tcPr>
                  <w:tcW w:w="1672" w:type="dxa"/>
                  <w:tcBorders>
                    <w:top w:val="nil"/>
                    <w:left w:val="nil"/>
                    <w:bottom w:val="single" w:sz="4" w:space="0" w:color="auto"/>
                    <w:right w:val="single" w:sz="4" w:space="0" w:color="auto"/>
                  </w:tcBorders>
                  <w:vAlign w:val="center"/>
                </w:tcPr>
                <w:p w:rsidR="00292EB9" w:rsidRPr="00BD2498" w:rsidRDefault="00292EB9" w:rsidP="00183337">
                  <w:pPr>
                    <w:jc w:val="center"/>
                    <w:rPr>
                      <w:rFonts w:cs="Arial"/>
                      <w:color w:val="000000"/>
                    </w:rPr>
                  </w:pPr>
                  <w:r w:rsidRPr="004055B7">
                    <w:rPr>
                      <w:rFonts w:cs="Arial"/>
                      <w:lang w:val="es-ES_tradnl"/>
                    </w:rPr>
                    <w:t>no homogénea</w:t>
                  </w:r>
                </w:p>
              </w:tc>
            </w:tr>
            <w:tr w:rsidR="00292EB9" w:rsidRPr="00BD2498" w:rsidTr="003672CD">
              <w:trPr>
                <w:cantSplit/>
              </w:trPr>
              <w:tc>
                <w:tcPr>
                  <w:tcW w:w="837" w:type="dxa"/>
                  <w:tcBorders>
                    <w:top w:val="nil"/>
                    <w:left w:val="nil"/>
                    <w:bottom w:val="nil"/>
                    <w:right w:val="nil"/>
                  </w:tcBorders>
                  <w:noWrap/>
                  <w:vAlign w:val="bottom"/>
                </w:tcPr>
                <w:p w:rsidR="00292EB9" w:rsidRPr="00BD2498" w:rsidRDefault="00292EB9" w:rsidP="00183337">
                  <w:pPr>
                    <w:jc w:val="left"/>
                    <w:rPr>
                      <w:rFonts w:cs="Arial"/>
                      <w:color w:val="000000"/>
                    </w:rPr>
                  </w:pPr>
                </w:p>
              </w:tc>
              <w:tc>
                <w:tcPr>
                  <w:tcW w:w="1080" w:type="dxa"/>
                  <w:tcBorders>
                    <w:top w:val="nil"/>
                    <w:left w:val="nil"/>
                    <w:bottom w:val="nil"/>
                    <w:right w:val="nil"/>
                  </w:tcBorders>
                  <w:noWrap/>
                  <w:vAlign w:val="bottom"/>
                </w:tcPr>
                <w:p w:rsidR="00292EB9" w:rsidRPr="00BD2498" w:rsidRDefault="00292EB9" w:rsidP="00183337">
                  <w:pPr>
                    <w:jc w:val="left"/>
                    <w:rPr>
                      <w:rFonts w:cs="Arial"/>
                      <w:color w:val="000000"/>
                    </w:rPr>
                  </w:pPr>
                </w:p>
              </w:tc>
              <w:tc>
                <w:tcPr>
                  <w:tcW w:w="1260" w:type="dxa"/>
                  <w:tcBorders>
                    <w:top w:val="nil"/>
                    <w:left w:val="nil"/>
                    <w:bottom w:val="nil"/>
                    <w:right w:val="nil"/>
                  </w:tcBorders>
                  <w:noWrap/>
                  <w:vAlign w:val="bottom"/>
                </w:tcPr>
                <w:p w:rsidR="00292EB9" w:rsidRPr="00BD2498" w:rsidRDefault="00292EB9" w:rsidP="00183337">
                  <w:pPr>
                    <w:jc w:val="left"/>
                    <w:rPr>
                      <w:rFonts w:cs="Arial"/>
                      <w:color w:val="000000"/>
                    </w:rPr>
                  </w:pPr>
                </w:p>
              </w:tc>
              <w:tc>
                <w:tcPr>
                  <w:tcW w:w="1672" w:type="dxa"/>
                  <w:gridSpan w:val="2"/>
                  <w:tcBorders>
                    <w:top w:val="nil"/>
                    <w:left w:val="nil"/>
                    <w:bottom w:val="nil"/>
                    <w:right w:val="nil"/>
                  </w:tcBorders>
                  <w:noWrap/>
                  <w:vAlign w:val="bottom"/>
                </w:tcPr>
                <w:p w:rsidR="00292EB9" w:rsidRPr="00BD2498" w:rsidRDefault="00292EB9" w:rsidP="00183337">
                  <w:pPr>
                    <w:jc w:val="left"/>
                    <w:rPr>
                      <w:rFonts w:cs="Arial"/>
                      <w:color w:val="000000"/>
                    </w:rPr>
                  </w:pPr>
                </w:p>
              </w:tc>
              <w:tc>
                <w:tcPr>
                  <w:tcW w:w="1672" w:type="dxa"/>
                  <w:tcBorders>
                    <w:top w:val="nil"/>
                    <w:left w:val="nil"/>
                    <w:bottom w:val="nil"/>
                    <w:right w:val="nil"/>
                  </w:tcBorders>
                  <w:noWrap/>
                  <w:vAlign w:val="bottom"/>
                </w:tcPr>
                <w:p w:rsidR="00292EB9" w:rsidRPr="00BD2498" w:rsidRDefault="00292EB9" w:rsidP="00183337">
                  <w:pPr>
                    <w:jc w:val="left"/>
                    <w:rPr>
                      <w:rFonts w:cs="Arial"/>
                      <w:color w:val="000000"/>
                    </w:rPr>
                  </w:pPr>
                </w:p>
              </w:tc>
            </w:tr>
          </w:tbl>
          <w:p w:rsidR="00292EB9" w:rsidRPr="006556B3" w:rsidRDefault="00292EB9" w:rsidP="00183337">
            <w:pPr>
              <w:pStyle w:val="Titleofdoc0"/>
              <w:spacing w:before="0"/>
              <w:jc w:val="both"/>
              <w:rPr>
                <w:szCs w:val="24"/>
              </w:rPr>
            </w:pPr>
          </w:p>
        </w:tc>
      </w:tr>
    </w:tbl>
    <w:p w:rsidR="009E0FA0" w:rsidRDefault="009E0FA0" w:rsidP="009E0FA0">
      <w:pPr>
        <w:rPr>
          <w:rFonts w:eastAsia="MS Mincho"/>
          <w:lang w:val="es-ES_tradnl" w:eastAsia="ja-JP"/>
        </w:rPr>
      </w:pPr>
    </w:p>
    <w:p w:rsidR="00292EB9" w:rsidRDefault="00292EB9" w:rsidP="00183337">
      <w:pPr>
        <w:jc w:val="right"/>
        <w:rPr>
          <w:snapToGrid w:val="0"/>
        </w:rPr>
      </w:pPr>
      <w:r w:rsidRPr="004055B7">
        <w:rPr>
          <w:rFonts w:eastAsia="MS Mincho"/>
          <w:lang w:val="es-ES_tradnl" w:eastAsia="ja-JP"/>
        </w:rPr>
        <w:t>[Sigue el Anexo III]</w:t>
      </w:r>
    </w:p>
    <w:p w:rsidR="00292EB9" w:rsidRDefault="00292EB9" w:rsidP="00183337">
      <w:pPr>
        <w:rPr>
          <w:snapToGrid w:val="0"/>
        </w:rPr>
        <w:sectPr w:rsidR="00292EB9" w:rsidSect="009E0FA0">
          <w:headerReference w:type="default" r:id="rId14"/>
          <w:headerReference w:type="first" r:id="rId15"/>
          <w:pgSz w:w="11907" w:h="16840" w:code="9"/>
          <w:pgMar w:top="510" w:right="1134" w:bottom="851" w:left="1134" w:header="510" w:footer="680" w:gutter="0"/>
          <w:pgNumType w:start="1"/>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92EB9" w:rsidRPr="00104686" w:rsidTr="003C1932">
        <w:tc>
          <w:tcPr>
            <w:tcW w:w="9889" w:type="dxa"/>
          </w:tcPr>
          <w:p w:rsidR="00292EB9" w:rsidRPr="00104686" w:rsidRDefault="00292EB9" w:rsidP="00B34B92">
            <w:pPr>
              <w:autoSpaceDE w:val="0"/>
              <w:autoSpaceDN w:val="0"/>
              <w:adjustRightInd w:val="0"/>
              <w:spacing w:before="120" w:after="120"/>
              <w:jc w:val="center"/>
              <w:rPr>
                <w:rFonts w:eastAsia="SimSun"/>
                <w:szCs w:val="24"/>
                <w:lang w:val="es-ES_tradnl" w:eastAsia="zh-CN"/>
              </w:rPr>
            </w:pPr>
            <w:r w:rsidRPr="004055B7">
              <w:rPr>
                <w:rFonts w:eastAsia="SimSun"/>
                <w:szCs w:val="24"/>
                <w:lang w:val="es-ES_tradnl" w:eastAsia="zh-CN"/>
              </w:rPr>
              <w:t>SITUACIÓN C:</w:t>
            </w:r>
            <w:r w:rsidRPr="00104686">
              <w:rPr>
                <w:rFonts w:eastAsia="SimSun"/>
                <w:szCs w:val="24"/>
                <w:lang w:val="es-ES_tradnl" w:eastAsia="zh-CN"/>
              </w:rPr>
              <w:t xml:space="preserve">  </w:t>
            </w:r>
            <w:r w:rsidRPr="00B34B92">
              <w:rPr>
                <w:szCs w:val="24"/>
                <w:lang w:val="es-ES_tradnl"/>
              </w:rPr>
              <w:t xml:space="preserve">MÁS DE UNA MUESTRA O SUBMUESTRA </w:t>
            </w:r>
            <w:r w:rsidRPr="00B34B92">
              <w:rPr>
                <w:rFonts w:eastAsia="SimSun"/>
                <w:szCs w:val="24"/>
                <w:lang w:val="es-ES_tradnl" w:eastAsia="zh-CN"/>
              </w:rPr>
              <w:t xml:space="preserve">PARA LA OBSERVACIÓN DE </w:t>
            </w:r>
            <w:r w:rsidRPr="00B34B92">
              <w:rPr>
                <w:szCs w:val="24"/>
                <w:lang w:val="es-ES_tradnl"/>
              </w:rPr>
              <w:t>UN CARÁCTER EN EL MISMO CICLO DE CULTIVO</w:t>
            </w:r>
          </w:p>
        </w:tc>
      </w:tr>
      <w:tr w:rsidR="00292EB9" w:rsidRPr="00104686" w:rsidTr="003C1932">
        <w:tc>
          <w:tcPr>
            <w:tcW w:w="9889" w:type="dxa"/>
          </w:tcPr>
          <w:p w:rsidR="00292EB9" w:rsidRPr="00104686" w:rsidRDefault="00292EB9" w:rsidP="00183337">
            <w:pPr>
              <w:rPr>
                <w:b/>
                <w:szCs w:val="24"/>
                <w:lang w:val="es-ES_tradnl"/>
              </w:rPr>
            </w:pPr>
          </w:p>
          <w:p w:rsidR="00292EB9" w:rsidRPr="00104686" w:rsidRDefault="00292EB9" w:rsidP="00183337">
            <w:pPr>
              <w:rPr>
                <w:lang w:val="es-ES_tradnl"/>
              </w:rPr>
            </w:pPr>
            <w:r w:rsidRPr="004055B7">
              <w:rPr>
                <w:b/>
                <w:szCs w:val="24"/>
                <w:lang w:val="es-ES_tradnl"/>
              </w:rPr>
              <w:t>Método:</w:t>
            </w:r>
            <w:r w:rsidRPr="00104686">
              <w:rPr>
                <w:b/>
                <w:szCs w:val="24"/>
                <w:lang w:val="es-ES_tradnl"/>
              </w:rPr>
              <w:t xml:space="preserve">  </w:t>
            </w:r>
            <w:r w:rsidRPr="004055B7">
              <w:rPr>
                <w:b/>
                <w:szCs w:val="24"/>
                <w:lang w:val="es-ES_tradnl"/>
              </w:rPr>
              <w:t>Ciclo de cultivo adicional en el caso de resultados contradictorios</w:t>
            </w:r>
          </w:p>
          <w:p w:rsidR="00292EB9" w:rsidRPr="00104686" w:rsidRDefault="00292EB9" w:rsidP="00183337">
            <w:pPr>
              <w:jc w:val="left"/>
              <w:rPr>
                <w:rFonts w:eastAsia="MS Mincho"/>
                <w:color w:val="000000"/>
                <w:lang w:val="es-ES_tradnl" w:eastAsia="ja-JP"/>
              </w:rPr>
            </w:pPr>
          </w:p>
          <w:p w:rsidR="00292EB9" w:rsidRPr="00104686" w:rsidRDefault="00292EB9" w:rsidP="00183337">
            <w:pPr>
              <w:rPr>
                <w:szCs w:val="24"/>
                <w:u w:val="single"/>
                <w:lang w:val="es-ES_tradnl"/>
              </w:rPr>
            </w:pPr>
            <w:r w:rsidRPr="00B34B92">
              <w:rPr>
                <w:rFonts w:eastAsia="SimSun"/>
                <w:szCs w:val="24"/>
                <w:lang w:val="es-ES_tradnl" w:eastAsia="zh-CN"/>
              </w:rPr>
              <w:t xml:space="preserve">Se considera que una variedad es homogénea con respecto a un carácter si cumple el estándar de homogeneidad con respecto al carácter en todas las muestras o </w:t>
            </w:r>
            <w:proofErr w:type="spellStart"/>
            <w:r w:rsidRPr="00B34B92">
              <w:rPr>
                <w:rFonts w:eastAsia="SimSun"/>
                <w:szCs w:val="24"/>
                <w:lang w:val="es-ES_tradnl" w:eastAsia="zh-CN"/>
              </w:rPr>
              <w:t>submuestras</w:t>
            </w:r>
            <w:proofErr w:type="spellEnd"/>
            <w:r w:rsidRPr="00B34B92">
              <w:rPr>
                <w:rFonts w:eastAsia="SimSun"/>
                <w:szCs w:val="24"/>
                <w:lang w:val="es-ES_tradnl" w:eastAsia="zh-CN"/>
              </w:rPr>
              <w:t>.</w:t>
            </w:r>
          </w:p>
          <w:p w:rsidR="00292EB9" w:rsidRPr="00104686" w:rsidRDefault="00292EB9" w:rsidP="00183337">
            <w:pPr>
              <w:rPr>
                <w:rFonts w:eastAsia="SimSun"/>
                <w:szCs w:val="24"/>
                <w:lang w:val="es-ES_tradnl" w:eastAsia="zh-CN"/>
              </w:rPr>
            </w:pPr>
          </w:p>
          <w:p w:rsidR="00292EB9" w:rsidRPr="00104686" w:rsidRDefault="00292EB9" w:rsidP="00183337">
            <w:pPr>
              <w:rPr>
                <w:rFonts w:eastAsia="SimSun"/>
                <w:szCs w:val="24"/>
                <w:lang w:val="es-ES_tradnl" w:eastAsia="zh-CN"/>
              </w:rPr>
            </w:pPr>
            <w:r w:rsidRPr="00B34B92">
              <w:rPr>
                <w:rFonts w:eastAsia="SimSun"/>
                <w:szCs w:val="24"/>
                <w:lang w:val="es-ES_tradnl" w:eastAsia="zh-CN"/>
              </w:rPr>
              <w:t xml:space="preserve">Se considera que una variedad no es homogénea si no cumple el estándar de homogeneidad en todas las muestras o </w:t>
            </w:r>
            <w:proofErr w:type="spellStart"/>
            <w:r w:rsidRPr="00B34B92">
              <w:rPr>
                <w:rFonts w:eastAsia="SimSun"/>
                <w:szCs w:val="24"/>
                <w:lang w:val="es-ES_tradnl" w:eastAsia="zh-CN"/>
              </w:rPr>
              <w:t>submuestras</w:t>
            </w:r>
            <w:proofErr w:type="spellEnd"/>
            <w:r w:rsidRPr="00B34B92">
              <w:rPr>
                <w:rFonts w:eastAsia="SimSun"/>
                <w:szCs w:val="24"/>
                <w:lang w:val="es-ES_tradnl" w:eastAsia="zh-CN"/>
              </w:rPr>
              <w:t>.</w:t>
            </w:r>
          </w:p>
          <w:p w:rsidR="00292EB9" w:rsidRPr="00104686" w:rsidRDefault="00292EB9" w:rsidP="00183337">
            <w:pPr>
              <w:rPr>
                <w:szCs w:val="24"/>
                <w:lang w:val="es-ES_tradnl"/>
              </w:rPr>
            </w:pPr>
          </w:p>
          <w:p w:rsidR="00292EB9" w:rsidRPr="00104686" w:rsidRDefault="00292EB9" w:rsidP="00183337">
            <w:pPr>
              <w:rPr>
                <w:szCs w:val="24"/>
                <w:lang w:val="es-ES_tradnl"/>
              </w:rPr>
            </w:pPr>
            <w:r w:rsidRPr="00B34B92">
              <w:rPr>
                <w:szCs w:val="24"/>
                <w:lang w:val="es-ES_tradnl"/>
              </w:rPr>
              <w:t xml:space="preserve">En los casos en que una variedad cumple el estándar de homogeneidad con respecto a un carácter en una muestra o </w:t>
            </w:r>
            <w:proofErr w:type="spellStart"/>
            <w:r w:rsidRPr="00B34B92">
              <w:rPr>
                <w:szCs w:val="24"/>
                <w:lang w:val="es-ES_tradnl"/>
              </w:rPr>
              <w:t>submuestra</w:t>
            </w:r>
            <w:proofErr w:type="spellEnd"/>
            <w:r w:rsidRPr="00B34B92">
              <w:rPr>
                <w:szCs w:val="24"/>
                <w:lang w:val="es-ES_tradnl"/>
              </w:rPr>
              <w:t xml:space="preserve"> (por ejemplo, en el ensayo principal) y no en otra muestra o </w:t>
            </w:r>
            <w:proofErr w:type="spellStart"/>
            <w:r w:rsidRPr="00B34B92">
              <w:rPr>
                <w:szCs w:val="24"/>
                <w:lang w:val="es-ES_tradnl"/>
              </w:rPr>
              <w:t>submuestra</w:t>
            </w:r>
            <w:proofErr w:type="spellEnd"/>
            <w:r w:rsidRPr="00B34B92">
              <w:rPr>
                <w:szCs w:val="24"/>
                <w:lang w:val="es-ES_tradnl"/>
              </w:rPr>
              <w:t xml:space="preserve"> (por ejemplo, en parcelas de hileras de espigas), ambas muestras o </w:t>
            </w:r>
            <w:proofErr w:type="spellStart"/>
            <w:r w:rsidRPr="00B34B92">
              <w:rPr>
                <w:szCs w:val="24"/>
                <w:lang w:val="es-ES_tradnl"/>
              </w:rPr>
              <w:t>submuestras</w:t>
            </w:r>
            <w:proofErr w:type="spellEnd"/>
            <w:r w:rsidRPr="00B34B92">
              <w:rPr>
                <w:szCs w:val="24"/>
                <w:lang w:val="es-ES_tradnl"/>
              </w:rPr>
              <w:t xml:space="preserve"> se examinan en un nuevo ciclo de cultivo.</w:t>
            </w:r>
          </w:p>
          <w:p w:rsidR="00292EB9" w:rsidRPr="00104686" w:rsidRDefault="00292EB9" w:rsidP="00183337">
            <w:pPr>
              <w:rPr>
                <w:szCs w:val="24"/>
                <w:lang w:val="es-ES_tradnl"/>
              </w:rPr>
            </w:pPr>
          </w:p>
        </w:tc>
      </w:tr>
    </w:tbl>
    <w:p w:rsidR="00292EB9" w:rsidRPr="00104686" w:rsidRDefault="00292EB9" w:rsidP="00183337">
      <w:pPr>
        <w:rPr>
          <w:snapToGrid w:val="0"/>
          <w:lang w:val="es-ES_tradnl"/>
        </w:rPr>
      </w:pPr>
    </w:p>
    <w:p w:rsidR="00292EB9" w:rsidRPr="00104686" w:rsidRDefault="00292EB9" w:rsidP="00183337">
      <w:pPr>
        <w:rPr>
          <w:snapToGrid w:val="0"/>
          <w:lang w:val="es-ES_tradnl"/>
        </w:rPr>
      </w:pPr>
    </w:p>
    <w:p w:rsidR="00292EB9" w:rsidRPr="00104686" w:rsidRDefault="00292EB9" w:rsidP="00183337">
      <w:pPr>
        <w:rPr>
          <w:snapToGrid w:val="0"/>
          <w:lang w:val="es-ES_tradnl"/>
        </w:rPr>
      </w:pPr>
    </w:p>
    <w:p w:rsidR="00292EB9" w:rsidRDefault="00292EB9" w:rsidP="00183337">
      <w:pPr>
        <w:jc w:val="right"/>
      </w:pPr>
      <w:r w:rsidRPr="004055B7">
        <w:rPr>
          <w:lang w:val="es-ES_tradnl"/>
        </w:rPr>
        <w:t>[Sigue el Anexo IV]</w:t>
      </w:r>
    </w:p>
    <w:p w:rsidR="00292EB9" w:rsidRDefault="00292EB9" w:rsidP="00183337">
      <w:pPr>
        <w:rPr>
          <w:snapToGrid w:val="0"/>
        </w:rPr>
      </w:pPr>
    </w:p>
    <w:p w:rsidR="00292EB9" w:rsidRDefault="00292EB9" w:rsidP="00183337">
      <w:pPr>
        <w:rPr>
          <w:snapToGrid w:val="0"/>
        </w:rPr>
        <w:sectPr w:rsidR="00292EB9" w:rsidSect="00906DDC">
          <w:headerReference w:type="first" r:id="rId16"/>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92EB9" w:rsidRPr="00104686" w:rsidTr="00B871B4">
        <w:tc>
          <w:tcPr>
            <w:tcW w:w="9889" w:type="dxa"/>
          </w:tcPr>
          <w:p w:rsidR="00292EB9" w:rsidRPr="00104686" w:rsidRDefault="00292EB9" w:rsidP="00B34B92">
            <w:pPr>
              <w:autoSpaceDE w:val="0"/>
              <w:autoSpaceDN w:val="0"/>
              <w:adjustRightInd w:val="0"/>
              <w:spacing w:before="120" w:after="120"/>
              <w:jc w:val="center"/>
              <w:rPr>
                <w:rFonts w:eastAsia="SimSun"/>
                <w:szCs w:val="24"/>
                <w:lang w:val="es-ES_tradnl" w:eastAsia="zh-CN"/>
              </w:rPr>
            </w:pPr>
            <w:r w:rsidRPr="004055B7">
              <w:rPr>
                <w:rFonts w:eastAsia="SimSun"/>
                <w:szCs w:val="24"/>
                <w:lang w:val="es-ES_tradnl" w:eastAsia="zh-CN"/>
              </w:rPr>
              <w:t>SITUACIÓN D:</w:t>
            </w:r>
            <w:r w:rsidRPr="00104686">
              <w:rPr>
                <w:rFonts w:eastAsia="SimSun"/>
                <w:szCs w:val="24"/>
                <w:lang w:val="es-ES_tradnl" w:eastAsia="zh-CN"/>
              </w:rPr>
              <w:t xml:space="preserve">  </w:t>
            </w:r>
            <w:r w:rsidRPr="004055B7">
              <w:rPr>
                <w:rFonts w:eastAsia="SimSun"/>
                <w:szCs w:val="24"/>
                <w:lang w:val="es-ES_tradnl" w:eastAsia="zh-CN"/>
              </w:rPr>
              <w:t>EVALUACIÓN DE SUBMUESTRAS EN UN ÚNICO EXAMEN O ENSAYO</w:t>
            </w:r>
          </w:p>
        </w:tc>
      </w:tr>
      <w:tr w:rsidR="00292EB9" w:rsidRPr="00104686" w:rsidTr="00B871B4">
        <w:tc>
          <w:tcPr>
            <w:tcW w:w="9889" w:type="dxa"/>
          </w:tcPr>
          <w:p w:rsidR="00292EB9" w:rsidRPr="00104686" w:rsidRDefault="00292EB9" w:rsidP="00183337">
            <w:pPr>
              <w:rPr>
                <w:lang w:val="es-ES_tradnl"/>
              </w:rPr>
            </w:pPr>
          </w:p>
          <w:p w:rsidR="00292EB9" w:rsidRPr="00104686" w:rsidRDefault="00292EB9" w:rsidP="00183337">
            <w:pPr>
              <w:rPr>
                <w:b/>
                <w:lang w:val="es-ES_tradnl"/>
              </w:rPr>
            </w:pPr>
            <w:r w:rsidRPr="004055B7">
              <w:rPr>
                <w:b/>
                <w:lang w:val="es-ES_tradnl"/>
              </w:rPr>
              <w:t>Método:</w:t>
            </w:r>
            <w:r w:rsidRPr="00104686">
              <w:rPr>
                <w:b/>
                <w:lang w:val="es-ES_tradnl"/>
              </w:rPr>
              <w:t xml:space="preserve">  </w:t>
            </w:r>
            <w:r w:rsidRPr="00B34B92">
              <w:rPr>
                <w:b/>
                <w:lang w:val="es-ES_tradnl"/>
              </w:rPr>
              <w:t xml:space="preserve">Utilización de una </w:t>
            </w:r>
            <w:proofErr w:type="spellStart"/>
            <w:r w:rsidRPr="00B34B92">
              <w:rPr>
                <w:b/>
                <w:lang w:val="es-ES_tradnl"/>
              </w:rPr>
              <w:t>submuestra</w:t>
            </w:r>
            <w:proofErr w:type="spellEnd"/>
            <w:r w:rsidRPr="00B34B92">
              <w:rPr>
                <w:b/>
                <w:lang w:val="es-ES_tradnl"/>
              </w:rPr>
              <w:t xml:space="preserve"> como primera etapa de la evaluación</w:t>
            </w:r>
          </w:p>
          <w:p w:rsidR="00292EB9" w:rsidRPr="00104686" w:rsidRDefault="00292EB9" w:rsidP="00183337">
            <w:pPr>
              <w:rPr>
                <w:b/>
                <w:lang w:val="es-ES_tradnl"/>
              </w:rPr>
            </w:pPr>
          </w:p>
          <w:p w:rsidR="00292EB9" w:rsidRPr="00104686" w:rsidRDefault="00292EB9" w:rsidP="00183337">
            <w:pPr>
              <w:rPr>
                <w:lang w:val="es-ES_tradnl"/>
              </w:rPr>
            </w:pPr>
            <w:r w:rsidRPr="00B34B92">
              <w:rPr>
                <w:lang w:val="es-ES_tradnl"/>
              </w:rPr>
              <w:t xml:space="preserve">Se considera que una variedad es homogénea si no se observan plantas fuera de tipo en una </w:t>
            </w:r>
            <w:proofErr w:type="spellStart"/>
            <w:r w:rsidRPr="00B34B92">
              <w:rPr>
                <w:lang w:val="es-ES_tradnl"/>
              </w:rPr>
              <w:t>submuestra</w:t>
            </w:r>
            <w:proofErr w:type="spellEnd"/>
            <w:r w:rsidRPr="00B34B92">
              <w:rPr>
                <w:lang w:val="es-ES_tradnl"/>
              </w:rPr>
              <w:t>.</w:t>
            </w:r>
          </w:p>
          <w:p w:rsidR="00292EB9" w:rsidRPr="00104686" w:rsidRDefault="00292EB9" w:rsidP="00183337">
            <w:pPr>
              <w:rPr>
                <w:lang w:val="es-ES_tradnl"/>
              </w:rPr>
            </w:pPr>
          </w:p>
          <w:p w:rsidR="00292EB9" w:rsidRPr="00104686" w:rsidRDefault="00292EB9" w:rsidP="00183337">
            <w:pPr>
              <w:rPr>
                <w:lang w:val="es-ES_tradnl"/>
              </w:rPr>
            </w:pPr>
            <w:r w:rsidRPr="00B34B92">
              <w:rPr>
                <w:lang w:val="es-ES_tradnl"/>
              </w:rPr>
              <w:t xml:space="preserve">Se considera que una variedad no es homogénea si el número de plantas fuera de tipo en la </w:t>
            </w:r>
            <w:proofErr w:type="spellStart"/>
            <w:r w:rsidRPr="00B34B92">
              <w:rPr>
                <w:lang w:val="es-ES_tradnl"/>
              </w:rPr>
              <w:t>submuestra</w:t>
            </w:r>
            <w:proofErr w:type="spellEnd"/>
            <w:r w:rsidRPr="00B34B92">
              <w:rPr>
                <w:lang w:val="es-ES_tradnl"/>
              </w:rPr>
              <w:t xml:space="preserve"> supera el número permitido de plantas fuera de tipo para toda la muestra.</w:t>
            </w:r>
          </w:p>
          <w:p w:rsidR="00292EB9" w:rsidRPr="00104686" w:rsidRDefault="00292EB9" w:rsidP="00183337">
            <w:pPr>
              <w:rPr>
                <w:lang w:val="es-ES_tradnl"/>
              </w:rPr>
            </w:pPr>
          </w:p>
          <w:p w:rsidR="00292EB9" w:rsidRPr="00104686" w:rsidRDefault="00292EB9" w:rsidP="00183337">
            <w:pPr>
              <w:rPr>
                <w:lang w:val="es-ES_tradnl"/>
              </w:rPr>
            </w:pPr>
            <w:r w:rsidRPr="00B34B92">
              <w:rPr>
                <w:lang w:val="es-ES_tradnl"/>
              </w:rPr>
              <w:t>Si el número de plantas fuera de tipo es 1 o más, pero inferior al número de plantas fuera de tipo aceptable para toda la muestra, se evalúa toda la muestra.</w:t>
            </w:r>
          </w:p>
          <w:p w:rsidR="00292EB9" w:rsidRPr="00104686" w:rsidRDefault="00292EB9" w:rsidP="00183337">
            <w:pPr>
              <w:rPr>
                <w:szCs w:val="24"/>
                <w:lang w:val="es-ES_tradnl"/>
              </w:rPr>
            </w:pPr>
          </w:p>
          <w:p w:rsidR="00292EB9" w:rsidRPr="00104686" w:rsidRDefault="00292EB9" w:rsidP="00183337">
            <w:pPr>
              <w:rPr>
                <w:szCs w:val="24"/>
                <w:lang w:val="es-ES_tradnl"/>
              </w:rPr>
            </w:pPr>
            <w:r w:rsidRPr="00104686">
              <w:rPr>
                <w:szCs w:val="24"/>
                <w:lang w:val="es-ES_tradnl"/>
              </w:rPr>
              <w:t>______________________________________________________________________________________</w:t>
            </w:r>
          </w:p>
          <w:p w:rsidR="00292EB9" w:rsidRPr="00104686" w:rsidRDefault="00292EB9" w:rsidP="00183337">
            <w:pPr>
              <w:rPr>
                <w:szCs w:val="24"/>
                <w:lang w:val="es-ES_tradnl"/>
              </w:rPr>
            </w:pPr>
          </w:p>
          <w:p w:rsidR="00292EB9" w:rsidRPr="00104686" w:rsidRDefault="00292EB9" w:rsidP="00183337">
            <w:pPr>
              <w:rPr>
                <w:szCs w:val="24"/>
                <w:lang w:val="es-ES_tradnl"/>
              </w:rPr>
            </w:pPr>
            <w:r w:rsidRPr="00B34B92">
              <w:rPr>
                <w:lang w:val="es-ES_tradnl"/>
              </w:rPr>
              <w:t>Ejemplo ilustrativo:</w:t>
            </w:r>
          </w:p>
          <w:p w:rsidR="00292EB9" w:rsidRPr="00104686" w:rsidRDefault="00292EB9" w:rsidP="00183337">
            <w:pPr>
              <w:rPr>
                <w:szCs w:val="24"/>
                <w:lang w:val="es-ES_tradnl"/>
              </w:rPr>
            </w:pPr>
          </w:p>
          <w:p w:rsidR="00292EB9" w:rsidRPr="00104686" w:rsidRDefault="00292EB9" w:rsidP="00183337">
            <w:pPr>
              <w:autoSpaceDE w:val="0"/>
              <w:autoSpaceDN w:val="0"/>
              <w:adjustRightInd w:val="0"/>
              <w:rPr>
                <w:color w:val="000000"/>
                <w:szCs w:val="24"/>
                <w:lang w:val="es-ES_tradnl"/>
              </w:rPr>
            </w:pPr>
            <w:r w:rsidRPr="00B34B92">
              <w:rPr>
                <w:color w:val="000000"/>
                <w:szCs w:val="24"/>
                <w:lang w:val="es-ES_tradnl"/>
              </w:rPr>
              <w:t>En el caso de una muestra de 100 plantas, el número aceptable de plantas fuera de tipo es 3 (aplicando una población estándar del 1% y una probabilidad de aceptación del</w:t>
            </w:r>
            <w:r>
              <w:rPr>
                <w:color w:val="000000"/>
                <w:szCs w:val="24"/>
                <w:lang w:val="es-ES_tradnl"/>
              </w:rPr>
              <w:t> </w:t>
            </w:r>
            <w:r w:rsidRPr="00B34B92">
              <w:rPr>
                <w:color w:val="000000"/>
                <w:szCs w:val="24"/>
                <w:lang w:val="es-ES_tradnl"/>
              </w:rPr>
              <w:t>95% como mínimo).</w:t>
            </w:r>
          </w:p>
          <w:p w:rsidR="00292EB9" w:rsidRPr="00104686" w:rsidRDefault="00292EB9" w:rsidP="00183337">
            <w:pPr>
              <w:autoSpaceDE w:val="0"/>
              <w:autoSpaceDN w:val="0"/>
              <w:adjustRightInd w:val="0"/>
              <w:rPr>
                <w:color w:val="000000"/>
                <w:szCs w:val="24"/>
                <w:lang w:val="es-ES_tradnl"/>
              </w:rPr>
            </w:pPr>
          </w:p>
          <w:p w:rsidR="00292EB9" w:rsidRPr="00104686" w:rsidRDefault="00292EB9" w:rsidP="00183337">
            <w:pPr>
              <w:autoSpaceDE w:val="0"/>
              <w:autoSpaceDN w:val="0"/>
              <w:adjustRightInd w:val="0"/>
              <w:rPr>
                <w:color w:val="000000"/>
                <w:szCs w:val="24"/>
                <w:lang w:val="es-ES_tradnl"/>
              </w:rPr>
            </w:pPr>
            <w:r w:rsidRPr="00B34B92">
              <w:rPr>
                <w:color w:val="000000"/>
                <w:szCs w:val="24"/>
                <w:lang w:val="es-ES_tradnl"/>
              </w:rPr>
              <w:t xml:space="preserve">En una </w:t>
            </w:r>
            <w:proofErr w:type="spellStart"/>
            <w:r w:rsidRPr="00B34B92">
              <w:rPr>
                <w:color w:val="000000"/>
                <w:szCs w:val="24"/>
                <w:lang w:val="es-ES_tradnl"/>
              </w:rPr>
              <w:t>submuestra</w:t>
            </w:r>
            <w:proofErr w:type="spellEnd"/>
            <w:r w:rsidRPr="00B34B92">
              <w:rPr>
                <w:color w:val="000000"/>
                <w:szCs w:val="24"/>
                <w:lang w:val="es-ES_tradnl"/>
              </w:rPr>
              <w:t xml:space="preserve"> de 20 plantas utilizada en el contexto de la antedicha muestra de 100 plantas:</w:t>
            </w:r>
          </w:p>
          <w:p w:rsidR="00292EB9" w:rsidRPr="00104686" w:rsidRDefault="00292EB9" w:rsidP="00183337">
            <w:pPr>
              <w:autoSpaceDE w:val="0"/>
              <w:autoSpaceDN w:val="0"/>
              <w:adjustRightInd w:val="0"/>
              <w:rPr>
                <w:color w:val="000000"/>
                <w:szCs w:val="24"/>
                <w:lang w:val="es-ES_tradnl"/>
              </w:rPr>
            </w:pPr>
          </w:p>
          <w:p w:rsidR="00292EB9" w:rsidRPr="00104686" w:rsidRDefault="00292EB9" w:rsidP="00183337">
            <w:pPr>
              <w:ind w:left="567"/>
              <w:rPr>
                <w:lang w:val="es-ES_tradnl"/>
              </w:rPr>
            </w:pPr>
            <w:r w:rsidRPr="00B34B92">
              <w:rPr>
                <w:lang w:val="es-ES_tradnl"/>
              </w:rPr>
              <w:t xml:space="preserve">Se considera que una variedad es homogénea si no se observan plantas fuera de tipo en la </w:t>
            </w:r>
            <w:proofErr w:type="spellStart"/>
            <w:r w:rsidRPr="00B34B92">
              <w:rPr>
                <w:lang w:val="es-ES_tradnl"/>
              </w:rPr>
              <w:t>submuestra</w:t>
            </w:r>
            <w:proofErr w:type="spellEnd"/>
            <w:r w:rsidRPr="00B34B92">
              <w:rPr>
                <w:lang w:val="es-ES_tradnl"/>
              </w:rPr>
              <w:t>.</w:t>
            </w:r>
          </w:p>
          <w:p w:rsidR="00292EB9" w:rsidRPr="00104686" w:rsidRDefault="00292EB9" w:rsidP="00183337">
            <w:pPr>
              <w:rPr>
                <w:lang w:val="es-ES_tradnl"/>
              </w:rPr>
            </w:pPr>
          </w:p>
          <w:p w:rsidR="00292EB9" w:rsidRPr="00104686" w:rsidRDefault="00292EB9" w:rsidP="00183337">
            <w:pPr>
              <w:ind w:left="567"/>
              <w:rPr>
                <w:lang w:val="es-ES_tradnl"/>
              </w:rPr>
            </w:pPr>
            <w:r w:rsidRPr="00B34B92">
              <w:rPr>
                <w:lang w:val="es-ES_tradnl"/>
              </w:rPr>
              <w:t xml:space="preserve">Se considera que una variedad no es homogénea si el número de plantas fuera de tipo en la </w:t>
            </w:r>
            <w:proofErr w:type="spellStart"/>
            <w:r w:rsidRPr="00B34B92">
              <w:rPr>
                <w:lang w:val="es-ES_tradnl"/>
              </w:rPr>
              <w:t>submuestra</w:t>
            </w:r>
            <w:proofErr w:type="spellEnd"/>
            <w:r w:rsidRPr="00B34B92">
              <w:rPr>
                <w:lang w:val="es-ES_tradnl"/>
              </w:rPr>
              <w:t xml:space="preserve"> es mayor de 3.</w:t>
            </w:r>
          </w:p>
          <w:p w:rsidR="00292EB9" w:rsidRPr="00104686" w:rsidRDefault="00292EB9" w:rsidP="00183337">
            <w:pPr>
              <w:rPr>
                <w:lang w:val="es-ES_tradnl"/>
              </w:rPr>
            </w:pPr>
          </w:p>
          <w:p w:rsidR="00292EB9" w:rsidRPr="00104686" w:rsidRDefault="00292EB9" w:rsidP="00183337">
            <w:pPr>
              <w:ind w:left="567"/>
              <w:rPr>
                <w:lang w:val="es-ES_tradnl"/>
              </w:rPr>
            </w:pPr>
            <w:r w:rsidRPr="00B34B92">
              <w:rPr>
                <w:lang w:val="es-ES_tradnl"/>
              </w:rPr>
              <w:t>Si el número de plantas fuera de tipo está entre 1 y 3, se evalúa toda la muestra de 100 plantas.</w:t>
            </w:r>
          </w:p>
          <w:p w:rsidR="00292EB9" w:rsidRPr="00104686" w:rsidRDefault="00292EB9" w:rsidP="00183337">
            <w:pPr>
              <w:rPr>
                <w:szCs w:val="24"/>
                <w:lang w:val="es-ES_tradnl"/>
              </w:rPr>
            </w:pPr>
          </w:p>
          <w:p w:rsidR="00292EB9" w:rsidRPr="00104686" w:rsidRDefault="00292EB9" w:rsidP="00183337">
            <w:pPr>
              <w:rPr>
                <w:szCs w:val="24"/>
                <w:lang w:val="es-ES_tradnl"/>
              </w:rPr>
            </w:pPr>
            <w:r w:rsidRPr="00104686">
              <w:rPr>
                <w:szCs w:val="24"/>
                <w:lang w:val="es-ES_tradnl"/>
              </w:rPr>
              <w:t xml:space="preserve"> </w:t>
            </w:r>
          </w:p>
        </w:tc>
      </w:tr>
    </w:tbl>
    <w:p w:rsidR="00292EB9" w:rsidRPr="00104686" w:rsidRDefault="00292EB9" w:rsidP="00183337">
      <w:pPr>
        <w:rPr>
          <w:snapToGrid w:val="0"/>
          <w:lang w:val="es-ES_tradnl"/>
        </w:rPr>
      </w:pPr>
    </w:p>
    <w:p w:rsidR="00292EB9" w:rsidRPr="00104686" w:rsidRDefault="00292EB9" w:rsidP="00B34B92">
      <w:pPr>
        <w:pStyle w:val="endofdoc"/>
        <w:rPr>
          <w:snapToGrid w:val="0"/>
          <w:lang w:val="es-ES_tradnl"/>
        </w:rPr>
      </w:pPr>
      <w:r w:rsidRPr="004055B7">
        <w:rPr>
          <w:snapToGrid w:val="0"/>
          <w:lang w:val="es-ES_tradnl"/>
        </w:rPr>
        <w:t>[Fin del Anexo IV y del documento]</w:t>
      </w:r>
    </w:p>
    <w:p w:rsidR="00292EB9" w:rsidRPr="00104686" w:rsidRDefault="00292EB9" w:rsidP="00183337">
      <w:pPr>
        <w:rPr>
          <w:lang w:val="es-ES_tradnl"/>
        </w:rPr>
      </w:pPr>
    </w:p>
    <w:sectPr w:rsidR="00292EB9" w:rsidRPr="00104686" w:rsidSect="00906DDC">
      <w:headerReference w:type="default" r:id="rId17"/>
      <w:headerReference w:type="first" r:id="rId18"/>
      <w:footerReference w:type="first" r:id="rId1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F15" w:rsidRDefault="00B32F15" w:rsidP="006655D3">
      <w:r>
        <w:separator/>
      </w:r>
    </w:p>
    <w:p w:rsidR="00B32F15" w:rsidRDefault="00B32F15" w:rsidP="006655D3"/>
    <w:p w:rsidR="00B32F15" w:rsidRDefault="00B32F15" w:rsidP="006655D3"/>
  </w:endnote>
  <w:endnote w:type="continuationSeparator" w:id="0">
    <w:p w:rsidR="00B32F15" w:rsidRDefault="00B32F15" w:rsidP="006655D3">
      <w:r>
        <w:separator/>
      </w:r>
    </w:p>
    <w:p w:rsidR="00B32F15" w:rsidRPr="009B4AAE" w:rsidRDefault="00B32F15">
      <w:pPr>
        <w:pStyle w:val="Footer"/>
        <w:spacing w:after="60"/>
        <w:rPr>
          <w:sz w:val="18"/>
          <w:lang w:val="fr-FR"/>
        </w:rPr>
      </w:pPr>
      <w:r w:rsidRPr="009B4AAE">
        <w:rPr>
          <w:sz w:val="18"/>
          <w:lang w:val="fr-FR"/>
        </w:rPr>
        <w:t>[Suite de la note de la page précédente]</w:t>
      </w:r>
    </w:p>
    <w:p w:rsidR="00B32F15" w:rsidRPr="009B4AAE" w:rsidRDefault="00B32F15" w:rsidP="006655D3">
      <w:pPr>
        <w:rPr>
          <w:lang w:val="fr-FR"/>
        </w:rPr>
      </w:pPr>
    </w:p>
    <w:p w:rsidR="00B32F15" w:rsidRPr="009B4AAE" w:rsidRDefault="00B32F15" w:rsidP="006655D3">
      <w:pPr>
        <w:rPr>
          <w:lang w:val="fr-FR"/>
        </w:rPr>
      </w:pPr>
    </w:p>
  </w:endnote>
  <w:endnote w:type="continuationNotice" w:id="1">
    <w:p w:rsidR="00B32F15" w:rsidRPr="009B4AAE" w:rsidRDefault="00B32F15" w:rsidP="006655D3">
      <w:pPr>
        <w:rPr>
          <w:lang w:val="fr-FR"/>
        </w:rPr>
      </w:pPr>
      <w:r w:rsidRPr="009B4AAE">
        <w:rPr>
          <w:lang w:val="fr-FR"/>
        </w:rPr>
        <w:t>[Suite de la note page suivante]</w:t>
      </w:r>
    </w:p>
    <w:p w:rsidR="00B32F15" w:rsidRPr="009B4AAE" w:rsidRDefault="00B32F15" w:rsidP="006655D3">
      <w:pPr>
        <w:rPr>
          <w:lang w:val="fr-FR"/>
        </w:rPr>
      </w:pPr>
    </w:p>
    <w:p w:rsidR="00B32F15" w:rsidRPr="009B4AAE" w:rsidRDefault="00B32F1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15" w:rsidRPr="00104686" w:rsidRDefault="00B32F15" w:rsidP="00104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15" w:rsidRPr="00AE0EF1" w:rsidRDefault="00B32F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F15" w:rsidRDefault="00B32F15" w:rsidP="006655D3">
      <w:r>
        <w:separator/>
      </w:r>
    </w:p>
  </w:footnote>
  <w:footnote w:type="continuationSeparator" w:id="0">
    <w:p w:rsidR="00B32F15" w:rsidRDefault="00B32F15" w:rsidP="006655D3">
      <w:r>
        <w:separator/>
      </w:r>
    </w:p>
  </w:footnote>
  <w:footnote w:type="continuationNotice" w:id="1">
    <w:p w:rsidR="00B32F15" w:rsidRPr="00AB530F" w:rsidRDefault="00B32F1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15" w:rsidRPr="00C5280D" w:rsidRDefault="00B32F15" w:rsidP="00EB048E">
    <w:pPr>
      <w:pStyle w:val="Header"/>
      <w:rPr>
        <w:rStyle w:val="PageNumber"/>
      </w:rPr>
    </w:pPr>
    <w:r>
      <w:rPr>
        <w:rStyle w:val="PageNumber"/>
      </w:rPr>
      <w:t>TC/50/12</w:t>
    </w:r>
  </w:p>
  <w:p w:rsidR="00B32F15" w:rsidRPr="006C40F8" w:rsidRDefault="00B32F15" w:rsidP="00EB048E">
    <w:pPr>
      <w:pStyle w:val="Header"/>
      <w:rPr>
        <w:lang w:val="es-ES_tradnl"/>
      </w:rPr>
    </w:pPr>
    <w:proofErr w:type="gramStart"/>
    <w:r w:rsidRPr="006C40F8">
      <w:rPr>
        <w:lang w:val="es-ES_tradnl"/>
      </w:rPr>
      <w:t>página</w:t>
    </w:r>
    <w:proofErr w:type="gramEnd"/>
    <w:r>
      <w:rPr>
        <w:lang w:val="es-ES_tradnl"/>
      </w:rPr>
      <w:t xml:space="preserve"> </w:t>
    </w:r>
    <w:r w:rsidRPr="006C40F8">
      <w:rPr>
        <w:rStyle w:val="PageNumber"/>
        <w:lang w:val="es-ES_tradnl"/>
      </w:rPr>
      <w:fldChar w:fldCharType="begin"/>
    </w:r>
    <w:r w:rsidRPr="006C40F8">
      <w:rPr>
        <w:rStyle w:val="PageNumber"/>
        <w:lang w:val="es-ES_tradnl"/>
      </w:rPr>
      <w:instrText xml:space="preserve"> PAGE </w:instrText>
    </w:r>
    <w:r w:rsidRPr="006C40F8">
      <w:rPr>
        <w:rStyle w:val="PageNumber"/>
        <w:lang w:val="es-ES_tradnl"/>
      </w:rPr>
      <w:fldChar w:fldCharType="separate"/>
    </w:r>
    <w:r w:rsidR="000A14DD">
      <w:rPr>
        <w:rStyle w:val="PageNumber"/>
        <w:noProof/>
        <w:lang w:val="es-ES_tradnl"/>
      </w:rPr>
      <w:t>2</w:t>
    </w:r>
    <w:r w:rsidRPr="006C40F8">
      <w:rPr>
        <w:rStyle w:val="PageNumber"/>
        <w:lang w:val="es-ES_tradnl"/>
      </w:rPr>
      <w:fldChar w:fldCharType="end"/>
    </w:r>
  </w:p>
  <w:p w:rsidR="00B32F15" w:rsidRPr="00C5280D" w:rsidRDefault="00B32F1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15" w:rsidRPr="00C5280D" w:rsidRDefault="00B32F15" w:rsidP="00EB048E">
    <w:pPr>
      <w:pStyle w:val="Header"/>
      <w:rPr>
        <w:rStyle w:val="PageNumber"/>
      </w:rPr>
    </w:pPr>
    <w:r>
      <w:rPr>
        <w:rStyle w:val="PageNumber"/>
      </w:rPr>
      <w:t>TC/50/12</w:t>
    </w:r>
  </w:p>
  <w:p w:rsidR="00B32F15" w:rsidRPr="006C40F8" w:rsidRDefault="00B32F15" w:rsidP="00EB048E">
    <w:pPr>
      <w:pStyle w:val="Header"/>
      <w:rPr>
        <w:lang w:val="es-ES_tradnl"/>
      </w:rPr>
    </w:pPr>
    <w:r>
      <w:rPr>
        <w:lang w:val="es-ES_tradnl"/>
      </w:rPr>
      <w:t xml:space="preserve">Anexo I, </w:t>
    </w:r>
    <w:r w:rsidRPr="006C40F8">
      <w:rPr>
        <w:lang w:val="es-ES_tradnl"/>
      </w:rPr>
      <w:t>página</w:t>
    </w:r>
    <w:r>
      <w:rPr>
        <w:lang w:val="es-ES_tradnl"/>
      </w:rPr>
      <w:t xml:space="preserve"> </w:t>
    </w:r>
    <w:r w:rsidRPr="006C40F8">
      <w:rPr>
        <w:rStyle w:val="PageNumber"/>
        <w:lang w:val="es-ES_tradnl"/>
      </w:rPr>
      <w:fldChar w:fldCharType="begin"/>
    </w:r>
    <w:r w:rsidRPr="006C40F8">
      <w:rPr>
        <w:rStyle w:val="PageNumber"/>
        <w:lang w:val="es-ES_tradnl"/>
      </w:rPr>
      <w:instrText xml:space="preserve"> PAGE </w:instrText>
    </w:r>
    <w:r w:rsidRPr="006C40F8">
      <w:rPr>
        <w:rStyle w:val="PageNumber"/>
        <w:lang w:val="es-ES_tradnl"/>
      </w:rPr>
      <w:fldChar w:fldCharType="separate"/>
    </w:r>
    <w:r w:rsidR="000A14DD">
      <w:rPr>
        <w:rStyle w:val="PageNumber"/>
        <w:noProof/>
        <w:lang w:val="es-ES_tradnl"/>
      </w:rPr>
      <w:t>3</w:t>
    </w:r>
    <w:r w:rsidRPr="006C40F8">
      <w:rPr>
        <w:rStyle w:val="PageNumber"/>
        <w:lang w:val="es-ES_tradnl"/>
      </w:rPr>
      <w:fldChar w:fldCharType="end"/>
    </w:r>
  </w:p>
  <w:p w:rsidR="00B32F15" w:rsidRPr="00C5280D" w:rsidRDefault="00B32F1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15" w:rsidRPr="00C5280D" w:rsidRDefault="00B32F15" w:rsidP="00183337">
    <w:pPr>
      <w:pStyle w:val="Header"/>
      <w:rPr>
        <w:rStyle w:val="PageNumber"/>
      </w:rPr>
    </w:pPr>
    <w:r>
      <w:rPr>
        <w:rStyle w:val="PageNumber"/>
      </w:rPr>
      <w:t>TC/50/12</w:t>
    </w:r>
  </w:p>
  <w:p w:rsidR="00B32F15" w:rsidRDefault="00B32F15" w:rsidP="00CB0247">
    <w:pPr>
      <w:pStyle w:val="Header"/>
    </w:pPr>
  </w:p>
  <w:p w:rsidR="00B32F15" w:rsidRPr="000555A3" w:rsidRDefault="00B32F15" w:rsidP="00CB0247">
    <w:pPr>
      <w:pStyle w:val="Header"/>
    </w:pPr>
    <w:r w:rsidRPr="006C40F8">
      <w:rPr>
        <w:lang w:val="es-ES_tradnl"/>
      </w:rPr>
      <w:t>ANEXO</w:t>
    </w:r>
    <w:r>
      <w:t xml:space="preserve"> I</w:t>
    </w:r>
  </w:p>
  <w:p w:rsidR="00B32F15" w:rsidRDefault="00B32F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15" w:rsidRPr="00C5280D" w:rsidRDefault="00B32F15" w:rsidP="00EB048E">
    <w:pPr>
      <w:pStyle w:val="Header"/>
      <w:rPr>
        <w:rStyle w:val="PageNumber"/>
      </w:rPr>
    </w:pPr>
    <w:r>
      <w:rPr>
        <w:rStyle w:val="PageNumber"/>
      </w:rPr>
      <w:t>TC/50/12</w:t>
    </w:r>
  </w:p>
  <w:p w:rsidR="00B32F15" w:rsidRPr="006C40F8" w:rsidRDefault="00B32F15" w:rsidP="00EB048E">
    <w:pPr>
      <w:pStyle w:val="Header"/>
      <w:rPr>
        <w:lang w:val="es-ES_tradnl"/>
      </w:rPr>
    </w:pPr>
    <w:r>
      <w:rPr>
        <w:lang w:val="es-ES_tradnl"/>
      </w:rPr>
      <w:t xml:space="preserve">Anexo II, </w:t>
    </w:r>
    <w:r w:rsidRPr="006C40F8">
      <w:rPr>
        <w:lang w:val="es-ES_tradnl"/>
      </w:rPr>
      <w:t>página</w:t>
    </w:r>
    <w:r>
      <w:rPr>
        <w:lang w:val="es-ES_tradnl"/>
      </w:rPr>
      <w:t xml:space="preserve"> </w:t>
    </w:r>
    <w:r w:rsidRPr="006C40F8">
      <w:rPr>
        <w:rStyle w:val="PageNumber"/>
        <w:lang w:val="es-ES_tradnl"/>
      </w:rPr>
      <w:fldChar w:fldCharType="begin"/>
    </w:r>
    <w:r w:rsidRPr="006C40F8">
      <w:rPr>
        <w:rStyle w:val="PageNumber"/>
        <w:lang w:val="es-ES_tradnl"/>
      </w:rPr>
      <w:instrText xml:space="preserve"> PAGE </w:instrText>
    </w:r>
    <w:r w:rsidRPr="006C40F8">
      <w:rPr>
        <w:rStyle w:val="PageNumber"/>
        <w:lang w:val="es-ES_tradnl"/>
      </w:rPr>
      <w:fldChar w:fldCharType="separate"/>
    </w:r>
    <w:r w:rsidR="000A14DD">
      <w:rPr>
        <w:rStyle w:val="PageNumber"/>
        <w:noProof/>
        <w:lang w:val="es-ES_tradnl"/>
      </w:rPr>
      <w:t>3</w:t>
    </w:r>
    <w:r w:rsidRPr="006C40F8">
      <w:rPr>
        <w:rStyle w:val="PageNumber"/>
        <w:lang w:val="es-ES_tradnl"/>
      </w:rPr>
      <w:fldChar w:fldCharType="end"/>
    </w:r>
  </w:p>
  <w:p w:rsidR="00B32F15" w:rsidRPr="00C5280D" w:rsidRDefault="00B32F15"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15" w:rsidRPr="00C5280D" w:rsidRDefault="00B32F15" w:rsidP="00183337">
    <w:pPr>
      <w:pStyle w:val="Header"/>
      <w:rPr>
        <w:rStyle w:val="PageNumber"/>
      </w:rPr>
    </w:pPr>
    <w:r>
      <w:rPr>
        <w:rStyle w:val="PageNumber"/>
      </w:rPr>
      <w:t>TC/50/12</w:t>
    </w:r>
  </w:p>
  <w:p w:rsidR="00B32F15" w:rsidRDefault="00B32F15" w:rsidP="00CB0247">
    <w:pPr>
      <w:pStyle w:val="Header"/>
    </w:pPr>
  </w:p>
  <w:p w:rsidR="00B32F15" w:rsidRPr="000555A3" w:rsidRDefault="00B32F15" w:rsidP="00CB0247">
    <w:pPr>
      <w:pStyle w:val="Header"/>
    </w:pPr>
    <w:r w:rsidRPr="006C40F8">
      <w:rPr>
        <w:lang w:val="es-ES_tradnl"/>
      </w:rPr>
      <w:t>ANEXO</w:t>
    </w:r>
    <w:r>
      <w:t xml:space="preserve"> II</w:t>
    </w:r>
  </w:p>
  <w:p w:rsidR="00B32F15" w:rsidRDefault="00B32F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15" w:rsidRPr="00C5280D" w:rsidRDefault="00B32F15" w:rsidP="00183337">
    <w:pPr>
      <w:pStyle w:val="Header"/>
      <w:rPr>
        <w:rStyle w:val="PageNumber"/>
      </w:rPr>
    </w:pPr>
    <w:r>
      <w:rPr>
        <w:rStyle w:val="PageNumber"/>
      </w:rPr>
      <w:t>TC/50/12</w:t>
    </w:r>
  </w:p>
  <w:p w:rsidR="00B32F15" w:rsidRDefault="00B32F15" w:rsidP="00CB0247">
    <w:pPr>
      <w:pStyle w:val="Header"/>
    </w:pPr>
  </w:p>
  <w:p w:rsidR="00B32F15" w:rsidRPr="000555A3" w:rsidRDefault="00B32F15" w:rsidP="00CB0247">
    <w:pPr>
      <w:pStyle w:val="Header"/>
    </w:pPr>
    <w:r w:rsidRPr="006C40F8">
      <w:rPr>
        <w:lang w:val="es-ES_tradnl"/>
      </w:rPr>
      <w:t>ANEXO</w:t>
    </w:r>
    <w:r>
      <w:t xml:space="preserve"> III</w:t>
    </w:r>
  </w:p>
  <w:p w:rsidR="00B32F15" w:rsidRDefault="00B32F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15" w:rsidRPr="00C5280D" w:rsidRDefault="00B32F15" w:rsidP="00EB048E">
    <w:pPr>
      <w:pStyle w:val="Header"/>
      <w:rPr>
        <w:rStyle w:val="PageNumber"/>
        <w:lang w:val="en-US"/>
      </w:rPr>
    </w:pPr>
    <w:r>
      <w:rPr>
        <w:rStyle w:val="PageNumber"/>
        <w:lang w:val="en-US"/>
      </w:rPr>
      <w:t>TC/50/</w:t>
    </w:r>
  </w:p>
  <w:p w:rsidR="00B32F15" w:rsidRPr="00C5280D" w:rsidRDefault="00B32F1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A14DD">
      <w:rPr>
        <w:rStyle w:val="PageNumber"/>
        <w:noProof/>
        <w:lang w:val="en-US"/>
      </w:rPr>
      <w:t>3</w:t>
    </w:r>
    <w:r w:rsidRPr="00C5280D">
      <w:rPr>
        <w:rStyle w:val="PageNumber"/>
        <w:lang w:val="en-US"/>
      </w:rPr>
      <w:fldChar w:fldCharType="end"/>
    </w:r>
  </w:p>
  <w:p w:rsidR="00B32F15" w:rsidRPr="00C5280D" w:rsidRDefault="00B32F15"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F15" w:rsidRPr="00C5280D" w:rsidRDefault="00B32F15" w:rsidP="00183337">
    <w:pPr>
      <w:pStyle w:val="Header"/>
      <w:rPr>
        <w:rStyle w:val="PageNumber"/>
      </w:rPr>
    </w:pPr>
    <w:r>
      <w:rPr>
        <w:rStyle w:val="PageNumber"/>
      </w:rPr>
      <w:t>TC/50/12</w:t>
    </w:r>
  </w:p>
  <w:p w:rsidR="00B32F15" w:rsidRDefault="00B32F15" w:rsidP="00CB0247">
    <w:pPr>
      <w:pStyle w:val="Header"/>
    </w:pPr>
  </w:p>
  <w:p w:rsidR="00B32F15" w:rsidRPr="000555A3" w:rsidRDefault="00B32F15" w:rsidP="00CB0247">
    <w:pPr>
      <w:pStyle w:val="Header"/>
    </w:pPr>
    <w:r w:rsidRPr="006C40F8">
      <w:rPr>
        <w:lang w:val="es-ES_tradnl"/>
      </w:rPr>
      <w:t>ANEXO</w:t>
    </w:r>
    <w:r>
      <w:t xml:space="preserve"> IV</w:t>
    </w:r>
  </w:p>
  <w:p w:rsidR="00B32F15" w:rsidRDefault="00B32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4214"/>
    <w:multiLevelType w:val="multilevel"/>
    <w:tmpl w:val="9CFE5CC4"/>
    <w:lvl w:ilvl="0">
      <w:start w:val="1"/>
      <w:numFmt w:val="lowerLetter"/>
      <w:lvlText w:val="(%1)"/>
      <w:lvlJc w:val="left"/>
      <w:pPr>
        <w:ind w:left="360" w:hanging="360"/>
      </w:pPr>
      <w:rPr>
        <w:rFonts w:eastAsia="MS Mincho"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2B3708D5"/>
    <w:multiLevelType w:val="hybridMultilevel"/>
    <w:tmpl w:val="FF2CFDDC"/>
    <w:lvl w:ilvl="0" w:tplc="0008ABC4">
      <w:start w:val="1"/>
      <w:numFmt w:val="lowerLetter"/>
      <w:lvlText w:val="%1)"/>
      <w:lvlJc w:val="left"/>
      <w:pPr>
        <w:tabs>
          <w:tab w:val="num" w:pos="360"/>
        </w:tabs>
        <w:ind w:left="720" w:hanging="360"/>
      </w:pPr>
      <w:rPr>
        <w:rFonts w:eastAsia="MS Mincho"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701444"/>
    <w:multiLevelType w:val="hybridMultilevel"/>
    <w:tmpl w:val="D55497C2"/>
    <w:lvl w:ilvl="0" w:tplc="461E64C2">
      <w:start w:val="1"/>
      <w:numFmt w:val="lowerLetter"/>
      <w:lvlText w:val="(%1)"/>
      <w:lvlJc w:val="left"/>
      <w:pPr>
        <w:ind w:left="5180" w:hanging="360"/>
      </w:pPr>
      <w:rPr>
        <w:rFonts w:cs="Times New Roman" w:hint="default"/>
        <w:i/>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4">
    <w:nsid w:val="4C1B6711"/>
    <w:multiLevelType w:val="hybridMultilevel"/>
    <w:tmpl w:val="9CFE5CC4"/>
    <w:lvl w:ilvl="0" w:tplc="699E2F02">
      <w:start w:val="1"/>
      <w:numFmt w:val="lowerLetter"/>
      <w:lvlText w:val="(%1)"/>
      <w:lvlJc w:val="left"/>
      <w:pPr>
        <w:ind w:left="360" w:hanging="360"/>
      </w:pPr>
      <w:rPr>
        <w:rFonts w:eastAsia="MS Mincho"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4FCF6D60"/>
    <w:multiLevelType w:val="hybridMultilevel"/>
    <w:tmpl w:val="1890BE30"/>
    <w:lvl w:ilvl="0" w:tplc="CB200898">
      <w:start w:val="1"/>
      <w:numFmt w:val="lowerLetter"/>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E216C27"/>
    <w:multiLevelType w:val="hybridMultilevel"/>
    <w:tmpl w:val="D55497C2"/>
    <w:lvl w:ilvl="0" w:tplc="461E64C2">
      <w:start w:val="1"/>
      <w:numFmt w:val="lowerLetter"/>
      <w:lvlText w:val="(%1)"/>
      <w:lvlJc w:val="left"/>
      <w:pPr>
        <w:ind w:left="5180" w:hanging="360"/>
      </w:pPr>
      <w:rPr>
        <w:rFonts w:cs="Times New Roman" w:hint="default"/>
        <w:i/>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13"/>
  </w:docVars>
  <w:rsids>
    <w:rsidRoot w:val="00707660"/>
    <w:rsid w:val="00010CF3"/>
    <w:rsid w:val="00011E27"/>
    <w:rsid w:val="000148BC"/>
    <w:rsid w:val="00024AB8"/>
    <w:rsid w:val="00025CE5"/>
    <w:rsid w:val="00030854"/>
    <w:rsid w:val="00034C41"/>
    <w:rsid w:val="00036028"/>
    <w:rsid w:val="00044642"/>
    <w:rsid w:val="000446B9"/>
    <w:rsid w:val="00047E21"/>
    <w:rsid w:val="00050E16"/>
    <w:rsid w:val="000555A3"/>
    <w:rsid w:val="00056454"/>
    <w:rsid w:val="00082E24"/>
    <w:rsid w:val="00084D77"/>
    <w:rsid w:val="00085505"/>
    <w:rsid w:val="000936D2"/>
    <w:rsid w:val="000A14DD"/>
    <w:rsid w:val="000A37A7"/>
    <w:rsid w:val="000A4D17"/>
    <w:rsid w:val="000B324F"/>
    <w:rsid w:val="000C2AD6"/>
    <w:rsid w:val="000C7021"/>
    <w:rsid w:val="000D2BFB"/>
    <w:rsid w:val="000D6BBC"/>
    <w:rsid w:val="000D7780"/>
    <w:rsid w:val="000F2F11"/>
    <w:rsid w:val="00100526"/>
    <w:rsid w:val="00104686"/>
    <w:rsid w:val="00105929"/>
    <w:rsid w:val="001131D5"/>
    <w:rsid w:val="001142CD"/>
    <w:rsid w:val="00124551"/>
    <w:rsid w:val="0013283F"/>
    <w:rsid w:val="00135247"/>
    <w:rsid w:val="00141DB8"/>
    <w:rsid w:val="00143E49"/>
    <w:rsid w:val="00150809"/>
    <w:rsid w:val="0015552E"/>
    <w:rsid w:val="001576B7"/>
    <w:rsid w:val="00160D6F"/>
    <w:rsid w:val="0017474A"/>
    <w:rsid w:val="001758C6"/>
    <w:rsid w:val="00182B99"/>
    <w:rsid w:val="00183337"/>
    <w:rsid w:val="001A2CEF"/>
    <w:rsid w:val="0021332C"/>
    <w:rsid w:val="00213982"/>
    <w:rsid w:val="002302DC"/>
    <w:rsid w:val="0024416D"/>
    <w:rsid w:val="00271911"/>
    <w:rsid w:val="00275ED6"/>
    <w:rsid w:val="002800A0"/>
    <w:rsid w:val="002801B3"/>
    <w:rsid w:val="00281060"/>
    <w:rsid w:val="002872C8"/>
    <w:rsid w:val="00292EB9"/>
    <w:rsid w:val="002940E8"/>
    <w:rsid w:val="002A2C89"/>
    <w:rsid w:val="002A6E50"/>
    <w:rsid w:val="002C256A"/>
    <w:rsid w:val="002C4A49"/>
    <w:rsid w:val="002F6EFE"/>
    <w:rsid w:val="00304612"/>
    <w:rsid w:val="00305A7F"/>
    <w:rsid w:val="003152FE"/>
    <w:rsid w:val="00322838"/>
    <w:rsid w:val="003232C8"/>
    <w:rsid w:val="00327436"/>
    <w:rsid w:val="00330930"/>
    <w:rsid w:val="00344BD6"/>
    <w:rsid w:val="003515D6"/>
    <w:rsid w:val="0035528D"/>
    <w:rsid w:val="00361821"/>
    <w:rsid w:val="00366ED4"/>
    <w:rsid w:val="003672CD"/>
    <w:rsid w:val="00370590"/>
    <w:rsid w:val="00376A9B"/>
    <w:rsid w:val="003941D8"/>
    <w:rsid w:val="003954CF"/>
    <w:rsid w:val="003A3F00"/>
    <w:rsid w:val="003B0C7B"/>
    <w:rsid w:val="003C1932"/>
    <w:rsid w:val="003D227C"/>
    <w:rsid w:val="003D2B4D"/>
    <w:rsid w:val="004055B7"/>
    <w:rsid w:val="00423063"/>
    <w:rsid w:val="004244F6"/>
    <w:rsid w:val="00442A06"/>
    <w:rsid w:val="00443AD8"/>
    <w:rsid w:val="00444A88"/>
    <w:rsid w:val="00467275"/>
    <w:rsid w:val="00474DA4"/>
    <w:rsid w:val="00476B4D"/>
    <w:rsid w:val="004805FA"/>
    <w:rsid w:val="004A7272"/>
    <w:rsid w:val="004B761D"/>
    <w:rsid w:val="004D047D"/>
    <w:rsid w:val="004D42C8"/>
    <w:rsid w:val="004E26E0"/>
    <w:rsid w:val="004F1C91"/>
    <w:rsid w:val="004F305A"/>
    <w:rsid w:val="004F3E98"/>
    <w:rsid w:val="005076CA"/>
    <w:rsid w:val="005077F9"/>
    <w:rsid w:val="00512164"/>
    <w:rsid w:val="00520297"/>
    <w:rsid w:val="005338F9"/>
    <w:rsid w:val="0054281C"/>
    <w:rsid w:val="0055268D"/>
    <w:rsid w:val="00552754"/>
    <w:rsid w:val="005623A7"/>
    <w:rsid w:val="00576BE4"/>
    <w:rsid w:val="005A400A"/>
    <w:rsid w:val="005A47E8"/>
    <w:rsid w:val="005C0679"/>
    <w:rsid w:val="005D3EDD"/>
    <w:rsid w:val="005E5E84"/>
    <w:rsid w:val="005E666F"/>
    <w:rsid w:val="005F20AE"/>
    <w:rsid w:val="005F2E3E"/>
    <w:rsid w:val="00604F80"/>
    <w:rsid w:val="00612379"/>
    <w:rsid w:val="0061555F"/>
    <w:rsid w:val="00627ABA"/>
    <w:rsid w:val="00641200"/>
    <w:rsid w:val="0064297B"/>
    <w:rsid w:val="00654E37"/>
    <w:rsid w:val="006556B3"/>
    <w:rsid w:val="006655D3"/>
    <w:rsid w:val="00665728"/>
    <w:rsid w:val="00667404"/>
    <w:rsid w:val="00687EB4"/>
    <w:rsid w:val="006B17D2"/>
    <w:rsid w:val="006C224E"/>
    <w:rsid w:val="006C40F8"/>
    <w:rsid w:val="006D7690"/>
    <w:rsid w:val="006D780A"/>
    <w:rsid w:val="006D7A27"/>
    <w:rsid w:val="00700478"/>
    <w:rsid w:val="00707660"/>
    <w:rsid w:val="0071257F"/>
    <w:rsid w:val="00722A02"/>
    <w:rsid w:val="00732DEC"/>
    <w:rsid w:val="00735BD5"/>
    <w:rsid w:val="00746616"/>
    <w:rsid w:val="007556F6"/>
    <w:rsid w:val="00760EEF"/>
    <w:rsid w:val="0077534F"/>
    <w:rsid w:val="00777EE5"/>
    <w:rsid w:val="007814EC"/>
    <w:rsid w:val="00784836"/>
    <w:rsid w:val="0079023E"/>
    <w:rsid w:val="007A2854"/>
    <w:rsid w:val="007B3A96"/>
    <w:rsid w:val="007C1B0C"/>
    <w:rsid w:val="007C3C24"/>
    <w:rsid w:val="007D0B9D"/>
    <w:rsid w:val="007D19B0"/>
    <w:rsid w:val="007D2F29"/>
    <w:rsid w:val="007F498F"/>
    <w:rsid w:val="0080269A"/>
    <w:rsid w:val="0080679D"/>
    <w:rsid w:val="00807A44"/>
    <w:rsid w:val="008108B0"/>
    <w:rsid w:val="00811B20"/>
    <w:rsid w:val="00820E39"/>
    <w:rsid w:val="0082296E"/>
    <w:rsid w:val="008232BD"/>
    <w:rsid w:val="00824099"/>
    <w:rsid w:val="0084452E"/>
    <w:rsid w:val="008571FF"/>
    <w:rsid w:val="00867AC1"/>
    <w:rsid w:val="00882017"/>
    <w:rsid w:val="00897D14"/>
    <w:rsid w:val="008A743F"/>
    <w:rsid w:val="008C0970"/>
    <w:rsid w:val="008D0B05"/>
    <w:rsid w:val="008D2CF7"/>
    <w:rsid w:val="008E3ABE"/>
    <w:rsid w:val="00900C26"/>
    <w:rsid w:val="0090197F"/>
    <w:rsid w:val="00905C92"/>
    <w:rsid w:val="00906DDC"/>
    <w:rsid w:val="00917C3E"/>
    <w:rsid w:val="00934E09"/>
    <w:rsid w:val="00936253"/>
    <w:rsid w:val="009456AE"/>
    <w:rsid w:val="00952DD4"/>
    <w:rsid w:val="00966299"/>
    <w:rsid w:val="009678B3"/>
    <w:rsid w:val="00970FED"/>
    <w:rsid w:val="00992D82"/>
    <w:rsid w:val="00997029"/>
    <w:rsid w:val="009B4AAE"/>
    <w:rsid w:val="009B69F2"/>
    <w:rsid w:val="009C2DD1"/>
    <w:rsid w:val="009C7474"/>
    <w:rsid w:val="009D690D"/>
    <w:rsid w:val="009E0FA0"/>
    <w:rsid w:val="009E1112"/>
    <w:rsid w:val="009E5C39"/>
    <w:rsid w:val="009E65B6"/>
    <w:rsid w:val="00A106A7"/>
    <w:rsid w:val="00A24C10"/>
    <w:rsid w:val="00A270DC"/>
    <w:rsid w:val="00A27BA8"/>
    <w:rsid w:val="00A30D79"/>
    <w:rsid w:val="00A4174A"/>
    <w:rsid w:val="00A42AC3"/>
    <w:rsid w:val="00A430CF"/>
    <w:rsid w:val="00A54309"/>
    <w:rsid w:val="00A54337"/>
    <w:rsid w:val="00A54CBB"/>
    <w:rsid w:val="00A70561"/>
    <w:rsid w:val="00A726B5"/>
    <w:rsid w:val="00AB2B93"/>
    <w:rsid w:val="00AB530F"/>
    <w:rsid w:val="00AB7E5B"/>
    <w:rsid w:val="00AC0D34"/>
    <w:rsid w:val="00AC2D44"/>
    <w:rsid w:val="00AE0EF1"/>
    <w:rsid w:val="00AE2937"/>
    <w:rsid w:val="00AE2B12"/>
    <w:rsid w:val="00AE31A9"/>
    <w:rsid w:val="00AF06A8"/>
    <w:rsid w:val="00AF342C"/>
    <w:rsid w:val="00B07301"/>
    <w:rsid w:val="00B224DE"/>
    <w:rsid w:val="00B32F15"/>
    <w:rsid w:val="00B34B92"/>
    <w:rsid w:val="00B46575"/>
    <w:rsid w:val="00B613C8"/>
    <w:rsid w:val="00B74E0F"/>
    <w:rsid w:val="00B84BBD"/>
    <w:rsid w:val="00B871B4"/>
    <w:rsid w:val="00BA43FB"/>
    <w:rsid w:val="00BC127D"/>
    <w:rsid w:val="00BC1FE6"/>
    <w:rsid w:val="00BC440A"/>
    <w:rsid w:val="00BD2498"/>
    <w:rsid w:val="00BF512B"/>
    <w:rsid w:val="00C025A5"/>
    <w:rsid w:val="00C061B6"/>
    <w:rsid w:val="00C16F5E"/>
    <w:rsid w:val="00C2446C"/>
    <w:rsid w:val="00C36AE5"/>
    <w:rsid w:val="00C41F17"/>
    <w:rsid w:val="00C4273C"/>
    <w:rsid w:val="00C5280D"/>
    <w:rsid w:val="00C5791C"/>
    <w:rsid w:val="00C66290"/>
    <w:rsid w:val="00C72B7A"/>
    <w:rsid w:val="00C9028D"/>
    <w:rsid w:val="00C9295B"/>
    <w:rsid w:val="00C973F2"/>
    <w:rsid w:val="00CA304C"/>
    <w:rsid w:val="00CA774A"/>
    <w:rsid w:val="00CB0247"/>
    <w:rsid w:val="00CB0956"/>
    <w:rsid w:val="00CB410A"/>
    <w:rsid w:val="00CC11B0"/>
    <w:rsid w:val="00CC4F79"/>
    <w:rsid w:val="00CD127F"/>
    <w:rsid w:val="00CE37AB"/>
    <w:rsid w:val="00CF6C19"/>
    <w:rsid w:val="00CF7E36"/>
    <w:rsid w:val="00D25E50"/>
    <w:rsid w:val="00D3708D"/>
    <w:rsid w:val="00D40426"/>
    <w:rsid w:val="00D44CE1"/>
    <w:rsid w:val="00D51649"/>
    <w:rsid w:val="00D57C96"/>
    <w:rsid w:val="00D65E68"/>
    <w:rsid w:val="00D7368B"/>
    <w:rsid w:val="00D8502F"/>
    <w:rsid w:val="00D91203"/>
    <w:rsid w:val="00D95174"/>
    <w:rsid w:val="00DA6F36"/>
    <w:rsid w:val="00DB596E"/>
    <w:rsid w:val="00DB7773"/>
    <w:rsid w:val="00DC00EA"/>
    <w:rsid w:val="00DC3E9C"/>
    <w:rsid w:val="00DD41C2"/>
    <w:rsid w:val="00E11095"/>
    <w:rsid w:val="00E14650"/>
    <w:rsid w:val="00E27A9E"/>
    <w:rsid w:val="00E32F7E"/>
    <w:rsid w:val="00E500C7"/>
    <w:rsid w:val="00E5345F"/>
    <w:rsid w:val="00E67B48"/>
    <w:rsid w:val="00E72D49"/>
    <w:rsid w:val="00E7593C"/>
    <w:rsid w:val="00E7678A"/>
    <w:rsid w:val="00E80DA7"/>
    <w:rsid w:val="00E935F1"/>
    <w:rsid w:val="00E94A81"/>
    <w:rsid w:val="00EA1A1B"/>
    <w:rsid w:val="00EA1ADE"/>
    <w:rsid w:val="00EA1FFB"/>
    <w:rsid w:val="00EB048E"/>
    <w:rsid w:val="00EB2196"/>
    <w:rsid w:val="00EB233F"/>
    <w:rsid w:val="00EB4FC2"/>
    <w:rsid w:val="00ED3415"/>
    <w:rsid w:val="00EE34DF"/>
    <w:rsid w:val="00EF2F89"/>
    <w:rsid w:val="00F02728"/>
    <w:rsid w:val="00F06E4B"/>
    <w:rsid w:val="00F1237A"/>
    <w:rsid w:val="00F16672"/>
    <w:rsid w:val="00F22CBD"/>
    <w:rsid w:val="00F45372"/>
    <w:rsid w:val="00F560F7"/>
    <w:rsid w:val="00F6334D"/>
    <w:rsid w:val="00F971AF"/>
    <w:rsid w:val="00FA49AB"/>
    <w:rsid w:val="00FA78B5"/>
    <w:rsid w:val="00FE19E5"/>
    <w:rsid w:val="00FE39C7"/>
    <w:rsid w:val="00FF2AF5"/>
    <w:rsid w:val="00FF5F2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39"/>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B32F15"/>
    <w:pPr>
      <w:tabs>
        <w:tab w:val="left" w:pos="454"/>
        <w:tab w:val="right" w:leader="dot" w:pos="9639"/>
      </w:tabs>
      <w:spacing w:before="120" w:after="120"/>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styleId="ListParagraph">
    <w:name w:val="List Paragraph"/>
    <w:basedOn w:val="Normal"/>
    <w:uiPriority w:val="99"/>
    <w:qFormat/>
    <w:rsid w:val="003232C8"/>
    <w:pPr>
      <w:ind w:left="720"/>
      <w:contextualSpacing/>
    </w:pPr>
  </w:style>
  <w:style w:type="paragraph" w:customStyle="1" w:styleId="Default">
    <w:name w:val="Default"/>
    <w:uiPriority w:val="99"/>
    <w:rsid w:val="003232C8"/>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39"/>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B32F15"/>
    <w:pPr>
      <w:tabs>
        <w:tab w:val="left" w:pos="454"/>
        <w:tab w:val="right" w:leader="dot" w:pos="9639"/>
      </w:tabs>
      <w:spacing w:before="120" w:after="120"/>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styleId="ListParagraph">
    <w:name w:val="List Paragraph"/>
    <w:basedOn w:val="Normal"/>
    <w:uiPriority w:val="99"/>
    <w:qFormat/>
    <w:rsid w:val="003232C8"/>
    <w:pPr>
      <w:ind w:left="720"/>
      <w:contextualSpacing/>
    </w:pPr>
  </w:style>
  <w:style w:type="paragraph" w:customStyle="1" w:styleId="Default">
    <w:name w:val="Default"/>
    <w:uiPriority w:val="99"/>
    <w:rsid w:val="003232C8"/>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70161-65C0-491E-A044-ED995E22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13</Pages>
  <Words>5657</Words>
  <Characters>28903</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TC/50/12 -Evaluación de la homogeneidad de las plantas fuera de tipo mediante la observación de más de una muestra o submuestra</vt:lpstr>
    </vt:vector>
  </TitlesOfParts>
  <Company>UPOV</Company>
  <LinksUpToDate>false</LinksUpToDate>
  <CharactersWithSpaces>34492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TC/50/12 -Evaluación de la homogeneidad de las plantas fuera de tipo mediante la observación de más de una muestra o submuestra</dc:title>
  <dc:creator>FAVA Alexandra</dc:creator>
  <dc:description>AS (trad. ext.)</dc:description>
  <cp:lastModifiedBy>FAVA Alexandra</cp:lastModifiedBy>
  <cp:revision>8</cp:revision>
  <cp:lastPrinted>2014-02-14T13:17:00Z</cp:lastPrinted>
  <dcterms:created xsi:type="dcterms:W3CDTF">2014-02-11T13:19:00Z</dcterms:created>
  <dcterms:modified xsi:type="dcterms:W3CDTF">2014-02-14T13:18:00Z</dcterms:modified>
</cp:coreProperties>
</file>