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F29D7" w:rsidRPr="000E4035" w:rsidTr="009C031A">
        <w:trPr>
          <w:trHeight w:val="1760"/>
        </w:trPr>
        <w:tc>
          <w:tcPr>
            <w:tcW w:w="4243" w:type="dxa"/>
          </w:tcPr>
          <w:p w:rsidR="00EF29D7" w:rsidRPr="00FD5703" w:rsidRDefault="00EF29D7" w:rsidP="009C5CAD">
            <w:pPr>
              <w:rPr>
                <w:lang w:val="es-ES_tradnl"/>
              </w:rPr>
            </w:pPr>
            <w:bookmarkStart w:id="0" w:name="_GoBack"/>
            <w:bookmarkEnd w:id="0"/>
          </w:p>
        </w:tc>
        <w:tc>
          <w:tcPr>
            <w:tcW w:w="1646" w:type="dxa"/>
            <w:vAlign w:val="center"/>
          </w:tcPr>
          <w:p w:rsidR="00EF29D7" w:rsidRPr="00FD5703" w:rsidRDefault="00EF29D7" w:rsidP="009C5CAD">
            <w:pPr>
              <w:pStyle w:val="LogoUPOV"/>
              <w:rPr>
                <w:lang w:val="es-ES_tradnl"/>
              </w:rPr>
            </w:pPr>
            <w:r w:rsidRPr="00FD5703">
              <w:rPr>
                <w:noProof/>
              </w:rPr>
              <w:drawing>
                <wp:inline distT="0" distB="0" distL="0" distR="0" wp14:anchorId="0CB103DB" wp14:editId="7DEDA16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F29D7" w:rsidRPr="00FD5703" w:rsidRDefault="00EF29D7" w:rsidP="009C5CAD">
            <w:pPr>
              <w:pStyle w:val="Lettrine"/>
              <w:rPr>
                <w:lang w:val="es-ES_tradnl"/>
              </w:rPr>
            </w:pPr>
            <w:r w:rsidRPr="00FD5703">
              <w:rPr>
                <w:lang w:val="es-ES_tradnl"/>
              </w:rPr>
              <w:t>S</w:t>
            </w:r>
          </w:p>
          <w:p w:rsidR="00EF29D7" w:rsidRPr="00FD5703" w:rsidRDefault="00EF29D7" w:rsidP="009C5CAD">
            <w:pPr>
              <w:pStyle w:val="Docoriginal"/>
              <w:rPr>
                <w:lang w:val="es-ES_tradnl"/>
              </w:rPr>
            </w:pPr>
            <w:r w:rsidRPr="00FD5703">
              <w:rPr>
                <w:lang w:val="es-ES_tradnl"/>
              </w:rPr>
              <w:t>TC/50/10</w:t>
            </w:r>
          </w:p>
          <w:p w:rsidR="00EF29D7" w:rsidRPr="00FD5703" w:rsidRDefault="00EF29D7" w:rsidP="009C5CAD">
            <w:pPr>
              <w:pStyle w:val="Docoriginal"/>
              <w:rPr>
                <w:b w:val="0"/>
                <w:spacing w:val="0"/>
                <w:lang w:val="es-ES_tradnl"/>
              </w:rPr>
            </w:pPr>
            <w:r w:rsidRPr="00FD5703">
              <w:rPr>
                <w:rStyle w:val="StyleDoclangBold"/>
                <w:b/>
                <w:bCs/>
                <w:spacing w:val="0"/>
                <w:lang w:val="es-ES_tradnl"/>
              </w:rPr>
              <w:t>ORIGINAL:</w:t>
            </w:r>
            <w:r w:rsidRPr="00FD5703">
              <w:rPr>
                <w:rStyle w:val="StyleDocoriginalNotBold1"/>
                <w:spacing w:val="0"/>
                <w:lang w:val="es-ES_tradnl"/>
              </w:rPr>
              <w:t xml:space="preserve">  </w:t>
            </w:r>
            <w:r w:rsidRPr="00FD5703">
              <w:rPr>
                <w:b w:val="0"/>
                <w:spacing w:val="0"/>
                <w:lang w:val="es-ES_tradnl"/>
              </w:rPr>
              <w:t>Inglés</w:t>
            </w:r>
          </w:p>
          <w:p w:rsidR="00EF29D7" w:rsidRPr="00FD5703" w:rsidRDefault="00EF29D7" w:rsidP="009C5CAD">
            <w:pPr>
              <w:pStyle w:val="Docoriginal"/>
              <w:rPr>
                <w:lang w:val="es-ES_tradnl"/>
              </w:rPr>
            </w:pPr>
            <w:r w:rsidRPr="00FD5703">
              <w:rPr>
                <w:spacing w:val="0"/>
                <w:lang w:val="es-ES_tradnl"/>
              </w:rPr>
              <w:t>FECHA:</w:t>
            </w:r>
            <w:r w:rsidRPr="00FD5703">
              <w:rPr>
                <w:b w:val="0"/>
                <w:spacing w:val="0"/>
                <w:lang w:val="es-ES_tradnl"/>
              </w:rPr>
              <w:t xml:space="preserve"> </w:t>
            </w:r>
            <w:r w:rsidRPr="00FD5703">
              <w:rPr>
                <w:rStyle w:val="StyleDocoriginalNotBold1"/>
                <w:b w:val="0"/>
                <w:spacing w:val="0"/>
                <w:lang w:val="es-ES_tradnl"/>
              </w:rPr>
              <w:t xml:space="preserve"> </w:t>
            </w:r>
            <w:bookmarkStart w:id="1" w:name="Date"/>
            <w:bookmarkEnd w:id="1"/>
            <w:r w:rsidRPr="00FD5703">
              <w:rPr>
                <w:rStyle w:val="StyleDocoriginalNotBold1"/>
                <w:b w:val="0"/>
                <w:spacing w:val="0"/>
                <w:lang w:val="es-ES_tradnl"/>
              </w:rPr>
              <w:t xml:space="preserve">13 </w:t>
            </w:r>
            <w:r w:rsidRPr="00FD5703">
              <w:rPr>
                <w:b w:val="0"/>
                <w:spacing w:val="0"/>
                <w:lang w:val="es-ES_tradnl"/>
              </w:rPr>
              <w:t>de febrero de 2014</w:t>
            </w:r>
          </w:p>
        </w:tc>
      </w:tr>
      <w:tr w:rsidR="00EF29D7" w:rsidRPr="000E4035" w:rsidTr="009C031A">
        <w:tc>
          <w:tcPr>
            <w:tcW w:w="10131" w:type="dxa"/>
            <w:gridSpan w:val="3"/>
          </w:tcPr>
          <w:p w:rsidR="00EF29D7" w:rsidRPr="00FD5703" w:rsidRDefault="00EF29D7" w:rsidP="009C5CAD">
            <w:pPr>
              <w:pStyle w:val="upove"/>
              <w:rPr>
                <w:sz w:val="28"/>
                <w:lang w:val="es-ES_tradnl"/>
              </w:rPr>
            </w:pPr>
            <w:r w:rsidRPr="00FD5703">
              <w:rPr>
                <w:spacing w:val="2"/>
                <w:lang w:val="es-ES_tradnl"/>
              </w:rPr>
              <w:t>UNIÓN INTERNACIONAL PARA LA PROTECCIÓN DE LAS OBTENCIONES VEGETALES</w:t>
            </w:r>
          </w:p>
        </w:tc>
      </w:tr>
      <w:tr w:rsidR="00EF29D7" w:rsidRPr="00FD5703" w:rsidTr="009C031A">
        <w:tc>
          <w:tcPr>
            <w:tcW w:w="10131" w:type="dxa"/>
            <w:gridSpan w:val="3"/>
          </w:tcPr>
          <w:p w:rsidR="00EF29D7" w:rsidRPr="00FD5703" w:rsidRDefault="00EF29D7" w:rsidP="009C5CAD">
            <w:pPr>
              <w:pStyle w:val="Country"/>
              <w:rPr>
                <w:lang w:val="es-ES_tradnl"/>
              </w:rPr>
            </w:pPr>
            <w:r w:rsidRPr="00FD5703">
              <w:rPr>
                <w:lang w:val="es-ES_tradnl"/>
              </w:rPr>
              <w:t>Ginebra</w:t>
            </w:r>
          </w:p>
        </w:tc>
      </w:tr>
    </w:tbl>
    <w:p w:rsidR="00EF29D7" w:rsidRPr="00FD5703" w:rsidRDefault="00EF29D7" w:rsidP="009C5CAD">
      <w:pPr>
        <w:pStyle w:val="Sessiontc"/>
        <w:rPr>
          <w:lang w:val="es-ES_tradnl"/>
        </w:rPr>
      </w:pPr>
      <w:r w:rsidRPr="00FD5703">
        <w:rPr>
          <w:lang w:val="es-ES_tradnl"/>
        </w:rPr>
        <w:t>Comité TÉCNICO</w:t>
      </w:r>
    </w:p>
    <w:p w:rsidR="00EF29D7" w:rsidRPr="00FD5703" w:rsidRDefault="00EF29D7" w:rsidP="009C5CAD">
      <w:pPr>
        <w:pStyle w:val="Sessiontcplacedate"/>
        <w:rPr>
          <w:lang w:val="es-ES_tradnl"/>
        </w:rPr>
      </w:pPr>
      <w:r w:rsidRPr="00FD5703">
        <w:rPr>
          <w:lang w:val="es-ES_tradnl"/>
        </w:rPr>
        <w:t>Quincuagésima sesión</w:t>
      </w:r>
      <w:r w:rsidRPr="00FD5703">
        <w:rPr>
          <w:lang w:val="es-ES_tradnl"/>
        </w:rPr>
        <w:br/>
        <w:t>Ginebra, 7 a 9 de abril de 2014</w:t>
      </w:r>
    </w:p>
    <w:p w:rsidR="00EF29D7" w:rsidRPr="00FD5703" w:rsidRDefault="00EF29D7" w:rsidP="009C5CAD">
      <w:pPr>
        <w:pStyle w:val="Titleofdoc0"/>
        <w:rPr>
          <w:lang w:val="es-ES_tradnl"/>
        </w:rPr>
      </w:pPr>
      <w:r w:rsidRPr="00FD5703">
        <w:rPr>
          <w:caps w:val="0"/>
          <w:lang w:val="es-ES_tradnl"/>
        </w:rPr>
        <w:t>INFORME SOBRE LAS NOVEDADES ACAECIDAS EN LA UPOV, DONDE FIGURAN LAS CUESTIONES PERTINENTES EXAMINADAS EN LAS ÚLTIMAS SESIONES DEL COMITÉ ADMINISTRATIVO Y JURÍDICO, EL COMITÉ CONSULTIVO Y EL CONSEJO</w:t>
      </w:r>
    </w:p>
    <w:p w:rsidR="00EF29D7" w:rsidRPr="00FD5703" w:rsidRDefault="00EF29D7" w:rsidP="009C5CAD">
      <w:pPr>
        <w:pStyle w:val="preparedby1"/>
        <w:rPr>
          <w:lang w:val="es-ES_tradnl"/>
        </w:rPr>
      </w:pPr>
      <w:r w:rsidRPr="00FD5703">
        <w:rPr>
          <w:lang w:val="es-ES_tradnl"/>
        </w:rPr>
        <w:t>preparado por la Oficina de la Unión</w:t>
      </w:r>
      <w:r w:rsidRPr="00FD5703">
        <w:rPr>
          <w:lang w:val="es-ES_tradnl"/>
        </w:rPr>
        <w:br/>
      </w:r>
      <w:r w:rsidRPr="00FD5703">
        <w:rPr>
          <w:lang w:val="es-ES_tradnl"/>
        </w:rPr>
        <w:br/>
      </w:r>
      <w:r w:rsidRPr="00FD5703">
        <w:rPr>
          <w:color w:val="A6A6A6"/>
          <w:lang w:val="es-ES_tradnl"/>
        </w:rPr>
        <w:t>Descargo de responsabilidad:  el presente documento no constituye</w:t>
      </w:r>
      <w:r w:rsidRPr="00FD5703">
        <w:rPr>
          <w:color w:val="A6A6A6"/>
          <w:lang w:val="es-ES_tradnl"/>
        </w:rPr>
        <w:br/>
        <w:t>un documento de política u orientación de la UPOV</w:t>
      </w:r>
    </w:p>
    <w:p w:rsidR="009116AF" w:rsidRPr="00FD5703" w:rsidRDefault="006E3F4B" w:rsidP="009C5CAD">
      <w:pPr>
        <w:rPr>
          <w:snapToGrid w:val="0"/>
          <w:lang w:val="es-ES_tradnl"/>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Pr="00FD5703">
        <w:rPr>
          <w:snapToGrid w:val="0"/>
          <w:lang w:val="es-ES_tradnl"/>
        </w:rPr>
        <w:tab/>
      </w:r>
      <w:r w:rsidR="001D4118" w:rsidRPr="00FD5703">
        <w:rPr>
          <w:snapToGrid w:val="0"/>
          <w:color w:val="000000"/>
          <w:lang w:val="es-ES_tradnl"/>
        </w:rPr>
        <w:t xml:space="preserve">El propósito del presente documento es informar acerca de las novedades acaecidas en la UPOV desde la cuadragésima novena sesión del Comité Técnico que no </w:t>
      </w:r>
      <w:r w:rsidR="00950C9F" w:rsidRPr="00FD5703">
        <w:rPr>
          <w:snapToGrid w:val="0"/>
          <w:color w:val="000000"/>
          <w:lang w:val="es-ES_tradnl"/>
        </w:rPr>
        <w:t>se abordan en el marco de</w:t>
      </w:r>
      <w:r w:rsidR="001D4118" w:rsidRPr="00FD5703">
        <w:rPr>
          <w:snapToGrid w:val="0"/>
          <w:color w:val="000000"/>
          <w:lang w:val="es-ES_tradnl"/>
        </w:rPr>
        <w:t xml:space="preserve"> los puntos del orden del día de la quincuagésima sesión del Comité Técnico, </w:t>
      </w:r>
      <w:r w:rsidR="00D92DF0" w:rsidRPr="00FD5703">
        <w:rPr>
          <w:snapToGrid w:val="0"/>
          <w:color w:val="000000"/>
          <w:lang w:val="es-ES_tradnl"/>
        </w:rPr>
        <w:t xml:space="preserve">incluidas </w:t>
      </w:r>
      <w:r w:rsidR="001D4118" w:rsidRPr="00FD5703">
        <w:rPr>
          <w:snapToGrid w:val="0"/>
          <w:color w:val="000000"/>
          <w:lang w:val="es-ES_tradnl"/>
        </w:rPr>
        <w:t xml:space="preserve">las cuestiones pertinentes </w:t>
      </w:r>
      <w:r w:rsidR="00D92DF0" w:rsidRPr="00FD5703">
        <w:rPr>
          <w:snapToGrid w:val="0"/>
          <w:color w:val="000000"/>
          <w:lang w:val="es-ES_tradnl"/>
        </w:rPr>
        <w:t>debatidas</w:t>
      </w:r>
      <w:r w:rsidR="001D4118" w:rsidRPr="00FD5703">
        <w:rPr>
          <w:snapToGrid w:val="0"/>
          <w:color w:val="000000"/>
          <w:lang w:val="es-ES_tradnl"/>
        </w:rPr>
        <w:t xml:space="preserve"> en las últimas sesiones del Comité Administrativo y Jurídico, el Comité Consultivo y el Consejo. </w:t>
      </w:r>
    </w:p>
    <w:p w:rsidR="009116AF" w:rsidRPr="00FD5703" w:rsidRDefault="009116AF" w:rsidP="009C5CAD">
      <w:pPr>
        <w:rPr>
          <w:snapToGrid w:val="0"/>
          <w:lang w:val="es-ES_tradnl"/>
        </w:rPr>
      </w:pPr>
    </w:p>
    <w:p w:rsidR="009116AF" w:rsidRPr="00FD5703" w:rsidRDefault="00BD1A54" w:rsidP="009C5CAD">
      <w:pPr>
        <w:rPr>
          <w:snapToGrid w:val="0"/>
          <w:lang w:val="es-ES_tradnl"/>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Pr="00FD5703">
        <w:rPr>
          <w:snapToGrid w:val="0"/>
          <w:lang w:val="es-ES_tradnl"/>
        </w:rPr>
        <w:tab/>
      </w:r>
      <w:r w:rsidR="00CA5564" w:rsidRPr="00FD5703">
        <w:rPr>
          <w:snapToGrid w:val="0"/>
          <w:color w:val="000000"/>
          <w:lang w:val="es-ES_tradnl"/>
        </w:rPr>
        <w:t xml:space="preserve">El presente documento también contiene </w:t>
      </w:r>
      <w:r w:rsidR="00D92DF0" w:rsidRPr="00FD5703">
        <w:rPr>
          <w:snapToGrid w:val="0"/>
          <w:color w:val="000000"/>
          <w:lang w:val="es-ES_tradnl"/>
        </w:rPr>
        <w:t xml:space="preserve">asuntos </w:t>
      </w:r>
      <w:r w:rsidR="00CA5564" w:rsidRPr="00FD5703">
        <w:rPr>
          <w:snapToGrid w:val="0"/>
          <w:color w:val="000000"/>
          <w:lang w:val="es-ES_tradnl"/>
        </w:rPr>
        <w:t xml:space="preserve">sometidos a la consideración del Comité Técnico en relación con: la orientación sobre las descripciones de variedades; las cuestiones planteadas por la </w:t>
      </w:r>
      <w:r w:rsidR="00CA5564" w:rsidRPr="00FD5703">
        <w:rPr>
          <w:i/>
          <w:snapToGrid w:val="0"/>
          <w:color w:val="000000"/>
          <w:lang w:val="es-ES_tradnl"/>
        </w:rPr>
        <w:t xml:space="preserve">International </w:t>
      </w:r>
      <w:proofErr w:type="spellStart"/>
      <w:r w:rsidR="00CA5564" w:rsidRPr="00FD5703">
        <w:rPr>
          <w:i/>
          <w:snapToGrid w:val="0"/>
          <w:color w:val="000000"/>
          <w:lang w:val="es-ES_tradnl"/>
        </w:rPr>
        <w:t>Seed</w:t>
      </w:r>
      <w:proofErr w:type="spellEnd"/>
      <w:r w:rsidR="00CA5564" w:rsidRPr="00FD5703">
        <w:rPr>
          <w:i/>
          <w:snapToGrid w:val="0"/>
          <w:color w:val="000000"/>
          <w:lang w:val="es-ES_tradnl"/>
        </w:rPr>
        <w:t xml:space="preserve"> </w:t>
      </w:r>
      <w:proofErr w:type="spellStart"/>
      <w:r w:rsidR="00CA5564" w:rsidRPr="00FD5703">
        <w:rPr>
          <w:i/>
          <w:snapToGrid w:val="0"/>
          <w:color w:val="000000"/>
          <w:lang w:val="es-ES_tradnl"/>
        </w:rPr>
        <w:t>Federation</w:t>
      </w:r>
      <w:proofErr w:type="spellEnd"/>
      <w:r w:rsidR="00CA5564" w:rsidRPr="00FD5703">
        <w:rPr>
          <w:snapToGrid w:val="0"/>
          <w:color w:val="000000"/>
          <w:lang w:val="es-ES_tradnl"/>
        </w:rPr>
        <w:t xml:space="preserve"> (ISF); y </w:t>
      </w:r>
      <w:r w:rsidR="00DE7712" w:rsidRPr="00FD5703">
        <w:rPr>
          <w:snapToGrid w:val="0"/>
          <w:color w:val="000000"/>
          <w:lang w:val="es-ES_tradnl"/>
        </w:rPr>
        <w:t>la elaboración</w:t>
      </w:r>
      <w:r w:rsidR="00CA5564" w:rsidRPr="00FD5703">
        <w:rPr>
          <w:snapToGrid w:val="0"/>
          <w:color w:val="000000"/>
          <w:lang w:val="es-ES_tradnl"/>
        </w:rPr>
        <w:t xml:space="preserve"> de una plantilla en Internet de los documentos TG. </w:t>
      </w:r>
    </w:p>
    <w:p w:rsidR="009116AF" w:rsidRPr="00FD5703" w:rsidRDefault="009116AF" w:rsidP="009C5CAD">
      <w:pPr>
        <w:rPr>
          <w:snapToGrid w:val="0"/>
          <w:lang w:val="es-ES_tradnl"/>
        </w:rPr>
      </w:pPr>
    </w:p>
    <w:p w:rsidR="009116AF" w:rsidRPr="00FD5703" w:rsidRDefault="00BD1A54" w:rsidP="009C5CAD">
      <w:pPr>
        <w:rPr>
          <w:snapToGrid w:val="0"/>
          <w:lang w:val="es-ES_tradnl"/>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Pr="00FD5703">
        <w:rPr>
          <w:snapToGrid w:val="0"/>
          <w:lang w:val="es-ES_tradnl"/>
        </w:rPr>
        <w:tab/>
      </w:r>
      <w:r w:rsidR="001E2337" w:rsidRPr="00FD5703">
        <w:rPr>
          <w:snapToGrid w:val="0"/>
          <w:color w:val="000000"/>
          <w:lang w:val="es-ES_tradnl"/>
        </w:rPr>
        <w:t xml:space="preserve">Durante su quincuagésima sesión, se expondrá al Comité Técnico una presentación que resuma los temas de este documento, cuya copia figura en el anexo del mismo (sólo en inglés). </w:t>
      </w:r>
    </w:p>
    <w:p w:rsidR="009116AF" w:rsidRPr="00FD5703" w:rsidRDefault="009116AF" w:rsidP="009C5CAD">
      <w:pPr>
        <w:rPr>
          <w:lang w:val="es-ES_tradnl"/>
        </w:rPr>
      </w:pPr>
    </w:p>
    <w:p w:rsidR="009116AF" w:rsidRPr="00FD5703" w:rsidRDefault="00BD1A54" w:rsidP="009C5CAD">
      <w:pPr>
        <w:jc w:val="left"/>
        <w:rPr>
          <w:lang w:val="es-ES_tradnl"/>
        </w:rPr>
      </w:pPr>
      <w:r w:rsidRPr="00FD5703">
        <w:rPr>
          <w:lang w:val="es-ES_tradnl"/>
        </w:rPr>
        <w:br w:type="page"/>
      </w:r>
    </w:p>
    <w:p w:rsidR="009116AF" w:rsidRPr="00FD5703" w:rsidRDefault="001E2337" w:rsidP="009C5CAD">
      <w:pPr>
        <w:spacing w:after="180"/>
        <w:rPr>
          <w:u w:val="single"/>
          <w:lang w:val="es-ES_tradnl"/>
        </w:rPr>
      </w:pPr>
      <w:r w:rsidRPr="00FD5703">
        <w:rPr>
          <w:u w:val="single"/>
          <w:lang w:val="es-ES_tradnl"/>
        </w:rPr>
        <w:lastRenderedPageBreak/>
        <w:t>Índice</w:t>
      </w:r>
    </w:p>
    <w:p w:rsidR="00C47CD7" w:rsidRPr="00FD5703" w:rsidRDefault="0099668A">
      <w:pPr>
        <w:pStyle w:val="TOC1"/>
        <w:rPr>
          <w:rFonts w:asciiTheme="minorHAnsi" w:eastAsiaTheme="minorEastAsia" w:hAnsiTheme="minorHAnsi" w:cstheme="minorBidi"/>
          <w:caps w:val="0"/>
          <w:noProof/>
          <w:sz w:val="22"/>
          <w:szCs w:val="22"/>
          <w:lang w:val="es-ES_tradnl"/>
        </w:rPr>
      </w:pPr>
      <w:r w:rsidRPr="00FD5703">
        <w:rPr>
          <w:rFonts w:cs="Arial"/>
          <w:sz w:val="18"/>
          <w:szCs w:val="18"/>
          <w:lang w:val="es-ES_tradnl"/>
        </w:rPr>
        <w:fldChar w:fldCharType="begin"/>
      </w:r>
      <w:r w:rsidRPr="00FD5703">
        <w:rPr>
          <w:rFonts w:cs="Arial"/>
          <w:sz w:val="18"/>
          <w:szCs w:val="18"/>
          <w:lang w:val="es-ES_tradnl"/>
        </w:rPr>
        <w:instrText xml:space="preserve"> TOC \o "1-3" \u </w:instrText>
      </w:r>
      <w:r w:rsidRPr="00FD5703">
        <w:rPr>
          <w:rFonts w:cs="Arial"/>
          <w:sz w:val="18"/>
          <w:szCs w:val="18"/>
          <w:lang w:val="es-ES_tradnl"/>
        </w:rPr>
        <w:fldChar w:fldCharType="separate"/>
      </w:r>
      <w:r w:rsidR="00C47CD7" w:rsidRPr="00FD5703">
        <w:rPr>
          <w:b/>
          <w:bCs/>
          <w:smallCaps/>
          <w:noProof/>
          <w:spacing w:val="5"/>
          <w:lang w:val="es-ES_tradnl"/>
        </w:rPr>
        <w:t>I.</w:t>
      </w:r>
      <w:r w:rsidR="00C47CD7" w:rsidRPr="00FD5703">
        <w:rPr>
          <w:rFonts w:asciiTheme="minorHAnsi" w:eastAsiaTheme="minorEastAsia" w:hAnsiTheme="minorHAnsi" w:cstheme="minorBidi"/>
          <w:caps w:val="0"/>
          <w:noProof/>
          <w:sz w:val="22"/>
          <w:szCs w:val="22"/>
          <w:lang w:val="es-ES_tradnl"/>
        </w:rPr>
        <w:tab/>
      </w:r>
      <w:r w:rsidR="00C47CD7" w:rsidRPr="00FD5703">
        <w:rPr>
          <w:b/>
          <w:bCs/>
          <w:smallCaps/>
          <w:noProof/>
          <w:spacing w:val="5"/>
          <w:lang w:val="es-ES_tradnl"/>
        </w:rPr>
        <w:t>CUESTIONES PARA INFORMACIÓN</w:t>
      </w:r>
      <w:r w:rsidR="00C47CD7" w:rsidRPr="00FD5703">
        <w:rPr>
          <w:noProof/>
          <w:lang w:val="es-ES_tradnl"/>
        </w:rPr>
        <w:tab/>
      </w:r>
      <w:r w:rsidR="00C47CD7" w:rsidRPr="00FD5703">
        <w:rPr>
          <w:noProof/>
          <w:lang w:val="es-ES_tradnl"/>
        </w:rPr>
        <w:fldChar w:fldCharType="begin"/>
      </w:r>
      <w:r w:rsidR="00C47CD7" w:rsidRPr="00FD5703">
        <w:rPr>
          <w:noProof/>
          <w:lang w:val="es-ES_tradnl"/>
        </w:rPr>
        <w:instrText xml:space="preserve"> PAGEREF _Toc381177095 \h </w:instrText>
      </w:r>
      <w:r w:rsidR="00C47CD7" w:rsidRPr="00FD5703">
        <w:rPr>
          <w:noProof/>
          <w:lang w:val="es-ES_tradnl"/>
        </w:rPr>
      </w:r>
      <w:r w:rsidR="00C47CD7" w:rsidRPr="00FD5703">
        <w:rPr>
          <w:noProof/>
          <w:lang w:val="es-ES_tradnl"/>
        </w:rPr>
        <w:fldChar w:fldCharType="separate"/>
      </w:r>
      <w:r w:rsidR="004D3AF2">
        <w:rPr>
          <w:noProof/>
          <w:lang w:val="es-ES_tradnl"/>
        </w:rPr>
        <w:t>3</w:t>
      </w:r>
      <w:r w:rsidR="00C47CD7"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noProof/>
          <w:lang w:val="es-ES_tradnl"/>
        </w:rPr>
        <w:t>MIEMBROS</w:t>
      </w:r>
      <w:r w:rsidRPr="00FD5703">
        <w:rPr>
          <w:noProof/>
          <w:lang w:val="es-ES_tradnl"/>
        </w:rPr>
        <w:tab/>
      </w:r>
      <w:r w:rsidRPr="00FD5703">
        <w:rPr>
          <w:noProof/>
          <w:lang w:val="es-ES_tradnl"/>
        </w:rPr>
        <w:fldChar w:fldCharType="begin"/>
      </w:r>
      <w:r w:rsidRPr="00FD5703">
        <w:rPr>
          <w:noProof/>
          <w:lang w:val="es-ES_tradnl"/>
        </w:rPr>
        <w:instrText xml:space="preserve"> PAGEREF _Toc381177096 \h </w:instrText>
      </w:r>
      <w:r w:rsidRPr="00FD5703">
        <w:rPr>
          <w:noProof/>
          <w:lang w:val="es-ES_tradnl"/>
        </w:rPr>
      </w:r>
      <w:r w:rsidRPr="00FD5703">
        <w:rPr>
          <w:noProof/>
          <w:lang w:val="es-ES_tradnl"/>
        </w:rPr>
        <w:fldChar w:fldCharType="separate"/>
      </w:r>
      <w:r w:rsidR="004D3AF2">
        <w:rPr>
          <w:noProof/>
          <w:lang w:val="es-ES_tradnl"/>
        </w:rPr>
        <w:t>3</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Miembros de la unión</w:t>
      </w:r>
      <w:r w:rsidRPr="00FD5703">
        <w:rPr>
          <w:noProof/>
          <w:lang w:val="es-ES_tradnl"/>
        </w:rPr>
        <w:tab/>
      </w:r>
      <w:r w:rsidRPr="00FD5703">
        <w:rPr>
          <w:noProof/>
          <w:lang w:val="es-ES_tradnl"/>
        </w:rPr>
        <w:fldChar w:fldCharType="begin"/>
      </w:r>
      <w:r w:rsidRPr="00FD5703">
        <w:rPr>
          <w:noProof/>
          <w:lang w:val="es-ES_tradnl"/>
        </w:rPr>
        <w:instrText xml:space="preserve"> PAGEREF _Toc381177097 \h </w:instrText>
      </w:r>
      <w:r w:rsidRPr="00FD5703">
        <w:rPr>
          <w:noProof/>
          <w:lang w:val="es-ES_tradnl"/>
        </w:rPr>
      </w:r>
      <w:r w:rsidRPr="00FD5703">
        <w:rPr>
          <w:noProof/>
          <w:lang w:val="es-ES_tradnl"/>
        </w:rPr>
        <w:fldChar w:fldCharType="separate"/>
      </w:r>
      <w:r w:rsidR="004D3AF2">
        <w:rPr>
          <w:noProof/>
          <w:lang w:val="es-ES_tradnl"/>
        </w:rPr>
        <w:t>3</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Examen de la legislación</w:t>
      </w:r>
      <w:r w:rsidRPr="00FD5703">
        <w:rPr>
          <w:noProof/>
          <w:lang w:val="es-ES_tradnl"/>
        </w:rPr>
        <w:tab/>
      </w:r>
      <w:r w:rsidRPr="00FD5703">
        <w:rPr>
          <w:noProof/>
          <w:lang w:val="es-ES_tradnl"/>
        </w:rPr>
        <w:fldChar w:fldCharType="begin"/>
      </w:r>
      <w:r w:rsidRPr="00FD5703">
        <w:rPr>
          <w:noProof/>
          <w:lang w:val="es-ES_tradnl"/>
        </w:rPr>
        <w:instrText xml:space="preserve"> PAGEREF _Toc381177098 \h </w:instrText>
      </w:r>
      <w:r w:rsidRPr="00FD5703">
        <w:rPr>
          <w:noProof/>
          <w:lang w:val="es-ES_tradnl"/>
        </w:rPr>
      </w:r>
      <w:r w:rsidRPr="00FD5703">
        <w:rPr>
          <w:noProof/>
          <w:lang w:val="es-ES_tradnl"/>
        </w:rPr>
        <w:fldChar w:fldCharType="separate"/>
      </w:r>
      <w:r w:rsidR="004D3AF2">
        <w:rPr>
          <w:noProof/>
          <w:lang w:val="es-ES_tradnl"/>
        </w:rPr>
        <w:t>3</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lang w:val="es-ES_tradnl"/>
        </w:rPr>
        <w:t>Zanzíbar</w:t>
      </w:r>
      <w:r w:rsidRPr="00FD5703">
        <w:rPr>
          <w:noProof/>
          <w:lang w:val="es-ES_tradnl"/>
        </w:rPr>
        <w:tab/>
      </w:r>
      <w:r w:rsidRPr="00FD5703">
        <w:rPr>
          <w:noProof/>
          <w:lang w:val="es-ES_tradnl"/>
        </w:rPr>
        <w:fldChar w:fldCharType="begin"/>
      </w:r>
      <w:r w:rsidRPr="00FD5703">
        <w:rPr>
          <w:noProof/>
          <w:lang w:val="es-ES_tradnl"/>
        </w:rPr>
        <w:instrText xml:space="preserve"> PAGEREF _Toc381177099 \h </w:instrText>
      </w:r>
      <w:r w:rsidRPr="00FD5703">
        <w:rPr>
          <w:noProof/>
          <w:lang w:val="es-ES_tradnl"/>
        </w:rPr>
      </w:r>
      <w:r w:rsidRPr="00FD5703">
        <w:rPr>
          <w:noProof/>
          <w:lang w:val="es-ES_tradnl"/>
        </w:rPr>
        <w:fldChar w:fldCharType="separate"/>
      </w:r>
      <w:r w:rsidR="004D3AF2">
        <w:rPr>
          <w:noProof/>
          <w:lang w:val="es-ES_tradnl"/>
        </w:rPr>
        <w:t>3</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lang w:val="es-ES_tradnl"/>
        </w:rPr>
        <w:t>Bosnia y Herzegovina</w:t>
      </w:r>
      <w:r w:rsidRPr="00FD5703">
        <w:rPr>
          <w:noProof/>
          <w:lang w:val="es-ES_tradnl"/>
        </w:rPr>
        <w:tab/>
      </w:r>
      <w:r w:rsidRPr="00FD5703">
        <w:rPr>
          <w:noProof/>
          <w:lang w:val="es-ES_tradnl"/>
        </w:rPr>
        <w:fldChar w:fldCharType="begin"/>
      </w:r>
      <w:r w:rsidRPr="00FD5703">
        <w:rPr>
          <w:noProof/>
          <w:lang w:val="es-ES_tradnl"/>
        </w:rPr>
        <w:instrText xml:space="preserve"> PAGEREF _Toc381177100 \h </w:instrText>
      </w:r>
      <w:r w:rsidRPr="00FD5703">
        <w:rPr>
          <w:noProof/>
          <w:lang w:val="es-ES_tradnl"/>
        </w:rPr>
      </w:r>
      <w:r w:rsidRPr="00FD5703">
        <w:rPr>
          <w:noProof/>
          <w:lang w:val="es-ES_tradnl"/>
        </w:rPr>
        <w:fldChar w:fldCharType="separate"/>
      </w:r>
      <w:r w:rsidR="004D3AF2">
        <w:rPr>
          <w:noProof/>
          <w:lang w:val="es-ES_tradnl"/>
        </w:rPr>
        <w:t>3</w:t>
      </w:r>
      <w:r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noProof/>
          <w:lang w:val="es-ES_tradnl"/>
        </w:rPr>
        <w:t>ESTADÍSTICAS SOBRE LA PROTECCIÓN DE LAS OBTENCIONES VEGETALES</w:t>
      </w:r>
      <w:r w:rsidRPr="00FD5703">
        <w:rPr>
          <w:noProof/>
          <w:lang w:val="es-ES_tradnl"/>
        </w:rPr>
        <w:tab/>
      </w:r>
      <w:r w:rsidRPr="00FD5703">
        <w:rPr>
          <w:noProof/>
          <w:lang w:val="es-ES_tradnl"/>
        </w:rPr>
        <w:fldChar w:fldCharType="begin"/>
      </w:r>
      <w:r w:rsidRPr="00FD5703">
        <w:rPr>
          <w:noProof/>
          <w:lang w:val="es-ES_tradnl"/>
        </w:rPr>
        <w:instrText xml:space="preserve"> PAGEREF _Toc381177101 \h </w:instrText>
      </w:r>
      <w:r w:rsidRPr="00FD5703">
        <w:rPr>
          <w:noProof/>
          <w:lang w:val="es-ES_tradnl"/>
        </w:rPr>
      </w:r>
      <w:r w:rsidRPr="00FD5703">
        <w:rPr>
          <w:noProof/>
          <w:lang w:val="es-ES_tradnl"/>
        </w:rPr>
        <w:fldChar w:fldCharType="separate"/>
      </w:r>
      <w:r w:rsidR="004D3AF2">
        <w:rPr>
          <w:noProof/>
          <w:lang w:val="es-ES_tradnl"/>
        </w:rPr>
        <w:t>3</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Lista de los taxones protegidos por los miembros de la Unión</w:t>
      </w:r>
      <w:r w:rsidRPr="00FD5703">
        <w:rPr>
          <w:noProof/>
          <w:lang w:val="es-ES_tradnl"/>
        </w:rPr>
        <w:tab/>
      </w:r>
      <w:r w:rsidRPr="00FD5703">
        <w:rPr>
          <w:noProof/>
          <w:lang w:val="es-ES_tradnl"/>
        </w:rPr>
        <w:fldChar w:fldCharType="begin"/>
      </w:r>
      <w:r w:rsidRPr="00FD5703">
        <w:rPr>
          <w:noProof/>
          <w:lang w:val="es-ES_tradnl"/>
        </w:rPr>
        <w:instrText xml:space="preserve"> PAGEREF _Toc381177102 \h </w:instrText>
      </w:r>
      <w:r w:rsidRPr="00FD5703">
        <w:rPr>
          <w:noProof/>
          <w:lang w:val="es-ES_tradnl"/>
        </w:rPr>
      </w:r>
      <w:r w:rsidRPr="00FD5703">
        <w:rPr>
          <w:noProof/>
          <w:lang w:val="es-ES_tradnl"/>
        </w:rPr>
        <w:fldChar w:fldCharType="separate"/>
      </w:r>
      <w:r w:rsidR="004D3AF2">
        <w:rPr>
          <w:noProof/>
          <w:lang w:val="es-ES_tradnl"/>
        </w:rPr>
        <w:t>3</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Estadísticas sobre la protección de las obtenciones vegetales</w:t>
      </w:r>
      <w:r w:rsidRPr="00FD5703">
        <w:rPr>
          <w:noProof/>
          <w:lang w:val="es-ES_tradnl"/>
        </w:rPr>
        <w:tab/>
      </w:r>
      <w:r w:rsidRPr="00FD5703">
        <w:rPr>
          <w:noProof/>
          <w:lang w:val="es-ES_tradnl"/>
        </w:rPr>
        <w:fldChar w:fldCharType="begin"/>
      </w:r>
      <w:r w:rsidRPr="00FD5703">
        <w:rPr>
          <w:noProof/>
          <w:lang w:val="es-ES_tradnl"/>
        </w:rPr>
        <w:instrText xml:space="preserve"> PAGEREF _Toc381177103 \h </w:instrText>
      </w:r>
      <w:r w:rsidRPr="00FD5703">
        <w:rPr>
          <w:noProof/>
          <w:lang w:val="es-ES_tradnl"/>
        </w:rPr>
      </w:r>
      <w:r w:rsidRPr="00FD5703">
        <w:rPr>
          <w:noProof/>
          <w:lang w:val="es-ES_tradnl"/>
        </w:rPr>
        <w:fldChar w:fldCharType="separate"/>
      </w:r>
      <w:r w:rsidR="004D3AF2">
        <w:rPr>
          <w:noProof/>
          <w:lang w:val="es-ES_tradnl"/>
        </w:rPr>
        <w:t>4</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Cooperación en el examen de obtenciones vegetales</w:t>
      </w:r>
      <w:r w:rsidRPr="00FD5703">
        <w:rPr>
          <w:noProof/>
          <w:lang w:val="es-ES_tradnl"/>
        </w:rPr>
        <w:tab/>
      </w:r>
      <w:r w:rsidRPr="00FD5703">
        <w:rPr>
          <w:noProof/>
          <w:lang w:val="es-ES_tradnl"/>
        </w:rPr>
        <w:fldChar w:fldCharType="begin"/>
      </w:r>
      <w:r w:rsidRPr="00FD5703">
        <w:rPr>
          <w:noProof/>
          <w:lang w:val="es-ES_tradnl"/>
        </w:rPr>
        <w:instrText xml:space="preserve"> PAGEREF _Toc381177104 \h </w:instrText>
      </w:r>
      <w:r w:rsidRPr="00FD5703">
        <w:rPr>
          <w:noProof/>
          <w:lang w:val="es-ES_tradnl"/>
        </w:rPr>
      </w:r>
      <w:r w:rsidRPr="00FD5703">
        <w:rPr>
          <w:noProof/>
          <w:lang w:val="es-ES_tradnl"/>
        </w:rPr>
        <w:fldChar w:fldCharType="separate"/>
      </w:r>
      <w:r w:rsidR="004D3AF2">
        <w:rPr>
          <w:noProof/>
          <w:lang w:val="es-ES_tradnl"/>
        </w:rPr>
        <w:t>4</w:t>
      </w:r>
      <w:r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noProof/>
          <w:lang w:val="es-ES_tradnl"/>
        </w:rPr>
        <w:t>SITUACIÓN FINANCIERA</w:t>
      </w:r>
      <w:r w:rsidRPr="00FD5703">
        <w:rPr>
          <w:noProof/>
          <w:lang w:val="es-ES_tradnl"/>
        </w:rPr>
        <w:tab/>
      </w:r>
      <w:r w:rsidRPr="00FD5703">
        <w:rPr>
          <w:noProof/>
          <w:lang w:val="es-ES_tradnl"/>
        </w:rPr>
        <w:fldChar w:fldCharType="begin"/>
      </w:r>
      <w:r w:rsidRPr="00FD5703">
        <w:rPr>
          <w:noProof/>
          <w:lang w:val="es-ES_tradnl"/>
        </w:rPr>
        <w:instrText xml:space="preserve"> PAGEREF _Toc381177105 \h </w:instrText>
      </w:r>
      <w:r w:rsidRPr="00FD5703">
        <w:rPr>
          <w:noProof/>
          <w:lang w:val="es-ES_tradnl"/>
        </w:rPr>
      </w:r>
      <w:r w:rsidRPr="00FD5703">
        <w:rPr>
          <w:noProof/>
          <w:lang w:val="es-ES_tradnl"/>
        </w:rPr>
        <w:fldChar w:fldCharType="separate"/>
      </w:r>
      <w:r w:rsidR="004D3AF2">
        <w:rPr>
          <w:noProof/>
          <w:lang w:val="es-ES_tradnl"/>
        </w:rPr>
        <w:t>4</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Programa y presupuesto de la Unión para el bienio 2014 -2015</w:t>
      </w:r>
      <w:r w:rsidRPr="00FD5703">
        <w:rPr>
          <w:noProof/>
          <w:lang w:val="es-ES_tradnl"/>
        </w:rPr>
        <w:tab/>
      </w:r>
      <w:r w:rsidRPr="00FD5703">
        <w:rPr>
          <w:noProof/>
          <w:lang w:val="es-ES_tradnl"/>
        </w:rPr>
        <w:fldChar w:fldCharType="begin"/>
      </w:r>
      <w:r w:rsidRPr="00FD5703">
        <w:rPr>
          <w:noProof/>
          <w:lang w:val="es-ES_tradnl"/>
        </w:rPr>
        <w:instrText xml:space="preserve"> PAGEREF _Toc381177106 \h </w:instrText>
      </w:r>
      <w:r w:rsidRPr="00FD5703">
        <w:rPr>
          <w:noProof/>
          <w:lang w:val="es-ES_tradnl"/>
        </w:rPr>
      </w:r>
      <w:r w:rsidRPr="00FD5703">
        <w:rPr>
          <w:noProof/>
          <w:lang w:val="es-ES_tradnl"/>
        </w:rPr>
        <w:fldChar w:fldCharType="separate"/>
      </w:r>
      <w:r w:rsidR="004D3AF2">
        <w:rPr>
          <w:noProof/>
          <w:lang w:val="es-ES_tradnl"/>
        </w:rPr>
        <w:t>4</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snapToGrid w:val="0"/>
          <w:lang w:val="es-ES_tradnl"/>
        </w:rPr>
        <w:t>Fondo de reserva</w:t>
      </w:r>
      <w:r w:rsidRPr="00FD5703">
        <w:rPr>
          <w:noProof/>
          <w:lang w:val="es-ES_tradnl"/>
        </w:rPr>
        <w:tab/>
      </w:r>
      <w:r w:rsidRPr="00FD5703">
        <w:rPr>
          <w:noProof/>
          <w:lang w:val="es-ES_tradnl"/>
        </w:rPr>
        <w:fldChar w:fldCharType="begin"/>
      </w:r>
      <w:r w:rsidRPr="00FD5703">
        <w:rPr>
          <w:noProof/>
          <w:lang w:val="es-ES_tradnl"/>
        </w:rPr>
        <w:instrText xml:space="preserve"> PAGEREF _Toc381177107 \h </w:instrText>
      </w:r>
      <w:r w:rsidRPr="00FD5703">
        <w:rPr>
          <w:noProof/>
          <w:lang w:val="es-ES_tradnl"/>
        </w:rPr>
      </w:r>
      <w:r w:rsidRPr="00FD5703">
        <w:rPr>
          <w:noProof/>
          <w:lang w:val="es-ES_tradnl"/>
        </w:rPr>
        <w:fldChar w:fldCharType="separate"/>
      </w:r>
      <w:r w:rsidR="004D3AF2">
        <w:rPr>
          <w:noProof/>
          <w:lang w:val="es-ES_tradnl"/>
        </w:rPr>
        <w:t>4</w:t>
      </w:r>
      <w:r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noProof/>
          <w:lang w:val="es-ES_tradnl"/>
        </w:rPr>
        <w:t>PRESIDENCIA DE LOS ÓRGANOS DE LA UPOV</w:t>
      </w:r>
      <w:r w:rsidRPr="00FD5703">
        <w:rPr>
          <w:noProof/>
          <w:lang w:val="es-ES_tradnl"/>
        </w:rPr>
        <w:tab/>
      </w:r>
      <w:r w:rsidRPr="00FD5703">
        <w:rPr>
          <w:noProof/>
          <w:lang w:val="es-ES_tradnl"/>
        </w:rPr>
        <w:fldChar w:fldCharType="begin"/>
      </w:r>
      <w:r w:rsidRPr="00FD5703">
        <w:rPr>
          <w:noProof/>
          <w:lang w:val="es-ES_tradnl"/>
        </w:rPr>
        <w:instrText xml:space="preserve"> PAGEREF _Toc381177108 \h </w:instrText>
      </w:r>
      <w:r w:rsidRPr="00FD5703">
        <w:rPr>
          <w:noProof/>
          <w:lang w:val="es-ES_tradnl"/>
        </w:rPr>
      </w:r>
      <w:r w:rsidRPr="00FD5703">
        <w:rPr>
          <w:noProof/>
          <w:lang w:val="es-ES_tradnl"/>
        </w:rPr>
        <w:fldChar w:fldCharType="separate"/>
      </w:r>
      <w:r w:rsidR="004D3AF2">
        <w:rPr>
          <w:noProof/>
          <w:lang w:val="es-ES_tradnl"/>
        </w:rPr>
        <w:t>5</w:t>
      </w:r>
      <w:r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noProof/>
          <w:lang w:val="es-ES_tradnl"/>
        </w:rPr>
        <w:t>COLECCIÓN DE LA UPOV</w:t>
      </w:r>
      <w:r w:rsidRPr="00FD5703">
        <w:rPr>
          <w:noProof/>
          <w:lang w:val="es-ES_tradnl"/>
        </w:rPr>
        <w:tab/>
      </w:r>
      <w:r w:rsidRPr="00FD5703">
        <w:rPr>
          <w:noProof/>
          <w:lang w:val="es-ES_tradnl"/>
        </w:rPr>
        <w:fldChar w:fldCharType="begin"/>
      </w:r>
      <w:r w:rsidRPr="00FD5703">
        <w:rPr>
          <w:noProof/>
          <w:lang w:val="es-ES_tradnl"/>
        </w:rPr>
        <w:instrText xml:space="preserve"> PAGEREF _Toc381177109 \h </w:instrText>
      </w:r>
      <w:r w:rsidRPr="00FD5703">
        <w:rPr>
          <w:noProof/>
          <w:lang w:val="es-ES_tradnl"/>
        </w:rPr>
      </w:r>
      <w:r w:rsidRPr="00FD5703">
        <w:rPr>
          <w:noProof/>
          <w:lang w:val="es-ES_tradnl"/>
        </w:rPr>
        <w:fldChar w:fldCharType="separate"/>
      </w:r>
      <w:r w:rsidR="004D3AF2">
        <w:rPr>
          <w:noProof/>
          <w:lang w:val="es-ES_tradnl"/>
        </w:rPr>
        <w:t>5</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Nuevos documentos aprobados</w:t>
      </w:r>
      <w:r w:rsidRPr="00FD5703">
        <w:rPr>
          <w:noProof/>
          <w:lang w:val="es-ES_tradnl"/>
        </w:rPr>
        <w:tab/>
      </w:r>
      <w:r w:rsidRPr="00FD5703">
        <w:rPr>
          <w:noProof/>
          <w:lang w:val="es-ES_tradnl"/>
        </w:rPr>
        <w:fldChar w:fldCharType="begin"/>
      </w:r>
      <w:r w:rsidRPr="00FD5703">
        <w:rPr>
          <w:noProof/>
          <w:lang w:val="es-ES_tradnl"/>
        </w:rPr>
        <w:instrText xml:space="preserve"> PAGEREF _Toc381177110 \h </w:instrText>
      </w:r>
      <w:r w:rsidRPr="00FD5703">
        <w:rPr>
          <w:noProof/>
          <w:lang w:val="es-ES_tradnl"/>
        </w:rPr>
      </w:r>
      <w:r w:rsidRPr="00FD5703">
        <w:rPr>
          <w:noProof/>
          <w:lang w:val="es-ES_tradnl"/>
        </w:rPr>
        <w:fldChar w:fldCharType="separate"/>
      </w:r>
      <w:r w:rsidR="004D3AF2">
        <w:rPr>
          <w:noProof/>
          <w:lang w:val="es-ES_tradnl"/>
        </w:rPr>
        <w:t>5</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snapToGrid w:val="0"/>
          <w:lang w:val="es-ES_tradnl"/>
        </w:rPr>
        <w:t>Series de documentos UPOV/INF</w:t>
      </w:r>
      <w:r w:rsidRPr="00FD5703">
        <w:rPr>
          <w:noProof/>
          <w:lang w:val="es-ES_tradnl"/>
        </w:rPr>
        <w:tab/>
      </w:r>
      <w:r w:rsidRPr="00FD5703">
        <w:rPr>
          <w:noProof/>
          <w:lang w:val="es-ES_tradnl"/>
        </w:rPr>
        <w:fldChar w:fldCharType="begin"/>
      </w:r>
      <w:r w:rsidRPr="00FD5703">
        <w:rPr>
          <w:noProof/>
          <w:lang w:val="es-ES_tradnl"/>
        </w:rPr>
        <w:instrText xml:space="preserve"> PAGEREF _Toc381177111 \h </w:instrText>
      </w:r>
      <w:r w:rsidRPr="00FD5703">
        <w:rPr>
          <w:noProof/>
          <w:lang w:val="es-ES_tradnl"/>
        </w:rPr>
      </w:r>
      <w:r w:rsidRPr="00FD5703">
        <w:rPr>
          <w:noProof/>
          <w:lang w:val="es-ES_tradnl"/>
        </w:rPr>
        <w:fldChar w:fldCharType="separate"/>
      </w:r>
      <w:r w:rsidR="004D3AF2">
        <w:rPr>
          <w:noProof/>
          <w:lang w:val="es-ES_tradnl"/>
        </w:rPr>
        <w:t>5</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snapToGrid w:val="0"/>
          <w:lang w:val="es-ES_tradnl"/>
        </w:rPr>
        <w:t>Notas explicativas sobre el Convenio de la UPOV.</w:t>
      </w:r>
      <w:r w:rsidRPr="00FD5703">
        <w:rPr>
          <w:noProof/>
          <w:lang w:val="es-ES_tradnl"/>
        </w:rPr>
        <w:tab/>
      </w:r>
      <w:r w:rsidRPr="00FD5703">
        <w:rPr>
          <w:noProof/>
          <w:lang w:val="es-ES_tradnl"/>
        </w:rPr>
        <w:fldChar w:fldCharType="begin"/>
      </w:r>
      <w:r w:rsidRPr="00FD5703">
        <w:rPr>
          <w:noProof/>
          <w:lang w:val="es-ES_tradnl"/>
        </w:rPr>
        <w:instrText xml:space="preserve"> PAGEREF _Toc381177112 \h </w:instrText>
      </w:r>
      <w:r w:rsidRPr="00FD5703">
        <w:rPr>
          <w:noProof/>
          <w:lang w:val="es-ES_tradnl"/>
        </w:rPr>
      </w:r>
      <w:r w:rsidRPr="00FD5703">
        <w:rPr>
          <w:noProof/>
          <w:lang w:val="es-ES_tradnl"/>
        </w:rPr>
        <w:fldChar w:fldCharType="separate"/>
      </w:r>
      <w:r w:rsidR="004D3AF2">
        <w:rPr>
          <w:noProof/>
          <w:lang w:val="es-ES_tradnl"/>
        </w:rPr>
        <w:t>5</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snapToGrid w:val="0"/>
          <w:lang w:val="es-ES_tradnl"/>
        </w:rPr>
        <w:t>Documentos TGP</w:t>
      </w:r>
      <w:r w:rsidRPr="00FD5703">
        <w:rPr>
          <w:noProof/>
          <w:lang w:val="es-ES_tradnl"/>
        </w:rPr>
        <w:tab/>
      </w:r>
      <w:r w:rsidRPr="00FD5703">
        <w:rPr>
          <w:noProof/>
          <w:lang w:val="es-ES_tradnl"/>
        </w:rPr>
        <w:fldChar w:fldCharType="begin"/>
      </w:r>
      <w:r w:rsidRPr="00FD5703">
        <w:rPr>
          <w:noProof/>
          <w:lang w:val="es-ES_tradnl"/>
        </w:rPr>
        <w:instrText xml:space="preserve"> PAGEREF _Toc381177113 \h </w:instrText>
      </w:r>
      <w:r w:rsidRPr="00FD5703">
        <w:rPr>
          <w:noProof/>
          <w:lang w:val="es-ES_tradnl"/>
        </w:rPr>
      </w:r>
      <w:r w:rsidRPr="00FD5703">
        <w:rPr>
          <w:noProof/>
          <w:lang w:val="es-ES_tradnl"/>
        </w:rPr>
        <w:fldChar w:fldCharType="separate"/>
      </w:r>
      <w:r w:rsidR="004D3AF2">
        <w:rPr>
          <w:noProof/>
          <w:lang w:val="es-ES_tradnl"/>
        </w:rPr>
        <w:t>6</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Programa para la elaboración de notas explicativas sobre el Convenio de la UPOV</w:t>
      </w:r>
      <w:r w:rsidRPr="00FD5703">
        <w:rPr>
          <w:noProof/>
          <w:lang w:val="es-ES_tradnl"/>
        </w:rPr>
        <w:tab/>
      </w:r>
      <w:r w:rsidRPr="00FD5703">
        <w:rPr>
          <w:noProof/>
          <w:lang w:val="es-ES_tradnl"/>
        </w:rPr>
        <w:fldChar w:fldCharType="begin"/>
      </w:r>
      <w:r w:rsidRPr="00FD5703">
        <w:rPr>
          <w:noProof/>
          <w:lang w:val="es-ES_tradnl"/>
        </w:rPr>
        <w:instrText xml:space="preserve"> PAGEREF _Toc381177114 \h </w:instrText>
      </w:r>
      <w:r w:rsidRPr="00FD5703">
        <w:rPr>
          <w:noProof/>
          <w:lang w:val="es-ES_tradnl"/>
        </w:rPr>
      </w:r>
      <w:r w:rsidRPr="00FD5703">
        <w:rPr>
          <w:noProof/>
          <w:lang w:val="es-ES_tradnl"/>
        </w:rPr>
        <w:fldChar w:fldCharType="separate"/>
      </w:r>
      <w:r w:rsidR="004D3AF2">
        <w:rPr>
          <w:noProof/>
          <w:lang w:val="es-ES_tradnl"/>
        </w:rPr>
        <w:t>6</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UPOV Lex</w:t>
      </w:r>
      <w:r w:rsidRPr="00FD5703">
        <w:rPr>
          <w:noProof/>
          <w:lang w:val="es-ES_tradnl"/>
        </w:rPr>
        <w:tab/>
      </w:r>
      <w:r w:rsidRPr="00FD5703">
        <w:rPr>
          <w:noProof/>
          <w:lang w:val="es-ES_tradnl"/>
        </w:rPr>
        <w:fldChar w:fldCharType="begin"/>
      </w:r>
      <w:r w:rsidRPr="00FD5703">
        <w:rPr>
          <w:noProof/>
          <w:lang w:val="es-ES_tradnl"/>
        </w:rPr>
        <w:instrText xml:space="preserve"> PAGEREF _Toc381177115 \h </w:instrText>
      </w:r>
      <w:r w:rsidRPr="00FD5703">
        <w:rPr>
          <w:noProof/>
          <w:lang w:val="es-ES_tradnl"/>
        </w:rPr>
      </w:r>
      <w:r w:rsidRPr="00FD5703">
        <w:rPr>
          <w:noProof/>
          <w:lang w:val="es-ES_tradnl"/>
        </w:rPr>
        <w:fldChar w:fldCharType="separate"/>
      </w:r>
      <w:r w:rsidR="004D3AF2">
        <w:rPr>
          <w:noProof/>
          <w:lang w:val="es-ES_tradnl"/>
        </w:rPr>
        <w:t>6</w:t>
      </w:r>
      <w:r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noProof/>
          <w:lang w:val="es-ES_tradnl"/>
        </w:rPr>
        <w:t>PUBLICACIONES, ACTIVIDADES Y FORMACIONES</w:t>
      </w:r>
      <w:r w:rsidRPr="00FD5703">
        <w:rPr>
          <w:noProof/>
          <w:lang w:val="es-ES_tradnl"/>
        </w:rPr>
        <w:tab/>
      </w:r>
      <w:r w:rsidRPr="00FD5703">
        <w:rPr>
          <w:noProof/>
          <w:lang w:val="es-ES_tradnl"/>
        </w:rPr>
        <w:fldChar w:fldCharType="begin"/>
      </w:r>
      <w:r w:rsidRPr="00FD5703">
        <w:rPr>
          <w:noProof/>
          <w:lang w:val="es-ES_tradnl"/>
        </w:rPr>
        <w:instrText xml:space="preserve"> PAGEREF _Toc381177116 \h </w:instrText>
      </w:r>
      <w:r w:rsidRPr="00FD5703">
        <w:rPr>
          <w:noProof/>
          <w:lang w:val="es-ES_tradnl"/>
        </w:rPr>
      </w:r>
      <w:r w:rsidRPr="00FD5703">
        <w:rPr>
          <w:noProof/>
          <w:lang w:val="es-ES_tradnl"/>
        </w:rPr>
        <w:fldChar w:fldCharType="separate"/>
      </w:r>
      <w:r w:rsidR="004D3AF2">
        <w:rPr>
          <w:noProof/>
          <w:lang w:val="es-ES_tradnl"/>
        </w:rPr>
        <w:t>6</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Estrategia de comunicación</w:t>
      </w:r>
      <w:r w:rsidRPr="00FD5703">
        <w:rPr>
          <w:noProof/>
          <w:lang w:val="es-ES_tradnl"/>
        </w:rPr>
        <w:tab/>
      </w:r>
      <w:r w:rsidRPr="00FD5703">
        <w:rPr>
          <w:noProof/>
          <w:lang w:val="es-ES_tradnl"/>
        </w:rPr>
        <w:fldChar w:fldCharType="begin"/>
      </w:r>
      <w:r w:rsidRPr="00FD5703">
        <w:rPr>
          <w:noProof/>
          <w:lang w:val="es-ES_tradnl"/>
        </w:rPr>
        <w:instrText xml:space="preserve"> PAGEREF _Toc381177117 \h </w:instrText>
      </w:r>
      <w:r w:rsidRPr="00FD5703">
        <w:rPr>
          <w:noProof/>
          <w:lang w:val="es-ES_tradnl"/>
        </w:rPr>
      </w:r>
      <w:r w:rsidRPr="00FD5703">
        <w:rPr>
          <w:noProof/>
          <w:lang w:val="es-ES_tradnl"/>
        </w:rPr>
        <w:fldChar w:fldCharType="separate"/>
      </w:r>
      <w:r w:rsidR="004D3AF2">
        <w:rPr>
          <w:noProof/>
          <w:lang w:val="es-ES_tradnl"/>
        </w:rPr>
        <w:t>6</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Publicación de la Trilogía</w:t>
      </w:r>
      <w:r w:rsidRPr="00FD5703">
        <w:rPr>
          <w:noProof/>
          <w:lang w:val="es-ES_tradnl"/>
        </w:rPr>
        <w:tab/>
      </w:r>
      <w:r w:rsidRPr="00FD5703">
        <w:rPr>
          <w:noProof/>
          <w:lang w:val="es-ES_tradnl"/>
        </w:rPr>
        <w:fldChar w:fldCharType="begin"/>
      </w:r>
      <w:r w:rsidRPr="00FD5703">
        <w:rPr>
          <w:noProof/>
          <w:lang w:val="es-ES_tradnl"/>
        </w:rPr>
        <w:instrText xml:space="preserve"> PAGEREF _Toc381177118 \h </w:instrText>
      </w:r>
      <w:r w:rsidRPr="00FD5703">
        <w:rPr>
          <w:noProof/>
          <w:lang w:val="es-ES_tradnl"/>
        </w:rPr>
      </w:r>
      <w:r w:rsidRPr="00FD5703">
        <w:rPr>
          <w:noProof/>
          <w:lang w:val="es-ES_tradnl"/>
        </w:rPr>
        <w:fldChar w:fldCharType="separate"/>
      </w:r>
      <w:r w:rsidR="004D3AF2">
        <w:rPr>
          <w:noProof/>
          <w:lang w:val="es-ES_tradnl"/>
        </w:rPr>
        <w:t>7</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Seminario sobre variedades esencialmente derivadas</w:t>
      </w:r>
      <w:r w:rsidRPr="00FD5703">
        <w:rPr>
          <w:noProof/>
          <w:lang w:val="es-ES_tradnl"/>
        </w:rPr>
        <w:tab/>
      </w:r>
      <w:r w:rsidRPr="00FD5703">
        <w:rPr>
          <w:noProof/>
          <w:lang w:val="es-ES_tradnl"/>
        </w:rPr>
        <w:fldChar w:fldCharType="begin"/>
      </w:r>
      <w:r w:rsidRPr="00FD5703">
        <w:rPr>
          <w:noProof/>
          <w:lang w:val="es-ES_tradnl"/>
        </w:rPr>
        <w:instrText xml:space="preserve"> PAGEREF _Toc381177119 \h </w:instrText>
      </w:r>
      <w:r w:rsidRPr="00FD5703">
        <w:rPr>
          <w:noProof/>
          <w:lang w:val="es-ES_tradnl"/>
        </w:rPr>
      </w:r>
      <w:r w:rsidRPr="00FD5703">
        <w:rPr>
          <w:noProof/>
          <w:lang w:val="es-ES_tradnl"/>
        </w:rPr>
        <w:fldChar w:fldCharType="separate"/>
      </w:r>
      <w:r w:rsidR="004D3AF2">
        <w:rPr>
          <w:noProof/>
          <w:lang w:val="es-ES_tradnl"/>
        </w:rPr>
        <w:t>7</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Cursos de enseñanza a distancia</w:t>
      </w:r>
      <w:r w:rsidRPr="00FD5703">
        <w:rPr>
          <w:noProof/>
          <w:lang w:val="es-ES_tradnl"/>
        </w:rPr>
        <w:tab/>
      </w:r>
      <w:r w:rsidRPr="00FD5703">
        <w:rPr>
          <w:noProof/>
          <w:lang w:val="es-ES_tradnl"/>
        </w:rPr>
        <w:fldChar w:fldCharType="begin"/>
      </w:r>
      <w:r w:rsidRPr="00FD5703">
        <w:rPr>
          <w:noProof/>
          <w:lang w:val="es-ES_tradnl"/>
        </w:rPr>
        <w:instrText xml:space="preserve"> PAGEREF _Toc381177120 \h </w:instrText>
      </w:r>
      <w:r w:rsidRPr="00FD5703">
        <w:rPr>
          <w:noProof/>
          <w:lang w:val="es-ES_tradnl"/>
        </w:rPr>
      </w:r>
      <w:r w:rsidRPr="00FD5703">
        <w:rPr>
          <w:noProof/>
          <w:lang w:val="es-ES_tradnl"/>
        </w:rPr>
        <w:fldChar w:fldCharType="separate"/>
      </w:r>
      <w:r w:rsidR="004D3AF2">
        <w:rPr>
          <w:noProof/>
          <w:lang w:val="es-ES_tradnl"/>
        </w:rPr>
        <w:t>7</w:t>
      </w:r>
      <w:r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noProof/>
          <w:lang w:val="es-ES_tradnl"/>
        </w:rPr>
        <w:t>NOVEDADES RELEVANTES PARA LA UPOV EN OTRAS INSTANCIAS INTERNACIONALES</w:t>
      </w:r>
      <w:r w:rsidRPr="00FD5703">
        <w:rPr>
          <w:noProof/>
          <w:lang w:val="es-ES_tradnl"/>
        </w:rPr>
        <w:tab/>
      </w:r>
      <w:r w:rsidRPr="00FD5703">
        <w:rPr>
          <w:noProof/>
          <w:lang w:val="es-ES_tradnl"/>
        </w:rPr>
        <w:fldChar w:fldCharType="begin"/>
      </w:r>
      <w:r w:rsidRPr="00FD5703">
        <w:rPr>
          <w:noProof/>
          <w:lang w:val="es-ES_tradnl"/>
        </w:rPr>
        <w:instrText xml:space="preserve"> PAGEREF _Toc381177121 \h </w:instrText>
      </w:r>
      <w:r w:rsidRPr="00FD5703">
        <w:rPr>
          <w:noProof/>
          <w:lang w:val="es-ES_tradnl"/>
        </w:rPr>
      </w:r>
      <w:r w:rsidRPr="00FD5703">
        <w:rPr>
          <w:noProof/>
          <w:lang w:val="es-ES_tradnl"/>
        </w:rPr>
        <w:fldChar w:fldCharType="separate"/>
      </w:r>
      <w:r w:rsidR="004D3AF2">
        <w:rPr>
          <w:noProof/>
          <w:lang w:val="es-ES_tradnl"/>
        </w:rPr>
        <w:t>8</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Tratado Internacional sobre los Recursos Fitogenéticos para la Alimentación y la Agricultura (ITPGRFA)</w:t>
      </w:r>
      <w:r w:rsidRPr="00FD5703">
        <w:rPr>
          <w:noProof/>
          <w:lang w:val="es-ES_tradnl"/>
        </w:rPr>
        <w:tab/>
      </w:r>
      <w:r w:rsidRPr="00FD5703">
        <w:rPr>
          <w:noProof/>
          <w:lang w:val="es-ES_tradnl"/>
        </w:rPr>
        <w:fldChar w:fldCharType="begin"/>
      </w:r>
      <w:r w:rsidRPr="00FD5703">
        <w:rPr>
          <w:noProof/>
          <w:lang w:val="es-ES_tradnl"/>
        </w:rPr>
        <w:instrText xml:space="preserve"> PAGEREF _Toc381177122 \h </w:instrText>
      </w:r>
      <w:r w:rsidRPr="00FD5703">
        <w:rPr>
          <w:noProof/>
          <w:lang w:val="es-ES_tradnl"/>
        </w:rPr>
      </w:r>
      <w:r w:rsidRPr="00FD5703">
        <w:rPr>
          <w:noProof/>
          <w:lang w:val="es-ES_tradnl"/>
        </w:rPr>
        <w:fldChar w:fldCharType="separate"/>
      </w:r>
      <w:r w:rsidR="004D3AF2">
        <w:rPr>
          <w:noProof/>
          <w:lang w:val="es-ES_tradnl"/>
        </w:rPr>
        <w:t>8</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snapToGrid w:val="0"/>
          <w:lang w:val="es-ES_tradnl"/>
        </w:rPr>
        <w:t>Plataforma de codesarrollo y transferencia de tecnologías en el marco del ITPGRFA</w:t>
      </w:r>
      <w:r w:rsidRPr="00FD5703">
        <w:rPr>
          <w:noProof/>
          <w:lang w:val="es-ES_tradnl"/>
        </w:rPr>
        <w:tab/>
      </w:r>
      <w:r w:rsidRPr="00FD5703">
        <w:rPr>
          <w:noProof/>
          <w:lang w:val="es-ES_tradnl"/>
        </w:rPr>
        <w:fldChar w:fldCharType="begin"/>
      </w:r>
      <w:r w:rsidRPr="00FD5703">
        <w:rPr>
          <w:noProof/>
          <w:lang w:val="es-ES_tradnl"/>
        </w:rPr>
        <w:instrText xml:space="preserve"> PAGEREF _Toc381177123 \h </w:instrText>
      </w:r>
      <w:r w:rsidRPr="00FD5703">
        <w:rPr>
          <w:noProof/>
          <w:lang w:val="es-ES_tradnl"/>
        </w:rPr>
      </w:r>
      <w:r w:rsidRPr="00FD5703">
        <w:rPr>
          <w:noProof/>
          <w:lang w:val="es-ES_tradnl"/>
        </w:rPr>
        <w:fldChar w:fldCharType="separate"/>
      </w:r>
      <w:r w:rsidR="004D3AF2">
        <w:rPr>
          <w:noProof/>
          <w:lang w:val="es-ES_tradnl"/>
        </w:rPr>
        <w:t>8</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snapToGrid w:val="0"/>
          <w:lang w:val="es-ES_tradnl"/>
        </w:rPr>
        <w:t>Vínculos de cooperación entre el sector público y el privado en el premejoramiento</w:t>
      </w:r>
      <w:r w:rsidRPr="00FD5703">
        <w:rPr>
          <w:noProof/>
          <w:lang w:val="es-ES_tradnl"/>
        </w:rPr>
        <w:tab/>
      </w:r>
      <w:r w:rsidRPr="00FD5703">
        <w:rPr>
          <w:noProof/>
          <w:lang w:val="es-ES_tradnl"/>
        </w:rPr>
        <w:fldChar w:fldCharType="begin"/>
      </w:r>
      <w:r w:rsidRPr="00FD5703">
        <w:rPr>
          <w:noProof/>
          <w:lang w:val="es-ES_tradnl"/>
        </w:rPr>
        <w:instrText xml:space="preserve"> PAGEREF _Toc381177124 \h </w:instrText>
      </w:r>
      <w:r w:rsidRPr="00FD5703">
        <w:rPr>
          <w:noProof/>
          <w:lang w:val="es-ES_tradnl"/>
        </w:rPr>
      </w:r>
      <w:r w:rsidRPr="00FD5703">
        <w:rPr>
          <w:noProof/>
          <w:lang w:val="es-ES_tradnl"/>
        </w:rPr>
        <w:fldChar w:fldCharType="separate"/>
      </w:r>
      <w:r w:rsidR="004D3AF2">
        <w:rPr>
          <w:noProof/>
          <w:lang w:val="es-ES_tradnl"/>
        </w:rPr>
        <w:t>8</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snapToGrid w:val="0"/>
          <w:lang w:val="es-ES_tradnl"/>
        </w:rPr>
        <w:t>Interrelación entre el ITPGRFA, la UPOV y la OMPI</w:t>
      </w:r>
      <w:r w:rsidRPr="00FD5703">
        <w:rPr>
          <w:noProof/>
          <w:lang w:val="es-ES_tradnl"/>
        </w:rPr>
        <w:tab/>
      </w:r>
      <w:r w:rsidRPr="00FD5703">
        <w:rPr>
          <w:noProof/>
          <w:lang w:val="es-ES_tradnl"/>
        </w:rPr>
        <w:fldChar w:fldCharType="begin"/>
      </w:r>
      <w:r w:rsidRPr="00FD5703">
        <w:rPr>
          <w:noProof/>
          <w:lang w:val="es-ES_tradnl"/>
        </w:rPr>
        <w:instrText xml:space="preserve"> PAGEREF _Toc381177125 \h </w:instrText>
      </w:r>
      <w:r w:rsidRPr="00FD5703">
        <w:rPr>
          <w:noProof/>
          <w:lang w:val="es-ES_tradnl"/>
        </w:rPr>
      </w:r>
      <w:r w:rsidRPr="00FD5703">
        <w:rPr>
          <w:noProof/>
          <w:lang w:val="es-ES_tradnl"/>
        </w:rPr>
        <w:fldChar w:fldCharType="separate"/>
      </w:r>
      <w:r w:rsidR="004D3AF2">
        <w:rPr>
          <w:noProof/>
          <w:lang w:val="es-ES_tradnl"/>
        </w:rPr>
        <w:t>8</w:t>
      </w:r>
      <w:r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b/>
          <w:bCs/>
          <w:smallCaps/>
          <w:noProof/>
          <w:spacing w:val="5"/>
          <w:lang w:val="es-ES_tradnl"/>
        </w:rPr>
        <w:t>II.</w:t>
      </w:r>
      <w:r w:rsidRPr="00FD5703">
        <w:rPr>
          <w:rFonts w:asciiTheme="minorHAnsi" w:eastAsiaTheme="minorEastAsia" w:hAnsiTheme="minorHAnsi" w:cstheme="minorBidi"/>
          <w:caps w:val="0"/>
          <w:noProof/>
          <w:sz w:val="22"/>
          <w:szCs w:val="22"/>
          <w:lang w:val="es-ES_tradnl"/>
        </w:rPr>
        <w:tab/>
      </w:r>
      <w:r w:rsidRPr="00FD5703">
        <w:rPr>
          <w:b/>
          <w:bCs/>
          <w:smallCaps/>
          <w:noProof/>
          <w:spacing w:val="5"/>
          <w:lang w:val="es-ES_tradnl"/>
        </w:rPr>
        <w:t>ASUNTOS SOMETIDOS A LA CONSIDERACIÓN DEL COMITÉ TÉCNICO</w:t>
      </w:r>
      <w:r w:rsidRPr="00FD5703">
        <w:rPr>
          <w:noProof/>
          <w:lang w:val="es-ES_tradnl"/>
        </w:rPr>
        <w:tab/>
      </w:r>
      <w:r w:rsidRPr="00FD5703">
        <w:rPr>
          <w:noProof/>
          <w:lang w:val="es-ES_tradnl"/>
        </w:rPr>
        <w:fldChar w:fldCharType="begin"/>
      </w:r>
      <w:r w:rsidRPr="00FD5703">
        <w:rPr>
          <w:noProof/>
          <w:lang w:val="es-ES_tradnl"/>
        </w:rPr>
        <w:instrText xml:space="preserve"> PAGEREF _Toc381177126 \h </w:instrText>
      </w:r>
      <w:r w:rsidRPr="00FD5703">
        <w:rPr>
          <w:noProof/>
          <w:lang w:val="es-ES_tradnl"/>
        </w:rPr>
      </w:r>
      <w:r w:rsidRPr="00FD5703">
        <w:rPr>
          <w:noProof/>
          <w:lang w:val="es-ES_tradnl"/>
        </w:rPr>
        <w:fldChar w:fldCharType="separate"/>
      </w:r>
      <w:r w:rsidR="004D3AF2">
        <w:rPr>
          <w:noProof/>
          <w:lang w:val="es-ES_tradnl"/>
        </w:rPr>
        <w:t>9</w:t>
      </w:r>
      <w:r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noProof/>
          <w:lang w:val="es-ES_tradnl"/>
        </w:rPr>
        <w:t>DESCRIPCIONES DE VARIEDADES</w:t>
      </w:r>
      <w:r w:rsidRPr="00FD5703">
        <w:rPr>
          <w:noProof/>
          <w:lang w:val="es-ES_tradnl"/>
        </w:rPr>
        <w:tab/>
      </w:r>
      <w:r w:rsidRPr="00FD5703">
        <w:rPr>
          <w:noProof/>
          <w:lang w:val="es-ES_tradnl"/>
        </w:rPr>
        <w:fldChar w:fldCharType="begin"/>
      </w:r>
      <w:r w:rsidRPr="00FD5703">
        <w:rPr>
          <w:noProof/>
          <w:lang w:val="es-ES_tradnl"/>
        </w:rPr>
        <w:instrText xml:space="preserve"> PAGEREF _Toc381177127 \h </w:instrText>
      </w:r>
      <w:r w:rsidRPr="00FD5703">
        <w:rPr>
          <w:noProof/>
          <w:lang w:val="es-ES_tradnl"/>
        </w:rPr>
      </w:r>
      <w:r w:rsidRPr="00FD5703">
        <w:rPr>
          <w:noProof/>
          <w:lang w:val="es-ES_tradnl"/>
        </w:rPr>
        <w:fldChar w:fldCharType="separate"/>
      </w:r>
      <w:r w:rsidR="004D3AF2">
        <w:rPr>
          <w:noProof/>
          <w:lang w:val="es-ES_tradnl"/>
        </w:rPr>
        <w:t>9</w:t>
      </w:r>
      <w:r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noProof/>
          <w:lang w:val="es-ES_tradnl"/>
        </w:rPr>
        <w:t xml:space="preserve">CUESTIONES PLANTEADAS POR LA </w:t>
      </w:r>
      <w:r w:rsidRPr="00FD5703">
        <w:rPr>
          <w:i/>
          <w:noProof/>
          <w:lang w:val="es-ES_tradnl"/>
        </w:rPr>
        <w:t>INTERNATIONAL SEED FEDERATION</w:t>
      </w:r>
      <w:r w:rsidRPr="00FD5703">
        <w:rPr>
          <w:noProof/>
          <w:lang w:val="es-ES_tradnl"/>
        </w:rPr>
        <w:t xml:space="preserve"> (ISF)</w:t>
      </w:r>
      <w:r w:rsidRPr="00FD5703">
        <w:rPr>
          <w:noProof/>
          <w:lang w:val="es-ES_tradnl"/>
        </w:rPr>
        <w:tab/>
      </w:r>
      <w:r w:rsidRPr="00FD5703">
        <w:rPr>
          <w:noProof/>
          <w:lang w:val="es-ES_tradnl"/>
        </w:rPr>
        <w:fldChar w:fldCharType="begin"/>
      </w:r>
      <w:r w:rsidRPr="00FD5703">
        <w:rPr>
          <w:noProof/>
          <w:lang w:val="es-ES_tradnl"/>
        </w:rPr>
        <w:instrText xml:space="preserve"> PAGEREF _Toc381177128 \h </w:instrText>
      </w:r>
      <w:r w:rsidRPr="00FD5703">
        <w:rPr>
          <w:noProof/>
          <w:lang w:val="es-ES_tradnl"/>
        </w:rPr>
      </w:r>
      <w:r w:rsidRPr="00FD5703">
        <w:rPr>
          <w:noProof/>
          <w:lang w:val="es-ES_tradnl"/>
        </w:rPr>
        <w:fldChar w:fldCharType="separate"/>
      </w:r>
      <w:r w:rsidR="004D3AF2">
        <w:rPr>
          <w:noProof/>
          <w:lang w:val="es-ES_tradnl"/>
        </w:rPr>
        <w:t>10</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Cuestiones que el TC está invitado a considerar</w:t>
      </w:r>
      <w:r w:rsidRPr="00FD5703">
        <w:rPr>
          <w:noProof/>
          <w:lang w:val="es-ES_tradnl"/>
        </w:rPr>
        <w:tab/>
      </w:r>
      <w:r w:rsidRPr="00FD5703">
        <w:rPr>
          <w:noProof/>
          <w:lang w:val="es-ES_tradnl"/>
        </w:rPr>
        <w:fldChar w:fldCharType="begin"/>
      </w:r>
      <w:r w:rsidRPr="00FD5703">
        <w:rPr>
          <w:noProof/>
          <w:lang w:val="es-ES_tradnl"/>
        </w:rPr>
        <w:instrText xml:space="preserve"> PAGEREF _Toc381177129 \h </w:instrText>
      </w:r>
      <w:r w:rsidRPr="00FD5703">
        <w:rPr>
          <w:noProof/>
          <w:lang w:val="es-ES_tradnl"/>
        </w:rPr>
      </w:r>
      <w:r w:rsidRPr="00FD5703">
        <w:rPr>
          <w:noProof/>
          <w:lang w:val="es-ES_tradnl"/>
        </w:rPr>
        <w:fldChar w:fldCharType="separate"/>
      </w:r>
      <w:r w:rsidR="004D3AF2">
        <w:rPr>
          <w:noProof/>
          <w:lang w:val="es-ES_tradnl"/>
        </w:rPr>
        <w:t>10</w:t>
      </w:r>
      <w:r w:rsidRPr="00FD5703">
        <w:rPr>
          <w:noProof/>
          <w:lang w:val="es-ES_tradnl"/>
        </w:rPr>
        <w:fldChar w:fldCharType="end"/>
      </w:r>
    </w:p>
    <w:p w:rsidR="00C47CD7" w:rsidRPr="00FD5703" w:rsidRDefault="00C47CD7">
      <w:pPr>
        <w:pStyle w:val="TOC3"/>
        <w:tabs>
          <w:tab w:val="left" w:pos="738"/>
        </w:tabs>
        <w:rPr>
          <w:rFonts w:asciiTheme="minorHAnsi" w:eastAsiaTheme="minorEastAsia" w:hAnsiTheme="minorHAnsi" w:cstheme="minorBidi"/>
          <w:noProof/>
          <w:sz w:val="22"/>
          <w:szCs w:val="22"/>
          <w:lang w:val="es-ES_tradnl"/>
        </w:rPr>
      </w:pPr>
      <w:r w:rsidRPr="00FD5703">
        <w:rPr>
          <w:noProof/>
          <w:lang w:val="es-ES_tradnl"/>
        </w:rPr>
        <w:t>a)</w:t>
      </w:r>
      <w:r w:rsidRPr="00FD5703">
        <w:rPr>
          <w:rFonts w:asciiTheme="minorHAnsi" w:eastAsiaTheme="minorEastAsia" w:hAnsiTheme="minorHAnsi" w:cstheme="minorBidi"/>
          <w:noProof/>
          <w:sz w:val="22"/>
          <w:szCs w:val="22"/>
          <w:lang w:val="es-ES_tradnl"/>
        </w:rPr>
        <w:tab/>
      </w:r>
      <w:r w:rsidRPr="00FD5703">
        <w:rPr>
          <w:noProof/>
          <w:lang w:val="es-ES_tradnl"/>
        </w:rPr>
        <w:t>Fotografías</w:t>
      </w:r>
      <w:r w:rsidRPr="00FD5703">
        <w:rPr>
          <w:noProof/>
          <w:lang w:val="es-ES_tradnl"/>
        </w:rPr>
        <w:tab/>
      </w:r>
      <w:r w:rsidRPr="00FD5703">
        <w:rPr>
          <w:noProof/>
          <w:lang w:val="es-ES_tradnl"/>
        </w:rPr>
        <w:fldChar w:fldCharType="begin"/>
      </w:r>
      <w:r w:rsidRPr="00FD5703">
        <w:rPr>
          <w:noProof/>
          <w:lang w:val="es-ES_tradnl"/>
        </w:rPr>
        <w:instrText xml:space="preserve"> PAGEREF _Toc381177130 \h </w:instrText>
      </w:r>
      <w:r w:rsidRPr="00FD5703">
        <w:rPr>
          <w:noProof/>
          <w:lang w:val="es-ES_tradnl"/>
        </w:rPr>
      </w:r>
      <w:r w:rsidRPr="00FD5703">
        <w:rPr>
          <w:noProof/>
          <w:lang w:val="es-ES_tradnl"/>
        </w:rPr>
        <w:fldChar w:fldCharType="separate"/>
      </w:r>
      <w:r w:rsidR="004D3AF2">
        <w:rPr>
          <w:noProof/>
          <w:lang w:val="es-ES_tradnl"/>
        </w:rPr>
        <w:t>10</w:t>
      </w:r>
      <w:r w:rsidRPr="00FD5703">
        <w:rPr>
          <w:noProof/>
          <w:lang w:val="es-ES_tradnl"/>
        </w:rPr>
        <w:fldChar w:fldCharType="end"/>
      </w:r>
    </w:p>
    <w:p w:rsidR="00C47CD7" w:rsidRPr="00FD5703" w:rsidRDefault="00C47CD7">
      <w:pPr>
        <w:pStyle w:val="TOC3"/>
        <w:tabs>
          <w:tab w:val="left" w:pos="738"/>
        </w:tabs>
        <w:rPr>
          <w:rFonts w:asciiTheme="minorHAnsi" w:eastAsiaTheme="minorEastAsia" w:hAnsiTheme="minorHAnsi" w:cstheme="minorBidi"/>
          <w:noProof/>
          <w:sz w:val="22"/>
          <w:szCs w:val="22"/>
          <w:lang w:val="es-ES_tradnl"/>
        </w:rPr>
      </w:pPr>
      <w:r w:rsidRPr="00FD5703">
        <w:rPr>
          <w:noProof/>
          <w:snapToGrid w:val="0"/>
          <w:lang w:val="es-ES_tradnl"/>
        </w:rPr>
        <w:t>b)</w:t>
      </w:r>
      <w:r w:rsidRPr="00FD5703">
        <w:rPr>
          <w:rFonts w:asciiTheme="minorHAnsi" w:eastAsiaTheme="minorEastAsia" w:hAnsiTheme="minorHAnsi" w:cstheme="minorBidi"/>
          <w:noProof/>
          <w:sz w:val="22"/>
          <w:szCs w:val="22"/>
          <w:lang w:val="es-ES_tradnl"/>
        </w:rPr>
        <w:tab/>
      </w:r>
      <w:r w:rsidRPr="00FD5703">
        <w:rPr>
          <w:noProof/>
          <w:snapToGrid w:val="0"/>
          <w:lang w:val="es-ES_tradnl"/>
        </w:rPr>
        <w:t>Tamaño mínimo de muestra</w:t>
      </w:r>
      <w:r w:rsidRPr="00FD5703">
        <w:rPr>
          <w:noProof/>
          <w:lang w:val="es-ES_tradnl"/>
        </w:rPr>
        <w:tab/>
      </w:r>
      <w:r w:rsidRPr="00FD5703">
        <w:rPr>
          <w:noProof/>
          <w:lang w:val="es-ES_tradnl"/>
        </w:rPr>
        <w:fldChar w:fldCharType="begin"/>
      </w:r>
      <w:r w:rsidRPr="00FD5703">
        <w:rPr>
          <w:noProof/>
          <w:lang w:val="es-ES_tradnl"/>
        </w:rPr>
        <w:instrText xml:space="preserve"> PAGEREF _Toc381177131 \h </w:instrText>
      </w:r>
      <w:r w:rsidRPr="00FD5703">
        <w:rPr>
          <w:noProof/>
          <w:lang w:val="es-ES_tradnl"/>
        </w:rPr>
      </w:r>
      <w:r w:rsidRPr="00FD5703">
        <w:rPr>
          <w:noProof/>
          <w:lang w:val="es-ES_tradnl"/>
        </w:rPr>
        <w:fldChar w:fldCharType="separate"/>
      </w:r>
      <w:r w:rsidR="004D3AF2">
        <w:rPr>
          <w:noProof/>
          <w:lang w:val="es-ES_tradnl"/>
        </w:rPr>
        <w:t>11</w:t>
      </w:r>
      <w:r w:rsidRPr="00FD5703">
        <w:rPr>
          <w:noProof/>
          <w:lang w:val="es-ES_tradnl"/>
        </w:rPr>
        <w:fldChar w:fldCharType="end"/>
      </w:r>
    </w:p>
    <w:p w:rsidR="00C47CD7" w:rsidRPr="00FD5703" w:rsidRDefault="00C47CD7">
      <w:pPr>
        <w:pStyle w:val="TOC3"/>
        <w:tabs>
          <w:tab w:val="left" w:pos="738"/>
        </w:tabs>
        <w:rPr>
          <w:rFonts w:asciiTheme="minorHAnsi" w:eastAsiaTheme="minorEastAsia" w:hAnsiTheme="minorHAnsi" w:cstheme="minorBidi"/>
          <w:noProof/>
          <w:sz w:val="22"/>
          <w:szCs w:val="22"/>
          <w:lang w:val="es-ES_tradnl"/>
        </w:rPr>
      </w:pPr>
      <w:r w:rsidRPr="00FD5703">
        <w:rPr>
          <w:noProof/>
          <w:lang w:val="es-ES_tradnl"/>
        </w:rPr>
        <w:t>c)</w:t>
      </w:r>
      <w:r w:rsidRPr="00FD5703">
        <w:rPr>
          <w:rFonts w:asciiTheme="minorHAnsi" w:eastAsiaTheme="minorEastAsia" w:hAnsiTheme="minorHAnsi" w:cstheme="minorBidi"/>
          <w:noProof/>
          <w:sz w:val="22"/>
          <w:szCs w:val="22"/>
          <w:lang w:val="es-ES_tradnl"/>
        </w:rPr>
        <w:tab/>
      </w:r>
      <w:r w:rsidRPr="00FD5703">
        <w:rPr>
          <w:noProof/>
          <w:snapToGrid w:val="0"/>
          <w:lang w:val="es-ES_tradnl"/>
        </w:rPr>
        <w:t>Colecciones de referencia</w:t>
      </w:r>
      <w:r w:rsidRPr="00FD5703">
        <w:rPr>
          <w:noProof/>
          <w:lang w:val="es-ES_tradnl"/>
        </w:rPr>
        <w:tab/>
      </w:r>
      <w:r w:rsidRPr="00FD5703">
        <w:rPr>
          <w:noProof/>
          <w:lang w:val="es-ES_tradnl"/>
        </w:rPr>
        <w:fldChar w:fldCharType="begin"/>
      </w:r>
      <w:r w:rsidRPr="00FD5703">
        <w:rPr>
          <w:noProof/>
          <w:lang w:val="es-ES_tradnl"/>
        </w:rPr>
        <w:instrText xml:space="preserve"> PAGEREF _Toc381177132 \h </w:instrText>
      </w:r>
      <w:r w:rsidRPr="00FD5703">
        <w:rPr>
          <w:noProof/>
          <w:lang w:val="es-ES_tradnl"/>
        </w:rPr>
      </w:r>
      <w:r w:rsidRPr="00FD5703">
        <w:rPr>
          <w:noProof/>
          <w:lang w:val="es-ES_tradnl"/>
        </w:rPr>
        <w:fldChar w:fldCharType="separate"/>
      </w:r>
      <w:r w:rsidR="004D3AF2">
        <w:rPr>
          <w:noProof/>
          <w:lang w:val="es-ES_tradnl"/>
        </w:rPr>
        <w:t>11</w:t>
      </w:r>
      <w:r w:rsidRPr="00FD5703">
        <w:rPr>
          <w:noProof/>
          <w:lang w:val="es-ES_tradnl"/>
        </w:rPr>
        <w:fldChar w:fldCharType="end"/>
      </w:r>
    </w:p>
    <w:p w:rsidR="00C47CD7" w:rsidRPr="00FD5703" w:rsidRDefault="00C47CD7">
      <w:pPr>
        <w:pStyle w:val="TOC3"/>
        <w:tabs>
          <w:tab w:val="left" w:pos="738"/>
        </w:tabs>
        <w:rPr>
          <w:rFonts w:asciiTheme="minorHAnsi" w:eastAsiaTheme="minorEastAsia" w:hAnsiTheme="minorHAnsi" w:cstheme="minorBidi"/>
          <w:noProof/>
          <w:sz w:val="22"/>
          <w:szCs w:val="22"/>
          <w:lang w:val="es-ES_tradnl"/>
        </w:rPr>
      </w:pPr>
      <w:r w:rsidRPr="00FD5703">
        <w:rPr>
          <w:noProof/>
          <w:lang w:val="es-ES_tradnl"/>
        </w:rPr>
        <w:t>d)</w:t>
      </w:r>
      <w:r w:rsidRPr="00FD5703">
        <w:rPr>
          <w:rFonts w:asciiTheme="minorHAnsi" w:eastAsiaTheme="minorEastAsia" w:hAnsiTheme="minorHAnsi" w:cstheme="minorBidi"/>
          <w:noProof/>
          <w:sz w:val="22"/>
          <w:szCs w:val="22"/>
          <w:lang w:val="es-ES_tradnl"/>
        </w:rPr>
        <w:tab/>
      </w:r>
      <w:r w:rsidRPr="00FD5703">
        <w:rPr>
          <w:noProof/>
          <w:lang w:val="es-ES_tradnl"/>
        </w:rPr>
        <w:t>Duración del examen</w:t>
      </w:r>
      <w:r w:rsidRPr="00FD5703">
        <w:rPr>
          <w:noProof/>
          <w:lang w:val="es-ES_tradnl"/>
        </w:rPr>
        <w:tab/>
      </w:r>
      <w:r w:rsidRPr="00FD5703">
        <w:rPr>
          <w:noProof/>
          <w:lang w:val="es-ES_tradnl"/>
        </w:rPr>
        <w:fldChar w:fldCharType="begin"/>
      </w:r>
      <w:r w:rsidRPr="00FD5703">
        <w:rPr>
          <w:noProof/>
          <w:lang w:val="es-ES_tradnl"/>
        </w:rPr>
        <w:instrText xml:space="preserve"> PAGEREF _Toc381177133 \h </w:instrText>
      </w:r>
      <w:r w:rsidRPr="00FD5703">
        <w:rPr>
          <w:noProof/>
          <w:lang w:val="es-ES_tradnl"/>
        </w:rPr>
      </w:r>
      <w:r w:rsidRPr="00FD5703">
        <w:rPr>
          <w:noProof/>
          <w:lang w:val="es-ES_tradnl"/>
        </w:rPr>
        <w:fldChar w:fldCharType="separate"/>
      </w:r>
      <w:r w:rsidR="004D3AF2">
        <w:rPr>
          <w:noProof/>
          <w:lang w:val="es-ES_tradnl"/>
        </w:rPr>
        <w:t>12</w:t>
      </w:r>
      <w:r w:rsidRPr="00FD5703">
        <w:rPr>
          <w:noProof/>
          <w:lang w:val="es-ES_tradnl"/>
        </w:rPr>
        <w:fldChar w:fldCharType="end"/>
      </w:r>
    </w:p>
    <w:p w:rsidR="00C47CD7" w:rsidRPr="00FD5703" w:rsidRDefault="00C47CD7">
      <w:pPr>
        <w:pStyle w:val="TOC3"/>
        <w:tabs>
          <w:tab w:val="left" w:pos="738"/>
        </w:tabs>
        <w:rPr>
          <w:rFonts w:asciiTheme="minorHAnsi" w:eastAsiaTheme="minorEastAsia" w:hAnsiTheme="minorHAnsi" w:cstheme="minorBidi"/>
          <w:noProof/>
          <w:sz w:val="22"/>
          <w:szCs w:val="22"/>
          <w:lang w:val="es-ES_tradnl"/>
        </w:rPr>
      </w:pPr>
      <w:r w:rsidRPr="00FD5703">
        <w:rPr>
          <w:noProof/>
          <w:snapToGrid w:val="0"/>
          <w:lang w:val="es-ES_tradnl"/>
        </w:rPr>
        <w:t>e)</w:t>
      </w:r>
      <w:r w:rsidRPr="00FD5703">
        <w:rPr>
          <w:rFonts w:asciiTheme="minorHAnsi" w:eastAsiaTheme="minorEastAsia" w:hAnsiTheme="minorHAnsi" w:cstheme="minorBidi"/>
          <w:noProof/>
          <w:sz w:val="22"/>
          <w:szCs w:val="22"/>
          <w:lang w:val="es-ES_tradnl"/>
        </w:rPr>
        <w:tab/>
      </w:r>
      <w:r w:rsidRPr="00FD5703">
        <w:rPr>
          <w:noProof/>
          <w:snapToGrid w:val="0"/>
          <w:lang w:val="es-ES_tradnl"/>
        </w:rPr>
        <w:t>Descripciones de variedades: variedades más similares</w:t>
      </w:r>
      <w:r w:rsidRPr="00FD5703">
        <w:rPr>
          <w:noProof/>
          <w:lang w:val="es-ES_tradnl"/>
        </w:rPr>
        <w:tab/>
      </w:r>
      <w:r w:rsidRPr="00FD5703">
        <w:rPr>
          <w:noProof/>
          <w:lang w:val="es-ES_tradnl"/>
        </w:rPr>
        <w:fldChar w:fldCharType="begin"/>
      </w:r>
      <w:r w:rsidRPr="00FD5703">
        <w:rPr>
          <w:noProof/>
          <w:lang w:val="es-ES_tradnl"/>
        </w:rPr>
        <w:instrText xml:space="preserve"> PAGEREF _Toc381177134 \h </w:instrText>
      </w:r>
      <w:r w:rsidRPr="00FD5703">
        <w:rPr>
          <w:noProof/>
          <w:lang w:val="es-ES_tradnl"/>
        </w:rPr>
      </w:r>
      <w:r w:rsidRPr="00FD5703">
        <w:rPr>
          <w:noProof/>
          <w:lang w:val="es-ES_tradnl"/>
        </w:rPr>
        <w:fldChar w:fldCharType="separate"/>
      </w:r>
      <w:r w:rsidR="004D3AF2">
        <w:rPr>
          <w:noProof/>
          <w:lang w:val="es-ES_tradnl"/>
        </w:rPr>
        <w:t>12</w:t>
      </w:r>
      <w:r w:rsidRPr="00FD5703">
        <w:rPr>
          <w:noProof/>
          <w:lang w:val="es-ES_tradnl"/>
        </w:rPr>
        <w:fldChar w:fldCharType="end"/>
      </w:r>
    </w:p>
    <w:p w:rsidR="00C47CD7" w:rsidRPr="00FD5703" w:rsidRDefault="00C47CD7">
      <w:pPr>
        <w:pStyle w:val="TOC3"/>
        <w:tabs>
          <w:tab w:val="left" w:pos="738"/>
        </w:tabs>
        <w:rPr>
          <w:rFonts w:asciiTheme="minorHAnsi" w:eastAsiaTheme="minorEastAsia" w:hAnsiTheme="minorHAnsi" w:cstheme="minorBidi"/>
          <w:noProof/>
          <w:sz w:val="22"/>
          <w:szCs w:val="22"/>
          <w:lang w:val="es-ES_tradnl"/>
        </w:rPr>
      </w:pPr>
      <w:r w:rsidRPr="00FD5703">
        <w:rPr>
          <w:noProof/>
          <w:lang w:val="es-ES_tradnl"/>
        </w:rPr>
        <w:t>f)</w:t>
      </w:r>
      <w:r w:rsidRPr="00FD5703">
        <w:rPr>
          <w:rFonts w:asciiTheme="minorHAnsi" w:eastAsiaTheme="minorEastAsia" w:hAnsiTheme="minorHAnsi" w:cstheme="minorBidi"/>
          <w:noProof/>
          <w:sz w:val="22"/>
          <w:szCs w:val="22"/>
          <w:lang w:val="es-ES_tradnl"/>
        </w:rPr>
        <w:tab/>
      </w:r>
      <w:r w:rsidRPr="00FD5703">
        <w:rPr>
          <w:noProof/>
          <w:lang w:val="es-ES_tradnl"/>
        </w:rPr>
        <w:t>Descripción de la variedad por parte del solicitante</w:t>
      </w:r>
      <w:r w:rsidRPr="00FD5703">
        <w:rPr>
          <w:noProof/>
          <w:lang w:val="es-ES_tradnl"/>
        </w:rPr>
        <w:tab/>
      </w:r>
      <w:r w:rsidRPr="00FD5703">
        <w:rPr>
          <w:noProof/>
          <w:lang w:val="es-ES_tradnl"/>
        </w:rPr>
        <w:fldChar w:fldCharType="begin"/>
      </w:r>
      <w:r w:rsidRPr="00FD5703">
        <w:rPr>
          <w:noProof/>
          <w:lang w:val="es-ES_tradnl"/>
        </w:rPr>
        <w:instrText xml:space="preserve"> PAGEREF _Toc381177135 \h </w:instrText>
      </w:r>
      <w:r w:rsidRPr="00FD5703">
        <w:rPr>
          <w:noProof/>
          <w:lang w:val="es-ES_tradnl"/>
        </w:rPr>
      </w:r>
      <w:r w:rsidRPr="00FD5703">
        <w:rPr>
          <w:noProof/>
          <w:lang w:val="es-ES_tradnl"/>
        </w:rPr>
        <w:fldChar w:fldCharType="separate"/>
      </w:r>
      <w:r w:rsidR="004D3AF2">
        <w:rPr>
          <w:noProof/>
          <w:lang w:val="es-ES_tradnl"/>
        </w:rPr>
        <w:t>13</w:t>
      </w:r>
      <w:r w:rsidRPr="00FD5703">
        <w:rPr>
          <w:noProof/>
          <w:lang w:val="es-ES_tradnl"/>
        </w:rPr>
        <w:fldChar w:fldCharType="end"/>
      </w:r>
    </w:p>
    <w:p w:rsidR="00C47CD7" w:rsidRPr="00FD5703" w:rsidRDefault="00C47CD7">
      <w:pPr>
        <w:pStyle w:val="TOC3"/>
        <w:tabs>
          <w:tab w:val="left" w:pos="738"/>
        </w:tabs>
        <w:rPr>
          <w:rFonts w:asciiTheme="minorHAnsi" w:eastAsiaTheme="minorEastAsia" w:hAnsiTheme="minorHAnsi" w:cstheme="minorBidi"/>
          <w:noProof/>
          <w:sz w:val="22"/>
          <w:szCs w:val="22"/>
          <w:lang w:val="es-ES_tradnl"/>
        </w:rPr>
      </w:pPr>
      <w:r w:rsidRPr="00FD5703">
        <w:rPr>
          <w:noProof/>
          <w:lang w:val="es-ES_tradnl"/>
        </w:rPr>
        <w:t>g)</w:t>
      </w:r>
      <w:r w:rsidRPr="00FD5703">
        <w:rPr>
          <w:rFonts w:asciiTheme="minorHAnsi" w:eastAsiaTheme="minorEastAsia" w:hAnsiTheme="minorHAnsi" w:cstheme="minorBidi"/>
          <w:noProof/>
          <w:sz w:val="22"/>
          <w:szCs w:val="22"/>
          <w:lang w:val="es-ES_tradnl"/>
        </w:rPr>
        <w:tab/>
      </w:r>
      <w:r w:rsidRPr="00FD5703">
        <w:rPr>
          <w:noProof/>
          <w:lang w:val="es-ES_tradnl"/>
        </w:rPr>
        <w:t>Bases de datos de descripciones de variedades</w:t>
      </w:r>
      <w:r w:rsidRPr="00FD5703">
        <w:rPr>
          <w:noProof/>
          <w:lang w:val="es-ES_tradnl"/>
        </w:rPr>
        <w:tab/>
      </w:r>
      <w:r w:rsidRPr="00FD5703">
        <w:rPr>
          <w:noProof/>
          <w:lang w:val="es-ES_tradnl"/>
        </w:rPr>
        <w:fldChar w:fldCharType="begin"/>
      </w:r>
      <w:r w:rsidRPr="00FD5703">
        <w:rPr>
          <w:noProof/>
          <w:lang w:val="es-ES_tradnl"/>
        </w:rPr>
        <w:instrText xml:space="preserve"> PAGEREF _Toc381177136 \h </w:instrText>
      </w:r>
      <w:r w:rsidRPr="00FD5703">
        <w:rPr>
          <w:noProof/>
          <w:lang w:val="es-ES_tradnl"/>
        </w:rPr>
      </w:r>
      <w:r w:rsidRPr="00FD5703">
        <w:rPr>
          <w:noProof/>
          <w:lang w:val="es-ES_tradnl"/>
        </w:rPr>
        <w:fldChar w:fldCharType="separate"/>
      </w:r>
      <w:r w:rsidR="004D3AF2">
        <w:rPr>
          <w:noProof/>
          <w:lang w:val="es-ES_tradnl"/>
        </w:rPr>
        <w:t>13</w:t>
      </w:r>
      <w:r w:rsidRPr="00FD5703">
        <w:rPr>
          <w:noProof/>
          <w:lang w:val="es-ES_tradnl"/>
        </w:rPr>
        <w:fldChar w:fldCharType="end"/>
      </w:r>
    </w:p>
    <w:p w:rsidR="00C47CD7" w:rsidRPr="00FD5703" w:rsidRDefault="00C47CD7">
      <w:pPr>
        <w:pStyle w:val="TOC1"/>
        <w:rPr>
          <w:rFonts w:asciiTheme="minorHAnsi" w:eastAsiaTheme="minorEastAsia" w:hAnsiTheme="minorHAnsi" w:cstheme="minorBidi"/>
          <w:caps w:val="0"/>
          <w:noProof/>
          <w:sz w:val="22"/>
          <w:szCs w:val="22"/>
          <w:lang w:val="es-ES_tradnl"/>
        </w:rPr>
      </w:pPr>
      <w:r w:rsidRPr="00FD5703">
        <w:rPr>
          <w:noProof/>
          <w:lang w:val="es-ES_tradnl"/>
        </w:rPr>
        <w:t>PLANTILLA EN INTERNET DE LOS DOCUMENTOS TG</w:t>
      </w:r>
      <w:r w:rsidRPr="00FD5703">
        <w:rPr>
          <w:noProof/>
          <w:lang w:val="es-ES_tradnl"/>
        </w:rPr>
        <w:tab/>
      </w:r>
      <w:r w:rsidRPr="00FD5703">
        <w:rPr>
          <w:noProof/>
          <w:lang w:val="es-ES_tradnl"/>
        </w:rPr>
        <w:fldChar w:fldCharType="begin"/>
      </w:r>
      <w:r w:rsidRPr="00FD5703">
        <w:rPr>
          <w:noProof/>
          <w:lang w:val="es-ES_tradnl"/>
        </w:rPr>
        <w:instrText xml:space="preserve"> PAGEREF _Toc381177137 \h </w:instrText>
      </w:r>
      <w:r w:rsidRPr="00FD5703">
        <w:rPr>
          <w:noProof/>
          <w:lang w:val="es-ES_tradnl"/>
        </w:rPr>
      </w:r>
      <w:r w:rsidRPr="00FD5703">
        <w:rPr>
          <w:noProof/>
          <w:lang w:val="es-ES_tradnl"/>
        </w:rPr>
        <w:fldChar w:fldCharType="separate"/>
      </w:r>
      <w:r w:rsidR="004D3AF2">
        <w:rPr>
          <w:noProof/>
          <w:lang w:val="es-ES_tradnl"/>
        </w:rPr>
        <w:t>14</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Versión 1</w:t>
      </w:r>
      <w:r w:rsidRPr="00FD5703">
        <w:rPr>
          <w:noProof/>
          <w:lang w:val="es-ES_tradnl"/>
        </w:rPr>
        <w:tab/>
      </w:r>
      <w:r w:rsidRPr="00FD5703">
        <w:rPr>
          <w:noProof/>
          <w:lang w:val="es-ES_tradnl"/>
        </w:rPr>
        <w:fldChar w:fldCharType="begin"/>
      </w:r>
      <w:r w:rsidRPr="00FD5703">
        <w:rPr>
          <w:noProof/>
          <w:lang w:val="es-ES_tradnl"/>
        </w:rPr>
        <w:instrText xml:space="preserve"> PAGEREF _Toc381177138 \h </w:instrText>
      </w:r>
      <w:r w:rsidRPr="00FD5703">
        <w:rPr>
          <w:noProof/>
          <w:lang w:val="es-ES_tradnl"/>
        </w:rPr>
      </w:r>
      <w:r w:rsidRPr="00FD5703">
        <w:rPr>
          <w:noProof/>
          <w:lang w:val="es-ES_tradnl"/>
        </w:rPr>
        <w:fldChar w:fldCharType="separate"/>
      </w:r>
      <w:r w:rsidR="004D3AF2">
        <w:rPr>
          <w:noProof/>
          <w:lang w:val="es-ES_tradnl"/>
        </w:rPr>
        <w:t>15</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lang w:val="es-ES_tradnl"/>
        </w:rPr>
        <w:t>Características</w:t>
      </w:r>
      <w:r w:rsidRPr="00FD5703">
        <w:rPr>
          <w:noProof/>
          <w:lang w:val="es-ES_tradnl"/>
        </w:rPr>
        <w:tab/>
      </w:r>
      <w:r w:rsidRPr="00FD5703">
        <w:rPr>
          <w:noProof/>
          <w:lang w:val="es-ES_tradnl"/>
        </w:rPr>
        <w:fldChar w:fldCharType="begin"/>
      </w:r>
      <w:r w:rsidRPr="00FD5703">
        <w:rPr>
          <w:noProof/>
          <w:lang w:val="es-ES_tradnl"/>
        </w:rPr>
        <w:instrText xml:space="preserve"> PAGEREF _Toc381177139 \h </w:instrText>
      </w:r>
      <w:r w:rsidRPr="00FD5703">
        <w:rPr>
          <w:noProof/>
          <w:lang w:val="es-ES_tradnl"/>
        </w:rPr>
      </w:r>
      <w:r w:rsidRPr="00FD5703">
        <w:rPr>
          <w:noProof/>
          <w:lang w:val="es-ES_tradnl"/>
        </w:rPr>
        <w:fldChar w:fldCharType="separate"/>
      </w:r>
      <w:r w:rsidR="004D3AF2">
        <w:rPr>
          <w:noProof/>
          <w:lang w:val="es-ES_tradnl"/>
        </w:rPr>
        <w:t>15</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snapToGrid w:val="0"/>
          <w:lang w:val="es-ES_tradnl"/>
        </w:rPr>
        <w:t>Aplicación</w:t>
      </w:r>
      <w:r w:rsidRPr="00FD5703">
        <w:rPr>
          <w:noProof/>
          <w:lang w:val="es-ES_tradnl"/>
        </w:rPr>
        <w:tab/>
      </w:r>
      <w:r w:rsidRPr="00FD5703">
        <w:rPr>
          <w:noProof/>
          <w:lang w:val="es-ES_tradnl"/>
        </w:rPr>
        <w:fldChar w:fldCharType="begin"/>
      </w:r>
      <w:r w:rsidRPr="00FD5703">
        <w:rPr>
          <w:noProof/>
          <w:lang w:val="es-ES_tradnl"/>
        </w:rPr>
        <w:instrText xml:space="preserve"> PAGEREF _Toc381177140 \h </w:instrText>
      </w:r>
      <w:r w:rsidRPr="00FD5703">
        <w:rPr>
          <w:noProof/>
          <w:lang w:val="es-ES_tradnl"/>
        </w:rPr>
      </w:r>
      <w:r w:rsidRPr="00FD5703">
        <w:rPr>
          <w:noProof/>
          <w:lang w:val="es-ES_tradnl"/>
        </w:rPr>
        <w:fldChar w:fldCharType="separate"/>
      </w:r>
      <w:r w:rsidR="004D3AF2">
        <w:rPr>
          <w:noProof/>
          <w:lang w:val="es-ES_tradnl"/>
        </w:rPr>
        <w:t>15</w:t>
      </w:r>
      <w:r w:rsidRPr="00FD5703">
        <w:rPr>
          <w:noProof/>
          <w:lang w:val="es-ES_tradnl"/>
        </w:rPr>
        <w:fldChar w:fldCharType="end"/>
      </w:r>
    </w:p>
    <w:p w:rsidR="00C47CD7" w:rsidRPr="00FD5703" w:rsidRDefault="00C47CD7">
      <w:pPr>
        <w:pStyle w:val="TOC2"/>
        <w:rPr>
          <w:rFonts w:asciiTheme="minorHAnsi" w:eastAsiaTheme="minorEastAsia" w:hAnsiTheme="minorHAnsi" w:cstheme="minorBidi"/>
          <w:smallCaps w:val="0"/>
          <w:noProof/>
          <w:sz w:val="22"/>
          <w:szCs w:val="22"/>
          <w:lang w:val="es-ES_tradnl"/>
        </w:rPr>
      </w:pPr>
      <w:r w:rsidRPr="00FD5703">
        <w:rPr>
          <w:noProof/>
          <w:lang w:val="es-ES_tradnl"/>
        </w:rPr>
        <w:t>Versión 2</w:t>
      </w:r>
      <w:r w:rsidRPr="00FD5703">
        <w:rPr>
          <w:noProof/>
          <w:lang w:val="es-ES_tradnl"/>
        </w:rPr>
        <w:tab/>
      </w:r>
      <w:r w:rsidRPr="00FD5703">
        <w:rPr>
          <w:noProof/>
          <w:lang w:val="es-ES_tradnl"/>
        </w:rPr>
        <w:fldChar w:fldCharType="begin"/>
      </w:r>
      <w:r w:rsidRPr="00FD5703">
        <w:rPr>
          <w:noProof/>
          <w:lang w:val="es-ES_tradnl"/>
        </w:rPr>
        <w:instrText xml:space="preserve"> PAGEREF _Toc381177141 \h </w:instrText>
      </w:r>
      <w:r w:rsidRPr="00FD5703">
        <w:rPr>
          <w:noProof/>
          <w:lang w:val="es-ES_tradnl"/>
        </w:rPr>
      </w:r>
      <w:r w:rsidRPr="00FD5703">
        <w:rPr>
          <w:noProof/>
          <w:lang w:val="es-ES_tradnl"/>
        </w:rPr>
        <w:fldChar w:fldCharType="separate"/>
      </w:r>
      <w:r w:rsidR="004D3AF2">
        <w:rPr>
          <w:noProof/>
          <w:lang w:val="es-ES_tradnl"/>
        </w:rPr>
        <w:t>16</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lang w:val="es-ES_tradnl"/>
        </w:rPr>
        <w:t>Traducción</w:t>
      </w:r>
      <w:r w:rsidRPr="00FD5703">
        <w:rPr>
          <w:noProof/>
          <w:lang w:val="es-ES_tradnl"/>
        </w:rPr>
        <w:tab/>
      </w:r>
      <w:r w:rsidRPr="00FD5703">
        <w:rPr>
          <w:noProof/>
          <w:lang w:val="es-ES_tradnl"/>
        </w:rPr>
        <w:fldChar w:fldCharType="begin"/>
      </w:r>
      <w:r w:rsidRPr="00FD5703">
        <w:rPr>
          <w:noProof/>
          <w:lang w:val="es-ES_tradnl"/>
        </w:rPr>
        <w:instrText xml:space="preserve"> PAGEREF _Toc381177142 \h </w:instrText>
      </w:r>
      <w:r w:rsidRPr="00FD5703">
        <w:rPr>
          <w:noProof/>
          <w:lang w:val="es-ES_tradnl"/>
        </w:rPr>
      </w:r>
      <w:r w:rsidRPr="00FD5703">
        <w:rPr>
          <w:noProof/>
          <w:lang w:val="es-ES_tradnl"/>
        </w:rPr>
        <w:fldChar w:fldCharType="separate"/>
      </w:r>
      <w:r w:rsidR="004D3AF2">
        <w:rPr>
          <w:noProof/>
          <w:lang w:val="es-ES_tradnl"/>
        </w:rPr>
        <w:t>16</w:t>
      </w:r>
      <w:r w:rsidRPr="00FD5703">
        <w:rPr>
          <w:noProof/>
          <w:lang w:val="es-ES_tradnl"/>
        </w:rPr>
        <w:fldChar w:fldCharType="end"/>
      </w:r>
    </w:p>
    <w:p w:rsidR="00C47CD7" w:rsidRPr="00FD5703" w:rsidRDefault="00C47CD7">
      <w:pPr>
        <w:pStyle w:val="TOC3"/>
        <w:rPr>
          <w:rFonts w:asciiTheme="minorHAnsi" w:eastAsiaTheme="minorEastAsia" w:hAnsiTheme="minorHAnsi" w:cstheme="minorBidi"/>
          <w:noProof/>
          <w:sz w:val="22"/>
          <w:szCs w:val="22"/>
          <w:lang w:val="es-ES_tradnl"/>
        </w:rPr>
      </w:pPr>
      <w:r w:rsidRPr="00FD5703">
        <w:rPr>
          <w:noProof/>
          <w:lang w:val="es-ES_tradnl"/>
        </w:rPr>
        <w:t>Directrices de examen propias de cada autoridad</w:t>
      </w:r>
      <w:r w:rsidRPr="00FD5703">
        <w:rPr>
          <w:noProof/>
          <w:lang w:val="es-ES_tradnl"/>
        </w:rPr>
        <w:tab/>
      </w:r>
      <w:r w:rsidRPr="00FD5703">
        <w:rPr>
          <w:noProof/>
          <w:lang w:val="es-ES_tradnl"/>
        </w:rPr>
        <w:fldChar w:fldCharType="begin"/>
      </w:r>
      <w:r w:rsidRPr="00FD5703">
        <w:rPr>
          <w:noProof/>
          <w:lang w:val="es-ES_tradnl"/>
        </w:rPr>
        <w:instrText xml:space="preserve"> PAGEREF _Toc381177143 \h </w:instrText>
      </w:r>
      <w:r w:rsidRPr="00FD5703">
        <w:rPr>
          <w:noProof/>
          <w:lang w:val="es-ES_tradnl"/>
        </w:rPr>
      </w:r>
      <w:r w:rsidRPr="00FD5703">
        <w:rPr>
          <w:noProof/>
          <w:lang w:val="es-ES_tradnl"/>
        </w:rPr>
        <w:fldChar w:fldCharType="separate"/>
      </w:r>
      <w:r w:rsidR="004D3AF2">
        <w:rPr>
          <w:noProof/>
          <w:lang w:val="es-ES_tradnl"/>
        </w:rPr>
        <w:t>16</w:t>
      </w:r>
      <w:r w:rsidRPr="00FD5703">
        <w:rPr>
          <w:noProof/>
          <w:lang w:val="es-ES_tradnl"/>
        </w:rPr>
        <w:fldChar w:fldCharType="end"/>
      </w:r>
    </w:p>
    <w:p w:rsidR="009116AF" w:rsidRPr="00FD5703" w:rsidRDefault="0099668A" w:rsidP="009C5CAD">
      <w:pPr>
        <w:pStyle w:val="TOC3"/>
        <w:rPr>
          <w:lang w:val="es-ES_tradnl"/>
        </w:rPr>
      </w:pPr>
      <w:r w:rsidRPr="00FD5703">
        <w:rPr>
          <w:lang w:val="es-ES_tradnl"/>
        </w:rPr>
        <w:fldChar w:fldCharType="end"/>
      </w:r>
    </w:p>
    <w:p w:rsidR="009116AF" w:rsidRPr="00FD5703" w:rsidRDefault="001E2337" w:rsidP="00464673">
      <w:pPr>
        <w:pStyle w:val="Heading1"/>
        <w:rPr>
          <w:rStyle w:val="BookTitle"/>
          <w:b/>
          <w:lang w:val="es-ES_tradnl"/>
        </w:rPr>
      </w:pPr>
      <w:bookmarkStart w:id="2" w:name="_Toc381177095"/>
      <w:r w:rsidRPr="00FD5703">
        <w:rPr>
          <w:rStyle w:val="BookTitle"/>
          <w:b/>
          <w:lang w:val="es-ES_tradnl"/>
        </w:rPr>
        <w:lastRenderedPageBreak/>
        <w:t>I.</w:t>
      </w:r>
      <w:r w:rsidR="006F4575" w:rsidRPr="00FD5703">
        <w:rPr>
          <w:rStyle w:val="BookTitle"/>
          <w:b/>
          <w:lang w:val="es-ES_tradnl"/>
        </w:rPr>
        <w:tab/>
      </w:r>
      <w:r w:rsidRPr="00FD5703">
        <w:rPr>
          <w:rStyle w:val="BookTitle"/>
          <w:b/>
          <w:lang w:val="es-ES_tradnl"/>
        </w:rPr>
        <w:t>CUESTIONES PARA INFORMACIÓN</w:t>
      </w:r>
      <w:bookmarkEnd w:id="2"/>
    </w:p>
    <w:p w:rsidR="009116AF" w:rsidRPr="00FD5703" w:rsidRDefault="009116AF" w:rsidP="00464673">
      <w:pPr>
        <w:pStyle w:val="Heading1"/>
        <w:rPr>
          <w:lang w:val="es-ES_tradnl"/>
        </w:rPr>
      </w:pPr>
    </w:p>
    <w:p w:rsidR="009116AF" w:rsidRPr="00FD5703" w:rsidRDefault="00AD0BD0" w:rsidP="00464673">
      <w:pPr>
        <w:pStyle w:val="Heading1"/>
        <w:rPr>
          <w:lang w:val="es-ES_tradnl"/>
        </w:rPr>
      </w:pPr>
      <w:bookmarkStart w:id="3" w:name="_Toc381177096"/>
      <w:r w:rsidRPr="00FD5703">
        <w:rPr>
          <w:lang w:val="es-ES_tradnl"/>
        </w:rPr>
        <w:t>MIEMBROS</w:t>
      </w:r>
      <w:bookmarkEnd w:id="3"/>
    </w:p>
    <w:p w:rsidR="009116AF" w:rsidRPr="00FD5703" w:rsidRDefault="009116AF" w:rsidP="009C5CAD">
      <w:pPr>
        <w:rPr>
          <w:lang w:val="es-ES_tradnl"/>
        </w:rPr>
      </w:pPr>
    </w:p>
    <w:p w:rsidR="009116AF" w:rsidRPr="00FD5703" w:rsidRDefault="00AD0BD0" w:rsidP="009C5CAD">
      <w:pPr>
        <w:pStyle w:val="Heading2"/>
        <w:keepNext w:val="0"/>
        <w:rPr>
          <w:lang w:val="es-ES_tradnl"/>
        </w:rPr>
      </w:pPr>
      <w:bookmarkStart w:id="4" w:name="_Toc381177097"/>
      <w:r w:rsidRPr="00FD5703">
        <w:rPr>
          <w:lang w:val="es-ES_tradnl"/>
        </w:rPr>
        <w:t xml:space="preserve">Miembros de la </w:t>
      </w:r>
      <w:r w:rsidR="00FD5703" w:rsidRPr="00FD5703">
        <w:rPr>
          <w:lang w:val="es-ES_tradnl"/>
        </w:rPr>
        <w:t>Unión</w:t>
      </w:r>
      <w:bookmarkEnd w:id="4"/>
    </w:p>
    <w:p w:rsidR="009116AF" w:rsidRPr="00FD5703" w:rsidRDefault="009116AF" w:rsidP="009C5CAD">
      <w:pPr>
        <w:rPr>
          <w:lang w:val="es-ES_tradnl"/>
        </w:rPr>
      </w:pPr>
    </w:p>
    <w:p w:rsidR="009116AF" w:rsidRPr="00FD5703" w:rsidRDefault="0028178C" w:rsidP="009C5CAD">
      <w:pPr>
        <w:rPr>
          <w:lang w:val="es-ES_tradnl"/>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006F4575" w:rsidRPr="00FD5703">
        <w:rPr>
          <w:snapToGrid w:val="0"/>
          <w:lang w:val="es-ES_tradnl"/>
        </w:rPr>
        <w:tab/>
      </w:r>
      <w:r w:rsidR="00FD5703">
        <w:rPr>
          <w:lang w:val="es-ES_tradnl"/>
        </w:rPr>
        <w:t xml:space="preserve">El </w:t>
      </w:r>
      <w:r w:rsidR="00AD0BD0" w:rsidRPr="00FD5703">
        <w:rPr>
          <w:lang w:val="es-ES_tradnl"/>
        </w:rPr>
        <w:t>31 de enero de 2014, la situación de los miembros de la Unión (71 en total) respecto de las distintas Actas del Convenio era la siguiente:</w:t>
      </w:r>
      <w:r w:rsidR="00D41A77" w:rsidRPr="00FD5703">
        <w:rPr>
          <w:lang w:val="es-ES_tradnl"/>
        </w:rPr>
        <w:t xml:space="preserve"> </w:t>
      </w:r>
    </w:p>
    <w:p w:rsidR="009116AF" w:rsidRPr="00FD5703" w:rsidRDefault="009116AF" w:rsidP="009C5CAD">
      <w:pPr>
        <w:rPr>
          <w:lang w:val="es-ES_tradnl"/>
        </w:rPr>
      </w:pPr>
    </w:p>
    <w:p w:rsidR="009116AF" w:rsidRPr="00FD5703" w:rsidRDefault="00D41A77" w:rsidP="009C5CAD">
      <w:pPr>
        <w:rPr>
          <w:lang w:val="es-ES_tradnl"/>
        </w:rPr>
      </w:pPr>
      <w:r w:rsidRPr="00FD5703">
        <w:rPr>
          <w:lang w:val="es-ES_tradnl"/>
        </w:rPr>
        <w:tab/>
      </w:r>
      <w:r w:rsidR="00AD0BD0" w:rsidRPr="00FD5703">
        <w:rPr>
          <w:lang w:val="es-ES_tradnl"/>
        </w:rPr>
        <w:t xml:space="preserve">a) </w:t>
      </w:r>
      <w:r w:rsidR="00815096" w:rsidRPr="00FD5703">
        <w:rPr>
          <w:lang w:val="es-ES_tradnl"/>
        </w:rPr>
        <w:tab/>
      </w:r>
      <w:r w:rsidR="00AD0BD0" w:rsidRPr="00FD5703">
        <w:rPr>
          <w:lang w:val="es-ES_tradnl"/>
        </w:rPr>
        <w:t>Bélgica estaba obligada por el Convenio de 1961 modificado por el Acta de 1972;</w:t>
      </w:r>
    </w:p>
    <w:p w:rsidR="009116AF" w:rsidRPr="00FD5703" w:rsidRDefault="009116AF" w:rsidP="009C5CAD">
      <w:pPr>
        <w:rPr>
          <w:lang w:val="es-ES_tradnl"/>
        </w:rPr>
      </w:pPr>
    </w:p>
    <w:p w:rsidR="009116AF" w:rsidRPr="00FD5703" w:rsidRDefault="00D41A77" w:rsidP="009C5CAD">
      <w:pPr>
        <w:rPr>
          <w:lang w:val="es-ES_tradnl"/>
        </w:rPr>
      </w:pPr>
      <w:r w:rsidRPr="00FD5703">
        <w:rPr>
          <w:lang w:val="es-ES_tradnl"/>
        </w:rPr>
        <w:tab/>
      </w:r>
      <w:r w:rsidR="00AD0BD0" w:rsidRPr="00FD5703">
        <w:rPr>
          <w:lang w:val="es-ES_tradnl"/>
        </w:rPr>
        <w:t xml:space="preserve">b) </w:t>
      </w:r>
      <w:r w:rsidR="00815096" w:rsidRPr="00FD5703">
        <w:rPr>
          <w:lang w:val="es-ES_tradnl"/>
        </w:rPr>
        <w:tab/>
      </w:r>
      <w:r w:rsidR="00AD0BD0" w:rsidRPr="00FD5703">
        <w:rPr>
          <w:lang w:val="es-ES_tradnl"/>
        </w:rPr>
        <w:t>19 miembros estaban obligados por el Acta de 1978, a saber</w:t>
      </w:r>
      <w:r w:rsidR="00643DA1" w:rsidRPr="00FD5703">
        <w:rPr>
          <w:lang w:val="es-ES_tradnl"/>
        </w:rPr>
        <w:t>: Argentina</w:t>
      </w:r>
      <w:r w:rsidR="00AD0BD0" w:rsidRPr="00FD5703">
        <w:rPr>
          <w:lang w:val="es-ES_tradnl"/>
        </w:rPr>
        <w:t xml:space="preserve">, Bolivia, Brasil, Canadá, Chile, China, Colombia, Ecuador, Italia, </w:t>
      </w:r>
      <w:proofErr w:type="spellStart"/>
      <w:r w:rsidR="00AD0BD0" w:rsidRPr="00FD5703">
        <w:rPr>
          <w:lang w:val="es-ES_tradnl"/>
        </w:rPr>
        <w:t>Kenya</w:t>
      </w:r>
      <w:proofErr w:type="spellEnd"/>
      <w:r w:rsidR="00AD0BD0" w:rsidRPr="00FD5703">
        <w:rPr>
          <w:lang w:val="es-ES_tradnl"/>
        </w:rPr>
        <w:t xml:space="preserve">, México, Nicaragua, Noruega, Nueva Zelandia, Paraguay, Portugal, Sudáfrica, Trinidad y </w:t>
      </w:r>
      <w:proofErr w:type="spellStart"/>
      <w:r w:rsidR="00AD0BD0" w:rsidRPr="00FD5703">
        <w:rPr>
          <w:lang w:val="es-ES_tradnl"/>
        </w:rPr>
        <w:t>Tabago</w:t>
      </w:r>
      <w:proofErr w:type="spellEnd"/>
      <w:r w:rsidR="00AD0BD0" w:rsidRPr="00FD5703">
        <w:rPr>
          <w:lang w:val="es-ES_tradnl"/>
        </w:rPr>
        <w:t xml:space="preserve"> y Uruguay;</w:t>
      </w:r>
    </w:p>
    <w:p w:rsidR="009116AF" w:rsidRPr="00FD5703" w:rsidRDefault="009116AF" w:rsidP="009C5CAD">
      <w:pPr>
        <w:rPr>
          <w:lang w:val="es-ES_tradnl"/>
        </w:rPr>
      </w:pPr>
    </w:p>
    <w:p w:rsidR="009116AF" w:rsidRPr="00FD5703" w:rsidRDefault="00D41A77" w:rsidP="009C5CAD">
      <w:pPr>
        <w:rPr>
          <w:lang w:val="es-ES_tradnl"/>
        </w:rPr>
      </w:pPr>
      <w:r w:rsidRPr="00FD5703">
        <w:rPr>
          <w:lang w:val="es-ES_tradnl"/>
        </w:rPr>
        <w:tab/>
      </w:r>
      <w:r w:rsidR="00AD0BD0" w:rsidRPr="00FD5703">
        <w:rPr>
          <w:lang w:val="es-ES_tradnl"/>
        </w:rPr>
        <w:t xml:space="preserve">c) </w:t>
      </w:r>
      <w:r w:rsidR="00815096" w:rsidRPr="00FD5703">
        <w:rPr>
          <w:lang w:val="es-ES_tradnl"/>
        </w:rPr>
        <w:tab/>
      </w:r>
      <w:r w:rsidR="00AD0BD0" w:rsidRPr="00FD5703">
        <w:rPr>
          <w:lang w:val="es-ES_tradnl"/>
        </w:rPr>
        <w:t xml:space="preserve">51 miembros estaban obligados por el Acta de 1991, a saber:  Albania, Alemania, Australia, Austria, Azerbaiyán, </w:t>
      </w:r>
      <w:proofErr w:type="spellStart"/>
      <w:r w:rsidR="00AD0BD0" w:rsidRPr="00FD5703">
        <w:rPr>
          <w:lang w:val="es-ES_tradnl"/>
        </w:rPr>
        <w:t>Belarús</w:t>
      </w:r>
      <w:proofErr w:type="spellEnd"/>
      <w:r w:rsidR="00AD0BD0" w:rsidRPr="00FD5703">
        <w:rPr>
          <w:lang w:val="es-ES_tradnl"/>
        </w:rPr>
        <w:t xml:space="preserve">, Bulgaria, Costa Rica, Croacia, Dinamarca, Eslovaquia, Eslovenia, España, Estados Unidos de América, Estonia, ex República Yugoslava de Macedonia, Federación de Rusia, Finlandia, Francia, Georgia, Hungría, Irlanda, Islandia, Israel, Japón, Jordania, Kirguistán, Letonia, Lituania, Marruecos, Omán, Países Bajos, Panamá, Perú, Polonia, Reino Unido, República Checa, República de Corea, República de </w:t>
      </w:r>
      <w:proofErr w:type="spellStart"/>
      <w:r w:rsidR="00AD0BD0" w:rsidRPr="00FD5703">
        <w:rPr>
          <w:lang w:val="es-ES_tradnl"/>
        </w:rPr>
        <w:t>Moldova</w:t>
      </w:r>
      <w:proofErr w:type="spellEnd"/>
      <w:r w:rsidR="00AD0BD0" w:rsidRPr="00FD5703">
        <w:rPr>
          <w:lang w:val="es-ES_tradnl"/>
        </w:rPr>
        <w:t xml:space="preserve">, República Dominicana, Rumania, Serbia, Singapur, Suecia, Suiza, Túnez, Turquía, Ucrania, Unión Europea, Uzbekistán y </w:t>
      </w:r>
      <w:proofErr w:type="spellStart"/>
      <w:r w:rsidR="00AD0BD0" w:rsidRPr="00FD5703">
        <w:rPr>
          <w:lang w:val="es-ES_tradnl"/>
        </w:rPr>
        <w:t>Viet</w:t>
      </w:r>
      <w:proofErr w:type="spellEnd"/>
      <w:r w:rsidR="00AD0BD0" w:rsidRPr="00FD5703">
        <w:rPr>
          <w:lang w:val="es-ES_tradnl"/>
        </w:rPr>
        <w:t> </w:t>
      </w:r>
      <w:proofErr w:type="spellStart"/>
      <w:r w:rsidR="00AD0BD0" w:rsidRPr="00FD5703">
        <w:rPr>
          <w:lang w:val="es-ES_tradnl"/>
        </w:rPr>
        <w:t>Nam</w:t>
      </w:r>
      <w:proofErr w:type="spellEnd"/>
      <w:r w:rsidR="00AD0BD0" w:rsidRPr="00FD5703">
        <w:rPr>
          <w:lang w:val="es-ES_tradnl"/>
        </w:rPr>
        <w:t>.</w:t>
      </w:r>
    </w:p>
    <w:p w:rsidR="009116AF" w:rsidRPr="00FD5703" w:rsidRDefault="009116AF" w:rsidP="009C5CAD">
      <w:pPr>
        <w:rPr>
          <w:lang w:val="es-ES_tradnl"/>
        </w:rPr>
      </w:pPr>
    </w:p>
    <w:p w:rsidR="009116AF" w:rsidRPr="00FD5703" w:rsidRDefault="009116AF" w:rsidP="009C5CAD">
      <w:pPr>
        <w:rPr>
          <w:lang w:val="es-ES_tradnl"/>
        </w:rPr>
      </w:pPr>
    </w:p>
    <w:p w:rsidR="009116AF" w:rsidRPr="00FD5703" w:rsidRDefault="003B192D" w:rsidP="009C5CAD">
      <w:pPr>
        <w:pStyle w:val="Heading2"/>
        <w:keepNext w:val="0"/>
        <w:rPr>
          <w:lang w:val="es-ES_tradnl"/>
        </w:rPr>
      </w:pPr>
      <w:bookmarkStart w:id="5" w:name="_Toc381177098"/>
      <w:r w:rsidRPr="00FD5703">
        <w:rPr>
          <w:lang w:val="es-ES_tradnl"/>
        </w:rPr>
        <w:t>Examen de la legislación</w:t>
      </w:r>
      <w:bookmarkEnd w:id="5"/>
    </w:p>
    <w:p w:rsidR="009116AF" w:rsidRPr="00FD5703" w:rsidRDefault="009116AF" w:rsidP="009C5CAD">
      <w:pPr>
        <w:rPr>
          <w:lang w:val="es-ES_tradnl"/>
        </w:rPr>
      </w:pPr>
    </w:p>
    <w:p w:rsidR="009116AF" w:rsidRPr="00FD5703" w:rsidRDefault="003B192D" w:rsidP="009C5CAD">
      <w:pPr>
        <w:pStyle w:val="Heading3"/>
        <w:rPr>
          <w:lang w:val="es-ES_tradnl"/>
        </w:rPr>
      </w:pPr>
      <w:bookmarkStart w:id="6" w:name="_Toc381177099"/>
      <w:r w:rsidRPr="00FD5703">
        <w:rPr>
          <w:lang w:val="es-ES_tradnl"/>
        </w:rPr>
        <w:t>Zanzí</w:t>
      </w:r>
      <w:r w:rsidR="00D41A77" w:rsidRPr="00FD5703">
        <w:rPr>
          <w:lang w:val="es-ES_tradnl"/>
        </w:rPr>
        <w:t>bar</w:t>
      </w:r>
      <w:bookmarkEnd w:id="6"/>
    </w:p>
    <w:p w:rsidR="009116AF" w:rsidRPr="00FD5703" w:rsidRDefault="009116AF" w:rsidP="009C5CAD">
      <w:pPr>
        <w:rPr>
          <w:lang w:val="es-ES_tradnl"/>
        </w:rPr>
      </w:pPr>
    </w:p>
    <w:p w:rsidR="009116AF" w:rsidRPr="00FD5703" w:rsidRDefault="00D41A77"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3B192D" w:rsidRPr="00FD5703">
        <w:rPr>
          <w:lang w:val="es-ES_tradnl"/>
        </w:rPr>
        <w:t>El Consejo, en su trigésima sesión extraordinaria, celebrada en Ginebra el 22 de marzo de 2013, examinó la conformidad del proyecto de Ley de Derechos de Obtentor para Zanzíbar con el Acta de 1991 del Convenio de la UPOV.</w:t>
      </w:r>
      <w:r w:rsidRPr="00FD5703">
        <w:rPr>
          <w:lang w:val="es-ES_tradnl"/>
        </w:rPr>
        <w:t xml:space="preserve">  </w:t>
      </w:r>
      <w:r w:rsidR="003B192D" w:rsidRPr="00FD5703">
        <w:rPr>
          <w:lang w:val="es-ES_tradnl"/>
        </w:rPr>
        <w:t xml:space="preserve">El Consejo decidió, con sujeción a la incorporación en el proyecto de Ley sobre los Derechos de Obtentor para Zanzíbar de ciertas modificaciones y sin cambios adicionales, tomar una decisión positiva en relación con la conformidad del proyecto de Ley </w:t>
      </w:r>
      <w:r w:rsidR="003B192D" w:rsidRPr="00FD5703">
        <w:rPr>
          <w:color w:val="000000"/>
          <w:lang w:val="es-ES_tradnl"/>
        </w:rPr>
        <w:t xml:space="preserve">de Derechos de Obtentor para Zanzíbar con las disposiciones del Acta de 1991 del Convenio Internacional para la Protección de las Obtenciones Vegetales. </w:t>
      </w:r>
      <w:r w:rsidR="00486B2C" w:rsidRPr="00FD5703">
        <w:rPr>
          <w:color w:val="000000"/>
          <w:lang w:val="es-ES_tradnl"/>
        </w:rPr>
        <w:t xml:space="preserve">Asimismo, el Consejo decidió </w:t>
      </w:r>
      <w:r w:rsidR="00680754" w:rsidRPr="00FD5703">
        <w:rPr>
          <w:color w:val="000000"/>
          <w:lang w:val="es-ES_tradnl"/>
        </w:rPr>
        <w:t xml:space="preserve">informar al Gobierno de la República Unida de </w:t>
      </w:r>
      <w:proofErr w:type="spellStart"/>
      <w:r w:rsidR="00680754" w:rsidRPr="00FD5703">
        <w:rPr>
          <w:color w:val="000000"/>
          <w:lang w:val="es-ES_tradnl"/>
        </w:rPr>
        <w:t>Tanzanía</w:t>
      </w:r>
      <w:proofErr w:type="spellEnd"/>
      <w:r w:rsidR="00680754" w:rsidRPr="00FD5703">
        <w:rPr>
          <w:color w:val="000000"/>
          <w:lang w:val="es-ES_tradnl"/>
        </w:rPr>
        <w:t xml:space="preserve"> de que, a reserva de que las modificaciones recomendadas por el Consejo se incorporen en el proyecto de Ley sobre los Derechos de Obtentor para Zanzíbar y el proyecto de Ley se apruebe sin cambios adicionales, el instrumento de adhesión de la República Unida de </w:t>
      </w:r>
      <w:proofErr w:type="spellStart"/>
      <w:r w:rsidR="00680754" w:rsidRPr="00FD5703">
        <w:rPr>
          <w:color w:val="000000"/>
          <w:lang w:val="es-ES_tradnl"/>
        </w:rPr>
        <w:t>Tanzanía</w:t>
      </w:r>
      <w:proofErr w:type="spellEnd"/>
      <w:r w:rsidR="00680754" w:rsidRPr="00FD5703">
        <w:rPr>
          <w:color w:val="000000"/>
          <w:lang w:val="es-ES_tradnl"/>
        </w:rPr>
        <w:t xml:space="preserve"> podrá ser depositado (véase el párrafo 13 del documento </w:t>
      </w:r>
      <w:r w:rsidR="00643DA1" w:rsidRPr="00FD5703">
        <w:rPr>
          <w:color w:val="000000"/>
          <w:lang w:val="es-ES_tradnl"/>
        </w:rPr>
        <w:t>C (</w:t>
      </w:r>
      <w:proofErr w:type="spellStart"/>
      <w:r w:rsidR="00680754" w:rsidRPr="00FD5703">
        <w:rPr>
          <w:color w:val="000000"/>
          <w:lang w:val="es-ES_tradnl"/>
        </w:rPr>
        <w:t>Extr</w:t>
      </w:r>
      <w:proofErr w:type="spellEnd"/>
      <w:r w:rsidR="00680754" w:rsidRPr="00FD5703">
        <w:rPr>
          <w:color w:val="000000"/>
          <w:lang w:val="es-ES_tradnl"/>
        </w:rPr>
        <w:t xml:space="preserve">.)/30/4 </w:t>
      </w:r>
      <w:r w:rsidR="009C5CAD" w:rsidRPr="00FD5703">
        <w:rPr>
          <w:color w:val="000000"/>
          <w:lang w:val="es-ES_tradnl"/>
        </w:rPr>
        <w:t>“</w:t>
      </w:r>
      <w:r w:rsidR="00680754" w:rsidRPr="00FD5703">
        <w:rPr>
          <w:color w:val="000000"/>
          <w:lang w:val="es-ES_tradnl"/>
        </w:rPr>
        <w:t>Informe</w:t>
      </w:r>
      <w:r w:rsidR="009C5CAD" w:rsidRPr="00FD5703">
        <w:rPr>
          <w:color w:val="000000"/>
          <w:lang w:val="es-ES_tradnl"/>
        </w:rPr>
        <w:t>”</w:t>
      </w:r>
      <w:r w:rsidR="00680754" w:rsidRPr="00FD5703">
        <w:rPr>
          <w:color w:val="000000"/>
          <w:lang w:val="es-ES_tradnl"/>
        </w:rPr>
        <w:t xml:space="preserve">). </w:t>
      </w:r>
    </w:p>
    <w:p w:rsidR="009116AF" w:rsidRPr="00FD5703" w:rsidRDefault="009116AF" w:rsidP="009C5CAD">
      <w:pPr>
        <w:rPr>
          <w:lang w:val="es-ES_tradnl"/>
        </w:rPr>
      </w:pPr>
    </w:p>
    <w:p w:rsidR="009116AF" w:rsidRPr="00FD5703" w:rsidRDefault="00680754" w:rsidP="009C5CAD">
      <w:pPr>
        <w:pStyle w:val="Heading3"/>
        <w:rPr>
          <w:lang w:val="es-ES_tradnl"/>
        </w:rPr>
      </w:pPr>
      <w:bookmarkStart w:id="7" w:name="_Toc381177100"/>
      <w:r w:rsidRPr="00FD5703">
        <w:rPr>
          <w:lang w:val="es-ES_tradnl"/>
        </w:rPr>
        <w:t>Bosnia y Herzegovina</w:t>
      </w:r>
      <w:bookmarkEnd w:id="7"/>
    </w:p>
    <w:p w:rsidR="009116AF" w:rsidRPr="00FD5703" w:rsidRDefault="009116AF" w:rsidP="009C5CAD">
      <w:pPr>
        <w:rPr>
          <w:lang w:val="es-ES_tradnl"/>
        </w:rPr>
      </w:pPr>
    </w:p>
    <w:p w:rsidR="009116AF" w:rsidRPr="00FD5703" w:rsidRDefault="00D41A77"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3B1DE6" w:rsidRPr="00FD5703">
        <w:rPr>
          <w:color w:val="000000"/>
          <w:lang w:val="es-ES_tradnl"/>
        </w:rPr>
        <w:t>En su cuadragésima séptima sesión ordinaria, celebrada en Ginebra, el 24 de octubre de 2013, el Consejo tomó una decisión favorable acerca de la conformidad de la Ley de Protección de las</w:t>
      </w:r>
      <w:r w:rsidR="003B1DE6" w:rsidRPr="00FD5703">
        <w:rPr>
          <w:color w:val="000000"/>
          <w:lang w:val="es-ES_tradnl"/>
        </w:rPr>
        <w:br/>
        <w:t xml:space="preserve">Obtenciones Vegetales de Bosnia y Herzegovina con las disposiciones del Acta de 1991 del Convenio Internacional para la Protección de las Obtenciones Vegetales, lo que permite a Bosnia y Herzegovina depositar su instrumento de adhesión al Acta de 1991 (véanse los párrafos 8 a 11 del documento C/47/19 </w:t>
      </w:r>
      <w:r w:rsidR="009C5CAD" w:rsidRPr="00FD5703">
        <w:rPr>
          <w:color w:val="000000"/>
          <w:lang w:val="es-ES_tradnl"/>
        </w:rPr>
        <w:t>“</w:t>
      </w:r>
      <w:r w:rsidR="003B1DE6" w:rsidRPr="00FD5703">
        <w:rPr>
          <w:color w:val="000000"/>
          <w:lang w:val="es-ES_tradnl"/>
        </w:rPr>
        <w:t>Informe sobre las decisiones</w:t>
      </w:r>
      <w:r w:rsidR="009C5CAD" w:rsidRPr="00FD5703">
        <w:rPr>
          <w:color w:val="000000"/>
          <w:lang w:val="es-ES_tradnl"/>
        </w:rPr>
        <w:t>”</w:t>
      </w:r>
      <w:r w:rsidR="003B1DE6" w:rsidRPr="00FD5703">
        <w:rPr>
          <w:color w:val="000000"/>
          <w:lang w:val="es-ES_tradnl"/>
        </w:rPr>
        <w:t xml:space="preserve">). </w:t>
      </w:r>
    </w:p>
    <w:p w:rsidR="009116AF" w:rsidRPr="00FD5703" w:rsidRDefault="009116AF" w:rsidP="009C5CAD">
      <w:pPr>
        <w:rPr>
          <w:lang w:val="es-ES_tradnl"/>
        </w:rPr>
      </w:pPr>
    </w:p>
    <w:p w:rsidR="009116AF" w:rsidRPr="00FD5703" w:rsidRDefault="009116AF" w:rsidP="009C5CAD">
      <w:pPr>
        <w:rPr>
          <w:lang w:val="es-ES_tradnl"/>
        </w:rPr>
      </w:pPr>
    </w:p>
    <w:p w:rsidR="009116AF" w:rsidRPr="00FD5703" w:rsidRDefault="003B1DE6" w:rsidP="00464673">
      <w:pPr>
        <w:pStyle w:val="Heading1"/>
        <w:rPr>
          <w:lang w:val="es-ES_tradnl"/>
        </w:rPr>
      </w:pPr>
      <w:bookmarkStart w:id="8" w:name="_Toc381177101"/>
      <w:r w:rsidRPr="00FD5703">
        <w:rPr>
          <w:lang w:val="es-ES_tradnl"/>
        </w:rPr>
        <w:t>ESTADÍSTICAS SOBRE LA PROTECCIÓN DE LAS OBTENCIONES VEGETALES</w:t>
      </w:r>
      <w:bookmarkEnd w:id="8"/>
    </w:p>
    <w:p w:rsidR="009116AF" w:rsidRPr="00FD5703" w:rsidRDefault="009116AF" w:rsidP="009C5CAD">
      <w:pPr>
        <w:rPr>
          <w:lang w:val="es-ES_tradnl"/>
        </w:rPr>
      </w:pPr>
    </w:p>
    <w:p w:rsidR="009116AF" w:rsidRPr="00FD5703" w:rsidRDefault="003B1DE6" w:rsidP="009C5CAD">
      <w:pPr>
        <w:pStyle w:val="Heading2"/>
        <w:keepNext w:val="0"/>
        <w:rPr>
          <w:lang w:val="es-ES_tradnl"/>
        </w:rPr>
      </w:pPr>
      <w:bookmarkStart w:id="9" w:name="_Toc381177102"/>
      <w:r w:rsidRPr="00FD5703">
        <w:rPr>
          <w:lang w:val="es-ES_tradnl"/>
        </w:rPr>
        <w:t>Lista de los taxones protegidos por los miembros de la Unión</w:t>
      </w:r>
      <w:bookmarkEnd w:id="9"/>
    </w:p>
    <w:p w:rsidR="009116AF" w:rsidRPr="00FD5703" w:rsidRDefault="003B1DE6" w:rsidP="009C5CAD">
      <w:pPr>
        <w:autoSpaceDE w:val="0"/>
        <w:autoSpaceDN w:val="0"/>
        <w:adjustRightInd w:val="0"/>
        <w:rPr>
          <w:rFonts w:eastAsia="MS Mincho" w:cs="Arial"/>
          <w:lang w:val="es-ES_tradnl" w:eastAsia="ja-JP"/>
        </w:rPr>
      </w:pPr>
      <w:r w:rsidRPr="00FD5703">
        <w:rPr>
          <w:rFonts w:eastAsia="MS Mincho" w:cs="Arial"/>
          <w:color w:val="000000"/>
          <w:lang w:val="es-ES_tradnl" w:eastAsia="ja-JP"/>
        </w:rPr>
        <w:t xml:space="preserve">(véase el documento C/47/6 </w:t>
      </w:r>
      <w:r w:rsidR="009C5CAD" w:rsidRPr="00FD5703">
        <w:rPr>
          <w:rFonts w:eastAsia="MS Mincho" w:cs="Arial"/>
          <w:color w:val="000000"/>
          <w:lang w:val="es-ES_tradnl" w:eastAsia="ja-JP"/>
        </w:rPr>
        <w:t>“</w:t>
      </w:r>
      <w:r w:rsidRPr="00FD5703">
        <w:rPr>
          <w:rFonts w:eastAsia="MS Mincho" w:cs="Arial"/>
          <w:color w:val="000000"/>
          <w:lang w:val="es-ES_tradnl" w:eastAsia="ja-JP"/>
        </w:rPr>
        <w:t>Lista de los taxones protegidos por los miembros de la Unión</w:t>
      </w:r>
      <w:r w:rsidR="009C5CAD" w:rsidRPr="00FD5703">
        <w:rPr>
          <w:rFonts w:eastAsia="MS Mincho" w:cs="Arial"/>
          <w:color w:val="000000"/>
          <w:lang w:val="es-ES_tradnl" w:eastAsia="ja-JP"/>
        </w:rPr>
        <w:t>”</w:t>
      </w:r>
      <w:r w:rsidRPr="00FD5703">
        <w:rPr>
          <w:rFonts w:eastAsia="MS Mincho" w:cs="Arial"/>
          <w:color w:val="000000"/>
          <w:lang w:val="es-ES_tradnl" w:eastAsia="ja-JP"/>
        </w:rPr>
        <w:t>)</w:t>
      </w:r>
    </w:p>
    <w:p w:rsidR="009116AF" w:rsidRPr="00FD5703" w:rsidRDefault="009116AF" w:rsidP="009C5CAD">
      <w:pPr>
        <w:autoSpaceDE w:val="0"/>
        <w:autoSpaceDN w:val="0"/>
        <w:adjustRightInd w:val="0"/>
        <w:rPr>
          <w:rFonts w:eastAsia="MS Mincho" w:cs="Arial"/>
          <w:lang w:val="es-ES_tradnl" w:eastAsia="ja-JP"/>
        </w:rPr>
      </w:pPr>
    </w:p>
    <w:p w:rsidR="009116AF" w:rsidRPr="00FD5703" w:rsidRDefault="00D135ED" w:rsidP="009C5CAD">
      <w:pPr>
        <w:autoSpaceDE w:val="0"/>
        <w:autoSpaceDN w:val="0"/>
        <w:adjustRightInd w:val="0"/>
        <w:rPr>
          <w:rFonts w:eastAsia="MS Mincho" w:cs="Arial"/>
          <w:lang w:val="es-ES_tradnl" w:eastAsia="ja-JP"/>
        </w:rPr>
      </w:pPr>
      <w:r w:rsidRPr="00FD5703">
        <w:rPr>
          <w:rFonts w:eastAsia="MS Mincho" w:cs="Arial"/>
          <w:lang w:val="es-ES_tradnl" w:eastAsia="ja-JP"/>
        </w:rPr>
        <w:fldChar w:fldCharType="begin"/>
      </w:r>
      <w:r w:rsidRPr="00FD5703">
        <w:rPr>
          <w:rFonts w:eastAsia="MS Mincho" w:cs="Arial"/>
          <w:lang w:val="es-ES_tradnl" w:eastAsia="ja-JP"/>
        </w:rPr>
        <w:instrText xml:space="preserve"> AUTONUM  </w:instrText>
      </w:r>
      <w:r w:rsidRPr="00FD5703">
        <w:rPr>
          <w:rFonts w:eastAsia="MS Mincho" w:cs="Arial"/>
          <w:lang w:val="es-ES_tradnl" w:eastAsia="ja-JP"/>
        </w:rPr>
        <w:fldChar w:fldCharType="end"/>
      </w:r>
      <w:r w:rsidRPr="00FD5703">
        <w:rPr>
          <w:rFonts w:eastAsia="MS Mincho" w:cs="Arial"/>
          <w:lang w:val="es-ES_tradnl" w:eastAsia="ja-JP"/>
        </w:rPr>
        <w:tab/>
      </w:r>
      <w:r w:rsidR="006219AC" w:rsidRPr="00FD5703">
        <w:rPr>
          <w:rFonts w:eastAsia="MS Mincho" w:cs="Arial"/>
          <w:lang w:val="es-ES_tradnl" w:eastAsia="ja-JP"/>
        </w:rPr>
        <w:t xml:space="preserve">A partir del 16 de octubre de 2013, un total de 56 miembros de la Unión </w:t>
      </w:r>
      <w:r w:rsidR="009572D9" w:rsidRPr="00FD5703">
        <w:rPr>
          <w:rFonts w:eastAsia="MS Mincho" w:cs="Arial"/>
          <w:lang w:val="es-ES_tradnl" w:eastAsia="ja-JP"/>
        </w:rPr>
        <w:t>ofrece</w:t>
      </w:r>
      <w:r w:rsidR="006219AC" w:rsidRPr="00FD5703">
        <w:rPr>
          <w:rFonts w:eastAsia="MS Mincho" w:cs="Arial"/>
          <w:lang w:val="es-ES_tradnl" w:eastAsia="ja-JP"/>
        </w:rPr>
        <w:t xml:space="preserve"> protección a todos los géneros y especies vegetales (en 2012 eran 53), y 15 ofrecen protección a un número limitado de géneros y especies vegetales.</w:t>
      </w:r>
    </w:p>
    <w:p w:rsidR="009116AF" w:rsidRPr="00FD5703" w:rsidRDefault="009116AF" w:rsidP="009C5CAD">
      <w:pPr>
        <w:rPr>
          <w:lang w:val="es-ES_tradnl"/>
        </w:rPr>
      </w:pPr>
    </w:p>
    <w:p w:rsidR="00447C88" w:rsidRDefault="00447C88">
      <w:pPr>
        <w:jc w:val="left"/>
        <w:rPr>
          <w:u w:val="single"/>
          <w:lang w:val="es-ES_tradnl"/>
        </w:rPr>
      </w:pPr>
      <w:bookmarkStart w:id="10" w:name="_Toc381177103"/>
      <w:r>
        <w:rPr>
          <w:lang w:val="es-ES_tradnl"/>
        </w:rPr>
        <w:br w:type="page"/>
      </w:r>
    </w:p>
    <w:p w:rsidR="009116AF" w:rsidRPr="00FD5703" w:rsidRDefault="006219AC" w:rsidP="009C5CAD">
      <w:pPr>
        <w:pStyle w:val="Heading2"/>
        <w:keepNext w:val="0"/>
        <w:rPr>
          <w:lang w:val="es-ES_tradnl"/>
        </w:rPr>
      </w:pPr>
      <w:r w:rsidRPr="00FD5703">
        <w:rPr>
          <w:lang w:val="es-ES_tradnl"/>
        </w:rPr>
        <w:t>Estadísticas sobre la protección de las obtenciones vegetales</w:t>
      </w:r>
      <w:bookmarkEnd w:id="10"/>
      <w:r w:rsidR="00D135ED" w:rsidRPr="00FD5703">
        <w:rPr>
          <w:lang w:val="es-ES_tradnl"/>
        </w:rPr>
        <w:t xml:space="preserve"> </w:t>
      </w:r>
    </w:p>
    <w:p w:rsidR="009116AF" w:rsidRPr="00FD5703" w:rsidRDefault="006219AC" w:rsidP="009C5CAD">
      <w:pPr>
        <w:autoSpaceDE w:val="0"/>
        <w:autoSpaceDN w:val="0"/>
        <w:adjustRightInd w:val="0"/>
        <w:rPr>
          <w:rFonts w:eastAsia="MS Mincho" w:cs="Arial"/>
          <w:lang w:val="es-ES_tradnl" w:eastAsia="ja-JP"/>
        </w:rPr>
      </w:pPr>
      <w:r w:rsidRPr="00FD5703">
        <w:rPr>
          <w:rFonts w:eastAsia="MS Mincho" w:cs="Arial"/>
          <w:color w:val="000000"/>
          <w:lang w:val="es-ES_tradnl" w:eastAsia="ja-JP"/>
        </w:rPr>
        <w:t xml:space="preserve">(véase el documento C/47/7 </w:t>
      </w:r>
      <w:r w:rsidR="009C5CAD" w:rsidRPr="00FD5703">
        <w:rPr>
          <w:rFonts w:eastAsia="MS Mincho" w:cs="Arial"/>
          <w:color w:val="000000"/>
          <w:lang w:val="es-ES_tradnl" w:eastAsia="ja-JP"/>
        </w:rPr>
        <w:t>“</w:t>
      </w:r>
      <w:r w:rsidRPr="00FD5703">
        <w:rPr>
          <w:rFonts w:eastAsia="MS Mincho" w:cs="Arial"/>
          <w:color w:val="000000"/>
          <w:lang w:val="es-ES_tradnl" w:eastAsia="ja-JP"/>
        </w:rPr>
        <w:t>Estadísticas sobre la protección de las obtenciones vegetales</w:t>
      </w:r>
      <w:r w:rsidR="009C5CAD" w:rsidRPr="00FD5703">
        <w:rPr>
          <w:rFonts w:eastAsia="MS Mincho" w:cs="Arial"/>
          <w:color w:val="000000"/>
          <w:lang w:val="es-ES_tradnl" w:eastAsia="ja-JP"/>
        </w:rPr>
        <w:t>”</w:t>
      </w:r>
      <w:r w:rsidRPr="00FD5703">
        <w:rPr>
          <w:rFonts w:eastAsia="MS Mincho" w:cs="Arial"/>
          <w:color w:val="000000"/>
          <w:lang w:val="es-ES_tradnl" w:eastAsia="ja-JP"/>
        </w:rPr>
        <w:t>)</w:t>
      </w:r>
    </w:p>
    <w:p w:rsidR="009116AF" w:rsidRPr="00FD5703" w:rsidRDefault="009116AF" w:rsidP="009C5CAD">
      <w:pPr>
        <w:autoSpaceDE w:val="0"/>
        <w:autoSpaceDN w:val="0"/>
        <w:adjustRightInd w:val="0"/>
        <w:rPr>
          <w:rFonts w:eastAsia="MS Mincho" w:cs="Arial"/>
          <w:lang w:val="es-ES_tradnl" w:eastAsia="ja-JP"/>
        </w:rPr>
      </w:pPr>
    </w:p>
    <w:p w:rsidR="009116AF" w:rsidRPr="00FD5703" w:rsidRDefault="00D135ED" w:rsidP="009C5CAD">
      <w:pPr>
        <w:autoSpaceDE w:val="0"/>
        <w:autoSpaceDN w:val="0"/>
        <w:adjustRightInd w:val="0"/>
        <w:rPr>
          <w:rFonts w:eastAsia="MS Mincho" w:cs="Arial"/>
          <w:strike/>
          <w:lang w:val="es-ES_tradnl" w:eastAsia="ja-JP"/>
        </w:rPr>
      </w:pPr>
      <w:r w:rsidRPr="00FD5703">
        <w:rPr>
          <w:rFonts w:eastAsia="MS Mincho" w:cs="Arial"/>
          <w:lang w:val="es-ES_tradnl" w:eastAsia="ja-JP"/>
        </w:rPr>
        <w:fldChar w:fldCharType="begin"/>
      </w:r>
      <w:r w:rsidRPr="00FD5703">
        <w:rPr>
          <w:rFonts w:eastAsia="MS Mincho" w:cs="Arial"/>
          <w:lang w:val="es-ES_tradnl" w:eastAsia="ja-JP"/>
        </w:rPr>
        <w:instrText xml:space="preserve"> AUTONUM  </w:instrText>
      </w:r>
      <w:r w:rsidRPr="00FD5703">
        <w:rPr>
          <w:rFonts w:eastAsia="MS Mincho" w:cs="Arial"/>
          <w:lang w:val="es-ES_tradnl" w:eastAsia="ja-JP"/>
        </w:rPr>
        <w:fldChar w:fldCharType="end"/>
      </w:r>
      <w:r w:rsidRPr="00FD5703">
        <w:rPr>
          <w:rFonts w:eastAsia="MS Mincho" w:cs="Arial"/>
          <w:lang w:val="es-ES_tradnl" w:eastAsia="ja-JP"/>
        </w:rPr>
        <w:tab/>
      </w:r>
      <w:r w:rsidR="006219AC" w:rsidRPr="00FD5703">
        <w:rPr>
          <w:rFonts w:eastAsia="MS Mincho" w:cs="Arial"/>
          <w:lang w:val="es-ES_tradnl" w:eastAsia="ja-JP"/>
        </w:rPr>
        <w:t>En 2012, se ha producido un aumento del 1,1% en el número de solicitudes de protección de variedades vegetales (13.867 en 2012;  13.714 en 2011), que se desglosa en una disminución del 0,7% en el número de solicitudes presentadas por residentes (8.751 en 2012;  8.813 en 2011) y en un aumento del 4,4% en el número de solicitudes presentadas por no residentes (5.116 en 2012;  4.901 en 2011).</w:t>
      </w:r>
    </w:p>
    <w:p w:rsidR="009116AF" w:rsidRPr="00FD5703" w:rsidRDefault="009116AF" w:rsidP="009C5CAD">
      <w:pPr>
        <w:autoSpaceDE w:val="0"/>
        <w:autoSpaceDN w:val="0"/>
        <w:adjustRightInd w:val="0"/>
        <w:rPr>
          <w:rFonts w:eastAsia="MS Mincho" w:cs="Arial"/>
          <w:lang w:val="es-ES_tradnl" w:eastAsia="ja-JP"/>
        </w:rPr>
      </w:pPr>
    </w:p>
    <w:p w:rsidR="009116AF" w:rsidRPr="00FD5703" w:rsidRDefault="00D135ED" w:rsidP="009C5CAD">
      <w:pPr>
        <w:autoSpaceDE w:val="0"/>
        <w:autoSpaceDN w:val="0"/>
        <w:adjustRightInd w:val="0"/>
        <w:rPr>
          <w:rFonts w:eastAsia="MS Mincho" w:cs="Arial"/>
          <w:lang w:val="es-ES_tradnl" w:eastAsia="ja-JP"/>
        </w:rPr>
      </w:pPr>
      <w:r w:rsidRPr="00FD5703">
        <w:rPr>
          <w:rFonts w:eastAsia="MS Mincho" w:cs="Arial"/>
          <w:lang w:val="es-ES_tradnl" w:eastAsia="ja-JP"/>
        </w:rPr>
        <w:fldChar w:fldCharType="begin"/>
      </w:r>
      <w:r w:rsidRPr="00FD5703">
        <w:rPr>
          <w:rFonts w:eastAsia="MS Mincho" w:cs="Arial"/>
          <w:lang w:val="es-ES_tradnl" w:eastAsia="ja-JP"/>
        </w:rPr>
        <w:instrText xml:space="preserve"> AUTONUM  </w:instrText>
      </w:r>
      <w:r w:rsidRPr="00FD5703">
        <w:rPr>
          <w:rFonts w:eastAsia="MS Mincho" w:cs="Arial"/>
          <w:lang w:val="es-ES_tradnl" w:eastAsia="ja-JP"/>
        </w:rPr>
        <w:fldChar w:fldCharType="end"/>
      </w:r>
      <w:r w:rsidRPr="00FD5703">
        <w:rPr>
          <w:rFonts w:eastAsia="MS Mincho" w:cs="Arial"/>
          <w:lang w:val="es-ES_tradnl" w:eastAsia="ja-JP"/>
        </w:rPr>
        <w:tab/>
      </w:r>
      <w:r w:rsidR="006219AC" w:rsidRPr="00FD5703">
        <w:rPr>
          <w:rFonts w:eastAsia="MS Mincho" w:cs="Arial"/>
          <w:color w:val="000000"/>
          <w:lang w:val="es-ES_tradnl" w:eastAsia="ja-JP"/>
        </w:rPr>
        <w:t>El número de títulos co</w:t>
      </w:r>
      <w:r w:rsidR="00486B2C" w:rsidRPr="00FD5703">
        <w:rPr>
          <w:rFonts w:eastAsia="MS Mincho" w:cs="Arial"/>
          <w:color w:val="000000"/>
          <w:lang w:val="es-ES_tradnl" w:eastAsia="ja-JP"/>
        </w:rPr>
        <w:t xml:space="preserve">ncedidos pasó de 10.065 en 2011 </w:t>
      </w:r>
      <w:r w:rsidR="006219AC" w:rsidRPr="00FD5703">
        <w:rPr>
          <w:rFonts w:eastAsia="MS Mincho" w:cs="Arial"/>
          <w:color w:val="000000"/>
          <w:lang w:val="es-ES_tradnl" w:eastAsia="ja-JP"/>
        </w:rPr>
        <w:t>a 19.822 en 2012 (una disminución del 2,4%).</w:t>
      </w:r>
    </w:p>
    <w:p w:rsidR="009116AF" w:rsidRPr="00FD5703" w:rsidRDefault="009116AF" w:rsidP="009C5CAD">
      <w:pPr>
        <w:autoSpaceDE w:val="0"/>
        <w:autoSpaceDN w:val="0"/>
        <w:adjustRightInd w:val="0"/>
        <w:rPr>
          <w:rFonts w:eastAsia="MS Mincho" w:cs="Arial"/>
          <w:lang w:val="es-ES_tradnl" w:eastAsia="ja-JP"/>
        </w:rPr>
      </w:pPr>
    </w:p>
    <w:p w:rsidR="009116AF" w:rsidRPr="00FD5703" w:rsidRDefault="00D135ED" w:rsidP="009C5CAD">
      <w:pPr>
        <w:autoSpaceDE w:val="0"/>
        <w:autoSpaceDN w:val="0"/>
        <w:adjustRightInd w:val="0"/>
        <w:rPr>
          <w:rFonts w:eastAsia="MS Mincho" w:cs="Arial"/>
          <w:lang w:val="es-ES_tradnl" w:eastAsia="ja-JP"/>
        </w:rPr>
      </w:pPr>
      <w:r w:rsidRPr="00FD5703">
        <w:rPr>
          <w:rFonts w:eastAsia="MS Mincho" w:cs="Arial"/>
          <w:lang w:val="es-ES_tradnl" w:eastAsia="ja-JP"/>
        </w:rPr>
        <w:fldChar w:fldCharType="begin"/>
      </w:r>
      <w:r w:rsidRPr="00FD5703">
        <w:rPr>
          <w:rFonts w:eastAsia="MS Mincho" w:cs="Arial"/>
          <w:lang w:val="es-ES_tradnl" w:eastAsia="ja-JP"/>
        </w:rPr>
        <w:instrText xml:space="preserve"> AUTONUM  </w:instrText>
      </w:r>
      <w:r w:rsidRPr="00FD5703">
        <w:rPr>
          <w:rFonts w:eastAsia="MS Mincho" w:cs="Arial"/>
          <w:lang w:val="es-ES_tradnl" w:eastAsia="ja-JP"/>
        </w:rPr>
        <w:fldChar w:fldCharType="end"/>
      </w:r>
      <w:r w:rsidRPr="00FD5703">
        <w:rPr>
          <w:rFonts w:eastAsia="MS Mincho" w:cs="Arial"/>
          <w:lang w:val="es-ES_tradnl" w:eastAsia="ja-JP"/>
        </w:rPr>
        <w:tab/>
      </w:r>
      <w:r w:rsidR="006219AC" w:rsidRPr="00FD5703">
        <w:rPr>
          <w:rFonts w:eastAsia="MS Mincho" w:cs="Arial"/>
          <w:lang w:val="es-ES_tradnl" w:eastAsia="ja-JP"/>
        </w:rPr>
        <w:t xml:space="preserve">En 2012 se alcanzó un nuevo récord en </w:t>
      </w:r>
      <w:r w:rsidR="00596D87" w:rsidRPr="00FD5703">
        <w:rPr>
          <w:rFonts w:eastAsia="MS Mincho" w:cs="Arial"/>
          <w:lang w:val="es-ES_tradnl" w:eastAsia="ja-JP"/>
        </w:rPr>
        <w:t xml:space="preserve">el número de títulos en vigor: </w:t>
      </w:r>
      <w:r w:rsidR="006219AC" w:rsidRPr="00FD5703">
        <w:rPr>
          <w:rFonts w:eastAsia="MS Mincho" w:cs="Arial"/>
          <w:lang w:val="es-ES_tradnl" w:eastAsia="ja-JP"/>
        </w:rPr>
        <w:t>99.409, lo que supone un aumento del 4,6% con respect</w:t>
      </w:r>
      <w:r w:rsidR="00486B2C" w:rsidRPr="00FD5703">
        <w:rPr>
          <w:rFonts w:eastAsia="MS Mincho" w:cs="Arial"/>
          <w:lang w:val="es-ES_tradnl" w:eastAsia="ja-JP"/>
        </w:rPr>
        <w:t xml:space="preserve">o a las cifras correspondientes </w:t>
      </w:r>
      <w:r w:rsidR="006219AC" w:rsidRPr="00FD5703">
        <w:rPr>
          <w:rFonts w:eastAsia="MS Mincho" w:cs="Arial"/>
          <w:lang w:val="es-ES_tradnl" w:eastAsia="ja-JP"/>
        </w:rPr>
        <w:t>a 2011 (95.041).</w:t>
      </w:r>
    </w:p>
    <w:p w:rsidR="009116AF" w:rsidRPr="00FD5703" w:rsidRDefault="009116AF" w:rsidP="009C5CAD">
      <w:pPr>
        <w:autoSpaceDE w:val="0"/>
        <w:autoSpaceDN w:val="0"/>
        <w:adjustRightInd w:val="0"/>
        <w:rPr>
          <w:rFonts w:eastAsia="MS Mincho" w:cs="Arial"/>
          <w:lang w:val="es-ES_tradnl" w:eastAsia="ja-JP"/>
        </w:rPr>
      </w:pPr>
    </w:p>
    <w:p w:rsidR="009116AF" w:rsidRPr="00FD5703" w:rsidRDefault="00D135ED" w:rsidP="009C5CAD">
      <w:pPr>
        <w:autoSpaceDE w:val="0"/>
        <w:autoSpaceDN w:val="0"/>
        <w:adjustRightInd w:val="0"/>
        <w:rPr>
          <w:rFonts w:eastAsia="MS Mincho" w:cs="Arial"/>
          <w:lang w:val="es-ES_tradnl" w:eastAsia="ja-JP"/>
        </w:rPr>
      </w:pPr>
      <w:r w:rsidRPr="00FD5703">
        <w:rPr>
          <w:rFonts w:eastAsia="MS Mincho" w:cs="Arial"/>
          <w:lang w:val="es-ES_tradnl" w:eastAsia="ja-JP"/>
        </w:rPr>
        <w:fldChar w:fldCharType="begin"/>
      </w:r>
      <w:r w:rsidRPr="00FD5703">
        <w:rPr>
          <w:rFonts w:eastAsia="MS Mincho" w:cs="Arial"/>
          <w:lang w:val="es-ES_tradnl" w:eastAsia="ja-JP"/>
        </w:rPr>
        <w:instrText xml:space="preserve"> AUTONUM  </w:instrText>
      </w:r>
      <w:r w:rsidRPr="00FD5703">
        <w:rPr>
          <w:rFonts w:eastAsia="MS Mincho" w:cs="Arial"/>
          <w:lang w:val="es-ES_tradnl" w:eastAsia="ja-JP"/>
        </w:rPr>
        <w:fldChar w:fldCharType="end"/>
      </w:r>
      <w:r w:rsidRPr="00FD5703">
        <w:rPr>
          <w:rFonts w:eastAsia="MS Mincho" w:cs="Arial"/>
          <w:lang w:val="es-ES_tradnl" w:eastAsia="ja-JP"/>
        </w:rPr>
        <w:tab/>
      </w:r>
      <w:r w:rsidR="00596D87" w:rsidRPr="00FD5703">
        <w:rPr>
          <w:rFonts w:eastAsia="MS Mincho" w:cs="Arial"/>
          <w:color w:val="000000"/>
          <w:lang w:val="es-ES_tradnl" w:eastAsia="ja-JP"/>
        </w:rPr>
        <w:t>La Oficina de la Unión examinará la posibilidad de facilitar información estadística por tipo de cultivo (por ejemplo, agrícola, frutal, ornamental, hortícola y forestal) en futuras versiones del documento C/xx/7.</w:t>
      </w:r>
    </w:p>
    <w:p w:rsidR="009116AF" w:rsidRPr="00FD5703" w:rsidRDefault="009116AF" w:rsidP="009C5CAD">
      <w:pPr>
        <w:autoSpaceDE w:val="0"/>
        <w:autoSpaceDN w:val="0"/>
        <w:adjustRightInd w:val="0"/>
        <w:rPr>
          <w:rFonts w:eastAsia="MS Mincho" w:cs="Arial"/>
          <w:lang w:val="es-ES_tradnl" w:eastAsia="ja-JP"/>
        </w:rPr>
      </w:pPr>
    </w:p>
    <w:p w:rsidR="009116AF" w:rsidRPr="00FD5703" w:rsidRDefault="00596D87" w:rsidP="009C5CAD">
      <w:pPr>
        <w:pStyle w:val="Heading2"/>
        <w:keepNext w:val="0"/>
        <w:rPr>
          <w:lang w:val="es-ES_tradnl"/>
        </w:rPr>
      </w:pPr>
      <w:bookmarkStart w:id="11" w:name="_Toc381177104"/>
      <w:r w:rsidRPr="00FD5703">
        <w:rPr>
          <w:lang w:val="es-ES_tradnl"/>
        </w:rPr>
        <w:t>Cooperación en el examen de obtenciones vegetales</w:t>
      </w:r>
      <w:bookmarkEnd w:id="11"/>
    </w:p>
    <w:p w:rsidR="009116AF" w:rsidRPr="00FD5703" w:rsidRDefault="00596D87" w:rsidP="009C5CAD">
      <w:pPr>
        <w:autoSpaceDE w:val="0"/>
        <w:autoSpaceDN w:val="0"/>
        <w:adjustRightInd w:val="0"/>
        <w:rPr>
          <w:rFonts w:eastAsia="MS Mincho" w:cs="Arial"/>
          <w:lang w:val="es-ES_tradnl" w:eastAsia="ja-JP"/>
        </w:rPr>
      </w:pPr>
      <w:r w:rsidRPr="00FD5703">
        <w:rPr>
          <w:rFonts w:eastAsia="MS Mincho" w:cs="Arial"/>
          <w:lang w:val="es-ES_tradnl" w:eastAsia="ja-JP"/>
        </w:rPr>
        <w:t xml:space="preserve">(véase el documento C/47/5, </w:t>
      </w:r>
      <w:r w:rsidR="009C5CAD" w:rsidRPr="00FD5703">
        <w:rPr>
          <w:rFonts w:eastAsia="MS Mincho" w:cs="Arial"/>
          <w:lang w:val="es-ES_tradnl" w:eastAsia="ja-JP"/>
        </w:rPr>
        <w:t>“</w:t>
      </w:r>
      <w:r w:rsidRPr="00FD5703">
        <w:rPr>
          <w:rFonts w:eastAsia="MS Mincho" w:cs="Arial"/>
          <w:lang w:val="es-ES_tradnl" w:eastAsia="ja-JP"/>
        </w:rPr>
        <w:t>Cooperación en materia de examen</w:t>
      </w:r>
      <w:r w:rsidR="009C5CAD" w:rsidRPr="00FD5703">
        <w:rPr>
          <w:rFonts w:eastAsia="MS Mincho" w:cs="Arial"/>
          <w:lang w:val="es-ES_tradnl" w:eastAsia="ja-JP"/>
        </w:rPr>
        <w:t>”</w:t>
      </w:r>
      <w:r w:rsidRPr="00FD5703">
        <w:rPr>
          <w:rFonts w:eastAsia="MS Mincho" w:cs="Arial"/>
          <w:lang w:val="es-ES_tradnl" w:eastAsia="ja-JP"/>
        </w:rPr>
        <w:t>)</w:t>
      </w:r>
    </w:p>
    <w:p w:rsidR="009116AF" w:rsidRPr="00FD5703" w:rsidRDefault="009116AF" w:rsidP="009C5CAD">
      <w:pPr>
        <w:tabs>
          <w:tab w:val="num" w:pos="1440"/>
        </w:tabs>
        <w:autoSpaceDE w:val="0"/>
        <w:autoSpaceDN w:val="0"/>
        <w:adjustRightInd w:val="0"/>
        <w:rPr>
          <w:rFonts w:cs="Arial"/>
          <w:lang w:val="es-ES_tradnl"/>
        </w:rPr>
      </w:pPr>
    </w:p>
    <w:p w:rsidR="009116AF" w:rsidRPr="00FD5703" w:rsidRDefault="00D135ED" w:rsidP="009C5CAD">
      <w:pPr>
        <w:rPr>
          <w:lang w:val="es-ES_tradnl"/>
        </w:rPr>
      </w:pPr>
      <w:r w:rsidRPr="00FD5703">
        <w:rPr>
          <w:rFonts w:eastAsia="MS Mincho"/>
          <w:lang w:val="es-ES_tradnl" w:eastAsia="ja-JP"/>
        </w:rPr>
        <w:fldChar w:fldCharType="begin"/>
      </w:r>
      <w:r w:rsidRPr="00FD5703">
        <w:rPr>
          <w:rFonts w:eastAsia="MS Mincho"/>
          <w:lang w:val="es-ES_tradnl" w:eastAsia="ja-JP"/>
        </w:rPr>
        <w:instrText xml:space="preserve"> AUTONUM  </w:instrText>
      </w:r>
      <w:r w:rsidRPr="00FD5703">
        <w:rPr>
          <w:rFonts w:eastAsia="MS Mincho"/>
          <w:lang w:val="es-ES_tradnl" w:eastAsia="ja-JP"/>
        </w:rPr>
        <w:fldChar w:fldCharType="end"/>
      </w:r>
      <w:r w:rsidRPr="00FD5703">
        <w:rPr>
          <w:rFonts w:eastAsia="MS Mincho"/>
          <w:lang w:val="es-ES_tradnl" w:eastAsia="ja-JP"/>
        </w:rPr>
        <w:tab/>
      </w:r>
      <w:r w:rsidR="00596D87" w:rsidRPr="00FD5703">
        <w:rPr>
          <w:rFonts w:eastAsia="MS Mincho"/>
          <w:lang w:val="es-ES_tradnl" w:eastAsia="ja-JP"/>
        </w:rPr>
        <w:t xml:space="preserve">En 2012, se suscribieron acuerdos de cooperación entre miembros de la Unión para el examen de la distinción, la homogeneidad y la estabilidad respecto de 1.997 géneros y especies vegetales, en comparación con la cifra de 1.991 géneros y especies </w:t>
      </w:r>
      <w:r w:rsidR="00643DA1" w:rsidRPr="00FD5703">
        <w:rPr>
          <w:rFonts w:eastAsia="MS Mincho"/>
          <w:lang w:val="es-ES_tradnl" w:eastAsia="ja-JP"/>
        </w:rPr>
        <w:t>vegetales correspondientes</w:t>
      </w:r>
      <w:r w:rsidR="00596D87" w:rsidRPr="00FD5703">
        <w:rPr>
          <w:rFonts w:eastAsia="MS Mincho"/>
          <w:lang w:val="es-ES_tradnl" w:eastAsia="ja-JP"/>
        </w:rPr>
        <w:t xml:space="preserve"> a 2011.</w:t>
      </w:r>
    </w:p>
    <w:p w:rsidR="009116AF" w:rsidRPr="00FD5703" w:rsidRDefault="009116AF" w:rsidP="009C5CAD">
      <w:pPr>
        <w:rPr>
          <w:lang w:val="es-ES_tradnl"/>
        </w:rPr>
      </w:pPr>
    </w:p>
    <w:p w:rsidR="009116AF" w:rsidRPr="00FD5703" w:rsidRDefault="00D135ED"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596D87" w:rsidRPr="00FD5703">
        <w:rPr>
          <w:color w:val="000000"/>
          <w:lang w:val="es-ES_tradnl"/>
        </w:rPr>
        <w:t xml:space="preserve">En su cuadragésima séptima sesión ordinaria, el Consejo convino en mandar a personas designadas del Comité Técnico copia de la circular referente a la cooperación (véase, por ejemplo, el documento C/xx/5), para asegurarse de que se recopila la mayor cantidad posible de información (véase el párrafo 20 del documento C/47/19 </w:t>
      </w:r>
      <w:r w:rsidR="009C5CAD" w:rsidRPr="00FD5703">
        <w:rPr>
          <w:color w:val="000000"/>
          <w:lang w:val="es-ES_tradnl"/>
        </w:rPr>
        <w:t>“</w:t>
      </w:r>
      <w:r w:rsidR="00596D87" w:rsidRPr="00FD5703">
        <w:rPr>
          <w:color w:val="000000"/>
          <w:lang w:val="es-ES_tradnl"/>
        </w:rPr>
        <w:t>Informe sobre las decisiones</w:t>
      </w:r>
      <w:r w:rsidR="009C5CAD" w:rsidRPr="00FD5703">
        <w:rPr>
          <w:color w:val="000000"/>
          <w:lang w:val="es-ES_tradnl"/>
        </w:rPr>
        <w:t>”</w:t>
      </w:r>
      <w:r w:rsidR="00596D87" w:rsidRPr="00FD5703">
        <w:rPr>
          <w:color w:val="000000"/>
          <w:lang w:val="es-ES_tradnl"/>
        </w:rPr>
        <w:t xml:space="preserve">). </w:t>
      </w:r>
    </w:p>
    <w:p w:rsidR="009116AF" w:rsidRPr="00FD5703" w:rsidRDefault="009116AF" w:rsidP="009C5CAD">
      <w:pPr>
        <w:rPr>
          <w:lang w:val="es-ES_tradnl"/>
        </w:rPr>
      </w:pPr>
    </w:p>
    <w:p w:rsidR="009116AF" w:rsidRPr="00FD5703" w:rsidRDefault="009116AF" w:rsidP="009C5CAD">
      <w:pPr>
        <w:rPr>
          <w:lang w:val="es-ES_tradnl"/>
        </w:rPr>
      </w:pPr>
    </w:p>
    <w:p w:rsidR="009116AF" w:rsidRPr="00FD5703" w:rsidRDefault="00596D87" w:rsidP="00464673">
      <w:pPr>
        <w:pStyle w:val="Heading1"/>
        <w:rPr>
          <w:lang w:val="es-ES_tradnl"/>
        </w:rPr>
      </w:pPr>
      <w:bookmarkStart w:id="12" w:name="_Toc381177105"/>
      <w:r w:rsidRPr="00FD5703">
        <w:rPr>
          <w:lang w:val="es-ES_tradnl"/>
        </w:rPr>
        <w:t>SITUACIÓN FINANCIERA</w:t>
      </w:r>
      <w:bookmarkEnd w:id="12"/>
      <w:r w:rsidRPr="00FD5703">
        <w:rPr>
          <w:lang w:val="es-ES_tradnl"/>
        </w:rPr>
        <w:t xml:space="preserve"> </w:t>
      </w:r>
    </w:p>
    <w:p w:rsidR="00815096" w:rsidRPr="00FD5703" w:rsidRDefault="00815096" w:rsidP="009C5CAD">
      <w:pPr>
        <w:rPr>
          <w:lang w:val="es-ES_tradnl"/>
        </w:rPr>
      </w:pPr>
    </w:p>
    <w:p w:rsidR="009116AF" w:rsidRPr="00FD5703" w:rsidRDefault="00596D87" w:rsidP="009C5CAD">
      <w:pPr>
        <w:pStyle w:val="Heading2"/>
        <w:keepNext w:val="0"/>
        <w:rPr>
          <w:lang w:val="es-ES_tradnl"/>
        </w:rPr>
      </w:pPr>
      <w:bookmarkStart w:id="13" w:name="_Toc381177106"/>
      <w:r w:rsidRPr="00FD5703">
        <w:rPr>
          <w:lang w:val="es-ES_tradnl"/>
        </w:rPr>
        <w:t>Programa y presupuesto de la Unión para el bienio 2014-2015</w:t>
      </w:r>
      <w:bookmarkEnd w:id="13"/>
      <w:r w:rsidR="00807F07" w:rsidRPr="00FD5703">
        <w:rPr>
          <w:lang w:val="es-ES_tradnl"/>
        </w:rPr>
        <w:t xml:space="preserve"> </w:t>
      </w:r>
    </w:p>
    <w:p w:rsidR="009116AF" w:rsidRPr="00FD5703" w:rsidRDefault="009116AF" w:rsidP="009C5CAD">
      <w:pPr>
        <w:rPr>
          <w:spacing w:val="-2"/>
          <w:szCs w:val="24"/>
          <w:lang w:val="es-ES_tradnl"/>
        </w:rPr>
      </w:pPr>
    </w:p>
    <w:p w:rsidR="009116AF" w:rsidRPr="00FD5703" w:rsidRDefault="00337B8E"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4F2042" w:rsidRPr="00FD5703">
        <w:rPr>
          <w:color w:val="000000"/>
          <w:lang w:val="es-ES_tradnl"/>
        </w:rPr>
        <w:t xml:space="preserve">En su cuadragésima séptima sesión ordinaria, celebrada en Ginebra, el 24 de octubre de 2013, el Consejo aprobó el programa y </w:t>
      </w:r>
      <w:r w:rsidR="009572D9" w:rsidRPr="00FD5703">
        <w:rPr>
          <w:color w:val="000000"/>
          <w:lang w:val="es-ES_tradnl"/>
        </w:rPr>
        <w:t>presupuesto para el bienio 2014</w:t>
      </w:r>
      <w:r w:rsidR="004F2042" w:rsidRPr="00FD5703">
        <w:rPr>
          <w:color w:val="000000"/>
          <w:lang w:val="es-ES_tradnl"/>
        </w:rPr>
        <w:t xml:space="preserve">-2015 expuesto en el Anexo del documento C/47/4 Rev. </w:t>
      </w:r>
      <w:r w:rsidR="009C5CAD" w:rsidRPr="00FD5703">
        <w:rPr>
          <w:color w:val="000000"/>
          <w:lang w:val="es-ES_tradnl"/>
        </w:rPr>
        <w:t>“</w:t>
      </w:r>
      <w:r w:rsidR="004F2042" w:rsidRPr="00FD5703">
        <w:rPr>
          <w:color w:val="000000"/>
          <w:lang w:val="es-ES_tradnl"/>
        </w:rPr>
        <w:t>Programa y Presupuesto para el bienio 2014-2015</w:t>
      </w:r>
      <w:r w:rsidR="009C5CAD" w:rsidRPr="00FD5703">
        <w:rPr>
          <w:color w:val="000000"/>
          <w:lang w:val="es-ES_tradnl"/>
        </w:rPr>
        <w:t>”</w:t>
      </w:r>
      <w:r w:rsidR="004F2042" w:rsidRPr="00FD5703">
        <w:rPr>
          <w:color w:val="000000"/>
          <w:lang w:val="es-ES_tradnl"/>
        </w:rPr>
        <w:t xml:space="preserve"> (véanse los párrafos 33 y 34 del </w:t>
      </w:r>
      <w:r w:rsidR="00643DA1" w:rsidRPr="00FD5703">
        <w:rPr>
          <w:color w:val="000000"/>
          <w:lang w:val="es-ES_tradnl"/>
        </w:rPr>
        <w:t>documento</w:t>
      </w:r>
      <w:r w:rsidR="004F2042" w:rsidRPr="00FD5703">
        <w:rPr>
          <w:color w:val="000000"/>
          <w:lang w:val="es-ES_tradnl"/>
        </w:rPr>
        <w:t xml:space="preserve"> C/47/19 </w:t>
      </w:r>
      <w:r w:rsidR="009C5CAD" w:rsidRPr="00FD5703">
        <w:rPr>
          <w:color w:val="000000"/>
          <w:lang w:val="es-ES_tradnl"/>
        </w:rPr>
        <w:t>“</w:t>
      </w:r>
      <w:r w:rsidR="004F2042" w:rsidRPr="00FD5703">
        <w:rPr>
          <w:color w:val="000000"/>
          <w:lang w:val="es-ES_tradnl"/>
        </w:rPr>
        <w:t>Informe sobre las decisiones</w:t>
      </w:r>
      <w:r w:rsidR="009C5CAD" w:rsidRPr="00FD5703">
        <w:rPr>
          <w:color w:val="000000"/>
          <w:lang w:val="es-ES_tradnl"/>
        </w:rPr>
        <w:t>”</w:t>
      </w:r>
      <w:r w:rsidR="004F2042" w:rsidRPr="00FD5703">
        <w:rPr>
          <w:color w:val="000000"/>
          <w:lang w:val="es-ES_tradnl"/>
        </w:rPr>
        <w:t xml:space="preserve">). </w:t>
      </w:r>
      <w:r w:rsidRPr="00FD5703">
        <w:rPr>
          <w:lang w:val="es-ES_tradnl"/>
        </w:rPr>
        <w:t xml:space="preserve">  </w:t>
      </w:r>
    </w:p>
    <w:p w:rsidR="009116AF" w:rsidRPr="00FD5703" w:rsidRDefault="009116AF" w:rsidP="009C5CAD">
      <w:pPr>
        <w:rPr>
          <w:lang w:val="es-ES_tradnl"/>
        </w:rPr>
      </w:pPr>
    </w:p>
    <w:p w:rsidR="009116AF" w:rsidRPr="00FD5703" w:rsidRDefault="00337B8E"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2F20D9" w:rsidRPr="00FD5703">
        <w:rPr>
          <w:color w:val="000000"/>
          <w:lang w:val="es-ES_tradnl"/>
        </w:rPr>
        <w:t xml:space="preserve">El tope máximo propuesto de gastos del presupuesto ordinario para el bienio 2014-2015 asciende a 6.794.000 francos suizos (6.798.000 francos suizos para el bienio 2012-2013) </w:t>
      </w:r>
      <w:r w:rsidR="00023ABA" w:rsidRPr="00FD5703">
        <w:rPr>
          <w:color w:val="000000"/>
          <w:lang w:val="es-ES_tradnl"/>
        </w:rPr>
        <w:t xml:space="preserve">y se basa en el mantenimiento  </w:t>
      </w:r>
      <w:r w:rsidR="002F20D9" w:rsidRPr="00FD5703">
        <w:rPr>
          <w:color w:val="000000"/>
          <w:lang w:val="es-ES_tradnl"/>
        </w:rPr>
        <w:t>del valor de la unidad de contribución (53.641 francos suizos) y del número total de puestos (11</w:t>
      </w:r>
      <w:r w:rsidR="00447C88">
        <w:rPr>
          <w:color w:val="000000"/>
          <w:lang w:val="es-ES_tradnl"/>
        </w:rPr>
        <w:t>) de la Oficina de la Unión.</w:t>
      </w:r>
    </w:p>
    <w:p w:rsidR="009116AF" w:rsidRDefault="009116AF" w:rsidP="009C5CAD">
      <w:pPr>
        <w:rPr>
          <w:lang w:val="es-ES_tradnl"/>
        </w:rPr>
      </w:pPr>
    </w:p>
    <w:p w:rsidR="009116AF" w:rsidRPr="00FD5703" w:rsidRDefault="002F20D9" w:rsidP="009C5CAD">
      <w:pPr>
        <w:pStyle w:val="Heading2"/>
        <w:keepNext w:val="0"/>
        <w:rPr>
          <w:snapToGrid w:val="0"/>
          <w:lang w:val="es-ES_tradnl"/>
        </w:rPr>
      </w:pPr>
      <w:bookmarkStart w:id="14" w:name="_Toc381177107"/>
      <w:r w:rsidRPr="00FD5703">
        <w:rPr>
          <w:snapToGrid w:val="0"/>
          <w:lang w:val="es-ES_tradnl"/>
        </w:rPr>
        <w:t>Fondo de reserva</w:t>
      </w:r>
      <w:bookmarkEnd w:id="14"/>
    </w:p>
    <w:p w:rsidR="009116AF" w:rsidRPr="00FD5703" w:rsidRDefault="009116AF" w:rsidP="009C5CAD">
      <w:pPr>
        <w:rPr>
          <w:snapToGrid w:val="0"/>
          <w:lang w:val="es-ES_tradnl"/>
        </w:rPr>
      </w:pPr>
    </w:p>
    <w:p w:rsidR="009116AF" w:rsidRPr="00FD5703" w:rsidRDefault="00932B5A"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2F20D9" w:rsidRPr="00FD5703">
        <w:rPr>
          <w:color w:val="000000"/>
          <w:lang w:val="es-ES_tradnl"/>
        </w:rPr>
        <w:t xml:space="preserve">En el documento UPOV/INF/4/3 </w:t>
      </w:r>
      <w:r w:rsidR="009C5CAD" w:rsidRPr="00FD5703">
        <w:rPr>
          <w:color w:val="000000"/>
          <w:lang w:val="es-ES_tradnl"/>
        </w:rPr>
        <w:t>“</w:t>
      </w:r>
      <w:r w:rsidR="002F20D9" w:rsidRPr="00FD5703">
        <w:rPr>
          <w:color w:val="000000"/>
          <w:lang w:val="es-ES_tradnl"/>
        </w:rPr>
        <w:t>Reglamento Financiero y Reglamentación Financiera</w:t>
      </w:r>
      <w:r w:rsidR="009C5CAD" w:rsidRPr="00FD5703">
        <w:rPr>
          <w:color w:val="000000"/>
          <w:lang w:val="es-ES_tradnl"/>
        </w:rPr>
        <w:t>”</w:t>
      </w:r>
      <w:r w:rsidR="002F20D9" w:rsidRPr="00FD5703">
        <w:rPr>
          <w:color w:val="000000"/>
          <w:lang w:val="es-ES_tradnl"/>
        </w:rPr>
        <w:t xml:space="preserve"> se dispone lo siguiente: </w:t>
      </w:r>
      <w:r w:rsidR="009C5CAD" w:rsidRPr="00FD5703">
        <w:rPr>
          <w:color w:val="000000"/>
          <w:lang w:val="es-ES_tradnl"/>
        </w:rPr>
        <w:t>“</w:t>
      </w:r>
      <w:r w:rsidR="002F20D9" w:rsidRPr="00FD5703">
        <w:rPr>
          <w:color w:val="000000"/>
          <w:lang w:val="es-ES_tradnl"/>
        </w:rPr>
        <w:t xml:space="preserve">Si, tras el cierre del ejercicio económico, el importe del fondo de reserva supera el 15 </w:t>
      </w:r>
      <w:r w:rsidR="00023ABA" w:rsidRPr="00FD5703">
        <w:rPr>
          <w:color w:val="000000"/>
          <w:lang w:val="es-ES_tradnl"/>
        </w:rPr>
        <w:t>%</w:t>
      </w:r>
      <w:r w:rsidR="002F20D9" w:rsidRPr="00FD5703">
        <w:rPr>
          <w:color w:val="000000"/>
          <w:lang w:val="es-ES_tradnl"/>
        </w:rPr>
        <w:t xml:space="preserve"> de los ingresos </w:t>
      </w:r>
      <w:r w:rsidR="002F20D9" w:rsidRPr="00FD5703">
        <w:rPr>
          <w:lang w:val="es-ES_tradnl"/>
        </w:rPr>
        <w:t xml:space="preserve">totales del ejercicio económico, se reintegrará el excedente a los miembros de la UPOV a menos que el Consejo decida otra cosa. </w:t>
      </w:r>
      <w:r w:rsidRPr="00FD5703">
        <w:rPr>
          <w:lang w:val="es-ES_tradnl"/>
        </w:rPr>
        <w:t xml:space="preserve"> </w:t>
      </w:r>
      <w:r w:rsidR="002F20D9" w:rsidRPr="00FD5703">
        <w:rPr>
          <w:lang w:val="es-ES_tradnl"/>
        </w:rPr>
        <w:t>Los miembros de la UPOV podrán solicitar que el reintegro que les corresponde se deposite en una cuenta especial o un fondo fiduciario que ellos indiquen</w:t>
      </w:r>
      <w:r w:rsidR="009C5CAD" w:rsidRPr="00FD5703">
        <w:rPr>
          <w:lang w:val="es-ES_tradnl"/>
        </w:rPr>
        <w:t>”</w:t>
      </w:r>
      <w:r w:rsidR="002F20D9" w:rsidRPr="00FD5703">
        <w:rPr>
          <w:lang w:val="es-ES_tradnl"/>
        </w:rPr>
        <w:t>.</w:t>
      </w:r>
    </w:p>
    <w:p w:rsidR="009116AF" w:rsidRPr="00FD5703" w:rsidRDefault="009116AF" w:rsidP="009C5CAD">
      <w:pPr>
        <w:rPr>
          <w:lang w:val="es-ES_tradnl"/>
        </w:rPr>
      </w:pPr>
    </w:p>
    <w:p w:rsidR="009116AF" w:rsidRPr="00FD5703" w:rsidRDefault="00574BC4" w:rsidP="009C5CAD">
      <w:pPr>
        <w:rPr>
          <w:rFonts w:cs="Arial"/>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2F20D9" w:rsidRPr="00FD5703">
        <w:rPr>
          <w:rFonts w:cs="Arial"/>
          <w:color w:val="000000"/>
          <w:lang w:val="es-ES_tradnl"/>
        </w:rPr>
        <w:t xml:space="preserve">El Comité Consultivo, en su octogésima sexta reunión, celebrada en Ginebra </w:t>
      </w:r>
      <w:r w:rsidR="00023ABA" w:rsidRPr="00FD5703">
        <w:rPr>
          <w:rFonts w:cs="Arial"/>
          <w:color w:val="000000"/>
          <w:lang w:val="es-ES_tradnl"/>
        </w:rPr>
        <w:t>los días</w:t>
      </w:r>
      <w:r w:rsidR="00447C88">
        <w:rPr>
          <w:rFonts w:cs="Arial"/>
          <w:color w:val="000000"/>
          <w:lang w:val="es-ES_tradnl"/>
        </w:rPr>
        <w:t xml:space="preserve"> </w:t>
      </w:r>
      <w:r w:rsidR="002F20D9" w:rsidRPr="00FD5703">
        <w:rPr>
          <w:rFonts w:cs="Arial"/>
          <w:color w:val="000000"/>
          <w:lang w:val="es-ES_tradnl"/>
        </w:rPr>
        <w:t xml:space="preserve">23 y </w:t>
      </w:r>
      <w:r w:rsidR="00447C88">
        <w:rPr>
          <w:rFonts w:cs="Arial"/>
          <w:color w:val="000000"/>
          <w:lang w:val="es-ES_tradnl"/>
        </w:rPr>
        <w:br/>
      </w:r>
      <w:r w:rsidR="002F20D9" w:rsidRPr="00FD5703">
        <w:rPr>
          <w:rFonts w:cs="Arial"/>
          <w:color w:val="000000"/>
          <w:lang w:val="es-ES_tradnl"/>
        </w:rPr>
        <w:t>24 de octubre de 2013, recomendó la creación de una cuenta especial de la UPOV para financiar proyectos extrapresupuestarios acordados por el Consejo en situaciones en las que el importe del fondo de reserva supere el 15 % de los ingresos totales del bienio 2012-2013.</w:t>
      </w:r>
      <w:r w:rsidRPr="00FD5703">
        <w:rPr>
          <w:rFonts w:cs="Arial"/>
          <w:lang w:val="es-ES_tradnl"/>
        </w:rPr>
        <w:t xml:space="preserve">  </w:t>
      </w:r>
      <w:r w:rsidR="002F20D9" w:rsidRPr="00FD5703">
        <w:rPr>
          <w:rFonts w:cs="Arial"/>
          <w:lang w:val="es-ES_tradnl"/>
        </w:rPr>
        <w:t>Se convino en que la cuenta se utilice, en especial, para aquellos proyectos que:</w:t>
      </w:r>
    </w:p>
    <w:p w:rsidR="009116AF" w:rsidRPr="00FD5703" w:rsidRDefault="009116AF" w:rsidP="009C5CAD">
      <w:pPr>
        <w:rPr>
          <w:rFonts w:cs="Arial"/>
          <w:lang w:val="es-ES_tradnl"/>
        </w:rPr>
      </w:pPr>
    </w:p>
    <w:p w:rsidR="009116AF" w:rsidRPr="00FD5703" w:rsidRDefault="00A4083B" w:rsidP="009C5CAD">
      <w:pPr>
        <w:ind w:left="567"/>
        <w:rPr>
          <w:rFonts w:cs="Arial"/>
          <w:lang w:val="es-ES_tradnl"/>
        </w:rPr>
      </w:pPr>
      <w:r w:rsidRPr="00FD5703">
        <w:rPr>
          <w:rFonts w:cs="Arial"/>
          <w:lang w:val="es-ES_tradnl"/>
        </w:rPr>
        <w:t xml:space="preserve">i) </w:t>
      </w:r>
      <w:r w:rsidR="00815096" w:rsidRPr="00FD5703">
        <w:rPr>
          <w:rFonts w:cs="Arial"/>
          <w:lang w:val="es-ES_tradnl"/>
        </w:rPr>
        <w:tab/>
      </w:r>
      <w:r w:rsidRPr="00FD5703">
        <w:rPr>
          <w:rFonts w:cs="Arial"/>
          <w:lang w:val="es-ES_tradnl"/>
        </w:rPr>
        <w:t>asistan a los miembros de la Unión y</w:t>
      </w:r>
      <w:r w:rsidR="00023ABA" w:rsidRPr="00FD5703">
        <w:rPr>
          <w:rFonts w:cs="Arial"/>
          <w:lang w:val="es-ES_tradnl"/>
        </w:rPr>
        <w:t>,</w:t>
      </w:r>
      <w:r w:rsidRPr="00FD5703">
        <w:rPr>
          <w:rFonts w:cs="Arial"/>
          <w:lang w:val="es-ES_tradnl"/>
        </w:rPr>
        <w:t xml:space="preserve"> en especial</w:t>
      </w:r>
      <w:r w:rsidR="00023ABA" w:rsidRPr="00FD5703">
        <w:rPr>
          <w:rFonts w:cs="Arial"/>
          <w:lang w:val="es-ES_tradnl"/>
        </w:rPr>
        <w:t>,</w:t>
      </w:r>
      <w:r w:rsidRPr="00FD5703">
        <w:rPr>
          <w:rFonts w:cs="Arial"/>
          <w:lang w:val="es-ES_tradnl"/>
        </w:rPr>
        <w:t xml:space="preserve"> a sus nuevos miembros en la aplicación de sus respectivos sistemas de protección de variedades vegetales;</w:t>
      </w:r>
    </w:p>
    <w:p w:rsidR="009116AF" w:rsidRPr="00FD5703" w:rsidRDefault="00A4083B" w:rsidP="009C5CAD">
      <w:pPr>
        <w:ind w:left="567"/>
        <w:rPr>
          <w:rFonts w:cs="Arial"/>
          <w:lang w:val="es-ES_tradnl"/>
        </w:rPr>
      </w:pPr>
      <w:r w:rsidRPr="00FD5703">
        <w:rPr>
          <w:rFonts w:cs="Arial"/>
          <w:lang w:val="es-ES_tradnl"/>
        </w:rPr>
        <w:t xml:space="preserve">ii) </w:t>
      </w:r>
      <w:r w:rsidR="00815096" w:rsidRPr="00FD5703">
        <w:rPr>
          <w:rFonts w:cs="Arial"/>
          <w:lang w:val="es-ES_tradnl"/>
        </w:rPr>
        <w:tab/>
      </w:r>
      <w:r w:rsidRPr="00FD5703">
        <w:rPr>
          <w:rFonts w:cs="Arial"/>
          <w:lang w:val="es-ES_tradnl"/>
        </w:rPr>
        <w:t>se extiendan durante más de un bienio;</w:t>
      </w:r>
      <w:r w:rsidR="00574BC4" w:rsidRPr="00FD5703">
        <w:rPr>
          <w:rFonts w:cs="Arial"/>
          <w:lang w:val="es-ES_tradnl"/>
        </w:rPr>
        <w:t xml:space="preserve">  </w:t>
      </w:r>
    </w:p>
    <w:p w:rsidR="009116AF" w:rsidRPr="00FD5703" w:rsidRDefault="00A4083B" w:rsidP="009C5CAD">
      <w:pPr>
        <w:ind w:left="567"/>
        <w:rPr>
          <w:rFonts w:cs="Arial"/>
          <w:lang w:val="es-ES_tradnl"/>
        </w:rPr>
      </w:pPr>
      <w:r w:rsidRPr="00FD5703">
        <w:rPr>
          <w:rFonts w:cs="Arial"/>
          <w:lang w:val="es-ES_tradnl"/>
        </w:rPr>
        <w:t xml:space="preserve">iii) </w:t>
      </w:r>
      <w:r w:rsidR="00815096" w:rsidRPr="00FD5703">
        <w:rPr>
          <w:rFonts w:cs="Arial"/>
          <w:lang w:val="es-ES_tradnl"/>
        </w:rPr>
        <w:tab/>
      </w:r>
      <w:r w:rsidRPr="00FD5703">
        <w:rPr>
          <w:rFonts w:cs="Arial"/>
          <w:lang w:val="es-ES_tradnl"/>
        </w:rPr>
        <w:t>proporcionen beneficios a largo plazo a los miembros de la Unión;  y</w:t>
      </w:r>
    </w:p>
    <w:p w:rsidR="009116AF" w:rsidRPr="00FD5703" w:rsidRDefault="00A4083B" w:rsidP="009C5CAD">
      <w:pPr>
        <w:ind w:left="567"/>
        <w:rPr>
          <w:rFonts w:cs="Arial"/>
          <w:lang w:val="es-ES_tradnl"/>
        </w:rPr>
      </w:pPr>
      <w:r w:rsidRPr="00FD5703">
        <w:rPr>
          <w:rFonts w:cs="Arial"/>
          <w:lang w:val="es-ES_tradnl"/>
        </w:rPr>
        <w:t xml:space="preserve">iv) </w:t>
      </w:r>
      <w:r w:rsidR="00815096" w:rsidRPr="00FD5703">
        <w:rPr>
          <w:rFonts w:cs="Arial"/>
          <w:lang w:val="es-ES_tradnl"/>
        </w:rPr>
        <w:tab/>
      </w:r>
      <w:r w:rsidRPr="00FD5703">
        <w:rPr>
          <w:rFonts w:cs="Arial"/>
          <w:lang w:val="es-ES_tradnl"/>
        </w:rPr>
        <w:t>avancen con mayor rapidez con fondos extrapresupuestarios.</w:t>
      </w:r>
    </w:p>
    <w:p w:rsidR="009116AF" w:rsidRPr="00FD5703" w:rsidRDefault="009116AF" w:rsidP="009C5CAD">
      <w:pPr>
        <w:rPr>
          <w:rFonts w:cs="Arial"/>
          <w:lang w:val="es-ES_tradnl"/>
        </w:rPr>
      </w:pPr>
    </w:p>
    <w:p w:rsidR="009116AF" w:rsidRPr="00FD5703" w:rsidRDefault="00574BC4" w:rsidP="009C5CAD">
      <w:pPr>
        <w:rPr>
          <w:sz w:val="18"/>
          <w:szCs w:val="18"/>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A4083B" w:rsidRPr="00FD5703">
        <w:rPr>
          <w:rFonts w:cs="Arial"/>
          <w:lang w:val="es-ES_tradnl"/>
        </w:rPr>
        <w:t>Se acordó además que los proyectos que se contemple financiar con cargo a una cuenta especial de la UPOV se sometan a la consideración del Comité Consultivo antes de presentarse al Consejo para su aprobación.</w:t>
      </w:r>
      <w:r w:rsidRPr="00FD5703">
        <w:rPr>
          <w:rFonts w:cs="Arial"/>
          <w:lang w:val="es-ES_tradnl"/>
        </w:rPr>
        <w:t xml:space="preserve">  </w:t>
      </w:r>
      <w:r w:rsidR="00A4083B" w:rsidRPr="00FD5703">
        <w:rPr>
          <w:rFonts w:cs="Arial"/>
          <w:lang w:val="es-ES_tradnl"/>
        </w:rPr>
        <w:t>A ese respecto, se convino en que el Comité Consultivo tenga flexibilidad para recomendar proyectos que tengan en cuenta factores distintos a los identificados en los puntos i) a iv) anteriores.</w:t>
      </w:r>
    </w:p>
    <w:p w:rsidR="009116AF" w:rsidRPr="00FD5703" w:rsidRDefault="009116AF" w:rsidP="009C5CAD">
      <w:pPr>
        <w:rPr>
          <w:spacing w:val="-2"/>
          <w:lang w:val="es-ES_tradnl"/>
        </w:rPr>
      </w:pPr>
    </w:p>
    <w:p w:rsidR="00815096" w:rsidRPr="00FD5703" w:rsidRDefault="00815096" w:rsidP="009C5CAD">
      <w:pPr>
        <w:rPr>
          <w:spacing w:val="-2"/>
          <w:lang w:val="es-ES_tradnl"/>
        </w:rPr>
      </w:pPr>
    </w:p>
    <w:p w:rsidR="009116AF" w:rsidRPr="00FD5703" w:rsidRDefault="00A4083B" w:rsidP="00464673">
      <w:pPr>
        <w:pStyle w:val="Heading1"/>
        <w:rPr>
          <w:lang w:val="es-ES_tradnl"/>
        </w:rPr>
      </w:pPr>
      <w:bookmarkStart w:id="15" w:name="_Toc381177108"/>
      <w:r w:rsidRPr="00FD5703">
        <w:rPr>
          <w:lang w:val="es-ES_tradnl"/>
        </w:rPr>
        <w:t>PRESIDENCIA DE LOS ÓRGANOS DE LA UPOV</w:t>
      </w:r>
      <w:bookmarkEnd w:id="15"/>
    </w:p>
    <w:p w:rsidR="009116AF" w:rsidRPr="00FD5703" w:rsidRDefault="009116AF" w:rsidP="009C5CAD">
      <w:pPr>
        <w:rPr>
          <w:rFonts w:cs="Arial"/>
          <w:lang w:val="es-ES_tradnl"/>
        </w:rPr>
      </w:pPr>
    </w:p>
    <w:p w:rsidR="009116AF" w:rsidRPr="00FD5703" w:rsidRDefault="000536A6" w:rsidP="009C5CAD">
      <w:pPr>
        <w:rPr>
          <w:rFonts w:cs="Arial"/>
          <w:lang w:val="es-ES_tradnl"/>
        </w:rPr>
      </w:pPr>
      <w:r w:rsidRPr="00FD5703">
        <w:rPr>
          <w:rFonts w:cs="Arial"/>
          <w:lang w:val="es-ES_tradnl"/>
        </w:rPr>
        <w:fldChar w:fldCharType="begin"/>
      </w:r>
      <w:r w:rsidRPr="00FD5703">
        <w:rPr>
          <w:rFonts w:cs="Arial"/>
          <w:lang w:val="es-ES_tradnl"/>
        </w:rPr>
        <w:instrText xml:space="preserve"> AUTONUM  </w:instrText>
      </w:r>
      <w:r w:rsidRPr="00FD5703">
        <w:rPr>
          <w:rFonts w:cs="Arial"/>
          <w:lang w:val="es-ES_tradnl"/>
        </w:rPr>
        <w:fldChar w:fldCharType="end"/>
      </w:r>
      <w:r w:rsidRPr="00FD5703">
        <w:rPr>
          <w:rFonts w:cs="Arial"/>
          <w:lang w:val="es-ES_tradnl"/>
        </w:rPr>
        <w:tab/>
      </w:r>
      <w:r w:rsidR="00A4083B" w:rsidRPr="00FD5703">
        <w:rPr>
          <w:color w:val="000000"/>
          <w:lang w:val="es-ES_tradnl"/>
        </w:rPr>
        <w:t xml:space="preserve">En su cuadragésima séptima sesión ordinaria, celebrada en Ginebra, el 24 de octubre de 2013, el Consejo eligió a las personas siguientes, en cada caso por un mandato de tres años, que concluirá con la quincuagésima sesión ordinaria del Consejo en 2016 (véase el párrafo 53 del documento C/47/19 </w:t>
      </w:r>
      <w:r w:rsidR="009C5CAD" w:rsidRPr="00FD5703">
        <w:rPr>
          <w:color w:val="000000"/>
          <w:lang w:val="es-ES_tradnl"/>
        </w:rPr>
        <w:t>“</w:t>
      </w:r>
      <w:r w:rsidR="00A4083B" w:rsidRPr="00FD5703">
        <w:rPr>
          <w:color w:val="000000"/>
          <w:lang w:val="es-ES_tradnl"/>
        </w:rPr>
        <w:t>Informe sobre las decisiones</w:t>
      </w:r>
      <w:r w:rsidR="009C5CAD" w:rsidRPr="00FD5703">
        <w:rPr>
          <w:color w:val="000000"/>
          <w:lang w:val="es-ES_tradnl"/>
        </w:rPr>
        <w:t>”</w:t>
      </w:r>
      <w:r w:rsidR="00A4083B" w:rsidRPr="00FD5703">
        <w:rPr>
          <w:color w:val="000000"/>
          <w:lang w:val="es-ES_tradnl"/>
        </w:rPr>
        <w:t>):</w:t>
      </w:r>
    </w:p>
    <w:p w:rsidR="009116AF" w:rsidRPr="00FD5703" w:rsidRDefault="009116AF" w:rsidP="009C5CAD">
      <w:pPr>
        <w:rPr>
          <w:rFonts w:cs="Arial"/>
          <w:lang w:val="es-ES_tradnl"/>
        </w:rPr>
      </w:pPr>
    </w:p>
    <w:p w:rsidR="009116AF" w:rsidRPr="00FD5703" w:rsidRDefault="000536A6" w:rsidP="009C5CAD">
      <w:pPr>
        <w:rPr>
          <w:rFonts w:cs="Arial"/>
          <w:lang w:val="es-ES_tradnl"/>
        </w:rPr>
      </w:pPr>
      <w:r w:rsidRPr="00FD5703">
        <w:rPr>
          <w:rFonts w:cs="Arial"/>
          <w:lang w:val="es-ES_tradnl"/>
        </w:rPr>
        <w:tab/>
      </w:r>
      <w:r w:rsidR="00A4083B" w:rsidRPr="00FD5703">
        <w:rPr>
          <w:rFonts w:cs="Arial"/>
          <w:lang w:val="es-ES_tradnl"/>
        </w:rPr>
        <w:t xml:space="preserve">a) </w:t>
      </w:r>
      <w:r w:rsidR="00815096" w:rsidRPr="00FD5703">
        <w:rPr>
          <w:rFonts w:cs="Arial"/>
          <w:lang w:val="es-ES_tradnl"/>
        </w:rPr>
        <w:tab/>
      </w:r>
      <w:r w:rsidR="00A4083B" w:rsidRPr="00FD5703">
        <w:rPr>
          <w:rFonts w:cs="Arial"/>
          <w:lang w:val="es-ES_tradnl"/>
        </w:rPr>
        <w:t xml:space="preserve">Sr. Martin </w:t>
      </w:r>
      <w:proofErr w:type="spellStart"/>
      <w:r w:rsidR="00A4083B" w:rsidRPr="00FD5703">
        <w:rPr>
          <w:rFonts w:cs="Arial"/>
          <w:lang w:val="es-ES_tradnl"/>
        </w:rPr>
        <w:t>Ekvad</w:t>
      </w:r>
      <w:proofErr w:type="spellEnd"/>
      <w:r w:rsidR="00A4083B" w:rsidRPr="00FD5703">
        <w:rPr>
          <w:rFonts w:cs="Arial"/>
          <w:lang w:val="es-ES_tradnl"/>
        </w:rPr>
        <w:t xml:space="preserve"> (Unión Europea), Presidente del Comité Administrativo y Jurídico;</w:t>
      </w:r>
      <w:r w:rsidRPr="00FD5703">
        <w:rPr>
          <w:rFonts w:cs="Arial"/>
          <w:lang w:val="es-ES_tradnl"/>
        </w:rPr>
        <w:t xml:space="preserve"> </w:t>
      </w:r>
    </w:p>
    <w:p w:rsidR="009116AF" w:rsidRPr="00FD5703" w:rsidRDefault="009116AF" w:rsidP="009C5CAD">
      <w:pPr>
        <w:rPr>
          <w:rFonts w:cs="Arial"/>
          <w:lang w:val="es-ES_tradnl"/>
        </w:rPr>
      </w:pPr>
    </w:p>
    <w:p w:rsidR="009116AF" w:rsidRPr="00FD5703" w:rsidRDefault="000536A6" w:rsidP="009C5CAD">
      <w:pPr>
        <w:rPr>
          <w:rFonts w:cs="Arial"/>
          <w:lang w:val="es-ES_tradnl"/>
        </w:rPr>
      </w:pPr>
      <w:r w:rsidRPr="00FD5703">
        <w:rPr>
          <w:rFonts w:cs="Arial"/>
          <w:lang w:val="es-ES_tradnl"/>
        </w:rPr>
        <w:tab/>
      </w:r>
      <w:r w:rsidR="00A4083B" w:rsidRPr="00FD5703">
        <w:rPr>
          <w:rFonts w:cs="Arial"/>
          <w:lang w:val="es-ES_tradnl"/>
        </w:rPr>
        <w:t xml:space="preserve">b) </w:t>
      </w:r>
      <w:r w:rsidR="00815096" w:rsidRPr="00FD5703">
        <w:rPr>
          <w:rFonts w:cs="Arial"/>
          <w:lang w:val="es-ES_tradnl"/>
        </w:rPr>
        <w:tab/>
      </w:r>
      <w:r w:rsidR="00A4083B" w:rsidRPr="00FD5703">
        <w:rPr>
          <w:rFonts w:cs="Arial"/>
          <w:lang w:val="es-ES_tradnl"/>
        </w:rPr>
        <w:t xml:space="preserve">Sr. James M. </w:t>
      </w:r>
      <w:proofErr w:type="spellStart"/>
      <w:r w:rsidR="00A4083B" w:rsidRPr="00FD5703">
        <w:rPr>
          <w:rFonts w:cs="Arial"/>
          <w:lang w:val="es-ES_tradnl"/>
        </w:rPr>
        <w:t>Onsando</w:t>
      </w:r>
      <w:proofErr w:type="spellEnd"/>
      <w:r w:rsidR="00A4083B" w:rsidRPr="00FD5703">
        <w:rPr>
          <w:rFonts w:cs="Arial"/>
          <w:lang w:val="es-ES_tradnl"/>
        </w:rPr>
        <w:t xml:space="preserve"> (</w:t>
      </w:r>
      <w:proofErr w:type="spellStart"/>
      <w:r w:rsidR="00A4083B" w:rsidRPr="00FD5703">
        <w:rPr>
          <w:rFonts w:cs="Arial"/>
          <w:lang w:val="es-ES_tradnl"/>
        </w:rPr>
        <w:t>Kenya</w:t>
      </w:r>
      <w:proofErr w:type="spellEnd"/>
      <w:r w:rsidR="00A4083B" w:rsidRPr="00FD5703">
        <w:rPr>
          <w:rFonts w:cs="Arial"/>
          <w:lang w:val="es-ES_tradnl"/>
        </w:rPr>
        <w:t>), Vicepresidente del Comité Administrativo y Jurídico;</w:t>
      </w:r>
    </w:p>
    <w:p w:rsidR="009116AF" w:rsidRPr="00FD5703" w:rsidRDefault="009116AF" w:rsidP="009C5CAD">
      <w:pPr>
        <w:rPr>
          <w:rFonts w:cs="Arial"/>
          <w:lang w:val="es-ES_tradnl"/>
        </w:rPr>
      </w:pPr>
    </w:p>
    <w:p w:rsidR="009116AF" w:rsidRPr="00FD5703" w:rsidRDefault="000536A6" w:rsidP="009C5CAD">
      <w:pPr>
        <w:rPr>
          <w:rFonts w:cs="Arial"/>
          <w:lang w:val="es-ES_tradnl"/>
        </w:rPr>
      </w:pPr>
      <w:r w:rsidRPr="00FD5703">
        <w:rPr>
          <w:rFonts w:cs="Arial"/>
          <w:lang w:val="es-ES_tradnl"/>
        </w:rPr>
        <w:tab/>
      </w:r>
      <w:r w:rsidR="00A4083B" w:rsidRPr="00FD5703">
        <w:rPr>
          <w:rFonts w:cs="Arial"/>
          <w:lang w:val="es-ES_tradnl"/>
        </w:rPr>
        <w:t xml:space="preserve">c) </w:t>
      </w:r>
      <w:r w:rsidR="00815096" w:rsidRPr="00FD5703">
        <w:rPr>
          <w:rFonts w:cs="Arial"/>
          <w:lang w:val="es-ES_tradnl"/>
        </w:rPr>
        <w:tab/>
      </w:r>
      <w:r w:rsidR="00A4083B" w:rsidRPr="00FD5703">
        <w:rPr>
          <w:rFonts w:cs="Arial"/>
          <w:lang w:val="es-ES_tradnl"/>
        </w:rPr>
        <w:t xml:space="preserve">Sr. Alejandro </w:t>
      </w:r>
      <w:r w:rsidR="00447C88">
        <w:rPr>
          <w:rFonts w:cs="Arial"/>
          <w:lang w:val="es-ES_tradnl"/>
        </w:rPr>
        <w:t xml:space="preserve">F. </w:t>
      </w:r>
      <w:r w:rsidR="00A4083B" w:rsidRPr="00FD5703">
        <w:rPr>
          <w:rFonts w:cs="Arial"/>
          <w:lang w:val="es-ES_tradnl"/>
        </w:rPr>
        <w:t>Barrientos-Priego (México), Presidente del Comité Técnico;</w:t>
      </w:r>
    </w:p>
    <w:p w:rsidR="009116AF" w:rsidRPr="00FD5703" w:rsidRDefault="009116AF" w:rsidP="009C5CAD">
      <w:pPr>
        <w:rPr>
          <w:rFonts w:cs="Arial"/>
          <w:lang w:val="es-ES_tradnl"/>
        </w:rPr>
      </w:pPr>
    </w:p>
    <w:p w:rsidR="009116AF" w:rsidRPr="00FD5703" w:rsidRDefault="000536A6" w:rsidP="009C5CAD">
      <w:pPr>
        <w:rPr>
          <w:rFonts w:cs="Arial"/>
          <w:lang w:val="es-ES_tradnl"/>
        </w:rPr>
      </w:pPr>
      <w:r w:rsidRPr="00FD5703">
        <w:rPr>
          <w:rFonts w:cs="Arial"/>
          <w:lang w:val="es-ES_tradnl"/>
        </w:rPr>
        <w:tab/>
      </w:r>
      <w:r w:rsidR="00A4083B" w:rsidRPr="00FD5703">
        <w:rPr>
          <w:rFonts w:cs="Arial"/>
          <w:lang w:val="es-ES_tradnl"/>
        </w:rPr>
        <w:t xml:space="preserve">d) </w:t>
      </w:r>
      <w:r w:rsidR="00815096" w:rsidRPr="00FD5703">
        <w:rPr>
          <w:rFonts w:cs="Arial"/>
          <w:lang w:val="es-ES_tradnl"/>
        </w:rPr>
        <w:tab/>
      </w:r>
      <w:r w:rsidR="00A4083B" w:rsidRPr="00FD5703">
        <w:rPr>
          <w:rFonts w:cs="Arial"/>
          <w:lang w:val="es-ES_tradnl"/>
        </w:rPr>
        <w:t>Sr. </w:t>
      </w:r>
      <w:proofErr w:type="spellStart"/>
      <w:r w:rsidR="00A4083B" w:rsidRPr="00FD5703">
        <w:rPr>
          <w:rFonts w:cs="Arial"/>
          <w:lang w:val="es-ES_tradnl"/>
        </w:rPr>
        <w:t>Kees</w:t>
      </w:r>
      <w:proofErr w:type="spellEnd"/>
      <w:r w:rsidR="00A4083B" w:rsidRPr="00FD5703">
        <w:rPr>
          <w:rFonts w:cs="Arial"/>
          <w:lang w:val="es-ES_tradnl"/>
        </w:rPr>
        <w:t xml:space="preserve"> van </w:t>
      </w:r>
      <w:proofErr w:type="spellStart"/>
      <w:r w:rsidR="00A4083B" w:rsidRPr="00FD5703">
        <w:rPr>
          <w:rFonts w:cs="Arial"/>
          <w:lang w:val="es-ES_tradnl"/>
        </w:rPr>
        <w:t>Ettekoven</w:t>
      </w:r>
      <w:proofErr w:type="spellEnd"/>
      <w:r w:rsidR="00A4083B" w:rsidRPr="00FD5703">
        <w:rPr>
          <w:rFonts w:cs="Arial"/>
          <w:lang w:val="es-ES_tradnl"/>
        </w:rPr>
        <w:t xml:space="preserve"> (Países Bajos), Vicepresidente del Comité Técnico.</w:t>
      </w:r>
    </w:p>
    <w:p w:rsidR="009116AF" w:rsidRPr="00FD5703" w:rsidRDefault="009116AF" w:rsidP="009C5CAD">
      <w:pPr>
        <w:rPr>
          <w:lang w:val="es-ES_tradnl"/>
        </w:rPr>
      </w:pPr>
    </w:p>
    <w:p w:rsidR="009116AF" w:rsidRPr="00FD5703" w:rsidRDefault="009116AF" w:rsidP="009C5CAD">
      <w:pPr>
        <w:rPr>
          <w:lang w:val="es-ES_tradnl"/>
        </w:rPr>
      </w:pPr>
    </w:p>
    <w:p w:rsidR="009116AF" w:rsidRPr="00FD5703" w:rsidRDefault="009572D9" w:rsidP="00464673">
      <w:pPr>
        <w:pStyle w:val="Heading1"/>
        <w:rPr>
          <w:lang w:val="es-ES_tradnl"/>
        </w:rPr>
      </w:pPr>
      <w:bookmarkStart w:id="16" w:name="_Toc381177109"/>
      <w:r w:rsidRPr="00FD5703">
        <w:rPr>
          <w:lang w:val="es-ES_tradnl"/>
        </w:rPr>
        <w:t>COLECCIÓN DE LA UPOV</w:t>
      </w:r>
      <w:bookmarkEnd w:id="16"/>
    </w:p>
    <w:p w:rsidR="009116AF" w:rsidRPr="00FD5703" w:rsidRDefault="009116AF" w:rsidP="00464673">
      <w:pPr>
        <w:pStyle w:val="Heading1"/>
        <w:rPr>
          <w:lang w:val="es-ES_tradnl"/>
        </w:rPr>
      </w:pPr>
    </w:p>
    <w:p w:rsidR="009116AF" w:rsidRPr="00FD5703" w:rsidRDefault="001C553C"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E537A2" w:rsidRPr="00FD5703">
        <w:rPr>
          <w:color w:val="000000"/>
          <w:lang w:val="es-ES_tradnl"/>
        </w:rPr>
        <w:t xml:space="preserve">Los siguientes documentos de la </w:t>
      </w:r>
      <w:r w:rsidR="009C5CAD" w:rsidRPr="00FD5703">
        <w:rPr>
          <w:color w:val="000000"/>
          <w:lang w:val="es-ES_tradnl"/>
        </w:rPr>
        <w:t>“</w:t>
      </w:r>
      <w:r w:rsidR="00E537A2" w:rsidRPr="00FD5703">
        <w:rPr>
          <w:color w:val="000000"/>
          <w:lang w:val="es-ES_tradnl"/>
        </w:rPr>
        <w:t>Colección de la UPOV</w:t>
      </w:r>
      <w:r w:rsidR="009C5CAD" w:rsidRPr="00FD5703">
        <w:rPr>
          <w:color w:val="000000"/>
          <w:lang w:val="es-ES_tradnl"/>
        </w:rPr>
        <w:t>”</w:t>
      </w:r>
      <w:r w:rsidR="00E537A2" w:rsidRPr="00FD5703">
        <w:rPr>
          <w:color w:val="000000"/>
          <w:lang w:val="es-ES_tradnl"/>
        </w:rPr>
        <w:t xml:space="preserve"> han sido aprobados desde la cuadragésima novena sesión del Comité Técnico, celebrada en Ginebra del 18 al 20 de marzo de 2013:  </w:t>
      </w:r>
      <w:r w:rsidR="007930E0" w:rsidRPr="00FD5703">
        <w:rPr>
          <w:lang w:val="es-ES_tradnl"/>
        </w:rPr>
        <w:t xml:space="preserve">  </w:t>
      </w:r>
    </w:p>
    <w:p w:rsidR="009116AF" w:rsidRDefault="009116AF" w:rsidP="009C5CAD">
      <w:pPr>
        <w:rPr>
          <w:lang w:val="es-ES_tradnl"/>
        </w:rPr>
      </w:pPr>
    </w:p>
    <w:p w:rsidR="00AF24C0" w:rsidRPr="00FD5703" w:rsidRDefault="00AF24C0" w:rsidP="009C5CAD">
      <w:pPr>
        <w:rPr>
          <w:lang w:val="es-ES_tradnl"/>
        </w:rPr>
      </w:pPr>
    </w:p>
    <w:p w:rsidR="009116AF" w:rsidRPr="00FD5703" w:rsidRDefault="00643DA1" w:rsidP="009C5CAD">
      <w:pPr>
        <w:pStyle w:val="Heading2"/>
        <w:keepNext w:val="0"/>
        <w:rPr>
          <w:lang w:val="es-ES_tradnl"/>
        </w:rPr>
      </w:pPr>
      <w:bookmarkStart w:id="17" w:name="_Toc381177110"/>
      <w:r w:rsidRPr="00FD5703">
        <w:rPr>
          <w:lang w:val="es-ES_tradnl"/>
        </w:rPr>
        <w:t>Nuev</w:t>
      </w:r>
      <w:r w:rsidR="00C859E1" w:rsidRPr="00FD5703">
        <w:rPr>
          <w:lang w:val="es-ES_tradnl"/>
        </w:rPr>
        <w:t>o</w:t>
      </w:r>
      <w:r w:rsidRPr="00FD5703">
        <w:rPr>
          <w:lang w:val="es-ES_tradnl"/>
        </w:rPr>
        <w:t>s</w:t>
      </w:r>
      <w:r w:rsidR="00C859E1" w:rsidRPr="00FD5703">
        <w:rPr>
          <w:lang w:val="es-ES_tradnl"/>
        </w:rPr>
        <w:t xml:space="preserve"> documentos aprobados</w:t>
      </w:r>
      <w:bookmarkEnd w:id="17"/>
    </w:p>
    <w:p w:rsidR="009116AF" w:rsidRPr="00FD5703" w:rsidRDefault="009116AF" w:rsidP="009C5CAD">
      <w:pPr>
        <w:rPr>
          <w:lang w:val="es-ES_tradnl"/>
        </w:rPr>
      </w:pPr>
    </w:p>
    <w:p w:rsidR="009116AF" w:rsidRPr="00FD5703" w:rsidRDefault="00563EAF" w:rsidP="009C5CAD">
      <w:pPr>
        <w:pStyle w:val="Heading3"/>
        <w:rPr>
          <w:snapToGrid w:val="0"/>
          <w:lang w:val="es-ES_tradnl"/>
        </w:rPr>
      </w:pPr>
      <w:bookmarkStart w:id="18" w:name="_Toc381177111"/>
      <w:r w:rsidRPr="00FD5703">
        <w:rPr>
          <w:snapToGrid w:val="0"/>
          <w:lang w:val="es-ES_tradnl"/>
        </w:rPr>
        <w:t>Serie de documentos UPOV/INF</w:t>
      </w:r>
      <w:bookmarkEnd w:id="18"/>
    </w:p>
    <w:p w:rsidR="007C6459" w:rsidRPr="00FD5703" w:rsidRDefault="007C6459" w:rsidP="009C5CAD">
      <w:pPr>
        <w:rPr>
          <w:snapToGrid w:val="0"/>
          <w:szCs w:val="24"/>
          <w:lang w:val="es-ES_tradnl"/>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567"/>
        <w:gridCol w:w="4819"/>
        <w:gridCol w:w="2269"/>
      </w:tblGrid>
      <w:tr w:rsidR="007C6459" w:rsidRPr="00FD5703" w:rsidTr="00447C88">
        <w:trPr>
          <w:cantSplit/>
          <w:tblHeader/>
        </w:trPr>
        <w:tc>
          <w:tcPr>
            <w:tcW w:w="1985" w:type="dxa"/>
            <w:shd w:val="pct10" w:color="auto" w:fill="auto"/>
          </w:tcPr>
          <w:p w:rsidR="007C6459" w:rsidRPr="00FD5703" w:rsidRDefault="00563EAF" w:rsidP="009C5CAD">
            <w:pPr>
              <w:spacing w:before="60" w:after="60"/>
              <w:jc w:val="left"/>
              <w:rPr>
                <w:b/>
                <w:sz w:val="22"/>
                <w:szCs w:val="22"/>
                <w:lang w:val="es-ES_tradnl"/>
              </w:rPr>
            </w:pPr>
            <w:r w:rsidRPr="00FD5703">
              <w:rPr>
                <w:b/>
                <w:szCs w:val="22"/>
                <w:lang w:val="es-ES_tradnl"/>
              </w:rPr>
              <w:t>Referencia del documento</w:t>
            </w:r>
          </w:p>
        </w:tc>
        <w:tc>
          <w:tcPr>
            <w:tcW w:w="567" w:type="dxa"/>
            <w:shd w:val="pct10" w:color="auto" w:fill="auto"/>
          </w:tcPr>
          <w:p w:rsidR="007C6459" w:rsidRPr="00FD5703" w:rsidRDefault="00563EAF" w:rsidP="009C5CAD">
            <w:pPr>
              <w:spacing w:before="60" w:after="60"/>
              <w:rPr>
                <w:b/>
                <w:sz w:val="22"/>
                <w:szCs w:val="22"/>
                <w:lang w:val="es-ES_tradnl"/>
              </w:rPr>
            </w:pPr>
            <w:r w:rsidRPr="00FD5703">
              <w:rPr>
                <w:b/>
                <w:szCs w:val="22"/>
                <w:lang w:val="es-ES_tradnl"/>
              </w:rPr>
              <w:t>Nº</w:t>
            </w:r>
          </w:p>
        </w:tc>
        <w:tc>
          <w:tcPr>
            <w:tcW w:w="4819" w:type="dxa"/>
            <w:shd w:val="pct10" w:color="auto" w:fill="auto"/>
          </w:tcPr>
          <w:p w:rsidR="007C6459" w:rsidRPr="00FD5703" w:rsidRDefault="00563EAF" w:rsidP="009C5CAD">
            <w:pPr>
              <w:spacing w:before="60" w:after="60"/>
              <w:rPr>
                <w:b/>
                <w:sz w:val="22"/>
                <w:szCs w:val="22"/>
                <w:lang w:val="es-ES_tradnl"/>
              </w:rPr>
            </w:pPr>
            <w:r w:rsidRPr="00FD5703">
              <w:rPr>
                <w:b/>
                <w:szCs w:val="22"/>
                <w:lang w:val="es-ES_tradnl"/>
              </w:rPr>
              <w:t>Título</w:t>
            </w:r>
          </w:p>
        </w:tc>
        <w:tc>
          <w:tcPr>
            <w:tcW w:w="2269" w:type="dxa"/>
            <w:shd w:val="pct10" w:color="auto" w:fill="auto"/>
          </w:tcPr>
          <w:p w:rsidR="007C6459" w:rsidRPr="00FD5703" w:rsidRDefault="00563EAF" w:rsidP="009C5CAD">
            <w:pPr>
              <w:spacing w:before="60" w:after="60"/>
              <w:jc w:val="left"/>
              <w:rPr>
                <w:b/>
                <w:szCs w:val="22"/>
                <w:lang w:val="es-ES_tradnl"/>
              </w:rPr>
            </w:pPr>
            <w:r w:rsidRPr="00FD5703">
              <w:rPr>
                <w:b/>
                <w:szCs w:val="22"/>
                <w:lang w:val="es-ES_tradnl"/>
              </w:rPr>
              <w:t>Fecha de publicación</w:t>
            </w:r>
          </w:p>
        </w:tc>
      </w:tr>
      <w:tr w:rsidR="007C6459" w:rsidRPr="00FD5703" w:rsidTr="00447C88">
        <w:trPr>
          <w:cantSplit/>
        </w:trPr>
        <w:tc>
          <w:tcPr>
            <w:tcW w:w="1985" w:type="dxa"/>
          </w:tcPr>
          <w:p w:rsidR="007C6459" w:rsidRPr="00FD5703" w:rsidRDefault="00563EAF" w:rsidP="009C5CAD">
            <w:pPr>
              <w:spacing w:before="40" w:after="40"/>
              <w:rPr>
                <w:sz w:val="22"/>
                <w:szCs w:val="22"/>
                <w:lang w:val="es-ES_tradnl"/>
              </w:rPr>
            </w:pPr>
            <w:r w:rsidRPr="00FD5703">
              <w:rPr>
                <w:szCs w:val="22"/>
                <w:lang w:val="es-ES_tradnl"/>
              </w:rPr>
              <w:t>UPOV/INF-EXN</w:t>
            </w:r>
          </w:p>
        </w:tc>
        <w:tc>
          <w:tcPr>
            <w:tcW w:w="567" w:type="dxa"/>
          </w:tcPr>
          <w:p w:rsidR="007C6459" w:rsidRPr="00FD5703" w:rsidRDefault="007C6459" w:rsidP="009C5CAD">
            <w:pPr>
              <w:spacing w:before="40" w:after="40"/>
              <w:rPr>
                <w:sz w:val="22"/>
                <w:szCs w:val="22"/>
                <w:lang w:val="es-ES_tradnl"/>
              </w:rPr>
            </w:pPr>
            <w:r w:rsidRPr="00FD5703">
              <w:rPr>
                <w:szCs w:val="22"/>
                <w:lang w:val="es-ES_tradnl"/>
              </w:rPr>
              <w:t>/5</w:t>
            </w:r>
          </w:p>
        </w:tc>
        <w:tc>
          <w:tcPr>
            <w:tcW w:w="4819" w:type="dxa"/>
          </w:tcPr>
          <w:p w:rsidR="007C6459" w:rsidRPr="00FD5703" w:rsidRDefault="00563EAF" w:rsidP="009C5CAD">
            <w:pPr>
              <w:spacing w:before="40" w:after="40"/>
              <w:jc w:val="left"/>
              <w:rPr>
                <w:sz w:val="22"/>
                <w:szCs w:val="22"/>
                <w:lang w:val="es-ES_tradnl"/>
              </w:rPr>
            </w:pPr>
            <w:r w:rsidRPr="00FD5703">
              <w:rPr>
                <w:szCs w:val="22"/>
                <w:lang w:val="es-ES_tradnl"/>
              </w:rPr>
              <w:t>Lista de documentos UPOV/INF-EXN y fechas de última publicación</w:t>
            </w:r>
          </w:p>
        </w:tc>
        <w:tc>
          <w:tcPr>
            <w:tcW w:w="2269" w:type="dxa"/>
          </w:tcPr>
          <w:p w:rsidR="007C6459" w:rsidRPr="00FD5703" w:rsidRDefault="00563EAF" w:rsidP="009C5CAD">
            <w:pPr>
              <w:spacing w:before="40" w:after="40"/>
              <w:jc w:val="left"/>
              <w:rPr>
                <w:szCs w:val="22"/>
                <w:lang w:val="es-ES_tradnl"/>
              </w:rPr>
            </w:pPr>
            <w:r w:rsidRPr="00FD5703">
              <w:rPr>
                <w:szCs w:val="22"/>
                <w:lang w:val="es-ES_tradnl"/>
              </w:rPr>
              <w:t>24 de octubre de 2013</w:t>
            </w:r>
          </w:p>
        </w:tc>
      </w:tr>
      <w:tr w:rsidR="007C6459" w:rsidRPr="00FD5703" w:rsidTr="00447C88">
        <w:trPr>
          <w:cantSplit/>
        </w:trPr>
        <w:tc>
          <w:tcPr>
            <w:tcW w:w="1985" w:type="dxa"/>
          </w:tcPr>
          <w:p w:rsidR="007C6459" w:rsidRPr="00FD5703" w:rsidRDefault="00563EAF" w:rsidP="009C5CAD">
            <w:pPr>
              <w:spacing w:before="40" w:after="40"/>
              <w:rPr>
                <w:sz w:val="22"/>
                <w:szCs w:val="22"/>
                <w:lang w:val="es-ES_tradnl"/>
              </w:rPr>
            </w:pPr>
            <w:r w:rsidRPr="00FD5703">
              <w:rPr>
                <w:szCs w:val="22"/>
                <w:lang w:val="es-ES_tradnl"/>
              </w:rPr>
              <w:t>UPOV/INF/4</w:t>
            </w:r>
          </w:p>
        </w:tc>
        <w:tc>
          <w:tcPr>
            <w:tcW w:w="567" w:type="dxa"/>
          </w:tcPr>
          <w:p w:rsidR="007C6459" w:rsidRPr="00FD5703" w:rsidRDefault="007C6459" w:rsidP="009C5CAD">
            <w:pPr>
              <w:spacing w:before="40" w:after="40"/>
              <w:rPr>
                <w:sz w:val="22"/>
                <w:szCs w:val="22"/>
                <w:lang w:val="es-ES_tradnl"/>
              </w:rPr>
            </w:pPr>
            <w:r w:rsidRPr="00FD5703">
              <w:rPr>
                <w:szCs w:val="22"/>
                <w:lang w:val="es-ES_tradnl"/>
              </w:rPr>
              <w:t>/3</w:t>
            </w:r>
          </w:p>
        </w:tc>
        <w:tc>
          <w:tcPr>
            <w:tcW w:w="4819" w:type="dxa"/>
          </w:tcPr>
          <w:p w:rsidR="007C6459" w:rsidRPr="00FD5703" w:rsidRDefault="00563EAF" w:rsidP="009C5CAD">
            <w:pPr>
              <w:spacing w:before="40" w:after="40"/>
              <w:jc w:val="left"/>
              <w:rPr>
                <w:sz w:val="22"/>
                <w:szCs w:val="22"/>
                <w:lang w:val="es-ES_tradnl"/>
              </w:rPr>
            </w:pPr>
            <w:r w:rsidRPr="00FD5703">
              <w:rPr>
                <w:szCs w:val="22"/>
                <w:lang w:val="es-ES_tradnl"/>
              </w:rPr>
              <w:t>Reglamento Financiero y Reglamentación Financiera de la UPOV</w:t>
            </w:r>
          </w:p>
        </w:tc>
        <w:tc>
          <w:tcPr>
            <w:tcW w:w="2269" w:type="dxa"/>
          </w:tcPr>
          <w:p w:rsidR="007C6459" w:rsidRPr="00FD5703" w:rsidRDefault="00563EAF" w:rsidP="009C5CAD">
            <w:pPr>
              <w:spacing w:before="40" w:after="40"/>
              <w:jc w:val="left"/>
              <w:rPr>
                <w:szCs w:val="22"/>
                <w:lang w:val="es-ES_tradnl"/>
              </w:rPr>
            </w:pPr>
            <w:r w:rsidRPr="00FD5703">
              <w:rPr>
                <w:szCs w:val="22"/>
                <w:lang w:val="es-ES_tradnl"/>
              </w:rPr>
              <w:t>22 de marzo de 2013</w:t>
            </w:r>
          </w:p>
        </w:tc>
      </w:tr>
      <w:tr w:rsidR="007C6459" w:rsidRPr="00FD5703" w:rsidTr="00447C88">
        <w:trPr>
          <w:cantSplit/>
        </w:trPr>
        <w:tc>
          <w:tcPr>
            <w:tcW w:w="1985" w:type="dxa"/>
          </w:tcPr>
          <w:p w:rsidR="007C6459" w:rsidRPr="00FD5703" w:rsidRDefault="00563EAF" w:rsidP="009C5CAD">
            <w:pPr>
              <w:spacing w:before="40" w:after="40"/>
              <w:rPr>
                <w:sz w:val="22"/>
                <w:szCs w:val="22"/>
                <w:lang w:val="es-ES_tradnl"/>
              </w:rPr>
            </w:pPr>
            <w:r w:rsidRPr="00FD5703">
              <w:rPr>
                <w:szCs w:val="22"/>
                <w:lang w:val="es-ES_tradnl"/>
              </w:rPr>
              <w:t>UPOV/INF/6</w:t>
            </w:r>
          </w:p>
        </w:tc>
        <w:tc>
          <w:tcPr>
            <w:tcW w:w="567" w:type="dxa"/>
          </w:tcPr>
          <w:p w:rsidR="007C6459" w:rsidRPr="00FD5703" w:rsidRDefault="007C6459" w:rsidP="009C5CAD">
            <w:pPr>
              <w:spacing w:before="40" w:after="40"/>
              <w:rPr>
                <w:sz w:val="22"/>
                <w:szCs w:val="22"/>
                <w:lang w:val="es-ES_tradnl"/>
              </w:rPr>
            </w:pPr>
            <w:r w:rsidRPr="00FD5703">
              <w:rPr>
                <w:szCs w:val="22"/>
                <w:lang w:val="es-ES_tradnl"/>
              </w:rPr>
              <w:t>/3</w:t>
            </w:r>
          </w:p>
        </w:tc>
        <w:tc>
          <w:tcPr>
            <w:tcW w:w="4819" w:type="dxa"/>
          </w:tcPr>
          <w:p w:rsidR="007C6459" w:rsidRPr="00FD5703" w:rsidRDefault="00563EAF" w:rsidP="009C5CAD">
            <w:pPr>
              <w:spacing w:before="40" w:after="40"/>
              <w:jc w:val="left"/>
              <w:rPr>
                <w:sz w:val="22"/>
                <w:szCs w:val="22"/>
                <w:lang w:val="es-ES_tradnl"/>
              </w:rPr>
            </w:pPr>
            <w:r w:rsidRPr="00FD5703">
              <w:rPr>
                <w:szCs w:val="22"/>
                <w:lang w:val="es-ES_tradnl"/>
              </w:rPr>
              <w:t>Orientaciones para la redacción de leyes basadas en el Acta de 1991 del Convenio de la UPOV</w:t>
            </w:r>
          </w:p>
        </w:tc>
        <w:tc>
          <w:tcPr>
            <w:tcW w:w="2269" w:type="dxa"/>
          </w:tcPr>
          <w:p w:rsidR="007C6459" w:rsidRPr="00FD5703" w:rsidRDefault="00563EAF" w:rsidP="009C5CAD">
            <w:pPr>
              <w:spacing w:before="40" w:after="40"/>
              <w:jc w:val="left"/>
              <w:rPr>
                <w:szCs w:val="22"/>
                <w:lang w:val="es-ES_tradnl"/>
              </w:rPr>
            </w:pPr>
            <w:r w:rsidRPr="00FD5703">
              <w:rPr>
                <w:szCs w:val="22"/>
                <w:lang w:val="es-ES_tradnl"/>
              </w:rPr>
              <w:t>24 de octubre de 2013</w:t>
            </w:r>
          </w:p>
        </w:tc>
      </w:tr>
      <w:tr w:rsidR="007C6459" w:rsidRPr="00FD5703" w:rsidTr="00447C88">
        <w:trPr>
          <w:cantSplit/>
        </w:trPr>
        <w:tc>
          <w:tcPr>
            <w:tcW w:w="1985" w:type="dxa"/>
          </w:tcPr>
          <w:p w:rsidR="007C6459" w:rsidRPr="00FD5703" w:rsidRDefault="00563EAF" w:rsidP="009C5CAD">
            <w:pPr>
              <w:spacing w:before="40" w:after="40"/>
              <w:rPr>
                <w:sz w:val="22"/>
                <w:szCs w:val="22"/>
                <w:lang w:val="es-ES_tradnl"/>
              </w:rPr>
            </w:pPr>
            <w:r w:rsidRPr="00FD5703">
              <w:rPr>
                <w:szCs w:val="22"/>
                <w:lang w:val="es-ES_tradnl"/>
              </w:rPr>
              <w:t>UPOV/INF/15</w:t>
            </w:r>
          </w:p>
        </w:tc>
        <w:tc>
          <w:tcPr>
            <w:tcW w:w="567" w:type="dxa"/>
          </w:tcPr>
          <w:p w:rsidR="007C6459" w:rsidRPr="00FD5703" w:rsidRDefault="007C6459" w:rsidP="009C5CAD">
            <w:pPr>
              <w:spacing w:before="40" w:after="40"/>
              <w:rPr>
                <w:sz w:val="22"/>
                <w:szCs w:val="22"/>
                <w:lang w:val="es-ES_tradnl"/>
              </w:rPr>
            </w:pPr>
            <w:r w:rsidRPr="00FD5703">
              <w:rPr>
                <w:szCs w:val="22"/>
                <w:lang w:val="es-ES_tradnl"/>
              </w:rPr>
              <w:t>/2</w:t>
            </w:r>
          </w:p>
        </w:tc>
        <w:tc>
          <w:tcPr>
            <w:tcW w:w="4819" w:type="dxa"/>
          </w:tcPr>
          <w:p w:rsidR="007C6459" w:rsidRPr="00FD5703" w:rsidRDefault="00563EAF" w:rsidP="009C5CAD">
            <w:pPr>
              <w:spacing w:before="40" w:after="40"/>
              <w:jc w:val="left"/>
              <w:rPr>
                <w:sz w:val="22"/>
                <w:szCs w:val="22"/>
                <w:lang w:val="es-ES_tradnl"/>
              </w:rPr>
            </w:pPr>
            <w:r w:rsidRPr="00FD5703">
              <w:rPr>
                <w:szCs w:val="22"/>
                <w:lang w:val="es-ES_tradnl"/>
              </w:rPr>
              <w:t>Obligaciones actuales de los miembros de la Unión y notificaciones conexas y sobre el suministro de información para facilitar la cooperación</w:t>
            </w:r>
          </w:p>
        </w:tc>
        <w:tc>
          <w:tcPr>
            <w:tcW w:w="2269" w:type="dxa"/>
          </w:tcPr>
          <w:p w:rsidR="007C6459" w:rsidRPr="00FD5703" w:rsidRDefault="00563EAF" w:rsidP="009C5CAD">
            <w:pPr>
              <w:spacing w:before="40" w:after="40"/>
              <w:jc w:val="left"/>
              <w:rPr>
                <w:szCs w:val="22"/>
                <w:lang w:val="es-ES_tradnl"/>
              </w:rPr>
            </w:pPr>
            <w:r w:rsidRPr="00FD5703">
              <w:rPr>
                <w:szCs w:val="22"/>
                <w:lang w:val="es-ES_tradnl"/>
              </w:rPr>
              <w:t>22 de marzo de 2013</w:t>
            </w:r>
          </w:p>
        </w:tc>
      </w:tr>
      <w:tr w:rsidR="007C6459" w:rsidRPr="00FD5703" w:rsidTr="00447C88">
        <w:trPr>
          <w:cantSplit/>
        </w:trPr>
        <w:tc>
          <w:tcPr>
            <w:tcW w:w="1985" w:type="dxa"/>
          </w:tcPr>
          <w:p w:rsidR="007C6459" w:rsidRPr="00FD5703" w:rsidRDefault="00563EAF" w:rsidP="009C5CAD">
            <w:pPr>
              <w:spacing w:before="40" w:after="40"/>
              <w:rPr>
                <w:sz w:val="22"/>
                <w:szCs w:val="22"/>
                <w:lang w:val="es-ES_tradnl"/>
              </w:rPr>
            </w:pPr>
            <w:r w:rsidRPr="00FD5703">
              <w:rPr>
                <w:szCs w:val="22"/>
                <w:lang w:val="es-ES_tradnl"/>
              </w:rPr>
              <w:t>UPOV/INF/16</w:t>
            </w:r>
          </w:p>
        </w:tc>
        <w:tc>
          <w:tcPr>
            <w:tcW w:w="567" w:type="dxa"/>
          </w:tcPr>
          <w:p w:rsidR="007C6459" w:rsidRPr="00FD5703" w:rsidRDefault="007C6459" w:rsidP="009C5CAD">
            <w:pPr>
              <w:spacing w:before="40" w:after="40"/>
              <w:rPr>
                <w:sz w:val="22"/>
                <w:szCs w:val="22"/>
                <w:lang w:val="es-ES_tradnl"/>
              </w:rPr>
            </w:pPr>
            <w:r w:rsidRPr="00FD5703">
              <w:rPr>
                <w:szCs w:val="22"/>
                <w:lang w:val="es-ES_tradnl"/>
              </w:rPr>
              <w:t>/3</w:t>
            </w:r>
          </w:p>
        </w:tc>
        <w:tc>
          <w:tcPr>
            <w:tcW w:w="4819" w:type="dxa"/>
          </w:tcPr>
          <w:p w:rsidR="007C6459" w:rsidRPr="00FD5703" w:rsidRDefault="00880EF1" w:rsidP="009C5CAD">
            <w:pPr>
              <w:spacing w:before="40" w:after="40"/>
              <w:jc w:val="left"/>
              <w:rPr>
                <w:sz w:val="22"/>
                <w:szCs w:val="22"/>
                <w:lang w:val="es-ES_tradnl"/>
              </w:rPr>
            </w:pPr>
            <w:r w:rsidRPr="00FD5703">
              <w:rPr>
                <w:szCs w:val="22"/>
                <w:lang w:val="es-ES_tradnl"/>
              </w:rPr>
              <w:t>Programas informáticos para intercambio</w:t>
            </w:r>
          </w:p>
        </w:tc>
        <w:tc>
          <w:tcPr>
            <w:tcW w:w="2269" w:type="dxa"/>
          </w:tcPr>
          <w:p w:rsidR="007C6459" w:rsidRPr="00FD5703" w:rsidRDefault="00563EAF" w:rsidP="009C5CAD">
            <w:pPr>
              <w:spacing w:before="40" w:after="40"/>
              <w:jc w:val="left"/>
              <w:rPr>
                <w:szCs w:val="22"/>
                <w:lang w:val="es-ES_tradnl"/>
              </w:rPr>
            </w:pPr>
            <w:r w:rsidRPr="00FD5703">
              <w:rPr>
                <w:szCs w:val="22"/>
                <w:lang w:val="es-ES_tradnl"/>
              </w:rPr>
              <w:t>24 de octubre de 2013</w:t>
            </w:r>
          </w:p>
        </w:tc>
      </w:tr>
    </w:tbl>
    <w:p w:rsidR="009116AF" w:rsidRPr="00FD5703" w:rsidRDefault="009116AF" w:rsidP="009C5CAD">
      <w:pPr>
        <w:rPr>
          <w:snapToGrid w:val="0"/>
          <w:lang w:val="es-ES_tradnl"/>
        </w:rPr>
      </w:pPr>
    </w:p>
    <w:p w:rsidR="009116AF" w:rsidRPr="00FD5703" w:rsidRDefault="00563EAF" w:rsidP="009C5CAD">
      <w:pPr>
        <w:pStyle w:val="Heading3"/>
        <w:rPr>
          <w:snapToGrid w:val="0"/>
          <w:lang w:val="es-ES_tradnl"/>
        </w:rPr>
      </w:pPr>
      <w:bookmarkStart w:id="19" w:name="_Toc381177112"/>
      <w:r w:rsidRPr="00FD5703">
        <w:rPr>
          <w:snapToGrid w:val="0"/>
          <w:lang w:val="es-ES_tradnl"/>
        </w:rPr>
        <w:t>Notas explicativas sobre el Convenio de la UPOV</w:t>
      </w:r>
      <w:bookmarkEnd w:id="19"/>
    </w:p>
    <w:p w:rsidR="007C6459" w:rsidRPr="00FD5703" w:rsidRDefault="007C6459" w:rsidP="009C5CAD">
      <w:pPr>
        <w:rPr>
          <w:snapToGrid w:val="0"/>
          <w:szCs w:val="24"/>
          <w:lang w:val="es-ES_tradnl"/>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4"/>
        <w:gridCol w:w="568"/>
        <w:gridCol w:w="4819"/>
        <w:gridCol w:w="2269"/>
      </w:tblGrid>
      <w:tr w:rsidR="007C6459" w:rsidRPr="00FD5703" w:rsidTr="00447C88">
        <w:tc>
          <w:tcPr>
            <w:tcW w:w="1984" w:type="dxa"/>
            <w:shd w:val="pct10" w:color="auto" w:fill="auto"/>
          </w:tcPr>
          <w:p w:rsidR="007C6459" w:rsidRPr="00FD5703" w:rsidRDefault="00082400" w:rsidP="009C5CAD">
            <w:pPr>
              <w:spacing w:before="60" w:after="60"/>
              <w:jc w:val="left"/>
              <w:rPr>
                <w:b/>
                <w:sz w:val="22"/>
                <w:szCs w:val="22"/>
                <w:lang w:val="es-ES_tradnl"/>
              </w:rPr>
            </w:pPr>
            <w:r w:rsidRPr="00FD5703">
              <w:rPr>
                <w:b/>
                <w:szCs w:val="22"/>
                <w:lang w:val="es-ES_tradnl"/>
              </w:rPr>
              <w:t>Referencia del documento</w:t>
            </w:r>
          </w:p>
        </w:tc>
        <w:tc>
          <w:tcPr>
            <w:tcW w:w="568" w:type="dxa"/>
            <w:shd w:val="pct10" w:color="auto" w:fill="auto"/>
          </w:tcPr>
          <w:p w:rsidR="007C6459" w:rsidRPr="00FD5703" w:rsidRDefault="00082400" w:rsidP="009C5CAD">
            <w:pPr>
              <w:spacing w:before="60" w:after="60"/>
              <w:rPr>
                <w:b/>
                <w:sz w:val="22"/>
                <w:szCs w:val="22"/>
                <w:lang w:val="es-ES_tradnl"/>
              </w:rPr>
            </w:pPr>
            <w:r w:rsidRPr="00FD5703">
              <w:rPr>
                <w:b/>
                <w:szCs w:val="22"/>
                <w:lang w:val="es-ES_tradnl"/>
              </w:rPr>
              <w:t>Nº</w:t>
            </w:r>
          </w:p>
        </w:tc>
        <w:tc>
          <w:tcPr>
            <w:tcW w:w="4819" w:type="dxa"/>
            <w:shd w:val="pct10" w:color="auto" w:fill="auto"/>
          </w:tcPr>
          <w:p w:rsidR="007C6459" w:rsidRPr="00FD5703" w:rsidRDefault="00082400" w:rsidP="009C5CAD">
            <w:pPr>
              <w:spacing w:before="60" w:after="60"/>
              <w:jc w:val="left"/>
              <w:rPr>
                <w:b/>
                <w:sz w:val="22"/>
                <w:szCs w:val="22"/>
                <w:lang w:val="es-ES_tradnl"/>
              </w:rPr>
            </w:pPr>
            <w:r w:rsidRPr="00FD5703">
              <w:rPr>
                <w:b/>
                <w:szCs w:val="22"/>
                <w:lang w:val="es-ES_tradnl"/>
              </w:rPr>
              <w:t>Título</w:t>
            </w:r>
          </w:p>
        </w:tc>
        <w:tc>
          <w:tcPr>
            <w:tcW w:w="2269" w:type="dxa"/>
            <w:shd w:val="pct10" w:color="auto" w:fill="auto"/>
          </w:tcPr>
          <w:p w:rsidR="007C6459" w:rsidRPr="00FD5703" w:rsidRDefault="00082400" w:rsidP="009C5CAD">
            <w:pPr>
              <w:spacing w:before="60" w:after="60"/>
              <w:jc w:val="left"/>
              <w:rPr>
                <w:b/>
                <w:szCs w:val="22"/>
                <w:lang w:val="es-ES_tradnl"/>
              </w:rPr>
            </w:pPr>
            <w:r w:rsidRPr="00FD5703">
              <w:rPr>
                <w:b/>
                <w:szCs w:val="22"/>
                <w:lang w:val="es-ES_tradnl"/>
              </w:rPr>
              <w:t>Fecha de publicación</w:t>
            </w:r>
          </w:p>
        </w:tc>
      </w:tr>
      <w:tr w:rsidR="00B252EB" w:rsidRPr="00FD5703" w:rsidTr="00447C88">
        <w:trPr>
          <w:cantSplit/>
        </w:trPr>
        <w:tc>
          <w:tcPr>
            <w:tcW w:w="1984" w:type="dxa"/>
          </w:tcPr>
          <w:p w:rsidR="00B252EB" w:rsidRPr="00FD5703" w:rsidRDefault="00082400" w:rsidP="009C5CAD">
            <w:pPr>
              <w:spacing w:before="40" w:after="40"/>
              <w:rPr>
                <w:sz w:val="22"/>
                <w:szCs w:val="22"/>
                <w:lang w:val="es-ES_tradnl"/>
              </w:rPr>
            </w:pPr>
            <w:r w:rsidRPr="00FD5703">
              <w:rPr>
                <w:szCs w:val="22"/>
                <w:lang w:val="es-ES_tradnl"/>
              </w:rPr>
              <w:t>UPOV/EXN/BRD</w:t>
            </w:r>
          </w:p>
        </w:tc>
        <w:tc>
          <w:tcPr>
            <w:tcW w:w="568" w:type="dxa"/>
          </w:tcPr>
          <w:p w:rsidR="00B252EB" w:rsidRPr="00FD5703" w:rsidRDefault="00B252EB" w:rsidP="009C5CAD">
            <w:pPr>
              <w:spacing w:before="40" w:after="40"/>
              <w:rPr>
                <w:sz w:val="22"/>
                <w:szCs w:val="22"/>
                <w:lang w:val="es-ES_tradnl"/>
              </w:rPr>
            </w:pPr>
            <w:r w:rsidRPr="00FD5703">
              <w:rPr>
                <w:szCs w:val="22"/>
                <w:lang w:val="es-ES_tradnl"/>
              </w:rPr>
              <w:t>/1</w:t>
            </w:r>
          </w:p>
        </w:tc>
        <w:tc>
          <w:tcPr>
            <w:tcW w:w="4819" w:type="dxa"/>
          </w:tcPr>
          <w:p w:rsidR="00B252EB" w:rsidRPr="00FD5703" w:rsidRDefault="00082400" w:rsidP="009C5CAD">
            <w:pPr>
              <w:spacing w:before="40" w:after="40"/>
              <w:jc w:val="left"/>
              <w:rPr>
                <w:sz w:val="22"/>
                <w:szCs w:val="22"/>
                <w:lang w:val="es-ES_tradnl"/>
              </w:rPr>
            </w:pPr>
            <w:r w:rsidRPr="00FD5703">
              <w:rPr>
                <w:szCs w:val="22"/>
                <w:lang w:val="es-ES_tradnl"/>
              </w:rPr>
              <w:t xml:space="preserve">Notas explicativas sobre la definición de obtentor con arreglo al </w:t>
            </w:r>
            <w:r w:rsidR="00447C88">
              <w:rPr>
                <w:szCs w:val="22"/>
                <w:lang w:val="es-ES_tradnl"/>
              </w:rPr>
              <w:t>Acta de 1991 del Convenio de la </w:t>
            </w:r>
            <w:r w:rsidRPr="00FD5703">
              <w:rPr>
                <w:szCs w:val="22"/>
                <w:lang w:val="es-ES_tradnl"/>
              </w:rPr>
              <w:t>UPOV</w:t>
            </w:r>
          </w:p>
        </w:tc>
        <w:tc>
          <w:tcPr>
            <w:tcW w:w="2269" w:type="dxa"/>
          </w:tcPr>
          <w:p w:rsidR="00B252EB" w:rsidRPr="00FD5703" w:rsidRDefault="00082400" w:rsidP="009C5CAD">
            <w:pPr>
              <w:spacing w:before="40" w:after="40"/>
              <w:jc w:val="left"/>
              <w:rPr>
                <w:szCs w:val="22"/>
                <w:lang w:val="es-ES_tradnl"/>
              </w:rPr>
            </w:pPr>
            <w:r w:rsidRPr="00FD5703">
              <w:rPr>
                <w:szCs w:val="22"/>
                <w:lang w:val="es-ES_tradnl"/>
              </w:rPr>
              <w:t>24 de octubre de 2013</w:t>
            </w:r>
          </w:p>
        </w:tc>
      </w:tr>
      <w:tr w:rsidR="00B252EB" w:rsidRPr="00FD5703" w:rsidTr="00447C88">
        <w:trPr>
          <w:cantSplit/>
        </w:trPr>
        <w:tc>
          <w:tcPr>
            <w:tcW w:w="1984" w:type="dxa"/>
          </w:tcPr>
          <w:p w:rsidR="00B252EB" w:rsidRPr="00FD5703" w:rsidRDefault="00082400" w:rsidP="009C5CAD">
            <w:pPr>
              <w:spacing w:before="40" w:after="40"/>
              <w:rPr>
                <w:szCs w:val="22"/>
                <w:lang w:val="es-ES_tradnl"/>
              </w:rPr>
            </w:pPr>
            <w:r w:rsidRPr="00FD5703">
              <w:rPr>
                <w:szCs w:val="22"/>
                <w:lang w:val="es-ES_tradnl"/>
              </w:rPr>
              <w:t>UPOV/EXN/HRV</w:t>
            </w:r>
          </w:p>
        </w:tc>
        <w:tc>
          <w:tcPr>
            <w:tcW w:w="568" w:type="dxa"/>
          </w:tcPr>
          <w:p w:rsidR="00B252EB" w:rsidRPr="00FD5703" w:rsidRDefault="00B252EB" w:rsidP="009C5CAD">
            <w:pPr>
              <w:spacing w:before="40" w:after="40"/>
              <w:rPr>
                <w:szCs w:val="22"/>
                <w:lang w:val="es-ES_tradnl"/>
              </w:rPr>
            </w:pPr>
            <w:r w:rsidRPr="00FD5703">
              <w:rPr>
                <w:szCs w:val="22"/>
                <w:lang w:val="es-ES_tradnl"/>
              </w:rPr>
              <w:t>/1</w:t>
            </w:r>
          </w:p>
        </w:tc>
        <w:tc>
          <w:tcPr>
            <w:tcW w:w="4819" w:type="dxa"/>
          </w:tcPr>
          <w:p w:rsidR="00B252EB" w:rsidRPr="00FD5703" w:rsidRDefault="00082400" w:rsidP="009C5CAD">
            <w:pPr>
              <w:spacing w:before="40" w:after="40"/>
              <w:jc w:val="left"/>
              <w:rPr>
                <w:szCs w:val="22"/>
                <w:lang w:val="es-ES_tradnl"/>
              </w:rPr>
            </w:pPr>
            <w:r w:rsidRPr="00FD5703">
              <w:rPr>
                <w:szCs w:val="22"/>
                <w:lang w:val="es-ES_tradnl"/>
              </w:rPr>
              <w:t>Notas explicativas sobre los actos respecto del producto de la cosecha con arreglo al Acta de 1991 del Convenio de la UPOV</w:t>
            </w:r>
          </w:p>
        </w:tc>
        <w:tc>
          <w:tcPr>
            <w:tcW w:w="2269" w:type="dxa"/>
          </w:tcPr>
          <w:p w:rsidR="00B252EB" w:rsidRPr="00FD5703" w:rsidRDefault="00082400" w:rsidP="009C5CAD">
            <w:pPr>
              <w:spacing w:before="40" w:after="40"/>
              <w:rPr>
                <w:szCs w:val="22"/>
                <w:lang w:val="es-ES_tradnl"/>
              </w:rPr>
            </w:pPr>
            <w:r w:rsidRPr="00FD5703">
              <w:rPr>
                <w:szCs w:val="22"/>
                <w:lang w:val="es-ES_tradnl"/>
              </w:rPr>
              <w:t>24 de octubre de 2013</w:t>
            </w:r>
          </w:p>
        </w:tc>
      </w:tr>
    </w:tbl>
    <w:p w:rsidR="009116AF" w:rsidRPr="00FD5703" w:rsidRDefault="009116AF" w:rsidP="009C5CAD">
      <w:pPr>
        <w:rPr>
          <w:snapToGrid w:val="0"/>
          <w:szCs w:val="24"/>
          <w:lang w:val="es-ES_tradnl"/>
        </w:rPr>
      </w:pPr>
    </w:p>
    <w:p w:rsidR="009116AF" w:rsidRPr="00FD5703" w:rsidRDefault="00082400" w:rsidP="009C5CAD">
      <w:pPr>
        <w:pStyle w:val="Heading3"/>
        <w:rPr>
          <w:snapToGrid w:val="0"/>
          <w:lang w:val="es-ES_tradnl"/>
        </w:rPr>
      </w:pPr>
      <w:bookmarkStart w:id="20" w:name="_Toc381177113"/>
      <w:r w:rsidRPr="00FD5703">
        <w:rPr>
          <w:snapToGrid w:val="0"/>
          <w:lang w:val="es-ES_tradnl"/>
        </w:rPr>
        <w:t>Documentos TGP</w:t>
      </w:r>
      <w:bookmarkEnd w:id="20"/>
    </w:p>
    <w:p w:rsidR="007C6459" w:rsidRPr="00FD5703" w:rsidRDefault="007C6459" w:rsidP="00447C88">
      <w:pPr>
        <w:keepNext/>
        <w:ind w:left="567" w:hanging="567"/>
        <w:rPr>
          <w:snapToGrid w:val="0"/>
          <w:szCs w:val="24"/>
          <w:lang w:val="es-ES_tradnl"/>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567"/>
        <w:gridCol w:w="4819"/>
        <w:gridCol w:w="2269"/>
      </w:tblGrid>
      <w:tr w:rsidR="007C6459" w:rsidRPr="00FD5703" w:rsidTr="00354955">
        <w:trPr>
          <w:cantSplit/>
          <w:tblHeader/>
        </w:trPr>
        <w:tc>
          <w:tcPr>
            <w:tcW w:w="1985" w:type="dxa"/>
            <w:shd w:val="pct5" w:color="auto" w:fill="FFFFFF"/>
          </w:tcPr>
          <w:p w:rsidR="007C6459" w:rsidRPr="00FD5703" w:rsidRDefault="00082400" w:rsidP="009C5CAD">
            <w:pPr>
              <w:spacing w:before="60" w:after="60"/>
              <w:jc w:val="left"/>
              <w:rPr>
                <w:b/>
                <w:sz w:val="22"/>
                <w:szCs w:val="22"/>
                <w:lang w:val="es-ES_tradnl"/>
              </w:rPr>
            </w:pPr>
            <w:r w:rsidRPr="00FD5703">
              <w:rPr>
                <w:b/>
                <w:szCs w:val="22"/>
                <w:lang w:val="es-ES_tradnl"/>
              </w:rPr>
              <w:t>Referencia del documento</w:t>
            </w:r>
          </w:p>
        </w:tc>
        <w:tc>
          <w:tcPr>
            <w:tcW w:w="567" w:type="dxa"/>
            <w:shd w:val="pct5" w:color="auto" w:fill="FFFFFF"/>
          </w:tcPr>
          <w:p w:rsidR="007C6459" w:rsidRPr="00FD5703" w:rsidRDefault="00082400" w:rsidP="009C5CAD">
            <w:pPr>
              <w:spacing w:before="60" w:after="60"/>
              <w:rPr>
                <w:b/>
                <w:sz w:val="22"/>
                <w:szCs w:val="22"/>
                <w:lang w:val="es-ES_tradnl"/>
              </w:rPr>
            </w:pPr>
            <w:r w:rsidRPr="00FD5703">
              <w:rPr>
                <w:b/>
                <w:szCs w:val="22"/>
                <w:lang w:val="es-ES_tradnl"/>
              </w:rPr>
              <w:t>Nº</w:t>
            </w:r>
          </w:p>
        </w:tc>
        <w:tc>
          <w:tcPr>
            <w:tcW w:w="4819" w:type="dxa"/>
            <w:shd w:val="pct5" w:color="auto" w:fill="FFFFFF"/>
          </w:tcPr>
          <w:p w:rsidR="007C6459" w:rsidRPr="00FD5703" w:rsidRDefault="00082400" w:rsidP="009C5CAD">
            <w:pPr>
              <w:spacing w:before="60" w:after="60"/>
              <w:rPr>
                <w:b/>
                <w:sz w:val="22"/>
                <w:szCs w:val="22"/>
                <w:lang w:val="es-ES_tradnl"/>
              </w:rPr>
            </w:pPr>
            <w:r w:rsidRPr="00FD5703">
              <w:rPr>
                <w:b/>
                <w:szCs w:val="22"/>
                <w:lang w:val="es-ES_tradnl"/>
              </w:rPr>
              <w:t>Título</w:t>
            </w:r>
          </w:p>
        </w:tc>
        <w:tc>
          <w:tcPr>
            <w:tcW w:w="2269" w:type="dxa"/>
            <w:shd w:val="pct5" w:color="auto" w:fill="FFFFFF"/>
          </w:tcPr>
          <w:p w:rsidR="007C6459" w:rsidRPr="00FD5703" w:rsidRDefault="00082400" w:rsidP="009C5CAD">
            <w:pPr>
              <w:spacing w:before="60" w:after="60"/>
              <w:jc w:val="left"/>
              <w:rPr>
                <w:b/>
                <w:sz w:val="22"/>
                <w:szCs w:val="22"/>
                <w:lang w:val="es-ES_tradnl"/>
              </w:rPr>
            </w:pPr>
            <w:r w:rsidRPr="00FD5703">
              <w:rPr>
                <w:b/>
                <w:szCs w:val="22"/>
                <w:lang w:val="es-ES_tradnl"/>
              </w:rPr>
              <w:t>Fecha de publicación</w:t>
            </w:r>
          </w:p>
        </w:tc>
      </w:tr>
      <w:tr w:rsidR="007C6459" w:rsidRPr="00FD5703" w:rsidTr="00354955">
        <w:trPr>
          <w:cantSplit/>
        </w:trPr>
        <w:tc>
          <w:tcPr>
            <w:tcW w:w="1985" w:type="dxa"/>
          </w:tcPr>
          <w:p w:rsidR="007C6459" w:rsidRPr="00FD5703" w:rsidRDefault="00082400" w:rsidP="009C5CAD">
            <w:pPr>
              <w:spacing w:before="40" w:after="40"/>
              <w:rPr>
                <w:rFonts w:cs="Arial"/>
                <w:lang w:val="es-ES_tradnl"/>
              </w:rPr>
            </w:pPr>
            <w:r w:rsidRPr="00FD5703">
              <w:rPr>
                <w:rFonts w:cs="Arial"/>
                <w:lang w:val="es-ES_tradnl"/>
              </w:rPr>
              <w:t>TGP/0</w:t>
            </w:r>
          </w:p>
        </w:tc>
        <w:tc>
          <w:tcPr>
            <w:tcW w:w="567" w:type="dxa"/>
          </w:tcPr>
          <w:p w:rsidR="007C6459" w:rsidRPr="00FD5703" w:rsidRDefault="007C6459" w:rsidP="009C5CAD">
            <w:pPr>
              <w:spacing w:before="40" w:after="40"/>
              <w:rPr>
                <w:rFonts w:cs="Arial"/>
                <w:lang w:val="es-ES_tradnl"/>
              </w:rPr>
            </w:pPr>
            <w:r w:rsidRPr="00FD5703">
              <w:rPr>
                <w:rFonts w:cs="Arial"/>
                <w:lang w:val="es-ES_tradnl"/>
              </w:rPr>
              <w:t>/6</w:t>
            </w:r>
          </w:p>
        </w:tc>
        <w:tc>
          <w:tcPr>
            <w:tcW w:w="4819" w:type="dxa"/>
          </w:tcPr>
          <w:p w:rsidR="007C6459" w:rsidRPr="00FD5703" w:rsidRDefault="00082400" w:rsidP="009C5CAD">
            <w:pPr>
              <w:spacing w:before="40" w:after="40"/>
              <w:jc w:val="left"/>
              <w:rPr>
                <w:rFonts w:cs="Arial"/>
                <w:lang w:val="es-ES_tradnl"/>
              </w:rPr>
            </w:pPr>
            <w:r w:rsidRPr="00FD5703">
              <w:rPr>
                <w:rFonts w:cs="Arial"/>
                <w:lang w:val="es-ES_tradnl"/>
              </w:rPr>
              <w:t>Lista de documentos TGP y fechas de última publicación</w:t>
            </w:r>
          </w:p>
        </w:tc>
        <w:tc>
          <w:tcPr>
            <w:tcW w:w="2269" w:type="dxa"/>
          </w:tcPr>
          <w:p w:rsidR="007C6459" w:rsidRPr="00FD5703" w:rsidRDefault="00487E51" w:rsidP="009C5CAD">
            <w:pPr>
              <w:spacing w:before="40" w:after="40"/>
              <w:jc w:val="left"/>
              <w:rPr>
                <w:rFonts w:cs="Arial"/>
                <w:lang w:val="es-ES_tradnl"/>
              </w:rPr>
            </w:pPr>
            <w:r w:rsidRPr="00FD5703">
              <w:rPr>
                <w:rFonts w:cs="Arial"/>
                <w:lang w:val="es-ES_tradnl"/>
              </w:rPr>
              <w:t>24 de octubre de 2013</w:t>
            </w:r>
          </w:p>
        </w:tc>
      </w:tr>
      <w:tr w:rsidR="007C6459" w:rsidRPr="00FD5703" w:rsidTr="00354955">
        <w:trPr>
          <w:cantSplit/>
          <w:trHeight w:val="173"/>
        </w:trPr>
        <w:tc>
          <w:tcPr>
            <w:tcW w:w="1985" w:type="dxa"/>
            <w:vMerge w:val="restart"/>
          </w:tcPr>
          <w:p w:rsidR="007C6459" w:rsidRPr="00FD5703" w:rsidRDefault="00487E51" w:rsidP="009C5CAD">
            <w:pPr>
              <w:spacing w:before="40" w:after="40"/>
              <w:rPr>
                <w:sz w:val="22"/>
                <w:szCs w:val="22"/>
                <w:lang w:val="es-ES_tradnl"/>
              </w:rPr>
            </w:pPr>
            <w:r w:rsidRPr="00FD5703">
              <w:rPr>
                <w:szCs w:val="22"/>
                <w:lang w:val="es-ES_tradnl"/>
              </w:rPr>
              <w:t>TGP/14</w:t>
            </w:r>
          </w:p>
        </w:tc>
        <w:tc>
          <w:tcPr>
            <w:tcW w:w="567" w:type="dxa"/>
            <w:vMerge w:val="restart"/>
          </w:tcPr>
          <w:p w:rsidR="007C6459" w:rsidRPr="00FD5703" w:rsidRDefault="007C6459" w:rsidP="009C5CAD">
            <w:pPr>
              <w:spacing w:before="40" w:after="40"/>
              <w:rPr>
                <w:sz w:val="22"/>
                <w:szCs w:val="22"/>
                <w:lang w:val="es-ES_tradnl"/>
              </w:rPr>
            </w:pPr>
            <w:r w:rsidRPr="00FD5703">
              <w:rPr>
                <w:szCs w:val="22"/>
                <w:lang w:val="es-ES_tradnl"/>
              </w:rPr>
              <w:t>/2</w:t>
            </w:r>
          </w:p>
        </w:tc>
        <w:tc>
          <w:tcPr>
            <w:tcW w:w="4819" w:type="dxa"/>
          </w:tcPr>
          <w:p w:rsidR="007C6459" w:rsidRPr="00FD5703" w:rsidRDefault="00487E51" w:rsidP="009C5CAD">
            <w:pPr>
              <w:spacing w:before="40" w:after="40"/>
              <w:jc w:val="left"/>
              <w:rPr>
                <w:sz w:val="22"/>
                <w:szCs w:val="22"/>
                <w:lang w:val="es-ES_tradnl"/>
              </w:rPr>
            </w:pPr>
            <w:r w:rsidRPr="00FD5703">
              <w:rPr>
                <w:szCs w:val="22"/>
                <w:lang w:val="es-ES_tradnl"/>
              </w:rPr>
              <w:t>Glosario de términos utilizados en los documentos de la UPOV</w:t>
            </w:r>
          </w:p>
        </w:tc>
        <w:tc>
          <w:tcPr>
            <w:tcW w:w="2269" w:type="dxa"/>
            <w:vMerge w:val="restart"/>
          </w:tcPr>
          <w:p w:rsidR="007C6459" w:rsidRPr="00FD5703" w:rsidRDefault="00487E51" w:rsidP="009C5CAD">
            <w:pPr>
              <w:spacing w:before="40" w:after="40"/>
              <w:rPr>
                <w:sz w:val="22"/>
                <w:szCs w:val="22"/>
                <w:lang w:val="es-ES_tradnl"/>
              </w:rPr>
            </w:pPr>
            <w:r w:rsidRPr="00FD5703">
              <w:rPr>
                <w:szCs w:val="22"/>
                <w:lang w:val="es-ES_tradnl"/>
              </w:rPr>
              <w:t>24 de octubre de 2013</w:t>
            </w:r>
          </w:p>
        </w:tc>
      </w:tr>
      <w:tr w:rsidR="007C6459" w:rsidRPr="000E4035" w:rsidTr="00354955">
        <w:trPr>
          <w:cantSplit/>
          <w:trHeight w:val="172"/>
        </w:trPr>
        <w:tc>
          <w:tcPr>
            <w:tcW w:w="1985" w:type="dxa"/>
            <w:vMerge/>
          </w:tcPr>
          <w:p w:rsidR="007C6459" w:rsidRPr="00FD5703" w:rsidRDefault="007C6459" w:rsidP="009C5CAD">
            <w:pPr>
              <w:spacing w:before="40" w:after="40"/>
              <w:rPr>
                <w:szCs w:val="22"/>
                <w:lang w:val="es-ES_tradnl"/>
              </w:rPr>
            </w:pPr>
          </w:p>
        </w:tc>
        <w:tc>
          <w:tcPr>
            <w:tcW w:w="567" w:type="dxa"/>
            <w:vMerge/>
          </w:tcPr>
          <w:p w:rsidR="007C6459" w:rsidRPr="00FD5703" w:rsidRDefault="007C6459" w:rsidP="009C5CAD">
            <w:pPr>
              <w:spacing w:before="40" w:after="40"/>
              <w:rPr>
                <w:szCs w:val="22"/>
                <w:lang w:val="es-ES_tradnl"/>
              </w:rPr>
            </w:pPr>
          </w:p>
        </w:tc>
        <w:tc>
          <w:tcPr>
            <w:tcW w:w="4819" w:type="dxa"/>
          </w:tcPr>
          <w:p w:rsidR="007C6459" w:rsidRPr="00FD5703" w:rsidRDefault="00487E51" w:rsidP="009C5CAD">
            <w:pPr>
              <w:spacing w:before="40" w:after="40"/>
              <w:jc w:val="left"/>
              <w:rPr>
                <w:szCs w:val="22"/>
                <w:lang w:val="es-ES_tradnl"/>
              </w:rPr>
            </w:pPr>
            <w:r w:rsidRPr="00FD5703">
              <w:rPr>
                <w:szCs w:val="22"/>
                <w:lang w:val="es-ES_tradnl"/>
              </w:rPr>
              <w:t xml:space="preserve">Suplemento al documento TGP/14 </w:t>
            </w:r>
            <w:r w:rsidR="009C5CAD" w:rsidRPr="00FD5703">
              <w:rPr>
                <w:szCs w:val="22"/>
                <w:lang w:val="es-ES_tradnl"/>
              </w:rPr>
              <w:t>“</w:t>
            </w:r>
            <w:r w:rsidRPr="00FD5703">
              <w:rPr>
                <w:szCs w:val="22"/>
                <w:lang w:val="es-ES_tradnl"/>
              </w:rPr>
              <w:t>Glosario de términos utilizados en los documentos de la UPOV</w:t>
            </w:r>
            <w:r w:rsidR="009C5CAD" w:rsidRPr="00FD5703">
              <w:rPr>
                <w:szCs w:val="22"/>
                <w:lang w:val="es-ES_tradnl"/>
              </w:rPr>
              <w:t>”</w:t>
            </w:r>
          </w:p>
        </w:tc>
        <w:tc>
          <w:tcPr>
            <w:tcW w:w="2269" w:type="dxa"/>
            <w:vMerge/>
          </w:tcPr>
          <w:p w:rsidR="007C6459" w:rsidRPr="00FD5703" w:rsidRDefault="007C6459" w:rsidP="009C5CAD">
            <w:pPr>
              <w:spacing w:before="40" w:after="40"/>
              <w:rPr>
                <w:szCs w:val="22"/>
                <w:lang w:val="es-ES_tradnl"/>
              </w:rPr>
            </w:pPr>
          </w:p>
        </w:tc>
      </w:tr>
      <w:tr w:rsidR="007C6459" w:rsidRPr="00FD5703" w:rsidTr="00354955">
        <w:trPr>
          <w:cantSplit/>
        </w:trPr>
        <w:tc>
          <w:tcPr>
            <w:tcW w:w="1985" w:type="dxa"/>
          </w:tcPr>
          <w:p w:rsidR="007C6459" w:rsidRPr="00FD5703" w:rsidRDefault="00487E51" w:rsidP="009C5CAD">
            <w:pPr>
              <w:spacing w:before="40" w:after="40"/>
              <w:rPr>
                <w:sz w:val="22"/>
                <w:szCs w:val="22"/>
                <w:lang w:val="es-ES_tradnl"/>
              </w:rPr>
            </w:pPr>
            <w:r w:rsidRPr="00FD5703">
              <w:rPr>
                <w:szCs w:val="22"/>
                <w:lang w:val="es-ES_tradnl"/>
              </w:rPr>
              <w:t>TGP/15</w:t>
            </w:r>
          </w:p>
        </w:tc>
        <w:tc>
          <w:tcPr>
            <w:tcW w:w="567" w:type="dxa"/>
          </w:tcPr>
          <w:p w:rsidR="007C6459" w:rsidRPr="00FD5703" w:rsidRDefault="007C6459" w:rsidP="009C5CAD">
            <w:pPr>
              <w:spacing w:before="40" w:after="40"/>
              <w:rPr>
                <w:sz w:val="22"/>
                <w:szCs w:val="22"/>
                <w:lang w:val="es-ES_tradnl"/>
              </w:rPr>
            </w:pPr>
            <w:r w:rsidRPr="00FD5703">
              <w:rPr>
                <w:sz w:val="22"/>
                <w:szCs w:val="22"/>
                <w:lang w:val="es-ES_tradnl"/>
              </w:rPr>
              <w:t>/1</w:t>
            </w:r>
          </w:p>
        </w:tc>
        <w:tc>
          <w:tcPr>
            <w:tcW w:w="4819" w:type="dxa"/>
          </w:tcPr>
          <w:p w:rsidR="007C6459" w:rsidRPr="00FD5703" w:rsidRDefault="00487E51" w:rsidP="009C5CAD">
            <w:pPr>
              <w:spacing w:before="40" w:after="40"/>
              <w:jc w:val="left"/>
              <w:rPr>
                <w:sz w:val="22"/>
                <w:szCs w:val="22"/>
                <w:lang w:val="es-ES_tradnl"/>
              </w:rPr>
            </w:pPr>
            <w:r w:rsidRPr="00FD5703">
              <w:rPr>
                <w:szCs w:val="22"/>
                <w:lang w:val="es-ES_tradnl"/>
              </w:rPr>
              <w:t>Orientación sobre el uso de marcadores bioquímicos y moleculares en el examen de la distinción, la homogeneidad y la estabilidad (DHE)</w:t>
            </w:r>
          </w:p>
        </w:tc>
        <w:tc>
          <w:tcPr>
            <w:tcW w:w="2269" w:type="dxa"/>
          </w:tcPr>
          <w:p w:rsidR="007C6459" w:rsidRPr="00FD5703" w:rsidRDefault="00487E51" w:rsidP="009C5CAD">
            <w:pPr>
              <w:spacing w:before="40" w:after="40"/>
              <w:rPr>
                <w:szCs w:val="22"/>
                <w:lang w:val="es-ES_tradnl"/>
              </w:rPr>
            </w:pPr>
            <w:r w:rsidRPr="00FD5703">
              <w:rPr>
                <w:szCs w:val="22"/>
                <w:lang w:val="es-ES_tradnl"/>
              </w:rPr>
              <w:t>24 de octubre de 2013</w:t>
            </w:r>
          </w:p>
        </w:tc>
      </w:tr>
    </w:tbl>
    <w:p w:rsidR="00C859E1" w:rsidRPr="00FD5703" w:rsidRDefault="00C859E1" w:rsidP="009C5CAD">
      <w:pPr>
        <w:pStyle w:val="Heading2"/>
        <w:keepNext w:val="0"/>
        <w:rPr>
          <w:lang w:val="es-ES_tradnl"/>
        </w:rPr>
      </w:pPr>
    </w:p>
    <w:p w:rsidR="00815096" w:rsidRPr="00FD5703" w:rsidRDefault="00815096" w:rsidP="009C5CAD">
      <w:pPr>
        <w:rPr>
          <w:lang w:val="es-ES_tradnl" w:eastAsia="ja-JP"/>
        </w:rPr>
      </w:pPr>
    </w:p>
    <w:p w:rsidR="009116AF" w:rsidRPr="00FD5703" w:rsidRDefault="00487E51" w:rsidP="009C5CAD">
      <w:pPr>
        <w:pStyle w:val="Heading2"/>
        <w:keepNext w:val="0"/>
        <w:rPr>
          <w:lang w:val="es-ES_tradnl"/>
        </w:rPr>
      </w:pPr>
      <w:bookmarkStart w:id="21" w:name="_Toc381177114"/>
      <w:r w:rsidRPr="00FD5703">
        <w:rPr>
          <w:lang w:val="es-ES_tradnl"/>
        </w:rPr>
        <w:t>Programa para la elaboración de notas explicativas sobre el Convenio de la UPOV</w:t>
      </w:r>
      <w:bookmarkEnd w:id="21"/>
    </w:p>
    <w:p w:rsidR="009116AF" w:rsidRPr="00FD5703" w:rsidRDefault="009116AF" w:rsidP="009C5CAD">
      <w:pPr>
        <w:pStyle w:val="Heading2"/>
        <w:keepNext w:val="0"/>
        <w:rPr>
          <w:lang w:val="es-ES_tradnl"/>
        </w:rPr>
      </w:pPr>
    </w:p>
    <w:p w:rsidR="009116AF" w:rsidRPr="00FD5703" w:rsidRDefault="00CA449D"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E8569A" w:rsidRPr="00FD5703">
        <w:rPr>
          <w:lang w:val="es-ES_tradnl"/>
        </w:rPr>
        <w:t>Con sujeción a la aprobación del Comité Administrativo y Jurídico (CAJ) en su sexagésima novena sesión, que se celebrará el</w:t>
      </w:r>
      <w:r w:rsidR="00C859E1" w:rsidRPr="00FD5703">
        <w:rPr>
          <w:lang w:val="es-ES_tradnl"/>
        </w:rPr>
        <w:t> 10 de abril de 2014, el CAJ-AG prevé considerar la</w:t>
      </w:r>
      <w:r w:rsidR="00E8569A" w:rsidRPr="00FD5703">
        <w:rPr>
          <w:lang w:val="es-ES_tradnl"/>
        </w:rPr>
        <w:t xml:space="preserve">s siguientes </w:t>
      </w:r>
      <w:r w:rsidR="00C859E1" w:rsidRPr="00FD5703">
        <w:rPr>
          <w:lang w:val="es-ES_tradnl"/>
        </w:rPr>
        <w:t>cuestiones</w:t>
      </w:r>
      <w:r w:rsidR="00E8569A" w:rsidRPr="00FD5703">
        <w:rPr>
          <w:lang w:val="es-ES_tradnl"/>
        </w:rPr>
        <w:t xml:space="preserve"> en su novena sesión, que se celebrará en octubre de 2014:</w:t>
      </w:r>
    </w:p>
    <w:p w:rsidR="009116AF" w:rsidRPr="00FD5703" w:rsidRDefault="009116AF" w:rsidP="009C5CAD">
      <w:pPr>
        <w:rPr>
          <w:lang w:val="es-ES_tradnl"/>
        </w:rPr>
      </w:pPr>
    </w:p>
    <w:p w:rsidR="009116AF" w:rsidRPr="00FD5703" w:rsidRDefault="00E8569A" w:rsidP="009C5CAD">
      <w:pPr>
        <w:pStyle w:val="ListParagraph"/>
        <w:numPr>
          <w:ilvl w:val="0"/>
          <w:numId w:val="3"/>
        </w:numPr>
        <w:ind w:left="567"/>
        <w:rPr>
          <w:lang w:val="es-ES_tradnl"/>
        </w:rPr>
      </w:pPr>
      <w:r w:rsidRPr="00FD5703">
        <w:rPr>
          <w:lang w:val="es-ES_tradnl"/>
        </w:rPr>
        <w:t>Notas explicativas sobre las variedades esencialmente derivadas con arreglo al Acta de 1991 del Convenio de la UPOV (revisión)</w:t>
      </w:r>
    </w:p>
    <w:p w:rsidR="009116AF" w:rsidRPr="00FD5703" w:rsidRDefault="00E8569A" w:rsidP="009C5CAD">
      <w:pPr>
        <w:pStyle w:val="ListParagraph"/>
        <w:numPr>
          <w:ilvl w:val="0"/>
          <w:numId w:val="3"/>
        </w:numPr>
        <w:ind w:left="567"/>
        <w:rPr>
          <w:lang w:val="es-ES_tradnl"/>
        </w:rPr>
      </w:pPr>
      <w:r w:rsidRPr="00FD5703">
        <w:rPr>
          <w:lang w:val="es-ES_tradnl"/>
        </w:rPr>
        <w:t>Notas explicativas sobre la reproducción o multiplicación y el material de reproducción o multiplicación con arreglo al Convenio de la UPOV</w:t>
      </w:r>
    </w:p>
    <w:p w:rsidR="009116AF" w:rsidRPr="00FD5703" w:rsidRDefault="00E8569A" w:rsidP="009C5CAD">
      <w:pPr>
        <w:pStyle w:val="ListParagraph"/>
        <w:numPr>
          <w:ilvl w:val="0"/>
          <w:numId w:val="3"/>
        </w:numPr>
        <w:ind w:left="567"/>
        <w:rPr>
          <w:lang w:val="es-ES_tradnl"/>
        </w:rPr>
      </w:pPr>
      <w:r w:rsidRPr="00FD5703">
        <w:rPr>
          <w:lang w:val="es-ES_tradnl"/>
        </w:rPr>
        <w:t xml:space="preserve">Notas explicativas sobre los actos respecto del producto de la cosecha con arreglo al Acta de 1991 del Convenio de la UPOV (revisión) </w:t>
      </w:r>
    </w:p>
    <w:p w:rsidR="009116AF" w:rsidRPr="00FD5703" w:rsidRDefault="00E8569A" w:rsidP="009C5CAD">
      <w:pPr>
        <w:pStyle w:val="ListParagraph"/>
        <w:numPr>
          <w:ilvl w:val="0"/>
          <w:numId w:val="3"/>
        </w:numPr>
        <w:ind w:left="567"/>
        <w:rPr>
          <w:lang w:val="es-ES_tradnl"/>
        </w:rPr>
      </w:pPr>
      <w:r w:rsidRPr="00FD5703">
        <w:rPr>
          <w:lang w:val="es-ES_tradnl"/>
        </w:rPr>
        <w:t xml:space="preserve">Notas explicativas sobre la caducidad del derecho de obtentor con arreglo al Convenio de la UPOV (revisión) </w:t>
      </w:r>
    </w:p>
    <w:p w:rsidR="009116AF" w:rsidRPr="00FD5703" w:rsidRDefault="00E8569A" w:rsidP="009C5CAD">
      <w:pPr>
        <w:pStyle w:val="ListParagraph"/>
        <w:numPr>
          <w:ilvl w:val="0"/>
          <w:numId w:val="3"/>
        </w:numPr>
        <w:ind w:left="567"/>
        <w:rPr>
          <w:lang w:val="es-ES_tradnl"/>
        </w:rPr>
      </w:pPr>
      <w:r w:rsidRPr="00FD5703">
        <w:rPr>
          <w:lang w:val="es-ES_tradnl"/>
        </w:rPr>
        <w:t>Notas explicativas sobre la nulidad del derecho de obtentor con arreglo al Convenio de la UPOV (revisión)</w:t>
      </w:r>
    </w:p>
    <w:p w:rsidR="009116AF" w:rsidRPr="00FD5703" w:rsidRDefault="00E8569A" w:rsidP="009C5CAD">
      <w:pPr>
        <w:pStyle w:val="ListParagraph"/>
        <w:numPr>
          <w:ilvl w:val="0"/>
          <w:numId w:val="3"/>
        </w:numPr>
        <w:ind w:left="567"/>
        <w:rPr>
          <w:lang w:val="es-ES_tradnl"/>
        </w:rPr>
      </w:pPr>
      <w:r w:rsidRPr="00FD5703">
        <w:rPr>
          <w:lang w:val="es-ES_tradnl"/>
        </w:rPr>
        <w:t>Notas explicativas sobre las denominacione</w:t>
      </w:r>
      <w:r w:rsidR="00643DA1" w:rsidRPr="00FD5703">
        <w:rPr>
          <w:lang w:val="es-ES_tradnl"/>
        </w:rPr>
        <w:t>s de variedades con arreglo al C</w:t>
      </w:r>
      <w:r w:rsidRPr="00FD5703">
        <w:rPr>
          <w:lang w:val="es-ES_tradnl"/>
        </w:rPr>
        <w:t xml:space="preserve">onvenio de la </w:t>
      </w:r>
      <w:r w:rsidR="00643DA1" w:rsidRPr="00FD5703">
        <w:rPr>
          <w:lang w:val="es-ES_tradnl"/>
        </w:rPr>
        <w:t>UPOV</w:t>
      </w:r>
      <w:r w:rsidRPr="00FD5703">
        <w:rPr>
          <w:lang w:val="es-ES_tradnl"/>
        </w:rPr>
        <w:t xml:space="preserve"> (revisión) </w:t>
      </w:r>
    </w:p>
    <w:p w:rsidR="009116AF" w:rsidRPr="00FD5703" w:rsidRDefault="00E8569A" w:rsidP="009C5CAD">
      <w:pPr>
        <w:pStyle w:val="ListParagraph"/>
        <w:numPr>
          <w:ilvl w:val="0"/>
          <w:numId w:val="3"/>
        </w:numPr>
        <w:ind w:left="567"/>
        <w:rPr>
          <w:lang w:val="es-ES_tradnl"/>
        </w:rPr>
      </w:pPr>
      <w:r w:rsidRPr="00FD5703">
        <w:rPr>
          <w:lang w:val="es-ES_tradnl"/>
        </w:rPr>
        <w:t>Notas explicativas sobre la protección provisional con arreglo al Convenio de la UPOV (revisión)</w:t>
      </w:r>
    </w:p>
    <w:p w:rsidR="009116AF" w:rsidRPr="00FD5703" w:rsidRDefault="00E8569A" w:rsidP="009C5CAD">
      <w:pPr>
        <w:pStyle w:val="ListParagraph"/>
        <w:numPr>
          <w:ilvl w:val="0"/>
          <w:numId w:val="3"/>
        </w:numPr>
        <w:ind w:left="567"/>
        <w:rPr>
          <w:lang w:val="es-ES_tradnl"/>
        </w:rPr>
      </w:pPr>
      <w:r w:rsidRPr="00FD5703">
        <w:rPr>
          <w:lang w:val="es-ES_tradnl"/>
        </w:rPr>
        <w:t>Asuntos relativos a las descripciones de variedades</w:t>
      </w:r>
    </w:p>
    <w:p w:rsidR="009116AF" w:rsidRPr="00FD5703" w:rsidRDefault="00E8569A" w:rsidP="009C5CAD">
      <w:pPr>
        <w:pStyle w:val="ListParagraph"/>
        <w:numPr>
          <w:ilvl w:val="0"/>
          <w:numId w:val="3"/>
        </w:numPr>
        <w:ind w:left="567"/>
        <w:rPr>
          <w:lang w:val="es-ES_tradnl"/>
        </w:rPr>
      </w:pPr>
      <w:r w:rsidRPr="00FD5703">
        <w:rPr>
          <w:lang w:val="es-ES_tradnl"/>
        </w:rPr>
        <w:t xml:space="preserve">Posibles mecanismos alternativos de solución de controversias sobre variedades esencialmente derivadas </w:t>
      </w:r>
    </w:p>
    <w:p w:rsidR="009116AF" w:rsidRPr="00FD5703" w:rsidRDefault="009116AF" w:rsidP="009C5CAD">
      <w:pPr>
        <w:rPr>
          <w:lang w:val="es-ES_tradnl"/>
        </w:rPr>
      </w:pPr>
    </w:p>
    <w:p w:rsidR="009116AF" w:rsidRPr="00FD5703" w:rsidRDefault="009116AF" w:rsidP="009C5CAD">
      <w:pPr>
        <w:rPr>
          <w:lang w:val="es-ES_tradnl"/>
        </w:rPr>
      </w:pPr>
    </w:p>
    <w:p w:rsidR="009116AF" w:rsidRPr="00FD5703" w:rsidRDefault="00E8569A" w:rsidP="009C5CAD">
      <w:pPr>
        <w:pStyle w:val="Heading2"/>
        <w:keepNext w:val="0"/>
        <w:rPr>
          <w:lang w:val="es-ES_tradnl"/>
        </w:rPr>
      </w:pPr>
      <w:bookmarkStart w:id="22" w:name="_Toc381177115"/>
      <w:r w:rsidRPr="00FD5703">
        <w:rPr>
          <w:lang w:val="es-ES_tradnl"/>
        </w:rPr>
        <w:t xml:space="preserve">UPOV </w:t>
      </w:r>
      <w:proofErr w:type="spellStart"/>
      <w:r w:rsidRPr="00FD5703">
        <w:rPr>
          <w:lang w:val="es-ES_tradnl"/>
        </w:rPr>
        <w:t>Lex</w:t>
      </w:r>
      <w:bookmarkEnd w:id="22"/>
      <w:proofErr w:type="spellEnd"/>
    </w:p>
    <w:p w:rsidR="009116AF" w:rsidRPr="00FD5703" w:rsidRDefault="009116AF" w:rsidP="009C5CAD">
      <w:pPr>
        <w:rPr>
          <w:lang w:val="es-ES_tradnl"/>
        </w:rPr>
      </w:pPr>
    </w:p>
    <w:p w:rsidR="009116AF" w:rsidRPr="00FD5703" w:rsidRDefault="00F27C33" w:rsidP="009C5CAD">
      <w:pPr>
        <w:rPr>
          <w:lang w:val="es-ES_tradnl"/>
        </w:rPr>
      </w:pPr>
      <w:r w:rsidRPr="00AF24C0">
        <w:rPr>
          <w:lang w:val="es-ES_tradnl"/>
        </w:rPr>
        <w:fldChar w:fldCharType="begin"/>
      </w:r>
      <w:r w:rsidRPr="00AF24C0">
        <w:rPr>
          <w:lang w:val="es-ES_tradnl"/>
        </w:rPr>
        <w:instrText xml:space="preserve"> AUTONUM  </w:instrText>
      </w:r>
      <w:r w:rsidRPr="00AF24C0">
        <w:rPr>
          <w:lang w:val="es-ES_tradnl"/>
        </w:rPr>
        <w:fldChar w:fldCharType="end"/>
      </w:r>
      <w:r w:rsidRPr="00AF24C0">
        <w:rPr>
          <w:lang w:val="es-ES_tradnl"/>
        </w:rPr>
        <w:tab/>
      </w:r>
      <w:r w:rsidR="00366B78" w:rsidRPr="00AF24C0">
        <w:rPr>
          <w:color w:val="000000"/>
          <w:lang w:val="es-ES_tradnl"/>
        </w:rPr>
        <w:t xml:space="preserve">UPOV </w:t>
      </w:r>
      <w:proofErr w:type="spellStart"/>
      <w:r w:rsidR="00366B78" w:rsidRPr="00AF24C0">
        <w:rPr>
          <w:color w:val="000000"/>
          <w:lang w:val="es-ES_tradnl"/>
        </w:rPr>
        <w:t>Lex</w:t>
      </w:r>
      <w:proofErr w:type="spellEnd"/>
      <w:r w:rsidR="00366B78" w:rsidRPr="00AF24C0">
        <w:rPr>
          <w:color w:val="000000"/>
          <w:lang w:val="es-ES_tradnl"/>
        </w:rPr>
        <w:t xml:space="preserve"> contiene la legislación de los miembros de la Unión notificada de conformidad con el Convenio de la UPOV, las notificaciones del Convenio de la UPOV relativas a los diferentes miembros de la Unión (por ejemplo, adhesiones, ratificaciones)</w:t>
      </w:r>
      <w:r w:rsidR="00810AF3" w:rsidRPr="00AF24C0">
        <w:rPr>
          <w:color w:val="000000"/>
          <w:lang w:val="es-ES_tradnl"/>
        </w:rPr>
        <w:t>,</w:t>
      </w:r>
      <w:r w:rsidR="00366B78" w:rsidRPr="00AF24C0">
        <w:rPr>
          <w:color w:val="000000"/>
          <w:lang w:val="es-ES_tradnl"/>
        </w:rPr>
        <w:t xml:space="preserve"> así como el texto del Convenio de la UPOV y sus Actas.</w:t>
      </w:r>
      <w:r w:rsidRPr="00AF24C0">
        <w:rPr>
          <w:lang w:val="es-ES_tradnl"/>
        </w:rPr>
        <w:t xml:space="preserve">  </w:t>
      </w:r>
      <w:r w:rsidR="00366B78" w:rsidRPr="00AF24C0">
        <w:rPr>
          <w:color w:val="000000"/>
          <w:lang w:val="es-ES_tradnl"/>
        </w:rPr>
        <w:t>UPOV </w:t>
      </w:r>
      <w:proofErr w:type="spellStart"/>
      <w:r w:rsidR="00366B78" w:rsidRPr="00AF24C0">
        <w:rPr>
          <w:color w:val="000000"/>
          <w:lang w:val="es-ES_tradnl"/>
        </w:rPr>
        <w:t>Lex</w:t>
      </w:r>
      <w:proofErr w:type="spellEnd"/>
      <w:r w:rsidR="00366B78" w:rsidRPr="00AF24C0">
        <w:rPr>
          <w:color w:val="000000"/>
          <w:lang w:val="es-ES_tradnl"/>
        </w:rPr>
        <w:t xml:space="preserve"> se ha modificado a fin de incluir las notificaciones de los miembros de la Unión sobre los géneros y especies vegetales que son objeto de protección de las obtenciones vegetales en su territorio (véase el párrafo 30 del documento  C/47/15 Rev. </w:t>
      </w:r>
      <w:r w:rsidR="009C5CAD" w:rsidRPr="00AF24C0">
        <w:rPr>
          <w:color w:val="000000"/>
          <w:lang w:val="es-ES_tradnl"/>
        </w:rPr>
        <w:t>“</w:t>
      </w:r>
      <w:r w:rsidR="00AF24C0" w:rsidRPr="00AF24C0">
        <w:rPr>
          <w:i/>
        </w:rPr>
        <w:t>Report by the President on the work of the eighty-sixth session of the Consultative Committee; adoption of recommendations, if any, prepared by that Committee</w:t>
      </w:r>
      <w:r w:rsidR="00AF24C0">
        <w:t>”</w:t>
      </w:r>
      <w:r w:rsidR="00AF24C0">
        <w:rPr>
          <w:color w:val="000000"/>
          <w:lang w:val="es-ES_tradnl"/>
        </w:rPr>
        <w:t xml:space="preserve"> (Informe de la Presidenta</w:t>
      </w:r>
      <w:r w:rsidR="00366B78" w:rsidRPr="00AF24C0">
        <w:rPr>
          <w:color w:val="000000"/>
          <w:lang w:val="es-ES_tradnl"/>
        </w:rPr>
        <w:t xml:space="preserve"> sobre los trabajos de la octogésima sexta sesión del Comité Consultivo;  </w:t>
      </w:r>
      <w:r w:rsidR="005025C3" w:rsidRPr="00AF24C0">
        <w:rPr>
          <w:color w:val="000000"/>
          <w:lang w:val="es-ES_tradnl"/>
        </w:rPr>
        <w:t>aprobación</w:t>
      </w:r>
      <w:r w:rsidR="00366B78" w:rsidRPr="00AF24C0">
        <w:rPr>
          <w:color w:val="000000"/>
          <w:lang w:val="es-ES_tradnl"/>
        </w:rPr>
        <w:t>, si procede, de las recomendaciones preparadas por dicho Comité).</w:t>
      </w:r>
    </w:p>
    <w:p w:rsidR="009116AF" w:rsidRPr="00FD5703" w:rsidRDefault="009116AF" w:rsidP="009C5CAD">
      <w:pPr>
        <w:rPr>
          <w:lang w:val="es-ES_tradnl"/>
        </w:rPr>
      </w:pPr>
    </w:p>
    <w:p w:rsidR="009116AF" w:rsidRPr="00FD5703" w:rsidRDefault="009116AF" w:rsidP="009C5CAD">
      <w:pPr>
        <w:rPr>
          <w:lang w:val="es-ES_tradnl"/>
        </w:rPr>
      </w:pPr>
    </w:p>
    <w:p w:rsidR="009116AF" w:rsidRPr="00FD5703" w:rsidRDefault="00366B78" w:rsidP="00464673">
      <w:pPr>
        <w:pStyle w:val="Heading1"/>
        <w:rPr>
          <w:lang w:val="es-ES_tradnl"/>
        </w:rPr>
      </w:pPr>
      <w:bookmarkStart w:id="23" w:name="_Toc381177116"/>
      <w:r w:rsidRPr="00FD5703">
        <w:rPr>
          <w:lang w:val="es-ES_tradnl"/>
        </w:rPr>
        <w:t>PUBLICACIONES, ACTIVIDADES Y FORMACIONES</w:t>
      </w:r>
      <w:bookmarkEnd w:id="23"/>
      <w:r w:rsidRPr="00FD5703">
        <w:rPr>
          <w:lang w:val="es-ES_tradnl"/>
        </w:rPr>
        <w:t xml:space="preserve"> </w:t>
      </w:r>
    </w:p>
    <w:p w:rsidR="00815096" w:rsidRPr="00FD5703" w:rsidRDefault="00815096" w:rsidP="009C5CAD">
      <w:pPr>
        <w:rPr>
          <w:lang w:val="es-ES_tradnl"/>
        </w:rPr>
      </w:pPr>
    </w:p>
    <w:p w:rsidR="009116AF" w:rsidRPr="00FD5703" w:rsidRDefault="00366B78" w:rsidP="009C5CAD">
      <w:pPr>
        <w:pStyle w:val="Heading2"/>
        <w:keepNext w:val="0"/>
        <w:rPr>
          <w:lang w:val="es-ES_tradnl"/>
        </w:rPr>
      </w:pPr>
      <w:bookmarkStart w:id="24" w:name="_Toc381177117"/>
      <w:r w:rsidRPr="00FD5703">
        <w:rPr>
          <w:lang w:val="es-ES_tradnl"/>
        </w:rPr>
        <w:t>Estrategia de comunicación</w:t>
      </w:r>
      <w:bookmarkEnd w:id="24"/>
    </w:p>
    <w:p w:rsidR="009116AF" w:rsidRPr="00FD5703" w:rsidRDefault="009116AF" w:rsidP="009C5CAD">
      <w:pPr>
        <w:rPr>
          <w:lang w:val="es-ES_tradnl"/>
        </w:rPr>
      </w:pPr>
    </w:p>
    <w:p w:rsidR="009116AF" w:rsidRPr="00FD5703" w:rsidRDefault="001F4113"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3A0E4C" w:rsidRPr="00FD5703">
        <w:rPr>
          <w:color w:val="000000"/>
          <w:lang w:val="es-ES_tradnl"/>
        </w:rPr>
        <w:t>El Comité Consultivo aprobó una estrategia de comunicación en la que se acordó un conjunto de respuestas a preguntas frecuentes que se publicará en el sitio web de la UPOV (véa</w:t>
      </w:r>
      <w:r w:rsidR="00911EC7">
        <w:rPr>
          <w:color w:val="000000"/>
          <w:lang w:val="es-ES_tradnl"/>
        </w:rPr>
        <w:t>n</w:t>
      </w:r>
      <w:r w:rsidR="003A0E4C" w:rsidRPr="00FD5703">
        <w:rPr>
          <w:color w:val="000000"/>
          <w:lang w:val="es-ES_tradnl"/>
        </w:rPr>
        <w:t>se también</w:t>
      </w:r>
      <w:r w:rsidR="00911EC7">
        <w:rPr>
          <w:color w:val="000000"/>
          <w:lang w:val="es-ES_tradnl"/>
        </w:rPr>
        <w:t xml:space="preserve"> los párrafos 24 a 26</w:t>
      </w:r>
      <w:r w:rsidR="003A0E4C" w:rsidRPr="00FD5703">
        <w:rPr>
          <w:color w:val="000000"/>
          <w:lang w:val="es-ES_tradnl"/>
        </w:rPr>
        <w:t xml:space="preserve"> </w:t>
      </w:r>
      <w:r w:rsidR="00911EC7">
        <w:rPr>
          <w:color w:val="000000"/>
          <w:lang w:val="es-ES_tradnl"/>
        </w:rPr>
        <w:t>d</w:t>
      </w:r>
      <w:r w:rsidR="003A0E4C" w:rsidRPr="00FD5703">
        <w:rPr>
          <w:color w:val="000000"/>
          <w:lang w:val="es-ES_tradnl"/>
        </w:rPr>
        <w:t xml:space="preserve">el documento TC/50/13 </w:t>
      </w:r>
      <w:r w:rsidR="009C5CAD" w:rsidRPr="00FD5703">
        <w:rPr>
          <w:color w:val="000000"/>
          <w:lang w:val="es-ES_tradnl"/>
        </w:rPr>
        <w:t>“</w:t>
      </w:r>
      <w:r w:rsidR="003A0E4C" w:rsidRPr="00FD5703">
        <w:rPr>
          <w:color w:val="000000"/>
          <w:lang w:val="es-ES_tradnl"/>
        </w:rPr>
        <w:t>Técnicas moleculares</w:t>
      </w:r>
      <w:r w:rsidR="009C5CAD" w:rsidRPr="00FD5703">
        <w:rPr>
          <w:color w:val="000000"/>
          <w:lang w:val="es-ES_tradnl"/>
        </w:rPr>
        <w:t>”</w:t>
      </w:r>
      <w:r w:rsidR="003A0E4C" w:rsidRPr="00FD5703">
        <w:rPr>
          <w:color w:val="000000"/>
          <w:lang w:val="es-ES_tradnl"/>
        </w:rPr>
        <w:t>).</w:t>
      </w:r>
    </w:p>
    <w:p w:rsidR="009116AF" w:rsidRPr="00FD5703" w:rsidRDefault="009116AF" w:rsidP="009C5CAD">
      <w:pPr>
        <w:rPr>
          <w:lang w:val="es-ES_tradnl"/>
        </w:rPr>
      </w:pPr>
    </w:p>
    <w:p w:rsidR="009116AF" w:rsidRPr="00FD5703" w:rsidRDefault="003A0E4C" w:rsidP="009C5CAD">
      <w:pPr>
        <w:pStyle w:val="Heading2"/>
        <w:keepNext w:val="0"/>
        <w:rPr>
          <w:lang w:val="es-ES_tradnl"/>
        </w:rPr>
      </w:pPr>
      <w:bookmarkStart w:id="25" w:name="_Toc381177118"/>
      <w:r w:rsidRPr="00FD5703">
        <w:rPr>
          <w:lang w:val="es-ES_tradnl"/>
        </w:rPr>
        <w:t>Publicación de la Trilogía</w:t>
      </w:r>
      <w:bookmarkEnd w:id="25"/>
    </w:p>
    <w:p w:rsidR="009116AF" w:rsidRPr="00FD5703" w:rsidRDefault="009116AF" w:rsidP="009C5CAD">
      <w:pPr>
        <w:rPr>
          <w:lang w:val="es-ES_tradnl"/>
        </w:rPr>
      </w:pPr>
    </w:p>
    <w:p w:rsidR="009116AF" w:rsidRPr="00FD5703" w:rsidRDefault="00CE767B"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3A0E4C" w:rsidRPr="00FD5703">
        <w:rPr>
          <w:color w:val="000000"/>
          <w:lang w:val="es-ES_tradnl"/>
        </w:rPr>
        <w:t xml:space="preserve">La </w:t>
      </w:r>
      <w:r w:rsidR="009C5CAD" w:rsidRPr="00FD5703">
        <w:rPr>
          <w:color w:val="000000"/>
          <w:lang w:val="es-ES_tradnl"/>
        </w:rPr>
        <w:t>“</w:t>
      </w:r>
      <w:r w:rsidR="003A0E4C" w:rsidRPr="00FD5703">
        <w:rPr>
          <w:color w:val="000000"/>
          <w:lang w:val="es-ES_tradnl"/>
        </w:rPr>
        <w:t>trilogía</w:t>
      </w:r>
      <w:r w:rsidR="009C5CAD" w:rsidRPr="00FD5703">
        <w:rPr>
          <w:color w:val="000000"/>
          <w:lang w:val="es-ES_tradnl"/>
        </w:rPr>
        <w:t>”</w:t>
      </w:r>
      <w:r w:rsidR="003A0E4C" w:rsidRPr="00FD5703">
        <w:rPr>
          <w:color w:val="000000"/>
          <w:lang w:val="es-ES_tradnl"/>
        </w:rPr>
        <w:t xml:space="preserve"> es una publicación que combina las deliberaciones del </w:t>
      </w:r>
      <w:r w:rsidR="009C5CAD" w:rsidRPr="00FD5703">
        <w:rPr>
          <w:color w:val="000000"/>
          <w:lang w:val="es-ES_tradnl"/>
        </w:rPr>
        <w:t>“</w:t>
      </w:r>
      <w:r w:rsidR="003A0E4C" w:rsidRPr="00FD5703">
        <w:rPr>
          <w:color w:val="000000"/>
          <w:lang w:val="es-ES_tradnl"/>
        </w:rPr>
        <w:t>Seminario sobre la protección de las variedades vegetales y l</w:t>
      </w:r>
      <w:r w:rsidR="00AB5E4B" w:rsidRPr="00FD5703">
        <w:rPr>
          <w:color w:val="000000"/>
          <w:lang w:val="es-ES_tradnl"/>
        </w:rPr>
        <w:t xml:space="preserve">a transferencia de tecnología: </w:t>
      </w:r>
      <w:r w:rsidR="003A0E4C" w:rsidRPr="00FD5703">
        <w:rPr>
          <w:color w:val="000000"/>
          <w:lang w:val="es-ES_tradnl"/>
        </w:rPr>
        <w:t>beneficios de la colaboración público-privada</w:t>
      </w:r>
      <w:r w:rsidR="009C5CAD" w:rsidRPr="00FD5703">
        <w:rPr>
          <w:color w:val="000000"/>
          <w:lang w:val="es-ES_tradnl"/>
        </w:rPr>
        <w:t>”</w:t>
      </w:r>
      <w:r w:rsidR="003A0E4C" w:rsidRPr="00FD5703">
        <w:rPr>
          <w:color w:val="000000"/>
          <w:lang w:val="es-ES_tradnl"/>
        </w:rPr>
        <w:t xml:space="preserve">, el </w:t>
      </w:r>
      <w:r w:rsidR="009C5CAD" w:rsidRPr="00FD5703">
        <w:rPr>
          <w:color w:val="000000"/>
          <w:lang w:val="es-ES_tradnl"/>
        </w:rPr>
        <w:t>“</w:t>
      </w:r>
      <w:r w:rsidR="003A0E4C" w:rsidRPr="00FD5703">
        <w:rPr>
          <w:color w:val="000000"/>
          <w:lang w:val="es-ES_tradnl"/>
        </w:rPr>
        <w:t>Simposio sobre el fitomejoramiento para el futuro</w:t>
      </w:r>
      <w:r w:rsidR="009C5CAD" w:rsidRPr="00FD5703">
        <w:rPr>
          <w:color w:val="000000"/>
          <w:lang w:val="es-ES_tradnl"/>
        </w:rPr>
        <w:t>”</w:t>
      </w:r>
      <w:r w:rsidR="003A0E4C" w:rsidRPr="00FD5703">
        <w:rPr>
          <w:color w:val="000000"/>
          <w:lang w:val="es-ES_tradnl"/>
        </w:rPr>
        <w:t xml:space="preserve">, y el </w:t>
      </w:r>
      <w:r w:rsidR="009C5CAD" w:rsidRPr="00FD5703">
        <w:rPr>
          <w:color w:val="000000"/>
          <w:lang w:val="es-ES_tradnl"/>
        </w:rPr>
        <w:t>“</w:t>
      </w:r>
      <w:r w:rsidR="003A0E4C" w:rsidRPr="00FD5703">
        <w:rPr>
          <w:color w:val="000000"/>
          <w:lang w:val="es-ES_tradnl"/>
        </w:rPr>
        <w:t>Simposio sobre las ventajas de la protección de las obtenciones vegetales para los agr</w:t>
      </w:r>
      <w:r w:rsidR="00AB5E4B" w:rsidRPr="00FD5703">
        <w:rPr>
          <w:color w:val="000000"/>
          <w:lang w:val="es-ES_tradnl"/>
        </w:rPr>
        <w:t>icultores y los productores</w:t>
      </w:r>
      <w:r w:rsidR="009C5CAD" w:rsidRPr="00FD5703">
        <w:rPr>
          <w:color w:val="000000"/>
          <w:lang w:val="es-ES_tradnl"/>
        </w:rPr>
        <w:t>”</w:t>
      </w:r>
      <w:r w:rsidR="00AB5E4B" w:rsidRPr="00FD5703">
        <w:rPr>
          <w:color w:val="000000"/>
          <w:lang w:val="es-ES_tradnl"/>
        </w:rPr>
        <w:t xml:space="preserve">.  </w:t>
      </w:r>
      <w:r w:rsidR="006236B1" w:rsidRPr="00FD5703">
        <w:rPr>
          <w:color w:val="000000"/>
          <w:lang w:val="es-ES_tradnl"/>
        </w:rPr>
        <w:t>Tambié</w:t>
      </w:r>
      <w:r w:rsidR="00AB5E4B" w:rsidRPr="00FD5703">
        <w:rPr>
          <w:color w:val="000000"/>
          <w:lang w:val="es-ES_tradnl"/>
        </w:rPr>
        <w:t>n</w:t>
      </w:r>
      <w:r w:rsidR="006236B1" w:rsidRPr="00FD5703">
        <w:rPr>
          <w:color w:val="000000"/>
          <w:lang w:val="es-ES_tradnl"/>
        </w:rPr>
        <w:t xml:space="preserve"> se encuentra disponible</w:t>
      </w:r>
      <w:r w:rsidR="00C4561F">
        <w:rPr>
          <w:color w:val="000000"/>
          <w:lang w:val="es-ES_tradnl"/>
        </w:rPr>
        <w:t xml:space="preserve"> un resumen de la publicación.</w:t>
      </w:r>
    </w:p>
    <w:p w:rsidR="009116AF" w:rsidRPr="00FD5703" w:rsidRDefault="009116AF" w:rsidP="009C5CAD">
      <w:pPr>
        <w:rPr>
          <w:lang w:val="es-ES_tradnl"/>
        </w:rPr>
      </w:pPr>
    </w:p>
    <w:p w:rsidR="009116AF" w:rsidRPr="00FD5703" w:rsidRDefault="00CE767B"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AB5E4B" w:rsidRPr="00FD5703">
        <w:rPr>
          <w:color w:val="000000"/>
          <w:lang w:val="es-ES_tradnl"/>
        </w:rPr>
        <w:t xml:space="preserve">La trilogía se encuentra a disposición en la siguiente dirección: </w:t>
      </w:r>
      <w:hyperlink r:id="rId10" w:history="1">
        <w:r w:rsidR="00AB5E4B" w:rsidRPr="00FD5703">
          <w:rPr>
            <w:rStyle w:val="Hyperlink"/>
            <w:lang w:val="es-ES_tradnl"/>
          </w:rPr>
          <w:t>http://www.upov.int/about/es/benefits_upov_system.html</w:t>
        </w:r>
      </w:hyperlink>
      <w:r w:rsidR="00810AF3" w:rsidRPr="00FD5703">
        <w:rPr>
          <w:rStyle w:val="Hyperlink"/>
          <w:lang w:val="es-ES_tradnl"/>
        </w:rPr>
        <w:t>,</w:t>
      </w:r>
      <w:r w:rsidR="00810AF3" w:rsidRPr="00FD5703">
        <w:rPr>
          <w:rStyle w:val="Hyperlink"/>
          <w:u w:val="none"/>
          <w:lang w:val="es-ES_tradnl"/>
        </w:rPr>
        <w:t xml:space="preserve"> </w:t>
      </w:r>
      <w:r w:rsidR="00810AF3" w:rsidRPr="00FD5703">
        <w:rPr>
          <w:rStyle w:val="Hyperlink"/>
          <w:color w:val="auto"/>
          <w:u w:val="none"/>
          <w:lang w:val="es-ES_tradnl"/>
        </w:rPr>
        <w:t>y el</w:t>
      </w:r>
      <w:r w:rsidR="00AB5E4B" w:rsidRPr="00FD5703">
        <w:rPr>
          <w:lang w:val="es-ES_tradnl"/>
        </w:rPr>
        <w:t xml:space="preserve"> </w:t>
      </w:r>
      <w:r w:rsidR="00AB5E4B" w:rsidRPr="00FD5703">
        <w:rPr>
          <w:color w:val="000000"/>
          <w:lang w:val="es-ES_tradnl"/>
        </w:rPr>
        <w:t xml:space="preserve">Centro de Información de la OMPI </w:t>
      </w:r>
      <w:r w:rsidR="00810AF3" w:rsidRPr="00FD5703">
        <w:rPr>
          <w:color w:val="000000"/>
          <w:lang w:val="es-ES_tradnl"/>
        </w:rPr>
        <w:t xml:space="preserve">cuenta con copias en papel, que </w:t>
      </w:r>
      <w:r w:rsidR="00497E8A" w:rsidRPr="00FD5703">
        <w:rPr>
          <w:color w:val="000000"/>
          <w:lang w:val="es-ES_tradnl"/>
        </w:rPr>
        <w:t>también</w:t>
      </w:r>
      <w:r w:rsidR="00810AF3" w:rsidRPr="00FD5703">
        <w:rPr>
          <w:color w:val="000000"/>
          <w:lang w:val="es-ES_tradnl"/>
        </w:rPr>
        <w:t xml:space="preserve"> pueden ser encargadas.</w:t>
      </w:r>
    </w:p>
    <w:p w:rsidR="009116AF" w:rsidRPr="00FD5703" w:rsidRDefault="009116AF" w:rsidP="009C5CAD">
      <w:pPr>
        <w:rPr>
          <w:lang w:val="es-ES_tradnl"/>
        </w:rPr>
      </w:pPr>
    </w:p>
    <w:p w:rsidR="00815096" w:rsidRPr="00FD5703" w:rsidRDefault="00815096" w:rsidP="009C5CAD">
      <w:pPr>
        <w:rPr>
          <w:lang w:val="es-ES_tradnl"/>
        </w:rPr>
      </w:pPr>
    </w:p>
    <w:p w:rsidR="009116AF" w:rsidRPr="00FD5703" w:rsidRDefault="00AB5E4B" w:rsidP="009C5CAD">
      <w:pPr>
        <w:pStyle w:val="Heading2"/>
        <w:keepNext w:val="0"/>
        <w:rPr>
          <w:lang w:val="es-ES_tradnl"/>
        </w:rPr>
      </w:pPr>
      <w:bookmarkStart w:id="26" w:name="_Toc381177119"/>
      <w:r w:rsidRPr="00FD5703">
        <w:rPr>
          <w:lang w:val="es-ES_tradnl"/>
        </w:rPr>
        <w:t>Seminario sobre variedades esencialmente derivadas</w:t>
      </w:r>
      <w:bookmarkEnd w:id="26"/>
    </w:p>
    <w:p w:rsidR="009116AF" w:rsidRPr="00FD5703" w:rsidRDefault="009116AF" w:rsidP="009C5CAD">
      <w:pPr>
        <w:rPr>
          <w:rFonts w:cs="Arial"/>
          <w:highlight w:val="yellow"/>
          <w:lang w:val="es-ES_tradnl"/>
        </w:rPr>
      </w:pPr>
      <w:bookmarkStart w:id="27" w:name="OLE_LINK1"/>
    </w:p>
    <w:p w:rsidR="009116AF" w:rsidRPr="00FD5703" w:rsidRDefault="00CE767B" w:rsidP="009C5CAD">
      <w:pPr>
        <w:rPr>
          <w:rFonts w:cs="Arial"/>
          <w:snapToGrid w:val="0"/>
          <w:lang w:val="es-ES_tradnl"/>
        </w:rPr>
      </w:pPr>
      <w:r w:rsidRPr="00FD5703">
        <w:rPr>
          <w:rFonts w:cs="Arial"/>
          <w:lang w:val="es-ES_tradnl"/>
        </w:rPr>
        <w:fldChar w:fldCharType="begin"/>
      </w:r>
      <w:r w:rsidRPr="00FD5703">
        <w:rPr>
          <w:rFonts w:cs="Arial"/>
          <w:lang w:val="es-ES_tradnl"/>
        </w:rPr>
        <w:instrText xml:space="preserve"> AUTONUM  </w:instrText>
      </w:r>
      <w:r w:rsidRPr="00FD5703">
        <w:rPr>
          <w:rFonts w:cs="Arial"/>
          <w:lang w:val="es-ES_tradnl"/>
        </w:rPr>
        <w:fldChar w:fldCharType="end"/>
      </w:r>
      <w:r w:rsidRPr="00FD5703">
        <w:rPr>
          <w:rFonts w:cs="Arial"/>
          <w:lang w:val="es-ES_tradnl"/>
        </w:rPr>
        <w:tab/>
      </w:r>
      <w:bookmarkEnd w:id="27"/>
      <w:r w:rsidR="00AB5E4B" w:rsidRPr="00FD5703">
        <w:rPr>
          <w:rFonts w:cs="Arial"/>
          <w:color w:val="000000"/>
          <w:lang w:val="es-ES_tradnl"/>
        </w:rPr>
        <w:t xml:space="preserve">El 22 de octubre de 2013, la UPOV organizó un seminario para examinar los </w:t>
      </w:r>
      <w:r w:rsidR="005D6C4F" w:rsidRPr="00FD5703">
        <w:rPr>
          <w:rFonts w:cs="Arial"/>
          <w:color w:val="000000"/>
          <w:lang w:val="es-ES_tradnl"/>
        </w:rPr>
        <w:t>puntos de vista</w:t>
      </w:r>
      <w:r w:rsidR="00AB5E4B" w:rsidRPr="00FD5703">
        <w:rPr>
          <w:rFonts w:cs="Arial"/>
          <w:color w:val="000000"/>
          <w:lang w:val="es-ES_tradnl"/>
        </w:rPr>
        <w:t xml:space="preserve"> técnicos y jurídicos </w:t>
      </w:r>
      <w:r w:rsidR="005D6C4F" w:rsidRPr="00FD5703">
        <w:rPr>
          <w:rFonts w:cs="Arial"/>
          <w:color w:val="000000"/>
          <w:lang w:val="es-ES_tradnl"/>
        </w:rPr>
        <w:t>de</w:t>
      </w:r>
      <w:r w:rsidR="00AB5E4B" w:rsidRPr="00FD5703">
        <w:rPr>
          <w:rFonts w:cs="Arial"/>
          <w:color w:val="000000"/>
          <w:lang w:val="es-ES_tradnl"/>
        </w:rPr>
        <w:t xml:space="preserve"> las variedades esencialmente derivadas y </w:t>
      </w:r>
      <w:r w:rsidR="005D6C4F" w:rsidRPr="00FD5703">
        <w:rPr>
          <w:rFonts w:cs="Arial"/>
          <w:color w:val="000000"/>
          <w:lang w:val="es-ES_tradnl"/>
        </w:rPr>
        <w:t>su</w:t>
      </w:r>
      <w:r w:rsidR="00AB5E4B" w:rsidRPr="00FD5703">
        <w:rPr>
          <w:rFonts w:cs="Arial"/>
          <w:color w:val="000000"/>
          <w:lang w:val="es-ES_tradnl"/>
        </w:rPr>
        <w:t xml:space="preserve"> posible incidencia </w:t>
      </w:r>
      <w:r w:rsidR="005D6C4F" w:rsidRPr="00FD5703">
        <w:rPr>
          <w:rFonts w:cs="Arial"/>
          <w:color w:val="000000"/>
          <w:lang w:val="es-ES_tradnl"/>
        </w:rPr>
        <w:t>en</w:t>
      </w:r>
      <w:r w:rsidR="00AB5E4B" w:rsidRPr="00FD5703">
        <w:rPr>
          <w:rFonts w:cs="Arial"/>
          <w:color w:val="000000"/>
          <w:lang w:val="es-ES_tradnl"/>
        </w:rPr>
        <w:t xml:space="preserve"> el fitomejoramiento y la agricultura, la experiencia existente en relación con las variedades esencialmente derivadas, y la posible función de la</w:t>
      </w:r>
      <w:r w:rsidR="005D6C4F" w:rsidRPr="00FD5703">
        <w:rPr>
          <w:rFonts w:cs="Arial"/>
          <w:color w:val="000000"/>
          <w:lang w:val="es-ES_tradnl"/>
        </w:rPr>
        <w:t xml:space="preserve"> futura</w:t>
      </w:r>
      <w:r w:rsidR="00AB5E4B" w:rsidRPr="00FD5703">
        <w:rPr>
          <w:rFonts w:cs="Arial"/>
          <w:color w:val="000000"/>
          <w:lang w:val="es-ES_tradnl"/>
        </w:rPr>
        <w:t xml:space="preserve"> orientación de la UPOV sobre las variedades esencialmente derivadas en las causas presentadas ante los tribunales. </w:t>
      </w:r>
      <w:r w:rsidRPr="00FD5703">
        <w:rPr>
          <w:rFonts w:cs="Arial"/>
          <w:lang w:val="es-ES_tradnl"/>
        </w:rPr>
        <w:t xml:space="preserve">  </w:t>
      </w:r>
    </w:p>
    <w:p w:rsidR="009116AF" w:rsidRPr="00FD5703" w:rsidRDefault="009116AF" w:rsidP="009C5CAD">
      <w:pPr>
        <w:rPr>
          <w:rFonts w:cs="Arial"/>
          <w:snapToGrid w:val="0"/>
          <w:lang w:val="es-ES_tradnl"/>
        </w:rPr>
      </w:pPr>
    </w:p>
    <w:p w:rsidR="009116AF" w:rsidRPr="00FD5703" w:rsidRDefault="00CE767B" w:rsidP="009C5CAD">
      <w:pPr>
        <w:rPr>
          <w:rFonts w:cs="Arial"/>
          <w:snapToGrid w:val="0"/>
          <w:lang w:val="es-ES_tradnl"/>
        </w:rPr>
      </w:pPr>
      <w:r w:rsidRPr="00FD5703">
        <w:rPr>
          <w:rFonts w:cs="Arial"/>
          <w:snapToGrid w:val="0"/>
          <w:lang w:val="es-ES_tradnl"/>
        </w:rPr>
        <w:fldChar w:fldCharType="begin"/>
      </w:r>
      <w:r w:rsidRPr="00FD5703">
        <w:rPr>
          <w:rFonts w:cs="Arial"/>
          <w:snapToGrid w:val="0"/>
          <w:lang w:val="es-ES_tradnl"/>
        </w:rPr>
        <w:instrText xml:space="preserve"> AUTONUM  </w:instrText>
      </w:r>
      <w:r w:rsidRPr="00FD5703">
        <w:rPr>
          <w:rFonts w:cs="Arial"/>
          <w:snapToGrid w:val="0"/>
          <w:lang w:val="es-ES_tradnl"/>
        </w:rPr>
        <w:fldChar w:fldCharType="end"/>
      </w:r>
      <w:r w:rsidRPr="00FD5703">
        <w:rPr>
          <w:rFonts w:cs="Arial"/>
          <w:snapToGrid w:val="0"/>
          <w:lang w:val="es-ES_tradnl"/>
        </w:rPr>
        <w:tab/>
      </w:r>
      <w:r w:rsidR="00605960" w:rsidRPr="00FD5703">
        <w:rPr>
          <w:rFonts w:cs="Arial"/>
          <w:snapToGrid w:val="0"/>
          <w:color w:val="000000"/>
          <w:lang w:val="es-ES_tradnl"/>
        </w:rPr>
        <w:t xml:space="preserve">Las copias de las ponencias y un vídeo del seminario están disponibles en el sitio web de la UPOV en: </w:t>
      </w:r>
      <w:hyperlink r:id="rId11" w:history="1">
        <w:r w:rsidR="00605960" w:rsidRPr="00C4561F">
          <w:rPr>
            <w:rStyle w:val="Hyperlink"/>
            <w:lang w:val="es-ES_tradnl"/>
          </w:rPr>
          <w:t>http://www.upov.int/meetings/es/details.jsp?meeting_id=29782</w:t>
        </w:r>
      </w:hyperlink>
      <w:r w:rsidR="00C4561F">
        <w:rPr>
          <w:rFonts w:cs="Arial"/>
          <w:i/>
          <w:snapToGrid w:val="0"/>
          <w:color w:val="000000"/>
          <w:lang w:val="es-ES_tradnl"/>
        </w:rPr>
        <w:t>.</w:t>
      </w:r>
    </w:p>
    <w:p w:rsidR="009116AF" w:rsidRPr="00FD5703" w:rsidRDefault="009116AF" w:rsidP="009C5CAD">
      <w:pPr>
        <w:rPr>
          <w:lang w:val="es-ES_tradnl"/>
        </w:rPr>
      </w:pPr>
    </w:p>
    <w:p w:rsidR="00815096" w:rsidRPr="00FD5703" w:rsidRDefault="00815096" w:rsidP="009C5CAD">
      <w:pPr>
        <w:rPr>
          <w:lang w:val="es-ES_tradnl"/>
        </w:rPr>
      </w:pPr>
    </w:p>
    <w:p w:rsidR="009116AF" w:rsidRPr="00FD5703" w:rsidRDefault="00791A37" w:rsidP="009C5CAD">
      <w:pPr>
        <w:pStyle w:val="Heading2"/>
        <w:keepNext w:val="0"/>
        <w:rPr>
          <w:lang w:val="es-ES_tradnl"/>
        </w:rPr>
      </w:pPr>
      <w:bookmarkStart w:id="28" w:name="_Toc381177120"/>
      <w:r w:rsidRPr="00FD5703">
        <w:rPr>
          <w:lang w:val="es-ES_tradnl"/>
        </w:rPr>
        <w:t>Cursos de enseñanza a distancia</w:t>
      </w:r>
      <w:bookmarkEnd w:id="28"/>
    </w:p>
    <w:p w:rsidR="009116AF" w:rsidRPr="00FD5703" w:rsidRDefault="009116AF" w:rsidP="009C5CAD">
      <w:pPr>
        <w:rPr>
          <w:lang w:val="es-ES_tradnl"/>
        </w:rPr>
      </w:pPr>
    </w:p>
    <w:p w:rsidR="009116AF" w:rsidRPr="00FD5703" w:rsidRDefault="005902E4"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BD1E2B" w:rsidRPr="00FD5703">
        <w:rPr>
          <w:color w:val="000000"/>
          <w:lang w:val="es-ES_tradnl"/>
        </w:rPr>
        <w:t>La</w:t>
      </w:r>
      <w:r w:rsidR="00791A37" w:rsidRPr="00FD5703">
        <w:rPr>
          <w:color w:val="000000"/>
          <w:lang w:val="es-ES_tradnl"/>
        </w:rPr>
        <w:t xml:space="preserve"> primera sesión del curso </w:t>
      </w:r>
      <w:r w:rsidR="009C5CAD" w:rsidRPr="00FD5703">
        <w:rPr>
          <w:color w:val="000000"/>
          <w:lang w:val="es-ES_tradnl"/>
        </w:rPr>
        <w:t>“</w:t>
      </w:r>
      <w:r w:rsidR="00791A37" w:rsidRPr="00FD5703">
        <w:rPr>
          <w:color w:val="000000"/>
          <w:lang w:val="es-ES_tradnl"/>
        </w:rPr>
        <w:t>Examen de las solicitudes de derechos de obtentor</w:t>
      </w:r>
      <w:r w:rsidR="009C5CAD" w:rsidRPr="00FD5703">
        <w:rPr>
          <w:color w:val="000000"/>
          <w:lang w:val="es-ES_tradnl"/>
        </w:rPr>
        <w:t>”</w:t>
      </w:r>
      <w:r w:rsidR="00791A37" w:rsidRPr="00FD5703">
        <w:rPr>
          <w:color w:val="000000"/>
          <w:lang w:val="es-ES_tradnl"/>
        </w:rPr>
        <w:t xml:space="preserve"> (DL 305), en inglés, se l</w:t>
      </w:r>
      <w:r w:rsidR="00995C0F" w:rsidRPr="00FD5703">
        <w:rPr>
          <w:color w:val="000000"/>
          <w:lang w:val="es-ES_tradnl"/>
        </w:rPr>
        <w:t>l</w:t>
      </w:r>
      <w:r w:rsidR="00791A37" w:rsidRPr="00FD5703">
        <w:rPr>
          <w:color w:val="000000"/>
          <w:lang w:val="es-ES_tradnl"/>
        </w:rPr>
        <w:t xml:space="preserve">evará a </w:t>
      </w:r>
      <w:r w:rsidR="00995C0F" w:rsidRPr="00FD5703">
        <w:rPr>
          <w:color w:val="000000"/>
          <w:lang w:val="es-ES_tradnl"/>
        </w:rPr>
        <w:t>cabo</w:t>
      </w:r>
      <w:r w:rsidR="00791A37" w:rsidRPr="00FD5703">
        <w:rPr>
          <w:color w:val="000000"/>
          <w:lang w:val="es-ES_tradnl"/>
        </w:rPr>
        <w:t xml:space="preserve"> en las siguientes fechas:  </w:t>
      </w:r>
    </w:p>
    <w:p w:rsidR="009116AF" w:rsidRPr="00FD5703" w:rsidRDefault="009116AF" w:rsidP="009C5CAD">
      <w:pPr>
        <w:rPr>
          <w:lang w:val="es-ES_tradnl"/>
        </w:rPr>
      </w:pPr>
    </w:p>
    <w:p w:rsidR="009116AF" w:rsidRPr="00FD5703" w:rsidRDefault="00995C0F" w:rsidP="009C5CAD">
      <w:pPr>
        <w:ind w:left="567"/>
        <w:rPr>
          <w:rFonts w:cs="Arial"/>
          <w:lang w:val="es-ES_tradnl"/>
        </w:rPr>
      </w:pPr>
      <w:r w:rsidRPr="00FD5703">
        <w:rPr>
          <w:rFonts w:cs="Arial"/>
          <w:color w:val="000000"/>
          <w:lang w:val="es-ES_tradnl"/>
        </w:rPr>
        <w:t>Fecha del curso: del 31 de marzo al 11 de mayo de 2014</w:t>
      </w:r>
    </w:p>
    <w:p w:rsidR="009116AF" w:rsidRPr="00FD5703" w:rsidRDefault="00995C0F" w:rsidP="009C5CAD">
      <w:pPr>
        <w:ind w:left="567"/>
        <w:rPr>
          <w:rFonts w:cs="Arial"/>
          <w:lang w:val="es-ES_tradnl"/>
        </w:rPr>
      </w:pPr>
      <w:r w:rsidRPr="00FD5703">
        <w:rPr>
          <w:rFonts w:cs="Arial"/>
          <w:color w:val="000000"/>
          <w:lang w:val="es-ES_tradnl"/>
        </w:rPr>
        <w:t xml:space="preserve">Examen final: del 5 al 11 de mayo de 2014 </w:t>
      </w:r>
    </w:p>
    <w:p w:rsidR="009116AF" w:rsidRPr="00FD5703" w:rsidRDefault="009116AF" w:rsidP="009C5CAD">
      <w:pPr>
        <w:rPr>
          <w:lang w:val="es-ES_tradnl"/>
        </w:rPr>
      </w:pPr>
    </w:p>
    <w:p w:rsidR="009116AF" w:rsidRPr="00FD5703" w:rsidRDefault="005902E4"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8A3D1D" w:rsidRPr="00FD5703">
        <w:rPr>
          <w:color w:val="000000"/>
          <w:lang w:val="es-ES_tradnl"/>
        </w:rPr>
        <w:t xml:space="preserve">La primera sesión del curso DL-305 se encontrará </w:t>
      </w:r>
      <w:r w:rsidR="00B633A1" w:rsidRPr="00FD5703">
        <w:rPr>
          <w:color w:val="000000"/>
          <w:lang w:val="es-ES_tradnl"/>
        </w:rPr>
        <w:t>disponible</w:t>
      </w:r>
      <w:r w:rsidR="008A3D1D" w:rsidRPr="00FD5703">
        <w:rPr>
          <w:color w:val="000000"/>
          <w:lang w:val="es-ES_tradnl"/>
        </w:rPr>
        <w:t xml:space="preserve"> únicamente para los funcionarios de miembros de la Unión que ha</w:t>
      </w:r>
      <w:r w:rsidR="00064131" w:rsidRPr="00FD5703">
        <w:rPr>
          <w:color w:val="000000"/>
          <w:lang w:val="es-ES_tradnl"/>
        </w:rPr>
        <w:t>ya</w:t>
      </w:r>
      <w:r w:rsidR="008A3D1D" w:rsidRPr="00FD5703">
        <w:rPr>
          <w:color w:val="000000"/>
          <w:lang w:val="es-ES_tradnl"/>
        </w:rPr>
        <w:t xml:space="preserve">n completado satisfactoriamente el curso DL-205 </w:t>
      </w:r>
      <w:r w:rsidR="009C5CAD" w:rsidRPr="00FD5703">
        <w:rPr>
          <w:color w:val="000000"/>
          <w:lang w:val="es-ES_tradnl"/>
        </w:rPr>
        <w:t>“</w:t>
      </w:r>
      <w:r w:rsidR="008A3D1D" w:rsidRPr="00FD5703">
        <w:rPr>
          <w:color w:val="000000"/>
          <w:lang w:val="es-ES_tradnl"/>
        </w:rPr>
        <w:t>Introducción al Sistema de la UPOV de Protección de Variedades Vegetales en virtud</w:t>
      </w:r>
      <w:r w:rsidR="00064131" w:rsidRPr="00FD5703">
        <w:rPr>
          <w:color w:val="000000"/>
          <w:lang w:val="es-ES_tradnl"/>
        </w:rPr>
        <w:t xml:space="preserve"> del Convenio de la UPOV</w:t>
      </w:r>
      <w:r w:rsidR="009C5CAD" w:rsidRPr="00FD5703">
        <w:rPr>
          <w:color w:val="000000"/>
          <w:lang w:val="es-ES_tradnl"/>
        </w:rPr>
        <w:t>”</w:t>
      </w:r>
      <w:r w:rsidR="00064131" w:rsidRPr="00FD5703">
        <w:rPr>
          <w:color w:val="000000"/>
          <w:lang w:val="es-ES_tradnl"/>
        </w:rPr>
        <w:t>, junto con una explicación acerca de</w:t>
      </w:r>
      <w:r w:rsidR="008A3D1D" w:rsidRPr="00FD5703">
        <w:rPr>
          <w:color w:val="000000"/>
          <w:lang w:val="es-ES_tradnl"/>
        </w:rPr>
        <w:t xml:space="preserve"> la posibilidad de dividir</w:t>
      </w:r>
      <w:r w:rsidR="00064131" w:rsidRPr="00FD5703">
        <w:rPr>
          <w:color w:val="000000"/>
          <w:lang w:val="es-ES_tradnl"/>
        </w:rPr>
        <w:t xml:space="preserve"> en dos</w:t>
      </w:r>
      <w:r w:rsidR="008A3D1D" w:rsidRPr="00FD5703">
        <w:rPr>
          <w:color w:val="000000"/>
          <w:lang w:val="es-ES_tradnl"/>
        </w:rPr>
        <w:t xml:space="preserve"> el</w:t>
      </w:r>
      <w:r w:rsidR="00064131" w:rsidRPr="00FD5703">
        <w:rPr>
          <w:color w:val="000000"/>
          <w:lang w:val="es-ES_tradnl"/>
        </w:rPr>
        <w:t xml:space="preserve"> curso </w:t>
      </w:r>
      <w:r w:rsidR="008A3D1D" w:rsidRPr="00FD5703">
        <w:rPr>
          <w:color w:val="000000"/>
          <w:lang w:val="es-ES_tradnl"/>
        </w:rPr>
        <w:t xml:space="preserve"> DL-305 en el futuro. </w:t>
      </w:r>
    </w:p>
    <w:p w:rsidR="009116AF" w:rsidRPr="00FD5703" w:rsidRDefault="009116AF" w:rsidP="009C5CAD">
      <w:pPr>
        <w:rPr>
          <w:lang w:val="es-ES_tradnl"/>
        </w:rPr>
      </w:pPr>
    </w:p>
    <w:p w:rsidR="009116AF" w:rsidRPr="00FD5703" w:rsidRDefault="005B50EC" w:rsidP="009C5CAD">
      <w:pPr>
        <w:rPr>
          <w:snapToGrid w:val="0"/>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8A3D1D" w:rsidRPr="00FD5703">
        <w:rPr>
          <w:color w:val="000000"/>
          <w:lang w:val="es-ES_tradnl"/>
        </w:rPr>
        <w:t xml:space="preserve">Sobre la base de las propuestas recibidas durante una prueba del curso DL-305, </w:t>
      </w:r>
      <w:r w:rsidR="00064131" w:rsidRPr="00FD5703">
        <w:rPr>
          <w:color w:val="000000"/>
          <w:lang w:val="es-ES_tradnl"/>
        </w:rPr>
        <w:t>se invitará al</w:t>
      </w:r>
      <w:r w:rsidR="008A3D1D" w:rsidRPr="00FD5703">
        <w:rPr>
          <w:color w:val="000000"/>
          <w:lang w:val="es-ES_tradnl"/>
        </w:rPr>
        <w:t xml:space="preserve"> Comité Consu</w:t>
      </w:r>
      <w:r w:rsidR="00064131" w:rsidRPr="00FD5703">
        <w:rPr>
          <w:color w:val="000000"/>
          <w:lang w:val="es-ES_tradnl"/>
        </w:rPr>
        <w:t xml:space="preserve">ltivo, en su octogésima séptima sesión, que se celebrará en Ginebra el 11 de abril de 2014,  a dividir </w:t>
      </w:r>
      <w:r w:rsidR="008A3D1D" w:rsidRPr="00FD5703">
        <w:rPr>
          <w:color w:val="000000"/>
          <w:lang w:val="es-ES_tradnl"/>
        </w:rPr>
        <w:t xml:space="preserve">en dos el curso DL-305. </w:t>
      </w:r>
      <w:r w:rsidRPr="00FD5703">
        <w:rPr>
          <w:snapToGrid w:val="0"/>
          <w:lang w:val="es-ES_tradnl"/>
        </w:rPr>
        <w:t xml:space="preserve">  </w:t>
      </w:r>
      <w:r w:rsidR="008A3D1D" w:rsidRPr="00FD5703">
        <w:rPr>
          <w:snapToGrid w:val="0"/>
          <w:color w:val="000000"/>
          <w:lang w:val="es-ES_tradnl"/>
        </w:rPr>
        <w:t xml:space="preserve">El objetivo de esta división es que los participantes puedan tomar el curso en diferentes momentos, de conformidad con sus conocimientos y su experiencia y, además, ofrecer cursos de </w:t>
      </w:r>
      <w:r w:rsidR="00B633A1" w:rsidRPr="00FD5703">
        <w:rPr>
          <w:snapToGrid w:val="0"/>
          <w:color w:val="000000"/>
          <w:lang w:val="es-ES_tradnl"/>
        </w:rPr>
        <w:t xml:space="preserve">una </w:t>
      </w:r>
      <w:r w:rsidR="008A3D1D" w:rsidRPr="00FD5703">
        <w:rPr>
          <w:snapToGrid w:val="0"/>
          <w:color w:val="000000"/>
          <w:lang w:val="es-ES_tradnl"/>
        </w:rPr>
        <w:t xml:space="preserve">duración similar a la de los cursos DL-205 (36 horas), en lugar de las 70 horas previstas para el curso en cuestión. </w:t>
      </w:r>
      <w:r w:rsidRPr="00FD5703">
        <w:rPr>
          <w:snapToGrid w:val="0"/>
          <w:lang w:val="es-ES_tradnl"/>
        </w:rPr>
        <w:t xml:space="preserve">  </w:t>
      </w:r>
      <w:r w:rsidR="00064131" w:rsidRPr="00FD5703">
        <w:rPr>
          <w:snapToGrid w:val="0"/>
          <w:color w:val="000000"/>
          <w:lang w:val="es-ES_tradnl"/>
        </w:rPr>
        <w:t>Así, el primer</w:t>
      </w:r>
      <w:r w:rsidR="00B633A1" w:rsidRPr="00FD5703">
        <w:rPr>
          <w:snapToGrid w:val="0"/>
          <w:color w:val="000000"/>
          <w:lang w:val="es-ES_tradnl"/>
        </w:rPr>
        <w:t xml:space="preserve"> curso abarcará el tema de la administración de derechos de </w:t>
      </w:r>
      <w:r w:rsidR="00064131" w:rsidRPr="00FD5703">
        <w:rPr>
          <w:snapToGrid w:val="0"/>
          <w:color w:val="000000"/>
          <w:lang w:val="es-ES_tradnl"/>
        </w:rPr>
        <w:t>obtentor y</w:t>
      </w:r>
      <w:r w:rsidR="00B633A1" w:rsidRPr="00FD5703">
        <w:rPr>
          <w:snapToGrid w:val="0"/>
          <w:color w:val="000000"/>
          <w:lang w:val="es-ES_tradnl"/>
        </w:rPr>
        <w:t xml:space="preserve"> el examen de la novedad y la denominación</w:t>
      </w:r>
      <w:r w:rsidR="00064131" w:rsidRPr="00FD5703">
        <w:rPr>
          <w:snapToGrid w:val="0"/>
          <w:color w:val="000000"/>
          <w:lang w:val="es-ES_tradnl"/>
        </w:rPr>
        <w:t>;</w:t>
      </w:r>
      <w:r w:rsidR="00B633A1" w:rsidRPr="00FD5703">
        <w:rPr>
          <w:snapToGrid w:val="0"/>
          <w:color w:val="000000"/>
          <w:lang w:val="es-ES_tradnl"/>
        </w:rPr>
        <w:t xml:space="preserve"> y el segundo, el examen de la distinción, la homogeneidad y la estabilidad (DHE). </w:t>
      </w:r>
      <w:r w:rsidRPr="00FD5703">
        <w:rPr>
          <w:snapToGrid w:val="0"/>
          <w:lang w:val="es-ES_tradnl"/>
        </w:rPr>
        <w:t xml:space="preserve">  </w:t>
      </w:r>
      <w:r w:rsidR="00B633A1" w:rsidRPr="00FD5703">
        <w:rPr>
          <w:snapToGrid w:val="0"/>
          <w:color w:val="000000"/>
          <w:lang w:val="es-ES_tradnl"/>
        </w:rPr>
        <w:t xml:space="preserve">Asimismo, será posible estudiar uno o los dos cursos, y ambos se impartirán de manera consecutiva para que los estudiantes que deseen seguir los dos cursos puedan hacerlo inmediatamente uno después del otro. </w:t>
      </w:r>
    </w:p>
    <w:p w:rsidR="009116AF" w:rsidRPr="00FD5703" w:rsidRDefault="009116AF" w:rsidP="009C5CAD">
      <w:pPr>
        <w:rPr>
          <w:rFonts w:cs="Arial"/>
          <w:snapToGrid w:val="0"/>
          <w:lang w:val="es-ES_tradnl"/>
        </w:rPr>
      </w:pPr>
    </w:p>
    <w:p w:rsidR="009116AF" w:rsidRPr="00FD5703" w:rsidRDefault="005B50EC" w:rsidP="009C5CAD">
      <w:pPr>
        <w:shd w:val="clear" w:color="auto" w:fill="FFFFFF" w:themeFill="background1"/>
        <w:rPr>
          <w:rFonts w:cs="Arial"/>
          <w:lang w:val="es-ES_tradnl"/>
        </w:rPr>
      </w:pPr>
      <w:r w:rsidRPr="00FD5703">
        <w:rPr>
          <w:rFonts w:cs="Arial"/>
          <w:lang w:val="es-ES_tradnl"/>
        </w:rPr>
        <w:fldChar w:fldCharType="begin"/>
      </w:r>
      <w:r w:rsidRPr="00FD5703">
        <w:rPr>
          <w:rFonts w:cs="Arial"/>
          <w:lang w:val="es-ES_tradnl"/>
        </w:rPr>
        <w:instrText xml:space="preserve"> AUTONUM  </w:instrText>
      </w:r>
      <w:r w:rsidRPr="00FD5703">
        <w:rPr>
          <w:rFonts w:cs="Arial"/>
          <w:lang w:val="es-ES_tradnl"/>
        </w:rPr>
        <w:fldChar w:fldCharType="end"/>
      </w:r>
      <w:r w:rsidRPr="00FD5703">
        <w:rPr>
          <w:rFonts w:cs="Arial"/>
          <w:lang w:val="es-ES_tradnl"/>
        </w:rPr>
        <w:tab/>
      </w:r>
      <w:r w:rsidR="009B450F" w:rsidRPr="00FD5703">
        <w:rPr>
          <w:rFonts w:cs="Arial"/>
          <w:color w:val="000000"/>
          <w:lang w:val="es-ES_tradnl"/>
        </w:rPr>
        <w:t>El buen funcionamiento d</w:t>
      </w:r>
      <w:r w:rsidR="00A60AAE" w:rsidRPr="00FD5703">
        <w:rPr>
          <w:rFonts w:cs="Arial"/>
          <w:color w:val="000000"/>
          <w:lang w:val="es-ES_tradnl"/>
        </w:rPr>
        <w:t>el programa de enseñanza a distancia</w:t>
      </w:r>
      <w:r w:rsidR="00010580" w:rsidRPr="00FD5703">
        <w:rPr>
          <w:rFonts w:cs="Arial"/>
          <w:color w:val="000000"/>
          <w:lang w:val="es-ES_tradnl"/>
        </w:rPr>
        <w:t xml:space="preserve"> de la UPOV</w:t>
      </w:r>
      <w:r w:rsidR="00A60AAE" w:rsidRPr="00FD5703">
        <w:rPr>
          <w:rFonts w:cs="Arial"/>
          <w:color w:val="000000"/>
          <w:lang w:val="es-ES_tradnl"/>
        </w:rPr>
        <w:t xml:space="preserve"> </w:t>
      </w:r>
      <w:r w:rsidR="00345643" w:rsidRPr="00FD5703">
        <w:rPr>
          <w:rFonts w:cs="Arial"/>
          <w:color w:val="000000"/>
          <w:lang w:val="es-ES_tradnl"/>
        </w:rPr>
        <w:t xml:space="preserve">depende de que </w:t>
      </w:r>
      <w:r w:rsidR="00A60AAE" w:rsidRPr="00FD5703">
        <w:rPr>
          <w:rFonts w:cs="Arial"/>
          <w:color w:val="000000"/>
          <w:lang w:val="es-ES_tradnl"/>
        </w:rPr>
        <w:t xml:space="preserve">los expertos de los miembros de la Unión ejerzan </w:t>
      </w:r>
      <w:r w:rsidR="00010580" w:rsidRPr="00FD5703">
        <w:rPr>
          <w:rFonts w:cs="Arial"/>
          <w:color w:val="000000"/>
          <w:lang w:val="es-ES_tradnl"/>
        </w:rPr>
        <w:t>como</w:t>
      </w:r>
      <w:r w:rsidR="00A60AAE" w:rsidRPr="00FD5703">
        <w:rPr>
          <w:rFonts w:cs="Arial"/>
          <w:color w:val="000000"/>
          <w:lang w:val="es-ES_tradnl"/>
        </w:rPr>
        <w:t xml:space="preserve"> tutores </w:t>
      </w:r>
      <w:r w:rsidR="00010580" w:rsidRPr="00FD5703">
        <w:rPr>
          <w:rFonts w:cs="Arial"/>
          <w:color w:val="000000"/>
          <w:lang w:val="es-ES_tradnl"/>
        </w:rPr>
        <w:t>de</w:t>
      </w:r>
      <w:r w:rsidR="00A60AAE" w:rsidRPr="00FD5703">
        <w:rPr>
          <w:rFonts w:cs="Arial"/>
          <w:color w:val="000000"/>
          <w:lang w:val="es-ES_tradnl"/>
        </w:rPr>
        <w:t xml:space="preserve"> los estudiantes de la categoría 1: </w:t>
      </w:r>
      <w:r w:rsidR="00010580" w:rsidRPr="00FD5703">
        <w:rPr>
          <w:rFonts w:cs="Arial"/>
          <w:color w:val="000000"/>
          <w:lang w:val="es-ES_tradnl"/>
        </w:rPr>
        <w:t>f</w:t>
      </w:r>
      <w:r w:rsidR="00A60AAE" w:rsidRPr="00FD5703">
        <w:rPr>
          <w:rFonts w:cs="Arial"/>
          <w:color w:val="000000"/>
          <w:lang w:val="es-ES_tradnl"/>
        </w:rPr>
        <w:t xml:space="preserve">uncionarios de miembros de la Unión. </w:t>
      </w:r>
      <w:r w:rsidRPr="00FD5703">
        <w:rPr>
          <w:rFonts w:cs="Arial"/>
          <w:lang w:val="es-ES_tradnl"/>
        </w:rPr>
        <w:t xml:space="preserve">  </w:t>
      </w:r>
      <w:r w:rsidR="00010580" w:rsidRPr="00FD5703">
        <w:rPr>
          <w:rFonts w:cs="Arial"/>
          <w:color w:val="000000"/>
          <w:lang w:val="es-ES_tradnl"/>
        </w:rPr>
        <w:t>Así pues</w:t>
      </w:r>
      <w:r w:rsidR="00A60AAE" w:rsidRPr="00FD5703">
        <w:rPr>
          <w:rFonts w:cs="Arial"/>
          <w:color w:val="000000"/>
          <w:lang w:val="es-ES_tradnl"/>
        </w:rPr>
        <w:t>,</w:t>
      </w:r>
      <w:r w:rsidR="00010580" w:rsidRPr="00FD5703">
        <w:rPr>
          <w:rFonts w:cs="Arial"/>
          <w:color w:val="000000"/>
          <w:lang w:val="es-ES_tradnl"/>
        </w:rPr>
        <w:t xml:space="preserve"> la disponibilidad de dichos tutores</w:t>
      </w:r>
      <w:r w:rsidR="00A60AAE" w:rsidRPr="00FD5703">
        <w:rPr>
          <w:rFonts w:cs="Arial"/>
          <w:color w:val="000000"/>
          <w:lang w:val="es-ES_tradnl"/>
        </w:rPr>
        <w:t xml:space="preserve"> </w:t>
      </w:r>
      <w:r w:rsidR="00010580" w:rsidRPr="00FD5703">
        <w:rPr>
          <w:rFonts w:cs="Arial"/>
          <w:color w:val="000000"/>
          <w:lang w:val="es-ES_tradnl"/>
        </w:rPr>
        <w:t>influye directamente en</w:t>
      </w:r>
      <w:r w:rsidR="00A60AAE" w:rsidRPr="00FD5703">
        <w:rPr>
          <w:rFonts w:cs="Arial"/>
          <w:color w:val="000000"/>
          <w:lang w:val="es-ES_tradnl"/>
        </w:rPr>
        <w:t xml:space="preserve"> la frecuencia</w:t>
      </w:r>
      <w:r w:rsidR="00010580" w:rsidRPr="00FD5703">
        <w:rPr>
          <w:rFonts w:cs="Arial"/>
          <w:color w:val="000000"/>
          <w:lang w:val="es-ES_tradnl"/>
        </w:rPr>
        <w:t xml:space="preserve"> en que se imparten </w:t>
      </w:r>
      <w:r w:rsidR="00A60AAE" w:rsidRPr="00FD5703">
        <w:rPr>
          <w:rFonts w:cs="Arial"/>
          <w:color w:val="000000"/>
          <w:lang w:val="es-ES_tradnl"/>
        </w:rPr>
        <w:t>los</w:t>
      </w:r>
      <w:r w:rsidR="00010580" w:rsidRPr="00FD5703">
        <w:rPr>
          <w:rFonts w:cs="Arial"/>
          <w:color w:val="000000"/>
          <w:lang w:val="es-ES_tradnl"/>
        </w:rPr>
        <w:t xml:space="preserve"> cursos.</w:t>
      </w:r>
      <w:r w:rsidR="00A60AAE" w:rsidRPr="00FD5703">
        <w:rPr>
          <w:rFonts w:cs="Arial"/>
          <w:color w:val="000000"/>
          <w:lang w:val="es-ES_tradnl"/>
        </w:rPr>
        <w:t xml:space="preserve"> </w:t>
      </w:r>
      <w:r w:rsidRPr="00FD5703">
        <w:rPr>
          <w:rFonts w:cs="Arial"/>
          <w:lang w:val="es-ES_tradnl"/>
        </w:rPr>
        <w:t xml:space="preserve">  </w:t>
      </w:r>
      <w:r w:rsidR="00A60AAE" w:rsidRPr="00FD5703">
        <w:rPr>
          <w:rFonts w:cs="Arial"/>
          <w:color w:val="000000"/>
          <w:lang w:val="es-ES_tradnl"/>
        </w:rPr>
        <w:t xml:space="preserve">A este respecto, se </w:t>
      </w:r>
      <w:r w:rsidR="00345643" w:rsidRPr="00FD5703">
        <w:rPr>
          <w:rFonts w:cs="Arial"/>
          <w:color w:val="000000"/>
          <w:lang w:val="es-ES_tradnl"/>
        </w:rPr>
        <w:t>prevé</w:t>
      </w:r>
      <w:r w:rsidR="00A60AAE" w:rsidRPr="00FD5703">
        <w:rPr>
          <w:rFonts w:cs="Arial"/>
          <w:color w:val="000000"/>
          <w:lang w:val="es-ES_tradnl"/>
        </w:rPr>
        <w:t xml:space="preserve"> los mismos tutores </w:t>
      </w:r>
      <w:r w:rsidR="00345643" w:rsidRPr="00FD5703">
        <w:rPr>
          <w:rFonts w:cs="Arial"/>
          <w:color w:val="000000"/>
          <w:lang w:val="es-ES_tradnl"/>
        </w:rPr>
        <w:t>para los cursos</w:t>
      </w:r>
      <w:r w:rsidR="00A60AAE" w:rsidRPr="00FD5703">
        <w:rPr>
          <w:rFonts w:cs="Arial"/>
          <w:color w:val="000000"/>
          <w:lang w:val="es-ES_tradnl"/>
        </w:rPr>
        <w:t xml:space="preserve"> DL-205 y DL-305.  </w:t>
      </w:r>
      <w:r w:rsidRPr="00FD5703">
        <w:rPr>
          <w:rFonts w:cs="Arial"/>
          <w:lang w:val="es-ES_tradnl"/>
        </w:rPr>
        <w:t xml:space="preserve">  </w:t>
      </w:r>
      <w:r w:rsidR="00A60AAE" w:rsidRPr="00FD5703">
        <w:rPr>
          <w:rFonts w:cs="Arial"/>
          <w:color w:val="000000"/>
          <w:lang w:val="es-ES_tradnl"/>
        </w:rPr>
        <w:t xml:space="preserve">Actualmente, el curso DL-205 se imparte dos veces al año. </w:t>
      </w:r>
      <w:r w:rsidRPr="00FD5703">
        <w:rPr>
          <w:rFonts w:cs="Arial"/>
          <w:lang w:val="es-ES_tradnl"/>
        </w:rPr>
        <w:t xml:space="preserve">  </w:t>
      </w:r>
      <w:r w:rsidR="00431B35" w:rsidRPr="00FD5703">
        <w:rPr>
          <w:rFonts w:cs="Arial"/>
          <w:color w:val="000000"/>
          <w:lang w:val="es-ES_tradnl"/>
        </w:rPr>
        <w:t xml:space="preserve">A fin de disponer de suficientes tutores, al menos al principio, se propone reemplazar una de las sesiones del curso DL-205 por los cursos DL-305. </w:t>
      </w:r>
      <w:r w:rsidRPr="00FD5703">
        <w:rPr>
          <w:rFonts w:cs="Arial"/>
          <w:lang w:val="es-ES_tradnl"/>
        </w:rPr>
        <w:t xml:space="preserve">  </w:t>
      </w:r>
      <w:r w:rsidR="00431B35" w:rsidRPr="00FD5703">
        <w:rPr>
          <w:rFonts w:cs="Arial"/>
          <w:color w:val="000000"/>
          <w:lang w:val="es-ES_tradnl"/>
        </w:rPr>
        <w:t>De acuerdo con esto, se propone el siguiente programa de enseñanza a distancia para 2014-2015:</w:t>
      </w:r>
    </w:p>
    <w:p w:rsidR="00815096" w:rsidRPr="00FD5703" w:rsidRDefault="00815096" w:rsidP="009C5CAD">
      <w:pPr>
        <w:jc w:val="left"/>
        <w:rPr>
          <w:rFonts w:cs="Arial"/>
          <w:lang w:val="es-ES_tradnl"/>
        </w:rPr>
      </w:pPr>
      <w:r w:rsidRPr="00FD5703">
        <w:rPr>
          <w:rFonts w:cs="Arial"/>
          <w:lang w:val="es-ES_tradnl"/>
        </w:rPr>
        <w:br w:type="page"/>
      </w:r>
    </w:p>
    <w:p w:rsidR="009116AF" w:rsidRPr="00FD5703" w:rsidRDefault="00431B35" w:rsidP="009C5CAD">
      <w:pPr>
        <w:shd w:val="clear" w:color="auto" w:fill="FFFFFF" w:themeFill="background1"/>
        <w:tabs>
          <w:tab w:val="left" w:pos="5103"/>
        </w:tabs>
        <w:ind w:left="567"/>
        <w:rPr>
          <w:rFonts w:cs="Arial"/>
          <w:lang w:val="es-ES_tradnl"/>
        </w:rPr>
      </w:pPr>
      <w:r w:rsidRPr="00FD5703">
        <w:rPr>
          <w:rFonts w:cs="Arial"/>
          <w:lang w:val="es-ES_tradnl"/>
        </w:rPr>
        <w:t>Del 31 de marzo al 11 de mayo de 2014:</w:t>
      </w:r>
      <w:r w:rsidR="005B50EC" w:rsidRPr="00FD5703">
        <w:rPr>
          <w:rFonts w:cs="Arial"/>
          <w:lang w:val="es-ES_tradnl"/>
        </w:rPr>
        <w:tab/>
      </w:r>
      <w:r w:rsidR="005B50EC" w:rsidRPr="00FD5703">
        <w:rPr>
          <w:rFonts w:cs="Arial"/>
          <w:lang w:val="es-ES_tradnl"/>
        </w:rPr>
        <w:tab/>
        <w:t>DL-305</w:t>
      </w:r>
      <w:r w:rsidR="00345643" w:rsidRPr="00FD5703">
        <w:rPr>
          <w:rFonts w:cs="Arial"/>
          <w:lang w:val="es-ES_tradnl"/>
        </w:rPr>
        <w:t>:</w:t>
      </w:r>
      <w:r w:rsidR="00CC2E00" w:rsidRPr="00FD5703">
        <w:rPr>
          <w:rFonts w:cs="Arial"/>
          <w:lang w:val="es-ES_tradnl"/>
        </w:rPr>
        <w:t xml:space="preserve"> </w:t>
      </w:r>
      <w:r w:rsidR="00345643" w:rsidRPr="00FD5703">
        <w:rPr>
          <w:rFonts w:cs="Arial"/>
          <w:lang w:val="es-ES_tradnl"/>
        </w:rPr>
        <w:t>en un solo curso</w:t>
      </w:r>
      <w:r w:rsidR="005B50EC" w:rsidRPr="00FD5703">
        <w:rPr>
          <w:rFonts w:cs="Arial"/>
          <w:lang w:val="es-ES_tradnl"/>
        </w:rPr>
        <w:t xml:space="preserve"> (</w:t>
      </w:r>
      <w:r w:rsidRPr="00FD5703">
        <w:rPr>
          <w:rFonts w:cs="Arial"/>
          <w:lang w:val="es-ES_tradnl"/>
        </w:rPr>
        <w:t>sólo en inglés</w:t>
      </w:r>
      <w:r w:rsidR="005B50EC" w:rsidRPr="00FD5703">
        <w:rPr>
          <w:rFonts w:cs="Arial"/>
          <w:lang w:val="es-ES_tradnl"/>
        </w:rPr>
        <w:t>)</w:t>
      </w:r>
    </w:p>
    <w:p w:rsidR="009116AF" w:rsidRPr="00FD5703" w:rsidRDefault="00431B35" w:rsidP="009C5CAD">
      <w:pPr>
        <w:shd w:val="clear" w:color="auto" w:fill="FFFFFF" w:themeFill="background1"/>
        <w:tabs>
          <w:tab w:val="left" w:pos="5103"/>
        </w:tabs>
        <w:ind w:left="567"/>
        <w:rPr>
          <w:rFonts w:cs="Arial"/>
          <w:lang w:val="es-ES_tradnl"/>
        </w:rPr>
      </w:pPr>
      <w:r w:rsidRPr="00FD5703">
        <w:rPr>
          <w:rFonts w:cs="Arial"/>
          <w:lang w:val="es-ES_tradnl"/>
        </w:rPr>
        <w:t>Del</w:t>
      </w:r>
      <w:r w:rsidR="005B50EC" w:rsidRPr="00FD5703">
        <w:rPr>
          <w:rFonts w:cs="Arial"/>
          <w:lang w:val="es-ES_tradnl"/>
        </w:rPr>
        <w:t xml:space="preserve"> 5</w:t>
      </w:r>
      <w:r w:rsidRPr="00FD5703">
        <w:rPr>
          <w:rFonts w:cs="Arial"/>
          <w:lang w:val="es-ES_tradnl"/>
        </w:rPr>
        <w:t xml:space="preserve"> de mayo al 8 de junio de 2014</w:t>
      </w:r>
      <w:r w:rsidR="00815096" w:rsidRPr="00FD5703">
        <w:rPr>
          <w:rFonts w:cs="Arial"/>
          <w:lang w:val="es-ES_tradnl"/>
        </w:rPr>
        <w:tab/>
      </w:r>
      <w:r w:rsidR="00815096" w:rsidRPr="00FD5703">
        <w:rPr>
          <w:rFonts w:cs="Arial"/>
          <w:lang w:val="es-ES_tradnl"/>
        </w:rPr>
        <w:tab/>
      </w:r>
      <w:r w:rsidR="005B50EC" w:rsidRPr="00FD5703">
        <w:rPr>
          <w:rFonts w:cs="Arial"/>
          <w:lang w:val="es-ES_tradnl"/>
        </w:rPr>
        <w:t>DL-205 (</w:t>
      </w:r>
      <w:r w:rsidRPr="00FD5703">
        <w:rPr>
          <w:rFonts w:cs="Arial"/>
          <w:lang w:val="es-ES_tradnl"/>
        </w:rPr>
        <w:t>inglés</w:t>
      </w:r>
      <w:r w:rsidR="005B50EC" w:rsidRPr="00FD5703">
        <w:rPr>
          <w:rFonts w:cs="Arial"/>
          <w:lang w:val="es-ES_tradnl"/>
        </w:rPr>
        <w:t>,</w:t>
      </w:r>
      <w:r w:rsidRPr="00FD5703">
        <w:rPr>
          <w:rFonts w:cs="Arial"/>
          <w:lang w:val="es-ES_tradnl"/>
        </w:rPr>
        <w:t xml:space="preserve"> francés, alemán, español)</w:t>
      </w:r>
      <w:r w:rsidR="005B50EC" w:rsidRPr="00FD5703">
        <w:rPr>
          <w:rFonts w:cs="Arial"/>
          <w:lang w:val="es-ES_tradnl"/>
        </w:rPr>
        <w:t xml:space="preserve"> </w:t>
      </w:r>
    </w:p>
    <w:p w:rsidR="009116AF" w:rsidRPr="00FD5703" w:rsidRDefault="00F42DCD" w:rsidP="009C5CAD">
      <w:pPr>
        <w:shd w:val="clear" w:color="auto" w:fill="FFFFFF" w:themeFill="background1"/>
        <w:ind w:left="567"/>
        <w:rPr>
          <w:rFonts w:cs="Arial"/>
          <w:lang w:val="es-ES_tradnl"/>
        </w:rPr>
      </w:pPr>
      <w:r w:rsidRPr="00FD5703">
        <w:rPr>
          <w:rFonts w:cs="Arial"/>
          <w:lang w:val="es-ES_tradnl"/>
        </w:rPr>
        <w:t>Del 6 de octubre al 9 de noviembre de 2014</w:t>
      </w:r>
      <w:r w:rsidR="005B50EC" w:rsidRPr="00FD5703">
        <w:rPr>
          <w:rFonts w:cs="Arial"/>
          <w:lang w:val="es-ES_tradnl"/>
        </w:rPr>
        <w:tab/>
      </w:r>
      <w:r w:rsidR="005B50EC" w:rsidRPr="00FD5703">
        <w:rPr>
          <w:rFonts w:cs="Arial"/>
          <w:lang w:val="es-ES_tradnl"/>
        </w:rPr>
        <w:tab/>
        <w:t>DL-205 (</w:t>
      </w:r>
      <w:r w:rsidRPr="00FD5703">
        <w:rPr>
          <w:rFonts w:cs="Arial"/>
          <w:lang w:val="es-ES_tradnl"/>
        </w:rPr>
        <w:t>inglés, francés, alemán, español)</w:t>
      </w:r>
    </w:p>
    <w:p w:rsidR="009116AF" w:rsidRPr="00FD5703" w:rsidRDefault="009116AF" w:rsidP="009C5CAD">
      <w:pPr>
        <w:shd w:val="clear" w:color="auto" w:fill="FFFFFF" w:themeFill="background1"/>
        <w:ind w:left="567"/>
        <w:rPr>
          <w:rFonts w:cs="Arial"/>
          <w:lang w:val="es-ES_tradnl"/>
        </w:rPr>
      </w:pPr>
    </w:p>
    <w:p w:rsidR="009116AF" w:rsidRPr="00FD5703" w:rsidRDefault="00F42DCD" w:rsidP="009C5CAD">
      <w:pPr>
        <w:shd w:val="clear" w:color="auto" w:fill="FFFFFF" w:themeFill="background1"/>
        <w:ind w:left="5097" w:hanging="4530"/>
        <w:rPr>
          <w:rFonts w:cs="Arial"/>
          <w:lang w:val="es-ES_tradnl"/>
        </w:rPr>
      </w:pPr>
      <w:r w:rsidRPr="00FD5703">
        <w:rPr>
          <w:rFonts w:cs="Arial"/>
          <w:lang w:val="es-ES_tradnl"/>
        </w:rPr>
        <w:t>Febrero/marzo de 2015</w:t>
      </w:r>
      <w:r w:rsidR="00CC2E00" w:rsidRPr="00FD5703">
        <w:rPr>
          <w:rFonts w:cs="Arial"/>
          <w:lang w:val="es-ES_tradnl"/>
        </w:rPr>
        <w:tab/>
      </w:r>
      <w:r w:rsidR="005B50EC" w:rsidRPr="00FD5703">
        <w:rPr>
          <w:rFonts w:cs="Arial"/>
          <w:lang w:val="es-ES_tradnl"/>
        </w:rPr>
        <w:t>DL-305</w:t>
      </w:r>
      <w:r w:rsidR="00345643" w:rsidRPr="00FD5703">
        <w:rPr>
          <w:rFonts w:cs="Arial"/>
          <w:lang w:val="es-ES_tradnl"/>
        </w:rPr>
        <w:t xml:space="preserve">: en un solo </w:t>
      </w:r>
      <w:r w:rsidR="00CC2E00" w:rsidRPr="00FD5703">
        <w:rPr>
          <w:rFonts w:cs="Arial"/>
          <w:lang w:val="es-ES_tradnl"/>
        </w:rPr>
        <w:t xml:space="preserve">curso </w:t>
      </w:r>
      <w:r w:rsidR="005B50EC" w:rsidRPr="00FD5703">
        <w:rPr>
          <w:rFonts w:cs="Arial"/>
          <w:lang w:val="es-ES_tradnl"/>
        </w:rPr>
        <w:t>(</w:t>
      </w:r>
      <w:r w:rsidR="00CC2E00" w:rsidRPr="00FD5703">
        <w:rPr>
          <w:rFonts w:cs="Arial"/>
          <w:lang w:val="es-ES_tradnl"/>
        </w:rPr>
        <w:t>inglés, francés, español</w:t>
      </w:r>
      <w:r w:rsidR="005B50EC" w:rsidRPr="00FD5703">
        <w:rPr>
          <w:rFonts w:cs="Arial"/>
          <w:lang w:val="es-ES_tradnl"/>
        </w:rPr>
        <w:t xml:space="preserve">) </w:t>
      </w:r>
      <w:r w:rsidR="00CC2E00" w:rsidRPr="00FD5703">
        <w:rPr>
          <w:rFonts w:cs="Arial"/>
          <w:lang w:val="es-ES_tradnl"/>
        </w:rPr>
        <w:t>o</w:t>
      </w:r>
      <w:r w:rsidR="005B50EC" w:rsidRPr="00FD5703">
        <w:rPr>
          <w:rFonts w:cs="Arial"/>
          <w:lang w:val="es-ES_tradnl"/>
        </w:rPr>
        <w:t xml:space="preserve"> DL-305-1 (</w:t>
      </w:r>
      <w:r w:rsidR="00CC2E00" w:rsidRPr="00FD5703">
        <w:rPr>
          <w:rFonts w:cs="Arial"/>
          <w:lang w:val="es-ES_tradnl"/>
        </w:rPr>
        <w:t>inglés, francés, español</w:t>
      </w:r>
      <w:r w:rsidR="005B50EC" w:rsidRPr="00FD5703">
        <w:rPr>
          <w:rFonts w:cs="Arial"/>
          <w:lang w:val="es-ES_tradnl"/>
        </w:rPr>
        <w:t>)</w:t>
      </w:r>
    </w:p>
    <w:p w:rsidR="009116AF" w:rsidRPr="00FD5703" w:rsidRDefault="005B50EC" w:rsidP="009C5CAD">
      <w:pPr>
        <w:shd w:val="clear" w:color="auto" w:fill="FFFFFF" w:themeFill="background1"/>
        <w:tabs>
          <w:tab w:val="left" w:pos="5103"/>
        </w:tabs>
        <w:ind w:left="567"/>
        <w:rPr>
          <w:rFonts w:cs="Arial"/>
          <w:lang w:val="es-ES_tradnl"/>
        </w:rPr>
      </w:pPr>
      <w:r w:rsidRPr="00FD5703">
        <w:rPr>
          <w:rFonts w:cs="Arial"/>
          <w:lang w:val="es-ES_tradnl"/>
        </w:rPr>
        <w:t>A</w:t>
      </w:r>
      <w:r w:rsidR="00CC2E00" w:rsidRPr="00FD5703">
        <w:rPr>
          <w:rFonts w:cs="Arial"/>
          <w:lang w:val="es-ES_tradnl"/>
        </w:rPr>
        <w:t>bril/m</w:t>
      </w:r>
      <w:r w:rsidRPr="00FD5703">
        <w:rPr>
          <w:rFonts w:cs="Arial"/>
          <w:lang w:val="es-ES_tradnl"/>
        </w:rPr>
        <w:t>ay</w:t>
      </w:r>
      <w:r w:rsidR="00CC2E00" w:rsidRPr="00FD5703">
        <w:rPr>
          <w:rFonts w:cs="Arial"/>
          <w:lang w:val="es-ES_tradnl"/>
        </w:rPr>
        <w:t>o de</w:t>
      </w:r>
      <w:r w:rsidR="00815096" w:rsidRPr="00FD5703">
        <w:rPr>
          <w:rFonts w:cs="Arial"/>
          <w:lang w:val="es-ES_tradnl"/>
        </w:rPr>
        <w:t xml:space="preserve"> 2015</w:t>
      </w:r>
      <w:r w:rsidR="00815096" w:rsidRPr="00FD5703">
        <w:rPr>
          <w:rFonts w:cs="Arial"/>
          <w:lang w:val="es-ES_tradnl"/>
        </w:rPr>
        <w:tab/>
      </w:r>
      <w:r w:rsidR="00815096" w:rsidRPr="00FD5703">
        <w:rPr>
          <w:rFonts w:cs="Arial"/>
          <w:lang w:val="es-ES_tradnl"/>
        </w:rPr>
        <w:tab/>
      </w:r>
      <w:r w:rsidRPr="00FD5703">
        <w:rPr>
          <w:rFonts w:cs="Arial"/>
          <w:lang w:val="es-ES_tradnl"/>
        </w:rPr>
        <w:t>DL-305-2 (</w:t>
      </w:r>
      <w:r w:rsidR="00CC2E00" w:rsidRPr="00FD5703">
        <w:rPr>
          <w:rFonts w:cs="Arial"/>
          <w:lang w:val="es-ES_tradnl"/>
        </w:rPr>
        <w:t>inglés, francés, español</w:t>
      </w:r>
      <w:r w:rsidRPr="00FD5703">
        <w:rPr>
          <w:rFonts w:cs="Arial"/>
          <w:lang w:val="es-ES_tradnl"/>
        </w:rPr>
        <w:t>)</w:t>
      </w:r>
    </w:p>
    <w:p w:rsidR="009116AF" w:rsidRPr="00FD5703" w:rsidRDefault="009116AF" w:rsidP="009C5CAD">
      <w:pPr>
        <w:shd w:val="clear" w:color="auto" w:fill="FFFFFF" w:themeFill="background1"/>
        <w:ind w:left="567"/>
        <w:rPr>
          <w:rFonts w:cs="Arial"/>
          <w:lang w:val="es-ES_tradnl"/>
        </w:rPr>
      </w:pPr>
    </w:p>
    <w:p w:rsidR="009116AF" w:rsidRPr="00FD5703" w:rsidRDefault="005B50EC" w:rsidP="009C5CAD">
      <w:pPr>
        <w:shd w:val="clear" w:color="auto" w:fill="FFFFFF" w:themeFill="background1"/>
        <w:tabs>
          <w:tab w:val="left" w:pos="5103"/>
        </w:tabs>
        <w:ind w:left="567"/>
        <w:rPr>
          <w:rFonts w:cs="Arial"/>
          <w:lang w:val="es-ES_tradnl"/>
        </w:rPr>
      </w:pPr>
      <w:r w:rsidRPr="00FD5703">
        <w:rPr>
          <w:rFonts w:cs="Arial"/>
          <w:lang w:val="es-ES_tradnl"/>
        </w:rPr>
        <w:t>Oct</w:t>
      </w:r>
      <w:r w:rsidR="00CC2E00" w:rsidRPr="00FD5703">
        <w:rPr>
          <w:rFonts w:cs="Arial"/>
          <w:lang w:val="es-ES_tradnl"/>
        </w:rPr>
        <w:t>ubre</w:t>
      </w:r>
      <w:r w:rsidRPr="00FD5703">
        <w:rPr>
          <w:rFonts w:cs="Arial"/>
          <w:lang w:val="es-ES_tradnl"/>
        </w:rPr>
        <w:t>/</w:t>
      </w:r>
      <w:r w:rsidR="00CC2E00" w:rsidRPr="00FD5703">
        <w:rPr>
          <w:rFonts w:cs="Arial"/>
          <w:lang w:val="es-ES_tradnl"/>
        </w:rPr>
        <w:t>n</w:t>
      </w:r>
      <w:r w:rsidRPr="00FD5703">
        <w:rPr>
          <w:rFonts w:cs="Arial"/>
          <w:lang w:val="es-ES_tradnl"/>
        </w:rPr>
        <w:t>ov</w:t>
      </w:r>
      <w:r w:rsidR="00CC2E00" w:rsidRPr="00FD5703">
        <w:rPr>
          <w:rFonts w:cs="Arial"/>
          <w:lang w:val="es-ES_tradnl"/>
        </w:rPr>
        <w:t>iembre de 2</w:t>
      </w:r>
      <w:r w:rsidR="00815096" w:rsidRPr="00FD5703">
        <w:rPr>
          <w:rFonts w:cs="Arial"/>
          <w:lang w:val="es-ES_tradnl"/>
        </w:rPr>
        <w:t>015</w:t>
      </w:r>
      <w:r w:rsidR="00815096" w:rsidRPr="00FD5703">
        <w:rPr>
          <w:rFonts w:cs="Arial"/>
          <w:lang w:val="es-ES_tradnl"/>
        </w:rPr>
        <w:tab/>
      </w:r>
      <w:r w:rsidR="00815096" w:rsidRPr="00FD5703">
        <w:rPr>
          <w:rFonts w:cs="Arial"/>
          <w:lang w:val="es-ES_tradnl"/>
        </w:rPr>
        <w:tab/>
      </w:r>
      <w:r w:rsidRPr="00FD5703">
        <w:rPr>
          <w:rFonts w:cs="Arial"/>
          <w:lang w:val="es-ES_tradnl"/>
        </w:rPr>
        <w:t>DL-205 (</w:t>
      </w:r>
      <w:r w:rsidR="00CC2E00" w:rsidRPr="00FD5703">
        <w:rPr>
          <w:rFonts w:cs="Arial"/>
          <w:lang w:val="es-ES_tradnl"/>
        </w:rPr>
        <w:t>inglés, francés, alemán, español)</w:t>
      </w:r>
    </w:p>
    <w:p w:rsidR="009116AF" w:rsidRPr="00FD5703" w:rsidRDefault="009116AF" w:rsidP="009C5CAD">
      <w:pPr>
        <w:shd w:val="clear" w:color="auto" w:fill="FFFFFF" w:themeFill="background1"/>
        <w:rPr>
          <w:rFonts w:cs="Arial"/>
          <w:lang w:val="es-ES_tradnl"/>
        </w:rPr>
      </w:pPr>
    </w:p>
    <w:p w:rsidR="009116AF" w:rsidRPr="00FD5703" w:rsidRDefault="005B50EC" w:rsidP="009C5CAD">
      <w:pPr>
        <w:shd w:val="clear" w:color="auto" w:fill="FFFFFF" w:themeFill="background1"/>
        <w:rPr>
          <w:rFonts w:cs="Arial"/>
          <w:lang w:val="es-ES_tradnl"/>
        </w:rPr>
      </w:pPr>
      <w:r w:rsidRPr="00FD5703">
        <w:rPr>
          <w:rFonts w:cs="Arial"/>
          <w:lang w:val="es-ES_tradnl"/>
        </w:rPr>
        <w:fldChar w:fldCharType="begin"/>
      </w:r>
      <w:r w:rsidRPr="00FD5703">
        <w:rPr>
          <w:rFonts w:cs="Arial"/>
          <w:lang w:val="es-ES_tradnl"/>
        </w:rPr>
        <w:instrText xml:space="preserve"> AUTONUM  </w:instrText>
      </w:r>
      <w:r w:rsidRPr="00FD5703">
        <w:rPr>
          <w:rFonts w:cs="Arial"/>
          <w:lang w:val="es-ES_tradnl"/>
        </w:rPr>
        <w:fldChar w:fldCharType="end"/>
      </w:r>
      <w:r w:rsidRPr="00FD5703">
        <w:rPr>
          <w:rFonts w:cs="Arial"/>
          <w:lang w:val="es-ES_tradnl"/>
        </w:rPr>
        <w:tab/>
      </w:r>
      <w:r w:rsidR="00CC2E00" w:rsidRPr="00FD5703">
        <w:rPr>
          <w:rFonts w:cs="Arial"/>
          <w:color w:val="000000"/>
          <w:lang w:val="es-ES_tradnl"/>
        </w:rPr>
        <w:t xml:space="preserve">La versión alemana del curso DL-305 estará disponible en 2016. </w:t>
      </w:r>
    </w:p>
    <w:p w:rsidR="009116AF" w:rsidRPr="00FD5703" w:rsidRDefault="009116AF" w:rsidP="009C5CAD">
      <w:pPr>
        <w:rPr>
          <w:rFonts w:cs="Arial"/>
          <w:snapToGrid w:val="0"/>
          <w:lang w:val="es-ES_tradnl"/>
        </w:rPr>
      </w:pPr>
    </w:p>
    <w:p w:rsidR="009116AF" w:rsidRPr="00FD5703" w:rsidRDefault="009116AF" w:rsidP="00464673">
      <w:pPr>
        <w:pStyle w:val="Heading1"/>
        <w:rPr>
          <w:lang w:val="es-ES_tradnl"/>
        </w:rPr>
      </w:pPr>
    </w:p>
    <w:p w:rsidR="009116AF" w:rsidRPr="00FD5703" w:rsidRDefault="00CC2E00" w:rsidP="00464673">
      <w:pPr>
        <w:pStyle w:val="Heading1"/>
        <w:rPr>
          <w:lang w:val="es-ES_tradnl"/>
        </w:rPr>
      </w:pPr>
      <w:bookmarkStart w:id="29" w:name="_Toc381177121"/>
      <w:r w:rsidRPr="00FD5703">
        <w:rPr>
          <w:lang w:val="es-ES_tradnl"/>
        </w:rPr>
        <w:t>NOVEDADES RELEVANTES PARA LA UPOV EN OTRAS INSTANCIAS INTERNACIONALES</w:t>
      </w:r>
      <w:bookmarkEnd w:id="29"/>
    </w:p>
    <w:p w:rsidR="009116AF" w:rsidRPr="00FD5703" w:rsidRDefault="009116AF" w:rsidP="009C5CAD">
      <w:pPr>
        <w:rPr>
          <w:snapToGrid w:val="0"/>
          <w:lang w:val="es-ES_tradnl"/>
        </w:rPr>
      </w:pPr>
    </w:p>
    <w:p w:rsidR="009116AF" w:rsidRPr="00FD5703" w:rsidRDefault="00CC2E00" w:rsidP="009C5CAD">
      <w:pPr>
        <w:pStyle w:val="Heading2"/>
        <w:keepNext w:val="0"/>
        <w:rPr>
          <w:lang w:val="es-ES_tradnl"/>
        </w:rPr>
      </w:pPr>
      <w:bookmarkStart w:id="30" w:name="_Toc381177122"/>
      <w:r w:rsidRPr="00FD5703">
        <w:rPr>
          <w:lang w:val="es-ES_tradnl"/>
        </w:rPr>
        <w:t xml:space="preserve">Tratado </w:t>
      </w:r>
      <w:r w:rsidR="00643DA1" w:rsidRPr="00FD5703">
        <w:rPr>
          <w:lang w:val="es-ES_tradnl"/>
        </w:rPr>
        <w:t>Internacional</w:t>
      </w:r>
      <w:r w:rsidRPr="00FD5703">
        <w:rPr>
          <w:lang w:val="es-ES_tradnl"/>
        </w:rPr>
        <w:t xml:space="preserve"> sobre los Recursos </w:t>
      </w:r>
      <w:proofErr w:type="spellStart"/>
      <w:r w:rsidRPr="00FD5703">
        <w:rPr>
          <w:lang w:val="es-ES_tradnl"/>
        </w:rPr>
        <w:t>Fitogenéticos</w:t>
      </w:r>
      <w:proofErr w:type="spellEnd"/>
      <w:r w:rsidRPr="00FD5703">
        <w:rPr>
          <w:lang w:val="es-ES_tradnl"/>
        </w:rPr>
        <w:t xml:space="preserve"> para la Alimentación y la Agricultura (ITPGRFA)</w:t>
      </w:r>
      <w:bookmarkEnd w:id="30"/>
    </w:p>
    <w:p w:rsidR="009116AF" w:rsidRPr="00FD5703" w:rsidRDefault="009116AF" w:rsidP="009C5CAD">
      <w:pPr>
        <w:rPr>
          <w:snapToGrid w:val="0"/>
          <w:lang w:val="es-ES_tradnl"/>
        </w:rPr>
      </w:pPr>
    </w:p>
    <w:p w:rsidR="009116AF" w:rsidRPr="00FD5703" w:rsidRDefault="00CC2E00" w:rsidP="009C5CAD">
      <w:pPr>
        <w:pStyle w:val="Heading3"/>
        <w:rPr>
          <w:lang w:val="es-ES_tradnl"/>
        </w:rPr>
      </w:pPr>
      <w:bookmarkStart w:id="31" w:name="_Toc381177123"/>
      <w:r w:rsidRPr="00FD5703">
        <w:rPr>
          <w:snapToGrid w:val="0"/>
          <w:lang w:val="es-ES_tradnl"/>
        </w:rPr>
        <w:t>Plataforma de codesarrollo y transferencia de tecnologías en el marco del ITPGRFA</w:t>
      </w:r>
      <w:bookmarkEnd w:id="31"/>
    </w:p>
    <w:p w:rsidR="009116AF" w:rsidRPr="00FD5703" w:rsidRDefault="009116AF" w:rsidP="009C5CAD">
      <w:pPr>
        <w:rPr>
          <w:snapToGrid w:val="0"/>
          <w:lang w:val="es-ES_tradnl"/>
        </w:rPr>
      </w:pPr>
    </w:p>
    <w:p w:rsidR="009116AF" w:rsidRPr="00FD5703" w:rsidRDefault="001F4113" w:rsidP="009C5CAD">
      <w:pPr>
        <w:rPr>
          <w:snapToGrid w:val="0"/>
          <w:lang w:val="es-ES_tradnl"/>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Pr="00FD5703">
        <w:rPr>
          <w:snapToGrid w:val="0"/>
          <w:lang w:val="es-ES_tradnl"/>
        </w:rPr>
        <w:tab/>
      </w:r>
      <w:r w:rsidR="00AC612F" w:rsidRPr="00FD5703">
        <w:rPr>
          <w:snapToGrid w:val="0"/>
          <w:color w:val="000000"/>
          <w:lang w:val="es-ES_tradnl"/>
        </w:rPr>
        <w:t xml:space="preserve">En 2012, los miembros de la Unión aprobaron la participación de la Oficina de la Unión en la Plataforma de codesarrollo y transferencia de tecnologías en el marco del Tratado Internacional sobre Recursos </w:t>
      </w:r>
      <w:proofErr w:type="spellStart"/>
      <w:r w:rsidR="00AC612F" w:rsidRPr="00FD5703">
        <w:rPr>
          <w:snapToGrid w:val="0"/>
          <w:color w:val="000000"/>
          <w:lang w:val="es-ES_tradnl"/>
        </w:rPr>
        <w:t>Fitogenéticos</w:t>
      </w:r>
      <w:proofErr w:type="spellEnd"/>
      <w:r w:rsidR="00AC612F" w:rsidRPr="00FD5703">
        <w:rPr>
          <w:snapToGrid w:val="0"/>
          <w:color w:val="000000"/>
          <w:lang w:val="es-ES_tradnl"/>
        </w:rPr>
        <w:t xml:space="preserve"> para la Alimentación y la Agricultura (ITPGRFA) (véase el Anexo III </w:t>
      </w:r>
      <w:r w:rsidR="009C5CAD" w:rsidRPr="00FD5703">
        <w:rPr>
          <w:snapToGrid w:val="0"/>
          <w:color w:val="000000"/>
          <w:lang w:val="es-ES_tradnl"/>
        </w:rPr>
        <w:t>“</w:t>
      </w:r>
      <w:r w:rsidR="00AC612F" w:rsidRPr="00FD5703">
        <w:rPr>
          <w:snapToGrid w:val="0"/>
          <w:color w:val="000000"/>
          <w:lang w:val="es-ES_tradnl"/>
        </w:rPr>
        <w:t>Comunicado de prensa</w:t>
      </w:r>
      <w:r w:rsidR="009C5CAD" w:rsidRPr="00FD5703">
        <w:rPr>
          <w:snapToGrid w:val="0"/>
          <w:color w:val="000000"/>
          <w:lang w:val="es-ES_tradnl"/>
        </w:rPr>
        <w:t>”</w:t>
      </w:r>
      <w:r w:rsidR="00AC612F" w:rsidRPr="00FD5703">
        <w:rPr>
          <w:snapToGrid w:val="0"/>
          <w:color w:val="000000"/>
          <w:lang w:val="es-ES_tradnl"/>
        </w:rPr>
        <w:t xml:space="preserve"> del documento C/46/19 </w:t>
      </w:r>
      <w:r w:rsidR="009C5CAD" w:rsidRPr="00FD5703">
        <w:rPr>
          <w:snapToGrid w:val="0"/>
          <w:color w:val="000000"/>
          <w:lang w:val="es-ES_tradnl"/>
        </w:rPr>
        <w:t>“</w:t>
      </w:r>
      <w:r w:rsidR="00AC612F" w:rsidRPr="00FD5703">
        <w:rPr>
          <w:snapToGrid w:val="0"/>
          <w:color w:val="000000"/>
          <w:lang w:val="es-ES_tradnl"/>
        </w:rPr>
        <w:t>Informe</w:t>
      </w:r>
      <w:r w:rsidR="009C5CAD" w:rsidRPr="00FD5703">
        <w:rPr>
          <w:snapToGrid w:val="0"/>
          <w:color w:val="000000"/>
          <w:lang w:val="es-ES_tradnl"/>
        </w:rPr>
        <w:t>”</w:t>
      </w:r>
      <w:r w:rsidR="00AC612F" w:rsidRPr="00FD5703">
        <w:rPr>
          <w:snapToGrid w:val="0"/>
          <w:color w:val="000000"/>
          <w:lang w:val="es-ES_tradnl"/>
        </w:rPr>
        <w:t xml:space="preserve">). </w:t>
      </w:r>
    </w:p>
    <w:p w:rsidR="009116AF" w:rsidRPr="00FD5703" w:rsidRDefault="009116AF" w:rsidP="009C5CAD">
      <w:pPr>
        <w:rPr>
          <w:snapToGrid w:val="0"/>
          <w:lang w:val="es-ES_tradnl"/>
        </w:rPr>
      </w:pPr>
    </w:p>
    <w:p w:rsidR="009116AF" w:rsidRPr="00FD5703" w:rsidRDefault="00857112" w:rsidP="009C5CAD">
      <w:pPr>
        <w:pStyle w:val="Heading3"/>
        <w:rPr>
          <w:snapToGrid w:val="0"/>
          <w:lang w:val="es-ES_tradnl"/>
        </w:rPr>
      </w:pPr>
      <w:bookmarkStart w:id="32" w:name="_Toc381177124"/>
      <w:r w:rsidRPr="00FD5703">
        <w:rPr>
          <w:snapToGrid w:val="0"/>
          <w:lang w:val="es-ES_tradnl"/>
        </w:rPr>
        <w:t xml:space="preserve">Vínculos de cooperación entre el sector público y el privado en el </w:t>
      </w:r>
      <w:proofErr w:type="spellStart"/>
      <w:r w:rsidRPr="00FD5703">
        <w:rPr>
          <w:snapToGrid w:val="0"/>
          <w:lang w:val="es-ES_tradnl"/>
        </w:rPr>
        <w:t>premejoramiento</w:t>
      </w:r>
      <w:bookmarkEnd w:id="32"/>
      <w:proofErr w:type="spellEnd"/>
      <w:r w:rsidRPr="00FD5703">
        <w:rPr>
          <w:snapToGrid w:val="0"/>
          <w:lang w:val="es-ES_tradnl"/>
        </w:rPr>
        <w:t xml:space="preserve"> </w:t>
      </w:r>
    </w:p>
    <w:p w:rsidR="009116AF" w:rsidRPr="00FD5703" w:rsidRDefault="009116AF" w:rsidP="009C5CAD">
      <w:pPr>
        <w:rPr>
          <w:snapToGrid w:val="0"/>
          <w:lang w:val="es-ES_tradnl"/>
        </w:rPr>
      </w:pPr>
    </w:p>
    <w:p w:rsidR="009116AF" w:rsidRPr="00FD5703" w:rsidRDefault="001F4113" w:rsidP="009C5CAD">
      <w:pPr>
        <w:rPr>
          <w:snapToGrid w:val="0"/>
          <w:lang w:val="es-ES_tradnl"/>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Pr="00FD5703">
        <w:rPr>
          <w:snapToGrid w:val="0"/>
          <w:lang w:val="es-ES_tradnl"/>
        </w:rPr>
        <w:tab/>
      </w:r>
      <w:r w:rsidR="00857112" w:rsidRPr="00FD5703">
        <w:rPr>
          <w:snapToGrid w:val="0"/>
          <w:lang w:val="es-ES_tradnl"/>
        </w:rPr>
        <w:t xml:space="preserve">Tras una solicitud del Equipo de Semillas y de Recursos </w:t>
      </w:r>
      <w:proofErr w:type="spellStart"/>
      <w:r w:rsidR="00857112" w:rsidRPr="00FD5703">
        <w:rPr>
          <w:snapToGrid w:val="0"/>
          <w:lang w:val="es-ES_tradnl"/>
        </w:rPr>
        <w:t>Fitogenéticos</w:t>
      </w:r>
      <w:proofErr w:type="spellEnd"/>
      <w:r w:rsidR="00857112" w:rsidRPr="00FD5703">
        <w:rPr>
          <w:snapToGrid w:val="0"/>
          <w:lang w:val="es-ES_tradnl"/>
        </w:rPr>
        <w:t xml:space="preserve"> de la Organización de las Naciones Unidas para la Alimentación y la Agricultura (FAO) y otras unidades funcionales, especialmente el Tratado Internacional sobre los Recursos </w:t>
      </w:r>
      <w:proofErr w:type="spellStart"/>
      <w:r w:rsidR="00857112" w:rsidRPr="00FD5703">
        <w:rPr>
          <w:snapToGrid w:val="0"/>
          <w:lang w:val="es-ES_tradnl"/>
        </w:rPr>
        <w:t>Fitogenéticos</w:t>
      </w:r>
      <w:proofErr w:type="spellEnd"/>
      <w:r w:rsidR="00857112" w:rsidRPr="00FD5703">
        <w:rPr>
          <w:snapToGrid w:val="0"/>
          <w:lang w:val="es-ES_tradnl"/>
        </w:rPr>
        <w:t xml:space="preserve"> para la Alimentación y la Agricultura, los miembros de la UPOV convinieron en que la Oficina de la UPOV forme parte de un equipo compuesto por diversos sectores interesados que colaboren en la </w:t>
      </w:r>
      <w:r w:rsidR="009C5CAD" w:rsidRPr="00FD5703">
        <w:rPr>
          <w:snapToGrid w:val="0"/>
          <w:lang w:val="es-ES_tradnl"/>
        </w:rPr>
        <w:t>“</w:t>
      </w:r>
      <w:r w:rsidR="00857112" w:rsidRPr="00FD5703">
        <w:rPr>
          <w:snapToGrid w:val="0"/>
          <w:lang w:val="es-ES_tradnl"/>
        </w:rPr>
        <w:t>definición de los mecanismos destinados a fomentar los vínculos de cooperación entre el sector público y el privado en el fitomejoramiento</w:t>
      </w:r>
      <w:r w:rsidR="009C5CAD" w:rsidRPr="00FD5703">
        <w:rPr>
          <w:snapToGrid w:val="0"/>
          <w:lang w:val="es-ES_tradnl"/>
        </w:rPr>
        <w:t>”</w:t>
      </w:r>
      <w:r w:rsidR="00857112" w:rsidRPr="00FD5703">
        <w:rPr>
          <w:snapToGrid w:val="0"/>
          <w:lang w:val="es-ES_tradnl"/>
        </w:rPr>
        <w:t xml:space="preserve"> </w:t>
      </w:r>
      <w:r w:rsidR="00857112" w:rsidRPr="00FD5703">
        <w:rPr>
          <w:snapToGrid w:val="0"/>
          <w:color w:val="000000"/>
          <w:lang w:val="es-ES_tradnl"/>
        </w:rPr>
        <w:t xml:space="preserve">(véase el Anexo III </w:t>
      </w:r>
      <w:r w:rsidR="009C5CAD" w:rsidRPr="00FD5703">
        <w:rPr>
          <w:snapToGrid w:val="0"/>
          <w:color w:val="000000"/>
          <w:lang w:val="es-ES_tradnl"/>
        </w:rPr>
        <w:t>“</w:t>
      </w:r>
      <w:r w:rsidR="00857112" w:rsidRPr="00FD5703">
        <w:rPr>
          <w:snapToGrid w:val="0"/>
          <w:color w:val="000000"/>
          <w:lang w:val="es-ES_tradnl"/>
        </w:rPr>
        <w:t>Comunicado de prensa</w:t>
      </w:r>
      <w:r w:rsidR="009C5CAD" w:rsidRPr="00FD5703">
        <w:rPr>
          <w:snapToGrid w:val="0"/>
          <w:color w:val="000000"/>
          <w:lang w:val="es-ES_tradnl"/>
        </w:rPr>
        <w:t>”</w:t>
      </w:r>
      <w:r w:rsidR="00857112" w:rsidRPr="00FD5703">
        <w:rPr>
          <w:snapToGrid w:val="0"/>
          <w:color w:val="000000"/>
          <w:lang w:val="es-ES_tradnl"/>
        </w:rPr>
        <w:t xml:space="preserve"> del documento C(</w:t>
      </w:r>
      <w:proofErr w:type="spellStart"/>
      <w:r w:rsidR="00857112" w:rsidRPr="00FD5703">
        <w:rPr>
          <w:snapToGrid w:val="0"/>
          <w:color w:val="000000"/>
          <w:lang w:val="es-ES_tradnl"/>
        </w:rPr>
        <w:t>Extr</w:t>
      </w:r>
      <w:proofErr w:type="spellEnd"/>
      <w:r w:rsidR="00857112" w:rsidRPr="00FD5703">
        <w:rPr>
          <w:snapToGrid w:val="0"/>
          <w:color w:val="000000"/>
          <w:lang w:val="es-ES_tradnl"/>
        </w:rPr>
        <w:t xml:space="preserve">.)/30/8 </w:t>
      </w:r>
      <w:r w:rsidR="009C5CAD" w:rsidRPr="00FD5703">
        <w:rPr>
          <w:snapToGrid w:val="0"/>
          <w:color w:val="000000"/>
          <w:lang w:val="es-ES_tradnl"/>
        </w:rPr>
        <w:t>“</w:t>
      </w:r>
      <w:r w:rsidR="00857112" w:rsidRPr="00FD5703">
        <w:rPr>
          <w:snapToGrid w:val="0"/>
          <w:color w:val="000000"/>
          <w:lang w:val="es-ES_tradnl"/>
        </w:rPr>
        <w:t>Informe</w:t>
      </w:r>
      <w:r w:rsidR="009C5CAD" w:rsidRPr="00FD5703">
        <w:rPr>
          <w:snapToGrid w:val="0"/>
          <w:color w:val="000000"/>
          <w:lang w:val="es-ES_tradnl"/>
        </w:rPr>
        <w:t>”</w:t>
      </w:r>
      <w:r w:rsidR="00857112" w:rsidRPr="00FD5703">
        <w:rPr>
          <w:snapToGrid w:val="0"/>
          <w:color w:val="000000"/>
          <w:lang w:val="es-ES_tradnl"/>
        </w:rPr>
        <w:t xml:space="preserve">). </w:t>
      </w:r>
    </w:p>
    <w:p w:rsidR="009116AF" w:rsidRPr="00FD5703" w:rsidRDefault="009116AF" w:rsidP="009C5CAD">
      <w:pPr>
        <w:rPr>
          <w:snapToGrid w:val="0"/>
          <w:lang w:val="es-ES_tradnl"/>
        </w:rPr>
      </w:pPr>
    </w:p>
    <w:p w:rsidR="009116AF" w:rsidRPr="00FD5703" w:rsidRDefault="00857112" w:rsidP="009C5CAD">
      <w:pPr>
        <w:pStyle w:val="Heading3"/>
        <w:rPr>
          <w:snapToGrid w:val="0"/>
          <w:lang w:val="es-ES_tradnl"/>
        </w:rPr>
      </w:pPr>
      <w:bookmarkStart w:id="33" w:name="_Toc381177125"/>
      <w:r w:rsidRPr="00FD5703">
        <w:rPr>
          <w:snapToGrid w:val="0"/>
          <w:lang w:val="es-ES_tradnl"/>
        </w:rPr>
        <w:t>Interrelación entre el ITPGRFA, la UPOV y la OMPI</w:t>
      </w:r>
      <w:bookmarkEnd w:id="33"/>
      <w:r w:rsidRPr="00FD5703">
        <w:rPr>
          <w:snapToGrid w:val="0"/>
          <w:lang w:val="es-ES_tradnl"/>
        </w:rPr>
        <w:t xml:space="preserve"> </w:t>
      </w:r>
    </w:p>
    <w:p w:rsidR="009116AF" w:rsidRPr="00FD5703" w:rsidRDefault="009116AF" w:rsidP="009C5CAD">
      <w:pPr>
        <w:rPr>
          <w:snapToGrid w:val="0"/>
          <w:lang w:val="es-ES_tradnl"/>
        </w:rPr>
      </w:pPr>
    </w:p>
    <w:p w:rsidR="009116AF" w:rsidRPr="00FD5703" w:rsidRDefault="001F4113" w:rsidP="009C5CAD">
      <w:pPr>
        <w:rPr>
          <w:rFonts w:eastAsia="SimSun" w:cs="Arial"/>
          <w:iCs/>
          <w:lang w:val="es-ES_tradnl" w:eastAsia="zh-CN"/>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Pr="00FD5703">
        <w:rPr>
          <w:snapToGrid w:val="0"/>
          <w:lang w:val="es-ES_tradnl"/>
        </w:rPr>
        <w:tab/>
      </w:r>
      <w:r w:rsidR="00857112" w:rsidRPr="00FD5703">
        <w:rPr>
          <w:snapToGrid w:val="0"/>
          <w:color w:val="000000"/>
          <w:lang w:val="es-ES_tradnl"/>
        </w:rPr>
        <w:t xml:space="preserve">En su quinta sesión, el Órgano Rector del ITPGRFA (GB), celebrada en Mascate (Omán), del 24 al 28 septiembre de 2013, adoptó la siguiente resolución en relación con el punto </w:t>
      </w:r>
      <w:r w:rsidR="009C5CAD" w:rsidRPr="00FD5703">
        <w:rPr>
          <w:snapToGrid w:val="0"/>
          <w:color w:val="000000"/>
          <w:lang w:val="es-ES_tradnl"/>
        </w:rPr>
        <w:t>“</w:t>
      </w:r>
      <w:r w:rsidR="00857112" w:rsidRPr="00FD5703">
        <w:rPr>
          <w:snapToGrid w:val="0"/>
          <w:color w:val="000000"/>
          <w:lang w:val="es-ES_tradnl"/>
        </w:rPr>
        <w:t>Aplicación del artículo 9, Derechos del agricultor</w:t>
      </w:r>
      <w:r w:rsidR="009C5CAD" w:rsidRPr="00FD5703">
        <w:rPr>
          <w:snapToGrid w:val="0"/>
          <w:color w:val="000000"/>
          <w:lang w:val="es-ES_tradnl"/>
        </w:rPr>
        <w:t>”</w:t>
      </w:r>
      <w:r w:rsidR="00857112" w:rsidRPr="00FD5703">
        <w:rPr>
          <w:snapToGrid w:val="0"/>
          <w:color w:val="000000"/>
          <w:lang w:val="es-ES_tradnl"/>
        </w:rPr>
        <w:t>:</w:t>
      </w:r>
    </w:p>
    <w:p w:rsidR="009116AF" w:rsidRPr="00FD5703" w:rsidRDefault="009116AF" w:rsidP="009C5CAD">
      <w:pPr>
        <w:rPr>
          <w:rFonts w:eastAsia="SimSun" w:cs="Arial"/>
          <w:lang w:val="es-ES_tradnl" w:eastAsia="zh-CN"/>
        </w:rPr>
      </w:pPr>
    </w:p>
    <w:p w:rsidR="009116AF" w:rsidRPr="00FD5703" w:rsidRDefault="009C5CAD" w:rsidP="009C5CAD">
      <w:pPr>
        <w:spacing w:after="120"/>
        <w:ind w:left="567" w:right="567"/>
        <w:outlineLvl w:val="3"/>
        <w:rPr>
          <w:rFonts w:eastAsia="SimSun" w:cs="Arial"/>
          <w:bCs/>
          <w:i/>
          <w:iCs/>
          <w:sz w:val="18"/>
          <w:lang w:val="es-ES_tradnl" w:eastAsia="zh-CN"/>
        </w:rPr>
      </w:pPr>
      <w:r w:rsidRPr="00FD5703">
        <w:rPr>
          <w:rFonts w:eastAsia="SimSun" w:cs="Arial"/>
          <w:bCs/>
          <w:i/>
          <w:iCs/>
          <w:color w:val="008000"/>
          <w:sz w:val="18"/>
          <w:lang w:val="es-ES_tradnl" w:eastAsia="zh-CN"/>
        </w:rPr>
        <w:t>“</w:t>
      </w:r>
      <w:r w:rsidR="009830D3" w:rsidRPr="00FD5703">
        <w:rPr>
          <w:rFonts w:eastAsia="SimSun" w:cs="Arial"/>
          <w:bCs/>
          <w:i/>
          <w:iCs/>
          <w:sz w:val="18"/>
          <w:lang w:val="es-ES_tradnl" w:eastAsia="zh-CN"/>
        </w:rPr>
        <w:t>Resolución</w:t>
      </w:r>
      <w:r w:rsidR="00643DA1" w:rsidRPr="00FD5703">
        <w:rPr>
          <w:rFonts w:eastAsia="SimSun" w:cs="Arial"/>
          <w:bCs/>
          <w:i/>
          <w:iCs/>
          <w:sz w:val="18"/>
          <w:lang w:val="es-ES_tradnl" w:eastAsia="zh-CN"/>
        </w:rPr>
        <w:t>: Aplicación</w:t>
      </w:r>
      <w:r w:rsidR="009830D3" w:rsidRPr="00FD5703">
        <w:rPr>
          <w:rFonts w:eastAsia="SimSun" w:cs="Arial"/>
          <w:bCs/>
          <w:i/>
          <w:iCs/>
          <w:sz w:val="18"/>
          <w:lang w:val="es-ES_tradnl" w:eastAsia="zh-CN"/>
        </w:rPr>
        <w:t xml:space="preserve"> del artículo 9, Derechos del agricultor</w:t>
      </w:r>
    </w:p>
    <w:p w:rsidR="009116AF" w:rsidRPr="00FD5703" w:rsidRDefault="009C5CAD" w:rsidP="009C5CAD">
      <w:pPr>
        <w:spacing w:after="120"/>
        <w:ind w:left="567" w:right="567"/>
        <w:rPr>
          <w:rFonts w:cs="Arial"/>
          <w:sz w:val="18"/>
          <w:lang w:val="es-ES_tradnl" w:eastAsia="zh-CN"/>
        </w:rPr>
      </w:pPr>
      <w:r w:rsidRPr="00FD5703">
        <w:rPr>
          <w:rFonts w:cs="Arial"/>
          <w:sz w:val="18"/>
          <w:lang w:val="es-ES_tradnl" w:eastAsia="zh-CN"/>
        </w:rPr>
        <w:t>“</w:t>
      </w:r>
      <w:r w:rsidR="009830D3" w:rsidRPr="00FD5703">
        <w:rPr>
          <w:rFonts w:cs="Arial"/>
          <w:sz w:val="18"/>
          <w:lang w:val="es-ES_tradnl" w:eastAsia="zh-CN"/>
        </w:rPr>
        <w:t>3. Solicita al Secretario que invite a la UPOV y la OMPI a identificar conjuntamente las posibles áreas de interrelación entre sus respectivos instrumentos internacionales;</w:t>
      </w:r>
      <w:r w:rsidRPr="00FD5703">
        <w:rPr>
          <w:rFonts w:cs="Arial"/>
          <w:sz w:val="18"/>
          <w:lang w:val="es-ES_tradnl" w:eastAsia="zh-CN"/>
        </w:rPr>
        <w:t>”</w:t>
      </w:r>
    </w:p>
    <w:p w:rsidR="009116AF" w:rsidRDefault="009830D3" w:rsidP="009C5CAD">
      <w:pPr>
        <w:rPr>
          <w:color w:val="000000"/>
          <w:lang w:val="es-ES_tradnl"/>
        </w:rPr>
      </w:pPr>
      <w:r w:rsidRPr="00FD5703">
        <w:rPr>
          <w:color w:val="000000"/>
          <w:lang w:val="es-ES_tradnl"/>
        </w:rPr>
        <w:t xml:space="preserve">(véase el párrafo 54 del documento C/47/15 Rev. </w:t>
      </w:r>
      <w:r w:rsidR="009C5CAD" w:rsidRPr="00FD5703">
        <w:rPr>
          <w:color w:val="000000"/>
          <w:lang w:val="es-ES_tradnl"/>
        </w:rPr>
        <w:t>“</w:t>
      </w:r>
      <w:r w:rsidR="00464673" w:rsidRPr="00464673">
        <w:rPr>
          <w:i/>
        </w:rPr>
        <w:t>Report by the President on the work of the eighty-sixth session of the Consultative Committee; adoption of recommendations, if any, prepared by that Committee</w:t>
      </w:r>
      <w:r w:rsidR="00464673">
        <w:t>”</w:t>
      </w:r>
      <w:r w:rsidR="00464673">
        <w:rPr>
          <w:color w:val="000000"/>
          <w:lang w:val="es-ES_tradnl"/>
        </w:rPr>
        <w:t xml:space="preserve"> (</w:t>
      </w:r>
      <w:r w:rsidRPr="00FD5703">
        <w:rPr>
          <w:color w:val="000000"/>
          <w:lang w:val="es-ES_tradnl"/>
        </w:rPr>
        <w:t>Informe de la Presiden</w:t>
      </w:r>
      <w:r w:rsidR="00464673">
        <w:rPr>
          <w:color w:val="000000"/>
          <w:lang w:val="es-ES_tradnl"/>
        </w:rPr>
        <w:t>t</w:t>
      </w:r>
      <w:r w:rsidRPr="00FD5703">
        <w:rPr>
          <w:color w:val="000000"/>
          <w:lang w:val="es-ES_tradnl"/>
        </w:rPr>
        <w:t xml:space="preserve">a sobre los trabajos de la octogésima sexta sesión del Comité Consultivo;  aprobación, si procede, de las recomendaciones preparadas por dicho Comité). </w:t>
      </w:r>
    </w:p>
    <w:p w:rsidR="000E4035" w:rsidRPr="00FD5703" w:rsidRDefault="000E4035" w:rsidP="009C5CAD">
      <w:pPr>
        <w:rPr>
          <w:lang w:val="es-ES_tradnl"/>
        </w:rPr>
      </w:pPr>
    </w:p>
    <w:p w:rsidR="009116AF" w:rsidRPr="00FD5703" w:rsidRDefault="000E4035" w:rsidP="000E4035">
      <w:pPr>
        <w:pStyle w:val="DecisionParagraphs"/>
        <w:rPr>
          <w:rFonts w:cs="Arial"/>
          <w:snapToGrid w:val="0"/>
          <w:lang w:val="es-ES_tradnl"/>
        </w:rPr>
      </w:pPr>
      <w:r w:rsidRPr="008D6380">
        <w:rPr>
          <w:snapToGrid w:val="0"/>
          <w:lang w:val="es-ES_tradnl"/>
        </w:rPr>
        <w:fldChar w:fldCharType="begin"/>
      </w:r>
      <w:r w:rsidRPr="008D6380">
        <w:rPr>
          <w:snapToGrid w:val="0"/>
          <w:lang w:val="es-ES_tradnl"/>
        </w:rPr>
        <w:instrText xml:space="preserve"> AUTONUM  </w:instrText>
      </w:r>
      <w:r w:rsidRPr="008D6380">
        <w:rPr>
          <w:snapToGrid w:val="0"/>
          <w:lang w:val="es-ES_tradnl"/>
        </w:rPr>
        <w:fldChar w:fldCharType="end"/>
      </w:r>
      <w:r w:rsidRPr="008D6380">
        <w:rPr>
          <w:snapToGrid w:val="0"/>
          <w:lang w:val="es-ES_tradnl"/>
        </w:rPr>
        <w:tab/>
      </w:r>
      <w:r w:rsidRPr="008D6380">
        <w:rPr>
          <w:lang w:val="es-ES_tradnl"/>
        </w:rPr>
        <w:t>Se invita al TC a tomar nota de</w:t>
      </w:r>
      <w:r w:rsidR="008D6380" w:rsidRPr="008D6380">
        <w:rPr>
          <w:lang w:val="es-ES_tradnl"/>
        </w:rPr>
        <w:t xml:space="preserve"> las novedades acaecidas en la UPOV, incluidas las cuestiones pertinentes debatidas en las últimas sesiones del Comité Administrativo y Jurídico, el Comité Consultivo y el Consejo, </w:t>
      </w:r>
      <w:r w:rsidR="008D6380" w:rsidRPr="008D6380">
        <w:rPr>
          <w:color w:val="000000"/>
          <w:lang w:val="es-ES_tradnl"/>
        </w:rPr>
        <w:t xml:space="preserve">según lo expuesto en los párrafos 4 </w:t>
      </w:r>
      <w:r w:rsidR="008D6380" w:rsidRPr="008D6380">
        <w:rPr>
          <w:color w:val="000000"/>
          <w:lang w:val="es-ES_tradnl"/>
        </w:rPr>
        <w:br/>
        <w:t>a 35.</w:t>
      </w:r>
    </w:p>
    <w:p w:rsidR="009116AF" w:rsidRDefault="009116AF" w:rsidP="009C5CAD">
      <w:pPr>
        <w:rPr>
          <w:lang w:val="es-ES_tradnl"/>
        </w:rPr>
      </w:pPr>
    </w:p>
    <w:p w:rsidR="000E4035" w:rsidRPr="00FD5703" w:rsidRDefault="000E4035" w:rsidP="009C5CAD">
      <w:pPr>
        <w:rPr>
          <w:lang w:val="es-ES_tradnl"/>
        </w:rPr>
      </w:pPr>
    </w:p>
    <w:p w:rsidR="008D6380" w:rsidRDefault="008D6380">
      <w:pPr>
        <w:jc w:val="left"/>
        <w:rPr>
          <w:rStyle w:val="BookTitle"/>
          <w:b/>
          <w:caps/>
          <w:lang w:val="es-ES_tradnl"/>
        </w:rPr>
      </w:pPr>
      <w:bookmarkStart w:id="34" w:name="_Toc381177126"/>
      <w:r>
        <w:rPr>
          <w:rStyle w:val="BookTitle"/>
          <w:b/>
          <w:lang w:val="es-ES_tradnl"/>
        </w:rPr>
        <w:br w:type="page"/>
      </w:r>
    </w:p>
    <w:p w:rsidR="009116AF" w:rsidRPr="00FD5703" w:rsidRDefault="009C495A" w:rsidP="00464673">
      <w:pPr>
        <w:pStyle w:val="Heading1"/>
        <w:rPr>
          <w:rStyle w:val="BookTitle"/>
          <w:b/>
          <w:lang w:val="es-ES_tradnl"/>
        </w:rPr>
      </w:pPr>
      <w:r w:rsidRPr="00FD5703">
        <w:rPr>
          <w:rStyle w:val="BookTitle"/>
          <w:b/>
          <w:lang w:val="es-ES_tradnl"/>
        </w:rPr>
        <w:t>II.</w:t>
      </w:r>
      <w:r w:rsidRPr="00FD5703">
        <w:rPr>
          <w:rStyle w:val="BookTitle"/>
          <w:b/>
          <w:lang w:val="es-ES_tradnl"/>
        </w:rPr>
        <w:tab/>
      </w:r>
      <w:r w:rsidR="009830D3" w:rsidRPr="00FD5703">
        <w:rPr>
          <w:rStyle w:val="BookTitle"/>
          <w:b/>
          <w:lang w:val="es-ES_tradnl"/>
        </w:rPr>
        <w:t>ASUNTOS SOMETIDOS A LA CONSIDERACIÓN DEL COMITÉ TÉCNICO</w:t>
      </w:r>
      <w:bookmarkEnd w:id="34"/>
    </w:p>
    <w:p w:rsidR="009116AF" w:rsidRPr="00FD5703" w:rsidRDefault="009116AF" w:rsidP="009C5CAD">
      <w:pPr>
        <w:rPr>
          <w:lang w:val="es-ES_tradnl"/>
        </w:rPr>
      </w:pPr>
    </w:p>
    <w:p w:rsidR="009116AF" w:rsidRPr="00FD5703" w:rsidRDefault="009830D3" w:rsidP="00464673">
      <w:pPr>
        <w:pStyle w:val="Heading1"/>
        <w:rPr>
          <w:lang w:val="es-ES_tradnl"/>
        </w:rPr>
      </w:pPr>
      <w:bookmarkStart w:id="35" w:name="_Toc381177127"/>
      <w:r w:rsidRPr="00FD5703">
        <w:rPr>
          <w:lang w:val="es-ES_tradnl"/>
        </w:rPr>
        <w:t>DESCRIPCIONES DE VARIEDADES</w:t>
      </w:r>
      <w:bookmarkEnd w:id="35"/>
    </w:p>
    <w:p w:rsidR="009116AF" w:rsidRPr="00FD5703" w:rsidRDefault="009116AF" w:rsidP="009C5CAD">
      <w:pPr>
        <w:rPr>
          <w:lang w:val="es-ES_tradnl"/>
        </w:rPr>
      </w:pPr>
    </w:p>
    <w:p w:rsidR="009116AF" w:rsidRPr="00FD5703" w:rsidRDefault="00B94604" w:rsidP="009C5CAD">
      <w:pPr>
        <w:rPr>
          <w:rFonts w:cs="Arial"/>
          <w:lang w:val="es-ES_tradnl"/>
        </w:rPr>
      </w:pPr>
      <w:r w:rsidRPr="00FD5703">
        <w:rPr>
          <w:rFonts w:cs="Arial"/>
          <w:lang w:val="es-ES_tradnl"/>
        </w:rPr>
        <w:fldChar w:fldCharType="begin"/>
      </w:r>
      <w:r w:rsidRPr="00FD5703">
        <w:rPr>
          <w:rFonts w:cs="Arial"/>
          <w:lang w:val="es-ES_tradnl"/>
        </w:rPr>
        <w:instrText xml:space="preserve"> AUTONUM  </w:instrText>
      </w:r>
      <w:r w:rsidRPr="00FD5703">
        <w:rPr>
          <w:rFonts w:cs="Arial"/>
          <w:lang w:val="es-ES_tradnl"/>
        </w:rPr>
        <w:fldChar w:fldCharType="end"/>
      </w:r>
      <w:r w:rsidRPr="00FD5703">
        <w:rPr>
          <w:rFonts w:cs="Arial"/>
          <w:lang w:val="es-ES_tradnl"/>
        </w:rPr>
        <w:tab/>
      </w:r>
      <w:r w:rsidR="00F11B14" w:rsidRPr="00FD5703">
        <w:rPr>
          <w:rFonts w:cs="Arial"/>
          <w:color w:val="000000"/>
          <w:lang w:val="es-ES_tradnl"/>
        </w:rPr>
        <w:t>En su s</w:t>
      </w:r>
      <w:r w:rsidR="006B5DA1" w:rsidRPr="00FD5703">
        <w:rPr>
          <w:rFonts w:cs="Arial"/>
          <w:color w:val="000000"/>
          <w:lang w:val="es-ES_tradnl"/>
        </w:rPr>
        <w:t>éptima</w:t>
      </w:r>
      <w:r w:rsidR="00F11B14" w:rsidRPr="00FD5703">
        <w:rPr>
          <w:rFonts w:cs="Arial"/>
          <w:color w:val="000000"/>
          <w:lang w:val="es-ES_tradnl"/>
        </w:rPr>
        <w:t xml:space="preserve"> sesión, celebrada en Ginebra </w:t>
      </w:r>
      <w:r w:rsidR="006B5DA1" w:rsidRPr="00FD5703">
        <w:rPr>
          <w:rFonts w:cs="Arial"/>
          <w:color w:val="000000"/>
          <w:lang w:val="es-ES_tradnl"/>
        </w:rPr>
        <w:t xml:space="preserve">los días 29 y 30 </w:t>
      </w:r>
      <w:r w:rsidR="00F11B14" w:rsidRPr="00FD5703">
        <w:rPr>
          <w:rFonts w:cs="Arial"/>
          <w:color w:val="000000"/>
          <w:lang w:val="es-ES_tradnl"/>
        </w:rPr>
        <w:t>de octubre de 201</w:t>
      </w:r>
      <w:r w:rsidR="006B5DA1" w:rsidRPr="00FD5703">
        <w:rPr>
          <w:rFonts w:cs="Arial"/>
          <w:color w:val="000000"/>
          <w:lang w:val="es-ES_tradnl"/>
        </w:rPr>
        <w:t>2</w:t>
      </w:r>
      <w:r w:rsidR="00F11B14" w:rsidRPr="00FD5703">
        <w:rPr>
          <w:rFonts w:cs="Arial"/>
          <w:color w:val="000000"/>
          <w:lang w:val="es-ES_tradnl"/>
        </w:rPr>
        <w:t xml:space="preserve">, el Grupo Asesor del Comité Administrativo y Jurídico (CAJ–AG) consideró que procede ofrecer nuevas orientaciones sobre el concepto de descripciones </w:t>
      </w:r>
      <w:r w:rsidR="00AF2F5C" w:rsidRPr="00FD5703">
        <w:rPr>
          <w:rFonts w:cs="Arial"/>
          <w:color w:val="000000"/>
          <w:lang w:val="es-ES_tradnl"/>
        </w:rPr>
        <w:t xml:space="preserve">de variedades (véase el párrafo </w:t>
      </w:r>
      <w:r w:rsidR="006B5DA1" w:rsidRPr="00FD5703">
        <w:rPr>
          <w:rFonts w:cs="Arial"/>
          <w:color w:val="000000"/>
          <w:lang w:val="es-ES_tradnl"/>
        </w:rPr>
        <w:t>9</w:t>
      </w:r>
      <w:r w:rsidR="00F11B14" w:rsidRPr="00FD5703">
        <w:rPr>
          <w:rFonts w:cs="Arial"/>
          <w:color w:val="000000"/>
          <w:lang w:val="es-ES_tradnl"/>
        </w:rPr>
        <w:t>0 del documento CAJ-AG</w:t>
      </w:r>
      <w:r w:rsidR="006B5DA1" w:rsidRPr="00FD5703">
        <w:rPr>
          <w:lang w:val="es-ES_tradnl"/>
        </w:rPr>
        <w:t xml:space="preserve">12/7/7 </w:t>
      </w:r>
      <w:r w:rsidR="009C5CAD" w:rsidRPr="00FD5703">
        <w:rPr>
          <w:rFonts w:cs="Arial"/>
          <w:color w:val="000000"/>
          <w:lang w:val="es-ES_tradnl"/>
        </w:rPr>
        <w:t>“</w:t>
      </w:r>
      <w:r w:rsidR="00F11B14" w:rsidRPr="00FD5703">
        <w:rPr>
          <w:rFonts w:cs="Arial"/>
          <w:color w:val="000000"/>
          <w:lang w:val="es-ES_tradnl"/>
        </w:rPr>
        <w:t>Informe</w:t>
      </w:r>
      <w:r w:rsidR="009C5CAD" w:rsidRPr="00FD5703">
        <w:rPr>
          <w:rFonts w:cs="Arial"/>
          <w:color w:val="000000"/>
          <w:lang w:val="es-ES_tradnl"/>
        </w:rPr>
        <w:t>”</w:t>
      </w:r>
      <w:r w:rsidR="00F11B14" w:rsidRPr="00FD5703">
        <w:rPr>
          <w:rFonts w:cs="Arial"/>
          <w:color w:val="000000"/>
          <w:lang w:val="es-ES_tradnl"/>
        </w:rPr>
        <w:t xml:space="preserve">). </w:t>
      </w:r>
    </w:p>
    <w:p w:rsidR="009116AF" w:rsidRPr="00FD5703" w:rsidRDefault="009116AF" w:rsidP="009C5CAD">
      <w:pPr>
        <w:rPr>
          <w:rFonts w:cs="Arial"/>
          <w:lang w:val="es-ES_tradnl"/>
        </w:rPr>
      </w:pPr>
    </w:p>
    <w:p w:rsidR="009116AF" w:rsidRPr="00FD5703" w:rsidRDefault="00340861" w:rsidP="009C5CAD">
      <w:pPr>
        <w:rPr>
          <w:rFonts w:cs="Arial"/>
          <w:lang w:val="es-ES_tradnl"/>
        </w:rPr>
      </w:pPr>
      <w:r w:rsidRPr="00FD5703">
        <w:rPr>
          <w:rFonts w:cs="Arial"/>
          <w:lang w:val="es-ES_tradnl"/>
        </w:rPr>
        <w:fldChar w:fldCharType="begin"/>
      </w:r>
      <w:r w:rsidRPr="00FD5703">
        <w:rPr>
          <w:rFonts w:cs="Arial"/>
          <w:lang w:val="es-ES_tradnl"/>
        </w:rPr>
        <w:instrText xml:space="preserve"> AUTONUM  </w:instrText>
      </w:r>
      <w:r w:rsidRPr="00FD5703">
        <w:rPr>
          <w:rFonts w:cs="Arial"/>
          <w:lang w:val="es-ES_tradnl"/>
        </w:rPr>
        <w:fldChar w:fldCharType="end"/>
      </w:r>
      <w:r w:rsidRPr="00FD5703">
        <w:rPr>
          <w:rFonts w:cs="Arial"/>
          <w:lang w:val="es-ES_tradnl"/>
        </w:rPr>
        <w:tab/>
      </w:r>
      <w:r w:rsidR="00F11B14" w:rsidRPr="00FD5703">
        <w:rPr>
          <w:rFonts w:cs="Arial"/>
          <w:color w:val="000000"/>
          <w:lang w:val="es-ES_tradnl"/>
        </w:rPr>
        <w:t xml:space="preserve">En su octava sesión, celebrada en Ginebra el 25 de octubre de 2013, </w:t>
      </w:r>
      <w:r w:rsidR="005025C3" w:rsidRPr="00FD5703">
        <w:rPr>
          <w:rFonts w:cs="Arial"/>
          <w:color w:val="000000"/>
          <w:lang w:val="es-ES_tradnl"/>
        </w:rPr>
        <w:t xml:space="preserve">el  CAJ–AG </w:t>
      </w:r>
      <w:r w:rsidR="00F11B14" w:rsidRPr="00FD5703">
        <w:rPr>
          <w:rFonts w:cs="Arial"/>
          <w:color w:val="000000"/>
          <w:lang w:val="es-ES_tradnl"/>
        </w:rPr>
        <w:t>convino en que debe examinar en primera instancia  las siguientes cuestiones relativas</w:t>
      </w:r>
      <w:r w:rsidR="00D318A8">
        <w:rPr>
          <w:rFonts w:cs="Arial"/>
          <w:color w:val="000000"/>
          <w:lang w:val="es-ES_tradnl"/>
        </w:rPr>
        <w:t xml:space="preserve"> al párrafo 4 del documento CAJ</w:t>
      </w:r>
      <w:r w:rsidR="00D318A8">
        <w:rPr>
          <w:rFonts w:cs="Arial"/>
          <w:color w:val="000000"/>
          <w:lang w:val="es-ES_tradnl"/>
        </w:rPr>
        <w:noBreakHyphen/>
      </w:r>
      <w:r w:rsidR="00F11B14" w:rsidRPr="00FD5703">
        <w:rPr>
          <w:rFonts w:cs="Arial"/>
          <w:color w:val="000000"/>
          <w:lang w:val="es-ES_tradnl"/>
        </w:rPr>
        <w:t xml:space="preserve">AG/13/8/7 </w:t>
      </w:r>
      <w:r w:rsidR="009C5CAD" w:rsidRPr="00FD5703">
        <w:rPr>
          <w:rFonts w:cs="Arial"/>
          <w:color w:val="000000"/>
          <w:lang w:val="es-ES_tradnl"/>
        </w:rPr>
        <w:t>“</w:t>
      </w:r>
      <w:r w:rsidR="00F11B14" w:rsidRPr="00FD5703">
        <w:rPr>
          <w:rFonts w:cs="Arial"/>
          <w:color w:val="000000"/>
          <w:lang w:val="es-ES_tradnl"/>
        </w:rPr>
        <w:t>Asuntos relativos a las descripciones de variedades</w:t>
      </w:r>
      <w:r w:rsidR="009C5CAD" w:rsidRPr="00FD5703">
        <w:rPr>
          <w:rFonts w:cs="Arial"/>
          <w:color w:val="000000"/>
          <w:lang w:val="es-ES_tradnl"/>
        </w:rPr>
        <w:t>”</w:t>
      </w:r>
      <w:r w:rsidR="00F11B14" w:rsidRPr="00FD5703">
        <w:rPr>
          <w:rFonts w:cs="Arial"/>
          <w:color w:val="000000"/>
          <w:lang w:val="es-ES_tradnl"/>
        </w:rPr>
        <w:t xml:space="preserve">: </w:t>
      </w:r>
    </w:p>
    <w:p w:rsidR="009116AF" w:rsidRPr="00FD5703" w:rsidRDefault="009116AF" w:rsidP="009C5CAD">
      <w:pPr>
        <w:rPr>
          <w:rFonts w:cs="Arial"/>
          <w:lang w:val="es-ES_tradnl"/>
        </w:rPr>
      </w:pPr>
    </w:p>
    <w:p w:rsidR="009116AF" w:rsidRPr="00FD5703" w:rsidRDefault="006B5DA1" w:rsidP="009C5CAD">
      <w:pPr>
        <w:ind w:left="567" w:right="567"/>
        <w:rPr>
          <w:sz w:val="18"/>
          <w:szCs w:val="18"/>
          <w:lang w:val="es-ES_tradnl"/>
        </w:rPr>
      </w:pPr>
      <w:r w:rsidRPr="00FD5703">
        <w:rPr>
          <w:sz w:val="18"/>
          <w:szCs w:val="18"/>
          <w:lang w:val="es-ES_tradnl"/>
        </w:rPr>
        <w:t>a)</w:t>
      </w:r>
      <w:r w:rsidR="00815096" w:rsidRPr="00FD5703">
        <w:rPr>
          <w:sz w:val="18"/>
          <w:szCs w:val="18"/>
          <w:lang w:val="es-ES_tradnl"/>
        </w:rPr>
        <w:tab/>
      </w:r>
      <w:r w:rsidR="00F11B14" w:rsidRPr="00FD5703">
        <w:rPr>
          <w:sz w:val="18"/>
          <w:szCs w:val="18"/>
          <w:lang w:val="es-ES_tradnl"/>
        </w:rPr>
        <w:t>la finalidad o finalidades de la descripción de la variedad que se elaboró cuando se concedió el derecho (descripción original de la variedad);</w:t>
      </w:r>
    </w:p>
    <w:p w:rsidR="009116AF" w:rsidRPr="00FD5703" w:rsidRDefault="009116AF" w:rsidP="009C5CAD">
      <w:pPr>
        <w:ind w:left="567" w:right="567"/>
        <w:rPr>
          <w:sz w:val="18"/>
          <w:szCs w:val="18"/>
          <w:lang w:val="es-ES_tradnl"/>
        </w:rPr>
      </w:pPr>
    </w:p>
    <w:p w:rsidR="009116AF" w:rsidRPr="00FD5703" w:rsidRDefault="006B5DA1" w:rsidP="009C5CAD">
      <w:pPr>
        <w:ind w:left="567" w:right="567"/>
        <w:rPr>
          <w:sz w:val="18"/>
          <w:szCs w:val="18"/>
          <w:lang w:val="es-ES_tradnl"/>
        </w:rPr>
      </w:pPr>
      <w:r w:rsidRPr="00FD5703">
        <w:rPr>
          <w:sz w:val="18"/>
          <w:szCs w:val="18"/>
          <w:lang w:val="es-ES_tradnl"/>
        </w:rPr>
        <w:t>b)</w:t>
      </w:r>
      <w:r w:rsidR="00815096" w:rsidRPr="00FD5703">
        <w:rPr>
          <w:sz w:val="18"/>
          <w:szCs w:val="18"/>
          <w:lang w:val="es-ES_tradnl"/>
        </w:rPr>
        <w:tab/>
      </w:r>
      <w:r w:rsidR="00F11B14" w:rsidRPr="00FD5703">
        <w:rPr>
          <w:sz w:val="18"/>
          <w:szCs w:val="18"/>
          <w:lang w:val="es-ES_tradnl"/>
        </w:rPr>
        <w:t>la situación de la descripción original de la variedad con respecto a la comprobación de que el material vegetal corresponde a una variedad protegida a los fines de:</w:t>
      </w:r>
    </w:p>
    <w:p w:rsidR="009116AF" w:rsidRPr="00FD5703" w:rsidRDefault="009116AF" w:rsidP="009C5CAD">
      <w:pPr>
        <w:ind w:left="567" w:right="567"/>
        <w:rPr>
          <w:sz w:val="18"/>
          <w:szCs w:val="18"/>
          <w:lang w:val="es-ES_tradnl"/>
        </w:rPr>
      </w:pPr>
    </w:p>
    <w:p w:rsidR="009116AF" w:rsidRPr="00FD5703" w:rsidRDefault="009C5CAD" w:rsidP="009C5CAD">
      <w:pPr>
        <w:ind w:left="567" w:right="567" w:firstLine="567"/>
        <w:rPr>
          <w:sz w:val="18"/>
          <w:szCs w:val="18"/>
          <w:lang w:val="es-ES_tradnl"/>
        </w:rPr>
      </w:pPr>
      <w:r w:rsidRPr="00FD5703">
        <w:rPr>
          <w:sz w:val="18"/>
          <w:szCs w:val="18"/>
          <w:lang w:val="es-ES_tradnl"/>
        </w:rPr>
        <w:t>“</w:t>
      </w:r>
      <w:r w:rsidR="00340861" w:rsidRPr="00FD5703">
        <w:rPr>
          <w:sz w:val="18"/>
          <w:szCs w:val="18"/>
          <w:lang w:val="es-ES_tradnl"/>
        </w:rPr>
        <w:t>[…]</w:t>
      </w:r>
    </w:p>
    <w:p w:rsidR="009116AF" w:rsidRPr="00FD5703" w:rsidRDefault="00F11B14" w:rsidP="009C5CAD">
      <w:pPr>
        <w:ind w:left="567" w:right="567" w:firstLine="567"/>
        <w:rPr>
          <w:sz w:val="18"/>
          <w:szCs w:val="18"/>
          <w:lang w:val="es-ES_tradnl"/>
        </w:rPr>
      </w:pPr>
      <w:r w:rsidRPr="00FD5703">
        <w:rPr>
          <w:sz w:val="18"/>
          <w:szCs w:val="18"/>
          <w:lang w:val="es-ES_tradnl"/>
        </w:rPr>
        <w:t>ii</w:t>
      </w:r>
      <w:r w:rsidR="006B5DA1" w:rsidRPr="00FD5703">
        <w:rPr>
          <w:sz w:val="18"/>
          <w:szCs w:val="18"/>
          <w:lang w:val="es-ES_tradnl"/>
        </w:rPr>
        <w:t>i)</w:t>
      </w:r>
      <w:r w:rsidR="00815096" w:rsidRPr="00FD5703">
        <w:rPr>
          <w:sz w:val="18"/>
          <w:szCs w:val="18"/>
          <w:lang w:val="es-ES_tradnl"/>
        </w:rPr>
        <w:tab/>
      </w:r>
      <w:r w:rsidRPr="00FD5703">
        <w:rPr>
          <w:sz w:val="18"/>
          <w:szCs w:val="18"/>
          <w:lang w:val="es-ES_tradnl"/>
        </w:rPr>
        <w:t>la defensa del derecho.</w:t>
      </w:r>
    </w:p>
    <w:p w:rsidR="009116AF" w:rsidRPr="00FD5703" w:rsidRDefault="009116AF" w:rsidP="009C5CAD">
      <w:pPr>
        <w:rPr>
          <w:lang w:val="es-ES_tradnl"/>
        </w:rPr>
      </w:pPr>
    </w:p>
    <w:p w:rsidR="009116AF" w:rsidRPr="00FD5703" w:rsidRDefault="00340861" w:rsidP="009C5CAD">
      <w:pPr>
        <w:rPr>
          <w:rFonts w:cs="Arial"/>
          <w:lang w:val="es-ES_tradnl"/>
        </w:rPr>
      </w:pPr>
      <w:r w:rsidRPr="00FD5703">
        <w:rPr>
          <w:rFonts w:cs="Arial"/>
          <w:lang w:val="es-ES_tradnl"/>
        </w:rPr>
        <w:fldChar w:fldCharType="begin"/>
      </w:r>
      <w:r w:rsidRPr="00FD5703">
        <w:rPr>
          <w:rFonts w:cs="Arial"/>
          <w:lang w:val="es-ES_tradnl"/>
        </w:rPr>
        <w:instrText xml:space="preserve"> AUTONUM  </w:instrText>
      </w:r>
      <w:r w:rsidRPr="00FD5703">
        <w:rPr>
          <w:rFonts w:cs="Arial"/>
          <w:lang w:val="es-ES_tradnl"/>
        </w:rPr>
        <w:fldChar w:fldCharType="end"/>
      </w:r>
      <w:r w:rsidRPr="00FD5703">
        <w:rPr>
          <w:rFonts w:cs="Arial"/>
          <w:lang w:val="es-ES_tradnl"/>
        </w:rPr>
        <w:tab/>
      </w:r>
      <w:r w:rsidR="00F11B14" w:rsidRPr="00FD5703">
        <w:rPr>
          <w:rFonts w:cs="Arial"/>
          <w:lang w:val="es-ES_tradnl"/>
        </w:rPr>
        <w:t>El CAJ-AG acordó que se elaboren orientaciones sobre las cuestiones siguientes y proponer al CAJ que invite al Comité Técnico (TC) a examinarlas en primera instancia:</w:t>
      </w:r>
    </w:p>
    <w:p w:rsidR="009116AF" w:rsidRPr="00FD5703" w:rsidRDefault="009116AF" w:rsidP="009C5CAD">
      <w:pPr>
        <w:rPr>
          <w:rFonts w:cs="Arial"/>
          <w:lang w:val="es-ES_tradnl"/>
        </w:rPr>
      </w:pPr>
    </w:p>
    <w:p w:rsidR="009116AF" w:rsidRPr="00FD5703" w:rsidRDefault="00815096" w:rsidP="009C5CAD">
      <w:pPr>
        <w:ind w:firstLine="567"/>
        <w:rPr>
          <w:rFonts w:cs="Arial"/>
          <w:lang w:val="es-ES_tradnl"/>
        </w:rPr>
      </w:pPr>
      <w:r w:rsidRPr="00FD5703">
        <w:rPr>
          <w:rFonts w:cs="Arial"/>
          <w:lang w:val="es-ES_tradnl"/>
        </w:rPr>
        <w:t>a)</w:t>
      </w:r>
      <w:r w:rsidRPr="00FD5703">
        <w:rPr>
          <w:rFonts w:cs="Arial"/>
          <w:lang w:val="es-ES_tradnl"/>
        </w:rPr>
        <w:tab/>
      </w:r>
      <w:r w:rsidR="00F11B14" w:rsidRPr="00FD5703">
        <w:rPr>
          <w:rFonts w:cs="Arial"/>
          <w:lang w:val="es-ES_tradnl"/>
        </w:rPr>
        <w:t xml:space="preserve"> el uso de informaciones, documentos o material proporcionados por el obtentor para controlar el mantenimiento de la variedad, conforme al párrafo 15 del documento CAJ-AG/13/8/4 </w:t>
      </w:r>
      <w:r w:rsidR="009C5CAD" w:rsidRPr="00FD5703">
        <w:rPr>
          <w:rFonts w:cs="Arial"/>
          <w:lang w:val="es-ES_tradnl"/>
        </w:rPr>
        <w:t>“</w:t>
      </w:r>
      <w:r w:rsidR="00F11B14" w:rsidRPr="00FD5703">
        <w:rPr>
          <w:rFonts w:cs="Arial"/>
          <w:lang w:val="es-ES_tradnl"/>
        </w:rPr>
        <w:t>Asuntos relativos a la cad</w:t>
      </w:r>
      <w:r w:rsidR="005025C3" w:rsidRPr="00FD5703">
        <w:rPr>
          <w:rFonts w:cs="Arial"/>
          <w:lang w:val="es-ES_tradnl"/>
        </w:rPr>
        <w:t>ucidad del derecho de obtentor</w:t>
      </w:r>
      <w:r w:rsidR="009C5CAD" w:rsidRPr="00FD5703">
        <w:rPr>
          <w:rFonts w:cs="Arial"/>
          <w:lang w:val="es-ES_tradnl"/>
        </w:rPr>
        <w:t>”</w:t>
      </w:r>
      <w:r w:rsidR="00F11B14" w:rsidRPr="00FD5703">
        <w:rPr>
          <w:rFonts w:cs="Arial"/>
          <w:lang w:val="es-ES_tradnl"/>
        </w:rPr>
        <w:t>, indicando que las informaciones, los documentos o el material pueden conservarse en otro país;  y</w:t>
      </w:r>
    </w:p>
    <w:p w:rsidR="009116AF" w:rsidRPr="00FD5703" w:rsidRDefault="009116AF" w:rsidP="009C5CAD">
      <w:pPr>
        <w:tabs>
          <w:tab w:val="left" w:pos="7500"/>
        </w:tabs>
        <w:rPr>
          <w:rFonts w:cs="Arial"/>
          <w:lang w:val="es-ES_tradnl"/>
        </w:rPr>
      </w:pPr>
    </w:p>
    <w:p w:rsidR="009116AF" w:rsidRPr="00FD5703" w:rsidRDefault="00340861" w:rsidP="009C5CAD">
      <w:pPr>
        <w:rPr>
          <w:rFonts w:cs="Arial"/>
          <w:lang w:val="es-ES_tradnl"/>
        </w:rPr>
      </w:pPr>
      <w:r w:rsidRPr="00FD5703">
        <w:rPr>
          <w:rFonts w:cs="Arial"/>
          <w:lang w:val="es-ES_tradnl"/>
        </w:rPr>
        <w:tab/>
      </w:r>
      <w:r w:rsidR="006B5DA1" w:rsidRPr="00FD5703">
        <w:rPr>
          <w:rFonts w:cs="Arial"/>
          <w:lang w:val="es-ES_tradnl"/>
        </w:rPr>
        <w:t>b)</w:t>
      </w:r>
      <w:r w:rsidR="00815096" w:rsidRPr="00FD5703">
        <w:rPr>
          <w:rFonts w:cs="Arial"/>
          <w:lang w:val="es-ES_tradnl"/>
        </w:rPr>
        <w:tab/>
      </w:r>
      <w:r w:rsidR="00F11B14" w:rsidRPr="00FD5703">
        <w:rPr>
          <w:rFonts w:cs="Arial"/>
          <w:lang w:val="es-ES_tradnl"/>
        </w:rPr>
        <w:t>el uso de directrices de examen diferentes de las empleadas en el examen de la distinción, la homogeneidad y la estabilidad (DHE) para controlar el mantenimiento de la variedad.</w:t>
      </w:r>
    </w:p>
    <w:p w:rsidR="009116AF" w:rsidRPr="00FD5703" w:rsidRDefault="009116AF" w:rsidP="009C5CAD">
      <w:pPr>
        <w:rPr>
          <w:lang w:val="es-ES_tradnl"/>
        </w:rPr>
      </w:pPr>
    </w:p>
    <w:p w:rsidR="009116AF" w:rsidRPr="00FD5703" w:rsidRDefault="00340861" w:rsidP="009C5CAD">
      <w:pPr>
        <w:rPr>
          <w:rFonts w:cs="Arial"/>
          <w:lang w:val="es-ES_tradnl"/>
        </w:rPr>
      </w:pPr>
      <w:r w:rsidRPr="00FD5703">
        <w:rPr>
          <w:rFonts w:cs="Arial"/>
          <w:lang w:val="es-ES_tradnl"/>
        </w:rPr>
        <w:fldChar w:fldCharType="begin"/>
      </w:r>
      <w:r w:rsidRPr="00FD5703">
        <w:rPr>
          <w:rFonts w:cs="Arial"/>
          <w:lang w:val="es-ES_tradnl"/>
        </w:rPr>
        <w:instrText xml:space="preserve"> AUTONUM  </w:instrText>
      </w:r>
      <w:r w:rsidRPr="00FD5703">
        <w:rPr>
          <w:rFonts w:cs="Arial"/>
          <w:lang w:val="es-ES_tradnl"/>
        </w:rPr>
        <w:fldChar w:fldCharType="end"/>
      </w:r>
      <w:r w:rsidRPr="00FD5703">
        <w:rPr>
          <w:rFonts w:cs="Arial"/>
          <w:lang w:val="es-ES_tradnl"/>
        </w:rPr>
        <w:tab/>
      </w:r>
      <w:r w:rsidR="00F11B14" w:rsidRPr="00FD5703">
        <w:rPr>
          <w:rFonts w:cs="Arial"/>
          <w:lang w:val="es-ES_tradnl"/>
        </w:rPr>
        <w:t>El CAJ-AG acordó proponer al CAJ que invite al TC a examinar en primera instancia las cuestiones siguientes, recogidas en el párrafo 4 del documento CAJ-AG/13/8/7:</w:t>
      </w:r>
    </w:p>
    <w:p w:rsidR="009116AF" w:rsidRPr="00FD5703" w:rsidRDefault="009116AF" w:rsidP="009C5CAD">
      <w:pPr>
        <w:rPr>
          <w:rFonts w:cs="Arial"/>
          <w:lang w:val="es-ES_tradnl"/>
        </w:rPr>
      </w:pPr>
    </w:p>
    <w:p w:rsidR="009116AF" w:rsidRPr="00FD5703" w:rsidRDefault="009C5CAD" w:rsidP="009C5CAD">
      <w:pPr>
        <w:ind w:left="567" w:right="567"/>
        <w:rPr>
          <w:sz w:val="18"/>
          <w:szCs w:val="18"/>
          <w:lang w:val="es-ES_tradnl"/>
        </w:rPr>
      </w:pPr>
      <w:r w:rsidRPr="00FD5703">
        <w:rPr>
          <w:sz w:val="18"/>
          <w:szCs w:val="18"/>
          <w:lang w:val="es-ES_tradnl"/>
        </w:rPr>
        <w:t>“</w:t>
      </w:r>
      <w:r w:rsidR="00340861" w:rsidRPr="00FD5703">
        <w:rPr>
          <w:sz w:val="18"/>
          <w:szCs w:val="18"/>
          <w:lang w:val="es-ES_tradnl"/>
        </w:rPr>
        <w:t>[…]</w:t>
      </w:r>
    </w:p>
    <w:p w:rsidR="009116AF" w:rsidRPr="00FD5703" w:rsidRDefault="009116AF" w:rsidP="009C5CAD">
      <w:pPr>
        <w:ind w:left="567" w:right="567"/>
        <w:rPr>
          <w:sz w:val="18"/>
          <w:szCs w:val="18"/>
          <w:lang w:val="es-ES_tradnl"/>
        </w:rPr>
      </w:pPr>
    </w:p>
    <w:p w:rsidR="009116AF" w:rsidRPr="00FD5703" w:rsidRDefault="006B5DA1" w:rsidP="009C5CAD">
      <w:pPr>
        <w:ind w:left="567" w:right="567"/>
        <w:rPr>
          <w:sz w:val="18"/>
          <w:szCs w:val="18"/>
          <w:lang w:val="es-ES_tradnl"/>
        </w:rPr>
      </w:pPr>
      <w:r w:rsidRPr="00FD5703">
        <w:rPr>
          <w:sz w:val="18"/>
          <w:szCs w:val="18"/>
          <w:lang w:val="es-ES_tradnl"/>
        </w:rPr>
        <w:t>b)</w:t>
      </w:r>
      <w:r w:rsidR="00815096" w:rsidRPr="00FD5703">
        <w:rPr>
          <w:sz w:val="18"/>
          <w:szCs w:val="18"/>
          <w:lang w:val="es-ES_tradnl"/>
        </w:rPr>
        <w:tab/>
      </w:r>
      <w:r w:rsidR="00F11B14" w:rsidRPr="00FD5703">
        <w:rPr>
          <w:sz w:val="18"/>
          <w:szCs w:val="18"/>
          <w:lang w:val="es-ES_tradnl"/>
        </w:rPr>
        <w:t>la situación de la descripción original de la variedad con respecto a la comprobación de que el material vegetal corresponde a una variedad protegida a los fines de:</w:t>
      </w:r>
    </w:p>
    <w:p w:rsidR="009116AF" w:rsidRPr="00FD5703" w:rsidRDefault="009116AF" w:rsidP="009C5CAD">
      <w:pPr>
        <w:ind w:left="567" w:right="567"/>
        <w:rPr>
          <w:sz w:val="18"/>
          <w:szCs w:val="18"/>
          <w:lang w:val="es-ES_tradnl"/>
        </w:rPr>
      </w:pPr>
    </w:p>
    <w:p w:rsidR="009116AF" w:rsidRPr="00FD5703" w:rsidRDefault="006B5DA1" w:rsidP="009C5CAD">
      <w:pPr>
        <w:ind w:left="1134" w:right="567"/>
        <w:rPr>
          <w:sz w:val="18"/>
          <w:szCs w:val="18"/>
          <w:lang w:val="es-ES_tradnl"/>
        </w:rPr>
      </w:pPr>
      <w:r w:rsidRPr="00FD5703">
        <w:rPr>
          <w:sz w:val="18"/>
          <w:szCs w:val="18"/>
          <w:lang w:val="es-ES_tradnl"/>
        </w:rPr>
        <w:t>i)</w:t>
      </w:r>
      <w:r w:rsidR="00815096" w:rsidRPr="00FD5703">
        <w:rPr>
          <w:sz w:val="18"/>
          <w:szCs w:val="18"/>
          <w:lang w:val="es-ES_tradnl"/>
        </w:rPr>
        <w:tab/>
      </w:r>
      <w:r w:rsidR="00F11B14" w:rsidRPr="00FD5703">
        <w:rPr>
          <w:sz w:val="18"/>
          <w:szCs w:val="18"/>
          <w:lang w:val="es-ES_tradnl"/>
        </w:rPr>
        <w:t>controlar el mantenimiento de la variedad (artículo 22 del Acta de 1991, artículo 10 del Acta de 1978);</w:t>
      </w:r>
    </w:p>
    <w:p w:rsidR="009116AF" w:rsidRPr="00FD5703" w:rsidRDefault="009116AF" w:rsidP="009C5CAD">
      <w:pPr>
        <w:ind w:left="1134" w:right="567"/>
        <w:rPr>
          <w:sz w:val="18"/>
          <w:szCs w:val="18"/>
          <w:lang w:val="es-ES_tradnl"/>
        </w:rPr>
      </w:pPr>
    </w:p>
    <w:p w:rsidR="009116AF" w:rsidRPr="00FD5703" w:rsidRDefault="006B5DA1" w:rsidP="009C5CAD">
      <w:pPr>
        <w:ind w:left="1134" w:right="567"/>
        <w:rPr>
          <w:sz w:val="18"/>
          <w:szCs w:val="18"/>
          <w:lang w:val="es-ES_tradnl"/>
        </w:rPr>
      </w:pPr>
      <w:r w:rsidRPr="00FD5703">
        <w:rPr>
          <w:sz w:val="18"/>
          <w:szCs w:val="18"/>
          <w:lang w:val="es-ES_tradnl"/>
        </w:rPr>
        <w:t>ii)</w:t>
      </w:r>
      <w:r w:rsidR="00815096" w:rsidRPr="00FD5703">
        <w:rPr>
          <w:sz w:val="18"/>
          <w:szCs w:val="18"/>
          <w:lang w:val="es-ES_tradnl"/>
        </w:rPr>
        <w:tab/>
      </w:r>
      <w:r w:rsidR="00F11B14" w:rsidRPr="00FD5703">
        <w:rPr>
          <w:sz w:val="18"/>
          <w:szCs w:val="18"/>
          <w:lang w:val="es-ES_tradnl"/>
        </w:rPr>
        <w:t>el examen de la distinción, la homogeneidad y la estabilidad (DHE) de las variedades candidatas;  y</w:t>
      </w:r>
    </w:p>
    <w:p w:rsidR="009116AF" w:rsidRPr="00FD5703" w:rsidRDefault="009116AF" w:rsidP="009C5CAD">
      <w:pPr>
        <w:ind w:left="567" w:right="567"/>
        <w:rPr>
          <w:sz w:val="18"/>
          <w:szCs w:val="18"/>
          <w:lang w:val="es-ES_tradnl"/>
        </w:rPr>
      </w:pPr>
    </w:p>
    <w:p w:rsidR="009116AF" w:rsidRPr="00FD5703" w:rsidRDefault="009C5CAD" w:rsidP="009C5CAD">
      <w:pPr>
        <w:spacing w:after="240"/>
        <w:ind w:left="567" w:right="567" w:firstLine="567"/>
        <w:rPr>
          <w:sz w:val="18"/>
          <w:szCs w:val="18"/>
          <w:lang w:val="es-ES_tradnl"/>
        </w:rPr>
      </w:pPr>
      <w:r w:rsidRPr="00FD5703">
        <w:rPr>
          <w:sz w:val="18"/>
          <w:szCs w:val="18"/>
          <w:lang w:val="es-ES_tradnl"/>
        </w:rPr>
        <w:t>“</w:t>
      </w:r>
      <w:r w:rsidR="00340861" w:rsidRPr="00FD5703">
        <w:rPr>
          <w:sz w:val="18"/>
          <w:szCs w:val="18"/>
          <w:lang w:val="es-ES_tradnl"/>
        </w:rPr>
        <w:t>[…]</w:t>
      </w:r>
    </w:p>
    <w:p w:rsidR="009116AF" w:rsidRPr="00FD5703" w:rsidRDefault="00F11B14" w:rsidP="009C5CAD">
      <w:pPr>
        <w:ind w:left="567" w:right="567"/>
        <w:rPr>
          <w:sz w:val="18"/>
          <w:szCs w:val="18"/>
          <w:lang w:val="es-ES_tradnl"/>
        </w:rPr>
      </w:pPr>
      <w:r w:rsidRPr="00FD5703">
        <w:rPr>
          <w:sz w:val="18"/>
          <w:szCs w:val="18"/>
          <w:lang w:val="es-ES_tradnl"/>
        </w:rPr>
        <w:t xml:space="preserve">c) </w:t>
      </w:r>
      <w:r w:rsidR="00815096" w:rsidRPr="00FD5703">
        <w:rPr>
          <w:sz w:val="18"/>
          <w:szCs w:val="18"/>
          <w:lang w:val="es-ES_tradnl"/>
        </w:rPr>
        <w:tab/>
      </w:r>
      <w:r w:rsidRPr="00FD5703">
        <w:rPr>
          <w:sz w:val="18"/>
          <w:szCs w:val="18"/>
          <w:lang w:val="es-ES_tradnl"/>
        </w:rPr>
        <w:t>la situación de una descripción modificada de la variedad con respecto a los puntos a) y b) anteriores, producida, por ejemplo, como consecuencia de:</w:t>
      </w:r>
    </w:p>
    <w:p w:rsidR="009116AF" w:rsidRPr="00FD5703" w:rsidRDefault="009116AF" w:rsidP="009C5CAD">
      <w:pPr>
        <w:ind w:left="567" w:right="567"/>
        <w:rPr>
          <w:sz w:val="18"/>
          <w:szCs w:val="18"/>
          <w:lang w:val="es-ES_tradnl"/>
        </w:rPr>
      </w:pPr>
    </w:p>
    <w:p w:rsidR="009116AF" w:rsidRPr="00FD5703" w:rsidRDefault="006B5DA1" w:rsidP="009C5CAD">
      <w:pPr>
        <w:spacing w:after="60"/>
        <w:ind w:left="1701" w:right="567" w:hanging="567"/>
        <w:rPr>
          <w:sz w:val="18"/>
          <w:szCs w:val="18"/>
          <w:lang w:val="es-ES_tradnl"/>
        </w:rPr>
      </w:pPr>
      <w:r w:rsidRPr="00FD5703">
        <w:rPr>
          <w:sz w:val="18"/>
          <w:szCs w:val="18"/>
          <w:lang w:val="es-ES_tradnl"/>
        </w:rPr>
        <w:t>i)</w:t>
      </w:r>
      <w:r w:rsidR="00815096" w:rsidRPr="00FD5703">
        <w:rPr>
          <w:sz w:val="18"/>
          <w:szCs w:val="18"/>
          <w:lang w:val="es-ES_tradnl"/>
        </w:rPr>
        <w:tab/>
      </w:r>
      <w:r w:rsidR="008A4787" w:rsidRPr="00FD5703">
        <w:rPr>
          <w:sz w:val="18"/>
          <w:szCs w:val="18"/>
          <w:lang w:val="es-ES_tradnl"/>
        </w:rPr>
        <w:t xml:space="preserve">una </w:t>
      </w:r>
      <w:proofErr w:type="spellStart"/>
      <w:r w:rsidR="008A4787" w:rsidRPr="00FD5703">
        <w:rPr>
          <w:sz w:val="18"/>
          <w:szCs w:val="18"/>
          <w:lang w:val="es-ES_tradnl"/>
        </w:rPr>
        <w:t>recalibración</w:t>
      </w:r>
      <w:proofErr w:type="spellEnd"/>
      <w:r w:rsidR="008A4787" w:rsidRPr="00FD5703">
        <w:rPr>
          <w:sz w:val="18"/>
          <w:szCs w:val="18"/>
          <w:lang w:val="es-ES_tradnl"/>
        </w:rPr>
        <w:t xml:space="preserve"> de la escala en las directrices de examen (especialmente para los caracteres no señalados con asterisco</w:t>
      </w:r>
      <w:r w:rsidR="008A4787" w:rsidRPr="00FD5703">
        <w:rPr>
          <w:rStyle w:val="FootnoteReference"/>
          <w:sz w:val="18"/>
          <w:szCs w:val="18"/>
          <w:lang w:val="es-ES_tradnl"/>
        </w:rPr>
        <w:footnoteReference w:id="2"/>
      </w:r>
      <w:r w:rsidR="008A4787" w:rsidRPr="00FD5703">
        <w:rPr>
          <w:sz w:val="18"/>
          <w:szCs w:val="18"/>
          <w:lang w:val="es-ES_tradnl"/>
        </w:rPr>
        <w:t>);</w:t>
      </w:r>
    </w:p>
    <w:p w:rsidR="009116AF" w:rsidRPr="00FD5703" w:rsidRDefault="006B5DA1" w:rsidP="009C5CAD">
      <w:pPr>
        <w:spacing w:after="60"/>
        <w:ind w:left="1701" w:right="567" w:hanging="567"/>
        <w:rPr>
          <w:sz w:val="18"/>
          <w:szCs w:val="18"/>
          <w:lang w:val="es-ES_tradnl"/>
        </w:rPr>
      </w:pPr>
      <w:r w:rsidRPr="00FD5703">
        <w:rPr>
          <w:sz w:val="18"/>
          <w:szCs w:val="18"/>
          <w:lang w:val="es-ES_tradnl"/>
        </w:rPr>
        <w:t>ii)</w:t>
      </w:r>
      <w:r w:rsidR="00815096" w:rsidRPr="00FD5703">
        <w:rPr>
          <w:sz w:val="18"/>
          <w:szCs w:val="18"/>
          <w:lang w:val="es-ES_tradnl"/>
        </w:rPr>
        <w:tab/>
      </w:r>
      <w:r w:rsidR="008A4787" w:rsidRPr="00FD5703">
        <w:rPr>
          <w:sz w:val="18"/>
          <w:szCs w:val="18"/>
          <w:lang w:val="es-ES_tradnl"/>
        </w:rPr>
        <w:t>una variación resultante de las condiciones medioambientales en los años de ensayo de los caracteres que están influenciados por el medio ambiente;</w:t>
      </w:r>
    </w:p>
    <w:p w:rsidR="009116AF" w:rsidRPr="00FD5703" w:rsidRDefault="006B5DA1" w:rsidP="009C5CAD">
      <w:pPr>
        <w:spacing w:after="60"/>
        <w:ind w:left="1701" w:right="567" w:hanging="567"/>
        <w:rPr>
          <w:sz w:val="18"/>
          <w:szCs w:val="18"/>
          <w:lang w:val="es-ES_tradnl"/>
        </w:rPr>
      </w:pPr>
      <w:r w:rsidRPr="00FD5703">
        <w:rPr>
          <w:sz w:val="18"/>
          <w:szCs w:val="18"/>
          <w:lang w:val="es-ES_tradnl"/>
        </w:rPr>
        <w:t>iii)</w:t>
      </w:r>
      <w:r w:rsidR="00815096" w:rsidRPr="00FD5703">
        <w:rPr>
          <w:sz w:val="18"/>
          <w:szCs w:val="18"/>
          <w:lang w:val="es-ES_tradnl"/>
        </w:rPr>
        <w:tab/>
      </w:r>
      <w:r w:rsidR="008A4787" w:rsidRPr="00FD5703">
        <w:rPr>
          <w:sz w:val="18"/>
          <w:szCs w:val="18"/>
          <w:lang w:val="es-ES_tradnl"/>
        </w:rPr>
        <w:t>una variación resultante de las observaciones realizadas por distintos expertos;  o</w:t>
      </w:r>
    </w:p>
    <w:p w:rsidR="009116AF" w:rsidRPr="00FD5703" w:rsidRDefault="006B5DA1" w:rsidP="009C5CAD">
      <w:pPr>
        <w:ind w:left="1701" w:right="567" w:hanging="567"/>
        <w:rPr>
          <w:sz w:val="18"/>
          <w:szCs w:val="18"/>
          <w:lang w:val="es-ES_tradnl"/>
        </w:rPr>
      </w:pPr>
      <w:r w:rsidRPr="00FD5703">
        <w:rPr>
          <w:sz w:val="18"/>
          <w:szCs w:val="18"/>
          <w:lang w:val="es-ES_tradnl"/>
        </w:rPr>
        <w:t>iv)</w:t>
      </w:r>
      <w:r w:rsidR="00815096" w:rsidRPr="00FD5703">
        <w:rPr>
          <w:sz w:val="18"/>
          <w:szCs w:val="18"/>
          <w:lang w:val="es-ES_tradnl"/>
        </w:rPr>
        <w:tab/>
      </w:r>
      <w:r w:rsidR="008A4787" w:rsidRPr="00FD5703">
        <w:rPr>
          <w:sz w:val="18"/>
          <w:szCs w:val="18"/>
          <w:lang w:val="es-ES_tradnl"/>
        </w:rPr>
        <w:t>la utilización de diferentes versiones de escalas (por ejemplo, diferentes versiones de la Carta de Colores RHS).</w:t>
      </w:r>
    </w:p>
    <w:p w:rsidR="009116AF" w:rsidRPr="00FD5703" w:rsidRDefault="009116AF" w:rsidP="009C5CAD">
      <w:pPr>
        <w:ind w:left="567" w:right="567"/>
        <w:rPr>
          <w:sz w:val="18"/>
          <w:szCs w:val="18"/>
          <w:lang w:val="es-ES_tradnl"/>
        </w:rPr>
      </w:pPr>
    </w:p>
    <w:p w:rsidR="009116AF" w:rsidRPr="00FD5703" w:rsidRDefault="006B5DA1" w:rsidP="009C5CAD">
      <w:pPr>
        <w:ind w:left="567" w:right="567"/>
        <w:rPr>
          <w:sz w:val="18"/>
          <w:szCs w:val="18"/>
          <w:lang w:val="es-ES_tradnl"/>
        </w:rPr>
      </w:pPr>
      <w:r w:rsidRPr="00FD5703">
        <w:rPr>
          <w:sz w:val="18"/>
          <w:szCs w:val="18"/>
          <w:lang w:val="es-ES_tradnl"/>
        </w:rPr>
        <w:t>d)</w:t>
      </w:r>
      <w:r w:rsidR="00815096" w:rsidRPr="00FD5703">
        <w:rPr>
          <w:sz w:val="18"/>
          <w:szCs w:val="18"/>
          <w:lang w:val="es-ES_tradnl"/>
        </w:rPr>
        <w:tab/>
      </w:r>
      <w:r w:rsidR="008A4787" w:rsidRPr="00FD5703">
        <w:rPr>
          <w:sz w:val="18"/>
          <w:szCs w:val="18"/>
          <w:lang w:val="es-ES_tradnl"/>
        </w:rPr>
        <w:t>situaciones en las que con posterioridad se detecta un error en la descripción inicial de la variedad.</w:t>
      </w:r>
    </w:p>
    <w:p w:rsidR="009116AF" w:rsidRPr="00FD5703" w:rsidRDefault="009116AF" w:rsidP="009C5CAD">
      <w:pPr>
        <w:rPr>
          <w:lang w:val="es-ES_tradnl"/>
        </w:rPr>
      </w:pPr>
    </w:p>
    <w:p w:rsidR="009116AF" w:rsidRPr="00FD5703" w:rsidRDefault="00B94604"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3D30E3" w:rsidRPr="00FD5703">
        <w:rPr>
          <w:lang w:val="es-ES_tradnl"/>
        </w:rPr>
        <w:t xml:space="preserve">El CAJ examinará la propuesta del CAJ-AG en su sexagésima novena sesión, que se celebrará </w:t>
      </w:r>
      <w:r w:rsidR="003D30E3" w:rsidRPr="00FD5703">
        <w:rPr>
          <w:color w:val="000000"/>
          <w:lang w:val="es-ES_tradnl"/>
        </w:rPr>
        <w:t xml:space="preserve">en Ginebra, el 10 de abril de 2014. </w:t>
      </w:r>
    </w:p>
    <w:p w:rsidR="009116AF" w:rsidRPr="00FD5703" w:rsidRDefault="009116AF" w:rsidP="009C5CAD">
      <w:pPr>
        <w:rPr>
          <w:lang w:val="es-ES_tradnl"/>
        </w:rPr>
      </w:pPr>
    </w:p>
    <w:p w:rsidR="009116AF" w:rsidRPr="00FD5703" w:rsidRDefault="001F4113" w:rsidP="009C5CAD">
      <w:pPr>
        <w:pStyle w:val="DecisionParagraphs"/>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3D30E3" w:rsidRPr="00FD5703">
        <w:rPr>
          <w:color w:val="000000"/>
          <w:lang w:val="es-ES_tradnl"/>
        </w:rPr>
        <w:t>Se invita al TC a tomar nota de que el CAJ, en su sexagésima novena sesión, considerará la propuesta del CAJ-AG de invitar al TC a elaborar directrices adicionales sobre asuntos relativos a las descripciones de variedades según lo expuesto en los párrafos </w:t>
      </w:r>
      <w:r w:rsidR="000E4035">
        <w:rPr>
          <w:color w:val="000000"/>
          <w:lang w:val="es-ES_tradnl"/>
        </w:rPr>
        <w:t>37</w:t>
      </w:r>
      <w:r w:rsidR="003D30E3" w:rsidRPr="00FD5703">
        <w:rPr>
          <w:color w:val="000000"/>
          <w:lang w:val="es-ES_tradnl"/>
        </w:rPr>
        <w:t xml:space="preserve"> </w:t>
      </w:r>
      <w:r w:rsidR="00D318A8">
        <w:rPr>
          <w:color w:val="000000"/>
          <w:lang w:val="es-ES_tradnl"/>
        </w:rPr>
        <w:t>a</w:t>
      </w:r>
      <w:r w:rsidR="003D30E3" w:rsidRPr="00FD5703">
        <w:rPr>
          <w:color w:val="000000"/>
          <w:lang w:val="es-ES_tradnl"/>
        </w:rPr>
        <w:t xml:space="preserve"> 4</w:t>
      </w:r>
      <w:r w:rsidR="000E4035">
        <w:rPr>
          <w:color w:val="000000"/>
          <w:lang w:val="es-ES_tradnl"/>
        </w:rPr>
        <w:t>1</w:t>
      </w:r>
      <w:r w:rsidR="003D30E3" w:rsidRPr="00FD5703">
        <w:rPr>
          <w:color w:val="000000"/>
          <w:lang w:val="es-ES_tradnl"/>
        </w:rPr>
        <w:t xml:space="preserve">. </w:t>
      </w:r>
    </w:p>
    <w:p w:rsidR="009116AF" w:rsidRDefault="009116AF" w:rsidP="009C5CAD">
      <w:pPr>
        <w:rPr>
          <w:lang w:val="es-ES_tradnl"/>
        </w:rPr>
      </w:pPr>
    </w:p>
    <w:p w:rsidR="008D6380" w:rsidRPr="00FD5703" w:rsidRDefault="008D6380" w:rsidP="009C5CAD">
      <w:pPr>
        <w:rPr>
          <w:lang w:val="es-ES_tradnl"/>
        </w:rPr>
      </w:pPr>
    </w:p>
    <w:p w:rsidR="009116AF" w:rsidRPr="00FD5703" w:rsidRDefault="003D30E3" w:rsidP="00464673">
      <w:pPr>
        <w:pStyle w:val="Heading1"/>
        <w:rPr>
          <w:lang w:val="es-ES_tradnl"/>
        </w:rPr>
      </w:pPr>
      <w:bookmarkStart w:id="36" w:name="_Toc381177128"/>
      <w:r w:rsidRPr="00FD5703">
        <w:rPr>
          <w:lang w:val="es-ES_tradnl"/>
        </w:rPr>
        <w:t xml:space="preserve">CUESTIONES PLANTEADAS POR LA </w:t>
      </w:r>
      <w:r w:rsidRPr="00FD5703">
        <w:rPr>
          <w:i/>
          <w:lang w:val="es-ES_tradnl"/>
        </w:rPr>
        <w:t>INTERNATIONAL SEED FEDERATION</w:t>
      </w:r>
      <w:r w:rsidRPr="00FD5703">
        <w:rPr>
          <w:lang w:val="es-ES_tradnl"/>
        </w:rPr>
        <w:t xml:space="preserve"> (ISF)</w:t>
      </w:r>
      <w:bookmarkEnd w:id="36"/>
    </w:p>
    <w:p w:rsidR="009116AF" w:rsidRPr="00FD5703" w:rsidRDefault="009116AF" w:rsidP="009C5CAD">
      <w:pPr>
        <w:rPr>
          <w:snapToGrid w:val="0"/>
          <w:lang w:val="es-ES_tradnl"/>
        </w:rPr>
      </w:pPr>
    </w:p>
    <w:p w:rsidR="009116AF" w:rsidRPr="00FD5703" w:rsidRDefault="003D30E3" w:rsidP="009C5CAD">
      <w:pPr>
        <w:rPr>
          <w:i/>
          <w:snapToGrid w:val="0"/>
          <w:lang w:val="es-ES_tradnl"/>
        </w:rPr>
      </w:pPr>
      <w:r w:rsidRPr="00FD5703">
        <w:rPr>
          <w:i/>
          <w:snapToGrid w:val="0"/>
          <w:lang w:val="es-ES_tradnl"/>
        </w:rPr>
        <w:t>(véanse los párrafos 62 a 66 del documento C/47/15 Rev.</w:t>
      </w:r>
      <w:r w:rsidR="00D6410C">
        <w:rPr>
          <w:i/>
          <w:snapToGrid w:val="0"/>
          <w:lang w:val="es-ES_tradnl"/>
        </w:rPr>
        <w:t xml:space="preserve"> “</w:t>
      </w:r>
      <w:r w:rsidR="00D6410C" w:rsidRPr="009B0042">
        <w:t>Report by the President on the work of the eighty-sixth session of the Consultative Committee; adoption of recommendations, if any, prepared by that Committee</w:t>
      </w:r>
      <w:r w:rsidR="00D6410C">
        <w:t>”</w:t>
      </w:r>
      <w:r w:rsidRPr="00FD5703">
        <w:rPr>
          <w:i/>
          <w:snapToGrid w:val="0"/>
          <w:lang w:val="es-ES_tradnl"/>
        </w:rPr>
        <w:t xml:space="preserve"> </w:t>
      </w:r>
      <w:r w:rsidR="00D6410C">
        <w:rPr>
          <w:i/>
          <w:snapToGrid w:val="0"/>
          <w:lang w:val="es-ES_tradnl"/>
        </w:rPr>
        <w:t>(</w:t>
      </w:r>
      <w:r w:rsidRPr="00FD5703">
        <w:rPr>
          <w:i/>
          <w:snapToGrid w:val="0"/>
          <w:lang w:val="es-ES_tradnl"/>
        </w:rPr>
        <w:t>Informe de la Presidencia sobre los trabajos de la octogésima sexta sesión del Comité Consultivo;  aprobación, si procede, de las recomendaciones preparadas por dicho Comité</w:t>
      </w:r>
      <w:r w:rsidR="00D6410C">
        <w:rPr>
          <w:i/>
          <w:snapToGrid w:val="0"/>
          <w:lang w:val="es-ES_tradnl"/>
        </w:rPr>
        <w:t>)</w:t>
      </w:r>
      <w:r w:rsidRPr="00FD5703">
        <w:rPr>
          <w:i/>
          <w:snapToGrid w:val="0"/>
          <w:lang w:val="es-ES_tradnl"/>
        </w:rPr>
        <w:t>).</w:t>
      </w:r>
    </w:p>
    <w:p w:rsidR="009116AF" w:rsidRPr="00FD5703" w:rsidRDefault="009116AF" w:rsidP="009C5CAD">
      <w:pPr>
        <w:rPr>
          <w:snapToGrid w:val="0"/>
          <w:lang w:val="es-ES_tradnl"/>
        </w:rPr>
      </w:pPr>
    </w:p>
    <w:p w:rsidR="009116AF" w:rsidRPr="00FD5703" w:rsidRDefault="00505A73"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1B6EA3" w:rsidRPr="00FD5703">
        <w:rPr>
          <w:color w:val="000000"/>
          <w:lang w:val="es-ES_tradnl"/>
        </w:rPr>
        <w:t>El Comité Consultivo, en su octogésima sexta reun</w:t>
      </w:r>
      <w:r w:rsidR="00390BA5" w:rsidRPr="00FD5703">
        <w:rPr>
          <w:color w:val="000000"/>
          <w:lang w:val="es-ES_tradnl"/>
        </w:rPr>
        <w:t xml:space="preserve">ión, celebrada en Ginebra </w:t>
      </w:r>
      <w:r w:rsidR="00755966" w:rsidRPr="00FD5703">
        <w:rPr>
          <w:color w:val="000000"/>
          <w:lang w:val="es-ES_tradnl"/>
        </w:rPr>
        <w:t>los días</w:t>
      </w:r>
      <w:r w:rsidR="00390BA5" w:rsidRPr="00FD5703">
        <w:rPr>
          <w:color w:val="000000"/>
          <w:lang w:val="es-ES_tradnl"/>
        </w:rPr>
        <w:t> 23</w:t>
      </w:r>
      <w:r w:rsidR="001B6EA3" w:rsidRPr="00FD5703">
        <w:rPr>
          <w:color w:val="000000"/>
          <w:lang w:val="es-ES_tradnl"/>
        </w:rPr>
        <w:t xml:space="preserve"> y </w:t>
      </w:r>
      <w:r w:rsidR="00ED5CF2">
        <w:rPr>
          <w:color w:val="000000"/>
          <w:lang w:val="es-ES_tradnl"/>
        </w:rPr>
        <w:br/>
      </w:r>
      <w:r w:rsidR="001B6EA3" w:rsidRPr="00FD5703">
        <w:rPr>
          <w:color w:val="000000"/>
          <w:lang w:val="es-ES_tradnl"/>
        </w:rPr>
        <w:t xml:space="preserve">24 de octubre de 2013, examinó la carta de la </w:t>
      </w:r>
      <w:r w:rsidR="001B6EA3" w:rsidRPr="00FD5703">
        <w:rPr>
          <w:i/>
          <w:color w:val="000000"/>
          <w:lang w:val="es-ES_tradnl"/>
        </w:rPr>
        <w:t xml:space="preserve">International </w:t>
      </w:r>
      <w:proofErr w:type="spellStart"/>
      <w:r w:rsidR="001B6EA3" w:rsidRPr="00FD5703">
        <w:rPr>
          <w:i/>
          <w:color w:val="000000"/>
          <w:lang w:val="es-ES_tradnl"/>
        </w:rPr>
        <w:t>Seed</w:t>
      </w:r>
      <w:proofErr w:type="spellEnd"/>
      <w:r w:rsidR="001B6EA3" w:rsidRPr="00FD5703">
        <w:rPr>
          <w:i/>
          <w:color w:val="000000"/>
          <w:lang w:val="es-ES_tradnl"/>
        </w:rPr>
        <w:t xml:space="preserve"> </w:t>
      </w:r>
      <w:proofErr w:type="spellStart"/>
      <w:r w:rsidR="001B6EA3" w:rsidRPr="00FD5703">
        <w:rPr>
          <w:i/>
          <w:color w:val="000000"/>
          <w:lang w:val="es-ES_tradnl"/>
        </w:rPr>
        <w:t>Federation</w:t>
      </w:r>
      <w:proofErr w:type="spellEnd"/>
      <w:r w:rsidR="001B6EA3" w:rsidRPr="00FD5703">
        <w:rPr>
          <w:color w:val="000000"/>
          <w:lang w:val="es-ES_tradnl"/>
        </w:rPr>
        <w:t xml:space="preserve"> (ISF) del 21 de enero de 2013 sobre el tema </w:t>
      </w:r>
      <w:r w:rsidR="009C5CAD" w:rsidRPr="00FD5703">
        <w:rPr>
          <w:color w:val="000000"/>
          <w:lang w:val="es-ES_tradnl"/>
        </w:rPr>
        <w:t>“</w:t>
      </w:r>
      <w:r w:rsidR="001B6EA3" w:rsidRPr="00FD5703">
        <w:rPr>
          <w:color w:val="000000"/>
          <w:lang w:val="es-ES_tradnl"/>
        </w:rPr>
        <w:t>Aspectos de la solicitud, el examen y la concesión de las solicitudes de derechos de obtentor</w:t>
      </w:r>
      <w:r w:rsidR="009C5CAD" w:rsidRPr="00FD5703">
        <w:rPr>
          <w:color w:val="000000"/>
          <w:lang w:val="es-ES_tradnl"/>
        </w:rPr>
        <w:t>”</w:t>
      </w:r>
      <w:r w:rsidR="001B6EA3" w:rsidRPr="00FD5703">
        <w:rPr>
          <w:color w:val="000000"/>
          <w:lang w:val="es-ES_tradnl"/>
        </w:rPr>
        <w:t xml:space="preserve">, e invitó a la ISF </w:t>
      </w:r>
      <w:r w:rsidR="001B6EA3" w:rsidRPr="00FD5703">
        <w:rPr>
          <w:lang w:val="es-ES_tradnl"/>
        </w:rPr>
        <w:t>a que exponga su punto de vista en la parte correspondiente de ese punto.</w:t>
      </w:r>
    </w:p>
    <w:p w:rsidR="009116AF" w:rsidRPr="00FD5703" w:rsidRDefault="009116AF" w:rsidP="009C5CAD">
      <w:pPr>
        <w:rPr>
          <w:lang w:val="es-ES_tradnl"/>
        </w:rPr>
      </w:pPr>
    </w:p>
    <w:p w:rsidR="009116AF" w:rsidRPr="00FD5703" w:rsidRDefault="00505A73"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1B6EA3" w:rsidRPr="00FD5703">
        <w:rPr>
          <w:lang w:val="es-ES_tradnl"/>
        </w:rPr>
        <w:t xml:space="preserve">El Comité Consultivo convino en elaborar a partir del documento UPOV/INF/15 </w:t>
      </w:r>
      <w:r w:rsidR="009C5CAD" w:rsidRPr="00FD5703">
        <w:rPr>
          <w:lang w:val="es-ES_tradnl"/>
        </w:rPr>
        <w:t>“</w:t>
      </w:r>
      <w:r w:rsidR="001B6EA3" w:rsidRPr="00FD5703">
        <w:rPr>
          <w:lang w:val="es-ES_tradnl"/>
        </w:rPr>
        <w:t>Orientación para los miembros de la UPOV sobre las obligaciones actuales y las notificaciones conexas y sobre el suministro de información para facilitar la cooperación</w:t>
      </w:r>
      <w:r w:rsidR="009C5CAD" w:rsidRPr="00FD5703">
        <w:rPr>
          <w:lang w:val="es-ES_tradnl"/>
        </w:rPr>
        <w:t>”</w:t>
      </w:r>
      <w:r w:rsidR="001B6EA3" w:rsidRPr="00FD5703">
        <w:rPr>
          <w:lang w:val="es-ES_tradnl"/>
        </w:rPr>
        <w:t xml:space="preserve"> un documento marco en el que se determinen los elementos esenciales para el funcionamiento de un sistema de protección de las variedades vegetales y se proporcionen enlaces hacia material de información detallado.</w:t>
      </w:r>
    </w:p>
    <w:p w:rsidR="009116AF" w:rsidRPr="00FD5703" w:rsidRDefault="009116AF" w:rsidP="009C5CAD">
      <w:pPr>
        <w:rPr>
          <w:lang w:val="es-ES_tradnl"/>
        </w:rPr>
      </w:pPr>
    </w:p>
    <w:p w:rsidR="00815096" w:rsidRPr="00FD5703" w:rsidRDefault="00815096" w:rsidP="009C5CAD">
      <w:pPr>
        <w:rPr>
          <w:lang w:val="es-ES_tradnl"/>
        </w:rPr>
      </w:pPr>
    </w:p>
    <w:p w:rsidR="009116AF" w:rsidRPr="00FD5703" w:rsidRDefault="00DC64DC" w:rsidP="009C5CAD">
      <w:pPr>
        <w:pStyle w:val="Heading2"/>
        <w:keepNext w:val="0"/>
        <w:rPr>
          <w:lang w:val="es-ES_tradnl"/>
        </w:rPr>
      </w:pPr>
      <w:bookmarkStart w:id="37" w:name="_Toc381177129"/>
      <w:r w:rsidRPr="00FD5703">
        <w:rPr>
          <w:lang w:val="es-ES_tradnl"/>
        </w:rPr>
        <w:t xml:space="preserve">Cuestiones que el </w:t>
      </w:r>
      <w:r w:rsidR="001B6EA3" w:rsidRPr="00FD5703">
        <w:rPr>
          <w:lang w:val="es-ES_tradnl"/>
        </w:rPr>
        <w:t xml:space="preserve">TC </w:t>
      </w:r>
      <w:r w:rsidRPr="00FD5703">
        <w:rPr>
          <w:lang w:val="es-ES_tradnl"/>
        </w:rPr>
        <w:t xml:space="preserve">está invitado </w:t>
      </w:r>
      <w:r w:rsidR="001B6EA3" w:rsidRPr="00FD5703">
        <w:rPr>
          <w:lang w:val="es-ES_tradnl"/>
        </w:rPr>
        <w:t>a considerar</w:t>
      </w:r>
      <w:bookmarkEnd w:id="37"/>
    </w:p>
    <w:p w:rsidR="009116AF" w:rsidRPr="00FD5703" w:rsidRDefault="009116AF" w:rsidP="009C5CAD">
      <w:pPr>
        <w:rPr>
          <w:lang w:val="es-ES_tradnl"/>
        </w:rPr>
      </w:pPr>
    </w:p>
    <w:p w:rsidR="009116AF" w:rsidRPr="00FD5703" w:rsidRDefault="00505A73"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1B6EA3" w:rsidRPr="00FD5703">
        <w:rPr>
          <w:color w:val="000000"/>
          <w:lang w:val="es-ES_tradnl"/>
        </w:rPr>
        <w:t>El Comité Consultivo acordó invitar al CAJ y al TC a estudiar las recomendaciones de la ISF relativas a los materiales de información existentes y futuros, paralelamente a la elaboración de un documento marco a partir del documento UPOV/INF/15.</w:t>
      </w:r>
    </w:p>
    <w:p w:rsidR="009116AF" w:rsidRPr="00FD5703" w:rsidRDefault="009116AF" w:rsidP="009C5CAD">
      <w:pPr>
        <w:rPr>
          <w:lang w:val="es-ES_tradnl"/>
        </w:rPr>
      </w:pPr>
    </w:p>
    <w:p w:rsidR="009116AF" w:rsidRPr="00FD5703" w:rsidRDefault="00D61804"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5479CA" w:rsidRPr="00FD5703">
        <w:rPr>
          <w:color w:val="000000"/>
          <w:lang w:val="es-ES_tradnl"/>
        </w:rPr>
        <w:t xml:space="preserve">A continuación, se enumeran las cuestiones planteadas por la ISF que el Comité Consultivo convino en invitar al TC a </w:t>
      </w:r>
      <w:r w:rsidR="00557611" w:rsidRPr="00FD5703">
        <w:rPr>
          <w:color w:val="000000"/>
          <w:lang w:val="es-ES_tradnl"/>
        </w:rPr>
        <w:t>considerar</w:t>
      </w:r>
      <w:r w:rsidR="005479CA" w:rsidRPr="00FD5703">
        <w:rPr>
          <w:color w:val="000000"/>
          <w:lang w:val="es-ES_tradnl"/>
        </w:rPr>
        <w:t xml:space="preserve">: </w:t>
      </w:r>
    </w:p>
    <w:p w:rsidR="009116AF" w:rsidRPr="00FD5703" w:rsidRDefault="009116AF" w:rsidP="009C5CAD">
      <w:pPr>
        <w:rPr>
          <w:lang w:val="es-ES_tradnl"/>
        </w:rPr>
      </w:pPr>
    </w:p>
    <w:p w:rsidR="009116AF" w:rsidRPr="00FD5703" w:rsidRDefault="00230328" w:rsidP="009C5CAD">
      <w:pPr>
        <w:pStyle w:val="Heading3"/>
        <w:rPr>
          <w:lang w:val="es-ES_tradnl"/>
        </w:rPr>
      </w:pPr>
      <w:bookmarkStart w:id="38" w:name="_Toc381177130"/>
      <w:r w:rsidRPr="00FD5703">
        <w:rPr>
          <w:lang w:val="es-ES_tradnl"/>
        </w:rPr>
        <w:t>a)</w:t>
      </w:r>
      <w:r w:rsidRPr="00FD5703">
        <w:rPr>
          <w:lang w:val="es-ES_tradnl"/>
        </w:rPr>
        <w:tab/>
      </w:r>
      <w:r w:rsidR="00657038" w:rsidRPr="00FD5703">
        <w:rPr>
          <w:lang w:val="es-ES_tradnl"/>
        </w:rPr>
        <w:t>Fotografías</w:t>
      </w:r>
      <w:bookmarkEnd w:id="38"/>
    </w:p>
    <w:p w:rsidR="00230328" w:rsidRPr="00FD5703" w:rsidRDefault="00230328" w:rsidP="009C5CAD">
      <w:pPr>
        <w:rPr>
          <w:lang w:val="es-ES_tradnl"/>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D61804" w:rsidRPr="00FD5703" w:rsidTr="00230328">
        <w:tc>
          <w:tcPr>
            <w:tcW w:w="8646" w:type="dxa"/>
          </w:tcPr>
          <w:p w:rsidR="009116AF" w:rsidRPr="00FD5703" w:rsidRDefault="005479CA" w:rsidP="009C5CAD">
            <w:pPr>
              <w:rPr>
                <w:sz w:val="18"/>
                <w:szCs w:val="18"/>
                <w:lang w:val="es-ES_tradnl"/>
              </w:rPr>
            </w:pPr>
            <w:r w:rsidRPr="00FD5703">
              <w:rPr>
                <w:color w:val="000000"/>
                <w:sz w:val="18"/>
                <w:szCs w:val="18"/>
                <w:lang w:val="es-ES_tradnl"/>
              </w:rPr>
              <w:t>[Extracto de la carta del ISF]</w:t>
            </w:r>
          </w:p>
          <w:p w:rsidR="00230328" w:rsidRDefault="009C5CAD" w:rsidP="009C5CAD">
            <w:pPr>
              <w:rPr>
                <w:color w:val="000000"/>
                <w:sz w:val="18"/>
                <w:szCs w:val="18"/>
                <w:lang w:val="es-ES_tradnl"/>
              </w:rPr>
            </w:pPr>
            <w:r w:rsidRPr="00FD5703">
              <w:rPr>
                <w:color w:val="000000"/>
                <w:sz w:val="18"/>
                <w:szCs w:val="18"/>
                <w:lang w:val="es-ES_tradnl"/>
              </w:rPr>
              <w:t>“</w:t>
            </w:r>
            <w:r w:rsidR="00657038" w:rsidRPr="00FD5703">
              <w:rPr>
                <w:color w:val="000000"/>
                <w:sz w:val="18"/>
                <w:szCs w:val="18"/>
                <w:u w:val="single"/>
                <w:lang w:val="es-ES_tradnl"/>
              </w:rPr>
              <w:t>Fotografía</w:t>
            </w:r>
            <w:r w:rsidR="00657038" w:rsidRPr="00FD5703">
              <w:rPr>
                <w:color w:val="000000"/>
                <w:sz w:val="18"/>
                <w:szCs w:val="18"/>
                <w:lang w:val="es-ES_tradnl"/>
              </w:rPr>
              <w:t xml:space="preserve">: </w:t>
            </w:r>
            <w:r w:rsidR="006A727D" w:rsidRPr="00FD5703">
              <w:rPr>
                <w:color w:val="000000"/>
                <w:sz w:val="18"/>
                <w:szCs w:val="18"/>
                <w:lang w:val="es-ES_tradnl"/>
              </w:rPr>
              <w:t>e</w:t>
            </w:r>
            <w:r w:rsidR="00657038" w:rsidRPr="00FD5703">
              <w:rPr>
                <w:color w:val="000000"/>
                <w:sz w:val="18"/>
                <w:szCs w:val="18"/>
                <w:lang w:val="es-ES_tradnl"/>
              </w:rPr>
              <w:t xml:space="preserve">n algunos países, </w:t>
            </w:r>
            <w:r w:rsidR="007E2AD2" w:rsidRPr="00FD5703">
              <w:rPr>
                <w:color w:val="000000"/>
                <w:sz w:val="18"/>
                <w:szCs w:val="18"/>
                <w:lang w:val="es-ES_tradnl"/>
              </w:rPr>
              <w:t xml:space="preserve">la oficina de examen </w:t>
            </w:r>
            <w:r w:rsidR="009824F4" w:rsidRPr="00FD5703">
              <w:rPr>
                <w:color w:val="000000"/>
                <w:sz w:val="18"/>
                <w:szCs w:val="18"/>
                <w:lang w:val="es-ES_tradnl"/>
              </w:rPr>
              <w:t>exige</w:t>
            </w:r>
            <w:r w:rsidR="007E2AD2" w:rsidRPr="00FD5703">
              <w:rPr>
                <w:color w:val="000000"/>
                <w:sz w:val="18"/>
                <w:szCs w:val="18"/>
                <w:lang w:val="es-ES_tradnl"/>
              </w:rPr>
              <w:t xml:space="preserve"> </w:t>
            </w:r>
            <w:r w:rsidR="00657038" w:rsidRPr="00FD5703">
              <w:rPr>
                <w:color w:val="000000"/>
                <w:sz w:val="18"/>
                <w:szCs w:val="18"/>
                <w:lang w:val="es-ES_tradnl"/>
              </w:rPr>
              <w:t>la presentac</w:t>
            </w:r>
            <w:r w:rsidR="007E2AD2" w:rsidRPr="00FD5703">
              <w:rPr>
                <w:color w:val="000000"/>
                <w:sz w:val="18"/>
                <w:szCs w:val="18"/>
                <w:lang w:val="es-ES_tradnl"/>
              </w:rPr>
              <w:t>ión de una fotografía detallada, en otros</w:t>
            </w:r>
            <w:r w:rsidR="00657038" w:rsidRPr="00FD5703">
              <w:rPr>
                <w:color w:val="000000"/>
                <w:sz w:val="18"/>
                <w:szCs w:val="18"/>
                <w:lang w:val="es-ES_tradnl"/>
              </w:rPr>
              <w:t>,</w:t>
            </w:r>
            <w:r w:rsidR="007E2AD2" w:rsidRPr="00FD5703">
              <w:rPr>
                <w:color w:val="000000"/>
                <w:sz w:val="18"/>
                <w:szCs w:val="18"/>
                <w:lang w:val="es-ES_tradnl"/>
              </w:rPr>
              <w:t xml:space="preserve"> requiere </w:t>
            </w:r>
            <w:r w:rsidR="009824F4" w:rsidRPr="00FD5703">
              <w:rPr>
                <w:color w:val="000000"/>
                <w:sz w:val="18"/>
                <w:szCs w:val="18"/>
                <w:lang w:val="es-ES_tradnl"/>
              </w:rPr>
              <w:t xml:space="preserve">fotografías de </w:t>
            </w:r>
            <w:r w:rsidR="00657038" w:rsidRPr="00FD5703">
              <w:rPr>
                <w:color w:val="000000"/>
                <w:sz w:val="18"/>
                <w:szCs w:val="18"/>
                <w:lang w:val="es-ES_tradnl"/>
              </w:rPr>
              <w:t>las variedades que se han</w:t>
            </w:r>
            <w:r w:rsidR="00557611" w:rsidRPr="00FD5703">
              <w:rPr>
                <w:color w:val="000000"/>
                <w:sz w:val="18"/>
                <w:szCs w:val="18"/>
                <w:lang w:val="es-ES_tradnl"/>
              </w:rPr>
              <w:t xml:space="preserve"> de</w:t>
            </w:r>
            <w:r w:rsidR="009824F4" w:rsidRPr="00FD5703">
              <w:rPr>
                <w:color w:val="000000"/>
                <w:sz w:val="18"/>
                <w:szCs w:val="18"/>
                <w:lang w:val="es-ES_tradnl"/>
              </w:rPr>
              <w:t xml:space="preserve"> comparar</w:t>
            </w:r>
            <w:r w:rsidR="00657038" w:rsidRPr="00FD5703">
              <w:rPr>
                <w:color w:val="000000"/>
                <w:sz w:val="18"/>
                <w:szCs w:val="18"/>
                <w:lang w:val="es-ES_tradnl"/>
              </w:rPr>
              <w:t xml:space="preserve">, y, en otros </w:t>
            </w:r>
            <w:r w:rsidR="005F6C4E" w:rsidRPr="00FD5703">
              <w:rPr>
                <w:color w:val="000000"/>
                <w:sz w:val="18"/>
                <w:szCs w:val="18"/>
                <w:lang w:val="es-ES_tradnl"/>
              </w:rPr>
              <w:t>países</w:t>
            </w:r>
            <w:r w:rsidR="00657038" w:rsidRPr="00FD5703">
              <w:rPr>
                <w:color w:val="000000"/>
                <w:sz w:val="18"/>
                <w:szCs w:val="18"/>
                <w:lang w:val="es-ES_tradnl"/>
              </w:rPr>
              <w:t>,</w:t>
            </w:r>
            <w:r w:rsidR="005F6C4E" w:rsidRPr="00FD5703">
              <w:rPr>
                <w:color w:val="000000"/>
                <w:sz w:val="18"/>
                <w:szCs w:val="18"/>
                <w:lang w:val="es-ES_tradnl"/>
              </w:rPr>
              <w:t xml:space="preserve"> la oficina </w:t>
            </w:r>
            <w:r w:rsidR="005C2155" w:rsidRPr="00FD5703">
              <w:rPr>
                <w:color w:val="000000"/>
                <w:sz w:val="18"/>
                <w:szCs w:val="18"/>
                <w:lang w:val="es-ES_tradnl"/>
              </w:rPr>
              <w:t>requiere</w:t>
            </w:r>
            <w:r w:rsidR="00657038" w:rsidRPr="00FD5703">
              <w:rPr>
                <w:color w:val="000000"/>
                <w:sz w:val="18"/>
                <w:szCs w:val="18"/>
                <w:lang w:val="es-ES_tradnl"/>
              </w:rPr>
              <w:t xml:space="preserve"> l</w:t>
            </w:r>
            <w:r w:rsidR="005C2155" w:rsidRPr="00FD5703">
              <w:rPr>
                <w:color w:val="000000"/>
                <w:sz w:val="18"/>
                <w:szCs w:val="18"/>
                <w:lang w:val="es-ES_tradnl"/>
              </w:rPr>
              <w:t>a presentación de fotografías</w:t>
            </w:r>
            <w:r w:rsidR="005F6C4E" w:rsidRPr="00FD5703">
              <w:rPr>
                <w:color w:val="000000"/>
                <w:sz w:val="18"/>
                <w:szCs w:val="18"/>
                <w:lang w:val="es-ES_tradnl"/>
              </w:rPr>
              <w:t xml:space="preserve"> y se hacen </w:t>
            </w:r>
            <w:r w:rsidR="009824F4" w:rsidRPr="00FD5703">
              <w:rPr>
                <w:color w:val="000000"/>
                <w:sz w:val="18"/>
                <w:szCs w:val="18"/>
                <w:lang w:val="es-ES_tradnl"/>
              </w:rPr>
              <w:t>en</w:t>
            </w:r>
            <w:r w:rsidR="00657038" w:rsidRPr="00FD5703">
              <w:rPr>
                <w:color w:val="000000"/>
                <w:sz w:val="18"/>
                <w:szCs w:val="18"/>
                <w:lang w:val="es-ES_tradnl"/>
              </w:rPr>
              <w:t xml:space="preserve"> el </w:t>
            </w:r>
            <w:r w:rsidR="00C84914" w:rsidRPr="00FD5703">
              <w:rPr>
                <w:color w:val="000000"/>
                <w:sz w:val="18"/>
                <w:szCs w:val="18"/>
                <w:lang w:val="es-ES_tradnl"/>
              </w:rPr>
              <w:t xml:space="preserve">propio </w:t>
            </w:r>
            <w:r w:rsidR="00657038" w:rsidRPr="00FD5703">
              <w:rPr>
                <w:color w:val="000000"/>
                <w:sz w:val="18"/>
                <w:szCs w:val="18"/>
                <w:lang w:val="es-ES_tradnl"/>
              </w:rPr>
              <w:t>país</w:t>
            </w:r>
            <w:r w:rsidR="00657038" w:rsidRPr="00FD5703">
              <w:rPr>
                <w:sz w:val="18"/>
                <w:szCs w:val="18"/>
                <w:lang w:val="es-ES_tradnl"/>
              </w:rPr>
              <w:t>.</w:t>
            </w:r>
            <w:r w:rsidR="00230328" w:rsidRPr="00FD5703">
              <w:rPr>
                <w:sz w:val="18"/>
                <w:szCs w:val="18"/>
                <w:lang w:val="es-ES_tradnl"/>
              </w:rPr>
              <w:t xml:space="preserve">  </w:t>
            </w:r>
            <w:r w:rsidR="00187EE1" w:rsidRPr="00FD5703">
              <w:rPr>
                <w:sz w:val="18"/>
                <w:szCs w:val="18"/>
                <w:lang w:val="es-ES_tradnl"/>
              </w:rPr>
              <w:t xml:space="preserve">Todo </w:t>
            </w:r>
            <w:r w:rsidR="00187EE1" w:rsidRPr="00FD5703">
              <w:rPr>
                <w:color w:val="000000"/>
                <w:sz w:val="18"/>
                <w:szCs w:val="18"/>
                <w:lang w:val="es-ES_tradnl"/>
              </w:rPr>
              <w:t>esto</w:t>
            </w:r>
            <w:r w:rsidR="007E2AD2" w:rsidRPr="00FD5703">
              <w:rPr>
                <w:color w:val="000000"/>
                <w:sz w:val="18"/>
                <w:szCs w:val="18"/>
                <w:lang w:val="es-ES_tradnl"/>
              </w:rPr>
              <w:t xml:space="preserve"> puede suponer un problema cuando la presentación de la solicitud de derechos de </w:t>
            </w:r>
            <w:r w:rsidR="00C400D0" w:rsidRPr="00FD5703">
              <w:rPr>
                <w:color w:val="000000"/>
                <w:sz w:val="18"/>
                <w:szCs w:val="18"/>
                <w:lang w:val="es-ES_tradnl"/>
              </w:rPr>
              <w:t>obtentor no coincide con el perí</w:t>
            </w:r>
            <w:r w:rsidR="007E2AD2" w:rsidRPr="00FD5703">
              <w:rPr>
                <w:color w:val="000000"/>
                <w:sz w:val="18"/>
                <w:szCs w:val="18"/>
                <w:lang w:val="es-ES_tradnl"/>
              </w:rPr>
              <w:t xml:space="preserve">odo de cultivo de la variedad, ya que se </w:t>
            </w:r>
            <w:r w:rsidR="005A5785" w:rsidRPr="00FD5703">
              <w:rPr>
                <w:color w:val="000000"/>
                <w:sz w:val="18"/>
                <w:szCs w:val="18"/>
                <w:lang w:val="es-ES_tradnl"/>
              </w:rPr>
              <w:t>excluye</w:t>
            </w:r>
            <w:r w:rsidR="007E2AD2" w:rsidRPr="00FD5703">
              <w:rPr>
                <w:color w:val="000000"/>
                <w:sz w:val="18"/>
                <w:szCs w:val="18"/>
                <w:lang w:val="es-ES_tradnl"/>
              </w:rPr>
              <w:t xml:space="preserve"> la posibilidad de obtener una fotografía. </w:t>
            </w:r>
            <w:r w:rsidR="00230328" w:rsidRPr="00FD5703">
              <w:rPr>
                <w:sz w:val="18"/>
                <w:szCs w:val="18"/>
                <w:lang w:val="es-ES_tradnl"/>
              </w:rPr>
              <w:t xml:space="preserve">  </w:t>
            </w:r>
            <w:r w:rsidR="007E2AD2" w:rsidRPr="00FD5703">
              <w:rPr>
                <w:color w:val="000000"/>
                <w:sz w:val="18"/>
                <w:szCs w:val="18"/>
                <w:lang w:val="es-ES_tradnl"/>
              </w:rPr>
              <w:t xml:space="preserve">Así pues, la presentación de fotografías puede demorar la solicitud. </w:t>
            </w:r>
            <w:r w:rsidR="00230328" w:rsidRPr="00FD5703">
              <w:rPr>
                <w:sz w:val="18"/>
                <w:szCs w:val="18"/>
                <w:lang w:val="es-ES_tradnl"/>
              </w:rPr>
              <w:t xml:space="preserve">  </w:t>
            </w:r>
            <w:r w:rsidR="003370C3" w:rsidRPr="00FD5703">
              <w:rPr>
                <w:color w:val="000000"/>
                <w:sz w:val="18"/>
                <w:szCs w:val="18"/>
                <w:lang w:val="es-ES_tradnl"/>
              </w:rPr>
              <w:t>Asimismo, cabe señalar que</w:t>
            </w:r>
            <w:r w:rsidR="005A5785" w:rsidRPr="00FD5703">
              <w:rPr>
                <w:color w:val="000000"/>
                <w:sz w:val="18"/>
                <w:szCs w:val="18"/>
                <w:lang w:val="es-ES_tradnl"/>
              </w:rPr>
              <w:t xml:space="preserve"> diferentes</w:t>
            </w:r>
            <w:r w:rsidR="003370C3" w:rsidRPr="00FD5703">
              <w:rPr>
                <w:color w:val="000000"/>
                <w:sz w:val="18"/>
                <w:szCs w:val="18"/>
                <w:lang w:val="es-ES_tradnl"/>
              </w:rPr>
              <w:t xml:space="preserve"> entornos pueden </w:t>
            </w:r>
            <w:r w:rsidR="005A5785" w:rsidRPr="00FD5703">
              <w:rPr>
                <w:color w:val="000000"/>
                <w:sz w:val="18"/>
                <w:szCs w:val="18"/>
                <w:lang w:val="es-ES_tradnl"/>
              </w:rPr>
              <w:t xml:space="preserve">provocar </w:t>
            </w:r>
            <w:r w:rsidR="003370C3" w:rsidRPr="00FD5703">
              <w:rPr>
                <w:color w:val="000000"/>
                <w:sz w:val="18"/>
                <w:szCs w:val="18"/>
                <w:lang w:val="es-ES_tradnl"/>
              </w:rPr>
              <w:t>diferentes morfologías,</w:t>
            </w:r>
            <w:r w:rsidR="005A5785" w:rsidRPr="00FD5703">
              <w:rPr>
                <w:color w:val="000000"/>
                <w:sz w:val="18"/>
                <w:szCs w:val="18"/>
                <w:lang w:val="es-ES_tradnl"/>
              </w:rPr>
              <w:t xml:space="preserve"> por lo que las </w:t>
            </w:r>
            <w:r w:rsidR="003370C3" w:rsidRPr="00FD5703">
              <w:rPr>
                <w:color w:val="000000"/>
                <w:sz w:val="18"/>
                <w:szCs w:val="18"/>
                <w:lang w:val="es-ES_tradnl"/>
              </w:rPr>
              <w:t xml:space="preserve">fotografías resultantes pueden </w:t>
            </w:r>
            <w:r w:rsidR="009824F4" w:rsidRPr="00FD5703">
              <w:rPr>
                <w:color w:val="000000"/>
                <w:sz w:val="18"/>
                <w:szCs w:val="18"/>
                <w:lang w:val="es-ES_tradnl"/>
              </w:rPr>
              <w:t xml:space="preserve">resultar </w:t>
            </w:r>
            <w:r w:rsidR="003370C3" w:rsidRPr="00FD5703">
              <w:rPr>
                <w:color w:val="000000"/>
                <w:sz w:val="18"/>
                <w:szCs w:val="18"/>
                <w:lang w:val="es-ES_tradnl"/>
              </w:rPr>
              <w:t xml:space="preserve"> engañosas. </w:t>
            </w:r>
            <w:r w:rsidR="00230328" w:rsidRPr="00FD5703">
              <w:rPr>
                <w:sz w:val="18"/>
                <w:szCs w:val="18"/>
                <w:lang w:val="es-ES_tradnl"/>
              </w:rPr>
              <w:t xml:space="preserve">  </w:t>
            </w:r>
            <w:r w:rsidR="003370C3" w:rsidRPr="00FD5703">
              <w:rPr>
                <w:color w:val="000000"/>
                <w:sz w:val="18"/>
                <w:szCs w:val="18"/>
                <w:lang w:val="es-ES_tradnl"/>
              </w:rPr>
              <w:t>En general, las fotografías no deberían ser necesarias para las especies agrícolas, forrajeras o de polinización cruzada</w:t>
            </w:r>
            <w:r w:rsidR="009824F4" w:rsidRPr="00FD5703">
              <w:rPr>
                <w:color w:val="000000"/>
                <w:sz w:val="18"/>
                <w:szCs w:val="18"/>
                <w:lang w:val="es-ES_tradnl"/>
              </w:rPr>
              <w:t>, y, p</w:t>
            </w:r>
            <w:r w:rsidR="00147818" w:rsidRPr="00FD5703">
              <w:rPr>
                <w:color w:val="000000"/>
                <w:sz w:val="18"/>
                <w:szCs w:val="18"/>
                <w:lang w:val="es-ES_tradnl"/>
              </w:rPr>
              <w:t>ara otro tipo de cultivos, sólo deberían ser necesarias cuando se consideran pertinentes, es decir</w:t>
            </w:r>
            <w:r w:rsidR="00557611" w:rsidRPr="00FD5703">
              <w:rPr>
                <w:color w:val="000000"/>
                <w:sz w:val="18"/>
                <w:szCs w:val="18"/>
                <w:lang w:val="es-ES_tradnl"/>
              </w:rPr>
              <w:t>,</w:t>
            </w:r>
            <w:r w:rsidR="00147818" w:rsidRPr="00FD5703">
              <w:rPr>
                <w:color w:val="000000"/>
                <w:sz w:val="18"/>
                <w:szCs w:val="18"/>
                <w:lang w:val="es-ES_tradnl"/>
              </w:rPr>
              <w:t xml:space="preserve"> cuando añaden detalles útiles a la información ya proporciona</w:t>
            </w:r>
            <w:r w:rsidR="005A5785" w:rsidRPr="00FD5703">
              <w:rPr>
                <w:color w:val="000000"/>
                <w:sz w:val="18"/>
                <w:szCs w:val="18"/>
                <w:lang w:val="es-ES_tradnl"/>
              </w:rPr>
              <w:t>da en el cuestionario t</w:t>
            </w:r>
            <w:r w:rsidR="009824F4" w:rsidRPr="00FD5703">
              <w:rPr>
                <w:color w:val="000000"/>
                <w:sz w:val="18"/>
                <w:szCs w:val="18"/>
                <w:lang w:val="es-ES_tradnl"/>
              </w:rPr>
              <w:t xml:space="preserve">écnico. </w:t>
            </w:r>
            <w:r w:rsidR="00230328" w:rsidRPr="00FD5703">
              <w:rPr>
                <w:sz w:val="18"/>
                <w:szCs w:val="18"/>
                <w:lang w:val="es-ES_tradnl"/>
              </w:rPr>
              <w:t xml:space="preserve"> </w:t>
            </w:r>
            <w:r w:rsidR="00147818" w:rsidRPr="00FD5703">
              <w:rPr>
                <w:color w:val="000000"/>
                <w:sz w:val="18"/>
                <w:szCs w:val="18"/>
                <w:lang w:val="es-ES_tradnl"/>
              </w:rPr>
              <w:t xml:space="preserve">Además, no debería ser necesario proporcionar una fotografía de la variedad </w:t>
            </w:r>
            <w:r w:rsidR="005F6C4E" w:rsidRPr="00FD5703">
              <w:rPr>
                <w:color w:val="000000"/>
                <w:sz w:val="18"/>
                <w:szCs w:val="18"/>
                <w:lang w:val="es-ES_tradnl"/>
              </w:rPr>
              <w:t>que se compara</w:t>
            </w:r>
            <w:r w:rsidR="00147818" w:rsidRPr="00FD5703">
              <w:rPr>
                <w:color w:val="000000"/>
                <w:sz w:val="18"/>
                <w:szCs w:val="18"/>
                <w:lang w:val="es-ES_tradnl"/>
              </w:rPr>
              <w:t>.</w:t>
            </w:r>
            <w:r w:rsidRPr="00FD5703">
              <w:rPr>
                <w:color w:val="000000"/>
                <w:sz w:val="18"/>
                <w:szCs w:val="18"/>
                <w:lang w:val="es-ES_tradnl"/>
              </w:rPr>
              <w:t>”</w:t>
            </w:r>
          </w:p>
          <w:p w:rsidR="00ED5CF2" w:rsidRPr="00FD5703" w:rsidRDefault="00ED5CF2" w:rsidP="009C5CAD">
            <w:pPr>
              <w:rPr>
                <w:sz w:val="18"/>
                <w:szCs w:val="18"/>
                <w:lang w:val="es-ES_tradnl"/>
              </w:rPr>
            </w:pPr>
          </w:p>
        </w:tc>
      </w:tr>
      <w:tr w:rsidR="00D61804" w:rsidRPr="000E4035" w:rsidTr="00230328">
        <w:tc>
          <w:tcPr>
            <w:tcW w:w="8646" w:type="dxa"/>
          </w:tcPr>
          <w:p w:rsidR="009116AF" w:rsidRPr="00FD5703" w:rsidRDefault="00A14AAA" w:rsidP="009C5CAD">
            <w:pPr>
              <w:keepNext/>
              <w:rPr>
                <w:i/>
                <w:lang w:val="es-ES_tradnl"/>
              </w:rPr>
            </w:pPr>
            <w:r w:rsidRPr="00FD5703">
              <w:rPr>
                <w:i/>
                <w:color w:val="000000"/>
                <w:lang w:val="es-ES_tradnl"/>
              </w:rPr>
              <w:t xml:space="preserve">Materiales pertinentes de la UPOV: </w:t>
            </w:r>
          </w:p>
          <w:p w:rsidR="009116AF" w:rsidRPr="00FD5703" w:rsidRDefault="0074305E" w:rsidP="009C5CAD">
            <w:pPr>
              <w:pStyle w:val="ListParagraph"/>
              <w:keepNext/>
              <w:numPr>
                <w:ilvl w:val="0"/>
                <w:numId w:val="5"/>
              </w:numPr>
              <w:tabs>
                <w:tab w:val="left" w:pos="290"/>
                <w:tab w:val="left" w:pos="574"/>
              </w:tabs>
              <w:ind w:left="574" w:hanging="284"/>
              <w:rPr>
                <w:i/>
                <w:snapToGrid w:val="0"/>
                <w:lang w:val="es-ES_tradnl"/>
              </w:rPr>
            </w:pPr>
            <w:r w:rsidRPr="00FD5703">
              <w:rPr>
                <w:i/>
                <w:snapToGrid w:val="0"/>
                <w:lang w:val="es-ES_tradnl"/>
              </w:rPr>
              <w:t>Sección</w:t>
            </w:r>
            <w:r w:rsidR="00A14AAA" w:rsidRPr="00FD5703">
              <w:rPr>
                <w:i/>
                <w:snapToGrid w:val="0"/>
                <w:lang w:val="es-ES_tradnl"/>
              </w:rPr>
              <w:t xml:space="preserve"> 2.5 </w:t>
            </w:r>
            <w:r w:rsidR="009C5CAD" w:rsidRPr="00FD5703">
              <w:rPr>
                <w:i/>
                <w:snapToGrid w:val="0"/>
                <w:lang w:val="es-ES_tradnl"/>
              </w:rPr>
              <w:t>“</w:t>
            </w:r>
            <w:r w:rsidR="00A14AAA" w:rsidRPr="00FD5703">
              <w:rPr>
                <w:i/>
                <w:snapToGrid w:val="0"/>
                <w:lang w:val="es-ES_tradnl"/>
              </w:rPr>
              <w:t>Fotografías</w:t>
            </w:r>
            <w:r w:rsidR="009C5CAD" w:rsidRPr="00FD5703">
              <w:rPr>
                <w:i/>
                <w:snapToGrid w:val="0"/>
                <w:lang w:val="es-ES_tradnl"/>
              </w:rPr>
              <w:t>”</w:t>
            </w:r>
            <w:r w:rsidR="00A14AAA" w:rsidRPr="00FD5703">
              <w:rPr>
                <w:i/>
                <w:snapToGrid w:val="0"/>
                <w:lang w:val="es-ES_tradnl"/>
              </w:rPr>
              <w:t xml:space="preserve"> del documento </w:t>
            </w:r>
            <w:r w:rsidR="00D61804" w:rsidRPr="00FD5703">
              <w:rPr>
                <w:i/>
                <w:snapToGrid w:val="0"/>
                <w:lang w:val="es-ES_tradnl"/>
              </w:rPr>
              <w:t xml:space="preserve">TGP/9 </w:t>
            </w:r>
            <w:r w:rsidR="009C5CAD" w:rsidRPr="00FD5703">
              <w:rPr>
                <w:i/>
                <w:snapToGrid w:val="0"/>
                <w:lang w:val="es-ES_tradnl"/>
              </w:rPr>
              <w:t>“</w:t>
            </w:r>
            <w:r w:rsidR="00D61804" w:rsidRPr="00FD5703">
              <w:rPr>
                <w:i/>
                <w:snapToGrid w:val="0"/>
                <w:lang w:val="es-ES_tradnl"/>
              </w:rPr>
              <w:t>Exam</w:t>
            </w:r>
            <w:r w:rsidR="00367B53" w:rsidRPr="00FD5703">
              <w:rPr>
                <w:i/>
                <w:snapToGrid w:val="0"/>
                <w:lang w:val="es-ES_tradnl"/>
              </w:rPr>
              <w:t>en de la distinción</w:t>
            </w:r>
            <w:r w:rsidR="009C5CAD" w:rsidRPr="00FD5703">
              <w:rPr>
                <w:i/>
                <w:snapToGrid w:val="0"/>
                <w:lang w:val="es-ES_tradnl"/>
              </w:rPr>
              <w:t>”</w:t>
            </w:r>
          </w:p>
          <w:p w:rsidR="009116AF" w:rsidRPr="00FD5703" w:rsidRDefault="00A14AAA" w:rsidP="009C5CAD">
            <w:pPr>
              <w:pStyle w:val="ListParagraph"/>
              <w:keepNext/>
              <w:numPr>
                <w:ilvl w:val="0"/>
                <w:numId w:val="5"/>
              </w:numPr>
              <w:tabs>
                <w:tab w:val="left" w:pos="290"/>
                <w:tab w:val="left" w:pos="574"/>
              </w:tabs>
              <w:ind w:left="574" w:hanging="284"/>
              <w:rPr>
                <w:i/>
                <w:snapToGrid w:val="0"/>
                <w:lang w:val="es-ES_tradnl"/>
              </w:rPr>
            </w:pPr>
            <w:r w:rsidRPr="00FD5703">
              <w:rPr>
                <w:i/>
                <w:snapToGrid w:val="0"/>
                <w:lang w:val="es-ES_tradnl"/>
              </w:rPr>
              <w:t xml:space="preserve">Documento </w:t>
            </w:r>
            <w:r w:rsidR="00D61804" w:rsidRPr="00FD5703">
              <w:rPr>
                <w:i/>
                <w:snapToGrid w:val="0"/>
                <w:lang w:val="es-ES_tradnl"/>
              </w:rPr>
              <w:t xml:space="preserve">TGP/7 </w:t>
            </w:r>
            <w:r w:rsidR="009C5CAD" w:rsidRPr="00FD5703">
              <w:rPr>
                <w:i/>
                <w:snapToGrid w:val="0"/>
                <w:lang w:val="es-ES_tradnl"/>
              </w:rPr>
              <w:t>“</w:t>
            </w:r>
            <w:r w:rsidRPr="00FD5703">
              <w:rPr>
                <w:i/>
                <w:snapToGrid w:val="0"/>
                <w:lang w:val="es-ES_tradnl"/>
              </w:rPr>
              <w:t>Elaboración de las directrices de examen</w:t>
            </w:r>
            <w:r w:rsidR="009C5CAD" w:rsidRPr="00FD5703">
              <w:rPr>
                <w:i/>
                <w:snapToGrid w:val="0"/>
                <w:lang w:val="es-ES_tradnl"/>
              </w:rPr>
              <w:t>”</w:t>
            </w:r>
            <w:r w:rsidR="00D61804" w:rsidRPr="00FD5703">
              <w:rPr>
                <w:i/>
                <w:snapToGrid w:val="0"/>
                <w:lang w:val="es-ES_tradnl"/>
              </w:rPr>
              <w:t xml:space="preserve"> </w:t>
            </w:r>
          </w:p>
          <w:p w:rsidR="009116AF" w:rsidRPr="00FD5703" w:rsidRDefault="009116AF" w:rsidP="009C5CAD">
            <w:pPr>
              <w:keepNext/>
              <w:rPr>
                <w:i/>
                <w:snapToGrid w:val="0"/>
                <w:lang w:val="es-ES_tradnl"/>
              </w:rPr>
            </w:pPr>
          </w:p>
          <w:p w:rsidR="00D61804" w:rsidRPr="00FD5703" w:rsidRDefault="00DB58C2" w:rsidP="009C5CAD">
            <w:pPr>
              <w:keepNext/>
              <w:rPr>
                <w:lang w:val="es-ES_tradnl"/>
              </w:rPr>
            </w:pPr>
            <w:r w:rsidRPr="00FD5703">
              <w:rPr>
                <w:i/>
                <w:snapToGrid w:val="0"/>
                <w:lang w:val="es-ES_tradnl"/>
              </w:rPr>
              <w:t xml:space="preserve">El TC aceptó el texto estándar adicional (ASW) y la nota de orientación (GN) para la </w:t>
            </w:r>
            <w:r w:rsidR="009C5CAD" w:rsidRPr="00FD5703">
              <w:rPr>
                <w:i/>
                <w:snapToGrid w:val="0"/>
                <w:lang w:val="es-ES_tradnl"/>
              </w:rPr>
              <w:t>“</w:t>
            </w:r>
            <w:r w:rsidRPr="00FD5703">
              <w:rPr>
                <w:i/>
                <w:snapToGrid w:val="0"/>
                <w:lang w:val="es-ES_tradnl"/>
              </w:rPr>
              <w:t>presentación de fotografías con el cuestionario técnico</w:t>
            </w:r>
            <w:r w:rsidR="009C5CAD" w:rsidRPr="00FD5703">
              <w:rPr>
                <w:i/>
                <w:snapToGrid w:val="0"/>
                <w:lang w:val="es-ES_tradnl"/>
              </w:rPr>
              <w:t>”</w:t>
            </w:r>
            <w:r w:rsidRPr="00FD5703">
              <w:rPr>
                <w:i/>
                <w:snapToGrid w:val="0"/>
                <w:lang w:val="es-ES_tradnl"/>
              </w:rPr>
              <w:t xml:space="preserve">, conforme al Anexo del documento TC/49/20, con miras a su inclusión en una futura revisión del documento TGP/7.  El TC acordó asimismo que la </w:t>
            </w:r>
            <w:r w:rsidR="009C5CAD" w:rsidRPr="00FD5703">
              <w:rPr>
                <w:i/>
                <w:snapToGrid w:val="0"/>
                <w:lang w:val="es-ES_tradnl"/>
              </w:rPr>
              <w:t>“</w:t>
            </w:r>
            <w:r w:rsidRPr="00FD5703">
              <w:rPr>
                <w:i/>
                <w:snapToGrid w:val="0"/>
                <w:lang w:val="es-ES_tradnl"/>
              </w:rPr>
              <w:t>Orientación sobre la presentación de fotografías con el Cuestionario Técnico</w:t>
            </w:r>
            <w:r w:rsidR="009C5CAD" w:rsidRPr="00FD5703">
              <w:rPr>
                <w:i/>
                <w:snapToGrid w:val="0"/>
                <w:lang w:val="es-ES_tradnl"/>
              </w:rPr>
              <w:t>”</w:t>
            </w:r>
            <w:r w:rsidRPr="00FD5703">
              <w:rPr>
                <w:i/>
                <w:snapToGrid w:val="0"/>
                <w:lang w:val="es-ES_tradnl"/>
              </w:rPr>
              <w:t xml:space="preserve"> deberá proporcionarse a los miembros de la Unión por medio de un enlace a la parte correspondiente del sitio web de la UPOV (véanse </w:t>
            </w:r>
            <w:r w:rsidRPr="00FD5703">
              <w:rPr>
                <w:i/>
                <w:snapToGrid w:val="0"/>
                <w:color w:val="000000"/>
                <w:lang w:val="es-ES_tradnl"/>
              </w:rPr>
              <w:t xml:space="preserve">los párrafos 45 a 47 del documento TC/49/41 </w:t>
            </w:r>
            <w:r w:rsidR="009C5CAD" w:rsidRPr="00FD5703">
              <w:rPr>
                <w:i/>
                <w:snapToGrid w:val="0"/>
                <w:color w:val="000000"/>
                <w:lang w:val="es-ES_tradnl"/>
              </w:rPr>
              <w:t>“</w:t>
            </w:r>
            <w:r w:rsidRPr="00FD5703">
              <w:rPr>
                <w:i/>
                <w:snapToGrid w:val="0"/>
                <w:color w:val="000000"/>
                <w:lang w:val="es-ES_tradnl"/>
              </w:rPr>
              <w:t>Informe sobre las conclusiones</w:t>
            </w:r>
            <w:r w:rsidR="009C5CAD" w:rsidRPr="00FD5703">
              <w:rPr>
                <w:i/>
                <w:snapToGrid w:val="0"/>
                <w:color w:val="000000"/>
                <w:lang w:val="es-ES_tradnl"/>
              </w:rPr>
              <w:t>”</w:t>
            </w:r>
            <w:r w:rsidRPr="00FD5703">
              <w:rPr>
                <w:i/>
                <w:snapToGrid w:val="0"/>
                <w:color w:val="000000"/>
                <w:lang w:val="es-ES_tradnl"/>
              </w:rPr>
              <w:t xml:space="preserve">). </w:t>
            </w:r>
          </w:p>
        </w:tc>
      </w:tr>
    </w:tbl>
    <w:p w:rsidR="009116AF" w:rsidRPr="00FD5703" w:rsidRDefault="009116AF" w:rsidP="009C5CAD">
      <w:pPr>
        <w:rPr>
          <w:lang w:val="es-ES_tradnl"/>
        </w:rPr>
      </w:pPr>
    </w:p>
    <w:p w:rsidR="009116AF" w:rsidRPr="00FD5703" w:rsidRDefault="006B5DA1" w:rsidP="009C5CAD">
      <w:pPr>
        <w:pStyle w:val="Heading3"/>
        <w:rPr>
          <w:lang w:val="es-ES_tradnl"/>
        </w:rPr>
      </w:pPr>
      <w:bookmarkStart w:id="39" w:name="_Toc381177131"/>
      <w:r w:rsidRPr="00FD5703">
        <w:rPr>
          <w:snapToGrid w:val="0"/>
          <w:lang w:val="es-ES_tradnl"/>
        </w:rPr>
        <w:t>b)</w:t>
      </w:r>
      <w:r w:rsidR="00815096" w:rsidRPr="00FD5703">
        <w:rPr>
          <w:snapToGrid w:val="0"/>
          <w:lang w:val="es-ES_tradnl"/>
        </w:rPr>
        <w:tab/>
      </w:r>
      <w:r w:rsidR="00677665" w:rsidRPr="00FD5703">
        <w:rPr>
          <w:snapToGrid w:val="0"/>
          <w:lang w:val="es-ES_tradnl"/>
        </w:rPr>
        <w:t>Tamaño mínimo de muestra</w:t>
      </w:r>
      <w:bookmarkEnd w:id="39"/>
      <w:r w:rsidR="00677665" w:rsidRPr="00FD5703">
        <w:rPr>
          <w:snapToGrid w:val="0"/>
          <w:lang w:val="es-ES_tradnl"/>
        </w:rPr>
        <w:t xml:space="preserve"> </w:t>
      </w:r>
    </w:p>
    <w:p w:rsidR="00A34B37" w:rsidRPr="00FD5703" w:rsidRDefault="00A34B37" w:rsidP="009C5CAD">
      <w:pPr>
        <w:rPr>
          <w:lang w:val="es-ES_tradnl"/>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D61804" w:rsidRPr="000E4035" w:rsidTr="00230328">
        <w:tc>
          <w:tcPr>
            <w:tcW w:w="8646" w:type="dxa"/>
          </w:tcPr>
          <w:p w:rsidR="009116AF" w:rsidRPr="00FD5703" w:rsidRDefault="00677665" w:rsidP="009C5CAD">
            <w:pPr>
              <w:rPr>
                <w:sz w:val="18"/>
                <w:szCs w:val="18"/>
                <w:lang w:val="es-ES_tradnl"/>
              </w:rPr>
            </w:pPr>
            <w:r w:rsidRPr="00FD5703">
              <w:rPr>
                <w:color w:val="000000"/>
                <w:sz w:val="18"/>
                <w:szCs w:val="18"/>
                <w:lang w:val="es-ES_tradnl"/>
              </w:rPr>
              <w:t>[Extracto de la carta del ISF]</w:t>
            </w:r>
          </w:p>
          <w:p w:rsidR="009116AF" w:rsidRPr="00FD5703" w:rsidRDefault="009C5CAD" w:rsidP="009C5CAD">
            <w:pPr>
              <w:rPr>
                <w:sz w:val="18"/>
                <w:szCs w:val="18"/>
                <w:lang w:val="es-ES_tradnl"/>
              </w:rPr>
            </w:pPr>
            <w:r w:rsidRPr="00FD5703">
              <w:rPr>
                <w:color w:val="000000"/>
                <w:sz w:val="18"/>
                <w:szCs w:val="18"/>
                <w:lang w:val="es-ES_tradnl"/>
              </w:rPr>
              <w:t>“</w:t>
            </w:r>
            <w:r w:rsidR="00677665" w:rsidRPr="00FD5703">
              <w:rPr>
                <w:color w:val="000000"/>
                <w:sz w:val="18"/>
                <w:szCs w:val="18"/>
                <w:u w:val="single"/>
                <w:lang w:val="es-ES_tradnl"/>
              </w:rPr>
              <w:t>Tamaño mínimo de muestra</w:t>
            </w:r>
            <w:r w:rsidR="00677665" w:rsidRPr="00FD5703">
              <w:rPr>
                <w:color w:val="000000"/>
                <w:sz w:val="18"/>
                <w:szCs w:val="18"/>
                <w:lang w:val="es-ES_tradnl"/>
              </w:rPr>
              <w:t xml:space="preserve">: en la mayoría de los países </w:t>
            </w:r>
            <w:r w:rsidR="00187EE1" w:rsidRPr="00FD5703">
              <w:rPr>
                <w:color w:val="000000"/>
                <w:sz w:val="18"/>
                <w:szCs w:val="18"/>
                <w:lang w:val="es-ES_tradnl"/>
              </w:rPr>
              <w:t>se exige</w:t>
            </w:r>
            <w:r w:rsidR="00677665" w:rsidRPr="00FD5703">
              <w:rPr>
                <w:color w:val="000000"/>
                <w:sz w:val="18"/>
                <w:szCs w:val="18"/>
                <w:lang w:val="es-ES_tradnl"/>
              </w:rPr>
              <w:t xml:space="preserve"> un tamaño mínimo de muestra de semillas o </w:t>
            </w:r>
            <w:r w:rsidR="0084142D" w:rsidRPr="00FD5703">
              <w:rPr>
                <w:color w:val="000000"/>
                <w:sz w:val="18"/>
                <w:szCs w:val="18"/>
                <w:lang w:val="es-ES_tradnl"/>
              </w:rPr>
              <w:t>un</w:t>
            </w:r>
            <w:r w:rsidR="00677665" w:rsidRPr="00FD5703">
              <w:rPr>
                <w:color w:val="000000"/>
                <w:sz w:val="18"/>
                <w:szCs w:val="18"/>
                <w:lang w:val="es-ES_tradnl"/>
              </w:rPr>
              <w:t xml:space="preserve"> número</w:t>
            </w:r>
            <w:r w:rsidR="0084142D" w:rsidRPr="00FD5703">
              <w:rPr>
                <w:color w:val="000000"/>
                <w:sz w:val="18"/>
                <w:szCs w:val="18"/>
                <w:lang w:val="es-ES_tradnl"/>
              </w:rPr>
              <w:t xml:space="preserve"> mínimo</w:t>
            </w:r>
            <w:r w:rsidR="00677665" w:rsidRPr="00FD5703">
              <w:rPr>
                <w:color w:val="000000"/>
                <w:sz w:val="18"/>
                <w:szCs w:val="18"/>
                <w:lang w:val="es-ES_tradnl"/>
              </w:rPr>
              <w:t xml:space="preserve"> de plantas. </w:t>
            </w:r>
            <w:r w:rsidR="00A34B37" w:rsidRPr="00FD5703">
              <w:rPr>
                <w:sz w:val="18"/>
                <w:szCs w:val="18"/>
                <w:lang w:val="es-ES_tradnl"/>
              </w:rPr>
              <w:t xml:space="preserve">  </w:t>
            </w:r>
            <w:r w:rsidR="00677665" w:rsidRPr="00FD5703">
              <w:rPr>
                <w:color w:val="000000"/>
                <w:sz w:val="18"/>
                <w:szCs w:val="18"/>
                <w:lang w:val="es-ES_tradnl"/>
              </w:rPr>
              <w:t xml:space="preserve">Sin embargo, en algunos países </w:t>
            </w:r>
            <w:r w:rsidR="005B0982" w:rsidRPr="00FD5703">
              <w:rPr>
                <w:color w:val="000000"/>
                <w:sz w:val="18"/>
                <w:szCs w:val="18"/>
                <w:lang w:val="es-ES_tradnl"/>
              </w:rPr>
              <w:t>se pide un número particularmente elevado de</w:t>
            </w:r>
            <w:r w:rsidR="00677665" w:rsidRPr="00FD5703">
              <w:rPr>
                <w:color w:val="000000"/>
                <w:sz w:val="18"/>
                <w:szCs w:val="18"/>
                <w:lang w:val="es-ES_tradnl"/>
              </w:rPr>
              <w:t xml:space="preserve"> muestras </w:t>
            </w:r>
            <w:r w:rsidR="005B0982" w:rsidRPr="00FD5703">
              <w:rPr>
                <w:color w:val="000000"/>
                <w:sz w:val="18"/>
                <w:szCs w:val="18"/>
                <w:lang w:val="es-ES_tradnl"/>
              </w:rPr>
              <w:t>y tantas exigencias pueden suponer un problema, sobre todo en el caso de las líneas parentales.</w:t>
            </w:r>
            <w:r w:rsidR="00A34B37" w:rsidRPr="00FD5703">
              <w:rPr>
                <w:sz w:val="18"/>
                <w:szCs w:val="18"/>
                <w:lang w:val="es-ES_tradnl"/>
              </w:rPr>
              <w:t xml:space="preserve">  </w:t>
            </w:r>
            <w:r w:rsidR="00F9638E" w:rsidRPr="00FD5703">
              <w:rPr>
                <w:color w:val="000000"/>
                <w:sz w:val="18"/>
                <w:szCs w:val="18"/>
                <w:lang w:val="es-ES_tradnl"/>
              </w:rPr>
              <w:t xml:space="preserve">La cantidad de semillas solicitada debe ser razonable y, de preferencia, lo más baja posible. </w:t>
            </w:r>
            <w:r w:rsidR="00A34B37" w:rsidRPr="00FD5703">
              <w:rPr>
                <w:sz w:val="18"/>
                <w:szCs w:val="18"/>
                <w:lang w:val="es-ES_tradnl"/>
              </w:rPr>
              <w:t xml:space="preserve">  </w:t>
            </w:r>
            <w:r w:rsidR="00F9638E" w:rsidRPr="00FD5703">
              <w:rPr>
                <w:color w:val="000000"/>
                <w:sz w:val="18"/>
                <w:szCs w:val="18"/>
                <w:lang w:val="es-ES_tradnl"/>
              </w:rPr>
              <w:t>Se alienta a las autoridades encargadas de los derechos de obtentor a solicitar únicamente la cantidad de semillas necesaria</w:t>
            </w:r>
            <w:r w:rsidR="0084142D" w:rsidRPr="00FD5703">
              <w:rPr>
                <w:color w:val="000000"/>
                <w:sz w:val="18"/>
                <w:szCs w:val="18"/>
                <w:lang w:val="es-ES_tradnl"/>
              </w:rPr>
              <w:t xml:space="preserve">. De hecho, estas </w:t>
            </w:r>
            <w:r w:rsidR="00F9638E" w:rsidRPr="00FD5703">
              <w:rPr>
                <w:color w:val="000000"/>
                <w:sz w:val="18"/>
                <w:szCs w:val="18"/>
                <w:lang w:val="es-ES_tradnl"/>
              </w:rPr>
              <w:t xml:space="preserve"> cantidades deberían ser armonizadas a nivel mundial. </w:t>
            </w:r>
            <w:r w:rsidR="00A34B37" w:rsidRPr="00FD5703">
              <w:rPr>
                <w:sz w:val="18"/>
                <w:szCs w:val="18"/>
                <w:lang w:val="es-ES_tradnl"/>
              </w:rPr>
              <w:t xml:space="preserve">  </w:t>
            </w:r>
            <w:r w:rsidR="0074305E" w:rsidRPr="00FD5703">
              <w:rPr>
                <w:color w:val="000000"/>
                <w:sz w:val="18"/>
                <w:szCs w:val="18"/>
                <w:lang w:val="es-ES_tradnl"/>
              </w:rPr>
              <w:t>En general, es mejor solicitar semillas por número que por peso.</w:t>
            </w:r>
            <w:r w:rsidRPr="00FD5703">
              <w:rPr>
                <w:color w:val="000000"/>
                <w:sz w:val="18"/>
                <w:szCs w:val="18"/>
                <w:lang w:val="es-ES_tradnl"/>
              </w:rPr>
              <w:t>”</w:t>
            </w:r>
          </w:p>
          <w:p w:rsidR="00A34B37" w:rsidRPr="00FD5703" w:rsidRDefault="00A34B37" w:rsidP="009C5CAD">
            <w:pPr>
              <w:rPr>
                <w:sz w:val="18"/>
                <w:szCs w:val="18"/>
                <w:lang w:val="es-ES_tradnl"/>
              </w:rPr>
            </w:pPr>
          </w:p>
        </w:tc>
      </w:tr>
      <w:tr w:rsidR="00D61804" w:rsidRPr="000E4035" w:rsidTr="00230328">
        <w:tc>
          <w:tcPr>
            <w:tcW w:w="8646" w:type="dxa"/>
          </w:tcPr>
          <w:p w:rsidR="009116AF" w:rsidRPr="00FD5703" w:rsidRDefault="00677665" w:rsidP="009C5CAD">
            <w:pPr>
              <w:rPr>
                <w:i/>
                <w:lang w:val="es-ES_tradnl"/>
              </w:rPr>
            </w:pPr>
            <w:r w:rsidRPr="00FD5703">
              <w:rPr>
                <w:i/>
                <w:color w:val="000000"/>
                <w:lang w:val="es-ES_tradnl"/>
              </w:rPr>
              <w:t>Materiales pertinentes de la UPOV</w:t>
            </w:r>
            <w:r w:rsidR="00D61804" w:rsidRPr="00FD5703">
              <w:rPr>
                <w:i/>
                <w:lang w:val="es-ES_tradnl"/>
              </w:rPr>
              <w:t>:</w:t>
            </w:r>
          </w:p>
          <w:p w:rsidR="00D61804" w:rsidRPr="00FD5703" w:rsidRDefault="0074305E" w:rsidP="009C5CAD">
            <w:pPr>
              <w:pStyle w:val="ListParagraph"/>
              <w:numPr>
                <w:ilvl w:val="0"/>
                <w:numId w:val="7"/>
              </w:numPr>
              <w:rPr>
                <w:i/>
                <w:lang w:val="es-ES_tradnl"/>
              </w:rPr>
            </w:pPr>
            <w:r w:rsidRPr="00FD5703">
              <w:rPr>
                <w:i/>
                <w:lang w:val="es-ES_tradnl"/>
              </w:rPr>
              <w:t>Sección</w:t>
            </w:r>
            <w:r w:rsidR="00677665" w:rsidRPr="00FD5703">
              <w:rPr>
                <w:i/>
                <w:lang w:val="es-ES_tradnl"/>
              </w:rPr>
              <w:t xml:space="preserve"> 4 del documento </w:t>
            </w:r>
            <w:r w:rsidR="005C3E02" w:rsidRPr="00FD5703">
              <w:rPr>
                <w:i/>
                <w:lang w:val="es-ES_tradnl"/>
              </w:rPr>
              <w:t>TGP/7</w:t>
            </w:r>
            <w:r w:rsidR="00677665" w:rsidRPr="00FD5703">
              <w:rPr>
                <w:i/>
                <w:lang w:val="es-ES_tradnl"/>
              </w:rPr>
              <w:t xml:space="preserve"> </w:t>
            </w:r>
            <w:r w:rsidR="009C5CAD" w:rsidRPr="00FD5703">
              <w:rPr>
                <w:i/>
                <w:lang w:val="es-ES_tradnl"/>
              </w:rPr>
              <w:t>“</w:t>
            </w:r>
            <w:r w:rsidR="00677665" w:rsidRPr="00FD5703">
              <w:rPr>
                <w:i/>
                <w:lang w:val="es-ES_tradnl"/>
              </w:rPr>
              <w:t>Elaboración de directrices de examen propias de cada autoridad</w:t>
            </w:r>
            <w:r w:rsidR="009C5CAD" w:rsidRPr="00FD5703">
              <w:rPr>
                <w:i/>
                <w:lang w:val="es-ES_tradnl"/>
              </w:rPr>
              <w:t>”</w:t>
            </w:r>
          </w:p>
        </w:tc>
      </w:tr>
    </w:tbl>
    <w:p w:rsidR="009116AF" w:rsidRPr="00FD5703" w:rsidRDefault="009116AF" w:rsidP="009C5CAD">
      <w:pPr>
        <w:rPr>
          <w:lang w:val="es-ES_tradnl"/>
        </w:rPr>
      </w:pPr>
    </w:p>
    <w:p w:rsidR="009116AF" w:rsidRPr="00FD5703" w:rsidRDefault="00A34B37" w:rsidP="009C5CAD">
      <w:pPr>
        <w:pStyle w:val="Heading3"/>
        <w:rPr>
          <w:lang w:val="es-ES_tradnl"/>
        </w:rPr>
      </w:pPr>
      <w:bookmarkStart w:id="40" w:name="_Toc381177132"/>
      <w:r w:rsidRPr="00FD5703">
        <w:rPr>
          <w:lang w:val="es-ES_tradnl"/>
        </w:rPr>
        <w:t>c)</w:t>
      </w:r>
      <w:r w:rsidRPr="00FD5703">
        <w:rPr>
          <w:lang w:val="es-ES_tradnl"/>
        </w:rPr>
        <w:tab/>
      </w:r>
      <w:r w:rsidR="00F05CBB" w:rsidRPr="00FD5703">
        <w:rPr>
          <w:snapToGrid w:val="0"/>
          <w:lang w:val="es-ES_tradnl"/>
        </w:rPr>
        <w:t>Colecciones de referencia</w:t>
      </w:r>
      <w:bookmarkEnd w:id="40"/>
      <w:r w:rsidR="00F05CBB" w:rsidRPr="00FD5703">
        <w:rPr>
          <w:snapToGrid w:val="0"/>
          <w:lang w:val="es-ES_tradnl"/>
        </w:rPr>
        <w:t xml:space="preserve"> </w:t>
      </w:r>
    </w:p>
    <w:p w:rsidR="00A34B37" w:rsidRPr="00FD5703" w:rsidRDefault="00A34B37" w:rsidP="009C5CAD">
      <w:pPr>
        <w:rPr>
          <w:lang w:val="es-ES_tradnl"/>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0E4035" w:rsidTr="00230328">
        <w:tc>
          <w:tcPr>
            <w:tcW w:w="8646" w:type="dxa"/>
          </w:tcPr>
          <w:p w:rsidR="009116AF" w:rsidRPr="00FD5703" w:rsidRDefault="00954E6A" w:rsidP="009C5CAD">
            <w:pPr>
              <w:rPr>
                <w:sz w:val="18"/>
                <w:szCs w:val="18"/>
                <w:lang w:val="es-ES_tradnl"/>
              </w:rPr>
            </w:pPr>
            <w:r w:rsidRPr="00FD5703">
              <w:rPr>
                <w:color w:val="000000"/>
                <w:sz w:val="18"/>
                <w:szCs w:val="18"/>
                <w:lang w:val="es-ES_tradnl"/>
              </w:rPr>
              <w:t>[Extracto de la carta del ISF]</w:t>
            </w:r>
          </w:p>
          <w:p w:rsidR="009116AF" w:rsidRPr="00FD5703" w:rsidRDefault="009C5CAD" w:rsidP="009C5CAD">
            <w:pPr>
              <w:rPr>
                <w:color w:val="000000"/>
                <w:sz w:val="18"/>
                <w:szCs w:val="18"/>
                <w:lang w:val="es-ES_tradnl"/>
              </w:rPr>
            </w:pPr>
            <w:r w:rsidRPr="00FD5703">
              <w:rPr>
                <w:color w:val="000000"/>
                <w:sz w:val="18"/>
                <w:szCs w:val="18"/>
                <w:lang w:val="es-ES_tradnl"/>
              </w:rPr>
              <w:t>“</w:t>
            </w:r>
            <w:r w:rsidR="00F05CBB" w:rsidRPr="00FD5703">
              <w:rPr>
                <w:color w:val="000000"/>
                <w:sz w:val="18"/>
                <w:szCs w:val="18"/>
                <w:u w:val="single"/>
                <w:lang w:val="es-ES_tradnl"/>
              </w:rPr>
              <w:t>Colecciones de referencia</w:t>
            </w:r>
            <w:r w:rsidR="00F05CBB" w:rsidRPr="00FD5703">
              <w:rPr>
                <w:color w:val="000000"/>
                <w:sz w:val="18"/>
                <w:szCs w:val="18"/>
                <w:lang w:val="es-ES_tradnl"/>
              </w:rPr>
              <w:t xml:space="preserve">: </w:t>
            </w:r>
            <w:r w:rsidR="005B0982" w:rsidRPr="00FD5703">
              <w:rPr>
                <w:color w:val="000000"/>
                <w:sz w:val="18"/>
                <w:szCs w:val="18"/>
                <w:lang w:val="es-ES_tradnl"/>
              </w:rPr>
              <w:t xml:space="preserve">como ya se sabe, </w:t>
            </w:r>
            <w:r w:rsidR="00F05CBB" w:rsidRPr="00FD5703">
              <w:rPr>
                <w:color w:val="000000"/>
                <w:sz w:val="18"/>
                <w:szCs w:val="18"/>
                <w:lang w:val="es-ES_tradnl"/>
              </w:rPr>
              <w:t xml:space="preserve">en algunos países la oficina de examen no utiliza las </w:t>
            </w:r>
            <w:r w:rsidR="005B0982" w:rsidRPr="00FD5703">
              <w:rPr>
                <w:color w:val="000000"/>
                <w:sz w:val="18"/>
                <w:szCs w:val="18"/>
                <w:lang w:val="es-ES_tradnl"/>
              </w:rPr>
              <w:t>variedades que permitan una comparación adecuada</w:t>
            </w:r>
            <w:r w:rsidR="0084142D" w:rsidRPr="00FD5703">
              <w:rPr>
                <w:color w:val="000000"/>
                <w:sz w:val="18"/>
                <w:szCs w:val="18"/>
                <w:lang w:val="es-ES_tradnl"/>
              </w:rPr>
              <w:t>, generalmente debi</w:t>
            </w:r>
            <w:r w:rsidR="00F05CBB" w:rsidRPr="00FD5703">
              <w:rPr>
                <w:color w:val="000000"/>
                <w:sz w:val="18"/>
                <w:szCs w:val="18"/>
                <w:lang w:val="es-ES_tradnl"/>
              </w:rPr>
              <w:t>do a una cole</w:t>
            </w:r>
            <w:r w:rsidR="0084142D" w:rsidRPr="00FD5703">
              <w:rPr>
                <w:color w:val="000000"/>
                <w:sz w:val="18"/>
                <w:szCs w:val="18"/>
                <w:lang w:val="es-ES_tradnl"/>
              </w:rPr>
              <w:t>cción de referencia incompleta.</w:t>
            </w:r>
          </w:p>
          <w:p w:rsidR="009116AF" w:rsidRPr="00FD5703" w:rsidRDefault="009116AF" w:rsidP="009C5CAD">
            <w:pPr>
              <w:rPr>
                <w:sz w:val="18"/>
                <w:szCs w:val="18"/>
                <w:lang w:val="es-ES_tradnl"/>
              </w:rPr>
            </w:pPr>
          </w:p>
          <w:p w:rsidR="009116AF" w:rsidRPr="00FD5703" w:rsidRDefault="00791DAE" w:rsidP="009C5CAD">
            <w:pPr>
              <w:rPr>
                <w:color w:val="000000"/>
                <w:sz w:val="18"/>
                <w:szCs w:val="18"/>
                <w:lang w:val="es-ES_tradnl"/>
              </w:rPr>
            </w:pPr>
            <w:r w:rsidRPr="00FD5703">
              <w:rPr>
                <w:color w:val="000000"/>
                <w:sz w:val="18"/>
                <w:szCs w:val="18"/>
                <w:lang w:val="es-ES_tradnl"/>
              </w:rPr>
              <w:t>Los miembros de la ISF opinan que una colección de referencia incompleta debilita la protección ya que</w:t>
            </w:r>
            <w:r w:rsidR="0084142D" w:rsidRPr="00FD5703">
              <w:rPr>
                <w:color w:val="000000"/>
                <w:sz w:val="18"/>
                <w:szCs w:val="18"/>
                <w:lang w:val="es-ES_tradnl"/>
              </w:rPr>
              <w:t xml:space="preserve"> se terminan protegiendo</w:t>
            </w:r>
            <w:r w:rsidRPr="00FD5703">
              <w:rPr>
                <w:color w:val="000000"/>
                <w:sz w:val="18"/>
                <w:szCs w:val="18"/>
                <w:lang w:val="es-ES_tradnl"/>
              </w:rPr>
              <w:t xml:space="preserve"> </w:t>
            </w:r>
            <w:r w:rsidR="0084142D" w:rsidRPr="00FD5703">
              <w:rPr>
                <w:color w:val="000000"/>
                <w:sz w:val="18"/>
                <w:szCs w:val="18"/>
                <w:lang w:val="es-ES_tradnl"/>
              </w:rPr>
              <w:t>variedades demasiado similares</w:t>
            </w:r>
            <w:r w:rsidRPr="00FD5703">
              <w:rPr>
                <w:color w:val="000000"/>
                <w:sz w:val="18"/>
                <w:szCs w:val="18"/>
                <w:lang w:val="es-ES_tradnl"/>
              </w:rPr>
              <w:t>. La colección de referencia debe ser lo más completa posible.</w:t>
            </w:r>
          </w:p>
          <w:p w:rsidR="009116AF" w:rsidRPr="00FD5703" w:rsidRDefault="009116AF" w:rsidP="009C5CAD">
            <w:pPr>
              <w:rPr>
                <w:color w:val="000000"/>
                <w:sz w:val="18"/>
                <w:szCs w:val="18"/>
                <w:lang w:val="es-ES_tradnl"/>
              </w:rPr>
            </w:pPr>
          </w:p>
          <w:p w:rsidR="009116AF" w:rsidRPr="00FD5703" w:rsidRDefault="00791DAE" w:rsidP="009C5CAD">
            <w:pPr>
              <w:rPr>
                <w:color w:val="000000"/>
                <w:sz w:val="18"/>
                <w:szCs w:val="18"/>
                <w:lang w:val="es-ES_tradnl"/>
              </w:rPr>
            </w:pPr>
            <w:r w:rsidRPr="00FD5703">
              <w:rPr>
                <w:color w:val="000000"/>
                <w:sz w:val="18"/>
                <w:szCs w:val="18"/>
                <w:lang w:val="es-ES_tradnl"/>
              </w:rPr>
              <w:t>Otro problema es que en varios países el solicitante debe proporciona</w:t>
            </w:r>
            <w:r w:rsidR="003C6E6E" w:rsidRPr="00FD5703">
              <w:rPr>
                <w:color w:val="000000"/>
                <w:sz w:val="18"/>
                <w:szCs w:val="18"/>
                <w:lang w:val="es-ES_tradnl"/>
              </w:rPr>
              <w:t xml:space="preserve">r semillas de las variedades </w:t>
            </w:r>
            <w:r w:rsidRPr="00FD5703">
              <w:rPr>
                <w:color w:val="000000"/>
                <w:sz w:val="18"/>
                <w:szCs w:val="18"/>
                <w:lang w:val="es-ES_tradnl"/>
              </w:rPr>
              <w:t>más similares aún si pertenecen a una variedad de la competencia.</w:t>
            </w:r>
          </w:p>
          <w:p w:rsidR="009116AF" w:rsidRPr="00FD5703" w:rsidRDefault="009116AF" w:rsidP="009C5CAD">
            <w:pPr>
              <w:rPr>
                <w:color w:val="000000"/>
                <w:sz w:val="18"/>
                <w:szCs w:val="18"/>
                <w:lang w:val="es-ES_tradnl"/>
              </w:rPr>
            </w:pPr>
          </w:p>
          <w:p w:rsidR="009116AF" w:rsidRPr="00FD5703" w:rsidRDefault="00791DAE" w:rsidP="009C5CAD">
            <w:pPr>
              <w:rPr>
                <w:color w:val="000000"/>
                <w:sz w:val="18"/>
                <w:szCs w:val="18"/>
                <w:lang w:val="es-ES_tradnl"/>
              </w:rPr>
            </w:pPr>
            <w:r w:rsidRPr="00FD5703">
              <w:rPr>
                <w:color w:val="000000"/>
                <w:sz w:val="18"/>
                <w:szCs w:val="18"/>
                <w:lang w:val="es-ES_tradnl"/>
              </w:rPr>
              <w:t xml:space="preserve">Afortunadamente, las oficinas de derechos de obtentor han detectado los problemas mencionados en varios países y están trabajando con la industria </w:t>
            </w:r>
            <w:r w:rsidR="001A620C" w:rsidRPr="00FD5703">
              <w:rPr>
                <w:color w:val="000000"/>
                <w:sz w:val="18"/>
                <w:szCs w:val="18"/>
                <w:lang w:val="es-ES_tradnl"/>
              </w:rPr>
              <w:t>de las semillas</w:t>
            </w:r>
            <w:r w:rsidRPr="00FD5703">
              <w:rPr>
                <w:color w:val="000000"/>
                <w:sz w:val="18"/>
                <w:szCs w:val="18"/>
                <w:lang w:val="es-ES_tradnl"/>
              </w:rPr>
              <w:t xml:space="preserve"> para solucionarlos. </w:t>
            </w:r>
          </w:p>
          <w:p w:rsidR="009116AF" w:rsidRPr="00FD5703" w:rsidRDefault="009116AF" w:rsidP="009C5CAD">
            <w:pPr>
              <w:rPr>
                <w:sz w:val="18"/>
                <w:szCs w:val="18"/>
                <w:lang w:val="es-ES_tradnl"/>
              </w:rPr>
            </w:pPr>
          </w:p>
          <w:p w:rsidR="009116AF" w:rsidRPr="00FD5703" w:rsidRDefault="00A96EFE" w:rsidP="009C5CAD">
            <w:pPr>
              <w:rPr>
                <w:sz w:val="18"/>
                <w:szCs w:val="18"/>
                <w:lang w:val="es-ES_tradnl"/>
              </w:rPr>
            </w:pPr>
            <w:r w:rsidRPr="00FD5703">
              <w:rPr>
                <w:color w:val="000000"/>
                <w:sz w:val="18"/>
                <w:szCs w:val="18"/>
                <w:lang w:val="es-ES_tradnl"/>
              </w:rPr>
              <w:t>Desde un punto de vista general, la ISF desea mejorar la calidad de los exámenes y, para ello, desea proponer a la UPOV que considere un programa de garantía de calidad para las oficinas de derechos de obtentor, con un sistema de auditoría</w:t>
            </w:r>
            <w:r w:rsidR="0084142D" w:rsidRPr="00FD5703">
              <w:rPr>
                <w:color w:val="000000"/>
                <w:sz w:val="18"/>
                <w:szCs w:val="18"/>
                <w:lang w:val="es-ES_tradnl"/>
              </w:rPr>
              <w:t>s, similar a las llevada</w:t>
            </w:r>
            <w:r w:rsidRPr="00FD5703">
              <w:rPr>
                <w:color w:val="000000"/>
                <w:sz w:val="18"/>
                <w:szCs w:val="18"/>
                <w:lang w:val="es-ES_tradnl"/>
              </w:rPr>
              <w:t xml:space="preserve">s a cabo por la ISTA.  </w:t>
            </w:r>
            <w:r w:rsidR="00A34B37" w:rsidRPr="00FD5703">
              <w:rPr>
                <w:sz w:val="18"/>
                <w:szCs w:val="18"/>
                <w:lang w:val="es-ES_tradnl"/>
              </w:rPr>
              <w:t xml:space="preserve"> </w:t>
            </w:r>
            <w:r w:rsidR="00894844" w:rsidRPr="00FD5703">
              <w:rPr>
                <w:sz w:val="18"/>
                <w:szCs w:val="18"/>
                <w:lang w:val="es-ES_tradnl"/>
              </w:rPr>
              <w:t>La</w:t>
            </w:r>
            <w:r w:rsidR="005379E7" w:rsidRPr="00FD5703">
              <w:rPr>
                <w:sz w:val="18"/>
                <w:szCs w:val="18"/>
                <w:lang w:val="es-ES_tradnl"/>
              </w:rPr>
              <w:t xml:space="preserve"> </w:t>
            </w:r>
            <w:r w:rsidR="00A34B37" w:rsidRPr="00FD5703">
              <w:rPr>
                <w:sz w:val="18"/>
                <w:szCs w:val="18"/>
                <w:lang w:val="es-ES_tradnl"/>
              </w:rPr>
              <w:t>ISF</w:t>
            </w:r>
            <w:r w:rsidR="00894844" w:rsidRPr="00FD5703">
              <w:rPr>
                <w:sz w:val="18"/>
                <w:szCs w:val="18"/>
                <w:lang w:val="es-ES_tradnl"/>
              </w:rPr>
              <w:t xml:space="preserve"> está dispuesta a continuar el debate sobre las posibles ventajas de esta propuesta. </w:t>
            </w:r>
            <w:r w:rsidR="004951D7" w:rsidRPr="00FD5703">
              <w:rPr>
                <w:sz w:val="18"/>
                <w:szCs w:val="18"/>
                <w:lang w:val="es-ES_tradnl"/>
              </w:rPr>
              <w:t>Como otra posibilidad, la UPOV podría considerar la posibilidad de</w:t>
            </w:r>
            <w:r w:rsidR="001A620C" w:rsidRPr="00FD5703">
              <w:rPr>
                <w:sz w:val="18"/>
                <w:szCs w:val="18"/>
                <w:lang w:val="es-ES_tradnl"/>
              </w:rPr>
              <w:t xml:space="preserve"> ofrecer a las oficinas de derechos de obtentor orientación sobre</w:t>
            </w:r>
            <w:r w:rsidR="004951D7" w:rsidRPr="00FD5703">
              <w:rPr>
                <w:sz w:val="18"/>
                <w:szCs w:val="18"/>
                <w:lang w:val="es-ES_tradnl"/>
              </w:rPr>
              <w:t xml:space="preserve"> las mejores prácticas para </w:t>
            </w:r>
            <w:r w:rsidR="001A620C" w:rsidRPr="00FD5703">
              <w:rPr>
                <w:sz w:val="18"/>
                <w:szCs w:val="18"/>
                <w:lang w:val="es-ES_tradnl"/>
              </w:rPr>
              <w:t>llevar a cabo</w:t>
            </w:r>
            <w:r w:rsidR="004951D7" w:rsidRPr="00FD5703">
              <w:rPr>
                <w:sz w:val="18"/>
                <w:szCs w:val="18"/>
                <w:lang w:val="es-ES_tradnl"/>
              </w:rPr>
              <w:t xml:space="preserve"> </w:t>
            </w:r>
            <w:r w:rsidR="001A620C" w:rsidRPr="00FD5703">
              <w:rPr>
                <w:sz w:val="18"/>
                <w:szCs w:val="18"/>
                <w:lang w:val="es-ES_tradnl"/>
              </w:rPr>
              <w:t>sus exámenes</w:t>
            </w:r>
            <w:r w:rsidR="004951D7" w:rsidRPr="00FD5703">
              <w:rPr>
                <w:color w:val="000000"/>
                <w:sz w:val="18"/>
                <w:szCs w:val="18"/>
                <w:lang w:val="es-ES_tradnl"/>
              </w:rPr>
              <w:t xml:space="preserve">. </w:t>
            </w:r>
            <w:r w:rsidR="001A620C" w:rsidRPr="00FD5703">
              <w:rPr>
                <w:color w:val="000000"/>
                <w:sz w:val="18"/>
                <w:szCs w:val="18"/>
                <w:lang w:val="es-ES_tradnl"/>
              </w:rPr>
              <w:t>El</w:t>
            </w:r>
            <w:r w:rsidR="00C560F1" w:rsidRPr="00FD5703">
              <w:rPr>
                <w:color w:val="000000"/>
                <w:sz w:val="18"/>
                <w:szCs w:val="18"/>
                <w:lang w:val="es-ES_tradnl"/>
              </w:rPr>
              <w:t xml:space="preserve"> curso de enseñanza a distancia sobre el examen DHE y los manuales comparativos de la UPOV son prueba de los avances logrados en esta área. </w:t>
            </w:r>
            <w:r w:rsidR="00A34B37" w:rsidRPr="00FD5703">
              <w:rPr>
                <w:sz w:val="18"/>
                <w:szCs w:val="18"/>
                <w:lang w:val="es-ES_tradnl"/>
              </w:rPr>
              <w:t xml:space="preserve"> </w:t>
            </w:r>
            <w:r w:rsidR="005379E7" w:rsidRPr="00FD5703">
              <w:rPr>
                <w:sz w:val="18"/>
                <w:szCs w:val="18"/>
                <w:lang w:val="es-ES_tradnl"/>
              </w:rPr>
              <w:t xml:space="preserve"> </w:t>
            </w:r>
            <w:r w:rsidR="00B11526" w:rsidRPr="00FD5703">
              <w:rPr>
                <w:color w:val="000000"/>
                <w:sz w:val="18"/>
                <w:szCs w:val="18"/>
                <w:lang w:val="es-ES_tradnl"/>
              </w:rPr>
              <w:t>La industria de las semillas está muy interesada en contar con descripciones de variedades de buena calidad, para así obtener un certificado de derecho de obtentor de la misma categoría.</w:t>
            </w:r>
            <w:r w:rsidR="009C5CAD" w:rsidRPr="00FD5703">
              <w:rPr>
                <w:color w:val="000000"/>
                <w:sz w:val="18"/>
                <w:szCs w:val="18"/>
                <w:lang w:val="es-ES_tradnl"/>
              </w:rPr>
              <w:t>”</w:t>
            </w:r>
          </w:p>
          <w:p w:rsidR="005379E7" w:rsidRPr="00FD5703" w:rsidRDefault="005379E7" w:rsidP="009C5CAD">
            <w:pPr>
              <w:rPr>
                <w:sz w:val="18"/>
                <w:szCs w:val="18"/>
                <w:lang w:val="es-ES_tradnl"/>
              </w:rPr>
            </w:pPr>
          </w:p>
        </w:tc>
      </w:tr>
      <w:tr w:rsidR="005C3E02" w:rsidRPr="000E4035" w:rsidTr="00D51088">
        <w:trPr>
          <w:cantSplit/>
        </w:trPr>
        <w:tc>
          <w:tcPr>
            <w:tcW w:w="8646" w:type="dxa"/>
          </w:tcPr>
          <w:p w:rsidR="009116AF" w:rsidRPr="00FD5703" w:rsidRDefault="00B11526" w:rsidP="009C5CAD">
            <w:pPr>
              <w:rPr>
                <w:i/>
                <w:lang w:val="es-ES_tradnl"/>
              </w:rPr>
            </w:pPr>
            <w:r w:rsidRPr="00FD5703">
              <w:rPr>
                <w:i/>
                <w:lang w:val="es-ES_tradnl"/>
              </w:rPr>
              <w:t>Materiales pertinentes de la UPOV:</w:t>
            </w:r>
          </w:p>
          <w:p w:rsidR="009116AF" w:rsidRPr="00FD5703" w:rsidRDefault="009116AF" w:rsidP="009C5CAD">
            <w:pPr>
              <w:rPr>
                <w:i/>
                <w:lang w:val="es-ES_tradnl"/>
              </w:rPr>
            </w:pPr>
          </w:p>
          <w:p w:rsidR="009116AF" w:rsidRPr="00FD5703" w:rsidRDefault="00B11526" w:rsidP="009C5CAD">
            <w:pPr>
              <w:pStyle w:val="ListParagraph"/>
              <w:numPr>
                <w:ilvl w:val="0"/>
                <w:numId w:val="5"/>
              </w:numPr>
              <w:tabs>
                <w:tab w:val="left" w:pos="290"/>
                <w:tab w:val="left" w:pos="574"/>
              </w:tabs>
              <w:ind w:left="574" w:hanging="284"/>
              <w:rPr>
                <w:i/>
                <w:snapToGrid w:val="0"/>
                <w:lang w:val="es-ES_tradnl"/>
              </w:rPr>
            </w:pPr>
            <w:r w:rsidRPr="00FD5703">
              <w:rPr>
                <w:i/>
                <w:snapToGrid w:val="0"/>
                <w:lang w:val="es-ES_tradnl"/>
              </w:rPr>
              <w:t xml:space="preserve">Documento TG/1/3 </w:t>
            </w:r>
            <w:r w:rsidR="009C5CAD" w:rsidRPr="00FD5703">
              <w:rPr>
                <w:i/>
                <w:snapToGrid w:val="0"/>
                <w:lang w:val="es-ES_tradnl"/>
              </w:rPr>
              <w:t>“</w:t>
            </w:r>
            <w:r w:rsidRPr="00FD5703">
              <w:rPr>
                <w:i/>
                <w:snapToGrid w:val="0"/>
                <w:lang w:val="es-ES_tradnl"/>
              </w:rPr>
              <w:t>Introducción general al examen de la distinción, la homogeneidad y la estabilidad y a la elaboración de descripciones armonizadas de las obtenciones vegetales</w:t>
            </w:r>
            <w:r w:rsidR="009C5CAD" w:rsidRPr="00FD5703">
              <w:rPr>
                <w:i/>
                <w:snapToGrid w:val="0"/>
                <w:lang w:val="es-ES_tradnl"/>
              </w:rPr>
              <w:t>”</w:t>
            </w:r>
            <w:r w:rsidRPr="00FD5703">
              <w:rPr>
                <w:i/>
                <w:snapToGrid w:val="0"/>
                <w:lang w:val="es-ES_tradnl"/>
              </w:rPr>
              <w:t xml:space="preserve">  y documentos TGP</w:t>
            </w:r>
          </w:p>
          <w:p w:rsidR="009116AF" w:rsidRPr="00FD5703" w:rsidRDefault="00B11526" w:rsidP="009C5CAD">
            <w:pPr>
              <w:pStyle w:val="ListParagraph"/>
              <w:numPr>
                <w:ilvl w:val="0"/>
                <w:numId w:val="5"/>
              </w:numPr>
              <w:tabs>
                <w:tab w:val="left" w:pos="290"/>
                <w:tab w:val="left" w:pos="574"/>
              </w:tabs>
              <w:ind w:left="574" w:hanging="284"/>
              <w:rPr>
                <w:i/>
                <w:snapToGrid w:val="0"/>
                <w:lang w:val="es-ES_tradnl"/>
              </w:rPr>
            </w:pPr>
            <w:r w:rsidRPr="00FD5703">
              <w:rPr>
                <w:i/>
                <w:snapToGrid w:val="0"/>
                <w:color w:val="000000"/>
                <w:lang w:val="es-ES_tradnl"/>
              </w:rPr>
              <w:t>Materiales de información futuros: Curso de enseñanza a distancia DL-305</w:t>
            </w:r>
          </w:p>
          <w:p w:rsidR="009116AF" w:rsidRPr="00FD5703" w:rsidRDefault="009116AF" w:rsidP="009C5CAD">
            <w:pPr>
              <w:rPr>
                <w:lang w:val="es-ES_tradnl"/>
              </w:rPr>
            </w:pPr>
          </w:p>
          <w:p w:rsidR="005379E7" w:rsidRPr="00FD5703" w:rsidRDefault="00B11526" w:rsidP="006C6A57">
            <w:pPr>
              <w:rPr>
                <w:lang w:val="es-ES_tradnl"/>
              </w:rPr>
            </w:pPr>
            <w:r w:rsidRPr="00FD5703">
              <w:rPr>
                <w:i/>
                <w:color w:val="000000"/>
                <w:lang w:val="es-ES_tradnl"/>
              </w:rPr>
              <w:t>El Comité Consultivo considerará cualquier cuestión relativa al programa de garantía de la calidad de la UPOV (véase el párrafo 4</w:t>
            </w:r>
            <w:r w:rsidR="006C6A57">
              <w:rPr>
                <w:i/>
                <w:color w:val="000000"/>
                <w:lang w:val="es-ES_tradnl"/>
              </w:rPr>
              <w:t xml:space="preserve">6 </w:t>
            </w:r>
            <w:r w:rsidRPr="00FD5703">
              <w:rPr>
                <w:i/>
                <w:color w:val="000000"/>
                <w:lang w:val="es-ES_tradnl"/>
              </w:rPr>
              <w:t xml:space="preserve">a continuación). </w:t>
            </w:r>
          </w:p>
        </w:tc>
      </w:tr>
    </w:tbl>
    <w:p w:rsidR="009116AF" w:rsidRPr="00FD5703" w:rsidRDefault="009116AF" w:rsidP="009C5CAD">
      <w:pPr>
        <w:rPr>
          <w:lang w:val="es-ES_tradnl"/>
        </w:rPr>
      </w:pPr>
    </w:p>
    <w:p w:rsidR="009116AF" w:rsidRPr="00FD5703" w:rsidRDefault="006B5DA1" w:rsidP="008D6380">
      <w:pPr>
        <w:pStyle w:val="Heading3"/>
        <w:rPr>
          <w:lang w:val="es-ES_tradnl"/>
        </w:rPr>
      </w:pPr>
      <w:bookmarkStart w:id="41" w:name="_Toc381177133"/>
      <w:r w:rsidRPr="00FD5703">
        <w:rPr>
          <w:lang w:val="es-ES_tradnl"/>
        </w:rPr>
        <w:t>d)</w:t>
      </w:r>
      <w:r w:rsidR="00815096" w:rsidRPr="00FD5703">
        <w:rPr>
          <w:lang w:val="es-ES_tradnl"/>
        </w:rPr>
        <w:tab/>
      </w:r>
      <w:r w:rsidR="00B11526" w:rsidRPr="00FD5703">
        <w:rPr>
          <w:lang w:val="es-ES_tradnl"/>
        </w:rPr>
        <w:t>Duración del examen</w:t>
      </w:r>
      <w:bookmarkEnd w:id="41"/>
      <w:r w:rsidR="00B11526" w:rsidRPr="00FD5703">
        <w:rPr>
          <w:lang w:val="es-ES_tradnl"/>
        </w:rPr>
        <w:t xml:space="preserve"> </w:t>
      </w:r>
    </w:p>
    <w:p w:rsidR="005379E7" w:rsidRPr="00FD5703" w:rsidRDefault="005379E7" w:rsidP="008D6380">
      <w:pPr>
        <w:keepNext/>
        <w:rPr>
          <w:lang w:val="es-ES_tradnl"/>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0E4035" w:rsidTr="00727189">
        <w:trPr>
          <w:cantSplit/>
        </w:trPr>
        <w:tc>
          <w:tcPr>
            <w:tcW w:w="8646" w:type="dxa"/>
          </w:tcPr>
          <w:p w:rsidR="009116AF" w:rsidRPr="00FD5703" w:rsidRDefault="00B11526" w:rsidP="009C5CAD">
            <w:pPr>
              <w:rPr>
                <w:sz w:val="18"/>
                <w:szCs w:val="18"/>
                <w:lang w:val="es-ES_tradnl"/>
              </w:rPr>
            </w:pPr>
            <w:r w:rsidRPr="00FD5703">
              <w:rPr>
                <w:sz w:val="18"/>
                <w:szCs w:val="18"/>
                <w:lang w:val="es-ES_tradnl"/>
              </w:rPr>
              <w:t>[Extracto de la carta del ISF]</w:t>
            </w:r>
          </w:p>
          <w:p w:rsidR="009116AF" w:rsidRPr="00FD5703" w:rsidRDefault="009C5CAD" w:rsidP="009C5CAD">
            <w:pPr>
              <w:rPr>
                <w:sz w:val="18"/>
                <w:szCs w:val="18"/>
                <w:lang w:val="es-ES_tradnl"/>
              </w:rPr>
            </w:pPr>
            <w:r w:rsidRPr="00FD5703">
              <w:rPr>
                <w:sz w:val="18"/>
                <w:szCs w:val="18"/>
                <w:lang w:val="es-ES_tradnl"/>
              </w:rPr>
              <w:t>“</w:t>
            </w:r>
            <w:r w:rsidR="002B1F1A" w:rsidRPr="00FD5703">
              <w:rPr>
                <w:sz w:val="18"/>
                <w:szCs w:val="18"/>
                <w:u w:val="single"/>
                <w:lang w:val="es-ES_tradnl"/>
              </w:rPr>
              <w:t>Duración del examen</w:t>
            </w:r>
            <w:r w:rsidR="00643DA1" w:rsidRPr="00FD5703">
              <w:rPr>
                <w:sz w:val="18"/>
                <w:szCs w:val="18"/>
                <w:lang w:val="es-ES_tradnl"/>
              </w:rPr>
              <w:t>: existen</w:t>
            </w:r>
            <w:r w:rsidR="002B1F1A" w:rsidRPr="00FD5703">
              <w:rPr>
                <w:sz w:val="18"/>
                <w:szCs w:val="18"/>
                <w:lang w:val="es-ES_tradnl"/>
              </w:rPr>
              <w:t xml:space="preserve"> grandes </w:t>
            </w:r>
            <w:r w:rsidR="002B1F1A" w:rsidRPr="00FD5703">
              <w:rPr>
                <w:color w:val="000000"/>
                <w:sz w:val="18"/>
                <w:szCs w:val="18"/>
                <w:lang w:val="es-ES_tradnl"/>
              </w:rPr>
              <w:t xml:space="preserve">diferencias </w:t>
            </w:r>
            <w:r w:rsidR="00AE071A" w:rsidRPr="00FD5703">
              <w:rPr>
                <w:color w:val="000000"/>
                <w:sz w:val="18"/>
                <w:szCs w:val="18"/>
                <w:lang w:val="es-ES_tradnl"/>
              </w:rPr>
              <w:t>de</w:t>
            </w:r>
            <w:r w:rsidR="002B1F1A" w:rsidRPr="00FD5703">
              <w:rPr>
                <w:color w:val="000000"/>
                <w:sz w:val="18"/>
                <w:szCs w:val="18"/>
                <w:lang w:val="es-ES_tradnl"/>
              </w:rPr>
              <w:t xml:space="preserve"> eficiencia entre las oficinas de examen. </w:t>
            </w:r>
            <w:r w:rsidR="00D51088" w:rsidRPr="00FD5703">
              <w:rPr>
                <w:sz w:val="18"/>
                <w:szCs w:val="18"/>
                <w:lang w:val="es-ES_tradnl"/>
              </w:rPr>
              <w:t xml:space="preserve"> </w:t>
            </w:r>
            <w:r w:rsidR="009E3BB1" w:rsidRPr="00FD5703">
              <w:rPr>
                <w:color w:val="000000"/>
                <w:sz w:val="18"/>
                <w:szCs w:val="18"/>
                <w:lang w:val="es-ES_tradnl"/>
              </w:rPr>
              <w:t xml:space="preserve">Mientras que en algunos países la concesión del derecho de obtentor se demora dos </w:t>
            </w:r>
            <w:r w:rsidR="00E9732E" w:rsidRPr="00FD5703">
              <w:rPr>
                <w:color w:val="000000"/>
                <w:sz w:val="18"/>
                <w:szCs w:val="18"/>
                <w:lang w:val="es-ES_tradnl"/>
              </w:rPr>
              <w:t>ciclos</w:t>
            </w:r>
            <w:r w:rsidR="009E3BB1" w:rsidRPr="00FD5703">
              <w:rPr>
                <w:color w:val="000000"/>
                <w:sz w:val="18"/>
                <w:szCs w:val="18"/>
                <w:lang w:val="es-ES_tradnl"/>
              </w:rPr>
              <w:t xml:space="preserve"> de cultivo, en otros puede llevar fácilmente cuatro años, y existen casos extremos de países que tardan hasta 10 o 12 años. </w:t>
            </w:r>
            <w:r w:rsidR="00D51088" w:rsidRPr="00FD5703">
              <w:rPr>
                <w:sz w:val="18"/>
                <w:szCs w:val="18"/>
                <w:lang w:val="es-ES_tradnl"/>
              </w:rPr>
              <w:t xml:space="preserve">  </w:t>
            </w:r>
            <w:r w:rsidR="009E3BB1" w:rsidRPr="00FD5703">
              <w:rPr>
                <w:color w:val="000000"/>
                <w:sz w:val="18"/>
                <w:szCs w:val="18"/>
                <w:lang w:val="es-ES_tradnl"/>
              </w:rPr>
              <w:t xml:space="preserve">La ISF </w:t>
            </w:r>
            <w:r w:rsidR="005B0982" w:rsidRPr="00FD5703">
              <w:rPr>
                <w:color w:val="000000"/>
                <w:sz w:val="18"/>
                <w:szCs w:val="18"/>
                <w:lang w:val="es-ES_tradnl"/>
              </w:rPr>
              <w:t>señala que, habida cuenta de que hacer valer los derechos de</w:t>
            </w:r>
            <w:r w:rsidR="009E3BB1" w:rsidRPr="00FD5703">
              <w:rPr>
                <w:color w:val="000000"/>
                <w:sz w:val="18"/>
                <w:szCs w:val="18"/>
                <w:lang w:val="es-ES_tradnl"/>
              </w:rPr>
              <w:t xml:space="preserve"> las solici</w:t>
            </w:r>
            <w:r w:rsidR="005B0982" w:rsidRPr="00FD5703">
              <w:rPr>
                <w:color w:val="000000"/>
                <w:sz w:val="18"/>
                <w:szCs w:val="18"/>
                <w:lang w:val="es-ES_tradnl"/>
              </w:rPr>
              <w:t>tudes pendientes es más difícil</w:t>
            </w:r>
            <w:r w:rsidR="009E3BB1" w:rsidRPr="00FD5703">
              <w:rPr>
                <w:color w:val="000000"/>
                <w:sz w:val="18"/>
                <w:szCs w:val="18"/>
                <w:lang w:val="es-ES_tradnl"/>
              </w:rPr>
              <w:t xml:space="preserve"> y a veces sólo es posible </w:t>
            </w:r>
            <w:r w:rsidR="005B0982" w:rsidRPr="00FD5703">
              <w:rPr>
                <w:color w:val="000000"/>
                <w:sz w:val="18"/>
                <w:szCs w:val="18"/>
                <w:lang w:val="es-ES_tradnl"/>
              </w:rPr>
              <w:t>una vez aprobada la solicitud</w:t>
            </w:r>
            <w:r w:rsidR="009E3BB1" w:rsidRPr="00FD5703">
              <w:rPr>
                <w:color w:val="000000"/>
                <w:sz w:val="18"/>
                <w:szCs w:val="18"/>
                <w:lang w:val="es-ES_tradnl"/>
              </w:rPr>
              <w:t xml:space="preserve">, el </w:t>
            </w:r>
            <w:r w:rsidR="00686E92" w:rsidRPr="00FD5703">
              <w:rPr>
                <w:color w:val="000000"/>
                <w:sz w:val="18"/>
                <w:szCs w:val="18"/>
                <w:lang w:val="es-ES_tradnl"/>
              </w:rPr>
              <w:t>procedimiento</w:t>
            </w:r>
            <w:r w:rsidR="009E3BB1" w:rsidRPr="00FD5703">
              <w:rPr>
                <w:color w:val="000000"/>
                <w:sz w:val="18"/>
                <w:szCs w:val="18"/>
                <w:lang w:val="es-ES_tradnl"/>
              </w:rPr>
              <w:t xml:space="preserve"> de examen para aplicaciones regulares debería estar armonizado y ser lo más rápido posible. Se debería prever un período máximo de dos años. </w:t>
            </w:r>
            <w:r w:rsidR="00D51088" w:rsidRPr="00FD5703">
              <w:rPr>
                <w:sz w:val="18"/>
                <w:szCs w:val="18"/>
                <w:lang w:val="es-ES_tradnl"/>
              </w:rPr>
              <w:t xml:space="preserve">  </w:t>
            </w:r>
            <w:r w:rsidR="00945E72" w:rsidRPr="00FD5703">
              <w:rPr>
                <w:color w:val="000000"/>
                <w:sz w:val="18"/>
                <w:szCs w:val="18"/>
                <w:lang w:val="es-ES_tradnl"/>
              </w:rPr>
              <w:t xml:space="preserve">En algunos países, el </w:t>
            </w:r>
            <w:r w:rsidR="00686E92" w:rsidRPr="00FD5703">
              <w:rPr>
                <w:color w:val="000000"/>
                <w:sz w:val="18"/>
                <w:szCs w:val="18"/>
                <w:lang w:val="es-ES_tradnl"/>
              </w:rPr>
              <w:t>procedimiento</w:t>
            </w:r>
            <w:r w:rsidR="00945E72" w:rsidRPr="00FD5703">
              <w:rPr>
                <w:color w:val="000000"/>
                <w:sz w:val="18"/>
                <w:szCs w:val="18"/>
                <w:lang w:val="es-ES_tradnl"/>
              </w:rPr>
              <w:t xml:space="preserve"> de examen se completa en un año, con dos ciclos al año, lo cual </w:t>
            </w:r>
            <w:r w:rsidR="00AE071A" w:rsidRPr="00FD5703">
              <w:rPr>
                <w:color w:val="000000"/>
                <w:sz w:val="18"/>
                <w:szCs w:val="18"/>
                <w:lang w:val="es-ES_tradnl"/>
              </w:rPr>
              <w:t>se considera</w:t>
            </w:r>
            <w:r w:rsidR="00945E72" w:rsidRPr="00FD5703">
              <w:rPr>
                <w:color w:val="000000"/>
                <w:sz w:val="18"/>
                <w:szCs w:val="18"/>
                <w:lang w:val="es-ES_tradnl"/>
              </w:rPr>
              <w:t xml:space="preserve"> extremadamente eficaz. </w:t>
            </w:r>
          </w:p>
          <w:p w:rsidR="009116AF" w:rsidRPr="00FD5703" w:rsidRDefault="009116AF" w:rsidP="009C5CAD">
            <w:pPr>
              <w:rPr>
                <w:sz w:val="18"/>
                <w:szCs w:val="18"/>
                <w:lang w:val="es-ES_tradnl"/>
              </w:rPr>
            </w:pPr>
          </w:p>
          <w:p w:rsidR="009116AF" w:rsidRPr="00FD5703" w:rsidRDefault="00945E72" w:rsidP="009C5CAD">
            <w:pPr>
              <w:rPr>
                <w:sz w:val="18"/>
                <w:szCs w:val="18"/>
                <w:lang w:val="es-ES_tradnl"/>
              </w:rPr>
            </w:pPr>
            <w:r w:rsidRPr="00FD5703">
              <w:rPr>
                <w:color w:val="000000"/>
                <w:sz w:val="18"/>
                <w:szCs w:val="18"/>
                <w:lang w:val="es-ES_tradnl"/>
              </w:rPr>
              <w:t xml:space="preserve">En el caso de caracteres difíciles de evaluar (por ejemplo, </w:t>
            </w:r>
            <w:r w:rsidR="00887F78" w:rsidRPr="00FD5703">
              <w:rPr>
                <w:color w:val="000000"/>
                <w:sz w:val="18"/>
                <w:szCs w:val="18"/>
                <w:lang w:val="es-ES_tradnl"/>
              </w:rPr>
              <w:t>la</w:t>
            </w:r>
            <w:r w:rsidRPr="00FD5703">
              <w:rPr>
                <w:color w:val="000000"/>
                <w:sz w:val="18"/>
                <w:szCs w:val="18"/>
                <w:lang w:val="es-ES_tradnl"/>
              </w:rPr>
              <w:t xml:space="preserve"> resistencia a las</w:t>
            </w:r>
            <w:r w:rsidRPr="00FD5703">
              <w:rPr>
                <w:color w:val="000000"/>
                <w:sz w:val="18"/>
                <w:szCs w:val="18"/>
                <w:lang w:val="es-ES_tradnl"/>
              </w:rPr>
              <w:br/>
              <w:t xml:space="preserve">enfermedades o a los insectos), </w:t>
            </w:r>
            <w:r w:rsidR="00887F78" w:rsidRPr="00FD5703">
              <w:rPr>
                <w:color w:val="000000"/>
                <w:sz w:val="18"/>
                <w:szCs w:val="18"/>
                <w:lang w:val="es-ES_tradnl"/>
              </w:rPr>
              <w:t>cabría</w:t>
            </w:r>
            <w:r w:rsidRPr="00FD5703">
              <w:rPr>
                <w:color w:val="000000"/>
                <w:sz w:val="18"/>
                <w:szCs w:val="18"/>
                <w:lang w:val="es-ES_tradnl"/>
              </w:rPr>
              <w:t xml:space="preserve"> considerar </w:t>
            </w:r>
            <w:r w:rsidR="00887F78" w:rsidRPr="00FD5703">
              <w:rPr>
                <w:color w:val="000000"/>
                <w:sz w:val="18"/>
                <w:szCs w:val="18"/>
                <w:lang w:val="es-ES_tradnl"/>
              </w:rPr>
              <w:t xml:space="preserve">la concertación de </w:t>
            </w:r>
            <w:r w:rsidRPr="00FD5703">
              <w:rPr>
                <w:color w:val="000000"/>
                <w:sz w:val="18"/>
                <w:szCs w:val="18"/>
                <w:lang w:val="es-ES_tradnl"/>
              </w:rPr>
              <w:t xml:space="preserve">acuerdos de cooperación multilateral </w:t>
            </w:r>
            <w:r w:rsidR="00887F78" w:rsidRPr="00FD5703">
              <w:rPr>
                <w:color w:val="000000"/>
                <w:sz w:val="18"/>
                <w:szCs w:val="18"/>
                <w:lang w:val="es-ES_tradnl"/>
              </w:rPr>
              <w:t>de modo que</w:t>
            </w:r>
            <w:r w:rsidRPr="00FD5703">
              <w:rPr>
                <w:color w:val="000000"/>
                <w:sz w:val="18"/>
                <w:szCs w:val="18"/>
                <w:lang w:val="es-ES_tradnl"/>
              </w:rPr>
              <w:t xml:space="preserve"> </w:t>
            </w:r>
            <w:r w:rsidR="00887F78" w:rsidRPr="00FD5703">
              <w:rPr>
                <w:color w:val="000000"/>
                <w:sz w:val="18"/>
                <w:szCs w:val="18"/>
                <w:lang w:val="es-ES_tradnl"/>
              </w:rPr>
              <w:t>determinados</w:t>
            </w:r>
            <w:r w:rsidRPr="00FD5703">
              <w:rPr>
                <w:color w:val="000000"/>
                <w:sz w:val="18"/>
                <w:szCs w:val="18"/>
                <w:lang w:val="es-ES_tradnl"/>
              </w:rPr>
              <w:t xml:space="preserve"> países </w:t>
            </w:r>
            <w:r w:rsidR="00887F78" w:rsidRPr="00FD5703">
              <w:rPr>
                <w:color w:val="000000"/>
                <w:sz w:val="18"/>
                <w:szCs w:val="18"/>
                <w:lang w:val="es-ES_tradnl"/>
              </w:rPr>
              <w:t>puedan realizar</w:t>
            </w:r>
            <w:r w:rsidRPr="00FD5703">
              <w:rPr>
                <w:color w:val="000000"/>
                <w:sz w:val="18"/>
                <w:szCs w:val="18"/>
                <w:lang w:val="es-ES_tradnl"/>
              </w:rPr>
              <w:t xml:space="preserve"> exámenes en nombre de otros países. </w:t>
            </w:r>
          </w:p>
          <w:p w:rsidR="009116AF" w:rsidRPr="00FD5703" w:rsidRDefault="009116AF" w:rsidP="009C5CAD">
            <w:pPr>
              <w:rPr>
                <w:sz w:val="18"/>
                <w:szCs w:val="18"/>
                <w:lang w:val="es-ES_tradnl"/>
              </w:rPr>
            </w:pPr>
          </w:p>
          <w:p w:rsidR="009116AF" w:rsidRPr="00FD5703" w:rsidRDefault="00EF1D7C" w:rsidP="009C5CAD">
            <w:pPr>
              <w:rPr>
                <w:sz w:val="18"/>
                <w:szCs w:val="18"/>
                <w:lang w:val="es-ES_tradnl"/>
              </w:rPr>
            </w:pPr>
            <w:r w:rsidRPr="00FD5703">
              <w:rPr>
                <w:color w:val="000000"/>
                <w:sz w:val="18"/>
                <w:szCs w:val="18"/>
                <w:lang w:val="es-ES_tradnl"/>
              </w:rPr>
              <w:t xml:space="preserve">Asimismo, </w:t>
            </w:r>
            <w:r w:rsidR="004B614D" w:rsidRPr="00FD5703">
              <w:rPr>
                <w:color w:val="000000"/>
                <w:sz w:val="18"/>
                <w:szCs w:val="18"/>
                <w:lang w:val="es-ES_tradnl"/>
              </w:rPr>
              <w:t>se debe</w:t>
            </w:r>
            <w:r w:rsidR="00887F78" w:rsidRPr="00FD5703">
              <w:rPr>
                <w:color w:val="000000"/>
                <w:sz w:val="18"/>
                <w:szCs w:val="18"/>
                <w:lang w:val="es-ES_tradnl"/>
              </w:rPr>
              <w:t xml:space="preserve"> fomentar al máximo el aprovechamiento de los informes DHE de otros países, pero sólo en la medida en que en los exámenes se vele por la calidad y se haya instaurado un sistema de control de la calidad.</w:t>
            </w:r>
          </w:p>
          <w:p w:rsidR="009116AF" w:rsidRPr="00FD5703" w:rsidRDefault="009116AF" w:rsidP="009C5CAD">
            <w:pPr>
              <w:rPr>
                <w:sz w:val="18"/>
                <w:szCs w:val="18"/>
                <w:lang w:val="es-ES_tradnl"/>
              </w:rPr>
            </w:pPr>
          </w:p>
          <w:p w:rsidR="009116AF" w:rsidRPr="00FD5703" w:rsidRDefault="00D80CE4" w:rsidP="009C5CAD">
            <w:pPr>
              <w:rPr>
                <w:sz w:val="18"/>
                <w:szCs w:val="18"/>
                <w:lang w:val="es-ES_tradnl"/>
              </w:rPr>
            </w:pPr>
            <w:r w:rsidRPr="00FD5703">
              <w:rPr>
                <w:color w:val="000000"/>
                <w:sz w:val="18"/>
                <w:szCs w:val="18"/>
                <w:lang w:val="es-ES_tradnl"/>
              </w:rPr>
              <w:t xml:space="preserve">Una vez que se ha abonado el importe </w:t>
            </w:r>
            <w:r w:rsidR="005B0982" w:rsidRPr="00FD5703">
              <w:rPr>
                <w:color w:val="000000"/>
                <w:sz w:val="18"/>
                <w:szCs w:val="18"/>
                <w:lang w:val="es-ES_tradnl"/>
              </w:rPr>
              <w:t>d</w:t>
            </w:r>
            <w:r w:rsidRPr="00FD5703">
              <w:rPr>
                <w:color w:val="000000"/>
                <w:sz w:val="18"/>
                <w:szCs w:val="18"/>
                <w:lang w:val="es-ES_tradnl"/>
              </w:rPr>
              <w:t xml:space="preserve">el examen DHE </w:t>
            </w:r>
            <w:r w:rsidR="005B0982" w:rsidRPr="00FD5703">
              <w:rPr>
                <w:color w:val="000000"/>
                <w:sz w:val="18"/>
                <w:szCs w:val="18"/>
                <w:lang w:val="es-ES_tradnl"/>
              </w:rPr>
              <w:t xml:space="preserve">a los fines de la inclusión </w:t>
            </w:r>
            <w:r w:rsidRPr="00FD5703">
              <w:rPr>
                <w:color w:val="000000"/>
                <w:sz w:val="18"/>
                <w:szCs w:val="18"/>
                <w:lang w:val="es-ES_tradnl"/>
              </w:rPr>
              <w:t>en la lista nacional, no se cobrarán costos de examen adicionales para una solicitud de derechos de obtentor de la mis</w:t>
            </w:r>
            <w:r w:rsidR="005B0982" w:rsidRPr="00FD5703">
              <w:rPr>
                <w:color w:val="000000"/>
                <w:sz w:val="18"/>
                <w:szCs w:val="18"/>
                <w:lang w:val="es-ES_tradnl"/>
              </w:rPr>
              <w:t>m</w:t>
            </w:r>
            <w:r w:rsidRPr="00FD5703">
              <w:rPr>
                <w:color w:val="000000"/>
                <w:sz w:val="18"/>
                <w:szCs w:val="18"/>
                <w:lang w:val="es-ES_tradnl"/>
              </w:rPr>
              <w:t xml:space="preserve">a variedad. </w:t>
            </w:r>
          </w:p>
          <w:p w:rsidR="00D51088" w:rsidRPr="00FD5703" w:rsidRDefault="00D51088" w:rsidP="009C5CAD">
            <w:pPr>
              <w:rPr>
                <w:sz w:val="18"/>
                <w:szCs w:val="18"/>
                <w:lang w:val="es-ES_tradnl"/>
              </w:rPr>
            </w:pPr>
          </w:p>
        </w:tc>
      </w:tr>
      <w:tr w:rsidR="005C3E02" w:rsidRPr="000E4035" w:rsidTr="00230328">
        <w:tc>
          <w:tcPr>
            <w:tcW w:w="8646" w:type="dxa"/>
          </w:tcPr>
          <w:p w:rsidR="009116AF" w:rsidRPr="00FD5703" w:rsidRDefault="00D80CE4" w:rsidP="009C5CAD">
            <w:pPr>
              <w:rPr>
                <w:i/>
                <w:lang w:val="es-ES_tradnl"/>
              </w:rPr>
            </w:pPr>
            <w:r w:rsidRPr="00FD5703">
              <w:rPr>
                <w:i/>
                <w:lang w:val="es-ES_tradnl"/>
              </w:rPr>
              <w:t>Materiales pertinentes de la UPOV:</w:t>
            </w:r>
          </w:p>
          <w:p w:rsidR="009116AF" w:rsidRPr="00FD5703" w:rsidRDefault="009116AF" w:rsidP="009C5CAD">
            <w:pPr>
              <w:rPr>
                <w:i/>
                <w:lang w:val="es-ES_tradnl"/>
              </w:rPr>
            </w:pPr>
          </w:p>
          <w:p w:rsidR="009116AF" w:rsidRPr="00FD5703" w:rsidRDefault="00D80CE4" w:rsidP="009C5CAD">
            <w:pPr>
              <w:pStyle w:val="ListParagraph"/>
              <w:numPr>
                <w:ilvl w:val="0"/>
                <w:numId w:val="5"/>
              </w:numPr>
              <w:tabs>
                <w:tab w:val="left" w:pos="290"/>
                <w:tab w:val="left" w:pos="574"/>
              </w:tabs>
              <w:ind w:left="574" w:hanging="284"/>
              <w:rPr>
                <w:i/>
                <w:snapToGrid w:val="0"/>
                <w:lang w:val="es-ES_tradnl"/>
              </w:rPr>
            </w:pPr>
            <w:r w:rsidRPr="00FD5703">
              <w:rPr>
                <w:i/>
                <w:snapToGrid w:val="0"/>
                <w:lang w:val="es-ES_tradnl"/>
              </w:rPr>
              <w:t xml:space="preserve">Introducción del documento TGP/5 </w:t>
            </w:r>
            <w:r w:rsidR="009C5CAD" w:rsidRPr="00FD5703">
              <w:rPr>
                <w:i/>
                <w:snapToGrid w:val="0"/>
                <w:lang w:val="es-ES_tradnl"/>
              </w:rPr>
              <w:t>“</w:t>
            </w:r>
            <w:r w:rsidRPr="00FD5703">
              <w:rPr>
                <w:i/>
                <w:snapToGrid w:val="0"/>
                <w:lang w:val="es-ES_tradnl"/>
              </w:rPr>
              <w:t>Experiencia y cooperación en el examen DHE</w:t>
            </w:r>
            <w:r w:rsidR="009C5CAD" w:rsidRPr="00FD5703">
              <w:rPr>
                <w:i/>
                <w:snapToGrid w:val="0"/>
                <w:lang w:val="es-ES_tradnl"/>
              </w:rPr>
              <w:t>”</w:t>
            </w:r>
          </w:p>
          <w:p w:rsidR="009116AF" w:rsidRPr="00FD5703" w:rsidRDefault="00EE321E" w:rsidP="009C5CAD">
            <w:pPr>
              <w:pStyle w:val="ListParagraph"/>
              <w:numPr>
                <w:ilvl w:val="0"/>
                <w:numId w:val="5"/>
              </w:numPr>
              <w:tabs>
                <w:tab w:val="left" w:pos="290"/>
                <w:tab w:val="left" w:pos="574"/>
              </w:tabs>
              <w:ind w:left="574" w:hanging="284"/>
              <w:rPr>
                <w:i/>
                <w:lang w:val="es-ES_tradnl"/>
              </w:rPr>
            </w:pPr>
            <w:r w:rsidRPr="00FD5703">
              <w:rPr>
                <w:i/>
                <w:snapToGrid w:val="0"/>
                <w:lang w:val="es-ES_tradnl"/>
              </w:rPr>
              <w:t xml:space="preserve">Capítulo 3.1 </w:t>
            </w:r>
            <w:r w:rsidR="009C5CAD" w:rsidRPr="00FD5703">
              <w:rPr>
                <w:i/>
                <w:snapToGrid w:val="0"/>
                <w:lang w:val="es-ES_tradnl"/>
              </w:rPr>
              <w:t>“</w:t>
            </w:r>
            <w:r w:rsidRPr="00FD5703">
              <w:rPr>
                <w:i/>
                <w:snapToGrid w:val="0"/>
                <w:lang w:val="es-ES_tradnl"/>
              </w:rPr>
              <w:t>Número de ciclos de cultivo</w:t>
            </w:r>
            <w:r w:rsidR="009C5CAD" w:rsidRPr="00FD5703">
              <w:rPr>
                <w:i/>
                <w:snapToGrid w:val="0"/>
                <w:lang w:val="es-ES_tradnl"/>
              </w:rPr>
              <w:t>”</w:t>
            </w:r>
            <w:r w:rsidRPr="00FD5703">
              <w:rPr>
                <w:i/>
                <w:snapToGrid w:val="0"/>
                <w:lang w:val="es-ES_tradnl"/>
              </w:rPr>
              <w:t xml:space="preserve"> del Anexo 1  </w:t>
            </w:r>
            <w:r w:rsidR="009C5CAD" w:rsidRPr="00FD5703">
              <w:rPr>
                <w:i/>
                <w:snapToGrid w:val="0"/>
                <w:lang w:val="es-ES_tradnl"/>
              </w:rPr>
              <w:t>“</w:t>
            </w:r>
            <w:r w:rsidRPr="00FD5703">
              <w:rPr>
                <w:i/>
                <w:snapToGrid w:val="0"/>
                <w:lang w:val="es-ES_tradnl"/>
              </w:rPr>
              <w:t>Plantilla de los documentos TG</w:t>
            </w:r>
            <w:r w:rsidR="009C5CAD" w:rsidRPr="00FD5703">
              <w:rPr>
                <w:i/>
                <w:snapToGrid w:val="0"/>
                <w:lang w:val="es-ES_tradnl"/>
              </w:rPr>
              <w:t>”</w:t>
            </w:r>
            <w:r w:rsidRPr="00FD5703">
              <w:rPr>
                <w:i/>
                <w:snapToGrid w:val="0"/>
                <w:lang w:val="es-ES_tradnl"/>
              </w:rPr>
              <w:t xml:space="preserve">  del documento TGP/7 </w:t>
            </w:r>
            <w:r w:rsidR="009C5CAD" w:rsidRPr="00FD5703">
              <w:rPr>
                <w:i/>
                <w:snapToGrid w:val="0"/>
                <w:lang w:val="es-ES_tradnl"/>
              </w:rPr>
              <w:t>“</w:t>
            </w:r>
            <w:r w:rsidRPr="00FD5703">
              <w:rPr>
                <w:i/>
                <w:snapToGrid w:val="0"/>
                <w:lang w:val="es-ES_tradnl"/>
              </w:rPr>
              <w:t>Elaboración de las directrices de examen</w:t>
            </w:r>
            <w:r w:rsidR="009C5CAD" w:rsidRPr="00FD5703">
              <w:rPr>
                <w:i/>
                <w:snapToGrid w:val="0"/>
                <w:lang w:val="es-ES_tradnl"/>
              </w:rPr>
              <w:t>”</w:t>
            </w:r>
          </w:p>
          <w:p w:rsidR="005C3E02" w:rsidRPr="00FD5703" w:rsidRDefault="00EE321E" w:rsidP="009C5CAD">
            <w:pPr>
              <w:pStyle w:val="ListParagraph"/>
              <w:numPr>
                <w:ilvl w:val="0"/>
                <w:numId w:val="5"/>
              </w:numPr>
              <w:tabs>
                <w:tab w:val="left" w:pos="290"/>
                <w:tab w:val="left" w:pos="574"/>
              </w:tabs>
              <w:ind w:left="574" w:hanging="284"/>
              <w:rPr>
                <w:i/>
                <w:lang w:val="es-ES_tradnl"/>
              </w:rPr>
            </w:pPr>
            <w:r w:rsidRPr="00FD5703">
              <w:rPr>
                <w:i/>
                <w:snapToGrid w:val="0"/>
                <w:lang w:val="es-ES_tradnl"/>
              </w:rPr>
              <w:t xml:space="preserve">Sección 1.3.1.1. a) </w:t>
            </w:r>
            <w:r w:rsidR="009C5CAD" w:rsidRPr="00FD5703">
              <w:rPr>
                <w:i/>
                <w:snapToGrid w:val="0"/>
                <w:lang w:val="es-ES_tradnl"/>
              </w:rPr>
              <w:t>“</w:t>
            </w:r>
            <w:r w:rsidRPr="00FD5703">
              <w:rPr>
                <w:i/>
                <w:snapToGrid w:val="0"/>
                <w:lang w:val="es-ES_tradnl"/>
              </w:rPr>
              <w:t>Reducir al mínimo la duración general del examen</w:t>
            </w:r>
            <w:r w:rsidR="009C5CAD" w:rsidRPr="00FD5703">
              <w:rPr>
                <w:i/>
                <w:snapToGrid w:val="0"/>
                <w:lang w:val="es-ES_tradnl"/>
              </w:rPr>
              <w:t>”</w:t>
            </w:r>
            <w:r w:rsidRPr="00FD5703">
              <w:rPr>
                <w:i/>
                <w:snapToGrid w:val="0"/>
                <w:lang w:val="es-ES_tradnl"/>
              </w:rPr>
              <w:t xml:space="preserve"> de la Parte I </w:t>
            </w:r>
            <w:r w:rsidR="009C5CAD" w:rsidRPr="00FD5703">
              <w:rPr>
                <w:i/>
                <w:snapToGrid w:val="0"/>
                <w:lang w:val="es-ES_tradnl"/>
              </w:rPr>
              <w:t>“</w:t>
            </w:r>
            <w:r w:rsidRPr="00FD5703">
              <w:rPr>
                <w:i/>
                <w:snapToGrid w:val="0"/>
                <w:lang w:val="es-ES_tradnl"/>
              </w:rPr>
              <w:t>Diseño de ensayos DHE</w:t>
            </w:r>
            <w:r w:rsidR="009C5CAD" w:rsidRPr="00FD5703">
              <w:rPr>
                <w:i/>
                <w:snapToGrid w:val="0"/>
                <w:lang w:val="es-ES_tradnl"/>
              </w:rPr>
              <w:t>”</w:t>
            </w:r>
            <w:r w:rsidRPr="00FD5703">
              <w:rPr>
                <w:i/>
                <w:snapToGrid w:val="0"/>
                <w:lang w:val="es-ES_tradnl"/>
              </w:rPr>
              <w:t xml:space="preserve"> del documento TGP/8 </w:t>
            </w:r>
            <w:r w:rsidR="009C5CAD" w:rsidRPr="00FD5703">
              <w:rPr>
                <w:i/>
                <w:snapToGrid w:val="0"/>
                <w:lang w:val="es-ES_tradnl"/>
              </w:rPr>
              <w:t>“</w:t>
            </w:r>
            <w:r w:rsidRPr="00FD5703">
              <w:rPr>
                <w:i/>
                <w:snapToGrid w:val="0"/>
                <w:lang w:val="es-ES_tradnl"/>
              </w:rPr>
              <w:t>Diseño de ensayos y técnicas utilizadas en el examen de la distinción, la homogeneidad y la estabilidad</w:t>
            </w:r>
            <w:r w:rsidR="009C5CAD" w:rsidRPr="00FD5703">
              <w:rPr>
                <w:i/>
                <w:snapToGrid w:val="0"/>
                <w:lang w:val="es-ES_tradnl"/>
              </w:rPr>
              <w:t>”</w:t>
            </w:r>
          </w:p>
        </w:tc>
      </w:tr>
    </w:tbl>
    <w:p w:rsidR="009116AF" w:rsidRPr="00FD5703" w:rsidRDefault="009116AF" w:rsidP="009C5CAD">
      <w:pPr>
        <w:rPr>
          <w:lang w:val="es-ES_tradnl"/>
        </w:rPr>
      </w:pPr>
    </w:p>
    <w:p w:rsidR="009116AF" w:rsidRPr="00FD5703" w:rsidRDefault="006B5DA1" w:rsidP="009C5CAD">
      <w:pPr>
        <w:pStyle w:val="Heading3"/>
        <w:rPr>
          <w:lang w:val="es-ES_tradnl"/>
        </w:rPr>
      </w:pPr>
      <w:bookmarkStart w:id="42" w:name="_Toc381177134"/>
      <w:r w:rsidRPr="00FD5703">
        <w:rPr>
          <w:snapToGrid w:val="0"/>
          <w:lang w:val="es-ES_tradnl"/>
        </w:rPr>
        <w:t>e)</w:t>
      </w:r>
      <w:r w:rsidR="00815096" w:rsidRPr="00FD5703">
        <w:rPr>
          <w:snapToGrid w:val="0"/>
          <w:lang w:val="es-ES_tradnl"/>
        </w:rPr>
        <w:tab/>
      </w:r>
      <w:r w:rsidR="001459B2" w:rsidRPr="00FD5703">
        <w:rPr>
          <w:snapToGrid w:val="0"/>
          <w:lang w:val="es-ES_tradnl"/>
        </w:rPr>
        <w:t>Descripciones de variedades</w:t>
      </w:r>
      <w:r w:rsidR="00643DA1" w:rsidRPr="00FD5703">
        <w:rPr>
          <w:snapToGrid w:val="0"/>
          <w:lang w:val="es-ES_tradnl"/>
        </w:rPr>
        <w:t>: variedades</w:t>
      </w:r>
      <w:r w:rsidR="001459B2" w:rsidRPr="00FD5703">
        <w:rPr>
          <w:snapToGrid w:val="0"/>
          <w:lang w:val="es-ES_tradnl"/>
        </w:rPr>
        <w:t xml:space="preserve"> más similares</w:t>
      </w:r>
      <w:bookmarkEnd w:id="42"/>
    </w:p>
    <w:p w:rsidR="00D51088" w:rsidRPr="00FD5703" w:rsidRDefault="00D51088" w:rsidP="009C5CAD">
      <w:pPr>
        <w:rPr>
          <w:lang w:val="es-ES_tradnl"/>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0E4035" w:rsidTr="00230328">
        <w:tc>
          <w:tcPr>
            <w:tcW w:w="8646" w:type="dxa"/>
          </w:tcPr>
          <w:p w:rsidR="009116AF" w:rsidRPr="00FD5703" w:rsidRDefault="001459B2" w:rsidP="009C5CAD">
            <w:pPr>
              <w:rPr>
                <w:sz w:val="18"/>
                <w:szCs w:val="18"/>
                <w:lang w:val="es-ES_tradnl"/>
              </w:rPr>
            </w:pPr>
            <w:r w:rsidRPr="00FD5703">
              <w:rPr>
                <w:sz w:val="18"/>
                <w:szCs w:val="18"/>
                <w:lang w:val="es-ES_tradnl"/>
              </w:rPr>
              <w:t>[Extracto de la carta del ISF]</w:t>
            </w:r>
          </w:p>
          <w:p w:rsidR="009116AF" w:rsidRPr="00FD5703" w:rsidRDefault="001459B2" w:rsidP="009C5CAD">
            <w:pPr>
              <w:rPr>
                <w:sz w:val="18"/>
                <w:szCs w:val="18"/>
                <w:lang w:val="es-ES_tradnl"/>
              </w:rPr>
            </w:pPr>
            <w:r w:rsidRPr="00FD5703">
              <w:rPr>
                <w:sz w:val="18"/>
                <w:szCs w:val="18"/>
                <w:u w:val="single"/>
                <w:lang w:val="es-ES_tradnl"/>
              </w:rPr>
              <w:t>Descripción de variedad</w:t>
            </w:r>
            <w:r w:rsidR="005B0982" w:rsidRPr="00FD5703">
              <w:rPr>
                <w:sz w:val="18"/>
                <w:szCs w:val="18"/>
                <w:u w:val="single"/>
                <w:lang w:val="es-ES_tradnl"/>
              </w:rPr>
              <w:t>es:</w:t>
            </w:r>
            <w:r w:rsidRPr="00FD5703">
              <w:rPr>
                <w:sz w:val="18"/>
                <w:szCs w:val="18"/>
                <w:u w:val="single"/>
                <w:lang w:val="es-ES_tradnl"/>
              </w:rPr>
              <w:t xml:space="preserve"> variedad</w:t>
            </w:r>
            <w:r w:rsidR="005B0982" w:rsidRPr="00FD5703">
              <w:rPr>
                <w:sz w:val="18"/>
                <w:szCs w:val="18"/>
                <w:u w:val="single"/>
                <w:lang w:val="es-ES_tradnl"/>
              </w:rPr>
              <w:t>es</w:t>
            </w:r>
            <w:r w:rsidRPr="00FD5703">
              <w:rPr>
                <w:sz w:val="18"/>
                <w:szCs w:val="18"/>
                <w:u w:val="single"/>
                <w:lang w:val="es-ES_tradnl"/>
              </w:rPr>
              <w:t xml:space="preserve"> más similar</w:t>
            </w:r>
            <w:r w:rsidR="005B0982" w:rsidRPr="00FD5703">
              <w:rPr>
                <w:sz w:val="18"/>
                <w:szCs w:val="18"/>
                <w:u w:val="single"/>
                <w:lang w:val="es-ES_tradnl"/>
              </w:rPr>
              <w:t>es</w:t>
            </w:r>
            <w:r w:rsidRPr="00FD5703">
              <w:rPr>
                <w:sz w:val="18"/>
                <w:szCs w:val="18"/>
                <w:lang w:val="es-ES_tradnl"/>
              </w:rPr>
              <w:t xml:space="preserve">: en algunos países, el solicitante debe proporcionar una descripción de variedad exhaustiva de las variedades más similares, mientras que según la UPOV sólo se han de ilustrar las diferencias entre la variedad candidata y la variedad que se considera más similar. </w:t>
            </w:r>
            <w:r w:rsidR="00D51088" w:rsidRPr="00FD5703">
              <w:rPr>
                <w:sz w:val="18"/>
                <w:szCs w:val="18"/>
                <w:lang w:val="es-ES_tradnl"/>
              </w:rPr>
              <w:t xml:space="preserve">  </w:t>
            </w:r>
            <w:r w:rsidRPr="00FD5703">
              <w:rPr>
                <w:sz w:val="18"/>
                <w:szCs w:val="18"/>
                <w:lang w:val="es-ES_tradnl"/>
              </w:rPr>
              <w:t xml:space="preserve">Los miembros de la ISF generalmente opinan que la descripción completa de la variedad candidata y las variedades comparables resulta demasiado engorrosa para el solicitante.  </w:t>
            </w:r>
            <w:r w:rsidR="00D51088" w:rsidRPr="00FD5703">
              <w:rPr>
                <w:sz w:val="18"/>
                <w:szCs w:val="18"/>
                <w:lang w:val="es-ES_tradnl"/>
              </w:rPr>
              <w:t xml:space="preserve">  </w:t>
            </w:r>
            <w:r w:rsidRPr="00FD5703">
              <w:rPr>
                <w:sz w:val="18"/>
                <w:szCs w:val="18"/>
                <w:lang w:val="es-ES_tradnl"/>
              </w:rPr>
              <w:t xml:space="preserve">Es una tarea que lleva mucho tiempo y causa demoras en el </w:t>
            </w:r>
            <w:r w:rsidR="00686E92" w:rsidRPr="00FD5703">
              <w:rPr>
                <w:sz w:val="18"/>
                <w:szCs w:val="18"/>
                <w:lang w:val="es-ES_tradnl"/>
              </w:rPr>
              <w:t>procedimiento</w:t>
            </w:r>
            <w:r w:rsidRPr="00FD5703">
              <w:rPr>
                <w:sz w:val="18"/>
                <w:szCs w:val="18"/>
                <w:lang w:val="es-ES_tradnl"/>
              </w:rPr>
              <w:t xml:space="preserve"> de presentación de solicitudes.</w:t>
            </w:r>
            <w:r w:rsidR="00D51088" w:rsidRPr="00FD5703">
              <w:rPr>
                <w:sz w:val="18"/>
                <w:szCs w:val="18"/>
                <w:lang w:val="es-ES_tradnl"/>
              </w:rPr>
              <w:t xml:space="preserve">  </w:t>
            </w:r>
            <w:r w:rsidR="00C979C8" w:rsidRPr="00FD5703">
              <w:rPr>
                <w:sz w:val="18"/>
                <w:szCs w:val="18"/>
                <w:lang w:val="es-ES_tradnl"/>
              </w:rPr>
              <w:t xml:space="preserve">En la mayoría de los casos, es preciso organizar ensayos de observación especial para llevar a cabo estas descripciones de variedades. </w:t>
            </w:r>
            <w:r w:rsidR="00D51088" w:rsidRPr="00FD5703">
              <w:rPr>
                <w:sz w:val="18"/>
                <w:szCs w:val="18"/>
                <w:lang w:val="es-ES_tradnl"/>
              </w:rPr>
              <w:t xml:space="preserve">  </w:t>
            </w:r>
            <w:r w:rsidR="00C979C8" w:rsidRPr="00FD5703">
              <w:rPr>
                <w:sz w:val="18"/>
                <w:szCs w:val="18"/>
                <w:lang w:val="es-ES_tradnl"/>
              </w:rPr>
              <w:t xml:space="preserve">En caso de reivindicarse prioridad, esto puede significar una gran desventaja para el </w:t>
            </w:r>
            <w:r w:rsidR="00643DA1" w:rsidRPr="00FD5703">
              <w:rPr>
                <w:sz w:val="18"/>
                <w:szCs w:val="18"/>
                <w:lang w:val="es-ES_tradnl"/>
              </w:rPr>
              <w:t>solicitante</w:t>
            </w:r>
            <w:r w:rsidR="00C979C8" w:rsidRPr="00FD5703">
              <w:rPr>
                <w:sz w:val="18"/>
                <w:szCs w:val="18"/>
                <w:lang w:val="es-ES_tradnl"/>
              </w:rPr>
              <w:t xml:space="preserve">. </w:t>
            </w:r>
            <w:r w:rsidR="00D51088" w:rsidRPr="00FD5703">
              <w:rPr>
                <w:sz w:val="18"/>
                <w:szCs w:val="18"/>
                <w:lang w:val="es-ES_tradnl"/>
              </w:rPr>
              <w:t xml:space="preserve">  </w:t>
            </w:r>
            <w:r w:rsidR="00C979C8" w:rsidRPr="00FD5703">
              <w:rPr>
                <w:sz w:val="18"/>
                <w:szCs w:val="18"/>
                <w:lang w:val="es-ES_tradnl"/>
              </w:rPr>
              <w:t xml:space="preserve">Este tipo de descripción exhaustiva de las variedades más similares puede resultar un problema aún mayor si se trata de variedades de la competencia.  </w:t>
            </w:r>
          </w:p>
          <w:p w:rsidR="009116AF" w:rsidRPr="00FD5703" w:rsidRDefault="009116AF" w:rsidP="009C5CAD">
            <w:pPr>
              <w:rPr>
                <w:sz w:val="18"/>
                <w:szCs w:val="18"/>
                <w:lang w:val="es-ES_tradnl"/>
              </w:rPr>
            </w:pPr>
          </w:p>
          <w:p w:rsidR="009116AF" w:rsidRPr="00FD5703" w:rsidRDefault="00C979C8" w:rsidP="009C5CAD">
            <w:pPr>
              <w:rPr>
                <w:sz w:val="18"/>
                <w:szCs w:val="18"/>
                <w:lang w:val="es-ES_tradnl"/>
              </w:rPr>
            </w:pPr>
            <w:r w:rsidRPr="00FD5703">
              <w:rPr>
                <w:sz w:val="18"/>
                <w:szCs w:val="18"/>
                <w:lang w:val="es-ES_tradnl"/>
              </w:rPr>
              <w:t xml:space="preserve">El solicitante solamente debería presentar las diferencias entre la variedad candidata y las variedades más similares. </w:t>
            </w:r>
            <w:r w:rsidR="00D51088" w:rsidRPr="00FD5703">
              <w:rPr>
                <w:sz w:val="18"/>
                <w:szCs w:val="18"/>
                <w:lang w:val="es-ES_tradnl"/>
              </w:rPr>
              <w:t xml:space="preserve">  </w:t>
            </w:r>
            <w:r w:rsidRPr="00FD5703">
              <w:rPr>
                <w:sz w:val="18"/>
                <w:szCs w:val="18"/>
                <w:lang w:val="es-ES_tradnl"/>
              </w:rPr>
              <w:t>En otras palabras, solamente debería completarse el cuestionario técnico de la UPOV.</w:t>
            </w:r>
          </w:p>
          <w:p w:rsidR="009116AF" w:rsidRPr="00FD5703" w:rsidRDefault="009116AF" w:rsidP="009C5CAD">
            <w:pPr>
              <w:rPr>
                <w:sz w:val="18"/>
                <w:szCs w:val="18"/>
                <w:lang w:val="es-ES_tradnl"/>
              </w:rPr>
            </w:pPr>
          </w:p>
          <w:p w:rsidR="009116AF" w:rsidRPr="00FD5703" w:rsidRDefault="00C979C8" w:rsidP="009C5CAD">
            <w:pPr>
              <w:rPr>
                <w:sz w:val="18"/>
                <w:szCs w:val="18"/>
                <w:lang w:val="es-ES_tradnl"/>
              </w:rPr>
            </w:pPr>
            <w:r w:rsidRPr="00FD5703">
              <w:rPr>
                <w:sz w:val="18"/>
                <w:szCs w:val="18"/>
                <w:lang w:val="es-ES_tradnl"/>
              </w:rPr>
              <w:t xml:space="preserve">Las técnicas de fitomejoramiento cambian rápidamente al igual que las variedades. </w:t>
            </w:r>
            <w:r w:rsidR="00D51088" w:rsidRPr="00FD5703">
              <w:rPr>
                <w:sz w:val="18"/>
                <w:szCs w:val="18"/>
                <w:lang w:val="es-ES_tradnl"/>
              </w:rPr>
              <w:t xml:space="preserve">  </w:t>
            </w:r>
            <w:r w:rsidRPr="00FD5703">
              <w:rPr>
                <w:sz w:val="18"/>
                <w:szCs w:val="18"/>
                <w:lang w:val="es-ES_tradnl"/>
              </w:rPr>
              <w:t xml:space="preserve">Se añaden permanentemente </w:t>
            </w:r>
            <w:r w:rsidR="004B614D" w:rsidRPr="00FD5703">
              <w:rPr>
                <w:sz w:val="18"/>
                <w:szCs w:val="18"/>
                <w:lang w:val="es-ES_tradnl"/>
              </w:rPr>
              <w:t>nuevos</w:t>
            </w:r>
            <w:r w:rsidRPr="00FD5703">
              <w:rPr>
                <w:sz w:val="18"/>
                <w:szCs w:val="18"/>
                <w:lang w:val="es-ES_tradnl"/>
              </w:rPr>
              <w:t xml:space="preserve"> carac</w:t>
            </w:r>
            <w:r w:rsidR="004B614D" w:rsidRPr="00FD5703">
              <w:rPr>
                <w:sz w:val="18"/>
                <w:szCs w:val="18"/>
                <w:lang w:val="es-ES_tradnl"/>
              </w:rPr>
              <w:t>teres</w:t>
            </w:r>
            <w:r w:rsidRPr="00FD5703">
              <w:rPr>
                <w:sz w:val="18"/>
                <w:szCs w:val="18"/>
                <w:lang w:val="es-ES_tradnl"/>
              </w:rPr>
              <w:t xml:space="preserve"> a la lista vigente. </w:t>
            </w:r>
            <w:r w:rsidR="00D51088" w:rsidRPr="00FD5703">
              <w:rPr>
                <w:sz w:val="18"/>
                <w:szCs w:val="18"/>
                <w:lang w:val="es-ES_tradnl"/>
              </w:rPr>
              <w:t xml:space="preserve">  </w:t>
            </w:r>
            <w:r w:rsidR="00205D6D" w:rsidRPr="00FD5703">
              <w:rPr>
                <w:sz w:val="18"/>
                <w:szCs w:val="18"/>
                <w:lang w:val="es-ES_tradnl"/>
              </w:rPr>
              <w:t xml:space="preserve">Por tanto, es necesario introducir oportunamente nuevos caracteres en los cuestionarios técnicos y las descripciones de variedades para garantizar </w:t>
            </w:r>
            <w:r w:rsidR="005B0982" w:rsidRPr="00FD5703">
              <w:rPr>
                <w:sz w:val="18"/>
                <w:szCs w:val="18"/>
                <w:lang w:val="es-ES_tradnl"/>
              </w:rPr>
              <w:t>la mayor distinción posible</w:t>
            </w:r>
            <w:r w:rsidR="00205D6D" w:rsidRPr="00FD5703">
              <w:rPr>
                <w:sz w:val="18"/>
                <w:szCs w:val="18"/>
                <w:lang w:val="es-ES_tradnl"/>
              </w:rPr>
              <w:t xml:space="preserve"> entre las variedades</w:t>
            </w:r>
            <w:r w:rsidR="009C5CAD" w:rsidRPr="00FD5703">
              <w:rPr>
                <w:sz w:val="18"/>
                <w:szCs w:val="18"/>
                <w:lang w:val="es-ES_tradnl"/>
              </w:rPr>
              <w:t>”</w:t>
            </w:r>
            <w:r w:rsidR="00205D6D" w:rsidRPr="00FD5703">
              <w:rPr>
                <w:sz w:val="18"/>
                <w:szCs w:val="18"/>
                <w:lang w:val="es-ES_tradnl"/>
              </w:rPr>
              <w:t xml:space="preserve">.  </w:t>
            </w:r>
          </w:p>
          <w:p w:rsidR="00D51088" w:rsidRPr="00FD5703" w:rsidRDefault="00D51088" w:rsidP="009C5CAD">
            <w:pPr>
              <w:rPr>
                <w:sz w:val="18"/>
                <w:szCs w:val="18"/>
                <w:lang w:val="es-ES_tradnl"/>
              </w:rPr>
            </w:pPr>
          </w:p>
        </w:tc>
      </w:tr>
      <w:tr w:rsidR="005F3D0F" w:rsidRPr="000E4035" w:rsidTr="00230328">
        <w:tc>
          <w:tcPr>
            <w:tcW w:w="8646" w:type="dxa"/>
          </w:tcPr>
          <w:p w:rsidR="009116AF" w:rsidRPr="00FD5703" w:rsidRDefault="00205D6D" w:rsidP="009C5CAD">
            <w:pPr>
              <w:rPr>
                <w:i/>
                <w:lang w:val="es-ES_tradnl"/>
              </w:rPr>
            </w:pPr>
            <w:r w:rsidRPr="00FD5703">
              <w:rPr>
                <w:i/>
                <w:lang w:val="es-ES_tradnl"/>
              </w:rPr>
              <w:t>Materiales pertinentes de la UPOV:</w:t>
            </w:r>
          </w:p>
          <w:p w:rsidR="009116AF" w:rsidRPr="00FD5703" w:rsidRDefault="009116AF" w:rsidP="009C5CAD">
            <w:pPr>
              <w:rPr>
                <w:i/>
                <w:lang w:val="es-ES_tradnl"/>
              </w:rPr>
            </w:pPr>
          </w:p>
          <w:p w:rsidR="009116AF" w:rsidRPr="00FD5703" w:rsidRDefault="00205D6D" w:rsidP="009C5CAD">
            <w:pPr>
              <w:pStyle w:val="ListParagraph"/>
              <w:numPr>
                <w:ilvl w:val="0"/>
                <w:numId w:val="5"/>
              </w:numPr>
              <w:tabs>
                <w:tab w:val="left" w:pos="290"/>
                <w:tab w:val="left" w:pos="574"/>
              </w:tabs>
              <w:ind w:left="574" w:hanging="284"/>
              <w:rPr>
                <w:i/>
                <w:snapToGrid w:val="0"/>
                <w:lang w:val="es-ES_tradnl"/>
              </w:rPr>
            </w:pPr>
            <w:r w:rsidRPr="00FD5703">
              <w:rPr>
                <w:i/>
                <w:snapToGrid w:val="0"/>
                <w:lang w:val="es-ES_tradnl"/>
              </w:rPr>
              <w:t xml:space="preserve">Sección 4 del documento TGP/7 </w:t>
            </w:r>
            <w:r w:rsidR="009C5CAD" w:rsidRPr="00FD5703">
              <w:rPr>
                <w:i/>
                <w:snapToGrid w:val="0"/>
                <w:lang w:val="es-ES_tradnl"/>
              </w:rPr>
              <w:t>“</w:t>
            </w:r>
            <w:r w:rsidRPr="00FD5703">
              <w:rPr>
                <w:i/>
                <w:snapToGrid w:val="0"/>
                <w:lang w:val="es-ES_tradnl"/>
              </w:rPr>
              <w:t>Elaboración de directrices de examen propias de cada autoridad</w:t>
            </w:r>
            <w:r w:rsidR="009C5CAD" w:rsidRPr="00FD5703">
              <w:rPr>
                <w:i/>
                <w:snapToGrid w:val="0"/>
                <w:lang w:val="es-ES_tradnl"/>
              </w:rPr>
              <w:t>”</w:t>
            </w:r>
          </w:p>
          <w:p w:rsidR="005F3D0F" w:rsidRPr="00FD5703" w:rsidRDefault="00ED5CF2" w:rsidP="00ED5CF2">
            <w:pPr>
              <w:pStyle w:val="ListParagraph"/>
              <w:numPr>
                <w:ilvl w:val="0"/>
                <w:numId w:val="5"/>
              </w:numPr>
              <w:tabs>
                <w:tab w:val="left" w:pos="290"/>
                <w:tab w:val="left" w:pos="574"/>
              </w:tabs>
              <w:ind w:left="574" w:hanging="284"/>
              <w:rPr>
                <w:i/>
                <w:lang w:val="es-ES_tradnl"/>
              </w:rPr>
            </w:pPr>
            <w:r>
              <w:rPr>
                <w:i/>
                <w:snapToGrid w:val="0"/>
                <w:lang w:val="es-ES_tradnl"/>
              </w:rPr>
              <w:t xml:space="preserve">Sección </w:t>
            </w:r>
            <w:r w:rsidR="00205D6D" w:rsidRPr="00FD5703">
              <w:rPr>
                <w:i/>
                <w:snapToGrid w:val="0"/>
                <w:lang w:val="es-ES_tradnl"/>
              </w:rPr>
              <w:t xml:space="preserve">2 </w:t>
            </w:r>
            <w:r w:rsidR="009C5CAD" w:rsidRPr="00FD5703">
              <w:rPr>
                <w:i/>
                <w:snapToGrid w:val="0"/>
                <w:lang w:val="es-ES_tradnl"/>
              </w:rPr>
              <w:t>“</w:t>
            </w:r>
            <w:r w:rsidR="00205D6D" w:rsidRPr="00FD5703">
              <w:rPr>
                <w:i/>
                <w:snapToGrid w:val="0"/>
                <w:lang w:val="es-ES_tradnl"/>
              </w:rPr>
              <w:t>Procedimiento para introducir y revisar directrices de examen de la UPOV</w:t>
            </w:r>
            <w:r w:rsidR="009C5CAD" w:rsidRPr="00FD5703">
              <w:rPr>
                <w:i/>
                <w:snapToGrid w:val="0"/>
                <w:lang w:val="es-ES_tradnl"/>
              </w:rPr>
              <w:t>”</w:t>
            </w:r>
            <w:r w:rsidR="00205D6D" w:rsidRPr="00FD5703">
              <w:rPr>
                <w:i/>
                <w:snapToGrid w:val="0"/>
                <w:lang w:val="es-ES_tradnl"/>
              </w:rPr>
              <w:t xml:space="preserve">,  del documento TGP/7 </w:t>
            </w:r>
            <w:r w:rsidR="009C5CAD" w:rsidRPr="00FD5703">
              <w:rPr>
                <w:i/>
                <w:snapToGrid w:val="0"/>
                <w:lang w:val="es-ES_tradnl"/>
              </w:rPr>
              <w:t>“</w:t>
            </w:r>
            <w:r w:rsidR="00205D6D" w:rsidRPr="00FD5703">
              <w:rPr>
                <w:i/>
                <w:snapToGrid w:val="0"/>
                <w:lang w:val="es-ES_tradnl"/>
              </w:rPr>
              <w:t>Elaboración de las directrices de examen</w:t>
            </w:r>
            <w:r w:rsidR="009C5CAD" w:rsidRPr="00FD5703">
              <w:rPr>
                <w:i/>
                <w:snapToGrid w:val="0"/>
                <w:lang w:val="es-ES_tradnl"/>
              </w:rPr>
              <w:t>”</w:t>
            </w:r>
            <w:r w:rsidR="00205D6D" w:rsidRPr="00FD5703">
              <w:rPr>
                <w:i/>
                <w:snapToGrid w:val="0"/>
                <w:lang w:val="es-ES_tradnl"/>
              </w:rPr>
              <w:t xml:space="preserve"> </w:t>
            </w:r>
          </w:p>
        </w:tc>
      </w:tr>
    </w:tbl>
    <w:p w:rsidR="009116AF" w:rsidRPr="00FD5703" w:rsidRDefault="009116AF" w:rsidP="009C5CAD">
      <w:pPr>
        <w:rPr>
          <w:lang w:val="es-ES_tradnl"/>
        </w:rPr>
      </w:pPr>
    </w:p>
    <w:p w:rsidR="009116AF" w:rsidRPr="00FD5703" w:rsidRDefault="006B5DA1" w:rsidP="009C5CAD">
      <w:pPr>
        <w:pStyle w:val="Heading3"/>
        <w:rPr>
          <w:lang w:val="es-ES_tradnl"/>
        </w:rPr>
      </w:pPr>
      <w:bookmarkStart w:id="43" w:name="_Toc381177135"/>
      <w:r w:rsidRPr="00FD5703">
        <w:rPr>
          <w:lang w:val="es-ES_tradnl"/>
        </w:rPr>
        <w:t>f)</w:t>
      </w:r>
      <w:r w:rsidR="00815096" w:rsidRPr="00FD5703">
        <w:rPr>
          <w:lang w:val="es-ES_tradnl"/>
        </w:rPr>
        <w:tab/>
      </w:r>
      <w:r w:rsidR="00205D6D" w:rsidRPr="00FD5703">
        <w:rPr>
          <w:lang w:val="es-ES_tradnl"/>
        </w:rPr>
        <w:t>Descripción de la variedad por parte del solicitante</w:t>
      </w:r>
      <w:bookmarkEnd w:id="43"/>
    </w:p>
    <w:p w:rsidR="00A07942" w:rsidRPr="00FD5703" w:rsidRDefault="00A07942" w:rsidP="009C5CAD">
      <w:pPr>
        <w:keepNext/>
        <w:rPr>
          <w:lang w:val="es-ES_tradnl"/>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0E4035" w:rsidTr="00A07942">
        <w:trPr>
          <w:cantSplit/>
        </w:trPr>
        <w:tc>
          <w:tcPr>
            <w:tcW w:w="8646" w:type="dxa"/>
          </w:tcPr>
          <w:p w:rsidR="009116AF" w:rsidRPr="00FD5703" w:rsidRDefault="00205D6D" w:rsidP="009C5CAD">
            <w:pPr>
              <w:rPr>
                <w:sz w:val="18"/>
                <w:szCs w:val="18"/>
                <w:lang w:val="es-ES_tradnl"/>
              </w:rPr>
            </w:pPr>
            <w:r w:rsidRPr="00FD5703">
              <w:rPr>
                <w:sz w:val="18"/>
                <w:szCs w:val="18"/>
                <w:lang w:val="es-ES_tradnl"/>
              </w:rPr>
              <w:t>[Extracto de la carta del ISF]</w:t>
            </w:r>
          </w:p>
          <w:p w:rsidR="009116AF" w:rsidRPr="00FD5703" w:rsidRDefault="009C5CAD" w:rsidP="009C5CAD">
            <w:pPr>
              <w:rPr>
                <w:sz w:val="18"/>
                <w:szCs w:val="18"/>
                <w:lang w:val="es-ES_tradnl"/>
              </w:rPr>
            </w:pPr>
            <w:r w:rsidRPr="00FD5703">
              <w:rPr>
                <w:sz w:val="18"/>
                <w:szCs w:val="18"/>
                <w:u w:val="single"/>
                <w:lang w:val="es-ES_tradnl"/>
              </w:rPr>
              <w:t>“</w:t>
            </w:r>
            <w:r w:rsidR="00205D6D" w:rsidRPr="00FD5703">
              <w:rPr>
                <w:sz w:val="18"/>
                <w:szCs w:val="18"/>
                <w:u w:val="single"/>
                <w:lang w:val="es-ES_tradnl"/>
              </w:rPr>
              <w:t>Descripción de la variedad por parte del solicitante:</w:t>
            </w:r>
            <w:r w:rsidR="00205D6D" w:rsidRPr="00FD5703">
              <w:rPr>
                <w:sz w:val="18"/>
                <w:szCs w:val="18"/>
                <w:lang w:val="es-ES_tradnl"/>
              </w:rPr>
              <w:t xml:space="preserve"> en algunos países las descripciones de las variedades están  enteramente a cargo del solicitante.  </w:t>
            </w:r>
            <w:r w:rsidR="00A07942" w:rsidRPr="00FD5703">
              <w:rPr>
                <w:sz w:val="18"/>
                <w:szCs w:val="18"/>
                <w:lang w:val="es-ES_tradnl"/>
              </w:rPr>
              <w:t xml:space="preserve">  </w:t>
            </w:r>
            <w:r w:rsidR="009F1A5D" w:rsidRPr="00FD5703">
              <w:rPr>
                <w:sz w:val="18"/>
                <w:szCs w:val="18"/>
                <w:lang w:val="es-ES_tradnl"/>
              </w:rPr>
              <w:t>Esto significa que la misma variedad puede ser descrita de manera totalmente diferente según los factores de influencia (los períodos de siembra, el entorno de crecimiento, y el solicita</w:t>
            </w:r>
            <w:r w:rsidR="004B614D" w:rsidRPr="00FD5703">
              <w:rPr>
                <w:sz w:val="18"/>
                <w:szCs w:val="18"/>
                <w:lang w:val="es-ES_tradnl"/>
              </w:rPr>
              <w:t xml:space="preserve">nte o </w:t>
            </w:r>
            <w:r w:rsidR="009F1A5D" w:rsidRPr="00FD5703">
              <w:rPr>
                <w:sz w:val="18"/>
                <w:szCs w:val="18"/>
                <w:lang w:val="es-ES_tradnl"/>
              </w:rPr>
              <w:t xml:space="preserve">examinador). </w:t>
            </w:r>
            <w:r w:rsidR="00A07942" w:rsidRPr="00FD5703">
              <w:rPr>
                <w:sz w:val="18"/>
                <w:szCs w:val="18"/>
                <w:lang w:val="es-ES_tradnl"/>
              </w:rPr>
              <w:t xml:space="preserve">  </w:t>
            </w:r>
            <w:r w:rsidR="009F1A5D" w:rsidRPr="00FD5703">
              <w:rPr>
                <w:sz w:val="18"/>
                <w:szCs w:val="18"/>
                <w:lang w:val="es-ES_tradnl"/>
              </w:rPr>
              <w:t>En estos casos en los que el solicitante describe la variedad, es preciso contar con reglas armonizadas y una mayor supervisión de las  autoridades encargadas de los derechos de obtentor.</w:t>
            </w:r>
            <w:r w:rsidR="00A07942" w:rsidRPr="00FD5703">
              <w:rPr>
                <w:sz w:val="18"/>
                <w:szCs w:val="18"/>
                <w:lang w:val="es-ES_tradnl"/>
              </w:rPr>
              <w:t xml:space="preserve">  </w:t>
            </w:r>
            <w:r w:rsidR="009F1A5D" w:rsidRPr="00FD5703">
              <w:rPr>
                <w:sz w:val="18"/>
                <w:szCs w:val="18"/>
                <w:lang w:val="es-ES_tradnl"/>
              </w:rPr>
              <w:t xml:space="preserve">De acuerdo con las normas de la UPOV, la comparación adecuada es una manera de evitar problemas. </w:t>
            </w:r>
            <w:r w:rsidR="00A07942" w:rsidRPr="00FD5703">
              <w:rPr>
                <w:sz w:val="18"/>
                <w:szCs w:val="18"/>
                <w:lang w:val="es-ES_tradnl"/>
              </w:rPr>
              <w:t xml:space="preserve">  </w:t>
            </w:r>
            <w:r w:rsidR="009F1A5D" w:rsidRPr="00FD5703">
              <w:rPr>
                <w:sz w:val="18"/>
                <w:szCs w:val="18"/>
                <w:lang w:val="es-ES_tradnl"/>
              </w:rPr>
              <w:t>Como regla general, una oficina de examen central</w:t>
            </w:r>
            <w:r w:rsidR="00DD174E" w:rsidRPr="00FD5703">
              <w:rPr>
                <w:sz w:val="18"/>
                <w:szCs w:val="18"/>
                <w:lang w:val="es-ES_tradnl"/>
              </w:rPr>
              <w:t xml:space="preserve"> </w:t>
            </w:r>
            <w:r w:rsidR="009F1A5D" w:rsidRPr="00FD5703">
              <w:rPr>
                <w:sz w:val="18"/>
                <w:szCs w:val="18"/>
                <w:lang w:val="es-ES_tradnl"/>
              </w:rPr>
              <w:t>ofrece</w:t>
            </w:r>
            <w:r w:rsidR="00DD174E" w:rsidRPr="00FD5703">
              <w:rPr>
                <w:sz w:val="18"/>
                <w:szCs w:val="18"/>
                <w:lang w:val="es-ES_tradnl"/>
              </w:rPr>
              <w:t xml:space="preserve"> una</w:t>
            </w:r>
            <w:r w:rsidR="009F1A5D" w:rsidRPr="00FD5703">
              <w:rPr>
                <w:sz w:val="18"/>
                <w:szCs w:val="18"/>
                <w:lang w:val="es-ES_tradnl"/>
              </w:rPr>
              <w:t xml:space="preserve"> colección de referencia mejor y más completa, y permite un examen más eficaz de las variedades candidatas. </w:t>
            </w:r>
          </w:p>
          <w:p w:rsidR="009116AF" w:rsidRPr="00FD5703" w:rsidRDefault="009116AF" w:rsidP="009C5CAD">
            <w:pPr>
              <w:rPr>
                <w:sz w:val="18"/>
                <w:szCs w:val="18"/>
                <w:lang w:val="es-ES_tradnl"/>
              </w:rPr>
            </w:pPr>
          </w:p>
          <w:p w:rsidR="009116AF" w:rsidRPr="00FD5703" w:rsidRDefault="009F1A5D" w:rsidP="009C5CAD">
            <w:pPr>
              <w:rPr>
                <w:sz w:val="18"/>
                <w:szCs w:val="18"/>
                <w:lang w:val="es-ES_tradnl"/>
              </w:rPr>
            </w:pPr>
            <w:r w:rsidRPr="00FD5703">
              <w:rPr>
                <w:sz w:val="18"/>
                <w:szCs w:val="18"/>
                <w:lang w:val="es-ES_tradnl"/>
              </w:rPr>
              <w:t xml:space="preserve">La realización de una descripción de variedad con datos estadísticos resulta una carga importante para el solicitante y se convierte en una razón para que las empresas </w:t>
            </w:r>
            <w:proofErr w:type="spellStart"/>
            <w:r w:rsidRPr="00FD5703">
              <w:rPr>
                <w:sz w:val="18"/>
                <w:szCs w:val="18"/>
                <w:lang w:val="es-ES_tradnl"/>
              </w:rPr>
              <w:t>semilleras</w:t>
            </w:r>
            <w:proofErr w:type="spellEnd"/>
            <w:r w:rsidRPr="00FD5703">
              <w:rPr>
                <w:sz w:val="18"/>
                <w:szCs w:val="18"/>
                <w:lang w:val="es-ES_tradnl"/>
              </w:rPr>
              <w:t xml:space="preserve"> no soliciten el derecho de obtentor en ese país. </w:t>
            </w:r>
            <w:r w:rsidR="00A07942" w:rsidRPr="00FD5703">
              <w:rPr>
                <w:sz w:val="18"/>
                <w:szCs w:val="18"/>
                <w:lang w:val="es-ES_tradnl"/>
              </w:rPr>
              <w:t xml:space="preserve"> </w:t>
            </w:r>
            <w:r w:rsidR="001362DE" w:rsidRPr="00FD5703">
              <w:rPr>
                <w:sz w:val="18"/>
                <w:szCs w:val="18"/>
                <w:lang w:val="es-ES_tradnl"/>
              </w:rPr>
              <w:t xml:space="preserve"> </w:t>
            </w:r>
            <w:r w:rsidR="004D202E" w:rsidRPr="00FD5703">
              <w:rPr>
                <w:sz w:val="18"/>
                <w:szCs w:val="18"/>
                <w:lang w:val="es-ES_tradnl"/>
              </w:rPr>
              <w:t xml:space="preserve">Por ejemplo: las mismas variedades de maíz han sido descritas de tantas maneras diferentes que un cierto número de caracteres ya no pueden utilizarse para distinguir las variedades. </w:t>
            </w:r>
          </w:p>
          <w:p w:rsidR="001362DE" w:rsidRPr="00FD5703" w:rsidRDefault="001362DE" w:rsidP="009C5CAD">
            <w:pPr>
              <w:rPr>
                <w:sz w:val="18"/>
                <w:szCs w:val="18"/>
                <w:lang w:val="es-ES_tradnl"/>
              </w:rPr>
            </w:pPr>
          </w:p>
        </w:tc>
      </w:tr>
      <w:tr w:rsidR="005F3D0F" w:rsidRPr="000E4035" w:rsidTr="00230328">
        <w:tc>
          <w:tcPr>
            <w:tcW w:w="8646" w:type="dxa"/>
          </w:tcPr>
          <w:p w:rsidR="009116AF" w:rsidRPr="00FD5703" w:rsidRDefault="004D202E" w:rsidP="009C5CAD">
            <w:pPr>
              <w:rPr>
                <w:i/>
                <w:lang w:val="es-ES_tradnl"/>
              </w:rPr>
            </w:pPr>
            <w:r w:rsidRPr="00FD5703">
              <w:rPr>
                <w:i/>
                <w:lang w:val="es-ES_tradnl"/>
              </w:rPr>
              <w:t>Materiales pertinentes de la UPOV:</w:t>
            </w:r>
          </w:p>
          <w:p w:rsidR="009116AF" w:rsidRPr="00FD5703" w:rsidRDefault="009116AF" w:rsidP="009C5CAD">
            <w:pPr>
              <w:rPr>
                <w:i/>
                <w:lang w:val="es-ES_tradnl"/>
              </w:rPr>
            </w:pPr>
          </w:p>
          <w:p w:rsidR="005F3D0F" w:rsidRPr="00FD5703" w:rsidRDefault="004D202E" w:rsidP="009C5CAD">
            <w:pPr>
              <w:pStyle w:val="ListParagraph"/>
              <w:numPr>
                <w:ilvl w:val="0"/>
                <w:numId w:val="5"/>
              </w:numPr>
              <w:tabs>
                <w:tab w:val="left" w:pos="290"/>
                <w:tab w:val="left" w:pos="574"/>
              </w:tabs>
              <w:ind w:left="574" w:hanging="284"/>
              <w:rPr>
                <w:i/>
                <w:lang w:val="es-ES_tradnl"/>
              </w:rPr>
            </w:pPr>
            <w:r w:rsidRPr="00FD5703">
              <w:rPr>
                <w:i/>
                <w:snapToGrid w:val="0"/>
                <w:lang w:val="es-ES_tradnl"/>
              </w:rPr>
              <w:t xml:space="preserve">Sección 3 </w:t>
            </w:r>
            <w:r w:rsidR="009C5CAD" w:rsidRPr="00FD5703">
              <w:rPr>
                <w:i/>
                <w:snapToGrid w:val="0"/>
                <w:lang w:val="es-ES_tradnl"/>
              </w:rPr>
              <w:t>“</w:t>
            </w:r>
            <w:r w:rsidRPr="00FD5703">
              <w:rPr>
                <w:i/>
                <w:snapToGrid w:val="0"/>
                <w:lang w:val="es-ES_tradnl"/>
              </w:rPr>
              <w:t>Declaración relativa a las condiciones del examen de una variedad basado en pruebas efectuadas por el obtentor o por su cuenta</w:t>
            </w:r>
            <w:r w:rsidR="009C5CAD" w:rsidRPr="00FD5703">
              <w:rPr>
                <w:i/>
                <w:snapToGrid w:val="0"/>
                <w:lang w:val="es-ES_tradnl"/>
              </w:rPr>
              <w:t>”</w:t>
            </w:r>
            <w:r w:rsidRPr="00FD5703">
              <w:rPr>
                <w:i/>
                <w:snapToGrid w:val="0"/>
                <w:lang w:val="es-ES_tradnl"/>
              </w:rPr>
              <w:t xml:space="preserve"> del documento TGP/6 </w:t>
            </w:r>
            <w:r w:rsidR="009C5CAD" w:rsidRPr="00FD5703">
              <w:rPr>
                <w:i/>
                <w:snapToGrid w:val="0"/>
                <w:lang w:val="es-ES_tradnl"/>
              </w:rPr>
              <w:t>“</w:t>
            </w:r>
            <w:r w:rsidRPr="00FD5703">
              <w:rPr>
                <w:i/>
                <w:snapToGrid w:val="0"/>
                <w:lang w:val="es-ES_tradnl"/>
              </w:rPr>
              <w:t>Preparativos para el examen DHE</w:t>
            </w:r>
            <w:r w:rsidR="009C5CAD" w:rsidRPr="00FD5703">
              <w:rPr>
                <w:i/>
                <w:snapToGrid w:val="0"/>
                <w:lang w:val="es-ES_tradnl"/>
              </w:rPr>
              <w:t>”</w:t>
            </w:r>
            <w:r w:rsidRPr="00FD5703">
              <w:rPr>
                <w:i/>
                <w:snapToGrid w:val="0"/>
                <w:lang w:val="es-ES_tradnl"/>
              </w:rPr>
              <w:t xml:space="preserve"> </w:t>
            </w:r>
          </w:p>
        </w:tc>
      </w:tr>
    </w:tbl>
    <w:p w:rsidR="009116AF" w:rsidRPr="00FD5703" w:rsidRDefault="009116AF" w:rsidP="009C5CAD">
      <w:pPr>
        <w:rPr>
          <w:lang w:val="es-ES_tradnl"/>
        </w:rPr>
      </w:pPr>
    </w:p>
    <w:p w:rsidR="009116AF" w:rsidRPr="00FD5703" w:rsidRDefault="004D202E" w:rsidP="009C5CAD">
      <w:pPr>
        <w:pStyle w:val="Heading3"/>
        <w:rPr>
          <w:lang w:val="es-ES_tradnl"/>
        </w:rPr>
      </w:pPr>
      <w:bookmarkStart w:id="44" w:name="_Toc381177136"/>
      <w:r w:rsidRPr="00FD5703">
        <w:rPr>
          <w:noProof/>
          <w:lang w:val="es-ES_tradnl"/>
        </w:rPr>
        <w:t>g)</w:t>
      </w:r>
      <w:r w:rsidR="00815096" w:rsidRPr="00FD5703">
        <w:rPr>
          <w:noProof/>
          <w:lang w:val="es-ES_tradnl"/>
        </w:rPr>
        <w:tab/>
      </w:r>
      <w:r w:rsidRPr="00FD5703">
        <w:rPr>
          <w:noProof/>
          <w:lang w:val="es-ES_tradnl"/>
        </w:rPr>
        <w:t>Bases de datos de descripciones de variedades</w:t>
      </w:r>
      <w:bookmarkEnd w:id="44"/>
    </w:p>
    <w:p w:rsidR="001362DE" w:rsidRPr="00FD5703" w:rsidRDefault="001362DE" w:rsidP="009C5CAD">
      <w:pPr>
        <w:rPr>
          <w:lang w:val="es-ES_tradnl"/>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F0027E" w:rsidRPr="000E4035" w:rsidTr="00230328">
        <w:tc>
          <w:tcPr>
            <w:tcW w:w="8646" w:type="dxa"/>
          </w:tcPr>
          <w:p w:rsidR="009116AF" w:rsidRPr="00FD5703" w:rsidRDefault="004D202E" w:rsidP="009C5CAD">
            <w:pPr>
              <w:rPr>
                <w:sz w:val="18"/>
                <w:szCs w:val="18"/>
                <w:lang w:val="es-ES_tradnl"/>
              </w:rPr>
            </w:pPr>
            <w:r w:rsidRPr="00FD5703">
              <w:rPr>
                <w:sz w:val="18"/>
                <w:szCs w:val="18"/>
                <w:lang w:val="es-ES_tradnl"/>
              </w:rPr>
              <w:t>[Extracto de la carta del ISF]</w:t>
            </w:r>
          </w:p>
          <w:p w:rsidR="009116AF" w:rsidRPr="00FD5703" w:rsidRDefault="009C5CAD" w:rsidP="009C5CAD">
            <w:pPr>
              <w:rPr>
                <w:sz w:val="18"/>
                <w:szCs w:val="18"/>
                <w:lang w:val="es-ES_tradnl"/>
              </w:rPr>
            </w:pPr>
            <w:r w:rsidRPr="00FD5703">
              <w:rPr>
                <w:sz w:val="18"/>
                <w:szCs w:val="18"/>
                <w:lang w:val="es-ES_tradnl"/>
              </w:rPr>
              <w:t>“</w:t>
            </w:r>
            <w:r w:rsidR="004D202E" w:rsidRPr="00FD5703">
              <w:rPr>
                <w:sz w:val="18"/>
                <w:szCs w:val="18"/>
                <w:u w:val="single"/>
                <w:lang w:val="es-ES_tradnl"/>
              </w:rPr>
              <w:t>Bases de datos de descripciones de variedades</w:t>
            </w:r>
            <w:r w:rsidR="004D202E" w:rsidRPr="00FD5703">
              <w:rPr>
                <w:sz w:val="18"/>
                <w:szCs w:val="18"/>
                <w:lang w:val="es-ES_tradnl"/>
              </w:rPr>
              <w:t xml:space="preserve">: </w:t>
            </w:r>
            <w:r w:rsidR="00D23F05" w:rsidRPr="00FD5703">
              <w:rPr>
                <w:sz w:val="18"/>
                <w:szCs w:val="18"/>
                <w:lang w:val="es-ES_tradnl"/>
              </w:rPr>
              <w:t xml:space="preserve">se </w:t>
            </w:r>
            <w:r w:rsidR="004D202E" w:rsidRPr="00FD5703">
              <w:rPr>
                <w:sz w:val="18"/>
                <w:szCs w:val="18"/>
                <w:lang w:val="es-ES_tradnl"/>
              </w:rPr>
              <w:t xml:space="preserve">debería </w:t>
            </w:r>
            <w:r w:rsidR="00D23F05" w:rsidRPr="00FD5703">
              <w:rPr>
                <w:sz w:val="18"/>
                <w:szCs w:val="18"/>
                <w:lang w:val="es-ES_tradnl"/>
              </w:rPr>
              <w:t>crear</w:t>
            </w:r>
            <w:r w:rsidR="004D202E" w:rsidRPr="00FD5703">
              <w:rPr>
                <w:sz w:val="18"/>
                <w:szCs w:val="18"/>
                <w:lang w:val="es-ES_tradnl"/>
              </w:rPr>
              <w:t xml:space="preserve"> una base de datos de descripciones de variedades con información sobre los cuestionarios técnicos </w:t>
            </w:r>
            <w:r w:rsidR="00DD174E" w:rsidRPr="00FD5703">
              <w:rPr>
                <w:sz w:val="18"/>
                <w:szCs w:val="18"/>
                <w:lang w:val="es-ES_tradnl"/>
              </w:rPr>
              <w:t>disponible para</w:t>
            </w:r>
            <w:r w:rsidR="004D202E" w:rsidRPr="00FD5703">
              <w:rPr>
                <w:sz w:val="18"/>
                <w:szCs w:val="18"/>
                <w:lang w:val="es-ES_tradnl"/>
              </w:rPr>
              <w:t xml:space="preserve"> todas las partes interesadas. </w:t>
            </w:r>
            <w:r w:rsidR="001362DE" w:rsidRPr="00FD5703">
              <w:rPr>
                <w:sz w:val="18"/>
                <w:szCs w:val="18"/>
                <w:lang w:val="es-ES_tradnl"/>
              </w:rPr>
              <w:t xml:space="preserve">  </w:t>
            </w:r>
            <w:r w:rsidR="004D202E" w:rsidRPr="00FD5703">
              <w:rPr>
                <w:sz w:val="18"/>
                <w:szCs w:val="18"/>
                <w:lang w:val="es-ES_tradnl"/>
              </w:rPr>
              <w:t>Así, mejoraría la gestión de las colecciones de referencia y la base de selección de las variedades comparables.</w:t>
            </w:r>
            <w:r w:rsidRPr="00FD5703">
              <w:rPr>
                <w:sz w:val="18"/>
                <w:szCs w:val="18"/>
                <w:lang w:val="es-ES_tradnl"/>
              </w:rPr>
              <w:t>”</w:t>
            </w:r>
            <w:r w:rsidR="004D202E" w:rsidRPr="00FD5703">
              <w:rPr>
                <w:sz w:val="18"/>
                <w:szCs w:val="18"/>
                <w:lang w:val="es-ES_tradnl"/>
              </w:rPr>
              <w:t xml:space="preserve"> </w:t>
            </w:r>
          </w:p>
          <w:p w:rsidR="001362DE" w:rsidRPr="00FD5703" w:rsidRDefault="001362DE" w:rsidP="009C5CAD">
            <w:pPr>
              <w:rPr>
                <w:sz w:val="18"/>
                <w:szCs w:val="18"/>
                <w:lang w:val="es-ES_tradnl"/>
              </w:rPr>
            </w:pPr>
          </w:p>
        </w:tc>
      </w:tr>
      <w:tr w:rsidR="00F0027E" w:rsidRPr="00FD5703" w:rsidTr="00230328">
        <w:tc>
          <w:tcPr>
            <w:tcW w:w="8646" w:type="dxa"/>
          </w:tcPr>
          <w:p w:rsidR="00F0027E" w:rsidRPr="00FD5703" w:rsidRDefault="0012144A" w:rsidP="009C5CAD">
            <w:pPr>
              <w:rPr>
                <w:i/>
                <w:noProof/>
                <w:lang w:val="es-ES_tradnl"/>
              </w:rPr>
            </w:pPr>
            <w:r w:rsidRPr="00FD5703">
              <w:rPr>
                <w:i/>
                <w:noProof/>
                <w:lang w:val="es-ES_tradnl"/>
              </w:rPr>
              <w:t>(véase a continuación)</w:t>
            </w:r>
          </w:p>
        </w:tc>
      </w:tr>
    </w:tbl>
    <w:p w:rsidR="009116AF" w:rsidRPr="00FD5703" w:rsidRDefault="009116AF" w:rsidP="009C5CAD">
      <w:pPr>
        <w:rPr>
          <w:lang w:val="es-ES_tradnl"/>
        </w:rPr>
      </w:pPr>
    </w:p>
    <w:p w:rsidR="009116AF" w:rsidRPr="00FD5703" w:rsidRDefault="00505A73"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331BAB" w:rsidRPr="00FD5703">
        <w:rPr>
          <w:lang w:val="es-ES_tradnl"/>
        </w:rPr>
        <w:t>El Comité Consultivo solicitó a la Oficina de la Unión y a la ISF que den detalles sobre los problemas que se plantean y sus posibles soluciones en relación con las ideas de la ISF sobre</w:t>
      </w:r>
      <w:r w:rsidR="00643DA1" w:rsidRPr="00FD5703">
        <w:rPr>
          <w:lang w:val="es-ES_tradnl"/>
        </w:rPr>
        <w:t>: un</w:t>
      </w:r>
      <w:r w:rsidR="00331BAB" w:rsidRPr="00FD5703">
        <w:rPr>
          <w:lang w:val="es-ES_tradnl"/>
        </w:rPr>
        <w:t xml:space="preserve"> sistema internacional de presentación de solicitudes;  un programa de control de calidad de la UPOV;  y un sistema central para el examen de denominaciones de variedades, para someterlos al examen del Comité Consultivo en su octogésima séptima sesión.</w:t>
      </w:r>
    </w:p>
    <w:p w:rsidR="009116AF" w:rsidRPr="00FD5703" w:rsidRDefault="009116AF" w:rsidP="009C5CAD">
      <w:pPr>
        <w:rPr>
          <w:lang w:val="es-ES_tradnl"/>
        </w:rPr>
      </w:pPr>
    </w:p>
    <w:p w:rsidR="009116AF" w:rsidRPr="00FD5703" w:rsidRDefault="00CE1419"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331BAB" w:rsidRPr="00FD5703">
        <w:rPr>
          <w:color w:val="000000"/>
          <w:lang w:val="es-ES_tradnl"/>
        </w:rPr>
        <w:t xml:space="preserve">Antes de considerar las cuestiones planteadas al TC por el Comité </w:t>
      </w:r>
      <w:r w:rsidR="00643DA1" w:rsidRPr="00FD5703">
        <w:rPr>
          <w:color w:val="000000"/>
          <w:lang w:val="es-ES_tradnl"/>
        </w:rPr>
        <w:t>Consultivo</w:t>
      </w:r>
      <w:r w:rsidR="00331BAB" w:rsidRPr="00FD5703">
        <w:rPr>
          <w:color w:val="000000"/>
          <w:lang w:val="es-ES_tradnl"/>
        </w:rPr>
        <w:t xml:space="preserve"> en los puntos a) a f) del presente documento, el TC desea invitar a la ISF a examinar los materiales pertinentes de la UPOV indicados y a exponer dónde piensan que se necesitaría mayor orientación.  </w:t>
      </w:r>
    </w:p>
    <w:p w:rsidR="009116AF" w:rsidRPr="00FD5703" w:rsidRDefault="009116AF" w:rsidP="009C5CAD">
      <w:pPr>
        <w:rPr>
          <w:lang w:val="es-ES_tradnl"/>
        </w:rPr>
      </w:pPr>
    </w:p>
    <w:p w:rsidR="009116AF" w:rsidRPr="00FD5703" w:rsidRDefault="009628A1"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4C2869" w:rsidRPr="00FD5703">
        <w:rPr>
          <w:color w:val="000000"/>
          <w:lang w:val="es-ES_tradnl"/>
        </w:rPr>
        <w:t>Respecto de</w:t>
      </w:r>
      <w:r w:rsidR="00D23F05" w:rsidRPr="00FD5703">
        <w:rPr>
          <w:color w:val="000000"/>
          <w:lang w:val="es-ES_tradnl"/>
        </w:rPr>
        <w:t xml:space="preserve">l pedido </w:t>
      </w:r>
      <w:r w:rsidR="004C2869" w:rsidRPr="00FD5703">
        <w:rPr>
          <w:color w:val="000000"/>
          <w:lang w:val="es-ES_tradnl"/>
        </w:rPr>
        <w:t xml:space="preserve">de la ISF </w:t>
      </w:r>
      <w:r w:rsidR="00D23F05" w:rsidRPr="00FD5703">
        <w:rPr>
          <w:color w:val="000000"/>
          <w:lang w:val="es-ES_tradnl"/>
        </w:rPr>
        <w:t xml:space="preserve">de </w:t>
      </w:r>
      <w:r w:rsidR="004C2869" w:rsidRPr="00FD5703">
        <w:rPr>
          <w:color w:val="000000"/>
          <w:lang w:val="es-ES_tradnl"/>
        </w:rPr>
        <w:t xml:space="preserve">crear una base de datos de descripciones de variedades con información sobre cuestionarios técnicos disponible para todas las partes interesadas (véase el punto g) anterior), el Comité Consultivo convino en invitar a la ISF a </w:t>
      </w:r>
      <w:r w:rsidR="00962A34" w:rsidRPr="00FD5703">
        <w:rPr>
          <w:color w:val="000000"/>
          <w:lang w:val="es-ES_tradnl"/>
        </w:rPr>
        <w:t xml:space="preserve">exponer </w:t>
      </w:r>
      <w:r w:rsidR="004C2869" w:rsidRPr="00FD5703">
        <w:rPr>
          <w:color w:val="000000"/>
          <w:lang w:val="es-ES_tradnl"/>
        </w:rPr>
        <w:t xml:space="preserve">al TC sus puntos de vista con respecto a las descripciones de las bases de datos de variedades y los criterios determinados por el TC para la publicación de descripciones de variedades, como se definen en el documento TC/45/9 </w:t>
      </w:r>
      <w:r w:rsidR="009C5CAD" w:rsidRPr="00FD5703">
        <w:rPr>
          <w:color w:val="000000"/>
          <w:lang w:val="es-ES_tradnl"/>
        </w:rPr>
        <w:t>“</w:t>
      </w:r>
      <w:r w:rsidR="004C2869" w:rsidRPr="00FD5703">
        <w:rPr>
          <w:color w:val="000000"/>
          <w:lang w:val="es-ES_tradnl"/>
        </w:rPr>
        <w:t>Publicación de descripciones de variedades</w:t>
      </w:r>
      <w:r w:rsidR="009C5CAD" w:rsidRPr="00FD5703">
        <w:rPr>
          <w:color w:val="000000"/>
          <w:lang w:val="es-ES_tradnl"/>
        </w:rPr>
        <w:t>”</w:t>
      </w:r>
      <w:r w:rsidR="004C2869" w:rsidRPr="00FD5703">
        <w:rPr>
          <w:color w:val="000000"/>
          <w:lang w:val="es-ES_tradnl"/>
        </w:rPr>
        <w:t xml:space="preserve">. </w:t>
      </w:r>
      <w:r w:rsidRPr="00FD5703">
        <w:rPr>
          <w:lang w:val="es-ES_tradnl"/>
        </w:rPr>
        <w:t xml:space="preserve">  </w:t>
      </w:r>
      <w:r w:rsidR="004C2869" w:rsidRPr="00FD5703">
        <w:rPr>
          <w:color w:val="000000"/>
          <w:lang w:val="es-ES_tradnl"/>
        </w:rPr>
        <w:t>En el documento TC/45/9 se declara lo siguiente:</w:t>
      </w:r>
    </w:p>
    <w:p w:rsidR="009116AF" w:rsidRPr="00FD5703" w:rsidRDefault="009116AF" w:rsidP="009C5CAD">
      <w:pPr>
        <w:rPr>
          <w:lang w:val="es-ES_tradnl"/>
        </w:rPr>
      </w:pPr>
    </w:p>
    <w:p w:rsidR="009116AF" w:rsidRPr="00FD5703" w:rsidRDefault="009C5CAD" w:rsidP="009C5CAD">
      <w:pPr>
        <w:ind w:left="567" w:right="567"/>
        <w:rPr>
          <w:sz w:val="18"/>
          <w:szCs w:val="18"/>
          <w:lang w:val="es-ES_tradnl"/>
        </w:rPr>
      </w:pPr>
      <w:r w:rsidRPr="00FD5703">
        <w:rPr>
          <w:sz w:val="18"/>
          <w:szCs w:val="18"/>
          <w:lang w:val="es-ES_tradnl"/>
        </w:rPr>
        <w:t>“</w:t>
      </w:r>
      <w:r w:rsidR="00FC699A">
        <w:rPr>
          <w:sz w:val="18"/>
          <w:szCs w:val="18"/>
          <w:lang w:val="es-ES_tradnl"/>
        </w:rPr>
        <w:t>1.</w:t>
      </w:r>
      <w:r w:rsidR="00FC699A">
        <w:rPr>
          <w:sz w:val="18"/>
          <w:szCs w:val="18"/>
          <w:lang w:val="es-ES_tradnl"/>
        </w:rPr>
        <w:tab/>
      </w:r>
      <w:r w:rsidR="004C2869" w:rsidRPr="00FD5703">
        <w:rPr>
          <w:sz w:val="18"/>
          <w:szCs w:val="18"/>
          <w:lang w:val="es-ES_tradnl"/>
        </w:rPr>
        <w:t xml:space="preserve">Se recuerda que el proyecto de considerar la publicación de descripciones de variedades (véase el </w:t>
      </w:r>
      <w:r w:rsidR="00962A34" w:rsidRPr="00FD5703">
        <w:rPr>
          <w:sz w:val="18"/>
          <w:szCs w:val="18"/>
          <w:lang w:val="es-ES_tradnl"/>
        </w:rPr>
        <w:t xml:space="preserve">Anexo del </w:t>
      </w:r>
      <w:r w:rsidR="004C2869" w:rsidRPr="00FD5703">
        <w:rPr>
          <w:sz w:val="18"/>
          <w:szCs w:val="18"/>
          <w:lang w:val="es-ES_tradnl"/>
        </w:rPr>
        <w:t>documento TC/38/10) tenía por fin:</w:t>
      </w:r>
    </w:p>
    <w:p w:rsidR="009116AF" w:rsidRPr="00FD5703" w:rsidRDefault="009116AF" w:rsidP="009C5CAD">
      <w:pPr>
        <w:ind w:left="567" w:right="567"/>
        <w:rPr>
          <w:sz w:val="18"/>
          <w:szCs w:val="18"/>
          <w:lang w:val="es-ES_tradnl"/>
        </w:rPr>
      </w:pPr>
    </w:p>
    <w:p w:rsidR="009116AF" w:rsidRPr="00FD5703" w:rsidRDefault="004C2869" w:rsidP="009C5CAD">
      <w:pPr>
        <w:ind w:left="1134" w:right="567"/>
        <w:rPr>
          <w:sz w:val="18"/>
          <w:szCs w:val="18"/>
          <w:lang w:val="es-ES_tradnl"/>
        </w:rPr>
      </w:pPr>
      <w:r w:rsidRPr="00FD5703">
        <w:rPr>
          <w:sz w:val="18"/>
          <w:szCs w:val="18"/>
          <w:lang w:val="es-ES_tradnl"/>
        </w:rPr>
        <w:t xml:space="preserve">a) </w:t>
      </w:r>
      <w:r w:rsidR="00815096" w:rsidRPr="00FD5703">
        <w:rPr>
          <w:sz w:val="18"/>
          <w:szCs w:val="18"/>
          <w:lang w:val="es-ES_tradnl"/>
        </w:rPr>
        <w:tab/>
      </w:r>
      <w:r w:rsidRPr="00FD5703">
        <w:rPr>
          <w:sz w:val="18"/>
          <w:szCs w:val="18"/>
          <w:lang w:val="es-ES_tradnl"/>
        </w:rPr>
        <w:t xml:space="preserve">aumentar la disponibilidad de la información relativa a la descripción de variedades para las partes interesadas (es decir, los encargados de realizar el examen DHE, los obtentores y los conservadores de variedades notoriamente conocidas) y, por consiguiente, maximizar la eficacia del examen de la distinción; </w:t>
      </w:r>
      <w:r w:rsidR="00643DA1" w:rsidRPr="00FD5703">
        <w:rPr>
          <w:sz w:val="18"/>
          <w:szCs w:val="18"/>
          <w:lang w:val="es-ES_tradnl"/>
        </w:rPr>
        <w:t>y;</w:t>
      </w:r>
    </w:p>
    <w:p w:rsidR="009116AF" w:rsidRPr="00FD5703" w:rsidRDefault="009116AF" w:rsidP="009C5CAD">
      <w:pPr>
        <w:ind w:left="1134" w:right="567"/>
        <w:rPr>
          <w:sz w:val="18"/>
          <w:szCs w:val="18"/>
          <w:lang w:val="es-ES_tradnl"/>
        </w:rPr>
      </w:pPr>
    </w:p>
    <w:p w:rsidR="009116AF" w:rsidRPr="00FD5703" w:rsidRDefault="004C2869" w:rsidP="009C5CAD">
      <w:pPr>
        <w:ind w:left="1134" w:right="567"/>
        <w:rPr>
          <w:sz w:val="18"/>
          <w:szCs w:val="18"/>
          <w:lang w:val="es-ES_tradnl"/>
        </w:rPr>
      </w:pPr>
      <w:r w:rsidRPr="00FD5703">
        <w:rPr>
          <w:sz w:val="18"/>
          <w:szCs w:val="18"/>
          <w:lang w:val="es-ES_tradnl"/>
        </w:rPr>
        <w:t>b)</w:t>
      </w:r>
      <w:r w:rsidR="00815096" w:rsidRPr="00FD5703">
        <w:rPr>
          <w:sz w:val="18"/>
          <w:szCs w:val="18"/>
          <w:lang w:val="es-ES_tradnl"/>
        </w:rPr>
        <w:tab/>
      </w:r>
      <w:r w:rsidRPr="00FD5703">
        <w:rPr>
          <w:sz w:val="18"/>
          <w:szCs w:val="18"/>
          <w:lang w:val="es-ES_tradnl"/>
        </w:rPr>
        <w:t xml:space="preserve"> utilizar elementos apropiados de la descripción de la variedad en el examen de la distinción, a fin de eliminar variedades que no sea necesario volver a comparar e identificar las que se tengan que comparar nuevamente.</w:t>
      </w:r>
    </w:p>
    <w:p w:rsidR="009116AF" w:rsidRPr="00FD5703" w:rsidRDefault="009116AF" w:rsidP="009C5CAD">
      <w:pPr>
        <w:ind w:left="567" w:right="567"/>
        <w:rPr>
          <w:sz w:val="18"/>
          <w:szCs w:val="18"/>
          <w:lang w:val="es-ES_tradnl"/>
        </w:rPr>
      </w:pPr>
    </w:p>
    <w:p w:rsidR="009116AF" w:rsidRPr="00FD5703" w:rsidRDefault="00FC699A" w:rsidP="009C5CAD">
      <w:pPr>
        <w:ind w:left="567" w:right="567"/>
        <w:rPr>
          <w:sz w:val="18"/>
          <w:szCs w:val="18"/>
          <w:lang w:val="es-ES_tradnl"/>
        </w:rPr>
      </w:pPr>
      <w:r>
        <w:rPr>
          <w:sz w:val="18"/>
          <w:szCs w:val="18"/>
          <w:lang w:val="es-ES_tradnl"/>
        </w:rPr>
        <w:t>2.</w:t>
      </w:r>
      <w:r>
        <w:rPr>
          <w:sz w:val="18"/>
          <w:szCs w:val="18"/>
          <w:lang w:val="es-ES_tradnl"/>
        </w:rPr>
        <w:tab/>
      </w:r>
      <w:r w:rsidR="004C2869" w:rsidRPr="00FD5703">
        <w:rPr>
          <w:sz w:val="18"/>
          <w:szCs w:val="18"/>
          <w:lang w:val="es-ES_tradnl"/>
        </w:rPr>
        <w:t xml:space="preserve">En la reunión celebrada en Ginebra el 31 de marzo de 2004, el Grupo de Trabajo Especial sobre Publicación de Descripciones de Variedades (WG-PVD) explicó que, con respecto a la Base de datos de la UPOV sobre variedades vegetales, no se pretendía crear un examen DHE </w:t>
      </w:r>
      <w:r w:rsidR="009C5CAD" w:rsidRPr="00FD5703">
        <w:rPr>
          <w:sz w:val="18"/>
          <w:szCs w:val="18"/>
          <w:lang w:val="es-ES_tradnl"/>
        </w:rPr>
        <w:t>“</w:t>
      </w:r>
      <w:r w:rsidR="004C2869" w:rsidRPr="00FD5703">
        <w:rPr>
          <w:sz w:val="18"/>
          <w:szCs w:val="18"/>
          <w:lang w:val="es-ES_tradnl"/>
        </w:rPr>
        <w:t>en línea</w:t>
      </w:r>
      <w:r w:rsidR="009C5CAD" w:rsidRPr="00FD5703">
        <w:rPr>
          <w:sz w:val="18"/>
          <w:szCs w:val="18"/>
          <w:lang w:val="es-ES_tradnl"/>
        </w:rPr>
        <w:t>”</w:t>
      </w:r>
      <w:r w:rsidR="004C2869" w:rsidRPr="00FD5703">
        <w:rPr>
          <w:sz w:val="18"/>
          <w:szCs w:val="18"/>
          <w:lang w:val="es-ES_tradnl"/>
        </w:rPr>
        <w:t>.</w:t>
      </w:r>
      <w:r w:rsidR="009628A1" w:rsidRPr="00FD5703">
        <w:rPr>
          <w:sz w:val="18"/>
          <w:szCs w:val="18"/>
          <w:lang w:val="es-ES_tradnl"/>
        </w:rPr>
        <w:t xml:space="preserve">  </w:t>
      </w:r>
    </w:p>
    <w:p w:rsidR="009116AF" w:rsidRPr="00FD5703" w:rsidRDefault="009116AF" w:rsidP="009C5CAD">
      <w:pPr>
        <w:ind w:left="567" w:right="567"/>
        <w:rPr>
          <w:sz w:val="18"/>
          <w:szCs w:val="18"/>
          <w:lang w:val="es-ES_tradnl"/>
        </w:rPr>
      </w:pPr>
    </w:p>
    <w:p w:rsidR="009116AF" w:rsidRPr="00FD5703" w:rsidRDefault="00FC699A" w:rsidP="009C5CAD">
      <w:pPr>
        <w:ind w:left="567" w:right="567"/>
        <w:rPr>
          <w:sz w:val="18"/>
          <w:szCs w:val="18"/>
          <w:lang w:val="es-ES_tradnl"/>
        </w:rPr>
      </w:pPr>
      <w:r>
        <w:rPr>
          <w:sz w:val="18"/>
          <w:szCs w:val="18"/>
          <w:lang w:val="es-ES_tradnl"/>
        </w:rPr>
        <w:t>3.</w:t>
      </w:r>
      <w:r>
        <w:rPr>
          <w:sz w:val="18"/>
          <w:szCs w:val="18"/>
          <w:lang w:val="es-ES_tradnl"/>
        </w:rPr>
        <w:tab/>
      </w:r>
      <w:r w:rsidR="004C2869" w:rsidRPr="00FD5703">
        <w:rPr>
          <w:sz w:val="18"/>
          <w:szCs w:val="18"/>
          <w:lang w:val="es-ES_tradnl"/>
        </w:rPr>
        <w:t>En su cuadragésima tercera sesión, celebrada en Ginebra del 26 al 28 de marzo de 2007, el TC llegó a un acuerdo sobre la lista de criterios que han de examinar los Grupos de Trabajo Técnico (TWP) para el uso de descripciones procedentes de distintas localidades y fuentes, que es la siguiente:</w:t>
      </w:r>
    </w:p>
    <w:p w:rsidR="009116AF" w:rsidRPr="00FD5703" w:rsidRDefault="009116AF" w:rsidP="009C5CAD">
      <w:pPr>
        <w:ind w:left="567" w:right="567"/>
        <w:rPr>
          <w:sz w:val="18"/>
          <w:szCs w:val="18"/>
          <w:lang w:val="es-ES_tradnl"/>
        </w:rPr>
      </w:pPr>
    </w:p>
    <w:p w:rsidR="009116AF" w:rsidRPr="00FD5703" w:rsidRDefault="006B5DA1" w:rsidP="009C5CAD">
      <w:pPr>
        <w:ind w:left="1710" w:right="567" w:hanging="576"/>
        <w:rPr>
          <w:sz w:val="18"/>
          <w:szCs w:val="18"/>
          <w:lang w:val="es-ES_tradnl"/>
        </w:rPr>
      </w:pPr>
      <w:r w:rsidRPr="00FD5703">
        <w:rPr>
          <w:sz w:val="18"/>
          <w:szCs w:val="18"/>
          <w:lang w:val="es-ES_tradnl"/>
        </w:rPr>
        <w:t>a)</w:t>
      </w:r>
      <w:r w:rsidR="00815096" w:rsidRPr="00FD5703">
        <w:rPr>
          <w:sz w:val="18"/>
          <w:szCs w:val="18"/>
          <w:lang w:val="es-ES_tradnl"/>
        </w:rPr>
        <w:tab/>
      </w:r>
      <w:r w:rsidR="004C2869" w:rsidRPr="00FD5703">
        <w:rPr>
          <w:sz w:val="18"/>
          <w:szCs w:val="18"/>
          <w:lang w:val="es-ES_tradnl"/>
        </w:rPr>
        <w:t>considerar las especies respecto de las que opinan que es realmente interesante crear una base de datos internacional de descripciones de variedades;</w:t>
      </w:r>
    </w:p>
    <w:p w:rsidR="009116AF" w:rsidRPr="00FD5703" w:rsidRDefault="006B5DA1" w:rsidP="009C5CAD">
      <w:pPr>
        <w:ind w:left="1710" w:right="567" w:hanging="576"/>
        <w:rPr>
          <w:sz w:val="18"/>
          <w:szCs w:val="18"/>
          <w:lang w:val="es-ES_tradnl"/>
        </w:rPr>
      </w:pPr>
      <w:r w:rsidRPr="00FD5703">
        <w:rPr>
          <w:sz w:val="18"/>
          <w:szCs w:val="18"/>
          <w:lang w:val="es-ES_tradnl"/>
        </w:rPr>
        <w:t>b)</w:t>
      </w:r>
      <w:r w:rsidR="00815096" w:rsidRPr="00FD5703">
        <w:rPr>
          <w:sz w:val="18"/>
          <w:szCs w:val="18"/>
          <w:lang w:val="es-ES_tradnl"/>
        </w:rPr>
        <w:tab/>
      </w:r>
      <w:r w:rsidR="004C2869" w:rsidRPr="00FD5703">
        <w:rPr>
          <w:sz w:val="18"/>
          <w:szCs w:val="18"/>
          <w:lang w:val="es-ES_tradnl"/>
        </w:rPr>
        <w:t>especificar el objetivo y la utilidad previstos;</w:t>
      </w:r>
    </w:p>
    <w:p w:rsidR="009116AF" w:rsidRPr="00FD5703" w:rsidRDefault="006B5DA1" w:rsidP="009C5CAD">
      <w:pPr>
        <w:ind w:left="1710" w:right="567" w:hanging="576"/>
        <w:rPr>
          <w:sz w:val="18"/>
          <w:szCs w:val="18"/>
          <w:lang w:val="es-ES_tradnl"/>
        </w:rPr>
      </w:pPr>
      <w:r w:rsidRPr="00FD5703">
        <w:rPr>
          <w:sz w:val="18"/>
          <w:szCs w:val="18"/>
          <w:lang w:val="es-ES_tradnl"/>
        </w:rPr>
        <w:t>c)</w:t>
      </w:r>
      <w:r w:rsidR="00815096" w:rsidRPr="00FD5703">
        <w:rPr>
          <w:sz w:val="18"/>
          <w:szCs w:val="18"/>
          <w:lang w:val="es-ES_tradnl"/>
        </w:rPr>
        <w:tab/>
      </w:r>
      <w:r w:rsidR="004C2869" w:rsidRPr="00FD5703">
        <w:rPr>
          <w:sz w:val="18"/>
          <w:szCs w:val="18"/>
          <w:lang w:val="es-ES_tradnl"/>
        </w:rPr>
        <w:t>seleccionar los caracteres respecto de los que deben publicarse descripciones;</w:t>
      </w:r>
      <w:r w:rsidR="009628A1" w:rsidRPr="00FD5703">
        <w:rPr>
          <w:sz w:val="18"/>
          <w:szCs w:val="18"/>
          <w:lang w:val="es-ES_tradnl"/>
        </w:rPr>
        <w:t xml:space="preserve"> </w:t>
      </w:r>
    </w:p>
    <w:p w:rsidR="009116AF" w:rsidRPr="00FD5703" w:rsidRDefault="006B5DA1" w:rsidP="009C5CAD">
      <w:pPr>
        <w:ind w:left="1710" w:right="567" w:hanging="576"/>
        <w:rPr>
          <w:sz w:val="18"/>
          <w:szCs w:val="18"/>
          <w:lang w:val="es-ES_tradnl"/>
        </w:rPr>
      </w:pPr>
      <w:r w:rsidRPr="00FD5703">
        <w:rPr>
          <w:sz w:val="18"/>
          <w:szCs w:val="18"/>
          <w:lang w:val="es-ES_tradnl"/>
        </w:rPr>
        <w:t>d)</w:t>
      </w:r>
      <w:r w:rsidR="00815096" w:rsidRPr="00FD5703">
        <w:rPr>
          <w:sz w:val="18"/>
          <w:szCs w:val="18"/>
          <w:lang w:val="es-ES_tradnl"/>
        </w:rPr>
        <w:tab/>
      </w:r>
      <w:r w:rsidR="004C2869" w:rsidRPr="00FD5703">
        <w:rPr>
          <w:sz w:val="18"/>
          <w:szCs w:val="18"/>
          <w:lang w:val="es-ES_tradnl"/>
        </w:rPr>
        <w:t xml:space="preserve">especificar para cada carácter el grado de armonización ya alcanzado o pretendido (en este último caso, especificar si deben adoptarse medidas para mejorar el grado de armonización:  </w:t>
      </w:r>
      <w:r w:rsidR="004C2869" w:rsidRPr="00FD5703">
        <w:rPr>
          <w:i/>
          <w:sz w:val="18"/>
          <w:szCs w:val="18"/>
          <w:lang w:val="es-ES_tradnl"/>
        </w:rPr>
        <w:t xml:space="preserve">ring </w:t>
      </w:r>
      <w:proofErr w:type="spellStart"/>
      <w:r w:rsidR="004C2869" w:rsidRPr="00FD5703">
        <w:rPr>
          <w:i/>
          <w:sz w:val="18"/>
          <w:szCs w:val="18"/>
          <w:lang w:val="es-ES_tradnl"/>
        </w:rPr>
        <w:t>tests</w:t>
      </w:r>
      <w:proofErr w:type="spellEnd"/>
      <w:r w:rsidR="004C2869" w:rsidRPr="00FD5703">
        <w:rPr>
          <w:sz w:val="18"/>
          <w:szCs w:val="18"/>
          <w:lang w:val="es-ES_tradnl"/>
        </w:rPr>
        <w:t>, revisión de la descripción del modo de observación en las directrices...);</w:t>
      </w:r>
    </w:p>
    <w:p w:rsidR="009116AF" w:rsidRPr="00FD5703" w:rsidRDefault="006B5DA1" w:rsidP="009C5CAD">
      <w:pPr>
        <w:ind w:left="1710" w:right="567" w:hanging="576"/>
        <w:rPr>
          <w:sz w:val="18"/>
          <w:szCs w:val="18"/>
          <w:lang w:val="es-ES_tradnl"/>
        </w:rPr>
      </w:pPr>
      <w:r w:rsidRPr="00FD5703">
        <w:rPr>
          <w:sz w:val="18"/>
          <w:szCs w:val="18"/>
          <w:lang w:val="es-ES_tradnl"/>
        </w:rPr>
        <w:t>e)</w:t>
      </w:r>
      <w:r w:rsidR="00815096" w:rsidRPr="00FD5703">
        <w:rPr>
          <w:sz w:val="18"/>
          <w:szCs w:val="18"/>
          <w:lang w:val="es-ES_tradnl"/>
        </w:rPr>
        <w:tab/>
      </w:r>
      <w:r w:rsidR="004C2869" w:rsidRPr="00FD5703">
        <w:rPr>
          <w:sz w:val="18"/>
          <w:szCs w:val="18"/>
          <w:lang w:val="es-ES_tradnl"/>
        </w:rPr>
        <w:t xml:space="preserve">estudiar la pertinencia de un </w:t>
      </w:r>
      <w:r w:rsidR="009C5CAD" w:rsidRPr="00FD5703">
        <w:rPr>
          <w:sz w:val="18"/>
          <w:szCs w:val="18"/>
          <w:lang w:val="es-ES_tradnl"/>
        </w:rPr>
        <w:t>“</w:t>
      </w:r>
      <w:r w:rsidR="004C2869" w:rsidRPr="00FD5703">
        <w:rPr>
          <w:sz w:val="18"/>
          <w:szCs w:val="18"/>
          <w:lang w:val="es-ES_tradnl"/>
        </w:rPr>
        <w:t>enfoque regional</w:t>
      </w:r>
      <w:r w:rsidR="009C5CAD" w:rsidRPr="00FD5703">
        <w:rPr>
          <w:sz w:val="18"/>
          <w:szCs w:val="18"/>
          <w:lang w:val="es-ES_tradnl"/>
        </w:rPr>
        <w:t>”</w:t>
      </w:r>
      <w:r w:rsidR="004C2869" w:rsidRPr="00FD5703">
        <w:rPr>
          <w:sz w:val="18"/>
          <w:szCs w:val="18"/>
          <w:lang w:val="es-ES_tradnl"/>
        </w:rPr>
        <w:t xml:space="preserve">, en lugar de un </w:t>
      </w:r>
      <w:r w:rsidR="009C5CAD" w:rsidRPr="00FD5703">
        <w:rPr>
          <w:sz w:val="18"/>
          <w:szCs w:val="18"/>
          <w:lang w:val="es-ES_tradnl"/>
        </w:rPr>
        <w:t>“</w:t>
      </w:r>
      <w:r w:rsidR="004C2869" w:rsidRPr="00FD5703">
        <w:rPr>
          <w:sz w:val="18"/>
          <w:szCs w:val="18"/>
          <w:lang w:val="es-ES_tradnl"/>
        </w:rPr>
        <w:t>enfoque internacional</w:t>
      </w:r>
      <w:r w:rsidR="009C5CAD" w:rsidRPr="00FD5703">
        <w:rPr>
          <w:sz w:val="18"/>
          <w:szCs w:val="18"/>
          <w:lang w:val="es-ES_tradnl"/>
        </w:rPr>
        <w:t>”</w:t>
      </w:r>
      <w:r w:rsidR="004C2869" w:rsidRPr="00FD5703">
        <w:rPr>
          <w:sz w:val="18"/>
          <w:szCs w:val="18"/>
          <w:lang w:val="es-ES_tradnl"/>
        </w:rPr>
        <w:t xml:space="preserve"> </w:t>
      </w:r>
      <w:r w:rsidR="00643DA1" w:rsidRPr="00FD5703">
        <w:rPr>
          <w:sz w:val="18"/>
          <w:szCs w:val="18"/>
          <w:lang w:val="es-ES_tradnl"/>
        </w:rPr>
        <w:t>(para</w:t>
      </w:r>
      <w:r w:rsidR="004C2869" w:rsidRPr="00FD5703">
        <w:rPr>
          <w:sz w:val="18"/>
          <w:szCs w:val="18"/>
          <w:lang w:val="es-ES_tradnl"/>
        </w:rPr>
        <w:t xml:space="preserve"> considerar grupos de países y comparar las descripciones sólo dentro de esos grupos);</w:t>
      </w:r>
    </w:p>
    <w:p w:rsidR="009116AF" w:rsidRPr="00FD5703" w:rsidRDefault="006B5DA1" w:rsidP="009C5CAD">
      <w:pPr>
        <w:ind w:left="1710" w:right="567" w:hanging="576"/>
        <w:rPr>
          <w:sz w:val="18"/>
          <w:szCs w:val="18"/>
          <w:lang w:val="es-ES_tradnl"/>
        </w:rPr>
      </w:pPr>
      <w:r w:rsidRPr="00FD5703">
        <w:rPr>
          <w:sz w:val="18"/>
          <w:szCs w:val="18"/>
          <w:lang w:val="es-ES_tradnl"/>
        </w:rPr>
        <w:t>f)</w:t>
      </w:r>
      <w:r w:rsidR="00815096" w:rsidRPr="00FD5703">
        <w:rPr>
          <w:sz w:val="18"/>
          <w:szCs w:val="18"/>
          <w:lang w:val="es-ES_tradnl"/>
        </w:rPr>
        <w:tab/>
      </w:r>
      <w:r w:rsidR="004C2869" w:rsidRPr="00FD5703">
        <w:rPr>
          <w:sz w:val="18"/>
          <w:szCs w:val="18"/>
          <w:lang w:val="es-ES_tradnl"/>
        </w:rPr>
        <w:t>proponer distancias mínimas para los caracteres pertinentes al establecer comparaciones entre los datos;</w:t>
      </w:r>
    </w:p>
    <w:p w:rsidR="009116AF" w:rsidRPr="00FD5703" w:rsidRDefault="006B5DA1" w:rsidP="009C5CAD">
      <w:pPr>
        <w:ind w:left="1710" w:right="567" w:hanging="576"/>
        <w:rPr>
          <w:sz w:val="18"/>
          <w:szCs w:val="18"/>
          <w:lang w:val="es-ES_tradnl"/>
        </w:rPr>
      </w:pPr>
      <w:r w:rsidRPr="00FD5703">
        <w:rPr>
          <w:sz w:val="18"/>
          <w:szCs w:val="18"/>
          <w:lang w:val="es-ES_tradnl"/>
        </w:rPr>
        <w:t>g)</w:t>
      </w:r>
      <w:r w:rsidR="00815096" w:rsidRPr="00FD5703">
        <w:rPr>
          <w:sz w:val="18"/>
          <w:szCs w:val="18"/>
          <w:lang w:val="es-ES_tradnl"/>
        </w:rPr>
        <w:tab/>
      </w:r>
      <w:r w:rsidR="004C2869" w:rsidRPr="00FD5703">
        <w:rPr>
          <w:sz w:val="18"/>
          <w:szCs w:val="18"/>
          <w:lang w:val="es-ES_tradnl"/>
        </w:rPr>
        <w:t>indicar cuáles son los países que contribuirían a la publicación;</w:t>
      </w:r>
      <w:r w:rsidR="009628A1" w:rsidRPr="00FD5703">
        <w:rPr>
          <w:sz w:val="18"/>
          <w:szCs w:val="18"/>
          <w:lang w:val="es-ES_tradnl"/>
        </w:rPr>
        <w:t xml:space="preserve">  </w:t>
      </w:r>
    </w:p>
    <w:p w:rsidR="009116AF" w:rsidRPr="00FD5703" w:rsidRDefault="006B5DA1" w:rsidP="009C5CAD">
      <w:pPr>
        <w:ind w:left="1710" w:right="567" w:hanging="576"/>
        <w:rPr>
          <w:sz w:val="18"/>
          <w:szCs w:val="18"/>
          <w:lang w:val="es-ES_tradnl"/>
        </w:rPr>
      </w:pPr>
      <w:r w:rsidRPr="00FD5703">
        <w:rPr>
          <w:sz w:val="18"/>
          <w:szCs w:val="18"/>
          <w:lang w:val="es-ES_tradnl"/>
        </w:rPr>
        <w:t>h)</w:t>
      </w:r>
      <w:r w:rsidR="00815096" w:rsidRPr="00FD5703">
        <w:rPr>
          <w:sz w:val="18"/>
          <w:szCs w:val="18"/>
          <w:lang w:val="es-ES_tradnl"/>
        </w:rPr>
        <w:tab/>
      </w:r>
      <w:r w:rsidR="004C2869" w:rsidRPr="00FD5703">
        <w:rPr>
          <w:sz w:val="18"/>
          <w:szCs w:val="18"/>
          <w:lang w:val="es-ES_tradnl"/>
        </w:rPr>
        <w:t>considerar el tipo de acceso (libre o limitado a los colaboradores);  y</w:t>
      </w:r>
    </w:p>
    <w:p w:rsidR="009116AF" w:rsidRPr="00FD5703" w:rsidRDefault="006B5DA1" w:rsidP="009C5CAD">
      <w:pPr>
        <w:ind w:left="1710" w:right="567" w:hanging="576"/>
        <w:rPr>
          <w:sz w:val="18"/>
          <w:szCs w:val="18"/>
          <w:lang w:val="es-ES_tradnl"/>
        </w:rPr>
      </w:pPr>
      <w:r w:rsidRPr="00FD5703">
        <w:rPr>
          <w:sz w:val="18"/>
          <w:szCs w:val="18"/>
          <w:lang w:val="es-ES_tradnl"/>
        </w:rPr>
        <w:t>i)</w:t>
      </w:r>
      <w:r w:rsidR="00815096" w:rsidRPr="00FD5703">
        <w:rPr>
          <w:sz w:val="18"/>
          <w:szCs w:val="18"/>
          <w:lang w:val="es-ES_tradnl"/>
        </w:rPr>
        <w:tab/>
      </w:r>
      <w:r w:rsidR="004C2869" w:rsidRPr="00FD5703">
        <w:rPr>
          <w:sz w:val="18"/>
          <w:szCs w:val="18"/>
          <w:lang w:val="es-ES_tradnl"/>
        </w:rPr>
        <w:t>considerar el costo de los proyectos correspondientes.</w:t>
      </w:r>
    </w:p>
    <w:p w:rsidR="009116AF" w:rsidRPr="00FD5703" w:rsidRDefault="009116AF" w:rsidP="009C5CAD">
      <w:pPr>
        <w:ind w:left="567" w:right="567"/>
        <w:rPr>
          <w:sz w:val="18"/>
          <w:szCs w:val="18"/>
          <w:lang w:val="es-ES_tradnl"/>
        </w:rPr>
      </w:pPr>
    </w:p>
    <w:p w:rsidR="009116AF" w:rsidRPr="00FD5703" w:rsidRDefault="00FC699A" w:rsidP="009C5CAD">
      <w:pPr>
        <w:ind w:left="567" w:right="567"/>
        <w:rPr>
          <w:sz w:val="18"/>
          <w:szCs w:val="18"/>
          <w:lang w:val="es-ES_tradnl"/>
        </w:rPr>
      </w:pPr>
      <w:r>
        <w:rPr>
          <w:sz w:val="18"/>
          <w:szCs w:val="18"/>
          <w:lang w:val="es-ES_tradnl"/>
        </w:rPr>
        <w:t>4.</w:t>
      </w:r>
      <w:r>
        <w:rPr>
          <w:sz w:val="18"/>
          <w:szCs w:val="18"/>
          <w:lang w:val="es-ES_tradnl"/>
        </w:rPr>
        <w:tab/>
      </w:r>
      <w:r w:rsidR="004C2869" w:rsidRPr="00FD5703">
        <w:rPr>
          <w:sz w:val="18"/>
          <w:szCs w:val="18"/>
          <w:lang w:val="es-ES_tradnl"/>
        </w:rPr>
        <w:t>El TC convino en que no se organizarán más reuniones del WG-PVD, hasta que se hayan elaborado propuestas específicas para que el TC o uno de los TWP las examinen.</w:t>
      </w:r>
    </w:p>
    <w:p w:rsidR="009116AF" w:rsidRPr="00FD5703" w:rsidRDefault="009116AF" w:rsidP="009C5CAD">
      <w:pPr>
        <w:ind w:left="567" w:right="567"/>
        <w:rPr>
          <w:sz w:val="18"/>
          <w:szCs w:val="18"/>
          <w:lang w:val="es-ES_tradnl"/>
        </w:rPr>
      </w:pPr>
    </w:p>
    <w:p w:rsidR="009116AF" w:rsidRPr="00FD5703" w:rsidRDefault="009628A1" w:rsidP="009C5CAD">
      <w:pPr>
        <w:ind w:left="567" w:right="567"/>
        <w:rPr>
          <w:lang w:val="es-ES_tradnl"/>
        </w:rPr>
      </w:pPr>
      <w:r w:rsidRPr="00FD5703">
        <w:rPr>
          <w:sz w:val="18"/>
          <w:szCs w:val="18"/>
          <w:lang w:val="es-ES_tradnl"/>
        </w:rPr>
        <w:t>[…]</w:t>
      </w:r>
      <w:r w:rsidR="009C5CAD" w:rsidRPr="00FD5703">
        <w:rPr>
          <w:sz w:val="18"/>
          <w:szCs w:val="18"/>
          <w:lang w:val="es-ES_tradnl"/>
        </w:rPr>
        <w:t>”</w:t>
      </w:r>
    </w:p>
    <w:p w:rsidR="009116AF" w:rsidRPr="00FD5703" w:rsidRDefault="001F4113" w:rsidP="009C5CAD">
      <w:pPr>
        <w:pStyle w:val="DecisionParagraphs"/>
        <w:tabs>
          <w:tab w:val="left" w:pos="5954"/>
        </w:tabs>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346D98" w:rsidRPr="00FD5703">
        <w:rPr>
          <w:lang w:val="es-ES_tradnl"/>
        </w:rPr>
        <w:t>Se invita al TC a:</w:t>
      </w:r>
    </w:p>
    <w:p w:rsidR="009116AF" w:rsidRPr="00FD5703" w:rsidRDefault="009116AF" w:rsidP="009C5CAD">
      <w:pPr>
        <w:pStyle w:val="DecisionParagraphs"/>
        <w:tabs>
          <w:tab w:val="left" w:pos="5954"/>
        </w:tabs>
        <w:rPr>
          <w:lang w:val="es-ES_tradnl"/>
        </w:rPr>
      </w:pPr>
    </w:p>
    <w:p w:rsidR="009116AF" w:rsidRPr="00FD5703" w:rsidRDefault="00F0027E" w:rsidP="009C5CAD">
      <w:pPr>
        <w:pStyle w:val="DecisionParagraphs"/>
        <w:tabs>
          <w:tab w:val="left" w:pos="5954"/>
        </w:tabs>
        <w:rPr>
          <w:lang w:val="es-ES_tradnl"/>
        </w:rPr>
      </w:pPr>
      <w:r w:rsidRPr="00FD5703">
        <w:rPr>
          <w:lang w:val="es-ES_tradnl"/>
        </w:rPr>
        <w:tab/>
      </w:r>
      <w:r w:rsidR="006B5DA1" w:rsidRPr="00FD5703">
        <w:rPr>
          <w:lang w:val="es-ES_tradnl"/>
        </w:rPr>
        <w:t>a)</w:t>
      </w:r>
      <w:r w:rsidR="00815096" w:rsidRPr="00FD5703">
        <w:rPr>
          <w:lang w:val="es-ES_tradnl"/>
        </w:rPr>
        <w:tab/>
      </w:r>
      <w:r w:rsidR="00B537F6">
        <w:rPr>
          <w:lang w:val="es-ES_tradnl"/>
        </w:rPr>
        <w:t xml:space="preserve">tomar nota de </w:t>
      </w:r>
      <w:r w:rsidR="00346D98" w:rsidRPr="00FD5703">
        <w:rPr>
          <w:lang w:val="es-ES_tradnl"/>
        </w:rPr>
        <w:t xml:space="preserve">que el Comité Consultivo convino en elaborar a partir del documento UPOV/INF/15 </w:t>
      </w:r>
      <w:r w:rsidR="009C5CAD" w:rsidRPr="00FD5703">
        <w:rPr>
          <w:lang w:val="es-ES_tradnl"/>
        </w:rPr>
        <w:t>“</w:t>
      </w:r>
      <w:r w:rsidR="00346D98" w:rsidRPr="00FD5703">
        <w:rPr>
          <w:lang w:val="es-ES_tradnl"/>
        </w:rPr>
        <w:t>Orientación para los miembros de la UPOV sobre las obligaciones actuales y las notificaciones conexas y sobre el suministro de información para facilitar la cooperación</w:t>
      </w:r>
      <w:r w:rsidR="009C5CAD" w:rsidRPr="00FD5703">
        <w:rPr>
          <w:lang w:val="es-ES_tradnl"/>
        </w:rPr>
        <w:t>”</w:t>
      </w:r>
      <w:r w:rsidR="00346D98" w:rsidRPr="00FD5703">
        <w:rPr>
          <w:lang w:val="es-ES_tradnl"/>
        </w:rPr>
        <w:t xml:space="preserve"> un documento marco en el que se determinen los elementos esenciales para el funcionamiento de un sistema de protección de las variedades vegetales, según lo expuesto en los párrafos 4</w:t>
      </w:r>
      <w:r w:rsidR="00FF1329">
        <w:rPr>
          <w:lang w:val="es-ES_tradnl"/>
        </w:rPr>
        <w:t>4</w:t>
      </w:r>
      <w:r w:rsidR="00346D98" w:rsidRPr="00FD5703">
        <w:rPr>
          <w:lang w:val="es-ES_tradnl"/>
        </w:rPr>
        <w:t xml:space="preserve"> y 4</w:t>
      </w:r>
      <w:r w:rsidR="00FF1329">
        <w:rPr>
          <w:lang w:val="es-ES_tradnl"/>
        </w:rPr>
        <w:t>5</w:t>
      </w:r>
      <w:r w:rsidR="00346D98" w:rsidRPr="00FD5703">
        <w:rPr>
          <w:lang w:val="es-ES_tradnl"/>
        </w:rPr>
        <w:t xml:space="preserve">. </w:t>
      </w:r>
    </w:p>
    <w:p w:rsidR="009116AF" w:rsidRPr="00FD5703" w:rsidRDefault="009116AF" w:rsidP="009C5CAD">
      <w:pPr>
        <w:pStyle w:val="DecisionParagraphs"/>
        <w:tabs>
          <w:tab w:val="left" w:pos="5954"/>
        </w:tabs>
        <w:rPr>
          <w:lang w:val="es-ES_tradnl"/>
        </w:rPr>
      </w:pPr>
    </w:p>
    <w:p w:rsidR="009116AF" w:rsidRPr="00FD5703" w:rsidRDefault="00CE1419" w:rsidP="009C5CAD">
      <w:pPr>
        <w:pStyle w:val="DecisionParagraphs"/>
        <w:tabs>
          <w:tab w:val="left" w:pos="5954"/>
        </w:tabs>
        <w:rPr>
          <w:lang w:val="es-ES_tradnl"/>
        </w:rPr>
      </w:pPr>
      <w:r w:rsidRPr="00FD5703">
        <w:rPr>
          <w:lang w:val="es-ES_tradnl"/>
        </w:rPr>
        <w:tab/>
      </w:r>
      <w:r w:rsidR="006B5DA1" w:rsidRPr="00FD5703">
        <w:rPr>
          <w:lang w:val="es-ES_tradnl"/>
        </w:rPr>
        <w:t>b)</w:t>
      </w:r>
      <w:r w:rsidR="00815096" w:rsidRPr="00FD5703">
        <w:rPr>
          <w:lang w:val="es-ES_tradnl"/>
        </w:rPr>
        <w:tab/>
      </w:r>
      <w:r w:rsidR="00346D98" w:rsidRPr="00FD5703">
        <w:rPr>
          <w:lang w:val="es-ES_tradnl"/>
        </w:rPr>
        <w:t>respecto de las cuestiones planteadas en los puntos a) a f) en el párrafo 45, invitar a la ISF a tomar en cuenta l</w:t>
      </w:r>
      <w:r w:rsidR="00B537F6">
        <w:rPr>
          <w:lang w:val="es-ES_tradnl"/>
        </w:rPr>
        <w:t>os materiales pertinentes de la </w:t>
      </w:r>
      <w:r w:rsidR="00346D98" w:rsidRPr="00FD5703">
        <w:rPr>
          <w:lang w:val="es-ES_tradnl"/>
        </w:rPr>
        <w:t>UPOV, y explicar dónde piensan que se necesitaría mayor orientación;</w:t>
      </w:r>
    </w:p>
    <w:p w:rsidR="009116AF" w:rsidRPr="00FD5703" w:rsidRDefault="009116AF" w:rsidP="009C5CAD">
      <w:pPr>
        <w:pStyle w:val="DecisionParagraphs"/>
        <w:tabs>
          <w:tab w:val="left" w:pos="5954"/>
        </w:tabs>
        <w:rPr>
          <w:lang w:val="es-ES_tradnl"/>
        </w:rPr>
      </w:pPr>
    </w:p>
    <w:p w:rsidR="009116AF" w:rsidRPr="00FD5703" w:rsidRDefault="00AE0E09" w:rsidP="009C5CAD">
      <w:pPr>
        <w:pStyle w:val="DecisionParagraphs"/>
        <w:tabs>
          <w:tab w:val="left" w:pos="5954"/>
        </w:tabs>
        <w:rPr>
          <w:spacing w:val="-2"/>
          <w:lang w:val="es-ES_tradnl"/>
        </w:rPr>
      </w:pPr>
      <w:r w:rsidRPr="00FD5703">
        <w:rPr>
          <w:lang w:val="es-ES_tradnl"/>
        </w:rPr>
        <w:tab/>
      </w:r>
      <w:r w:rsidR="006B5DA1" w:rsidRPr="00FD5703">
        <w:rPr>
          <w:lang w:val="es-ES_tradnl"/>
        </w:rPr>
        <w:t>c)</w:t>
      </w:r>
      <w:r w:rsidR="00815096" w:rsidRPr="00FD5703">
        <w:rPr>
          <w:lang w:val="es-ES_tradnl"/>
        </w:rPr>
        <w:tab/>
      </w:r>
      <w:r w:rsidR="00B537F6">
        <w:rPr>
          <w:lang w:val="es-ES_tradnl"/>
        </w:rPr>
        <w:t xml:space="preserve">tomar nota de </w:t>
      </w:r>
      <w:r w:rsidR="00346D98" w:rsidRPr="00FD5703">
        <w:rPr>
          <w:lang w:val="es-ES_tradnl"/>
        </w:rPr>
        <w:t xml:space="preserve">que se ha invitado a la ISF a expresar al TC sus puntos de vista con respecto a las descripciones de las bases de datos de variedades y los criterios determinados por el TC para la publicación de descripciones de variedades, como se definen en el documento TC/45/9 </w:t>
      </w:r>
      <w:r w:rsidR="009C5CAD" w:rsidRPr="00FD5703">
        <w:rPr>
          <w:lang w:val="es-ES_tradnl"/>
        </w:rPr>
        <w:t>“</w:t>
      </w:r>
      <w:r w:rsidR="00346D98" w:rsidRPr="00FD5703">
        <w:rPr>
          <w:lang w:val="es-ES_tradnl"/>
        </w:rPr>
        <w:t>Publicación de descripciones de variedades.</w:t>
      </w:r>
      <w:r w:rsidR="009C5CAD" w:rsidRPr="00FD5703">
        <w:rPr>
          <w:lang w:val="es-ES_tradnl"/>
        </w:rPr>
        <w:t>”</w:t>
      </w:r>
      <w:r w:rsidR="00346D98" w:rsidRPr="00FD5703">
        <w:rPr>
          <w:lang w:val="es-ES_tradnl"/>
        </w:rPr>
        <w:t xml:space="preserve"> </w:t>
      </w:r>
    </w:p>
    <w:p w:rsidR="009116AF" w:rsidRPr="00FD5703" w:rsidRDefault="009116AF" w:rsidP="009C5CAD">
      <w:pPr>
        <w:rPr>
          <w:lang w:val="es-ES_tradnl"/>
        </w:rPr>
      </w:pPr>
    </w:p>
    <w:p w:rsidR="009116AF" w:rsidRPr="00FD5703" w:rsidRDefault="009116AF" w:rsidP="009C5CAD">
      <w:pPr>
        <w:rPr>
          <w:lang w:val="es-ES_tradnl"/>
        </w:rPr>
      </w:pPr>
    </w:p>
    <w:p w:rsidR="009116AF" w:rsidRPr="00FD5703" w:rsidRDefault="00346D98" w:rsidP="00464673">
      <w:pPr>
        <w:pStyle w:val="Heading1"/>
        <w:rPr>
          <w:lang w:val="es-ES_tradnl"/>
        </w:rPr>
      </w:pPr>
      <w:bookmarkStart w:id="45" w:name="_Toc381177137"/>
      <w:r w:rsidRPr="00FD5703">
        <w:rPr>
          <w:lang w:val="es-ES_tradnl"/>
        </w:rPr>
        <w:t>PLANTILLA EN INTERNET DE LOS DOCUMENTOS TG</w:t>
      </w:r>
      <w:bookmarkEnd w:id="45"/>
    </w:p>
    <w:p w:rsidR="009116AF" w:rsidRPr="00FD5703" w:rsidRDefault="009116AF" w:rsidP="009C5CAD">
      <w:pPr>
        <w:rPr>
          <w:lang w:val="es-ES_tradnl"/>
        </w:rPr>
      </w:pPr>
    </w:p>
    <w:p w:rsidR="009116AF" w:rsidRPr="00FD5703" w:rsidRDefault="00761761"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346D98" w:rsidRPr="00FD5703">
        <w:rPr>
          <w:lang w:val="es-ES_tradnl"/>
        </w:rPr>
        <w:t xml:space="preserve">El TC, en su cuadragésima novena sesión, celebrada en Ginebra del 18 al 20 de marzo de 2013, asistió a una ponencia, ofrecida por la Oficina de la Unión y un experto de Australia, sobre el proyecto de </w:t>
      </w:r>
      <w:r w:rsidR="00DE7712" w:rsidRPr="00FD5703">
        <w:rPr>
          <w:lang w:val="es-ES_tradnl"/>
        </w:rPr>
        <w:t>elaboración</w:t>
      </w:r>
      <w:r w:rsidR="00346D98" w:rsidRPr="00FD5703">
        <w:rPr>
          <w:lang w:val="es-ES_tradnl"/>
        </w:rPr>
        <w:t xml:space="preserve"> de una plantilla en Internet de los documentos TG, y señaló que se adjuntará una copia de la ponencia como adición al documento TC/49/3 </w:t>
      </w:r>
      <w:r w:rsidR="009C5CAD" w:rsidRPr="00FD5703">
        <w:rPr>
          <w:lang w:val="es-ES_tradnl"/>
        </w:rPr>
        <w:t>“</w:t>
      </w:r>
      <w:r w:rsidR="00346D98" w:rsidRPr="00FD5703">
        <w:rPr>
          <w:lang w:val="es-ES_tradnl"/>
        </w:rPr>
        <w:t>Cuestiones planteadas por los Grupos de Trabajo Técnicos.</w:t>
      </w:r>
      <w:r w:rsidR="009C5CAD" w:rsidRPr="00FD5703">
        <w:rPr>
          <w:lang w:val="es-ES_tradnl"/>
        </w:rPr>
        <w:t>”</w:t>
      </w:r>
      <w:r w:rsidRPr="00FD5703">
        <w:rPr>
          <w:lang w:val="es-ES_tradnl"/>
        </w:rPr>
        <w:t xml:space="preserve">  </w:t>
      </w:r>
      <w:r w:rsidR="00346D98" w:rsidRPr="00FD5703">
        <w:rPr>
          <w:lang w:val="es-ES_tradnl"/>
        </w:rPr>
        <w:t xml:space="preserve">El Secretario General Adjunto informó de que se prevé </w:t>
      </w:r>
      <w:r w:rsidR="00DE7712" w:rsidRPr="00FD5703">
        <w:rPr>
          <w:lang w:val="es-ES_tradnl"/>
        </w:rPr>
        <w:t>crear</w:t>
      </w:r>
      <w:r w:rsidR="00346D98" w:rsidRPr="00FD5703">
        <w:rPr>
          <w:lang w:val="es-ES_tradnl"/>
        </w:rPr>
        <w:t xml:space="preserve"> un prototipo para que los expertos interesados lo prueben antes de que termine 2013. </w:t>
      </w:r>
    </w:p>
    <w:p w:rsidR="00B537F6" w:rsidRDefault="00B537F6" w:rsidP="009C5CAD">
      <w:pPr>
        <w:jc w:val="left"/>
        <w:rPr>
          <w:lang w:val="es-ES_tradnl"/>
        </w:rPr>
      </w:pPr>
    </w:p>
    <w:p w:rsidR="009116AF" w:rsidRPr="00FD5703" w:rsidRDefault="00761761"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5551D9" w:rsidRPr="00FD5703">
        <w:rPr>
          <w:lang w:val="es-ES_tradnl"/>
        </w:rPr>
        <w:t>El TC manifestó su apoyo al proyecto y señaló que la plantilla</w:t>
      </w:r>
      <w:r w:rsidR="00DC4EB0" w:rsidRPr="00FD5703">
        <w:rPr>
          <w:lang w:val="es-ES_tradnl"/>
        </w:rPr>
        <w:t xml:space="preserve"> en Internet de los documentos TG</w:t>
      </w:r>
      <w:r w:rsidR="005551D9" w:rsidRPr="00FD5703">
        <w:rPr>
          <w:lang w:val="es-ES_tradnl"/>
        </w:rPr>
        <w:t xml:space="preserve"> proporcionará a los redactores de las directrices de examen flexibilidad suficiente para introducir propuestas no previstas en el texto estándar actual.</w:t>
      </w:r>
      <w:r w:rsidR="009C3347" w:rsidRPr="00FD5703">
        <w:rPr>
          <w:lang w:val="es-ES_tradnl"/>
        </w:rPr>
        <w:t xml:space="preserve">  </w:t>
      </w:r>
      <w:r w:rsidR="005551D9" w:rsidRPr="00FD5703">
        <w:rPr>
          <w:lang w:val="es-ES_tradnl"/>
        </w:rPr>
        <w:t>Tomó nota de las observaciones sobre el proyecto formuladas por los</w:t>
      </w:r>
      <w:r w:rsidR="00D1135F" w:rsidRPr="00FD5703">
        <w:rPr>
          <w:lang w:val="es-ES_tradnl"/>
        </w:rPr>
        <w:t xml:space="preserve"> Grupos de Trabajo Técnico</w:t>
      </w:r>
      <w:r w:rsidR="005551D9" w:rsidRPr="00FD5703">
        <w:rPr>
          <w:lang w:val="es-ES_tradnl"/>
        </w:rPr>
        <w:t xml:space="preserve"> </w:t>
      </w:r>
      <w:r w:rsidR="00D1135F" w:rsidRPr="00FD5703">
        <w:rPr>
          <w:lang w:val="es-ES_tradnl"/>
        </w:rPr>
        <w:t>(</w:t>
      </w:r>
      <w:r w:rsidR="005551D9" w:rsidRPr="00FD5703">
        <w:rPr>
          <w:lang w:val="es-ES_tradnl"/>
        </w:rPr>
        <w:t>TWP</w:t>
      </w:r>
      <w:r w:rsidR="00D1135F" w:rsidRPr="00FD5703">
        <w:rPr>
          <w:lang w:val="es-ES_tradnl"/>
        </w:rPr>
        <w:t>)</w:t>
      </w:r>
      <w:r w:rsidR="005551D9" w:rsidRPr="00FD5703">
        <w:rPr>
          <w:lang w:val="es-ES_tradnl"/>
        </w:rPr>
        <w:t xml:space="preserve"> en sus sesiones de 2012 y señaló la necesidad de mantener la flexibilidad en la estructura para </w:t>
      </w:r>
      <w:r w:rsidR="00DE7712" w:rsidRPr="00FD5703">
        <w:rPr>
          <w:lang w:val="es-ES_tradnl"/>
        </w:rPr>
        <w:t>la</w:t>
      </w:r>
      <w:r w:rsidR="005551D9" w:rsidRPr="00FD5703">
        <w:rPr>
          <w:lang w:val="es-ES_tradnl"/>
        </w:rPr>
        <w:t xml:space="preserve"> </w:t>
      </w:r>
      <w:r w:rsidR="00DE7712" w:rsidRPr="00FD5703">
        <w:rPr>
          <w:lang w:val="es-ES_tradnl"/>
        </w:rPr>
        <w:t>elaboración</w:t>
      </w:r>
      <w:r w:rsidR="005551D9" w:rsidRPr="00FD5703">
        <w:rPr>
          <w:lang w:val="es-ES_tradnl"/>
        </w:rPr>
        <w:t xml:space="preserve"> </w:t>
      </w:r>
      <w:r w:rsidR="00DE7712" w:rsidRPr="00FD5703">
        <w:rPr>
          <w:lang w:val="es-ES_tradnl"/>
        </w:rPr>
        <w:t xml:space="preserve">de las directrices de examen </w:t>
      </w:r>
      <w:r w:rsidR="005551D9" w:rsidRPr="00FD5703">
        <w:rPr>
          <w:lang w:val="es-ES_tradnl"/>
        </w:rPr>
        <w:t>por</w:t>
      </w:r>
      <w:r w:rsidR="00DE7712" w:rsidRPr="00FD5703">
        <w:rPr>
          <w:lang w:val="es-ES_tradnl"/>
        </w:rPr>
        <w:t xml:space="preserve"> parte de</w:t>
      </w:r>
      <w:r w:rsidR="00E86EDB">
        <w:rPr>
          <w:lang w:val="es-ES_tradnl"/>
        </w:rPr>
        <w:t xml:space="preserve"> los miembros de la </w:t>
      </w:r>
      <w:r w:rsidR="005551D9" w:rsidRPr="00FD5703">
        <w:rPr>
          <w:lang w:val="es-ES_tradnl"/>
        </w:rPr>
        <w:t xml:space="preserve">UPOV (véanse los párrafos 13 y 14 del documento TC/49/41 </w:t>
      </w:r>
      <w:r w:rsidR="009C5CAD" w:rsidRPr="00FD5703">
        <w:rPr>
          <w:lang w:val="es-ES_tradnl"/>
        </w:rPr>
        <w:t>“</w:t>
      </w:r>
      <w:r w:rsidR="005551D9" w:rsidRPr="00FD5703">
        <w:rPr>
          <w:lang w:val="es-ES_tradnl"/>
        </w:rPr>
        <w:t>Informe sobre las conclusiones</w:t>
      </w:r>
      <w:r w:rsidR="009C5CAD" w:rsidRPr="00FD5703">
        <w:rPr>
          <w:lang w:val="es-ES_tradnl"/>
        </w:rPr>
        <w:t>”</w:t>
      </w:r>
      <w:r w:rsidR="005551D9" w:rsidRPr="00FD5703">
        <w:rPr>
          <w:lang w:val="es-ES_tradnl"/>
        </w:rPr>
        <w:t>).</w:t>
      </w:r>
    </w:p>
    <w:p w:rsidR="009116AF" w:rsidRPr="00FD5703" w:rsidRDefault="009116AF" w:rsidP="009C5CAD">
      <w:pPr>
        <w:rPr>
          <w:lang w:val="es-ES_tradnl"/>
        </w:rPr>
      </w:pPr>
    </w:p>
    <w:p w:rsidR="009116AF" w:rsidRPr="00FD5703" w:rsidRDefault="00974E05"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DC4EB0" w:rsidRPr="00FD5703">
        <w:rPr>
          <w:lang w:val="es-ES_tradnl"/>
        </w:rPr>
        <w:t>La</w:t>
      </w:r>
      <w:r w:rsidR="005551D9" w:rsidRPr="00FD5703">
        <w:rPr>
          <w:lang w:val="es-ES_tradnl"/>
        </w:rPr>
        <w:t xml:space="preserve"> plantilla</w:t>
      </w:r>
      <w:r w:rsidR="00DC4EB0" w:rsidRPr="00FD5703">
        <w:rPr>
          <w:lang w:val="es-ES_tradnl"/>
        </w:rPr>
        <w:t xml:space="preserve"> en Internet de los documentos TG</w:t>
      </w:r>
      <w:r w:rsidR="005551D9" w:rsidRPr="00FD5703">
        <w:rPr>
          <w:lang w:val="es-ES_tradnl"/>
        </w:rPr>
        <w:t xml:space="preserve"> se </w:t>
      </w:r>
      <w:r w:rsidR="00DC4EB0" w:rsidRPr="00FD5703">
        <w:rPr>
          <w:lang w:val="es-ES_tradnl"/>
        </w:rPr>
        <w:t>elaborará</w:t>
      </w:r>
      <w:r w:rsidR="005551D9" w:rsidRPr="00FD5703">
        <w:rPr>
          <w:lang w:val="es-ES_tradnl"/>
        </w:rPr>
        <w:t xml:space="preserve"> en dos </w:t>
      </w:r>
      <w:r w:rsidR="00D1135F" w:rsidRPr="00FD5703">
        <w:rPr>
          <w:lang w:val="es-ES_tradnl"/>
        </w:rPr>
        <w:t>fases</w:t>
      </w:r>
      <w:r w:rsidR="005551D9" w:rsidRPr="00FD5703">
        <w:rPr>
          <w:lang w:val="es-ES_tradnl"/>
        </w:rPr>
        <w:t xml:space="preserve"> </w:t>
      </w:r>
      <w:r w:rsidR="00D1135F" w:rsidRPr="00FD5703">
        <w:rPr>
          <w:lang w:val="es-ES_tradnl"/>
        </w:rPr>
        <w:t>distintas llamadas v</w:t>
      </w:r>
      <w:r w:rsidR="00E86EDB">
        <w:rPr>
          <w:lang w:val="es-ES_tradnl"/>
        </w:rPr>
        <w:t>ersiones </w:t>
      </w:r>
      <w:r w:rsidR="005551D9" w:rsidRPr="00FD5703">
        <w:rPr>
          <w:lang w:val="es-ES_tradnl"/>
        </w:rPr>
        <w:t xml:space="preserve">1 y 2.  </w:t>
      </w:r>
    </w:p>
    <w:p w:rsidR="009116AF" w:rsidRPr="00FD5703" w:rsidRDefault="009116AF" w:rsidP="009C5CAD">
      <w:pPr>
        <w:rPr>
          <w:lang w:val="es-ES_tradnl"/>
        </w:rPr>
      </w:pPr>
    </w:p>
    <w:p w:rsidR="00815096" w:rsidRPr="00FD5703" w:rsidRDefault="00815096" w:rsidP="009C5CAD">
      <w:pPr>
        <w:rPr>
          <w:lang w:val="es-ES_tradnl"/>
        </w:rPr>
      </w:pPr>
    </w:p>
    <w:p w:rsidR="009116AF" w:rsidRPr="00FD5703" w:rsidRDefault="005551D9" w:rsidP="009C5CAD">
      <w:pPr>
        <w:pStyle w:val="Heading2"/>
        <w:keepNext w:val="0"/>
        <w:rPr>
          <w:lang w:val="es-ES_tradnl"/>
        </w:rPr>
      </w:pPr>
      <w:bookmarkStart w:id="46" w:name="_Toc381177138"/>
      <w:r w:rsidRPr="00FD5703">
        <w:rPr>
          <w:lang w:val="es-ES_tradnl"/>
        </w:rPr>
        <w:t>Versión 1</w:t>
      </w:r>
      <w:bookmarkEnd w:id="46"/>
    </w:p>
    <w:p w:rsidR="009116AF" w:rsidRPr="00FD5703" w:rsidRDefault="009116AF" w:rsidP="009C5CAD">
      <w:pPr>
        <w:rPr>
          <w:lang w:val="es-ES_tradnl"/>
        </w:rPr>
      </w:pPr>
    </w:p>
    <w:p w:rsidR="009116AF" w:rsidRPr="00FD5703" w:rsidRDefault="007F6BE3"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8D415E" w:rsidRPr="00FD5703">
        <w:rPr>
          <w:lang w:val="es-ES_tradnl"/>
        </w:rPr>
        <w:t>La v</w:t>
      </w:r>
      <w:r w:rsidR="00ED375B" w:rsidRPr="00FD5703">
        <w:rPr>
          <w:lang w:val="es-ES_tradnl"/>
        </w:rPr>
        <w:t xml:space="preserve">ersión 1 de la plantilla </w:t>
      </w:r>
      <w:r w:rsidR="00E93587" w:rsidRPr="00FD5703">
        <w:rPr>
          <w:lang w:val="es-ES_tradnl"/>
        </w:rPr>
        <w:t xml:space="preserve">en Internet de los documentos TG </w:t>
      </w:r>
      <w:r w:rsidR="00ED375B" w:rsidRPr="00FD5703">
        <w:rPr>
          <w:lang w:val="es-ES_tradnl"/>
        </w:rPr>
        <w:t xml:space="preserve">será plenamente operativa para </w:t>
      </w:r>
      <w:r w:rsidR="00F570E4" w:rsidRPr="00FD5703">
        <w:rPr>
          <w:lang w:val="es-ES_tradnl"/>
        </w:rPr>
        <w:t>que los expertos principales puedan elaborar</w:t>
      </w:r>
      <w:r w:rsidR="00ED375B" w:rsidRPr="00FD5703">
        <w:rPr>
          <w:lang w:val="es-ES_tradnl"/>
        </w:rPr>
        <w:t xml:space="preserve"> las d</w:t>
      </w:r>
      <w:r w:rsidR="00F570E4" w:rsidRPr="00FD5703">
        <w:rPr>
          <w:lang w:val="es-ES_tradnl"/>
        </w:rPr>
        <w:t xml:space="preserve">irectrices de examen de la UPOV, </w:t>
      </w:r>
      <w:r w:rsidR="00ED375B" w:rsidRPr="00FD5703">
        <w:rPr>
          <w:lang w:val="es-ES_tradnl"/>
        </w:rPr>
        <w:t xml:space="preserve">y permitirá que los expertos interesados formulen sus comentarios. </w:t>
      </w:r>
      <w:r w:rsidR="00E4080D" w:rsidRPr="00FD5703">
        <w:rPr>
          <w:lang w:val="es-ES_tradnl"/>
        </w:rPr>
        <w:t xml:space="preserve">  </w:t>
      </w:r>
      <w:r w:rsidR="00ED375B" w:rsidRPr="00FD5703">
        <w:rPr>
          <w:lang w:val="es-ES_tradnl"/>
        </w:rPr>
        <w:t xml:space="preserve">La </w:t>
      </w:r>
      <w:r w:rsidR="00B848E9" w:rsidRPr="00FD5703">
        <w:rPr>
          <w:lang w:val="es-ES_tradnl"/>
        </w:rPr>
        <w:t>versión</w:t>
      </w:r>
      <w:r w:rsidR="00ED375B" w:rsidRPr="00FD5703">
        <w:rPr>
          <w:lang w:val="es-ES_tradnl"/>
        </w:rPr>
        <w:t xml:space="preserve"> 1 estará terminada a principios de 2014 y se hará una demostración durante la quincuagésima sesión del TC.</w:t>
      </w:r>
      <w:r w:rsidRPr="00FD5703">
        <w:rPr>
          <w:lang w:val="es-ES_tradnl"/>
        </w:rPr>
        <w:t xml:space="preserve">  </w:t>
      </w:r>
    </w:p>
    <w:p w:rsidR="009116AF" w:rsidRPr="00FD5703" w:rsidRDefault="009116AF" w:rsidP="009C5CAD">
      <w:pPr>
        <w:pStyle w:val="Heading3"/>
        <w:rPr>
          <w:lang w:val="es-ES_tradnl"/>
        </w:rPr>
      </w:pPr>
    </w:p>
    <w:p w:rsidR="009116AF" w:rsidRPr="00FD5703" w:rsidRDefault="00ED375B" w:rsidP="009C5CAD">
      <w:pPr>
        <w:pStyle w:val="Heading3"/>
        <w:rPr>
          <w:lang w:val="es-ES_tradnl"/>
        </w:rPr>
      </w:pPr>
      <w:bookmarkStart w:id="47" w:name="_Toc381177139"/>
      <w:r w:rsidRPr="00FD5703">
        <w:rPr>
          <w:lang w:val="es-ES_tradnl"/>
        </w:rPr>
        <w:t>Características</w:t>
      </w:r>
      <w:bookmarkEnd w:id="47"/>
      <w:r w:rsidRPr="00FD5703">
        <w:rPr>
          <w:lang w:val="es-ES_tradnl"/>
        </w:rPr>
        <w:t xml:space="preserve"> </w:t>
      </w:r>
    </w:p>
    <w:p w:rsidR="009116AF" w:rsidRPr="00FD5703" w:rsidRDefault="009116AF" w:rsidP="009C5CAD">
      <w:pPr>
        <w:rPr>
          <w:lang w:val="es-ES_tradnl"/>
        </w:rPr>
      </w:pPr>
    </w:p>
    <w:p w:rsidR="009116AF" w:rsidRPr="00FD5703" w:rsidRDefault="00E4080D"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F570E4" w:rsidRPr="00FD5703">
        <w:rPr>
          <w:lang w:val="es-ES_tradnl"/>
        </w:rPr>
        <w:t>L</w:t>
      </w:r>
      <w:r w:rsidR="008D415E" w:rsidRPr="00FD5703">
        <w:rPr>
          <w:lang w:val="es-ES_tradnl"/>
        </w:rPr>
        <w:t>a v</w:t>
      </w:r>
      <w:r w:rsidR="00B41849" w:rsidRPr="00FD5703">
        <w:rPr>
          <w:lang w:val="es-ES_tradnl"/>
        </w:rPr>
        <w:t>ersión 1</w:t>
      </w:r>
      <w:r w:rsidR="00F570E4" w:rsidRPr="00FD5703">
        <w:rPr>
          <w:lang w:val="es-ES_tradnl"/>
        </w:rPr>
        <w:t xml:space="preserve"> cuenta con</w:t>
      </w:r>
      <w:r w:rsidR="00C84914" w:rsidRPr="00FD5703">
        <w:rPr>
          <w:lang w:val="es-ES_tradnl"/>
        </w:rPr>
        <w:t xml:space="preserve"> las siguientes características</w:t>
      </w:r>
      <w:r w:rsidR="00B41849" w:rsidRPr="00FD5703">
        <w:rPr>
          <w:lang w:val="es-ES_tradnl"/>
        </w:rPr>
        <w:t>:</w:t>
      </w:r>
      <w:r w:rsidR="00ED375B" w:rsidRPr="00FD5703">
        <w:rPr>
          <w:lang w:val="es-ES_tradnl"/>
        </w:rPr>
        <w:t xml:space="preserve"> </w:t>
      </w:r>
    </w:p>
    <w:p w:rsidR="009116AF" w:rsidRPr="00FD5703" w:rsidRDefault="009116AF" w:rsidP="009C5CAD">
      <w:pPr>
        <w:rPr>
          <w:lang w:val="es-ES_tradnl"/>
        </w:rPr>
      </w:pPr>
    </w:p>
    <w:p w:rsidR="009116AF" w:rsidRPr="00FD5703" w:rsidRDefault="00F570E4" w:rsidP="009C5CAD">
      <w:pPr>
        <w:pStyle w:val="ListParagraph"/>
        <w:numPr>
          <w:ilvl w:val="0"/>
          <w:numId w:val="5"/>
        </w:numPr>
        <w:spacing w:after="40"/>
        <w:ind w:left="714" w:hanging="357"/>
        <w:contextualSpacing w:val="0"/>
        <w:rPr>
          <w:lang w:val="es-ES_tradnl"/>
        </w:rPr>
      </w:pPr>
      <w:r w:rsidRPr="00FD5703">
        <w:rPr>
          <w:lang w:val="es-ES_tradnl"/>
        </w:rPr>
        <w:t xml:space="preserve">Un </w:t>
      </w:r>
      <w:r w:rsidR="00ED375B" w:rsidRPr="00FD5703">
        <w:rPr>
          <w:lang w:val="es-ES_tradnl"/>
        </w:rPr>
        <w:t xml:space="preserve">proyecto de directrices de examen </w:t>
      </w:r>
      <w:r w:rsidRPr="00FD5703">
        <w:rPr>
          <w:lang w:val="es-ES_tradnl"/>
        </w:rPr>
        <w:t xml:space="preserve">que elaborarán </w:t>
      </w:r>
      <w:r w:rsidR="00ED375B" w:rsidRPr="00FD5703">
        <w:rPr>
          <w:lang w:val="es-ES_tradnl"/>
        </w:rPr>
        <w:t>en línea</w:t>
      </w:r>
      <w:r w:rsidRPr="00FD5703">
        <w:rPr>
          <w:lang w:val="es-ES_tradnl"/>
        </w:rPr>
        <w:t xml:space="preserve"> los expertos principales</w:t>
      </w:r>
      <w:r w:rsidR="00ED375B" w:rsidRPr="00FD5703">
        <w:rPr>
          <w:lang w:val="es-ES_tradnl"/>
        </w:rPr>
        <w:t xml:space="preserve"> por medio de la plantilla en Internet para los documentos TG.  </w:t>
      </w:r>
    </w:p>
    <w:p w:rsidR="009116AF" w:rsidRPr="00FD5703" w:rsidRDefault="00F570E4" w:rsidP="009C5CAD">
      <w:pPr>
        <w:pStyle w:val="ListParagraph"/>
        <w:numPr>
          <w:ilvl w:val="0"/>
          <w:numId w:val="5"/>
        </w:numPr>
        <w:spacing w:after="40"/>
        <w:ind w:left="714" w:hanging="357"/>
        <w:contextualSpacing w:val="0"/>
        <w:jc w:val="left"/>
        <w:rPr>
          <w:lang w:val="es-ES_tradnl"/>
        </w:rPr>
      </w:pPr>
      <w:r w:rsidRPr="00FD5703">
        <w:rPr>
          <w:lang w:val="es-ES_tradnl"/>
        </w:rPr>
        <w:t xml:space="preserve">Una  plantilla </w:t>
      </w:r>
      <w:r w:rsidR="00BC0D24" w:rsidRPr="00FD5703">
        <w:rPr>
          <w:lang w:val="es-ES_tradnl"/>
        </w:rPr>
        <w:t>fija</w:t>
      </w:r>
      <w:r w:rsidRPr="00FD5703">
        <w:rPr>
          <w:lang w:val="es-ES_tradnl"/>
        </w:rPr>
        <w:t xml:space="preserve"> que</w:t>
      </w:r>
      <w:r w:rsidR="00BC0D24" w:rsidRPr="00FD5703">
        <w:rPr>
          <w:lang w:val="es-ES_tradnl"/>
        </w:rPr>
        <w:t xml:space="preserve"> contiene el texto estándar universal apropiado para todas las directrices de examen (véase la sección 3.1 </w:t>
      </w:r>
      <w:r w:rsidR="009C5CAD" w:rsidRPr="00FD5703">
        <w:rPr>
          <w:lang w:val="es-ES_tradnl"/>
        </w:rPr>
        <w:t>“</w:t>
      </w:r>
      <w:r w:rsidR="00BC0D24" w:rsidRPr="00FD5703">
        <w:rPr>
          <w:lang w:val="es-ES_tradnl"/>
        </w:rPr>
        <w:t>La plantilla de los documentos TG</w:t>
      </w:r>
      <w:r w:rsidR="009C5CAD" w:rsidRPr="00FD5703">
        <w:rPr>
          <w:lang w:val="es-ES_tradnl"/>
        </w:rPr>
        <w:t>”</w:t>
      </w:r>
      <w:r w:rsidR="00BC0D24" w:rsidRPr="00FD5703">
        <w:rPr>
          <w:lang w:val="es-ES_tradnl"/>
        </w:rPr>
        <w:t xml:space="preserve"> del documento TGP/7/3 </w:t>
      </w:r>
      <w:r w:rsidR="009C5CAD" w:rsidRPr="00FD5703">
        <w:rPr>
          <w:lang w:val="es-ES_tradnl"/>
        </w:rPr>
        <w:t>“</w:t>
      </w:r>
      <w:r w:rsidR="00BC0D24" w:rsidRPr="00FD5703">
        <w:rPr>
          <w:lang w:val="es-ES_tradnl"/>
        </w:rPr>
        <w:t>Orientaciones para elaborar directrices de examen</w:t>
      </w:r>
      <w:r w:rsidR="009C5CAD" w:rsidRPr="00FD5703">
        <w:rPr>
          <w:lang w:val="es-ES_tradnl"/>
        </w:rPr>
        <w:t>”</w:t>
      </w:r>
      <w:r w:rsidR="00BC0D24" w:rsidRPr="00FD5703">
        <w:rPr>
          <w:lang w:val="es-ES_tradnl"/>
        </w:rPr>
        <w:t>).</w:t>
      </w:r>
      <w:r w:rsidRPr="00FD5703">
        <w:rPr>
          <w:lang w:val="es-ES_tradnl"/>
        </w:rPr>
        <w:t xml:space="preserve"> </w:t>
      </w:r>
      <w:r w:rsidR="00BC0D24" w:rsidRPr="00FD5703">
        <w:rPr>
          <w:lang w:val="es-ES_tradnl"/>
        </w:rPr>
        <w:t xml:space="preserve"> </w:t>
      </w:r>
    </w:p>
    <w:p w:rsidR="009116AF" w:rsidRPr="00FD5703" w:rsidRDefault="00BC0D24" w:rsidP="009C5CAD">
      <w:pPr>
        <w:pStyle w:val="ListParagraph"/>
        <w:numPr>
          <w:ilvl w:val="0"/>
          <w:numId w:val="5"/>
        </w:numPr>
        <w:spacing w:after="40"/>
        <w:ind w:left="714" w:hanging="357"/>
        <w:contextualSpacing w:val="0"/>
        <w:rPr>
          <w:lang w:val="es-ES_tradnl"/>
        </w:rPr>
      </w:pPr>
      <w:r w:rsidRPr="00FD5703">
        <w:rPr>
          <w:lang w:val="es-ES_tradnl"/>
        </w:rPr>
        <w:t xml:space="preserve">Opciones para añadir texto estándar adicional (ASW) (véase la sección 3.2 </w:t>
      </w:r>
      <w:r w:rsidR="009C5CAD" w:rsidRPr="00FD5703">
        <w:rPr>
          <w:lang w:val="es-ES_tradnl"/>
        </w:rPr>
        <w:t>“</w:t>
      </w:r>
      <w:r w:rsidRPr="00FD5703">
        <w:rPr>
          <w:lang w:val="es-ES_tradnl"/>
        </w:rPr>
        <w:t>Texto estándar adicional (ASW) para la plantilla de los documentos TG</w:t>
      </w:r>
      <w:r w:rsidR="009C5CAD" w:rsidRPr="00FD5703">
        <w:rPr>
          <w:lang w:val="es-ES_tradnl"/>
        </w:rPr>
        <w:t>”</w:t>
      </w:r>
      <w:r w:rsidRPr="00FD5703">
        <w:rPr>
          <w:lang w:val="es-ES_tradnl"/>
        </w:rPr>
        <w:t xml:space="preserve"> del documento TGP/7/3). </w:t>
      </w:r>
    </w:p>
    <w:p w:rsidR="009116AF" w:rsidRPr="00FD5703" w:rsidRDefault="00B41849" w:rsidP="009C5CAD">
      <w:pPr>
        <w:pStyle w:val="ListParagraph"/>
        <w:numPr>
          <w:ilvl w:val="0"/>
          <w:numId w:val="5"/>
        </w:numPr>
        <w:spacing w:after="40"/>
        <w:ind w:left="714" w:hanging="357"/>
        <w:contextualSpacing w:val="0"/>
        <w:rPr>
          <w:lang w:val="es-ES_tradnl"/>
        </w:rPr>
      </w:pPr>
      <w:r w:rsidRPr="00FD5703">
        <w:rPr>
          <w:lang w:val="es-ES_tradnl"/>
        </w:rPr>
        <w:t xml:space="preserve">Enlaces a notas orientativas (véase la sección 3.3 </w:t>
      </w:r>
      <w:r w:rsidR="009C5CAD" w:rsidRPr="00FD5703">
        <w:rPr>
          <w:lang w:val="es-ES_tradnl"/>
        </w:rPr>
        <w:t>“</w:t>
      </w:r>
      <w:r w:rsidRPr="00FD5703">
        <w:rPr>
          <w:lang w:val="es-ES_tradnl"/>
        </w:rPr>
        <w:t>Notas orientativas sobre la plantilla de los documentos TG</w:t>
      </w:r>
      <w:r w:rsidR="009C5CAD" w:rsidRPr="00FD5703">
        <w:rPr>
          <w:lang w:val="es-ES_tradnl"/>
        </w:rPr>
        <w:t>”</w:t>
      </w:r>
      <w:r w:rsidRPr="00FD5703">
        <w:rPr>
          <w:lang w:val="es-ES_tradnl"/>
        </w:rPr>
        <w:t xml:space="preserve"> del documento TGP/7/3) </w:t>
      </w:r>
    </w:p>
    <w:p w:rsidR="009116AF" w:rsidRPr="00FD5703" w:rsidRDefault="00B41849" w:rsidP="009C5CAD">
      <w:pPr>
        <w:pStyle w:val="ListParagraph"/>
        <w:numPr>
          <w:ilvl w:val="0"/>
          <w:numId w:val="5"/>
        </w:numPr>
        <w:rPr>
          <w:i/>
          <w:snapToGrid w:val="0"/>
          <w:lang w:val="es-ES_tradnl"/>
        </w:rPr>
      </w:pPr>
      <w:r w:rsidRPr="00FD5703">
        <w:rPr>
          <w:lang w:val="es-ES_tradnl"/>
        </w:rPr>
        <w:t xml:space="preserve">Una base de datos de caracteres (en inglés, francés, alemán y español), creada a partir de las directrices de examen aprobadas tras la adopción del documento TGP/7/1 </w:t>
      </w:r>
      <w:r w:rsidR="009C5CAD" w:rsidRPr="00FD5703">
        <w:rPr>
          <w:lang w:val="es-ES_tradnl"/>
        </w:rPr>
        <w:t>“</w:t>
      </w:r>
      <w:r w:rsidRPr="00FD5703">
        <w:rPr>
          <w:lang w:val="es-ES_tradnl"/>
        </w:rPr>
        <w:t>Elaboración de las directrices de examen</w:t>
      </w:r>
      <w:r w:rsidR="009C5CAD" w:rsidRPr="00FD5703">
        <w:rPr>
          <w:lang w:val="es-ES_tradnl"/>
        </w:rPr>
        <w:t>”</w:t>
      </w:r>
      <w:r w:rsidRPr="00FD5703">
        <w:rPr>
          <w:lang w:val="es-ES_tradnl"/>
        </w:rPr>
        <w:t>, la Colección de Caracteres Aprobados  (ad</w:t>
      </w:r>
      <w:r w:rsidR="00E86EDB">
        <w:rPr>
          <w:lang w:val="es-ES_tradnl"/>
        </w:rPr>
        <w:t>optada en 2004) (véase el anexo </w:t>
      </w:r>
      <w:r w:rsidRPr="00FD5703">
        <w:rPr>
          <w:lang w:val="es-ES_tradnl"/>
        </w:rPr>
        <w:t xml:space="preserve">4 </w:t>
      </w:r>
      <w:r w:rsidR="009C5CAD" w:rsidRPr="00FD5703">
        <w:rPr>
          <w:lang w:val="es-ES_tradnl"/>
        </w:rPr>
        <w:t>“</w:t>
      </w:r>
      <w:r w:rsidRPr="00FD5703">
        <w:rPr>
          <w:lang w:val="es-ES_tradnl"/>
        </w:rPr>
        <w:t>Colección de caracteres aprobados</w:t>
      </w:r>
      <w:r w:rsidR="009C5CAD" w:rsidRPr="00FD5703">
        <w:rPr>
          <w:lang w:val="es-ES_tradnl"/>
        </w:rPr>
        <w:t>”</w:t>
      </w:r>
      <w:r w:rsidRPr="00FD5703">
        <w:rPr>
          <w:lang w:val="es-ES_tradnl"/>
        </w:rPr>
        <w:t xml:space="preserve"> del documento TGP/7/3). </w:t>
      </w:r>
    </w:p>
    <w:p w:rsidR="00F570E4" w:rsidRPr="00FD5703" w:rsidRDefault="00F570E4" w:rsidP="009C5CAD">
      <w:pPr>
        <w:ind w:left="720"/>
        <w:rPr>
          <w:i/>
          <w:lang w:val="es-ES_tradnl"/>
        </w:rPr>
      </w:pPr>
    </w:p>
    <w:p w:rsidR="009116AF" w:rsidRPr="00FD5703" w:rsidRDefault="007301D6" w:rsidP="009C5CAD">
      <w:pPr>
        <w:ind w:left="720"/>
        <w:rPr>
          <w:i/>
          <w:snapToGrid w:val="0"/>
          <w:lang w:val="es-ES_tradnl"/>
        </w:rPr>
      </w:pPr>
      <w:r w:rsidRPr="00FD5703">
        <w:rPr>
          <w:i/>
          <w:lang w:val="es-ES_tradnl"/>
        </w:rPr>
        <w:t xml:space="preserve">En la base de datos figurará toda la información de la tabla de caracteres con sus niveles de expresión, notas, variedades ejemplo, entre otros. </w:t>
      </w:r>
      <w:r w:rsidR="005D6A9B" w:rsidRPr="00FD5703">
        <w:rPr>
          <w:i/>
          <w:lang w:val="es-ES_tradnl"/>
        </w:rPr>
        <w:t xml:space="preserve">  </w:t>
      </w:r>
      <w:r w:rsidRPr="00FD5703">
        <w:rPr>
          <w:i/>
          <w:lang w:val="es-ES_tradnl"/>
        </w:rPr>
        <w:t xml:space="preserve">En </w:t>
      </w:r>
      <w:r w:rsidR="004A60D7" w:rsidRPr="00FD5703">
        <w:rPr>
          <w:i/>
          <w:lang w:val="es-ES_tradnl"/>
        </w:rPr>
        <w:t>esta</w:t>
      </w:r>
      <w:r w:rsidRPr="00FD5703">
        <w:rPr>
          <w:i/>
          <w:lang w:val="es-ES_tradnl"/>
        </w:rPr>
        <w:t xml:space="preserve"> base se pueden buscar caracteres pertinentes, y se puede </w:t>
      </w:r>
      <w:r w:rsidR="00F570E4" w:rsidRPr="00FD5703">
        <w:rPr>
          <w:i/>
          <w:lang w:val="es-ES_tradnl"/>
        </w:rPr>
        <w:t>agregar</w:t>
      </w:r>
      <w:r w:rsidRPr="00FD5703">
        <w:rPr>
          <w:i/>
          <w:lang w:val="es-ES_tradnl"/>
        </w:rPr>
        <w:t xml:space="preserve"> un carácter pertinente al proyecto de directrices de examen con la modificación posterior necesaria. </w:t>
      </w:r>
    </w:p>
    <w:p w:rsidR="009116AF" w:rsidRPr="00FD5703" w:rsidRDefault="009116AF" w:rsidP="009C5CAD">
      <w:pPr>
        <w:ind w:left="360"/>
        <w:rPr>
          <w:i/>
          <w:snapToGrid w:val="0"/>
          <w:lang w:val="es-ES_tradnl"/>
        </w:rPr>
      </w:pPr>
    </w:p>
    <w:p w:rsidR="009116AF" w:rsidRPr="00FD5703" w:rsidRDefault="007301D6" w:rsidP="009C5CAD">
      <w:pPr>
        <w:pStyle w:val="ListParagraph"/>
        <w:numPr>
          <w:ilvl w:val="0"/>
          <w:numId w:val="5"/>
        </w:numPr>
        <w:spacing w:after="40"/>
        <w:ind w:left="714" w:hanging="357"/>
        <w:contextualSpacing w:val="0"/>
        <w:rPr>
          <w:snapToGrid w:val="0"/>
          <w:lang w:val="es-ES_tradnl"/>
        </w:rPr>
      </w:pPr>
      <w:r w:rsidRPr="00FD5703">
        <w:rPr>
          <w:snapToGrid w:val="0"/>
          <w:lang w:val="es-ES_tradnl"/>
        </w:rPr>
        <w:t>Casillas de observaciones que los expertos interesados pued</w:t>
      </w:r>
      <w:r w:rsidR="00F570E4" w:rsidRPr="00FD5703">
        <w:rPr>
          <w:snapToGrid w:val="0"/>
          <w:lang w:val="es-ES_tradnl"/>
        </w:rPr>
        <w:t>e</w:t>
      </w:r>
      <w:r w:rsidRPr="00FD5703">
        <w:rPr>
          <w:snapToGrid w:val="0"/>
          <w:lang w:val="es-ES_tradnl"/>
        </w:rPr>
        <w:t xml:space="preserve">n completar en línea, </w:t>
      </w:r>
      <w:r w:rsidR="00B66C43" w:rsidRPr="00FD5703">
        <w:rPr>
          <w:snapToGrid w:val="0"/>
          <w:lang w:val="es-ES_tradnl"/>
        </w:rPr>
        <w:t xml:space="preserve">con acceso </w:t>
      </w:r>
      <w:r w:rsidRPr="00FD5703">
        <w:rPr>
          <w:snapToGrid w:val="0"/>
          <w:lang w:val="es-ES_tradnl"/>
        </w:rPr>
        <w:t xml:space="preserve"> fácil </w:t>
      </w:r>
      <w:r w:rsidR="00F570E4" w:rsidRPr="00FD5703">
        <w:rPr>
          <w:snapToGrid w:val="0"/>
          <w:lang w:val="es-ES_tradnl"/>
        </w:rPr>
        <w:t>a</w:t>
      </w:r>
      <w:r w:rsidRPr="00FD5703">
        <w:rPr>
          <w:snapToGrid w:val="0"/>
          <w:lang w:val="es-ES_tradnl"/>
        </w:rPr>
        <w:t xml:space="preserve"> todos los comentarios. </w:t>
      </w:r>
    </w:p>
    <w:p w:rsidR="009116AF" w:rsidRPr="00FD5703" w:rsidRDefault="00E27DD4" w:rsidP="009C5CAD">
      <w:pPr>
        <w:pStyle w:val="ListParagraph"/>
        <w:numPr>
          <w:ilvl w:val="0"/>
          <w:numId w:val="5"/>
        </w:numPr>
        <w:spacing w:after="40"/>
        <w:ind w:left="714" w:hanging="357"/>
        <w:contextualSpacing w:val="0"/>
        <w:rPr>
          <w:snapToGrid w:val="0"/>
          <w:lang w:val="es-ES_tradnl"/>
        </w:rPr>
      </w:pPr>
      <w:r w:rsidRPr="00FD5703">
        <w:rPr>
          <w:snapToGrid w:val="0"/>
          <w:lang w:val="es-ES_tradnl"/>
        </w:rPr>
        <w:t xml:space="preserve">Opciones para </w:t>
      </w:r>
      <w:r w:rsidR="00C84914" w:rsidRPr="00FD5703">
        <w:rPr>
          <w:snapToGrid w:val="0"/>
          <w:lang w:val="es-ES_tradnl"/>
        </w:rPr>
        <w:t>producir documentos</w:t>
      </w:r>
      <w:r w:rsidRPr="00FD5703">
        <w:rPr>
          <w:b/>
          <w:snapToGrid w:val="0"/>
          <w:lang w:val="es-ES_tradnl"/>
        </w:rPr>
        <w:t xml:space="preserve"> </w:t>
      </w:r>
      <w:r w:rsidRPr="00FD5703">
        <w:rPr>
          <w:snapToGrid w:val="0"/>
          <w:lang w:val="es-ES_tradnl"/>
        </w:rPr>
        <w:t xml:space="preserve">en formato HTML, PDF o Word. </w:t>
      </w:r>
      <w:r w:rsidR="001D2E82" w:rsidRPr="00FD5703">
        <w:rPr>
          <w:snapToGrid w:val="0"/>
          <w:lang w:val="es-ES_tradnl"/>
        </w:rPr>
        <w:t xml:space="preserve"> </w:t>
      </w:r>
    </w:p>
    <w:p w:rsidR="009116AF" w:rsidRPr="00FD5703" w:rsidRDefault="00F570E4" w:rsidP="009C5CAD">
      <w:pPr>
        <w:pStyle w:val="ListParagraph"/>
        <w:numPr>
          <w:ilvl w:val="0"/>
          <w:numId w:val="5"/>
        </w:numPr>
        <w:spacing w:after="40"/>
        <w:ind w:left="714" w:hanging="357"/>
        <w:contextualSpacing w:val="0"/>
        <w:rPr>
          <w:snapToGrid w:val="0"/>
          <w:lang w:val="es-ES_tradnl"/>
        </w:rPr>
      </w:pPr>
      <w:r w:rsidRPr="00FD5703">
        <w:rPr>
          <w:snapToGrid w:val="0"/>
          <w:lang w:val="es-ES_tradnl"/>
        </w:rPr>
        <w:t xml:space="preserve">Una única versión inglesa. </w:t>
      </w:r>
    </w:p>
    <w:p w:rsidR="009116AF" w:rsidRPr="00FD5703" w:rsidRDefault="00B66C43" w:rsidP="009C5CAD">
      <w:pPr>
        <w:pStyle w:val="ListParagraph"/>
        <w:numPr>
          <w:ilvl w:val="0"/>
          <w:numId w:val="5"/>
        </w:numPr>
        <w:rPr>
          <w:snapToGrid w:val="0"/>
          <w:lang w:val="es-ES_tradnl"/>
        </w:rPr>
      </w:pPr>
      <w:r w:rsidRPr="00FD5703">
        <w:rPr>
          <w:snapToGrid w:val="0"/>
          <w:lang w:val="es-ES_tradnl"/>
        </w:rPr>
        <w:t xml:space="preserve">Una </w:t>
      </w:r>
      <w:r w:rsidR="00C84914" w:rsidRPr="00FD5703">
        <w:rPr>
          <w:snapToGrid w:val="0"/>
          <w:lang w:val="es-ES_tradnl"/>
        </w:rPr>
        <w:t>ayuda de traducción para</w:t>
      </w:r>
      <w:r w:rsidR="00E27DD4" w:rsidRPr="00FD5703">
        <w:rPr>
          <w:snapToGrid w:val="0"/>
          <w:lang w:val="es-ES_tradnl"/>
        </w:rPr>
        <w:t xml:space="preserve"> la </w:t>
      </w:r>
      <w:r w:rsidR="00E93587" w:rsidRPr="00FD5703">
        <w:rPr>
          <w:snapToGrid w:val="0"/>
          <w:lang w:val="es-ES_tradnl"/>
        </w:rPr>
        <w:t>tabla de c</w:t>
      </w:r>
      <w:r w:rsidR="00E27DD4" w:rsidRPr="00FD5703">
        <w:rPr>
          <w:snapToGrid w:val="0"/>
          <w:lang w:val="es-ES_tradnl"/>
        </w:rPr>
        <w:t>aracteres (capítulo 7)</w:t>
      </w:r>
      <w:r w:rsidR="00F570E4" w:rsidRPr="00FD5703">
        <w:rPr>
          <w:snapToGrid w:val="0"/>
          <w:lang w:val="es-ES_tradnl"/>
        </w:rPr>
        <w:t>.</w:t>
      </w:r>
      <w:r w:rsidR="00E27DD4" w:rsidRPr="00FD5703">
        <w:rPr>
          <w:snapToGrid w:val="0"/>
          <w:lang w:val="es-ES_tradnl"/>
        </w:rPr>
        <w:t xml:space="preserve"> </w:t>
      </w:r>
    </w:p>
    <w:p w:rsidR="009116AF" w:rsidRPr="00FD5703" w:rsidRDefault="009116AF" w:rsidP="009C5CAD">
      <w:pPr>
        <w:ind w:left="720"/>
        <w:rPr>
          <w:i/>
          <w:snapToGrid w:val="0"/>
          <w:lang w:val="es-ES_tradnl"/>
        </w:rPr>
      </w:pPr>
    </w:p>
    <w:p w:rsidR="009116AF" w:rsidRPr="00FD5703" w:rsidRDefault="00F722EF" w:rsidP="009C5CAD">
      <w:pPr>
        <w:ind w:left="720"/>
        <w:rPr>
          <w:i/>
          <w:snapToGrid w:val="0"/>
          <w:lang w:val="es-ES_tradnl"/>
        </w:rPr>
      </w:pPr>
      <w:r w:rsidRPr="00FD5703">
        <w:rPr>
          <w:i/>
          <w:snapToGrid w:val="0"/>
          <w:lang w:val="es-ES_tradnl"/>
        </w:rPr>
        <w:t>Se indicará que l</w:t>
      </w:r>
      <w:r w:rsidR="00B66C43" w:rsidRPr="00FD5703">
        <w:rPr>
          <w:i/>
          <w:snapToGrid w:val="0"/>
          <w:lang w:val="es-ES_tradnl"/>
        </w:rPr>
        <w:t>os</w:t>
      </w:r>
      <w:r w:rsidR="00E27DD4" w:rsidRPr="00FD5703">
        <w:rPr>
          <w:i/>
          <w:snapToGrid w:val="0"/>
          <w:lang w:val="es-ES_tradnl"/>
        </w:rPr>
        <w:t xml:space="preserve"> caracteres </w:t>
      </w:r>
      <w:r w:rsidR="00C84914" w:rsidRPr="00FD5703">
        <w:rPr>
          <w:i/>
          <w:snapToGrid w:val="0"/>
          <w:lang w:val="es-ES_tradnl"/>
        </w:rPr>
        <w:t>recuperados</w:t>
      </w:r>
      <w:r w:rsidR="00E27DD4" w:rsidRPr="00FD5703">
        <w:rPr>
          <w:i/>
          <w:snapToGrid w:val="0"/>
          <w:lang w:val="es-ES_tradnl"/>
        </w:rPr>
        <w:t xml:space="preserve">, </w:t>
      </w:r>
      <w:r w:rsidR="0020280A" w:rsidRPr="00FD5703">
        <w:rPr>
          <w:i/>
          <w:snapToGrid w:val="0"/>
          <w:lang w:val="es-ES_tradnl"/>
        </w:rPr>
        <w:t>sin modificaciones</w:t>
      </w:r>
      <w:r w:rsidR="00C84914" w:rsidRPr="00FD5703">
        <w:rPr>
          <w:i/>
          <w:snapToGrid w:val="0"/>
          <w:lang w:val="es-ES_tradnl"/>
        </w:rPr>
        <w:t xml:space="preserve">, </w:t>
      </w:r>
      <w:r w:rsidR="00E27DD4" w:rsidRPr="00FD5703">
        <w:rPr>
          <w:i/>
          <w:snapToGrid w:val="0"/>
          <w:lang w:val="es-ES_tradnl"/>
        </w:rPr>
        <w:t xml:space="preserve">de la base de datos que </w:t>
      </w:r>
      <w:r w:rsidR="00C84914" w:rsidRPr="00FD5703">
        <w:rPr>
          <w:i/>
          <w:snapToGrid w:val="0"/>
          <w:lang w:val="es-ES_tradnl"/>
        </w:rPr>
        <w:t>contiene</w:t>
      </w:r>
      <w:r w:rsidR="00E27DD4" w:rsidRPr="00FD5703">
        <w:rPr>
          <w:i/>
          <w:snapToGrid w:val="0"/>
          <w:lang w:val="es-ES_tradnl"/>
        </w:rPr>
        <w:t xml:space="preserve"> la colección de caracteres aprobados</w:t>
      </w:r>
      <w:r w:rsidRPr="00FD5703">
        <w:rPr>
          <w:i/>
          <w:snapToGrid w:val="0"/>
          <w:lang w:val="es-ES_tradnl"/>
        </w:rPr>
        <w:t xml:space="preserve"> </w:t>
      </w:r>
      <w:r w:rsidR="00E27DD4" w:rsidRPr="00FD5703">
        <w:rPr>
          <w:i/>
          <w:snapToGrid w:val="0"/>
          <w:lang w:val="es-ES_tradnl"/>
        </w:rPr>
        <w:t>no necesita</w:t>
      </w:r>
      <w:r w:rsidRPr="00FD5703">
        <w:rPr>
          <w:i/>
          <w:snapToGrid w:val="0"/>
          <w:lang w:val="es-ES_tradnl"/>
        </w:rPr>
        <w:t xml:space="preserve">n </w:t>
      </w:r>
      <w:r w:rsidR="00E27DD4" w:rsidRPr="00FD5703">
        <w:rPr>
          <w:i/>
          <w:snapToGrid w:val="0"/>
          <w:lang w:val="es-ES_tradnl"/>
        </w:rPr>
        <w:t xml:space="preserve">traducción. </w:t>
      </w:r>
      <w:r w:rsidR="00CA06CC" w:rsidRPr="00FD5703">
        <w:rPr>
          <w:i/>
          <w:snapToGrid w:val="0"/>
          <w:lang w:val="es-ES_tradnl"/>
        </w:rPr>
        <w:t xml:space="preserve">  </w:t>
      </w:r>
      <w:r w:rsidR="00C84914" w:rsidRPr="00FD5703">
        <w:rPr>
          <w:i/>
          <w:snapToGrid w:val="0"/>
          <w:lang w:val="es-ES_tradnl"/>
        </w:rPr>
        <w:t>En cuanto a</w:t>
      </w:r>
      <w:r w:rsidR="00E27DD4" w:rsidRPr="00FD5703">
        <w:rPr>
          <w:i/>
          <w:snapToGrid w:val="0"/>
          <w:lang w:val="es-ES_tradnl"/>
        </w:rPr>
        <w:t xml:space="preserve"> los </w:t>
      </w:r>
      <w:r w:rsidR="00C84914" w:rsidRPr="00FD5703">
        <w:rPr>
          <w:i/>
          <w:snapToGrid w:val="0"/>
          <w:lang w:val="es-ES_tradnl"/>
        </w:rPr>
        <w:t>otros</w:t>
      </w:r>
      <w:r w:rsidR="00E27DD4" w:rsidRPr="00FD5703">
        <w:rPr>
          <w:i/>
          <w:snapToGrid w:val="0"/>
          <w:lang w:val="es-ES_tradnl"/>
        </w:rPr>
        <w:t xml:space="preserve"> caracteres, los traductores podrán buscar</w:t>
      </w:r>
      <w:r w:rsidR="00F570E4" w:rsidRPr="00FD5703">
        <w:rPr>
          <w:i/>
          <w:snapToGrid w:val="0"/>
          <w:lang w:val="es-ES_tradnl"/>
        </w:rPr>
        <w:t xml:space="preserve"> en</w:t>
      </w:r>
      <w:r w:rsidR="00E27DD4" w:rsidRPr="00FD5703">
        <w:rPr>
          <w:i/>
          <w:snapToGrid w:val="0"/>
          <w:lang w:val="es-ES_tradnl"/>
        </w:rPr>
        <w:t xml:space="preserve"> la </w:t>
      </w:r>
      <w:r w:rsidRPr="00FD5703">
        <w:rPr>
          <w:i/>
          <w:snapToGrid w:val="0"/>
          <w:lang w:val="es-ES_tradnl"/>
        </w:rPr>
        <w:t xml:space="preserve">misma </w:t>
      </w:r>
      <w:r w:rsidR="00E27DD4" w:rsidRPr="00FD5703">
        <w:rPr>
          <w:i/>
          <w:snapToGrid w:val="0"/>
          <w:lang w:val="es-ES_tradnl"/>
        </w:rPr>
        <w:t xml:space="preserve">base de datos y añadir las respectivas traducciones. </w:t>
      </w:r>
      <w:r w:rsidR="00CA06CC" w:rsidRPr="00FD5703">
        <w:rPr>
          <w:i/>
          <w:snapToGrid w:val="0"/>
          <w:lang w:val="es-ES_tradnl"/>
        </w:rPr>
        <w:t xml:space="preserve">  </w:t>
      </w:r>
      <w:r w:rsidR="00D66BEE" w:rsidRPr="00FD5703">
        <w:rPr>
          <w:i/>
          <w:snapToGrid w:val="0"/>
          <w:lang w:val="es-ES_tradnl"/>
        </w:rPr>
        <w:t xml:space="preserve">La traducción de los demás capítulos de las directrices de examen se facilitará de manera independiente de la </w:t>
      </w:r>
      <w:r w:rsidR="00B848E9" w:rsidRPr="00FD5703">
        <w:rPr>
          <w:i/>
          <w:snapToGrid w:val="0"/>
          <w:lang w:val="es-ES_tradnl"/>
        </w:rPr>
        <w:t>versión</w:t>
      </w:r>
      <w:r w:rsidR="00D66BEE" w:rsidRPr="00FD5703">
        <w:rPr>
          <w:i/>
          <w:snapToGrid w:val="0"/>
          <w:lang w:val="es-ES_tradnl"/>
        </w:rPr>
        <w:t xml:space="preserve"> 1. </w:t>
      </w:r>
    </w:p>
    <w:p w:rsidR="00E86EDB" w:rsidRDefault="00E86EDB" w:rsidP="009C5CAD">
      <w:pPr>
        <w:jc w:val="left"/>
        <w:rPr>
          <w:snapToGrid w:val="0"/>
          <w:lang w:val="es-ES_tradnl"/>
        </w:rPr>
      </w:pPr>
    </w:p>
    <w:p w:rsidR="009116AF" w:rsidRPr="00FD5703" w:rsidRDefault="00D66BEE" w:rsidP="009C5CAD">
      <w:pPr>
        <w:pStyle w:val="Heading3"/>
        <w:rPr>
          <w:snapToGrid w:val="0"/>
          <w:lang w:val="es-ES_tradnl"/>
        </w:rPr>
      </w:pPr>
      <w:bookmarkStart w:id="48" w:name="_Toc381177140"/>
      <w:r w:rsidRPr="00FD5703">
        <w:rPr>
          <w:snapToGrid w:val="0"/>
          <w:lang w:val="es-ES_tradnl"/>
        </w:rPr>
        <w:t>Aplicación</w:t>
      </w:r>
      <w:bookmarkEnd w:id="48"/>
    </w:p>
    <w:p w:rsidR="009116AF" w:rsidRPr="00FD5703" w:rsidRDefault="009116AF" w:rsidP="009C5CAD">
      <w:pPr>
        <w:rPr>
          <w:snapToGrid w:val="0"/>
          <w:lang w:val="es-ES_tradnl"/>
        </w:rPr>
      </w:pPr>
    </w:p>
    <w:p w:rsidR="009116AF" w:rsidRPr="00FD5703" w:rsidRDefault="007F1560" w:rsidP="009C5CAD">
      <w:pPr>
        <w:rPr>
          <w:snapToGrid w:val="0"/>
          <w:lang w:val="es-ES_tradnl"/>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Pr="00FD5703">
        <w:rPr>
          <w:snapToGrid w:val="0"/>
          <w:lang w:val="es-ES_tradnl"/>
        </w:rPr>
        <w:tab/>
      </w:r>
      <w:r w:rsidR="00D66BEE" w:rsidRPr="00FD5703">
        <w:rPr>
          <w:snapToGrid w:val="0"/>
          <w:lang w:val="es-ES_tradnl"/>
        </w:rPr>
        <w:t xml:space="preserve">A continuación, figura el calendario para la organización de las sesiones del TWP relativas a las directrices de examen: </w:t>
      </w:r>
    </w:p>
    <w:p w:rsidR="007F1560" w:rsidRPr="00FD5703" w:rsidRDefault="007F1560" w:rsidP="009C5CAD">
      <w:pPr>
        <w:rPr>
          <w:snapToGrid w:val="0"/>
          <w:lang w:val="es-ES_tradnl"/>
        </w:rPr>
      </w:pPr>
    </w:p>
    <w:tbl>
      <w:tblPr>
        <w:tblStyle w:val="TableGrid"/>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9" w:type="dxa"/>
          <w:left w:w="115" w:type="dxa"/>
          <w:bottom w:w="29" w:type="dxa"/>
          <w:right w:w="115" w:type="dxa"/>
        </w:tblCellMar>
        <w:tblLook w:val="04A0" w:firstRow="1" w:lastRow="0" w:firstColumn="1" w:lastColumn="0" w:noHBand="0" w:noVBand="1"/>
      </w:tblPr>
      <w:tblGrid>
        <w:gridCol w:w="3787"/>
        <w:gridCol w:w="1410"/>
        <w:gridCol w:w="1410"/>
        <w:gridCol w:w="1410"/>
        <w:gridCol w:w="1640"/>
      </w:tblGrid>
      <w:tr w:rsidR="007F1560" w:rsidRPr="000E4035" w:rsidTr="004E4FAC">
        <w:trPr>
          <w:cantSplit/>
        </w:trPr>
        <w:tc>
          <w:tcPr>
            <w:tcW w:w="3787" w:type="dxa"/>
          </w:tcPr>
          <w:p w:rsidR="007F1560" w:rsidRPr="00FD5703" w:rsidRDefault="00D66BEE" w:rsidP="008D6380">
            <w:pPr>
              <w:keepNext/>
              <w:jc w:val="left"/>
              <w:rPr>
                <w:snapToGrid w:val="0"/>
                <w:sz w:val="18"/>
                <w:szCs w:val="18"/>
                <w:lang w:val="es-ES_tradnl"/>
              </w:rPr>
            </w:pPr>
            <w:r w:rsidRPr="00FD5703">
              <w:rPr>
                <w:snapToGrid w:val="0"/>
                <w:sz w:val="18"/>
                <w:szCs w:val="18"/>
                <w:lang w:val="es-ES_tradnl"/>
              </w:rPr>
              <w:t>Grupo de Trabajo Técnico sobre:</w:t>
            </w:r>
          </w:p>
        </w:tc>
        <w:tc>
          <w:tcPr>
            <w:tcW w:w="1410" w:type="dxa"/>
          </w:tcPr>
          <w:p w:rsidR="007F1560" w:rsidRPr="00FD5703" w:rsidRDefault="00D66BEE" w:rsidP="008D6380">
            <w:pPr>
              <w:keepNext/>
              <w:jc w:val="center"/>
              <w:rPr>
                <w:snapToGrid w:val="0"/>
                <w:sz w:val="18"/>
                <w:szCs w:val="18"/>
                <w:lang w:val="es-ES_tradnl"/>
              </w:rPr>
            </w:pPr>
            <w:r w:rsidRPr="00FD5703">
              <w:rPr>
                <w:snapToGrid w:val="0"/>
                <w:sz w:val="18"/>
                <w:szCs w:val="18"/>
                <w:lang w:val="es-ES_tradnl"/>
              </w:rPr>
              <w:t>Proyecto del subgrupo</w:t>
            </w:r>
          </w:p>
        </w:tc>
        <w:tc>
          <w:tcPr>
            <w:tcW w:w="1410" w:type="dxa"/>
          </w:tcPr>
          <w:p w:rsidR="007F1560" w:rsidRPr="00FD5703" w:rsidRDefault="00D66BEE" w:rsidP="008D6380">
            <w:pPr>
              <w:keepNext/>
              <w:jc w:val="center"/>
              <w:rPr>
                <w:snapToGrid w:val="0"/>
                <w:sz w:val="18"/>
                <w:szCs w:val="18"/>
                <w:lang w:val="es-ES_tradnl"/>
              </w:rPr>
            </w:pPr>
            <w:r w:rsidRPr="00FD5703">
              <w:rPr>
                <w:snapToGrid w:val="0"/>
                <w:sz w:val="18"/>
                <w:szCs w:val="18"/>
                <w:lang w:val="es-ES_tradnl"/>
              </w:rPr>
              <w:t>Comentarios de los expertos interesados</w:t>
            </w:r>
          </w:p>
        </w:tc>
        <w:tc>
          <w:tcPr>
            <w:tcW w:w="1410" w:type="dxa"/>
          </w:tcPr>
          <w:p w:rsidR="007F1560" w:rsidRPr="00FD5703" w:rsidRDefault="00D66BEE" w:rsidP="008D6380">
            <w:pPr>
              <w:keepNext/>
              <w:jc w:val="center"/>
              <w:rPr>
                <w:snapToGrid w:val="0"/>
                <w:sz w:val="18"/>
                <w:szCs w:val="18"/>
                <w:lang w:val="es-ES_tradnl"/>
              </w:rPr>
            </w:pPr>
            <w:r w:rsidRPr="00FD5703">
              <w:rPr>
                <w:snapToGrid w:val="0"/>
                <w:sz w:val="18"/>
                <w:szCs w:val="18"/>
                <w:lang w:val="es-ES_tradnl"/>
              </w:rPr>
              <w:t>Proyecto del grupo de trabajo técnico</w:t>
            </w:r>
          </w:p>
        </w:tc>
        <w:tc>
          <w:tcPr>
            <w:tcW w:w="1640" w:type="dxa"/>
          </w:tcPr>
          <w:p w:rsidR="007F1560" w:rsidRPr="00FD5703" w:rsidRDefault="00D66BEE" w:rsidP="008D6380">
            <w:pPr>
              <w:keepNext/>
              <w:jc w:val="center"/>
              <w:rPr>
                <w:snapToGrid w:val="0"/>
                <w:sz w:val="18"/>
                <w:szCs w:val="18"/>
                <w:lang w:val="es-ES_tradnl"/>
              </w:rPr>
            </w:pPr>
            <w:r w:rsidRPr="00FD5703">
              <w:rPr>
                <w:snapToGrid w:val="0"/>
                <w:sz w:val="18"/>
                <w:szCs w:val="18"/>
                <w:lang w:val="es-ES_tradnl"/>
              </w:rPr>
              <w:t>Sesión del grupo de trabajo técnico</w:t>
            </w:r>
          </w:p>
        </w:tc>
      </w:tr>
      <w:tr w:rsidR="007F1560" w:rsidRPr="00FD5703" w:rsidTr="004E4FAC">
        <w:trPr>
          <w:cantSplit/>
        </w:trPr>
        <w:tc>
          <w:tcPr>
            <w:tcW w:w="3787" w:type="dxa"/>
          </w:tcPr>
          <w:p w:rsidR="007F1560" w:rsidRPr="00FD5703" w:rsidRDefault="00D66BEE" w:rsidP="008D6380">
            <w:pPr>
              <w:keepNext/>
              <w:jc w:val="left"/>
              <w:rPr>
                <w:snapToGrid w:val="0"/>
                <w:sz w:val="18"/>
                <w:szCs w:val="18"/>
                <w:lang w:val="es-ES_tradnl"/>
              </w:rPr>
            </w:pPr>
            <w:r w:rsidRPr="00FD5703">
              <w:rPr>
                <w:snapToGrid w:val="0"/>
                <w:sz w:val="18"/>
                <w:szCs w:val="18"/>
                <w:lang w:val="es-ES_tradnl"/>
              </w:rPr>
              <w:t>Plantas Ornamentales y Árboles Forestales (TWO)</w:t>
            </w:r>
          </w:p>
        </w:tc>
        <w:tc>
          <w:tcPr>
            <w:tcW w:w="1410" w:type="dxa"/>
          </w:tcPr>
          <w:p w:rsidR="007F1560" w:rsidRPr="00FD5703" w:rsidRDefault="00D66BEE" w:rsidP="008D6380">
            <w:pPr>
              <w:keepNext/>
              <w:rPr>
                <w:snapToGrid w:val="0"/>
                <w:sz w:val="18"/>
                <w:szCs w:val="18"/>
                <w:lang w:val="es-ES_tradnl"/>
              </w:rPr>
            </w:pPr>
            <w:r w:rsidRPr="00FD5703">
              <w:rPr>
                <w:snapToGrid w:val="0"/>
                <w:sz w:val="18"/>
                <w:szCs w:val="18"/>
                <w:lang w:val="es-ES_tradnl"/>
              </w:rPr>
              <w:t xml:space="preserve">8 de febrero </w:t>
            </w:r>
          </w:p>
        </w:tc>
        <w:tc>
          <w:tcPr>
            <w:tcW w:w="1410" w:type="dxa"/>
          </w:tcPr>
          <w:p w:rsidR="007F1560" w:rsidRPr="00FD5703" w:rsidRDefault="00D66BEE" w:rsidP="008D6380">
            <w:pPr>
              <w:keepNext/>
              <w:rPr>
                <w:snapToGrid w:val="0"/>
                <w:sz w:val="18"/>
                <w:szCs w:val="18"/>
                <w:lang w:val="es-ES_tradnl"/>
              </w:rPr>
            </w:pPr>
            <w:r w:rsidRPr="00FD5703">
              <w:rPr>
                <w:snapToGrid w:val="0"/>
                <w:sz w:val="18"/>
                <w:szCs w:val="18"/>
                <w:lang w:val="es-ES_tradnl"/>
              </w:rPr>
              <w:t>8 de marzo</w:t>
            </w:r>
          </w:p>
        </w:tc>
        <w:tc>
          <w:tcPr>
            <w:tcW w:w="1410" w:type="dxa"/>
          </w:tcPr>
          <w:p w:rsidR="007F1560" w:rsidRPr="00FD5703" w:rsidRDefault="00D66BEE" w:rsidP="008D6380">
            <w:pPr>
              <w:keepNext/>
              <w:rPr>
                <w:snapToGrid w:val="0"/>
                <w:sz w:val="18"/>
                <w:szCs w:val="18"/>
                <w:lang w:val="es-ES_tradnl"/>
              </w:rPr>
            </w:pPr>
            <w:r w:rsidRPr="00FD5703">
              <w:rPr>
                <w:snapToGrid w:val="0"/>
                <w:sz w:val="18"/>
                <w:szCs w:val="18"/>
                <w:lang w:val="es-ES_tradnl"/>
              </w:rPr>
              <w:t xml:space="preserve">5 de abril </w:t>
            </w:r>
          </w:p>
        </w:tc>
        <w:tc>
          <w:tcPr>
            <w:tcW w:w="1640" w:type="dxa"/>
          </w:tcPr>
          <w:p w:rsidR="007F1560" w:rsidRPr="00FD5703" w:rsidRDefault="007A112B" w:rsidP="008D6380">
            <w:pPr>
              <w:keepNext/>
              <w:rPr>
                <w:snapToGrid w:val="0"/>
                <w:sz w:val="18"/>
                <w:szCs w:val="18"/>
                <w:lang w:val="es-ES_tradnl"/>
              </w:rPr>
            </w:pPr>
            <w:r w:rsidRPr="00FD5703">
              <w:rPr>
                <w:snapToGrid w:val="0"/>
                <w:sz w:val="18"/>
                <w:szCs w:val="18"/>
                <w:lang w:val="es-ES_tradnl"/>
              </w:rPr>
              <w:t>19 al 23 de mayo</w:t>
            </w:r>
          </w:p>
        </w:tc>
      </w:tr>
      <w:tr w:rsidR="007F1560" w:rsidRPr="00FD5703" w:rsidTr="004E4FAC">
        <w:trPr>
          <w:cantSplit/>
        </w:trPr>
        <w:tc>
          <w:tcPr>
            <w:tcW w:w="3787" w:type="dxa"/>
          </w:tcPr>
          <w:p w:rsidR="007F1560" w:rsidRPr="00FD5703" w:rsidRDefault="00D66BEE" w:rsidP="009C5CAD">
            <w:pPr>
              <w:jc w:val="left"/>
              <w:rPr>
                <w:snapToGrid w:val="0"/>
                <w:sz w:val="18"/>
                <w:szCs w:val="18"/>
                <w:lang w:val="es-ES_tradnl"/>
              </w:rPr>
            </w:pPr>
            <w:r w:rsidRPr="00FD5703">
              <w:rPr>
                <w:snapToGrid w:val="0"/>
                <w:sz w:val="18"/>
                <w:szCs w:val="18"/>
                <w:lang w:val="es-ES_tradnl"/>
              </w:rPr>
              <w:t>Plantas frutales (TWF)</w:t>
            </w:r>
          </w:p>
        </w:tc>
        <w:tc>
          <w:tcPr>
            <w:tcW w:w="1410" w:type="dxa"/>
          </w:tcPr>
          <w:p w:rsidR="007F1560" w:rsidRPr="00FD5703" w:rsidRDefault="00D66BEE" w:rsidP="009C5CAD">
            <w:pPr>
              <w:rPr>
                <w:snapToGrid w:val="0"/>
                <w:sz w:val="18"/>
                <w:szCs w:val="18"/>
                <w:lang w:val="es-ES_tradnl"/>
              </w:rPr>
            </w:pPr>
            <w:r w:rsidRPr="00FD5703">
              <w:rPr>
                <w:snapToGrid w:val="0"/>
                <w:sz w:val="18"/>
                <w:szCs w:val="18"/>
                <w:lang w:val="es-ES_tradnl"/>
              </w:rPr>
              <w:t>14 de febrero</w:t>
            </w:r>
          </w:p>
        </w:tc>
        <w:tc>
          <w:tcPr>
            <w:tcW w:w="1410" w:type="dxa"/>
          </w:tcPr>
          <w:p w:rsidR="007F1560" w:rsidRPr="00FD5703" w:rsidRDefault="00D66BEE" w:rsidP="009C5CAD">
            <w:pPr>
              <w:rPr>
                <w:snapToGrid w:val="0"/>
                <w:sz w:val="18"/>
                <w:szCs w:val="18"/>
                <w:lang w:val="es-ES_tradnl"/>
              </w:rPr>
            </w:pPr>
            <w:r w:rsidRPr="00FD5703">
              <w:rPr>
                <w:snapToGrid w:val="0"/>
                <w:sz w:val="18"/>
                <w:szCs w:val="18"/>
                <w:lang w:val="es-ES_tradnl"/>
              </w:rPr>
              <w:t>14 de marzo</w:t>
            </w:r>
          </w:p>
        </w:tc>
        <w:tc>
          <w:tcPr>
            <w:tcW w:w="1410" w:type="dxa"/>
          </w:tcPr>
          <w:p w:rsidR="007F1560" w:rsidRPr="00FD5703" w:rsidRDefault="00D66BEE" w:rsidP="009C5CAD">
            <w:pPr>
              <w:rPr>
                <w:snapToGrid w:val="0"/>
                <w:sz w:val="18"/>
                <w:szCs w:val="18"/>
                <w:lang w:val="es-ES_tradnl"/>
              </w:rPr>
            </w:pPr>
            <w:r w:rsidRPr="00FD5703">
              <w:rPr>
                <w:snapToGrid w:val="0"/>
                <w:sz w:val="18"/>
                <w:szCs w:val="18"/>
                <w:lang w:val="es-ES_tradnl"/>
              </w:rPr>
              <w:t xml:space="preserve">11 de abril </w:t>
            </w:r>
          </w:p>
        </w:tc>
        <w:tc>
          <w:tcPr>
            <w:tcW w:w="1640" w:type="dxa"/>
          </w:tcPr>
          <w:p w:rsidR="007F1560" w:rsidRPr="00FD5703" w:rsidRDefault="00D66BEE" w:rsidP="009C5CAD">
            <w:pPr>
              <w:rPr>
                <w:snapToGrid w:val="0"/>
                <w:sz w:val="18"/>
                <w:szCs w:val="18"/>
                <w:lang w:val="es-ES_tradnl"/>
              </w:rPr>
            </w:pPr>
            <w:r w:rsidRPr="00FD5703">
              <w:rPr>
                <w:snapToGrid w:val="0"/>
                <w:sz w:val="18"/>
                <w:szCs w:val="18"/>
                <w:lang w:val="es-ES_tradnl"/>
              </w:rPr>
              <w:t>26 al 30 de mayo</w:t>
            </w:r>
          </w:p>
        </w:tc>
      </w:tr>
      <w:tr w:rsidR="003367CB" w:rsidRPr="00FD5703" w:rsidTr="004E4FAC">
        <w:trPr>
          <w:cantSplit/>
        </w:trPr>
        <w:tc>
          <w:tcPr>
            <w:tcW w:w="3787" w:type="dxa"/>
          </w:tcPr>
          <w:p w:rsidR="003367CB" w:rsidRPr="00FD5703" w:rsidRDefault="00D66BEE" w:rsidP="009C5CAD">
            <w:pPr>
              <w:jc w:val="left"/>
              <w:rPr>
                <w:snapToGrid w:val="0"/>
                <w:sz w:val="18"/>
                <w:szCs w:val="18"/>
                <w:lang w:val="es-ES_tradnl"/>
              </w:rPr>
            </w:pPr>
            <w:r w:rsidRPr="00FD5703">
              <w:rPr>
                <w:snapToGrid w:val="0"/>
                <w:sz w:val="18"/>
                <w:szCs w:val="18"/>
                <w:lang w:val="es-ES_tradnl"/>
              </w:rPr>
              <w:t>Hortalizas (TWV)</w:t>
            </w:r>
          </w:p>
        </w:tc>
        <w:tc>
          <w:tcPr>
            <w:tcW w:w="1410" w:type="dxa"/>
          </w:tcPr>
          <w:p w:rsidR="003367CB" w:rsidRPr="00FD5703" w:rsidRDefault="00D66BEE" w:rsidP="009C5CAD">
            <w:pPr>
              <w:rPr>
                <w:snapToGrid w:val="0"/>
                <w:sz w:val="18"/>
                <w:szCs w:val="18"/>
                <w:lang w:val="es-ES_tradnl"/>
              </w:rPr>
            </w:pPr>
            <w:r w:rsidRPr="00FD5703">
              <w:rPr>
                <w:snapToGrid w:val="0"/>
                <w:sz w:val="18"/>
                <w:szCs w:val="18"/>
                <w:lang w:val="es-ES_tradnl"/>
              </w:rPr>
              <w:t>14 de marzo</w:t>
            </w:r>
          </w:p>
        </w:tc>
        <w:tc>
          <w:tcPr>
            <w:tcW w:w="1410" w:type="dxa"/>
          </w:tcPr>
          <w:p w:rsidR="003367CB" w:rsidRPr="00FD5703" w:rsidRDefault="00D66BEE" w:rsidP="009C5CAD">
            <w:pPr>
              <w:rPr>
                <w:snapToGrid w:val="0"/>
                <w:sz w:val="18"/>
                <w:szCs w:val="18"/>
                <w:lang w:val="es-ES_tradnl"/>
              </w:rPr>
            </w:pPr>
            <w:r w:rsidRPr="00FD5703">
              <w:rPr>
                <w:snapToGrid w:val="0"/>
                <w:sz w:val="18"/>
                <w:szCs w:val="18"/>
                <w:lang w:val="es-ES_tradnl"/>
              </w:rPr>
              <w:t>11 de abril</w:t>
            </w:r>
          </w:p>
        </w:tc>
        <w:tc>
          <w:tcPr>
            <w:tcW w:w="1410" w:type="dxa"/>
          </w:tcPr>
          <w:p w:rsidR="003367CB" w:rsidRPr="00FD5703" w:rsidRDefault="00055592" w:rsidP="009C5CAD">
            <w:pPr>
              <w:rPr>
                <w:snapToGrid w:val="0"/>
                <w:sz w:val="18"/>
                <w:szCs w:val="18"/>
                <w:lang w:val="es-ES_tradnl"/>
              </w:rPr>
            </w:pPr>
            <w:r w:rsidRPr="00FD5703">
              <w:rPr>
                <w:snapToGrid w:val="0"/>
                <w:sz w:val="18"/>
                <w:szCs w:val="18"/>
                <w:lang w:val="es-ES_tradnl"/>
              </w:rPr>
              <w:t>9 de mayo</w:t>
            </w:r>
          </w:p>
        </w:tc>
        <w:tc>
          <w:tcPr>
            <w:tcW w:w="1640" w:type="dxa"/>
          </w:tcPr>
          <w:p w:rsidR="003367CB" w:rsidRPr="00FD5703" w:rsidRDefault="00D66BEE" w:rsidP="009C5CAD">
            <w:pPr>
              <w:rPr>
                <w:snapToGrid w:val="0"/>
                <w:sz w:val="18"/>
                <w:szCs w:val="18"/>
                <w:lang w:val="es-ES_tradnl"/>
              </w:rPr>
            </w:pPr>
            <w:r w:rsidRPr="00FD5703">
              <w:rPr>
                <w:snapToGrid w:val="0"/>
                <w:sz w:val="18"/>
                <w:szCs w:val="18"/>
                <w:lang w:val="es-ES_tradnl"/>
              </w:rPr>
              <w:t>23 al 27  de junio</w:t>
            </w:r>
          </w:p>
        </w:tc>
      </w:tr>
      <w:tr w:rsidR="003367CB" w:rsidRPr="00FD5703" w:rsidTr="004E4FAC">
        <w:trPr>
          <w:cantSplit/>
        </w:trPr>
        <w:tc>
          <w:tcPr>
            <w:tcW w:w="3787" w:type="dxa"/>
          </w:tcPr>
          <w:p w:rsidR="003367CB" w:rsidRPr="00FD5703" w:rsidRDefault="00D66BEE" w:rsidP="009C5CAD">
            <w:pPr>
              <w:jc w:val="left"/>
              <w:rPr>
                <w:snapToGrid w:val="0"/>
                <w:sz w:val="18"/>
                <w:szCs w:val="18"/>
                <w:lang w:val="es-ES_tradnl"/>
              </w:rPr>
            </w:pPr>
            <w:r w:rsidRPr="00FD5703">
              <w:rPr>
                <w:snapToGrid w:val="0"/>
                <w:sz w:val="18"/>
                <w:szCs w:val="18"/>
                <w:lang w:val="es-ES_tradnl"/>
              </w:rPr>
              <w:t>Plantas Agrícolas (TWA)</w:t>
            </w:r>
          </w:p>
        </w:tc>
        <w:tc>
          <w:tcPr>
            <w:tcW w:w="1410" w:type="dxa"/>
          </w:tcPr>
          <w:p w:rsidR="003367CB" w:rsidRPr="00FD5703" w:rsidRDefault="00D66BEE" w:rsidP="009C5CAD">
            <w:pPr>
              <w:rPr>
                <w:snapToGrid w:val="0"/>
                <w:sz w:val="18"/>
                <w:szCs w:val="18"/>
                <w:lang w:val="es-ES_tradnl"/>
              </w:rPr>
            </w:pPr>
            <w:r w:rsidRPr="00FD5703">
              <w:rPr>
                <w:snapToGrid w:val="0"/>
                <w:sz w:val="18"/>
                <w:szCs w:val="18"/>
                <w:lang w:val="es-ES_tradnl"/>
              </w:rPr>
              <w:t xml:space="preserve">8 de agosto </w:t>
            </w:r>
          </w:p>
        </w:tc>
        <w:tc>
          <w:tcPr>
            <w:tcW w:w="1410" w:type="dxa"/>
          </w:tcPr>
          <w:p w:rsidR="003367CB" w:rsidRPr="00FD5703" w:rsidRDefault="00D66BEE" w:rsidP="009C5CAD">
            <w:pPr>
              <w:jc w:val="left"/>
              <w:rPr>
                <w:snapToGrid w:val="0"/>
                <w:sz w:val="17"/>
                <w:szCs w:val="17"/>
                <w:lang w:val="es-ES_tradnl"/>
              </w:rPr>
            </w:pPr>
            <w:r w:rsidRPr="00FD5703">
              <w:rPr>
                <w:snapToGrid w:val="0"/>
                <w:sz w:val="17"/>
                <w:szCs w:val="17"/>
                <w:lang w:val="es-ES_tradnl"/>
              </w:rPr>
              <w:t>15</w:t>
            </w:r>
            <w:r w:rsidR="007A112B" w:rsidRPr="00FD5703">
              <w:rPr>
                <w:snapToGrid w:val="0"/>
                <w:sz w:val="17"/>
                <w:szCs w:val="17"/>
                <w:lang w:val="es-ES_tradnl"/>
              </w:rPr>
              <w:t xml:space="preserve"> </w:t>
            </w:r>
            <w:r w:rsidRPr="00FD5703">
              <w:rPr>
                <w:snapToGrid w:val="0"/>
                <w:sz w:val="17"/>
                <w:szCs w:val="17"/>
                <w:lang w:val="es-ES_tradnl"/>
              </w:rPr>
              <w:t>de septiembre</w:t>
            </w:r>
          </w:p>
        </w:tc>
        <w:tc>
          <w:tcPr>
            <w:tcW w:w="1410" w:type="dxa"/>
          </w:tcPr>
          <w:p w:rsidR="003367CB" w:rsidRPr="00FD5703" w:rsidRDefault="00D66BEE" w:rsidP="009C5CAD">
            <w:pPr>
              <w:rPr>
                <w:snapToGrid w:val="0"/>
                <w:sz w:val="18"/>
                <w:szCs w:val="18"/>
                <w:lang w:val="es-ES_tradnl"/>
              </w:rPr>
            </w:pPr>
            <w:r w:rsidRPr="00FD5703">
              <w:rPr>
                <w:snapToGrid w:val="0"/>
                <w:sz w:val="18"/>
                <w:szCs w:val="18"/>
                <w:lang w:val="es-ES_tradnl"/>
              </w:rPr>
              <w:t xml:space="preserve">3 de octubre </w:t>
            </w:r>
          </w:p>
        </w:tc>
        <w:tc>
          <w:tcPr>
            <w:tcW w:w="1640" w:type="dxa"/>
          </w:tcPr>
          <w:p w:rsidR="003367CB" w:rsidRPr="00FD5703" w:rsidRDefault="00D66BEE" w:rsidP="009C5CAD">
            <w:pPr>
              <w:jc w:val="left"/>
              <w:rPr>
                <w:snapToGrid w:val="0"/>
                <w:sz w:val="18"/>
                <w:szCs w:val="18"/>
                <w:lang w:val="es-ES_tradnl"/>
              </w:rPr>
            </w:pPr>
            <w:r w:rsidRPr="00FD5703">
              <w:rPr>
                <w:snapToGrid w:val="0"/>
                <w:sz w:val="18"/>
                <w:szCs w:val="18"/>
                <w:lang w:val="es-ES_tradnl"/>
              </w:rPr>
              <w:t>17  al 21 de noviembre</w:t>
            </w:r>
          </w:p>
        </w:tc>
      </w:tr>
    </w:tbl>
    <w:p w:rsidR="009116AF" w:rsidRPr="00FD5703" w:rsidRDefault="009116AF" w:rsidP="009C5CAD">
      <w:pPr>
        <w:rPr>
          <w:snapToGrid w:val="0"/>
          <w:lang w:val="es-ES_tradnl"/>
        </w:rPr>
      </w:pPr>
    </w:p>
    <w:p w:rsidR="009116AF" w:rsidRPr="00FD5703" w:rsidRDefault="00B94A4D" w:rsidP="009C5CAD">
      <w:pPr>
        <w:rPr>
          <w:snapToGrid w:val="0"/>
          <w:lang w:val="es-ES_tradnl"/>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Pr="00FD5703">
        <w:rPr>
          <w:snapToGrid w:val="0"/>
          <w:lang w:val="es-ES_tradnl"/>
        </w:rPr>
        <w:tab/>
      </w:r>
      <w:r w:rsidR="0087238B" w:rsidRPr="00FD5703">
        <w:rPr>
          <w:snapToGrid w:val="0"/>
          <w:lang w:val="es-ES_tradnl"/>
        </w:rPr>
        <w:t>A fines de 2013, se creó</w:t>
      </w:r>
      <w:r w:rsidR="0020280A" w:rsidRPr="00FD5703">
        <w:rPr>
          <w:snapToGrid w:val="0"/>
          <w:lang w:val="es-ES_tradnl"/>
        </w:rPr>
        <w:t xml:space="preserve"> y probó</w:t>
      </w:r>
      <w:r w:rsidR="0087238B" w:rsidRPr="00FD5703">
        <w:rPr>
          <w:snapToGrid w:val="0"/>
          <w:lang w:val="es-ES_tradnl"/>
        </w:rPr>
        <w:t xml:space="preserve"> </w:t>
      </w:r>
      <w:r w:rsidR="0020280A" w:rsidRPr="00FD5703">
        <w:rPr>
          <w:snapToGrid w:val="0"/>
          <w:lang w:val="es-ES_tradnl"/>
        </w:rPr>
        <w:t xml:space="preserve">un prototipo </w:t>
      </w:r>
      <w:r w:rsidR="0087238B" w:rsidRPr="00FD5703">
        <w:rPr>
          <w:snapToGrid w:val="0"/>
          <w:lang w:val="es-ES_tradnl"/>
        </w:rPr>
        <w:t xml:space="preserve">de la </w:t>
      </w:r>
      <w:r w:rsidR="00B848E9" w:rsidRPr="00FD5703">
        <w:rPr>
          <w:snapToGrid w:val="0"/>
          <w:lang w:val="es-ES_tradnl"/>
        </w:rPr>
        <w:t>versión</w:t>
      </w:r>
      <w:r w:rsidR="00E93587" w:rsidRPr="00FD5703">
        <w:rPr>
          <w:snapToGrid w:val="0"/>
          <w:lang w:val="es-ES_tradnl"/>
        </w:rPr>
        <w:t xml:space="preserve"> 1 de la p</w:t>
      </w:r>
      <w:r w:rsidR="0087238B" w:rsidRPr="00FD5703">
        <w:rPr>
          <w:snapToGrid w:val="0"/>
          <w:lang w:val="es-ES_tradnl"/>
        </w:rPr>
        <w:t xml:space="preserve">lantilla en Internet de los </w:t>
      </w:r>
      <w:r w:rsidR="0087238B" w:rsidRPr="00E86EDB">
        <w:rPr>
          <w:snapToGrid w:val="0"/>
          <w:lang w:val="es-ES_tradnl"/>
        </w:rPr>
        <w:t>documentos TG, en colaboración con expertos de Australia y los Países Bajos y, en marzo de 2014, los mismos expertos probar</w:t>
      </w:r>
      <w:r w:rsidR="00E86EDB" w:rsidRPr="00E86EDB">
        <w:rPr>
          <w:snapToGrid w:val="0"/>
          <w:lang w:val="es-ES_tradnl"/>
        </w:rPr>
        <w:t>á</w:t>
      </w:r>
      <w:r w:rsidR="0087238B" w:rsidRPr="00E86EDB">
        <w:rPr>
          <w:snapToGrid w:val="0"/>
          <w:lang w:val="es-ES_tradnl"/>
        </w:rPr>
        <w:t xml:space="preserve">n los programas informáticos plenamente funcionales. </w:t>
      </w:r>
      <w:r w:rsidR="00803CC0" w:rsidRPr="00E86EDB">
        <w:rPr>
          <w:snapToGrid w:val="0"/>
          <w:lang w:val="es-ES_tradnl"/>
        </w:rPr>
        <w:t xml:space="preserve"> </w:t>
      </w:r>
      <w:r w:rsidR="002D72A5" w:rsidRPr="00E86EDB">
        <w:rPr>
          <w:snapToGrid w:val="0"/>
          <w:lang w:val="es-ES_tradnl"/>
        </w:rPr>
        <w:t xml:space="preserve">La Oficina de la Unión </w:t>
      </w:r>
      <w:r w:rsidR="00E86EDB" w:rsidRPr="00E86EDB">
        <w:rPr>
          <w:snapToGrid w:val="0"/>
          <w:lang w:val="es-ES_tradnl"/>
        </w:rPr>
        <w:t>informará</w:t>
      </w:r>
      <w:r w:rsidR="002D72A5" w:rsidRPr="00E86EDB">
        <w:rPr>
          <w:snapToGrid w:val="0"/>
          <w:lang w:val="es-ES_tradnl"/>
        </w:rPr>
        <w:t xml:space="preserve"> a todos los expertos principales acerca de</w:t>
      </w:r>
      <w:r w:rsidR="00E93587" w:rsidRPr="00E86EDB">
        <w:rPr>
          <w:snapToGrid w:val="0"/>
          <w:lang w:val="es-ES_tradnl"/>
        </w:rPr>
        <w:t xml:space="preserve"> </w:t>
      </w:r>
      <w:r w:rsidR="002D72A5" w:rsidRPr="00E86EDB">
        <w:rPr>
          <w:snapToGrid w:val="0"/>
          <w:lang w:val="es-ES_tradnl"/>
        </w:rPr>
        <w:t>l</w:t>
      </w:r>
      <w:r w:rsidR="00E93587" w:rsidRPr="00E86EDB">
        <w:rPr>
          <w:snapToGrid w:val="0"/>
          <w:lang w:val="es-ES_tradnl"/>
        </w:rPr>
        <w:t>a</w:t>
      </w:r>
      <w:r w:rsidR="002D72A5" w:rsidRPr="00E86EDB">
        <w:rPr>
          <w:snapToGrid w:val="0"/>
          <w:lang w:val="es-ES_tradnl"/>
        </w:rPr>
        <w:t xml:space="preserve"> </w:t>
      </w:r>
      <w:r w:rsidR="00E93587" w:rsidRPr="00E86EDB">
        <w:rPr>
          <w:snapToGrid w:val="0"/>
          <w:lang w:val="es-ES_tradnl"/>
        </w:rPr>
        <w:t>elaboración</w:t>
      </w:r>
      <w:r w:rsidR="002D72A5" w:rsidRPr="00E86EDB">
        <w:rPr>
          <w:snapToGrid w:val="0"/>
          <w:lang w:val="es-ES_tradnl"/>
        </w:rPr>
        <w:t xml:space="preserve"> de la plantilla en Internet de los documentos TG, e invita</w:t>
      </w:r>
      <w:r w:rsidR="00E86EDB" w:rsidRPr="00E86EDB">
        <w:rPr>
          <w:snapToGrid w:val="0"/>
          <w:lang w:val="es-ES_tradnl"/>
        </w:rPr>
        <w:t>rá</w:t>
      </w:r>
      <w:r w:rsidR="002D72A5" w:rsidRPr="00E86EDB">
        <w:rPr>
          <w:snapToGrid w:val="0"/>
          <w:lang w:val="es-ES_tradnl"/>
        </w:rPr>
        <w:t xml:space="preserve"> a voluntarios a </w:t>
      </w:r>
      <w:r w:rsidR="00E86EDB" w:rsidRPr="00E86EDB">
        <w:rPr>
          <w:snapToGrid w:val="0"/>
          <w:lang w:val="es-ES_tradnl"/>
        </w:rPr>
        <w:t>probar</w:t>
      </w:r>
      <w:r w:rsidR="002D72A5" w:rsidRPr="00E86EDB">
        <w:rPr>
          <w:snapToGrid w:val="0"/>
          <w:lang w:val="es-ES_tradnl"/>
        </w:rPr>
        <w:t xml:space="preserve">la para elaborar las directrices de examen en 2014. </w:t>
      </w:r>
      <w:r w:rsidR="003367CB" w:rsidRPr="00E86EDB">
        <w:rPr>
          <w:snapToGrid w:val="0"/>
          <w:lang w:val="es-ES_tradnl"/>
        </w:rPr>
        <w:t xml:space="preserve">  </w:t>
      </w:r>
      <w:r w:rsidR="00E86EDB" w:rsidRPr="00E86EDB">
        <w:rPr>
          <w:snapToGrid w:val="0"/>
          <w:lang w:val="es-ES_tradnl"/>
        </w:rPr>
        <w:t>En el</w:t>
      </w:r>
      <w:r w:rsidR="00E86EDB" w:rsidRPr="00FD5703">
        <w:rPr>
          <w:snapToGrid w:val="0"/>
          <w:lang w:val="es-ES_tradnl"/>
        </w:rPr>
        <w:t xml:space="preserve"> caso del Grupo de Trabajo Técnico sobre Plantas Agrícolas (TWA), la plantilla </w:t>
      </w:r>
      <w:r w:rsidR="00E86EDB" w:rsidRPr="00FD5703">
        <w:rPr>
          <w:lang w:val="es-ES_tradnl"/>
        </w:rPr>
        <w:t>en Internet de los documentos TG</w:t>
      </w:r>
      <w:r w:rsidR="00E86EDB" w:rsidRPr="00FD5703">
        <w:rPr>
          <w:snapToGrid w:val="0"/>
          <w:lang w:val="es-ES_tradnl"/>
        </w:rPr>
        <w:t xml:space="preserve"> puede servir para elaborar los proyectos del subgrupo. </w:t>
      </w:r>
    </w:p>
    <w:p w:rsidR="009116AF" w:rsidRPr="00FD5703" w:rsidRDefault="009116AF" w:rsidP="009C5CAD">
      <w:pPr>
        <w:rPr>
          <w:snapToGrid w:val="0"/>
          <w:lang w:val="es-ES_tradnl"/>
        </w:rPr>
      </w:pPr>
    </w:p>
    <w:p w:rsidR="009116AF" w:rsidRPr="00FD5703" w:rsidRDefault="003367CB" w:rsidP="009C5CAD">
      <w:pPr>
        <w:rPr>
          <w:snapToGrid w:val="0"/>
          <w:lang w:val="es-ES_tradnl"/>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Pr="00FD5703">
        <w:rPr>
          <w:snapToGrid w:val="0"/>
          <w:lang w:val="es-ES_tradnl"/>
        </w:rPr>
        <w:tab/>
      </w:r>
      <w:r w:rsidR="00E4589E" w:rsidRPr="00FD5703">
        <w:rPr>
          <w:snapToGrid w:val="0"/>
          <w:lang w:val="es-ES_tradnl"/>
        </w:rPr>
        <w:t xml:space="preserve">Para sacar el máximo provecho de la plantilla en Internet, será necesario que todos los expertos principales y los expertos interesados la utilicen exclusivamente para preparar las directrices de examen para los Grupos de Trabajo Técnico. </w:t>
      </w:r>
      <w:r w:rsidRPr="00FD5703">
        <w:rPr>
          <w:snapToGrid w:val="0"/>
          <w:lang w:val="es-ES_tradnl"/>
        </w:rPr>
        <w:t xml:space="preserve">  </w:t>
      </w:r>
      <w:r w:rsidR="00E4589E" w:rsidRPr="00FD5703">
        <w:rPr>
          <w:snapToGrid w:val="0"/>
          <w:lang w:val="es-ES_tradnl"/>
        </w:rPr>
        <w:t xml:space="preserve">Por lo tanto, a partir de 2015, será necesario utilizar la plantilla en Internet de los documentos TG para preparar todas las directrices de examen.  </w:t>
      </w:r>
      <w:r w:rsidR="008C7406" w:rsidRPr="00FD5703">
        <w:rPr>
          <w:snapToGrid w:val="0"/>
          <w:lang w:val="es-ES_tradnl"/>
        </w:rPr>
        <w:t xml:space="preserve">La formación sobre la utilización de la nueva plantilla en Internet de los documentos TG se impartirá durante las sesiones de los Grupos de Trabajo Técnico y por conducto de una serie de talleres impartidos por Internet (talleres electrónicos) (véase el documento TC/50/3 </w:t>
      </w:r>
      <w:r w:rsidR="009C5CAD" w:rsidRPr="00FD5703">
        <w:rPr>
          <w:snapToGrid w:val="0"/>
          <w:lang w:val="es-ES_tradnl"/>
        </w:rPr>
        <w:t>“</w:t>
      </w:r>
      <w:r w:rsidR="008C7406" w:rsidRPr="00FD5703">
        <w:rPr>
          <w:snapToGrid w:val="0"/>
          <w:lang w:val="es-ES_tradnl"/>
        </w:rPr>
        <w:t>Cuestiones planteadas por los grupos de trabajo técnico</w:t>
      </w:r>
      <w:r w:rsidR="009C5CAD" w:rsidRPr="00FD5703">
        <w:rPr>
          <w:snapToGrid w:val="0"/>
          <w:lang w:val="es-ES_tradnl"/>
        </w:rPr>
        <w:t>”</w:t>
      </w:r>
      <w:r w:rsidR="008C7406" w:rsidRPr="00FD5703">
        <w:rPr>
          <w:snapToGrid w:val="0"/>
          <w:lang w:val="es-ES_tradnl"/>
        </w:rPr>
        <w:t>).</w:t>
      </w:r>
      <w:r w:rsidR="00AF7303" w:rsidRPr="00FD5703">
        <w:rPr>
          <w:snapToGrid w:val="0"/>
          <w:lang w:val="es-ES_tradnl"/>
        </w:rPr>
        <w:t xml:space="preserve">  </w:t>
      </w:r>
    </w:p>
    <w:p w:rsidR="009116AF" w:rsidRPr="00FD5703" w:rsidRDefault="009116AF" w:rsidP="009C5CAD">
      <w:pPr>
        <w:pStyle w:val="Heading2"/>
        <w:keepNext w:val="0"/>
        <w:rPr>
          <w:lang w:val="es-ES_tradnl"/>
        </w:rPr>
      </w:pPr>
    </w:p>
    <w:p w:rsidR="009116AF" w:rsidRPr="00FD5703" w:rsidRDefault="008C7406" w:rsidP="00E86EDB">
      <w:pPr>
        <w:pStyle w:val="Heading2"/>
        <w:rPr>
          <w:lang w:val="es-ES_tradnl"/>
        </w:rPr>
      </w:pPr>
      <w:bookmarkStart w:id="49" w:name="_Toc381177141"/>
      <w:r w:rsidRPr="00FD5703">
        <w:rPr>
          <w:lang w:val="es-ES_tradnl"/>
        </w:rPr>
        <w:t>Versión 2</w:t>
      </w:r>
      <w:bookmarkEnd w:id="49"/>
    </w:p>
    <w:p w:rsidR="009116AF" w:rsidRPr="00FD5703" w:rsidRDefault="009116AF" w:rsidP="00E86EDB">
      <w:pPr>
        <w:keepNext/>
        <w:rPr>
          <w:lang w:val="es-ES_tradnl"/>
        </w:rPr>
      </w:pPr>
    </w:p>
    <w:p w:rsidR="009116AF" w:rsidRPr="00FD5703" w:rsidRDefault="00744A9B" w:rsidP="009C5CAD">
      <w:pPr>
        <w:rPr>
          <w:lang w:val="es-ES_tradnl"/>
        </w:rPr>
      </w:pPr>
      <w:r w:rsidRPr="00FD5703">
        <w:rPr>
          <w:snapToGrid w:val="0"/>
          <w:lang w:val="es-ES_tradnl"/>
        </w:rPr>
        <w:fldChar w:fldCharType="begin"/>
      </w:r>
      <w:r w:rsidRPr="00FD5703">
        <w:rPr>
          <w:snapToGrid w:val="0"/>
          <w:lang w:val="es-ES_tradnl"/>
        </w:rPr>
        <w:instrText xml:space="preserve"> AUTONUM  </w:instrText>
      </w:r>
      <w:r w:rsidRPr="00FD5703">
        <w:rPr>
          <w:snapToGrid w:val="0"/>
          <w:lang w:val="es-ES_tradnl"/>
        </w:rPr>
        <w:fldChar w:fldCharType="end"/>
      </w:r>
      <w:r w:rsidRPr="00FD5703">
        <w:rPr>
          <w:snapToGrid w:val="0"/>
          <w:lang w:val="es-ES_tradnl"/>
        </w:rPr>
        <w:tab/>
      </w:r>
      <w:r w:rsidR="008C7406" w:rsidRPr="00FD5703">
        <w:rPr>
          <w:lang w:val="es-ES_tradnl"/>
        </w:rPr>
        <w:t xml:space="preserve">La versión 2 de la plantilla en Internet de los documentos TG contará con las siguientes </w:t>
      </w:r>
      <w:r w:rsidR="0020280A" w:rsidRPr="00FD5703">
        <w:rPr>
          <w:lang w:val="es-ES_tradnl"/>
        </w:rPr>
        <w:t xml:space="preserve">funciones </w:t>
      </w:r>
      <w:r w:rsidR="008C7406" w:rsidRPr="00FD5703">
        <w:rPr>
          <w:lang w:val="es-ES_tradnl"/>
        </w:rPr>
        <w:t xml:space="preserve"> adicionales: </w:t>
      </w:r>
    </w:p>
    <w:p w:rsidR="009116AF" w:rsidRPr="00FD5703" w:rsidRDefault="009116AF" w:rsidP="009C5CAD">
      <w:pPr>
        <w:rPr>
          <w:lang w:val="es-ES_tradnl"/>
        </w:rPr>
      </w:pPr>
    </w:p>
    <w:p w:rsidR="009116AF" w:rsidRPr="00FD5703" w:rsidRDefault="00BC6A7D" w:rsidP="009C5CAD">
      <w:pPr>
        <w:pStyle w:val="Heading3"/>
        <w:rPr>
          <w:lang w:val="es-ES_tradnl"/>
        </w:rPr>
      </w:pPr>
      <w:bookmarkStart w:id="50" w:name="_Toc381177142"/>
      <w:r w:rsidRPr="00FD5703">
        <w:rPr>
          <w:lang w:val="es-ES_tradnl"/>
        </w:rPr>
        <w:t>Traducción</w:t>
      </w:r>
      <w:bookmarkEnd w:id="50"/>
      <w:r w:rsidRPr="00FD5703">
        <w:rPr>
          <w:lang w:val="es-ES_tradnl"/>
        </w:rPr>
        <w:t xml:space="preserve"> </w:t>
      </w:r>
      <w:r w:rsidR="00744A9B" w:rsidRPr="00FD5703">
        <w:rPr>
          <w:lang w:val="es-ES_tradnl"/>
        </w:rPr>
        <w:t xml:space="preserve"> </w:t>
      </w:r>
    </w:p>
    <w:p w:rsidR="009116AF" w:rsidRPr="00FD5703" w:rsidRDefault="009116AF" w:rsidP="009C5CAD">
      <w:pPr>
        <w:rPr>
          <w:lang w:val="es-ES_tradnl"/>
        </w:rPr>
      </w:pPr>
    </w:p>
    <w:p w:rsidR="009116AF" w:rsidRPr="00FD5703" w:rsidRDefault="00744A9B"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645A77" w:rsidRPr="00FD5703">
        <w:rPr>
          <w:lang w:val="es-ES_tradnl"/>
        </w:rPr>
        <w:t>En la versión 2 de la plantilla</w:t>
      </w:r>
      <w:r w:rsidR="008D415E" w:rsidRPr="00FD5703">
        <w:rPr>
          <w:lang w:val="es-ES_tradnl"/>
        </w:rPr>
        <w:t xml:space="preserve"> en Internet de los documentos TG</w:t>
      </w:r>
      <w:r w:rsidR="00645A77" w:rsidRPr="00FD5703">
        <w:rPr>
          <w:lang w:val="es-ES_tradnl"/>
        </w:rPr>
        <w:t>, las versiones francesa, alemana y española</w:t>
      </w:r>
      <w:r w:rsidR="00C84914" w:rsidRPr="00FD5703">
        <w:rPr>
          <w:lang w:val="es-ES_tradnl"/>
        </w:rPr>
        <w:t xml:space="preserve"> </w:t>
      </w:r>
      <w:r w:rsidR="00645A77" w:rsidRPr="00FD5703">
        <w:rPr>
          <w:lang w:val="es-ES_tradnl"/>
        </w:rPr>
        <w:t>de las directrices de examen</w:t>
      </w:r>
      <w:r w:rsidR="00C84914" w:rsidRPr="00FD5703">
        <w:rPr>
          <w:lang w:val="es-ES_tradnl"/>
        </w:rPr>
        <w:t xml:space="preserve"> se elaborarán</w:t>
      </w:r>
      <w:r w:rsidR="00645A77" w:rsidRPr="00FD5703">
        <w:rPr>
          <w:lang w:val="es-ES_tradnl"/>
        </w:rPr>
        <w:t xml:space="preserve"> al mismo tiempo que </w:t>
      </w:r>
      <w:r w:rsidR="008D415E" w:rsidRPr="00FD5703">
        <w:rPr>
          <w:lang w:val="es-ES_tradnl"/>
        </w:rPr>
        <w:t xml:space="preserve">el borrador del texto estándar en inglés, </w:t>
      </w:r>
      <w:r w:rsidR="00D27003" w:rsidRPr="00FD5703">
        <w:rPr>
          <w:lang w:val="es-ES_tradnl"/>
        </w:rPr>
        <w:t xml:space="preserve">el </w:t>
      </w:r>
      <w:r w:rsidR="009116AF" w:rsidRPr="00FD5703">
        <w:rPr>
          <w:lang w:val="es-ES_tradnl"/>
        </w:rPr>
        <w:t>texto estándar adicional (ASW)</w:t>
      </w:r>
      <w:r w:rsidR="00645A77" w:rsidRPr="00FD5703">
        <w:rPr>
          <w:lang w:val="es-ES_tradnl"/>
        </w:rPr>
        <w:t xml:space="preserve"> y los caracteres </w:t>
      </w:r>
      <w:r w:rsidR="00C84914" w:rsidRPr="00FD5703">
        <w:rPr>
          <w:lang w:val="es-ES_tradnl"/>
        </w:rPr>
        <w:t>recuperados</w:t>
      </w:r>
      <w:r w:rsidR="00645A77" w:rsidRPr="00FD5703">
        <w:rPr>
          <w:lang w:val="es-ES_tradnl"/>
        </w:rPr>
        <w:t xml:space="preserve">, </w:t>
      </w:r>
      <w:r w:rsidR="0020280A" w:rsidRPr="00FD5703">
        <w:rPr>
          <w:lang w:val="es-ES_tradnl"/>
        </w:rPr>
        <w:t>sin modificaciones</w:t>
      </w:r>
      <w:r w:rsidR="00645A77" w:rsidRPr="00FD5703">
        <w:rPr>
          <w:lang w:val="es-ES_tradnl"/>
        </w:rPr>
        <w:t>, a partir de la base de datos que contiene la colección de caracteres aprobados</w:t>
      </w:r>
      <w:r w:rsidR="0020280A" w:rsidRPr="00FD5703">
        <w:rPr>
          <w:lang w:val="es-ES_tradnl"/>
        </w:rPr>
        <w:t xml:space="preserve">. </w:t>
      </w:r>
      <w:r w:rsidR="00645A77" w:rsidRPr="00FD5703">
        <w:rPr>
          <w:lang w:val="es-ES_tradnl"/>
        </w:rPr>
        <w:t xml:space="preserve"> Se resaltará el texto que no se ha traducido automáticamente para su traducción en el idioma en cuestión. </w:t>
      </w:r>
    </w:p>
    <w:p w:rsidR="009116AF" w:rsidRPr="00FD5703" w:rsidRDefault="009116AF" w:rsidP="009C5CAD">
      <w:pPr>
        <w:rPr>
          <w:lang w:val="es-ES_tradnl"/>
        </w:rPr>
      </w:pPr>
    </w:p>
    <w:p w:rsidR="009116AF" w:rsidRPr="00FD5703" w:rsidRDefault="00645A77" w:rsidP="009C5CAD">
      <w:pPr>
        <w:pStyle w:val="Heading3"/>
        <w:rPr>
          <w:lang w:val="es-ES_tradnl"/>
        </w:rPr>
      </w:pPr>
      <w:bookmarkStart w:id="51" w:name="_Toc381177143"/>
      <w:r w:rsidRPr="00FD5703">
        <w:rPr>
          <w:lang w:val="es-ES_tradnl"/>
        </w:rPr>
        <w:t>Directrices de examen propias de cada autoridad</w:t>
      </w:r>
      <w:bookmarkEnd w:id="51"/>
    </w:p>
    <w:p w:rsidR="009116AF" w:rsidRPr="00FD5703" w:rsidRDefault="009116AF" w:rsidP="009C5CAD">
      <w:pPr>
        <w:rPr>
          <w:lang w:val="es-ES_tradnl"/>
        </w:rPr>
      </w:pPr>
    </w:p>
    <w:p w:rsidR="009116AF" w:rsidRPr="00FD5703" w:rsidRDefault="00744A9B"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645A77" w:rsidRPr="00FD5703">
        <w:rPr>
          <w:lang w:val="es-ES_tradnl"/>
        </w:rPr>
        <w:t xml:space="preserve">La </w:t>
      </w:r>
      <w:r w:rsidR="00B848E9" w:rsidRPr="00FD5703">
        <w:rPr>
          <w:lang w:val="es-ES_tradnl"/>
        </w:rPr>
        <w:t>versión</w:t>
      </w:r>
      <w:r w:rsidR="00645A77" w:rsidRPr="00FD5703">
        <w:rPr>
          <w:lang w:val="es-ES_tradnl"/>
        </w:rPr>
        <w:t xml:space="preserve"> 1 de la plantilla en Internet de los documentos TG ha sido diseñada para elaborar las directrices de examen de la UPOV.</w:t>
      </w:r>
      <w:r w:rsidR="00B34C30" w:rsidRPr="00FD5703">
        <w:rPr>
          <w:lang w:val="es-ES_tradnl"/>
        </w:rPr>
        <w:t xml:space="preserve">  </w:t>
      </w:r>
      <w:r w:rsidR="00645A77" w:rsidRPr="00FD5703">
        <w:rPr>
          <w:lang w:val="es-ES_tradnl"/>
        </w:rPr>
        <w:t xml:space="preserve">Sin embargo, también ha </w:t>
      </w:r>
      <w:r w:rsidR="00B848E9" w:rsidRPr="00FD5703">
        <w:rPr>
          <w:lang w:val="es-ES_tradnl"/>
        </w:rPr>
        <w:t>sido diseñada como para que la v</w:t>
      </w:r>
      <w:r w:rsidR="00645A77" w:rsidRPr="00FD5703">
        <w:rPr>
          <w:lang w:val="es-ES_tradnl"/>
        </w:rPr>
        <w:t xml:space="preserve">ersión 2 permita </w:t>
      </w:r>
      <w:r w:rsidR="009116AF" w:rsidRPr="00FD5703">
        <w:rPr>
          <w:lang w:val="es-ES_tradnl"/>
        </w:rPr>
        <w:t>que los</w:t>
      </w:r>
      <w:r w:rsidR="00645A77" w:rsidRPr="00FD5703">
        <w:rPr>
          <w:lang w:val="es-ES_tradnl"/>
        </w:rPr>
        <w:t xml:space="preserve"> miembros de la Unión </w:t>
      </w:r>
      <w:r w:rsidR="009116AF" w:rsidRPr="00FD5703">
        <w:rPr>
          <w:lang w:val="es-ES_tradnl"/>
        </w:rPr>
        <w:t>aprovechen:</w:t>
      </w:r>
      <w:r w:rsidR="00645A77" w:rsidRPr="00FD5703">
        <w:rPr>
          <w:lang w:val="es-ES_tradnl"/>
        </w:rPr>
        <w:t xml:space="preserve"> </w:t>
      </w:r>
    </w:p>
    <w:p w:rsidR="009116AF" w:rsidRPr="00FD5703" w:rsidRDefault="009116AF" w:rsidP="009C5CAD">
      <w:pPr>
        <w:rPr>
          <w:lang w:val="es-ES_tradnl"/>
        </w:rPr>
      </w:pPr>
    </w:p>
    <w:p w:rsidR="009116AF" w:rsidRPr="00FD5703" w:rsidRDefault="00FF721B" w:rsidP="009C5CAD">
      <w:pPr>
        <w:rPr>
          <w:lang w:val="es-ES_tradnl"/>
        </w:rPr>
      </w:pPr>
      <w:r w:rsidRPr="00FD5703">
        <w:rPr>
          <w:lang w:val="es-ES_tradnl"/>
        </w:rPr>
        <w:tab/>
      </w:r>
      <w:r w:rsidR="006B5DA1" w:rsidRPr="00FD5703">
        <w:rPr>
          <w:lang w:val="es-ES_tradnl"/>
        </w:rPr>
        <w:t>a)</w:t>
      </w:r>
      <w:r w:rsidR="00815096" w:rsidRPr="00FD5703">
        <w:rPr>
          <w:lang w:val="es-ES_tradnl"/>
        </w:rPr>
        <w:tab/>
      </w:r>
      <w:r w:rsidR="009116AF" w:rsidRPr="00FD5703">
        <w:rPr>
          <w:lang w:val="es-ES_tradnl"/>
        </w:rPr>
        <w:t>las directrices de examen de la UPOV adoptadas como base para la elaboración de directrices de examen propias de cada autoridad;</w:t>
      </w:r>
    </w:p>
    <w:p w:rsidR="009116AF" w:rsidRPr="00FD5703" w:rsidRDefault="009116AF" w:rsidP="009C5CAD">
      <w:pPr>
        <w:rPr>
          <w:lang w:val="es-ES_tradnl"/>
        </w:rPr>
      </w:pPr>
    </w:p>
    <w:p w:rsidR="009116AF" w:rsidRPr="00FD5703" w:rsidRDefault="00FF721B" w:rsidP="009C5CAD">
      <w:pPr>
        <w:rPr>
          <w:lang w:val="es-ES_tradnl"/>
        </w:rPr>
      </w:pPr>
      <w:r w:rsidRPr="00FD5703">
        <w:rPr>
          <w:lang w:val="es-ES_tradnl"/>
        </w:rPr>
        <w:tab/>
      </w:r>
      <w:r w:rsidR="006B5DA1" w:rsidRPr="00FD5703">
        <w:rPr>
          <w:lang w:val="es-ES_tradnl"/>
        </w:rPr>
        <w:t>b)</w:t>
      </w:r>
      <w:r w:rsidR="00815096" w:rsidRPr="00FD5703">
        <w:rPr>
          <w:lang w:val="es-ES_tradnl"/>
        </w:rPr>
        <w:tab/>
      </w:r>
      <w:r w:rsidR="009116AF" w:rsidRPr="00FD5703">
        <w:rPr>
          <w:lang w:val="es-ES_tradnl"/>
        </w:rPr>
        <w:t xml:space="preserve">la plantilla en Internet de los documentos TG y la base de datos de caracteres para elaborar directrices individuales de examen propias de cada autoridad para las que no existan directrices de examen de la UPOV; y </w:t>
      </w:r>
    </w:p>
    <w:p w:rsidR="009116AF" w:rsidRPr="00FD5703" w:rsidRDefault="009116AF" w:rsidP="009C5CAD">
      <w:pPr>
        <w:rPr>
          <w:lang w:val="es-ES_tradnl"/>
        </w:rPr>
      </w:pPr>
    </w:p>
    <w:p w:rsidR="009116AF" w:rsidRPr="00FD5703" w:rsidRDefault="00FF721B" w:rsidP="009C5CAD">
      <w:pPr>
        <w:rPr>
          <w:lang w:val="es-ES_tradnl"/>
        </w:rPr>
      </w:pPr>
      <w:r w:rsidRPr="00FD5703">
        <w:rPr>
          <w:lang w:val="es-ES_tradnl"/>
        </w:rPr>
        <w:tab/>
      </w:r>
      <w:r w:rsidR="006B5DA1" w:rsidRPr="00FD5703">
        <w:rPr>
          <w:lang w:val="es-ES_tradnl"/>
        </w:rPr>
        <w:t>c)</w:t>
      </w:r>
      <w:r w:rsidR="00815096" w:rsidRPr="00FD5703">
        <w:rPr>
          <w:lang w:val="es-ES_tradnl"/>
        </w:rPr>
        <w:tab/>
      </w:r>
      <w:r w:rsidR="009116AF" w:rsidRPr="00FD5703">
        <w:rPr>
          <w:lang w:val="es-ES_tradnl"/>
        </w:rPr>
        <w:t>las directrices de examen propias de cada autoridad elaboradas con el uso de la plantilla en Internet de los documentos TG, como base para el proyecto de directrices de examen de la UPOV.</w:t>
      </w:r>
    </w:p>
    <w:p w:rsidR="009116AF" w:rsidRPr="00FD5703" w:rsidRDefault="009116AF" w:rsidP="009C5CAD">
      <w:pPr>
        <w:ind w:left="567"/>
        <w:rPr>
          <w:lang w:val="es-ES_tradnl"/>
        </w:rPr>
      </w:pPr>
    </w:p>
    <w:p w:rsidR="009116AF" w:rsidRPr="00FD5703" w:rsidRDefault="0012327C"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0660D0" w:rsidRPr="00FD5703">
        <w:rPr>
          <w:lang w:val="es-ES_tradnl"/>
        </w:rPr>
        <w:t xml:space="preserve">La </w:t>
      </w:r>
      <w:r w:rsidR="00B848E9" w:rsidRPr="00FD5703">
        <w:rPr>
          <w:lang w:val="es-ES_tradnl"/>
        </w:rPr>
        <w:t>versión</w:t>
      </w:r>
      <w:r w:rsidR="000660D0" w:rsidRPr="00FD5703">
        <w:rPr>
          <w:lang w:val="es-ES_tradnl"/>
        </w:rPr>
        <w:t xml:space="preserve"> 2 cuenta con una función que permitirá a las autoridades locales modificar el texto de la plantilla, dentro de la misma estructura, para poder utilizarla como plantilla para sus propias directrices de examen, y una función que permitirá a las autoridades individuales convertir las directrices de examen de la UPOV en directrices de examen propias de cada autoridad, con las modificaciones necesarias.  </w:t>
      </w:r>
    </w:p>
    <w:p w:rsidR="009116AF" w:rsidRPr="00FD5703" w:rsidRDefault="009116AF" w:rsidP="009C5CAD">
      <w:pPr>
        <w:rPr>
          <w:lang w:val="es-ES_tradnl"/>
        </w:rPr>
      </w:pPr>
    </w:p>
    <w:p w:rsidR="009116AF" w:rsidRPr="00FD5703" w:rsidRDefault="00AF7303" w:rsidP="009C5CAD">
      <w:pPr>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0660D0" w:rsidRPr="00FD5703">
        <w:rPr>
          <w:lang w:val="es-ES_tradnl"/>
        </w:rPr>
        <w:t xml:space="preserve">Siempre que la </w:t>
      </w:r>
      <w:r w:rsidR="00DC4EB0" w:rsidRPr="00FD5703">
        <w:rPr>
          <w:lang w:val="es-ES_tradnl"/>
        </w:rPr>
        <w:t>versión</w:t>
      </w:r>
      <w:r w:rsidR="000660D0" w:rsidRPr="00FD5703">
        <w:rPr>
          <w:lang w:val="es-ES_tradnl"/>
        </w:rPr>
        <w:t xml:space="preserve"> 1 de la plantilla en Internet de los documentos TG funcione correctamente en 2014, se prevé </w:t>
      </w:r>
      <w:r w:rsidR="00DE7712" w:rsidRPr="00FD5703">
        <w:rPr>
          <w:lang w:val="es-ES_tradnl"/>
        </w:rPr>
        <w:t>la elaboración</w:t>
      </w:r>
      <w:r w:rsidR="000660D0" w:rsidRPr="00FD5703">
        <w:rPr>
          <w:lang w:val="es-ES_tradnl"/>
        </w:rPr>
        <w:t xml:space="preserve"> de la </w:t>
      </w:r>
      <w:r w:rsidR="00B848E9" w:rsidRPr="00FD5703">
        <w:rPr>
          <w:lang w:val="es-ES_tradnl"/>
        </w:rPr>
        <w:t>versión</w:t>
      </w:r>
      <w:r w:rsidR="000660D0" w:rsidRPr="00FD5703">
        <w:rPr>
          <w:lang w:val="es-ES_tradnl"/>
        </w:rPr>
        <w:t xml:space="preserve"> 2 en 2015. </w:t>
      </w:r>
    </w:p>
    <w:p w:rsidR="009116AF" w:rsidRPr="00FD5703" w:rsidRDefault="009116AF" w:rsidP="009C5CAD">
      <w:pPr>
        <w:rPr>
          <w:lang w:val="es-ES_tradnl"/>
        </w:rPr>
      </w:pPr>
    </w:p>
    <w:p w:rsidR="009116AF" w:rsidRPr="00FD5703" w:rsidRDefault="00D24E8D" w:rsidP="009C5CAD">
      <w:pPr>
        <w:pStyle w:val="DecisionParagraphs"/>
        <w:tabs>
          <w:tab w:val="left" w:pos="5954"/>
        </w:tabs>
        <w:rPr>
          <w:lang w:val="es-ES_tradnl"/>
        </w:rPr>
      </w:pPr>
      <w:r w:rsidRPr="00FD5703">
        <w:rPr>
          <w:lang w:val="es-ES_tradnl"/>
        </w:rPr>
        <w:fldChar w:fldCharType="begin"/>
      </w:r>
      <w:r w:rsidRPr="00FD5703">
        <w:rPr>
          <w:lang w:val="es-ES_tradnl"/>
        </w:rPr>
        <w:instrText xml:space="preserve"> AUTONUM  </w:instrText>
      </w:r>
      <w:r w:rsidRPr="00FD5703">
        <w:rPr>
          <w:lang w:val="es-ES_tradnl"/>
        </w:rPr>
        <w:fldChar w:fldCharType="end"/>
      </w:r>
      <w:r w:rsidRPr="00FD5703">
        <w:rPr>
          <w:lang w:val="es-ES_tradnl"/>
        </w:rPr>
        <w:tab/>
      </w:r>
      <w:r w:rsidR="000660D0" w:rsidRPr="00FD5703">
        <w:rPr>
          <w:lang w:val="es-ES_tradnl"/>
        </w:rPr>
        <w:t>Se invita al TC a:</w:t>
      </w:r>
    </w:p>
    <w:p w:rsidR="009116AF" w:rsidRPr="00FD5703" w:rsidRDefault="009116AF" w:rsidP="009C5CAD">
      <w:pPr>
        <w:pStyle w:val="DecisionParagraphs"/>
        <w:tabs>
          <w:tab w:val="left" w:pos="5954"/>
        </w:tabs>
        <w:rPr>
          <w:lang w:val="es-ES_tradnl"/>
        </w:rPr>
      </w:pPr>
    </w:p>
    <w:p w:rsidR="009116AF" w:rsidRPr="00FD5703" w:rsidRDefault="00FF721B" w:rsidP="009C5CAD">
      <w:pPr>
        <w:pStyle w:val="DecisionParagraphs"/>
        <w:tabs>
          <w:tab w:val="left" w:pos="5954"/>
        </w:tabs>
        <w:rPr>
          <w:lang w:val="es-ES_tradnl"/>
        </w:rPr>
      </w:pPr>
      <w:r w:rsidRPr="00FD5703">
        <w:rPr>
          <w:lang w:val="es-ES_tradnl"/>
        </w:rPr>
        <w:tab/>
      </w:r>
      <w:r w:rsidR="000660D0" w:rsidRPr="00FD5703">
        <w:rPr>
          <w:lang w:val="es-ES_tradnl"/>
        </w:rPr>
        <w:t>a)</w:t>
      </w:r>
      <w:r w:rsidR="00815096" w:rsidRPr="00FD5703">
        <w:rPr>
          <w:lang w:val="es-ES_tradnl"/>
        </w:rPr>
        <w:tab/>
      </w:r>
      <w:r w:rsidR="000660D0" w:rsidRPr="00FD5703">
        <w:rPr>
          <w:lang w:val="es-ES_tradnl"/>
        </w:rPr>
        <w:t xml:space="preserve">tomar nota de las características de la </w:t>
      </w:r>
      <w:r w:rsidR="00B848E9" w:rsidRPr="00FD5703">
        <w:rPr>
          <w:lang w:val="es-ES_tradnl"/>
        </w:rPr>
        <w:t>versión</w:t>
      </w:r>
      <w:r w:rsidR="004E6A35" w:rsidRPr="00FD5703">
        <w:rPr>
          <w:lang w:val="es-ES_tradnl"/>
        </w:rPr>
        <w:t xml:space="preserve"> 1 de la p</w:t>
      </w:r>
      <w:r w:rsidR="000660D0" w:rsidRPr="00FD5703">
        <w:rPr>
          <w:lang w:val="es-ES_tradnl"/>
        </w:rPr>
        <w:t xml:space="preserve">lantilla de los documentos TG, según lo expuesto en el párrafo </w:t>
      </w:r>
      <w:r w:rsidR="00FF1329">
        <w:rPr>
          <w:lang w:val="es-ES_tradnl"/>
        </w:rPr>
        <w:t>55</w:t>
      </w:r>
      <w:r w:rsidR="000660D0" w:rsidRPr="00FD5703">
        <w:rPr>
          <w:lang w:val="es-ES_tradnl"/>
        </w:rPr>
        <w:t xml:space="preserve">; </w:t>
      </w:r>
    </w:p>
    <w:p w:rsidR="009116AF" w:rsidRPr="00FD5703" w:rsidRDefault="009116AF" w:rsidP="009C5CAD">
      <w:pPr>
        <w:pStyle w:val="DecisionParagraphs"/>
        <w:tabs>
          <w:tab w:val="left" w:pos="5954"/>
        </w:tabs>
        <w:rPr>
          <w:lang w:val="es-ES_tradnl"/>
        </w:rPr>
      </w:pPr>
    </w:p>
    <w:p w:rsidR="009116AF" w:rsidRPr="00FD5703" w:rsidRDefault="00FF721B" w:rsidP="009C5CAD">
      <w:pPr>
        <w:pStyle w:val="DecisionParagraphs"/>
        <w:tabs>
          <w:tab w:val="left" w:pos="5954"/>
        </w:tabs>
        <w:rPr>
          <w:lang w:val="es-ES_tradnl"/>
        </w:rPr>
      </w:pPr>
      <w:r w:rsidRPr="00FD5703">
        <w:rPr>
          <w:lang w:val="es-ES_tradnl"/>
        </w:rPr>
        <w:tab/>
      </w:r>
      <w:r w:rsidR="006B5DA1" w:rsidRPr="00FD5703">
        <w:rPr>
          <w:lang w:val="es-ES_tradnl"/>
        </w:rPr>
        <w:t>b)</w:t>
      </w:r>
      <w:r w:rsidR="00815096" w:rsidRPr="00FD5703">
        <w:rPr>
          <w:lang w:val="es-ES_tradnl"/>
        </w:rPr>
        <w:tab/>
      </w:r>
      <w:r w:rsidR="00643DA1" w:rsidRPr="00FD5703">
        <w:rPr>
          <w:lang w:val="es-ES_tradnl"/>
        </w:rPr>
        <w:t xml:space="preserve">aprobar los planes de aplicación de la plantilla en Internet de los documentos TG, y reconocer la necesidad de utilizarla exclusivamente para elaborar todas las directrices de examen a partir de 2015, según lo expuesto en los párrafos </w:t>
      </w:r>
      <w:r w:rsidR="00FF1329">
        <w:rPr>
          <w:lang w:val="es-ES_tradnl"/>
        </w:rPr>
        <w:t>56 a 58</w:t>
      </w:r>
      <w:r w:rsidR="00643DA1" w:rsidRPr="00FD5703">
        <w:rPr>
          <w:lang w:val="es-ES_tradnl"/>
        </w:rPr>
        <w:t xml:space="preserve">; </w:t>
      </w:r>
    </w:p>
    <w:p w:rsidR="009116AF" w:rsidRPr="00FD5703" w:rsidRDefault="009116AF" w:rsidP="009C5CAD">
      <w:pPr>
        <w:pStyle w:val="DecisionParagraphs"/>
        <w:tabs>
          <w:tab w:val="left" w:pos="5954"/>
        </w:tabs>
        <w:rPr>
          <w:lang w:val="es-ES_tradnl"/>
        </w:rPr>
      </w:pPr>
    </w:p>
    <w:p w:rsidR="009116AF" w:rsidRPr="00FD5703" w:rsidRDefault="00FF721B" w:rsidP="009C5CAD">
      <w:pPr>
        <w:pStyle w:val="DecisionParagraphs"/>
        <w:tabs>
          <w:tab w:val="left" w:pos="5954"/>
        </w:tabs>
        <w:rPr>
          <w:lang w:val="es-ES_tradnl"/>
        </w:rPr>
      </w:pPr>
      <w:r w:rsidRPr="00FD5703">
        <w:rPr>
          <w:lang w:val="es-ES_tradnl"/>
        </w:rPr>
        <w:tab/>
      </w:r>
      <w:r w:rsidR="006B5DA1" w:rsidRPr="00FD5703">
        <w:rPr>
          <w:lang w:val="es-ES_tradnl"/>
        </w:rPr>
        <w:t>c)</w:t>
      </w:r>
      <w:r w:rsidR="00815096" w:rsidRPr="00FD5703">
        <w:rPr>
          <w:lang w:val="es-ES_tradnl"/>
        </w:rPr>
        <w:tab/>
      </w:r>
      <w:r w:rsidR="00643DA1" w:rsidRPr="00FD5703">
        <w:rPr>
          <w:lang w:val="es-ES_tradnl"/>
        </w:rPr>
        <w:t xml:space="preserve">tomar nota de las características de la </w:t>
      </w:r>
      <w:r w:rsidR="00B848E9" w:rsidRPr="00FD5703">
        <w:rPr>
          <w:lang w:val="es-ES_tradnl"/>
        </w:rPr>
        <w:t>versión</w:t>
      </w:r>
      <w:r w:rsidR="00643DA1" w:rsidRPr="00FD5703">
        <w:rPr>
          <w:lang w:val="es-ES_tradnl"/>
        </w:rPr>
        <w:t xml:space="preserve"> 2 y del calendario establecido para su </w:t>
      </w:r>
      <w:r w:rsidR="00DE7712" w:rsidRPr="00FD5703">
        <w:rPr>
          <w:lang w:val="es-ES_tradnl"/>
        </w:rPr>
        <w:t>elaboración</w:t>
      </w:r>
      <w:r w:rsidR="00643DA1" w:rsidRPr="00FD5703">
        <w:rPr>
          <w:lang w:val="es-ES_tradnl"/>
        </w:rPr>
        <w:t>, según l</w:t>
      </w:r>
      <w:r w:rsidR="00815096" w:rsidRPr="00FD5703">
        <w:rPr>
          <w:lang w:val="es-ES_tradnl"/>
        </w:rPr>
        <w:t xml:space="preserve">o expuesto en los párrafos </w:t>
      </w:r>
      <w:r w:rsidR="00FF1329">
        <w:rPr>
          <w:lang w:val="es-ES_tradnl"/>
        </w:rPr>
        <w:t>59</w:t>
      </w:r>
      <w:r w:rsidR="00815096" w:rsidRPr="00FD5703">
        <w:rPr>
          <w:lang w:val="es-ES_tradnl"/>
        </w:rPr>
        <w:t xml:space="preserve"> a </w:t>
      </w:r>
      <w:r w:rsidR="00FF1329">
        <w:rPr>
          <w:lang w:val="es-ES_tradnl"/>
        </w:rPr>
        <w:t>63</w:t>
      </w:r>
      <w:r w:rsidR="00643DA1" w:rsidRPr="00FD5703">
        <w:rPr>
          <w:lang w:val="es-ES_tradnl"/>
        </w:rPr>
        <w:t>.</w:t>
      </w:r>
    </w:p>
    <w:p w:rsidR="009116AF" w:rsidRPr="00FD5703" w:rsidRDefault="009116AF" w:rsidP="009C5CAD">
      <w:pPr>
        <w:rPr>
          <w:lang w:val="es-ES_tradnl"/>
        </w:rPr>
      </w:pPr>
    </w:p>
    <w:p w:rsidR="009116AF" w:rsidRPr="00FD5703" w:rsidRDefault="009116AF" w:rsidP="009C5CAD">
      <w:pPr>
        <w:rPr>
          <w:lang w:val="es-ES_tradnl"/>
        </w:rPr>
      </w:pPr>
    </w:p>
    <w:p w:rsidR="009116AF" w:rsidRPr="00FD5703" w:rsidRDefault="009116AF" w:rsidP="009C5CAD">
      <w:pPr>
        <w:rPr>
          <w:lang w:val="es-ES_tradnl"/>
        </w:rPr>
      </w:pPr>
    </w:p>
    <w:p w:rsidR="009116AF" w:rsidRDefault="00643DA1" w:rsidP="009C5CAD">
      <w:pPr>
        <w:jc w:val="right"/>
        <w:rPr>
          <w:lang w:val="es-ES_tradnl"/>
        </w:rPr>
      </w:pPr>
      <w:r w:rsidRPr="00FD5703">
        <w:rPr>
          <w:lang w:val="es-ES_tradnl"/>
        </w:rPr>
        <w:t>[Sigue el Anexo]</w:t>
      </w:r>
    </w:p>
    <w:p w:rsidR="005A6AE5" w:rsidRPr="000E4035" w:rsidRDefault="005A6AE5" w:rsidP="005A6AE5">
      <w:pPr>
        <w:rPr>
          <w:lang w:val="fr-CH"/>
        </w:rPr>
      </w:pPr>
    </w:p>
    <w:p w:rsidR="00766259" w:rsidRPr="000E4035" w:rsidRDefault="00766259" w:rsidP="005A6AE5">
      <w:pPr>
        <w:rPr>
          <w:lang w:val="fr-CH"/>
        </w:rPr>
        <w:sectPr w:rsidR="00766259" w:rsidRPr="000E4035" w:rsidSect="002E3428">
          <w:headerReference w:type="default" r:id="rId12"/>
          <w:pgSz w:w="11907" w:h="16840" w:code="9"/>
          <w:pgMar w:top="510" w:right="1134" w:bottom="993" w:left="1134" w:header="510" w:footer="680" w:gutter="0"/>
          <w:cols w:space="720"/>
          <w:titlePg/>
        </w:sectPr>
      </w:pPr>
    </w:p>
    <w:p w:rsidR="00BA6968" w:rsidRPr="00BA6968" w:rsidRDefault="00BA6968" w:rsidP="00BA6968">
      <w:pPr>
        <w:jc w:val="center"/>
        <w:rPr>
          <w:lang w:val="es-ES_tradnl"/>
        </w:rPr>
      </w:pPr>
      <w:r w:rsidRPr="00BA6968">
        <w:rPr>
          <w:lang w:val="es-ES_tradnl"/>
        </w:rPr>
        <w:t>TC/50/10</w:t>
      </w:r>
    </w:p>
    <w:p w:rsidR="00BA6968" w:rsidRPr="00BA6968" w:rsidRDefault="00BA6968" w:rsidP="00BA6968">
      <w:pPr>
        <w:jc w:val="center"/>
        <w:rPr>
          <w:lang w:val="es-ES_tradnl"/>
        </w:rPr>
      </w:pPr>
    </w:p>
    <w:p w:rsidR="00BA6968" w:rsidRPr="00BA6968" w:rsidRDefault="00BA6968" w:rsidP="00BA6968">
      <w:pPr>
        <w:jc w:val="center"/>
        <w:rPr>
          <w:lang w:val="es-ES_tradnl"/>
        </w:rPr>
      </w:pPr>
      <w:r w:rsidRPr="00BA6968">
        <w:rPr>
          <w:lang w:val="es-ES_tradnl"/>
        </w:rPr>
        <w:t>ANEX</w:t>
      </w:r>
      <w:r>
        <w:rPr>
          <w:lang w:val="es-ES_tradnl"/>
        </w:rPr>
        <w:t>O</w:t>
      </w:r>
    </w:p>
    <w:p w:rsidR="00BA6968" w:rsidRPr="00BA6968" w:rsidRDefault="00BA6968" w:rsidP="00BA6968">
      <w:pPr>
        <w:jc w:val="center"/>
        <w:rPr>
          <w:lang w:val="es-ES_tradnl"/>
        </w:rPr>
      </w:pPr>
    </w:p>
    <w:p w:rsidR="00BA6968" w:rsidRPr="00BA6968" w:rsidRDefault="00BA6968" w:rsidP="00BA6968">
      <w:pPr>
        <w:jc w:val="center"/>
        <w:rPr>
          <w:lang w:val="es-ES_tradnl"/>
        </w:rPr>
      </w:pPr>
      <w:r w:rsidRPr="00BA6968">
        <w:rPr>
          <w:lang w:val="es-ES_tradnl"/>
        </w:rPr>
        <w:t>(</w:t>
      </w:r>
      <w:r>
        <w:rPr>
          <w:lang w:val="es-ES_tradnl"/>
        </w:rPr>
        <w:t>solamente en inglés</w:t>
      </w:r>
      <w:r w:rsidRPr="00BA6968">
        <w:rPr>
          <w:lang w:val="es-ES_tradnl"/>
        </w:rPr>
        <w:t>)</w:t>
      </w:r>
    </w:p>
    <w:p w:rsidR="00BA6968" w:rsidRPr="00BA6968" w:rsidRDefault="00BA6968" w:rsidP="00BA6968">
      <w:pPr>
        <w:rPr>
          <w:lang w:val="es-ES_tradnl"/>
        </w:rPr>
      </w:pPr>
    </w:p>
    <w:p w:rsidR="00BA6968" w:rsidRPr="00BA6968" w:rsidRDefault="00BA6968" w:rsidP="00BA6968">
      <w:pPr>
        <w:rPr>
          <w:lang w:val="es-ES_tradnl"/>
        </w:rPr>
      </w:pPr>
    </w:p>
    <w:p w:rsidR="00BA6968" w:rsidRPr="00BA6968" w:rsidRDefault="00BA6968" w:rsidP="00BA6968">
      <w:pPr>
        <w:rPr>
          <w:lang w:val="es-ES_tradnl"/>
        </w:rPr>
      </w:pPr>
    </w:p>
    <w:p w:rsidR="00BA6968" w:rsidRPr="00BA6968" w:rsidRDefault="00BA6968" w:rsidP="00BA6968">
      <w:pPr>
        <w:rPr>
          <w:lang w:val="es-ES_tradnl"/>
        </w:rPr>
      </w:pPr>
      <w:r w:rsidRPr="00BA6968">
        <w:rPr>
          <w:lang w:val="es-ES_tradnl"/>
        </w:rPr>
        <w:t>[</w:t>
      </w:r>
      <w:r>
        <w:rPr>
          <w:lang w:val="es-ES_tradnl"/>
        </w:rPr>
        <w:t xml:space="preserve">véase la versión </w:t>
      </w:r>
      <w:proofErr w:type="spellStart"/>
      <w:r w:rsidRPr="00BA6968">
        <w:rPr>
          <w:lang w:val="es-ES_tradnl"/>
        </w:rPr>
        <w:t>pdf</w:t>
      </w:r>
      <w:proofErr w:type="spellEnd"/>
      <w:r w:rsidRPr="00BA6968">
        <w:rPr>
          <w:lang w:val="es-ES_tradnl"/>
        </w:rPr>
        <w:t xml:space="preserve"> </w:t>
      </w:r>
      <w:r>
        <w:rPr>
          <w:lang w:val="es-ES_tradnl"/>
        </w:rPr>
        <w:t xml:space="preserve">del </w:t>
      </w:r>
      <w:r w:rsidRPr="00BA6968">
        <w:rPr>
          <w:lang w:val="es-ES_tradnl"/>
        </w:rPr>
        <w:t>document</w:t>
      </w:r>
      <w:r>
        <w:rPr>
          <w:lang w:val="es-ES_tradnl"/>
        </w:rPr>
        <w:t>o</w:t>
      </w:r>
      <w:r w:rsidRPr="00BA6968">
        <w:rPr>
          <w:lang w:val="es-ES_tradnl"/>
        </w:rPr>
        <w:t>]</w:t>
      </w:r>
    </w:p>
    <w:p w:rsidR="00BA6968" w:rsidRPr="00BA6968" w:rsidRDefault="00BA6968" w:rsidP="00BA6968">
      <w:pPr>
        <w:rPr>
          <w:lang w:val="es-ES_tradnl"/>
        </w:rPr>
      </w:pPr>
    </w:p>
    <w:p w:rsidR="00BA6968" w:rsidRPr="00BA6968" w:rsidRDefault="00BA6968" w:rsidP="00BA6968">
      <w:pPr>
        <w:rPr>
          <w:lang w:val="es-ES_tradnl"/>
        </w:rPr>
      </w:pPr>
    </w:p>
    <w:p w:rsidR="00BA6968" w:rsidRPr="00BA6968" w:rsidRDefault="00BA6968" w:rsidP="00BA6968">
      <w:pPr>
        <w:rPr>
          <w:lang w:val="es-ES_tradnl"/>
        </w:rPr>
      </w:pPr>
    </w:p>
    <w:p w:rsidR="005A6AE5" w:rsidRPr="00BA6968" w:rsidRDefault="00BA6968" w:rsidP="00BA6968">
      <w:pPr>
        <w:jc w:val="right"/>
        <w:rPr>
          <w:lang w:val="es-ES_tradnl"/>
        </w:rPr>
      </w:pPr>
      <w:r w:rsidRPr="00BA6968">
        <w:rPr>
          <w:lang w:val="es-ES_tradnl"/>
        </w:rPr>
        <w:t>[</w:t>
      </w:r>
      <w:r>
        <w:rPr>
          <w:lang w:val="es-ES_tradnl"/>
        </w:rPr>
        <w:t xml:space="preserve">Fin del Anexo y del </w:t>
      </w:r>
      <w:r w:rsidRPr="00BA6968">
        <w:rPr>
          <w:lang w:val="es-ES_tradnl"/>
        </w:rPr>
        <w:t>document</w:t>
      </w:r>
      <w:r>
        <w:rPr>
          <w:lang w:val="es-ES_tradnl"/>
        </w:rPr>
        <w:t>o]</w:t>
      </w:r>
    </w:p>
    <w:sectPr w:rsidR="005A6AE5" w:rsidRPr="00BA6968" w:rsidSect="002E3428">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31A" w:rsidRDefault="009C031A" w:rsidP="006655D3">
      <w:r>
        <w:separator/>
      </w:r>
    </w:p>
    <w:p w:rsidR="009C031A" w:rsidRDefault="009C031A" w:rsidP="006655D3"/>
    <w:p w:rsidR="009C031A" w:rsidRDefault="009C031A" w:rsidP="006655D3"/>
  </w:endnote>
  <w:endnote w:type="continuationSeparator" w:id="0">
    <w:p w:rsidR="009C031A" w:rsidRDefault="009C031A" w:rsidP="006655D3">
      <w:r>
        <w:separator/>
      </w:r>
    </w:p>
    <w:p w:rsidR="009C031A" w:rsidRPr="008C7B58" w:rsidRDefault="009C031A">
      <w:pPr>
        <w:pStyle w:val="Footer"/>
        <w:spacing w:after="60"/>
        <w:rPr>
          <w:sz w:val="18"/>
          <w:lang w:val="fr-CH"/>
        </w:rPr>
      </w:pPr>
      <w:r w:rsidRPr="008C7B58">
        <w:rPr>
          <w:sz w:val="18"/>
          <w:lang w:val="fr-CH"/>
        </w:rPr>
        <w:t>[Suite de la note de la page précédente]</w:t>
      </w:r>
    </w:p>
    <w:p w:rsidR="009C031A" w:rsidRPr="008C7B58" w:rsidRDefault="009C031A" w:rsidP="006655D3">
      <w:pPr>
        <w:rPr>
          <w:lang w:val="fr-CH"/>
        </w:rPr>
      </w:pPr>
    </w:p>
    <w:p w:rsidR="009C031A" w:rsidRPr="008C7B58" w:rsidRDefault="009C031A" w:rsidP="006655D3">
      <w:pPr>
        <w:rPr>
          <w:lang w:val="fr-CH"/>
        </w:rPr>
      </w:pPr>
    </w:p>
  </w:endnote>
  <w:endnote w:type="continuationNotice" w:id="1">
    <w:p w:rsidR="009C031A" w:rsidRPr="008C7B58" w:rsidRDefault="009C031A" w:rsidP="006655D3">
      <w:pPr>
        <w:rPr>
          <w:lang w:val="fr-CH"/>
        </w:rPr>
      </w:pPr>
      <w:r w:rsidRPr="008C7B58">
        <w:rPr>
          <w:lang w:val="fr-CH"/>
        </w:rPr>
        <w:t>[Suite de la note page suivante]</w:t>
      </w:r>
    </w:p>
    <w:p w:rsidR="009C031A" w:rsidRPr="008C7B58" w:rsidRDefault="009C031A" w:rsidP="006655D3">
      <w:pPr>
        <w:rPr>
          <w:lang w:val="fr-CH"/>
        </w:rPr>
      </w:pPr>
    </w:p>
    <w:p w:rsidR="009C031A" w:rsidRPr="008C7B58" w:rsidRDefault="009C031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31A" w:rsidRDefault="009C031A" w:rsidP="006655D3">
      <w:r>
        <w:separator/>
      </w:r>
    </w:p>
  </w:footnote>
  <w:footnote w:type="continuationSeparator" w:id="0">
    <w:p w:rsidR="009C031A" w:rsidRDefault="009C031A" w:rsidP="006655D3">
      <w:r>
        <w:separator/>
      </w:r>
    </w:p>
  </w:footnote>
  <w:footnote w:type="continuationNotice" w:id="1">
    <w:p w:rsidR="009C031A" w:rsidRPr="00AB530F" w:rsidRDefault="009C031A" w:rsidP="00AB530F">
      <w:pPr>
        <w:pStyle w:val="Footer"/>
      </w:pPr>
    </w:p>
  </w:footnote>
  <w:footnote w:id="2">
    <w:p w:rsidR="009C031A" w:rsidRPr="00925E19" w:rsidRDefault="009C031A" w:rsidP="006B466C">
      <w:pPr>
        <w:pStyle w:val="FootnoteText"/>
        <w:ind w:left="284" w:hanging="284"/>
        <w:rPr>
          <w:lang w:val="es-ES"/>
        </w:rPr>
      </w:pPr>
      <w:r>
        <w:rPr>
          <w:rStyle w:val="FootnoteReference"/>
        </w:rPr>
        <w:footnoteRef/>
      </w:r>
      <w:r w:rsidRPr="00010580">
        <w:rPr>
          <w:lang w:val="es-ES"/>
        </w:rPr>
        <w:t xml:space="preserve"> </w:t>
      </w:r>
      <w:r w:rsidRPr="00010580">
        <w:rPr>
          <w:lang w:val="es-ES"/>
        </w:rPr>
        <w:tab/>
      </w:r>
      <w:r w:rsidR="009C5CAD">
        <w:rPr>
          <w:lang w:val="es-ES_tradnl"/>
        </w:rPr>
        <w:t>“</w:t>
      </w:r>
      <w:r w:rsidRPr="00925E19">
        <w:rPr>
          <w:lang w:val="es-ES_tradnl"/>
        </w:rPr>
        <w:t xml:space="preserve">[S]i el carácter es importante para la armonización internacional de las descripciones de variedades (por ejemplo, caracteres señalados con asterisco) y está influenciado por el medio ambiente (por ejemplo, la mayoría de los caracteres cuantitativos y </w:t>
      </w:r>
      <w:proofErr w:type="spellStart"/>
      <w:r w:rsidRPr="00925E19">
        <w:rPr>
          <w:lang w:val="es-ES_tradnl"/>
        </w:rPr>
        <w:t>pseudocualitativos</w:t>
      </w:r>
      <w:proofErr w:type="spellEnd"/>
      <w:r w:rsidRPr="00925E19">
        <w:rPr>
          <w:lang w:val="es-ES_tradnl"/>
        </w:rPr>
        <w:t>) […] será necesario proporcionar variedades ejemplo</w:t>
      </w:r>
      <w:r w:rsidR="009C5CAD">
        <w:rPr>
          <w:lang w:val="es-ES_tradnl"/>
        </w:rPr>
        <w:t>”</w:t>
      </w:r>
      <w:r w:rsidRPr="00925E19">
        <w:rPr>
          <w:lang w:val="es-ES_tradnl"/>
        </w:rPr>
        <w:t xml:space="preserve"> en las directrices de examen (véase el inciso iii) de la sección 3.3. de la nota orientativa GN 28 </w:t>
      </w:r>
      <w:r w:rsidR="009C5CAD">
        <w:rPr>
          <w:lang w:val="es-ES_tradnl"/>
        </w:rPr>
        <w:t>“</w:t>
      </w:r>
      <w:r w:rsidRPr="00925E19">
        <w:rPr>
          <w:lang w:val="es-ES_tradnl"/>
        </w:rPr>
        <w:t>Variedades ejemplo</w:t>
      </w:r>
      <w:r w:rsidR="009C5CAD">
        <w:rPr>
          <w:lang w:val="es-ES_tradnl"/>
        </w:rPr>
        <w:t>”</w:t>
      </w:r>
      <w:r w:rsidRPr="00925E19">
        <w:rPr>
          <w:lang w:val="es-ES_tradnl"/>
        </w:rPr>
        <w:t xml:space="preserve"> en el Anexo 3 del documento TGP/7).</w:t>
      </w:r>
    </w:p>
    <w:p w:rsidR="009C031A" w:rsidRPr="00925E19" w:rsidRDefault="009C031A" w:rsidP="006B466C">
      <w:pPr>
        <w:pStyle w:val="FootnoteText"/>
        <w:ind w:left="284" w:hanging="284"/>
        <w:rPr>
          <w:lang w:val="es-ES"/>
        </w:rPr>
      </w:pPr>
      <w:r w:rsidRPr="00925E19">
        <w:rPr>
          <w:lang w:val="es-ES"/>
        </w:rPr>
        <w:tab/>
      </w:r>
      <w:r w:rsidRPr="00925E19">
        <w:rPr>
          <w:u w:val="single"/>
          <w:lang w:val="es-ES_tradnl"/>
        </w:rPr>
        <w:t>1.2.3 Las variedades ejemplo son importantes para ajustar en la medida de lo posible la descripción del carácter a los efectos de la influencia anual y local.</w:t>
      </w:r>
      <w:r w:rsidRPr="00925E19">
        <w:rPr>
          <w:lang w:val="es-ES"/>
        </w:rPr>
        <w:t xml:space="preserve">  </w:t>
      </w:r>
      <w:r w:rsidRPr="00925E19">
        <w:rPr>
          <w:lang w:val="es-ES_tradnl"/>
        </w:rPr>
        <w:t>[…]</w:t>
      </w:r>
      <w:r w:rsidR="009C5CAD">
        <w:rPr>
          <w:lang w:val="es-ES_tradnl"/>
        </w:rPr>
        <w:t>”</w:t>
      </w:r>
      <w:r w:rsidRPr="00925E19">
        <w:rPr>
          <w:lang w:val="es-ES_tradnl"/>
        </w:rPr>
        <w:t xml:space="preserve"> (véase la sección 1.2.3. de la nota orientativa GN 28 </w:t>
      </w:r>
      <w:r w:rsidR="009C5CAD">
        <w:rPr>
          <w:lang w:val="es-ES_tradnl"/>
        </w:rPr>
        <w:t>“</w:t>
      </w:r>
      <w:r w:rsidRPr="00925E19">
        <w:rPr>
          <w:lang w:val="es-ES_tradnl"/>
        </w:rPr>
        <w:t>Variedades ejemplo</w:t>
      </w:r>
      <w:r w:rsidR="009C5CAD">
        <w:rPr>
          <w:lang w:val="es-ES_tradnl"/>
        </w:rPr>
        <w:t>”</w:t>
      </w:r>
      <w:r w:rsidRPr="00925E19">
        <w:rPr>
          <w:lang w:val="es-ES_tradnl"/>
        </w:rPr>
        <w:t xml:space="preserve"> en el Anexo 3 del documento TGP/7).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1A" w:rsidRPr="00815096" w:rsidRDefault="009C031A" w:rsidP="00EB048E">
    <w:pPr>
      <w:pStyle w:val="Header"/>
      <w:rPr>
        <w:rStyle w:val="PageNumber"/>
        <w:lang w:val="es-ES_tradnl"/>
      </w:rPr>
    </w:pPr>
    <w:r w:rsidRPr="00815096">
      <w:rPr>
        <w:rStyle w:val="PageNumber"/>
        <w:lang w:val="es-ES_tradnl"/>
      </w:rPr>
      <w:t>TC/50/10</w:t>
    </w:r>
  </w:p>
  <w:p w:rsidR="009C031A" w:rsidRPr="00815096" w:rsidRDefault="009C031A" w:rsidP="00EB048E">
    <w:pPr>
      <w:pStyle w:val="Header"/>
      <w:rPr>
        <w:lang w:val="es-ES_tradnl"/>
      </w:rPr>
    </w:pPr>
    <w:r w:rsidRPr="00815096">
      <w:rPr>
        <w:lang w:val="es-ES_tradnl"/>
      </w:rPr>
      <w:t xml:space="preserve">página </w:t>
    </w:r>
    <w:r w:rsidRPr="00815096">
      <w:rPr>
        <w:rStyle w:val="PageNumber"/>
        <w:lang w:val="es-ES_tradnl"/>
      </w:rPr>
      <w:fldChar w:fldCharType="begin"/>
    </w:r>
    <w:r w:rsidRPr="00815096">
      <w:rPr>
        <w:rStyle w:val="PageNumber"/>
        <w:lang w:val="es-ES_tradnl"/>
      </w:rPr>
      <w:instrText xml:space="preserve"> PAGE </w:instrText>
    </w:r>
    <w:r w:rsidRPr="00815096">
      <w:rPr>
        <w:rStyle w:val="PageNumber"/>
        <w:lang w:val="es-ES_tradnl"/>
      </w:rPr>
      <w:fldChar w:fldCharType="separate"/>
    </w:r>
    <w:r w:rsidR="004D3AF2">
      <w:rPr>
        <w:rStyle w:val="PageNumber"/>
        <w:noProof/>
        <w:lang w:val="es-ES_tradnl"/>
      </w:rPr>
      <w:t>18</w:t>
    </w:r>
    <w:r w:rsidRPr="00815096">
      <w:rPr>
        <w:rStyle w:val="PageNumber"/>
        <w:lang w:val="es-ES_tradnl"/>
      </w:rPr>
      <w:fldChar w:fldCharType="end"/>
    </w:r>
  </w:p>
  <w:p w:rsidR="009C031A" w:rsidRPr="00815096" w:rsidRDefault="009C031A" w:rsidP="00815096">
    <w:pPr>
      <w:jc w:val="cent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5C8453D"/>
    <w:multiLevelType w:val="hybridMultilevel"/>
    <w:tmpl w:val="C41E4350"/>
    <w:lvl w:ilvl="0" w:tplc="9EC42AF8">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66848"/>
    <w:multiLevelType w:val="hybridMultilevel"/>
    <w:tmpl w:val="B120A2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7DE1015E"/>
    <w:multiLevelType w:val="hybridMultilevel"/>
    <w:tmpl w:val="FAA6342E"/>
    <w:lvl w:ilvl="0" w:tplc="61FC8FF4">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8">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UPOV\Meetings|WorkspaceSTS\EN-ES\UPOV\Other|WorkspaceSTS\EN-ES\UPOV\Publications|WorkspaceSTS\EN-ES\UPOV\Technical Guidelines|UPOV\Meetings|UPOV\Other|UPOV\Publications|UPOV\Technical Guidelines"/>
    <w:docVar w:name="TextBaseURL" w:val="empty"/>
    <w:docVar w:name="UILng" w:val="en"/>
  </w:docVars>
  <w:rsids>
    <w:rsidRoot w:val="00FD2B43"/>
    <w:rsid w:val="00010580"/>
    <w:rsid w:val="00010CF3"/>
    <w:rsid w:val="00011E27"/>
    <w:rsid w:val="000126EB"/>
    <w:rsid w:val="000148BC"/>
    <w:rsid w:val="000152EF"/>
    <w:rsid w:val="00023ABA"/>
    <w:rsid w:val="00024AB8"/>
    <w:rsid w:val="00026392"/>
    <w:rsid w:val="00030854"/>
    <w:rsid w:val="00033543"/>
    <w:rsid w:val="00036028"/>
    <w:rsid w:val="00044642"/>
    <w:rsid w:val="000446B9"/>
    <w:rsid w:val="00047E21"/>
    <w:rsid w:val="00050E16"/>
    <w:rsid w:val="000536A6"/>
    <w:rsid w:val="00055592"/>
    <w:rsid w:val="00064131"/>
    <w:rsid w:val="000660D0"/>
    <w:rsid w:val="00082400"/>
    <w:rsid w:val="00085505"/>
    <w:rsid w:val="000A60E8"/>
    <w:rsid w:val="000A76AC"/>
    <w:rsid w:val="000C7021"/>
    <w:rsid w:val="000D680A"/>
    <w:rsid w:val="000D6BBC"/>
    <w:rsid w:val="000D7780"/>
    <w:rsid w:val="000E0359"/>
    <w:rsid w:val="000E4035"/>
    <w:rsid w:val="000F2F11"/>
    <w:rsid w:val="001000A7"/>
    <w:rsid w:val="00105929"/>
    <w:rsid w:val="00113080"/>
    <w:rsid w:val="001131D5"/>
    <w:rsid w:val="0012144A"/>
    <w:rsid w:val="0012327C"/>
    <w:rsid w:val="001362DE"/>
    <w:rsid w:val="00141DB8"/>
    <w:rsid w:val="001459B2"/>
    <w:rsid w:val="00147818"/>
    <w:rsid w:val="0017474A"/>
    <w:rsid w:val="001758C6"/>
    <w:rsid w:val="00182B99"/>
    <w:rsid w:val="00187EE1"/>
    <w:rsid w:val="001A620C"/>
    <w:rsid w:val="001B6EA3"/>
    <w:rsid w:val="001C02BB"/>
    <w:rsid w:val="001C4B8F"/>
    <w:rsid w:val="001C553C"/>
    <w:rsid w:val="001C56C7"/>
    <w:rsid w:val="001D2E82"/>
    <w:rsid w:val="001D4118"/>
    <w:rsid w:val="001D4FC8"/>
    <w:rsid w:val="001D6D97"/>
    <w:rsid w:val="001E1DDC"/>
    <w:rsid w:val="001E2337"/>
    <w:rsid w:val="001E3188"/>
    <w:rsid w:val="001F065E"/>
    <w:rsid w:val="001F38E1"/>
    <w:rsid w:val="001F4113"/>
    <w:rsid w:val="0020280A"/>
    <w:rsid w:val="00205D6D"/>
    <w:rsid w:val="00207AB7"/>
    <w:rsid w:val="0021332C"/>
    <w:rsid w:val="00213982"/>
    <w:rsid w:val="00230328"/>
    <w:rsid w:val="00231086"/>
    <w:rsid w:val="0024416D"/>
    <w:rsid w:val="00245FD1"/>
    <w:rsid w:val="0024738F"/>
    <w:rsid w:val="002509B3"/>
    <w:rsid w:val="00261FE9"/>
    <w:rsid w:val="00271911"/>
    <w:rsid w:val="002800A0"/>
    <w:rsid w:val="002801B3"/>
    <w:rsid w:val="00281060"/>
    <w:rsid w:val="0028178C"/>
    <w:rsid w:val="00283373"/>
    <w:rsid w:val="002940E8"/>
    <w:rsid w:val="002964CE"/>
    <w:rsid w:val="002A6E50"/>
    <w:rsid w:val="002B1F1A"/>
    <w:rsid w:val="002B6C3B"/>
    <w:rsid w:val="002C256A"/>
    <w:rsid w:val="002D1075"/>
    <w:rsid w:val="002D72A5"/>
    <w:rsid w:val="002E3428"/>
    <w:rsid w:val="002F20D9"/>
    <w:rsid w:val="002F6AE2"/>
    <w:rsid w:val="00305A7F"/>
    <w:rsid w:val="003152FE"/>
    <w:rsid w:val="00327436"/>
    <w:rsid w:val="00331BAB"/>
    <w:rsid w:val="00331DF6"/>
    <w:rsid w:val="003367CB"/>
    <w:rsid w:val="003370C3"/>
    <w:rsid w:val="00337B8E"/>
    <w:rsid w:val="00340861"/>
    <w:rsid w:val="00340B3A"/>
    <w:rsid w:val="00344BD6"/>
    <w:rsid w:val="00345643"/>
    <w:rsid w:val="00346D98"/>
    <w:rsid w:val="00354955"/>
    <w:rsid w:val="0035528D"/>
    <w:rsid w:val="00361821"/>
    <w:rsid w:val="00366B78"/>
    <w:rsid w:val="00367B53"/>
    <w:rsid w:val="00377DFE"/>
    <w:rsid w:val="00390BA5"/>
    <w:rsid w:val="003A0E4C"/>
    <w:rsid w:val="003B192D"/>
    <w:rsid w:val="003B1DE6"/>
    <w:rsid w:val="003C6E6E"/>
    <w:rsid w:val="003D227C"/>
    <w:rsid w:val="003D2768"/>
    <w:rsid w:val="003D2B4D"/>
    <w:rsid w:val="003D30E3"/>
    <w:rsid w:val="003D4CD6"/>
    <w:rsid w:val="004079B9"/>
    <w:rsid w:val="00431B35"/>
    <w:rsid w:val="00444A88"/>
    <w:rsid w:val="00447C88"/>
    <w:rsid w:val="00464673"/>
    <w:rsid w:val="00465430"/>
    <w:rsid w:val="00467D0A"/>
    <w:rsid w:val="004738F3"/>
    <w:rsid w:val="00474DA4"/>
    <w:rsid w:val="00476AF1"/>
    <w:rsid w:val="00476B4D"/>
    <w:rsid w:val="004805FA"/>
    <w:rsid w:val="004808FC"/>
    <w:rsid w:val="004816A1"/>
    <w:rsid w:val="00486B2C"/>
    <w:rsid w:val="00487E51"/>
    <w:rsid w:val="004951D7"/>
    <w:rsid w:val="00497E8A"/>
    <w:rsid w:val="004A60D7"/>
    <w:rsid w:val="004B017A"/>
    <w:rsid w:val="004B614D"/>
    <w:rsid w:val="004C2869"/>
    <w:rsid w:val="004D047D"/>
    <w:rsid w:val="004D202E"/>
    <w:rsid w:val="004D3AF2"/>
    <w:rsid w:val="004D6E10"/>
    <w:rsid w:val="004E4FAC"/>
    <w:rsid w:val="004E6A35"/>
    <w:rsid w:val="004E7E98"/>
    <w:rsid w:val="004F2042"/>
    <w:rsid w:val="004F305A"/>
    <w:rsid w:val="005025C3"/>
    <w:rsid w:val="00505A73"/>
    <w:rsid w:val="00512164"/>
    <w:rsid w:val="00520297"/>
    <w:rsid w:val="00524050"/>
    <w:rsid w:val="0052617C"/>
    <w:rsid w:val="005338F9"/>
    <w:rsid w:val="005379E7"/>
    <w:rsid w:val="0054281C"/>
    <w:rsid w:val="005455E8"/>
    <w:rsid w:val="005479CA"/>
    <w:rsid w:val="005517E6"/>
    <w:rsid w:val="0055268D"/>
    <w:rsid w:val="005551D9"/>
    <w:rsid w:val="00557611"/>
    <w:rsid w:val="00557635"/>
    <w:rsid w:val="00563EAF"/>
    <w:rsid w:val="00574BC4"/>
    <w:rsid w:val="00576BE4"/>
    <w:rsid w:val="005902E4"/>
    <w:rsid w:val="00590E0F"/>
    <w:rsid w:val="00596D87"/>
    <w:rsid w:val="005A400A"/>
    <w:rsid w:val="005A5785"/>
    <w:rsid w:val="005A6AE5"/>
    <w:rsid w:val="005B0982"/>
    <w:rsid w:val="005B50EC"/>
    <w:rsid w:val="005C2155"/>
    <w:rsid w:val="005C3E02"/>
    <w:rsid w:val="005C4236"/>
    <w:rsid w:val="005D4EF4"/>
    <w:rsid w:val="005D6A9B"/>
    <w:rsid w:val="005D6C4F"/>
    <w:rsid w:val="005E24DF"/>
    <w:rsid w:val="005F3D0F"/>
    <w:rsid w:val="005F3FA7"/>
    <w:rsid w:val="005F6C4E"/>
    <w:rsid w:val="00605960"/>
    <w:rsid w:val="00607A30"/>
    <w:rsid w:val="00607DB2"/>
    <w:rsid w:val="00610D9E"/>
    <w:rsid w:val="00612379"/>
    <w:rsid w:val="00613AD4"/>
    <w:rsid w:val="0061555F"/>
    <w:rsid w:val="00615E39"/>
    <w:rsid w:val="006219AC"/>
    <w:rsid w:val="006236B1"/>
    <w:rsid w:val="00624763"/>
    <w:rsid w:val="00641200"/>
    <w:rsid w:val="00643DA1"/>
    <w:rsid w:val="00645A77"/>
    <w:rsid w:val="006518C7"/>
    <w:rsid w:val="00657038"/>
    <w:rsid w:val="006655D3"/>
    <w:rsid w:val="00667404"/>
    <w:rsid w:val="00672F5F"/>
    <w:rsid w:val="00677665"/>
    <w:rsid w:val="00680754"/>
    <w:rsid w:val="00686E92"/>
    <w:rsid w:val="00687EB4"/>
    <w:rsid w:val="006A4A4E"/>
    <w:rsid w:val="006A537D"/>
    <w:rsid w:val="006A727D"/>
    <w:rsid w:val="006B17D2"/>
    <w:rsid w:val="006B466C"/>
    <w:rsid w:val="006B5DA1"/>
    <w:rsid w:val="006C224E"/>
    <w:rsid w:val="006C6A57"/>
    <w:rsid w:val="006D780A"/>
    <w:rsid w:val="006E28D8"/>
    <w:rsid w:val="006E3F4B"/>
    <w:rsid w:val="006F4575"/>
    <w:rsid w:val="00727189"/>
    <w:rsid w:val="007301D6"/>
    <w:rsid w:val="00731C8F"/>
    <w:rsid w:val="00732DEC"/>
    <w:rsid w:val="00735BD5"/>
    <w:rsid w:val="0074305E"/>
    <w:rsid w:val="00744A9B"/>
    <w:rsid w:val="007556F6"/>
    <w:rsid w:val="00755966"/>
    <w:rsid w:val="00760EEF"/>
    <w:rsid w:val="00761761"/>
    <w:rsid w:val="00764373"/>
    <w:rsid w:val="00766259"/>
    <w:rsid w:val="007723E0"/>
    <w:rsid w:val="00777EE5"/>
    <w:rsid w:val="00782037"/>
    <w:rsid w:val="00784836"/>
    <w:rsid w:val="00786936"/>
    <w:rsid w:val="0079023E"/>
    <w:rsid w:val="00791A37"/>
    <w:rsid w:val="00791DAE"/>
    <w:rsid w:val="007930E0"/>
    <w:rsid w:val="007A112B"/>
    <w:rsid w:val="007A2854"/>
    <w:rsid w:val="007C6459"/>
    <w:rsid w:val="007D0B9D"/>
    <w:rsid w:val="007D19B0"/>
    <w:rsid w:val="007D7752"/>
    <w:rsid w:val="007E2AD2"/>
    <w:rsid w:val="007F1560"/>
    <w:rsid w:val="007F498F"/>
    <w:rsid w:val="007F6BE3"/>
    <w:rsid w:val="00803CC0"/>
    <w:rsid w:val="0080679D"/>
    <w:rsid w:val="00807F07"/>
    <w:rsid w:val="008108B0"/>
    <w:rsid w:val="00810AF3"/>
    <w:rsid w:val="00811B20"/>
    <w:rsid w:val="00815096"/>
    <w:rsid w:val="0081734A"/>
    <w:rsid w:val="0082296E"/>
    <w:rsid w:val="00823721"/>
    <w:rsid w:val="008239F1"/>
    <w:rsid w:val="00824099"/>
    <w:rsid w:val="008334D4"/>
    <w:rsid w:val="0084142D"/>
    <w:rsid w:val="00842EE6"/>
    <w:rsid w:val="00857112"/>
    <w:rsid w:val="00867AC1"/>
    <w:rsid w:val="0087238B"/>
    <w:rsid w:val="00880EF1"/>
    <w:rsid w:val="00887F78"/>
    <w:rsid w:val="00894844"/>
    <w:rsid w:val="008A3D1D"/>
    <w:rsid w:val="008A4787"/>
    <w:rsid w:val="008A743F"/>
    <w:rsid w:val="008B494D"/>
    <w:rsid w:val="008C0970"/>
    <w:rsid w:val="008C7406"/>
    <w:rsid w:val="008C7B58"/>
    <w:rsid w:val="008D2CF7"/>
    <w:rsid w:val="008D415E"/>
    <w:rsid w:val="008D6380"/>
    <w:rsid w:val="008E5B04"/>
    <w:rsid w:val="008E734A"/>
    <w:rsid w:val="008F343B"/>
    <w:rsid w:val="00900C26"/>
    <w:rsid w:val="0090197F"/>
    <w:rsid w:val="00906DDC"/>
    <w:rsid w:val="009116AF"/>
    <w:rsid w:val="00911EC7"/>
    <w:rsid w:val="0091517E"/>
    <w:rsid w:val="00916B7C"/>
    <w:rsid w:val="00925E19"/>
    <w:rsid w:val="00932B5A"/>
    <w:rsid w:val="00934E09"/>
    <w:rsid w:val="00936253"/>
    <w:rsid w:val="00941413"/>
    <w:rsid w:val="00945E72"/>
    <w:rsid w:val="00950C9F"/>
    <w:rsid w:val="00952DD4"/>
    <w:rsid w:val="00954E6A"/>
    <w:rsid w:val="009572D9"/>
    <w:rsid w:val="009628A1"/>
    <w:rsid w:val="00962A34"/>
    <w:rsid w:val="009678DE"/>
    <w:rsid w:val="00970FED"/>
    <w:rsid w:val="00974E05"/>
    <w:rsid w:val="009824F4"/>
    <w:rsid w:val="009830D3"/>
    <w:rsid w:val="00992D82"/>
    <w:rsid w:val="00995C0F"/>
    <w:rsid w:val="0099668A"/>
    <w:rsid w:val="00997029"/>
    <w:rsid w:val="009A0C94"/>
    <w:rsid w:val="009B450F"/>
    <w:rsid w:val="009C031A"/>
    <w:rsid w:val="009C3347"/>
    <w:rsid w:val="009C495A"/>
    <w:rsid w:val="009C5CAD"/>
    <w:rsid w:val="009D690D"/>
    <w:rsid w:val="009E3BB1"/>
    <w:rsid w:val="009E65B6"/>
    <w:rsid w:val="009F1A5D"/>
    <w:rsid w:val="009F57BC"/>
    <w:rsid w:val="00A00EF5"/>
    <w:rsid w:val="00A0550E"/>
    <w:rsid w:val="00A07942"/>
    <w:rsid w:val="00A14AAA"/>
    <w:rsid w:val="00A24C10"/>
    <w:rsid w:val="00A30E3C"/>
    <w:rsid w:val="00A34B37"/>
    <w:rsid w:val="00A4083B"/>
    <w:rsid w:val="00A42AC3"/>
    <w:rsid w:val="00A430CF"/>
    <w:rsid w:val="00A54309"/>
    <w:rsid w:val="00A60AAE"/>
    <w:rsid w:val="00A855A9"/>
    <w:rsid w:val="00A9076F"/>
    <w:rsid w:val="00A96EFE"/>
    <w:rsid w:val="00AA731D"/>
    <w:rsid w:val="00AB2B93"/>
    <w:rsid w:val="00AB530F"/>
    <w:rsid w:val="00AB5E4B"/>
    <w:rsid w:val="00AB7E5B"/>
    <w:rsid w:val="00AC612F"/>
    <w:rsid w:val="00AD0BD0"/>
    <w:rsid w:val="00AE071A"/>
    <w:rsid w:val="00AE0E09"/>
    <w:rsid w:val="00AE0EF1"/>
    <w:rsid w:val="00AE2937"/>
    <w:rsid w:val="00AE7054"/>
    <w:rsid w:val="00AF24C0"/>
    <w:rsid w:val="00AF2F5C"/>
    <w:rsid w:val="00AF6008"/>
    <w:rsid w:val="00AF7303"/>
    <w:rsid w:val="00AF7939"/>
    <w:rsid w:val="00B01D92"/>
    <w:rsid w:val="00B07301"/>
    <w:rsid w:val="00B07425"/>
    <w:rsid w:val="00B11526"/>
    <w:rsid w:val="00B224DE"/>
    <w:rsid w:val="00B252EB"/>
    <w:rsid w:val="00B27EAD"/>
    <w:rsid w:val="00B34C30"/>
    <w:rsid w:val="00B41849"/>
    <w:rsid w:val="00B46575"/>
    <w:rsid w:val="00B537F6"/>
    <w:rsid w:val="00B61B03"/>
    <w:rsid w:val="00B633A1"/>
    <w:rsid w:val="00B63F69"/>
    <w:rsid w:val="00B66C43"/>
    <w:rsid w:val="00B81DB7"/>
    <w:rsid w:val="00B848E9"/>
    <w:rsid w:val="00B84BBD"/>
    <w:rsid w:val="00B945DE"/>
    <w:rsid w:val="00B94604"/>
    <w:rsid w:val="00B94A4D"/>
    <w:rsid w:val="00BA1947"/>
    <w:rsid w:val="00BA43FB"/>
    <w:rsid w:val="00BA6968"/>
    <w:rsid w:val="00BC0D24"/>
    <w:rsid w:val="00BC127D"/>
    <w:rsid w:val="00BC1FE6"/>
    <w:rsid w:val="00BC6A7D"/>
    <w:rsid w:val="00BD1A54"/>
    <w:rsid w:val="00BD1E2B"/>
    <w:rsid w:val="00BF3941"/>
    <w:rsid w:val="00BF697B"/>
    <w:rsid w:val="00C061B6"/>
    <w:rsid w:val="00C242BE"/>
    <w:rsid w:val="00C2446C"/>
    <w:rsid w:val="00C36AE5"/>
    <w:rsid w:val="00C400D0"/>
    <w:rsid w:val="00C41F17"/>
    <w:rsid w:val="00C4561F"/>
    <w:rsid w:val="00C47CD7"/>
    <w:rsid w:val="00C5280D"/>
    <w:rsid w:val="00C560F1"/>
    <w:rsid w:val="00C5791C"/>
    <w:rsid w:val="00C63086"/>
    <w:rsid w:val="00C66290"/>
    <w:rsid w:val="00C72B7A"/>
    <w:rsid w:val="00C75FF4"/>
    <w:rsid w:val="00C84914"/>
    <w:rsid w:val="00C859E1"/>
    <w:rsid w:val="00C973F2"/>
    <w:rsid w:val="00C979C8"/>
    <w:rsid w:val="00CA06CC"/>
    <w:rsid w:val="00CA304C"/>
    <w:rsid w:val="00CA449D"/>
    <w:rsid w:val="00CA5564"/>
    <w:rsid w:val="00CA774A"/>
    <w:rsid w:val="00CC11B0"/>
    <w:rsid w:val="00CC2E00"/>
    <w:rsid w:val="00CC4EA0"/>
    <w:rsid w:val="00CD366F"/>
    <w:rsid w:val="00CE1419"/>
    <w:rsid w:val="00CE767B"/>
    <w:rsid w:val="00CF7E36"/>
    <w:rsid w:val="00D0002A"/>
    <w:rsid w:val="00D070FD"/>
    <w:rsid w:val="00D1038C"/>
    <w:rsid w:val="00D1135F"/>
    <w:rsid w:val="00D135ED"/>
    <w:rsid w:val="00D23F05"/>
    <w:rsid w:val="00D24E8D"/>
    <w:rsid w:val="00D27003"/>
    <w:rsid w:val="00D318A8"/>
    <w:rsid w:val="00D3708D"/>
    <w:rsid w:val="00D37AEA"/>
    <w:rsid w:val="00D40426"/>
    <w:rsid w:val="00D41A77"/>
    <w:rsid w:val="00D51088"/>
    <w:rsid w:val="00D57C96"/>
    <w:rsid w:val="00D61804"/>
    <w:rsid w:val="00D6410C"/>
    <w:rsid w:val="00D66BEE"/>
    <w:rsid w:val="00D80CE4"/>
    <w:rsid w:val="00D91203"/>
    <w:rsid w:val="00D92DF0"/>
    <w:rsid w:val="00D95174"/>
    <w:rsid w:val="00D9733D"/>
    <w:rsid w:val="00DA0863"/>
    <w:rsid w:val="00DA6F36"/>
    <w:rsid w:val="00DB2E18"/>
    <w:rsid w:val="00DB58C2"/>
    <w:rsid w:val="00DB596E"/>
    <w:rsid w:val="00DB7773"/>
    <w:rsid w:val="00DC00EA"/>
    <w:rsid w:val="00DC4EB0"/>
    <w:rsid w:val="00DC64DC"/>
    <w:rsid w:val="00DD174E"/>
    <w:rsid w:val="00DE7712"/>
    <w:rsid w:val="00DF2FB1"/>
    <w:rsid w:val="00DF6039"/>
    <w:rsid w:val="00E02B62"/>
    <w:rsid w:val="00E27DD4"/>
    <w:rsid w:val="00E32F7E"/>
    <w:rsid w:val="00E4080D"/>
    <w:rsid w:val="00E4589E"/>
    <w:rsid w:val="00E537A2"/>
    <w:rsid w:val="00E72D49"/>
    <w:rsid w:val="00E7593C"/>
    <w:rsid w:val="00E7678A"/>
    <w:rsid w:val="00E8569A"/>
    <w:rsid w:val="00E86EDB"/>
    <w:rsid w:val="00E9274B"/>
    <w:rsid w:val="00E93587"/>
    <w:rsid w:val="00E935F1"/>
    <w:rsid w:val="00E94A81"/>
    <w:rsid w:val="00E9732E"/>
    <w:rsid w:val="00EA1FFB"/>
    <w:rsid w:val="00EB048E"/>
    <w:rsid w:val="00ED375B"/>
    <w:rsid w:val="00ED5CF2"/>
    <w:rsid w:val="00EE321E"/>
    <w:rsid w:val="00EE34DF"/>
    <w:rsid w:val="00EF1D7C"/>
    <w:rsid w:val="00EF29D7"/>
    <w:rsid w:val="00EF2F89"/>
    <w:rsid w:val="00F0027E"/>
    <w:rsid w:val="00F05CBB"/>
    <w:rsid w:val="00F11B14"/>
    <w:rsid w:val="00F1237A"/>
    <w:rsid w:val="00F22CBD"/>
    <w:rsid w:val="00F23E20"/>
    <w:rsid w:val="00F27C33"/>
    <w:rsid w:val="00F36B6A"/>
    <w:rsid w:val="00F42DCD"/>
    <w:rsid w:val="00F45372"/>
    <w:rsid w:val="00F50671"/>
    <w:rsid w:val="00F560F7"/>
    <w:rsid w:val="00F570E4"/>
    <w:rsid w:val="00F6334D"/>
    <w:rsid w:val="00F70FE9"/>
    <w:rsid w:val="00F722EF"/>
    <w:rsid w:val="00F9638E"/>
    <w:rsid w:val="00F97347"/>
    <w:rsid w:val="00FA49AB"/>
    <w:rsid w:val="00FA5BBD"/>
    <w:rsid w:val="00FC4145"/>
    <w:rsid w:val="00FC699A"/>
    <w:rsid w:val="00FD2B43"/>
    <w:rsid w:val="00FD5703"/>
    <w:rsid w:val="00FE39C7"/>
    <w:rsid w:val="00FF1329"/>
    <w:rsid w:val="00FF721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9D7"/>
    <w:pPr>
      <w:jc w:val="both"/>
    </w:pPr>
    <w:rPr>
      <w:rFonts w:ascii="Arial" w:hAnsi="Arial"/>
    </w:rPr>
  </w:style>
  <w:style w:type="paragraph" w:styleId="Heading1">
    <w:name w:val="heading 1"/>
    <w:next w:val="Normal"/>
    <w:autoRedefine/>
    <w:qFormat/>
    <w:rsid w:val="00464673"/>
    <w:pPr>
      <w:jc w:val="both"/>
      <w:outlineLvl w:val="0"/>
    </w:pPr>
    <w:rPr>
      <w:rFonts w:ascii="Arial" w:hAnsi="Arial"/>
      <w:caps/>
    </w:rPr>
  </w:style>
  <w:style w:type="paragraph" w:styleId="Heading2">
    <w:name w:val="heading 2"/>
    <w:next w:val="Normal"/>
    <w:link w:val="Heading2Char"/>
    <w:autoRedefine/>
    <w:qFormat/>
    <w:rsid w:val="00EF29D7"/>
    <w:pPr>
      <w:keepNext/>
      <w:jc w:val="both"/>
      <w:outlineLvl w:val="1"/>
    </w:pPr>
    <w:rPr>
      <w:rFonts w:ascii="Arial" w:hAnsi="Arial"/>
      <w:u w:val="single"/>
    </w:rPr>
  </w:style>
  <w:style w:type="paragraph" w:styleId="Heading3">
    <w:name w:val="heading 3"/>
    <w:next w:val="Normal"/>
    <w:autoRedefine/>
    <w:qFormat/>
    <w:rsid w:val="00EF29D7"/>
    <w:pPr>
      <w:keepNext/>
      <w:jc w:val="both"/>
      <w:outlineLvl w:val="2"/>
    </w:pPr>
    <w:rPr>
      <w:rFonts w:ascii="Arial" w:hAnsi="Arial"/>
      <w:i/>
    </w:rPr>
  </w:style>
  <w:style w:type="paragraph" w:styleId="Heading4">
    <w:name w:val="heading 4"/>
    <w:next w:val="Normal"/>
    <w:autoRedefine/>
    <w:qFormat/>
    <w:rsid w:val="00EF29D7"/>
    <w:pPr>
      <w:keepNext/>
      <w:ind w:left="567"/>
      <w:jc w:val="both"/>
      <w:outlineLvl w:val="3"/>
    </w:pPr>
    <w:rPr>
      <w:rFonts w:ascii="Arial" w:hAnsi="Arial"/>
      <w:u w:val="single"/>
      <w:lang w:val="fr-FR"/>
    </w:rPr>
  </w:style>
  <w:style w:type="paragraph" w:styleId="Heading5">
    <w:name w:val="heading 5"/>
    <w:next w:val="Normal"/>
    <w:autoRedefine/>
    <w:qFormat/>
    <w:rsid w:val="00EF29D7"/>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7C64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EF29D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F29D7"/>
    <w:pPr>
      <w:tabs>
        <w:tab w:val="center" w:pos="4536"/>
        <w:tab w:val="right" w:pos="9072"/>
      </w:tabs>
      <w:jc w:val="center"/>
    </w:pPr>
    <w:rPr>
      <w:rFonts w:ascii="Arial" w:hAnsi="Arial"/>
      <w:lang w:val="fr-FR"/>
    </w:rPr>
  </w:style>
  <w:style w:type="paragraph" w:styleId="Footer">
    <w:name w:val="footer"/>
    <w:aliases w:val="doc_path_name"/>
    <w:autoRedefine/>
    <w:rsid w:val="00EF29D7"/>
    <w:pPr>
      <w:jc w:val="both"/>
    </w:pPr>
    <w:rPr>
      <w:rFonts w:ascii="Arial" w:hAnsi="Arial"/>
      <w:sz w:val="14"/>
    </w:rPr>
  </w:style>
  <w:style w:type="character" w:styleId="PageNumber">
    <w:name w:val="page number"/>
    <w:basedOn w:val="DefaultParagraphFont"/>
    <w:rsid w:val="00EF29D7"/>
    <w:rPr>
      <w:rFonts w:ascii="Arial" w:hAnsi="Arial"/>
      <w:sz w:val="20"/>
    </w:rPr>
  </w:style>
  <w:style w:type="paragraph" w:styleId="Title">
    <w:name w:val="Title"/>
    <w:basedOn w:val="Normal"/>
    <w:qFormat/>
    <w:rsid w:val="00EF29D7"/>
    <w:pPr>
      <w:spacing w:after="300"/>
      <w:jc w:val="center"/>
    </w:pPr>
    <w:rPr>
      <w:b/>
      <w:caps/>
      <w:kern w:val="28"/>
      <w:sz w:val="30"/>
    </w:rPr>
  </w:style>
  <w:style w:type="paragraph" w:customStyle="1" w:styleId="preparedby">
    <w:name w:val="preparedby"/>
    <w:basedOn w:val="Normal"/>
    <w:next w:val="Normal"/>
    <w:semiHidden/>
    <w:rsid w:val="00EF29D7"/>
    <w:pPr>
      <w:spacing w:after="600"/>
      <w:jc w:val="center"/>
    </w:pPr>
    <w:rPr>
      <w:i/>
    </w:rPr>
  </w:style>
  <w:style w:type="paragraph" w:customStyle="1" w:styleId="Docoriginal">
    <w:name w:val="Doc_original"/>
    <w:basedOn w:val="Code"/>
    <w:link w:val="DocoriginalChar"/>
    <w:rsid w:val="00EF29D7"/>
    <w:pPr>
      <w:spacing w:line="280" w:lineRule="exact"/>
      <w:ind w:left="1361"/>
    </w:pPr>
  </w:style>
  <w:style w:type="paragraph" w:customStyle="1" w:styleId="DecisionParagraphs">
    <w:name w:val="DecisionParagraphs"/>
    <w:basedOn w:val="Normal"/>
    <w:link w:val="DecisionParagraphsChar"/>
    <w:rsid w:val="00EF29D7"/>
    <w:pPr>
      <w:tabs>
        <w:tab w:val="left" w:pos="5387"/>
      </w:tabs>
      <w:ind w:left="4820"/>
    </w:pPr>
    <w:rPr>
      <w:i/>
    </w:rPr>
  </w:style>
  <w:style w:type="paragraph" w:styleId="FootnoteText">
    <w:name w:val="footnote text"/>
    <w:link w:val="FootnoteTextChar"/>
    <w:autoRedefine/>
    <w:rsid w:val="00EF29D7"/>
    <w:pPr>
      <w:spacing w:before="60"/>
      <w:ind w:left="567" w:hanging="567"/>
      <w:jc w:val="both"/>
    </w:pPr>
    <w:rPr>
      <w:rFonts w:ascii="Arial" w:hAnsi="Arial"/>
      <w:sz w:val="16"/>
    </w:rPr>
  </w:style>
  <w:style w:type="character" w:styleId="FootnoteReference">
    <w:name w:val="footnote reference"/>
    <w:basedOn w:val="DefaultParagraphFont"/>
    <w:semiHidden/>
    <w:rsid w:val="00EF29D7"/>
    <w:rPr>
      <w:vertAlign w:val="superscript"/>
    </w:rPr>
  </w:style>
  <w:style w:type="paragraph" w:styleId="Closing">
    <w:name w:val="Closing"/>
    <w:basedOn w:val="Normal"/>
    <w:rsid w:val="00EF29D7"/>
    <w:pPr>
      <w:ind w:left="4536"/>
      <w:jc w:val="center"/>
    </w:pPr>
  </w:style>
  <w:style w:type="paragraph" w:styleId="Index1">
    <w:name w:val="index 1"/>
    <w:basedOn w:val="Normal"/>
    <w:next w:val="Normal"/>
    <w:semiHidden/>
    <w:rsid w:val="00EF29D7"/>
    <w:pPr>
      <w:tabs>
        <w:tab w:val="right" w:leader="dot" w:pos="9071"/>
      </w:tabs>
      <w:ind w:left="284" w:hanging="284"/>
    </w:pPr>
    <w:rPr>
      <w:sz w:val="24"/>
    </w:rPr>
  </w:style>
  <w:style w:type="paragraph" w:styleId="Index2">
    <w:name w:val="index 2"/>
    <w:basedOn w:val="Normal"/>
    <w:next w:val="Normal"/>
    <w:semiHidden/>
    <w:rsid w:val="00EF29D7"/>
    <w:pPr>
      <w:tabs>
        <w:tab w:val="right" w:leader="dot" w:pos="9071"/>
      </w:tabs>
      <w:ind w:left="568" w:hanging="284"/>
    </w:pPr>
    <w:rPr>
      <w:sz w:val="24"/>
    </w:rPr>
  </w:style>
  <w:style w:type="paragraph" w:styleId="Index3">
    <w:name w:val="index 3"/>
    <w:basedOn w:val="Normal"/>
    <w:next w:val="Normal"/>
    <w:semiHidden/>
    <w:rsid w:val="00EF29D7"/>
    <w:pPr>
      <w:tabs>
        <w:tab w:val="right" w:leader="dot" w:pos="9071"/>
      </w:tabs>
      <w:ind w:left="851" w:hanging="284"/>
    </w:pPr>
    <w:rPr>
      <w:sz w:val="24"/>
    </w:rPr>
  </w:style>
  <w:style w:type="paragraph" w:styleId="MacroText">
    <w:name w:val="macro"/>
    <w:semiHidden/>
    <w:rsid w:val="00EF29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F29D7"/>
    <w:pPr>
      <w:ind w:left="4536"/>
      <w:jc w:val="center"/>
    </w:pPr>
  </w:style>
  <w:style w:type="character" w:customStyle="1" w:styleId="Doclang">
    <w:name w:val="Doc_lang"/>
    <w:basedOn w:val="DefaultParagraphFont"/>
    <w:rsid w:val="00EF29D7"/>
    <w:rPr>
      <w:rFonts w:ascii="Arial" w:hAnsi="Arial"/>
      <w:sz w:val="20"/>
      <w:lang w:val="en-US"/>
    </w:rPr>
  </w:style>
  <w:style w:type="paragraph" w:customStyle="1" w:styleId="Session">
    <w:name w:val="Session"/>
    <w:basedOn w:val="Normal"/>
    <w:semiHidden/>
    <w:rsid w:val="00EF29D7"/>
    <w:pPr>
      <w:spacing w:before="60"/>
      <w:jc w:val="center"/>
    </w:pPr>
    <w:rPr>
      <w:b/>
    </w:rPr>
  </w:style>
  <w:style w:type="paragraph" w:customStyle="1" w:styleId="Organizer">
    <w:name w:val="Organizer"/>
    <w:basedOn w:val="Normal"/>
    <w:semiHidden/>
    <w:rsid w:val="00EF29D7"/>
    <w:pPr>
      <w:spacing w:after="600"/>
      <w:ind w:left="-993" w:right="-994"/>
      <w:jc w:val="center"/>
    </w:pPr>
    <w:rPr>
      <w:b/>
      <w:caps/>
      <w:kern w:val="26"/>
      <w:sz w:val="26"/>
    </w:rPr>
  </w:style>
  <w:style w:type="paragraph" w:styleId="BodyText">
    <w:name w:val="Body Text"/>
    <w:basedOn w:val="Normal"/>
    <w:rsid w:val="00EF29D7"/>
  </w:style>
  <w:style w:type="paragraph" w:customStyle="1" w:styleId="StyleDocoriginalNotBold">
    <w:name w:val="Style Doc_original + Not Bold"/>
    <w:basedOn w:val="Docoriginal"/>
    <w:link w:val="StyleDocoriginalNotBoldChar"/>
    <w:autoRedefine/>
    <w:rsid w:val="00EF29D7"/>
    <w:pPr>
      <w:ind w:left="1589"/>
      <w:jc w:val="left"/>
    </w:pPr>
  </w:style>
  <w:style w:type="paragraph" w:customStyle="1" w:styleId="upove">
    <w:name w:val="upov_e"/>
    <w:basedOn w:val="TitreUpov"/>
    <w:rsid w:val="00EF29D7"/>
    <w:rPr>
      <w:bCs/>
      <w:spacing w:val="8"/>
    </w:rPr>
  </w:style>
  <w:style w:type="paragraph" w:customStyle="1" w:styleId="TitleofDoc">
    <w:name w:val="Title of Doc"/>
    <w:basedOn w:val="Normal"/>
    <w:semiHidden/>
    <w:rsid w:val="00EF29D7"/>
    <w:pPr>
      <w:spacing w:before="1200"/>
      <w:jc w:val="center"/>
    </w:pPr>
    <w:rPr>
      <w:caps/>
    </w:rPr>
  </w:style>
  <w:style w:type="paragraph" w:customStyle="1" w:styleId="preparedby0">
    <w:name w:val="prepared by"/>
    <w:basedOn w:val="Normal"/>
    <w:semiHidden/>
    <w:rsid w:val="00EF29D7"/>
    <w:pPr>
      <w:spacing w:before="600" w:after="600"/>
      <w:jc w:val="center"/>
    </w:pPr>
    <w:rPr>
      <w:i/>
    </w:rPr>
  </w:style>
  <w:style w:type="paragraph" w:customStyle="1" w:styleId="PlaceAndDate">
    <w:name w:val="PlaceAndDate"/>
    <w:basedOn w:val="Session"/>
    <w:semiHidden/>
    <w:rsid w:val="00EF29D7"/>
  </w:style>
  <w:style w:type="paragraph" w:styleId="EndnoteText">
    <w:name w:val="endnote text"/>
    <w:basedOn w:val="Normal"/>
    <w:semiHidden/>
    <w:rsid w:val="00EF29D7"/>
  </w:style>
  <w:style w:type="character" w:styleId="EndnoteReference">
    <w:name w:val="endnote reference"/>
    <w:basedOn w:val="DefaultParagraphFont"/>
    <w:semiHidden/>
    <w:rsid w:val="00EF29D7"/>
    <w:rPr>
      <w:vertAlign w:val="superscript"/>
    </w:rPr>
  </w:style>
  <w:style w:type="paragraph" w:customStyle="1" w:styleId="SessionMeetingPlace">
    <w:name w:val="Session_MeetingPlace"/>
    <w:basedOn w:val="Normal"/>
    <w:semiHidden/>
    <w:rsid w:val="00EF29D7"/>
    <w:pPr>
      <w:spacing w:before="480"/>
      <w:jc w:val="center"/>
    </w:pPr>
    <w:rPr>
      <w:b/>
      <w:bCs/>
      <w:kern w:val="28"/>
      <w:sz w:val="24"/>
    </w:rPr>
  </w:style>
  <w:style w:type="paragraph" w:customStyle="1" w:styleId="Original">
    <w:name w:val="Original"/>
    <w:basedOn w:val="Normal"/>
    <w:semiHidden/>
    <w:rsid w:val="00EF29D7"/>
    <w:pPr>
      <w:spacing w:before="60"/>
      <w:ind w:left="1276"/>
    </w:pPr>
    <w:rPr>
      <w:b/>
      <w:sz w:val="22"/>
    </w:rPr>
  </w:style>
  <w:style w:type="paragraph" w:styleId="Date">
    <w:name w:val="Date"/>
    <w:basedOn w:val="Normal"/>
    <w:semiHidden/>
    <w:rsid w:val="00EF29D7"/>
    <w:pPr>
      <w:spacing w:line="340" w:lineRule="exact"/>
      <w:ind w:left="1276"/>
    </w:pPr>
    <w:rPr>
      <w:b/>
      <w:sz w:val="22"/>
    </w:rPr>
  </w:style>
  <w:style w:type="paragraph" w:customStyle="1" w:styleId="Code">
    <w:name w:val="Code"/>
    <w:basedOn w:val="Normal"/>
    <w:link w:val="CodeChar"/>
    <w:semiHidden/>
    <w:rsid w:val="00EF29D7"/>
    <w:pPr>
      <w:spacing w:line="340" w:lineRule="atLeast"/>
      <w:ind w:left="1276"/>
    </w:pPr>
    <w:rPr>
      <w:b/>
      <w:bCs/>
      <w:spacing w:val="10"/>
    </w:rPr>
  </w:style>
  <w:style w:type="paragraph" w:customStyle="1" w:styleId="Country">
    <w:name w:val="Country"/>
    <w:basedOn w:val="Normal"/>
    <w:semiHidden/>
    <w:rsid w:val="00EF29D7"/>
    <w:pPr>
      <w:spacing w:before="60" w:after="480"/>
      <w:jc w:val="center"/>
    </w:pPr>
  </w:style>
  <w:style w:type="paragraph" w:customStyle="1" w:styleId="Lettrine">
    <w:name w:val="Lettrine"/>
    <w:basedOn w:val="Normal"/>
    <w:rsid w:val="00EF29D7"/>
    <w:pPr>
      <w:spacing w:after="120" w:line="340" w:lineRule="atLeast"/>
      <w:jc w:val="right"/>
    </w:pPr>
    <w:rPr>
      <w:b/>
      <w:bCs/>
      <w:sz w:val="56"/>
    </w:rPr>
  </w:style>
  <w:style w:type="paragraph" w:customStyle="1" w:styleId="LogoUPOV">
    <w:name w:val="LogoUPOV"/>
    <w:basedOn w:val="Normal"/>
    <w:rsid w:val="00EF29D7"/>
    <w:pPr>
      <w:spacing w:before="720"/>
      <w:jc w:val="center"/>
    </w:pPr>
  </w:style>
  <w:style w:type="paragraph" w:customStyle="1" w:styleId="Sessiontc">
    <w:name w:val="Session_tc"/>
    <w:basedOn w:val="StyleSessionAllcaps"/>
    <w:rsid w:val="00EF29D7"/>
    <w:pPr>
      <w:spacing w:before="240"/>
    </w:pPr>
  </w:style>
  <w:style w:type="paragraph" w:customStyle="1" w:styleId="TitreUpov">
    <w:name w:val="TitreUpov"/>
    <w:basedOn w:val="Normal"/>
    <w:semiHidden/>
    <w:rsid w:val="00EF29D7"/>
    <w:pPr>
      <w:spacing w:before="60"/>
      <w:jc w:val="center"/>
    </w:pPr>
    <w:rPr>
      <w:b/>
      <w:sz w:val="24"/>
    </w:rPr>
  </w:style>
  <w:style w:type="paragraph" w:customStyle="1" w:styleId="StyleSessionAllcaps">
    <w:name w:val="Style Session + All caps"/>
    <w:basedOn w:val="Session"/>
    <w:semiHidden/>
    <w:rsid w:val="00EF29D7"/>
    <w:pPr>
      <w:spacing w:before="480"/>
    </w:pPr>
    <w:rPr>
      <w:bCs/>
      <w:caps/>
      <w:kern w:val="28"/>
      <w:sz w:val="24"/>
    </w:rPr>
  </w:style>
  <w:style w:type="paragraph" w:customStyle="1" w:styleId="plcountry">
    <w:name w:val="plcountry"/>
    <w:basedOn w:val="Normal"/>
    <w:rsid w:val="00EF29D7"/>
    <w:pPr>
      <w:keepNext/>
      <w:keepLines/>
      <w:spacing w:before="180" w:after="120"/>
      <w:jc w:val="left"/>
    </w:pPr>
    <w:rPr>
      <w:caps/>
      <w:noProof/>
      <w:snapToGrid w:val="0"/>
      <w:u w:val="single"/>
    </w:rPr>
  </w:style>
  <w:style w:type="paragraph" w:customStyle="1" w:styleId="pldetails">
    <w:name w:val="pldetails"/>
    <w:basedOn w:val="Normal"/>
    <w:rsid w:val="00EF29D7"/>
    <w:pPr>
      <w:keepLines/>
      <w:spacing w:before="60" w:after="60"/>
      <w:jc w:val="left"/>
    </w:pPr>
    <w:rPr>
      <w:noProof/>
      <w:snapToGrid w:val="0"/>
    </w:rPr>
  </w:style>
  <w:style w:type="paragraph" w:customStyle="1" w:styleId="plheading">
    <w:name w:val="plheading"/>
    <w:basedOn w:val="Normal"/>
    <w:rsid w:val="00EF29D7"/>
    <w:pPr>
      <w:keepNext/>
      <w:spacing w:before="480" w:after="120"/>
      <w:jc w:val="center"/>
    </w:pPr>
    <w:rPr>
      <w:caps/>
      <w:snapToGrid w:val="0"/>
      <w:u w:val="single"/>
    </w:rPr>
  </w:style>
  <w:style w:type="paragraph" w:customStyle="1" w:styleId="Sessiontcplacedate">
    <w:name w:val="Session_tc_place_date"/>
    <w:basedOn w:val="SessionMeetingPlace"/>
    <w:rsid w:val="00EF29D7"/>
    <w:pPr>
      <w:spacing w:before="240"/>
    </w:pPr>
  </w:style>
  <w:style w:type="paragraph" w:customStyle="1" w:styleId="Titleofdoc0">
    <w:name w:val="Title_of_doc"/>
    <w:basedOn w:val="TitleofDoc"/>
    <w:rsid w:val="00EF29D7"/>
    <w:pPr>
      <w:spacing w:before="600"/>
    </w:pPr>
  </w:style>
  <w:style w:type="paragraph" w:customStyle="1" w:styleId="preparedby1">
    <w:name w:val="prepared_by"/>
    <w:basedOn w:val="preparedby0"/>
    <w:rsid w:val="00EF29D7"/>
    <w:pPr>
      <w:spacing w:before="240"/>
    </w:pPr>
    <w:rPr>
      <w:iCs/>
    </w:rPr>
  </w:style>
  <w:style w:type="character" w:customStyle="1" w:styleId="CodeChar">
    <w:name w:val="Code Char"/>
    <w:basedOn w:val="DefaultParagraphFont"/>
    <w:link w:val="Code"/>
    <w:semiHidden/>
    <w:rsid w:val="00EF29D7"/>
    <w:rPr>
      <w:rFonts w:ascii="Arial" w:hAnsi="Arial"/>
      <w:b/>
      <w:bCs/>
      <w:spacing w:val="10"/>
    </w:rPr>
  </w:style>
  <w:style w:type="paragraph" w:customStyle="1" w:styleId="endofdoc">
    <w:name w:val="end_of_doc"/>
    <w:autoRedefine/>
    <w:rsid w:val="00EF29D7"/>
    <w:pPr>
      <w:spacing w:before="480"/>
      <w:ind w:left="567" w:hanging="567"/>
      <w:jc w:val="right"/>
    </w:pPr>
    <w:rPr>
      <w:rFonts w:ascii="Arial" w:hAnsi="Arial"/>
    </w:rPr>
  </w:style>
  <w:style w:type="character" w:customStyle="1" w:styleId="DocoriginalChar">
    <w:name w:val="Doc_original Char"/>
    <w:basedOn w:val="CodeChar"/>
    <w:link w:val="Docoriginal"/>
    <w:rsid w:val="00EF29D7"/>
    <w:rPr>
      <w:rFonts w:ascii="Arial" w:hAnsi="Arial"/>
      <w:b/>
      <w:bCs/>
      <w:spacing w:val="10"/>
    </w:rPr>
  </w:style>
  <w:style w:type="character" w:customStyle="1" w:styleId="StyleDocoriginalNotBoldChar">
    <w:name w:val="Style Doc_original + Not Bold Char"/>
    <w:basedOn w:val="DocoriginalChar"/>
    <w:link w:val="StyleDocoriginalNotBold"/>
    <w:rsid w:val="00EF29D7"/>
    <w:rPr>
      <w:rFonts w:ascii="Arial" w:hAnsi="Arial"/>
      <w:b/>
      <w:bCs/>
      <w:spacing w:val="10"/>
    </w:rPr>
  </w:style>
  <w:style w:type="paragraph" w:customStyle="1" w:styleId="StyleDocnumber">
    <w:name w:val="Style Doc_number"/>
    <w:basedOn w:val="Docoriginal"/>
    <w:rsid w:val="00EF29D7"/>
    <w:pPr>
      <w:ind w:left="1589"/>
    </w:pPr>
  </w:style>
  <w:style w:type="paragraph" w:customStyle="1" w:styleId="StyleDocoriginal">
    <w:name w:val="Style Doc_original"/>
    <w:basedOn w:val="Docoriginal"/>
    <w:link w:val="StyleDocoriginalChar"/>
    <w:rsid w:val="00EF29D7"/>
  </w:style>
  <w:style w:type="character" w:customStyle="1" w:styleId="StyleDocoriginalChar">
    <w:name w:val="Style Doc_original Char"/>
    <w:basedOn w:val="DocoriginalChar"/>
    <w:link w:val="StyleDocoriginal"/>
    <w:rsid w:val="00EF29D7"/>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EF29D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F29D7"/>
    <w:rPr>
      <w:rFonts w:ascii="Arial" w:hAnsi="Arial"/>
      <w:b w:val="0"/>
      <w:bCs w:val="0"/>
      <w:spacing w:val="10"/>
    </w:rPr>
  </w:style>
  <w:style w:type="character" w:customStyle="1" w:styleId="StyleDocoriginalNotBold1">
    <w:name w:val="Style Doc_original + Not Bold1"/>
    <w:basedOn w:val="StyleStyleDocoriginalNotBoldNotBoldChar"/>
    <w:rsid w:val="00EF29D7"/>
    <w:rPr>
      <w:rFonts w:ascii="Arial" w:hAnsi="Arial"/>
      <w:b w:val="0"/>
      <w:bCs w:val="0"/>
      <w:spacing w:val="10"/>
    </w:rPr>
  </w:style>
  <w:style w:type="character" w:customStyle="1" w:styleId="StyleDoclangBold">
    <w:name w:val="Style Doc_lang + Bold"/>
    <w:basedOn w:val="Doclang"/>
    <w:rsid w:val="00EF29D7"/>
    <w:rPr>
      <w:rFonts w:ascii="Arial" w:hAnsi="Arial"/>
      <w:b/>
      <w:bCs/>
      <w:sz w:val="20"/>
      <w:lang w:val="en-US"/>
    </w:rPr>
  </w:style>
  <w:style w:type="paragraph" w:styleId="TOC2">
    <w:name w:val="toc 2"/>
    <w:next w:val="Normal"/>
    <w:autoRedefine/>
    <w:uiPriority w:val="39"/>
    <w:rsid w:val="00782037"/>
    <w:pPr>
      <w:keepNext/>
      <w:tabs>
        <w:tab w:val="right" w:leader="dot" w:pos="9639"/>
      </w:tabs>
      <w:spacing w:before="80"/>
      <w:ind w:left="454" w:right="851" w:hanging="284"/>
      <w:contextualSpacing/>
    </w:pPr>
    <w:rPr>
      <w:rFonts w:ascii="Arial" w:hAnsi="Arial"/>
      <w:smallCaps/>
    </w:rPr>
  </w:style>
  <w:style w:type="paragraph" w:styleId="TOC3">
    <w:name w:val="toc 3"/>
    <w:next w:val="Normal"/>
    <w:autoRedefine/>
    <w:uiPriority w:val="39"/>
    <w:rsid w:val="00EF29D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EF29D7"/>
    <w:rPr>
      <w:rFonts w:ascii="Arial" w:hAnsi="Arial"/>
      <w:color w:val="0000FF"/>
      <w:u w:val="single"/>
    </w:rPr>
  </w:style>
  <w:style w:type="paragraph" w:styleId="TOC4">
    <w:name w:val="toc 4"/>
    <w:next w:val="Normal"/>
    <w:autoRedefine/>
    <w:semiHidden/>
    <w:rsid w:val="00EF29D7"/>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82037"/>
    <w:pPr>
      <w:tabs>
        <w:tab w:val="left" w:pos="454"/>
        <w:tab w:val="right" w:leader="dot" w:pos="9639"/>
      </w:tabs>
      <w:spacing w:before="120"/>
      <w:jc w:val="center"/>
    </w:pPr>
    <w:rPr>
      <w:rFonts w:ascii="Arial" w:hAnsi="Arial"/>
      <w:caps/>
    </w:rPr>
  </w:style>
  <w:style w:type="paragraph" w:styleId="TOC5">
    <w:name w:val="toc 5"/>
    <w:next w:val="Normal"/>
    <w:autoRedefine/>
    <w:semiHidden/>
    <w:rsid w:val="00EF29D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F29D7"/>
    <w:rPr>
      <w:rFonts w:ascii="Tahoma" w:hAnsi="Tahoma" w:cs="Tahoma"/>
      <w:sz w:val="16"/>
      <w:szCs w:val="16"/>
    </w:rPr>
  </w:style>
  <w:style w:type="character" w:customStyle="1" w:styleId="BalloonTextChar">
    <w:name w:val="Balloon Text Char"/>
    <w:basedOn w:val="DefaultParagraphFont"/>
    <w:link w:val="BalloonText"/>
    <w:rsid w:val="00EF29D7"/>
    <w:rPr>
      <w:rFonts w:ascii="Tahoma" w:hAnsi="Tahoma" w:cs="Tahoma"/>
      <w:sz w:val="16"/>
      <w:szCs w:val="16"/>
    </w:rPr>
  </w:style>
  <w:style w:type="character" w:customStyle="1" w:styleId="FootnoteTextChar">
    <w:name w:val="Footnote Text Char"/>
    <w:link w:val="FootnoteText"/>
    <w:rsid w:val="009678DE"/>
    <w:rPr>
      <w:rFonts w:ascii="Arial" w:hAnsi="Arial"/>
      <w:sz w:val="16"/>
    </w:rPr>
  </w:style>
  <w:style w:type="paragraph" w:styleId="CommentText">
    <w:name w:val="annotation text"/>
    <w:basedOn w:val="Normal"/>
    <w:link w:val="CommentTextChar"/>
    <w:unhideWhenUsed/>
    <w:rsid w:val="007930E0"/>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7930E0"/>
    <w:rPr>
      <w:sz w:val="22"/>
      <w:szCs w:val="22"/>
      <w:lang w:eastAsia="ja-JP"/>
    </w:rPr>
  </w:style>
  <w:style w:type="character" w:customStyle="1" w:styleId="Heading7Char">
    <w:name w:val="Heading 7 Char"/>
    <w:basedOn w:val="DefaultParagraphFont"/>
    <w:link w:val="Heading7"/>
    <w:semiHidden/>
    <w:rsid w:val="007C6459"/>
    <w:rPr>
      <w:rFonts w:asciiTheme="majorHAnsi" w:eastAsiaTheme="majorEastAsia" w:hAnsiTheme="majorHAnsi" w:cstheme="majorBidi"/>
      <w:i/>
      <w:iCs/>
      <w:color w:val="404040" w:themeColor="text1" w:themeTint="BF"/>
    </w:rPr>
  </w:style>
  <w:style w:type="character" w:customStyle="1" w:styleId="DecisionParagraphsChar">
    <w:name w:val="DecisionParagraphs Char"/>
    <w:basedOn w:val="DefaultParagraphFont"/>
    <w:link w:val="DecisionParagraphs"/>
    <w:rsid w:val="001C553C"/>
    <w:rPr>
      <w:rFonts w:ascii="Arial" w:hAnsi="Arial"/>
      <w:i/>
    </w:rPr>
  </w:style>
  <w:style w:type="paragraph" w:styleId="ListParagraph">
    <w:name w:val="List Paragraph"/>
    <w:basedOn w:val="Normal"/>
    <w:uiPriority w:val="34"/>
    <w:qFormat/>
    <w:rsid w:val="00337B8E"/>
    <w:pPr>
      <w:ind w:left="720"/>
      <w:contextualSpacing/>
    </w:pPr>
  </w:style>
  <w:style w:type="paragraph" w:styleId="TOCHeading">
    <w:name w:val="TOC Heading"/>
    <w:basedOn w:val="Heading1"/>
    <w:next w:val="Normal"/>
    <w:uiPriority w:val="39"/>
    <w:unhideWhenUsed/>
    <w:qFormat/>
    <w:rsid w:val="00574BC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9572D9"/>
    <w:rPr>
      <w:rFonts w:ascii="Arial" w:hAnsi="Arial"/>
      <w:u w:val="single"/>
    </w:rPr>
  </w:style>
  <w:style w:type="table" w:styleId="TableGrid">
    <w:name w:val="Table Grid"/>
    <w:basedOn w:val="TableNormal"/>
    <w:rsid w:val="00842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4D6E10"/>
    <w:rPr>
      <w:b w:val="0"/>
      <w:bCs/>
      <w:smallCaps/>
      <w:spacing w:val="5"/>
    </w:rPr>
  </w:style>
  <w:style w:type="character" w:styleId="FollowedHyperlink">
    <w:name w:val="FollowedHyperlink"/>
    <w:basedOn w:val="DefaultParagraphFont"/>
    <w:rsid w:val="006059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9D7"/>
    <w:pPr>
      <w:jc w:val="both"/>
    </w:pPr>
    <w:rPr>
      <w:rFonts w:ascii="Arial" w:hAnsi="Arial"/>
    </w:rPr>
  </w:style>
  <w:style w:type="paragraph" w:styleId="Heading1">
    <w:name w:val="heading 1"/>
    <w:next w:val="Normal"/>
    <w:autoRedefine/>
    <w:qFormat/>
    <w:rsid w:val="00464673"/>
    <w:pPr>
      <w:jc w:val="both"/>
      <w:outlineLvl w:val="0"/>
    </w:pPr>
    <w:rPr>
      <w:rFonts w:ascii="Arial" w:hAnsi="Arial"/>
      <w:caps/>
    </w:rPr>
  </w:style>
  <w:style w:type="paragraph" w:styleId="Heading2">
    <w:name w:val="heading 2"/>
    <w:next w:val="Normal"/>
    <w:link w:val="Heading2Char"/>
    <w:autoRedefine/>
    <w:qFormat/>
    <w:rsid w:val="00EF29D7"/>
    <w:pPr>
      <w:keepNext/>
      <w:jc w:val="both"/>
      <w:outlineLvl w:val="1"/>
    </w:pPr>
    <w:rPr>
      <w:rFonts w:ascii="Arial" w:hAnsi="Arial"/>
      <w:u w:val="single"/>
    </w:rPr>
  </w:style>
  <w:style w:type="paragraph" w:styleId="Heading3">
    <w:name w:val="heading 3"/>
    <w:next w:val="Normal"/>
    <w:autoRedefine/>
    <w:qFormat/>
    <w:rsid w:val="00EF29D7"/>
    <w:pPr>
      <w:keepNext/>
      <w:jc w:val="both"/>
      <w:outlineLvl w:val="2"/>
    </w:pPr>
    <w:rPr>
      <w:rFonts w:ascii="Arial" w:hAnsi="Arial"/>
      <w:i/>
    </w:rPr>
  </w:style>
  <w:style w:type="paragraph" w:styleId="Heading4">
    <w:name w:val="heading 4"/>
    <w:next w:val="Normal"/>
    <w:autoRedefine/>
    <w:qFormat/>
    <w:rsid w:val="00EF29D7"/>
    <w:pPr>
      <w:keepNext/>
      <w:ind w:left="567"/>
      <w:jc w:val="both"/>
      <w:outlineLvl w:val="3"/>
    </w:pPr>
    <w:rPr>
      <w:rFonts w:ascii="Arial" w:hAnsi="Arial"/>
      <w:u w:val="single"/>
      <w:lang w:val="fr-FR"/>
    </w:rPr>
  </w:style>
  <w:style w:type="paragraph" w:styleId="Heading5">
    <w:name w:val="heading 5"/>
    <w:next w:val="Normal"/>
    <w:autoRedefine/>
    <w:qFormat/>
    <w:rsid w:val="00EF29D7"/>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7C64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EF29D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F29D7"/>
    <w:pPr>
      <w:tabs>
        <w:tab w:val="center" w:pos="4536"/>
        <w:tab w:val="right" w:pos="9072"/>
      </w:tabs>
      <w:jc w:val="center"/>
    </w:pPr>
    <w:rPr>
      <w:rFonts w:ascii="Arial" w:hAnsi="Arial"/>
      <w:lang w:val="fr-FR"/>
    </w:rPr>
  </w:style>
  <w:style w:type="paragraph" w:styleId="Footer">
    <w:name w:val="footer"/>
    <w:aliases w:val="doc_path_name"/>
    <w:autoRedefine/>
    <w:rsid w:val="00EF29D7"/>
    <w:pPr>
      <w:jc w:val="both"/>
    </w:pPr>
    <w:rPr>
      <w:rFonts w:ascii="Arial" w:hAnsi="Arial"/>
      <w:sz w:val="14"/>
    </w:rPr>
  </w:style>
  <w:style w:type="character" w:styleId="PageNumber">
    <w:name w:val="page number"/>
    <w:basedOn w:val="DefaultParagraphFont"/>
    <w:rsid w:val="00EF29D7"/>
    <w:rPr>
      <w:rFonts w:ascii="Arial" w:hAnsi="Arial"/>
      <w:sz w:val="20"/>
    </w:rPr>
  </w:style>
  <w:style w:type="paragraph" w:styleId="Title">
    <w:name w:val="Title"/>
    <w:basedOn w:val="Normal"/>
    <w:qFormat/>
    <w:rsid w:val="00EF29D7"/>
    <w:pPr>
      <w:spacing w:after="300"/>
      <w:jc w:val="center"/>
    </w:pPr>
    <w:rPr>
      <w:b/>
      <w:caps/>
      <w:kern w:val="28"/>
      <w:sz w:val="30"/>
    </w:rPr>
  </w:style>
  <w:style w:type="paragraph" w:customStyle="1" w:styleId="preparedby">
    <w:name w:val="preparedby"/>
    <w:basedOn w:val="Normal"/>
    <w:next w:val="Normal"/>
    <w:semiHidden/>
    <w:rsid w:val="00EF29D7"/>
    <w:pPr>
      <w:spacing w:after="600"/>
      <w:jc w:val="center"/>
    </w:pPr>
    <w:rPr>
      <w:i/>
    </w:rPr>
  </w:style>
  <w:style w:type="paragraph" w:customStyle="1" w:styleId="Docoriginal">
    <w:name w:val="Doc_original"/>
    <w:basedOn w:val="Code"/>
    <w:link w:val="DocoriginalChar"/>
    <w:rsid w:val="00EF29D7"/>
    <w:pPr>
      <w:spacing w:line="280" w:lineRule="exact"/>
      <w:ind w:left="1361"/>
    </w:pPr>
  </w:style>
  <w:style w:type="paragraph" w:customStyle="1" w:styleId="DecisionParagraphs">
    <w:name w:val="DecisionParagraphs"/>
    <w:basedOn w:val="Normal"/>
    <w:link w:val="DecisionParagraphsChar"/>
    <w:rsid w:val="00EF29D7"/>
    <w:pPr>
      <w:tabs>
        <w:tab w:val="left" w:pos="5387"/>
      </w:tabs>
      <w:ind w:left="4820"/>
    </w:pPr>
    <w:rPr>
      <w:i/>
    </w:rPr>
  </w:style>
  <w:style w:type="paragraph" w:styleId="FootnoteText">
    <w:name w:val="footnote text"/>
    <w:link w:val="FootnoteTextChar"/>
    <w:autoRedefine/>
    <w:rsid w:val="00EF29D7"/>
    <w:pPr>
      <w:spacing w:before="60"/>
      <w:ind w:left="567" w:hanging="567"/>
      <w:jc w:val="both"/>
    </w:pPr>
    <w:rPr>
      <w:rFonts w:ascii="Arial" w:hAnsi="Arial"/>
      <w:sz w:val="16"/>
    </w:rPr>
  </w:style>
  <w:style w:type="character" w:styleId="FootnoteReference">
    <w:name w:val="footnote reference"/>
    <w:basedOn w:val="DefaultParagraphFont"/>
    <w:semiHidden/>
    <w:rsid w:val="00EF29D7"/>
    <w:rPr>
      <w:vertAlign w:val="superscript"/>
    </w:rPr>
  </w:style>
  <w:style w:type="paragraph" w:styleId="Closing">
    <w:name w:val="Closing"/>
    <w:basedOn w:val="Normal"/>
    <w:rsid w:val="00EF29D7"/>
    <w:pPr>
      <w:ind w:left="4536"/>
      <w:jc w:val="center"/>
    </w:pPr>
  </w:style>
  <w:style w:type="paragraph" w:styleId="Index1">
    <w:name w:val="index 1"/>
    <w:basedOn w:val="Normal"/>
    <w:next w:val="Normal"/>
    <w:semiHidden/>
    <w:rsid w:val="00EF29D7"/>
    <w:pPr>
      <w:tabs>
        <w:tab w:val="right" w:leader="dot" w:pos="9071"/>
      </w:tabs>
      <w:ind w:left="284" w:hanging="284"/>
    </w:pPr>
    <w:rPr>
      <w:sz w:val="24"/>
    </w:rPr>
  </w:style>
  <w:style w:type="paragraph" w:styleId="Index2">
    <w:name w:val="index 2"/>
    <w:basedOn w:val="Normal"/>
    <w:next w:val="Normal"/>
    <w:semiHidden/>
    <w:rsid w:val="00EF29D7"/>
    <w:pPr>
      <w:tabs>
        <w:tab w:val="right" w:leader="dot" w:pos="9071"/>
      </w:tabs>
      <w:ind w:left="568" w:hanging="284"/>
    </w:pPr>
    <w:rPr>
      <w:sz w:val="24"/>
    </w:rPr>
  </w:style>
  <w:style w:type="paragraph" w:styleId="Index3">
    <w:name w:val="index 3"/>
    <w:basedOn w:val="Normal"/>
    <w:next w:val="Normal"/>
    <w:semiHidden/>
    <w:rsid w:val="00EF29D7"/>
    <w:pPr>
      <w:tabs>
        <w:tab w:val="right" w:leader="dot" w:pos="9071"/>
      </w:tabs>
      <w:ind w:left="851" w:hanging="284"/>
    </w:pPr>
    <w:rPr>
      <w:sz w:val="24"/>
    </w:rPr>
  </w:style>
  <w:style w:type="paragraph" w:styleId="MacroText">
    <w:name w:val="macro"/>
    <w:semiHidden/>
    <w:rsid w:val="00EF29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F29D7"/>
    <w:pPr>
      <w:ind w:left="4536"/>
      <w:jc w:val="center"/>
    </w:pPr>
  </w:style>
  <w:style w:type="character" w:customStyle="1" w:styleId="Doclang">
    <w:name w:val="Doc_lang"/>
    <w:basedOn w:val="DefaultParagraphFont"/>
    <w:rsid w:val="00EF29D7"/>
    <w:rPr>
      <w:rFonts w:ascii="Arial" w:hAnsi="Arial"/>
      <w:sz w:val="20"/>
      <w:lang w:val="en-US"/>
    </w:rPr>
  </w:style>
  <w:style w:type="paragraph" w:customStyle="1" w:styleId="Session">
    <w:name w:val="Session"/>
    <w:basedOn w:val="Normal"/>
    <w:semiHidden/>
    <w:rsid w:val="00EF29D7"/>
    <w:pPr>
      <w:spacing w:before="60"/>
      <w:jc w:val="center"/>
    </w:pPr>
    <w:rPr>
      <w:b/>
    </w:rPr>
  </w:style>
  <w:style w:type="paragraph" w:customStyle="1" w:styleId="Organizer">
    <w:name w:val="Organizer"/>
    <w:basedOn w:val="Normal"/>
    <w:semiHidden/>
    <w:rsid w:val="00EF29D7"/>
    <w:pPr>
      <w:spacing w:after="600"/>
      <w:ind w:left="-993" w:right="-994"/>
      <w:jc w:val="center"/>
    </w:pPr>
    <w:rPr>
      <w:b/>
      <w:caps/>
      <w:kern w:val="26"/>
      <w:sz w:val="26"/>
    </w:rPr>
  </w:style>
  <w:style w:type="paragraph" w:styleId="BodyText">
    <w:name w:val="Body Text"/>
    <w:basedOn w:val="Normal"/>
    <w:rsid w:val="00EF29D7"/>
  </w:style>
  <w:style w:type="paragraph" w:customStyle="1" w:styleId="StyleDocoriginalNotBold">
    <w:name w:val="Style Doc_original + Not Bold"/>
    <w:basedOn w:val="Docoriginal"/>
    <w:link w:val="StyleDocoriginalNotBoldChar"/>
    <w:autoRedefine/>
    <w:rsid w:val="00EF29D7"/>
    <w:pPr>
      <w:ind w:left="1589"/>
      <w:jc w:val="left"/>
    </w:pPr>
  </w:style>
  <w:style w:type="paragraph" w:customStyle="1" w:styleId="upove">
    <w:name w:val="upov_e"/>
    <w:basedOn w:val="TitreUpov"/>
    <w:rsid w:val="00EF29D7"/>
    <w:rPr>
      <w:bCs/>
      <w:spacing w:val="8"/>
    </w:rPr>
  </w:style>
  <w:style w:type="paragraph" w:customStyle="1" w:styleId="TitleofDoc">
    <w:name w:val="Title of Doc"/>
    <w:basedOn w:val="Normal"/>
    <w:semiHidden/>
    <w:rsid w:val="00EF29D7"/>
    <w:pPr>
      <w:spacing w:before="1200"/>
      <w:jc w:val="center"/>
    </w:pPr>
    <w:rPr>
      <w:caps/>
    </w:rPr>
  </w:style>
  <w:style w:type="paragraph" w:customStyle="1" w:styleId="preparedby0">
    <w:name w:val="prepared by"/>
    <w:basedOn w:val="Normal"/>
    <w:semiHidden/>
    <w:rsid w:val="00EF29D7"/>
    <w:pPr>
      <w:spacing w:before="600" w:after="600"/>
      <w:jc w:val="center"/>
    </w:pPr>
    <w:rPr>
      <w:i/>
    </w:rPr>
  </w:style>
  <w:style w:type="paragraph" w:customStyle="1" w:styleId="PlaceAndDate">
    <w:name w:val="PlaceAndDate"/>
    <w:basedOn w:val="Session"/>
    <w:semiHidden/>
    <w:rsid w:val="00EF29D7"/>
  </w:style>
  <w:style w:type="paragraph" w:styleId="EndnoteText">
    <w:name w:val="endnote text"/>
    <w:basedOn w:val="Normal"/>
    <w:semiHidden/>
    <w:rsid w:val="00EF29D7"/>
  </w:style>
  <w:style w:type="character" w:styleId="EndnoteReference">
    <w:name w:val="endnote reference"/>
    <w:basedOn w:val="DefaultParagraphFont"/>
    <w:semiHidden/>
    <w:rsid w:val="00EF29D7"/>
    <w:rPr>
      <w:vertAlign w:val="superscript"/>
    </w:rPr>
  </w:style>
  <w:style w:type="paragraph" w:customStyle="1" w:styleId="SessionMeetingPlace">
    <w:name w:val="Session_MeetingPlace"/>
    <w:basedOn w:val="Normal"/>
    <w:semiHidden/>
    <w:rsid w:val="00EF29D7"/>
    <w:pPr>
      <w:spacing w:before="480"/>
      <w:jc w:val="center"/>
    </w:pPr>
    <w:rPr>
      <w:b/>
      <w:bCs/>
      <w:kern w:val="28"/>
      <w:sz w:val="24"/>
    </w:rPr>
  </w:style>
  <w:style w:type="paragraph" w:customStyle="1" w:styleId="Original">
    <w:name w:val="Original"/>
    <w:basedOn w:val="Normal"/>
    <w:semiHidden/>
    <w:rsid w:val="00EF29D7"/>
    <w:pPr>
      <w:spacing w:before="60"/>
      <w:ind w:left="1276"/>
    </w:pPr>
    <w:rPr>
      <w:b/>
      <w:sz w:val="22"/>
    </w:rPr>
  </w:style>
  <w:style w:type="paragraph" w:styleId="Date">
    <w:name w:val="Date"/>
    <w:basedOn w:val="Normal"/>
    <w:semiHidden/>
    <w:rsid w:val="00EF29D7"/>
    <w:pPr>
      <w:spacing w:line="340" w:lineRule="exact"/>
      <w:ind w:left="1276"/>
    </w:pPr>
    <w:rPr>
      <w:b/>
      <w:sz w:val="22"/>
    </w:rPr>
  </w:style>
  <w:style w:type="paragraph" w:customStyle="1" w:styleId="Code">
    <w:name w:val="Code"/>
    <w:basedOn w:val="Normal"/>
    <w:link w:val="CodeChar"/>
    <w:semiHidden/>
    <w:rsid w:val="00EF29D7"/>
    <w:pPr>
      <w:spacing w:line="340" w:lineRule="atLeast"/>
      <w:ind w:left="1276"/>
    </w:pPr>
    <w:rPr>
      <w:b/>
      <w:bCs/>
      <w:spacing w:val="10"/>
    </w:rPr>
  </w:style>
  <w:style w:type="paragraph" w:customStyle="1" w:styleId="Country">
    <w:name w:val="Country"/>
    <w:basedOn w:val="Normal"/>
    <w:semiHidden/>
    <w:rsid w:val="00EF29D7"/>
    <w:pPr>
      <w:spacing w:before="60" w:after="480"/>
      <w:jc w:val="center"/>
    </w:pPr>
  </w:style>
  <w:style w:type="paragraph" w:customStyle="1" w:styleId="Lettrine">
    <w:name w:val="Lettrine"/>
    <w:basedOn w:val="Normal"/>
    <w:rsid w:val="00EF29D7"/>
    <w:pPr>
      <w:spacing w:after="120" w:line="340" w:lineRule="atLeast"/>
      <w:jc w:val="right"/>
    </w:pPr>
    <w:rPr>
      <w:b/>
      <w:bCs/>
      <w:sz w:val="56"/>
    </w:rPr>
  </w:style>
  <w:style w:type="paragraph" w:customStyle="1" w:styleId="LogoUPOV">
    <w:name w:val="LogoUPOV"/>
    <w:basedOn w:val="Normal"/>
    <w:rsid w:val="00EF29D7"/>
    <w:pPr>
      <w:spacing w:before="720"/>
      <w:jc w:val="center"/>
    </w:pPr>
  </w:style>
  <w:style w:type="paragraph" w:customStyle="1" w:styleId="Sessiontc">
    <w:name w:val="Session_tc"/>
    <w:basedOn w:val="StyleSessionAllcaps"/>
    <w:rsid w:val="00EF29D7"/>
    <w:pPr>
      <w:spacing w:before="240"/>
    </w:pPr>
  </w:style>
  <w:style w:type="paragraph" w:customStyle="1" w:styleId="TitreUpov">
    <w:name w:val="TitreUpov"/>
    <w:basedOn w:val="Normal"/>
    <w:semiHidden/>
    <w:rsid w:val="00EF29D7"/>
    <w:pPr>
      <w:spacing w:before="60"/>
      <w:jc w:val="center"/>
    </w:pPr>
    <w:rPr>
      <w:b/>
      <w:sz w:val="24"/>
    </w:rPr>
  </w:style>
  <w:style w:type="paragraph" w:customStyle="1" w:styleId="StyleSessionAllcaps">
    <w:name w:val="Style Session + All caps"/>
    <w:basedOn w:val="Session"/>
    <w:semiHidden/>
    <w:rsid w:val="00EF29D7"/>
    <w:pPr>
      <w:spacing w:before="480"/>
    </w:pPr>
    <w:rPr>
      <w:bCs/>
      <w:caps/>
      <w:kern w:val="28"/>
      <w:sz w:val="24"/>
    </w:rPr>
  </w:style>
  <w:style w:type="paragraph" w:customStyle="1" w:styleId="plcountry">
    <w:name w:val="plcountry"/>
    <w:basedOn w:val="Normal"/>
    <w:rsid w:val="00EF29D7"/>
    <w:pPr>
      <w:keepNext/>
      <w:keepLines/>
      <w:spacing w:before="180" w:after="120"/>
      <w:jc w:val="left"/>
    </w:pPr>
    <w:rPr>
      <w:caps/>
      <w:noProof/>
      <w:snapToGrid w:val="0"/>
      <w:u w:val="single"/>
    </w:rPr>
  </w:style>
  <w:style w:type="paragraph" w:customStyle="1" w:styleId="pldetails">
    <w:name w:val="pldetails"/>
    <w:basedOn w:val="Normal"/>
    <w:rsid w:val="00EF29D7"/>
    <w:pPr>
      <w:keepLines/>
      <w:spacing w:before="60" w:after="60"/>
      <w:jc w:val="left"/>
    </w:pPr>
    <w:rPr>
      <w:noProof/>
      <w:snapToGrid w:val="0"/>
    </w:rPr>
  </w:style>
  <w:style w:type="paragraph" w:customStyle="1" w:styleId="plheading">
    <w:name w:val="plheading"/>
    <w:basedOn w:val="Normal"/>
    <w:rsid w:val="00EF29D7"/>
    <w:pPr>
      <w:keepNext/>
      <w:spacing w:before="480" w:after="120"/>
      <w:jc w:val="center"/>
    </w:pPr>
    <w:rPr>
      <w:caps/>
      <w:snapToGrid w:val="0"/>
      <w:u w:val="single"/>
    </w:rPr>
  </w:style>
  <w:style w:type="paragraph" w:customStyle="1" w:styleId="Sessiontcplacedate">
    <w:name w:val="Session_tc_place_date"/>
    <w:basedOn w:val="SessionMeetingPlace"/>
    <w:rsid w:val="00EF29D7"/>
    <w:pPr>
      <w:spacing w:before="240"/>
    </w:pPr>
  </w:style>
  <w:style w:type="paragraph" w:customStyle="1" w:styleId="Titleofdoc0">
    <w:name w:val="Title_of_doc"/>
    <w:basedOn w:val="TitleofDoc"/>
    <w:rsid w:val="00EF29D7"/>
    <w:pPr>
      <w:spacing w:before="600"/>
    </w:pPr>
  </w:style>
  <w:style w:type="paragraph" w:customStyle="1" w:styleId="preparedby1">
    <w:name w:val="prepared_by"/>
    <w:basedOn w:val="preparedby0"/>
    <w:rsid w:val="00EF29D7"/>
    <w:pPr>
      <w:spacing w:before="240"/>
    </w:pPr>
    <w:rPr>
      <w:iCs/>
    </w:rPr>
  </w:style>
  <w:style w:type="character" w:customStyle="1" w:styleId="CodeChar">
    <w:name w:val="Code Char"/>
    <w:basedOn w:val="DefaultParagraphFont"/>
    <w:link w:val="Code"/>
    <w:semiHidden/>
    <w:rsid w:val="00EF29D7"/>
    <w:rPr>
      <w:rFonts w:ascii="Arial" w:hAnsi="Arial"/>
      <w:b/>
      <w:bCs/>
      <w:spacing w:val="10"/>
    </w:rPr>
  </w:style>
  <w:style w:type="paragraph" w:customStyle="1" w:styleId="endofdoc">
    <w:name w:val="end_of_doc"/>
    <w:autoRedefine/>
    <w:rsid w:val="00EF29D7"/>
    <w:pPr>
      <w:spacing w:before="480"/>
      <w:ind w:left="567" w:hanging="567"/>
      <w:jc w:val="right"/>
    </w:pPr>
    <w:rPr>
      <w:rFonts w:ascii="Arial" w:hAnsi="Arial"/>
    </w:rPr>
  </w:style>
  <w:style w:type="character" w:customStyle="1" w:styleId="DocoriginalChar">
    <w:name w:val="Doc_original Char"/>
    <w:basedOn w:val="CodeChar"/>
    <w:link w:val="Docoriginal"/>
    <w:rsid w:val="00EF29D7"/>
    <w:rPr>
      <w:rFonts w:ascii="Arial" w:hAnsi="Arial"/>
      <w:b/>
      <w:bCs/>
      <w:spacing w:val="10"/>
    </w:rPr>
  </w:style>
  <w:style w:type="character" w:customStyle="1" w:styleId="StyleDocoriginalNotBoldChar">
    <w:name w:val="Style Doc_original + Not Bold Char"/>
    <w:basedOn w:val="DocoriginalChar"/>
    <w:link w:val="StyleDocoriginalNotBold"/>
    <w:rsid w:val="00EF29D7"/>
    <w:rPr>
      <w:rFonts w:ascii="Arial" w:hAnsi="Arial"/>
      <w:b/>
      <w:bCs/>
      <w:spacing w:val="10"/>
    </w:rPr>
  </w:style>
  <w:style w:type="paragraph" w:customStyle="1" w:styleId="StyleDocnumber">
    <w:name w:val="Style Doc_number"/>
    <w:basedOn w:val="Docoriginal"/>
    <w:rsid w:val="00EF29D7"/>
    <w:pPr>
      <w:ind w:left="1589"/>
    </w:pPr>
  </w:style>
  <w:style w:type="paragraph" w:customStyle="1" w:styleId="StyleDocoriginal">
    <w:name w:val="Style Doc_original"/>
    <w:basedOn w:val="Docoriginal"/>
    <w:link w:val="StyleDocoriginalChar"/>
    <w:rsid w:val="00EF29D7"/>
  </w:style>
  <w:style w:type="character" w:customStyle="1" w:styleId="StyleDocoriginalChar">
    <w:name w:val="Style Doc_original Char"/>
    <w:basedOn w:val="DocoriginalChar"/>
    <w:link w:val="StyleDocoriginal"/>
    <w:rsid w:val="00EF29D7"/>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EF29D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F29D7"/>
    <w:rPr>
      <w:rFonts w:ascii="Arial" w:hAnsi="Arial"/>
      <w:b w:val="0"/>
      <w:bCs w:val="0"/>
      <w:spacing w:val="10"/>
    </w:rPr>
  </w:style>
  <w:style w:type="character" w:customStyle="1" w:styleId="StyleDocoriginalNotBold1">
    <w:name w:val="Style Doc_original + Not Bold1"/>
    <w:basedOn w:val="StyleStyleDocoriginalNotBoldNotBoldChar"/>
    <w:rsid w:val="00EF29D7"/>
    <w:rPr>
      <w:rFonts w:ascii="Arial" w:hAnsi="Arial"/>
      <w:b w:val="0"/>
      <w:bCs w:val="0"/>
      <w:spacing w:val="10"/>
    </w:rPr>
  </w:style>
  <w:style w:type="character" w:customStyle="1" w:styleId="StyleDoclangBold">
    <w:name w:val="Style Doc_lang + Bold"/>
    <w:basedOn w:val="Doclang"/>
    <w:rsid w:val="00EF29D7"/>
    <w:rPr>
      <w:rFonts w:ascii="Arial" w:hAnsi="Arial"/>
      <w:b/>
      <w:bCs/>
      <w:sz w:val="20"/>
      <w:lang w:val="en-US"/>
    </w:rPr>
  </w:style>
  <w:style w:type="paragraph" w:styleId="TOC2">
    <w:name w:val="toc 2"/>
    <w:next w:val="Normal"/>
    <w:autoRedefine/>
    <w:uiPriority w:val="39"/>
    <w:rsid w:val="00782037"/>
    <w:pPr>
      <w:keepNext/>
      <w:tabs>
        <w:tab w:val="right" w:leader="dot" w:pos="9639"/>
      </w:tabs>
      <w:spacing w:before="80"/>
      <w:ind w:left="454" w:right="851" w:hanging="284"/>
      <w:contextualSpacing/>
    </w:pPr>
    <w:rPr>
      <w:rFonts w:ascii="Arial" w:hAnsi="Arial"/>
      <w:smallCaps/>
    </w:rPr>
  </w:style>
  <w:style w:type="paragraph" w:styleId="TOC3">
    <w:name w:val="toc 3"/>
    <w:next w:val="Normal"/>
    <w:autoRedefine/>
    <w:uiPriority w:val="39"/>
    <w:rsid w:val="00EF29D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EF29D7"/>
    <w:rPr>
      <w:rFonts w:ascii="Arial" w:hAnsi="Arial"/>
      <w:color w:val="0000FF"/>
      <w:u w:val="single"/>
    </w:rPr>
  </w:style>
  <w:style w:type="paragraph" w:styleId="TOC4">
    <w:name w:val="toc 4"/>
    <w:next w:val="Normal"/>
    <w:autoRedefine/>
    <w:semiHidden/>
    <w:rsid w:val="00EF29D7"/>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82037"/>
    <w:pPr>
      <w:tabs>
        <w:tab w:val="left" w:pos="454"/>
        <w:tab w:val="right" w:leader="dot" w:pos="9639"/>
      </w:tabs>
      <w:spacing w:before="120"/>
      <w:jc w:val="center"/>
    </w:pPr>
    <w:rPr>
      <w:rFonts w:ascii="Arial" w:hAnsi="Arial"/>
      <w:caps/>
    </w:rPr>
  </w:style>
  <w:style w:type="paragraph" w:styleId="TOC5">
    <w:name w:val="toc 5"/>
    <w:next w:val="Normal"/>
    <w:autoRedefine/>
    <w:semiHidden/>
    <w:rsid w:val="00EF29D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F29D7"/>
    <w:rPr>
      <w:rFonts w:ascii="Tahoma" w:hAnsi="Tahoma" w:cs="Tahoma"/>
      <w:sz w:val="16"/>
      <w:szCs w:val="16"/>
    </w:rPr>
  </w:style>
  <w:style w:type="character" w:customStyle="1" w:styleId="BalloonTextChar">
    <w:name w:val="Balloon Text Char"/>
    <w:basedOn w:val="DefaultParagraphFont"/>
    <w:link w:val="BalloonText"/>
    <w:rsid w:val="00EF29D7"/>
    <w:rPr>
      <w:rFonts w:ascii="Tahoma" w:hAnsi="Tahoma" w:cs="Tahoma"/>
      <w:sz w:val="16"/>
      <w:szCs w:val="16"/>
    </w:rPr>
  </w:style>
  <w:style w:type="character" w:customStyle="1" w:styleId="FootnoteTextChar">
    <w:name w:val="Footnote Text Char"/>
    <w:link w:val="FootnoteText"/>
    <w:rsid w:val="009678DE"/>
    <w:rPr>
      <w:rFonts w:ascii="Arial" w:hAnsi="Arial"/>
      <w:sz w:val="16"/>
    </w:rPr>
  </w:style>
  <w:style w:type="paragraph" w:styleId="CommentText">
    <w:name w:val="annotation text"/>
    <w:basedOn w:val="Normal"/>
    <w:link w:val="CommentTextChar"/>
    <w:unhideWhenUsed/>
    <w:rsid w:val="007930E0"/>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7930E0"/>
    <w:rPr>
      <w:sz w:val="22"/>
      <w:szCs w:val="22"/>
      <w:lang w:eastAsia="ja-JP"/>
    </w:rPr>
  </w:style>
  <w:style w:type="character" w:customStyle="1" w:styleId="Heading7Char">
    <w:name w:val="Heading 7 Char"/>
    <w:basedOn w:val="DefaultParagraphFont"/>
    <w:link w:val="Heading7"/>
    <w:semiHidden/>
    <w:rsid w:val="007C6459"/>
    <w:rPr>
      <w:rFonts w:asciiTheme="majorHAnsi" w:eastAsiaTheme="majorEastAsia" w:hAnsiTheme="majorHAnsi" w:cstheme="majorBidi"/>
      <w:i/>
      <w:iCs/>
      <w:color w:val="404040" w:themeColor="text1" w:themeTint="BF"/>
    </w:rPr>
  </w:style>
  <w:style w:type="character" w:customStyle="1" w:styleId="DecisionParagraphsChar">
    <w:name w:val="DecisionParagraphs Char"/>
    <w:basedOn w:val="DefaultParagraphFont"/>
    <w:link w:val="DecisionParagraphs"/>
    <w:rsid w:val="001C553C"/>
    <w:rPr>
      <w:rFonts w:ascii="Arial" w:hAnsi="Arial"/>
      <w:i/>
    </w:rPr>
  </w:style>
  <w:style w:type="paragraph" w:styleId="ListParagraph">
    <w:name w:val="List Paragraph"/>
    <w:basedOn w:val="Normal"/>
    <w:uiPriority w:val="34"/>
    <w:qFormat/>
    <w:rsid w:val="00337B8E"/>
    <w:pPr>
      <w:ind w:left="720"/>
      <w:contextualSpacing/>
    </w:pPr>
  </w:style>
  <w:style w:type="paragraph" w:styleId="TOCHeading">
    <w:name w:val="TOC Heading"/>
    <w:basedOn w:val="Heading1"/>
    <w:next w:val="Normal"/>
    <w:uiPriority w:val="39"/>
    <w:unhideWhenUsed/>
    <w:qFormat/>
    <w:rsid w:val="00574BC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9572D9"/>
    <w:rPr>
      <w:rFonts w:ascii="Arial" w:hAnsi="Arial"/>
      <w:u w:val="single"/>
    </w:rPr>
  </w:style>
  <w:style w:type="table" w:styleId="TableGrid">
    <w:name w:val="Table Grid"/>
    <w:basedOn w:val="TableNormal"/>
    <w:rsid w:val="00842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4D6E10"/>
    <w:rPr>
      <w:b w:val="0"/>
      <w:bCs/>
      <w:smallCaps/>
      <w:spacing w:val="5"/>
    </w:rPr>
  </w:style>
  <w:style w:type="character" w:styleId="FollowedHyperlink">
    <w:name w:val="FollowedHyperlink"/>
    <w:basedOn w:val="DefaultParagraphFont"/>
    <w:rsid w:val="00605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s/details.jsp?meeting_id=29782" TargetMode="External"/><Relationship Id="rId5" Type="http://schemas.openxmlformats.org/officeDocument/2006/relationships/settings" Target="settings.xml"/><Relationship Id="rId10" Type="http://schemas.openxmlformats.org/officeDocument/2006/relationships/hyperlink" Target="http://www.upov.int/about/es/benefits_upov_system.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36BB-C1FC-427E-8E0A-9CDDEAC6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18</Pages>
  <Words>8215</Words>
  <Characters>46831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TC/50/10</vt:lpstr>
    </vt:vector>
  </TitlesOfParts>
  <Company>UPOV</Company>
  <LinksUpToDate>false</LinksUpToDate>
  <CharactersWithSpaces>54937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TC/50/10</dc:title>
  <dc:creator>FAVA Alexandra</dc:creator>
  <dc:description>CGD - 14/2/2014</dc:description>
  <cp:lastModifiedBy>SANCHEZ-VIZCAINO GOMEZ Rosa Maria</cp:lastModifiedBy>
  <cp:revision>43</cp:revision>
  <cp:lastPrinted>2014-03-03T15:20:00Z</cp:lastPrinted>
  <dcterms:created xsi:type="dcterms:W3CDTF">2014-02-20T14:12:00Z</dcterms:created>
  <dcterms:modified xsi:type="dcterms:W3CDTF">2014-03-03T15:20:00Z</dcterms:modified>
</cp:coreProperties>
</file>