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0634AC" w:rsidRPr="00D40B09" w14:paraId="77CED181" w14:textId="77777777" w:rsidTr="0094663F">
        <w:tc>
          <w:tcPr>
            <w:tcW w:w="6522" w:type="dxa"/>
          </w:tcPr>
          <w:p w14:paraId="4791311F" w14:textId="77777777" w:rsidR="000634AC" w:rsidRPr="00D40B09" w:rsidRDefault="000634AC" w:rsidP="0094663F">
            <w:pPr>
              <w:rPr>
                <w:lang w:val="es-419"/>
              </w:rPr>
            </w:pPr>
            <w:bookmarkStart w:id="0" w:name="TitleOfDoc"/>
            <w:bookmarkEnd w:id="0"/>
            <w:r w:rsidRPr="00D40B09">
              <w:rPr>
                <w:noProof/>
                <w:lang w:val="es-419"/>
              </w:rPr>
              <w:drawing>
                <wp:inline distT="0" distB="0" distL="0" distR="0" wp14:anchorId="218BA51B" wp14:editId="0549C1D2">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12">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28163A7F" w14:textId="77777777" w:rsidR="000634AC" w:rsidRPr="00D40B09" w:rsidRDefault="000634AC" w:rsidP="0094663F">
            <w:pPr>
              <w:pStyle w:val="Lettrine"/>
              <w:rPr>
                <w:lang w:val="es-419"/>
              </w:rPr>
            </w:pPr>
            <w:r w:rsidRPr="00D40B09">
              <w:rPr>
                <w:lang w:val="es-419"/>
              </w:rPr>
              <w:t>S</w:t>
            </w:r>
          </w:p>
        </w:tc>
      </w:tr>
      <w:tr w:rsidR="000634AC" w:rsidRPr="00D40B09" w14:paraId="3DC6F1F4" w14:textId="77777777" w:rsidTr="0094663F">
        <w:trPr>
          <w:trHeight w:val="219"/>
        </w:trPr>
        <w:tc>
          <w:tcPr>
            <w:tcW w:w="6522" w:type="dxa"/>
          </w:tcPr>
          <w:p w14:paraId="54484AFB" w14:textId="77777777" w:rsidR="000634AC" w:rsidRPr="00D40B09" w:rsidRDefault="000634AC" w:rsidP="0094663F">
            <w:pPr>
              <w:pStyle w:val="upove"/>
              <w:rPr>
                <w:lang w:val="es-419"/>
              </w:rPr>
            </w:pPr>
            <w:r w:rsidRPr="00D40B09">
              <w:rPr>
                <w:lang w:val="es-419"/>
              </w:rPr>
              <w:t>Unión Internacional para la Protección de las Obtenciones Vegetales</w:t>
            </w:r>
          </w:p>
        </w:tc>
        <w:tc>
          <w:tcPr>
            <w:tcW w:w="3117" w:type="dxa"/>
          </w:tcPr>
          <w:p w14:paraId="7471689B" w14:textId="77777777" w:rsidR="000634AC" w:rsidRPr="00D40B09" w:rsidRDefault="000634AC" w:rsidP="0094663F">
            <w:pPr>
              <w:rPr>
                <w:lang w:val="es-419"/>
              </w:rPr>
            </w:pPr>
          </w:p>
        </w:tc>
      </w:tr>
    </w:tbl>
    <w:p w14:paraId="143CE9FF" w14:textId="77777777" w:rsidR="000634AC" w:rsidRPr="00D40B09" w:rsidRDefault="000634AC" w:rsidP="000634AC">
      <w:pPr>
        <w:rPr>
          <w:lang w:val="es-419"/>
        </w:rPr>
      </w:pPr>
    </w:p>
    <w:p w14:paraId="7FE992A1" w14:textId="77777777" w:rsidR="000634AC" w:rsidRPr="00D40B09" w:rsidRDefault="000634AC" w:rsidP="000634AC">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634AC" w:rsidRPr="00D40B09" w14:paraId="28E62E51" w14:textId="77777777" w:rsidTr="0094663F">
        <w:tc>
          <w:tcPr>
            <w:tcW w:w="6512" w:type="dxa"/>
          </w:tcPr>
          <w:p w14:paraId="3EAB3721" w14:textId="77777777" w:rsidR="000634AC" w:rsidRPr="00D40B09" w:rsidRDefault="000634AC" w:rsidP="0094663F">
            <w:pPr>
              <w:pStyle w:val="Sessiontc"/>
              <w:spacing w:line="240" w:lineRule="auto"/>
              <w:rPr>
                <w:lang w:val="es-419"/>
              </w:rPr>
            </w:pPr>
            <w:r w:rsidRPr="00D40B09">
              <w:rPr>
                <w:lang w:val="es-419"/>
              </w:rPr>
              <w:t>Grupo Consultivo sobre la Estrategia de Recursos de la UPOV</w:t>
            </w:r>
          </w:p>
          <w:p w14:paraId="496EC494" w14:textId="77777777" w:rsidR="000634AC" w:rsidRPr="00D40B09" w:rsidRDefault="000634AC" w:rsidP="0094663F">
            <w:pPr>
              <w:pStyle w:val="Sessiontcplacedate"/>
              <w:rPr>
                <w:lang w:val="es-419"/>
              </w:rPr>
            </w:pPr>
            <w:r w:rsidRPr="00D40B09">
              <w:rPr>
                <w:lang w:val="es-419"/>
              </w:rPr>
              <w:t>Tercera reunión</w:t>
            </w:r>
          </w:p>
          <w:p w14:paraId="39784891" w14:textId="77777777" w:rsidR="000634AC" w:rsidRPr="00D40B09" w:rsidRDefault="000634AC" w:rsidP="0094663F">
            <w:pPr>
              <w:pStyle w:val="Sessiontcplacedate"/>
              <w:rPr>
                <w:sz w:val="22"/>
                <w:lang w:val="es-419"/>
              </w:rPr>
            </w:pPr>
            <w:r w:rsidRPr="00D40B09">
              <w:rPr>
                <w:lang w:val="es-419"/>
              </w:rPr>
              <w:t>Ginebra, 24 de junio de 2026</w:t>
            </w:r>
          </w:p>
        </w:tc>
        <w:tc>
          <w:tcPr>
            <w:tcW w:w="3127" w:type="dxa"/>
          </w:tcPr>
          <w:p w14:paraId="3E7757A8" w14:textId="01ADE521" w:rsidR="000634AC" w:rsidRPr="00D40B09" w:rsidRDefault="000634AC" w:rsidP="007A10A2">
            <w:pPr>
              <w:pStyle w:val="Doccode"/>
              <w:rPr>
                <w:lang w:val="es-419"/>
              </w:rPr>
            </w:pPr>
            <w:r w:rsidRPr="00D40B09">
              <w:rPr>
                <w:lang w:val="es-419"/>
              </w:rPr>
              <w:t>CG-URS/3/</w:t>
            </w:r>
            <w:r w:rsidR="007A10A2" w:rsidRPr="00D40B09">
              <w:rPr>
                <w:lang w:val="es-419"/>
              </w:rPr>
              <w:t>2</w:t>
            </w:r>
          </w:p>
          <w:p w14:paraId="036AB0B6" w14:textId="5FECD0A2" w:rsidR="000634AC" w:rsidRPr="00D40B09" w:rsidRDefault="000634AC" w:rsidP="0094663F">
            <w:pPr>
              <w:pStyle w:val="Docoriginal"/>
              <w:rPr>
                <w:lang w:val="es-419"/>
              </w:rPr>
            </w:pPr>
            <w:r w:rsidRPr="00D40B09">
              <w:rPr>
                <w:lang w:val="es-419"/>
              </w:rPr>
              <w:t xml:space="preserve">Original: </w:t>
            </w:r>
            <w:r w:rsidR="007A10A2" w:rsidRPr="00D40B09">
              <w:rPr>
                <w:b w:val="0"/>
                <w:spacing w:val="0"/>
                <w:lang w:val="es-419"/>
              </w:rPr>
              <w:t>Inglés</w:t>
            </w:r>
          </w:p>
          <w:p w14:paraId="2F09E014" w14:textId="5D5197CF" w:rsidR="000634AC" w:rsidRPr="00D40B09" w:rsidRDefault="000634AC" w:rsidP="0094663F">
            <w:pPr>
              <w:pStyle w:val="Docoriginal"/>
              <w:rPr>
                <w:lang w:val="es-419"/>
              </w:rPr>
            </w:pPr>
            <w:r w:rsidRPr="00D40B09">
              <w:rPr>
                <w:lang w:val="es-419"/>
              </w:rPr>
              <w:t>Fecha</w:t>
            </w:r>
            <w:r w:rsidRPr="00283E7B">
              <w:rPr>
                <w:lang w:val="es-419"/>
              </w:rPr>
              <w:t>:</w:t>
            </w:r>
            <w:r w:rsidR="006D0608" w:rsidRPr="00283E7B">
              <w:rPr>
                <w:b w:val="0"/>
                <w:spacing w:val="0"/>
                <w:lang w:val="es-419"/>
              </w:rPr>
              <w:t xml:space="preserve"> </w:t>
            </w:r>
            <w:r w:rsidR="00283E7B" w:rsidRPr="00283E7B">
              <w:rPr>
                <w:b w:val="0"/>
                <w:spacing w:val="0"/>
                <w:lang w:val="es-419"/>
              </w:rPr>
              <w:t>1 de mayo</w:t>
            </w:r>
            <w:r w:rsidR="007A10A2" w:rsidRPr="00283E7B">
              <w:rPr>
                <w:b w:val="0"/>
                <w:spacing w:val="0"/>
                <w:lang w:val="es-419"/>
              </w:rPr>
              <w:t xml:space="preserve"> de</w:t>
            </w:r>
            <w:r w:rsidRPr="00283E7B">
              <w:rPr>
                <w:b w:val="0"/>
                <w:spacing w:val="0"/>
                <w:lang w:val="es-419"/>
              </w:rPr>
              <w:t xml:space="preserve"> 2026</w:t>
            </w:r>
          </w:p>
        </w:tc>
      </w:tr>
    </w:tbl>
    <w:p w14:paraId="294E42E2" w14:textId="3B6FE136" w:rsidR="000D7780" w:rsidRPr="00D40B09" w:rsidRDefault="00883A7B" w:rsidP="006A644A">
      <w:pPr>
        <w:pStyle w:val="Titleofdoc0"/>
        <w:rPr>
          <w:lang w:val="es-419"/>
        </w:rPr>
      </w:pPr>
      <w:r w:rsidRPr="00883A7B">
        <w:rPr>
          <w:lang w:val="es-419"/>
        </w:rPr>
        <w:t>Hipótesis</w:t>
      </w:r>
      <w:r w:rsidR="00D11876" w:rsidRPr="00D40B09">
        <w:rPr>
          <w:lang w:val="es-419"/>
        </w:rPr>
        <w:t xml:space="preserve"> ADICIONAL (</w:t>
      </w:r>
      <w:r>
        <w:t>H</w:t>
      </w:r>
      <w:r w:rsidRPr="00B96516">
        <w:t>ipótesis</w:t>
      </w:r>
      <w:r w:rsidR="00D11876" w:rsidRPr="00D40B09">
        <w:rPr>
          <w:lang w:val="es-419"/>
        </w:rPr>
        <w:t> 4) DE APLICACIÓN DEL PLAN OPERATIVO ESTRATÉGICO 2026-2029</w:t>
      </w:r>
    </w:p>
    <w:p w14:paraId="3A68AF2B" w14:textId="77777777" w:rsidR="006A644A" w:rsidRPr="00D40B09" w:rsidRDefault="000638A9" w:rsidP="006A644A">
      <w:pPr>
        <w:pStyle w:val="preparedby1"/>
        <w:jc w:val="left"/>
        <w:rPr>
          <w:lang w:val="es-419"/>
        </w:rPr>
      </w:pPr>
      <w:bookmarkStart w:id="1" w:name="Prepared"/>
      <w:bookmarkEnd w:id="1"/>
      <w:r w:rsidRPr="00D40B09">
        <w:rPr>
          <w:lang w:val="es-419"/>
        </w:rPr>
        <w:t>Documento preparado por la Oficina de la Unión</w:t>
      </w:r>
    </w:p>
    <w:p w14:paraId="5D14E102" w14:textId="77777777" w:rsidR="00050E16" w:rsidRPr="00D40B09" w:rsidRDefault="000638A9" w:rsidP="006A644A">
      <w:pPr>
        <w:pStyle w:val="Disclaimer"/>
        <w:rPr>
          <w:lang w:val="es-419"/>
        </w:rPr>
      </w:pPr>
      <w:r w:rsidRPr="00D40B09">
        <w:rPr>
          <w:lang w:val="es-419"/>
        </w:rPr>
        <w:t>Descargo de responsabilidad: el presente documento no constituye un documento de política u orientación de la UPOV</w:t>
      </w:r>
    </w:p>
    <w:p w14:paraId="7829F9DD" w14:textId="77777777" w:rsidR="00801AF4" w:rsidRPr="00D40B09" w:rsidRDefault="00801AF4" w:rsidP="00801AF4">
      <w:pPr>
        <w:pStyle w:val="Heading1"/>
        <w:rPr>
          <w:lang w:val="es-419"/>
        </w:rPr>
      </w:pPr>
      <w:r w:rsidRPr="00D40B09">
        <w:rPr>
          <w:lang w:val="es-419"/>
        </w:rPr>
        <w:t>INTRODUCCIÓN</w:t>
      </w:r>
    </w:p>
    <w:p w14:paraId="7D63955B" w14:textId="77777777" w:rsidR="00801AF4" w:rsidRPr="00D40B09" w:rsidRDefault="00801AF4" w:rsidP="00801AF4">
      <w:pPr>
        <w:jc w:val="left"/>
        <w:rPr>
          <w:lang w:val="es-419"/>
        </w:rPr>
      </w:pPr>
    </w:p>
    <w:p w14:paraId="10CA3031" w14:textId="69AF75ED" w:rsidR="00EB0866" w:rsidRPr="00D40B09" w:rsidRDefault="00801AF4" w:rsidP="00801AF4">
      <w:pPr>
        <w:pStyle w:val="ListParagraph"/>
        <w:numPr>
          <w:ilvl w:val="0"/>
          <w:numId w:val="8"/>
        </w:numPr>
        <w:ind w:left="0" w:firstLine="0"/>
        <w:rPr>
          <w:lang w:val="es-419"/>
        </w:rPr>
      </w:pPr>
      <w:r w:rsidRPr="00D40B09">
        <w:rPr>
          <w:lang w:val="es-419"/>
        </w:rPr>
        <w:t>El Grupo Consultivo sobre la estrategia de recursos de la UPOV (CG-URS) celebró su segunda reunión en Ginebra el 18 de marzo de 2026</w:t>
      </w:r>
      <w:r w:rsidR="00283E7B">
        <w:rPr>
          <w:lang w:val="es-419"/>
        </w:rPr>
        <w:t>.</w:t>
      </w:r>
    </w:p>
    <w:p w14:paraId="0D09FA5D" w14:textId="0B2E784F" w:rsidR="00801AF4" w:rsidRPr="00D40B09" w:rsidRDefault="00801AF4" w:rsidP="00801AF4">
      <w:pPr>
        <w:rPr>
          <w:lang w:val="es-419"/>
        </w:rPr>
      </w:pPr>
    </w:p>
    <w:p w14:paraId="52D67A0E" w14:textId="33774F52" w:rsidR="00801AF4" w:rsidRPr="00D40B09" w:rsidRDefault="00C769DC" w:rsidP="00801AF4">
      <w:pPr>
        <w:pStyle w:val="ListParagraph"/>
        <w:numPr>
          <w:ilvl w:val="0"/>
          <w:numId w:val="8"/>
        </w:numPr>
        <w:ind w:left="0" w:firstLine="0"/>
        <w:rPr>
          <w:lang w:val="es-419"/>
        </w:rPr>
      </w:pPr>
      <w:r w:rsidRPr="00D40B09">
        <w:rPr>
          <w:lang w:val="es-419"/>
        </w:rPr>
        <w:t>El GC-URS</w:t>
      </w:r>
      <w:r w:rsidR="00801AF4" w:rsidRPr="00D40B09">
        <w:rPr>
          <w:lang w:val="es-419"/>
        </w:rPr>
        <w:t xml:space="preserve"> acordó que la Oficina de la Unión elaboraría una cuarta hipótesis presupuestaria entre las hipótesis 2 y 3 presentadas en el documento CG-URS/2/2.</w:t>
      </w:r>
      <w:r>
        <w:rPr>
          <w:lang w:val="es-419"/>
        </w:rPr>
        <w:t xml:space="preserve"> </w:t>
      </w:r>
      <w:r w:rsidR="00EB0866" w:rsidRPr="00D40B09">
        <w:rPr>
          <w:lang w:val="es-419"/>
        </w:rPr>
        <w:t xml:space="preserve"> </w:t>
      </w:r>
      <w:r w:rsidR="00801AF4" w:rsidRPr="00D40B09">
        <w:rPr>
          <w:lang w:val="es-419"/>
        </w:rPr>
        <w:t>Se acordó que la nueva hipótesis se haría sobre la misma base que l</w:t>
      </w:r>
      <w:r w:rsidR="00283E7B">
        <w:rPr>
          <w:lang w:val="es-419"/>
        </w:rPr>
        <w:t>a</w:t>
      </w:r>
      <w:r w:rsidR="00801AF4" w:rsidRPr="00D40B09">
        <w:rPr>
          <w:lang w:val="es-419"/>
        </w:rPr>
        <w:t>s anteriores, vinculando las prioridades al Plan Operativo Estratégico para 2026-2029 (documento C/59/14).</w:t>
      </w:r>
      <w:r>
        <w:rPr>
          <w:lang w:val="es-419"/>
        </w:rPr>
        <w:t xml:space="preserve"> </w:t>
      </w:r>
      <w:r w:rsidR="00EB0866" w:rsidRPr="00D40B09">
        <w:rPr>
          <w:lang w:val="es-419"/>
        </w:rPr>
        <w:t xml:space="preserve"> </w:t>
      </w:r>
      <w:r w:rsidR="00801AF4" w:rsidRPr="00D40B09">
        <w:rPr>
          <w:lang w:val="es-419"/>
        </w:rPr>
        <w:t xml:space="preserve">Con arreglo a la nueva hipótesis, el CG-URS acordó que las prioridades de primer nivel se centrarían en la ampliación del número de miembros de la UPOV, lo que incluye el </w:t>
      </w:r>
      <w:r w:rsidR="00843BB0">
        <w:rPr>
          <w:lang w:val="es-419"/>
        </w:rPr>
        <w:t xml:space="preserve">desarrollo </w:t>
      </w:r>
      <w:r w:rsidR="00801AF4" w:rsidRPr="00D40B09">
        <w:rPr>
          <w:lang w:val="es-419"/>
        </w:rPr>
        <w:t>de legislación, la prestación de orientación y asistencia sobre el Convenio de la UPOV y su aplicación, y la mejora de la armonización y la cooperación en los procesos de examen.</w:t>
      </w:r>
    </w:p>
    <w:p w14:paraId="091554BD" w14:textId="77777777" w:rsidR="00801AF4" w:rsidRPr="00D40B09" w:rsidRDefault="00801AF4" w:rsidP="00801AF4">
      <w:pPr>
        <w:pStyle w:val="ListParagraph"/>
        <w:rPr>
          <w:lang w:val="es-419"/>
        </w:rPr>
      </w:pPr>
    </w:p>
    <w:p w14:paraId="14B7A271" w14:textId="77777777" w:rsidR="00EB0866" w:rsidRPr="00D40B09" w:rsidRDefault="00801AF4" w:rsidP="00801AF4">
      <w:pPr>
        <w:pStyle w:val="ListParagraph"/>
        <w:numPr>
          <w:ilvl w:val="0"/>
          <w:numId w:val="8"/>
        </w:numPr>
        <w:ind w:left="0" w:firstLine="0"/>
        <w:rPr>
          <w:lang w:val="es-419"/>
        </w:rPr>
      </w:pPr>
      <w:r w:rsidRPr="00D40B09">
        <w:rPr>
          <w:lang w:val="es-419"/>
        </w:rPr>
        <w:t>El GC-URS acordó que el aumento presupuestario asociado a la cuarta hipótesis se aplicaría de manera escalonada a lo largo de un período de dos años, a partir de 2027.</w:t>
      </w:r>
    </w:p>
    <w:p w14:paraId="1D46EAE3" w14:textId="44A8A465" w:rsidR="00801AF4" w:rsidRPr="00D40B09" w:rsidRDefault="00801AF4" w:rsidP="00801AF4">
      <w:pPr>
        <w:pStyle w:val="ListParagraph"/>
        <w:rPr>
          <w:lang w:val="es-419"/>
        </w:rPr>
      </w:pPr>
    </w:p>
    <w:p w14:paraId="44ADD703" w14:textId="77777777" w:rsidR="00801AF4" w:rsidRPr="00D40B09" w:rsidRDefault="00801AF4" w:rsidP="00801AF4">
      <w:pPr>
        <w:pStyle w:val="ListParagraph"/>
        <w:numPr>
          <w:ilvl w:val="0"/>
          <w:numId w:val="8"/>
        </w:numPr>
        <w:ind w:left="0" w:firstLine="0"/>
        <w:rPr>
          <w:lang w:val="es-419"/>
        </w:rPr>
      </w:pPr>
      <w:r w:rsidRPr="00D40B09">
        <w:rPr>
          <w:lang w:val="es-419"/>
        </w:rPr>
        <w:t>El CG-URS convino además en la importancia de proseguir los debates sobre soluciones de sostenibilidad financiera a medio y largo plazo.</w:t>
      </w:r>
    </w:p>
    <w:p w14:paraId="5C1E720B" w14:textId="77777777" w:rsidR="00801AF4" w:rsidRPr="00D40B09" w:rsidRDefault="00801AF4" w:rsidP="00801AF4">
      <w:pPr>
        <w:pStyle w:val="ListParagraph"/>
        <w:ind w:left="0"/>
        <w:rPr>
          <w:lang w:val="es-419"/>
        </w:rPr>
      </w:pPr>
    </w:p>
    <w:p w14:paraId="2A8116EC" w14:textId="77777777" w:rsidR="00EB0866" w:rsidRPr="00D40B09" w:rsidRDefault="00801AF4" w:rsidP="00801AF4">
      <w:pPr>
        <w:pStyle w:val="ListParagraph"/>
        <w:numPr>
          <w:ilvl w:val="0"/>
          <w:numId w:val="8"/>
        </w:numPr>
        <w:ind w:left="0" w:firstLine="0"/>
        <w:rPr>
          <w:lang w:val="es-419"/>
        </w:rPr>
      </w:pPr>
      <w:r w:rsidRPr="00D40B09">
        <w:rPr>
          <w:lang w:val="es-419"/>
        </w:rPr>
        <w:t>El Anexo del presente documento contiene la hipótesis adicional solicitada (hipótesis 4) para la aplicación del Plan Operativo Estratégico 2026-2029 (documento C/59/14).</w:t>
      </w:r>
    </w:p>
    <w:p w14:paraId="7422B3FA" w14:textId="3B042EB8" w:rsidR="00801AF4" w:rsidRPr="00D40B09" w:rsidRDefault="00801AF4" w:rsidP="00801AF4">
      <w:pPr>
        <w:jc w:val="left"/>
        <w:rPr>
          <w:lang w:val="es-419"/>
        </w:rPr>
      </w:pPr>
    </w:p>
    <w:p w14:paraId="725F7E9F" w14:textId="77777777" w:rsidR="00801AF4" w:rsidRPr="00D40B09" w:rsidRDefault="00801AF4" w:rsidP="00801AF4">
      <w:pPr>
        <w:jc w:val="left"/>
        <w:rPr>
          <w:lang w:val="es-419"/>
        </w:rPr>
      </w:pPr>
    </w:p>
    <w:p w14:paraId="54897CE4" w14:textId="77777777" w:rsidR="00801AF4" w:rsidRPr="00D40B09" w:rsidRDefault="00801AF4" w:rsidP="00801AF4">
      <w:pPr>
        <w:jc w:val="left"/>
        <w:rPr>
          <w:lang w:val="es-419"/>
        </w:rPr>
      </w:pPr>
      <w:r w:rsidRPr="00D40B09">
        <w:rPr>
          <w:lang w:val="es-419"/>
        </w:rPr>
        <w:t>Documentación de referencia:</w:t>
      </w:r>
    </w:p>
    <w:p w14:paraId="39891CA8" w14:textId="77777777" w:rsidR="00801AF4" w:rsidRPr="00D40B09" w:rsidRDefault="00801AF4" w:rsidP="00801AF4">
      <w:pPr>
        <w:rPr>
          <w:lang w:val="es-419"/>
        </w:rPr>
      </w:pPr>
    </w:p>
    <w:p w14:paraId="5C1D2D19" w14:textId="77777777" w:rsidR="00801AF4" w:rsidRPr="00D40B09" w:rsidRDefault="00801AF4" w:rsidP="00801AF4">
      <w:pPr>
        <w:numPr>
          <w:ilvl w:val="0"/>
          <w:numId w:val="1"/>
        </w:numPr>
        <w:spacing w:after="120"/>
        <w:ind w:left="714" w:hanging="357"/>
        <w:jc w:val="left"/>
        <w:rPr>
          <w:lang w:val="es-419"/>
        </w:rPr>
      </w:pPr>
      <w:r w:rsidRPr="00D40B09">
        <w:rPr>
          <w:lang w:val="es-419"/>
        </w:rPr>
        <w:t xml:space="preserve">Estrategia de Recursos de la UPOV (documento </w:t>
      </w:r>
      <w:hyperlink r:id="rId13" w:history="1">
        <w:r w:rsidRPr="00D40B09">
          <w:rPr>
            <w:color w:val="0000FF"/>
            <w:u w:val="single"/>
            <w:lang w:val="es-419"/>
          </w:rPr>
          <w:t>C/59/16</w:t>
        </w:r>
      </w:hyperlink>
      <w:r w:rsidRPr="00D40B09">
        <w:rPr>
          <w:lang w:val="es-419"/>
        </w:rPr>
        <w:t>)</w:t>
      </w:r>
    </w:p>
    <w:p w14:paraId="665810A4" w14:textId="77777777" w:rsidR="00801AF4" w:rsidRPr="00D40B09" w:rsidRDefault="00801AF4" w:rsidP="00801AF4">
      <w:pPr>
        <w:numPr>
          <w:ilvl w:val="0"/>
          <w:numId w:val="1"/>
        </w:numPr>
        <w:spacing w:after="120"/>
        <w:ind w:left="714" w:hanging="357"/>
        <w:jc w:val="left"/>
        <w:rPr>
          <w:lang w:val="es-419"/>
        </w:rPr>
      </w:pPr>
      <w:r w:rsidRPr="00D40B09">
        <w:rPr>
          <w:lang w:val="es-419"/>
        </w:rPr>
        <w:t xml:space="preserve">Plan Operativo Estratégico 2026-2029 (documento </w:t>
      </w:r>
      <w:hyperlink r:id="rId14" w:history="1">
        <w:r w:rsidRPr="00D40B09">
          <w:rPr>
            <w:color w:val="0000FF"/>
            <w:u w:val="single"/>
            <w:lang w:val="es-419"/>
          </w:rPr>
          <w:t>C/59/14</w:t>
        </w:r>
      </w:hyperlink>
      <w:r w:rsidRPr="00D40B09">
        <w:rPr>
          <w:lang w:val="es-419"/>
        </w:rPr>
        <w:t>)</w:t>
      </w:r>
    </w:p>
    <w:p w14:paraId="5B834762" w14:textId="77777777" w:rsidR="00801AF4" w:rsidRPr="00D40B09" w:rsidRDefault="00801AF4" w:rsidP="00801AF4">
      <w:pPr>
        <w:jc w:val="left"/>
        <w:rPr>
          <w:rFonts w:cs="Arial"/>
          <w:u w:val="single"/>
          <w:lang w:val="es-419"/>
        </w:rPr>
      </w:pPr>
    </w:p>
    <w:p w14:paraId="56565257" w14:textId="77777777" w:rsidR="00801AF4" w:rsidRPr="00D40B09" w:rsidRDefault="00801AF4" w:rsidP="00801AF4">
      <w:pPr>
        <w:jc w:val="left"/>
        <w:rPr>
          <w:rFonts w:cs="Arial"/>
          <w:u w:val="single"/>
          <w:lang w:val="es-419"/>
        </w:rPr>
      </w:pPr>
    </w:p>
    <w:p w14:paraId="48A1C858" w14:textId="77777777" w:rsidR="00801AF4" w:rsidRPr="00D40B09" w:rsidRDefault="00801AF4" w:rsidP="00801AF4">
      <w:pPr>
        <w:jc w:val="left"/>
        <w:rPr>
          <w:rFonts w:cs="Arial"/>
          <w:u w:val="single"/>
          <w:lang w:val="es-419"/>
        </w:rPr>
      </w:pPr>
    </w:p>
    <w:p w14:paraId="018FB1A9" w14:textId="77777777" w:rsidR="00801AF4" w:rsidRPr="00D40B09" w:rsidRDefault="00801AF4" w:rsidP="00801AF4">
      <w:pPr>
        <w:ind w:left="6237" w:firstLine="567"/>
        <w:jc w:val="right"/>
        <w:rPr>
          <w:lang w:val="es-419"/>
        </w:rPr>
      </w:pPr>
      <w:r w:rsidRPr="00D40B09">
        <w:rPr>
          <w:lang w:val="es-419"/>
        </w:rPr>
        <w:t>[Sigue el Anexo]</w:t>
      </w:r>
    </w:p>
    <w:p w14:paraId="009F6422" w14:textId="77777777" w:rsidR="00801AF4" w:rsidRPr="00D40B09" w:rsidRDefault="00801AF4" w:rsidP="00801AF4">
      <w:pPr>
        <w:jc w:val="left"/>
        <w:rPr>
          <w:lang w:val="es-419"/>
        </w:rPr>
        <w:sectPr w:rsidR="00801AF4" w:rsidRPr="00D40B09" w:rsidSect="00801AF4">
          <w:headerReference w:type="default" r:id="rId15"/>
          <w:pgSz w:w="11907" w:h="16840" w:code="9"/>
          <w:pgMar w:top="510" w:right="1134" w:bottom="1134" w:left="1134" w:header="510" w:footer="680" w:gutter="0"/>
          <w:cols w:space="720"/>
          <w:titlePg/>
        </w:sectPr>
      </w:pPr>
    </w:p>
    <w:p w14:paraId="4D71F3A3" w14:textId="77777777" w:rsidR="00EB0866" w:rsidRPr="00D40B09" w:rsidRDefault="00801AF4" w:rsidP="00801AF4">
      <w:pPr>
        <w:jc w:val="center"/>
        <w:rPr>
          <w:b/>
          <w:lang w:val="es-419"/>
        </w:rPr>
      </w:pPr>
      <w:r w:rsidRPr="00D40B09">
        <w:rPr>
          <w:b/>
          <w:lang w:val="es-419"/>
        </w:rPr>
        <w:lastRenderedPageBreak/>
        <w:t>ANEXO</w:t>
      </w:r>
    </w:p>
    <w:p w14:paraId="5BE9D7BC" w14:textId="523B712F" w:rsidR="00801AF4" w:rsidRPr="00D40B09" w:rsidRDefault="00801AF4" w:rsidP="00801AF4">
      <w:pPr>
        <w:spacing w:after="120"/>
        <w:jc w:val="left"/>
        <w:rPr>
          <w:b/>
          <w:bCs/>
          <w:lang w:val="es-419"/>
        </w:rPr>
      </w:pPr>
      <w:bookmarkStart w:id="2" w:name="_Hlk219735398"/>
    </w:p>
    <w:p w14:paraId="35063837" w14:textId="79C80F5E" w:rsidR="00801AF4" w:rsidRPr="00D40B09" w:rsidRDefault="00883A7B" w:rsidP="00801AF4">
      <w:pPr>
        <w:spacing w:after="120"/>
        <w:jc w:val="center"/>
        <w:rPr>
          <w:b/>
          <w:bCs/>
          <w:lang w:val="es-419"/>
        </w:rPr>
      </w:pPr>
      <w:r w:rsidRPr="00883A7B">
        <w:rPr>
          <w:b/>
          <w:lang w:val="es-419"/>
        </w:rPr>
        <w:t xml:space="preserve">HIPÓTESIS </w:t>
      </w:r>
      <w:r w:rsidR="004B5418" w:rsidRPr="004B5418">
        <w:rPr>
          <w:b/>
          <w:lang w:val="es-419"/>
        </w:rPr>
        <w:t>ESCENARIO</w:t>
      </w:r>
      <w:r w:rsidR="00801AF4" w:rsidRPr="00D40B09">
        <w:rPr>
          <w:b/>
          <w:lang w:val="es-419"/>
        </w:rPr>
        <w:t xml:space="preserve"> ADICIONAL (</w:t>
      </w:r>
      <w:r w:rsidRPr="00883A7B">
        <w:rPr>
          <w:b/>
          <w:lang w:val="es-419"/>
        </w:rPr>
        <w:t>HIPÓTESIS</w:t>
      </w:r>
      <w:r w:rsidR="00801AF4" w:rsidRPr="00D40B09">
        <w:rPr>
          <w:b/>
          <w:lang w:val="es-419"/>
        </w:rPr>
        <w:t> 4) DE APLICACIÓN DEL PLAN OPERATIVO ESTRATÉGICO</w:t>
      </w:r>
      <w:r w:rsidR="007A10A2" w:rsidRPr="00D40B09">
        <w:rPr>
          <w:b/>
          <w:lang w:val="es-419"/>
        </w:rPr>
        <w:t> </w:t>
      </w:r>
      <w:r w:rsidR="00801AF4" w:rsidRPr="00D40B09">
        <w:rPr>
          <w:b/>
          <w:lang w:val="es-419"/>
        </w:rPr>
        <w:t xml:space="preserve">2026-2029 (DOCUMENTO </w:t>
      </w:r>
      <w:hyperlink r:id="rId16" w:history="1">
        <w:r w:rsidR="00801AF4" w:rsidRPr="00D40B09">
          <w:rPr>
            <w:b/>
            <w:color w:val="0000FF"/>
            <w:u w:val="single"/>
            <w:lang w:val="es-419"/>
          </w:rPr>
          <w:t>C/59/14</w:t>
        </w:r>
      </w:hyperlink>
      <w:r w:rsidR="00801AF4" w:rsidRPr="00D40B09">
        <w:rPr>
          <w:b/>
          <w:lang w:val="es-419"/>
        </w:rPr>
        <w:t>) Y COSTOS ASOCIADOS</w:t>
      </w:r>
      <w:bookmarkEnd w:id="2"/>
    </w:p>
    <w:p w14:paraId="4AA7658E" w14:textId="77777777" w:rsidR="00801AF4" w:rsidRPr="00D40B09" w:rsidRDefault="00801AF4" w:rsidP="00801AF4">
      <w:pPr>
        <w:jc w:val="left"/>
        <w:rPr>
          <w:lang w:val="es-419"/>
        </w:rPr>
      </w:pPr>
    </w:p>
    <w:p w14:paraId="12EFCEAE" w14:textId="77777777" w:rsidR="00801AF4" w:rsidRPr="00D40B09" w:rsidRDefault="00801AF4" w:rsidP="00801AF4">
      <w:pPr>
        <w:jc w:val="left"/>
        <w:rPr>
          <w:lang w:val="es-419"/>
        </w:rPr>
      </w:pPr>
    </w:p>
    <w:p w14:paraId="14D8B7BD" w14:textId="6E66C379" w:rsidR="00801AF4" w:rsidRPr="00D40B09" w:rsidRDefault="00801AF4" w:rsidP="00801AF4">
      <w:pPr>
        <w:rPr>
          <w:color w:val="000000" w:themeColor="text1"/>
          <w:lang w:val="es-419"/>
        </w:rPr>
      </w:pPr>
      <w:r w:rsidRPr="00D40B09">
        <w:rPr>
          <w:lang w:val="es-419"/>
        </w:rPr>
        <w:fldChar w:fldCharType="begin"/>
      </w:r>
      <w:r w:rsidRPr="00D40B09">
        <w:rPr>
          <w:lang w:val="es-419"/>
        </w:rPr>
        <w:instrText xml:space="preserve"> LISTNUM  LegalDefault \l 1 \s 1 </w:instrText>
      </w:r>
      <w:r w:rsidRPr="00D40B09">
        <w:rPr>
          <w:lang w:val="es-419"/>
        </w:rPr>
        <w:fldChar w:fldCharType="end"/>
      </w:r>
      <w:r w:rsidRPr="00D40B09">
        <w:rPr>
          <w:lang w:val="es-419"/>
        </w:rPr>
        <w:tab/>
        <w:t>El Plan Operativo Estratégico, aprobado por el Consejo el 24 de octubre de 2025, esboza la orientación estratégica de la UPOV y constituye la base para la elaboración del programa y los presupuestos correspondientes a los periodos 2026-2027 y 2028-2029.</w:t>
      </w:r>
      <w:r w:rsidR="00EB0866" w:rsidRPr="00D40B09">
        <w:rPr>
          <w:color w:val="000000" w:themeColor="text1"/>
          <w:lang w:val="es-419"/>
        </w:rPr>
        <w:t xml:space="preserve"> </w:t>
      </w:r>
      <w:r w:rsidRPr="00D40B09">
        <w:rPr>
          <w:color w:val="000000" w:themeColor="text1"/>
          <w:lang w:val="es-419"/>
        </w:rPr>
        <w:t>El objetivo del plan es garantizar que la UPOV siga siendo un referente en la protección de las obtenciones vegetales, aportando valor a sus miembros y contribuyendo a la seguridad alimentaria mundial y a la innovación agrícola.</w:t>
      </w:r>
    </w:p>
    <w:p w14:paraId="590D8EEC" w14:textId="77777777" w:rsidR="00801AF4" w:rsidRPr="00D40B09" w:rsidRDefault="00801AF4" w:rsidP="00801AF4">
      <w:pPr>
        <w:jc w:val="left"/>
        <w:rPr>
          <w:color w:val="000000" w:themeColor="text1"/>
          <w:lang w:val="es-419"/>
        </w:rPr>
      </w:pPr>
    </w:p>
    <w:p w14:paraId="7830D596" w14:textId="77777777" w:rsidR="00801AF4" w:rsidRPr="00D40B09" w:rsidRDefault="00801AF4" w:rsidP="00801AF4">
      <w:pPr>
        <w:jc w:val="left"/>
        <w:rPr>
          <w:lang w:val="es-419"/>
        </w:rPr>
      </w:pPr>
      <w:r w:rsidRPr="00D40B09">
        <w:rPr>
          <w:lang w:val="es-419"/>
        </w:rPr>
        <w:fldChar w:fldCharType="begin"/>
      </w:r>
      <w:r w:rsidRPr="00D40B09">
        <w:rPr>
          <w:lang w:val="es-419"/>
        </w:rPr>
        <w:instrText xml:space="preserve"> LISTNUM  LegalDefault \l 1 \s </w:instrText>
      </w:r>
      <w:r w:rsidRPr="00D40B09">
        <w:rPr>
          <w:lang w:val="es-419"/>
        </w:rPr>
        <w:fldChar w:fldCharType="end"/>
      </w:r>
      <w:r w:rsidRPr="00D40B09">
        <w:rPr>
          <w:lang w:val="es-419"/>
        </w:rPr>
        <w:tab/>
        <w:t>El Plan Operativo Estratégico establece resultados esperados específicos y consideraciones de riesgo para cada pilar estratégico:</w:t>
      </w:r>
    </w:p>
    <w:p w14:paraId="047EE43E" w14:textId="77777777" w:rsidR="00801AF4" w:rsidRPr="00D40B09" w:rsidRDefault="00801AF4" w:rsidP="00801AF4">
      <w:pPr>
        <w:jc w:val="left"/>
        <w:rPr>
          <w:lang w:val="es-419"/>
        </w:rPr>
      </w:pPr>
    </w:p>
    <w:p w14:paraId="1306BEAC" w14:textId="77777777" w:rsidR="00801AF4" w:rsidRPr="00D40B09" w:rsidRDefault="00801AF4" w:rsidP="00801AF4">
      <w:pPr>
        <w:pStyle w:val="ListParagraph"/>
        <w:numPr>
          <w:ilvl w:val="0"/>
          <w:numId w:val="3"/>
        </w:numPr>
        <w:rPr>
          <w:lang w:val="es-419"/>
        </w:rPr>
      </w:pPr>
      <w:r w:rsidRPr="00D40B09">
        <w:rPr>
          <w:lang w:val="es-419"/>
        </w:rPr>
        <w:t xml:space="preserve">El </w:t>
      </w:r>
      <w:r w:rsidRPr="00D40B09">
        <w:rPr>
          <w:b/>
          <w:lang w:val="es-419"/>
        </w:rPr>
        <w:t>pilar 1</w:t>
      </w:r>
      <w:r w:rsidRPr="00D40B09">
        <w:rPr>
          <w:lang w:val="es-419"/>
        </w:rPr>
        <w:t xml:space="preserve"> se centra en la gobernanza, la participación y la configuración del futuro del sistema de protección de las obtenciones vegetales y, para ello, se establece una estrecha colaboración con los miembros de la UPOV y las partes interesadas.</w:t>
      </w:r>
    </w:p>
    <w:p w14:paraId="04CD7D0B" w14:textId="77777777" w:rsidR="00801AF4" w:rsidRPr="00D40B09" w:rsidRDefault="00801AF4" w:rsidP="00801AF4">
      <w:pPr>
        <w:pStyle w:val="ListParagraph"/>
        <w:rPr>
          <w:lang w:val="es-419"/>
        </w:rPr>
      </w:pPr>
    </w:p>
    <w:p w14:paraId="5A42B715" w14:textId="77777777" w:rsidR="00801AF4" w:rsidRPr="00D40B09" w:rsidRDefault="00801AF4" w:rsidP="00801AF4">
      <w:pPr>
        <w:pStyle w:val="ListParagraph"/>
        <w:numPr>
          <w:ilvl w:val="0"/>
          <w:numId w:val="3"/>
        </w:numPr>
        <w:rPr>
          <w:lang w:val="es-419"/>
        </w:rPr>
      </w:pPr>
      <w:r w:rsidRPr="00D40B09">
        <w:rPr>
          <w:lang w:val="es-419"/>
        </w:rPr>
        <w:t xml:space="preserve">El </w:t>
      </w:r>
      <w:r w:rsidRPr="00D40B09">
        <w:rPr>
          <w:b/>
          <w:lang w:val="es-419"/>
        </w:rPr>
        <w:t>pilar 2</w:t>
      </w:r>
      <w:r w:rsidRPr="00D40B09">
        <w:rPr>
          <w:lang w:val="es-419"/>
        </w:rPr>
        <w:t xml:space="preserve"> refuerza la comunicación, la orientación, la formación, la armonización y la cooperación técnica para apoyar la aplicación del sistema de la UPOV y aumentar el número de sus miembros.</w:t>
      </w:r>
    </w:p>
    <w:p w14:paraId="4C768149" w14:textId="77777777" w:rsidR="00801AF4" w:rsidRPr="00D40B09" w:rsidRDefault="00801AF4" w:rsidP="00801AF4">
      <w:pPr>
        <w:pStyle w:val="ListParagraph"/>
        <w:rPr>
          <w:lang w:val="es-419"/>
        </w:rPr>
      </w:pPr>
    </w:p>
    <w:p w14:paraId="794AB37E" w14:textId="77777777" w:rsidR="00801AF4" w:rsidRPr="00D40B09" w:rsidRDefault="00801AF4" w:rsidP="00801AF4">
      <w:pPr>
        <w:pStyle w:val="ListParagraph"/>
        <w:numPr>
          <w:ilvl w:val="0"/>
          <w:numId w:val="3"/>
        </w:numPr>
        <w:rPr>
          <w:lang w:val="es-419"/>
        </w:rPr>
      </w:pPr>
      <w:r w:rsidRPr="00D40B09">
        <w:rPr>
          <w:lang w:val="es-419"/>
        </w:rPr>
        <w:t xml:space="preserve">El </w:t>
      </w:r>
      <w:r w:rsidRPr="00D40B09">
        <w:rPr>
          <w:b/>
          <w:lang w:val="es-419"/>
        </w:rPr>
        <w:t>pilar 3</w:t>
      </w:r>
      <w:r w:rsidRPr="00D40B09">
        <w:rPr>
          <w:lang w:val="es-419"/>
        </w:rPr>
        <w:t xml:space="preserve"> impulsa los servicios digitales y las bases de datos de alta calidad, como e-PVP, para mejorar la eficiencia y la coordinación en toda la UPOV.</w:t>
      </w:r>
    </w:p>
    <w:p w14:paraId="41D4F125" w14:textId="77777777" w:rsidR="00801AF4" w:rsidRPr="00D40B09" w:rsidRDefault="00801AF4" w:rsidP="00801AF4">
      <w:pPr>
        <w:jc w:val="left"/>
        <w:rPr>
          <w:lang w:val="es-419"/>
        </w:rPr>
      </w:pPr>
    </w:p>
    <w:p w14:paraId="6D634E39" w14:textId="77777777" w:rsidR="00EB0866" w:rsidRPr="00D40B09" w:rsidRDefault="00801AF4" w:rsidP="00801AF4">
      <w:pPr>
        <w:rPr>
          <w:lang w:val="es-419"/>
        </w:rPr>
      </w:pPr>
      <w:r w:rsidRPr="00D40B09">
        <w:rPr>
          <w:lang w:val="es-419"/>
        </w:rPr>
        <w:fldChar w:fldCharType="begin"/>
      </w:r>
      <w:r w:rsidRPr="00D40B09">
        <w:rPr>
          <w:lang w:val="es-419"/>
        </w:rPr>
        <w:instrText xml:space="preserve"> LISTNUM  LegalDefault \l 1 \s </w:instrText>
      </w:r>
      <w:r w:rsidRPr="00D40B09">
        <w:rPr>
          <w:lang w:val="es-419"/>
        </w:rPr>
        <w:fldChar w:fldCharType="end"/>
      </w:r>
      <w:r w:rsidRPr="00D40B09">
        <w:rPr>
          <w:lang w:val="es-419"/>
        </w:rPr>
        <w:tab/>
        <w:t>La hipótesis presupuestaria siguiente, con sus costos asociados, se presenta de acuerdo con los resultados esperados (RE) en el marco de los pilares del Plan Operativo Estratégico y del fundamento (véase el párrafo 14 del plan).</w:t>
      </w:r>
    </w:p>
    <w:p w14:paraId="5E81213E" w14:textId="061EF9D7" w:rsidR="00801AF4" w:rsidRPr="00D40B09" w:rsidRDefault="00801AF4" w:rsidP="00801AF4">
      <w:pPr>
        <w:rPr>
          <w:lang w:val="es-419"/>
        </w:rPr>
      </w:pPr>
      <w:bookmarkStart w:id="3" w:name="_Hlk220497110"/>
    </w:p>
    <w:p w14:paraId="1AE53E96" w14:textId="77777777" w:rsidR="00801AF4" w:rsidRPr="00D40B09" w:rsidRDefault="00801AF4" w:rsidP="00801AF4">
      <w:pPr>
        <w:rPr>
          <w:lang w:val="es-419"/>
        </w:rPr>
      </w:pPr>
    </w:p>
    <w:tbl>
      <w:tblPr>
        <w:tblW w:w="8789" w:type="dxa"/>
        <w:jc w:val="center"/>
        <w:tblCellMar>
          <w:top w:w="28" w:type="dxa"/>
          <w:bottom w:w="28" w:type="dxa"/>
        </w:tblCellMar>
        <w:tblLook w:val="04A0" w:firstRow="1" w:lastRow="0" w:firstColumn="1" w:lastColumn="0" w:noHBand="0" w:noVBand="1"/>
      </w:tblPr>
      <w:tblGrid>
        <w:gridCol w:w="1134"/>
        <w:gridCol w:w="7655"/>
      </w:tblGrid>
      <w:tr w:rsidR="00801AF4" w:rsidRPr="00D40B09" w14:paraId="40A0B97F" w14:textId="77777777" w:rsidTr="008B4BFB">
        <w:trPr>
          <w:jc w:val="center"/>
        </w:trPr>
        <w:tc>
          <w:tcPr>
            <w:tcW w:w="1134" w:type="dxa"/>
            <w:tcBorders>
              <w:top w:val="nil"/>
              <w:left w:val="nil"/>
              <w:bottom w:val="nil"/>
              <w:right w:val="nil"/>
            </w:tcBorders>
            <w:hideMark/>
          </w:tcPr>
          <w:p w14:paraId="679ECC05" w14:textId="77777777" w:rsidR="00801AF4" w:rsidRPr="00D40B09" w:rsidRDefault="00801AF4" w:rsidP="008B4BFB">
            <w:pPr>
              <w:spacing w:after="120"/>
              <w:jc w:val="left"/>
              <w:rPr>
                <w:rFonts w:cs="Arial"/>
                <w:lang w:val="es-419"/>
              </w:rPr>
            </w:pPr>
            <w:r w:rsidRPr="00D40B09">
              <w:rPr>
                <w:lang w:val="es-419"/>
              </w:rPr>
              <w:t>RE 1.1</w:t>
            </w:r>
          </w:p>
        </w:tc>
        <w:tc>
          <w:tcPr>
            <w:tcW w:w="7655" w:type="dxa"/>
            <w:tcBorders>
              <w:top w:val="nil"/>
              <w:left w:val="nil"/>
              <w:bottom w:val="nil"/>
              <w:right w:val="nil"/>
            </w:tcBorders>
            <w:hideMark/>
          </w:tcPr>
          <w:p w14:paraId="5205B940" w14:textId="77777777" w:rsidR="00801AF4" w:rsidRPr="00D40B09" w:rsidRDefault="00801AF4" w:rsidP="008B4BFB">
            <w:pPr>
              <w:spacing w:after="120"/>
              <w:jc w:val="left"/>
              <w:rPr>
                <w:rFonts w:cs="Arial"/>
                <w:lang w:val="es-419"/>
              </w:rPr>
            </w:pPr>
            <w:r w:rsidRPr="00D40B09">
              <w:rPr>
                <w:lang w:val="es-419"/>
              </w:rPr>
              <w:t>Gobernanza del Consejo de la UPOV y labor de los comités y otros órganos de la UPOV</w:t>
            </w:r>
          </w:p>
        </w:tc>
      </w:tr>
      <w:tr w:rsidR="00801AF4" w:rsidRPr="00D40B09" w14:paraId="6A3C9690" w14:textId="77777777" w:rsidTr="008B4BFB">
        <w:trPr>
          <w:jc w:val="center"/>
        </w:trPr>
        <w:tc>
          <w:tcPr>
            <w:tcW w:w="1134" w:type="dxa"/>
            <w:tcBorders>
              <w:top w:val="nil"/>
              <w:left w:val="nil"/>
              <w:bottom w:val="nil"/>
              <w:right w:val="nil"/>
            </w:tcBorders>
            <w:hideMark/>
          </w:tcPr>
          <w:p w14:paraId="70F91087" w14:textId="77777777" w:rsidR="00801AF4" w:rsidRPr="00D40B09" w:rsidRDefault="00801AF4" w:rsidP="008B4BFB">
            <w:pPr>
              <w:spacing w:after="120"/>
              <w:jc w:val="left"/>
              <w:rPr>
                <w:rFonts w:cs="Arial"/>
                <w:lang w:val="es-419"/>
              </w:rPr>
            </w:pPr>
            <w:r w:rsidRPr="00D40B09">
              <w:rPr>
                <w:lang w:val="es-419"/>
              </w:rPr>
              <w:t>RE 1.2</w:t>
            </w:r>
          </w:p>
        </w:tc>
        <w:tc>
          <w:tcPr>
            <w:tcW w:w="7655" w:type="dxa"/>
            <w:tcBorders>
              <w:top w:val="nil"/>
              <w:left w:val="nil"/>
              <w:bottom w:val="nil"/>
              <w:right w:val="nil"/>
            </w:tcBorders>
            <w:hideMark/>
          </w:tcPr>
          <w:p w14:paraId="1DFC119E" w14:textId="77777777" w:rsidR="00801AF4" w:rsidRPr="00D40B09" w:rsidRDefault="00801AF4" w:rsidP="008B4BFB">
            <w:pPr>
              <w:spacing w:after="120"/>
              <w:jc w:val="left"/>
              <w:rPr>
                <w:rFonts w:cs="Arial"/>
                <w:lang w:val="es-419"/>
              </w:rPr>
            </w:pPr>
            <w:r w:rsidRPr="00D40B09">
              <w:rPr>
                <w:lang w:val="es-419"/>
              </w:rPr>
              <w:t>Elaboración de legislación sobre la protección de las obtenciones vegetales de conformidad con el Acta de 1991 del Convenio de la UPOV</w:t>
            </w:r>
          </w:p>
        </w:tc>
      </w:tr>
      <w:tr w:rsidR="00801AF4" w:rsidRPr="00D40B09" w14:paraId="2667587F" w14:textId="77777777" w:rsidTr="008B4BFB">
        <w:trPr>
          <w:jc w:val="center"/>
        </w:trPr>
        <w:tc>
          <w:tcPr>
            <w:tcW w:w="1134" w:type="dxa"/>
            <w:tcBorders>
              <w:top w:val="nil"/>
              <w:left w:val="nil"/>
              <w:bottom w:val="nil"/>
              <w:right w:val="nil"/>
            </w:tcBorders>
            <w:hideMark/>
          </w:tcPr>
          <w:p w14:paraId="31690D0C" w14:textId="77777777" w:rsidR="00801AF4" w:rsidRPr="00D40B09" w:rsidRDefault="00801AF4" w:rsidP="008B4BFB">
            <w:pPr>
              <w:spacing w:after="120"/>
              <w:jc w:val="left"/>
              <w:rPr>
                <w:rFonts w:cs="Arial"/>
                <w:lang w:val="es-419"/>
              </w:rPr>
            </w:pPr>
            <w:r w:rsidRPr="00D40B09">
              <w:rPr>
                <w:lang w:val="es-419"/>
              </w:rPr>
              <w:t>RE 2.1</w:t>
            </w:r>
          </w:p>
        </w:tc>
        <w:tc>
          <w:tcPr>
            <w:tcW w:w="7655" w:type="dxa"/>
            <w:tcBorders>
              <w:top w:val="nil"/>
              <w:left w:val="nil"/>
              <w:bottom w:val="nil"/>
              <w:right w:val="nil"/>
            </w:tcBorders>
            <w:hideMark/>
          </w:tcPr>
          <w:p w14:paraId="26264D11" w14:textId="77777777" w:rsidR="00801AF4" w:rsidRPr="00D40B09" w:rsidRDefault="00801AF4" w:rsidP="008B4BFB">
            <w:pPr>
              <w:spacing w:after="120"/>
              <w:jc w:val="left"/>
              <w:rPr>
                <w:rFonts w:cs="Arial"/>
                <w:lang w:val="es-419"/>
              </w:rPr>
            </w:pPr>
            <w:r w:rsidRPr="00D40B09">
              <w:rPr>
                <w:lang w:val="es-419"/>
              </w:rPr>
              <w:t>Sensibilización sobre la función que cumple el sistema de la UPOV</w:t>
            </w:r>
          </w:p>
        </w:tc>
      </w:tr>
      <w:tr w:rsidR="00801AF4" w:rsidRPr="00D40B09" w14:paraId="39C9F50A" w14:textId="77777777" w:rsidTr="008B4BFB">
        <w:trPr>
          <w:jc w:val="center"/>
        </w:trPr>
        <w:tc>
          <w:tcPr>
            <w:tcW w:w="1134" w:type="dxa"/>
            <w:tcBorders>
              <w:top w:val="nil"/>
              <w:left w:val="nil"/>
              <w:bottom w:val="nil"/>
              <w:right w:val="nil"/>
            </w:tcBorders>
            <w:hideMark/>
          </w:tcPr>
          <w:p w14:paraId="65BAD960" w14:textId="77777777" w:rsidR="00801AF4" w:rsidRPr="00D40B09" w:rsidRDefault="00801AF4" w:rsidP="008B4BFB">
            <w:pPr>
              <w:spacing w:after="120"/>
              <w:jc w:val="left"/>
              <w:rPr>
                <w:rFonts w:cs="Arial"/>
                <w:lang w:val="es-419"/>
              </w:rPr>
            </w:pPr>
            <w:r w:rsidRPr="00D40B09">
              <w:rPr>
                <w:lang w:val="es-419"/>
              </w:rPr>
              <w:t>RE 2.2</w:t>
            </w:r>
          </w:p>
        </w:tc>
        <w:tc>
          <w:tcPr>
            <w:tcW w:w="7655" w:type="dxa"/>
            <w:tcBorders>
              <w:top w:val="nil"/>
              <w:left w:val="nil"/>
              <w:bottom w:val="nil"/>
              <w:right w:val="nil"/>
            </w:tcBorders>
            <w:hideMark/>
          </w:tcPr>
          <w:p w14:paraId="4C321E87" w14:textId="77777777" w:rsidR="00801AF4" w:rsidRPr="00D40B09" w:rsidRDefault="00801AF4" w:rsidP="008B4BFB">
            <w:pPr>
              <w:spacing w:after="120"/>
              <w:jc w:val="left"/>
              <w:rPr>
                <w:rFonts w:cs="Arial"/>
                <w:lang w:val="es-419"/>
              </w:rPr>
            </w:pPr>
            <w:r w:rsidRPr="00D40B09">
              <w:rPr>
                <w:lang w:val="es-419"/>
              </w:rPr>
              <w:t>Orientación y asistencia sobre el Convenio de la UPOV y su aplicación</w:t>
            </w:r>
          </w:p>
        </w:tc>
      </w:tr>
      <w:tr w:rsidR="00801AF4" w:rsidRPr="00D40B09" w14:paraId="22254233" w14:textId="77777777" w:rsidTr="008B4BFB">
        <w:trPr>
          <w:jc w:val="center"/>
        </w:trPr>
        <w:tc>
          <w:tcPr>
            <w:tcW w:w="1134" w:type="dxa"/>
            <w:tcBorders>
              <w:top w:val="nil"/>
              <w:left w:val="nil"/>
              <w:bottom w:val="nil"/>
              <w:right w:val="nil"/>
            </w:tcBorders>
            <w:hideMark/>
          </w:tcPr>
          <w:p w14:paraId="13CA4BDD" w14:textId="77777777" w:rsidR="00801AF4" w:rsidRPr="00D40B09" w:rsidRDefault="00801AF4" w:rsidP="008B4BFB">
            <w:pPr>
              <w:spacing w:after="120"/>
              <w:jc w:val="left"/>
              <w:rPr>
                <w:rFonts w:cs="Arial"/>
                <w:lang w:val="es-419"/>
              </w:rPr>
            </w:pPr>
            <w:r w:rsidRPr="00D40B09">
              <w:rPr>
                <w:lang w:val="es-419"/>
              </w:rPr>
              <w:t>RE 2.3</w:t>
            </w:r>
          </w:p>
        </w:tc>
        <w:tc>
          <w:tcPr>
            <w:tcW w:w="7655" w:type="dxa"/>
            <w:tcBorders>
              <w:top w:val="nil"/>
              <w:left w:val="nil"/>
              <w:bottom w:val="nil"/>
              <w:right w:val="nil"/>
            </w:tcBorders>
            <w:hideMark/>
          </w:tcPr>
          <w:p w14:paraId="52CD1ED9" w14:textId="77777777" w:rsidR="00801AF4" w:rsidRPr="00D40B09" w:rsidRDefault="00801AF4" w:rsidP="008B4BFB">
            <w:pPr>
              <w:spacing w:after="120"/>
              <w:jc w:val="left"/>
              <w:rPr>
                <w:rFonts w:cs="Arial"/>
                <w:lang w:val="es-419"/>
              </w:rPr>
            </w:pPr>
            <w:r w:rsidRPr="00D40B09">
              <w:rPr>
                <w:lang w:val="es-419"/>
              </w:rPr>
              <w:t>Mayor armonización y cooperación en los exámenes</w:t>
            </w:r>
          </w:p>
        </w:tc>
      </w:tr>
      <w:tr w:rsidR="00801AF4" w:rsidRPr="00D40B09" w14:paraId="5B7B9C44" w14:textId="77777777" w:rsidTr="008B4BFB">
        <w:trPr>
          <w:jc w:val="center"/>
        </w:trPr>
        <w:tc>
          <w:tcPr>
            <w:tcW w:w="1134" w:type="dxa"/>
            <w:tcBorders>
              <w:top w:val="nil"/>
              <w:left w:val="nil"/>
              <w:bottom w:val="nil"/>
              <w:right w:val="nil"/>
            </w:tcBorders>
            <w:hideMark/>
          </w:tcPr>
          <w:p w14:paraId="0A69706D" w14:textId="77777777" w:rsidR="00801AF4" w:rsidRPr="00D40B09" w:rsidRDefault="00801AF4" w:rsidP="008B4BFB">
            <w:pPr>
              <w:spacing w:after="120"/>
              <w:jc w:val="left"/>
              <w:rPr>
                <w:rFonts w:cs="Arial"/>
                <w:lang w:val="es-419"/>
              </w:rPr>
            </w:pPr>
            <w:r w:rsidRPr="00D40B09">
              <w:rPr>
                <w:lang w:val="es-419"/>
              </w:rPr>
              <w:t>RE 3.1</w:t>
            </w:r>
          </w:p>
        </w:tc>
        <w:tc>
          <w:tcPr>
            <w:tcW w:w="7655" w:type="dxa"/>
            <w:tcBorders>
              <w:top w:val="nil"/>
              <w:left w:val="nil"/>
              <w:bottom w:val="nil"/>
              <w:right w:val="nil"/>
            </w:tcBorders>
            <w:hideMark/>
          </w:tcPr>
          <w:p w14:paraId="0A0ACD88" w14:textId="77777777" w:rsidR="00801AF4" w:rsidRPr="00D40B09" w:rsidRDefault="00801AF4" w:rsidP="008B4BFB">
            <w:pPr>
              <w:spacing w:after="120"/>
              <w:jc w:val="left"/>
              <w:rPr>
                <w:rFonts w:cs="Arial"/>
                <w:lang w:val="es-419"/>
              </w:rPr>
            </w:pPr>
            <w:r w:rsidRPr="00D40B09">
              <w:rPr>
                <w:lang w:val="es-419"/>
              </w:rPr>
              <w:t>Desarrollo de los servicios del sistema e-PVP de la UPOV</w:t>
            </w:r>
          </w:p>
        </w:tc>
      </w:tr>
      <w:tr w:rsidR="00801AF4" w:rsidRPr="00D40B09" w14:paraId="28F1B7F2" w14:textId="77777777" w:rsidTr="008B4BFB">
        <w:trPr>
          <w:jc w:val="center"/>
        </w:trPr>
        <w:tc>
          <w:tcPr>
            <w:tcW w:w="1134" w:type="dxa"/>
            <w:tcBorders>
              <w:top w:val="nil"/>
              <w:left w:val="nil"/>
              <w:bottom w:val="nil"/>
              <w:right w:val="nil"/>
            </w:tcBorders>
            <w:hideMark/>
          </w:tcPr>
          <w:p w14:paraId="3026CFF2" w14:textId="77777777" w:rsidR="00801AF4" w:rsidRPr="00D40B09" w:rsidRDefault="00801AF4" w:rsidP="008B4BFB">
            <w:pPr>
              <w:spacing w:after="120"/>
              <w:jc w:val="left"/>
              <w:rPr>
                <w:rFonts w:cs="Arial"/>
                <w:lang w:val="es-419"/>
              </w:rPr>
            </w:pPr>
            <w:r w:rsidRPr="00D40B09">
              <w:rPr>
                <w:lang w:val="es-419"/>
              </w:rPr>
              <w:t>RE 4.1</w:t>
            </w:r>
          </w:p>
        </w:tc>
        <w:tc>
          <w:tcPr>
            <w:tcW w:w="7655" w:type="dxa"/>
            <w:tcBorders>
              <w:top w:val="nil"/>
              <w:left w:val="nil"/>
              <w:bottom w:val="nil"/>
              <w:right w:val="nil"/>
            </w:tcBorders>
            <w:hideMark/>
          </w:tcPr>
          <w:p w14:paraId="5C043853" w14:textId="77777777" w:rsidR="00801AF4" w:rsidRPr="00D40B09" w:rsidRDefault="00801AF4" w:rsidP="008B4BFB">
            <w:pPr>
              <w:spacing w:after="120"/>
              <w:jc w:val="left"/>
              <w:rPr>
                <w:rFonts w:cs="Arial"/>
                <w:lang w:val="es-419"/>
              </w:rPr>
            </w:pPr>
            <w:r w:rsidRPr="00D40B09">
              <w:rPr>
                <w:lang w:val="es-419"/>
              </w:rPr>
              <w:t>Garantizar la sostenibilidad financiera</w:t>
            </w:r>
          </w:p>
        </w:tc>
      </w:tr>
      <w:tr w:rsidR="00801AF4" w:rsidRPr="00D40B09" w14:paraId="1C25A0F9" w14:textId="77777777" w:rsidTr="008B4BFB">
        <w:trPr>
          <w:jc w:val="center"/>
        </w:trPr>
        <w:tc>
          <w:tcPr>
            <w:tcW w:w="1134" w:type="dxa"/>
            <w:tcBorders>
              <w:top w:val="nil"/>
              <w:left w:val="nil"/>
              <w:bottom w:val="nil"/>
              <w:right w:val="nil"/>
            </w:tcBorders>
            <w:hideMark/>
          </w:tcPr>
          <w:p w14:paraId="5C2A990D" w14:textId="77777777" w:rsidR="00801AF4" w:rsidRPr="00D40B09" w:rsidRDefault="00801AF4" w:rsidP="008B4BFB">
            <w:pPr>
              <w:spacing w:after="120"/>
              <w:jc w:val="left"/>
              <w:rPr>
                <w:rFonts w:cs="Arial"/>
                <w:lang w:val="es-419"/>
              </w:rPr>
            </w:pPr>
            <w:r w:rsidRPr="00D40B09">
              <w:rPr>
                <w:lang w:val="es-419"/>
              </w:rPr>
              <w:t>RE 4.2</w:t>
            </w:r>
          </w:p>
        </w:tc>
        <w:tc>
          <w:tcPr>
            <w:tcW w:w="7655" w:type="dxa"/>
            <w:tcBorders>
              <w:top w:val="nil"/>
              <w:left w:val="nil"/>
              <w:bottom w:val="nil"/>
              <w:right w:val="nil"/>
            </w:tcBorders>
            <w:hideMark/>
          </w:tcPr>
          <w:p w14:paraId="693E7544" w14:textId="77777777" w:rsidR="00801AF4" w:rsidRPr="00D40B09" w:rsidRDefault="00801AF4" w:rsidP="008B4BFB">
            <w:pPr>
              <w:spacing w:after="120"/>
              <w:jc w:val="left"/>
              <w:rPr>
                <w:rFonts w:cs="Arial"/>
                <w:lang w:val="es-419"/>
              </w:rPr>
            </w:pPr>
            <w:r w:rsidRPr="00D40B09">
              <w:rPr>
                <w:lang w:val="es-419"/>
              </w:rPr>
              <w:t>Una Secretaría empoderada y dotada de la formación y los recursos necesarios para trabajar de forma eficaz, colaborativa e innovadora</w:t>
            </w:r>
          </w:p>
        </w:tc>
      </w:tr>
    </w:tbl>
    <w:p w14:paraId="6A9D402E" w14:textId="77777777" w:rsidR="00801AF4" w:rsidRPr="00D40B09" w:rsidRDefault="00801AF4" w:rsidP="00801AF4">
      <w:pPr>
        <w:jc w:val="left"/>
        <w:rPr>
          <w:lang w:val="es-419"/>
        </w:rPr>
      </w:pPr>
    </w:p>
    <w:p w14:paraId="2DB408BE" w14:textId="77777777" w:rsidR="00801AF4" w:rsidRPr="00D40B09" w:rsidRDefault="00801AF4" w:rsidP="00801AF4">
      <w:pPr>
        <w:rPr>
          <w:b/>
          <w:bCs/>
          <w:lang w:val="es-419"/>
        </w:rPr>
      </w:pPr>
    </w:p>
    <w:bookmarkEnd w:id="3"/>
    <w:p w14:paraId="6EC0274E" w14:textId="77777777" w:rsidR="00801AF4" w:rsidRPr="00D40B09" w:rsidRDefault="00801AF4" w:rsidP="00801AF4">
      <w:pPr>
        <w:jc w:val="left"/>
        <w:rPr>
          <w:b/>
          <w:bCs/>
          <w:lang w:val="es-419"/>
        </w:rPr>
      </w:pPr>
      <w:r w:rsidRPr="00D40B09">
        <w:rPr>
          <w:lang w:val="es-419"/>
        </w:rPr>
        <w:br w:type="page"/>
      </w:r>
    </w:p>
    <w:p w14:paraId="55CA67D4" w14:textId="7280CA5D" w:rsidR="00EB0866" w:rsidRPr="00D40B09" w:rsidRDefault="00883A7B" w:rsidP="00801AF4">
      <w:pPr>
        <w:jc w:val="center"/>
        <w:rPr>
          <w:b/>
          <w:lang w:val="es-419"/>
        </w:rPr>
      </w:pPr>
      <w:r w:rsidRPr="00883A7B">
        <w:rPr>
          <w:b/>
          <w:lang w:val="es-419"/>
        </w:rPr>
        <w:lastRenderedPageBreak/>
        <w:t>HIPÓTESIS</w:t>
      </w:r>
      <w:r w:rsidR="00801AF4" w:rsidRPr="00D40B09">
        <w:rPr>
          <w:b/>
          <w:lang w:val="es-419"/>
        </w:rPr>
        <w:t xml:space="preserve"> 4 - “APLICACIÓN REDUCIDA DEL PLAN OPERATIVO ESTRATÉGICO”:</w:t>
      </w:r>
    </w:p>
    <w:p w14:paraId="0450F802" w14:textId="0B5BA4B5" w:rsidR="00801AF4" w:rsidRPr="00D40B09" w:rsidRDefault="00801AF4" w:rsidP="00801AF4">
      <w:pPr>
        <w:jc w:val="center"/>
        <w:rPr>
          <w:b/>
          <w:bCs/>
          <w:lang w:val="es-419"/>
        </w:rPr>
      </w:pPr>
      <w:r w:rsidRPr="00D40B09">
        <w:rPr>
          <w:b/>
          <w:lang w:val="es-419"/>
        </w:rPr>
        <w:t>AVANCE ESTRATÉGICO CON COMPROMISOS ESPECÍFICOS</w:t>
      </w:r>
    </w:p>
    <w:p w14:paraId="314724DE" w14:textId="77777777" w:rsidR="00801AF4" w:rsidRPr="00D40B09" w:rsidRDefault="00801AF4" w:rsidP="00801AF4">
      <w:pPr>
        <w:rPr>
          <w:lang w:val="es-419"/>
        </w:rPr>
      </w:pPr>
    </w:p>
    <w:p w14:paraId="115E1EB6" w14:textId="77777777" w:rsidR="00801AF4" w:rsidRPr="00D40B09" w:rsidRDefault="00801AF4" w:rsidP="00801AF4">
      <w:pPr>
        <w:rPr>
          <w:lang w:val="es-419"/>
        </w:rPr>
      </w:pPr>
    </w:p>
    <w:p w14:paraId="62CCD939" w14:textId="77777777" w:rsidR="00801AF4" w:rsidRPr="00D40B09" w:rsidRDefault="00801AF4" w:rsidP="00801AF4">
      <w:pPr>
        <w:ind w:left="709" w:hanging="709"/>
        <w:rPr>
          <w:b/>
          <w:bCs/>
          <w:i/>
          <w:iCs/>
          <w:lang w:val="es-419"/>
        </w:rPr>
      </w:pPr>
      <w:r w:rsidRPr="00D40B09">
        <w:rPr>
          <w:b/>
          <w:i/>
          <w:lang w:val="es-419"/>
        </w:rPr>
        <w:t>RE 1.1</w:t>
      </w:r>
      <w:r w:rsidRPr="00D40B09">
        <w:rPr>
          <w:b/>
          <w:i/>
          <w:lang w:val="es-419"/>
        </w:rPr>
        <w:tab/>
        <w:t>Gobernanza del Consejo de la UPOV y labor de los comités y otros órganos de la UPOV</w:t>
      </w:r>
    </w:p>
    <w:p w14:paraId="67B646E2" w14:textId="77777777" w:rsidR="00801AF4" w:rsidRPr="00D40B09" w:rsidRDefault="00801AF4" w:rsidP="00801AF4">
      <w:pPr>
        <w:rPr>
          <w:b/>
          <w:bCs/>
          <w:i/>
          <w:iCs/>
          <w:lang w:val="es-419"/>
        </w:rPr>
      </w:pPr>
    </w:p>
    <w:p w14:paraId="5C020DD1" w14:textId="76209B06" w:rsidR="00EB0866" w:rsidRPr="00D40B09" w:rsidRDefault="00801AF4" w:rsidP="00801AF4">
      <w:pPr>
        <w:numPr>
          <w:ilvl w:val="0"/>
          <w:numId w:val="2"/>
        </w:numPr>
        <w:rPr>
          <w:lang w:val="es-419"/>
        </w:rPr>
      </w:pPr>
      <w:r w:rsidRPr="00D40B09">
        <w:rPr>
          <w:b/>
          <w:lang w:val="es-419"/>
        </w:rPr>
        <w:t>La UPOV aplica su visión estratégica a un ritmo más lento y con menos ambición</w:t>
      </w:r>
      <w:r w:rsidRPr="00D40B09">
        <w:rPr>
          <w:lang w:val="es-419"/>
        </w:rPr>
        <w:t>, por lo que no se conseguirá una protección de las obtenciones vegetales moderna, armonizada y de confianza a escala mundial, coherente con las tendencias tecnológicas y de sostenibilidad, así como con las necesidades de las partes interesadas, para finales del período del Plan Operativo Estratégico</w:t>
      </w:r>
      <w:r w:rsidR="007A10A2" w:rsidRPr="00D40B09">
        <w:rPr>
          <w:lang w:val="es-419"/>
        </w:rPr>
        <w:t> </w:t>
      </w:r>
      <w:r w:rsidRPr="00D40B09">
        <w:rPr>
          <w:lang w:val="es-419"/>
        </w:rPr>
        <w:t>2026</w:t>
      </w:r>
      <w:r w:rsidR="007A10A2" w:rsidRPr="00D40B09">
        <w:rPr>
          <w:lang w:val="es-419"/>
        </w:rPr>
        <w:sym w:font="Symbol" w:char="F02D"/>
      </w:r>
      <w:r w:rsidRPr="00D40B09">
        <w:rPr>
          <w:lang w:val="es-419"/>
        </w:rPr>
        <w:t>2029. Algunas ambiciones estratégicas y de cooperación siguen teniendo un alcance limitado.</w:t>
      </w:r>
    </w:p>
    <w:p w14:paraId="24CDB856" w14:textId="17CAD961" w:rsidR="00801AF4" w:rsidRPr="00D40B09" w:rsidRDefault="00801AF4" w:rsidP="00801AF4">
      <w:pPr>
        <w:ind w:left="360"/>
        <w:rPr>
          <w:rFonts w:cs="Arial"/>
          <w:lang w:val="es-419"/>
          <w14:ligatures w14:val="standardContextual"/>
        </w:rPr>
      </w:pPr>
    </w:p>
    <w:p w14:paraId="03257F6E" w14:textId="77777777" w:rsidR="00801AF4" w:rsidRPr="00D40B09" w:rsidRDefault="00801AF4" w:rsidP="00801AF4">
      <w:pPr>
        <w:pStyle w:val="ListParagraph"/>
        <w:numPr>
          <w:ilvl w:val="0"/>
          <w:numId w:val="9"/>
        </w:numPr>
        <w:rPr>
          <w:lang w:val="es-419"/>
        </w:rPr>
      </w:pPr>
      <w:r w:rsidRPr="00D40B09">
        <w:rPr>
          <w:b/>
          <w:lang w:val="es-419"/>
        </w:rPr>
        <w:t>La UPOV solo puede posicionarse parcialmente como líder mundial dinámico</w:t>
      </w:r>
      <w:r w:rsidRPr="00D40B09">
        <w:rPr>
          <w:lang w:val="es-419"/>
        </w:rPr>
        <w:t xml:space="preserve"> que facilita los debates normativos, tanto en su seno como en otras organizaciones internacionales importantes para su mandato, debido a la falta de recursos para analizar datos con miras a reconocer tendencias y medidas que generen impacto.</w:t>
      </w:r>
    </w:p>
    <w:p w14:paraId="50965DAD" w14:textId="77777777" w:rsidR="00801AF4" w:rsidRPr="00D40B09" w:rsidRDefault="00801AF4" w:rsidP="00801AF4">
      <w:pPr>
        <w:ind w:left="709" w:hanging="709"/>
        <w:rPr>
          <w:rFonts w:cs="Arial"/>
          <w:b/>
          <w:bCs/>
          <w:i/>
          <w:iCs/>
          <w:lang w:val="es-419"/>
          <w14:ligatures w14:val="standardContextual"/>
        </w:rPr>
      </w:pPr>
    </w:p>
    <w:p w14:paraId="339490F7" w14:textId="77777777" w:rsidR="00801AF4" w:rsidRPr="00D40B09" w:rsidRDefault="00801AF4" w:rsidP="00801AF4">
      <w:pPr>
        <w:ind w:left="709" w:hanging="709"/>
        <w:rPr>
          <w:rFonts w:cs="Arial"/>
          <w:b/>
          <w:bCs/>
          <w:i/>
          <w:iCs/>
          <w:lang w:val="es-419"/>
          <w14:ligatures w14:val="standardContextual"/>
        </w:rPr>
      </w:pPr>
      <w:r w:rsidRPr="00D40B09">
        <w:rPr>
          <w:b/>
          <w:i/>
          <w:lang w:val="es-419"/>
        </w:rPr>
        <w:t>RE 1.2</w:t>
      </w:r>
      <w:r w:rsidRPr="00D40B09">
        <w:rPr>
          <w:b/>
          <w:i/>
          <w:lang w:val="es-419"/>
        </w:rPr>
        <w:tab/>
        <w:t>Elaboración de legislación sobre la protección de las obtenciones vegetales de conformidad con el Acta de 1991 del Convenio de la UPOV</w:t>
      </w:r>
    </w:p>
    <w:p w14:paraId="658A1969" w14:textId="77777777" w:rsidR="00801AF4" w:rsidRPr="00D40B09" w:rsidRDefault="00801AF4" w:rsidP="00801AF4">
      <w:pPr>
        <w:rPr>
          <w:rFonts w:cs="Arial"/>
          <w:b/>
          <w:bCs/>
          <w:i/>
          <w:iCs/>
          <w:lang w:val="es-419"/>
          <w14:ligatures w14:val="standardContextual"/>
        </w:rPr>
      </w:pPr>
    </w:p>
    <w:p w14:paraId="7DFDCE7F" w14:textId="77777777" w:rsidR="00801AF4" w:rsidRPr="00D40B09" w:rsidRDefault="00801AF4" w:rsidP="00801AF4">
      <w:pPr>
        <w:pStyle w:val="ListParagraph"/>
        <w:numPr>
          <w:ilvl w:val="0"/>
          <w:numId w:val="6"/>
        </w:numPr>
        <w:rPr>
          <w:rFonts w:cs="Arial"/>
          <w:lang w:val="es-419"/>
          <w14:ligatures w14:val="standardContextual"/>
        </w:rPr>
      </w:pPr>
      <w:r w:rsidRPr="00D40B09">
        <w:rPr>
          <w:b/>
          <w:lang w:val="es-419"/>
        </w:rPr>
        <w:t>Apoyo legislativo integral</w:t>
      </w:r>
      <w:r w:rsidRPr="00D40B09">
        <w:rPr>
          <w:lang w:val="es-419"/>
        </w:rPr>
        <w:t xml:space="preserve"> para acelerar la expansión del número de miembros, que incluirá actividades de divulgación dirigidas a las partes interesadas nacionales pertinentes para mostrar cómo la pertenencia a la UPOV contribuye al desarrollo agrícola y apoya los objetivos nacionales de desarrollo. Para satisfacer la creciente demanda de asistencia legislativa en materia de protección de las obtenciones vegetales, sería necesaria la contratación de un experto jurídico</w:t>
      </w:r>
      <w:r w:rsidRPr="00D40B09">
        <w:rPr>
          <w:rStyle w:val="FootnoteReference"/>
          <w:rFonts w:cs="Arial"/>
          <w:lang w:val="es-419"/>
        </w:rPr>
        <w:footnoteReference w:id="2"/>
      </w:r>
      <w:r w:rsidRPr="00D40B09">
        <w:rPr>
          <w:lang w:val="es-419"/>
        </w:rPr>
        <w:t xml:space="preserve"> (0,5 ETC</w:t>
      </w:r>
      <w:r w:rsidRPr="00D40B09">
        <w:rPr>
          <w:rStyle w:val="FootnoteReference"/>
          <w:rFonts w:cs="Arial"/>
          <w:lang w:val="es-419"/>
        </w:rPr>
        <w:footnoteReference w:id="3"/>
      </w:r>
      <w:r w:rsidRPr="00D40B09">
        <w:rPr>
          <w:lang w:val="es-419"/>
        </w:rPr>
        <w:t>).</w:t>
      </w:r>
    </w:p>
    <w:p w14:paraId="0CE7D9EC" w14:textId="77777777" w:rsidR="00801AF4" w:rsidRPr="00D40B09" w:rsidRDefault="00801AF4" w:rsidP="00801AF4">
      <w:pPr>
        <w:pStyle w:val="ListParagraph"/>
        <w:rPr>
          <w:rFonts w:cs="Arial"/>
          <w:lang w:val="es-419"/>
          <w14:ligatures w14:val="standardContextual"/>
        </w:rPr>
      </w:pPr>
    </w:p>
    <w:p w14:paraId="359FE8E9" w14:textId="00E16453" w:rsidR="00801AF4" w:rsidRPr="00D40B09" w:rsidRDefault="00801AF4" w:rsidP="00801AF4">
      <w:pPr>
        <w:pStyle w:val="ListParagraph"/>
        <w:rPr>
          <w:rFonts w:cs="Arial"/>
          <w:lang w:val="es-419"/>
          <w14:ligatures w14:val="standardContextual"/>
        </w:rPr>
      </w:pPr>
      <w:r w:rsidRPr="00D40B09">
        <w:rPr>
          <w:lang w:val="es-419"/>
        </w:rPr>
        <w:t>La interacción presencial con los futuros miembros es esencial para entender plenamente los objetivos de las políticas y los contextos locales, así como fomentar la colaboración con los responsables de las políticas y las partes interesadas.</w:t>
      </w:r>
      <w:r w:rsidR="00EB0866" w:rsidRPr="00D40B09">
        <w:rPr>
          <w:lang w:val="es-419"/>
        </w:rPr>
        <w:t xml:space="preserve"> </w:t>
      </w:r>
      <w:r w:rsidRPr="00D40B09">
        <w:rPr>
          <w:lang w:val="es-419"/>
        </w:rPr>
        <w:t xml:space="preserve">El análisis de escritorio y los intercambios virtuales no bastan por sí solos para proporcionar el nivel de asistencia eficaz necesario para alcanzar este objetivo. Por lo tanto, esos enfoques de aplicación se combinarán con un apoyo legislativo in situ en el que participarán </w:t>
      </w:r>
      <w:r w:rsidR="00BE4556">
        <w:rPr>
          <w:lang w:val="es-419"/>
        </w:rPr>
        <w:t xml:space="preserve">el </w:t>
      </w:r>
      <w:r w:rsidR="00BE4556" w:rsidRPr="00D40B09">
        <w:rPr>
          <w:lang w:val="es-419"/>
        </w:rPr>
        <w:t xml:space="preserve">personal </w:t>
      </w:r>
      <w:r w:rsidRPr="00D40B09">
        <w:rPr>
          <w:lang w:val="es-419"/>
        </w:rPr>
        <w:t>de la UPOV</w:t>
      </w:r>
      <w:r w:rsidR="00BE4556">
        <w:rPr>
          <w:lang w:val="es-419"/>
        </w:rPr>
        <w:t xml:space="preserve"> y </w:t>
      </w:r>
      <w:r w:rsidR="00BE4556" w:rsidRPr="00D40B09">
        <w:rPr>
          <w:lang w:val="es-419"/>
        </w:rPr>
        <w:t>expertos</w:t>
      </w:r>
      <w:r w:rsidRPr="00D40B09">
        <w:rPr>
          <w:lang w:val="es-419"/>
        </w:rPr>
        <w:t>, lo que hará necesarios 50 000 CHF en recursos no relativos a personal (actualmente no presupuestados).</w:t>
      </w:r>
    </w:p>
    <w:p w14:paraId="52B6F2A2" w14:textId="77777777" w:rsidR="00801AF4" w:rsidRPr="00D40B09" w:rsidRDefault="00801AF4" w:rsidP="00801AF4">
      <w:pPr>
        <w:pStyle w:val="ListParagraph"/>
        <w:rPr>
          <w:rFonts w:cs="Arial"/>
          <w:lang w:val="es-419"/>
          <w14:ligatures w14:val="standardContextual"/>
        </w:rPr>
      </w:pPr>
    </w:p>
    <w:p w14:paraId="4F870F56" w14:textId="77777777" w:rsidR="00801AF4" w:rsidRPr="00D40B09" w:rsidRDefault="00801AF4" w:rsidP="00801AF4">
      <w:pPr>
        <w:ind w:left="709" w:hanging="709"/>
        <w:rPr>
          <w:rFonts w:cs="Arial"/>
          <w:b/>
          <w:bCs/>
          <w:i/>
          <w:iCs/>
          <w:lang w:val="es-419"/>
        </w:rPr>
      </w:pPr>
    </w:p>
    <w:p w14:paraId="0B6431F5" w14:textId="77777777" w:rsidR="00801AF4" w:rsidRPr="00D40B09" w:rsidRDefault="00801AF4" w:rsidP="00801AF4">
      <w:pPr>
        <w:ind w:left="709" w:hanging="709"/>
        <w:rPr>
          <w:rFonts w:cs="Arial"/>
          <w:b/>
          <w:bCs/>
          <w:i/>
          <w:iCs/>
          <w:lang w:val="es-419"/>
        </w:rPr>
      </w:pPr>
      <w:r w:rsidRPr="00D40B09">
        <w:rPr>
          <w:b/>
          <w:i/>
          <w:lang w:val="es-419"/>
        </w:rPr>
        <w:t>RE 2.1</w:t>
      </w:r>
      <w:r w:rsidRPr="00D40B09">
        <w:rPr>
          <w:b/>
          <w:i/>
          <w:lang w:val="es-419"/>
        </w:rPr>
        <w:tab/>
        <w:t>Sensibilización sobre la función que cumple el sistema de la UPOV</w:t>
      </w:r>
    </w:p>
    <w:p w14:paraId="1DDD4412" w14:textId="77777777" w:rsidR="00801AF4" w:rsidRPr="00D40B09" w:rsidRDefault="00801AF4" w:rsidP="00801AF4">
      <w:pPr>
        <w:rPr>
          <w:rFonts w:cs="Arial"/>
          <w:b/>
          <w:bCs/>
          <w:i/>
          <w:iCs/>
          <w:lang w:val="es-419"/>
        </w:rPr>
      </w:pPr>
    </w:p>
    <w:p w14:paraId="74D9A6E9" w14:textId="630D641B" w:rsidR="00EB0866" w:rsidRPr="00D40B09" w:rsidRDefault="00801AF4" w:rsidP="00801AF4">
      <w:pPr>
        <w:pStyle w:val="ListParagraph"/>
        <w:numPr>
          <w:ilvl w:val="0"/>
          <w:numId w:val="6"/>
        </w:numPr>
        <w:rPr>
          <w:lang w:val="es-419"/>
        </w:rPr>
      </w:pPr>
      <w:r w:rsidRPr="00D40B09">
        <w:rPr>
          <w:lang w:val="es-419"/>
        </w:rPr>
        <w:t xml:space="preserve">Si bien </w:t>
      </w:r>
      <w:r w:rsidRPr="00D40B09">
        <w:rPr>
          <w:b/>
          <w:lang w:val="es-419"/>
        </w:rPr>
        <w:t>se refuerzan la difusión y la comunicación para consolidar la legitimidad de la UPOV</w:t>
      </w:r>
      <w:r w:rsidRPr="00D40B09">
        <w:rPr>
          <w:lang w:val="es-419"/>
        </w:rPr>
        <w:t>, la expansión multilingüe y la presencia mundial no se materializan plenamente debido a la falta de recursos. Se estima que las mejoras mínimas de las funcionalidades del sitio web costarán 15 000 CHF (actualmente no presupuestad</w:t>
      </w:r>
      <w:r w:rsidR="00BE4556">
        <w:rPr>
          <w:lang w:val="es-419"/>
        </w:rPr>
        <w:t>a</w:t>
      </w:r>
      <w:r w:rsidRPr="00D40B09">
        <w:rPr>
          <w:lang w:val="es-419"/>
        </w:rPr>
        <w:t>s). El presupuesto para el mantenimiento y desarrollo del sitio web de la UPOV asciende actualmente a 21 000 CHF.</w:t>
      </w:r>
    </w:p>
    <w:p w14:paraId="44756914" w14:textId="426341A1" w:rsidR="00801AF4" w:rsidRPr="00D40B09" w:rsidRDefault="00801AF4" w:rsidP="00801AF4">
      <w:pPr>
        <w:rPr>
          <w:rFonts w:cs="Arial"/>
          <w:lang w:val="es-419"/>
          <w14:ligatures w14:val="standardContextual"/>
        </w:rPr>
      </w:pPr>
    </w:p>
    <w:p w14:paraId="674D0B11" w14:textId="77777777" w:rsidR="00801AF4" w:rsidRPr="00D40B09" w:rsidRDefault="00801AF4" w:rsidP="00801AF4">
      <w:pPr>
        <w:ind w:left="709" w:hanging="709"/>
        <w:rPr>
          <w:rFonts w:cs="Arial"/>
          <w:b/>
          <w:bCs/>
          <w:i/>
          <w:iCs/>
          <w:lang w:val="es-419"/>
        </w:rPr>
      </w:pPr>
    </w:p>
    <w:p w14:paraId="11AE6D1C" w14:textId="77777777" w:rsidR="00801AF4" w:rsidRPr="00D40B09" w:rsidRDefault="00801AF4" w:rsidP="00801AF4">
      <w:pPr>
        <w:ind w:left="709" w:hanging="709"/>
        <w:rPr>
          <w:rFonts w:cs="Arial"/>
          <w:b/>
          <w:bCs/>
          <w:i/>
          <w:iCs/>
          <w:lang w:val="es-419"/>
          <w14:ligatures w14:val="standardContextual"/>
        </w:rPr>
      </w:pPr>
      <w:r w:rsidRPr="00D40B09">
        <w:rPr>
          <w:b/>
          <w:i/>
          <w:lang w:val="es-419"/>
        </w:rPr>
        <w:t>RE 2.2</w:t>
      </w:r>
      <w:r w:rsidRPr="00D40B09">
        <w:rPr>
          <w:b/>
          <w:i/>
          <w:lang w:val="es-419"/>
        </w:rPr>
        <w:tab/>
        <w:t>Orientación y asistencia sobre el Convenio de la UPOV y su aplicación</w:t>
      </w:r>
    </w:p>
    <w:p w14:paraId="6B9C8E28" w14:textId="77777777" w:rsidR="00801AF4" w:rsidRPr="00D40B09" w:rsidRDefault="00801AF4" w:rsidP="00801AF4">
      <w:pPr>
        <w:pStyle w:val="ListParagraph"/>
        <w:ind w:left="360"/>
        <w:rPr>
          <w:rFonts w:cs="Arial"/>
          <w:b/>
          <w:bCs/>
          <w:i/>
          <w:iCs/>
          <w:lang w:val="es-419"/>
          <w14:ligatures w14:val="standardContextual"/>
        </w:rPr>
      </w:pPr>
    </w:p>
    <w:p w14:paraId="459776CF" w14:textId="77777777" w:rsidR="00EB0866" w:rsidRPr="00D40B09" w:rsidRDefault="00801AF4" w:rsidP="00801AF4">
      <w:pPr>
        <w:numPr>
          <w:ilvl w:val="0"/>
          <w:numId w:val="4"/>
        </w:numPr>
        <w:rPr>
          <w:lang w:val="es-419"/>
        </w:rPr>
      </w:pPr>
      <w:r w:rsidRPr="00D40B09">
        <w:rPr>
          <w:b/>
          <w:lang w:val="es-419"/>
        </w:rPr>
        <w:t>La capacitación para la aplicación de la protección de las obtenciones vegetales sigue activa</w:t>
      </w:r>
      <w:r w:rsidRPr="00D40B09">
        <w:rPr>
          <w:lang w:val="es-419"/>
        </w:rPr>
        <w:t>, aunque con menos colaboraciones académicas y una transferencia de conocimientos limitada. La capacidad para apoyar a los miembros o a los nuevos obtentores es limitada.</w:t>
      </w:r>
    </w:p>
    <w:p w14:paraId="43FE2AA7" w14:textId="74E9BA28" w:rsidR="00801AF4" w:rsidRPr="00D40B09" w:rsidRDefault="00801AF4" w:rsidP="00801AF4">
      <w:pPr>
        <w:ind w:left="720"/>
        <w:rPr>
          <w:rFonts w:cs="Arial"/>
          <w:lang w:val="es-419"/>
          <w14:ligatures w14:val="standardContextual"/>
        </w:rPr>
      </w:pPr>
    </w:p>
    <w:p w14:paraId="0FB656CA" w14:textId="77777777" w:rsidR="00EB0866" w:rsidRPr="00D40B09" w:rsidRDefault="00801AF4" w:rsidP="00801AF4">
      <w:pPr>
        <w:ind w:left="720"/>
        <w:rPr>
          <w:lang w:val="es-419"/>
        </w:rPr>
      </w:pPr>
      <w:r w:rsidRPr="00D40B09">
        <w:rPr>
          <w:lang w:val="es-419"/>
        </w:rPr>
        <w:t>Los programas de enseñanza a distancia de la UPOV permanecen sin actualizaciones de contenido y/o diseño. El programa ejecutivo</w:t>
      </w:r>
      <w:r w:rsidRPr="00D40B09">
        <w:rPr>
          <w:rStyle w:val="FootnoteReference"/>
          <w:rFonts w:cs="Arial"/>
          <w:lang w:val="es-419"/>
        </w:rPr>
        <w:footnoteReference w:id="4"/>
      </w:r>
      <w:r w:rsidRPr="00D40B09">
        <w:rPr>
          <w:lang w:val="es-419"/>
        </w:rPr>
        <w:t xml:space="preserve"> de la UPOV no puede organizarse.</w:t>
      </w:r>
    </w:p>
    <w:p w14:paraId="7423ED5D" w14:textId="2F4BF302" w:rsidR="00801AF4" w:rsidRPr="00D40B09" w:rsidRDefault="00801AF4" w:rsidP="00801AF4">
      <w:pPr>
        <w:ind w:left="720"/>
        <w:rPr>
          <w:rFonts w:cs="Arial"/>
          <w:lang w:val="es-419"/>
          <w14:ligatures w14:val="standardContextual"/>
        </w:rPr>
      </w:pPr>
    </w:p>
    <w:p w14:paraId="2155F06A" w14:textId="77777777" w:rsidR="00801AF4" w:rsidRPr="00D40B09" w:rsidRDefault="00801AF4" w:rsidP="00801AF4">
      <w:pPr>
        <w:pStyle w:val="ListParagraph"/>
        <w:rPr>
          <w:rFonts w:cs="Arial"/>
          <w:lang w:val="es-419"/>
          <w14:ligatures w14:val="standardContextual"/>
        </w:rPr>
      </w:pPr>
      <w:r w:rsidRPr="00D40B09">
        <w:rPr>
          <w:lang w:val="es-419"/>
        </w:rPr>
        <w:t>El fortalecimiento de las capacidades de los miembros para aplicar el sistema de protección de las obtenciones vegetales está limitado (30 000 CHF para eventos), por lo que la transferencia de conocimientos y la asistencia práctica son escasas. Actualmente, esta partida no está presupuestada.</w:t>
      </w:r>
    </w:p>
    <w:p w14:paraId="62929840" w14:textId="77777777" w:rsidR="00801AF4" w:rsidRPr="00D40B09" w:rsidRDefault="00801AF4" w:rsidP="00801AF4">
      <w:pPr>
        <w:keepNext/>
        <w:ind w:left="709" w:hanging="709"/>
        <w:rPr>
          <w:rFonts w:cs="Arial"/>
          <w:b/>
          <w:bCs/>
          <w:i/>
          <w:iCs/>
          <w:lang w:val="es-419"/>
        </w:rPr>
      </w:pPr>
    </w:p>
    <w:p w14:paraId="2CE7B813" w14:textId="77777777" w:rsidR="00801AF4" w:rsidRPr="00D40B09" w:rsidRDefault="00801AF4" w:rsidP="00801AF4">
      <w:pPr>
        <w:keepNext/>
        <w:ind w:left="709" w:hanging="709"/>
        <w:rPr>
          <w:rFonts w:cs="Arial"/>
          <w:b/>
          <w:bCs/>
          <w:i/>
          <w:iCs/>
          <w:lang w:val="es-419"/>
        </w:rPr>
      </w:pPr>
      <w:r w:rsidRPr="00D40B09">
        <w:rPr>
          <w:b/>
          <w:i/>
          <w:lang w:val="es-419"/>
        </w:rPr>
        <w:t>RE 2.3</w:t>
      </w:r>
      <w:r w:rsidRPr="00D40B09">
        <w:rPr>
          <w:b/>
          <w:i/>
          <w:lang w:val="es-419"/>
        </w:rPr>
        <w:tab/>
        <w:t>Mayor armonización y cooperación en los exámenes</w:t>
      </w:r>
    </w:p>
    <w:p w14:paraId="508D8F29" w14:textId="77777777" w:rsidR="00801AF4" w:rsidRPr="00D40B09" w:rsidRDefault="00801AF4" w:rsidP="00801AF4">
      <w:pPr>
        <w:keepNext/>
        <w:rPr>
          <w:lang w:val="es-419"/>
        </w:rPr>
      </w:pPr>
    </w:p>
    <w:p w14:paraId="61BA0510" w14:textId="788A5EB9" w:rsidR="00801AF4" w:rsidRPr="00D40B09" w:rsidRDefault="00801AF4" w:rsidP="00801AF4">
      <w:pPr>
        <w:numPr>
          <w:ilvl w:val="0"/>
          <w:numId w:val="2"/>
        </w:numPr>
        <w:rPr>
          <w:rFonts w:cs="Arial"/>
          <w:lang w:val="es-419"/>
          <w14:ligatures w14:val="standardContextual"/>
        </w:rPr>
      </w:pPr>
      <w:r w:rsidRPr="00D40B09">
        <w:rPr>
          <w:b/>
          <w:bCs/>
          <w:lang w:val="es-419"/>
        </w:rPr>
        <w:t>Mejoran la armonización y la cooperación</w:t>
      </w:r>
      <w:r w:rsidRPr="00D40B09">
        <w:rPr>
          <w:lang w:val="es-419"/>
        </w:rPr>
        <w:t>, lo que incluye un mayor intercambio de orientaciones sobre el examen DHE para respaldar la aplicación de la protección de las obtenciones vegetales. Sin embargo, los avances en el proyecto UPOV PRISMA plus</w:t>
      </w:r>
      <w:r w:rsidRPr="00D40B09">
        <w:rPr>
          <w:rStyle w:val="FootnoteReference"/>
          <w:rFonts w:cs="Arial"/>
          <w:lang w:val="es-419"/>
        </w:rPr>
        <w:footnoteReference w:id="5"/>
      </w:r>
      <w:r w:rsidRPr="00D40B09">
        <w:rPr>
          <w:lang w:val="es-419"/>
        </w:rPr>
        <w:t xml:space="preserve"> son sumamente limitados.</w:t>
      </w:r>
    </w:p>
    <w:p w14:paraId="3861299A" w14:textId="77777777" w:rsidR="00801AF4" w:rsidRPr="00D40B09" w:rsidRDefault="00801AF4" w:rsidP="00801AF4">
      <w:pPr>
        <w:ind w:left="720"/>
        <w:rPr>
          <w:rFonts w:cs="Arial"/>
          <w:lang w:val="es-419"/>
          <w14:ligatures w14:val="standardContextual"/>
        </w:rPr>
      </w:pPr>
    </w:p>
    <w:p w14:paraId="2515FAA3" w14:textId="268FA331" w:rsidR="00EB0866" w:rsidRPr="00D40B09" w:rsidRDefault="00801AF4" w:rsidP="00801AF4">
      <w:pPr>
        <w:pStyle w:val="ListParagraph"/>
        <w:numPr>
          <w:ilvl w:val="0"/>
          <w:numId w:val="2"/>
        </w:numPr>
        <w:rPr>
          <w:lang w:val="es-419"/>
        </w:rPr>
      </w:pPr>
      <w:r w:rsidRPr="00D40B09">
        <w:rPr>
          <w:b/>
          <w:lang w:val="es-419"/>
        </w:rPr>
        <w:t>Se podrán realizar actualizaciones de la plantilla de directrices TG para el examen D</w:t>
      </w:r>
      <w:r w:rsidRPr="00D40B09">
        <w:rPr>
          <w:b/>
          <w:bCs/>
          <w:lang w:val="es-419"/>
        </w:rPr>
        <w:t>HE y la cooperación</w:t>
      </w:r>
      <w:r w:rsidR="00BE4556">
        <w:rPr>
          <w:b/>
          <w:bCs/>
          <w:lang w:val="es-419"/>
        </w:rPr>
        <w:t xml:space="preserve"> (TG</w:t>
      </w:r>
      <w:r w:rsidR="00F102C4">
        <w:rPr>
          <w:b/>
          <w:bCs/>
          <w:lang w:val="es-419"/>
        </w:rPr>
        <w:t xml:space="preserve"> </w:t>
      </w:r>
      <w:r w:rsidR="00BE4556">
        <w:rPr>
          <w:b/>
          <w:bCs/>
          <w:lang w:val="es-419"/>
        </w:rPr>
        <w:t>Template)</w:t>
      </w:r>
      <w:r w:rsidRPr="00D40B09">
        <w:rPr>
          <w:lang w:val="es-419"/>
        </w:rPr>
        <w:t>, incluido el apoyo a los grupos de trabajo técnicos, aunque la participación de estos grupos será principalmente virtual, mediante una combinación de medios virtuales y asistencia presencial.</w:t>
      </w:r>
      <w:r w:rsidR="00EB0866" w:rsidRPr="00D40B09">
        <w:rPr>
          <w:lang w:val="es-419"/>
        </w:rPr>
        <w:t xml:space="preserve"> </w:t>
      </w:r>
      <w:r w:rsidRPr="00D40B09">
        <w:rPr>
          <w:lang w:val="es-419"/>
        </w:rPr>
        <w:t xml:space="preserve">No obstante, se pospondrá el desarrollo de nuevas funciones para </w:t>
      </w:r>
      <w:r w:rsidR="00F102C4">
        <w:rPr>
          <w:lang w:val="es-419"/>
        </w:rPr>
        <w:t xml:space="preserve">apoyar a </w:t>
      </w:r>
      <w:r w:rsidRPr="00D40B09">
        <w:rPr>
          <w:lang w:val="es-419"/>
        </w:rPr>
        <w:t xml:space="preserve">las autoridades </w:t>
      </w:r>
      <w:r w:rsidR="00F102C4">
        <w:rPr>
          <w:lang w:val="es-419"/>
        </w:rPr>
        <w:t>en la elaboración de</w:t>
      </w:r>
      <w:r w:rsidRPr="00D40B09">
        <w:rPr>
          <w:lang w:val="es-419"/>
        </w:rPr>
        <w:t xml:space="preserve"> directrices </w:t>
      </w:r>
      <w:r w:rsidR="00BE4556" w:rsidRPr="00D40B09">
        <w:rPr>
          <w:lang w:val="es-419"/>
        </w:rPr>
        <w:t xml:space="preserve">nacionales y regionales </w:t>
      </w:r>
      <w:r w:rsidRPr="00D40B09">
        <w:rPr>
          <w:lang w:val="es-419"/>
        </w:rPr>
        <w:t>de examen basadas en las orientaciones de la UPOV.</w:t>
      </w:r>
    </w:p>
    <w:p w14:paraId="6486A895" w14:textId="6144BD10" w:rsidR="00801AF4" w:rsidRPr="00D40B09" w:rsidRDefault="00801AF4" w:rsidP="00801AF4">
      <w:pPr>
        <w:pStyle w:val="ListParagraph"/>
        <w:rPr>
          <w:rFonts w:cs="Arial"/>
          <w:lang w:val="es-419"/>
          <w14:ligatures w14:val="standardContextual"/>
        </w:rPr>
      </w:pPr>
    </w:p>
    <w:p w14:paraId="7EFC5898" w14:textId="5C0AF959" w:rsidR="00EB0866" w:rsidRPr="00D40B09" w:rsidRDefault="00801AF4" w:rsidP="00801AF4">
      <w:pPr>
        <w:pStyle w:val="ListParagraph"/>
        <w:rPr>
          <w:lang w:val="es-419"/>
        </w:rPr>
      </w:pPr>
      <w:r w:rsidRPr="00D40B09">
        <w:rPr>
          <w:lang w:val="es-419"/>
        </w:rPr>
        <w:t>Las actualizaciones de la plantilla TG harán necesarios 70 000 CHF adicionales.</w:t>
      </w:r>
      <w:r w:rsidR="00EB0866" w:rsidRPr="00D40B09">
        <w:rPr>
          <w:lang w:val="es-419"/>
        </w:rPr>
        <w:t xml:space="preserve"> </w:t>
      </w:r>
      <w:r w:rsidRPr="00D40B09">
        <w:rPr>
          <w:lang w:val="es-419"/>
        </w:rPr>
        <w:t>Actualmente, solo el mantenimiento está presupuestado en 37 500 CHF.</w:t>
      </w:r>
      <w:r w:rsidR="00EB0866" w:rsidRPr="00D40B09">
        <w:rPr>
          <w:lang w:val="es-419"/>
        </w:rPr>
        <w:t xml:space="preserve"> </w:t>
      </w:r>
      <w:r w:rsidRPr="00D40B09">
        <w:rPr>
          <w:lang w:val="es-419"/>
        </w:rPr>
        <w:t xml:space="preserve">Para satisfacer algunas de las demandas de asistencia técnica, sería necesaria la contratación de un experto técnico (0,5 ETC). Además, para que el personal de la UPOV pueda prestar apoyo técnico </w:t>
      </w:r>
      <w:r w:rsidR="00F102C4" w:rsidRPr="00D40B09">
        <w:rPr>
          <w:lang w:val="es-419"/>
        </w:rPr>
        <w:t>presencial,</w:t>
      </w:r>
      <w:r w:rsidRPr="00D40B09">
        <w:rPr>
          <w:lang w:val="es-419"/>
        </w:rPr>
        <w:t xml:space="preserve"> serían necesarios 25 000 CHF adicionales.</w:t>
      </w:r>
    </w:p>
    <w:p w14:paraId="64DE54EA" w14:textId="5A8D6F86" w:rsidR="00801AF4" w:rsidRPr="00D40B09" w:rsidRDefault="00801AF4" w:rsidP="00801AF4">
      <w:pPr>
        <w:pStyle w:val="ListParagraph"/>
        <w:rPr>
          <w:rFonts w:cs="Arial"/>
          <w:lang w:val="es-419"/>
          <w14:ligatures w14:val="standardContextual"/>
        </w:rPr>
      </w:pPr>
    </w:p>
    <w:p w14:paraId="406C83C1" w14:textId="77777777" w:rsidR="00801AF4" w:rsidRPr="00D40B09" w:rsidRDefault="00801AF4" w:rsidP="00801AF4">
      <w:pPr>
        <w:rPr>
          <w:rFonts w:cs="Arial"/>
          <w:lang w:val="es-419"/>
          <w14:ligatures w14:val="standardContextual"/>
        </w:rPr>
      </w:pPr>
    </w:p>
    <w:p w14:paraId="1E07486D" w14:textId="77777777" w:rsidR="00801AF4" w:rsidRPr="00D40B09" w:rsidRDefault="00801AF4" w:rsidP="00801AF4">
      <w:pPr>
        <w:ind w:left="709" w:hanging="709"/>
        <w:rPr>
          <w:rFonts w:cs="Arial"/>
          <w:b/>
          <w:bCs/>
          <w:i/>
          <w:iCs/>
          <w:lang w:val="es-419"/>
          <w14:ligatures w14:val="standardContextual"/>
        </w:rPr>
      </w:pPr>
      <w:r w:rsidRPr="00D40B09">
        <w:rPr>
          <w:b/>
          <w:i/>
          <w:lang w:val="es-419"/>
        </w:rPr>
        <w:t>RE 3.1</w:t>
      </w:r>
      <w:r w:rsidRPr="00D40B09">
        <w:rPr>
          <w:b/>
          <w:i/>
          <w:lang w:val="es-419"/>
        </w:rPr>
        <w:tab/>
        <w:t>Desarrollo de los servicios del sistema e-PVP de la UPOV</w:t>
      </w:r>
    </w:p>
    <w:p w14:paraId="187231C0" w14:textId="77777777" w:rsidR="00801AF4" w:rsidRPr="00D40B09" w:rsidRDefault="00801AF4" w:rsidP="00801AF4">
      <w:pPr>
        <w:ind w:left="720"/>
        <w:rPr>
          <w:rFonts w:cs="Arial"/>
          <w:lang w:val="es-419"/>
          <w14:ligatures w14:val="standardContextual"/>
        </w:rPr>
      </w:pPr>
    </w:p>
    <w:p w14:paraId="0BD240DD" w14:textId="77777777" w:rsidR="00EB0866" w:rsidRPr="00D40B09" w:rsidRDefault="00801AF4" w:rsidP="00801AF4">
      <w:pPr>
        <w:pStyle w:val="ListParagraph"/>
        <w:numPr>
          <w:ilvl w:val="0"/>
          <w:numId w:val="7"/>
        </w:numPr>
        <w:rPr>
          <w:lang w:val="es-419"/>
        </w:rPr>
      </w:pPr>
      <w:r w:rsidRPr="00D40B09">
        <w:rPr>
          <w:b/>
          <w:lang w:val="es-419"/>
        </w:rPr>
        <w:t>Las herramientas digitales y las bases de datos siguen siendo funcionales, pero no se actualizan</w:t>
      </w:r>
      <w:r w:rsidRPr="00D40B09">
        <w:rPr>
          <w:lang w:val="es-419"/>
        </w:rPr>
        <w:t xml:space="preserve"> con nuevas funciones importantes acordes con los avances tecnológicos. En el caso del módulo de intercambio DHE, PLUTO y UPOV PRISMA, se aplicarán enfoques basados solo en el mantenimiento.</w:t>
      </w:r>
    </w:p>
    <w:p w14:paraId="325ED4CF" w14:textId="18BFA965" w:rsidR="00801AF4" w:rsidRPr="00D40B09" w:rsidRDefault="00801AF4" w:rsidP="00801AF4">
      <w:pPr>
        <w:pStyle w:val="ListParagraph"/>
        <w:rPr>
          <w:rFonts w:cs="Arial"/>
          <w:lang w:val="es-419"/>
          <w14:ligatures w14:val="standardContextual"/>
        </w:rPr>
      </w:pPr>
    </w:p>
    <w:p w14:paraId="5764D9D9" w14:textId="77777777" w:rsidR="00EB0866" w:rsidRPr="00D40B09" w:rsidRDefault="00801AF4" w:rsidP="00801AF4">
      <w:pPr>
        <w:ind w:left="720"/>
        <w:rPr>
          <w:lang w:val="es-419"/>
        </w:rPr>
      </w:pPr>
      <w:r w:rsidRPr="00D40B09">
        <w:rPr>
          <w:lang w:val="es-419"/>
        </w:rPr>
        <w:t>El mantenimiento de UPOV PRISMA, presupuestado actualmente en 77 500 CHF, también será necesario. No se asigna ninguna cantidad adicional para cubrir el desarrollo, las pruebas, la gestión de proyectos, la promoción ni la formación, incluidas las misiones.</w:t>
      </w:r>
    </w:p>
    <w:p w14:paraId="36DA5646" w14:textId="129ACADA" w:rsidR="00801AF4" w:rsidRPr="00D40B09" w:rsidRDefault="00801AF4" w:rsidP="00801AF4">
      <w:pPr>
        <w:pStyle w:val="ListParagraph"/>
        <w:rPr>
          <w:rFonts w:cs="Arial"/>
          <w:lang w:val="es-419"/>
          <w14:ligatures w14:val="standardContextual"/>
        </w:rPr>
      </w:pPr>
    </w:p>
    <w:p w14:paraId="41B57B1A" w14:textId="77777777" w:rsidR="00EB0866" w:rsidRPr="00D40B09" w:rsidRDefault="00801AF4" w:rsidP="00801AF4">
      <w:pPr>
        <w:ind w:left="720"/>
        <w:rPr>
          <w:lang w:val="es-419"/>
        </w:rPr>
      </w:pPr>
      <w:r w:rsidRPr="00D40B09">
        <w:rPr>
          <w:lang w:val="es-419"/>
        </w:rPr>
        <w:t>El mantenimiento del módulo de administración de e-PVP depende totalmente de recursos extrapresupuestarios. No se incorporarán autoridades adicionales con cargo al presupuesto de la UPOV.</w:t>
      </w:r>
    </w:p>
    <w:p w14:paraId="541164A3" w14:textId="7398A316" w:rsidR="00801AF4" w:rsidRPr="00D40B09" w:rsidRDefault="00801AF4" w:rsidP="00801AF4">
      <w:pPr>
        <w:rPr>
          <w:rFonts w:cs="Arial"/>
          <w:lang w:val="es-419"/>
          <w14:ligatures w14:val="standardContextual"/>
        </w:rPr>
      </w:pPr>
    </w:p>
    <w:p w14:paraId="33FEFCDF" w14:textId="5713466A" w:rsidR="00EB0866" w:rsidRPr="00D40B09" w:rsidRDefault="00801AF4" w:rsidP="00801AF4">
      <w:pPr>
        <w:ind w:left="720"/>
        <w:rPr>
          <w:lang w:val="es-419"/>
        </w:rPr>
      </w:pPr>
      <w:r w:rsidRPr="00D40B09">
        <w:rPr>
          <w:lang w:val="es-419"/>
        </w:rPr>
        <w:t>El mantenimiento rudimentario del módulo de intercambio DHE de e-PVP requeriría 35 000 CHF (que actualmente no están presupuestados en el presupuesto ordinario)</w:t>
      </w:r>
      <w:r w:rsidRPr="00D40B09">
        <w:rPr>
          <w:rStyle w:val="FootnoteReference"/>
          <w:lang w:val="es-419"/>
        </w:rPr>
        <w:footnoteReference w:id="6"/>
      </w:r>
      <w:r w:rsidRPr="00D40B09">
        <w:rPr>
          <w:lang w:val="es-419"/>
        </w:rPr>
        <w:t xml:space="preserve"> y cubriría solo los parches de seguridad críticos.</w:t>
      </w:r>
      <w:r w:rsidR="00EB0866" w:rsidRPr="00D40B09">
        <w:rPr>
          <w:lang w:val="es-419"/>
        </w:rPr>
        <w:t xml:space="preserve"> </w:t>
      </w:r>
      <w:r w:rsidRPr="00D40B09">
        <w:rPr>
          <w:lang w:val="es-419"/>
        </w:rPr>
        <w:t xml:space="preserve">Los tiempos de respuesta serían más lentos, la fiabilidad del sistema podría verse afectada y no se introducirían nuevas funciones para </w:t>
      </w:r>
      <w:r w:rsidR="00F102C4">
        <w:rPr>
          <w:lang w:val="es-419"/>
        </w:rPr>
        <w:t>compartir</w:t>
      </w:r>
      <w:r w:rsidRPr="00D40B09">
        <w:rPr>
          <w:lang w:val="es-419"/>
        </w:rPr>
        <w:t xml:space="preserve"> procedimientos DHE y los sistemas de gestión de calidad.</w:t>
      </w:r>
    </w:p>
    <w:p w14:paraId="768DA383" w14:textId="71826F91" w:rsidR="00801AF4" w:rsidRPr="00D40B09" w:rsidRDefault="00801AF4" w:rsidP="00801AF4">
      <w:pPr>
        <w:rPr>
          <w:lang w:val="es-419"/>
        </w:rPr>
      </w:pPr>
    </w:p>
    <w:p w14:paraId="32C6C610" w14:textId="77777777" w:rsidR="00801AF4" w:rsidRPr="00D40B09" w:rsidRDefault="00801AF4" w:rsidP="00801AF4">
      <w:pPr>
        <w:pStyle w:val="ListParagraph"/>
        <w:rPr>
          <w:rFonts w:cs="Arial"/>
          <w:lang w:val="es-419"/>
          <w14:ligatures w14:val="standardContextual"/>
        </w:rPr>
      </w:pPr>
      <w:r w:rsidRPr="00D40B09">
        <w:rPr>
          <w:lang w:val="es-419"/>
        </w:rPr>
        <w:t>Se mantendrá la base de datos PLUTO (presupuestada actualmente en 40 000 CHF). No es posible facilitar el uso de la interfaz de búsqueda ni mejorar la aportación de datos.</w:t>
      </w:r>
    </w:p>
    <w:p w14:paraId="0EA915D4" w14:textId="77777777" w:rsidR="00801AF4" w:rsidRPr="00D40B09" w:rsidRDefault="00801AF4" w:rsidP="00801AF4">
      <w:pPr>
        <w:ind w:left="720"/>
        <w:rPr>
          <w:rFonts w:cs="Arial"/>
          <w:lang w:val="es-419"/>
          <w14:ligatures w14:val="standardContextual"/>
        </w:rPr>
      </w:pPr>
    </w:p>
    <w:p w14:paraId="162531B4" w14:textId="77777777" w:rsidR="00EB0866" w:rsidRPr="00D40B09" w:rsidRDefault="00801AF4" w:rsidP="00801AF4">
      <w:pPr>
        <w:ind w:left="709" w:hanging="709"/>
        <w:rPr>
          <w:b/>
          <w:i/>
          <w:lang w:val="es-419"/>
        </w:rPr>
      </w:pPr>
      <w:r w:rsidRPr="00D40B09">
        <w:rPr>
          <w:b/>
          <w:i/>
          <w:lang w:val="es-419"/>
        </w:rPr>
        <w:t>RE 4.1</w:t>
      </w:r>
      <w:r w:rsidRPr="00D40B09">
        <w:rPr>
          <w:b/>
          <w:i/>
          <w:lang w:val="es-419"/>
        </w:rPr>
        <w:tab/>
        <w:t>Garantizar la sostenibilidad financiera</w:t>
      </w:r>
    </w:p>
    <w:p w14:paraId="167F26C4" w14:textId="2CC82AF8" w:rsidR="00801AF4" w:rsidRPr="00D40B09" w:rsidRDefault="00801AF4" w:rsidP="00801AF4">
      <w:pPr>
        <w:rPr>
          <w:rFonts w:cs="Arial"/>
          <w:b/>
          <w:bCs/>
          <w:i/>
          <w:iCs/>
          <w:lang w:val="es-419"/>
          <w14:ligatures w14:val="standardContextual"/>
        </w:rPr>
      </w:pPr>
    </w:p>
    <w:p w14:paraId="26FEF762" w14:textId="77777777" w:rsidR="00801AF4" w:rsidRPr="00D40B09" w:rsidRDefault="00801AF4" w:rsidP="00801AF4">
      <w:pPr>
        <w:pStyle w:val="ListParagraph"/>
        <w:numPr>
          <w:ilvl w:val="0"/>
          <w:numId w:val="7"/>
        </w:numPr>
        <w:rPr>
          <w:rFonts w:cs="Arial"/>
          <w:lang w:val="es-419"/>
          <w14:ligatures w14:val="standardContextual"/>
        </w:rPr>
      </w:pPr>
      <w:r w:rsidRPr="00D40B09">
        <w:rPr>
          <w:lang w:val="es-419"/>
        </w:rPr>
        <w:t xml:space="preserve">La </w:t>
      </w:r>
      <w:r w:rsidRPr="00D40B09">
        <w:rPr>
          <w:b/>
          <w:bCs/>
          <w:lang w:val="es-419"/>
        </w:rPr>
        <w:t>situación financiera mejora ligeramente</w:t>
      </w:r>
      <w:r w:rsidRPr="00D40B09">
        <w:rPr>
          <w:lang w:val="es-419"/>
        </w:rPr>
        <w:t>, lo que permite a la UPOV avanzar en la aplicación del Plan Operativo Estratégico 2026-2029, en particular los RE 1.1, RE 1.2, RE 2.2 y RE 2.3. Sin embargo, muchas de las iniciativas estratégicas detectadas durante el ejercicio de análisis prospectivo serán prorrogadas o anuladas.</w:t>
      </w:r>
    </w:p>
    <w:p w14:paraId="1E653DB3" w14:textId="77777777" w:rsidR="00801AF4" w:rsidRPr="00D40B09" w:rsidRDefault="00801AF4" w:rsidP="00801AF4">
      <w:pPr>
        <w:rPr>
          <w:rFonts w:cs="Arial"/>
          <w:b/>
          <w:bCs/>
          <w:i/>
          <w:iCs/>
          <w:lang w:val="es-419"/>
          <w14:ligatures w14:val="standardContextual"/>
        </w:rPr>
      </w:pPr>
    </w:p>
    <w:p w14:paraId="2CFCC05D" w14:textId="77777777" w:rsidR="00801AF4" w:rsidRPr="00D40B09" w:rsidRDefault="00801AF4" w:rsidP="00801AF4">
      <w:pPr>
        <w:ind w:left="709" w:hanging="709"/>
        <w:rPr>
          <w:rFonts w:cs="Arial"/>
          <w:b/>
          <w:bCs/>
          <w:i/>
          <w:iCs/>
          <w:lang w:val="es-419"/>
          <w14:ligatures w14:val="standardContextual"/>
        </w:rPr>
      </w:pPr>
    </w:p>
    <w:p w14:paraId="776C7C6F" w14:textId="77777777" w:rsidR="00801AF4" w:rsidRPr="00D40B09" w:rsidRDefault="00801AF4" w:rsidP="00801AF4">
      <w:pPr>
        <w:ind w:left="709" w:hanging="709"/>
        <w:rPr>
          <w:rFonts w:cs="Arial"/>
          <w:b/>
          <w:bCs/>
          <w:i/>
          <w:iCs/>
          <w:lang w:val="es-419"/>
          <w14:ligatures w14:val="standardContextual"/>
        </w:rPr>
      </w:pPr>
      <w:r w:rsidRPr="00D40B09">
        <w:rPr>
          <w:b/>
          <w:i/>
          <w:lang w:val="es-419"/>
        </w:rPr>
        <w:t>ER 4.2</w:t>
      </w:r>
      <w:r w:rsidRPr="00D40B09">
        <w:rPr>
          <w:b/>
          <w:i/>
          <w:lang w:val="es-419"/>
        </w:rPr>
        <w:tab/>
        <w:t>Una Secretaría empoderada y dotada de la formación y los recursos necesarios para trabajar de forma eficaz, colaborativa e innovadora</w:t>
      </w:r>
    </w:p>
    <w:p w14:paraId="17EEA790" w14:textId="77777777" w:rsidR="00801AF4" w:rsidRPr="00D40B09" w:rsidRDefault="00801AF4" w:rsidP="00801AF4">
      <w:pPr>
        <w:rPr>
          <w:lang w:val="es-419"/>
        </w:rPr>
      </w:pPr>
    </w:p>
    <w:p w14:paraId="53A26A30" w14:textId="77777777" w:rsidR="00EB0866" w:rsidRPr="00D40B09" w:rsidRDefault="00801AF4" w:rsidP="00801AF4">
      <w:pPr>
        <w:numPr>
          <w:ilvl w:val="0"/>
          <w:numId w:val="2"/>
        </w:numPr>
        <w:rPr>
          <w:lang w:val="es-419"/>
        </w:rPr>
      </w:pPr>
      <w:r w:rsidRPr="00D40B09">
        <w:rPr>
          <w:lang w:val="es-419"/>
        </w:rPr>
        <w:t>La UPOV refuerza la gestión orientada a los resultados y mantiene una disciplina fiscal y una gestión financiera prudente en sus operaciones.</w:t>
      </w:r>
    </w:p>
    <w:p w14:paraId="5D9A0A51" w14:textId="18C74668" w:rsidR="00EB0866" w:rsidRPr="00D40B09" w:rsidRDefault="00801AF4" w:rsidP="00801AF4">
      <w:pPr>
        <w:pStyle w:val="ListParagraph"/>
        <w:numPr>
          <w:ilvl w:val="0"/>
          <w:numId w:val="5"/>
        </w:numPr>
        <w:rPr>
          <w:lang w:val="es-419"/>
        </w:rPr>
      </w:pPr>
      <w:r w:rsidRPr="00D40B09">
        <w:rPr>
          <w:lang w:val="es-419"/>
        </w:rPr>
        <w:lastRenderedPageBreak/>
        <w:t xml:space="preserve">La continuidad de las operaciones </w:t>
      </w:r>
      <w:r w:rsidR="00B74814">
        <w:rPr>
          <w:lang w:val="es-419"/>
        </w:rPr>
        <w:t>está comprometida</w:t>
      </w:r>
      <w:r w:rsidRPr="00D40B09">
        <w:rPr>
          <w:lang w:val="es-419"/>
        </w:rPr>
        <w:t>.</w:t>
      </w:r>
      <w:r w:rsidR="00EB0866" w:rsidRPr="00D40B09">
        <w:rPr>
          <w:lang w:val="es-419"/>
        </w:rPr>
        <w:t xml:space="preserve"> </w:t>
      </w:r>
      <w:r w:rsidRPr="00D40B09">
        <w:rPr>
          <w:lang w:val="es-419"/>
        </w:rPr>
        <w:t xml:space="preserve">Personal </w:t>
      </w:r>
      <w:r w:rsidR="00B74814">
        <w:rPr>
          <w:lang w:val="es-419"/>
        </w:rPr>
        <w:t>insuficiente</w:t>
      </w:r>
      <w:r w:rsidRPr="00D40B09">
        <w:rPr>
          <w:lang w:val="es-419"/>
        </w:rPr>
        <w:t xml:space="preserve"> que no está plenamente adaptado a las necesidades estratégicas.</w:t>
      </w:r>
    </w:p>
    <w:p w14:paraId="0CF37F01" w14:textId="3F8B49C6" w:rsidR="00801AF4" w:rsidRPr="00D40B09" w:rsidRDefault="00801AF4" w:rsidP="00801AF4">
      <w:pPr>
        <w:ind w:left="720"/>
        <w:rPr>
          <w:lang w:val="es-419"/>
        </w:rPr>
      </w:pPr>
    </w:p>
    <w:p w14:paraId="13A80076" w14:textId="745C0C6C" w:rsidR="006D0608" w:rsidRPr="00D40B09" w:rsidRDefault="00801AF4" w:rsidP="00801AF4">
      <w:pPr>
        <w:pStyle w:val="ListParagraph"/>
        <w:numPr>
          <w:ilvl w:val="0"/>
          <w:numId w:val="5"/>
        </w:numPr>
        <w:jc w:val="left"/>
        <w:rPr>
          <w:lang w:val="es-419"/>
        </w:rPr>
      </w:pPr>
      <w:r w:rsidRPr="00D40B09">
        <w:rPr>
          <w:lang w:val="es-419"/>
        </w:rPr>
        <w:t>La UPOV se beneficia de los servicios integrados de la OMPI. Las necesidades adicionales de financiación ascienden a 368 054 CHF.</w:t>
      </w:r>
    </w:p>
    <w:p w14:paraId="6F39C35E" w14:textId="77777777" w:rsidR="00356B73" w:rsidRPr="00D40B09" w:rsidRDefault="00356B73" w:rsidP="00356B73">
      <w:pPr>
        <w:rPr>
          <w:rFonts w:cs="Arial"/>
          <w:sz w:val="16"/>
          <w:szCs w:val="16"/>
          <w:lang w:val="es-419"/>
          <w14:ligatures w14:val="standardContextual"/>
        </w:rPr>
      </w:pPr>
    </w:p>
    <w:p w14:paraId="0508E225" w14:textId="13F3774F" w:rsidR="00050E16" w:rsidRPr="00D40B09" w:rsidRDefault="00E05EBB" w:rsidP="00356B73">
      <w:pPr>
        <w:rPr>
          <w:snapToGrid w:val="0"/>
          <w:lang w:val="es-419"/>
        </w:rPr>
      </w:pPr>
      <w:r w:rsidRPr="00D40B09">
        <w:rPr>
          <w:noProof/>
          <w:snapToGrid w:val="0"/>
          <w:lang w:val="es-419"/>
        </w:rPr>
        <w:drawing>
          <wp:inline distT="0" distB="0" distL="0" distR="0" wp14:anchorId="5A1BAD0F" wp14:editId="4696FB7D">
            <wp:extent cx="6120765" cy="7810500"/>
            <wp:effectExtent l="0" t="0" r="0" b="0"/>
            <wp:docPr id="1951697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7810500"/>
                    </a:xfrm>
                    <a:prstGeom prst="rect">
                      <a:avLst/>
                    </a:prstGeom>
                    <a:noFill/>
                    <a:ln>
                      <a:noFill/>
                    </a:ln>
                  </pic:spPr>
                </pic:pic>
              </a:graphicData>
            </a:graphic>
          </wp:inline>
        </w:drawing>
      </w:r>
    </w:p>
    <w:p w14:paraId="2BAC2706" w14:textId="7A85074B" w:rsidR="009B440E" w:rsidRPr="00D40B09" w:rsidRDefault="00050E16" w:rsidP="00356B73">
      <w:pPr>
        <w:spacing w:before="600"/>
        <w:jc w:val="right"/>
        <w:rPr>
          <w:lang w:val="es-419"/>
        </w:rPr>
      </w:pPr>
      <w:r w:rsidRPr="00D40B09">
        <w:rPr>
          <w:lang w:val="es-419"/>
        </w:rPr>
        <w:t>[</w:t>
      </w:r>
      <w:r w:rsidR="0017262E" w:rsidRPr="0017262E">
        <w:rPr>
          <w:lang w:val="es-419"/>
        </w:rPr>
        <w:t>Fin del Anexo y del documento</w:t>
      </w:r>
      <w:r w:rsidRPr="00D40B09">
        <w:rPr>
          <w:lang w:val="es-419"/>
        </w:rPr>
        <w:t>]</w:t>
      </w:r>
    </w:p>
    <w:sectPr w:rsidR="009B440E" w:rsidRPr="00D40B09" w:rsidSect="007A10A2">
      <w:headerReference w:type="default" r:id="rId18"/>
      <w:footerReference w:type="even" r:id="rId19"/>
      <w:footerReference w:type="default" r:id="rId20"/>
      <w:footerReference w:type="first" r:id="rId21"/>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E1A4" w14:textId="77777777" w:rsidR="001D6565" w:rsidRDefault="001D6565" w:rsidP="006655D3">
      <w:r>
        <w:separator/>
      </w:r>
    </w:p>
    <w:p w14:paraId="1F992925" w14:textId="77777777" w:rsidR="001D6565" w:rsidRDefault="001D6565" w:rsidP="006655D3"/>
    <w:p w14:paraId="51CC3EBE" w14:textId="77777777" w:rsidR="001D6565" w:rsidRDefault="001D6565" w:rsidP="006655D3"/>
  </w:endnote>
  <w:endnote w:type="continuationSeparator" w:id="0">
    <w:p w14:paraId="5F6E543E" w14:textId="77777777" w:rsidR="001D6565" w:rsidRDefault="001D6565" w:rsidP="006655D3">
      <w:r>
        <w:separator/>
      </w:r>
    </w:p>
    <w:p w14:paraId="26A2AFC8" w14:textId="77777777" w:rsidR="001D6565" w:rsidRPr="00294751" w:rsidRDefault="001D6565">
      <w:pPr>
        <w:pStyle w:val="Footer"/>
        <w:spacing w:after="60"/>
        <w:rPr>
          <w:sz w:val="18"/>
          <w:lang w:val="fr-FR"/>
        </w:rPr>
      </w:pPr>
      <w:r w:rsidRPr="00294751">
        <w:rPr>
          <w:sz w:val="18"/>
          <w:lang w:val="fr-FR"/>
        </w:rPr>
        <w:t>[Suite de la note de la page précédente]</w:t>
      </w:r>
    </w:p>
    <w:p w14:paraId="4A3E5CA7" w14:textId="77777777" w:rsidR="001D6565" w:rsidRPr="00294751" w:rsidRDefault="001D6565" w:rsidP="006655D3">
      <w:pPr>
        <w:rPr>
          <w:lang w:val="fr-FR"/>
        </w:rPr>
      </w:pPr>
    </w:p>
    <w:p w14:paraId="55755A11" w14:textId="77777777" w:rsidR="001D6565" w:rsidRPr="00294751" w:rsidRDefault="001D6565" w:rsidP="006655D3">
      <w:pPr>
        <w:rPr>
          <w:lang w:val="fr-FR"/>
        </w:rPr>
      </w:pPr>
    </w:p>
  </w:endnote>
  <w:endnote w:type="continuationNotice" w:id="1">
    <w:p w14:paraId="1F307728" w14:textId="77777777" w:rsidR="001D6565" w:rsidRPr="00294751" w:rsidRDefault="001D6565" w:rsidP="006655D3">
      <w:pPr>
        <w:rPr>
          <w:lang w:val="fr-FR"/>
        </w:rPr>
      </w:pPr>
      <w:r w:rsidRPr="00294751">
        <w:rPr>
          <w:lang w:val="fr-FR"/>
        </w:rPr>
        <w:t>[Suite de la note page suivante]</w:t>
      </w:r>
    </w:p>
    <w:p w14:paraId="2157FED8" w14:textId="77777777" w:rsidR="001D6565" w:rsidRPr="00294751" w:rsidRDefault="001D6565" w:rsidP="006655D3">
      <w:pPr>
        <w:rPr>
          <w:lang w:val="fr-FR"/>
        </w:rPr>
      </w:pPr>
    </w:p>
    <w:p w14:paraId="47D8589E" w14:textId="77777777" w:rsidR="001D6565" w:rsidRPr="00294751" w:rsidRDefault="001D6565"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AA94" w14:textId="16CBFB23" w:rsidR="00DC0864" w:rsidRDefault="00DC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7150" w14:textId="77B9324F" w:rsidR="00DC0864" w:rsidRDefault="00DC0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7B33" w14:textId="5BE83EAC" w:rsidR="00DC0864" w:rsidRDefault="00DC0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A7F6" w14:textId="77777777" w:rsidR="001D6565" w:rsidRDefault="001D6565" w:rsidP="006655D3">
      <w:r>
        <w:separator/>
      </w:r>
    </w:p>
  </w:footnote>
  <w:footnote w:type="continuationSeparator" w:id="0">
    <w:p w14:paraId="1ADA77C6" w14:textId="77777777" w:rsidR="001D6565" w:rsidRDefault="001D6565" w:rsidP="006655D3">
      <w:r>
        <w:separator/>
      </w:r>
    </w:p>
  </w:footnote>
  <w:footnote w:type="continuationNotice" w:id="1">
    <w:p w14:paraId="6B370260" w14:textId="77777777" w:rsidR="001D6565" w:rsidRPr="00AB530F" w:rsidRDefault="001D6565" w:rsidP="00AB530F">
      <w:pPr>
        <w:pStyle w:val="Footer"/>
      </w:pPr>
    </w:p>
  </w:footnote>
  <w:footnote w:id="2">
    <w:p w14:paraId="0A557AE2" w14:textId="77777777" w:rsidR="00801AF4" w:rsidRDefault="00801AF4" w:rsidP="00801AF4">
      <w:pPr>
        <w:pStyle w:val="FootnoteText"/>
      </w:pPr>
      <w:r>
        <w:rPr>
          <w:rStyle w:val="FootnoteReference"/>
          <w:szCs w:val="16"/>
        </w:rPr>
        <w:footnoteRef/>
      </w:r>
      <w:r>
        <w:tab/>
        <w:t>El experto jurídico se encargaría de las actividades del RE 1.2, aunque también llevaría a cabo tareas relacionadas con los RE 1.1, 2.1 y 2.2.</w:t>
      </w:r>
    </w:p>
  </w:footnote>
  <w:footnote w:id="3">
    <w:p w14:paraId="0C57D618" w14:textId="77777777" w:rsidR="00801AF4" w:rsidRDefault="00801AF4" w:rsidP="00801AF4">
      <w:pPr>
        <w:pStyle w:val="FootnoteText"/>
      </w:pPr>
      <w:r>
        <w:rPr>
          <w:rStyle w:val="FootnoteReference"/>
        </w:rPr>
        <w:footnoteRef/>
      </w:r>
      <w:r>
        <w:tab/>
        <w:t>ETC: Equivalente de tiempo completo</w:t>
      </w:r>
    </w:p>
  </w:footnote>
  <w:footnote w:id="4">
    <w:p w14:paraId="20BD0DB8" w14:textId="77777777" w:rsidR="00801AF4" w:rsidRDefault="00801AF4" w:rsidP="00801AF4">
      <w:pPr>
        <w:pStyle w:val="FootnoteText"/>
      </w:pPr>
      <w:r>
        <w:rPr>
          <w:rStyle w:val="FootnoteReference"/>
        </w:rPr>
        <w:footnoteRef/>
      </w:r>
      <w:r>
        <w:tab/>
        <w:t>Anteriormente, el programa se celebraba cada año y se financiaba con recursos extrapresupuestarios.</w:t>
      </w:r>
    </w:p>
  </w:footnote>
  <w:footnote w:id="5">
    <w:p w14:paraId="0FC40BC3" w14:textId="77777777" w:rsidR="00801AF4" w:rsidRDefault="00801AF4" w:rsidP="00801AF4">
      <w:pPr>
        <w:pStyle w:val="FootnoteText"/>
      </w:pPr>
      <w:r>
        <w:rPr>
          <w:rStyle w:val="FootnoteReference"/>
        </w:rPr>
        <w:footnoteRef/>
      </w:r>
      <w:r>
        <w:tab/>
        <w:t>El objetivo del proyecto es determinar información básica común para agilizar la presentación de solicitudes y facilitar una mayor armonización y cooperación en el proceso de examen.</w:t>
      </w:r>
    </w:p>
  </w:footnote>
  <w:footnote w:id="6">
    <w:p w14:paraId="6F03E8FE" w14:textId="77777777" w:rsidR="00801AF4" w:rsidRDefault="00801AF4" w:rsidP="00801AF4">
      <w:pPr>
        <w:pStyle w:val="FootnoteText"/>
      </w:pPr>
      <w:r>
        <w:rPr>
          <w:rStyle w:val="FootnoteReference"/>
        </w:rPr>
        <w:footnoteRef/>
      </w:r>
      <w:r>
        <w:tab/>
        <w:t>Actualmente, el mantenimiento del módulo de administración y del módulo de intercambio DHE no está cubierto por el presupuesto ordinario de la UPOV, sino que se financia con recursos extrapresupuestarios.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49F0" w14:textId="56B6BF61" w:rsidR="00801AF4" w:rsidRPr="00CA2268" w:rsidRDefault="00801AF4" w:rsidP="00EB048E">
    <w:pPr>
      <w:pStyle w:val="Header"/>
    </w:pPr>
    <w:r>
      <w:t xml:space="preserve">página </w:t>
    </w:r>
    <w:r w:rsidRPr="00CA2268">
      <w:rPr>
        <w:rStyle w:val="PageNumber"/>
      </w:rPr>
      <w:fldChar w:fldCharType="begin"/>
    </w:r>
    <w:r w:rsidRPr="00CA2268">
      <w:rPr>
        <w:rStyle w:val="PageNumber"/>
      </w:rPr>
      <w:instrText xml:space="preserve"> PAGE </w:instrText>
    </w:r>
    <w:r w:rsidRPr="00CA2268">
      <w:rPr>
        <w:rStyle w:val="PageNumber"/>
      </w:rPr>
      <w:fldChar w:fldCharType="separate"/>
    </w:r>
    <w:r w:rsidRPr="00CA2268">
      <w:rPr>
        <w:rStyle w:val="PageNumber"/>
      </w:rPr>
      <w:t>2</w:t>
    </w:r>
    <w:r w:rsidRPr="00CA2268">
      <w:rPr>
        <w:rStyle w:val="PageNumber"/>
      </w:rPr>
      <w:fldChar w:fldCharType="end"/>
    </w:r>
  </w:p>
  <w:p w14:paraId="6AA045C4" w14:textId="77777777" w:rsidR="00801AF4" w:rsidRPr="00CA2268" w:rsidRDefault="00801AF4" w:rsidP="00F45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DCF9" w14:textId="0D558E7C" w:rsidR="00182B99" w:rsidRPr="000A23DC" w:rsidRDefault="00E36286" w:rsidP="000A23DC">
    <w:pPr>
      <w:pStyle w:val="Header"/>
      <w:rPr>
        <w:rStyle w:val="PageNumber"/>
      </w:rPr>
    </w:pPr>
    <w:r>
      <w:rPr>
        <w:rStyle w:val="PageNumber"/>
      </w:rPr>
      <w:t>CG-</w:t>
    </w:r>
    <w:r w:rsidR="005B14B0">
      <w:rPr>
        <w:rStyle w:val="PageNumber"/>
      </w:rPr>
      <w:t>URS/</w:t>
    </w:r>
    <w:r w:rsidR="007A10A2">
      <w:rPr>
        <w:rStyle w:val="PageNumber"/>
      </w:rPr>
      <w:t>3/2</w:t>
    </w:r>
  </w:p>
  <w:p w14:paraId="729005BC" w14:textId="7A81CCEF" w:rsidR="00182B99" w:rsidRPr="00202E38" w:rsidRDefault="007A10A2" w:rsidP="008B3D8D">
    <w:pPr>
      <w:pStyle w:val="Header"/>
      <w:rPr>
        <w:lang w:val="de-DE"/>
      </w:rPr>
    </w:pPr>
    <w:r>
      <w:t xml:space="preserve">Anexo, </w:t>
    </w:r>
    <w:r w:rsidR="008B3D8D" w:rsidRPr="008B3D8D">
      <w:t>página</w:t>
    </w:r>
    <w:r w:rsidR="00182B99" w:rsidRPr="00202E38">
      <w:rPr>
        <w:lang w:val="de-DE"/>
      </w:rPr>
      <w:t xml:space="preserve"> </w:t>
    </w:r>
    <w:r w:rsidR="00182B99" w:rsidRPr="00202E38">
      <w:rPr>
        <w:rStyle w:val="PageNumber"/>
        <w:lang w:val="de-DE"/>
      </w:rPr>
      <w:fldChar w:fldCharType="begin"/>
    </w:r>
    <w:r w:rsidR="00182B99" w:rsidRPr="00202E38">
      <w:rPr>
        <w:rStyle w:val="PageNumber"/>
        <w:lang w:val="de-DE"/>
      </w:rPr>
      <w:instrText xml:space="preserve"> PAGE </w:instrText>
    </w:r>
    <w:r w:rsidR="00182B99" w:rsidRPr="00202E38">
      <w:rPr>
        <w:rStyle w:val="PageNumber"/>
        <w:lang w:val="de-DE"/>
      </w:rPr>
      <w:fldChar w:fldCharType="separate"/>
    </w:r>
    <w:r w:rsidR="004D04FD">
      <w:rPr>
        <w:rStyle w:val="PageNumber"/>
        <w:noProof/>
        <w:lang w:val="de-DE"/>
      </w:rPr>
      <w:t>2</w:t>
    </w:r>
    <w:r w:rsidR="00182B99" w:rsidRPr="00202E38">
      <w:rPr>
        <w:rStyle w:val="PageNumber"/>
        <w:lang w:val="de-DE"/>
      </w:rPr>
      <w:fldChar w:fldCharType="end"/>
    </w:r>
  </w:p>
  <w:p w14:paraId="1A38EFDD" w14:textId="77777777" w:rsidR="00182B99" w:rsidRPr="00202E38" w:rsidRDefault="00182B99" w:rsidP="006655D3">
    <w:pP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F2D"/>
    <w:multiLevelType w:val="multilevel"/>
    <w:tmpl w:val="18B6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65A0C"/>
    <w:multiLevelType w:val="hybridMultilevel"/>
    <w:tmpl w:val="52C6DD7C"/>
    <w:lvl w:ilvl="0" w:tplc="EDE289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D384D"/>
    <w:multiLevelType w:val="hybridMultilevel"/>
    <w:tmpl w:val="FE4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6FCF"/>
    <w:multiLevelType w:val="hybridMultilevel"/>
    <w:tmpl w:val="340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28A"/>
    <w:multiLevelType w:val="hybridMultilevel"/>
    <w:tmpl w:val="CC26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6195A"/>
    <w:multiLevelType w:val="hybridMultilevel"/>
    <w:tmpl w:val="C8B0A6E0"/>
    <w:lvl w:ilvl="0" w:tplc="353E1238">
      <w:start w:val="1"/>
      <w:numFmt w:val="decimal"/>
      <w:lvlText w:val="%1."/>
      <w:lvlJc w:val="left"/>
      <w:pPr>
        <w:ind w:left="66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AC387B"/>
    <w:multiLevelType w:val="multilevel"/>
    <w:tmpl w:val="076AEC96"/>
    <w:lvl w:ilvl="0">
      <w:start w:val="1"/>
      <w:numFmt w:val="bullet"/>
      <w:lvlText w:val=""/>
      <w:lvlJc w:val="left"/>
      <w:pPr>
        <w:tabs>
          <w:tab w:val="num" w:pos="720"/>
        </w:tabs>
        <w:ind w:left="720" w:hanging="360"/>
      </w:pPr>
      <w:rPr>
        <w:rFonts w:ascii="Symbol" w:hAnsi="Symbol" w:hint="default"/>
        <w:b/>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7503D"/>
    <w:multiLevelType w:val="hybridMultilevel"/>
    <w:tmpl w:val="5A6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F5F33"/>
    <w:multiLevelType w:val="hybridMultilevel"/>
    <w:tmpl w:val="D726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993833">
    <w:abstractNumId w:val="1"/>
  </w:num>
  <w:num w:numId="2" w16cid:durableId="554698987">
    <w:abstractNumId w:val="7"/>
  </w:num>
  <w:num w:numId="3" w16cid:durableId="1483934777">
    <w:abstractNumId w:val="5"/>
  </w:num>
  <w:num w:numId="4" w16cid:durableId="1482963185">
    <w:abstractNumId w:val="0"/>
  </w:num>
  <w:num w:numId="5" w16cid:durableId="1686051114">
    <w:abstractNumId w:val="3"/>
  </w:num>
  <w:num w:numId="6" w16cid:durableId="1589539816">
    <w:abstractNumId w:val="8"/>
  </w:num>
  <w:num w:numId="7" w16cid:durableId="955602519">
    <w:abstractNumId w:val="4"/>
  </w:num>
  <w:num w:numId="8" w16cid:durableId="660891855">
    <w:abstractNumId w:val="6"/>
  </w:num>
  <w:num w:numId="9" w16cid:durableId="1662344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AC"/>
    <w:rsid w:val="00010CF3"/>
    <w:rsid w:val="00011E27"/>
    <w:rsid w:val="000148BC"/>
    <w:rsid w:val="00024AB8"/>
    <w:rsid w:val="00030854"/>
    <w:rsid w:val="00035687"/>
    <w:rsid w:val="00036028"/>
    <w:rsid w:val="00043AA9"/>
    <w:rsid w:val="00044642"/>
    <w:rsid w:val="000446B9"/>
    <w:rsid w:val="00047E21"/>
    <w:rsid w:val="00050E16"/>
    <w:rsid w:val="00055BFB"/>
    <w:rsid w:val="000634AC"/>
    <w:rsid w:val="000638A9"/>
    <w:rsid w:val="00085505"/>
    <w:rsid w:val="000A23DC"/>
    <w:rsid w:val="000C4E25"/>
    <w:rsid w:val="000C7021"/>
    <w:rsid w:val="000D580C"/>
    <w:rsid w:val="000D6BBC"/>
    <w:rsid w:val="000D7780"/>
    <w:rsid w:val="000E636A"/>
    <w:rsid w:val="000F2F11"/>
    <w:rsid w:val="00105929"/>
    <w:rsid w:val="00110C36"/>
    <w:rsid w:val="001131D5"/>
    <w:rsid w:val="00141DB8"/>
    <w:rsid w:val="00172084"/>
    <w:rsid w:val="0017262E"/>
    <w:rsid w:val="0017474A"/>
    <w:rsid w:val="001758C6"/>
    <w:rsid w:val="00182B99"/>
    <w:rsid w:val="001A6DCC"/>
    <w:rsid w:val="001D6565"/>
    <w:rsid w:val="001F64BF"/>
    <w:rsid w:val="00202E38"/>
    <w:rsid w:val="0021332C"/>
    <w:rsid w:val="00213982"/>
    <w:rsid w:val="00217ADD"/>
    <w:rsid w:val="0024416D"/>
    <w:rsid w:val="002464A3"/>
    <w:rsid w:val="002563A3"/>
    <w:rsid w:val="00271911"/>
    <w:rsid w:val="002800A0"/>
    <w:rsid w:val="002801B3"/>
    <w:rsid w:val="00281060"/>
    <w:rsid w:val="00283E7B"/>
    <w:rsid w:val="002940E8"/>
    <w:rsid w:val="00294751"/>
    <w:rsid w:val="002A6E50"/>
    <w:rsid w:val="002B4298"/>
    <w:rsid w:val="002C256A"/>
    <w:rsid w:val="002D72B3"/>
    <w:rsid w:val="002E5944"/>
    <w:rsid w:val="00305A7F"/>
    <w:rsid w:val="003152FE"/>
    <w:rsid w:val="00323CA5"/>
    <w:rsid w:val="00327436"/>
    <w:rsid w:val="00340225"/>
    <w:rsid w:val="00344BD6"/>
    <w:rsid w:val="0035528D"/>
    <w:rsid w:val="00356B73"/>
    <w:rsid w:val="00361821"/>
    <w:rsid w:val="00361E9E"/>
    <w:rsid w:val="003631C5"/>
    <w:rsid w:val="003B031A"/>
    <w:rsid w:val="003C7FBE"/>
    <w:rsid w:val="003D227C"/>
    <w:rsid w:val="003D2B4D"/>
    <w:rsid w:val="003D5DCC"/>
    <w:rsid w:val="00401DDB"/>
    <w:rsid w:val="0040557F"/>
    <w:rsid w:val="00444A88"/>
    <w:rsid w:val="00474DA4"/>
    <w:rsid w:val="00476B4D"/>
    <w:rsid w:val="004805FA"/>
    <w:rsid w:val="0048394F"/>
    <w:rsid w:val="004935D2"/>
    <w:rsid w:val="004B1215"/>
    <w:rsid w:val="004B5418"/>
    <w:rsid w:val="004C366D"/>
    <w:rsid w:val="004D047D"/>
    <w:rsid w:val="004D04FD"/>
    <w:rsid w:val="004F1E9E"/>
    <w:rsid w:val="004F305A"/>
    <w:rsid w:val="004F7F3E"/>
    <w:rsid w:val="00512164"/>
    <w:rsid w:val="00520297"/>
    <w:rsid w:val="00520B40"/>
    <w:rsid w:val="005338F9"/>
    <w:rsid w:val="0054281C"/>
    <w:rsid w:val="00544581"/>
    <w:rsid w:val="00545E42"/>
    <w:rsid w:val="0055268D"/>
    <w:rsid w:val="00560BC3"/>
    <w:rsid w:val="00576BE4"/>
    <w:rsid w:val="00596358"/>
    <w:rsid w:val="005A400A"/>
    <w:rsid w:val="005B14B0"/>
    <w:rsid w:val="005F7B92"/>
    <w:rsid w:val="00602CD1"/>
    <w:rsid w:val="00612379"/>
    <w:rsid w:val="006153B6"/>
    <w:rsid w:val="0061555F"/>
    <w:rsid w:val="00636CA6"/>
    <w:rsid w:val="00637EDD"/>
    <w:rsid w:val="00641200"/>
    <w:rsid w:val="00645CA8"/>
    <w:rsid w:val="006655D3"/>
    <w:rsid w:val="00667404"/>
    <w:rsid w:val="006734AD"/>
    <w:rsid w:val="00687EB4"/>
    <w:rsid w:val="00695C56"/>
    <w:rsid w:val="006A32E5"/>
    <w:rsid w:val="006A5CDE"/>
    <w:rsid w:val="006A644A"/>
    <w:rsid w:val="006A7E02"/>
    <w:rsid w:val="006B17D2"/>
    <w:rsid w:val="006C224E"/>
    <w:rsid w:val="006D0608"/>
    <w:rsid w:val="006D780A"/>
    <w:rsid w:val="006F5FD9"/>
    <w:rsid w:val="006F6857"/>
    <w:rsid w:val="0071271E"/>
    <w:rsid w:val="00732DEC"/>
    <w:rsid w:val="00735BD5"/>
    <w:rsid w:val="00751613"/>
    <w:rsid w:val="007556F6"/>
    <w:rsid w:val="00760EEF"/>
    <w:rsid w:val="00777EE5"/>
    <w:rsid w:val="00783722"/>
    <w:rsid w:val="00784836"/>
    <w:rsid w:val="0079023E"/>
    <w:rsid w:val="00793346"/>
    <w:rsid w:val="007A10A2"/>
    <w:rsid w:val="007A2854"/>
    <w:rsid w:val="007C1D92"/>
    <w:rsid w:val="007C4CB9"/>
    <w:rsid w:val="007D0B9D"/>
    <w:rsid w:val="007D19B0"/>
    <w:rsid w:val="007F498F"/>
    <w:rsid w:val="00801AF4"/>
    <w:rsid w:val="0080679D"/>
    <w:rsid w:val="008108B0"/>
    <w:rsid w:val="00811B20"/>
    <w:rsid w:val="008211B5"/>
    <w:rsid w:val="0082296E"/>
    <w:rsid w:val="00824099"/>
    <w:rsid w:val="00843BB0"/>
    <w:rsid w:val="00846D7C"/>
    <w:rsid w:val="008574A4"/>
    <w:rsid w:val="00862606"/>
    <w:rsid w:val="00864C55"/>
    <w:rsid w:val="00867AC1"/>
    <w:rsid w:val="00883A7B"/>
    <w:rsid w:val="00890DF8"/>
    <w:rsid w:val="00891387"/>
    <w:rsid w:val="008A743F"/>
    <w:rsid w:val="008B3D8D"/>
    <w:rsid w:val="008C0970"/>
    <w:rsid w:val="008D0BC5"/>
    <w:rsid w:val="008D2CF7"/>
    <w:rsid w:val="00900C26"/>
    <w:rsid w:val="0090197F"/>
    <w:rsid w:val="00905D98"/>
    <w:rsid w:val="00906DDC"/>
    <w:rsid w:val="00934E09"/>
    <w:rsid w:val="00936253"/>
    <w:rsid w:val="00940D46"/>
    <w:rsid w:val="00952DD4"/>
    <w:rsid w:val="0096175D"/>
    <w:rsid w:val="00965AE7"/>
    <w:rsid w:val="00970FED"/>
    <w:rsid w:val="00987BB1"/>
    <w:rsid w:val="00992D82"/>
    <w:rsid w:val="00997029"/>
    <w:rsid w:val="009A7339"/>
    <w:rsid w:val="009B440E"/>
    <w:rsid w:val="009D690D"/>
    <w:rsid w:val="009E65B6"/>
    <w:rsid w:val="00A02E18"/>
    <w:rsid w:val="00A20FB2"/>
    <w:rsid w:val="00A24C10"/>
    <w:rsid w:val="00A42AC3"/>
    <w:rsid w:val="00A430CF"/>
    <w:rsid w:val="00A54309"/>
    <w:rsid w:val="00A63DFC"/>
    <w:rsid w:val="00A706D3"/>
    <w:rsid w:val="00AB2B93"/>
    <w:rsid w:val="00AB530F"/>
    <w:rsid w:val="00AB622E"/>
    <w:rsid w:val="00AB7E5B"/>
    <w:rsid w:val="00AC2883"/>
    <w:rsid w:val="00AE0EF1"/>
    <w:rsid w:val="00AE2937"/>
    <w:rsid w:val="00B07301"/>
    <w:rsid w:val="00B11F3E"/>
    <w:rsid w:val="00B224DE"/>
    <w:rsid w:val="00B324D4"/>
    <w:rsid w:val="00B46575"/>
    <w:rsid w:val="00B61777"/>
    <w:rsid w:val="00B74814"/>
    <w:rsid w:val="00B84BBD"/>
    <w:rsid w:val="00BA43FB"/>
    <w:rsid w:val="00BC0BD4"/>
    <w:rsid w:val="00BC127D"/>
    <w:rsid w:val="00BC1FE6"/>
    <w:rsid w:val="00BE4556"/>
    <w:rsid w:val="00BE68E4"/>
    <w:rsid w:val="00C061B6"/>
    <w:rsid w:val="00C2446C"/>
    <w:rsid w:val="00C36AE5"/>
    <w:rsid w:val="00C41F17"/>
    <w:rsid w:val="00C4327D"/>
    <w:rsid w:val="00C527FA"/>
    <w:rsid w:val="00C5280D"/>
    <w:rsid w:val="00C53EB3"/>
    <w:rsid w:val="00C5791C"/>
    <w:rsid w:val="00C66290"/>
    <w:rsid w:val="00C72B7A"/>
    <w:rsid w:val="00C75A58"/>
    <w:rsid w:val="00C769DC"/>
    <w:rsid w:val="00C973F2"/>
    <w:rsid w:val="00CA304C"/>
    <w:rsid w:val="00CA774A"/>
    <w:rsid w:val="00CC11B0"/>
    <w:rsid w:val="00CC2841"/>
    <w:rsid w:val="00CF1330"/>
    <w:rsid w:val="00CF7E36"/>
    <w:rsid w:val="00D11876"/>
    <w:rsid w:val="00D320FA"/>
    <w:rsid w:val="00D3708D"/>
    <w:rsid w:val="00D40426"/>
    <w:rsid w:val="00D40B09"/>
    <w:rsid w:val="00D57C96"/>
    <w:rsid w:val="00D57D18"/>
    <w:rsid w:val="00D83A9B"/>
    <w:rsid w:val="00D91203"/>
    <w:rsid w:val="00D95174"/>
    <w:rsid w:val="00DA4973"/>
    <w:rsid w:val="00DA6F36"/>
    <w:rsid w:val="00DB596E"/>
    <w:rsid w:val="00DB7773"/>
    <w:rsid w:val="00DC00EA"/>
    <w:rsid w:val="00DC0864"/>
    <w:rsid w:val="00DC3802"/>
    <w:rsid w:val="00E05EBB"/>
    <w:rsid w:val="00E06D2A"/>
    <w:rsid w:val="00E07D87"/>
    <w:rsid w:val="00E1317A"/>
    <w:rsid w:val="00E23B90"/>
    <w:rsid w:val="00E32F7E"/>
    <w:rsid w:val="00E36286"/>
    <w:rsid w:val="00E5267B"/>
    <w:rsid w:val="00E63C0E"/>
    <w:rsid w:val="00E72D49"/>
    <w:rsid w:val="00E7593C"/>
    <w:rsid w:val="00E7678A"/>
    <w:rsid w:val="00E935F1"/>
    <w:rsid w:val="00E94A81"/>
    <w:rsid w:val="00EA1FFB"/>
    <w:rsid w:val="00EB048E"/>
    <w:rsid w:val="00EB0866"/>
    <w:rsid w:val="00EB4E9C"/>
    <w:rsid w:val="00EB7224"/>
    <w:rsid w:val="00EC2265"/>
    <w:rsid w:val="00EE34DF"/>
    <w:rsid w:val="00EF2F89"/>
    <w:rsid w:val="00F025F0"/>
    <w:rsid w:val="00F03E98"/>
    <w:rsid w:val="00F102C4"/>
    <w:rsid w:val="00F1237A"/>
    <w:rsid w:val="00F22CBD"/>
    <w:rsid w:val="00F272F1"/>
    <w:rsid w:val="00F45372"/>
    <w:rsid w:val="00F560F7"/>
    <w:rsid w:val="00F6334D"/>
    <w:rsid w:val="00FA49AB"/>
    <w:rsid w:val="00FD3F87"/>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1708B"/>
  <w15:docId w15:val="{C4F8170E-1A4F-4552-85C7-337F820B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944"/>
    <w:pPr>
      <w:jc w:val="both"/>
    </w:pPr>
    <w:rPr>
      <w:rFonts w:ascii="Arial" w:hAnsi="Arial"/>
      <w:lang w:val="es-ES_tradn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8B3D8D"/>
    <w:pPr>
      <w:jc w:val="center"/>
    </w:pPr>
    <w:rPr>
      <w:rFonts w:ascii="Arial" w:hAnsi="Arial"/>
      <w:lang w:val="es-ES_tradnl"/>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401DDB"/>
    <w:pPr>
      <w:tabs>
        <w:tab w:val="left" w:pos="5387"/>
        <w:tab w:val="left" w:pos="5954"/>
      </w:tabs>
      <w:ind w:left="4820"/>
    </w:pPr>
    <w:rPr>
      <w:i/>
    </w:rPr>
  </w:style>
  <w:style w:type="paragraph" w:styleId="FootnoteText">
    <w:name w:val="footnote text"/>
    <w:link w:val="FootnoteTextChar"/>
    <w:autoRedefine/>
    <w:rsid w:val="00783722"/>
    <w:pPr>
      <w:spacing w:before="60"/>
      <w:ind w:left="567" w:hanging="567"/>
      <w:jc w:val="both"/>
    </w:pPr>
    <w:rPr>
      <w:rFonts w:ascii="Arial" w:hAnsi="Arial"/>
      <w:sz w:val="16"/>
      <w:lang w:val="es-ES_tradnl"/>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6A32E5"/>
    <w:pPr>
      <w:spacing w:after="600"/>
    </w:pPr>
    <w:rPr>
      <w:rFonts w:ascii="Arial" w:hAnsi="Arial"/>
      <w:i/>
      <w:iCs/>
      <w:color w:val="A6A6A6" w:themeColor="background1" w:themeShade="A6"/>
      <w:lang w:val="es-ES_tradnl"/>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6A32E5"/>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401DD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401DD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401DD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401DDB"/>
    <w:pPr>
      <w:tabs>
        <w:tab w:val="right" w:leader="dot" w:pos="9639"/>
      </w:tabs>
      <w:spacing w:after="120"/>
      <w:jc w:val="center"/>
    </w:pPr>
    <w:rPr>
      <w:rFonts w:ascii="Arial" w:hAnsi="Arial"/>
      <w:caps/>
    </w:rPr>
  </w:style>
  <w:style w:type="paragraph" w:styleId="TOC5">
    <w:name w:val="toc 5"/>
    <w:next w:val="Normal"/>
    <w:autoRedefine/>
    <w:rsid w:val="00401DD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basedOn w:val="Normal"/>
    <w:uiPriority w:val="34"/>
    <w:qFormat/>
    <w:rsid w:val="00356B73"/>
    <w:pPr>
      <w:ind w:left="720"/>
      <w:contextualSpacing/>
    </w:pPr>
    <w:rPr>
      <w:lang w:val="es-ES"/>
    </w:rPr>
  </w:style>
  <w:style w:type="character" w:customStyle="1" w:styleId="FootnoteTextChar">
    <w:name w:val="Footnote Text Char"/>
    <w:basedOn w:val="DefaultParagraphFont"/>
    <w:link w:val="FootnoteText"/>
    <w:rsid w:val="00356B73"/>
    <w:rPr>
      <w:rFonts w:ascii="Arial" w:hAnsi="Arial"/>
      <w:sz w:val="16"/>
      <w:lang w:val="es-ES_tradnl"/>
    </w:rPr>
  </w:style>
  <w:style w:type="character" w:customStyle="1" w:styleId="Heading1Char">
    <w:name w:val="Heading 1 Char"/>
    <w:basedOn w:val="DefaultParagraphFont"/>
    <w:link w:val="Heading1"/>
    <w:rsid w:val="00801AF4"/>
    <w:rPr>
      <w:rFonts w:ascii="Arial" w:hAnsi="Arial"/>
      <w:caps/>
    </w:rPr>
  </w:style>
  <w:style w:type="character" w:customStyle="1" w:styleId="HeaderChar">
    <w:name w:val="Header Char"/>
    <w:basedOn w:val="DefaultParagraphFont"/>
    <w:link w:val="Header"/>
    <w:rsid w:val="00801AF4"/>
    <w:rPr>
      <w:rFonts w:ascii="Arial" w:hAnsi="Arial"/>
      <w:lang w:val="es-ES_tradnl"/>
    </w:rPr>
  </w:style>
  <w:style w:type="character" w:customStyle="1" w:styleId="FooterChar">
    <w:name w:val="Footer Char"/>
    <w:aliases w:val="doc_path_name Char"/>
    <w:basedOn w:val="DefaultParagraphFont"/>
    <w:link w:val="Footer"/>
    <w:rsid w:val="00801AF4"/>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pov.int/edocs/mdocs/upov/es/c_59/c_59_16.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upov.int/edocs/mdocs/upov/es/c_59/c_59_1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pov.int/edocs/mdocs/upov/es/c_59/c_59_1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DE737AF9FA96E1438C3A54E3CBFF026A" ma:contentTypeVersion="36" ma:contentTypeDescription="" ma:contentTypeScope="" ma:versionID="060fde5894ffd01a6aab227a906ae71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9a2602c6fc3b7f607870cfb7cefb879a"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019a9b-0f7f-41a9-8454-3eb7a8eff168}"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019a9b-0f7f-41a9-8454-3eb7a8eff168}"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LDBFP-1070084597-128012</_dlc_DocId>
    <_dlc_DocIdUrl xmlns="ffaa6062-2aba-4ca6-91a9-50f50ca0253d">
      <Url>https://wipoprod.sharepoint.com/sites/SPS-INT-BFP-LD-SpanTran/_layouts/15/DocIdRedir.aspx?ID=LDBFP-1070084597-128012</Url>
      <Description>LDBFP-1070084597-128012</Description>
    </_dlc_DocIdUrl>
  </documentManagement>
</p:properties>
</file>

<file path=customXml/itemProps1.xml><?xml version="1.0" encoding="utf-8"?>
<ds:datastoreItem xmlns:ds="http://schemas.openxmlformats.org/officeDocument/2006/customXml" ds:itemID="{41FDBF7A-106C-445E-AC27-2F77CCEAE8D6}">
  <ds:schemaRefs>
    <ds:schemaRef ds:uri="http://schemas.microsoft.com/sharepoint/v3/contenttype/forms"/>
  </ds:schemaRefs>
</ds:datastoreItem>
</file>

<file path=customXml/itemProps2.xml><?xml version="1.0" encoding="utf-8"?>
<ds:datastoreItem xmlns:ds="http://schemas.openxmlformats.org/officeDocument/2006/customXml" ds:itemID="{A75BB72D-1E2C-42BD-BD35-35E1AF85B6C8}">
  <ds:schemaRefs>
    <ds:schemaRef ds:uri="http://schemas.microsoft.com/sharepoint/events"/>
  </ds:schemaRefs>
</ds:datastoreItem>
</file>

<file path=customXml/itemProps3.xml><?xml version="1.0" encoding="utf-8"?>
<ds:datastoreItem xmlns:ds="http://schemas.openxmlformats.org/officeDocument/2006/customXml" ds:itemID="{E2E1B4CE-B374-4CB8-B648-B507A169E241}">
  <ds:schemaRefs>
    <ds:schemaRef ds:uri="Microsoft.SharePoint.Taxonomy.ContentTypeSync"/>
  </ds:schemaRefs>
</ds:datastoreItem>
</file>

<file path=customXml/itemProps4.xml><?xml version="1.0" encoding="utf-8"?>
<ds:datastoreItem xmlns:ds="http://schemas.openxmlformats.org/officeDocument/2006/customXml" ds:itemID="{665E0F14-477F-48CE-8193-71077D90D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DEF1DC-5042-4D24-93F1-5238FC0DB727}">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ffaa6062-2aba-4ca6-91a9-50f50ca0253d"/>
    <ds:schemaRef ds:uri="56500874-bba0-4b48-9090-b201492e8473"/>
    <ds:schemaRef ds:uri="http://purl.org/dc/elements/1.1/"/>
    <ds:schemaRef ds:uri="http://purl.org/dc/terms/"/>
    <ds:schemaRef ds:uri="http://www.w3.org/XML/1998/namespace"/>
    <ds:schemaRef ds:uri="http://schemas.microsoft.com/office/infopath/2007/PartnerControls"/>
    <ds:schemaRef ds:uri="0d6abe56-55ad-41de-8124-44420a0ee71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1780</Words>
  <Characters>10017</Characters>
  <Application>Microsoft Office Word</Application>
  <DocSecurity>0</DocSecurity>
  <Lines>232</Lines>
  <Paragraphs>92</Paragraphs>
  <ScaleCrop>false</ScaleCrop>
  <HeadingPairs>
    <vt:vector size="2" baseType="variant">
      <vt:variant>
        <vt:lpstr>Title</vt:lpstr>
      </vt:variant>
      <vt:variant>
        <vt:i4>1</vt:i4>
      </vt:variant>
    </vt:vector>
  </HeadingPairs>
  <TitlesOfParts>
    <vt:vector size="1" baseType="lpstr">
      <vt:lpstr>CG-URS/2/</vt:lpstr>
    </vt:vector>
  </TitlesOfParts>
  <Company>UPOV</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CG-URS/3/2</dc:title>
  <dc:creator>NICOLO Laurianne</dc:creator>
  <cp:lastModifiedBy>HUERTA-CASADO Yolanda</cp:lastModifiedBy>
  <cp:revision>12</cp:revision>
  <cp:lastPrinted>2016-11-22T15:41:00Z</cp:lastPrinted>
  <dcterms:created xsi:type="dcterms:W3CDTF">2026-04-27T14:14:00Z</dcterms:created>
  <dcterms:modified xsi:type="dcterms:W3CDTF">2026-05-06T12:53:00Z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2026-04-27T14:08:30Z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30be9ffd-13d2-4fd4-9576-6b7f963c37f4</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y fmtid="{D5CDD505-2E9C-101B-9397-08002B2CF9AE}" pid="10" name="ContentTypeId">
    <vt:lpwstr>0x01010043A0F979BE30A3469F998CB749C11FBD00DE737AF9FA96E1438C3A54E3CBFF026A</vt:lpwstr>
  </property>
  <property fmtid="{D5CDD505-2E9C-101B-9397-08002B2CF9AE}" pid="11" name="BusinessUnit">
    <vt:lpwstr>3;#Language Division|9d03c550-61a5-463a-85fe-6ed05e2d8eeb</vt:lpwstr>
  </property>
  <property fmtid="{D5CDD505-2E9C-101B-9397-08002B2CF9AE}" pid="12" name="MediaServiceImageTags">
    <vt:lpwstr/>
  </property>
  <property fmtid="{D5CDD505-2E9C-101B-9397-08002B2CF9AE}" pid="13" name="RMClassification">
    <vt:lpwstr>4;#05 Reference Material|9ea5a724-be39-4cdd-b7fd-205cb2d62f2f</vt:lpwstr>
  </property>
  <property fmtid="{D5CDD505-2E9C-101B-9397-08002B2CF9AE}" pid="14" name="Languages">
    <vt:lpwstr>1;#English|950e6fa2-2df0-4983-a604-54e57c7a6d93</vt:lpwstr>
  </property>
  <property fmtid="{D5CDD505-2E9C-101B-9397-08002B2CF9AE}" pid="15" name="lcf76f155ced4ddcb4097134ff3c332f">
    <vt:lpwstr/>
  </property>
  <property fmtid="{D5CDD505-2E9C-101B-9397-08002B2CF9AE}" pid="16" name="_dlc_DocIdItemGuid">
    <vt:lpwstr>060178d1-6a30-468a-aa21-06158f8a2930</vt:lpwstr>
  </property>
</Properties>
</file>