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815738" w14:paraId="672BFEA1" w14:textId="77777777" w:rsidTr="00EB4E9C">
        <w:tc>
          <w:tcPr>
            <w:tcW w:w="6522" w:type="dxa"/>
          </w:tcPr>
          <w:p w14:paraId="25AE6580" w14:textId="77777777" w:rsidR="00DC3802" w:rsidRPr="00AC2883" w:rsidRDefault="00F445E9" w:rsidP="00AC2883">
            <w:r>
              <w:rPr>
                <w:noProof/>
              </w:rPr>
              <w:drawing>
                <wp:inline distT="0" distB="0" distL="0" distR="0" wp14:anchorId="31F1BEA8" wp14:editId="222BFBCA">
                  <wp:extent cx="933580" cy="266737"/>
                  <wp:effectExtent l="0" t="0" r="0" b="0"/>
                  <wp:docPr id="51466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66686" name="Picture 51466686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2E78B106" w14:textId="50658DCD" w:rsidR="00DC3802" w:rsidRPr="007C1D92" w:rsidRDefault="003D2B3F" w:rsidP="00AC2883">
            <w:pPr>
              <w:pStyle w:val="Lettrine"/>
            </w:pPr>
            <w:r>
              <w:t>S</w:t>
            </w:r>
          </w:p>
        </w:tc>
      </w:tr>
      <w:tr w:rsidR="00DC3802" w:rsidRPr="00ED59C2" w14:paraId="42183DC4" w14:textId="77777777" w:rsidTr="00645CA8">
        <w:trPr>
          <w:trHeight w:val="219"/>
        </w:trPr>
        <w:tc>
          <w:tcPr>
            <w:tcW w:w="6522" w:type="dxa"/>
          </w:tcPr>
          <w:p w14:paraId="1DD46352" w14:textId="11EAB140" w:rsidR="00DC3802" w:rsidRPr="003D2B3F" w:rsidRDefault="00DC3802" w:rsidP="00AC2883">
            <w:pPr>
              <w:pStyle w:val="upove"/>
              <w:rPr>
                <w:lang w:val="es-ES"/>
              </w:rPr>
            </w:pPr>
            <w:r w:rsidRPr="003D2B3F">
              <w:rPr>
                <w:lang w:val="es-ES"/>
              </w:rPr>
              <w:t>Unión Internacional para la Protección de las Obtenciones Vegetales</w:t>
            </w:r>
          </w:p>
        </w:tc>
        <w:tc>
          <w:tcPr>
            <w:tcW w:w="3117" w:type="dxa"/>
          </w:tcPr>
          <w:p w14:paraId="77F30BCA" w14:textId="77777777" w:rsidR="00DC3802" w:rsidRPr="003D2B3F" w:rsidRDefault="00DC3802" w:rsidP="00DA4973">
            <w:pPr>
              <w:rPr>
                <w:lang w:val="es-ES"/>
              </w:rPr>
            </w:pPr>
          </w:p>
        </w:tc>
      </w:tr>
    </w:tbl>
    <w:p w14:paraId="37066BEF" w14:textId="77777777" w:rsidR="00DC3802" w:rsidRPr="003D2B3F" w:rsidRDefault="00DC3802" w:rsidP="00DC3802">
      <w:pPr>
        <w:rPr>
          <w:lang w:val="es-ES"/>
        </w:rPr>
      </w:pPr>
    </w:p>
    <w:p w14:paraId="0C67809A" w14:textId="77777777" w:rsidR="0004297B" w:rsidRPr="003D2B3F" w:rsidRDefault="0004297B" w:rsidP="0004297B">
      <w:pPr>
        <w:rPr>
          <w:lang w:val="es-ES"/>
        </w:rPr>
      </w:pPr>
    </w:p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04297B" w:rsidRPr="00ED59C2" w14:paraId="69CD82DB" w14:textId="77777777" w:rsidTr="00EB56DD">
        <w:tc>
          <w:tcPr>
            <w:tcW w:w="6512" w:type="dxa"/>
          </w:tcPr>
          <w:p w14:paraId="79BD4013" w14:textId="77777777" w:rsidR="0004297B" w:rsidRPr="003D2B3F" w:rsidRDefault="001159C7" w:rsidP="00EB56DD">
            <w:pPr>
              <w:pStyle w:val="Sessiontc"/>
              <w:spacing w:line="240" w:lineRule="auto"/>
              <w:rPr>
                <w:lang w:val="es-ES"/>
              </w:rPr>
            </w:pPr>
            <w:r w:rsidRPr="003D2B3F">
              <w:rPr>
                <w:lang w:val="es-ES"/>
              </w:rPr>
              <w:t>Grupo Consultivo sobre la Estrategia de Recursos de la UPOV</w:t>
            </w:r>
          </w:p>
          <w:p w14:paraId="6C501894" w14:textId="77777777" w:rsidR="009973D1" w:rsidRPr="003D2B3F" w:rsidRDefault="009973D1" w:rsidP="009973D1">
            <w:pPr>
              <w:pStyle w:val="Sessiontcplacedate"/>
              <w:rPr>
                <w:lang w:val="es-ES"/>
              </w:rPr>
            </w:pPr>
            <w:r w:rsidRPr="003D2B3F">
              <w:rPr>
                <w:lang w:val="es-ES"/>
              </w:rPr>
              <w:t>Segunda reunión</w:t>
            </w:r>
          </w:p>
          <w:p w14:paraId="57CBD362" w14:textId="77777777" w:rsidR="0004297B" w:rsidRPr="003D2B3F" w:rsidRDefault="009973D1" w:rsidP="009973D1">
            <w:pPr>
              <w:pStyle w:val="Sessiontcplacedate"/>
              <w:rPr>
                <w:sz w:val="22"/>
                <w:lang w:val="es-ES"/>
              </w:rPr>
            </w:pPr>
            <w:r w:rsidRPr="003D2B3F">
              <w:rPr>
                <w:lang w:val="es-ES"/>
              </w:rPr>
              <w:t>Ginebra, 18 de marzo de 2026</w:t>
            </w:r>
          </w:p>
        </w:tc>
        <w:tc>
          <w:tcPr>
            <w:tcW w:w="3127" w:type="dxa"/>
          </w:tcPr>
          <w:p w14:paraId="41794CEA" w14:textId="469FDE5C" w:rsidR="0004297B" w:rsidRPr="003D2B3F" w:rsidRDefault="00B339B3" w:rsidP="00EB56DD">
            <w:pPr>
              <w:pStyle w:val="Doccode"/>
              <w:rPr>
                <w:lang w:val="es-ES"/>
              </w:rPr>
            </w:pPr>
            <w:r w:rsidRPr="003D2B3F">
              <w:rPr>
                <w:lang w:val="es-ES"/>
              </w:rPr>
              <w:t>CG-URS/2/3</w:t>
            </w:r>
          </w:p>
          <w:p w14:paraId="65887F94" w14:textId="77777777" w:rsidR="0004297B" w:rsidRPr="003D2B3F" w:rsidRDefault="0004297B" w:rsidP="00EB56DD">
            <w:pPr>
              <w:pStyle w:val="Docoriginal"/>
              <w:rPr>
                <w:lang w:val="es-ES"/>
              </w:rPr>
            </w:pPr>
            <w:r w:rsidRPr="003D2B3F">
              <w:rPr>
                <w:lang w:val="es-ES"/>
              </w:rPr>
              <w:t xml:space="preserve">Original: </w:t>
            </w:r>
            <w:r w:rsidRPr="003D2B3F">
              <w:rPr>
                <w:b w:val="0"/>
                <w:spacing w:val="0"/>
                <w:lang w:val="es-ES"/>
              </w:rPr>
              <w:t>inglés</w:t>
            </w:r>
          </w:p>
          <w:p w14:paraId="4093310C" w14:textId="45B862CB" w:rsidR="0004297B" w:rsidRPr="003D2B3F" w:rsidRDefault="0004297B" w:rsidP="00644B33">
            <w:pPr>
              <w:pStyle w:val="Docoriginal"/>
              <w:rPr>
                <w:lang w:val="es-ES"/>
              </w:rPr>
            </w:pPr>
            <w:r w:rsidRPr="003D2B3F">
              <w:rPr>
                <w:lang w:val="es-ES"/>
              </w:rPr>
              <w:t>Fecha:</w:t>
            </w:r>
            <w:r w:rsidR="001C10D0" w:rsidRPr="003D2B3F">
              <w:rPr>
                <w:b w:val="0"/>
                <w:spacing w:val="0"/>
                <w:lang w:val="es-ES"/>
              </w:rPr>
              <w:t xml:space="preserve"> 26 </w:t>
            </w:r>
            <w:r w:rsidR="00B339B3" w:rsidRPr="003D2B3F">
              <w:rPr>
                <w:b w:val="0"/>
                <w:spacing w:val="0"/>
                <w:lang w:val="es-ES"/>
              </w:rPr>
              <w:t xml:space="preserve">de </w:t>
            </w:r>
            <w:r w:rsidR="001C10D0" w:rsidRPr="003D2B3F">
              <w:rPr>
                <w:b w:val="0"/>
                <w:spacing w:val="0"/>
                <w:lang w:val="es-ES"/>
              </w:rPr>
              <w:t xml:space="preserve">abril </w:t>
            </w:r>
            <w:r w:rsidR="00B339B3" w:rsidRPr="003D2B3F">
              <w:rPr>
                <w:b w:val="0"/>
                <w:spacing w:val="0"/>
                <w:lang w:val="es-ES"/>
              </w:rPr>
              <w:t>de 2026</w:t>
            </w:r>
          </w:p>
        </w:tc>
      </w:tr>
    </w:tbl>
    <w:p w14:paraId="0C22022C" w14:textId="0732E08E" w:rsidR="0004297B" w:rsidRPr="003D2B3F" w:rsidRDefault="00B339B3" w:rsidP="0004297B">
      <w:pPr>
        <w:pStyle w:val="Titleofdoc0"/>
        <w:rPr>
          <w:lang w:val="es-ES"/>
        </w:rPr>
      </w:pPr>
      <w:r w:rsidRPr="003D2B3F">
        <w:rPr>
          <w:lang w:val="es-ES"/>
        </w:rPr>
        <w:t>Informe</w:t>
      </w:r>
    </w:p>
    <w:p w14:paraId="0FBA1A12" w14:textId="62864671" w:rsidR="0004297B" w:rsidRPr="003D2B3F" w:rsidRDefault="001C10D0" w:rsidP="0004297B">
      <w:pPr>
        <w:pStyle w:val="preparedby1"/>
        <w:jc w:val="left"/>
        <w:rPr>
          <w:lang w:val="es-ES"/>
        </w:rPr>
      </w:pPr>
      <w:r w:rsidRPr="003D2B3F">
        <w:rPr>
          <w:lang w:val="es-ES"/>
        </w:rPr>
        <w:t>aprobado por el Grupo Consultivo sobre la Estrategia de Recursos de la UPOV</w:t>
      </w:r>
    </w:p>
    <w:p w14:paraId="7186CDF9" w14:textId="1C1DF37B" w:rsidR="0004297B" w:rsidRPr="003D2B3F" w:rsidRDefault="0004297B" w:rsidP="0004297B">
      <w:pPr>
        <w:pStyle w:val="Disclaimer"/>
        <w:rPr>
          <w:lang w:val="es-ES"/>
        </w:rPr>
      </w:pPr>
      <w:r w:rsidRPr="003D2B3F">
        <w:rPr>
          <w:lang w:val="es-ES"/>
        </w:rPr>
        <w:t>Descargo de responsabilidad: el presente documento no constituye un documento de política u orientación de la UPOV</w:t>
      </w:r>
      <w:r w:rsidR="003D2B3F">
        <w:rPr>
          <w:lang w:val="es-ES"/>
        </w:rPr>
        <w:br/>
      </w:r>
      <w:r w:rsidR="003D2B3F">
        <w:rPr>
          <w:lang w:val="es-ES"/>
        </w:rPr>
        <w:br/>
      </w:r>
      <w:r w:rsidR="003D2B3F" w:rsidRPr="003D2B3F">
        <w:rPr>
          <w:lang w:val="es-ES"/>
        </w:rPr>
        <w:t>Este documento se ha generado mediante traducción automática y no puede garantizarse su exactitud. Por lo tanto, el texto en el idioma original es la única versión auténtica.</w:t>
      </w:r>
    </w:p>
    <w:p w14:paraId="5BDA92B2" w14:textId="77777777" w:rsidR="00B339B3" w:rsidRPr="003D2B3F" w:rsidRDefault="00B339B3" w:rsidP="00B339B3">
      <w:pPr>
        <w:pStyle w:val="Heading1"/>
        <w:rPr>
          <w:lang w:val="es-ES"/>
        </w:rPr>
      </w:pPr>
      <w:r w:rsidRPr="003D2B3F">
        <w:rPr>
          <w:lang w:val="es-ES"/>
        </w:rPr>
        <w:t>APERTURA DE LA REUNIÓN</w:t>
      </w:r>
    </w:p>
    <w:p w14:paraId="0C4FAEAB" w14:textId="77777777" w:rsidR="0004297B" w:rsidRPr="003D2B3F" w:rsidRDefault="0004297B" w:rsidP="0004297B">
      <w:pPr>
        <w:rPr>
          <w:lang w:val="es-ES"/>
        </w:rPr>
      </w:pPr>
    </w:p>
    <w:p w14:paraId="1DF697D0" w14:textId="006A9D80" w:rsidR="00B339B3" w:rsidRPr="003D2B3F" w:rsidRDefault="002930BF" w:rsidP="003D2B3F">
      <w:pPr>
        <w:rPr>
          <w:lang w:val="es-ES"/>
        </w:rPr>
      </w:pPr>
      <w:r>
        <w:rPr>
          <w:lang w:val="en-GB"/>
        </w:rPr>
        <w:fldChar w:fldCharType="begin"/>
      </w:r>
      <w:r w:rsidRPr="003D2B3F">
        <w:rPr>
          <w:lang w:val="es-ES"/>
        </w:rPr>
        <w:instrText xml:space="preserve"> AUTONUM  </w:instrText>
      </w:r>
      <w:r>
        <w:rPr>
          <w:lang w:val="en-GB"/>
        </w:rPr>
        <w:fldChar w:fldCharType="end"/>
      </w:r>
      <w:r w:rsidRPr="003D2B3F">
        <w:rPr>
          <w:lang w:val="es-ES"/>
        </w:rPr>
        <w:tab/>
      </w:r>
      <w:r w:rsidR="00B339B3" w:rsidRPr="003D2B3F">
        <w:rPr>
          <w:lang w:val="es-ES"/>
        </w:rPr>
        <w:t xml:space="preserve">El Grupo Consultivo sobre la </w:t>
      </w:r>
      <w:r w:rsidR="00D64019">
        <w:rPr>
          <w:lang w:val="es-ES"/>
        </w:rPr>
        <w:t>e</w:t>
      </w:r>
      <w:r w:rsidR="00B339B3" w:rsidRPr="003D2B3F">
        <w:rPr>
          <w:lang w:val="es-ES"/>
        </w:rPr>
        <w:t xml:space="preserve">strategia de </w:t>
      </w:r>
      <w:r w:rsidR="00D64019">
        <w:rPr>
          <w:lang w:val="es-ES"/>
        </w:rPr>
        <w:t>r</w:t>
      </w:r>
      <w:r w:rsidR="00B339B3" w:rsidRPr="003D2B3F">
        <w:rPr>
          <w:lang w:val="es-ES"/>
        </w:rPr>
        <w:t xml:space="preserve">ecursos de la UPOV (CG-URS) celebró su segunda reunión en Ginebra, el 18 de marzo de 2026, por medios </w:t>
      </w:r>
      <w:r w:rsidR="003D2B3F" w:rsidRPr="003D2B3F">
        <w:rPr>
          <w:lang w:val="es-ES"/>
        </w:rPr>
        <w:t>electrónicos, presidida por el Sr. Anthony Parker,</w:t>
      </w:r>
      <w:r w:rsidR="003D2B3F">
        <w:rPr>
          <w:lang w:val="es-ES"/>
        </w:rPr>
        <w:t xml:space="preserve"> </w:t>
      </w:r>
      <w:proofErr w:type="gramStart"/>
      <w:r w:rsidR="003D2B3F" w:rsidRPr="003D2B3F">
        <w:rPr>
          <w:lang w:val="es-ES"/>
        </w:rPr>
        <w:t>Presidente</w:t>
      </w:r>
      <w:proofErr w:type="gramEnd"/>
      <w:r w:rsidR="003D2B3F" w:rsidRPr="003D2B3F">
        <w:rPr>
          <w:lang w:val="es-ES"/>
        </w:rPr>
        <w:t xml:space="preserve"> del Consejo de la UPOV.</w:t>
      </w:r>
    </w:p>
    <w:p w14:paraId="182AC368" w14:textId="77777777" w:rsidR="00B339B3" w:rsidRPr="003D2B3F" w:rsidRDefault="00B339B3" w:rsidP="00B339B3">
      <w:pPr>
        <w:rPr>
          <w:lang w:val="es-ES"/>
        </w:rPr>
      </w:pPr>
    </w:p>
    <w:p w14:paraId="3B973324" w14:textId="54669BA8" w:rsidR="00B339B3" w:rsidRPr="003D2B3F" w:rsidRDefault="00B339B3" w:rsidP="00B339B3">
      <w:pPr>
        <w:rPr>
          <w:lang w:val="es-ES"/>
        </w:rPr>
      </w:pPr>
      <w:r w:rsidRPr="00253E13">
        <w:rPr>
          <w:lang w:val="en-GB"/>
        </w:rPr>
        <w:fldChar w:fldCharType="begin"/>
      </w:r>
      <w:r w:rsidRPr="003D2B3F">
        <w:rPr>
          <w:lang w:val="es-ES"/>
        </w:rPr>
        <w:instrText xml:space="preserve"> AUTONUM  </w:instrText>
      </w:r>
      <w:r w:rsidRPr="00253E13">
        <w:rPr>
          <w:lang w:val="en-GB"/>
        </w:rPr>
        <w:fldChar w:fldCharType="end"/>
      </w:r>
      <w:r w:rsidRPr="003D2B3F">
        <w:rPr>
          <w:lang w:val="es-ES"/>
        </w:rPr>
        <w:tab/>
        <w:t xml:space="preserve">El </w:t>
      </w:r>
      <w:proofErr w:type="gramStart"/>
      <w:r w:rsidRPr="003D2B3F">
        <w:rPr>
          <w:lang w:val="es-ES"/>
        </w:rPr>
        <w:t>Presidente</w:t>
      </w:r>
      <w:proofErr w:type="gramEnd"/>
      <w:r w:rsidRPr="003D2B3F">
        <w:rPr>
          <w:lang w:val="es-ES"/>
        </w:rPr>
        <w:t xml:space="preserve"> </w:t>
      </w:r>
      <w:r w:rsidR="003D2B3F" w:rsidRPr="003D2B3F">
        <w:rPr>
          <w:lang w:val="es-ES"/>
        </w:rPr>
        <w:t>declaró abierta la reunión y dio la bienvenida a los participantes</w:t>
      </w:r>
      <w:r w:rsidR="003D2B3F">
        <w:rPr>
          <w:lang w:val="es-ES"/>
        </w:rPr>
        <w:t>.</w:t>
      </w:r>
    </w:p>
    <w:p w14:paraId="3291B50F" w14:textId="77777777" w:rsidR="00B339B3" w:rsidRPr="003D2B3F" w:rsidRDefault="00B339B3" w:rsidP="00B339B3">
      <w:pPr>
        <w:rPr>
          <w:lang w:val="es-ES"/>
        </w:rPr>
      </w:pPr>
    </w:p>
    <w:p w14:paraId="1ADBD725" w14:textId="5FC99BB0" w:rsidR="00B339B3" w:rsidRPr="003D2B3F" w:rsidRDefault="00B339B3" w:rsidP="00B339B3">
      <w:pPr>
        <w:rPr>
          <w:lang w:val="es-ES"/>
        </w:rPr>
      </w:pPr>
      <w:r w:rsidRPr="00253E13">
        <w:rPr>
          <w:lang w:val="en-GB"/>
        </w:rPr>
        <w:fldChar w:fldCharType="begin"/>
      </w:r>
      <w:r w:rsidRPr="003D2B3F">
        <w:rPr>
          <w:lang w:val="es-ES"/>
        </w:rPr>
        <w:instrText xml:space="preserve"> AUTONUM  </w:instrText>
      </w:r>
      <w:r w:rsidRPr="00253E13">
        <w:rPr>
          <w:lang w:val="en-GB"/>
        </w:rPr>
        <w:fldChar w:fldCharType="end"/>
      </w:r>
      <w:r w:rsidRPr="003D2B3F">
        <w:rPr>
          <w:lang w:val="es-ES"/>
        </w:rPr>
        <w:tab/>
        <w:t>La lista de participantes</w:t>
      </w:r>
      <w:r w:rsidR="003D2B3F" w:rsidRPr="003D2B3F">
        <w:rPr>
          <w:lang w:val="es-ES"/>
        </w:rPr>
        <w:t xml:space="preserve"> se distribuirá directamente a los participantes por correo electrónico</w:t>
      </w:r>
      <w:r w:rsidR="003D2B3F">
        <w:rPr>
          <w:lang w:val="es-ES"/>
        </w:rPr>
        <w:t>.</w:t>
      </w:r>
    </w:p>
    <w:p w14:paraId="7ED95FFC" w14:textId="77777777" w:rsidR="00B339B3" w:rsidRPr="003D2B3F" w:rsidRDefault="00B339B3" w:rsidP="00B339B3">
      <w:pPr>
        <w:rPr>
          <w:lang w:val="es-ES"/>
        </w:rPr>
      </w:pPr>
    </w:p>
    <w:p w14:paraId="74443391" w14:textId="2058A132" w:rsidR="00B339B3" w:rsidRPr="003D2B3F" w:rsidRDefault="00B339B3" w:rsidP="00B339B3">
      <w:pPr>
        <w:rPr>
          <w:lang w:val="es-ES"/>
        </w:rPr>
      </w:pPr>
      <w:r>
        <w:rPr>
          <w:lang w:val="en-GB"/>
        </w:rPr>
        <w:fldChar w:fldCharType="begin"/>
      </w:r>
      <w:r w:rsidRPr="003D2B3F">
        <w:rPr>
          <w:lang w:val="es-ES"/>
        </w:rPr>
        <w:instrText xml:space="preserve"> AUTONUM  </w:instrText>
      </w:r>
      <w:r>
        <w:rPr>
          <w:lang w:val="en-GB"/>
        </w:rPr>
        <w:fldChar w:fldCharType="end"/>
      </w:r>
      <w:r w:rsidRPr="003D2B3F">
        <w:rPr>
          <w:lang w:val="es-ES"/>
        </w:rPr>
        <w:tab/>
        <w:t>El CG-URS tomó nota de que, además de los miembros del CG-URS (Canadá (</w:t>
      </w:r>
      <w:proofErr w:type="gramStart"/>
      <w:r w:rsidRPr="003D2B3F">
        <w:rPr>
          <w:lang w:val="es-ES"/>
        </w:rPr>
        <w:t>Presidente</w:t>
      </w:r>
      <w:proofErr w:type="gramEnd"/>
      <w:r w:rsidRPr="003D2B3F">
        <w:rPr>
          <w:lang w:val="es-ES"/>
        </w:rPr>
        <w:t>), Ghana (</w:t>
      </w:r>
      <w:proofErr w:type="gramStart"/>
      <w:r w:rsidRPr="003D2B3F">
        <w:rPr>
          <w:lang w:val="es-ES"/>
        </w:rPr>
        <w:t>Vicepresident</w:t>
      </w:r>
      <w:r w:rsidR="00384EC1">
        <w:rPr>
          <w:lang w:val="es-ES"/>
        </w:rPr>
        <w:t>a</w:t>
      </w:r>
      <w:proofErr w:type="gramEnd"/>
      <w:r w:rsidRPr="003D2B3F">
        <w:rPr>
          <w:lang w:val="es-ES"/>
        </w:rPr>
        <w:t xml:space="preserve">), Argentina, Australia, </w:t>
      </w:r>
      <w:proofErr w:type="spellStart"/>
      <w:r w:rsidRPr="003D2B3F">
        <w:rPr>
          <w:lang w:val="es-ES"/>
        </w:rPr>
        <w:t>Belarús</w:t>
      </w:r>
      <w:proofErr w:type="spellEnd"/>
      <w:r w:rsidRPr="003D2B3F">
        <w:rPr>
          <w:lang w:val="es-ES"/>
        </w:rPr>
        <w:t xml:space="preserve">, Brasil, China, </w:t>
      </w:r>
      <w:r w:rsidR="003D2B3F" w:rsidRPr="003D2B3F">
        <w:rPr>
          <w:lang w:val="es-ES"/>
        </w:rPr>
        <w:t>Estados Unidos de América</w:t>
      </w:r>
      <w:r w:rsidRPr="003D2B3F">
        <w:rPr>
          <w:lang w:val="es-ES"/>
        </w:rPr>
        <w:t xml:space="preserve">, </w:t>
      </w:r>
      <w:r w:rsidR="003D2B3F" w:rsidRPr="003D2B3F">
        <w:rPr>
          <w:lang w:val="es-ES"/>
        </w:rPr>
        <w:t xml:space="preserve">Federación de Rusia, </w:t>
      </w:r>
      <w:r w:rsidRPr="003D2B3F">
        <w:rPr>
          <w:lang w:val="es-ES"/>
        </w:rPr>
        <w:t xml:space="preserve">Francia, Irlanda, Japón, </w:t>
      </w:r>
      <w:r w:rsidR="003D2B3F" w:rsidRPr="003D2B3F">
        <w:rPr>
          <w:lang w:val="es-ES"/>
        </w:rPr>
        <w:t xml:space="preserve">Nueva Zelandia, </w:t>
      </w:r>
      <w:r w:rsidRPr="003D2B3F">
        <w:rPr>
          <w:lang w:val="es-ES"/>
        </w:rPr>
        <w:t>Países Bajos (Reino de), Reino Unido</w:t>
      </w:r>
      <w:r w:rsidR="00384EC1">
        <w:rPr>
          <w:lang w:val="es-ES"/>
        </w:rPr>
        <w:t>,</w:t>
      </w:r>
      <w:r w:rsidRPr="003D2B3F">
        <w:rPr>
          <w:lang w:val="es-ES"/>
        </w:rPr>
        <w:t xml:space="preserve"> </w:t>
      </w:r>
      <w:r w:rsidR="003D2B3F" w:rsidRPr="003D2B3F">
        <w:rPr>
          <w:lang w:val="es-ES"/>
        </w:rPr>
        <w:t xml:space="preserve">Suiza </w:t>
      </w:r>
      <w:r w:rsidRPr="003D2B3F">
        <w:rPr>
          <w:lang w:val="es-ES"/>
        </w:rPr>
        <w:t xml:space="preserve">y </w:t>
      </w:r>
      <w:r w:rsidR="003D2B3F" w:rsidRPr="003D2B3F">
        <w:rPr>
          <w:lang w:val="es-ES"/>
        </w:rPr>
        <w:t>Unión Europea</w:t>
      </w:r>
      <w:r w:rsidRPr="003D2B3F">
        <w:rPr>
          <w:lang w:val="es-ES"/>
        </w:rPr>
        <w:t xml:space="preserve">), también participaron en la segunda reunión del CG-URS los siguientes miembros de la UPOV: </w:t>
      </w:r>
      <w:r w:rsidR="003D2B3F" w:rsidRPr="003D2B3F">
        <w:rPr>
          <w:lang w:val="es-ES"/>
        </w:rPr>
        <w:t xml:space="preserve">Alemania </w:t>
      </w:r>
      <w:r w:rsidR="003D2B3F">
        <w:rPr>
          <w:lang w:val="es-ES"/>
        </w:rPr>
        <w:t xml:space="preserve">y </w:t>
      </w:r>
      <w:r w:rsidRPr="003D2B3F">
        <w:rPr>
          <w:lang w:val="es-ES"/>
        </w:rPr>
        <w:t>República Checa.</w:t>
      </w:r>
    </w:p>
    <w:p w14:paraId="7AA38A84" w14:textId="77777777" w:rsidR="001159C7" w:rsidRDefault="001159C7">
      <w:pPr>
        <w:jc w:val="left"/>
        <w:rPr>
          <w:lang w:val="es-ES"/>
        </w:rPr>
      </w:pPr>
    </w:p>
    <w:p w14:paraId="15F8653D" w14:textId="77777777" w:rsidR="003D2B3F" w:rsidRPr="003D2B3F" w:rsidRDefault="003D2B3F">
      <w:pPr>
        <w:jc w:val="left"/>
        <w:rPr>
          <w:lang w:val="es-ES"/>
        </w:rPr>
      </w:pPr>
    </w:p>
    <w:p w14:paraId="6E08795C" w14:textId="77777777" w:rsidR="00B339B3" w:rsidRPr="003D2B3F" w:rsidRDefault="00B339B3" w:rsidP="00B339B3">
      <w:pPr>
        <w:pStyle w:val="Heading1"/>
        <w:rPr>
          <w:lang w:val="es-ES"/>
        </w:rPr>
      </w:pPr>
      <w:r w:rsidRPr="003D2B3F">
        <w:rPr>
          <w:lang w:val="es-ES"/>
        </w:rPr>
        <w:t>APROBACIÓN DEL ORDEN DEL DÍA</w:t>
      </w:r>
    </w:p>
    <w:p w14:paraId="5624B183" w14:textId="77777777" w:rsidR="00B339B3" w:rsidRPr="003D2B3F" w:rsidRDefault="00B339B3" w:rsidP="00B339B3">
      <w:pPr>
        <w:rPr>
          <w:lang w:val="es-ES"/>
        </w:rPr>
      </w:pPr>
    </w:p>
    <w:p w14:paraId="58BAC86D" w14:textId="00CD2E0C" w:rsidR="00B339B3" w:rsidRPr="003D2B3F" w:rsidRDefault="00B339B3" w:rsidP="00B339B3">
      <w:pPr>
        <w:rPr>
          <w:lang w:val="es-ES"/>
        </w:rPr>
      </w:pPr>
      <w:r w:rsidRPr="00253E13">
        <w:rPr>
          <w:lang w:val="en-GB"/>
        </w:rPr>
        <w:fldChar w:fldCharType="begin"/>
      </w:r>
      <w:r w:rsidRPr="003D2B3F">
        <w:rPr>
          <w:lang w:val="es-ES"/>
        </w:rPr>
        <w:instrText xml:space="preserve"> AUTONUM  </w:instrText>
      </w:r>
      <w:r w:rsidRPr="00253E13">
        <w:rPr>
          <w:lang w:val="en-GB"/>
        </w:rPr>
        <w:fldChar w:fldCharType="end"/>
      </w:r>
      <w:r w:rsidRPr="003D2B3F">
        <w:rPr>
          <w:lang w:val="es-ES"/>
        </w:rPr>
        <w:tab/>
        <w:t xml:space="preserve">El CG-URS aprobó el proyecto de orden del día </w:t>
      </w:r>
      <w:r w:rsidR="003E1255" w:rsidRPr="003E1255">
        <w:rPr>
          <w:lang w:val="es-ES"/>
        </w:rPr>
        <w:t>propuesto en el document</w:t>
      </w:r>
      <w:r w:rsidRPr="003D2B3F">
        <w:rPr>
          <w:lang w:val="es-ES"/>
        </w:rPr>
        <w:t>o CG-URS/2/1.</w:t>
      </w:r>
    </w:p>
    <w:p w14:paraId="67BB1B2E" w14:textId="77777777" w:rsidR="00B339B3" w:rsidRPr="003D2B3F" w:rsidRDefault="00B339B3" w:rsidP="00050E16">
      <w:pPr>
        <w:rPr>
          <w:lang w:val="es-ES"/>
        </w:rPr>
      </w:pPr>
    </w:p>
    <w:p w14:paraId="5456DEFF" w14:textId="77777777" w:rsidR="00B339B3" w:rsidRPr="003D2B3F" w:rsidRDefault="00B339B3" w:rsidP="00050E16">
      <w:pPr>
        <w:rPr>
          <w:lang w:val="es-ES"/>
        </w:rPr>
      </w:pPr>
    </w:p>
    <w:p w14:paraId="06316E04" w14:textId="317C2B43" w:rsidR="00B339B3" w:rsidRPr="003D2B3F" w:rsidRDefault="00B339B3" w:rsidP="00B339B3">
      <w:pPr>
        <w:pStyle w:val="Heading1"/>
        <w:rPr>
          <w:lang w:val="es-ES"/>
        </w:rPr>
      </w:pPr>
      <w:r w:rsidRPr="003D2B3F">
        <w:rPr>
          <w:lang w:val="es-ES"/>
        </w:rPr>
        <w:t>Debate sobre l</w:t>
      </w:r>
      <w:r w:rsidR="00384EC1">
        <w:rPr>
          <w:lang w:val="es-ES"/>
        </w:rPr>
        <w:t>a</w:t>
      </w:r>
      <w:r w:rsidRPr="003D2B3F">
        <w:rPr>
          <w:lang w:val="es-ES"/>
        </w:rPr>
        <w:t xml:space="preserve">s </w:t>
      </w:r>
      <w:r w:rsidR="00384EC1" w:rsidRPr="00384EC1">
        <w:rPr>
          <w:lang w:val="es-ES"/>
        </w:rPr>
        <w:t>hipótesis</w:t>
      </w:r>
      <w:r w:rsidRPr="003D2B3F">
        <w:rPr>
          <w:lang w:val="es-ES"/>
        </w:rPr>
        <w:t xml:space="preserve"> de aplicación y las opciones para lograr la sostenibilidad financiera de la UPOV</w:t>
      </w:r>
    </w:p>
    <w:p w14:paraId="22749E1D" w14:textId="77777777" w:rsidR="00050E16" w:rsidRPr="003D2B3F" w:rsidRDefault="00050E16" w:rsidP="00050E16">
      <w:pPr>
        <w:rPr>
          <w:lang w:val="es-ES"/>
        </w:rPr>
      </w:pPr>
    </w:p>
    <w:p w14:paraId="66C2E52B" w14:textId="4C6F74E5" w:rsidR="007418B8" w:rsidRPr="003D2B3F" w:rsidRDefault="00B339B3" w:rsidP="00050E16">
      <w:pPr>
        <w:rPr>
          <w:lang w:val="es-ES"/>
        </w:rPr>
      </w:pPr>
      <w:r>
        <w:fldChar w:fldCharType="begin"/>
      </w:r>
      <w:r w:rsidRPr="003D2B3F">
        <w:rPr>
          <w:lang w:val="es-ES"/>
        </w:rPr>
        <w:instrText xml:space="preserve"> AUTONUM  </w:instrText>
      </w:r>
      <w:r>
        <w:fldChar w:fldCharType="end"/>
      </w:r>
      <w:r w:rsidRPr="003D2B3F">
        <w:rPr>
          <w:lang w:val="es-ES"/>
        </w:rPr>
        <w:tab/>
      </w:r>
      <w:r w:rsidR="00035127" w:rsidRPr="003D2B3F">
        <w:rPr>
          <w:lang w:val="es-ES"/>
        </w:rPr>
        <w:t xml:space="preserve">La Oficina de la Unión </w:t>
      </w:r>
      <w:r w:rsidRPr="003D2B3F">
        <w:rPr>
          <w:lang w:val="es-ES"/>
        </w:rPr>
        <w:t xml:space="preserve">presentó una visión general del </w:t>
      </w:r>
      <w:r w:rsidR="00035127" w:rsidRPr="003D2B3F">
        <w:rPr>
          <w:lang w:val="es-ES"/>
        </w:rPr>
        <w:t xml:space="preserve">documento CG-URS/2/2, que contenía, en el anexo I, tres </w:t>
      </w:r>
      <w:r w:rsidR="00384EC1" w:rsidRPr="00384EC1">
        <w:rPr>
          <w:lang w:val="es-ES"/>
        </w:rPr>
        <w:t>hipótesis</w:t>
      </w:r>
      <w:r w:rsidR="00384EC1" w:rsidRPr="003D2B3F">
        <w:rPr>
          <w:lang w:val="es-ES"/>
        </w:rPr>
        <w:t xml:space="preserve"> vinculadas</w:t>
      </w:r>
      <w:r w:rsidR="00035127" w:rsidRPr="003D2B3F">
        <w:rPr>
          <w:lang w:val="es-ES"/>
        </w:rPr>
        <w:t xml:space="preserve"> al </w:t>
      </w:r>
      <w:r w:rsidR="00C52AB8" w:rsidRPr="003D2B3F">
        <w:rPr>
          <w:lang w:val="es-ES"/>
        </w:rPr>
        <w:t xml:space="preserve">nivel de aplicación del </w:t>
      </w:r>
      <w:r w:rsidR="00D53A79" w:rsidRPr="00D53A79">
        <w:rPr>
          <w:lang w:val="es-ES"/>
        </w:rPr>
        <w:t xml:space="preserve">Plan operativo estratégico 2026-2029 </w:t>
      </w:r>
      <w:r w:rsidR="00035127" w:rsidRPr="003D2B3F">
        <w:rPr>
          <w:lang w:val="es-ES"/>
        </w:rPr>
        <w:t>(SBP) (documento C/59/14), junto con sus costos asociados</w:t>
      </w:r>
      <w:r w:rsidR="00C52AB8" w:rsidRPr="003D2B3F">
        <w:rPr>
          <w:lang w:val="es-ES"/>
        </w:rPr>
        <w:t xml:space="preserve">, </w:t>
      </w:r>
      <w:r w:rsidR="00035127" w:rsidRPr="003D2B3F">
        <w:rPr>
          <w:lang w:val="es-ES"/>
        </w:rPr>
        <w:t>y</w:t>
      </w:r>
      <w:r w:rsidR="00C52AB8" w:rsidRPr="003D2B3F">
        <w:rPr>
          <w:lang w:val="es-ES"/>
        </w:rPr>
        <w:t xml:space="preserve">, </w:t>
      </w:r>
      <w:r w:rsidR="00035127" w:rsidRPr="003D2B3F">
        <w:rPr>
          <w:lang w:val="es-ES"/>
        </w:rPr>
        <w:t>en el anexo II</w:t>
      </w:r>
      <w:r w:rsidR="00C52AB8" w:rsidRPr="003D2B3F">
        <w:rPr>
          <w:lang w:val="es-ES"/>
        </w:rPr>
        <w:t xml:space="preserve">, </w:t>
      </w:r>
      <w:r w:rsidR="00035127" w:rsidRPr="003D2B3F">
        <w:rPr>
          <w:lang w:val="es-ES"/>
        </w:rPr>
        <w:t xml:space="preserve">una visión general de las medidas de rentabilidad pasadas y futuras. </w:t>
      </w:r>
    </w:p>
    <w:p w14:paraId="3BFA854C" w14:textId="2138CB6A" w:rsidR="007418B8" w:rsidRPr="003D2B3F" w:rsidRDefault="007418B8" w:rsidP="00050E16">
      <w:pPr>
        <w:rPr>
          <w:lang w:val="es-ES"/>
        </w:rPr>
      </w:pPr>
    </w:p>
    <w:p w14:paraId="1F4DC954" w14:textId="508A9E49" w:rsidR="00B339B3" w:rsidRPr="003D2B3F" w:rsidRDefault="00EA6AEE" w:rsidP="00050E16">
      <w:pPr>
        <w:rPr>
          <w:lang w:val="es-ES"/>
        </w:rPr>
      </w:pPr>
      <w:r w:rsidRPr="00D813CA">
        <w:fldChar w:fldCharType="begin"/>
      </w:r>
      <w:r w:rsidRPr="003D2B3F">
        <w:rPr>
          <w:lang w:val="es-ES"/>
        </w:rPr>
        <w:instrText xml:space="preserve"> AUTONUM  </w:instrText>
      </w:r>
      <w:r w:rsidRPr="00D813CA">
        <w:fldChar w:fldCharType="end"/>
      </w:r>
      <w:r w:rsidRPr="003D2B3F">
        <w:rPr>
          <w:lang w:val="es-ES"/>
        </w:rPr>
        <w:tab/>
        <w:t xml:space="preserve">El CG-URS </w:t>
      </w:r>
      <w:r w:rsidR="00D813CA" w:rsidRPr="003D2B3F">
        <w:rPr>
          <w:lang w:val="es-ES"/>
        </w:rPr>
        <w:t xml:space="preserve">examinó la </w:t>
      </w:r>
      <w:r w:rsidR="00C52AB8" w:rsidRPr="003D2B3F">
        <w:rPr>
          <w:lang w:val="es-ES"/>
        </w:rPr>
        <w:t>información relativa a l</w:t>
      </w:r>
      <w:r w:rsidR="002066DD">
        <w:rPr>
          <w:lang w:val="es-ES"/>
        </w:rPr>
        <w:t>a</w:t>
      </w:r>
      <w:r w:rsidR="00C52AB8" w:rsidRPr="003D2B3F">
        <w:rPr>
          <w:lang w:val="es-ES"/>
        </w:rPr>
        <w:t xml:space="preserve">s </w:t>
      </w:r>
      <w:r w:rsidR="00B339B3" w:rsidRPr="003D2B3F">
        <w:rPr>
          <w:lang w:val="es-ES"/>
        </w:rPr>
        <w:t xml:space="preserve">tres </w:t>
      </w:r>
      <w:r w:rsidR="00384EC1" w:rsidRPr="00384EC1">
        <w:rPr>
          <w:lang w:val="es-ES"/>
        </w:rPr>
        <w:t>hipótesis</w:t>
      </w:r>
      <w:r w:rsidR="00B339B3" w:rsidRPr="003D2B3F">
        <w:rPr>
          <w:lang w:val="es-ES"/>
        </w:rPr>
        <w:t xml:space="preserve"> y sus </w:t>
      </w:r>
      <w:r w:rsidR="00C52AB8" w:rsidRPr="003D2B3F">
        <w:rPr>
          <w:lang w:val="es-ES"/>
        </w:rPr>
        <w:t>costes asociados</w:t>
      </w:r>
      <w:r w:rsidR="00244C45" w:rsidRPr="003D2B3F">
        <w:rPr>
          <w:lang w:val="es-ES"/>
        </w:rPr>
        <w:t xml:space="preserve">. </w:t>
      </w:r>
      <w:r w:rsidR="00DD3C5B">
        <w:rPr>
          <w:lang w:val="es-ES"/>
        </w:rPr>
        <w:t xml:space="preserve"> </w:t>
      </w:r>
      <w:r w:rsidR="00D813CA" w:rsidRPr="003D2B3F">
        <w:rPr>
          <w:lang w:val="es-ES"/>
        </w:rPr>
        <w:t xml:space="preserve">Algunos miembros </w:t>
      </w:r>
      <w:r w:rsidR="008003B0" w:rsidRPr="003D2B3F">
        <w:rPr>
          <w:lang w:val="es-ES"/>
        </w:rPr>
        <w:t>reconocieron el interés de</w:t>
      </w:r>
      <w:r w:rsidR="00384EC1">
        <w:rPr>
          <w:lang w:val="es-ES"/>
        </w:rPr>
        <w:t xml:space="preserve"> la</w:t>
      </w:r>
      <w:r w:rsidR="008003B0" w:rsidRPr="003D2B3F">
        <w:rPr>
          <w:lang w:val="es-ES"/>
        </w:rPr>
        <w:t xml:space="preserve"> </w:t>
      </w:r>
      <w:r w:rsidR="00384EC1" w:rsidRPr="00384EC1">
        <w:rPr>
          <w:lang w:val="es-ES"/>
        </w:rPr>
        <w:t>hipótesis</w:t>
      </w:r>
      <w:r w:rsidR="008003B0" w:rsidRPr="003D2B3F">
        <w:rPr>
          <w:lang w:val="es-ES"/>
        </w:rPr>
        <w:t xml:space="preserve"> 1, mientras que otros </w:t>
      </w:r>
      <w:r w:rsidR="00244C45" w:rsidRPr="003D2B3F">
        <w:rPr>
          <w:lang w:val="es-ES"/>
        </w:rPr>
        <w:t xml:space="preserve">expresaron </w:t>
      </w:r>
      <w:r w:rsidR="00B06AE1" w:rsidRPr="003D2B3F">
        <w:rPr>
          <w:lang w:val="es-ES"/>
        </w:rPr>
        <w:t xml:space="preserve">su preocupación respecto a </w:t>
      </w:r>
      <w:r w:rsidR="00D85FB5" w:rsidRPr="003D2B3F">
        <w:rPr>
          <w:lang w:val="es-ES"/>
        </w:rPr>
        <w:t>l</w:t>
      </w:r>
      <w:r w:rsidR="00384EC1">
        <w:rPr>
          <w:lang w:val="es-ES"/>
        </w:rPr>
        <w:t>a</w:t>
      </w:r>
      <w:r w:rsidR="00D85FB5" w:rsidRPr="003D2B3F">
        <w:rPr>
          <w:lang w:val="es-ES"/>
        </w:rPr>
        <w:t xml:space="preserve">s </w:t>
      </w:r>
      <w:r w:rsidR="00384EC1" w:rsidRPr="00384EC1">
        <w:rPr>
          <w:lang w:val="es-ES"/>
        </w:rPr>
        <w:t>hipótesis</w:t>
      </w:r>
      <w:r w:rsidR="00D85FB5" w:rsidRPr="003D2B3F">
        <w:rPr>
          <w:lang w:val="es-ES"/>
        </w:rPr>
        <w:t xml:space="preserve"> 1 y 2, </w:t>
      </w:r>
      <w:r w:rsidR="00244C45" w:rsidRPr="003D2B3F">
        <w:rPr>
          <w:lang w:val="es-ES"/>
        </w:rPr>
        <w:t xml:space="preserve">teniendo en cuenta </w:t>
      </w:r>
      <w:r w:rsidR="00B06AE1" w:rsidRPr="003D2B3F">
        <w:rPr>
          <w:lang w:val="es-ES"/>
        </w:rPr>
        <w:t>las limitaciones financieras nacionales</w:t>
      </w:r>
      <w:r w:rsidR="008003B0" w:rsidRPr="003D2B3F">
        <w:rPr>
          <w:lang w:val="es-ES"/>
        </w:rPr>
        <w:t xml:space="preserve">. </w:t>
      </w:r>
      <w:r w:rsidR="00D53A79">
        <w:rPr>
          <w:lang w:val="es-ES"/>
        </w:rPr>
        <w:t xml:space="preserve"> </w:t>
      </w:r>
      <w:r w:rsidR="008003B0" w:rsidRPr="003D2B3F">
        <w:rPr>
          <w:lang w:val="es-ES"/>
        </w:rPr>
        <w:t xml:space="preserve">Muchos miembros reconocieron </w:t>
      </w:r>
      <w:r w:rsidR="00244C45" w:rsidRPr="003D2B3F">
        <w:rPr>
          <w:lang w:val="es-ES"/>
        </w:rPr>
        <w:t xml:space="preserve">que </w:t>
      </w:r>
      <w:r w:rsidR="00384EC1">
        <w:rPr>
          <w:lang w:val="es-ES"/>
        </w:rPr>
        <w:t xml:space="preserve">la </w:t>
      </w:r>
      <w:r w:rsidR="00384EC1" w:rsidRPr="00384EC1">
        <w:rPr>
          <w:lang w:val="es-ES"/>
        </w:rPr>
        <w:t>hipótesis</w:t>
      </w:r>
      <w:r w:rsidR="00244C45" w:rsidRPr="003D2B3F">
        <w:rPr>
          <w:lang w:val="es-ES"/>
        </w:rPr>
        <w:t xml:space="preserve"> 3 </w:t>
      </w:r>
      <w:r w:rsidR="00851426" w:rsidRPr="003D2B3F">
        <w:rPr>
          <w:lang w:val="es-ES"/>
        </w:rPr>
        <w:t>no proporcionaría a la organización los recursos adecuados</w:t>
      </w:r>
      <w:r w:rsidR="00B339B3" w:rsidRPr="003D2B3F">
        <w:rPr>
          <w:lang w:val="es-ES"/>
        </w:rPr>
        <w:t xml:space="preserve">. </w:t>
      </w:r>
      <w:r w:rsidR="00D53A79">
        <w:rPr>
          <w:lang w:val="es-ES"/>
        </w:rPr>
        <w:t xml:space="preserve"> </w:t>
      </w:r>
      <w:r w:rsidR="003D339C" w:rsidRPr="003D2B3F">
        <w:rPr>
          <w:lang w:val="es-ES"/>
        </w:rPr>
        <w:t>El CG-URS señaló que l</w:t>
      </w:r>
      <w:r w:rsidR="00384EC1">
        <w:rPr>
          <w:lang w:val="es-ES"/>
        </w:rPr>
        <w:t>a</w:t>
      </w:r>
      <w:r w:rsidR="003D339C" w:rsidRPr="003D2B3F">
        <w:rPr>
          <w:lang w:val="es-ES"/>
        </w:rPr>
        <w:t xml:space="preserve">s </w:t>
      </w:r>
      <w:r w:rsidR="00384EC1" w:rsidRPr="00384EC1">
        <w:rPr>
          <w:lang w:val="es-ES"/>
        </w:rPr>
        <w:t>hipótesis</w:t>
      </w:r>
      <w:r w:rsidR="00384EC1" w:rsidRPr="003D2B3F">
        <w:rPr>
          <w:lang w:val="es-ES"/>
        </w:rPr>
        <w:t xml:space="preserve"> </w:t>
      </w:r>
      <w:r w:rsidR="003D339C" w:rsidRPr="003D2B3F">
        <w:rPr>
          <w:lang w:val="es-ES"/>
        </w:rPr>
        <w:t>1, 2 y 3 corresponderían a aumentos del 29 %, el 17 % y el 6 % en el valor de las unidades de contribución, respectivamente.</w:t>
      </w:r>
    </w:p>
    <w:p w14:paraId="33284F70" w14:textId="77777777" w:rsidR="00B339B3" w:rsidRPr="003D2B3F" w:rsidRDefault="00B339B3" w:rsidP="00050E16">
      <w:pPr>
        <w:rPr>
          <w:lang w:val="es-ES"/>
        </w:rPr>
      </w:pPr>
    </w:p>
    <w:p w14:paraId="3AA4D7C3" w14:textId="401A7FDC" w:rsidR="00D85FB5" w:rsidRPr="003D2B3F" w:rsidRDefault="00D813CA" w:rsidP="00D85FB5">
      <w:pPr>
        <w:rPr>
          <w:lang w:val="es-ES"/>
        </w:rPr>
      </w:pPr>
      <w:r>
        <w:fldChar w:fldCharType="begin"/>
      </w:r>
      <w:r w:rsidRPr="003D2B3F">
        <w:rPr>
          <w:lang w:val="es-ES"/>
        </w:rPr>
        <w:instrText xml:space="preserve"> AUTONUM  </w:instrText>
      </w:r>
      <w:r>
        <w:fldChar w:fldCharType="end"/>
      </w:r>
      <w:r w:rsidRPr="003D2B3F">
        <w:rPr>
          <w:lang w:val="es-ES"/>
        </w:rPr>
        <w:tab/>
      </w:r>
      <w:r w:rsidR="00D8328F" w:rsidRPr="003D2B3F">
        <w:rPr>
          <w:lang w:val="es-ES"/>
        </w:rPr>
        <w:t xml:space="preserve">Muchos </w:t>
      </w:r>
      <w:r w:rsidR="00D85FB5" w:rsidRPr="003D2B3F">
        <w:rPr>
          <w:lang w:val="es-ES"/>
        </w:rPr>
        <w:t xml:space="preserve">miembros hicieron hincapié en la importancia de </w:t>
      </w:r>
      <w:r w:rsidR="0092413A" w:rsidRPr="003D2B3F">
        <w:rPr>
          <w:lang w:val="es-ES"/>
        </w:rPr>
        <w:t xml:space="preserve">centrarse </w:t>
      </w:r>
      <w:r w:rsidR="00A62E35" w:rsidRPr="003D2B3F">
        <w:rPr>
          <w:lang w:val="es-ES"/>
        </w:rPr>
        <w:t xml:space="preserve">en </w:t>
      </w:r>
      <w:r w:rsidR="00D85FB5" w:rsidRPr="003D2B3F">
        <w:rPr>
          <w:lang w:val="es-ES"/>
        </w:rPr>
        <w:t xml:space="preserve">las prioridades del mandato básico, que </w:t>
      </w:r>
      <w:r w:rsidR="0092413A" w:rsidRPr="003D2B3F">
        <w:rPr>
          <w:lang w:val="es-ES"/>
        </w:rPr>
        <w:t xml:space="preserve">son cruciales para la ampliación de la membresía de la UPOV, el apoyo al desarrollo de la legislación, la oferta de orientación y asistencia sobre el Convenio de la UPOV y su aplicación, y la mayor </w:t>
      </w:r>
      <w:r w:rsidR="0092413A" w:rsidRPr="003D2B3F">
        <w:rPr>
          <w:lang w:val="es-ES"/>
        </w:rPr>
        <w:lastRenderedPageBreak/>
        <w:t xml:space="preserve">armonización y cooperación en los exámenes, incluida la prestación de </w:t>
      </w:r>
      <w:r w:rsidR="00D85FB5" w:rsidRPr="003D2B3F">
        <w:rPr>
          <w:lang w:val="es-ES"/>
        </w:rPr>
        <w:t xml:space="preserve">asistencia técnica </w:t>
      </w:r>
      <w:r w:rsidR="0092413A" w:rsidRPr="003D2B3F">
        <w:rPr>
          <w:lang w:val="es-ES"/>
        </w:rPr>
        <w:t>y la labor de los Grupos</w:t>
      </w:r>
      <w:r w:rsidR="00D85FB5" w:rsidRPr="003D2B3F">
        <w:rPr>
          <w:lang w:val="es-ES"/>
        </w:rPr>
        <w:t xml:space="preserve"> de Trabajo Técnicos</w:t>
      </w:r>
      <w:r w:rsidR="00A62E35" w:rsidRPr="003D2B3F">
        <w:rPr>
          <w:lang w:val="es-ES"/>
        </w:rPr>
        <w:t>.</w:t>
      </w:r>
    </w:p>
    <w:p w14:paraId="0E990792" w14:textId="77777777" w:rsidR="00F223B7" w:rsidRPr="003D2B3F" w:rsidRDefault="00F223B7" w:rsidP="00050E16">
      <w:pPr>
        <w:rPr>
          <w:lang w:val="es-ES"/>
        </w:rPr>
      </w:pPr>
    </w:p>
    <w:p w14:paraId="17343CD6" w14:textId="1496176A" w:rsidR="00D42D10" w:rsidRPr="003D2B3F" w:rsidRDefault="00F223B7" w:rsidP="00D42D10">
      <w:pPr>
        <w:rPr>
          <w:lang w:val="es-ES"/>
        </w:rPr>
      </w:pPr>
      <w:r>
        <w:fldChar w:fldCharType="begin"/>
      </w:r>
      <w:r w:rsidRPr="003D2B3F">
        <w:rPr>
          <w:lang w:val="es-ES"/>
        </w:rPr>
        <w:instrText xml:space="preserve"> AUTONUM  </w:instrText>
      </w:r>
      <w:r>
        <w:fldChar w:fldCharType="end"/>
      </w:r>
      <w:r w:rsidRPr="003D2B3F">
        <w:rPr>
          <w:lang w:val="es-ES"/>
        </w:rPr>
        <w:tab/>
      </w:r>
      <w:r w:rsidR="0092413A" w:rsidRPr="003D2B3F">
        <w:rPr>
          <w:lang w:val="es-ES"/>
        </w:rPr>
        <w:t xml:space="preserve">La Secretaría </w:t>
      </w:r>
      <w:r w:rsidR="00D42D10" w:rsidRPr="003D2B3F">
        <w:rPr>
          <w:lang w:val="es-ES"/>
        </w:rPr>
        <w:t>de</w:t>
      </w:r>
      <w:r w:rsidR="0092413A" w:rsidRPr="003D2B3F">
        <w:rPr>
          <w:lang w:val="es-ES"/>
        </w:rPr>
        <w:t xml:space="preserve"> la OMPI </w:t>
      </w:r>
      <w:r w:rsidR="00D42D10" w:rsidRPr="003D2B3F">
        <w:rPr>
          <w:lang w:val="es-ES"/>
        </w:rPr>
        <w:t xml:space="preserve">aclaró que los costos </w:t>
      </w:r>
      <w:r w:rsidR="0092413A" w:rsidRPr="003D2B3F">
        <w:rPr>
          <w:lang w:val="es-ES"/>
        </w:rPr>
        <w:t xml:space="preserve">de los servicios prestados por la OMPI a la UPOV </w:t>
      </w:r>
      <w:r w:rsidR="00144DB1" w:rsidRPr="003D2B3F">
        <w:rPr>
          <w:lang w:val="es-ES"/>
        </w:rPr>
        <w:t xml:space="preserve">eran los mismos </w:t>
      </w:r>
      <w:r w:rsidR="00D42D10" w:rsidRPr="003D2B3F">
        <w:rPr>
          <w:lang w:val="es-ES"/>
        </w:rPr>
        <w:t xml:space="preserve">en los tres escenarios y </w:t>
      </w:r>
      <w:r w:rsidR="00144DB1" w:rsidRPr="003D2B3F">
        <w:rPr>
          <w:lang w:val="es-ES"/>
        </w:rPr>
        <w:t xml:space="preserve">abarcaban </w:t>
      </w:r>
      <w:r w:rsidR="00D42D10" w:rsidRPr="003D2B3F">
        <w:rPr>
          <w:lang w:val="es-ES"/>
        </w:rPr>
        <w:t xml:space="preserve">una amplia gama de servicios, incluidos los </w:t>
      </w:r>
      <w:r w:rsidR="0016675C" w:rsidRPr="003D2B3F">
        <w:rPr>
          <w:lang w:val="es-ES"/>
        </w:rPr>
        <w:t xml:space="preserve">servicios de </w:t>
      </w:r>
      <w:r w:rsidR="00D42D10" w:rsidRPr="003D2B3F">
        <w:rPr>
          <w:lang w:val="es-ES"/>
        </w:rPr>
        <w:t>Control, Finanzas, Planificación, Presupuesto y Riesgos, Recursos Humanos, Apoyo</w:t>
      </w:r>
      <w:r w:rsidR="00AB3286" w:rsidRPr="003D2B3F">
        <w:rPr>
          <w:lang w:val="es-ES"/>
        </w:rPr>
        <w:t xml:space="preserve"> Administrativo</w:t>
      </w:r>
      <w:r w:rsidR="00D42D10" w:rsidRPr="003D2B3F">
        <w:rPr>
          <w:lang w:val="es-ES"/>
        </w:rPr>
        <w:t xml:space="preserve"> General, Información y Tecnologías de la Información y la Comunicación (TIC), </w:t>
      </w:r>
      <w:r w:rsidR="00AC4E7D" w:rsidRPr="003D2B3F">
        <w:rPr>
          <w:lang w:val="es-ES"/>
        </w:rPr>
        <w:t xml:space="preserve">seguridad </w:t>
      </w:r>
      <w:r w:rsidR="00AB3286" w:rsidRPr="003D2B3F">
        <w:rPr>
          <w:lang w:val="es-ES"/>
        </w:rPr>
        <w:t>física y de la información</w:t>
      </w:r>
      <w:r w:rsidR="00D42D10" w:rsidRPr="003D2B3F">
        <w:rPr>
          <w:lang w:val="es-ES"/>
        </w:rPr>
        <w:t xml:space="preserve">, </w:t>
      </w:r>
      <w:r w:rsidR="00144DB1" w:rsidRPr="003D2B3F">
        <w:rPr>
          <w:lang w:val="es-ES"/>
        </w:rPr>
        <w:t xml:space="preserve">Adquisiciones, </w:t>
      </w:r>
      <w:r w:rsidR="00D42D10" w:rsidRPr="003D2B3F">
        <w:rPr>
          <w:lang w:val="es-ES"/>
        </w:rPr>
        <w:t xml:space="preserve">así como Servicios Lingüísticos y de Conferencias.  </w:t>
      </w:r>
    </w:p>
    <w:p w14:paraId="1EBB0748" w14:textId="77777777" w:rsidR="00D42D10" w:rsidRPr="003D2B3F" w:rsidRDefault="00D42D10" w:rsidP="00050E16">
      <w:pPr>
        <w:rPr>
          <w:lang w:val="es-ES"/>
        </w:rPr>
      </w:pPr>
    </w:p>
    <w:p w14:paraId="08FD0D5E" w14:textId="3E25D066" w:rsidR="00F223B7" w:rsidRPr="003D2B3F" w:rsidRDefault="00F223B7" w:rsidP="00F223B7">
      <w:pPr>
        <w:rPr>
          <w:lang w:val="es-ES"/>
        </w:rPr>
      </w:pPr>
      <w:r>
        <w:fldChar w:fldCharType="begin"/>
      </w:r>
      <w:r w:rsidRPr="003D2B3F">
        <w:rPr>
          <w:lang w:val="es-ES"/>
        </w:rPr>
        <w:instrText xml:space="preserve"> AUTONUM  </w:instrText>
      </w:r>
      <w:r>
        <w:fldChar w:fldCharType="end"/>
      </w:r>
      <w:r w:rsidRPr="003D2B3F">
        <w:rPr>
          <w:lang w:val="es-ES"/>
        </w:rPr>
        <w:tab/>
      </w:r>
      <w:r w:rsidR="00144DB1" w:rsidRPr="003D2B3F">
        <w:rPr>
          <w:lang w:val="es-ES"/>
        </w:rPr>
        <w:t xml:space="preserve">La Secretaría de la OMPI explicó que la revisión de 2024 de los costes asociados a los servicios prestados a </w:t>
      </w:r>
      <w:r w:rsidR="00A62E35" w:rsidRPr="003D2B3F">
        <w:rPr>
          <w:lang w:val="es-ES"/>
        </w:rPr>
        <w:t xml:space="preserve">la UPOV en virtud </w:t>
      </w:r>
      <w:r w:rsidR="00144DB1" w:rsidRPr="003D2B3F">
        <w:rPr>
          <w:lang w:val="es-ES"/>
        </w:rPr>
        <w:t xml:space="preserve">del Acuerdo OMPI/UPOV, aplicado mediante el </w:t>
      </w:r>
      <w:r w:rsidR="000D270C" w:rsidRPr="003D2B3F">
        <w:rPr>
          <w:lang w:val="es-ES"/>
        </w:rPr>
        <w:t xml:space="preserve">Acuerdo de Nivel de Servicio </w:t>
      </w:r>
      <w:r w:rsidR="00647F77" w:rsidRPr="003D2B3F">
        <w:rPr>
          <w:lang w:val="es-ES"/>
        </w:rPr>
        <w:t>(</w:t>
      </w:r>
      <w:r w:rsidR="005D7370" w:rsidRPr="003D2B3F">
        <w:rPr>
          <w:lang w:val="es-ES"/>
        </w:rPr>
        <w:t xml:space="preserve">UPOV/OMPI </w:t>
      </w:r>
      <w:r w:rsidR="00647F77" w:rsidRPr="003D2B3F">
        <w:rPr>
          <w:lang w:val="es-ES"/>
        </w:rPr>
        <w:t xml:space="preserve">SLA), </w:t>
      </w:r>
      <w:r w:rsidR="00144DB1" w:rsidRPr="003D2B3F">
        <w:rPr>
          <w:lang w:val="es-ES"/>
        </w:rPr>
        <w:t xml:space="preserve">partió </w:t>
      </w:r>
      <w:r w:rsidR="000D270C" w:rsidRPr="003D2B3F">
        <w:rPr>
          <w:lang w:val="es-ES"/>
        </w:rPr>
        <w:t xml:space="preserve">del Auditor </w:t>
      </w:r>
      <w:r w:rsidRPr="003D2B3F">
        <w:rPr>
          <w:lang w:val="es-ES"/>
        </w:rPr>
        <w:t xml:space="preserve">Externo, </w:t>
      </w:r>
      <w:r w:rsidR="00144DB1" w:rsidRPr="003D2B3F">
        <w:rPr>
          <w:lang w:val="es-ES"/>
        </w:rPr>
        <w:t>ya que los costes asociados a dichos servicios no se habían revisado desde 2010.</w:t>
      </w:r>
    </w:p>
    <w:p w14:paraId="42B87A0A" w14:textId="77777777" w:rsidR="00D813CA" w:rsidRPr="003D2B3F" w:rsidRDefault="00D813CA" w:rsidP="00050E16">
      <w:pPr>
        <w:rPr>
          <w:lang w:val="es-ES"/>
        </w:rPr>
      </w:pPr>
    </w:p>
    <w:p w14:paraId="2FB37A58" w14:textId="4DB15789" w:rsidR="00632E22" w:rsidRPr="003D2B3F" w:rsidRDefault="00D813CA" w:rsidP="00050E16">
      <w:pPr>
        <w:rPr>
          <w:lang w:val="es-ES"/>
        </w:rPr>
      </w:pPr>
      <w:r>
        <w:fldChar w:fldCharType="begin"/>
      </w:r>
      <w:r w:rsidRPr="003D2B3F">
        <w:rPr>
          <w:lang w:val="es-ES"/>
        </w:rPr>
        <w:instrText xml:space="preserve"> AUTONUM  </w:instrText>
      </w:r>
      <w:r>
        <w:fldChar w:fldCharType="end"/>
      </w:r>
      <w:r w:rsidRPr="003D2B3F">
        <w:rPr>
          <w:lang w:val="es-ES"/>
        </w:rPr>
        <w:tab/>
      </w:r>
      <w:r w:rsidR="004D6FD8" w:rsidRPr="003D2B3F">
        <w:rPr>
          <w:lang w:val="es-ES"/>
        </w:rPr>
        <w:t xml:space="preserve">El CG-URS </w:t>
      </w:r>
      <w:r w:rsidR="00D577E3" w:rsidRPr="003D2B3F">
        <w:rPr>
          <w:lang w:val="es-ES"/>
        </w:rPr>
        <w:t xml:space="preserve">respaldó </w:t>
      </w:r>
      <w:r w:rsidR="004D6FD8" w:rsidRPr="003D2B3F">
        <w:rPr>
          <w:lang w:val="es-ES"/>
        </w:rPr>
        <w:t xml:space="preserve">la </w:t>
      </w:r>
      <w:r w:rsidR="00520CAB" w:rsidRPr="003D2B3F">
        <w:rPr>
          <w:lang w:val="es-ES"/>
        </w:rPr>
        <w:t xml:space="preserve">propuesta del presidente </w:t>
      </w:r>
      <w:r w:rsidR="006D4A12" w:rsidRPr="003D2B3F">
        <w:rPr>
          <w:lang w:val="es-ES"/>
        </w:rPr>
        <w:t xml:space="preserve">de elaborar </w:t>
      </w:r>
      <w:r w:rsidR="00384EC1" w:rsidRPr="003D2B3F">
        <w:rPr>
          <w:lang w:val="es-ES"/>
        </w:rPr>
        <w:t>una nueva hipótesis</w:t>
      </w:r>
      <w:r w:rsidR="004D6FD8" w:rsidRPr="003D2B3F">
        <w:rPr>
          <w:lang w:val="es-ES"/>
        </w:rPr>
        <w:t xml:space="preserve"> que diera mayor prioridad a las actividades alineadas con el SBP, </w:t>
      </w:r>
      <w:r w:rsidR="002066DD">
        <w:rPr>
          <w:lang w:val="es-ES"/>
        </w:rPr>
        <w:t>la</w:t>
      </w:r>
      <w:r w:rsidR="004D6FD8" w:rsidRPr="003D2B3F">
        <w:rPr>
          <w:lang w:val="es-ES"/>
        </w:rPr>
        <w:t xml:space="preserve"> cual se situaría entre l</w:t>
      </w:r>
      <w:r w:rsidR="00384EC1">
        <w:rPr>
          <w:lang w:val="es-ES"/>
        </w:rPr>
        <w:t>a</w:t>
      </w:r>
      <w:r w:rsidR="004D6FD8" w:rsidRPr="003D2B3F">
        <w:rPr>
          <w:lang w:val="es-ES"/>
        </w:rPr>
        <w:t xml:space="preserve">s </w:t>
      </w:r>
      <w:r w:rsidR="00384EC1" w:rsidRPr="00384EC1">
        <w:rPr>
          <w:lang w:val="es-ES"/>
        </w:rPr>
        <w:t>hipótesis</w:t>
      </w:r>
      <w:r w:rsidR="004D6FD8" w:rsidRPr="003D2B3F">
        <w:rPr>
          <w:lang w:val="es-ES"/>
        </w:rPr>
        <w:t xml:space="preserve"> 2 y 3 en cuanto a financiación.</w:t>
      </w:r>
      <w:r w:rsidR="00DD3C5B">
        <w:rPr>
          <w:lang w:val="es-ES"/>
        </w:rPr>
        <w:t xml:space="preserve"> </w:t>
      </w:r>
      <w:r w:rsidR="004D6FD8" w:rsidRPr="003D2B3F">
        <w:rPr>
          <w:lang w:val="es-ES"/>
        </w:rPr>
        <w:t xml:space="preserve"> Muchos miembros expresaron su preferencia por un enfoque de aplicación gradual del aumento presupuestario correspondiente, al tiempo que subrayaron que cualquier medida a corto plazo debería ir acompañada de soluciones</w:t>
      </w:r>
      <w:r w:rsidR="002529E2" w:rsidRPr="003D2B3F">
        <w:rPr>
          <w:lang w:val="es-ES"/>
        </w:rPr>
        <w:t xml:space="preserve"> de sostenibilidad financiera </w:t>
      </w:r>
      <w:r w:rsidR="006D4A12" w:rsidRPr="003D2B3F">
        <w:rPr>
          <w:lang w:val="es-ES"/>
        </w:rPr>
        <w:t>a medio y largo plazo</w:t>
      </w:r>
      <w:r w:rsidR="004D6FD8" w:rsidRPr="003D2B3F">
        <w:rPr>
          <w:lang w:val="es-ES"/>
        </w:rPr>
        <w:t xml:space="preserve">. </w:t>
      </w:r>
    </w:p>
    <w:p w14:paraId="558D8263" w14:textId="21546106" w:rsidR="00B339B3" w:rsidRPr="003D2B3F" w:rsidRDefault="00B339B3" w:rsidP="00050E16">
      <w:pPr>
        <w:rPr>
          <w:lang w:val="es-ES"/>
        </w:rPr>
      </w:pPr>
    </w:p>
    <w:p w14:paraId="36517D95" w14:textId="77777777" w:rsidR="008665AD" w:rsidRPr="003D2B3F" w:rsidRDefault="008665AD" w:rsidP="00050E16">
      <w:pPr>
        <w:rPr>
          <w:lang w:val="es-ES"/>
        </w:rPr>
      </w:pPr>
    </w:p>
    <w:p w14:paraId="7BEF0965" w14:textId="77777777" w:rsidR="00B339B3" w:rsidRPr="003D2B3F" w:rsidRDefault="00B339B3" w:rsidP="00B339B3">
      <w:pPr>
        <w:pStyle w:val="Heading1"/>
        <w:rPr>
          <w:lang w:val="es-ES"/>
        </w:rPr>
      </w:pPr>
      <w:r w:rsidRPr="003D2B3F">
        <w:rPr>
          <w:lang w:val="es-ES"/>
        </w:rPr>
        <w:t>CONCLUSIONES</w:t>
      </w:r>
    </w:p>
    <w:p w14:paraId="3EAF5ADD" w14:textId="77777777" w:rsidR="007418B8" w:rsidRPr="003D2B3F" w:rsidRDefault="007418B8" w:rsidP="00050E16">
      <w:pPr>
        <w:rPr>
          <w:lang w:val="es-ES"/>
        </w:rPr>
      </w:pPr>
    </w:p>
    <w:p w14:paraId="03FA1C15" w14:textId="2D6D347E" w:rsidR="00242C99" w:rsidRPr="003D2B3F" w:rsidRDefault="007418B8" w:rsidP="007418B8">
      <w:pPr>
        <w:rPr>
          <w:lang w:val="es-ES"/>
        </w:rPr>
      </w:pPr>
      <w:r>
        <w:fldChar w:fldCharType="begin"/>
      </w:r>
      <w:r w:rsidRPr="003D2B3F">
        <w:rPr>
          <w:lang w:val="es-ES"/>
        </w:rPr>
        <w:instrText xml:space="preserve"> AUTONUM  </w:instrText>
      </w:r>
      <w:r>
        <w:fldChar w:fldCharType="end"/>
      </w:r>
      <w:r w:rsidRPr="003D2B3F">
        <w:rPr>
          <w:lang w:val="es-ES"/>
        </w:rPr>
        <w:tab/>
        <w:t xml:space="preserve">El CG-URS </w:t>
      </w:r>
      <w:r w:rsidR="00D64019" w:rsidRPr="00D40B09">
        <w:rPr>
          <w:lang w:val="es-419"/>
        </w:rPr>
        <w:t>acordó que la Oficina de la Unión elaboraría una cuarta hipótesis presupuestaria entre las hipótesis 2 y 3 presentadas en el documento CG-URS/2/2.</w:t>
      </w:r>
      <w:r w:rsidR="00D64019">
        <w:rPr>
          <w:lang w:val="es-419"/>
        </w:rPr>
        <w:t xml:space="preserve"> </w:t>
      </w:r>
      <w:r w:rsidR="00D64019" w:rsidRPr="00D40B09">
        <w:rPr>
          <w:lang w:val="es-419"/>
        </w:rPr>
        <w:t xml:space="preserve"> Se acordó que la nueva hipótesis se haría sobre la misma base que l</w:t>
      </w:r>
      <w:r w:rsidR="00D64019">
        <w:rPr>
          <w:lang w:val="es-419"/>
        </w:rPr>
        <w:t>a</w:t>
      </w:r>
      <w:r w:rsidR="00D64019" w:rsidRPr="00D40B09">
        <w:rPr>
          <w:lang w:val="es-419"/>
        </w:rPr>
        <w:t>s anteriores, vinculando las prioridades al Plan Operativo Estratégico para 2026-2029 (documento C/59/14).</w:t>
      </w:r>
      <w:r w:rsidR="00D64019">
        <w:rPr>
          <w:lang w:val="es-419"/>
        </w:rPr>
        <w:t xml:space="preserve"> </w:t>
      </w:r>
      <w:r w:rsidR="00D64019" w:rsidRPr="00D40B09">
        <w:rPr>
          <w:lang w:val="es-419"/>
        </w:rPr>
        <w:t xml:space="preserve"> Con arreglo a la nueva hipótesis, el CG-URS acordó que las prioridades de primer nivel se centrarían en la ampliación del número de miembros de la UPOV, lo que incluye el </w:t>
      </w:r>
      <w:r w:rsidR="002066DD">
        <w:rPr>
          <w:lang w:val="es-419"/>
        </w:rPr>
        <w:t>desarrollo</w:t>
      </w:r>
      <w:r w:rsidR="00D64019" w:rsidRPr="00D40B09">
        <w:rPr>
          <w:lang w:val="es-419"/>
        </w:rPr>
        <w:t xml:space="preserve"> de legislación, la prestación de orientación y asistencia sobre el Convenio de la UPOV y su aplicación, y la mejora de la armonización y la cooperación en los procesos de examen.</w:t>
      </w:r>
    </w:p>
    <w:p w14:paraId="3AF61758" w14:textId="77777777" w:rsidR="00066EB7" w:rsidRPr="003D2B3F" w:rsidRDefault="00066EB7" w:rsidP="007418B8">
      <w:pPr>
        <w:rPr>
          <w:rFonts w:cs="Arial"/>
          <w:lang w:val="es-ES"/>
        </w:rPr>
      </w:pPr>
    </w:p>
    <w:p w14:paraId="4AEDB1CB" w14:textId="5752BE2C" w:rsidR="00066EB7" w:rsidRPr="003D2B3F" w:rsidRDefault="00647F77" w:rsidP="007418B8">
      <w:pPr>
        <w:rPr>
          <w:rFonts w:cs="Arial"/>
          <w:lang w:val="es-ES"/>
        </w:rPr>
      </w:pPr>
      <w:r>
        <w:fldChar w:fldCharType="begin"/>
      </w:r>
      <w:r w:rsidRPr="003D2B3F">
        <w:rPr>
          <w:lang w:val="es-ES"/>
        </w:rPr>
        <w:instrText xml:space="preserve"> AUTONUM  </w:instrText>
      </w:r>
      <w:r>
        <w:fldChar w:fldCharType="end"/>
      </w:r>
      <w:r w:rsidRPr="003D2B3F">
        <w:rPr>
          <w:lang w:val="es-ES"/>
        </w:rPr>
        <w:tab/>
      </w:r>
      <w:r w:rsidR="00242C99" w:rsidRPr="003D2B3F">
        <w:rPr>
          <w:lang w:val="es-ES"/>
        </w:rPr>
        <w:t xml:space="preserve">El CG-URS </w:t>
      </w:r>
      <w:r w:rsidR="00D64019" w:rsidRPr="00D40B09">
        <w:rPr>
          <w:lang w:val="es-419"/>
        </w:rPr>
        <w:t>acordó que el aumento presupuestario asociado a la cuarta hipótesis se aplicaría de manera escalonada a lo largo de un período de dos años, a partir de 2027.</w:t>
      </w:r>
    </w:p>
    <w:p w14:paraId="42F7B9D4" w14:textId="77777777" w:rsidR="007418B8" w:rsidRPr="003D2B3F" w:rsidRDefault="007418B8" w:rsidP="007418B8">
      <w:pPr>
        <w:rPr>
          <w:lang w:val="es-ES"/>
        </w:rPr>
      </w:pPr>
    </w:p>
    <w:p w14:paraId="34A0D50E" w14:textId="7EDC7A64" w:rsidR="007418B8" w:rsidRPr="003D2B3F" w:rsidRDefault="007418B8" w:rsidP="007418B8">
      <w:pPr>
        <w:rPr>
          <w:lang w:val="es-ES"/>
        </w:rPr>
      </w:pPr>
      <w:r>
        <w:fldChar w:fldCharType="begin"/>
      </w:r>
      <w:r w:rsidRPr="003D2B3F">
        <w:rPr>
          <w:lang w:val="es-ES"/>
        </w:rPr>
        <w:instrText xml:space="preserve"> AUTONUM  </w:instrText>
      </w:r>
      <w:r>
        <w:fldChar w:fldCharType="end"/>
      </w:r>
      <w:r w:rsidRPr="003D2B3F">
        <w:rPr>
          <w:lang w:val="es-ES"/>
        </w:rPr>
        <w:tab/>
      </w:r>
      <w:r w:rsidR="009B1754" w:rsidRPr="003D2B3F">
        <w:rPr>
          <w:lang w:val="es-ES"/>
        </w:rPr>
        <w:t xml:space="preserve">El </w:t>
      </w:r>
      <w:r w:rsidR="009B5F4A" w:rsidRPr="003D2B3F">
        <w:rPr>
          <w:lang w:val="es-ES"/>
        </w:rPr>
        <w:t xml:space="preserve">CG-URS </w:t>
      </w:r>
      <w:r w:rsidR="00D64019" w:rsidRPr="00D40B09">
        <w:rPr>
          <w:lang w:val="es-419"/>
        </w:rPr>
        <w:t>convino además en la importancia de proseguir los debates sobre soluciones de sostenibilidad financiera a medio y largo plazo.</w:t>
      </w:r>
    </w:p>
    <w:p w14:paraId="73533AEA" w14:textId="77777777" w:rsidR="00EA6AEE" w:rsidRPr="003D2B3F" w:rsidRDefault="00EA6AEE" w:rsidP="00050E16">
      <w:pPr>
        <w:rPr>
          <w:lang w:val="es-ES"/>
        </w:rPr>
      </w:pPr>
    </w:p>
    <w:p w14:paraId="76CD65BC" w14:textId="2D72B3F3" w:rsidR="007418B8" w:rsidRPr="003D2B3F" w:rsidRDefault="007418B8" w:rsidP="007418B8">
      <w:pPr>
        <w:rPr>
          <w:lang w:val="es-ES"/>
        </w:rPr>
      </w:pPr>
      <w:r>
        <w:fldChar w:fldCharType="begin"/>
      </w:r>
      <w:r w:rsidRPr="003D2B3F">
        <w:rPr>
          <w:lang w:val="es-ES"/>
        </w:rPr>
        <w:instrText xml:space="preserve"> AUTONUM  </w:instrText>
      </w:r>
      <w:r>
        <w:fldChar w:fldCharType="end"/>
      </w:r>
      <w:r w:rsidRPr="003D2B3F">
        <w:rPr>
          <w:lang w:val="es-ES"/>
        </w:rPr>
        <w:tab/>
        <w:t xml:space="preserve">La </w:t>
      </w:r>
      <w:r w:rsidR="00425788" w:rsidRPr="003D2B3F">
        <w:rPr>
          <w:lang w:val="es-ES"/>
        </w:rPr>
        <w:t xml:space="preserve">tercera reunión del </w:t>
      </w:r>
      <w:r w:rsidRPr="003D2B3F">
        <w:rPr>
          <w:lang w:val="es-ES"/>
        </w:rPr>
        <w:t xml:space="preserve">CG-URS se celebrará de forma virtual el 24 de junio de 2026.  El </w:t>
      </w:r>
      <w:r w:rsidR="00A62E35" w:rsidRPr="003D2B3F">
        <w:rPr>
          <w:lang w:val="es-ES"/>
        </w:rPr>
        <w:t xml:space="preserve">CG-URS señaló que el </w:t>
      </w:r>
      <w:r w:rsidRPr="003D2B3F">
        <w:rPr>
          <w:lang w:val="es-ES"/>
        </w:rPr>
        <w:t xml:space="preserve">orden del día </w:t>
      </w:r>
      <w:r w:rsidRPr="003D2B3F">
        <w:rPr>
          <w:color w:val="000000" w:themeColor="text1"/>
          <w:lang w:val="es-ES"/>
        </w:rPr>
        <w:t xml:space="preserve">se </w:t>
      </w:r>
      <w:r w:rsidRPr="003D2B3F">
        <w:rPr>
          <w:lang w:val="es-ES"/>
        </w:rPr>
        <w:t>distribuiría al menos cuatro semanas antes de la reunión, tal y como se acordó en el mandato.</w:t>
      </w:r>
    </w:p>
    <w:p w14:paraId="56E860CF" w14:textId="77777777" w:rsidR="007418B8" w:rsidRPr="003D2B3F" w:rsidRDefault="007418B8" w:rsidP="00050E16">
      <w:pPr>
        <w:rPr>
          <w:lang w:val="es-ES"/>
        </w:rPr>
      </w:pPr>
    </w:p>
    <w:p w14:paraId="6979E825" w14:textId="7B01D50B" w:rsidR="007418B8" w:rsidRPr="003D2B3F" w:rsidRDefault="001C10D0" w:rsidP="001C10D0">
      <w:pPr>
        <w:pStyle w:val="DecisionParagraphs"/>
        <w:rPr>
          <w:lang w:val="es-ES"/>
        </w:rPr>
      </w:pPr>
      <w:r>
        <w:fldChar w:fldCharType="begin"/>
      </w:r>
      <w:r w:rsidRPr="003D2B3F">
        <w:rPr>
          <w:lang w:val="es-ES"/>
        </w:rPr>
        <w:instrText xml:space="preserve"> AUTONUM  </w:instrText>
      </w:r>
      <w:r>
        <w:fldChar w:fldCharType="end"/>
      </w:r>
      <w:r w:rsidRPr="003D2B3F">
        <w:rPr>
          <w:lang w:val="es-ES"/>
        </w:rPr>
        <w:tab/>
        <w:t>El presente informe fue aprobado por correspondencia.</w:t>
      </w:r>
    </w:p>
    <w:p w14:paraId="1C74A057" w14:textId="77777777" w:rsidR="001C10D0" w:rsidRPr="003D2B3F" w:rsidRDefault="001C10D0" w:rsidP="001C10D0">
      <w:pPr>
        <w:pStyle w:val="DecisionParagraphs"/>
        <w:ind w:left="0"/>
        <w:rPr>
          <w:lang w:val="es-ES"/>
        </w:rPr>
      </w:pPr>
    </w:p>
    <w:p w14:paraId="1B569032" w14:textId="77777777" w:rsidR="001C10D0" w:rsidRPr="003D2B3F" w:rsidRDefault="001C10D0" w:rsidP="001C10D0">
      <w:pPr>
        <w:pStyle w:val="DecisionParagraphs"/>
        <w:ind w:left="0"/>
        <w:rPr>
          <w:lang w:val="es-ES"/>
        </w:rPr>
      </w:pPr>
    </w:p>
    <w:p w14:paraId="40308071" w14:textId="77777777" w:rsidR="001C10D0" w:rsidRPr="003D2B3F" w:rsidRDefault="001C10D0" w:rsidP="001C10D0">
      <w:pPr>
        <w:pStyle w:val="DecisionParagraphs"/>
        <w:ind w:left="0"/>
        <w:rPr>
          <w:lang w:val="es-ES"/>
        </w:rPr>
      </w:pPr>
    </w:p>
    <w:p w14:paraId="6EE295E6" w14:textId="1FBC351C" w:rsidR="009B440E" w:rsidRDefault="00050E16" w:rsidP="00050E16">
      <w:pPr>
        <w:jc w:val="right"/>
      </w:pPr>
      <w:r w:rsidRPr="00C5280D">
        <w:t xml:space="preserve">[Fin del </w:t>
      </w:r>
      <w:proofErr w:type="spellStart"/>
      <w:r w:rsidR="00865B91">
        <w:t>informe</w:t>
      </w:r>
      <w:proofErr w:type="spellEnd"/>
      <w:r w:rsidRPr="00C5280D">
        <w:t>]</w:t>
      </w:r>
    </w:p>
    <w:p w14:paraId="059D90D2" w14:textId="77777777" w:rsidR="00903264" w:rsidRDefault="00903264">
      <w:pPr>
        <w:jc w:val="left"/>
      </w:pPr>
    </w:p>
    <w:p w14:paraId="08C969F0" w14:textId="77777777" w:rsidR="00050E16" w:rsidRPr="00C5280D" w:rsidRDefault="00050E16" w:rsidP="009B440E">
      <w:pPr>
        <w:jc w:val="left"/>
      </w:pPr>
    </w:p>
    <w:sectPr w:rsidR="00050E16" w:rsidRPr="00C5280D" w:rsidSect="0004198B">
      <w:headerReference w:type="default" r:id="rId14"/>
      <w:footerReference w:type="even" r:id="rId15"/>
      <w:footerReference w:type="first" r:id="rId16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9E0C5" w14:textId="77777777" w:rsidR="00EB3765" w:rsidRDefault="00EB3765" w:rsidP="006655D3">
      <w:r>
        <w:separator/>
      </w:r>
    </w:p>
    <w:p w14:paraId="5240C865" w14:textId="77777777" w:rsidR="00EB3765" w:rsidRDefault="00EB3765" w:rsidP="006655D3"/>
    <w:p w14:paraId="1A54BAF0" w14:textId="77777777" w:rsidR="00EB3765" w:rsidRDefault="00EB3765" w:rsidP="006655D3"/>
  </w:endnote>
  <w:endnote w:type="continuationSeparator" w:id="0">
    <w:p w14:paraId="3577D0F7" w14:textId="77777777" w:rsidR="00EB3765" w:rsidRDefault="00EB3765" w:rsidP="006655D3">
      <w:r>
        <w:separator/>
      </w:r>
    </w:p>
    <w:p w14:paraId="50985EE2" w14:textId="77777777" w:rsidR="00EB3765" w:rsidRPr="0047709D" w:rsidRDefault="00EB3765">
      <w:pPr>
        <w:pStyle w:val="Footer"/>
        <w:spacing w:after="60"/>
        <w:rPr>
          <w:sz w:val="18"/>
          <w:lang w:val="es-ES"/>
        </w:rPr>
      </w:pPr>
      <w:r w:rsidRPr="0047709D">
        <w:rPr>
          <w:sz w:val="18"/>
          <w:lang w:val="es-ES"/>
        </w:rPr>
        <w:t>[Continuación de la nota de la página anterior]</w:t>
      </w:r>
    </w:p>
    <w:p w14:paraId="007CE510" w14:textId="77777777" w:rsidR="00EB3765" w:rsidRPr="0047709D" w:rsidRDefault="00EB3765" w:rsidP="006655D3">
      <w:pPr>
        <w:rPr>
          <w:lang w:val="es-ES"/>
        </w:rPr>
      </w:pPr>
    </w:p>
    <w:p w14:paraId="526C4BF0" w14:textId="77777777" w:rsidR="00EB3765" w:rsidRPr="0047709D" w:rsidRDefault="00EB3765" w:rsidP="006655D3">
      <w:pPr>
        <w:rPr>
          <w:lang w:val="es-ES"/>
        </w:rPr>
      </w:pPr>
    </w:p>
  </w:endnote>
  <w:endnote w:type="continuationNotice" w:id="1">
    <w:p w14:paraId="58F6A808" w14:textId="77777777" w:rsidR="00EB3765" w:rsidRPr="0047709D" w:rsidRDefault="00EB3765" w:rsidP="006655D3">
      <w:pPr>
        <w:rPr>
          <w:lang w:val="es-ES"/>
        </w:rPr>
      </w:pPr>
      <w:r w:rsidRPr="0047709D">
        <w:rPr>
          <w:lang w:val="es-ES"/>
        </w:rPr>
        <w:t>[Continuación de la nota de la página siguiente]</w:t>
      </w:r>
    </w:p>
    <w:p w14:paraId="09992FB9" w14:textId="77777777" w:rsidR="00EB3765" w:rsidRPr="0047709D" w:rsidRDefault="00EB3765" w:rsidP="006655D3">
      <w:pPr>
        <w:rPr>
          <w:lang w:val="es-ES"/>
        </w:rPr>
      </w:pPr>
    </w:p>
    <w:p w14:paraId="54C88680" w14:textId="77777777" w:rsidR="00EB3765" w:rsidRPr="0047709D" w:rsidRDefault="00EB3765" w:rsidP="006655D3">
      <w:pPr>
        <w:rPr>
          <w:lang w:val="es-E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397D" w14:textId="0A3DBCEC" w:rsidR="00B80B61" w:rsidRDefault="00B80B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D856A05" wp14:editId="4D59B8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15135" cy="345440"/>
              <wp:effectExtent l="0" t="0" r="18415" b="0"/>
              <wp:wrapNone/>
              <wp:docPr id="1098849719" name="Text Box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51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18B034" w14:textId="702C7EC6" w:rsidR="00B80B61" w:rsidRPr="00B80B61" w:rsidRDefault="00B80B61" w:rsidP="00B80B6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B80B6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 xml:space="preserve">OMPI: SOLO PARA USO OFICIAL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856A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IPO FOR OFFICIAL USE ONLY " style="position:absolute;left:0;text-align:left;margin-left:0;margin-top:0;width:135.05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" filled="f" stroked="f">
              <v:textbox style="mso-fit-shape-to-text:t" inset="0,0,0,15pt">
                <w:txbxContent>
                  <w:p w14:paraId="0A18B034" w14:textId="702C7EC6" w:rsidR="00B80B61" w:rsidRPr="00B80B61" w:rsidRDefault="00B80B61" w:rsidP="00B80B61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B80B61">
                      <w:rPr>
                        <w:rFonts w:ascii="Aptos" w:eastAsia="Aptos" w:hAnsi="Aptos" w:cs="Aptos"/>
                        <w:noProof/>
                        <w:color w:val="000000"/>
                      </w:rPr>
                      <w:t xml:space="preserve">OMPI: SOLO PARA USO OFICIAL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0E91" w14:textId="3465C6A7" w:rsidR="00B80B61" w:rsidRDefault="00B80B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82BFC0" wp14:editId="74921BE5">
              <wp:simplePos x="723569" y="1016176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15135" cy="345440"/>
              <wp:effectExtent l="0" t="0" r="18415" b="0"/>
              <wp:wrapNone/>
              <wp:docPr id="1766250894" name="Text Box 1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51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EE18A1" w14:textId="03B943AB" w:rsidR="00B80B61" w:rsidRPr="00B80B61" w:rsidRDefault="00B80B61" w:rsidP="00B80B6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2BF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WIPO FOR OFFICIAL USE ONLY " style="position:absolute;left:0;text-align:left;margin-left:0;margin-top:0;width:135.0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" filled="f" stroked="f">
              <v:textbox style="mso-fit-shape-to-text:t" inset="0,0,0,15pt">
                <w:txbxContent>
                  <w:p w14:paraId="46EE18A1" w14:textId="03B943AB" w:rsidR="00B80B61" w:rsidRPr="00B80B61" w:rsidRDefault="00B80B61" w:rsidP="00B80B61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8DCD2" w14:textId="77777777" w:rsidR="00EB3765" w:rsidRDefault="00EB3765" w:rsidP="006655D3">
      <w:r>
        <w:separator/>
      </w:r>
    </w:p>
  </w:footnote>
  <w:footnote w:type="continuationSeparator" w:id="0">
    <w:p w14:paraId="37892150" w14:textId="77777777" w:rsidR="00EB3765" w:rsidRDefault="00EB3765" w:rsidP="006655D3">
      <w:r>
        <w:separator/>
      </w:r>
    </w:p>
  </w:footnote>
  <w:footnote w:type="continuationNotice" w:id="1">
    <w:p w14:paraId="16FEB941" w14:textId="77777777" w:rsidR="00EB3765" w:rsidRPr="00AB530F" w:rsidRDefault="00EB3765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3D564" w14:textId="742B6F0B" w:rsidR="0004198B" w:rsidRPr="00C5280D" w:rsidRDefault="008665AD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CG-URS/2/3</w:t>
    </w:r>
  </w:p>
  <w:p w14:paraId="0C0E16BA" w14:textId="77777777" w:rsidR="0004198B" w:rsidRPr="00C5280D" w:rsidRDefault="0004198B" w:rsidP="00EB048E">
    <w:pPr>
      <w:pStyle w:val="Header"/>
      <w:rPr>
        <w:lang w:val="en-US"/>
      </w:rPr>
    </w:pPr>
    <w:proofErr w:type="spellStart"/>
    <w:r w:rsidRPr="00C5280D">
      <w:rPr>
        <w:lang w:val="en-US"/>
      </w:rPr>
      <w:t>página</w:t>
    </w:r>
    <w:proofErr w:type="spellEnd"/>
    <w:r w:rsidRPr="00C5280D">
      <w:rPr>
        <w:lang w:val="en-US"/>
      </w:rPr>
      <w:t xml:space="preserve">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 w:rsidR="00F44BF1"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138A964B" w14:textId="77777777" w:rsidR="0004198B" w:rsidRPr="00C5280D" w:rsidRDefault="0004198B" w:rsidP="00665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56E9"/>
    <w:multiLevelType w:val="hybridMultilevel"/>
    <w:tmpl w:val="BEB25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6E6C"/>
    <w:multiLevelType w:val="hybridMultilevel"/>
    <w:tmpl w:val="078E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96AB5"/>
    <w:multiLevelType w:val="multilevel"/>
    <w:tmpl w:val="CA88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264226">
    <w:abstractNumId w:val="2"/>
  </w:num>
  <w:num w:numId="2" w16cid:durableId="518935847">
    <w:abstractNumId w:val="1"/>
  </w:num>
  <w:num w:numId="3" w16cid:durableId="34571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5F"/>
    <w:rsid w:val="00010CF3"/>
    <w:rsid w:val="00011E27"/>
    <w:rsid w:val="000148BC"/>
    <w:rsid w:val="00024AB8"/>
    <w:rsid w:val="00030854"/>
    <w:rsid w:val="00032C99"/>
    <w:rsid w:val="00035127"/>
    <w:rsid w:val="00036028"/>
    <w:rsid w:val="0004198B"/>
    <w:rsid w:val="0004297B"/>
    <w:rsid w:val="00044642"/>
    <w:rsid w:val="000446B9"/>
    <w:rsid w:val="00047E21"/>
    <w:rsid w:val="00050E16"/>
    <w:rsid w:val="00055BFB"/>
    <w:rsid w:val="0006665F"/>
    <w:rsid w:val="00066EB7"/>
    <w:rsid w:val="00075C7E"/>
    <w:rsid w:val="00085505"/>
    <w:rsid w:val="000C4E25"/>
    <w:rsid w:val="000C7021"/>
    <w:rsid w:val="000D270C"/>
    <w:rsid w:val="000D6BBC"/>
    <w:rsid w:val="000D7780"/>
    <w:rsid w:val="000E636A"/>
    <w:rsid w:val="000F2F11"/>
    <w:rsid w:val="000F77B3"/>
    <w:rsid w:val="00100A5F"/>
    <w:rsid w:val="00105929"/>
    <w:rsid w:val="00110BED"/>
    <w:rsid w:val="00110C36"/>
    <w:rsid w:val="001131D5"/>
    <w:rsid w:val="00114547"/>
    <w:rsid w:val="001159C7"/>
    <w:rsid w:val="00141DB8"/>
    <w:rsid w:val="00144DB1"/>
    <w:rsid w:val="0014655A"/>
    <w:rsid w:val="0016675C"/>
    <w:rsid w:val="00172084"/>
    <w:rsid w:val="0017474A"/>
    <w:rsid w:val="001758C6"/>
    <w:rsid w:val="00182B99"/>
    <w:rsid w:val="001A3458"/>
    <w:rsid w:val="001C10D0"/>
    <w:rsid w:val="001C1525"/>
    <w:rsid w:val="001D3A37"/>
    <w:rsid w:val="002066DD"/>
    <w:rsid w:val="0021332C"/>
    <w:rsid w:val="00213982"/>
    <w:rsid w:val="00237317"/>
    <w:rsid w:val="00242C99"/>
    <w:rsid w:val="0024416D"/>
    <w:rsid w:val="00244C45"/>
    <w:rsid w:val="002529E2"/>
    <w:rsid w:val="00260EA2"/>
    <w:rsid w:val="00264E3E"/>
    <w:rsid w:val="00271335"/>
    <w:rsid w:val="00271911"/>
    <w:rsid w:val="00273187"/>
    <w:rsid w:val="002800A0"/>
    <w:rsid w:val="002801B3"/>
    <w:rsid w:val="00281060"/>
    <w:rsid w:val="00284050"/>
    <w:rsid w:val="00285BD0"/>
    <w:rsid w:val="00286559"/>
    <w:rsid w:val="002930BF"/>
    <w:rsid w:val="002940E8"/>
    <w:rsid w:val="00294751"/>
    <w:rsid w:val="002A6E50"/>
    <w:rsid w:val="002B4298"/>
    <w:rsid w:val="002B7940"/>
    <w:rsid w:val="002B7A36"/>
    <w:rsid w:val="002C256A"/>
    <w:rsid w:val="002D5226"/>
    <w:rsid w:val="002D5E58"/>
    <w:rsid w:val="002E77F7"/>
    <w:rsid w:val="00305A7F"/>
    <w:rsid w:val="003152FE"/>
    <w:rsid w:val="0032099F"/>
    <w:rsid w:val="0032380F"/>
    <w:rsid w:val="00327436"/>
    <w:rsid w:val="00344BD6"/>
    <w:rsid w:val="0035528D"/>
    <w:rsid w:val="00361821"/>
    <w:rsid w:val="00361E9E"/>
    <w:rsid w:val="003753EE"/>
    <w:rsid w:val="003816D4"/>
    <w:rsid w:val="00384EC1"/>
    <w:rsid w:val="003A0835"/>
    <w:rsid w:val="003A5AAF"/>
    <w:rsid w:val="003B2430"/>
    <w:rsid w:val="003B700A"/>
    <w:rsid w:val="003C7848"/>
    <w:rsid w:val="003C7FBE"/>
    <w:rsid w:val="003D227C"/>
    <w:rsid w:val="003D2B3F"/>
    <w:rsid w:val="003D2B4D"/>
    <w:rsid w:val="003D339C"/>
    <w:rsid w:val="003E1255"/>
    <w:rsid w:val="003F246E"/>
    <w:rsid w:val="003F37F5"/>
    <w:rsid w:val="00425788"/>
    <w:rsid w:val="00444A88"/>
    <w:rsid w:val="00474DA4"/>
    <w:rsid w:val="00475D38"/>
    <w:rsid w:val="00476B4D"/>
    <w:rsid w:val="0047709D"/>
    <w:rsid w:val="004805FA"/>
    <w:rsid w:val="004935D2"/>
    <w:rsid w:val="004B1215"/>
    <w:rsid w:val="004D047D"/>
    <w:rsid w:val="004D6FD8"/>
    <w:rsid w:val="004F1E9E"/>
    <w:rsid w:val="004F305A"/>
    <w:rsid w:val="00512164"/>
    <w:rsid w:val="00520297"/>
    <w:rsid w:val="00520CAB"/>
    <w:rsid w:val="00532395"/>
    <w:rsid w:val="005338F9"/>
    <w:rsid w:val="0054281C"/>
    <w:rsid w:val="00544581"/>
    <w:rsid w:val="00547A8F"/>
    <w:rsid w:val="0055268D"/>
    <w:rsid w:val="00575DE2"/>
    <w:rsid w:val="00576BE4"/>
    <w:rsid w:val="005779DB"/>
    <w:rsid w:val="005918B4"/>
    <w:rsid w:val="005971BC"/>
    <w:rsid w:val="005A2A67"/>
    <w:rsid w:val="005A400A"/>
    <w:rsid w:val="005B269D"/>
    <w:rsid w:val="005B5526"/>
    <w:rsid w:val="005D13A6"/>
    <w:rsid w:val="005D7370"/>
    <w:rsid w:val="005E27B8"/>
    <w:rsid w:val="005F7B92"/>
    <w:rsid w:val="006065D1"/>
    <w:rsid w:val="00612379"/>
    <w:rsid w:val="006153B6"/>
    <w:rsid w:val="0061555F"/>
    <w:rsid w:val="006245ED"/>
    <w:rsid w:val="0062468E"/>
    <w:rsid w:val="00632E22"/>
    <w:rsid w:val="00636CA6"/>
    <w:rsid w:val="00641200"/>
    <w:rsid w:val="00644B33"/>
    <w:rsid w:val="006451AF"/>
    <w:rsid w:val="00645CA8"/>
    <w:rsid w:val="00646008"/>
    <w:rsid w:val="00647F77"/>
    <w:rsid w:val="006655D3"/>
    <w:rsid w:val="00667404"/>
    <w:rsid w:val="00687956"/>
    <w:rsid w:val="00687EB4"/>
    <w:rsid w:val="00695C56"/>
    <w:rsid w:val="00695F81"/>
    <w:rsid w:val="006A5CDE"/>
    <w:rsid w:val="006A644A"/>
    <w:rsid w:val="006B17D2"/>
    <w:rsid w:val="006B6308"/>
    <w:rsid w:val="006C224E"/>
    <w:rsid w:val="006C2858"/>
    <w:rsid w:val="006D4A12"/>
    <w:rsid w:val="006D780A"/>
    <w:rsid w:val="006F5FD9"/>
    <w:rsid w:val="0071271E"/>
    <w:rsid w:val="00726F25"/>
    <w:rsid w:val="00732DEC"/>
    <w:rsid w:val="0073565F"/>
    <w:rsid w:val="00735BD5"/>
    <w:rsid w:val="007418B8"/>
    <w:rsid w:val="007451EC"/>
    <w:rsid w:val="007467DF"/>
    <w:rsid w:val="00751613"/>
    <w:rsid w:val="00753EE9"/>
    <w:rsid w:val="007556F6"/>
    <w:rsid w:val="00757A95"/>
    <w:rsid w:val="00760EEF"/>
    <w:rsid w:val="00773E97"/>
    <w:rsid w:val="00777EE5"/>
    <w:rsid w:val="00784836"/>
    <w:rsid w:val="0079023E"/>
    <w:rsid w:val="007A0749"/>
    <w:rsid w:val="007A2854"/>
    <w:rsid w:val="007C1D92"/>
    <w:rsid w:val="007C4CB9"/>
    <w:rsid w:val="007D0B9D"/>
    <w:rsid w:val="007D19B0"/>
    <w:rsid w:val="007F27AD"/>
    <w:rsid w:val="007F498F"/>
    <w:rsid w:val="008003B0"/>
    <w:rsid w:val="0080679D"/>
    <w:rsid w:val="008108B0"/>
    <w:rsid w:val="00811B20"/>
    <w:rsid w:val="00812609"/>
    <w:rsid w:val="008211B5"/>
    <w:rsid w:val="0082296E"/>
    <w:rsid w:val="00824099"/>
    <w:rsid w:val="00836780"/>
    <w:rsid w:val="0083758F"/>
    <w:rsid w:val="00846D7C"/>
    <w:rsid w:val="00851426"/>
    <w:rsid w:val="00854899"/>
    <w:rsid w:val="00865B91"/>
    <w:rsid w:val="008665AD"/>
    <w:rsid w:val="00866DE1"/>
    <w:rsid w:val="00867AC1"/>
    <w:rsid w:val="00872B3F"/>
    <w:rsid w:val="0087418A"/>
    <w:rsid w:val="008751DE"/>
    <w:rsid w:val="00890DF8"/>
    <w:rsid w:val="008A0ADE"/>
    <w:rsid w:val="008A3407"/>
    <w:rsid w:val="008A743F"/>
    <w:rsid w:val="008C0970"/>
    <w:rsid w:val="008C2F2E"/>
    <w:rsid w:val="008D0130"/>
    <w:rsid w:val="008D0BC5"/>
    <w:rsid w:val="008D0F14"/>
    <w:rsid w:val="008D2CF7"/>
    <w:rsid w:val="008E376C"/>
    <w:rsid w:val="009005E4"/>
    <w:rsid w:val="00900C26"/>
    <w:rsid w:val="0090197F"/>
    <w:rsid w:val="00903264"/>
    <w:rsid w:val="00905222"/>
    <w:rsid w:val="00906DDC"/>
    <w:rsid w:val="00914CB3"/>
    <w:rsid w:val="0092413A"/>
    <w:rsid w:val="00934E09"/>
    <w:rsid w:val="00936253"/>
    <w:rsid w:val="00940D46"/>
    <w:rsid w:val="009413F1"/>
    <w:rsid w:val="00952DD4"/>
    <w:rsid w:val="009561F4"/>
    <w:rsid w:val="00965AE7"/>
    <w:rsid w:val="00970FED"/>
    <w:rsid w:val="00971987"/>
    <w:rsid w:val="00992D82"/>
    <w:rsid w:val="00997029"/>
    <w:rsid w:val="009973D1"/>
    <w:rsid w:val="009A1888"/>
    <w:rsid w:val="009A7339"/>
    <w:rsid w:val="009B1754"/>
    <w:rsid w:val="009B440E"/>
    <w:rsid w:val="009B5F4A"/>
    <w:rsid w:val="009B7B99"/>
    <w:rsid w:val="009C536A"/>
    <w:rsid w:val="009D5296"/>
    <w:rsid w:val="009D690D"/>
    <w:rsid w:val="009D7CC7"/>
    <w:rsid w:val="009E65B6"/>
    <w:rsid w:val="009E7203"/>
    <w:rsid w:val="009F0A51"/>
    <w:rsid w:val="009F77CF"/>
    <w:rsid w:val="00A02E18"/>
    <w:rsid w:val="00A24C10"/>
    <w:rsid w:val="00A26BB6"/>
    <w:rsid w:val="00A42AC3"/>
    <w:rsid w:val="00A430CF"/>
    <w:rsid w:val="00A43319"/>
    <w:rsid w:val="00A54309"/>
    <w:rsid w:val="00A610A9"/>
    <w:rsid w:val="00A62E35"/>
    <w:rsid w:val="00A73882"/>
    <w:rsid w:val="00A73904"/>
    <w:rsid w:val="00A756B8"/>
    <w:rsid w:val="00A80F2A"/>
    <w:rsid w:val="00A96C33"/>
    <w:rsid w:val="00AB2B93"/>
    <w:rsid w:val="00AB3286"/>
    <w:rsid w:val="00AB530F"/>
    <w:rsid w:val="00AB7E5B"/>
    <w:rsid w:val="00AC2883"/>
    <w:rsid w:val="00AC4E7D"/>
    <w:rsid w:val="00AE0EF1"/>
    <w:rsid w:val="00AE2937"/>
    <w:rsid w:val="00B06AE1"/>
    <w:rsid w:val="00B07301"/>
    <w:rsid w:val="00B1144A"/>
    <w:rsid w:val="00B11F3E"/>
    <w:rsid w:val="00B17677"/>
    <w:rsid w:val="00B224DE"/>
    <w:rsid w:val="00B25281"/>
    <w:rsid w:val="00B324D4"/>
    <w:rsid w:val="00B339B3"/>
    <w:rsid w:val="00B46575"/>
    <w:rsid w:val="00B46AEE"/>
    <w:rsid w:val="00B61777"/>
    <w:rsid w:val="00B622E6"/>
    <w:rsid w:val="00B776C1"/>
    <w:rsid w:val="00B80B61"/>
    <w:rsid w:val="00B83E82"/>
    <w:rsid w:val="00B84BBD"/>
    <w:rsid w:val="00BA43FB"/>
    <w:rsid w:val="00BA5AD8"/>
    <w:rsid w:val="00BC127D"/>
    <w:rsid w:val="00BC1FE6"/>
    <w:rsid w:val="00C04DCA"/>
    <w:rsid w:val="00C061B6"/>
    <w:rsid w:val="00C2446C"/>
    <w:rsid w:val="00C36AE5"/>
    <w:rsid w:val="00C41F17"/>
    <w:rsid w:val="00C521CA"/>
    <w:rsid w:val="00C527FA"/>
    <w:rsid w:val="00C5280D"/>
    <w:rsid w:val="00C52AB8"/>
    <w:rsid w:val="00C53EB3"/>
    <w:rsid w:val="00C5791C"/>
    <w:rsid w:val="00C62347"/>
    <w:rsid w:val="00C66290"/>
    <w:rsid w:val="00C72B7A"/>
    <w:rsid w:val="00C75A58"/>
    <w:rsid w:val="00C82F1F"/>
    <w:rsid w:val="00C973F2"/>
    <w:rsid w:val="00CA304C"/>
    <w:rsid w:val="00CA774A"/>
    <w:rsid w:val="00CB4921"/>
    <w:rsid w:val="00CC11B0"/>
    <w:rsid w:val="00CC2841"/>
    <w:rsid w:val="00CD680A"/>
    <w:rsid w:val="00CE4F12"/>
    <w:rsid w:val="00CF1330"/>
    <w:rsid w:val="00CF7E36"/>
    <w:rsid w:val="00D26ACF"/>
    <w:rsid w:val="00D3708D"/>
    <w:rsid w:val="00D40426"/>
    <w:rsid w:val="00D42D10"/>
    <w:rsid w:val="00D53A79"/>
    <w:rsid w:val="00D577E3"/>
    <w:rsid w:val="00D57C96"/>
    <w:rsid w:val="00D57D18"/>
    <w:rsid w:val="00D64019"/>
    <w:rsid w:val="00D66257"/>
    <w:rsid w:val="00D70E65"/>
    <w:rsid w:val="00D813CA"/>
    <w:rsid w:val="00D8328F"/>
    <w:rsid w:val="00D83A9B"/>
    <w:rsid w:val="00D85FB5"/>
    <w:rsid w:val="00D91203"/>
    <w:rsid w:val="00D95174"/>
    <w:rsid w:val="00D96B35"/>
    <w:rsid w:val="00DA4973"/>
    <w:rsid w:val="00DA6F36"/>
    <w:rsid w:val="00DB596E"/>
    <w:rsid w:val="00DB7773"/>
    <w:rsid w:val="00DC00EA"/>
    <w:rsid w:val="00DC176F"/>
    <w:rsid w:val="00DC25E2"/>
    <w:rsid w:val="00DC3802"/>
    <w:rsid w:val="00DD3C5B"/>
    <w:rsid w:val="00DD4AA4"/>
    <w:rsid w:val="00DD533C"/>
    <w:rsid w:val="00DD6208"/>
    <w:rsid w:val="00DF7E99"/>
    <w:rsid w:val="00E07D87"/>
    <w:rsid w:val="00E249C8"/>
    <w:rsid w:val="00E32F7E"/>
    <w:rsid w:val="00E5267B"/>
    <w:rsid w:val="00E559F0"/>
    <w:rsid w:val="00E60DCD"/>
    <w:rsid w:val="00E61FEF"/>
    <w:rsid w:val="00E63C0E"/>
    <w:rsid w:val="00E64AB6"/>
    <w:rsid w:val="00E72D49"/>
    <w:rsid w:val="00E7593C"/>
    <w:rsid w:val="00E7678A"/>
    <w:rsid w:val="00E8715F"/>
    <w:rsid w:val="00E935F1"/>
    <w:rsid w:val="00E94A81"/>
    <w:rsid w:val="00EA1FFB"/>
    <w:rsid w:val="00EA6AEE"/>
    <w:rsid w:val="00EB048E"/>
    <w:rsid w:val="00EB3765"/>
    <w:rsid w:val="00EB4E9C"/>
    <w:rsid w:val="00EC08D3"/>
    <w:rsid w:val="00EC4AC1"/>
    <w:rsid w:val="00EC6BDF"/>
    <w:rsid w:val="00ED4946"/>
    <w:rsid w:val="00ED59C2"/>
    <w:rsid w:val="00EE34DF"/>
    <w:rsid w:val="00EF2F89"/>
    <w:rsid w:val="00F00B7C"/>
    <w:rsid w:val="00F01A6D"/>
    <w:rsid w:val="00F03E98"/>
    <w:rsid w:val="00F1237A"/>
    <w:rsid w:val="00F223B7"/>
    <w:rsid w:val="00F22CBD"/>
    <w:rsid w:val="00F272F1"/>
    <w:rsid w:val="00F31412"/>
    <w:rsid w:val="00F445E9"/>
    <w:rsid w:val="00F44BF1"/>
    <w:rsid w:val="00F45372"/>
    <w:rsid w:val="00F5470C"/>
    <w:rsid w:val="00F55A83"/>
    <w:rsid w:val="00F560F7"/>
    <w:rsid w:val="00F6334D"/>
    <w:rsid w:val="00F63599"/>
    <w:rsid w:val="00F71781"/>
    <w:rsid w:val="00FA49AB"/>
    <w:rsid w:val="00FC18B5"/>
    <w:rsid w:val="00FC5FD0"/>
    <w:rsid w:val="00FE39C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205D2D"/>
  <w15:docId w15:val="{0A6FC2D6-3EFE-407C-9352-29BF79EC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</w:rPr>
  </w:style>
  <w:style w:type="paragraph" w:styleId="Heading1">
    <w:name w:val="heading 1"/>
    <w:next w:val="Normal"/>
    <w:link w:val="Heading1Char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character" w:customStyle="1" w:styleId="Heading1Char">
    <w:name w:val="Heading 1 Char"/>
    <w:basedOn w:val="DefaultParagraphFont"/>
    <w:link w:val="Heading1"/>
    <w:rsid w:val="00B339B3"/>
    <w:rPr>
      <w:rFonts w:ascii="Arial" w:hAnsi="Arial"/>
      <w:caps/>
    </w:rPr>
  </w:style>
  <w:style w:type="paragraph" w:styleId="Revision">
    <w:name w:val="Revision"/>
    <w:hidden/>
    <w:uiPriority w:val="99"/>
    <w:semiHidden/>
    <w:rsid w:val="007A0749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D85FB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F24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F246E"/>
  </w:style>
  <w:style w:type="character" w:customStyle="1" w:styleId="CommentTextChar">
    <w:name w:val="Comment Text Char"/>
    <w:basedOn w:val="DefaultParagraphFont"/>
    <w:link w:val="CommentText"/>
    <w:rsid w:val="003F246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2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246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A4F3C4738C226D479E1E23EB54A842E4" ma:contentTypeVersion="424" ma:contentTypeDescription="" ma:contentTypeScope="" ma:versionID="9142382ca6b2a467d4dfe02120783a2a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5e18aa76-7d88-41d0-9dbe-91b3e27642dc" targetNamespace="http://schemas.microsoft.com/office/2006/metadata/properties" ma:root="true" ma:fieldsID="6d3450084e7a79e47355ec87ac74caef" ns2:_="" ns3:_="" ns4:_="">
    <xsd:import namespace="56500874-bba0-4b48-9090-b201492e8473"/>
    <xsd:import namespace="0d6abe56-55ad-41de-8124-44420a0ee71d"/>
    <xsd:import namespace="5e18aa76-7d88-41d0-9dbe-91b3e27642dc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cd40c81-a513-4a0b-be56-2586b703a599}" ma:internalName="TaxCatchAll" ma:showField="CatchAllData" ma:web="5e18aa76-7d88-41d0-9dbe-91b3e2764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cd40c81-a513-4a0b-be56-2586b703a599}" ma:internalName="TaxCatchAllLabel" ma:readOnly="true" ma:showField="CatchAllDataLabel" ma:web="5e18aa76-7d88-41d0-9dbe-91b3e2764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8aa76-7d88-41d0-9dbe-91b3e27642dc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Planning, Budget and Risk Management Division</TermName>
          <TermId xmlns="http://schemas.microsoft.com/office/infopath/2007/PartnerControls">70d2437d-80ad-4481-ae65-31d87541c0a0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19 UPOV</TermName>
          <TermId xmlns="http://schemas.microsoft.com/office/infopath/2007/PartnerControls">303367ba-5af5-45be-81ed-f52cd5024afb</TermId>
        </TermInfo>
      </Terms>
    </oec7080f59824b85bfab9bab42c36e68>
    <_dlc_DocId xmlns="5e18aa76-7d88-41d0-9dbe-91b3e27642dc">PBRMDBFP-2013870959-862</_dlc_DocId>
    <_dlc_DocIdUrl xmlns="5e18aa76-7d88-41d0-9dbe-91b3e27642dc">
      <Url>https://wipoprod.sharepoint.com/sites/SPS-INT-BFP-PBRMD-UPOVFITsCMPDAs/_layouts/15/DocIdRedir.aspx?ID=PBRMDBFP-2013870959-862</Url>
      <Description>PBRMDBFP-2013870959-862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C67C16C-A16C-4DD8-AB9A-5CEBE766EAF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730F6B2-9D49-4FEA-9DB8-1989434F1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5e18aa76-7d88-41d0-9dbe-91b3e2764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51B79D-C0CD-49A8-938E-8CAB423A07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109EBE-FFD8-499C-B265-434E0BA6BA5A}">
  <ds:schemaRefs>
    <ds:schemaRef ds:uri="0d6abe56-55ad-41de-8124-44420a0ee71d"/>
    <ds:schemaRef ds:uri="http://purl.org/dc/terms/"/>
    <ds:schemaRef ds:uri="5e18aa76-7d88-41d0-9dbe-91b3e27642dc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56500874-bba0-4b48-9090-b201492e8473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0317CA4-48F0-4920-B2A7-E0FC545570F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602A143-B7B8-40F9-9FD1-7C2CBFEBE4C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915</Words>
  <Characters>4958</Characters>
  <Application>Microsoft Office Word</Application>
  <DocSecurity>0</DocSecurity>
  <Lines>107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CG-URS/2</vt:lpstr>
    </vt:vector>
  </TitlesOfParts>
  <Company>UPOV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CG-URS/2/3</dc:title>
  <dc:creator>NICOLO Laurianne</dc:creator>
  <cp:keywords/>
  <cp:lastModifiedBy>NICOLO Laurianne</cp:lastModifiedBy>
  <cp:revision>9</cp:revision>
  <cp:lastPrinted>2026-03-19T16:27:00Z</cp:lastPrinted>
  <dcterms:created xsi:type="dcterms:W3CDTF">2026-04-29T09:55:00Z</dcterms:created>
  <dcterms:modified xsi:type="dcterms:W3CDTF">2026-05-06T13:19:00Z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0x01010043A0F979BE30A3469F998CB749C11FBD00A4F3C4738C226D479E1E23EB54A842E4</vt:lpwstr>
  </property>
  <property fmtid="{D5CDD505-2E9C-101B-9397-08002B2CF9AE}" pid="3" name="ClassificationContentMarkingFooterShapeIds">
    <vt:lpwstr>6946d98e,417f1db7,1ef50b32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WIPO FOR OFFICIAL USE ONLY </vt:lpwstr>
  </property>
  <property fmtid="{D5CDD505-2E9C-101B-9397-08002B2CF9AE}" pid="6" name="MSIP_Label_bfc084f7-b690-4c43-8ee6-d475b6d3461d_Enabled">
    <vt:lpwstr>true</vt:lpwstr>
  </property>
  <property fmtid="{D5CDD505-2E9C-101B-9397-08002B2CF9AE}" pid="7" name="MSIP_Label_bfc084f7-b690-4c43-8ee6-d475b6d3461d_SetDate">
    <vt:lpwstr>2026-03-24T07:31:27Z</vt:lpwstr>
  </property>
  <property fmtid="{D5CDD505-2E9C-101B-9397-08002B2CF9AE}" pid="8" name="MSIP_Label_bfc084f7-b690-4c43-8ee6-d475b6d3461d_Method">
    <vt:lpwstr>Standard</vt:lpwstr>
  </property>
  <property fmtid="{D5CDD505-2E9C-101B-9397-08002B2CF9AE}" pid="9" name="MSIP_Label_bfc084f7-b690-4c43-8ee6-d475b6d3461d_Name">
    <vt:lpwstr>FOR OFFICIAL USE ONLY</vt:lpwstr>
  </property>
  <property fmtid="{D5CDD505-2E9C-101B-9397-08002B2CF9AE}" pid="10" name="MSIP_Label_bfc084f7-b690-4c43-8ee6-d475b6d3461d_SiteId">
    <vt:lpwstr>faa31b06-8ccc-48c9-867f-f7510dd11c02</vt:lpwstr>
  </property>
  <property fmtid="{D5CDD505-2E9C-101B-9397-08002B2CF9AE}" pid="11" name="MSIP_Label_bfc084f7-b690-4c43-8ee6-d475b6d3461d_ActionId">
    <vt:lpwstr>c7afd7f0-f7ea-4249-b425-a192976385f7</vt:lpwstr>
  </property>
  <property fmtid="{D5CDD505-2E9C-101B-9397-08002B2CF9AE}" pid="12" name="MSIP_Label_bfc084f7-b690-4c43-8ee6-d475b6d3461d_ContentBits">
    <vt:lpwstr>2</vt:lpwstr>
  </property>
  <property fmtid="{D5CDD505-2E9C-101B-9397-08002B2CF9AE}" pid="13" name="MSIP_Label_bfc084f7-b690-4c43-8ee6-d475b6d3461d_Tag">
    <vt:lpwstr>10, 3, 0, 1</vt:lpwstr>
  </property>
  <property fmtid="{D5CDD505-2E9C-101B-9397-08002B2CF9AE}" pid="14" name="BusinessUnit">
    <vt:lpwstr>3;#Planning, Budget and Risk Management Division|70d2437d-80ad-4481-ae65-31d87541c0a0</vt:lpwstr>
  </property>
  <property fmtid="{D5CDD505-2E9C-101B-9397-08002B2CF9AE}" pid="15" name="RMClassification">
    <vt:lpwstr>2;#19 UPOV|303367ba-5af5-45be-81ed-f52cd5024afb</vt:lpwstr>
  </property>
  <property fmtid="{D5CDD505-2E9C-101B-9397-08002B2CF9AE}" pid="16" name="Languages">
    <vt:lpwstr>1;#English|950e6fa2-2df0-4983-a604-54e57c7a6d93</vt:lpwstr>
  </property>
  <property fmtid="{D5CDD505-2E9C-101B-9397-08002B2CF9AE}" pid="17" name="_dlc_DocIdItemGuid">
    <vt:lpwstr>b9976bdf-3e8a-48e1-bb60-5c7e1511c3d6</vt:lpwstr>
  </property>
</Properties>
</file>