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41008F" w:rsidRPr="0041008F" w:rsidTr="00A641FA">
        <w:trPr>
          <w:trHeight w:val="1760"/>
        </w:trPr>
        <w:tc>
          <w:tcPr>
            <w:tcW w:w="4243" w:type="dxa"/>
          </w:tcPr>
          <w:p w:rsidR="000D7780" w:rsidRPr="0041008F" w:rsidRDefault="000D7780" w:rsidP="00B31A08">
            <w:pPr>
              <w:rPr>
                <w:lang w:val="es-ES_tradnl"/>
              </w:rPr>
            </w:pPr>
          </w:p>
        </w:tc>
        <w:tc>
          <w:tcPr>
            <w:tcW w:w="1646" w:type="dxa"/>
            <w:vAlign w:val="center"/>
          </w:tcPr>
          <w:p w:rsidR="000D7780" w:rsidRPr="0041008F" w:rsidRDefault="00A0006B" w:rsidP="00B31A08">
            <w:pPr>
              <w:pStyle w:val="LogoUPOV"/>
              <w:rPr>
                <w:lang w:val="es-ES_tradnl"/>
              </w:rPr>
            </w:pPr>
            <w:r w:rsidRPr="0041008F">
              <w:rPr>
                <w:noProof/>
              </w:rPr>
              <w:drawing>
                <wp:inline distT="0" distB="0" distL="0" distR="0" wp14:anchorId="4007D82D" wp14:editId="07FD0C1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E705FA" w:rsidRPr="0041008F" w:rsidRDefault="00E705FA" w:rsidP="00B31A08">
            <w:pPr>
              <w:pStyle w:val="Lettrine"/>
              <w:rPr>
                <w:lang w:val="es-ES_tradnl"/>
              </w:rPr>
            </w:pPr>
            <w:r w:rsidRPr="0041008F">
              <w:rPr>
                <w:lang w:val="es-ES_tradnl"/>
              </w:rPr>
              <w:t>S</w:t>
            </w:r>
          </w:p>
          <w:p w:rsidR="00E705FA" w:rsidRPr="0041008F" w:rsidRDefault="00E705FA" w:rsidP="00B31A08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41008F">
              <w:rPr>
                <w:lang w:val="es-ES_tradnl"/>
              </w:rPr>
              <w:t>CAJ-AG/14/9/6</w:t>
            </w:r>
          </w:p>
          <w:p w:rsidR="00E705FA" w:rsidRPr="0041008F" w:rsidRDefault="0061555F" w:rsidP="00B31A08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41008F">
              <w:rPr>
                <w:rStyle w:val="StyleDoclangBold"/>
                <w:b/>
                <w:bCs/>
                <w:spacing w:val="0"/>
                <w:lang w:val="es-ES_tradnl"/>
              </w:rPr>
              <w:t>ORIGINAL</w:t>
            </w:r>
            <w:r w:rsidR="000D7780" w:rsidRPr="0041008F">
              <w:rPr>
                <w:rStyle w:val="StyleDoclangBold"/>
                <w:b/>
                <w:bCs/>
                <w:spacing w:val="0"/>
                <w:lang w:val="es-ES_tradnl"/>
              </w:rPr>
              <w:t>:</w:t>
            </w:r>
            <w:r w:rsidRPr="0041008F">
              <w:rPr>
                <w:rStyle w:val="StyleDocoriginalNotBold1"/>
                <w:spacing w:val="0"/>
                <w:lang w:val="es-ES_tradnl"/>
              </w:rPr>
              <w:t xml:space="preserve"> </w:t>
            </w:r>
            <w:r w:rsidR="000D7780" w:rsidRPr="0041008F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0" w:name="Original"/>
            <w:bookmarkEnd w:id="0"/>
            <w:r w:rsidR="00105CCB" w:rsidRPr="0041008F">
              <w:rPr>
                <w:b w:val="0"/>
                <w:spacing w:val="0"/>
                <w:lang w:val="es-ES_tradnl"/>
              </w:rPr>
              <w:t>Inglés</w:t>
            </w:r>
          </w:p>
          <w:p w:rsidR="000D7780" w:rsidRPr="0041008F" w:rsidRDefault="00124936" w:rsidP="00B31A08">
            <w:pPr>
              <w:pStyle w:val="Docoriginal"/>
              <w:ind w:left="1050"/>
              <w:jc w:val="left"/>
              <w:rPr>
                <w:lang w:val="es-ES_tradnl"/>
              </w:rPr>
            </w:pPr>
            <w:r w:rsidRPr="0041008F">
              <w:rPr>
                <w:spacing w:val="0"/>
                <w:lang w:val="es-ES_tradnl"/>
              </w:rPr>
              <w:t>FECHA</w:t>
            </w:r>
            <w:r w:rsidR="000D7780" w:rsidRPr="0041008F">
              <w:rPr>
                <w:spacing w:val="0"/>
                <w:lang w:val="es-ES_tradnl"/>
              </w:rPr>
              <w:t>:</w:t>
            </w:r>
            <w:r w:rsidR="0061555F" w:rsidRPr="0041008F">
              <w:rPr>
                <w:b w:val="0"/>
                <w:spacing w:val="0"/>
                <w:lang w:val="es-ES_tradnl"/>
              </w:rPr>
              <w:t xml:space="preserve"> </w:t>
            </w:r>
            <w:r w:rsidR="000D7780" w:rsidRPr="0041008F">
              <w:rPr>
                <w:rStyle w:val="StyleDocoriginalNotBold1"/>
                <w:spacing w:val="0"/>
                <w:lang w:val="es-ES_tradnl"/>
              </w:rPr>
              <w:t xml:space="preserve"> </w:t>
            </w:r>
            <w:bookmarkStart w:id="1" w:name="Date"/>
            <w:bookmarkEnd w:id="1"/>
            <w:r w:rsidR="001228D1" w:rsidRPr="0041008F">
              <w:rPr>
                <w:rStyle w:val="StyleDocoriginalNotBold1"/>
                <w:spacing w:val="0"/>
                <w:lang w:val="es-ES_tradnl"/>
              </w:rPr>
              <w:t>17 de octubre</w:t>
            </w:r>
            <w:r w:rsidR="00105CCB" w:rsidRPr="0041008F">
              <w:rPr>
                <w:rStyle w:val="StyleDocoriginalNotBold1"/>
                <w:spacing w:val="0"/>
                <w:lang w:val="es-ES_tradnl"/>
              </w:rPr>
              <w:t xml:space="preserve"> de </w:t>
            </w:r>
            <w:r w:rsidR="001131D5" w:rsidRPr="0041008F">
              <w:rPr>
                <w:b w:val="0"/>
                <w:spacing w:val="0"/>
                <w:lang w:val="es-ES_tradnl"/>
              </w:rPr>
              <w:t>201</w:t>
            </w:r>
            <w:r w:rsidR="00FA6D99" w:rsidRPr="0041008F">
              <w:rPr>
                <w:b w:val="0"/>
                <w:spacing w:val="0"/>
                <w:lang w:val="es-ES_tradnl"/>
              </w:rPr>
              <w:t>4</w:t>
            </w:r>
          </w:p>
        </w:tc>
      </w:tr>
      <w:tr w:rsidR="0041008F" w:rsidRPr="0041008F" w:rsidTr="00A641FA">
        <w:tc>
          <w:tcPr>
            <w:tcW w:w="10131" w:type="dxa"/>
            <w:gridSpan w:val="3"/>
          </w:tcPr>
          <w:p w:rsidR="000D7780" w:rsidRPr="0041008F" w:rsidRDefault="00E705FA" w:rsidP="00B31A08">
            <w:pPr>
              <w:pStyle w:val="upove"/>
              <w:rPr>
                <w:spacing w:val="2"/>
                <w:szCs w:val="24"/>
                <w:lang w:val="es-ES_tradnl"/>
              </w:rPr>
            </w:pPr>
            <w:r w:rsidRPr="0041008F">
              <w:rPr>
                <w:spacing w:val="2"/>
                <w:szCs w:val="24"/>
                <w:lang w:val="es-ES_tradnl"/>
              </w:rPr>
              <w:t>UNIÓN INTERNACIONAL PARA LA PROTECCIÓN DE LAS OBTENCIONES VEGETALES</w:t>
            </w:r>
          </w:p>
        </w:tc>
      </w:tr>
      <w:tr w:rsidR="0041008F" w:rsidRPr="0041008F" w:rsidTr="00A641FA">
        <w:tc>
          <w:tcPr>
            <w:tcW w:w="10131" w:type="dxa"/>
            <w:gridSpan w:val="3"/>
          </w:tcPr>
          <w:p w:rsidR="000D7780" w:rsidRPr="0041008F" w:rsidRDefault="00BE680E" w:rsidP="00B31A08">
            <w:pPr>
              <w:pStyle w:val="Country"/>
              <w:rPr>
                <w:lang w:val="es-ES_tradnl"/>
              </w:rPr>
            </w:pPr>
            <w:r w:rsidRPr="0041008F">
              <w:rPr>
                <w:lang w:val="es-ES_tradnl"/>
              </w:rPr>
              <w:t>Ginebra</w:t>
            </w:r>
          </w:p>
        </w:tc>
      </w:tr>
    </w:tbl>
    <w:p w:rsidR="00E705FA" w:rsidRPr="0041008F" w:rsidRDefault="00944845" w:rsidP="00B31A08">
      <w:pPr>
        <w:pStyle w:val="Sessiontc"/>
        <w:rPr>
          <w:lang w:val="es-ES_tradnl"/>
        </w:rPr>
      </w:pPr>
      <w:r w:rsidRPr="0041008F">
        <w:rPr>
          <w:lang w:val="es-ES_tradnl"/>
        </w:rPr>
        <w:t>gRUPO ASESOR DEL COMITÉ ADMINISTRATIVO Y JURÍDICO</w:t>
      </w:r>
    </w:p>
    <w:p w:rsidR="00E705FA" w:rsidRPr="0041008F" w:rsidRDefault="00FA6D99" w:rsidP="00B31A08">
      <w:pPr>
        <w:pStyle w:val="Sessiontcplacedate"/>
        <w:rPr>
          <w:lang w:val="es-ES_tradnl"/>
        </w:rPr>
      </w:pPr>
      <w:r w:rsidRPr="0041008F">
        <w:rPr>
          <w:lang w:val="es-ES_tradnl"/>
        </w:rPr>
        <w:t>Novena</w:t>
      </w:r>
      <w:r w:rsidR="00944845" w:rsidRPr="0041008F">
        <w:rPr>
          <w:lang w:val="es-ES_tradnl"/>
        </w:rPr>
        <w:t xml:space="preserve"> </w:t>
      </w:r>
      <w:r w:rsidR="007136A6" w:rsidRPr="0041008F">
        <w:rPr>
          <w:lang w:val="es-ES_tradnl"/>
        </w:rPr>
        <w:t>sesión</w:t>
      </w:r>
      <w:r w:rsidR="007136A6" w:rsidRPr="0041008F">
        <w:rPr>
          <w:lang w:val="es-ES_tradnl"/>
        </w:rPr>
        <w:br/>
        <w:t xml:space="preserve">Ginebra, </w:t>
      </w:r>
      <w:r w:rsidRPr="0041008F">
        <w:rPr>
          <w:lang w:val="es-ES_tradnl"/>
        </w:rPr>
        <w:t>14 y 17</w:t>
      </w:r>
      <w:r w:rsidR="007136A6" w:rsidRPr="0041008F">
        <w:rPr>
          <w:lang w:val="es-ES_tradnl"/>
        </w:rPr>
        <w:t xml:space="preserve"> </w:t>
      </w:r>
      <w:r w:rsidR="00F1053E" w:rsidRPr="0041008F">
        <w:rPr>
          <w:lang w:val="es-ES_tradnl"/>
        </w:rPr>
        <w:t xml:space="preserve">de </w:t>
      </w:r>
      <w:r w:rsidR="00944845" w:rsidRPr="0041008F">
        <w:rPr>
          <w:lang w:val="es-ES_tradnl"/>
        </w:rPr>
        <w:t xml:space="preserve">octubre </w:t>
      </w:r>
      <w:r w:rsidRPr="0041008F">
        <w:rPr>
          <w:lang w:val="es-ES_tradnl"/>
        </w:rPr>
        <w:t>de 2014</w:t>
      </w:r>
    </w:p>
    <w:p w:rsidR="00E705FA" w:rsidRPr="0041008F" w:rsidRDefault="006F03AB" w:rsidP="00B31A08">
      <w:pPr>
        <w:pStyle w:val="Titleofdoc0"/>
        <w:rPr>
          <w:lang w:val="es-ES"/>
        </w:rPr>
      </w:pPr>
      <w:bookmarkStart w:id="2" w:name="TitleOfDoc"/>
      <w:bookmarkEnd w:id="2"/>
      <w:r w:rsidRPr="0041008F">
        <w:rPr>
          <w:lang w:val="es-ES_tradnl"/>
        </w:rPr>
        <w:t>informe sobre las conclusiones</w:t>
      </w:r>
    </w:p>
    <w:p w:rsidR="00E705FA" w:rsidRPr="009B41F4" w:rsidRDefault="00D337AA" w:rsidP="00B31A08">
      <w:pPr>
        <w:pStyle w:val="preparedby1"/>
        <w:rPr>
          <w:lang w:val="es-ES_tradnl"/>
        </w:rPr>
      </w:pPr>
      <w:bookmarkStart w:id="3" w:name="Prepared"/>
      <w:bookmarkEnd w:id="3"/>
      <w:r w:rsidRPr="0086342F">
        <w:rPr>
          <w:lang w:val="es-ES_tradnl"/>
        </w:rPr>
        <w:t>aprobado por el Grupo Asesor del Comité Administrativo y Jurídico</w:t>
      </w:r>
      <w:r w:rsidR="0094124D" w:rsidRPr="009B41F4">
        <w:rPr>
          <w:lang w:val="es-ES_tradnl"/>
        </w:rPr>
        <w:br/>
      </w:r>
      <w:r w:rsidR="0094124D" w:rsidRPr="00B149F1">
        <w:rPr>
          <w:color w:val="808080"/>
          <w:lang w:val="es-ES_tradnl"/>
        </w:rPr>
        <w:br/>
      </w:r>
      <w:r w:rsidR="00460197" w:rsidRPr="005767EF">
        <w:rPr>
          <w:color w:val="A6A6A6"/>
          <w:lang w:val="es-ES_tradnl"/>
        </w:rPr>
        <w:t>Descargo de responsabilidad:  el presente documento no constituye</w:t>
      </w:r>
      <w:r w:rsidR="00460197" w:rsidRPr="005767EF">
        <w:rPr>
          <w:color w:val="A6A6A6"/>
          <w:lang w:val="es-ES_tradnl"/>
        </w:rPr>
        <w:br/>
        <w:t>un documento de política u orientación de la UPOV</w:t>
      </w:r>
    </w:p>
    <w:p w:rsidR="00E705FA" w:rsidRPr="0041008F" w:rsidRDefault="006F03AB" w:rsidP="00B31A08">
      <w:pPr>
        <w:keepNext/>
        <w:rPr>
          <w:u w:val="single"/>
          <w:lang w:val="es-ES"/>
        </w:rPr>
      </w:pPr>
      <w:r w:rsidRPr="0041008F">
        <w:rPr>
          <w:u w:val="single"/>
          <w:lang w:val="es-ES_tradnl"/>
        </w:rPr>
        <w:t>Apertura de la sesión</w:t>
      </w:r>
    </w:p>
    <w:p w:rsidR="00E705FA" w:rsidRPr="0041008F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"/>
        </w:rPr>
      </w:pPr>
      <w:r w:rsidRPr="0041008F">
        <w:rPr>
          <w:szCs w:val="24"/>
        </w:rPr>
        <w:fldChar w:fldCharType="begin"/>
      </w:r>
      <w:r w:rsidR="001228D1" w:rsidRPr="0041008F">
        <w:rPr>
          <w:szCs w:val="24"/>
          <w:lang w:val="es-ES"/>
        </w:rPr>
        <w:instrText xml:space="preserve"> AUTONUM  </w:instrText>
      </w:r>
      <w:r w:rsidRPr="0041008F">
        <w:rPr>
          <w:szCs w:val="24"/>
        </w:rPr>
        <w:fldChar w:fldCharType="end"/>
      </w:r>
      <w:r w:rsidR="001228D1" w:rsidRPr="0041008F">
        <w:rPr>
          <w:lang w:val="es-ES"/>
        </w:rPr>
        <w:tab/>
      </w:r>
      <w:r w:rsidR="006F03AB" w:rsidRPr="0041008F">
        <w:rPr>
          <w:lang w:val="es-ES_tradnl"/>
        </w:rPr>
        <w:t>El Grupo Asesor del Comité Administrativo y Jurídico (CAJ–AG) celebró su novena sesión en Ginebra los días 14 y 17 de octubre de 2014, bajo la presidencia del Secretario General Adjunto de la UPOV.</w:t>
      </w:r>
    </w:p>
    <w:p w:rsidR="00E705FA" w:rsidRPr="0041008F" w:rsidRDefault="00E705FA" w:rsidP="00B31A08">
      <w:pPr>
        <w:rPr>
          <w:lang w:val="es-ES"/>
        </w:rPr>
      </w:pPr>
    </w:p>
    <w:p w:rsidR="00E705FA" w:rsidRPr="0041008F" w:rsidRDefault="00E3139E" w:rsidP="00B31A08">
      <w:pPr>
        <w:rPr>
          <w:lang w:val="es-ES"/>
        </w:rPr>
      </w:pPr>
      <w:r w:rsidRPr="0041008F">
        <w:fldChar w:fldCharType="begin"/>
      </w:r>
      <w:r w:rsidR="001228D1" w:rsidRPr="0041008F">
        <w:rPr>
          <w:lang w:val="es-ES"/>
        </w:rPr>
        <w:instrText xml:space="preserve"> AUTONUM  </w:instrText>
      </w:r>
      <w:r w:rsidRPr="0041008F">
        <w:fldChar w:fldCharType="end"/>
      </w:r>
      <w:r w:rsidR="001228D1" w:rsidRPr="0041008F">
        <w:rPr>
          <w:lang w:val="es-ES"/>
        </w:rPr>
        <w:tab/>
      </w:r>
      <w:r w:rsidR="006F03AB" w:rsidRPr="0041008F">
        <w:rPr>
          <w:lang w:val="es-ES_tradnl"/>
        </w:rPr>
        <w:t>La lista de participantes figura en el Anexo del presente documento.</w:t>
      </w:r>
      <w:r w:rsidR="001228D1" w:rsidRPr="0041008F">
        <w:rPr>
          <w:lang w:val="es-ES"/>
        </w:rPr>
        <w:t xml:space="preserve">  </w:t>
      </w:r>
    </w:p>
    <w:p w:rsidR="00E705FA" w:rsidRPr="009B41F4" w:rsidRDefault="00E705FA" w:rsidP="00B31A08">
      <w:pPr>
        <w:rPr>
          <w:lang w:val="es-ES"/>
        </w:rPr>
      </w:pPr>
    </w:p>
    <w:p w:rsidR="00E705FA" w:rsidRPr="0041008F" w:rsidRDefault="00E3139E" w:rsidP="00B31A08">
      <w:pPr>
        <w:keepNext/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86342F" w:rsidRPr="009B41F4">
        <w:rPr>
          <w:lang w:val="es-ES_tradnl"/>
        </w:rPr>
        <w:t>El CAJ</w:t>
      </w:r>
      <w:r w:rsidR="00127BC2" w:rsidRPr="009B41F4">
        <w:rPr>
          <w:lang w:val="es-ES_tradnl"/>
        </w:rPr>
        <w:t>–</w:t>
      </w:r>
      <w:r w:rsidR="0086342F" w:rsidRPr="009B41F4">
        <w:rPr>
          <w:lang w:val="es-ES_tradnl"/>
        </w:rPr>
        <w:t xml:space="preserve">AG </w:t>
      </w:r>
      <w:r w:rsidR="005D2FE8" w:rsidRPr="009B41F4">
        <w:rPr>
          <w:lang w:val="es-ES_tradnl"/>
        </w:rPr>
        <w:t>indic</w:t>
      </w:r>
      <w:r w:rsidR="0086342F" w:rsidRPr="009B41F4">
        <w:rPr>
          <w:lang w:val="es-ES_tradnl"/>
        </w:rPr>
        <w:t xml:space="preserve">ó que el </w:t>
      </w:r>
      <w:r w:rsidR="0086342F" w:rsidRPr="00922A43">
        <w:rPr>
          <w:lang w:val="es-ES_tradnl"/>
        </w:rPr>
        <w:t>Comité Administrativo y Jurídico (CAJ)</w:t>
      </w:r>
      <w:r w:rsidR="0086342F" w:rsidRPr="009B41F4">
        <w:rPr>
          <w:lang w:val="es-ES_tradnl"/>
        </w:rPr>
        <w:t xml:space="preserve">, en su </w:t>
      </w:r>
      <w:r w:rsidR="0086342F" w:rsidRPr="00922A43">
        <w:rPr>
          <w:lang w:val="es-ES_tradnl"/>
        </w:rPr>
        <w:t>septuagésima sesión</w:t>
      </w:r>
      <w:r w:rsidR="0086342F" w:rsidRPr="009B41F4">
        <w:rPr>
          <w:lang w:val="es-ES_tradnl"/>
        </w:rPr>
        <w:t xml:space="preserve">, celebrada en Ginebra el 13 de octubre de 2014, </w:t>
      </w:r>
      <w:r w:rsidR="0086342F" w:rsidRPr="00922A43">
        <w:rPr>
          <w:lang w:val="es-ES_tradnl"/>
        </w:rPr>
        <w:t>acordó lo siguiente:</w:t>
      </w:r>
    </w:p>
    <w:p w:rsidR="00E705FA" w:rsidRPr="0041008F" w:rsidRDefault="00E705FA" w:rsidP="00B31A08">
      <w:pPr>
        <w:keepNext/>
        <w:rPr>
          <w:lang w:val="es-ES_tradnl"/>
        </w:rPr>
      </w:pPr>
    </w:p>
    <w:p w:rsidR="00E705FA" w:rsidRPr="0041008F" w:rsidRDefault="001228D1" w:rsidP="00B31A08">
      <w:pPr>
        <w:tabs>
          <w:tab w:val="left" w:pos="567"/>
        </w:tabs>
        <w:ind w:left="567" w:right="567"/>
        <w:rPr>
          <w:sz w:val="18"/>
          <w:lang w:val="es-ES_tradnl"/>
        </w:rPr>
      </w:pPr>
      <w:r w:rsidRPr="0041008F">
        <w:rPr>
          <w:sz w:val="18"/>
          <w:lang w:val="es-ES_tradnl"/>
        </w:rPr>
        <w:t>“38.</w:t>
      </w:r>
      <w:r w:rsidRPr="0041008F">
        <w:rPr>
          <w:sz w:val="18"/>
          <w:lang w:val="es-ES_tradnl"/>
        </w:rPr>
        <w:tab/>
      </w:r>
      <w:r w:rsidR="00922A43" w:rsidRPr="009B41F4">
        <w:rPr>
          <w:sz w:val="18"/>
          <w:lang w:val="es-ES_tradnl"/>
        </w:rPr>
        <w:t xml:space="preserve">El CAJ acordó que todas las </w:t>
      </w:r>
      <w:r w:rsidR="00922A43" w:rsidRPr="00683E88">
        <w:rPr>
          <w:sz w:val="18"/>
          <w:lang w:val="es-ES_tradnl"/>
        </w:rPr>
        <w:t>cuestiones</w:t>
      </w:r>
      <w:r w:rsidR="00922A43" w:rsidRPr="009B41F4">
        <w:rPr>
          <w:sz w:val="18"/>
          <w:lang w:val="es-ES_tradnl"/>
        </w:rPr>
        <w:t xml:space="preserve"> sometidas a la consideración del CAJ-AG en su novena sesión debían, tras la celebración de la novena sesión del CAJ-AG, ser examinadas por el CAJ y que el CAJ-AG únicamente debía reunirse </w:t>
      </w:r>
      <w:r w:rsidR="00922A43" w:rsidRPr="00922A43">
        <w:rPr>
          <w:sz w:val="18"/>
          <w:lang w:val="es-ES_tradnl"/>
        </w:rPr>
        <w:t xml:space="preserve">con carácter </w:t>
      </w:r>
      <w:r w:rsidR="00922A43" w:rsidRPr="00922A43">
        <w:rPr>
          <w:i/>
          <w:sz w:val="18"/>
          <w:lang w:val="es-ES_tradnl"/>
        </w:rPr>
        <w:t>ad hoc</w:t>
      </w:r>
      <w:r w:rsidR="00922A43" w:rsidRPr="009B41F4">
        <w:rPr>
          <w:sz w:val="18"/>
          <w:lang w:val="es-ES_tradnl"/>
        </w:rPr>
        <w:t>, cuando el CAJ lo estime oportuno.</w:t>
      </w:r>
      <w:r w:rsidRPr="0041008F">
        <w:rPr>
          <w:sz w:val="18"/>
          <w:lang w:val="es-ES_tradnl"/>
        </w:rPr>
        <w:t xml:space="preserve">  </w:t>
      </w:r>
    </w:p>
    <w:p w:rsidR="00E705FA" w:rsidRPr="0041008F" w:rsidRDefault="00E705FA" w:rsidP="00B31A08">
      <w:pPr>
        <w:tabs>
          <w:tab w:val="left" w:pos="567"/>
        </w:tabs>
        <w:ind w:left="567" w:right="567"/>
        <w:rPr>
          <w:sz w:val="18"/>
          <w:lang w:val="es-ES_tradnl"/>
        </w:rPr>
      </w:pPr>
    </w:p>
    <w:p w:rsidR="00E705FA" w:rsidRPr="0041008F" w:rsidRDefault="001228D1" w:rsidP="00B31A08">
      <w:pPr>
        <w:tabs>
          <w:tab w:val="left" w:pos="567"/>
        </w:tabs>
        <w:ind w:left="567" w:right="567"/>
        <w:rPr>
          <w:sz w:val="18"/>
          <w:lang w:val="es-ES_tradnl"/>
        </w:rPr>
      </w:pPr>
      <w:r w:rsidRPr="0041008F">
        <w:rPr>
          <w:sz w:val="18"/>
          <w:lang w:val="es-ES_tradnl"/>
        </w:rPr>
        <w:t>“39.</w:t>
      </w:r>
      <w:r w:rsidRPr="0041008F">
        <w:rPr>
          <w:sz w:val="18"/>
          <w:lang w:val="es-ES_tradnl"/>
        </w:rPr>
        <w:tab/>
      </w:r>
      <w:r w:rsidR="00922A43" w:rsidRPr="009B41F4">
        <w:rPr>
          <w:sz w:val="18"/>
          <w:lang w:val="es-ES_tradnl"/>
        </w:rPr>
        <w:t xml:space="preserve">Sobre esa base, </w:t>
      </w:r>
      <w:r w:rsidR="00683E88" w:rsidRPr="009B41F4">
        <w:rPr>
          <w:sz w:val="18"/>
          <w:lang w:val="es-ES_tradnl"/>
        </w:rPr>
        <w:t xml:space="preserve">el </w:t>
      </w:r>
      <w:r w:rsidR="00922A43" w:rsidRPr="009B41F4">
        <w:rPr>
          <w:sz w:val="18"/>
          <w:lang w:val="es-ES_tradnl"/>
        </w:rPr>
        <w:t xml:space="preserve">CAJ </w:t>
      </w:r>
      <w:r w:rsidR="00683E88" w:rsidRPr="009B41F4">
        <w:rPr>
          <w:sz w:val="18"/>
          <w:lang w:val="es-ES_tradnl"/>
        </w:rPr>
        <w:t xml:space="preserve">solicitó al </w:t>
      </w:r>
      <w:r w:rsidR="00922A43" w:rsidRPr="009B41F4">
        <w:rPr>
          <w:sz w:val="18"/>
          <w:lang w:val="es-ES_tradnl"/>
        </w:rPr>
        <w:t xml:space="preserve">CAJ-AG, </w:t>
      </w:r>
      <w:r w:rsidR="00683E88" w:rsidRPr="009B41F4">
        <w:rPr>
          <w:sz w:val="18"/>
          <w:lang w:val="es-ES_tradnl"/>
        </w:rPr>
        <w:t xml:space="preserve">en su </w:t>
      </w:r>
      <w:r w:rsidR="00922A43" w:rsidRPr="009B41F4">
        <w:rPr>
          <w:sz w:val="18"/>
          <w:lang w:val="es-ES_tradnl"/>
        </w:rPr>
        <w:t xml:space="preserve">novena sesión, </w:t>
      </w:r>
      <w:r w:rsidR="00683E88" w:rsidRPr="009B41F4">
        <w:rPr>
          <w:sz w:val="18"/>
          <w:lang w:val="es-ES_tradnl"/>
        </w:rPr>
        <w:t xml:space="preserve">que señalase al </w:t>
      </w:r>
      <w:r w:rsidR="00922A43" w:rsidRPr="009B41F4">
        <w:rPr>
          <w:sz w:val="18"/>
          <w:lang w:val="es-ES_tradnl"/>
        </w:rPr>
        <w:t xml:space="preserve">CAJ </w:t>
      </w:r>
      <w:r w:rsidR="00683E88" w:rsidRPr="009B41F4">
        <w:rPr>
          <w:sz w:val="18"/>
          <w:lang w:val="es-ES_tradnl"/>
        </w:rPr>
        <w:t xml:space="preserve">los </w:t>
      </w:r>
      <w:r w:rsidR="00922A43" w:rsidRPr="009B41F4">
        <w:rPr>
          <w:sz w:val="18"/>
          <w:lang w:val="es-ES_tradnl"/>
        </w:rPr>
        <w:t>document</w:t>
      </w:r>
      <w:r w:rsidR="00683E88" w:rsidRPr="009B41F4">
        <w:rPr>
          <w:sz w:val="18"/>
          <w:lang w:val="es-ES_tradnl"/>
        </w:rPr>
        <w:t>o</w:t>
      </w:r>
      <w:r w:rsidR="00922A43" w:rsidRPr="009B41F4">
        <w:rPr>
          <w:sz w:val="18"/>
          <w:lang w:val="es-ES_tradnl"/>
        </w:rPr>
        <w:t xml:space="preserve">s </w:t>
      </w:r>
      <w:r w:rsidR="00683E88" w:rsidRPr="009B41F4">
        <w:rPr>
          <w:sz w:val="18"/>
          <w:lang w:val="es-ES_tradnl"/>
        </w:rPr>
        <w:t xml:space="preserve">que debería examinar el </w:t>
      </w:r>
      <w:r w:rsidR="00922A43" w:rsidRPr="009B41F4">
        <w:rPr>
          <w:sz w:val="18"/>
          <w:lang w:val="es-ES_tradnl"/>
        </w:rPr>
        <w:t>CAJ</w:t>
      </w:r>
      <w:r w:rsidR="00683E88" w:rsidRPr="009B41F4">
        <w:rPr>
          <w:sz w:val="18"/>
          <w:lang w:val="es-ES_tradnl"/>
        </w:rPr>
        <w:t xml:space="preserve"> en su septuagésima primera sesión e</w:t>
      </w:r>
      <w:r w:rsidR="00922A43" w:rsidRPr="009B41F4">
        <w:rPr>
          <w:sz w:val="18"/>
          <w:lang w:val="es-ES_tradnl"/>
        </w:rPr>
        <w:t>n marzo de 2015.”</w:t>
      </w:r>
    </w:p>
    <w:p w:rsidR="00E705FA" w:rsidRPr="0041008F" w:rsidRDefault="00E705FA" w:rsidP="00B31A08">
      <w:pPr>
        <w:tabs>
          <w:tab w:val="left" w:pos="567"/>
        </w:tabs>
        <w:ind w:left="567"/>
        <w:rPr>
          <w:lang w:val="es-ES_tradnl"/>
        </w:rPr>
      </w:pPr>
    </w:p>
    <w:p w:rsidR="00E705FA" w:rsidRPr="0041008F" w:rsidRDefault="006F03AB" w:rsidP="00B31A08">
      <w:pPr>
        <w:tabs>
          <w:tab w:val="left" w:pos="567"/>
        </w:tabs>
        <w:rPr>
          <w:lang w:val="es-ES"/>
        </w:rPr>
      </w:pPr>
      <w:r w:rsidRPr="0041008F">
        <w:rPr>
          <w:lang w:val="es-ES_tradnl"/>
        </w:rPr>
        <w:t>(Véase el documento CAJ/70/10 “Informe sobre las conclusiones”, párrafos 38 y 39.)</w:t>
      </w:r>
    </w:p>
    <w:p w:rsidR="00E705FA" w:rsidRPr="0041008F" w:rsidRDefault="00E705FA" w:rsidP="00B31A08">
      <w:pPr>
        <w:rPr>
          <w:lang w:val="es-ES"/>
        </w:rPr>
      </w:pPr>
    </w:p>
    <w:p w:rsidR="00E705FA" w:rsidRPr="0041008F" w:rsidRDefault="00E3139E" w:rsidP="00B31A08">
      <w:pPr>
        <w:rPr>
          <w:rFonts w:cs="Arial"/>
          <w:lang w:val="es-ES_tradnl"/>
        </w:rPr>
      </w:pPr>
      <w:r w:rsidRPr="009B41F4">
        <w:fldChar w:fldCharType="begin"/>
      </w:r>
      <w:r w:rsidR="001228D1" w:rsidRPr="009B41F4">
        <w:rPr>
          <w:lang w:val="es-ES"/>
        </w:rPr>
        <w:instrText xml:space="preserve"> AUTONUM  </w:instrText>
      </w:r>
      <w:r w:rsidRPr="009B41F4">
        <w:fldChar w:fldCharType="end"/>
      </w:r>
      <w:r w:rsidR="001228D1" w:rsidRPr="009B41F4">
        <w:rPr>
          <w:lang w:val="es-ES"/>
        </w:rPr>
        <w:tab/>
      </w:r>
      <w:r w:rsidR="006F03AB" w:rsidRPr="0041008F">
        <w:rPr>
          <w:lang w:val="es-ES_tradnl"/>
        </w:rPr>
        <w:t xml:space="preserve">El Presidente recordó que el CAJ-AG había decidido, por correspondencia, extender invitaciones </w:t>
      </w:r>
      <w:r w:rsidR="006F03AB" w:rsidRPr="0041008F">
        <w:rPr>
          <w:i/>
          <w:lang w:val="es-ES_tradnl"/>
        </w:rPr>
        <w:t>ad hoc</w:t>
      </w:r>
      <w:r w:rsidR="006F03AB" w:rsidRPr="0041008F">
        <w:rPr>
          <w:lang w:val="es-ES_tradnl"/>
        </w:rPr>
        <w:t xml:space="preserve"> a las organizaciones que el CAJ-AG había acordado invitar previamente, a fin de que puedan seguir presentando sus opiniones sobre cuestiones pertinentes (véase el párrafo 83 del documento CAJ</w:t>
      </w:r>
      <w:r w:rsidR="006F03AB" w:rsidRPr="0041008F">
        <w:rPr>
          <w:lang w:val="es-ES_tradnl"/>
        </w:rPr>
        <w:noBreakHyphen/>
        <w:t>AG/13/8/10, “Informe”).</w:t>
      </w:r>
      <w:r w:rsidR="001228D1" w:rsidRPr="0041008F">
        <w:rPr>
          <w:rFonts w:cs="Arial"/>
          <w:lang w:val="es-ES"/>
        </w:rPr>
        <w:t xml:space="preserve">  </w:t>
      </w:r>
      <w:r w:rsidR="00683E88" w:rsidRPr="0041008F">
        <w:rPr>
          <w:rFonts w:cs="Arial"/>
          <w:lang w:val="es-ES_tradnl"/>
        </w:rPr>
        <w:t>Sobre esa base, se había invitado a las siguientes organizaciones a participar en la parte pertinente de la novena sesión del CAJ-AG:</w:t>
      </w:r>
      <w:r w:rsidR="001228D1" w:rsidRPr="0041008F">
        <w:rPr>
          <w:rFonts w:cs="Arial"/>
          <w:lang w:val="es-ES_tradnl"/>
        </w:rPr>
        <w:t xml:space="preserve">  </w:t>
      </w:r>
      <w:r w:rsidR="00683E88" w:rsidRPr="0041008F">
        <w:rPr>
          <w:rFonts w:cs="Arial"/>
          <w:lang w:val="es-ES_tradnl"/>
        </w:rPr>
        <w:t xml:space="preserve">la </w:t>
      </w:r>
      <w:r w:rsidR="00683E88" w:rsidRPr="0041008F">
        <w:rPr>
          <w:lang w:val="es-ES_tradnl"/>
        </w:rPr>
        <w:t xml:space="preserve">Asociación Internacional de Productores Hortícolas (AIPH), </w:t>
      </w:r>
      <w:r w:rsidR="00683E88" w:rsidRPr="0041008F">
        <w:rPr>
          <w:rFonts w:cs="Arial"/>
          <w:lang w:val="es-ES_tradnl"/>
        </w:rPr>
        <w:t xml:space="preserve">la </w:t>
      </w:r>
      <w:r w:rsidR="00683E88" w:rsidRPr="0041008F">
        <w:rPr>
          <w:rFonts w:cs="Arial"/>
          <w:szCs w:val="26"/>
          <w:lang w:val="es-ES_tradnl"/>
        </w:rPr>
        <w:t>Association for Plant Breeding for the Benefit of Society (APBREBES)</w:t>
      </w:r>
      <w:r w:rsidR="00683E88" w:rsidRPr="0041008F">
        <w:rPr>
          <w:rFonts w:cs="Arial"/>
          <w:lang w:val="es-ES_tradnl"/>
        </w:rPr>
        <w:t xml:space="preserve">, la Comunidad Internacional de Obtentores de Variedades Ornamentales y Frutales de Reproducción Asexuada (CIOPORA), </w:t>
      </w:r>
      <w:r w:rsidR="00683E88" w:rsidRPr="0041008F">
        <w:rPr>
          <w:rFonts w:cs="Arial"/>
          <w:szCs w:val="26"/>
          <w:lang w:val="es-ES_tradnl"/>
        </w:rPr>
        <w:t>CropLife International, la European Seed Association (ESA)</w:t>
      </w:r>
      <w:r w:rsidR="00683E88" w:rsidRPr="0041008F">
        <w:rPr>
          <w:rFonts w:cs="Arial"/>
          <w:lang w:val="es-ES_tradnl"/>
        </w:rPr>
        <w:t xml:space="preserve"> </w:t>
      </w:r>
      <w:r w:rsidR="0011630E" w:rsidRPr="0041008F">
        <w:rPr>
          <w:rFonts w:cs="Arial"/>
          <w:lang w:val="es-ES_tradnl"/>
        </w:rPr>
        <w:t xml:space="preserve">y la </w:t>
      </w:r>
      <w:r w:rsidR="00683E88" w:rsidRPr="0041008F">
        <w:rPr>
          <w:rFonts w:cs="Arial"/>
          <w:lang w:val="es-ES_tradnl"/>
        </w:rPr>
        <w:t>International Seed Federation (ISF).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11630E" w:rsidRPr="009B41F4">
        <w:rPr>
          <w:lang w:val="es-ES_tradnl"/>
        </w:rPr>
        <w:t xml:space="preserve">El CAJ-AG indicó que en el </w:t>
      </w:r>
      <w:r w:rsidR="0011630E" w:rsidRPr="0011630E">
        <w:rPr>
          <w:lang w:val="es-ES_tradnl"/>
        </w:rPr>
        <w:t>informe detallado</w:t>
      </w:r>
      <w:r w:rsidR="0011630E" w:rsidRPr="009B41F4">
        <w:rPr>
          <w:lang w:val="es-ES_tradnl"/>
        </w:rPr>
        <w:t xml:space="preserve"> se informaría sobre los </w:t>
      </w:r>
      <w:r w:rsidR="0011630E" w:rsidRPr="0011630E">
        <w:rPr>
          <w:lang w:val="es-ES_tradnl"/>
        </w:rPr>
        <w:t>debates mantenidos en presencia de observadores</w:t>
      </w:r>
      <w:r w:rsidR="0011630E" w:rsidRPr="009B41F4">
        <w:rPr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6F03AB" w:rsidP="00B31A08">
      <w:pPr>
        <w:pStyle w:val="Heading2"/>
        <w:rPr>
          <w:lang w:val="es-ES"/>
        </w:rPr>
      </w:pPr>
      <w:r w:rsidRPr="0041008F">
        <w:t>Aprobación del orden del día</w:t>
      </w:r>
    </w:p>
    <w:p w:rsidR="00E705FA" w:rsidRPr="0041008F" w:rsidRDefault="00E705FA" w:rsidP="00B31A08">
      <w:pPr>
        <w:keepNext/>
        <w:rPr>
          <w:rFonts w:cs="Arial"/>
          <w:snapToGrid w:val="0"/>
          <w:szCs w:val="26"/>
          <w:lang w:val="es-ES"/>
        </w:rPr>
      </w:pPr>
    </w:p>
    <w:p w:rsidR="00E705FA" w:rsidRPr="0041008F" w:rsidRDefault="00E3139E" w:rsidP="00B31A08">
      <w:pPr>
        <w:spacing w:after="480"/>
        <w:rPr>
          <w:lang w:val="es-ES"/>
        </w:rPr>
      </w:pPr>
      <w:r w:rsidRPr="0041008F">
        <w:fldChar w:fldCharType="begin"/>
      </w:r>
      <w:r w:rsidR="001228D1" w:rsidRPr="0041008F">
        <w:rPr>
          <w:lang w:val="es-ES"/>
        </w:rPr>
        <w:instrText xml:space="preserve"> AUTONUM  </w:instrText>
      </w:r>
      <w:r w:rsidRPr="0041008F">
        <w:fldChar w:fldCharType="end"/>
      </w:r>
      <w:r w:rsidR="001228D1" w:rsidRPr="0041008F">
        <w:rPr>
          <w:lang w:val="es-ES"/>
        </w:rPr>
        <w:tab/>
      </w:r>
      <w:r w:rsidR="006F03AB" w:rsidRPr="0041008F">
        <w:rPr>
          <w:lang w:val="es-ES_tradnl"/>
        </w:rPr>
        <w:t>El CAJ-AG aprobó el programa provisional que consta en el documento CAJ-AG/14/9/1</w:t>
      </w:r>
      <w:r w:rsidR="005D2FE8" w:rsidRPr="0041008F">
        <w:rPr>
          <w:lang w:val="es-ES_tradnl"/>
        </w:rPr>
        <w:t> </w:t>
      </w:r>
      <w:r w:rsidR="006F03AB" w:rsidRPr="0041008F">
        <w:rPr>
          <w:lang w:val="es-ES_tradnl"/>
        </w:rPr>
        <w:t>Rev.</w:t>
      </w:r>
    </w:p>
    <w:p w:rsidR="00E705FA" w:rsidRPr="0041008F" w:rsidRDefault="006F03AB" w:rsidP="00B31A08">
      <w:pPr>
        <w:pStyle w:val="Heading2"/>
        <w:rPr>
          <w:lang w:val="es-ES"/>
        </w:rPr>
      </w:pPr>
      <w:r w:rsidRPr="0041008F">
        <w:lastRenderedPageBreak/>
        <w:t>Notas explicativas sobre el material de reproducción o multiplicación con arreglo al Convenio de la UPOV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rPr>
          <w:rFonts w:cs="Arial"/>
        </w:rPr>
        <w:fldChar w:fldCharType="begin"/>
      </w:r>
      <w:r w:rsidR="001228D1" w:rsidRPr="0041008F">
        <w:rPr>
          <w:rFonts w:cs="Arial"/>
          <w:lang w:val="es-ES_tradnl"/>
        </w:rPr>
        <w:instrText xml:space="preserve"> AUTONUM  </w:instrText>
      </w:r>
      <w:r w:rsidRPr="009B41F4">
        <w:rPr>
          <w:rFonts w:cs="Arial"/>
        </w:rPr>
        <w:fldChar w:fldCharType="end"/>
      </w:r>
      <w:r w:rsidR="001228D1" w:rsidRPr="0041008F">
        <w:rPr>
          <w:rFonts w:cs="Arial"/>
          <w:lang w:val="es-ES_tradnl"/>
        </w:rPr>
        <w:tab/>
      </w:r>
      <w:r w:rsidR="0011630E" w:rsidRPr="009B41F4">
        <w:rPr>
          <w:lang w:val="es-ES_tradnl"/>
        </w:rPr>
        <w:t xml:space="preserve">El CAJ-AG examinó el documento UPOV/EXN/PPM/1 Draft 3 y las exposiciones de los puntos de vista de </w:t>
      </w:r>
      <w:r w:rsidR="0011630E" w:rsidRPr="0011630E">
        <w:rPr>
          <w:lang w:val="es-ES_tradnl"/>
        </w:rPr>
        <w:t>la APBREBES</w:t>
      </w:r>
      <w:r w:rsidR="0011630E" w:rsidRPr="009B41F4">
        <w:rPr>
          <w:lang w:val="es-ES_tradnl"/>
        </w:rPr>
        <w:t xml:space="preserve">, </w:t>
      </w:r>
      <w:r w:rsidR="0011630E" w:rsidRPr="0011630E">
        <w:rPr>
          <w:lang w:val="es-ES_tradnl"/>
        </w:rPr>
        <w:t>la CIOPORA</w:t>
      </w:r>
      <w:r w:rsidR="0011630E" w:rsidRPr="009B41F4">
        <w:rPr>
          <w:lang w:val="es-ES_tradnl"/>
        </w:rPr>
        <w:t xml:space="preserve">, y </w:t>
      </w:r>
      <w:r w:rsidR="0011630E" w:rsidRPr="0011630E">
        <w:rPr>
          <w:lang w:val="es-ES_tradnl"/>
        </w:rPr>
        <w:t>la ESA</w:t>
      </w:r>
      <w:r w:rsidR="0011630E" w:rsidRPr="009B41F4">
        <w:rPr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9B41F4" w:rsidRDefault="00E3139E" w:rsidP="00B31A08">
      <w:pPr>
        <w:rPr>
          <w:lang w:val="es-ES"/>
        </w:rPr>
      </w:pPr>
      <w:r w:rsidRPr="009B41F4">
        <w:fldChar w:fldCharType="begin"/>
      </w:r>
      <w:r w:rsidR="001228D1" w:rsidRPr="009B41F4">
        <w:rPr>
          <w:lang w:val="es-ES"/>
        </w:rPr>
        <w:instrText xml:space="preserve"> AUTONUM  </w:instrText>
      </w:r>
      <w:r w:rsidRPr="009B41F4">
        <w:fldChar w:fldCharType="end"/>
      </w:r>
      <w:r w:rsidR="001228D1" w:rsidRPr="009B41F4">
        <w:rPr>
          <w:lang w:val="es-ES"/>
        </w:rPr>
        <w:tab/>
      </w:r>
      <w:r w:rsidR="006F03AB" w:rsidRPr="0041008F">
        <w:rPr>
          <w:lang w:val="es-ES_tradnl"/>
        </w:rPr>
        <w:t>El CAJ–AG acordó las modificaciones siguientes del documento UPOV/EXN/PPM/1 Draft 3:</w:t>
      </w:r>
    </w:p>
    <w:p w:rsidR="001228D1" w:rsidRPr="009B41F4" w:rsidRDefault="001228D1" w:rsidP="00B31A08">
      <w:pPr>
        <w:rPr>
          <w:rFonts w:cs="Arial"/>
          <w:lang w:val="es-ES"/>
        </w:rPr>
      </w:pPr>
    </w:p>
    <w:tbl>
      <w:tblPr>
        <w:tblW w:w="9272" w:type="dxa"/>
        <w:tblInd w:w="4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57" w:type="dxa"/>
          <w:left w:w="57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483"/>
        <w:gridCol w:w="7789"/>
      </w:tblGrid>
      <w:tr w:rsidR="001228D1" w:rsidRPr="0041008F" w:rsidTr="003B1E4A">
        <w:trPr>
          <w:cantSplit/>
        </w:trPr>
        <w:tc>
          <w:tcPr>
            <w:tcW w:w="1483" w:type="dxa"/>
          </w:tcPr>
          <w:p w:rsidR="001228D1" w:rsidRPr="0041008F" w:rsidRDefault="006F03AB" w:rsidP="00B31A08">
            <w:pPr>
              <w:spacing w:before="40" w:after="40"/>
              <w:rPr>
                <w:rFonts w:cs="Arial"/>
              </w:rPr>
            </w:pPr>
            <w:r w:rsidRPr="0041008F">
              <w:rPr>
                <w:rFonts w:cs="Arial"/>
                <w:lang w:val="es-ES_tradnl"/>
              </w:rPr>
              <w:t>Generalidades</w:t>
            </w:r>
          </w:p>
        </w:tc>
        <w:tc>
          <w:tcPr>
            <w:tcW w:w="7789" w:type="dxa"/>
          </w:tcPr>
          <w:p w:rsidR="001228D1" w:rsidRPr="0041008F" w:rsidRDefault="009450C7" w:rsidP="00B31A08">
            <w:pPr>
              <w:spacing w:before="40" w:after="40"/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Debe s</w:t>
            </w:r>
            <w:r w:rsidR="0011630E" w:rsidRPr="009B41F4">
              <w:rPr>
                <w:snapToGrid w:val="0"/>
                <w:lang w:val="es-ES_tradnl"/>
              </w:rPr>
              <w:t>ustit</w:t>
            </w:r>
            <w:r w:rsidRPr="009B41F4">
              <w:rPr>
                <w:snapToGrid w:val="0"/>
                <w:lang w:val="es-ES_tradnl"/>
              </w:rPr>
              <w:t xml:space="preserve">uirse </w:t>
            </w:r>
            <w:r w:rsidR="0011630E" w:rsidRPr="009B41F4">
              <w:rPr>
                <w:snapToGrid w:val="0"/>
                <w:lang w:val="es-ES_tradnl"/>
              </w:rPr>
              <w:t>la expresión “</w:t>
            </w:r>
            <w:r w:rsidR="0011630E" w:rsidRPr="000E05F2">
              <w:rPr>
                <w:snapToGrid w:val="0"/>
                <w:lang w:val="es-ES_tradnl"/>
              </w:rPr>
              <w:t>la reproducción o multiplicación y el material de reproducción o multiplicación</w:t>
            </w:r>
            <w:r w:rsidR="0011630E" w:rsidRPr="009B41F4">
              <w:rPr>
                <w:snapToGrid w:val="0"/>
                <w:lang w:val="es-ES_tradnl"/>
              </w:rPr>
              <w:t xml:space="preserve">” por </w:t>
            </w:r>
            <w:r w:rsidR="0011630E" w:rsidRPr="009B41F4">
              <w:rPr>
                <w:lang w:val="es-ES_tradnl"/>
              </w:rPr>
              <w:t>“</w:t>
            </w:r>
            <w:r w:rsidR="0011630E" w:rsidRPr="000E05F2">
              <w:rPr>
                <w:lang w:val="es-ES_tradnl"/>
              </w:rPr>
              <w:t>el material de reproducción o multiplicación</w:t>
            </w:r>
            <w:r w:rsidR="0011630E" w:rsidRPr="009B41F4">
              <w:rPr>
                <w:lang w:val="es-ES_tradnl"/>
              </w:rPr>
              <w:t xml:space="preserve">”, en </w:t>
            </w:r>
            <w:r w:rsidR="000E05F2" w:rsidRPr="009B41F4">
              <w:rPr>
                <w:lang w:val="es-ES_tradnl"/>
              </w:rPr>
              <w:t xml:space="preserve">el título y en otras partes del </w:t>
            </w:r>
            <w:r w:rsidR="0011630E" w:rsidRPr="009B41F4">
              <w:rPr>
                <w:lang w:val="es-ES_tradnl"/>
              </w:rPr>
              <w:t>document</w:t>
            </w:r>
            <w:r w:rsidR="000E05F2" w:rsidRPr="009B41F4">
              <w:rPr>
                <w:lang w:val="es-ES_tradnl"/>
              </w:rPr>
              <w:t>o</w:t>
            </w:r>
            <w:r w:rsidR="0011630E" w:rsidRPr="009B41F4">
              <w:rPr>
                <w:lang w:val="es-ES_tradnl"/>
              </w:rPr>
              <w:t>.</w:t>
            </w:r>
          </w:p>
        </w:tc>
      </w:tr>
      <w:tr w:rsidR="001228D1" w:rsidRPr="0041008F" w:rsidTr="003B1E4A">
        <w:trPr>
          <w:cantSplit/>
        </w:trPr>
        <w:tc>
          <w:tcPr>
            <w:tcW w:w="1483" w:type="dxa"/>
          </w:tcPr>
          <w:p w:rsidR="001228D1" w:rsidRPr="005767EF" w:rsidRDefault="001228D1" w:rsidP="00B31A08">
            <w:pPr>
              <w:spacing w:before="40" w:after="40"/>
              <w:rPr>
                <w:rFonts w:cs="Arial"/>
              </w:rPr>
            </w:pPr>
            <w:r w:rsidRPr="009B41F4">
              <w:rPr>
                <w:rFonts w:cs="Arial"/>
              </w:rPr>
              <w:t>1.</w:t>
            </w:r>
          </w:p>
        </w:tc>
        <w:tc>
          <w:tcPr>
            <w:tcW w:w="7789" w:type="dxa"/>
          </w:tcPr>
          <w:p w:rsidR="00F37F4B" w:rsidRPr="0041008F" w:rsidRDefault="000E05F2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>El texto debe</w:t>
            </w:r>
            <w:r w:rsidR="009450C7" w:rsidRPr="009B41F4">
              <w:rPr>
                <w:rFonts w:cs="Arial"/>
                <w:lang w:val="es-ES_tradnl"/>
              </w:rPr>
              <w:t xml:space="preserve"> se</w:t>
            </w:r>
            <w:r w:rsidRPr="009B41F4">
              <w:rPr>
                <w:rFonts w:cs="Arial"/>
                <w:lang w:val="es-ES_tradnl"/>
              </w:rPr>
              <w:t>r:</w:t>
            </w:r>
            <w:r w:rsidR="00F37F4B" w:rsidRPr="0041008F">
              <w:rPr>
                <w:rFonts w:cs="Arial"/>
                <w:lang w:val="es-ES_tradnl"/>
              </w:rPr>
              <w:t xml:space="preserve"> </w:t>
            </w:r>
          </w:p>
          <w:p w:rsidR="001228D1" w:rsidRPr="0041008F" w:rsidRDefault="000E05F2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 xml:space="preserve">“El </w:t>
            </w:r>
            <w:r w:rsidR="00590F6B" w:rsidRPr="009B41F4">
              <w:rPr>
                <w:rFonts w:cs="Arial"/>
                <w:lang w:val="es-ES_tradnl"/>
              </w:rPr>
              <w:t>concepto ‘</w:t>
            </w:r>
            <w:r w:rsidRPr="000E05F2">
              <w:rPr>
                <w:rFonts w:cs="Arial"/>
                <w:lang w:val="es-ES_tradnl"/>
              </w:rPr>
              <w:t>material de reproducción o multiplicación</w:t>
            </w:r>
            <w:r w:rsidR="00590F6B" w:rsidRPr="009B41F4">
              <w:rPr>
                <w:rFonts w:cs="Arial"/>
                <w:lang w:val="es-ES_tradnl"/>
              </w:rPr>
              <w:t>’</w:t>
            </w:r>
            <w:r w:rsidRPr="009B41F4">
              <w:rPr>
                <w:rFonts w:cs="Arial"/>
                <w:lang w:val="es-ES_tradnl"/>
              </w:rPr>
              <w:t xml:space="preserve"> engloba el material de reproducción y el </w:t>
            </w:r>
            <w:r w:rsidRPr="000E05F2">
              <w:rPr>
                <w:rFonts w:cs="Arial"/>
                <w:lang w:val="es-ES_tradnl"/>
              </w:rPr>
              <w:t>material de multiplicación vegetativa</w:t>
            </w:r>
            <w:r w:rsidRPr="009B41F4">
              <w:rPr>
                <w:rFonts w:cs="Arial"/>
                <w:lang w:val="es-ES_tradnl"/>
              </w:rPr>
              <w:t>.</w:t>
            </w:r>
            <w:r w:rsidR="001228D1" w:rsidRPr="0041008F">
              <w:rPr>
                <w:rFonts w:cs="Arial"/>
                <w:lang w:val="es-ES_tradnl"/>
              </w:rPr>
              <w:t xml:space="preserve">  </w:t>
            </w:r>
            <w:r w:rsidRPr="009B41F4">
              <w:rPr>
                <w:rFonts w:cs="Arial"/>
                <w:lang w:val="es-ES_tradnl"/>
              </w:rPr>
              <w:t>En el Convenio de la UPOV no se establece una definición de ‘</w:t>
            </w:r>
            <w:r w:rsidRPr="000E05F2">
              <w:rPr>
                <w:rFonts w:cs="Arial"/>
                <w:lang w:val="es-ES_tradnl"/>
              </w:rPr>
              <w:t>material de reproducción o multiplicación</w:t>
            </w:r>
            <w:r w:rsidRPr="009B41F4">
              <w:rPr>
                <w:rFonts w:cs="Arial"/>
                <w:lang w:val="es-ES_tradnl"/>
              </w:rPr>
              <w:t>’.</w:t>
            </w:r>
            <w:r w:rsidR="00F37F4B" w:rsidRPr="0041008F">
              <w:rPr>
                <w:rFonts w:cs="Arial"/>
                <w:lang w:val="es-ES_tradnl"/>
              </w:rPr>
              <w:t xml:space="preserve"> </w:t>
            </w:r>
            <w:r w:rsidRPr="009B41F4">
              <w:rPr>
                <w:rFonts w:cs="Arial"/>
                <w:lang w:val="es-ES_tradnl"/>
              </w:rPr>
              <w:t xml:space="preserve">En la sección siguiente se ofrece orientación acerca de los factores que podrían tenerse en cuenta </w:t>
            </w:r>
            <w:r w:rsidR="009A24A2" w:rsidRPr="009A24A2">
              <w:rPr>
                <w:rFonts w:cs="Arial"/>
                <w:lang w:val="es-ES_tradnl"/>
              </w:rPr>
              <w:t>para decidir si un material constituye material de reproducción o multiplicación</w:t>
            </w:r>
            <w:r w:rsidRPr="009B41F4">
              <w:rPr>
                <w:rFonts w:cs="Arial"/>
                <w:lang w:val="es-ES_tradnl"/>
              </w:rPr>
              <w:t>.”</w:t>
            </w:r>
          </w:p>
        </w:tc>
      </w:tr>
      <w:tr w:rsidR="001228D1" w:rsidRPr="005767EF" w:rsidTr="003B1E4A">
        <w:trPr>
          <w:cantSplit/>
        </w:trPr>
        <w:tc>
          <w:tcPr>
            <w:tcW w:w="1483" w:type="dxa"/>
          </w:tcPr>
          <w:p w:rsidR="001228D1" w:rsidRPr="005767EF" w:rsidRDefault="001228D1" w:rsidP="00B31A08">
            <w:pPr>
              <w:spacing w:before="40" w:after="40"/>
              <w:rPr>
                <w:rFonts w:cs="Arial"/>
              </w:rPr>
            </w:pPr>
            <w:r w:rsidRPr="009B41F4">
              <w:rPr>
                <w:rFonts w:cs="Arial"/>
              </w:rPr>
              <w:t>2.</w:t>
            </w:r>
          </w:p>
        </w:tc>
        <w:tc>
          <w:tcPr>
            <w:tcW w:w="7789" w:type="dxa"/>
          </w:tcPr>
          <w:p w:rsidR="00F37F4B" w:rsidRPr="0041008F" w:rsidRDefault="000E05F2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>El texto debe</w:t>
            </w:r>
            <w:r w:rsidR="009450C7" w:rsidRPr="009B41F4">
              <w:rPr>
                <w:rFonts w:cs="Arial"/>
                <w:lang w:val="es-ES_tradnl"/>
              </w:rPr>
              <w:t xml:space="preserve"> se</w:t>
            </w:r>
            <w:r w:rsidRPr="009B41F4">
              <w:rPr>
                <w:rFonts w:cs="Arial"/>
                <w:lang w:val="es-ES_tradnl"/>
              </w:rPr>
              <w:t>r:</w:t>
            </w:r>
            <w:r w:rsidR="00F37F4B" w:rsidRPr="0041008F">
              <w:rPr>
                <w:rFonts w:cs="Arial"/>
                <w:lang w:val="es-ES_tradnl"/>
              </w:rPr>
              <w:t xml:space="preserve"> </w:t>
            </w:r>
          </w:p>
          <w:p w:rsidR="001228D1" w:rsidRPr="005767EF" w:rsidRDefault="009A24A2" w:rsidP="00B31A08">
            <w:pPr>
              <w:spacing w:before="40" w:after="40"/>
              <w:rPr>
                <w:rFonts w:cs="Arial"/>
              </w:rPr>
            </w:pPr>
            <w:r w:rsidRPr="009B41F4">
              <w:rPr>
                <w:rFonts w:cs="Arial"/>
                <w:lang w:val="es-ES_tradnl"/>
              </w:rPr>
              <w:t>“</w:t>
            </w:r>
            <w:r w:rsidRPr="009A24A2">
              <w:rPr>
                <w:rFonts w:cs="Arial"/>
                <w:lang w:val="es-ES_tradnl"/>
              </w:rPr>
              <w:t>Si un material constituye material de reproducción o multiplicación es una cuestión de hecho, pero también puede incluir la intención por parte de los interesados (productor, vendedor, suministrador, comprador, receptor y usuario)</w:t>
            </w:r>
            <w:r w:rsidRPr="009B41F4">
              <w:rPr>
                <w:rFonts w:cs="Arial"/>
                <w:lang w:val="es-ES_tradnl"/>
              </w:rPr>
              <w:t xml:space="preserve"> y depende de la </w:t>
            </w:r>
            <w:r w:rsidRPr="009A24A2">
              <w:rPr>
                <w:rFonts w:cs="Arial"/>
                <w:lang w:val="es-ES_tradnl"/>
              </w:rPr>
              <w:t xml:space="preserve">definición de </w:t>
            </w:r>
            <w:r w:rsidR="00590F6B" w:rsidRPr="009B41F4">
              <w:rPr>
                <w:rFonts w:cs="Arial"/>
                <w:lang w:val="es-ES_tradnl"/>
              </w:rPr>
              <w:t>‘</w:t>
            </w:r>
            <w:r w:rsidRPr="009A24A2">
              <w:rPr>
                <w:rFonts w:cs="Arial"/>
                <w:lang w:val="es-ES_tradnl"/>
              </w:rPr>
              <w:t>material de reproducción o multiplicación</w:t>
            </w:r>
            <w:r w:rsidR="00590F6B" w:rsidRPr="009B41F4">
              <w:rPr>
                <w:rFonts w:cs="Arial"/>
                <w:lang w:val="es-ES_tradnl"/>
              </w:rPr>
              <w:t>’</w:t>
            </w:r>
            <w:r w:rsidRPr="009B41F4">
              <w:rPr>
                <w:rFonts w:cs="Arial"/>
                <w:lang w:val="es-ES_tradnl"/>
              </w:rPr>
              <w:t xml:space="preserve"> establecida en la legislación del </w:t>
            </w:r>
            <w:r w:rsidRPr="009A24A2">
              <w:rPr>
                <w:rFonts w:cs="Arial"/>
                <w:lang w:val="es-ES_tradnl"/>
              </w:rPr>
              <w:t>miembro de la Unión en cuestión</w:t>
            </w:r>
            <w:r w:rsidRPr="009B41F4">
              <w:rPr>
                <w:rFonts w:cs="Arial"/>
                <w:lang w:val="es-ES_tradnl"/>
              </w:rPr>
              <w:t>.</w:t>
            </w:r>
            <w:r w:rsidR="001228D1" w:rsidRPr="0041008F">
              <w:rPr>
                <w:rFonts w:cs="Arial"/>
                <w:lang w:val="es-ES_tradnl"/>
              </w:rPr>
              <w:t xml:space="preserve"> </w:t>
            </w:r>
            <w:r w:rsidR="001228D1" w:rsidRPr="009B41F4">
              <w:rPr>
                <w:rFonts w:cs="Arial"/>
              </w:rPr>
              <w:t>[…]”</w:t>
            </w:r>
          </w:p>
        </w:tc>
      </w:tr>
      <w:tr w:rsidR="001228D1" w:rsidRPr="0041008F" w:rsidTr="003B1E4A">
        <w:trPr>
          <w:cantSplit/>
        </w:trPr>
        <w:tc>
          <w:tcPr>
            <w:tcW w:w="1483" w:type="dxa"/>
          </w:tcPr>
          <w:p w:rsidR="001228D1" w:rsidRPr="005767EF" w:rsidRDefault="001228D1" w:rsidP="00B31A08">
            <w:pPr>
              <w:spacing w:before="40" w:after="40"/>
            </w:pPr>
            <w:r w:rsidRPr="009B41F4">
              <w:t>4.</w:t>
            </w:r>
          </w:p>
        </w:tc>
        <w:tc>
          <w:tcPr>
            <w:tcW w:w="7789" w:type="dxa"/>
          </w:tcPr>
          <w:p w:rsidR="00F37F4B" w:rsidRPr="0041008F" w:rsidRDefault="009A24A2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El texto debe</w:t>
            </w:r>
            <w:r w:rsidR="009450C7" w:rsidRPr="0041008F">
              <w:rPr>
                <w:rFonts w:cs="Arial"/>
                <w:lang w:val="es-ES_tradnl"/>
              </w:rPr>
              <w:t xml:space="preserve"> se</w:t>
            </w:r>
            <w:r w:rsidRPr="0041008F">
              <w:rPr>
                <w:rFonts w:cs="Arial"/>
                <w:lang w:val="es-ES_tradnl"/>
              </w:rPr>
              <w:t>r:</w:t>
            </w:r>
            <w:r w:rsidR="00F37F4B" w:rsidRPr="0041008F">
              <w:rPr>
                <w:rFonts w:cs="Arial"/>
                <w:lang w:val="es-ES_tradnl"/>
              </w:rPr>
              <w:t xml:space="preserve"> </w:t>
            </w:r>
          </w:p>
          <w:p w:rsidR="00E705FA" w:rsidRPr="0041008F" w:rsidRDefault="009A24A2" w:rsidP="00B31A08">
            <w:pPr>
              <w:autoSpaceDE w:val="0"/>
              <w:rPr>
                <w:lang w:val="es-ES_tradnl"/>
              </w:rPr>
            </w:pPr>
            <w:r w:rsidRPr="0041008F">
              <w:rPr>
                <w:lang w:val="es-ES_tradnl"/>
              </w:rPr>
              <w:t xml:space="preserve">“Teniendo en cuenta la </w:t>
            </w:r>
            <w:r w:rsidR="00590F6B" w:rsidRPr="0041008F">
              <w:rPr>
                <w:rFonts w:cs="Arial"/>
                <w:lang w:val="es-ES_tradnl"/>
              </w:rPr>
              <w:t>‘</w:t>
            </w:r>
            <w:r w:rsidRPr="0041008F">
              <w:rPr>
                <w:lang w:val="es-ES_tradnl"/>
              </w:rPr>
              <w:t>definición de material de reproducción o multiplicación</w:t>
            </w:r>
            <w:r w:rsidR="00590F6B" w:rsidRPr="0041008F">
              <w:rPr>
                <w:rFonts w:cs="Arial"/>
                <w:lang w:val="es-ES_tradnl"/>
              </w:rPr>
              <w:t>’</w:t>
            </w:r>
            <w:r w:rsidRPr="0041008F">
              <w:rPr>
                <w:lang w:val="es-ES_tradnl"/>
              </w:rPr>
              <w:t xml:space="preserve"> establecida en la legislación del miembro de la Unión en cuestión, </w:t>
            </w:r>
            <w:r w:rsidR="00DE07AA">
              <w:rPr>
                <w:lang w:val="es-ES_tradnl"/>
              </w:rPr>
              <w:t>si procede</w:t>
            </w:r>
            <w:r w:rsidRPr="0041008F">
              <w:rPr>
                <w:lang w:val="es-ES_tradnl"/>
              </w:rPr>
              <w:t>, la siguiente lista no exhaustiva de elementos, o combinación de elementos, podría tomarse en consideración para decidir si un material constituye material de reproducción o multiplicación:</w:t>
            </w:r>
          </w:p>
          <w:p w:rsidR="00E705FA" w:rsidRPr="0041008F" w:rsidRDefault="00E705FA" w:rsidP="00B31A08">
            <w:pPr>
              <w:rPr>
                <w:lang w:val="es-ES_tradnl"/>
              </w:rPr>
            </w:pPr>
          </w:p>
          <w:p w:rsidR="00E705FA" w:rsidRPr="0041008F" w:rsidRDefault="00C90917" w:rsidP="00B31A08">
            <w:pPr>
              <w:ind w:left="1102" w:hanging="535"/>
              <w:rPr>
                <w:lang w:val="es-ES"/>
              </w:rPr>
            </w:pPr>
            <w:r w:rsidRPr="0041008F">
              <w:rPr>
                <w:lang w:val="es-ES_tradnl"/>
              </w:rPr>
              <w:t>i)</w:t>
            </w:r>
            <w:r w:rsidRPr="0041008F">
              <w:rPr>
                <w:lang w:val="es-ES_tradnl"/>
              </w:rPr>
              <w:tab/>
            </w:r>
            <w:r w:rsidR="006F03AB" w:rsidRPr="0041008F">
              <w:rPr>
                <w:lang w:val="es-ES_tradnl"/>
              </w:rPr>
              <w:t>si el material se ha utilizado para reproducir o multiplicar la variedad;</w:t>
            </w:r>
          </w:p>
          <w:p w:rsidR="00E705FA" w:rsidRPr="0041008F" w:rsidRDefault="00C90917" w:rsidP="00B31A08">
            <w:pPr>
              <w:ind w:left="1102" w:hanging="535"/>
              <w:rPr>
                <w:lang w:val="es-ES"/>
              </w:rPr>
            </w:pPr>
            <w:r w:rsidRPr="0041008F">
              <w:rPr>
                <w:lang w:val="es-ES_tradnl"/>
              </w:rPr>
              <w:t>ii)</w:t>
            </w:r>
            <w:r w:rsidRPr="0041008F">
              <w:rPr>
                <w:lang w:val="es-ES_tradnl"/>
              </w:rPr>
              <w:tab/>
            </w:r>
            <w:r w:rsidR="00D01E34" w:rsidRPr="0041008F">
              <w:rPr>
                <w:lang w:val="es-ES_tradnl"/>
              </w:rPr>
              <w:t>si el material puede generar plantas enteras de la variedad;</w:t>
            </w:r>
          </w:p>
          <w:p w:rsidR="00E705FA" w:rsidRPr="0041008F" w:rsidRDefault="001228D1" w:rsidP="00B31A08">
            <w:pPr>
              <w:ind w:left="1102" w:hanging="535"/>
              <w:rPr>
                <w:lang w:val="es-ES_tradnl"/>
              </w:rPr>
            </w:pPr>
            <w:r w:rsidRPr="0041008F">
              <w:rPr>
                <w:lang w:val="es-ES_tradnl"/>
              </w:rPr>
              <w:t>iii)</w:t>
            </w:r>
            <w:r w:rsidRPr="0041008F">
              <w:rPr>
                <w:lang w:val="es-ES_tradnl"/>
              </w:rPr>
              <w:tab/>
            </w:r>
            <w:r w:rsidR="00353222" w:rsidRPr="0041008F">
              <w:rPr>
                <w:lang w:val="es-ES_tradnl"/>
              </w:rPr>
              <w:t xml:space="preserve">si existe la costumbre/práctica de utilizar el material con ese fin o si, como </w:t>
            </w:r>
            <w:r w:rsidR="00590F6B" w:rsidRPr="0041008F">
              <w:rPr>
                <w:lang w:val="es-ES_tradnl"/>
              </w:rPr>
              <w:t>resultado de nuevos avances</w:t>
            </w:r>
            <w:r w:rsidR="00353222" w:rsidRPr="0041008F">
              <w:rPr>
                <w:lang w:val="es-ES_tradnl"/>
              </w:rPr>
              <w:t>, hay una nueva costumbre/práctica de utilizar el material con ese fin;</w:t>
            </w:r>
          </w:p>
          <w:p w:rsidR="00E705FA" w:rsidRPr="0041008F" w:rsidRDefault="00C90917" w:rsidP="00B31A08">
            <w:pPr>
              <w:ind w:left="1102" w:hanging="535"/>
              <w:rPr>
                <w:lang w:val="es-ES"/>
              </w:rPr>
            </w:pPr>
            <w:r w:rsidRPr="0041008F">
              <w:rPr>
                <w:lang w:val="es-ES_tradnl"/>
              </w:rPr>
              <w:t>iv)</w:t>
            </w:r>
            <w:r w:rsidRPr="0041008F">
              <w:rPr>
                <w:lang w:val="es-ES_tradnl"/>
              </w:rPr>
              <w:tab/>
            </w:r>
            <w:r w:rsidR="00D01E34" w:rsidRPr="0041008F">
              <w:rPr>
                <w:lang w:val="es-ES_tradnl"/>
              </w:rPr>
              <w:t>la intención de las partes en cuestión (productor, vendedor, suministrador, comprador, receptor, usuario);</w:t>
            </w:r>
            <w:r w:rsidR="001228D1" w:rsidRPr="0041008F">
              <w:rPr>
                <w:lang w:val="es-ES"/>
              </w:rPr>
              <w:t xml:space="preserve"> </w:t>
            </w:r>
          </w:p>
          <w:p w:rsidR="00E705FA" w:rsidRPr="0041008F" w:rsidRDefault="00D01E34" w:rsidP="00B31A08">
            <w:pPr>
              <w:ind w:left="1102" w:hanging="535"/>
            </w:pPr>
            <w:r w:rsidRPr="0041008F">
              <w:rPr>
                <w:lang w:val="es-ES_tradnl"/>
              </w:rPr>
              <w:t>o</w:t>
            </w:r>
          </w:p>
          <w:p w:rsidR="00E705FA" w:rsidRPr="0041008F" w:rsidRDefault="00E705FA" w:rsidP="00B31A08">
            <w:pPr>
              <w:ind w:left="1102" w:hanging="535"/>
            </w:pPr>
          </w:p>
          <w:p w:rsidR="001228D1" w:rsidRPr="0041008F" w:rsidRDefault="001228D1" w:rsidP="00B31A08">
            <w:pPr>
              <w:ind w:left="1102" w:hanging="535"/>
              <w:rPr>
                <w:lang w:val="es-ES_tradnl"/>
              </w:rPr>
            </w:pPr>
            <w:r w:rsidRPr="0041008F">
              <w:rPr>
                <w:lang w:val="es-ES_tradnl"/>
              </w:rPr>
              <w:t>v)</w:t>
            </w:r>
            <w:r w:rsidRPr="0041008F">
              <w:rPr>
                <w:lang w:val="es-ES_tradnl"/>
              </w:rPr>
              <w:tab/>
            </w:r>
            <w:r w:rsidR="00353222" w:rsidRPr="0041008F">
              <w:rPr>
                <w:lang w:val="es-ES_tradnl"/>
              </w:rPr>
              <w:t xml:space="preserve">si, basándose en la naturaleza y condición del material </w:t>
            </w:r>
            <w:r w:rsidR="00DE07AA">
              <w:rPr>
                <w:lang w:val="es-ES_tradnl"/>
              </w:rPr>
              <w:t>y/</w:t>
            </w:r>
            <w:r w:rsidR="00590F6B" w:rsidRPr="0041008F">
              <w:rPr>
                <w:lang w:val="es-ES_tradnl"/>
              </w:rPr>
              <w:t xml:space="preserve">o en </w:t>
            </w:r>
            <w:r w:rsidR="00353222" w:rsidRPr="0041008F">
              <w:rPr>
                <w:lang w:val="es-ES_tradnl"/>
              </w:rPr>
              <w:t>su forma de uso, puede determinarse que el material constituye material de reproducción o multiplicación”.</w:t>
            </w:r>
            <w:r w:rsidRPr="0041008F">
              <w:rPr>
                <w:lang w:val="es-ES_tradnl"/>
              </w:rPr>
              <w:t xml:space="preserve"> </w:t>
            </w:r>
          </w:p>
        </w:tc>
      </w:tr>
    </w:tbl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D01E34" w:rsidP="00B31A08">
      <w:pPr>
        <w:pStyle w:val="Heading2"/>
        <w:rPr>
          <w:lang w:val="es-ES"/>
        </w:rPr>
      </w:pPr>
      <w:r w:rsidRPr="0041008F">
        <w:t>Notas explicativas sobre los actos respecto del producto de la cosecha con arreglo al Acta de 1991 del Convenio de la UPOV (revisión)</w:t>
      </w:r>
    </w:p>
    <w:p w:rsidR="00E705FA" w:rsidRPr="0041008F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rPr>
          <w:rFonts w:cs="Arial"/>
        </w:rPr>
        <w:fldChar w:fldCharType="begin"/>
      </w:r>
      <w:r w:rsidR="001228D1" w:rsidRPr="0041008F">
        <w:rPr>
          <w:rFonts w:cs="Arial"/>
          <w:lang w:val="es-ES_tradnl"/>
        </w:rPr>
        <w:instrText xml:space="preserve"> AUTONUM  </w:instrText>
      </w:r>
      <w:r w:rsidRPr="009B41F4">
        <w:rPr>
          <w:rFonts w:cs="Arial"/>
        </w:rPr>
        <w:fldChar w:fldCharType="end"/>
      </w:r>
      <w:r w:rsidR="001228D1" w:rsidRPr="0041008F">
        <w:rPr>
          <w:rFonts w:cs="Arial"/>
          <w:lang w:val="es-ES_tradnl"/>
        </w:rPr>
        <w:tab/>
      </w:r>
      <w:r w:rsidR="00B368FC" w:rsidRPr="009B41F4">
        <w:rPr>
          <w:lang w:val="es-ES_tradnl"/>
        </w:rPr>
        <w:t xml:space="preserve">El CAJ-AG examinó el documento UPOV/EXN/HRV/2 Draft 2 y las opiniones expresadas por </w:t>
      </w:r>
      <w:r w:rsidR="00B368FC" w:rsidRPr="00B368FC">
        <w:rPr>
          <w:lang w:val="es-ES_tradnl"/>
        </w:rPr>
        <w:t>la AIPH</w:t>
      </w:r>
      <w:r w:rsidR="00B368FC" w:rsidRPr="009B41F4">
        <w:rPr>
          <w:lang w:val="es-ES_tradnl"/>
        </w:rPr>
        <w:t xml:space="preserve">, </w:t>
      </w:r>
      <w:r w:rsidR="00B368FC" w:rsidRPr="00B368FC">
        <w:rPr>
          <w:lang w:val="es-ES_tradnl"/>
        </w:rPr>
        <w:t>la APBREBES</w:t>
      </w:r>
      <w:r w:rsidR="00B368FC" w:rsidRPr="009B41F4">
        <w:rPr>
          <w:lang w:val="es-ES_tradnl"/>
        </w:rPr>
        <w:t xml:space="preserve">, </w:t>
      </w:r>
      <w:r w:rsidR="00B368FC" w:rsidRPr="00B368FC">
        <w:rPr>
          <w:lang w:val="es-ES_tradnl"/>
        </w:rPr>
        <w:t>la CIOPORA</w:t>
      </w:r>
      <w:r w:rsidR="00B368FC" w:rsidRPr="009B41F4">
        <w:rPr>
          <w:lang w:val="es-ES_tradnl"/>
        </w:rPr>
        <w:t xml:space="preserve"> y </w:t>
      </w:r>
      <w:r w:rsidR="00B368FC" w:rsidRPr="00B368FC">
        <w:rPr>
          <w:lang w:val="es-ES_tradnl"/>
        </w:rPr>
        <w:t>la ESA</w:t>
      </w:r>
      <w:r w:rsidR="00B368FC" w:rsidRPr="009B41F4">
        <w:rPr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lang w:val="es-ES"/>
        </w:rPr>
      </w:pPr>
      <w:r w:rsidRPr="009B41F4">
        <w:fldChar w:fldCharType="begin"/>
      </w:r>
      <w:r w:rsidR="001228D1" w:rsidRPr="009B41F4">
        <w:rPr>
          <w:lang w:val="es-ES"/>
        </w:rPr>
        <w:instrText xml:space="preserve"> AUTONUM  </w:instrText>
      </w:r>
      <w:r w:rsidRPr="009B41F4">
        <w:fldChar w:fldCharType="end"/>
      </w:r>
      <w:r w:rsidR="001228D1" w:rsidRPr="009B41F4">
        <w:rPr>
          <w:lang w:val="es-ES"/>
        </w:rPr>
        <w:tab/>
      </w:r>
      <w:r w:rsidR="00D01E34" w:rsidRPr="0041008F">
        <w:rPr>
          <w:lang w:val="es-ES_tradnl"/>
        </w:rPr>
        <w:t>El CAJ-AG concluyó que no sería apropiado, por el momento, considerar una revisión del documento UPOV/EXN/HRV/1.</w:t>
      </w:r>
      <w:r w:rsidR="001228D1" w:rsidRPr="0041008F">
        <w:rPr>
          <w:lang w:val="es-ES"/>
        </w:rPr>
        <w:t xml:space="preserve">  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9B41F4" w:rsidRDefault="00E705FA" w:rsidP="00B31A08">
      <w:pPr>
        <w:rPr>
          <w:lang w:val="es-ES"/>
        </w:rPr>
      </w:pPr>
    </w:p>
    <w:p w:rsidR="00E705FA" w:rsidRPr="0041008F" w:rsidRDefault="00D01E34" w:rsidP="00B31A08">
      <w:pPr>
        <w:pStyle w:val="Heading2"/>
        <w:rPr>
          <w:lang w:val="es-ES"/>
        </w:rPr>
      </w:pPr>
      <w:r w:rsidRPr="0041008F">
        <w:t>Notas explicativas sobre la caducidad del derecho de obtentor con arreglo al Convenio de la UPOV (revisión)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spacing w:after="240"/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B368FC" w:rsidRPr="009B41F4">
        <w:rPr>
          <w:rFonts w:cs="Arial"/>
          <w:lang w:val="es-ES_tradnl"/>
        </w:rPr>
        <w:t>El CAJ­AG examinó el documento </w:t>
      </w:r>
      <w:r w:rsidR="00B368FC" w:rsidRPr="009B41F4">
        <w:rPr>
          <w:lang w:val="es-ES_tradnl"/>
        </w:rPr>
        <w:t xml:space="preserve">UPOV/EXN/CAN/2 Draft 2 </w:t>
      </w:r>
      <w:r w:rsidR="00B368FC" w:rsidRPr="009B41F4">
        <w:rPr>
          <w:rFonts w:cs="Arial"/>
          <w:lang w:val="es-ES_tradnl"/>
        </w:rPr>
        <w:t>y las opiniones expresadas por</w:t>
      </w:r>
      <w:r w:rsidR="00B368FC" w:rsidRPr="009B41F4">
        <w:rPr>
          <w:lang w:val="es-ES_tradnl"/>
        </w:rPr>
        <w:t xml:space="preserve"> </w:t>
      </w:r>
      <w:r w:rsidR="00B368FC" w:rsidRPr="009B41F4">
        <w:rPr>
          <w:rFonts w:cs="Arial"/>
          <w:szCs w:val="26"/>
          <w:lang w:val="es-ES_tradnl"/>
        </w:rPr>
        <w:t>CropLife International.</w:t>
      </w:r>
    </w:p>
    <w:p w:rsidR="00E705FA" w:rsidRPr="0041008F" w:rsidRDefault="00E3139E" w:rsidP="00B31A08">
      <w:pPr>
        <w:keepNext/>
        <w:rPr>
          <w:rFonts w:cs="Arial"/>
          <w:lang w:val="es-ES"/>
        </w:rPr>
      </w:pPr>
      <w:r w:rsidRPr="009B41F4">
        <w:lastRenderedPageBreak/>
        <w:fldChar w:fldCharType="begin"/>
      </w:r>
      <w:r w:rsidR="001228D1" w:rsidRPr="009B41F4">
        <w:rPr>
          <w:lang w:val="es-ES"/>
        </w:rPr>
        <w:instrText xml:space="preserve"> AUTONUM  </w:instrText>
      </w:r>
      <w:r w:rsidRPr="009B41F4">
        <w:fldChar w:fldCharType="end"/>
      </w:r>
      <w:r w:rsidR="001228D1" w:rsidRPr="009B41F4">
        <w:rPr>
          <w:lang w:val="es-ES"/>
        </w:rPr>
        <w:tab/>
      </w:r>
      <w:r w:rsidR="00F97307" w:rsidRPr="0041008F">
        <w:rPr>
          <w:lang w:val="es-ES_tradnl"/>
        </w:rPr>
        <w:t>El CAJ–AG aprobó las siguientes enmiendas al documento UPOV/EXN/CAN/2 Draft 2:</w:t>
      </w:r>
    </w:p>
    <w:p w:rsidR="001228D1" w:rsidRPr="009B41F4" w:rsidRDefault="001228D1" w:rsidP="00B31A08">
      <w:pPr>
        <w:keepNext/>
        <w:rPr>
          <w:rFonts w:cs="Arial"/>
          <w:lang w:val="es-ES"/>
        </w:rPr>
      </w:pPr>
    </w:p>
    <w:tbl>
      <w:tblPr>
        <w:tblW w:w="9180" w:type="dxa"/>
        <w:tblInd w:w="56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left w:w="57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484"/>
        <w:gridCol w:w="7696"/>
      </w:tblGrid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5767EF" w:rsidRDefault="00B368FC" w:rsidP="00B31A08">
            <w:pPr>
              <w:spacing w:before="40" w:after="40"/>
              <w:rPr>
                <w:rFonts w:cs="Arial"/>
              </w:rPr>
            </w:pPr>
            <w:r w:rsidRPr="009B41F4">
              <w:rPr>
                <w:rFonts w:cs="Arial"/>
                <w:lang w:val="es-ES_tradnl"/>
              </w:rPr>
              <w:t xml:space="preserve">Título </w:t>
            </w:r>
            <w:r w:rsidR="00633D5C" w:rsidRPr="009B41F4">
              <w:rPr>
                <w:rFonts w:cs="Arial"/>
                <w:lang w:val="es-ES_tradnl"/>
              </w:rPr>
              <w:t>en la</w:t>
            </w:r>
            <w:r w:rsidRPr="009B41F4">
              <w:rPr>
                <w:rFonts w:cs="Arial"/>
                <w:lang w:val="es-ES_tradnl"/>
              </w:rPr>
              <w:t xml:space="preserve"> portada</w:t>
            </w:r>
          </w:p>
        </w:tc>
        <w:tc>
          <w:tcPr>
            <w:tcW w:w="7789" w:type="dxa"/>
          </w:tcPr>
          <w:p w:rsidR="001228D1" w:rsidRPr="0041008F" w:rsidRDefault="009450C7" w:rsidP="00B31A08">
            <w:pPr>
              <w:spacing w:before="40" w:after="40"/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Debe s</w:t>
            </w:r>
            <w:r w:rsidR="00B368FC" w:rsidRPr="009B41F4">
              <w:rPr>
                <w:snapToGrid w:val="0"/>
                <w:lang w:val="es-ES_tradnl"/>
              </w:rPr>
              <w:t>upr</w:t>
            </w:r>
            <w:r w:rsidRPr="009B41F4">
              <w:rPr>
                <w:snapToGrid w:val="0"/>
                <w:lang w:val="es-ES_tradnl"/>
              </w:rPr>
              <w:t xml:space="preserve">imirse </w:t>
            </w:r>
            <w:r w:rsidR="00B368FC" w:rsidRPr="009B41F4">
              <w:rPr>
                <w:snapToGrid w:val="0"/>
                <w:lang w:val="es-ES_tradnl"/>
              </w:rPr>
              <w:t>“del Acta de 1991”.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spacing w:before="40" w:after="40"/>
              <w:rPr>
                <w:rFonts w:cs="Arial"/>
              </w:rPr>
            </w:pPr>
            <w:r w:rsidRPr="007D4CB7">
              <w:rPr>
                <w:rFonts w:cs="Arial"/>
                <w:lang w:val="es-ES_tradnl"/>
              </w:rPr>
              <w:t>Párrafo 6</w:t>
            </w:r>
            <w:r w:rsidR="001228D1" w:rsidRPr="007D4CB7">
              <w:rPr>
                <w:rFonts w:cs="Arial"/>
              </w:rPr>
              <w:t xml:space="preserve"> </w:t>
            </w:r>
          </w:p>
        </w:tc>
        <w:tc>
          <w:tcPr>
            <w:tcW w:w="7789" w:type="dxa"/>
          </w:tcPr>
          <w:p w:rsidR="00E705FA" w:rsidRPr="0041008F" w:rsidRDefault="009450C7" w:rsidP="00B31A08">
            <w:pPr>
              <w:pStyle w:val="Style1"/>
              <w:tabs>
                <w:tab w:val="clear" w:pos="907"/>
                <w:tab w:val="clear" w:pos="1077"/>
              </w:tabs>
              <w:rPr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Debe s</w:t>
            </w:r>
            <w:r w:rsidR="00B368FC" w:rsidRPr="009B41F4">
              <w:rPr>
                <w:lang w:val="es-ES_tradnl"/>
              </w:rPr>
              <w:t>ustit</w:t>
            </w:r>
            <w:r w:rsidRPr="009B41F4">
              <w:rPr>
                <w:lang w:val="es-ES_tradnl"/>
              </w:rPr>
              <w:t>uirse</w:t>
            </w:r>
            <w:r w:rsidR="00B368FC" w:rsidRPr="009B41F4">
              <w:rPr>
                <w:lang w:val="es-ES_tradnl"/>
              </w:rPr>
              <w:t xml:space="preserve"> por:</w:t>
            </w:r>
          </w:p>
          <w:p w:rsidR="00E705FA" w:rsidRPr="0041008F" w:rsidRDefault="00E705FA" w:rsidP="00B31A08">
            <w:pPr>
              <w:pStyle w:val="Style1"/>
              <w:tabs>
                <w:tab w:val="clear" w:pos="907"/>
                <w:tab w:val="clear" w:pos="1077"/>
              </w:tabs>
              <w:rPr>
                <w:lang w:val="es-ES_tradnl"/>
              </w:rPr>
            </w:pPr>
          </w:p>
          <w:p w:rsidR="001228D1" w:rsidRPr="0041008F" w:rsidRDefault="001228D1" w:rsidP="00B31A08">
            <w:pPr>
              <w:rPr>
                <w:rFonts w:cs="Arial"/>
                <w:sz w:val="24"/>
                <w:szCs w:val="24"/>
                <w:lang w:val="es-ES_tradnl"/>
              </w:rPr>
            </w:pPr>
            <w:r w:rsidRPr="0041008F">
              <w:rPr>
                <w:lang w:val="es-ES_tradnl"/>
              </w:rPr>
              <w:t xml:space="preserve">6.  </w:t>
            </w:r>
            <w:r w:rsidR="00B368FC" w:rsidRPr="009B41F4">
              <w:rPr>
                <w:rFonts w:cs="Arial"/>
                <w:lang w:val="es-ES_tradnl"/>
              </w:rPr>
              <w:t xml:space="preserve">La </w:t>
            </w:r>
            <w:r w:rsidR="00B368FC" w:rsidRPr="00A36CD1">
              <w:rPr>
                <w:rFonts w:cs="Arial"/>
                <w:lang w:val="es-ES_tradnl"/>
              </w:rPr>
              <w:t>caducidad del derecho de obtentor</w:t>
            </w:r>
            <w:r w:rsidR="00B368FC" w:rsidRPr="009B41F4">
              <w:rPr>
                <w:rFonts w:cs="Arial"/>
                <w:lang w:val="es-ES_tradnl"/>
              </w:rPr>
              <w:t xml:space="preserve"> </w:t>
            </w:r>
            <w:r w:rsidR="00633D5C" w:rsidRPr="009B41F4">
              <w:rPr>
                <w:rFonts w:cs="Arial"/>
                <w:lang w:val="es-ES_tradnl"/>
              </w:rPr>
              <w:t xml:space="preserve">no </w:t>
            </w:r>
            <w:r w:rsidR="00B368FC" w:rsidRPr="009B41F4">
              <w:rPr>
                <w:rFonts w:cs="Arial"/>
                <w:lang w:val="es-ES_tradnl"/>
              </w:rPr>
              <w:t xml:space="preserve">es </w:t>
            </w:r>
            <w:r w:rsidR="00633D5C" w:rsidRPr="009B41F4">
              <w:rPr>
                <w:rFonts w:cs="Arial"/>
                <w:lang w:val="es-ES_tradnl"/>
              </w:rPr>
              <w:t xml:space="preserve">lo mismo </w:t>
            </w:r>
            <w:r w:rsidR="00B368FC" w:rsidRPr="009B41F4">
              <w:rPr>
                <w:rFonts w:cs="Arial"/>
                <w:lang w:val="es-ES_tradnl"/>
              </w:rPr>
              <w:t xml:space="preserve">que </w:t>
            </w:r>
            <w:r w:rsidR="00A36CD1" w:rsidRPr="009B41F4">
              <w:rPr>
                <w:rFonts w:cs="Arial"/>
                <w:lang w:val="es-ES_tradnl"/>
              </w:rPr>
              <w:t xml:space="preserve">la </w:t>
            </w:r>
            <w:r w:rsidR="00A36CD1" w:rsidRPr="00A36CD1">
              <w:rPr>
                <w:rFonts w:cs="Arial"/>
                <w:lang w:val="es-ES_tradnl"/>
              </w:rPr>
              <w:t xml:space="preserve">renuncia al </w:t>
            </w:r>
            <w:r w:rsidR="00B368FC" w:rsidRPr="00A36CD1">
              <w:rPr>
                <w:rFonts w:cs="Arial"/>
                <w:lang w:val="es-ES_tradnl"/>
              </w:rPr>
              <w:t>derecho de obtentor</w:t>
            </w:r>
            <w:r w:rsidR="00B368FC" w:rsidRPr="009B41F4">
              <w:rPr>
                <w:rFonts w:cs="Arial"/>
                <w:lang w:val="es-ES_tradnl"/>
              </w:rPr>
              <w:t>.</w:t>
            </w:r>
            <w:r w:rsidR="001574F7" w:rsidRPr="0041008F">
              <w:rPr>
                <w:rFonts w:cs="Arial"/>
                <w:u w:val="single"/>
                <w:lang w:val="es-ES_tradnl"/>
              </w:rPr>
              <w:t xml:space="preserve">  </w:t>
            </w:r>
            <w:r w:rsidR="00A36CD1" w:rsidRPr="00DE07AA">
              <w:rPr>
                <w:rFonts w:cs="Arial"/>
                <w:highlight w:val="lightGray"/>
                <w:u w:val="single"/>
                <w:lang w:val="es-ES_tradnl"/>
              </w:rPr>
              <w:t>La caducidad del derecho de obtentor es una cuestión sobre la que debe decidir la autoridad competente de conformidad con el Convenio de la UPOV (véase el párrafo 3).</w:t>
            </w:r>
            <w:r w:rsidR="001574F7"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  </w:t>
            </w:r>
            <w:r w:rsidR="00A36CD1" w:rsidRPr="00DE07AA">
              <w:rPr>
                <w:rFonts w:cs="Arial"/>
                <w:highlight w:val="lightGray"/>
                <w:u w:val="single"/>
                <w:lang w:val="es-ES_tradnl"/>
              </w:rPr>
              <w:t>En cambio,</w:t>
            </w:r>
            <w:r w:rsidR="00A36CD1" w:rsidRPr="009B41F4">
              <w:rPr>
                <w:rFonts w:cs="Arial"/>
                <w:u w:val="single"/>
                <w:lang w:val="es-ES_tradnl"/>
              </w:rPr>
              <w:t xml:space="preserve"> </w:t>
            </w:r>
            <w:r w:rsidR="00A36CD1" w:rsidRPr="009B41F4">
              <w:rPr>
                <w:rFonts w:cs="Arial"/>
                <w:lang w:val="es-ES_tradnl"/>
              </w:rPr>
              <w:t xml:space="preserve">la renuncia al derecho de obtentor es una decisión unilateral del </w:t>
            </w:r>
            <w:r w:rsidR="008E5628" w:rsidRPr="008E5628">
              <w:rPr>
                <w:lang w:val="es-ES_tradnl"/>
              </w:rPr>
              <w:t>titular</w:t>
            </w:r>
            <w:r w:rsidR="00A36CD1" w:rsidRPr="008E5628">
              <w:rPr>
                <w:lang w:val="es-ES_tradnl"/>
              </w:rPr>
              <w:t xml:space="preserve"> </w:t>
            </w:r>
            <w:r w:rsidR="008E5628" w:rsidRPr="008E5628">
              <w:rPr>
                <w:lang w:val="es-ES_tradnl"/>
              </w:rPr>
              <w:t xml:space="preserve">del </w:t>
            </w:r>
            <w:r w:rsidR="00A36CD1" w:rsidRPr="008E5628">
              <w:rPr>
                <w:lang w:val="es-ES_tradnl"/>
              </w:rPr>
              <w:t>derecho de obtentor</w:t>
            </w:r>
            <w:r w:rsidR="00A36CD1" w:rsidRPr="009B41F4">
              <w:rPr>
                <w:lang w:val="es-ES_tradnl"/>
              </w:rPr>
              <w:t xml:space="preserve"> </w:t>
            </w:r>
            <w:r w:rsidR="008E5628" w:rsidRPr="009B41F4">
              <w:rPr>
                <w:lang w:val="es-ES_tradnl"/>
              </w:rPr>
              <w:t xml:space="preserve">que </w:t>
            </w:r>
            <w:r w:rsidR="00A36CD1" w:rsidRPr="009B41F4">
              <w:rPr>
                <w:lang w:val="es-ES_tradnl"/>
              </w:rPr>
              <w:t>no</w:t>
            </w:r>
            <w:r w:rsidR="008E5628" w:rsidRPr="009B41F4">
              <w:rPr>
                <w:lang w:val="es-ES_tradnl"/>
              </w:rPr>
              <w:t xml:space="preserve"> está vinculada con la observación de ninguna </w:t>
            </w:r>
            <w:r w:rsidR="00A36CD1" w:rsidRPr="009B41F4">
              <w:rPr>
                <w:lang w:val="es-ES_tradnl"/>
              </w:rPr>
              <w:t>obliga</w:t>
            </w:r>
            <w:r w:rsidR="008E5628" w:rsidRPr="009B41F4">
              <w:rPr>
                <w:lang w:val="es-ES_tradnl"/>
              </w:rPr>
              <w:t>c</w:t>
            </w:r>
            <w:r w:rsidR="00A36CD1" w:rsidRPr="009B41F4">
              <w:rPr>
                <w:lang w:val="es-ES_tradnl"/>
              </w:rPr>
              <w:t>i</w:t>
            </w:r>
            <w:r w:rsidR="008E5628" w:rsidRPr="009B41F4">
              <w:rPr>
                <w:lang w:val="es-ES_tradnl"/>
              </w:rPr>
              <w:t>ó</w:t>
            </w:r>
            <w:r w:rsidR="00A36CD1" w:rsidRPr="009B41F4">
              <w:rPr>
                <w:lang w:val="es-ES_tradnl"/>
              </w:rPr>
              <w:t xml:space="preserve">n </w:t>
            </w:r>
            <w:r w:rsidR="008E5628" w:rsidRPr="009B41F4">
              <w:rPr>
                <w:lang w:val="es-ES_tradnl"/>
              </w:rPr>
              <w:t xml:space="preserve">establecida en el </w:t>
            </w:r>
            <w:r w:rsidR="00A36CD1" w:rsidRPr="009B41F4">
              <w:rPr>
                <w:lang w:val="es-ES_tradnl"/>
              </w:rPr>
              <w:t>Convenio de la UPOV.</w:t>
            </w:r>
            <w:r w:rsidR="001574F7" w:rsidRPr="0041008F">
              <w:rPr>
                <w:lang w:val="es-ES_tradnl"/>
              </w:rPr>
              <w:t xml:space="preserve">  </w:t>
            </w:r>
            <w:r w:rsidR="008E5628" w:rsidRPr="009B41F4">
              <w:rPr>
                <w:lang w:val="es-ES_tradnl"/>
              </w:rPr>
              <w:t xml:space="preserve">El titular del derecho de obtentor </w:t>
            </w:r>
            <w:r w:rsidR="008E5628" w:rsidRPr="00DE07AA">
              <w:rPr>
                <w:rFonts w:cs="Arial"/>
                <w:strike/>
                <w:highlight w:val="lightGray"/>
                <w:lang w:val="es-ES_tradnl"/>
              </w:rPr>
              <w:t>decide</w:t>
            </w:r>
            <w:r w:rsidR="008E5628" w:rsidRPr="00DE07AA">
              <w:rPr>
                <w:rFonts w:cs="Arial"/>
                <w:highlight w:val="lightGray"/>
                <w:lang w:val="es-ES_tradnl"/>
              </w:rPr>
              <w:t xml:space="preserve"> </w:t>
            </w:r>
            <w:r w:rsidR="008E5628" w:rsidRPr="00DE07AA">
              <w:rPr>
                <w:rFonts w:cs="Arial"/>
                <w:highlight w:val="lightGray"/>
                <w:u w:val="single"/>
                <w:lang w:val="es-ES_tradnl"/>
              </w:rPr>
              <w:t>puede decidir</w:t>
            </w:r>
            <w:r w:rsidR="008E5628" w:rsidRPr="009B41F4">
              <w:rPr>
                <w:rFonts w:cs="Arial"/>
                <w:lang w:val="es-ES_tradnl"/>
              </w:rPr>
              <w:t xml:space="preserve"> la </w:t>
            </w:r>
            <w:r w:rsidR="008E5628" w:rsidRPr="008E5628">
              <w:rPr>
                <w:rFonts w:cs="Arial"/>
                <w:lang w:val="es-ES_tradnl"/>
              </w:rPr>
              <w:t>extinción anticipada</w:t>
            </w:r>
            <w:r w:rsidR="008E5628" w:rsidRPr="009B41F4">
              <w:rPr>
                <w:rFonts w:cs="Arial"/>
                <w:lang w:val="es-ES_tradnl"/>
              </w:rPr>
              <w:t xml:space="preserve"> </w:t>
            </w:r>
            <w:r w:rsidR="00633D5C" w:rsidRPr="009B41F4">
              <w:rPr>
                <w:lang w:val="es-ES_tradnl"/>
              </w:rPr>
              <w:t xml:space="preserve">mediante notificación </w:t>
            </w:r>
            <w:r w:rsidR="008E5628" w:rsidRPr="009B41F4">
              <w:rPr>
                <w:lang w:val="es-ES_tradnl"/>
              </w:rPr>
              <w:t>a la autoridad que concede los derechos de obtentor.</w:t>
            </w:r>
            <w:r w:rsidR="001574F7" w:rsidRPr="0041008F">
              <w:rPr>
                <w:lang w:val="es-ES_tradnl"/>
              </w:rPr>
              <w:t xml:space="preserve">  </w:t>
            </w:r>
            <w:r w:rsidR="008E5628" w:rsidRPr="00DE07AA">
              <w:rPr>
                <w:highlight w:val="lightGray"/>
                <w:u w:val="single"/>
                <w:lang w:val="es-ES_tradnl"/>
              </w:rPr>
              <w:t xml:space="preserve">La autoridad </w:t>
            </w:r>
            <w:r w:rsidR="008E5628" w:rsidRPr="00DE07AA">
              <w:rPr>
                <w:szCs w:val="18"/>
                <w:highlight w:val="lightGray"/>
                <w:u w:val="single"/>
                <w:lang w:val="es-ES_tradnl"/>
              </w:rPr>
              <w:t>competente publica la extinción del derecho de obtentor</w:t>
            </w:r>
            <w:r w:rsidR="008E5628" w:rsidRPr="009B41F4">
              <w:rPr>
                <w:szCs w:val="18"/>
                <w:lang w:val="es-ES_tradnl"/>
              </w:rPr>
              <w:t>.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41008F" w:rsidRDefault="008E5628" w:rsidP="00B31A08">
            <w:pPr>
              <w:spacing w:before="40" w:after="40"/>
              <w:rPr>
                <w:rFonts w:cs="Arial"/>
                <w:i/>
                <w:lang w:val="es-ES_tradnl"/>
              </w:rPr>
            </w:pPr>
            <w:r w:rsidRPr="008E5628">
              <w:rPr>
                <w:rFonts w:cs="Arial"/>
                <w:i/>
                <w:lang w:val="es-ES_tradnl"/>
              </w:rPr>
              <w:t>Control</w:t>
            </w:r>
            <w:r w:rsidRPr="009B41F4">
              <w:rPr>
                <w:rFonts w:cs="Arial"/>
                <w:i/>
                <w:lang w:val="es-ES_tradnl"/>
              </w:rPr>
              <w:t xml:space="preserve"> del </w:t>
            </w:r>
            <w:r w:rsidRPr="008E5628">
              <w:rPr>
                <w:rFonts w:cs="Arial"/>
                <w:i/>
                <w:lang w:val="es-ES_tradnl"/>
              </w:rPr>
              <w:t>mantenimiento de la variedad</w:t>
            </w:r>
            <w:r w:rsidR="001228D1" w:rsidRPr="0041008F">
              <w:rPr>
                <w:rFonts w:cs="Arial"/>
                <w:i/>
                <w:lang w:val="es-ES_tradnl"/>
              </w:rPr>
              <w:t xml:space="preserve"> </w:t>
            </w:r>
          </w:p>
        </w:tc>
        <w:tc>
          <w:tcPr>
            <w:tcW w:w="7789" w:type="dxa"/>
          </w:tcPr>
          <w:p w:rsidR="00E705FA" w:rsidRPr="0041008F" w:rsidRDefault="008E5628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 xml:space="preserve">El CAJ-AG señaló que para elaborar la </w:t>
            </w:r>
            <w:r w:rsidR="004556AF" w:rsidRPr="009B41F4">
              <w:rPr>
                <w:rFonts w:cs="Arial"/>
                <w:lang w:val="es-ES_tradnl"/>
              </w:rPr>
              <w:t>orientación relativa a la sección</w:t>
            </w:r>
            <w:r w:rsidRPr="009B41F4">
              <w:rPr>
                <w:rFonts w:cs="Arial"/>
                <w:lang w:val="es-ES_tradnl"/>
              </w:rPr>
              <w:t xml:space="preserve"> “</w:t>
            </w:r>
            <w:r w:rsidR="004556AF" w:rsidRPr="004556AF">
              <w:rPr>
                <w:rFonts w:cs="Arial"/>
                <w:i/>
                <w:lang w:val="es-ES_tradnl"/>
              </w:rPr>
              <w:t>Control del mantenimiento de la variedad</w:t>
            </w:r>
            <w:r w:rsidRPr="009B41F4">
              <w:rPr>
                <w:rFonts w:cs="Arial"/>
                <w:i/>
                <w:lang w:val="es-ES_tradnl"/>
              </w:rPr>
              <w:t>”</w:t>
            </w:r>
            <w:r w:rsidRPr="009B41F4">
              <w:rPr>
                <w:rFonts w:cs="Arial"/>
                <w:lang w:val="es-ES_tradnl"/>
              </w:rPr>
              <w:t xml:space="preserve"> </w:t>
            </w:r>
            <w:r w:rsidR="004556AF" w:rsidRPr="009B41F4">
              <w:rPr>
                <w:rFonts w:cs="Arial"/>
                <w:lang w:val="es-ES_tradnl"/>
              </w:rPr>
              <w:t xml:space="preserve">sería necesario esperar a que el </w:t>
            </w:r>
            <w:r w:rsidRPr="004556AF">
              <w:rPr>
                <w:rFonts w:cs="Arial"/>
                <w:lang w:val="es-ES_tradnl"/>
              </w:rPr>
              <w:t>Comité Técnico</w:t>
            </w:r>
            <w:r w:rsidRPr="009B41F4">
              <w:rPr>
                <w:rFonts w:cs="Arial"/>
                <w:lang w:val="es-ES_tradnl"/>
              </w:rPr>
              <w:t xml:space="preserve"> </w:t>
            </w:r>
            <w:r w:rsidR="004556AF" w:rsidRPr="009B41F4">
              <w:rPr>
                <w:rFonts w:cs="Arial"/>
                <w:lang w:val="es-ES_tradnl"/>
              </w:rPr>
              <w:t xml:space="preserve">examinase las cuestiones pertinentes relativas a las </w:t>
            </w:r>
            <w:r w:rsidRPr="004556AF">
              <w:rPr>
                <w:rFonts w:cs="Arial"/>
                <w:lang w:val="es-ES_tradnl"/>
              </w:rPr>
              <w:t>descripciones de variedades</w:t>
            </w:r>
            <w:r w:rsidRPr="009B41F4">
              <w:rPr>
                <w:rFonts w:cs="Arial"/>
                <w:lang w:val="es-ES_tradnl"/>
              </w:rPr>
              <w:t xml:space="preserve">, </w:t>
            </w:r>
            <w:r w:rsidR="004556AF" w:rsidRPr="009B41F4">
              <w:rPr>
                <w:rFonts w:cs="Arial"/>
                <w:lang w:val="es-ES_tradnl"/>
              </w:rPr>
              <w:t xml:space="preserve">según se </w:t>
            </w:r>
            <w:r w:rsidRPr="009B41F4">
              <w:rPr>
                <w:rFonts w:cs="Arial"/>
                <w:lang w:val="es-ES_tradnl"/>
              </w:rPr>
              <w:t>expl</w:t>
            </w:r>
            <w:r w:rsidR="004556AF" w:rsidRPr="009B41F4">
              <w:rPr>
                <w:rFonts w:cs="Arial"/>
                <w:lang w:val="es-ES_tradnl"/>
              </w:rPr>
              <w:t>ic</w:t>
            </w:r>
            <w:r w:rsidRPr="009B41F4">
              <w:rPr>
                <w:rFonts w:cs="Arial"/>
                <w:lang w:val="es-ES_tradnl"/>
              </w:rPr>
              <w:t>a</w:t>
            </w:r>
            <w:r w:rsidR="004556AF" w:rsidRPr="009B41F4">
              <w:rPr>
                <w:rFonts w:cs="Arial"/>
                <w:lang w:val="es-ES_tradnl"/>
              </w:rPr>
              <w:t xml:space="preserve"> e</w:t>
            </w:r>
            <w:r w:rsidRPr="009B41F4">
              <w:rPr>
                <w:rFonts w:cs="Arial"/>
                <w:lang w:val="es-ES_tradnl"/>
              </w:rPr>
              <w:t xml:space="preserve">n </w:t>
            </w:r>
            <w:r w:rsidR="004556AF" w:rsidRPr="009B41F4">
              <w:rPr>
                <w:rFonts w:cs="Arial"/>
                <w:lang w:val="es-ES_tradnl"/>
              </w:rPr>
              <w:t xml:space="preserve">la </w:t>
            </w:r>
            <w:r w:rsidRPr="009B41F4">
              <w:rPr>
                <w:rFonts w:cs="Arial"/>
                <w:lang w:val="es-ES_tradnl"/>
              </w:rPr>
              <w:t>Not</w:t>
            </w:r>
            <w:r w:rsidR="004556AF" w:rsidRPr="009B41F4">
              <w:rPr>
                <w:rFonts w:cs="Arial"/>
                <w:lang w:val="es-ES_tradnl"/>
              </w:rPr>
              <w:t xml:space="preserve">a que figura </w:t>
            </w:r>
            <w:r w:rsidRPr="009B41F4">
              <w:rPr>
                <w:rFonts w:cs="Arial"/>
                <w:lang w:val="es-ES_tradnl"/>
              </w:rPr>
              <w:t xml:space="preserve">en </w:t>
            </w:r>
            <w:r w:rsidR="004556AF" w:rsidRPr="009B41F4">
              <w:rPr>
                <w:rFonts w:cs="Arial"/>
                <w:lang w:val="es-ES_tradnl"/>
              </w:rPr>
              <w:t xml:space="preserve">el </w:t>
            </w:r>
            <w:r w:rsidRPr="009B41F4">
              <w:rPr>
                <w:rFonts w:cs="Arial"/>
                <w:lang w:val="es-ES_tradnl"/>
              </w:rPr>
              <w:t>document</w:t>
            </w:r>
            <w:r w:rsidR="004556AF" w:rsidRPr="009B41F4">
              <w:rPr>
                <w:rFonts w:cs="Arial"/>
                <w:lang w:val="es-ES_tradnl"/>
              </w:rPr>
              <w:t>o </w:t>
            </w:r>
            <w:r w:rsidRPr="009B41F4">
              <w:rPr>
                <w:rFonts w:cs="Arial"/>
                <w:lang w:val="es-ES_tradnl"/>
              </w:rPr>
              <w:t>UPOV/EXN/CAN/2</w:t>
            </w:r>
            <w:r w:rsidR="004556AF" w:rsidRPr="009B41F4">
              <w:rPr>
                <w:rFonts w:cs="Arial"/>
                <w:lang w:val="es-ES_tradnl"/>
              </w:rPr>
              <w:t> </w:t>
            </w:r>
            <w:r w:rsidRPr="009B41F4">
              <w:rPr>
                <w:rFonts w:cs="Arial"/>
                <w:lang w:val="es-ES_tradnl"/>
              </w:rPr>
              <w:t>Draft</w:t>
            </w:r>
            <w:r w:rsidR="004556AF" w:rsidRPr="009B41F4">
              <w:rPr>
                <w:rFonts w:cs="Arial"/>
                <w:lang w:val="es-ES_tradnl"/>
              </w:rPr>
              <w:t> </w:t>
            </w:r>
            <w:r w:rsidRPr="009B41F4">
              <w:rPr>
                <w:rFonts w:cs="Arial"/>
                <w:lang w:val="es-ES_tradnl"/>
              </w:rPr>
              <w:t>2 (</w:t>
            </w:r>
            <w:r w:rsidR="004556AF" w:rsidRPr="009B41F4">
              <w:rPr>
                <w:rFonts w:cs="Arial"/>
                <w:lang w:val="es-ES_tradnl"/>
              </w:rPr>
              <w:t xml:space="preserve">que se </w:t>
            </w:r>
            <w:r w:rsidRPr="009B41F4">
              <w:rPr>
                <w:rFonts w:cs="Arial"/>
                <w:lang w:val="es-ES_tradnl"/>
              </w:rPr>
              <w:t>reproduc</w:t>
            </w:r>
            <w:r w:rsidR="004556AF" w:rsidRPr="009B41F4">
              <w:rPr>
                <w:rFonts w:cs="Arial"/>
                <w:lang w:val="es-ES_tradnl"/>
              </w:rPr>
              <w:t>e a continuación</w:t>
            </w:r>
            <w:r w:rsidRPr="009B41F4">
              <w:rPr>
                <w:rFonts w:cs="Arial"/>
                <w:lang w:val="es-ES_tradnl"/>
              </w:rPr>
              <w:t>)</w:t>
            </w:r>
            <w:r w:rsidR="004556AF" w:rsidRPr="009B41F4">
              <w:rPr>
                <w:rFonts w:cs="Arial"/>
                <w:lang w:val="es-ES_tradnl"/>
              </w:rPr>
              <w:t>.</w:t>
            </w:r>
          </w:p>
          <w:p w:rsidR="00E705FA" w:rsidRPr="0041008F" w:rsidRDefault="00E705FA" w:rsidP="00B31A08">
            <w:pPr>
              <w:spacing w:before="40" w:after="40"/>
              <w:rPr>
                <w:rFonts w:cs="Arial"/>
                <w:lang w:val="es-ES_tradnl"/>
              </w:rPr>
            </w:pPr>
          </w:p>
          <w:p w:rsidR="00E705FA" w:rsidRPr="0041008F" w:rsidRDefault="00F97307" w:rsidP="00B31A08">
            <w:pPr>
              <w:spacing w:before="40" w:after="40"/>
              <w:rPr>
                <w:rFonts w:cs="Arial"/>
                <w:lang w:val="es-ES"/>
              </w:rPr>
            </w:pPr>
            <w:r w:rsidRPr="0041008F">
              <w:rPr>
                <w:rFonts w:cs="Arial"/>
                <w:lang w:val="es-ES_tradnl"/>
              </w:rPr>
              <w:t>Nota:</w:t>
            </w:r>
            <w:r w:rsidR="001574F7" w:rsidRPr="0041008F">
              <w:rPr>
                <w:rFonts w:cs="Arial"/>
                <w:lang w:val="es-ES_tradnl"/>
              </w:rPr>
              <w:t xml:space="preserve">  </w:t>
            </w:r>
            <w:r w:rsidRPr="0041008F">
              <w:rPr>
                <w:rFonts w:cs="Arial"/>
                <w:lang w:val="es-ES_tradnl"/>
              </w:rPr>
              <w:t>El CAJ-AG, en su octava sesión celebrada en Ginebra los días 21 y 25 de octubre de 2013, acordó que se elaboren orientaciones sobre las cuestiones siguientes y propuso que el CAJ invitara al Comité Técnico (TC) a examinarlas en primera instancia (véase el párrafo 73 del documento CAJ-AG/13/8/10 “Informe”):</w:t>
            </w:r>
          </w:p>
          <w:p w:rsidR="00E705FA" w:rsidRPr="0041008F" w:rsidRDefault="00E705FA" w:rsidP="00B31A08">
            <w:pPr>
              <w:spacing w:before="40" w:after="40"/>
              <w:rPr>
                <w:rFonts w:cs="Arial"/>
                <w:lang w:val="es-ES"/>
              </w:rPr>
            </w:pPr>
          </w:p>
          <w:p w:rsidR="00E705FA" w:rsidRPr="0041008F" w:rsidRDefault="001228D1" w:rsidP="00B31A08">
            <w:pPr>
              <w:spacing w:before="40" w:after="40"/>
              <w:rPr>
                <w:rFonts w:cs="Arial"/>
                <w:lang w:val="es-ES"/>
              </w:rPr>
            </w:pPr>
            <w:r w:rsidRPr="0041008F">
              <w:rPr>
                <w:rFonts w:cs="Arial"/>
                <w:lang w:val="es-ES"/>
              </w:rPr>
              <w:tab/>
            </w:r>
            <w:r w:rsidR="001574F7" w:rsidRPr="0041008F">
              <w:rPr>
                <w:rFonts w:cs="Arial"/>
                <w:lang w:val="es-ES"/>
              </w:rPr>
              <w:t>a)</w:t>
            </w:r>
            <w:r w:rsidR="001574F7" w:rsidRPr="0041008F">
              <w:rPr>
                <w:rFonts w:cs="Arial"/>
                <w:lang w:val="es-ES"/>
              </w:rPr>
              <w:tab/>
            </w:r>
            <w:r w:rsidR="00F97307" w:rsidRPr="0041008F">
              <w:rPr>
                <w:rFonts w:cs="Arial"/>
                <w:lang w:val="es-ES_tradnl"/>
              </w:rPr>
              <w:t>el uso de informaciones, documentos o material proporcionados por el obtentor para controlar el mantenimiento de la variedad, conforme al párrafo 15 del documento CAJ-AG/13/8/4 “</w:t>
            </w:r>
            <w:r w:rsidR="00F97307" w:rsidRPr="0041008F">
              <w:rPr>
                <w:rFonts w:cs="Arial"/>
                <w:i/>
                <w:lang w:val="es-ES_tradnl"/>
              </w:rPr>
              <w:t>Matters concerning cancellation of the breeder's right</w:t>
            </w:r>
            <w:r w:rsidR="00F97307" w:rsidRPr="0041008F">
              <w:rPr>
                <w:rFonts w:cs="Arial"/>
                <w:lang w:val="es-ES_tradnl"/>
              </w:rPr>
              <w:t>” (Asuntos relativos a la caducidad del derecho de obtentor), indicando que las informaciones, los documentos o el material pueden conservarse en otro país;</w:t>
            </w:r>
            <w:r w:rsidR="00E705FA" w:rsidRPr="0041008F">
              <w:rPr>
                <w:rFonts w:cs="Arial"/>
                <w:lang w:val="es-ES_tradnl"/>
              </w:rPr>
              <w:t xml:space="preserve">  </w:t>
            </w:r>
            <w:r w:rsidR="00F97307" w:rsidRPr="0041008F">
              <w:rPr>
                <w:rFonts w:cs="Arial"/>
                <w:lang w:val="es-ES_tradnl"/>
              </w:rPr>
              <w:t>y</w:t>
            </w:r>
            <w:r w:rsidRPr="0041008F">
              <w:rPr>
                <w:rFonts w:cs="Arial"/>
                <w:lang w:val="es-ES"/>
              </w:rPr>
              <w:t xml:space="preserve">  </w:t>
            </w:r>
          </w:p>
          <w:p w:rsidR="00E705FA" w:rsidRPr="0041008F" w:rsidRDefault="00E705FA" w:rsidP="00B31A08">
            <w:pPr>
              <w:spacing w:before="40" w:after="40"/>
              <w:rPr>
                <w:rFonts w:cs="Arial"/>
                <w:lang w:val="es-ES"/>
              </w:rPr>
            </w:pPr>
          </w:p>
          <w:p w:rsidR="00E705FA" w:rsidRPr="0041008F" w:rsidRDefault="001228D1" w:rsidP="00B31A08">
            <w:pPr>
              <w:spacing w:before="40" w:after="40"/>
              <w:rPr>
                <w:rFonts w:cs="Arial"/>
                <w:lang w:val="es-ES"/>
              </w:rPr>
            </w:pPr>
            <w:r w:rsidRPr="0041008F">
              <w:rPr>
                <w:rFonts w:cs="Arial"/>
                <w:lang w:val="es-ES"/>
              </w:rPr>
              <w:tab/>
            </w:r>
            <w:r w:rsidR="009D52E5" w:rsidRPr="0041008F">
              <w:rPr>
                <w:rFonts w:cs="Arial"/>
                <w:lang w:val="es-ES"/>
              </w:rPr>
              <w:t>b)</w:t>
            </w:r>
            <w:r w:rsidR="009D52E5" w:rsidRPr="0041008F">
              <w:rPr>
                <w:rFonts w:cs="Arial"/>
                <w:lang w:val="es-ES"/>
              </w:rPr>
              <w:tab/>
            </w:r>
            <w:r w:rsidR="00F97307" w:rsidRPr="0041008F">
              <w:rPr>
                <w:rFonts w:cs="Arial"/>
                <w:lang w:val="es-ES_tradnl"/>
              </w:rPr>
              <w:t>el uso de directrices de examen diferentes de las empleadas en el examen de la distinción, la homogeneidad y la estabilidad (DHE) para controlar el mantenimiento de la variedad.</w:t>
            </w:r>
          </w:p>
          <w:p w:rsidR="00E705FA" w:rsidRPr="0041008F" w:rsidRDefault="00E705FA" w:rsidP="00B31A08">
            <w:pPr>
              <w:spacing w:before="40" w:after="40"/>
              <w:rPr>
                <w:rFonts w:cs="Arial"/>
                <w:lang w:val="es-ES"/>
              </w:rPr>
            </w:pPr>
          </w:p>
          <w:p w:rsidR="001228D1" w:rsidRPr="0041008F" w:rsidRDefault="004556AF" w:rsidP="00B31A08">
            <w:pPr>
              <w:spacing w:before="40" w:after="40"/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 xml:space="preserve">El CAJ, en su </w:t>
            </w:r>
            <w:r w:rsidRPr="002A0C2D">
              <w:rPr>
                <w:rFonts w:cs="Arial"/>
                <w:lang w:val="es-ES_tradnl"/>
              </w:rPr>
              <w:t>sexagésima novena sesión</w:t>
            </w:r>
            <w:r w:rsidRPr="009B41F4">
              <w:rPr>
                <w:rFonts w:cs="Arial"/>
                <w:lang w:val="es-ES_tradnl"/>
              </w:rPr>
              <w:t xml:space="preserve">, celebrada en Ginebra el día 10 de abril de 2014, </w:t>
            </w:r>
            <w:r w:rsidRPr="002A0C2D">
              <w:rPr>
                <w:rFonts w:cs="Arial"/>
                <w:lang w:val="es-ES_tradnl"/>
              </w:rPr>
              <w:t xml:space="preserve">de conformidad con la propuesta del CAJ-AG, </w:t>
            </w:r>
            <w:r w:rsidR="002A0C2D" w:rsidRPr="002A0C2D">
              <w:rPr>
                <w:rFonts w:cs="Arial"/>
                <w:lang w:val="es-ES_tradnl"/>
              </w:rPr>
              <w:t>convino en</w:t>
            </w:r>
            <w:r w:rsidRPr="002A0C2D">
              <w:rPr>
                <w:rFonts w:cs="Arial"/>
                <w:lang w:val="es-ES_tradnl"/>
              </w:rPr>
              <w:t xml:space="preserve"> invitar al TC a </w:t>
            </w:r>
            <w:r w:rsidR="002A0C2D" w:rsidRPr="002A0C2D">
              <w:rPr>
                <w:rFonts w:cs="Arial"/>
                <w:lang w:val="es-ES_tradnl"/>
              </w:rPr>
              <w:t xml:space="preserve">contemplar la posibilidad de </w:t>
            </w:r>
            <w:r w:rsidRPr="002A0C2D">
              <w:rPr>
                <w:rFonts w:cs="Arial"/>
                <w:lang w:val="es-ES_tradnl"/>
              </w:rPr>
              <w:t>elabora</w:t>
            </w:r>
            <w:r w:rsidR="002A0C2D" w:rsidRPr="002A0C2D">
              <w:rPr>
                <w:rFonts w:cs="Arial"/>
                <w:lang w:val="es-ES_tradnl"/>
              </w:rPr>
              <w:t xml:space="preserve">r </w:t>
            </w:r>
            <w:r w:rsidRPr="002A0C2D">
              <w:rPr>
                <w:rFonts w:cs="Arial"/>
                <w:lang w:val="es-ES_tradnl"/>
              </w:rPr>
              <w:t xml:space="preserve">orientación </w:t>
            </w:r>
            <w:r w:rsidR="002A0C2D" w:rsidRPr="002A0C2D">
              <w:rPr>
                <w:rFonts w:cs="Arial"/>
                <w:lang w:val="es-ES_tradnl"/>
              </w:rPr>
              <w:t xml:space="preserve">adicional </w:t>
            </w:r>
            <w:r w:rsidRPr="002A0C2D">
              <w:rPr>
                <w:rFonts w:cs="Arial"/>
                <w:lang w:val="es-ES_tradnl"/>
              </w:rPr>
              <w:t xml:space="preserve">sobre ciertos asuntos relativos a las descripciones de variedades, </w:t>
            </w:r>
            <w:r w:rsidR="002A0C2D" w:rsidRPr="002A0C2D">
              <w:rPr>
                <w:rFonts w:cs="Arial"/>
                <w:lang w:val="es-ES_tradnl"/>
              </w:rPr>
              <w:t xml:space="preserve">tal como </w:t>
            </w:r>
            <w:r w:rsidRPr="002A0C2D">
              <w:rPr>
                <w:rFonts w:cs="Arial"/>
                <w:lang w:val="es-ES_tradnl"/>
              </w:rPr>
              <w:t>se expone en los párrafos 27 y 28 del documento CAJ/69/2</w:t>
            </w:r>
            <w:r w:rsidRPr="009B41F4">
              <w:rPr>
                <w:rFonts w:cs="Arial"/>
                <w:lang w:val="es-ES_tradnl"/>
              </w:rPr>
              <w:t xml:space="preserve"> (véase el párrafo 19 del documento CAJ/69/13 “Informe”).</w:t>
            </w:r>
          </w:p>
        </w:tc>
      </w:tr>
    </w:tbl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rPr>
          <w:lang w:val="es-ES_tradnl"/>
        </w:rPr>
      </w:pPr>
    </w:p>
    <w:p w:rsidR="00E705FA" w:rsidRPr="005767EF" w:rsidRDefault="002A0C2D" w:rsidP="00B31A08">
      <w:pPr>
        <w:pStyle w:val="Heading2"/>
        <w:rPr>
          <w:lang w:val="es-ES"/>
        </w:rPr>
      </w:pPr>
      <w:r w:rsidRPr="002A0C2D">
        <w:t>Notas explicativas sobre la nulidad del derecho de obtentor con arreglo al Convenio de la UPOV (revisión)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rFonts w:cs="Arial"/>
          <w:szCs w:val="26"/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2A0C2D" w:rsidRPr="009B41F4">
        <w:rPr>
          <w:rFonts w:cs="Arial"/>
          <w:lang w:val="es-ES_tradnl"/>
        </w:rPr>
        <w:t xml:space="preserve">El CAJ­AG examinó el documento UPOV/EXN/NUL/2 Draft 2 y las </w:t>
      </w:r>
      <w:r w:rsidR="00DE07AA">
        <w:rPr>
          <w:rFonts w:cs="Arial"/>
          <w:lang w:val="es-ES_tradnl"/>
        </w:rPr>
        <w:t>opiniones expresadas por la </w:t>
      </w:r>
      <w:r w:rsidR="002A0C2D" w:rsidRPr="009B41F4">
        <w:rPr>
          <w:rFonts w:cs="Arial"/>
          <w:lang w:val="es-ES_tradnl"/>
        </w:rPr>
        <w:t>ESA.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2E308F" w:rsidRDefault="00E3139E" w:rsidP="00B31A08">
      <w:pPr>
        <w:keepNext/>
        <w:rPr>
          <w:rFonts w:cs="Arial"/>
          <w:color w:val="808080"/>
          <w:lang w:val="es-ES"/>
        </w:rPr>
      </w:pPr>
      <w:r w:rsidRPr="009B41F4">
        <w:lastRenderedPageBreak/>
        <w:fldChar w:fldCharType="begin"/>
      </w:r>
      <w:r w:rsidR="001228D1" w:rsidRPr="009B41F4">
        <w:rPr>
          <w:lang w:val="es-ES"/>
        </w:rPr>
        <w:instrText xml:space="preserve"> AUTONUM  </w:instrText>
      </w:r>
      <w:r w:rsidRPr="009B41F4">
        <w:fldChar w:fldCharType="end"/>
      </w:r>
      <w:r w:rsidR="001228D1" w:rsidRPr="009B41F4">
        <w:rPr>
          <w:lang w:val="es-ES"/>
        </w:rPr>
        <w:tab/>
      </w:r>
      <w:r w:rsidR="002A0C2D" w:rsidRPr="0041008F">
        <w:rPr>
          <w:lang w:val="es-ES_tradnl"/>
        </w:rPr>
        <w:t>El CAJ–AG aprobó las siguientes enmiendas al documento UPOV/EXN/NUL/2 Draft 2:</w:t>
      </w:r>
    </w:p>
    <w:p w:rsidR="001228D1" w:rsidRPr="009B41F4" w:rsidRDefault="001228D1" w:rsidP="00B31A08">
      <w:pPr>
        <w:keepNext/>
        <w:rPr>
          <w:rFonts w:cs="Arial"/>
          <w:lang w:val="es-ES"/>
        </w:rPr>
      </w:pPr>
    </w:p>
    <w:tbl>
      <w:tblPr>
        <w:tblW w:w="9180" w:type="dxa"/>
        <w:tblInd w:w="56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left w:w="57" w:type="dxa"/>
          <w:bottom w:w="28" w:type="dxa"/>
          <w:right w:w="115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383DE4" w:rsidRDefault="00E705FA" w:rsidP="00B31A08">
            <w:pPr>
              <w:spacing w:before="40" w:after="40"/>
              <w:rPr>
                <w:rFonts w:cs="Arial"/>
              </w:rPr>
            </w:pPr>
            <w:r w:rsidRPr="0041008F">
              <w:rPr>
                <w:rFonts w:cs="Arial"/>
                <w:lang w:val="es-ES_tradnl"/>
              </w:rPr>
              <w:t>Párrafo 9</w:t>
            </w:r>
          </w:p>
        </w:tc>
        <w:tc>
          <w:tcPr>
            <w:tcW w:w="7789" w:type="dxa"/>
          </w:tcPr>
          <w:p w:rsidR="001228D1" w:rsidRPr="0041008F" w:rsidRDefault="009D52E5" w:rsidP="00B31A08">
            <w:pPr>
              <w:rPr>
                <w:rFonts w:cs="Arial"/>
                <w:u w:val="single"/>
                <w:lang w:val="es-ES_tradnl"/>
              </w:rPr>
            </w:pPr>
            <w:r w:rsidRPr="00DE07AA">
              <w:rPr>
                <w:highlight w:val="lightGray"/>
                <w:u w:val="single"/>
                <w:lang w:val="es-ES_tradnl"/>
              </w:rPr>
              <w:t xml:space="preserve">9.  </w:t>
            </w:r>
            <w:r w:rsidR="008930D9" w:rsidRPr="00DE07AA">
              <w:rPr>
                <w:highlight w:val="lightGray"/>
                <w:u w:val="single"/>
                <w:lang w:val="es-ES_tradnl"/>
              </w:rPr>
              <w:t>La decisión de declar</w:t>
            </w:r>
            <w:r w:rsidR="000E0E19" w:rsidRPr="00DE07AA">
              <w:rPr>
                <w:highlight w:val="lightGray"/>
                <w:u w:val="single"/>
                <w:lang w:val="es-ES_tradnl"/>
              </w:rPr>
              <w:t>ar</w:t>
            </w:r>
            <w:r w:rsidR="008930D9" w:rsidRPr="00DE07AA">
              <w:rPr>
                <w:highlight w:val="lightGray"/>
                <w:u w:val="single"/>
                <w:lang w:val="es-ES_tradnl"/>
              </w:rPr>
              <w:t xml:space="preserve"> 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un derecho de obtentor nulo y sin efecto </w:t>
            </w:r>
            <w:r w:rsidR="008930D9" w:rsidRPr="00DE07AA">
              <w:rPr>
                <w:highlight w:val="lightGray"/>
                <w:u w:val="single"/>
                <w:lang w:val="es-ES_tradnl"/>
              </w:rPr>
              <w:t xml:space="preserve">invalida el derecho desde la fecha de concesión, si bien la decisión de la 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autoridad competente respecto </w:t>
            </w:r>
            <w:r w:rsidR="008930D9" w:rsidRPr="00DE07AA">
              <w:rPr>
                <w:highlight w:val="lightGray"/>
                <w:u w:val="single"/>
                <w:lang w:val="es-ES_tradnl"/>
              </w:rPr>
              <w:t xml:space="preserve">de la 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>nulidad se tomará en una fecha posterior.</w:t>
            </w:r>
            <w:r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  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>Por consiguiente, la nulidad tiene, en principio, carácter retroactivo.</w:t>
            </w:r>
            <w:r w:rsidRPr="0041008F">
              <w:rPr>
                <w:rFonts w:cs="Arial"/>
                <w:u w:val="single"/>
                <w:lang w:val="es-ES_tradnl"/>
              </w:rPr>
              <w:t xml:space="preserve"> </w:t>
            </w:r>
            <w:r w:rsidR="008930D9" w:rsidRPr="009B41F4">
              <w:rPr>
                <w:rFonts w:cs="Arial"/>
                <w:lang w:val="es-ES_tradnl"/>
              </w:rPr>
              <w:t>Los efectos retroactivos de la nulidad podrán variar en la práctica</w:t>
            </w:r>
            <w:r w:rsidR="000E0E19" w:rsidRPr="009B41F4">
              <w:rPr>
                <w:rFonts w:cs="Arial"/>
                <w:lang w:val="es-ES_tradnl"/>
              </w:rPr>
              <w:t>.</w:t>
            </w:r>
            <w:r w:rsidR="008930D9" w:rsidRPr="009B41F4">
              <w:rPr>
                <w:rFonts w:cs="Arial"/>
                <w:lang w:val="es-ES_tradnl"/>
              </w:rPr>
              <w:t xml:space="preserve"> </w:t>
            </w:r>
            <w:r w:rsidR="008930D9" w:rsidRPr="00DE07AA">
              <w:rPr>
                <w:rFonts w:cs="Arial"/>
                <w:strike/>
                <w:highlight w:val="lightGray"/>
                <w:lang w:val="es-ES_tradnl"/>
              </w:rPr>
              <w:t>[y dependerán de la legislación aplicable del miembro de la Unión en cuestión].</w:t>
            </w:r>
            <w:r w:rsidRPr="00DE07AA">
              <w:rPr>
                <w:rFonts w:cs="Arial"/>
                <w:strike/>
                <w:highlight w:val="lightGray"/>
                <w:lang w:val="es-ES_tradnl"/>
              </w:rPr>
              <w:t xml:space="preserve"> </w:t>
            </w:r>
            <w:r w:rsidR="008930D9" w:rsidRPr="00DE07AA">
              <w:rPr>
                <w:rFonts w:cs="Arial"/>
                <w:strike/>
                <w:highlight w:val="lightGray"/>
                <w:lang w:val="es-ES_tradnl"/>
              </w:rPr>
              <w:t>[</w:t>
            </w:r>
            <w:r w:rsidR="008930D9" w:rsidRPr="009B41F4">
              <w:rPr>
                <w:rFonts w:cs="Arial"/>
                <w:lang w:val="es-ES_tradnl"/>
              </w:rPr>
              <w:t xml:space="preserve">Los </w:t>
            </w:r>
            <w:r w:rsidR="00055F03" w:rsidRPr="00DE07AA">
              <w:rPr>
                <w:rFonts w:cs="Arial"/>
                <w:highlight w:val="lightGray"/>
                <w:u w:val="single"/>
                <w:lang w:val="es-ES_tradnl"/>
              </w:rPr>
              <w:t>recursos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 relativos a los</w:t>
            </w:r>
            <w:r w:rsidR="008930D9" w:rsidRPr="009B41F4">
              <w:rPr>
                <w:rFonts w:cs="Arial"/>
                <w:u w:val="single"/>
                <w:lang w:val="es-ES_tradnl"/>
              </w:rPr>
              <w:t xml:space="preserve"> </w:t>
            </w:r>
            <w:r w:rsidR="008930D9" w:rsidRPr="009B41F4">
              <w:rPr>
                <w:rFonts w:cs="Arial"/>
                <w:lang w:val="es-ES_tradnl"/>
              </w:rPr>
              <w:t xml:space="preserve">efectos retroactivos de la nulidad </w:t>
            </w:r>
            <w:r w:rsidR="008930D9" w:rsidRPr="00DE07AA">
              <w:rPr>
                <w:rFonts w:cs="Arial"/>
                <w:strike/>
                <w:highlight w:val="lightGray"/>
                <w:lang w:val="es-ES_tradnl"/>
              </w:rPr>
              <w:t xml:space="preserve">pueden también depender </w:t>
            </w:r>
            <w:r w:rsidR="008930D9" w:rsidRPr="00DE07AA">
              <w:rPr>
                <w:rFonts w:cs="Arial"/>
                <w:highlight w:val="lightGray"/>
                <w:u w:val="single"/>
                <w:lang w:val="es-ES_tradnl"/>
              </w:rPr>
              <w:t xml:space="preserve">dependerán de la legislación aplicable del miembro de la Unión en cuestión </w:t>
            </w:r>
            <w:r w:rsidR="006F0B65" w:rsidRPr="00DE07AA">
              <w:rPr>
                <w:rFonts w:cs="Arial"/>
                <w:highlight w:val="lightGray"/>
                <w:u w:val="single"/>
                <w:lang w:val="es-ES_tradnl"/>
              </w:rPr>
              <w:t>y</w:t>
            </w:r>
            <w:r w:rsidR="008930D9" w:rsidRPr="009B41F4">
              <w:rPr>
                <w:rFonts w:cs="Arial"/>
                <w:lang w:val="es-ES_tradnl"/>
              </w:rPr>
              <w:t xml:space="preserve"> </w:t>
            </w:r>
            <w:r w:rsidR="006F0B65" w:rsidRPr="009B41F4">
              <w:rPr>
                <w:rFonts w:cs="Arial"/>
                <w:lang w:val="es-ES_tradnl"/>
              </w:rPr>
              <w:t>pueden también depender de acuerdos contractuale</w:t>
            </w:r>
            <w:bookmarkStart w:id="4" w:name="_GoBack"/>
            <w:bookmarkEnd w:id="4"/>
            <w:r w:rsidR="008930D9" w:rsidRPr="009B41F4">
              <w:rPr>
                <w:rFonts w:cs="Arial"/>
                <w:lang w:val="es-ES_tradnl"/>
              </w:rPr>
              <w:t>s</w:t>
            </w:r>
            <w:r w:rsidR="008930D9" w:rsidRPr="008F1E22">
              <w:rPr>
                <w:rFonts w:cs="Arial"/>
                <w:strike/>
                <w:highlight w:val="lightGray"/>
                <w:lang w:val="es-ES_tradnl"/>
              </w:rPr>
              <w:t>]</w:t>
            </w:r>
            <w:r w:rsidR="008930D9" w:rsidRPr="009B41F4">
              <w:rPr>
                <w:rFonts w:cs="Arial"/>
                <w:lang w:val="es-ES_tradnl"/>
              </w:rPr>
              <w:t>.</w:t>
            </w:r>
            <w:r w:rsidRPr="0041008F">
              <w:rPr>
                <w:rFonts w:cs="Arial"/>
                <w:lang w:val="es-ES_tradnl"/>
              </w:rPr>
              <w:t xml:space="preserve">   </w:t>
            </w:r>
            <w:r w:rsidR="006F0B65" w:rsidRPr="009B41F4">
              <w:rPr>
                <w:rFonts w:cs="Arial"/>
                <w:lang w:val="es-ES_tradnl"/>
              </w:rPr>
              <w:t xml:space="preserve">En algunos casos, como en casos en </w:t>
            </w:r>
            <w:r w:rsidR="000E0E19" w:rsidRPr="009B41F4">
              <w:rPr>
                <w:rFonts w:cs="Arial"/>
                <w:lang w:val="es-ES_tradnl"/>
              </w:rPr>
              <w:t xml:space="preserve">los </w:t>
            </w:r>
            <w:r w:rsidR="006F0B65" w:rsidRPr="009B41F4">
              <w:rPr>
                <w:rFonts w:cs="Arial"/>
                <w:lang w:val="es-ES_tradnl"/>
              </w:rPr>
              <w:t xml:space="preserve">que el </w:t>
            </w:r>
            <w:r w:rsidR="000E0E19" w:rsidRPr="009B41F4">
              <w:rPr>
                <w:rFonts w:cs="Arial"/>
                <w:lang w:val="es-ES_tradnl"/>
              </w:rPr>
              <w:t xml:space="preserve">titular del </w:t>
            </w:r>
            <w:r w:rsidR="006F0B65" w:rsidRPr="009B41F4">
              <w:rPr>
                <w:rFonts w:cs="Arial"/>
                <w:lang w:val="es-ES_tradnl"/>
              </w:rPr>
              <w:t xml:space="preserve">derecho de obtentor cometa </w:t>
            </w:r>
            <w:r w:rsidR="006F0B65" w:rsidRPr="00055F03">
              <w:rPr>
                <w:rFonts w:cs="Arial"/>
                <w:lang w:val="es-ES_tradnl"/>
              </w:rPr>
              <w:t>fraude</w:t>
            </w:r>
            <w:r w:rsidR="006F0B65" w:rsidRPr="009B41F4">
              <w:rPr>
                <w:rFonts w:cs="Arial"/>
                <w:lang w:val="es-ES_tradnl"/>
              </w:rPr>
              <w:t xml:space="preserve"> o </w:t>
            </w:r>
            <w:r w:rsidR="00055F03" w:rsidRPr="00055F03">
              <w:rPr>
                <w:rFonts w:cs="Arial"/>
                <w:lang w:val="es-ES_tradnl"/>
              </w:rPr>
              <w:t>maniobras abusivas</w:t>
            </w:r>
            <w:r w:rsidR="006F0B65" w:rsidRPr="009B41F4">
              <w:rPr>
                <w:rFonts w:cs="Arial"/>
                <w:lang w:val="es-ES_tradnl"/>
              </w:rPr>
              <w:t xml:space="preserve"> intencionad</w:t>
            </w:r>
            <w:r w:rsidR="00055F03" w:rsidRPr="009B41F4">
              <w:rPr>
                <w:rFonts w:cs="Arial"/>
                <w:lang w:val="es-ES_tradnl"/>
              </w:rPr>
              <w:t>as</w:t>
            </w:r>
            <w:r w:rsidR="006F0B65" w:rsidRPr="009B41F4">
              <w:rPr>
                <w:rFonts w:cs="Arial"/>
                <w:lang w:val="es-ES_tradnl"/>
              </w:rPr>
              <w:t xml:space="preserve">, podrá ser preceptivo el reintegro de las regalías abonadas u otros </w:t>
            </w:r>
            <w:r w:rsidR="006F0B65" w:rsidRPr="00055F03">
              <w:rPr>
                <w:rFonts w:cs="Arial"/>
                <w:lang w:val="es-ES_tradnl"/>
              </w:rPr>
              <w:t>re</w:t>
            </w:r>
            <w:r w:rsidR="00055F03" w:rsidRPr="00055F03">
              <w:rPr>
                <w:rFonts w:cs="Arial"/>
                <w:lang w:val="es-ES_tradnl"/>
              </w:rPr>
              <w:t>curs</w:t>
            </w:r>
            <w:r w:rsidR="006F0B65" w:rsidRPr="00055F03">
              <w:rPr>
                <w:rFonts w:cs="Arial"/>
                <w:lang w:val="es-ES_tradnl"/>
              </w:rPr>
              <w:t>os</w:t>
            </w:r>
            <w:r w:rsidR="006F0B65" w:rsidRPr="009B41F4">
              <w:rPr>
                <w:rFonts w:cs="Arial"/>
                <w:lang w:val="es-ES_tradnl"/>
              </w:rPr>
              <w:t>.</w:t>
            </w:r>
            <w:r w:rsidRPr="0041008F">
              <w:rPr>
                <w:rFonts w:cs="Arial"/>
                <w:lang w:val="es-ES_tradnl"/>
              </w:rPr>
              <w:t xml:space="preserve">  </w:t>
            </w:r>
            <w:r w:rsidR="006F0B65" w:rsidRPr="009B41F4">
              <w:rPr>
                <w:rFonts w:cs="Arial"/>
                <w:lang w:val="es-ES_tradnl"/>
              </w:rPr>
              <w:t>En otros casos, podrá no ser aplicable el reintegro de las regalías percibidas por el titular del derecho de obtentor.</w:t>
            </w:r>
          </w:p>
        </w:tc>
      </w:tr>
    </w:tbl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rPr>
          <w:lang w:val="es-ES_tradnl"/>
        </w:rPr>
      </w:pPr>
    </w:p>
    <w:p w:rsidR="00E705FA" w:rsidRPr="005767EF" w:rsidRDefault="00F97307" w:rsidP="00B31A08">
      <w:pPr>
        <w:pStyle w:val="Heading2"/>
        <w:rPr>
          <w:lang w:val="es-ES"/>
        </w:rPr>
      </w:pPr>
      <w:r w:rsidRPr="00F97307">
        <w:t>Notas explicativas sobre las denominaciones de variedades con arreglo al Convenio de la UPOV (revisión)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5E464F" w:rsidRPr="009B41F4">
        <w:rPr>
          <w:rFonts w:cs="Arial"/>
          <w:lang w:val="es-ES_tradnl"/>
        </w:rPr>
        <w:t>El CAJ­AG examinó el documento UPOV/INF/12/5 Draft 2 y las opiniones expresadas por la APBREBES y la ESA.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5E464F" w:rsidRPr="009B41F4">
        <w:rPr>
          <w:rFonts w:cs="Arial"/>
          <w:lang w:val="es-ES_tradnl"/>
        </w:rPr>
        <w:t xml:space="preserve">El CAJ-AG, en su </w:t>
      </w:r>
      <w:r w:rsidR="005E464F" w:rsidRPr="009B41F4">
        <w:rPr>
          <w:lang w:val="es-ES_tradnl"/>
        </w:rPr>
        <w:t>octava sesión, celebrada en Ginebra los días 21 y 25 de octubre de 2013,</w:t>
      </w:r>
      <w:r w:rsidR="005E464F" w:rsidRPr="009B41F4">
        <w:rPr>
          <w:rFonts w:cs="Arial"/>
          <w:lang w:val="es-ES_tradnl"/>
        </w:rPr>
        <w:t xml:space="preserve"> </w:t>
      </w:r>
      <w:r w:rsidR="005E464F" w:rsidRPr="005E464F">
        <w:rPr>
          <w:rFonts w:cs="Arial"/>
          <w:lang w:val="es-ES_tradnl"/>
        </w:rPr>
        <w:t>acordó que se elaboren orientaciones relativas a una petición de un obtentor solicitando el cambio de la denominación registrada de una variedad</w:t>
      </w:r>
      <w:r w:rsidR="005E464F" w:rsidRPr="009B41F4">
        <w:rPr>
          <w:rFonts w:cs="Arial"/>
          <w:lang w:val="es-ES_tradnl"/>
        </w:rPr>
        <w:t xml:space="preserve"> (véase el párrafo 70 del documento CAJ-AG/13/8/10 </w:t>
      </w:r>
      <w:r w:rsidR="005E464F" w:rsidRPr="00055F03">
        <w:rPr>
          <w:rFonts w:cs="Arial"/>
          <w:lang w:val="es-ES_tradnl"/>
        </w:rPr>
        <w:t>“Informe sobre las conclusiones”</w:t>
      </w:r>
      <w:r w:rsidR="005E464F" w:rsidRPr="009B41F4">
        <w:rPr>
          <w:rFonts w:cs="Arial"/>
          <w:lang w:val="es-ES_tradnl"/>
        </w:rPr>
        <w:t>).</w:t>
      </w:r>
      <w:r w:rsidR="001228D1" w:rsidRPr="0041008F">
        <w:rPr>
          <w:rFonts w:cs="Arial"/>
          <w:lang w:val="es-ES_tradnl"/>
        </w:rPr>
        <w:t xml:space="preserve">  </w:t>
      </w:r>
      <w:r w:rsidR="005E464F" w:rsidRPr="009B41F4">
        <w:rPr>
          <w:rFonts w:cs="Arial"/>
          <w:lang w:val="es-ES_tradnl"/>
        </w:rPr>
        <w:t xml:space="preserve">A este respecto, el CAJ-AG acordó las siguientes </w:t>
      </w:r>
      <w:r w:rsidR="005E464F" w:rsidRPr="005E464F">
        <w:rPr>
          <w:rFonts w:cs="Arial"/>
          <w:lang w:val="es-ES_tradnl"/>
        </w:rPr>
        <w:t>orientaciones</w:t>
      </w:r>
      <w:r w:rsidR="005E464F" w:rsidRPr="009B41F4">
        <w:rPr>
          <w:rFonts w:cs="Arial"/>
          <w:lang w:val="es-ES_tradnl"/>
        </w:rPr>
        <w:t>: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1228D1" w:rsidP="00B31A08">
      <w:pPr>
        <w:ind w:left="567" w:right="567"/>
        <w:rPr>
          <w:sz w:val="18"/>
          <w:lang w:val="es-ES_tradnl"/>
        </w:rPr>
      </w:pPr>
      <w:r w:rsidRPr="0041008F">
        <w:rPr>
          <w:sz w:val="18"/>
          <w:lang w:val="es-ES_tradnl"/>
        </w:rPr>
        <w:t>“7.2</w:t>
      </w:r>
      <w:r w:rsidRPr="0041008F">
        <w:rPr>
          <w:sz w:val="18"/>
          <w:lang w:val="es-ES_tradnl"/>
        </w:rPr>
        <w:tab/>
      </w:r>
      <w:r w:rsidR="005E464F" w:rsidRPr="009B41F4">
        <w:rPr>
          <w:sz w:val="18"/>
          <w:lang w:val="es-ES_tradnl"/>
        </w:rPr>
        <w:t xml:space="preserve">Los elementos siguientes </w:t>
      </w:r>
      <w:r w:rsidR="00055F03" w:rsidRPr="009B41F4">
        <w:rPr>
          <w:sz w:val="18"/>
          <w:lang w:val="es-ES_tradnl"/>
        </w:rPr>
        <w:t>constituye</w:t>
      </w:r>
      <w:r w:rsidR="005E464F" w:rsidRPr="009B41F4">
        <w:rPr>
          <w:sz w:val="18"/>
          <w:lang w:val="es-ES_tradnl"/>
        </w:rPr>
        <w:t xml:space="preserve">n </w:t>
      </w:r>
      <w:r w:rsidR="005E464F" w:rsidRPr="00055F03">
        <w:rPr>
          <w:sz w:val="18"/>
          <w:lang w:val="es-ES_tradnl"/>
        </w:rPr>
        <w:t xml:space="preserve">orientaciones </w:t>
      </w:r>
      <w:r w:rsidR="005E464F" w:rsidRPr="005E464F">
        <w:rPr>
          <w:sz w:val="18"/>
          <w:lang w:val="es-ES_tradnl"/>
        </w:rPr>
        <w:t xml:space="preserve">relativas </w:t>
      </w:r>
      <w:r w:rsidR="005E464F" w:rsidRPr="009B41F4">
        <w:rPr>
          <w:sz w:val="18"/>
          <w:lang w:val="es-ES_tradnl"/>
        </w:rPr>
        <w:t>a los cambios de la denominación de variedades registradas:</w:t>
      </w:r>
    </w:p>
    <w:p w:rsidR="00E705FA" w:rsidRPr="0041008F" w:rsidRDefault="00E705FA" w:rsidP="00B31A08">
      <w:pPr>
        <w:ind w:left="567" w:right="567"/>
        <w:rPr>
          <w:sz w:val="18"/>
          <w:lang w:val="es-ES_tradnl"/>
        </w:rPr>
      </w:pPr>
    </w:p>
    <w:p w:rsidR="00E705FA" w:rsidRPr="0041008F" w:rsidRDefault="001228D1" w:rsidP="00B31A08">
      <w:pPr>
        <w:ind w:left="567" w:right="567" w:firstLine="567"/>
        <w:rPr>
          <w:sz w:val="18"/>
          <w:lang w:val="es-ES_tradnl"/>
        </w:rPr>
      </w:pPr>
      <w:r w:rsidRPr="0041008F">
        <w:rPr>
          <w:sz w:val="18"/>
          <w:lang w:val="es-ES_tradnl"/>
        </w:rPr>
        <w:t>a)</w:t>
      </w:r>
      <w:r w:rsidRPr="0041008F">
        <w:rPr>
          <w:sz w:val="18"/>
          <w:lang w:val="es-ES_tradnl"/>
        </w:rPr>
        <w:tab/>
      </w:r>
      <w:r w:rsidR="005E464F" w:rsidRPr="009B41F4">
        <w:rPr>
          <w:sz w:val="18"/>
          <w:lang w:val="es-ES_tradnl"/>
        </w:rPr>
        <w:t>El Convenio de la UPOV establece que cuando</w:t>
      </w:r>
      <w:r w:rsidR="00B4432C" w:rsidRPr="009B41F4">
        <w:rPr>
          <w:sz w:val="18"/>
          <w:lang w:val="es-ES_tradnl"/>
        </w:rPr>
        <w:t xml:space="preserve"> </w:t>
      </w:r>
      <w:r w:rsidR="00B4432C" w:rsidRPr="00B4432C">
        <w:rPr>
          <w:sz w:val="18"/>
          <w:lang w:val="es-ES_tradnl"/>
        </w:rPr>
        <w:t xml:space="preserve">se </w:t>
      </w:r>
      <w:r w:rsidR="00DE07AA">
        <w:rPr>
          <w:sz w:val="18"/>
          <w:lang w:val="es-ES_tradnl"/>
        </w:rPr>
        <w:t xml:space="preserve">cancela </w:t>
      </w:r>
      <w:r w:rsidR="005E464F" w:rsidRPr="009B41F4">
        <w:rPr>
          <w:sz w:val="18"/>
          <w:lang w:val="es-ES_tradnl"/>
        </w:rPr>
        <w:t>la denominación de la variedad tras la concesión del derecho, la denominación registrada debe modificarse.</w:t>
      </w:r>
      <w:r w:rsidRPr="0041008F">
        <w:rPr>
          <w:sz w:val="18"/>
          <w:lang w:val="es-ES_tradnl"/>
        </w:rPr>
        <w:t xml:space="preserve"> </w:t>
      </w:r>
      <w:r w:rsidR="00B4432C" w:rsidRPr="009B41F4">
        <w:rPr>
          <w:sz w:val="18"/>
          <w:lang w:val="es-ES_tradnl"/>
        </w:rPr>
        <w:t xml:space="preserve">La autoridad competente deberá </w:t>
      </w:r>
      <w:r w:rsidR="00DE07AA">
        <w:rPr>
          <w:sz w:val="18"/>
          <w:lang w:val="es-ES_tradnl"/>
        </w:rPr>
        <w:t xml:space="preserve">cancelar </w:t>
      </w:r>
      <w:r w:rsidR="00B4432C" w:rsidRPr="009B41F4">
        <w:rPr>
          <w:sz w:val="18"/>
          <w:lang w:val="es-ES_tradnl"/>
        </w:rPr>
        <w:t>la denominación de una variedad si:</w:t>
      </w:r>
      <w:r w:rsidRPr="0041008F">
        <w:rPr>
          <w:sz w:val="18"/>
          <w:lang w:val="es-ES_tradnl"/>
        </w:rPr>
        <w:t xml:space="preserve"> </w:t>
      </w:r>
    </w:p>
    <w:p w:rsidR="00E705FA" w:rsidRPr="0041008F" w:rsidRDefault="00E705FA" w:rsidP="00B31A08">
      <w:pPr>
        <w:pStyle w:val="ListParagraph"/>
        <w:ind w:left="1287" w:right="567"/>
        <w:rPr>
          <w:sz w:val="18"/>
          <w:lang w:val="es-ES_tradnl"/>
        </w:rPr>
      </w:pPr>
    </w:p>
    <w:p w:rsidR="00E705FA" w:rsidRPr="0041008F" w:rsidRDefault="001228D1" w:rsidP="00B31A08">
      <w:pPr>
        <w:ind w:left="567" w:right="567" w:firstLine="567"/>
        <w:rPr>
          <w:sz w:val="18"/>
          <w:lang w:val="es-ES_tradnl"/>
        </w:rPr>
      </w:pPr>
      <w:r w:rsidRPr="0041008F">
        <w:rPr>
          <w:sz w:val="18"/>
          <w:lang w:val="es-ES_tradnl"/>
        </w:rPr>
        <w:tab/>
        <w:t>i)</w:t>
      </w:r>
      <w:r w:rsidRPr="0041008F">
        <w:rPr>
          <w:sz w:val="18"/>
          <w:lang w:val="es-ES_tradnl"/>
        </w:rPr>
        <w:tab/>
      </w:r>
      <w:r w:rsidR="00B4432C" w:rsidRPr="00B4432C">
        <w:rPr>
          <w:sz w:val="18"/>
          <w:lang w:val="es-ES_tradnl"/>
        </w:rPr>
        <w:t>en virtud de un derecho anterior, la utilización de la denominación de una variedad está prohibida a una persona que está obligada a utilizarla, de conformidad con lo dispuesto en el párrafo 7)</w:t>
      </w:r>
      <w:r w:rsidR="00B4432C" w:rsidRPr="009B41F4">
        <w:rPr>
          <w:sz w:val="18"/>
          <w:lang w:val="es-ES_tradnl"/>
        </w:rPr>
        <w:t xml:space="preserve"> (véase el párrafo 4 “</w:t>
      </w:r>
      <w:r w:rsidR="00B4432C" w:rsidRPr="00B4432C">
        <w:rPr>
          <w:sz w:val="18"/>
          <w:lang w:val="es-ES_tradnl"/>
        </w:rPr>
        <w:t>Derechos anteriores de terceros</w:t>
      </w:r>
      <w:r w:rsidR="00B4432C" w:rsidRPr="009B41F4">
        <w:rPr>
          <w:sz w:val="18"/>
          <w:lang w:val="es-ES_tradnl"/>
        </w:rPr>
        <w:t>”);</w:t>
      </w:r>
      <w:r w:rsidRPr="0041008F">
        <w:rPr>
          <w:sz w:val="18"/>
          <w:lang w:val="es-ES_tradnl"/>
        </w:rPr>
        <w:t xml:space="preserve"> </w:t>
      </w:r>
    </w:p>
    <w:p w:rsidR="00E705FA" w:rsidRPr="0041008F" w:rsidRDefault="00E705FA" w:rsidP="00B31A08">
      <w:pPr>
        <w:ind w:left="567" w:right="567" w:firstLine="567"/>
        <w:rPr>
          <w:sz w:val="18"/>
          <w:lang w:val="es-ES_tradnl"/>
        </w:rPr>
      </w:pPr>
    </w:p>
    <w:p w:rsidR="00E705FA" w:rsidRPr="0041008F" w:rsidRDefault="001228D1" w:rsidP="00B31A08">
      <w:pPr>
        <w:ind w:left="567" w:right="567" w:firstLine="567"/>
        <w:rPr>
          <w:sz w:val="18"/>
          <w:lang w:val="es-ES_tradnl"/>
        </w:rPr>
      </w:pPr>
      <w:r w:rsidRPr="0041008F">
        <w:rPr>
          <w:sz w:val="18"/>
          <w:lang w:val="es-ES_tradnl"/>
        </w:rPr>
        <w:tab/>
        <w:t>ii)</w:t>
      </w:r>
      <w:r w:rsidRPr="0041008F">
        <w:rPr>
          <w:sz w:val="18"/>
          <w:lang w:val="es-ES_tradnl"/>
        </w:rPr>
        <w:tab/>
      </w:r>
      <w:r w:rsidR="00B4432C" w:rsidRPr="00E51EB2">
        <w:rPr>
          <w:sz w:val="18"/>
          <w:lang w:val="es-ES_tradnl"/>
        </w:rPr>
        <w:t>la denominación resultara inadecuada por ser contraria a las disposiciones del</w:t>
      </w:r>
      <w:r w:rsidR="00B4432C" w:rsidRPr="009B41F4">
        <w:rPr>
          <w:sz w:val="18"/>
          <w:lang w:val="es-ES_tradnl"/>
        </w:rPr>
        <w:t xml:space="preserve"> párrafo 2 “</w:t>
      </w:r>
      <w:r w:rsidR="00E51EB2" w:rsidRPr="00E51EB2">
        <w:rPr>
          <w:sz w:val="18"/>
          <w:lang w:val="es-ES_tradnl"/>
        </w:rPr>
        <w:t>Características de la denominación</w:t>
      </w:r>
      <w:r w:rsidR="00B4432C" w:rsidRPr="009B41F4">
        <w:rPr>
          <w:sz w:val="18"/>
          <w:lang w:val="es-ES_tradnl"/>
        </w:rPr>
        <w:t>”;</w:t>
      </w:r>
      <w:r w:rsidRPr="0041008F">
        <w:rPr>
          <w:sz w:val="18"/>
          <w:lang w:val="es-ES_tradnl"/>
        </w:rPr>
        <w:t xml:space="preserve"> </w:t>
      </w:r>
    </w:p>
    <w:p w:rsidR="00E705FA" w:rsidRPr="0041008F" w:rsidRDefault="00E705FA" w:rsidP="00B31A08">
      <w:pPr>
        <w:pStyle w:val="ListParagraph"/>
        <w:ind w:left="2421" w:right="567"/>
        <w:rPr>
          <w:sz w:val="18"/>
          <w:lang w:val="es-ES_tradnl"/>
        </w:rPr>
      </w:pPr>
    </w:p>
    <w:p w:rsidR="00E705FA" w:rsidRPr="0041008F" w:rsidRDefault="001228D1" w:rsidP="00B31A08">
      <w:pPr>
        <w:ind w:left="567" w:right="567" w:firstLine="567"/>
        <w:rPr>
          <w:sz w:val="18"/>
          <w:lang w:val="es-ES_tradnl"/>
        </w:rPr>
      </w:pPr>
      <w:r w:rsidRPr="0041008F">
        <w:rPr>
          <w:sz w:val="18"/>
          <w:lang w:val="es-ES_tradnl"/>
        </w:rPr>
        <w:t>b)</w:t>
      </w:r>
      <w:r w:rsidRPr="0041008F">
        <w:rPr>
          <w:sz w:val="18"/>
          <w:lang w:val="es-ES_tradnl"/>
        </w:rPr>
        <w:tab/>
      </w:r>
      <w:r w:rsidR="00E51EB2" w:rsidRPr="009B41F4">
        <w:rPr>
          <w:sz w:val="18"/>
          <w:lang w:val="es-ES_tradnl"/>
        </w:rPr>
        <w:t xml:space="preserve">En casos en que la denominación registrada es </w:t>
      </w:r>
      <w:r w:rsidR="00E51EB2" w:rsidRPr="00E51EB2">
        <w:rPr>
          <w:sz w:val="18"/>
          <w:lang w:val="es-ES_tradnl"/>
        </w:rPr>
        <w:t>rechazada posteriormente por otro miembro de la Unión</w:t>
      </w:r>
      <w:r w:rsidR="00E51EB2" w:rsidRPr="009B41F4">
        <w:rPr>
          <w:sz w:val="18"/>
          <w:lang w:val="es-ES_tradnl"/>
        </w:rPr>
        <w:t xml:space="preserve"> por ser inadecuada en su territorio (por ejemplo, por un </w:t>
      </w:r>
      <w:r w:rsidR="00E51EB2" w:rsidRPr="00E51EB2">
        <w:rPr>
          <w:sz w:val="18"/>
          <w:lang w:val="es-ES_tradnl"/>
        </w:rPr>
        <w:t>derecho anterior</w:t>
      </w:r>
      <w:r w:rsidR="00E51EB2" w:rsidRPr="009B41F4">
        <w:rPr>
          <w:sz w:val="18"/>
          <w:lang w:val="es-ES_tradnl"/>
        </w:rPr>
        <w:t>), la autoridad puede considerar oportuno</w:t>
      </w:r>
      <w:r w:rsidR="00341BD4" w:rsidRPr="009B41F4">
        <w:rPr>
          <w:sz w:val="18"/>
          <w:lang w:val="es-ES_tradnl"/>
        </w:rPr>
        <w:t>,</w:t>
      </w:r>
      <w:r w:rsidR="00E51EB2" w:rsidRPr="009B41F4">
        <w:rPr>
          <w:sz w:val="18"/>
          <w:lang w:val="es-ES_tradnl"/>
        </w:rPr>
        <w:t xml:space="preserve"> </w:t>
      </w:r>
      <w:r w:rsidR="00341BD4" w:rsidRPr="00E51EB2">
        <w:rPr>
          <w:sz w:val="18"/>
          <w:lang w:val="es-ES_tradnl"/>
        </w:rPr>
        <w:t>a petición del obtentor</w:t>
      </w:r>
      <w:r w:rsidR="00341BD4" w:rsidRPr="009B41F4">
        <w:rPr>
          <w:sz w:val="18"/>
          <w:lang w:val="es-ES_tradnl"/>
        </w:rPr>
        <w:t xml:space="preserve">, </w:t>
      </w:r>
      <w:r w:rsidR="00E51EB2" w:rsidRPr="00E51EB2">
        <w:rPr>
          <w:sz w:val="18"/>
          <w:lang w:val="es-ES_tradnl"/>
        </w:rPr>
        <w:t>cambiar la denominación por la registrada en ese otro miembro de la Unión</w:t>
      </w:r>
      <w:r w:rsidR="00E51EB2" w:rsidRPr="009B41F4">
        <w:rPr>
          <w:sz w:val="18"/>
          <w:lang w:val="es-ES_tradnl"/>
        </w:rPr>
        <w:t xml:space="preserve"> (véanse las disposiciones del párrafo 5 “</w:t>
      </w:r>
      <w:r w:rsidR="00E51EB2" w:rsidRPr="00E51EB2">
        <w:rPr>
          <w:sz w:val="18"/>
          <w:lang w:val="es-ES_tradnl"/>
        </w:rPr>
        <w:t>Misma denominación en todas las Partes Contratantes</w:t>
      </w:r>
      <w:r w:rsidR="00E51EB2" w:rsidRPr="009B41F4">
        <w:rPr>
          <w:sz w:val="18"/>
          <w:lang w:val="es-ES_tradnl"/>
        </w:rPr>
        <w:t>”); y</w:t>
      </w:r>
    </w:p>
    <w:p w:rsidR="00E705FA" w:rsidRPr="0041008F" w:rsidRDefault="00E705FA" w:rsidP="00B31A08">
      <w:pPr>
        <w:ind w:left="567" w:right="567"/>
        <w:rPr>
          <w:sz w:val="18"/>
          <w:lang w:val="es-ES_tradnl"/>
        </w:rPr>
      </w:pPr>
    </w:p>
    <w:p w:rsidR="00E705FA" w:rsidRPr="0041008F" w:rsidRDefault="001228D1" w:rsidP="00B31A08">
      <w:pPr>
        <w:ind w:left="567" w:right="567" w:firstLine="567"/>
        <w:rPr>
          <w:sz w:val="18"/>
          <w:lang w:val="es-ES_tradnl"/>
        </w:rPr>
      </w:pPr>
      <w:r w:rsidRPr="0041008F">
        <w:rPr>
          <w:sz w:val="18"/>
          <w:lang w:val="es-ES_tradnl"/>
        </w:rPr>
        <w:t>c)</w:t>
      </w:r>
      <w:r w:rsidRPr="0041008F">
        <w:rPr>
          <w:sz w:val="18"/>
          <w:lang w:val="es-ES_tradnl"/>
        </w:rPr>
        <w:tab/>
      </w:r>
      <w:r w:rsidR="00DB5D84" w:rsidRPr="009B41F4">
        <w:rPr>
          <w:sz w:val="18"/>
          <w:lang w:val="es-ES_tradnl"/>
        </w:rPr>
        <w:t>E</w:t>
      </w:r>
      <w:r w:rsidR="00E51EB2" w:rsidRPr="009B41F4">
        <w:rPr>
          <w:sz w:val="18"/>
          <w:lang w:val="es-ES_tradnl"/>
        </w:rPr>
        <w:t>n general, s</w:t>
      </w:r>
      <w:r w:rsidR="00DB5D84" w:rsidRPr="009B41F4">
        <w:rPr>
          <w:sz w:val="18"/>
          <w:lang w:val="es-ES_tradnl"/>
        </w:rPr>
        <w:t xml:space="preserve">alvo en los casos </w:t>
      </w:r>
      <w:r w:rsidR="00E51EB2" w:rsidRPr="009B41F4">
        <w:rPr>
          <w:sz w:val="18"/>
          <w:lang w:val="es-ES_tradnl"/>
        </w:rPr>
        <w:t xml:space="preserve">a) </w:t>
      </w:r>
      <w:r w:rsidR="00DB5D84" w:rsidRPr="009B41F4">
        <w:rPr>
          <w:sz w:val="18"/>
          <w:lang w:val="es-ES_tradnl"/>
        </w:rPr>
        <w:t xml:space="preserve">y </w:t>
      </w:r>
      <w:r w:rsidR="00E51EB2" w:rsidRPr="009B41F4">
        <w:rPr>
          <w:sz w:val="18"/>
          <w:lang w:val="es-ES_tradnl"/>
        </w:rPr>
        <w:t xml:space="preserve">b) </w:t>
      </w:r>
      <w:r w:rsidR="00DB5D84" w:rsidRPr="009B41F4">
        <w:rPr>
          <w:sz w:val="18"/>
          <w:lang w:val="es-ES_tradnl"/>
        </w:rPr>
        <w:t>indicados</w:t>
      </w:r>
      <w:r w:rsidR="00E51EB2" w:rsidRPr="009B41F4">
        <w:rPr>
          <w:sz w:val="18"/>
          <w:lang w:val="es-ES_tradnl"/>
        </w:rPr>
        <w:t>, no</w:t>
      </w:r>
      <w:r w:rsidR="00DB5D84" w:rsidRPr="009B41F4">
        <w:rPr>
          <w:sz w:val="18"/>
          <w:lang w:val="es-ES_tradnl"/>
        </w:rPr>
        <w:t xml:space="preserve"> ser</w:t>
      </w:r>
      <w:r w:rsidR="00341BD4" w:rsidRPr="009B41F4">
        <w:rPr>
          <w:sz w:val="18"/>
          <w:lang w:val="es-ES_tradnl"/>
        </w:rPr>
        <w:t xml:space="preserve">á </w:t>
      </w:r>
      <w:r w:rsidR="00DB5D84" w:rsidRPr="009B41F4">
        <w:rPr>
          <w:sz w:val="18"/>
          <w:lang w:val="es-ES_tradnl"/>
        </w:rPr>
        <w:t>pertinente que la aut</w:t>
      </w:r>
      <w:r w:rsidR="00E51EB2" w:rsidRPr="009B41F4">
        <w:rPr>
          <w:sz w:val="18"/>
          <w:lang w:val="es-ES_tradnl"/>
        </w:rPr>
        <w:t>ori</w:t>
      </w:r>
      <w:r w:rsidR="00DB5D84" w:rsidRPr="009B41F4">
        <w:rPr>
          <w:sz w:val="18"/>
          <w:lang w:val="es-ES_tradnl"/>
        </w:rPr>
        <w:t>dad cambie, a petición del obtentor, un</w:t>
      </w:r>
      <w:r w:rsidR="00E51EB2" w:rsidRPr="009B41F4">
        <w:rPr>
          <w:sz w:val="18"/>
          <w:lang w:val="es-ES_tradnl"/>
        </w:rPr>
        <w:t xml:space="preserve">a </w:t>
      </w:r>
      <w:r w:rsidR="00DB5D84" w:rsidRPr="009B41F4">
        <w:rPr>
          <w:sz w:val="18"/>
          <w:lang w:val="es-ES_tradnl"/>
        </w:rPr>
        <w:t>denominación registrada</w:t>
      </w:r>
      <w:r w:rsidR="00E51EB2" w:rsidRPr="009B41F4">
        <w:rPr>
          <w:sz w:val="18"/>
          <w:lang w:val="es-ES_tradnl"/>
        </w:rPr>
        <w:t>.”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rFonts w:cs="Arial"/>
          <w:lang w:val="es-ES_tradnl"/>
        </w:rPr>
      </w:pPr>
      <w:r w:rsidRPr="009B41F4">
        <w:rPr>
          <w:rFonts w:cs="Arial"/>
        </w:rPr>
        <w:fldChar w:fldCharType="begin"/>
      </w:r>
      <w:r w:rsidR="001228D1" w:rsidRPr="0041008F">
        <w:rPr>
          <w:rFonts w:cs="Arial"/>
          <w:lang w:val="es-ES_tradnl"/>
        </w:rPr>
        <w:instrText xml:space="preserve"> AUTONUM  </w:instrText>
      </w:r>
      <w:r w:rsidRPr="009B41F4">
        <w:rPr>
          <w:rFonts w:cs="Arial"/>
        </w:rPr>
        <w:fldChar w:fldCharType="end"/>
      </w:r>
      <w:r w:rsidR="001228D1" w:rsidRPr="0041008F">
        <w:rPr>
          <w:rFonts w:cs="Arial"/>
          <w:lang w:val="es-ES_tradnl"/>
        </w:rPr>
        <w:tab/>
      </w:r>
      <w:r w:rsidR="00DB5D84" w:rsidRPr="009B41F4">
        <w:rPr>
          <w:rFonts w:cs="Arial"/>
          <w:lang w:val="es-ES_tradnl"/>
        </w:rPr>
        <w:t>Tras la distribución por correspondencia del documento </w:t>
      </w:r>
      <w:r w:rsidR="00DB5D84" w:rsidRPr="009B41F4">
        <w:rPr>
          <w:lang w:val="es-ES_tradnl"/>
        </w:rPr>
        <w:t>UPOV/INF/12/5 Draft 1, s</w:t>
      </w:r>
      <w:r w:rsidR="00DB5D84" w:rsidRPr="009B41F4">
        <w:rPr>
          <w:rFonts w:cs="Arial"/>
          <w:lang w:val="es-ES_tradnl"/>
        </w:rPr>
        <w:t xml:space="preserve">e recibieron propuestas relativas a otros aspectos </w:t>
      </w:r>
      <w:r w:rsidR="00341BD4" w:rsidRPr="009B41F4">
        <w:rPr>
          <w:rFonts w:cs="Arial"/>
          <w:lang w:val="es-ES_tradnl"/>
        </w:rPr>
        <w:t xml:space="preserve">de </w:t>
      </w:r>
      <w:r w:rsidR="00DB5D84" w:rsidRPr="009B41F4">
        <w:rPr>
          <w:rFonts w:cs="Arial"/>
          <w:lang w:val="es-ES_tradnl"/>
        </w:rPr>
        <w:t xml:space="preserve">las </w:t>
      </w:r>
      <w:r w:rsidR="00DB5D84" w:rsidRPr="00DB5D84">
        <w:rPr>
          <w:rFonts w:cs="Arial"/>
          <w:lang w:val="es-ES_tradnl"/>
        </w:rPr>
        <w:t>notas explicativas</w:t>
      </w:r>
      <w:r w:rsidR="00DB5D84" w:rsidRPr="009B41F4">
        <w:rPr>
          <w:lang w:val="es-ES_tradnl"/>
        </w:rPr>
        <w:t xml:space="preserve">, y el </w:t>
      </w:r>
      <w:r w:rsidR="00DB5D84" w:rsidRPr="009B41F4">
        <w:rPr>
          <w:rFonts w:cs="Arial"/>
          <w:lang w:val="es-ES_tradnl"/>
        </w:rPr>
        <w:t xml:space="preserve">CAJ­AG </w:t>
      </w:r>
      <w:r w:rsidR="00341BD4" w:rsidRPr="009B41F4">
        <w:rPr>
          <w:rFonts w:cs="Arial"/>
          <w:lang w:val="es-ES_tradnl"/>
        </w:rPr>
        <w:t xml:space="preserve">acordó </w:t>
      </w:r>
      <w:r w:rsidR="00DB5D84" w:rsidRPr="009B41F4">
        <w:rPr>
          <w:rFonts w:cs="Arial"/>
          <w:lang w:val="es-ES_tradnl"/>
        </w:rPr>
        <w:t>realizar un examen inicial de esas otras propuestas, con el fin de prestar asistencia al CAJ.</w:t>
      </w:r>
    </w:p>
    <w:p w:rsidR="00E705FA" w:rsidRPr="0041008F" w:rsidRDefault="00E705FA" w:rsidP="00B31A08">
      <w:pPr>
        <w:rPr>
          <w:rFonts w:cs="Arial"/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DB5D84" w:rsidRPr="009B41F4">
        <w:rPr>
          <w:lang w:val="es-ES_tradnl"/>
        </w:rPr>
        <w:t>El CAJ-AG aceptó las sugerencias siguientes:</w:t>
      </w:r>
      <w:r w:rsidR="001228D1" w:rsidRPr="0041008F">
        <w:rPr>
          <w:lang w:val="es-ES_tradnl"/>
        </w:rPr>
        <w:t xml:space="preserve"> </w:t>
      </w:r>
    </w:p>
    <w:p w:rsidR="001228D1" w:rsidRPr="0041008F" w:rsidRDefault="001228D1" w:rsidP="00B31A08">
      <w:pPr>
        <w:keepNext/>
        <w:rPr>
          <w:rFonts w:cs="Arial"/>
          <w:lang w:val="es-ES_tradnl"/>
        </w:rPr>
      </w:pPr>
    </w:p>
    <w:tbl>
      <w:tblPr>
        <w:tblW w:w="9180" w:type="dxa"/>
        <w:tblInd w:w="56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left w:w="57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41008F" w:rsidRDefault="00830DFC" w:rsidP="00B31A08">
            <w:pPr>
              <w:rPr>
                <w:rFonts w:cs="Arial"/>
              </w:rPr>
            </w:pPr>
            <w:r w:rsidRPr="0041008F">
              <w:rPr>
                <w:rFonts w:cs="Arial"/>
                <w:lang w:val="es-ES_tradnl"/>
              </w:rPr>
              <w:t>2.2.2.</w:t>
            </w:r>
            <w:r w:rsidR="00E705FA" w:rsidRPr="0041008F">
              <w:rPr>
                <w:rFonts w:cs="Arial"/>
                <w:lang w:val="es-ES_tradnl"/>
              </w:rPr>
              <w:t>b)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snapToGrid w:val="0"/>
                <w:lang w:val="es-ES_tradnl"/>
              </w:rPr>
            </w:pPr>
            <w:r w:rsidRPr="0041008F">
              <w:rPr>
                <w:snapToGrid w:val="0"/>
                <w:lang w:val="es-ES_tradnl"/>
              </w:rPr>
              <w:t>Debe a</w:t>
            </w:r>
            <w:r w:rsidR="00DB5D84" w:rsidRPr="0041008F">
              <w:rPr>
                <w:snapToGrid w:val="0"/>
                <w:lang w:val="es-ES_tradnl"/>
              </w:rPr>
              <w:t>clarar</w:t>
            </w:r>
            <w:r w:rsidRPr="0041008F">
              <w:rPr>
                <w:snapToGrid w:val="0"/>
                <w:lang w:val="es-ES_tradnl"/>
              </w:rPr>
              <w:t>se</w:t>
            </w:r>
            <w:r w:rsidR="00DB5D84" w:rsidRPr="0041008F">
              <w:rPr>
                <w:snapToGrid w:val="0"/>
                <w:lang w:val="es-ES_tradnl"/>
              </w:rPr>
              <w:t xml:space="preserve"> la terminología empleada en </w:t>
            </w:r>
            <w:r w:rsidR="00341BD4" w:rsidRPr="0041008F">
              <w:rPr>
                <w:snapToGrid w:val="0"/>
                <w:lang w:val="es-ES_tradnl"/>
              </w:rPr>
              <w:t xml:space="preserve">el inciso </w:t>
            </w:r>
            <w:r w:rsidR="00DB5D84" w:rsidRPr="0041008F">
              <w:rPr>
                <w:lang w:val="es-ES_tradnl"/>
              </w:rPr>
              <w:t>2.2.2 b)</w:t>
            </w:r>
            <w:r w:rsidR="00DB5D84" w:rsidRPr="0041008F">
              <w:rPr>
                <w:snapToGrid w:val="0"/>
                <w:lang w:val="es-ES_tradnl"/>
              </w:rPr>
              <w:t>.</w:t>
            </w:r>
            <w:r w:rsidR="001228D1" w:rsidRPr="0041008F">
              <w:rPr>
                <w:snapToGrid w:val="0"/>
                <w:lang w:val="es-ES_tradnl"/>
              </w:rPr>
              <w:t xml:space="preserve"> </w:t>
            </w:r>
            <w:r w:rsidR="00DB5D84" w:rsidRPr="0041008F">
              <w:rPr>
                <w:snapToGrid w:val="0"/>
                <w:lang w:val="es-ES_tradnl"/>
              </w:rPr>
              <w:t xml:space="preserve">En particular, </w:t>
            </w:r>
            <w:r w:rsidRPr="0041008F">
              <w:rPr>
                <w:snapToGrid w:val="0"/>
                <w:lang w:val="es-ES_tradnl"/>
              </w:rPr>
              <w:t xml:space="preserve">debe </w:t>
            </w:r>
            <w:r w:rsidR="00DB5D84" w:rsidRPr="0041008F">
              <w:rPr>
                <w:snapToGrid w:val="0"/>
                <w:lang w:val="es-ES_tradnl"/>
              </w:rPr>
              <w:t>considerar</w:t>
            </w:r>
            <w:r w:rsidRPr="0041008F">
              <w:rPr>
                <w:snapToGrid w:val="0"/>
                <w:lang w:val="es-ES_tradnl"/>
              </w:rPr>
              <w:t>se</w:t>
            </w:r>
            <w:r w:rsidR="00DB5D84" w:rsidRPr="0041008F">
              <w:rPr>
                <w:snapToGrid w:val="0"/>
                <w:lang w:val="es-ES_tradnl"/>
              </w:rPr>
              <w:t xml:space="preserve"> </w:t>
            </w:r>
            <w:r w:rsidR="00341BD4" w:rsidRPr="0041008F">
              <w:rPr>
                <w:snapToGrid w:val="0"/>
                <w:lang w:val="es-ES_tradnl"/>
              </w:rPr>
              <w:t xml:space="preserve">la modificación de </w:t>
            </w:r>
            <w:r w:rsidR="00DB5D84" w:rsidRPr="0041008F">
              <w:rPr>
                <w:snapToGrid w:val="0"/>
                <w:lang w:val="es-ES_tradnl"/>
              </w:rPr>
              <w:t>los ejemplos o la sustitución de “especies” por “géneros” o “taxones” en la frase siguiente:</w:t>
            </w:r>
          </w:p>
          <w:p w:rsidR="00E705FA" w:rsidRPr="0041008F" w:rsidRDefault="00E705FA" w:rsidP="00B31A08">
            <w:pPr>
              <w:rPr>
                <w:snapToGrid w:val="0"/>
                <w:lang w:val="es-ES_tradnl"/>
              </w:rPr>
            </w:pPr>
          </w:p>
          <w:p w:rsidR="001228D1" w:rsidRPr="0041008F" w:rsidRDefault="009D52E5" w:rsidP="00B31A08">
            <w:pPr>
              <w:rPr>
                <w:snapToGrid w:val="0"/>
                <w:lang w:val="es-ES"/>
              </w:rPr>
            </w:pPr>
            <w:r w:rsidRPr="0041008F">
              <w:rPr>
                <w:snapToGrid w:val="0"/>
                <w:lang w:val="es-ES_tradnl"/>
              </w:rPr>
              <w:t>“</w:t>
            </w:r>
            <w:r w:rsidR="00E705FA" w:rsidRPr="0041008F">
              <w:rPr>
                <w:snapToGrid w:val="0"/>
                <w:lang w:val="es-ES_tradnl"/>
              </w:rPr>
              <w:t>b)</w:t>
            </w:r>
            <w:r w:rsidRPr="0041008F">
              <w:rPr>
                <w:snapToGrid w:val="0"/>
                <w:lang w:val="es-ES_tradnl"/>
              </w:rPr>
              <w:tab/>
            </w:r>
            <w:r w:rsidR="00F97307" w:rsidRPr="0041008F">
              <w:rPr>
                <w:snapToGrid w:val="0"/>
                <w:lang w:val="es-ES_tradnl"/>
              </w:rPr>
              <w:t>prácticas de comercialización aceptadas para determinados tipos de variedades (por ejemplo, los híbridos) y ciertas especies (por ejemplo, Medicago, Helianthus).”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383DE4" w:rsidRDefault="00830DFC" w:rsidP="00B31A08">
            <w:pPr>
              <w:rPr>
                <w:rFonts w:cs="Arial"/>
                <w:color w:val="808080"/>
              </w:rPr>
            </w:pPr>
            <w:r w:rsidRPr="0041008F">
              <w:rPr>
                <w:rFonts w:cs="Arial"/>
                <w:lang w:val="es-ES_tradnl"/>
              </w:rPr>
              <w:lastRenderedPageBreak/>
              <w:t>2.2.2.</w:t>
            </w:r>
            <w:r w:rsidR="00E705FA" w:rsidRPr="0041008F">
              <w:rPr>
                <w:rFonts w:cs="Arial"/>
                <w:lang w:val="es-ES_tradnl"/>
              </w:rPr>
              <w:t>c)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>Debe a</w:t>
            </w:r>
            <w:r w:rsidR="003009C4" w:rsidRPr="009B41F4">
              <w:rPr>
                <w:rFonts w:cs="Arial"/>
                <w:lang w:val="es-ES_tradnl"/>
              </w:rPr>
              <w:t>ñadir</w:t>
            </w:r>
            <w:r w:rsidRPr="009B41F4">
              <w:rPr>
                <w:rFonts w:cs="Arial"/>
                <w:lang w:val="es-ES_tradnl"/>
              </w:rPr>
              <w:t>se</w:t>
            </w:r>
            <w:r w:rsidR="003009C4" w:rsidRPr="009B41F4">
              <w:rPr>
                <w:rFonts w:cs="Arial"/>
                <w:lang w:val="es-ES_tradnl"/>
              </w:rPr>
              <w:t xml:space="preserve"> el siguiente </w:t>
            </w:r>
            <w:r w:rsidR="00B067B0" w:rsidRPr="00B067B0">
              <w:rPr>
                <w:rFonts w:cs="Arial"/>
                <w:lang w:val="es-ES_tradnl"/>
              </w:rPr>
              <w:t>inciso</w:t>
            </w:r>
            <w:r w:rsidR="003009C4" w:rsidRPr="009B41F4">
              <w:rPr>
                <w:rFonts w:cs="Arial"/>
                <w:lang w:val="es-ES_tradnl"/>
              </w:rPr>
              <w:t xml:space="preserve"> 2.2.2 c):</w:t>
            </w:r>
          </w:p>
          <w:p w:rsidR="00E705FA" w:rsidRPr="0041008F" w:rsidRDefault="00E705FA" w:rsidP="00B31A08">
            <w:pPr>
              <w:rPr>
                <w:rFonts w:cs="Arial"/>
                <w:lang w:val="es-ES_tradnl"/>
              </w:rPr>
            </w:pPr>
          </w:p>
          <w:p w:rsidR="001228D1" w:rsidRPr="0041008F" w:rsidRDefault="006F03AB" w:rsidP="000D265F">
            <w:pPr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“</w:t>
            </w:r>
            <w:r w:rsidR="001228D1" w:rsidRPr="0041008F">
              <w:rPr>
                <w:rFonts w:cs="Arial"/>
                <w:lang w:val="es-ES_tradnl"/>
              </w:rPr>
              <w:t>c)</w:t>
            </w:r>
            <w:r w:rsidR="001228D1" w:rsidRPr="0041008F">
              <w:rPr>
                <w:rFonts w:cs="Arial"/>
                <w:lang w:val="es-ES_tradnl"/>
              </w:rPr>
              <w:tab/>
            </w:r>
            <w:r w:rsidR="003009C4" w:rsidRPr="009B41F4">
              <w:rPr>
                <w:rFonts w:cs="Arial"/>
                <w:lang w:val="es-ES_tradnl"/>
              </w:rPr>
              <w:t xml:space="preserve">se determina </w:t>
            </w:r>
            <w:r w:rsidR="00304E4F" w:rsidRPr="009B41F4">
              <w:rPr>
                <w:rFonts w:cs="Arial"/>
                <w:lang w:val="es-ES_tradnl"/>
              </w:rPr>
              <w:t xml:space="preserve">como </w:t>
            </w:r>
            <w:r w:rsidR="003009C4" w:rsidRPr="009B41F4">
              <w:rPr>
                <w:rFonts w:cs="Arial"/>
                <w:lang w:val="es-ES_tradnl"/>
              </w:rPr>
              <w:t>‘</w:t>
            </w:r>
            <w:r w:rsidR="003009C4" w:rsidRPr="00304E4F">
              <w:rPr>
                <w:rFonts w:cs="Arial"/>
                <w:lang w:val="es-ES_tradnl"/>
              </w:rPr>
              <w:t>práctica establecida</w:t>
            </w:r>
            <w:r w:rsidR="003009C4" w:rsidRPr="009B41F4">
              <w:rPr>
                <w:rFonts w:cs="Arial"/>
                <w:lang w:val="es-ES_tradnl"/>
              </w:rPr>
              <w:t xml:space="preserve">’ </w:t>
            </w:r>
            <w:r w:rsidR="000D265F">
              <w:rPr>
                <w:rFonts w:cs="Arial"/>
                <w:lang w:val="es-ES_tradnl"/>
              </w:rPr>
              <w:t xml:space="preserve">cuando el registro ha sido aceptado para </w:t>
            </w:r>
            <w:r w:rsidR="003009C4" w:rsidRPr="009B41F4">
              <w:rPr>
                <w:rFonts w:cs="Arial"/>
                <w:lang w:val="es-ES_tradnl"/>
              </w:rPr>
              <w:t xml:space="preserve">una especie o grupo, de modo que puede usarse en otras especies que no han registrado aún ninguna variedad cuya denominación </w:t>
            </w:r>
            <w:r w:rsidR="00304E4F" w:rsidRPr="009B41F4">
              <w:rPr>
                <w:rFonts w:cs="Arial"/>
                <w:lang w:val="es-ES_tradnl"/>
              </w:rPr>
              <w:t xml:space="preserve">se componga </w:t>
            </w:r>
            <w:r w:rsidR="003009C4" w:rsidRPr="00304E4F">
              <w:rPr>
                <w:rFonts w:cs="Arial"/>
                <w:lang w:val="es-ES_tradnl"/>
              </w:rPr>
              <w:t>únicamente de cifras</w:t>
            </w:r>
            <w:r w:rsidR="003009C4" w:rsidRPr="009B41F4">
              <w:rPr>
                <w:rFonts w:cs="Arial"/>
                <w:lang w:val="es-ES_tradnl"/>
              </w:rPr>
              <w:t>.”</w:t>
            </w:r>
          </w:p>
        </w:tc>
      </w:tr>
      <w:tr w:rsidR="001228D1" w:rsidRPr="00993257" w:rsidTr="003B1E4A">
        <w:trPr>
          <w:cantSplit/>
        </w:trPr>
        <w:tc>
          <w:tcPr>
            <w:tcW w:w="1391" w:type="dxa"/>
          </w:tcPr>
          <w:p w:rsidR="001228D1" w:rsidRPr="0041008F" w:rsidRDefault="00830DFC" w:rsidP="00B31A08">
            <w:pPr>
              <w:rPr>
                <w:rFonts w:cs="Arial"/>
              </w:rPr>
            </w:pPr>
            <w:r w:rsidRPr="0041008F">
              <w:rPr>
                <w:rFonts w:cs="Arial"/>
                <w:lang w:val="es-ES_tradnl"/>
              </w:rPr>
              <w:t>2.3.1.</w:t>
            </w:r>
            <w:r w:rsidR="00E705FA" w:rsidRPr="0041008F">
              <w:rPr>
                <w:rFonts w:cs="Arial"/>
                <w:lang w:val="es-ES_tradnl"/>
              </w:rPr>
              <w:t>c)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lang w:val="es-ES_tradnl"/>
              </w:rPr>
            </w:pPr>
            <w:r w:rsidRPr="0041008F">
              <w:rPr>
                <w:lang w:val="es-ES_tradnl"/>
              </w:rPr>
              <w:t>Deben e</w:t>
            </w:r>
            <w:r w:rsidR="003009C4" w:rsidRPr="0041008F">
              <w:rPr>
                <w:lang w:val="es-ES_tradnl"/>
              </w:rPr>
              <w:t>laborar</w:t>
            </w:r>
            <w:r w:rsidRPr="0041008F">
              <w:rPr>
                <w:lang w:val="es-ES_tradnl"/>
              </w:rPr>
              <w:t>se</w:t>
            </w:r>
            <w:r w:rsidR="003009C4" w:rsidRPr="0041008F">
              <w:rPr>
                <w:lang w:val="es-ES_tradnl"/>
              </w:rPr>
              <w:t xml:space="preserve"> orientaciones adicionales sobre el </w:t>
            </w:r>
            <w:r w:rsidR="00B067B0" w:rsidRPr="0041008F">
              <w:rPr>
                <w:lang w:val="es-ES_tradnl"/>
              </w:rPr>
              <w:t>inciso</w:t>
            </w:r>
            <w:r w:rsidR="003009C4" w:rsidRPr="0041008F">
              <w:rPr>
                <w:lang w:val="es-ES_tradnl"/>
              </w:rPr>
              <w:t> 2.3.1 c) y proporcionar</w:t>
            </w:r>
            <w:r w:rsidR="00304E4F" w:rsidRPr="0041008F">
              <w:rPr>
                <w:lang w:val="es-ES_tradnl"/>
              </w:rPr>
              <w:t>se</w:t>
            </w:r>
            <w:r w:rsidR="003009C4" w:rsidRPr="0041008F">
              <w:rPr>
                <w:lang w:val="es-ES_tradnl"/>
              </w:rPr>
              <w:t xml:space="preserve"> otros ejemplos más pertinentes</w:t>
            </w:r>
          </w:p>
          <w:p w:rsidR="00E705FA" w:rsidRPr="0041008F" w:rsidRDefault="00E705FA" w:rsidP="00B31A08">
            <w:pPr>
              <w:keepNext/>
              <w:rPr>
                <w:lang w:val="es-ES_tradnl"/>
              </w:rPr>
            </w:pPr>
          </w:p>
          <w:p w:rsidR="00E705FA" w:rsidRPr="0041008F" w:rsidRDefault="009D52E5" w:rsidP="00B31A08">
            <w:pPr>
              <w:keepNext/>
              <w:rPr>
                <w:lang w:val="es-ES"/>
              </w:rPr>
            </w:pPr>
            <w:r w:rsidRPr="0041008F">
              <w:rPr>
                <w:lang w:val="es-ES_tradnl"/>
              </w:rPr>
              <w:t>“</w:t>
            </w:r>
            <w:r w:rsidR="00E705FA" w:rsidRPr="0041008F">
              <w:rPr>
                <w:lang w:val="es-ES_tradnl"/>
              </w:rPr>
              <w:t>c)</w:t>
            </w:r>
            <w:r w:rsidRPr="0041008F">
              <w:rPr>
                <w:lang w:val="es-ES_tradnl"/>
              </w:rPr>
              <w:tab/>
            </w:r>
            <w:r w:rsidR="00F97307" w:rsidRPr="0041008F">
              <w:rPr>
                <w:lang w:val="es-ES_tradnl"/>
              </w:rPr>
              <w:t>dar la impresión de que la variedad se deriva de otra variedad o está relacionada con ésta cuando, en realidad, no es el caso;</w:t>
            </w:r>
          </w:p>
          <w:p w:rsidR="00E705FA" w:rsidRPr="0041008F" w:rsidRDefault="00E705FA" w:rsidP="00B31A08">
            <w:pPr>
              <w:keepNext/>
              <w:rPr>
                <w:lang w:val="es-ES"/>
              </w:rPr>
            </w:pPr>
          </w:p>
          <w:p w:rsidR="001228D1" w:rsidRPr="0041008F" w:rsidRDefault="00F97307" w:rsidP="00B31A08">
            <w:pPr>
              <w:rPr>
                <w:rFonts w:cs="Arial"/>
                <w:lang w:val="es-ES"/>
              </w:rPr>
            </w:pPr>
            <w:r w:rsidRPr="0041008F">
              <w:rPr>
                <w:rFonts w:cs="Arial"/>
                <w:i/>
                <w:lang w:val="es-ES_tradnl"/>
              </w:rPr>
              <w:t>Ejemplo:</w:t>
            </w:r>
            <w:r w:rsidR="00E705FA" w:rsidRPr="0041008F">
              <w:rPr>
                <w:rFonts w:cs="Arial"/>
                <w:i/>
                <w:lang w:val="es-ES_tradnl"/>
              </w:rPr>
              <w:t xml:space="preserve">  </w:t>
            </w:r>
            <w:r w:rsidRPr="0041008F">
              <w:rPr>
                <w:rFonts w:cs="Arial"/>
                <w:lang w:val="es-ES_tradnl"/>
              </w:rPr>
              <w:t>una denominación que sea similar a la de otra variedad de la misma especie o de especies vecinas;  por ejemplo, “Southern cross 1”;  “Southern cross 2”;  etc., lo que da la impresión de que estas variedades son una serie de variedades relacionadas entre sí con los mismos caracteres cuando, en realidad, tal no es el caso.”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41008F" w:rsidRDefault="00830DFC" w:rsidP="00B31A08">
            <w:r w:rsidRPr="0041008F">
              <w:rPr>
                <w:lang w:val="es-ES_tradnl"/>
              </w:rPr>
              <w:t>2.3.1.</w:t>
            </w:r>
            <w:r w:rsidR="00E705FA" w:rsidRPr="0041008F">
              <w:rPr>
                <w:lang w:val="es-ES_tradnl"/>
              </w:rPr>
              <w:t>d)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lang w:val="es-ES_tradnl"/>
              </w:rPr>
            </w:pPr>
            <w:r w:rsidRPr="009B41F4">
              <w:rPr>
                <w:lang w:val="es-ES_tradnl"/>
              </w:rPr>
              <w:t>Debe a</w:t>
            </w:r>
            <w:r w:rsidR="003009C4" w:rsidRPr="009B41F4">
              <w:rPr>
                <w:lang w:val="es-ES_tradnl"/>
              </w:rPr>
              <w:t>ñadir</w:t>
            </w:r>
            <w:r w:rsidRPr="009B41F4">
              <w:rPr>
                <w:lang w:val="es-ES_tradnl"/>
              </w:rPr>
              <w:t>se</w:t>
            </w:r>
            <w:r w:rsidR="003009C4" w:rsidRPr="009B41F4">
              <w:rPr>
                <w:lang w:val="es-ES_tradnl"/>
              </w:rPr>
              <w:t xml:space="preserve"> el siguiente </w:t>
            </w:r>
            <w:r w:rsidR="00B067B0" w:rsidRPr="00B067B0">
              <w:rPr>
                <w:lang w:val="es-ES_tradnl"/>
              </w:rPr>
              <w:t>inciso</w:t>
            </w:r>
            <w:r w:rsidR="003009C4" w:rsidRPr="009B41F4">
              <w:rPr>
                <w:lang w:val="es-ES_tradnl"/>
              </w:rPr>
              <w:t xml:space="preserve"> 2.3.1 d):</w:t>
            </w:r>
          </w:p>
          <w:p w:rsidR="00E705FA" w:rsidRPr="0041008F" w:rsidRDefault="00E705FA" w:rsidP="00B31A08">
            <w:pPr>
              <w:rPr>
                <w:lang w:val="es-ES_tradnl"/>
              </w:rPr>
            </w:pPr>
          </w:p>
          <w:p w:rsidR="00E705FA" w:rsidRPr="0041008F" w:rsidRDefault="006F03AB" w:rsidP="00B31A08">
            <w:pPr>
              <w:rPr>
                <w:lang w:val="es-ES_tradnl"/>
              </w:rPr>
            </w:pPr>
            <w:r w:rsidRPr="0041008F">
              <w:rPr>
                <w:lang w:val="es-ES_tradnl"/>
              </w:rPr>
              <w:t>“</w:t>
            </w:r>
            <w:r w:rsidR="001228D1" w:rsidRPr="0041008F">
              <w:rPr>
                <w:lang w:val="es-ES_tradnl"/>
              </w:rPr>
              <w:t xml:space="preserve">d) </w:t>
            </w:r>
            <w:r w:rsidR="001228D1" w:rsidRPr="0041008F">
              <w:rPr>
                <w:lang w:val="es-ES_tradnl"/>
              </w:rPr>
              <w:tab/>
            </w:r>
            <w:r w:rsidR="003009C4" w:rsidRPr="009B41F4">
              <w:rPr>
                <w:lang w:val="es-ES_tradnl"/>
              </w:rPr>
              <w:t>cont</w:t>
            </w:r>
            <w:r w:rsidR="00304E4F" w:rsidRPr="009B41F4">
              <w:rPr>
                <w:lang w:val="es-ES_tradnl"/>
              </w:rPr>
              <w:t xml:space="preserve">ener </w:t>
            </w:r>
            <w:r w:rsidR="003009C4" w:rsidRPr="009B41F4">
              <w:rPr>
                <w:lang w:val="es-ES_tradnl"/>
              </w:rPr>
              <w:t xml:space="preserve">el nombre botánico o </w:t>
            </w:r>
            <w:r w:rsidR="00304E4F" w:rsidRPr="009B41F4">
              <w:rPr>
                <w:lang w:val="es-ES_tradnl"/>
              </w:rPr>
              <w:t xml:space="preserve">nombre </w:t>
            </w:r>
            <w:r w:rsidR="003009C4" w:rsidRPr="009B41F4">
              <w:rPr>
                <w:lang w:val="es-ES_tradnl"/>
              </w:rPr>
              <w:t>común del género al que pertenece la variedad.</w:t>
            </w:r>
            <w:r w:rsidR="001228D1" w:rsidRPr="0041008F">
              <w:rPr>
                <w:lang w:val="es-ES_tradnl"/>
              </w:rPr>
              <w:t xml:space="preserve"> </w:t>
            </w:r>
            <w:r w:rsidR="003009C4" w:rsidRPr="009B41F4">
              <w:rPr>
                <w:lang w:val="es-ES_tradnl"/>
              </w:rPr>
              <w:t>La identidad de la denominación y la del género al que pertenece podría resultar poco clara y confusa.”</w:t>
            </w:r>
          </w:p>
          <w:p w:rsidR="00E705FA" w:rsidRPr="0041008F" w:rsidRDefault="00E705FA" w:rsidP="00B31A08">
            <w:pPr>
              <w:rPr>
                <w:lang w:val="es-ES_tradnl"/>
              </w:rPr>
            </w:pPr>
          </w:p>
          <w:p w:rsidR="00E705FA" w:rsidRPr="0041008F" w:rsidRDefault="00FA5E12" w:rsidP="00B31A08">
            <w:pPr>
              <w:rPr>
                <w:lang w:val="es-ES_tradnl"/>
              </w:rPr>
            </w:pPr>
            <w:r w:rsidRPr="009B41F4">
              <w:rPr>
                <w:lang w:val="es-ES_tradnl"/>
              </w:rPr>
              <w:t>Debe a</w:t>
            </w:r>
            <w:r w:rsidR="003009C4" w:rsidRPr="009B41F4">
              <w:rPr>
                <w:lang w:val="es-ES_tradnl"/>
              </w:rPr>
              <w:t>clarar</w:t>
            </w:r>
            <w:r w:rsidRPr="009B41F4">
              <w:rPr>
                <w:lang w:val="es-ES_tradnl"/>
              </w:rPr>
              <w:t>se</w:t>
            </w:r>
            <w:r w:rsidR="003009C4" w:rsidRPr="009B41F4">
              <w:rPr>
                <w:lang w:val="es-ES_tradnl"/>
              </w:rPr>
              <w:t xml:space="preserve"> el ejemplo siguiente:</w:t>
            </w:r>
          </w:p>
          <w:p w:rsidR="00E705FA" w:rsidRPr="0041008F" w:rsidRDefault="00E705FA" w:rsidP="00B31A08">
            <w:pPr>
              <w:rPr>
                <w:lang w:val="es-ES_tradnl"/>
              </w:rPr>
            </w:pPr>
          </w:p>
          <w:p w:rsidR="00E705FA" w:rsidRPr="0041008F" w:rsidRDefault="003009C4" w:rsidP="00B31A08">
            <w:pPr>
              <w:ind w:left="567"/>
              <w:rPr>
                <w:lang w:val="es-ES_tradnl"/>
              </w:rPr>
            </w:pPr>
            <w:r w:rsidRPr="009B41F4">
              <w:rPr>
                <w:i/>
                <w:lang w:val="es-ES_tradnl"/>
              </w:rPr>
              <w:t>Ejemplo:</w:t>
            </w:r>
            <w:r w:rsidR="001228D1" w:rsidRPr="0041008F">
              <w:rPr>
                <w:lang w:val="es-ES_tradnl"/>
              </w:rPr>
              <w:t xml:space="preserve">  </w:t>
            </w:r>
            <w:r w:rsidR="00304E4F" w:rsidRPr="009B41F4">
              <w:rPr>
                <w:lang w:val="es-ES_tradnl"/>
              </w:rPr>
              <w:t>v</w:t>
            </w:r>
            <w:r w:rsidRPr="009B41F4">
              <w:rPr>
                <w:lang w:val="es-ES_tradnl"/>
              </w:rPr>
              <w:t xml:space="preserve">ariedad ‘Sedge’ de </w:t>
            </w:r>
            <w:r w:rsidRPr="009B41F4">
              <w:rPr>
                <w:i/>
                <w:lang w:val="es-ES_tradnl"/>
              </w:rPr>
              <w:t>Carex</w:t>
            </w:r>
            <w:r w:rsidRPr="009B41F4">
              <w:rPr>
                <w:lang w:val="es-ES_tradnl"/>
              </w:rPr>
              <w:t>.</w:t>
            </w:r>
            <w:r w:rsidR="001228D1" w:rsidRPr="0041008F">
              <w:rPr>
                <w:lang w:val="es-ES_tradnl"/>
              </w:rPr>
              <w:t xml:space="preserve"> </w:t>
            </w:r>
            <w:r w:rsidRPr="009B41F4">
              <w:rPr>
                <w:lang w:val="es-ES_tradnl"/>
              </w:rPr>
              <w:t xml:space="preserve">Podría </w:t>
            </w:r>
            <w:r w:rsidR="00304E4F" w:rsidRPr="009B41F4">
              <w:rPr>
                <w:lang w:val="es-ES_tradnl"/>
              </w:rPr>
              <w:t xml:space="preserve">utilizarse, en </w:t>
            </w:r>
            <w:r w:rsidRPr="009B41F4">
              <w:rPr>
                <w:lang w:val="es-ES_tradnl"/>
              </w:rPr>
              <w:t>referencia a ella</w:t>
            </w:r>
            <w:r w:rsidR="00304E4F" w:rsidRPr="009B41F4">
              <w:rPr>
                <w:lang w:val="es-ES_tradnl"/>
              </w:rPr>
              <w:t>, la expresión</w:t>
            </w:r>
            <w:r w:rsidRPr="009B41F4">
              <w:rPr>
                <w:lang w:val="es-ES_tradnl"/>
              </w:rPr>
              <w:t xml:space="preserve"> </w:t>
            </w:r>
            <w:r w:rsidR="00304E4F" w:rsidRPr="009B41F4">
              <w:rPr>
                <w:lang w:val="es-ES_tradnl"/>
              </w:rPr>
              <w:t>"</w:t>
            </w:r>
            <w:r w:rsidRPr="009B41F4">
              <w:rPr>
                <w:lang w:val="es-ES_tradnl"/>
              </w:rPr>
              <w:t xml:space="preserve">‘Sedge’ </w:t>
            </w:r>
            <w:r w:rsidRPr="009B41F4">
              <w:rPr>
                <w:i/>
                <w:lang w:val="es-ES_tradnl"/>
              </w:rPr>
              <w:t>Carex</w:t>
            </w:r>
            <w:r w:rsidR="00304E4F" w:rsidRPr="009B41F4">
              <w:rPr>
                <w:lang w:val="es-ES_tradnl"/>
              </w:rPr>
              <w:t>"</w:t>
            </w:r>
            <w:r w:rsidRPr="009B41F4">
              <w:rPr>
                <w:lang w:val="es-ES_tradnl"/>
              </w:rPr>
              <w:t xml:space="preserve"> y</w:t>
            </w:r>
            <w:r w:rsidR="00304E4F" w:rsidRPr="009B41F4">
              <w:rPr>
                <w:lang w:val="es-ES_tradnl"/>
              </w:rPr>
              <w:t>,</w:t>
            </w:r>
            <w:r w:rsidRPr="009B41F4">
              <w:rPr>
                <w:lang w:val="es-ES_tradnl"/>
              </w:rPr>
              <w:t xml:space="preserve"> si no se utilizan </w:t>
            </w:r>
            <w:r w:rsidR="00304E4F" w:rsidRPr="009B41F4">
              <w:rPr>
                <w:lang w:val="es-ES_tradnl"/>
              </w:rPr>
              <w:t xml:space="preserve">las </w:t>
            </w:r>
            <w:r w:rsidRPr="009B41F4">
              <w:rPr>
                <w:lang w:val="es-ES_tradnl"/>
              </w:rPr>
              <w:t>cursivas o las comillas simples</w:t>
            </w:r>
            <w:r w:rsidR="00304E4F" w:rsidRPr="009B41F4">
              <w:rPr>
                <w:lang w:val="es-ES_tradnl"/>
              </w:rPr>
              <w:t>,</w:t>
            </w:r>
            <w:r w:rsidRPr="009B41F4">
              <w:rPr>
                <w:lang w:val="es-ES_tradnl"/>
              </w:rPr>
              <w:t xml:space="preserve"> </w:t>
            </w:r>
            <w:r w:rsidR="00305A17" w:rsidRPr="009B41F4">
              <w:rPr>
                <w:lang w:val="es-ES_tradnl"/>
              </w:rPr>
              <w:t xml:space="preserve">podrían no estar claras </w:t>
            </w:r>
            <w:r w:rsidRPr="009B41F4">
              <w:rPr>
                <w:lang w:val="es-ES_tradnl"/>
              </w:rPr>
              <w:t xml:space="preserve">la identidad de la </w:t>
            </w:r>
            <w:r w:rsidR="00305A17" w:rsidRPr="009B41F4">
              <w:rPr>
                <w:lang w:val="es-ES_tradnl"/>
              </w:rPr>
              <w:t>denominación</w:t>
            </w:r>
            <w:r w:rsidRPr="009B41F4">
              <w:rPr>
                <w:lang w:val="es-ES_tradnl"/>
              </w:rPr>
              <w:t xml:space="preserve"> </w:t>
            </w:r>
            <w:r w:rsidR="00305A17" w:rsidRPr="009B41F4">
              <w:rPr>
                <w:lang w:val="es-ES_tradnl"/>
              </w:rPr>
              <w:t>y el género</w:t>
            </w:r>
            <w:r w:rsidRPr="009B41F4">
              <w:rPr>
                <w:lang w:val="es-ES_tradnl"/>
              </w:rPr>
              <w:t>.</w:t>
            </w:r>
          </w:p>
          <w:p w:rsidR="00E705FA" w:rsidRPr="0041008F" w:rsidRDefault="00E705FA" w:rsidP="00B31A08">
            <w:pPr>
              <w:rPr>
                <w:lang w:val="es-ES_tradnl"/>
              </w:rPr>
            </w:pPr>
          </w:p>
          <w:p w:rsidR="001228D1" w:rsidRPr="0041008F" w:rsidRDefault="00FA5E12" w:rsidP="00B31A08">
            <w:pPr>
              <w:rPr>
                <w:lang w:val="es-ES_tradnl"/>
              </w:rPr>
            </w:pPr>
            <w:r w:rsidRPr="009B41F4">
              <w:rPr>
                <w:lang w:val="es-ES_tradnl"/>
              </w:rPr>
              <w:t>Deben</w:t>
            </w:r>
            <w:r w:rsidR="00304E4F" w:rsidRPr="009B41F4">
              <w:rPr>
                <w:lang w:val="es-ES_tradnl"/>
              </w:rPr>
              <w:t xml:space="preserve"> </w:t>
            </w:r>
            <w:r w:rsidRPr="009B41F4">
              <w:rPr>
                <w:lang w:val="es-ES_tradnl"/>
              </w:rPr>
              <w:t xml:space="preserve"> e</w:t>
            </w:r>
            <w:r w:rsidR="00305A17" w:rsidRPr="009B41F4">
              <w:rPr>
                <w:lang w:val="es-ES_tradnl"/>
              </w:rPr>
              <w:t>laborar</w:t>
            </w:r>
            <w:r w:rsidRPr="009B41F4">
              <w:rPr>
                <w:lang w:val="es-ES_tradnl"/>
              </w:rPr>
              <w:t>se</w:t>
            </w:r>
            <w:r w:rsidR="00305A17" w:rsidRPr="009B41F4">
              <w:rPr>
                <w:lang w:val="es-ES_tradnl"/>
              </w:rPr>
              <w:t xml:space="preserve"> orientaciones sobre la posible confusión del uso del nombre botánico o </w:t>
            </w:r>
            <w:r w:rsidR="00304E4F" w:rsidRPr="009B41F4">
              <w:rPr>
                <w:lang w:val="es-ES_tradnl"/>
              </w:rPr>
              <w:t xml:space="preserve">nombre </w:t>
            </w:r>
            <w:r w:rsidR="00305A17" w:rsidRPr="009B41F4">
              <w:rPr>
                <w:lang w:val="es-ES_tradnl"/>
              </w:rPr>
              <w:t xml:space="preserve">común de un género al que esa variedad </w:t>
            </w:r>
            <w:r w:rsidR="00305A17" w:rsidRPr="009B41F4">
              <w:rPr>
                <w:u w:val="single"/>
                <w:lang w:val="es-ES_tradnl"/>
              </w:rPr>
              <w:t>no</w:t>
            </w:r>
            <w:r w:rsidR="00305A17" w:rsidRPr="009B41F4">
              <w:rPr>
                <w:lang w:val="es-ES_tradnl"/>
              </w:rPr>
              <w:t xml:space="preserve"> pertenece: caso a caso</w:t>
            </w:r>
            <w:r w:rsidR="00304E4F" w:rsidRPr="009B41F4">
              <w:rPr>
                <w:lang w:val="es-ES_tradnl"/>
              </w:rPr>
              <w:t>.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41008F" w:rsidRDefault="001228D1" w:rsidP="00B31A08">
            <w:r w:rsidRPr="0041008F">
              <w:t>2.3.3.</w:t>
            </w:r>
          </w:p>
        </w:tc>
        <w:tc>
          <w:tcPr>
            <w:tcW w:w="7789" w:type="dxa"/>
          </w:tcPr>
          <w:p w:rsidR="001228D1" w:rsidRPr="0041008F" w:rsidRDefault="00C958C9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L</w:t>
            </w:r>
            <w:r w:rsidR="00305A17" w:rsidRPr="009B41F4">
              <w:rPr>
                <w:snapToGrid w:val="0"/>
                <w:lang w:val="es-ES_tradnl"/>
              </w:rPr>
              <w:t xml:space="preserve">as propuestas que figuran en el </w:t>
            </w:r>
            <w:r w:rsidR="00B067B0" w:rsidRPr="00B067B0">
              <w:rPr>
                <w:snapToGrid w:val="0"/>
                <w:lang w:val="es-ES_tradnl"/>
              </w:rPr>
              <w:t>inciso</w:t>
            </w:r>
            <w:r w:rsidR="00305A17" w:rsidRPr="009B41F4">
              <w:rPr>
                <w:snapToGrid w:val="0"/>
                <w:lang w:val="es-ES_tradnl"/>
              </w:rPr>
              <w:t xml:space="preserve"> 2.3.3 del documento </w:t>
            </w:r>
            <w:r w:rsidR="00305A17" w:rsidRPr="009B41F4">
              <w:rPr>
                <w:lang w:val="es-ES_tradnl"/>
              </w:rPr>
              <w:t xml:space="preserve">UPOV/INF/12/5 Draft 2 </w:t>
            </w:r>
            <w:r w:rsidRPr="009B41F4">
              <w:rPr>
                <w:snapToGrid w:val="0"/>
                <w:lang w:val="es-ES_tradnl"/>
              </w:rPr>
              <w:t xml:space="preserve">deben considerarse </w:t>
            </w:r>
            <w:r w:rsidR="00305A17" w:rsidRPr="009B41F4">
              <w:rPr>
                <w:lang w:val="es-ES_tradnl"/>
              </w:rPr>
              <w:t xml:space="preserve">como etapa inicial para </w:t>
            </w:r>
            <w:r w:rsidR="00305A17" w:rsidRPr="00305A17">
              <w:rPr>
                <w:lang w:val="es-ES_tradnl"/>
              </w:rPr>
              <w:t>elaborar nuevas orientaciones</w:t>
            </w:r>
            <w:r w:rsidR="00305A17" w:rsidRPr="009B41F4">
              <w:rPr>
                <w:lang w:val="es-ES_tradnl"/>
              </w:rPr>
              <w:t xml:space="preserve"> y ejemplos adecuados, junto con la elaboración de un </w:t>
            </w:r>
            <w:r w:rsidR="00305A17" w:rsidRPr="00305A17">
              <w:rPr>
                <w:lang w:val="es-ES_tradnl"/>
              </w:rPr>
              <w:t>instrumento</w:t>
            </w:r>
            <w:r w:rsidR="00305A17" w:rsidRPr="009B41F4">
              <w:rPr>
                <w:lang w:val="es-ES_tradnl"/>
              </w:rPr>
              <w:t xml:space="preserve"> eficaz de </w:t>
            </w:r>
            <w:r w:rsidR="00305A17" w:rsidRPr="00305A17">
              <w:rPr>
                <w:lang w:val="es-ES_tradnl"/>
              </w:rPr>
              <w:t>búsqueda de denominaciones similares</w:t>
            </w:r>
            <w:r w:rsidR="00305A17" w:rsidRPr="009B41F4">
              <w:rPr>
                <w:lang w:val="es-ES_tradnl"/>
              </w:rPr>
              <w:t xml:space="preserve"> de la UPOV.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41008F" w:rsidRDefault="00830DFC" w:rsidP="00B31A08">
            <w:r w:rsidRPr="0041008F">
              <w:t>4.</w:t>
            </w:r>
            <w:r w:rsidR="001228D1" w:rsidRPr="0041008F">
              <w:t>a)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Debe m</w:t>
            </w:r>
            <w:r w:rsidR="00305A17" w:rsidRPr="009B41F4">
              <w:rPr>
                <w:snapToGrid w:val="0"/>
                <w:lang w:val="es-ES_tradnl"/>
              </w:rPr>
              <w:t>odificar</w:t>
            </w:r>
            <w:r w:rsidRPr="009B41F4">
              <w:rPr>
                <w:snapToGrid w:val="0"/>
                <w:lang w:val="es-ES_tradnl"/>
              </w:rPr>
              <w:t>se</w:t>
            </w:r>
            <w:r w:rsidR="00305A17" w:rsidRPr="009B41F4">
              <w:rPr>
                <w:snapToGrid w:val="0"/>
                <w:lang w:val="es-ES_tradnl"/>
              </w:rPr>
              <w:t xml:space="preserve"> el </w:t>
            </w:r>
            <w:r w:rsidR="00B067B0" w:rsidRPr="00B067B0">
              <w:rPr>
                <w:snapToGrid w:val="0"/>
                <w:lang w:val="es-ES_tradnl"/>
              </w:rPr>
              <w:t>inciso</w:t>
            </w:r>
            <w:r w:rsidR="00305A17" w:rsidRPr="009B41F4">
              <w:rPr>
                <w:snapToGrid w:val="0"/>
                <w:lang w:val="es-ES_tradnl"/>
              </w:rPr>
              <w:t> 4 a) del siguiente modo:</w:t>
            </w:r>
          </w:p>
          <w:p w:rsidR="00E705FA" w:rsidRPr="0041008F" w:rsidRDefault="00E705FA" w:rsidP="00B31A08">
            <w:pPr>
              <w:rPr>
                <w:snapToGrid w:val="0"/>
                <w:lang w:val="es-ES_tradnl"/>
              </w:rPr>
            </w:pPr>
          </w:p>
          <w:p w:rsidR="001228D1" w:rsidRPr="005767EF" w:rsidRDefault="002E308F" w:rsidP="000D265F">
            <w:pPr>
              <w:ind w:firstLine="567"/>
              <w:rPr>
                <w:lang w:val="es-ES"/>
              </w:rPr>
            </w:pPr>
            <w:r w:rsidRPr="0041008F">
              <w:rPr>
                <w:lang w:val="es-ES_tradnl"/>
              </w:rPr>
              <w:t>“</w:t>
            </w:r>
            <w:r w:rsidR="00E705FA" w:rsidRPr="0041008F">
              <w:rPr>
                <w:lang w:val="es-ES_tradnl"/>
              </w:rPr>
              <w:t>a)</w:t>
            </w:r>
            <w:r w:rsidR="00830DFC" w:rsidRPr="0041008F">
              <w:rPr>
                <w:color w:val="FF00FF"/>
                <w:lang w:val="es-ES_tradnl"/>
              </w:rPr>
              <w:tab/>
            </w:r>
            <w:r w:rsidR="00305A17" w:rsidRPr="009B41F4">
              <w:rPr>
                <w:lang w:val="es-ES_tradnl"/>
              </w:rPr>
              <w:t xml:space="preserve">Una autoridad no deberá aceptar una denominación de variedad si </w:t>
            </w:r>
            <w:r w:rsidR="00305A17" w:rsidRPr="009B41F4">
              <w:rPr>
                <w:strike/>
                <w:lang w:val="es-ES_tradnl"/>
              </w:rPr>
              <w:t>ya se ha concedido a un tercero, en virtud de la legislación sobre derechos de obtentor, la legislación sobre marcas o cualquier otra legislación de propiedad intelectual,</w:t>
            </w:r>
            <w:r w:rsidR="00305A17" w:rsidRPr="009B41F4">
              <w:rPr>
                <w:lang w:val="es-ES_tradnl"/>
              </w:rPr>
              <w:t xml:space="preserve"> </w:t>
            </w:r>
            <w:r w:rsidR="000D265F">
              <w:rPr>
                <w:u w:val="single"/>
                <w:lang w:val="es-ES_tradnl"/>
              </w:rPr>
              <w:t>existe</w:t>
            </w:r>
            <w:r w:rsidR="000D265F" w:rsidRPr="000D265F">
              <w:rPr>
                <w:lang w:val="es-ES_tradnl"/>
              </w:rPr>
              <w:t xml:space="preserve"> </w:t>
            </w:r>
            <w:r w:rsidR="00305A17" w:rsidRPr="009B41F4">
              <w:rPr>
                <w:lang w:val="es-ES_tradnl"/>
              </w:rPr>
              <w:t>un derecho anterior cuyo ejercicio puede impedir el uso de la denominación propuesta.</w:t>
            </w:r>
            <w:r w:rsidR="00830DFC" w:rsidRPr="0041008F">
              <w:rPr>
                <w:lang w:val="es-ES_tradnl"/>
              </w:rPr>
              <w:t xml:space="preserve"> </w:t>
            </w:r>
            <w:r w:rsidR="001228D1" w:rsidRPr="0041008F">
              <w:rPr>
                <w:lang w:val="es-ES_tradnl"/>
              </w:rPr>
              <w:t xml:space="preserve"> </w:t>
            </w:r>
            <w:r w:rsidR="00F97307" w:rsidRPr="0041008F">
              <w:rPr>
                <w:lang w:val="es-ES_tradnl"/>
              </w:rPr>
              <w:t>Corresponde al titular de un derecho anterior afirmar sus derechos mediante una objeción o los procedimientos judiciales disponibles.</w:t>
            </w:r>
            <w:r w:rsidR="00E705FA" w:rsidRPr="0041008F">
              <w:rPr>
                <w:lang w:val="es-ES_tradnl"/>
              </w:rPr>
              <w:t xml:space="preserve">  </w:t>
            </w:r>
            <w:r w:rsidR="00F97307" w:rsidRPr="0041008F">
              <w:rPr>
                <w:lang w:val="es-ES_tradnl"/>
              </w:rPr>
              <w:t xml:space="preserve">No obstante, se insta a las autoridades a que efectúen búsquedas en las publicaciones pertinentes (por ejemplo, boletines oficiales) y bases de datos (por ejemplo </w:t>
            </w:r>
            <w:r w:rsidR="00C958C9" w:rsidRPr="0041008F">
              <w:rPr>
                <w:lang w:val="es-ES_tradnl"/>
              </w:rPr>
              <w:t xml:space="preserve">la </w:t>
            </w:r>
            <w:r w:rsidR="00F97307" w:rsidRPr="0041008F">
              <w:rPr>
                <w:lang w:val="es-ES_tradnl"/>
              </w:rPr>
              <w:t>Base de datos de la UPOV sobre variedades vegetales (PLUTO)</w:t>
            </w:r>
            <w:r w:rsidR="000D265F">
              <w:rPr>
                <w:lang w:val="es-ES_tradnl"/>
              </w:rPr>
              <w:t xml:space="preserve"> </w:t>
            </w:r>
            <w:hyperlink r:id="rId9" w:history="1">
              <w:r w:rsidR="000D265F" w:rsidRPr="00D81787">
                <w:rPr>
                  <w:rStyle w:val="Hyperlink"/>
                  <w:lang w:val="es-ES_tradnl"/>
                </w:rPr>
                <w:t>http://www.upov.int/pluto/es/</w:t>
              </w:r>
            </w:hyperlink>
            <w:r w:rsidR="00F97307" w:rsidRPr="0041008F">
              <w:rPr>
                <w:lang w:val="es-ES_tradnl"/>
              </w:rPr>
              <w:t>) con objeto de identificar derechos anteriores respecto de las denominaciones de variedades.</w:t>
            </w:r>
            <w:r w:rsidR="001228D1" w:rsidRPr="0041008F">
              <w:rPr>
                <w:lang w:val="es-ES"/>
              </w:rPr>
              <w:t xml:space="preserve">  </w:t>
            </w:r>
            <w:r w:rsidR="00B864A3" w:rsidRPr="0041008F">
              <w:rPr>
                <w:lang w:val="es-ES_tradnl"/>
              </w:rPr>
              <w:t>Asimismo</w:t>
            </w:r>
            <w:r w:rsidR="00C958C9" w:rsidRPr="0041008F">
              <w:rPr>
                <w:lang w:val="es-ES_tradnl"/>
              </w:rPr>
              <w:t>,</w:t>
            </w:r>
            <w:r w:rsidR="00B864A3" w:rsidRPr="0041008F">
              <w:rPr>
                <w:lang w:val="es-ES_tradnl"/>
              </w:rPr>
              <w:t xml:space="preserve"> pueden efectuar búsquedas en otros registros, tales como los registros de marcas, antes de aceptar una denominación de variedad.”</w:t>
            </w:r>
          </w:p>
        </w:tc>
      </w:tr>
      <w:tr w:rsidR="001228D1" w:rsidRPr="0041008F" w:rsidTr="003B1E4A">
        <w:trPr>
          <w:cantSplit/>
        </w:trPr>
        <w:tc>
          <w:tcPr>
            <w:tcW w:w="1391" w:type="dxa"/>
          </w:tcPr>
          <w:p w:rsidR="001228D1" w:rsidRPr="00383DE4" w:rsidRDefault="001228D1" w:rsidP="00B31A08">
            <w:r w:rsidRPr="0041008F">
              <w:t>4</w:t>
            </w:r>
            <w:r w:rsidR="00830DFC" w:rsidRPr="0041008F">
              <w:t>.</w:t>
            </w:r>
            <w:r w:rsidRPr="0041008F">
              <w:t>e)i)</w:t>
            </w:r>
          </w:p>
        </w:tc>
        <w:tc>
          <w:tcPr>
            <w:tcW w:w="7789" w:type="dxa"/>
          </w:tcPr>
          <w:p w:rsidR="00E705FA" w:rsidRPr="0041008F" w:rsidRDefault="00FA5E12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Debe m</w:t>
            </w:r>
            <w:r w:rsidR="00305A17" w:rsidRPr="009B41F4">
              <w:rPr>
                <w:snapToGrid w:val="0"/>
                <w:lang w:val="es-ES_tradnl"/>
              </w:rPr>
              <w:t>odificar</w:t>
            </w:r>
            <w:r w:rsidRPr="009B41F4">
              <w:rPr>
                <w:snapToGrid w:val="0"/>
                <w:lang w:val="es-ES_tradnl"/>
              </w:rPr>
              <w:t>se</w:t>
            </w:r>
            <w:r w:rsidR="00305A17" w:rsidRPr="009B41F4">
              <w:rPr>
                <w:snapToGrid w:val="0"/>
                <w:lang w:val="es-ES_tradnl"/>
              </w:rPr>
              <w:t xml:space="preserve"> la última frase del </w:t>
            </w:r>
            <w:r w:rsidR="00B067B0" w:rsidRPr="00B067B0">
              <w:rPr>
                <w:snapToGrid w:val="0"/>
                <w:lang w:val="es-ES_tradnl"/>
              </w:rPr>
              <w:t>inciso</w:t>
            </w:r>
            <w:r w:rsidR="00B067B0" w:rsidRPr="009B41F4">
              <w:rPr>
                <w:snapToGrid w:val="0"/>
                <w:lang w:val="es-ES_tradnl"/>
              </w:rPr>
              <w:t> </w:t>
            </w:r>
            <w:r w:rsidR="00305A17" w:rsidRPr="009B41F4">
              <w:rPr>
                <w:lang w:val="es-ES_tradnl"/>
              </w:rPr>
              <w:t xml:space="preserve">4 e) i) </w:t>
            </w:r>
            <w:r w:rsidR="00305A17" w:rsidRPr="009B41F4">
              <w:rPr>
                <w:snapToGrid w:val="0"/>
                <w:lang w:val="es-ES_tradnl"/>
              </w:rPr>
              <w:t>del siguiente modo:</w:t>
            </w:r>
          </w:p>
          <w:p w:rsidR="00E705FA" w:rsidRPr="0041008F" w:rsidRDefault="00E705FA" w:rsidP="00B31A08">
            <w:pPr>
              <w:rPr>
                <w:snapToGrid w:val="0"/>
                <w:lang w:val="es-ES_tradnl"/>
              </w:rPr>
            </w:pPr>
          </w:p>
          <w:p w:rsidR="001228D1" w:rsidRPr="009B41F4" w:rsidRDefault="000D265F" w:rsidP="00B31A08">
            <w:pPr>
              <w:tabs>
                <w:tab w:val="right" w:pos="1134"/>
                <w:tab w:val="left" w:pos="1418"/>
              </w:tabs>
              <w:rPr>
                <w:lang w:val="es-ES"/>
              </w:rPr>
            </w:pPr>
            <w:r>
              <w:rPr>
                <w:lang w:val="es-ES_tradnl"/>
              </w:rPr>
              <w:t>“</w:t>
            </w:r>
            <w:r w:rsidR="00B864A3" w:rsidRPr="0041008F">
              <w:rPr>
                <w:lang w:val="es-ES_tradnl"/>
              </w:rPr>
              <w:t xml:space="preserve">En los casos en que exista una simple similitud o una probabilidad escasa de </w:t>
            </w:r>
            <w:r w:rsidR="00B864A3" w:rsidRPr="0041008F">
              <w:rPr>
                <w:strike/>
                <w:lang w:val="es-ES_tradnl"/>
              </w:rPr>
              <w:t>asociación</w:t>
            </w:r>
            <w:r w:rsidR="00B864A3" w:rsidRPr="0041008F">
              <w:rPr>
                <w:lang w:val="es-ES_tradnl"/>
              </w:rPr>
              <w:t xml:space="preserve"> </w:t>
            </w:r>
            <w:r w:rsidR="00B864A3" w:rsidRPr="0041008F">
              <w:rPr>
                <w:u w:val="single"/>
                <w:lang w:val="es-ES_tradnl"/>
              </w:rPr>
              <w:t>confusión</w:t>
            </w:r>
            <w:r w:rsidR="00B864A3" w:rsidRPr="0041008F">
              <w:rPr>
                <w:lang w:val="es-ES_tradnl"/>
              </w:rPr>
              <w:t xml:space="preserve"> por los usuarios, las dispensas concedidas a los obtentores por titulares de derechos sobre marcas anteriores podrían constituir una solución viable.</w:t>
            </w:r>
            <w:r>
              <w:rPr>
                <w:lang w:val="es-ES_tradnl"/>
              </w:rPr>
              <w:t>”</w:t>
            </w:r>
          </w:p>
        </w:tc>
      </w:tr>
    </w:tbl>
    <w:p w:rsidR="00E705FA" w:rsidRPr="009B41F4" w:rsidRDefault="00E705FA" w:rsidP="00B31A08">
      <w:pPr>
        <w:rPr>
          <w:lang w:val="es-ES"/>
        </w:rPr>
      </w:pPr>
    </w:p>
    <w:p w:rsidR="00E705FA" w:rsidRPr="009B41F4" w:rsidRDefault="00E705FA" w:rsidP="00B31A08">
      <w:pPr>
        <w:rPr>
          <w:lang w:val="es-ES"/>
        </w:rPr>
      </w:pPr>
    </w:p>
    <w:p w:rsidR="00E705FA" w:rsidRPr="005767EF" w:rsidRDefault="00B864A3" w:rsidP="00B31A08">
      <w:pPr>
        <w:pStyle w:val="Heading2"/>
        <w:rPr>
          <w:lang w:val="es-ES"/>
        </w:rPr>
      </w:pPr>
      <w:r w:rsidRPr="00B864A3">
        <w:lastRenderedPageBreak/>
        <w:t>Asuntos relativos a las descripciones de variedades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keepNext/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B45557" w:rsidRPr="009B41F4">
        <w:rPr>
          <w:lang w:val="es-ES_tradnl"/>
        </w:rPr>
        <w:t>El CAJ-AG examinó el documento CAJ-AG/14/9/4 “</w:t>
      </w:r>
      <w:r w:rsidR="00B45557" w:rsidRPr="00B45557">
        <w:rPr>
          <w:lang w:val="es-ES_tradnl"/>
        </w:rPr>
        <w:t>Asuntos relativos a las descripciones de variedades</w:t>
      </w:r>
      <w:r w:rsidR="00B45557" w:rsidRPr="009B41F4">
        <w:rPr>
          <w:lang w:val="es-ES_tradnl"/>
        </w:rPr>
        <w:t>”.</w:t>
      </w:r>
    </w:p>
    <w:p w:rsidR="00E705FA" w:rsidRPr="0041008F" w:rsidRDefault="00E705FA" w:rsidP="00B31A08">
      <w:pPr>
        <w:keepNext/>
        <w:rPr>
          <w:lang w:val="es-ES_tradnl"/>
        </w:rPr>
      </w:pPr>
    </w:p>
    <w:p w:rsidR="00E705FA" w:rsidRPr="0041008F" w:rsidRDefault="00E3139E" w:rsidP="00B31A08">
      <w:pPr>
        <w:keepNext/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B45557" w:rsidRPr="009B41F4">
        <w:rPr>
          <w:lang w:val="es-ES_tradnl"/>
        </w:rPr>
        <w:t>El CAJ-AG convino en que, de conformidad con la sección 6 “</w:t>
      </w:r>
      <w:r w:rsidR="00B45557" w:rsidRPr="00B45557">
        <w:rPr>
          <w:lang w:val="es-ES_tradnl"/>
        </w:rPr>
        <w:t>Informe de la UPOV sobre el examen técnico y sobre la descripción de variedades</w:t>
      </w:r>
      <w:r w:rsidR="00B45557" w:rsidRPr="009B41F4">
        <w:rPr>
          <w:lang w:val="es-ES_tradnl"/>
        </w:rPr>
        <w:t>” del documento TGP/5 “</w:t>
      </w:r>
      <w:r w:rsidR="00B45557" w:rsidRPr="00B45557">
        <w:rPr>
          <w:lang w:val="es-ES_tradnl"/>
        </w:rPr>
        <w:t>Experiencia y cooperación en el examen DHE</w:t>
      </w:r>
      <w:r w:rsidR="00B45557" w:rsidRPr="009B41F4">
        <w:rPr>
          <w:lang w:val="es-ES_tradnl"/>
        </w:rPr>
        <w:t>”, la</w:t>
      </w:r>
      <w:r w:rsidR="00C958C9" w:rsidRPr="009B41F4">
        <w:rPr>
          <w:lang w:val="es-ES_tradnl"/>
        </w:rPr>
        <w:t>s</w:t>
      </w:r>
      <w:r w:rsidR="00B45557" w:rsidRPr="009B41F4">
        <w:rPr>
          <w:lang w:val="es-ES_tradnl"/>
        </w:rPr>
        <w:t xml:space="preserve"> </w:t>
      </w:r>
      <w:r w:rsidR="00B45557" w:rsidRPr="00C958C9">
        <w:rPr>
          <w:lang w:val="es-ES_tradnl"/>
        </w:rPr>
        <w:t xml:space="preserve">finalidades </w:t>
      </w:r>
      <w:r w:rsidR="00B45557" w:rsidRPr="00B45557">
        <w:rPr>
          <w:lang w:val="es-ES_tradnl"/>
        </w:rPr>
        <w:t>de la descripción de la variedad que se elaboró cuando se concedió el derecho (descripción original de la variedad)</w:t>
      </w:r>
      <w:r w:rsidR="00B45557" w:rsidRPr="009B41F4">
        <w:rPr>
          <w:lang w:val="es-ES_tradnl"/>
        </w:rPr>
        <w:t xml:space="preserve"> puede</w:t>
      </w:r>
      <w:r w:rsidR="00C958C9" w:rsidRPr="009B41F4">
        <w:rPr>
          <w:lang w:val="es-ES_tradnl"/>
        </w:rPr>
        <w:t>n</w:t>
      </w:r>
      <w:r w:rsidR="00B45557" w:rsidRPr="009B41F4">
        <w:rPr>
          <w:lang w:val="es-ES_tradnl"/>
        </w:rPr>
        <w:t xml:space="preserve"> resumirse en:</w:t>
      </w:r>
      <w:r w:rsidR="001228D1" w:rsidRPr="0041008F">
        <w:rPr>
          <w:lang w:val="es-ES_tradnl"/>
        </w:rPr>
        <w:t xml:space="preserve"> 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B45557" w:rsidP="00B31A08">
      <w:pPr>
        <w:pStyle w:val="ListParagraph"/>
        <w:keepNext/>
        <w:numPr>
          <w:ilvl w:val="0"/>
          <w:numId w:val="2"/>
        </w:numPr>
        <w:ind w:left="993" w:hanging="426"/>
        <w:rPr>
          <w:snapToGrid w:val="0"/>
          <w:lang w:val="es-ES_tradnl"/>
        </w:rPr>
      </w:pPr>
      <w:r w:rsidRPr="009B41F4">
        <w:rPr>
          <w:snapToGrid w:val="0"/>
          <w:lang w:val="es-ES_tradnl"/>
        </w:rPr>
        <w:t>describir los caracteres de la variedad, e</w:t>
      </w:r>
    </w:p>
    <w:p w:rsidR="00E705FA" w:rsidRPr="0041008F" w:rsidRDefault="00B45557" w:rsidP="00B31A08">
      <w:pPr>
        <w:pStyle w:val="ListParagraph"/>
        <w:numPr>
          <w:ilvl w:val="0"/>
          <w:numId w:val="2"/>
        </w:numPr>
        <w:ind w:left="993" w:hanging="426"/>
        <w:rPr>
          <w:snapToGrid w:val="0"/>
          <w:lang w:val="es-ES_tradnl"/>
        </w:rPr>
      </w:pPr>
      <w:r w:rsidRPr="009B41F4">
        <w:rPr>
          <w:snapToGrid w:val="0"/>
          <w:lang w:val="es-ES_tradnl"/>
        </w:rPr>
        <w:t>identificar y enumerar las variedades similares y las diferencias con respecto a esas variedades;</w:t>
      </w:r>
      <w:r w:rsidR="0041008F">
        <w:rPr>
          <w:snapToGrid w:val="0"/>
          <w:lang w:val="es-ES_tradnl"/>
        </w:rPr>
        <w:t xml:space="preserve"> </w:t>
      </w:r>
      <w:r w:rsidR="001228D1" w:rsidRPr="0041008F">
        <w:rPr>
          <w:snapToGrid w:val="0"/>
          <w:lang w:val="es-ES_tradnl"/>
        </w:rPr>
        <w:t xml:space="preserve"> </w:t>
      </w:r>
    </w:p>
    <w:p w:rsidR="00E705FA" w:rsidRPr="0041008F" w:rsidRDefault="00B45557" w:rsidP="00B31A08">
      <w:pPr>
        <w:ind w:left="1419" w:hanging="426"/>
        <w:rPr>
          <w:snapToGrid w:val="0"/>
          <w:lang w:val="es-ES_tradnl"/>
        </w:rPr>
      </w:pPr>
      <w:r w:rsidRPr="009B41F4">
        <w:rPr>
          <w:snapToGrid w:val="0"/>
          <w:lang w:val="es-ES_tradnl"/>
        </w:rPr>
        <w:t xml:space="preserve">junto con la </w:t>
      </w:r>
      <w:r w:rsidR="00E344C6" w:rsidRPr="009B41F4">
        <w:rPr>
          <w:snapToGrid w:val="0"/>
          <w:lang w:val="es-ES_tradnl"/>
        </w:rPr>
        <w:t xml:space="preserve">siguiente </w:t>
      </w:r>
      <w:r w:rsidRPr="009B41F4">
        <w:rPr>
          <w:snapToGrid w:val="0"/>
          <w:lang w:val="es-ES_tradnl"/>
        </w:rPr>
        <w:t>información basada en a) y b):</w:t>
      </w:r>
    </w:p>
    <w:p w:rsidR="00E705FA" w:rsidRPr="009B41F4" w:rsidRDefault="00B864A3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</w:tabs>
        <w:spacing w:line="280" w:lineRule="auto"/>
        <w:ind w:left="1701" w:hanging="567"/>
        <w:jc w:val="left"/>
        <w:rPr>
          <w:lang w:val="es-ES"/>
        </w:rPr>
      </w:pPr>
      <w:r w:rsidRPr="007D4CB7">
        <w:rPr>
          <w:lang w:val="es-ES_tradnl"/>
        </w:rPr>
        <w:t>Fecha y número de documento</w:t>
      </w:r>
      <w:r w:rsidRPr="00B864A3">
        <w:rPr>
          <w:color w:val="808080"/>
          <w:lang w:val="es-ES_tradnl"/>
        </w:rPr>
        <w:t xml:space="preserve"> </w:t>
      </w:r>
      <w:r w:rsidRPr="009B41F4">
        <w:rPr>
          <w:lang w:val="es-ES_tradnl"/>
        </w:rPr>
        <w:t xml:space="preserve">de las </w:t>
      </w:r>
      <w:r w:rsidRPr="0086342F">
        <w:rPr>
          <w:lang w:val="es-ES_tradnl"/>
        </w:rPr>
        <w:t>Directrices de Examen de la UPOV</w:t>
      </w:r>
      <w:r w:rsidRPr="00B864A3">
        <w:rPr>
          <w:color w:val="008000"/>
          <w:lang w:val="es-ES_tradnl"/>
        </w:rPr>
        <w:t>;</w:t>
      </w:r>
    </w:p>
    <w:p w:rsidR="00BB16C2" w:rsidRPr="0041008F" w:rsidRDefault="00231849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jc w:val="left"/>
        <w:rPr>
          <w:lang w:val="es-ES_tradnl"/>
        </w:rPr>
      </w:pPr>
      <w:r w:rsidRPr="009B41F4">
        <w:rPr>
          <w:lang w:val="es-ES_tradnl"/>
        </w:rPr>
        <w:t xml:space="preserve">Fecha y/o </w:t>
      </w:r>
      <w:r w:rsidRPr="00E344C6">
        <w:rPr>
          <w:lang w:val="es-ES_tradnl"/>
        </w:rPr>
        <w:t>número de documento</w:t>
      </w:r>
      <w:r w:rsidRPr="009B41F4">
        <w:rPr>
          <w:lang w:val="es-ES_tradnl"/>
        </w:rPr>
        <w:t xml:space="preserve"> de las </w:t>
      </w:r>
      <w:r w:rsidRPr="00231849">
        <w:rPr>
          <w:lang w:val="es-ES_tradnl"/>
        </w:rPr>
        <w:t xml:space="preserve">directrices de examen de la </w:t>
      </w:r>
      <w:r w:rsidR="00383DE4">
        <w:rPr>
          <w:lang w:val="es-ES_tradnl"/>
        </w:rPr>
        <w:t>a</w:t>
      </w:r>
      <w:r w:rsidRPr="00231849">
        <w:rPr>
          <w:lang w:val="es-ES_tradnl"/>
        </w:rPr>
        <w:t xml:space="preserve">utoridad </w:t>
      </w:r>
      <w:r w:rsidR="00E344C6">
        <w:rPr>
          <w:lang w:val="es-ES_tradnl"/>
        </w:rPr>
        <w:t>i</w:t>
      </w:r>
      <w:r w:rsidRPr="00231849">
        <w:rPr>
          <w:lang w:val="es-ES_tradnl"/>
        </w:rPr>
        <w:t>nformante</w:t>
      </w:r>
      <w:r w:rsidRPr="009B41F4">
        <w:rPr>
          <w:lang w:val="es-ES_tradnl"/>
        </w:rPr>
        <w:t>;</w:t>
      </w:r>
    </w:p>
    <w:p w:rsidR="00BB16C2" w:rsidRPr="009B41F4" w:rsidRDefault="00231849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</w:pPr>
      <w:r w:rsidRPr="00231849">
        <w:rPr>
          <w:lang w:val="es-ES_tradnl"/>
        </w:rPr>
        <w:t xml:space="preserve">Autoridad </w:t>
      </w:r>
      <w:r w:rsidR="00E344C6">
        <w:rPr>
          <w:lang w:val="es-ES_tradnl"/>
        </w:rPr>
        <w:t>i</w:t>
      </w:r>
      <w:r w:rsidRPr="00231849">
        <w:rPr>
          <w:lang w:val="es-ES_tradnl"/>
        </w:rPr>
        <w:t>nformante</w:t>
      </w:r>
      <w:r w:rsidRPr="009B41F4">
        <w:rPr>
          <w:snapToGrid w:val="0"/>
          <w:lang w:val="es-ES_tradnl"/>
        </w:rPr>
        <w:t>;</w:t>
      </w:r>
    </w:p>
    <w:p w:rsidR="00BB16C2" w:rsidRPr="0041008F" w:rsidRDefault="00231849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231849">
        <w:rPr>
          <w:lang w:val="es-ES_tradnl"/>
        </w:rPr>
        <w:t>Estación(es) y lugar(es) del examen</w:t>
      </w:r>
      <w:r w:rsidRPr="009B41F4">
        <w:rPr>
          <w:snapToGrid w:val="0"/>
          <w:lang w:val="es-ES_tradnl"/>
        </w:rPr>
        <w:t>;</w:t>
      </w:r>
    </w:p>
    <w:p w:rsidR="00BB16C2" w:rsidRPr="0041008F" w:rsidRDefault="00231849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231849">
        <w:rPr>
          <w:lang w:val="es-ES_tradnl"/>
        </w:rPr>
        <w:t>Período de realización del examen</w:t>
      </w:r>
      <w:r w:rsidRPr="009B41F4">
        <w:rPr>
          <w:lang w:val="es-ES_tradnl"/>
        </w:rPr>
        <w:t>;</w:t>
      </w:r>
    </w:p>
    <w:p w:rsidR="00E705FA" w:rsidRPr="007D4CB7" w:rsidRDefault="00B864A3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jc w:val="left"/>
        <w:rPr>
          <w:lang w:val="es-ES"/>
        </w:rPr>
      </w:pPr>
      <w:r w:rsidRPr="007D4CB7">
        <w:rPr>
          <w:lang w:val="es-ES_tradnl"/>
        </w:rPr>
        <w:t>Fecha y lugar de emisión del documento;</w:t>
      </w:r>
    </w:p>
    <w:p w:rsidR="00E705FA" w:rsidRPr="0041008F" w:rsidRDefault="00231849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9B41F4">
        <w:rPr>
          <w:lang w:val="es-ES_tradnl"/>
        </w:rPr>
        <w:t>Grupo:</w:t>
      </w:r>
      <w:r w:rsidR="001228D1" w:rsidRPr="0041008F">
        <w:rPr>
          <w:lang w:val="es-ES_tradnl"/>
        </w:rPr>
        <w:t xml:space="preserve"> </w:t>
      </w:r>
      <w:r w:rsidR="009618E8" w:rsidRPr="0041008F">
        <w:rPr>
          <w:lang w:val="es-ES_tradnl"/>
        </w:rPr>
        <w:t xml:space="preserve"> </w:t>
      </w:r>
      <w:r w:rsidRPr="009B41F4">
        <w:rPr>
          <w:lang w:val="es-ES_tradnl"/>
        </w:rPr>
        <w:t>(Cuadro: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Caracteres;</w:t>
      </w:r>
      <w:r w:rsidR="001228D1" w:rsidRPr="0041008F">
        <w:rPr>
          <w:lang w:val="es-ES_tradnl"/>
        </w:rPr>
        <w:t xml:space="preserve"> </w:t>
      </w:r>
      <w:r w:rsidRPr="00231849">
        <w:rPr>
          <w:lang w:val="es-ES_tradnl"/>
        </w:rPr>
        <w:t>Niveles de expresión</w:t>
      </w:r>
      <w:r w:rsidRPr="009B41F4">
        <w:rPr>
          <w:lang w:val="es-ES_tradnl"/>
        </w:rPr>
        <w:t>;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Nota;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Observaciones);</w:t>
      </w:r>
    </w:p>
    <w:p w:rsidR="00E705FA" w:rsidRPr="009B41F4" w:rsidRDefault="00231849" w:rsidP="00B31A08">
      <w:pPr>
        <w:pStyle w:val="ListParagraph"/>
        <w:numPr>
          <w:ilvl w:val="2"/>
          <w:numId w:val="1"/>
        </w:numPr>
        <w:tabs>
          <w:tab w:val="left" w:pos="1560"/>
        </w:tabs>
        <w:spacing w:line="280" w:lineRule="auto"/>
        <w:ind w:left="1701" w:hanging="567"/>
        <w:jc w:val="left"/>
      </w:pPr>
      <w:r w:rsidRPr="00231849">
        <w:rPr>
          <w:lang w:val="es-ES_tradnl"/>
        </w:rPr>
        <w:t>Información adicional</w:t>
      </w:r>
      <w:r w:rsidRPr="009B41F4">
        <w:rPr>
          <w:snapToGrid w:val="0"/>
          <w:lang w:val="es-ES_tradnl"/>
        </w:rPr>
        <w:t>;</w:t>
      </w:r>
    </w:p>
    <w:p w:rsidR="00E705FA" w:rsidRPr="007D4CB7" w:rsidRDefault="001228D1" w:rsidP="00B31A08">
      <w:pPr>
        <w:spacing w:line="280" w:lineRule="auto"/>
        <w:ind w:left="1134"/>
        <w:jc w:val="left"/>
        <w:rPr>
          <w:lang w:val="es-ES"/>
        </w:rPr>
      </w:pPr>
      <w:r w:rsidRPr="009B41F4">
        <w:rPr>
          <w:lang w:val="es-ES"/>
        </w:rPr>
        <w:tab/>
      </w:r>
      <w:r w:rsidR="00E705FA" w:rsidRPr="007D4CB7">
        <w:rPr>
          <w:lang w:val="es-ES_tradnl"/>
        </w:rPr>
        <w:t>a)</w:t>
      </w:r>
      <w:r w:rsidR="00830DFC" w:rsidRPr="007D4CB7">
        <w:rPr>
          <w:lang w:val="es-ES_tradnl"/>
        </w:rPr>
        <w:tab/>
      </w:r>
      <w:r w:rsidR="007D4CB7" w:rsidRPr="007D4CB7">
        <w:rPr>
          <w:lang w:val="es-ES_tradnl"/>
        </w:rPr>
        <w:t xml:space="preserve">Datos </w:t>
      </w:r>
      <w:r w:rsidR="00B864A3" w:rsidRPr="007D4CB7">
        <w:rPr>
          <w:lang w:val="es-ES_tradnl"/>
        </w:rPr>
        <w:t>adicional</w:t>
      </w:r>
      <w:r w:rsidR="007D4CB7" w:rsidRPr="007D4CB7">
        <w:rPr>
          <w:lang w:val="es-ES_tradnl"/>
        </w:rPr>
        <w:t>es</w:t>
      </w:r>
    </w:p>
    <w:p w:rsidR="00E705FA" w:rsidRPr="007D4CB7" w:rsidRDefault="001228D1" w:rsidP="00B31A08">
      <w:pPr>
        <w:spacing w:line="280" w:lineRule="auto"/>
        <w:ind w:left="1134"/>
        <w:jc w:val="left"/>
        <w:rPr>
          <w:lang w:val="es-ES"/>
        </w:rPr>
      </w:pPr>
      <w:r w:rsidRPr="007D4CB7">
        <w:rPr>
          <w:lang w:val="es-ES"/>
        </w:rPr>
        <w:tab/>
      </w:r>
      <w:r w:rsidR="00830DFC" w:rsidRPr="007D4CB7">
        <w:rPr>
          <w:lang w:val="es-ES_tradnl"/>
        </w:rPr>
        <w:t>b)</w:t>
      </w:r>
      <w:r w:rsidR="00830DFC" w:rsidRPr="007D4CB7">
        <w:rPr>
          <w:lang w:val="es-ES_tradnl"/>
        </w:rPr>
        <w:tab/>
      </w:r>
      <w:r w:rsidR="00B864A3" w:rsidRPr="007D4CB7">
        <w:rPr>
          <w:lang w:val="es-ES_tradnl"/>
        </w:rPr>
        <w:t>Fotografía (si procede)</w:t>
      </w:r>
    </w:p>
    <w:p w:rsidR="00E705FA" w:rsidRPr="007D4CB7" w:rsidRDefault="001228D1" w:rsidP="00B31A08">
      <w:pPr>
        <w:spacing w:line="280" w:lineRule="auto"/>
        <w:ind w:left="1134"/>
        <w:jc w:val="left"/>
        <w:rPr>
          <w:lang w:val="es-ES"/>
        </w:rPr>
      </w:pPr>
      <w:r w:rsidRPr="007D4CB7">
        <w:rPr>
          <w:lang w:val="es-ES"/>
        </w:rPr>
        <w:tab/>
      </w:r>
      <w:r w:rsidR="00E705FA" w:rsidRPr="007D4CB7">
        <w:rPr>
          <w:lang w:val="es-ES_tradnl"/>
        </w:rPr>
        <w:t>c)</w:t>
      </w:r>
      <w:r w:rsidR="00830DFC" w:rsidRPr="007D4CB7">
        <w:rPr>
          <w:lang w:val="es-ES_tradnl"/>
        </w:rPr>
        <w:tab/>
      </w:r>
      <w:r w:rsidR="00B864A3" w:rsidRPr="007D4CB7">
        <w:rPr>
          <w:lang w:val="es-ES_tradnl"/>
        </w:rPr>
        <w:t>Versión de la Carta de Colores RHS empleada (cuando proceda)</w:t>
      </w:r>
    </w:p>
    <w:p w:rsidR="00E705FA" w:rsidRPr="0041008F" w:rsidRDefault="001228D1" w:rsidP="00B31A08">
      <w:pPr>
        <w:tabs>
          <w:tab w:val="left" w:pos="284"/>
        </w:tabs>
        <w:spacing w:line="280" w:lineRule="auto"/>
        <w:ind w:left="1134"/>
        <w:rPr>
          <w:lang w:val="es-ES_tradnl"/>
        </w:rPr>
      </w:pPr>
      <w:r w:rsidRPr="009B41F4">
        <w:rPr>
          <w:lang w:val="es-ES"/>
        </w:rPr>
        <w:tab/>
      </w:r>
      <w:r w:rsidRPr="0041008F">
        <w:rPr>
          <w:lang w:val="es-ES_tradnl"/>
        </w:rPr>
        <w:t>d)</w:t>
      </w:r>
      <w:r w:rsidRPr="0041008F">
        <w:rPr>
          <w:lang w:val="es-ES_tradnl"/>
        </w:rPr>
        <w:tab/>
      </w:r>
      <w:r w:rsidR="00231849" w:rsidRPr="009B41F4">
        <w:rPr>
          <w:lang w:val="es-ES_tradnl"/>
        </w:rPr>
        <w:t>Observaciones</w:t>
      </w:r>
    </w:p>
    <w:p w:rsidR="00E705FA" w:rsidRPr="0041008F" w:rsidRDefault="00E705FA" w:rsidP="00B31A08">
      <w:pPr>
        <w:pStyle w:val="ListParagraph"/>
        <w:rPr>
          <w:snapToGrid w:val="0"/>
          <w:lang w:val="es-ES_tradnl"/>
        </w:rPr>
      </w:pPr>
    </w:p>
    <w:p w:rsidR="00E705FA" w:rsidRPr="0041008F" w:rsidRDefault="00E3139E" w:rsidP="00B31A08">
      <w:pPr>
        <w:rPr>
          <w:snapToGrid w:val="0"/>
          <w:lang w:val="es-ES_tradnl"/>
        </w:rPr>
      </w:pPr>
      <w:r w:rsidRPr="009B41F4">
        <w:rPr>
          <w:snapToGrid w:val="0"/>
        </w:rPr>
        <w:fldChar w:fldCharType="begin"/>
      </w:r>
      <w:r w:rsidR="001228D1" w:rsidRPr="0041008F">
        <w:rPr>
          <w:snapToGrid w:val="0"/>
          <w:lang w:val="es-ES_tradnl"/>
        </w:rPr>
        <w:instrText xml:space="preserve"> AUTONUM  </w:instrText>
      </w:r>
      <w:r w:rsidRPr="009B41F4">
        <w:rPr>
          <w:snapToGrid w:val="0"/>
        </w:rPr>
        <w:fldChar w:fldCharType="end"/>
      </w:r>
      <w:r w:rsidR="001228D1" w:rsidRPr="0041008F">
        <w:rPr>
          <w:snapToGrid w:val="0"/>
          <w:lang w:val="es-ES_tradnl"/>
        </w:rPr>
        <w:tab/>
      </w:r>
      <w:r w:rsidR="00231849" w:rsidRPr="009B41F4">
        <w:rPr>
          <w:snapToGrid w:val="0"/>
          <w:lang w:val="es-ES_tradnl"/>
        </w:rPr>
        <w:t xml:space="preserve">El CAJ-AG examinó </w:t>
      </w:r>
      <w:r w:rsidR="00231849" w:rsidRPr="00D418B6">
        <w:rPr>
          <w:snapToGrid w:val="0"/>
          <w:lang w:val="es-ES_tradnl"/>
        </w:rPr>
        <w:t>la situación de la descripción original de la variedad con respecto a la comprobación de</w:t>
      </w:r>
      <w:r w:rsidR="00231849" w:rsidRPr="009B41F4">
        <w:rPr>
          <w:snapToGrid w:val="0"/>
          <w:lang w:val="es-ES_tradnl"/>
        </w:rPr>
        <w:t>l</w:t>
      </w:r>
      <w:r w:rsidR="00D418B6" w:rsidRPr="009B41F4">
        <w:rPr>
          <w:snapToGrid w:val="0"/>
          <w:lang w:val="es-ES_tradnl"/>
        </w:rPr>
        <w:t xml:space="preserve"> </w:t>
      </w:r>
      <w:r w:rsidR="00231849" w:rsidRPr="009B41F4">
        <w:rPr>
          <w:snapToGrid w:val="0"/>
          <w:lang w:val="es-ES_tradnl"/>
        </w:rPr>
        <w:t xml:space="preserve">material </w:t>
      </w:r>
      <w:r w:rsidR="00D418B6" w:rsidRPr="009B41F4">
        <w:rPr>
          <w:snapToGrid w:val="0"/>
          <w:lang w:val="es-ES_tradnl"/>
        </w:rPr>
        <w:t xml:space="preserve">vegetal de una variedad </w:t>
      </w:r>
      <w:r w:rsidR="00231849" w:rsidRPr="009B41F4">
        <w:rPr>
          <w:snapToGrid w:val="0"/>
          <w:lang w:val="es-ES_tradnl"/>
        </w:rPr>
        <w:t>prote</w:t>
      </w:r>
      <w:r w:rsidR="00D418B6" w:rsidRPr="009B41F4">
        <w:rPr>
          <w:snapToGrid w:val="0"/>
          <w:lang w:val="es-ES_tradnl"/>
        </w:rPr>
        <w:t xml:space="preserve">gida a efectos de la </w:t>
      </w:r>
      <w:r w:rsidR="00B951FB" w:rsidRPr="00B951FB">
        <w:rPr>
          <w:snapToGrid w:val="0"/>
          <w:lang w:val="es-ES_tradnl"/>
        </w:rPr>
        <w:t>defensa</w:t>
      </w:r>
      <w:r w:rsidR="00231849" w:rsidRPr="009B41F4">
        <w:rPr>
          <w:snapToGrid w:val="0"/>
          <w:lang w:val="es-ES_tradnl"/>
        </w:rPr>
        <w:t xml:space="preserve"> </w:t>
      </w:r>
      <w:r w:rsidR="00D418B6" w:rsidRPr="009B41F4">
        <w:rPr>
          <w:snapToGrid w:val="0"/>
          <w:lang w:val="es-ES_tradnl"/>
        </w:rPr>
        <w:t xml:space="preserve">del </w:t>
      </w:r>
      <w:r w:rsidR="00231849" w:rsidRPr="009B41F4">
        <w:rPr>
          <w:snapToGrid w:val="0"/>
          <w:lang w:val="es-ES_tradnl"/>
        </w:rPr>
        <w:t xml:space="preserve">derecho de obtentor </w:t>
      </w:r>
      <w:r w:rsidR="00D418B6" w:rsidRPr="009B41F4">
        <w:rPr>
          <w:snapToGrid w:val="0"/>
          <w:lang w:val="es-ES_tradnl"/>
        </w:rPr>
        <w:t>y señal</w:t>
      </w:r>
      <w:r w:rsidR="00231849" w:rsidRPr="009B41F4">
        <w:rPr>
          <w:snapToGrid w:val="0"/>
          <w:lang w:val="es-ES_tradnl"/>
        </w:rPr>
        <w:t xml:space="preserve">ó que </w:t>
      </w:r>
      <w:r w:rsidR="00D418B6" w:rsidRPr="009B41F4">
        <w:rPr>
          <w:snapToGrid w:val="0"/>
          <w:lang w:val="es-ES_tradnl"/>
        </w:rPr>
        <w:t xml:space="preserve">en las orientaciones de la </w:t>
      </w:r>
      <w:r w:rsidR="00231849" w:rsidRPr="009B41F4">
        <w:rPr>
          <w:snapToGrid w:val="0"/>
          <w:lang w:val="es-ES_tradnl"/>
        </w:rPr>
        <w:t xml:space="preserve">UPOV </w:t>
      </w:r>
      <w:r w:rsidR="00D418B6" w:rsidRPr="009B41F4">
        <w:rPr>
          <w:snapToGrid w:val="0"/>
          <w:lang w:val="es-ES_tradnl"/>
        </w:rPr>
        <w:t xml:space="preserve">relativas a la observancia de los derechos de los </w:t>
      </w:r>
      <w:r w:rsidR="00231849" w:rsidRPr="009B41F4">
        <w:rPr>
          <w:snapToGrid w:val="0"/>
          <w:lang w:val="es-ES_tradnl"/>
        </w:rPr>
        <w:t>obtentor</w:t>
      </w:r>
      <w:r w:rsidR="00D418B6" w:rsidRPr="009B41F4">
        <w:rPr>
          <w:snapToGrid w:val="0"/>
          <w:lang w:val="es-ES_tradnl"/>
        </w:rPr>
        <w:t xml:space="preserve">es que figuran en el </w:t>
      </w:r>
      <w:r w:rsidR="00231849" w:rsidRPr="009B41F4">
        <w:rPr>
          <w:snapToGrid w:val="0"/>
          <w:lang w:val="es-ES_tradnl"/>
        </w:rPr>
        <w:t>document</w:t>
      </w:r>
      <w:r w:rsidR="00D418B6" w:rsidRPr="009B41F4">
        <w:rPr>
          <w:snapToGrid w:val="0"/>
          <w:lang w:val="es-ES_tradnl"/>
        </w:rPr>
        <w:t>o</w:t>
      </w:r>
      <w:r w:rsidR="00231849" w:rsidRPr="009B41F4">
        <w:rPr>
          <w:snapToGrid w:val="0"/>
          <w:lang w:val="es-ES_tradnl"/>
        </w:rPr>
        <w:t xml:space="preserve"> UPOV/EXN/ENF/1 “</w:t>
      </w:r>
      <w:r w:rsidR="00D418B6" w:rsidRPr="00D418B6">
        <w:rPr>
          <w:snapToGrid w:val="0"/>
          <w:lang w:val="es-ES_tradnl"/>
        </w:rPr>
        <w:t>Notas explicativas sobre la defensa de los derechos del obtentor con arreglo al Convenio de la UPOV</w:t>
      </w:r>
      <w:r w:rsidR="00231849" w:rsidRPr="009B41F4">
        <w:rPr>
          <w:snapToGrid w:val="0"/>
          <w:lang w:val="es-ES_tradnl"/>
        </w:rPr>
        <w:t xml:space="preserve">” </w:t>
      </w:r>
      <w:r w:rsidR="00E344C6" w:rsidRPr="009B41F4">
        <w:rPr>
          <w:snapToGrid w:val="0"/>
          <w:lang w:val="es-ES_tradnl"/>
        </w:rPr>
        <w:t xml:space="preserve">se ofrece </w:t>
      </w:r>
      <w:r w:rsidR="00D418B6" w:rsidRPr="009B41F4">
        <w:rPr>
          <w:snapToGrid w:val="0"/>
          <w:lang w:val="es-ES_tradnl"/>
        </w:rPr>
        <w:t xml:space="preserve">la siguiente </w:t>
      </w:r>
      <w:r w:rsidR="00231849" w:rsidRPr="009B41F4">
        <w:rPr>
          <w:snapToGrid w:val="0"/>
          <w:lang w:val="es-ES_tradnl"/>
        </w:rPr>
        <w:t>expl</w:t>
      </w:r>
      <w:r w:rsidR="00D418B6" w:rsidRPr="009B41F4">
        <w:rPr>
          <w:snapToGrid w:val="0"/>
          <w:lang w:val="es-ES_tradnl"/>
        </w:rPr>
        <w:t>icación</w:t>
      </w:r>
      <w:r w:rsidR="00231849" w:rsidRPr="009B41F4">
        <w:rPr>
          <w:snapToGrid w:val="0"/>
          <w:lang w:val="es-ES_tradnl"/>
        </w:rPr>
        <w:t>:</w:t>
      </w:r>
      <w:r w:rsidR="001228D1" w:rsidRPr="0041008F">
        <w:rPr>
          <w:snapToGrid w:val="0"/>
          <w:lang w:val="es-ES_tradnl"/>
        </w:rPr>
        <w:t xml:space="preserve"> </w:t>
      </w:r>
    </w:p>
    <w:p w:rsidR="00E705FA" w:rsidRPr="0041008F" w:rsidRDefault="00E705FA" w:rsidP="00B31A08">
      <w:pPr>
        <w:pStyle w:val="ListParagraph"/>
        <w:rPr>
          <w:snapToGrid w:val="0"/>
          <w:lang w:val="es-ES_tradnl"/>
        </w:rPr>
      </w:pPr>
    </w:p>
    <w:p w:rsidR="00E705FA" w:rsidRPr="0041008F" w:rsidRDefault="002E308F" w:rsidP="00B31A08">
      <w:pPr>
        <w:pStyle w:val="ListParagraph"/>
        <w:ind w:left="567"/>
        <w:rPr>
          <w:snapToGrid w:val="0"/>
          <w:sz w:val="18"/>
          <w:lang w:val="es-ES"/>
        </w:rPr>
      </w:pPr>
      <w:r w:rsidRPr="0041008F">
        <w:rPr>
          <w:snapToGrid w:val="0"/>
          <w:sz w:val="18"/>
          <w:lang w:val="es-ES_tradnl"/>
        </w:rPr>
        <w:t>“</w:t>
      </w:r>
      <w:r w:rsidR="00E705FA" w:rsidRPr="0041008F">
        <w:rPr>
          <w:snapToGrid w:val="0"/>
          <w:sz w:val="18"/>
          <w:lang w:val="es-ES_tradnl"/>
        </w:rPr>
        <w:t xml:space="preserve">SECCIÓN II:  </w:t>
      </w:r>
      <w:r w:rsidR="005D1C43" w:rsidRPr="0041008F">
        <w:rPr>
          <w:snapToGrid w:val="0"/>
          <w:sz w:val="18"/>
          <w:lang w:val="es-ES_tradnl"/>
        </w:rPr>
        <w:t>Algunas medidas posibles para la defensa de los derechos de obtentor</w:t>
      </w:r>
      <w:r w:rsidRPr="0041008F">
        <w:rPr>
          <w:snapToGrid w:val="0"/>
          <w:sz w:val="18"/>
          <w:lang w:val="es-ES"/>
        </w:rPr>
        <w:t xml:space="preserve"> </w:t>
      </w:r>
    </w:p>
    <w:p w:rsidR="00E705FA" w:rsidRPr="0041008F" w:rsidRDefault="00E705FA" w:rsidP="00B31A08">
      <w:pPr>
        <w:pStyle w:val="ListParagraph"/>
        <w:ind w:left="567"/>
        <w:rPr>
          <w:snapToGrid w:val="0"/>
          <w:sz w:val="18"/>
          <w:lang w:val="es-ES"/>
        </w:rPr>
      </w:pPr>
    </w:p>
    <w:p w:rsidR="00E705FA" w:rsidRPr="0041008F" w:rsidRDefault="005D1C43" w:rsidP="00B31A08">
      <w:pPr>
        <w:pStyle w:val="ListParagraph"/>
        <w:ind w:left="567" w:right="567"/>
        <w:rPr>
          <w:snapToGrid w:val="0"/>
          <w:sz w:val="18"/>
          <w:lang w:val="es-ES"/>
        </w:rPr>
      </w:pPr>
      <w:r w:rsidRPr="0041008F">
        <w:rPr>
          <w:snapToGrid w:val="0"/>
          <w:sz w:val="18"/>
          <w:lang w:val="es-ES_tradnl"/>
        </w:rPr>
        <w:t>Si bien el Convenio de la UPOV exige a los miembros de la Unión que prevean los recursos legales apropiados que permitan defender eficazmente los derechos de obtentor, corresponde a los obtentores la defensa de sus derechos.”</w:t>
      </w:r>
    </w:p>
    <w:p w:rsidR="00E705FA" w:rsidRPr="0041008F" w:rsidRDefault="001228D1" w:rsidP="00B31A08">
      <w:pPr>
        <w:pStyle w:val="ListParagraph"/>
        <w:ind w:left="567" w:right="567"/>
        <w:rPr>
          <w:snapToGrid w:val="0"/>
          <w:sz w:val="18"/>
          <w:lang w:val="es-ES_tradnl"/>
        </w:rPr>
      </w:pPr>
      <w:r w:rsidRPr="0041008F">
        <w:rPr>
          <w:snapToGrid w:val="0"/>
          <w:sz w:val="18"/>
          <w:lang w:val="es-ES_tradnl"/>
        </w:rPr>
        <w:t>[…]</w:t>
      </w:r>
    </w:p>
    <w:p w:rsidR="00E705FA" w:rsidRPr="0041008F" w:rsidRDefault="00E705FA" w:rsidP="00B31A08">
      <w:pPr>
        <w:pStyle w:val="ListParagraph"/>
        <w:ind w:left="567" w:right="567"/>
        <w:rPr>
          <w:snapToGrid w:val="0"/>
          <w:sz w:val="18"/>
          <w:lang w:val="es-ES_tradnl"/>
        </w:rPr>
      </w:pPr>
    </w:p>
    <w:p w:rsidR="00E705FA" w:rsidRPr="0041008F" w:rsidRDefault="00E3139E" w:rsidP="00B31A08">
      <w:pPr>
        <w:rPr>
          <w:snapToGrid w:val="0"/>
          <w:lang w:val="es-ES_tradnl"/>
        </w:rPr>
      </w:pPr>
      <w:r w:rsidRPr="009B41F4">
        <w:rPr>
          <w:snapToGrid w:val="0"/>
        </w:rPr>
        <w:fldChar w:fldCharType="begin"/>
      </w:r>
      <w:r w:rsidR="001228D1" w:rsidRPr="0041008F">
        <w:rPr>
          <w:snapToGrid w:val="0"/>
          <w:lang w:val="es-ES_tradnl"/>
        </w:rPr>
        <w:instrText xml:space="preserve"> AUTONUM  </w:instrText>
      </w:r>
      <w:r w:rsidRPr="009B41F4">
        <w:rPr>
          <w:snapToGrid w:val="0"/>
        </w:rPr>
        <w:fldChar w:fldCharType="end"/>
      </w:r>
      <w:r w:rsidR="001228D1" w:rsidRPr="0041008F">
        <w:rPr>
          <w:snapToGrid w:val="0"/>
          <w:lang w:val="es-ES_tradnl"/>
        </w:rPr>
        <w:tab/>
      </w:r>
      <w:r w:rsidR="00D418B6" w:rsidRPr="009B41F4">
        <w:rPr>
          <w:snapToGrid w:val="0"/>
          <w:lang w:val="es-ES_tradnl"/>
        </w:rPr>
        <w:t xml:space="preserve">El CAJ-AG convino en que, en relación con el uso de la </w:t>
      </w:r>
      <w:r w:rsidR="00D418B6" w:rsidRPr="00D418B6">
        <w:rPr>
          <w:snapToGrid w:val="0"/>
          <w:lang w:val="es-ES_tradnl"/>
        </w:rPr>
        <w:t>descripción original de la variedad</w:t>
      </w:r>
      <w:r w:rsidR="00D418B6" w:rsidRPr="009B41F4">
        <w:rPr>
          <w:snapToGrid w:val="0"/>
          <w:lang w:val="es-ES_tradnl"/>
        </w:rPr>
        <w:t xml:space="preserve">, debía recordarse que la descripción de los caracteres de la variedad y la </w:t>
      </w:r>
      <w:r w:rsidR="00D418B6" w:rsidRPr="00D418B6">
        <w:rPr>
          <w:snapToGrid w:val="0"/>
          <w:lang w:val="es-ES_tradnl"/>
        </w:rPr>
        <w:t xml:space="preserve">base </w:t>
      </w:r>
      <w:r w:rsidR="00D418B6" w:rsidRPr="009B41F4">
        <w:rPr>
          <w:snapToGrid w:val="0"/>
          <w:lang w:val="es-ES_tradnl"/>
        </w:rPr>
        <w:t xml:space="preserve">para </w:t>
      </w:r>
      <w:r w:rsidR="00D418B6" w:rsidRPr="00D418B6">
        <w:rPr>
          <w:snapToGrid w:val="0"/>
          <w:lang w:val="es-ES_tradnl"/>
        </w:rPr>
        <w:t>la distinción</w:t>
      </w:r>
      <w:r w:rsidR="00D418B6" w:rsidRPr="009B41F4">
        <w:rPr>
          <w:snapToGrid w:val="0"/>
          <w:lang w:val="es-ES_tradnl"/>
        </w:rPr>
        <w:t xml:space="preserve"> respecto de la variedad más similar están vinculadas a las circunstancias del examen DHE, según se expone en el párrafo 10</w:t>
      </w:r>
      <w:r w:rsidR="00383DE4" w:rsidRPr="009B41F4">
        <w:rPr>
          <w:snapToGrid w:val="0"/>
          <w:lang w:val="es-ES_tradnl"/>
        </w:rPr>
        <w:t>.c)</w:t>
      </w:r>
      <w:r w:rsidR="00D418B6" w:rsidRPr="009B41F4">
        <w:rPr>
          <w:snapToGrid w:val="0"/>
          <w:lang w:val="es-ES_tradnl"/>
        </w:rPr>
        <w:t xml:space="preserve"> de este documento, a saber:</w:t>
      </w:r>
    </w:p>
    <w:p w:rsidR="00E705FA" w:rsidRPr="0041008F" w:rsidRDefault="00E705FA" w:rsidP="00B31A08">
      <w:pPr>
        <w:rPr>
          <w:snapToGrid w:val="0"/>
          <w:lang w:val="es-ES_tradnl"/>
        </w:rPr>
      </w:pPr>
    </w:p>
    <w:p w:rsidR="00BB16C2" w:rsidRPr="007D4CB7" w:rsidRDefault="005D1C43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</w:tabs>
        <w:spacing w:line="280" w:lineRule="auto"/>
        <w:ind w:left="1701" w:hanging="567"/>
        <w:jc w:val="left"/>
        <w:rPr>
          <w:lang w:val="es-ES"/>
        </w:rPr>
      </w:pPr>
      <w:r w:rsidRPr="007D4CB7">
        <w:rPr>
          <w:lang w:val="es-ES_tradnl"/>
        </w:rPr>
        <w:t>Fecha y número de documento de las Directrices de Examen de la UPOV;</w:t>
      </w:r>
    </w:p>
    <w:p w:rsidR="00BB16C2" w:rsidRPr="0041008F" w:rsidRDefault="00D418B6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jc w:val="left"/>
        <w:rPr>
          <w:lang w:val="es-ES_tradnl"/>
        </w:rPr>
      </w:pPr>
      <w:r w:rsidRPr="007D4CB7">
        <w:rPr>
          <w:lang w:val="es-ES_tradnl"/>
        </w:rPr>
        <w:t xml:space="preserve">Fecha y/o número de documento de las directrices de examen de la </w:t>
      </w:r>
      <w:r w:rsidR="00383DE4" w:rsidRPr="007D4CB7">
        <w:rPr>
          <w:lang w:val="es-ES_tradnl"/>
        </w:rPr>
        <w:t>a</w:t>
      </w:r>
      <w:r w:rsidRPr="007D4CB7">
        <w:rPr>
          <w:lang w:val="es-ES_tradnl"/>
        </w:rPr>
        <w:t xml:space="preserve">utoridad </w:t>
      </w:r>
      <w:r w:rsidR="00383DE4" w:rsidRPr="007D4CB7">
        <w:rPr>
          <w:lang w:val="es-ES_tradnl"/>
        </w:rPr>
        <w:t>i</w:t>
      </w:r>
      <w:r w:rsidRPr="007D4CB7">
        <w:rPr>
          <w:lang w:val="es-ES_tradnl"/>
        </w:rPr>
        <w:t>nformante;</w:t>
      </w:r>
    </w:p>
    <w:p w:rsidR="00BB16C2" w:rsidRPr="007D4CB7" w:rsidRDefault="00D418B6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</w:pPr>
      <w:r w:rsidRPr="007D4CB7">
        <w:rPr>
          <w:lang w:val="es-ES_tradnl"/>
        </w:rPr>
        <w:t xml:space="preserve">Autoridad </w:t>
      </w:r>
      <w:r w:rsidR="00383DE4" w:rsidRPr="007D4CB7">
        <w:rPr>
          <w:lang w:val="es-ES_tradnl"/>
        </w:rPr>
        <w:t>i</w:t>
      </w:r>
      <w:r w:rsidRPr="007D4CB7">
        <w:rPr>
          <w:lang w:val="es-ES_tradnl"/>
        </w:rPr>
        <w:t>nformante;</w:t>
      </w:r>
    </w:p>
    <w:p w:rsidR="00BB16C2" w:rsidRPr="0041008F" w:rsidRDefault="00D418B6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7D4CB7">
        <w:rPr>
          <w:lang w:val="es-ES_tradnl"/>
        </w:rPr>
        <w:t>Estación(es) y lugar(es) del examen;</w:t>
      </w:r>
    </w:p>
    <w:p w:rsidR="00BB16C2" w:rsidRPr="0041008F" w:rsidRDefault="00D418B6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7D4CB7">
        <w:rPr>
          <w:lang w:val="es-ES_tradnl"/>
        </w:rPr>
        <w:t>Período de realización del examen;</w:t>
      </w:r>
    </w:p>
    <w:p w:rsidR="00E705FA" w:rsidRPr="007D4CB7" w:rsidRDefault="005D1C43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jc w:val="left"/>
        <w:rPr>
          <w:lang w:val="es-ES"/>
        </w:rPr>
      </w:pPr>
      <w:r w:rsidRPr="007D4CB7">
        <w:rPr>
          <w:lang w:val="es-ES_tradnl"/>
        </w:rPr>
        <w:t>Fecha y lugar de emisión del documento;</w:t>
      </w:r>
    </w:p>
    <w:p w:rsidR="00E705FA" w:rsidRPr="0041008F" w:rsidRDefault="00D418B6" w:rsidP="00B31A08">
      <w:pPr>
        <w:pStyle w:val="ListParagraph"/>
        <w:numPr>
          <w:ilvl w:val="2"/>
          <w:numId w:val="1"/>
        </w:numPr>
        <w:tabs>
          <w:tab w:val="left" w:pos="567"/>
          <w:tab w:val="left" w:pos="1560"/>
          <w:tab w:val="left" w:pos="5103"/>
        </w:tabs>
        <w:spacing w:line="280" w:lineRule="auto"/>
        <w:ind w:left="1701" w:hanging="567"/>
        <w:rPr>
          <w:lang w:val="es-ES_tradnl"/>
        </w:rPr>
      </w:pPr>
      <w:r w:rsidRPr="007D4CB7">
        <w:rPr>
          <w:lang w:val="es-ES_tradnl"/>
        </w:rPr>
        <w:t>Grupo:</w:t>
      </w:r>
      <w:r w:rsidR="001228D1" w:rsidRPr="0041008F">
        <w:rPr>
          <w:lang w:val="es-ES_tradnl"/>
        </w:rPr>
        <w:t xml:space="preserve"> </w:t>
      </w:r>
      <w:r w:rsidRPr="007D4CB7">
        <w:rPr>
          <w:lang w:val="es-ES_tradnl"/>
        </w:rPr>
        <w:t>(Cuadro:</w:t>
      </w:r>
      <w:r w:rsidR="001228D1" w:rsidRPr="0041008F">
        <w:rPr>
          <w:lang w:val="es-ES_tradnl"/>
        </w:rPr>
        <w:t xml:space="preserve"> </w:t>
      </w:r>
      <w:r w:rsidRPr="007D4CB7">
        <w:rPr>
          <w:lang w:val="es-ES_tradnl"/>
        </w:rPr>
        <w:t>Caracteres</w:t>
      </w:r>
      <w:r w:rsidRPr="009B41F4">
        <w:rPr>
          <w:lang w:val="es-ES_tradnl"/>
        </w:rPr>
        <w:t>;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Niveles de expresión;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Nota;</w:t>
      </w:r>
      <w:r w:rsidR="001228D1" w:rsidRPr="0041008F">
        <w:rPr>
          <w:lang w:val="es-ES_tradnl"/>
        </w:rPr>
        <w:t xml:space="preserve"> </w:t>
      </w:r>
      <w:r w:rsidRPr="009B41F4">
        <w:rPr>
          <w:lang w:val="es-ES_tradnl"/>
        </w:rPr>
        <w:t>Observaciones);</w:t>
      </w:r>
    </w:p>
    <w:p w:rsidR="00E705FA" w:rsidRPr="009B41F4" w:rsidRDefault="00D418B6" w:rsidP="00B31A08">
      <w:pPr>
        <w:pStyle w:val="ListParagraph"/>
        <w:keepNext/>
        <w:numPr>
          <w:ilvl w:val="2"/>
          <w:numId w:val="1"/>
        </w:numPr>
        <w:tabs>
          <w:tab w:val="left" w:pos="1560"/>
        </w:tabs>
        <w:spacing w:line="280" w:lineRule="auto"/>
        <w:ind w:left="1701" w:hanging="567"/>
        <w:rPr>
          <w:lang w:val="en-GB"/>
        </w:rPr>
      </w:pPr>
      <w:r w:rsidRPr="009B41F4">
        <w:rPr>
          <w:lang w:val="es-ES_tradnl"/>
        </w:rPr>
        <w:t>Información adicional</w:t>
      </w:r>
    </w:p>
    <w:p w:rsidR="00E705FA" w:rsidRPr="007D4CB7" w:rsidRDefault="001228D1" w:rsidP="00B31A08">
      <w:pPr>
        <w:keepNext/>
        <w:spacing w:line="280" w:lineRule="auto"/>
        <w:ind w:left="1134"/>
        <w:rPr>
          <w:lang w:val="es-ES"/>
        </w:rPr>
      </w:pPr>
      <w:r w:rsidRPr="007D4CB7">
        <w:rPr>
          <w:lang w:val="es-ES"/>
        </w:rPr>
        <w:tab/>
      </w:r>
      <w:r w:rsidR="009618E8" w:rsidRPr="007D4CB7">
        <w:rPr>
          <w:lang w:val="es-ES_tradnl"/>
        </w:rPr>
        <w:t>a)</w:t>
      </w:r>
      <w:r w:rsidR="009618E8" w:rsidRPr="007D4CB7">
        <w:rPr>
          <w:lang w:val="es-ES_tradnl"/>
        </w:rPr>
        <w:tab/>
      </w:r>
      <w:r w:rsidR="007D4CB7" w:rsidRPr="007D4CB7">
        <w:rPr>
          <w:lang w:val="es-ES_tradnl"/>
        </w:rPr>
        <w:t xml:space="preserve">Datos </w:t>
      </w:r>
      <w:r w:rsidR="005D1C43" w:rsidRPr="007D4CB7">
        <w:rPr>
          <w:lang w:val="es-ES_tradnl"/>
        </w:rPr>
        <w:t>adicional</w:t>
      </w:r>
      <w:r w:rsidR="007D4CB7" w:rsidRPr="007D4CB7">
        <w:rPr>
          <w:lang w:val="es-ES_tradnl"/>
        </w:rPr>
        <w:t>es</w:t>
      </w:r>
    </w:p>
    <w:p w:rsidR="00E705FA" w:rsidRPr="007D4CB7" w:rsidRDefault="001228D1" w:rsidP="00B31A08">
      <w:pPr>
        <w:spacing w:line="280" w:lineRule="auto"/>
        <w:ind w:left="1134"/>
        <w:rPr>
          <w:lang w:val="es-ES"/>
        </w:rPr>
      </w:pPr>
      <w:r w:rsidRPr="00383DE4">
        <w:rPr>
          <w:color w:val="808080"/>
          <w:lang w:val="es-ES"/>
        </w:rPr>
        <w:tab/>
      </w:r>
      <w:r w:rsidR="009618E8" w:rsidRPr="007D4CB7">
        <w:rPr>
          <w:lang w:val="es-ES_tradnl"/>
        </w:rPr>
        <w:t>b)</w:t>
      </w:r>
      <w:r w:rsidR="009618E8" w:rsidRPr="007D4CB7">
        <w:rPr>
          <w:lang w:val="es-ES_tradnl"/>
        </w:rPr>
        <w:tab/>
      </w:r>
      <w:r w:rsidR="005D1C43" w:rsidRPr="007D4CB7">
        <w:rPr>
          <w:lang w:val="es-ES_tradnl"/>
        </w:rPr>
        <w:t>Fotografía (si procede)</w:t>
      </w:r>
    </w:p>
    <w:p w:rsidR="00E705FA" w:rsidRPr="007D4CB7" w:rsidRDefault="001228D1" w:rsidP="00B31A08">
      <w:pPr>
        <w:spacing w:line="280" w:lineRule="auto"/>
        <w:ind w:left="1134"/>
        <w:rPr>
          <w:lang w:val="es-ES"/>
        </w:rPr>
      </w:pPr>
      <w:r w:rsidRPr="007D4CB7">
        <w:rPr>
          <w:lang w:val="es-ES"/>
        </w:rPr>
        <w:tab/>
      </w:r>
      <w:r w:rsidR="00E705FA" w:rsidRPr="007D4CB7">
        <w:rPr>
          <w:lang w:val="es-ES_tradnl"/>
        </w:rPr>
        <w:t>c)</w:t>
      </w:r>
      <w:r w:rsidR="009618E8" w:rsidRPr="007D4CB7">
        <w:rPr>
          <w:lang w:val="es-ES_tradnl"/>
        </w:rPr>
        <w:tab/>
      </w:r>
      <w:r w:rsidR="005D1C43" w:rsidRPr="007D4CB7">
        <w:rPr>
          <w:lang w:val="es-ES_tradnl"/>
        </w:rPr>
        <w:t>Versión de la Carta de Colores RHS empleada (cuando proceda)</w:t>
      </w:r>
    </w:p>
    <w:p w:rsidR="00E705FA" w:rsidRPr="0041008F" w:rsidRDefault="001228D1" w:rsidP="00B31A08">
      <w:pPr>
        <w:tabs>
          <w:tab w:val="left" w:pos="284"/>
        </w:tabs>
        <w:spacing w:line="280" w:lineRule="auto"/>
        <w:ind w:left="1134"/>
        <w:rPr>
          <w:lang w:val="es-ES_tradnl"/>
        </w:rPr>
      </w:pPr>
      <w:r w:rsidRPr="007D4CB7">
        <w:rPr>
          <w:lang w:val="es-ES"/>
        </w:rPr>
        <w:tab/>
      </w:r>
      <w:r w:rsidRPr="0041008F">
        <w:rPr>
          <w:lang w:val="es-ES_tradnl"/>
        </w:rPr>
        <w:t>d)</w:t>
      </w:r>
      <w:r w:rsidRPr="0041008F">
        <w:rPr>
          <w:lang w:val="es-ES_tradnl"/>
        </w:rPr>
        <w:tab/>
      </w:r>
      <w:r w:rsidR="00BA425F" w:rsidRPr="007D4CB7">
        <w:rPr>
          <w:lang w:val="es-ES_tradnl"/>
        </w:rPr>
        <w:t>Observaciones</w:t>
      </w:r>
    </w:p>
    <w:p w:rsidR="00E705FA" w:rsidRPr="0041008F" w:rsidRDefault="00E705FA" w:rsidP="00B31A08">
      <w:pPr>
        <w:jc w:val="left"/>
        <w:rPr>
          <w:snapToGrid w:val="0"/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rPr>
          <w:snapToGrid w:val="0"/>
        </w:rPr>
        <w:fldChar w:fldCharType="begin"/>
      </w:r>
      <w:r w:rsidR="001228D1" w:rsidRPr="0041008F">
        <w:rPr>
          <w:snapToGrid w:val="0"/>
          <w:lang w:val="es-ES_tradnl"/>
        </w:rPr>
        <w:instrText xml:space="preserve"> AUTONUM  </w:instrText>
      </w:r>
      <w:r w:rsidRPr="009B41F4">
        <w:rPr>
          <w:snapToGrid w:val="0"/>
        </w:rPr>
        <w:fldChar w:fldCharType="end"/>
      </w:r>
      <w:r w:rsidR="001228D1" w:rsidRPr="0041008F">
        <w:rPr>
          <w:snapToGrid w:val="0"/>
          <w:lang w:val="es-ES_tradnl"/>
        </w:rPr>
        <w:tab/>
      </w:r>
      <w:r w:rsidR="00BA425F" w:rsidRPr="009B41F4">
        <w:rPr>
          <w:snapToGrid w:val="0"/>
          <w:lang w:val="es-ES_tradnl"/>
        </w:rPr>
        <w:t xml:space="preserve">El CAJ-AG </w:t>
      </w:r>
      <w:r w:rsidR="00365EE9" w:rsidRPr="009B41F4">
        <w:rPr>
          <w:snapToGrid w:val="0"/>
          <w:lang w:val="es-ES_tradnl"/>
        </w:rPr>
        <w:t xml:space="preserve">convino en </w:t>
      </w:r>
      <w:r w:rsidR="00BA425F" w:rsidRPr="009B41F4">
        <w:rPr>
          <w:snapToGrid w:val="0"/>
          <w:lang w:val="es-ES_tradnl"/>
        </w:rPr>
        <w:t>recomend</w:t>
      </w:r>
      <w:r w:rsidR="00365EE9" w:rsidRPr="009B41F4">
        <w:rPr>
          <w:snapToGrid w:val="0"/>
          <w:lang w:val="es-ES_tradnl"/>
        </w:rPr>
        <w:t>ar</w:t>
      </w:r>
      <w:r w:rsidR="00BA425F" w:rsidRPr="009B41F4">
        <w:rPr>
          <w:snapToGrid w:val="0"/>
          <w:lang w:val="es-ES_tradnl"/>
        </w:rPr>
        <w:t xml:space="preserve"> </w:t>
      </w:r>
      <w:r w:rsidR="00365EE9" w:rsidRPr="009B41F4">
        <w:rPr>
          <w:snapToGrid w:val="0"/>
          <w:lang w:val="es-ES_tradnl"/>
        </w:rPr>
        <w:t xml:space="preserve">al </w:t>
      </w:r>
      <w:r w:rsidR="00BA425F" w:rsidRPr="009B41F4">
        <w:rPr>
          <w:snapToGrid w:val="0"/>
          <w:lang w:val="es-ES_tradnl"/>
        </w:rPr>
        <w:t xml:space="preserve">CAJ </w:t>
      </w:r>
      <w:r w:rsidR="00365EE9" w:rsidRPr="009B41F4">
        <w:rPr>
          <w:snapToGrid w:val="0"/>
          <w:lang w:val="es-ES_tradnl"/>
        </w:rPr>
        <w:t xml:space="preserve">que </w:t>
      </w:r>
      <w:r w:rsidR="00365EE9" w:rsidRPr="009B41F4">
        <w:rPr>
          <w:lang w:val="es-ES_tradnl"/>
        </w:rPr>
        <w:t xml:space="preserve">informe al Comité Técnico sobre la </w:t>
      </w:r>
      <w:r w:rsidR="00365EE9" w:rsidRPr="009B41F4">
        <w:rPr>
          <w:snapToGrid w:val="0"/>
          <w:lang w:val="es-ES_tradnl"/>
        </w:rPr>
        <w:t xml:space="preserve">finalidad de la </w:t>
      </w:r>
      <w:r w:rsidR="00365EE9" w:rsidRPr="00365EE9">
        <w:rPr>
          <w:snapToGrid w:val="0"/>
          <w:lang w:val="es-ES_tradnl"/>
        </w:rPr>
        <w:t>descripción original de la variedad</w:t>
      </w:r>
      <w:r w:rsidR="00BA425F" w:rsidRPr="009B41F4">
        <w:rPr>
          <w:snapToGrid w:val="0"/>
          <w:lang w:val="es-ES_tradnl"/>
        </w:rPr>
        <w:t xml:space="preserve"> </w:t>
      </w:r>
      <w:r w:rsidR="00365EE9" w:rsidRPr="009B41F4">
        <w:rPr>
          <w:snapToGrid w:val="0"/>
          <w:lang w:val="es-ES_tradnl"/>
        </w:rPr>
        <w:t xml:space="preserve">y </w:t>
      </w:r>
      <w:r w:rsidR="00365EE9" w:rsidRPr="00365EE9">
        <w:rPr>
          <w:snapToGrid w:val="0"/>
          <w:lang w:val="es-ES_tradnl"/>
        </w:rPr>
        <w:t xml:space="preserve">la situación de la descripción original de la variedad con respecto a la </w:t>
      </w:r>
      <w:r w:rsidR="00365EE9" w:rsidRPr="00365EE9">
        <w:rPr>
          <w:snapToGrid w:val="0"/>
          <w:lang w:val="es-ES_tradnl"/>
        </w:rPr>
        <w:lastRenderedPageBreak/>
        <w:t>comprobación de que el material vegetal corresponde a una variedad protegida a los fines de</w:t>
      </w:r>
      <w:r w:rsidR="00BA425F" w:rsidRPr="009B41F4">
        <w:rPr>
          <w:snapToGrid w:val="0"/>
          <w:lang w:val="es-ES_tradnl"/>
        </w:rPr>
        <w:t xml:space="preserve"> </w:t>
      </w:r>
      <w:r w:rsidR="00365EE9" w:rsidRPr="00365EE9">
        <w:rPr>
          <w:snapToGrid w:val="0"/>
          <w:lang w:val="es-ES_tradnl"/>
        </w:rPr>
        <w:t>la</w:t>
      </w:r>
      <w:r w:rsidR="00B951FB">
        <w:rPr>
          <w:snapToGrid w:val="0"/>
          <w:lang w:val="es-ES_tradnl"/>
        </w:rPr>
        <w:t xml:space="preserve"> defensa</w:t>
      </w:r>
      <w:r w:rsidR="00365EE9" w:rsidRPr="00365EE9">
        <w:rPr>
          <w:snapToGrid w:val="0"/>
          <w:lang w:val="es-ES_tradnl"/>
        </w:rPr>
        <w:t xml:space="preserve"> </w:t>
      </w:r>
      <w:r w:rsidR="00365EE9" w:rsidRPr="00B951FB">
        <w:rPr>
          <w:lang w:val="es-ES_tradnl"/>
        </w:rPr>
        <w:t>del derecho</w:t>
      </w:r>
      <w:r w:rsidR="00BA425F" w:rsidRPr="009B41F4">
        <w:rPr>
          <w:lang w:val="es-ES_tradnl"/>
        </w:rPr>
        <w:t xml:space="preserve">, </w:t>
      </w:r>
      <w:r w:rsidR="00365EE9" w:rsidRPr="009B41F4">
        <w:rPr>
          <w:lang w:val="es-ES_tradnl"/>
        </w:rPr>
        <w:t>según se ha descrito antes</w:t>
      </w:r>
      <w:r w:rsidR="00BA425F" w:rsidRPr="009B41F4">
        <w:rPr>
          <w:lang w:val="es-ES_tradnl"/>
        </w:rPr>
        <w:t xml:space="preserve">, </w:t>
      </w:r>
      <w:r w:rsidR="00365EE9" w:rsidRPr="009B41F4">
        <w:rPr>
          <w:lang w:val="es-ES_tradnl"/>
        </w:rPr>
        <w:t>a fin</w:t>
      </w:r>
      <w:r w:rsidR="00BA425F" w:rsidRPr="009B41F4">
        <w:rPr>
          <w:lang w:val="es-ES_tradnl"/>
        </w:rPr>
        <w:t xml:space="preserve"> </w:t>
      </w:r>
      <w:r w:rsidR="00365EE9" w:rsidRPr="009B41F4">
        <w:rPr>
          <w:lang w:val="es-ES_tradnl"/>
        </w:rPr>
        <w:t>de facilitar su examen de</w:t>
      </w:r>
      <w:r w:rsidR="00BA425F" w:rsidRPr="009B41F4">
        <w:rPr>
          <w:lang w:val="es-ES_tradnl"/>
        </w:rPr>
        <w:t>:</w:t>
      </w:r>
    </w:p>
    <w:p w:rsidR="00E705FA" w:rsidRPr="0041008F" w:rsidRDefault="00E705FA" w:rsidP="00B31A08">
      <w:pPr>
        <w:rPr>
          <w:rFonts w:cs="Arial"/>
          <w:lang w:val="es-ES_tradnl"/>
        </w:rPr>
      </w:pPr>
    </w:p>
    <w:p w:rsidR="00E705FA" w:rsidRPr="0041008F" w:rsidRDefault="001228D1" w:rsidP="00B31A08">
      <w:pPr>
        <w:keepNext/>
        <w:ind w:left="567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"/>
        </w:rPr>
        <w:t>“[…]</w:t>
      </w:r>
    </w:p>
    <w:p w:rsidR="00E705FA" w:rsidRPr="0041008F" w:rsidRDefault="00E705FA" w:rsidP="00B31A08">
      <w:pPr>
        <w:ind w:left="567" w:right="567"/>
        <w:rPr>
          <w:sz w:val="18"/>
          <w:szCs w:val="18"/>
          <w:lang w:val="es-ES"/>
        </w:rPr>
      </w:pPr>
    </w:p>
    <w:p w:rsidR="00E705FA" w:rsidRPr="0041008F" w:rsidRDefault="00707A52" w:rsidP="00B31A08">
      <w:pPr>
        <w:tabs>
          <w:tab w:val="left" w:pos="993"/>
        </w:tabs>
        <w:ind w:left="567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b)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la situación de la descripción original de la variedad con respecto a la comprobación de que el material vegetal corresponde a una variedad protegida a los fines de:</w:t>
      </w:r>
    </w:p>
    <w:p w:rsidR="00E705FA" w:rsidRPr="0041008F" w:rsidRDefault="00E705FA" w:rsidP="00B31A08">
      <w:pPr>
        <w:ind w:left="567" w:right="567"/>
        <w:rPr>
          <w:sz w:val="18"/>
          <w:szCs w:val="18"/>
          <w:lang w:val="es-ES"/>
        </w:rPr>
      </w:pPr>
    </w:p>
    <w:p w:rsidR="00E705FA" w:rsidRPr="0041008F" w:rsidRDefault="00707A52" w:rsidP="00B31A08">
      <w:pPr>
        <w:ind w:left="1134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controlar el mantenimiento de la variedad (artículo 22 del Acta de 1991, artículo 10 del Acta de 1978);</w:t>
      </w:r>
    </w:p>
    <w:p w:rsidR="00E705FA" w:rsidRPr="0041008F" w:rsidRDefault="00E705FA" w:rsidP="00B31A08">
      <w:pPr>
        <w:ind w:left="1134" w:right="567"/>
        <w:rPr>
          <w:sz w:val="18"/>
          <w:szCs w:val="18"/>
          <w:lang w:val="es-ES"/>
        </w:rPr>
      </w:pPr>
    </w:p>
    <w:p w:rsidR="00E705FA" w:rsidRPr="0041008F" w:rsidRDefault="00707A52" w:rsidP="00B31A08">
      <w:pPr>
        <w:ind w:left="1134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ii)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el examen de la distinción, la homogeneidad y la estabilidad (DHE) de las variedades candidatas;</w:t>
      </w:r>
      <w:r w:rsidR="00E705FA" w:rsidRPr="0041008F">
        <w:rPr>
          <w:sz w:val="18"/>
          <w:szCs w:val="18"/>
          <w:lang w:val="es-ES_tradnl"/>
        </w:rPr>
        <w:t xml:space="preserve">  </w:t>
      </w:r>
      <w:r w:rsidR="005D1C43" w:rsidRPr="0041008F">
        <w:rPr>
          <w:sz w:val="18"/>
          <w:szCs w:val="18"/>
          <w:lang w:val="es-ES_tradnl"/>
        </w:rPr>
        <w:t>y</w:t>
      </w:r>
    </w:p>
    <w:p w:rsidR="00E705FA" w:rsidRPr="0041008F" w:rsidRDefault="00E705FA" w:rsidP="00B31A08">
      <w:pPr>
        <w:ind w:left="567" w:right="567"/>
        <w:rPr>
          <w:sz w:val="18"/>
          <w:szCs w:val="18"/>
          <w:lang w:val="es-ES"/>
        </w:rPr>
      </w:pPr>
    </w:p>
    <w:p w:rsidR="00E705FA" w:rsidRPr="0041008F" w:rsidRDefault="001228D1" w:rsidP="00B31A08">
      <w:pPr>
        <w:spacing w:after="240"/>
        <w:ind w:left="567" w:right="567" w:firstLine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"/>
        </w:rPr>
        <w:t>[…]</w:t>
      </w:r>
    </w:p>
    <w:p w:rsidR="00E705FA" w:rsidRPr="0041008F" w:rsidRDefault="00707A52" w:rsidP="00B31A08">
      <w:pPr>
        <w:tabs>
          <w:tab w:val="left" w:pos="993"/>
        </w:tabs>
        <w:ind w:left="567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c)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la situación de una descripción modificada de la variedad con respecto a los puntos a) y b) anteriores, producida, por ejemplo, como consecuencia de:</w:t>
      </w:r>
    </w:p>
    <w:p w:rsidR="00E705FA" w:rsidRPr="0041008F" w:rsidRDefault="00E705FA" w:rsidP="00B31A08">
      <w:pPr>
        <w:ind w:left="567" w:right="567"/>
        <w:rPr>
          <w:sz w:val="18"/>
          <w:szCs w:val="18"/>
          <w:lang w:val="es-ES"/>
        </w:rPr>
      </w:pPr>
    </w:p>
    <w:p w:rsidR="00E705FA" w:rsidRPr="0041008F" w:rsidRDefault="00E705FA" w:rsidP="00B31A08">
      <w:pPr>
        <w:spacing w:after="60"/>
        <w:ind w:left="1134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i)</w:t>
      </w:r>
      <w:r w:rsidR="00707A52"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una recalibración de la escala en las directrices de examen (especialmente para los caracteres no señalados con asterisco</w:t>
      </w:r>
      <w:r w:rsidR="005D1C43" w:rsidRPr="0041008F">
        <w:rPr>
          <w:rStyle w:val="FootnoteReference"/>
          <w:sz w:val="18"/>
          <w:szCs w:val="18"/>
          <w:lang w:val="es-ES_tradnl"/>
        </w:rPr>
        <w:footnoteReference w:id="2"/>
      </w:r>
      <w:r w:rsidR="005D1C43" w:rsidRPr="0041008F">
        <w:rPr>
          <w:sz w:val="18"/>
          <w:szCs w:val="18"/>
          <w:lang w:val="es-ES_tradnl"/>
        </w:rPr>
        <w:t>);</w:t>
      </w:r>
    </w:p>
    <w:p w:rsidR="00E705FA" w:rsidRPr="0041008F" w:rsidRDefault="00E705FA" w:rsidP="00B31A08">
      <w:pPr>
        <w:spacing w:after="60"/>
        <w:ind w:left="1134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ii)</w:t>
      </w:r>
      <w:r w:rsidR="00C822E0"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una variación resultante de las condiciones medioambientales en los años de ensayo de los caracteres que están influenciados por el medio ambiente;</w:t>
      </w:r>
    </w:p>
    <w:p w:rsidR="00E705FA" w:rsidRPr="0041008F" w:rsidRDefault="00C822E0" w:rsidP="00B31A08">
      <w:pPr>
        <w:spacing w:after="60"/>
        <w:ind w:left="1701" w:right="567" w:hanging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iii)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una variación resultante de las observaciones realizadas por distintos expertos;</w:t>
      </w:r>
      <w:r w:rsidR="00E705FA" w:rsidRPr="0041008F">
        <w:rPr>
          <w:sz w:val="18"/>
          <w:szCs w:val="18"/>
          <w:lang w:val="es-ES_tradnl"/>
        </w:rPr>
        <w:t xml:space="preserve">  </w:t>
      </w:r>
      <w:r w:rsidR="005D1C43" w:rsidRPr="0041008F">
        <w:rPr>
          <w:sz w:val="18"/>
          <w:szCs w:val="18"/>
          <w:lang w:val="es-ES_tradnl"/>
        </w:rPr>
        <w:t>o</w:t>
      </w:r>
    </w:p>
    <w:p w:rsidR="00E705FA" w:rsidRPr="0041008F" w:rsidRDefault="00E705FA" w:rsidP="00B31A08">
      <w:pPr>
        <w:ind w:left="1134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iv)</w:t>
      </w:r>
      <w:r w:rsidR="00C822E0"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la utilización de diferentes versiones de escalas (por ejemplo, diferentes versiones de la Carta de Colores RHS).</w:t>
      </w:r>
    </w:p>
    <w:p w:rsidR="00E705FA" w:rsidRPr="0041008F" w:rsidRDefault="00E705FA" w:rsidP="00B31A08">
      <w:pPr>
        <w:ind w:left="567" w:right="567"/>
        <w:rPr>
          <w:sz w:val="18"/>
          <w:szCs w:val="18"/>
          <w:lang w:val="es-ES"/>
        </w:rPr>
      </w:pPr>
    </w:p>
    <w:p w:rsidR="00E705FA" w:rsidRPr="0041008F" w:rsidRDefault="00C822E0" w:rsidP="00B31A08">
      <w:pPr>
        <w:tabs>
          <w:tab w:val="left" w:pos="993"/>
        </w:tabs>
        <w:ind w:left="567" w:right="567"/>
        <w:rPr>
          <w:sz w:val="18"/>
          <w:szCs w:val="18"/>
          <w:lang w:val="es-ES"/>
        </w:rPr>
      </w:pPr>
      <w:r w:rsidRPr="0041008F">
        <w:rPr>
          <w:sz w:val="18"/>
          <w:szCs w:val="18"/>
          <w:lang w:val="es-ES_tradnl"/>
        </w:rPr>
        <w:t>d)</w:t>
      </w:r>
      <w:r w:rsidRPr="0041008F">
        <w:rPr>
          <w:sz w:val="18"/>
          <w:szCs w:val="18"/>
          <w:lang w:val="es-ES_tradnl"/>
        </w:rPr>
        <w:tab/>
      </w:r>
      <w:r w:rsidR="005D1C43" w:rsidRPr="0041008F">
        <w:rPr>
          <w:sz w:val="18"/>
          <w:szCs w:val="18"/>
          <w:lang w:val="es-ES_tradnl"/>
        </w:rPr>
        <w:t>situaciones en las que con posterioridad se detecta un error en la descripción inicial de la variedad.”</w:t>
      </w:r>
    </w:p>
    <w:p w:rsidR="00E705FA" w:rsidRPr="0041008F" w:rsidRDefault="00E705FA" w:rsidP="00B31A08">
      <w:pPr>
        <w:rPr>
          <w:rFonts w:cs="Arial"/>
          <w:lang w:val="es-ES"/>
        </w:rPr>
      </w:pPr>
    </w:p>
    <w:p w:rsidR="00E705FA" w:rsidRPr="009B41F4" w:rsidRDefault="00E705FA" w:rsidP="00B31A08">
      <w:pPr>
        <w:rPr>
          <w:rFonts w:cs="Arial"/>
          <w:lang w:val="es-ES"/>
        </w:rPr>
      </w:pPr>
    </w:p>
    <w:p w:rsidR="00E705FA" w:rsidRPr="005767EF" w:rsidRDefault="005D1C43" w:rsidP="00B31A08">
      <w:pPr>
        <w:pStyle w:val="Heading2"/>
        <w:rPr>
          <w:lang w:val="es-ES"/>
        </w:rPr>
      </w:pPr>
      <w:r w:rsidRPr="005D1C43">
        <w:t>Notas explicativas sobre la protección provisional con arreglo al Convenio de la UPOV (revisión)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>El CAJ­AG examinó el documento UPOV/EXN/PRP/2 Draft 2 y las opiniones expresadas por CropLife International.</w:t>
      </w:r>
      <w:r w:rsidR="001228D1" w:rsidRPr="0041008F">
        <w:rPr>
          <w:rFonts w:cs="Arial"/>
          <w:szCs w:val="26"/>
          <w:lang w:val="es-ES_tradnl"/>
        </w:rPr>
        <w:t xml:space="preserve"> 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keepNext/>
        <w:rPr>
          <w:rFonts w:cs="Arial"/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 xml:space="preserve">El CAJ­AG acordó proponer al CAJ </w:t>
      </w:r>
      <w:r w:rsidR="00B951FB" w:rsidRPr="009B41F4">
        <w:rPr>
          <w:rFonts w:cs="Arial"/>
          <w:lang w:val="es-ES_tradnl"/>
        </w:rPr>
        <w:t xml:space="preserve">una </w:t>
      </w:r>
      <w:r w:rsidR="00710627" w:rsidRPr="009B41F4">
        <w:rPr>
          <w:rFonts w:cs="Arial"/>
          <w:lang w:val="es-ES_tradnl"/>
        </w:rPr>
        <w:t xml:space="preserve">revisión del documento </w:t>
      </w:r>
      <w:r w:rsidR="00710627" w:rsidRPr="009B41F4">
        <w:rPr>
          <w:lang w:val="es-ES_tradnl"/>
        </w:rPr>
        <w:t>UPOV/EXN/PRP</w:t>
      </w:r>
      <w:r w:rsidR="00710627" w:rsidRPr="009B41F4">
        <w:rPr>
          <w:rFonts w:cs="Arial"/>
          <w:lang w:val="es-ES_tradnl"/>
        </w:rPr>
        <w:t xml:space="preserve">, según se expone en el documento </w:t>
      </w:r>
      <w:r w:rsidR="00710627" w:rsidRPr="009B41F4">
        <w:rPr>
          <w:lang w:val="es-ES_tradnl"/>
        </w:rPr>
        <w:t>UPOV/EXN/PRP/2 Draft 2</w:t>
      </w:r>
      <w:r w:rsidR="00710627" w:rsidRPr="009B41F4">
        <w:rPr>
          <w:rFonts w:cs="Arial"/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pStyle w:val="Heading2"/>
      </w:pPr>
    </w:p>
    <w:p w:rsidR="00E705FA" w:rsidRPr="005767EF" w:rsidRDefault="00AE1FD7" w:rsidP="00B31A08">
      <w:pPr>
        <w:pStyle w:val="Heading2"/>
        <w:rPr>
          <w:lang w:val="es-ES"/>
        </w:rPr>
      </w:pPr>
      <w:r w:rsidRPr="00AE1FD7">
        <w:t>Variedades esencialmente derivadas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AE1FD7" w:rsidP="00B31A08">
      <w:pPr>
        <w:pStyle w:val="Heading3"/>
        <w:rPr>
          <w:color w:val="auto"/>
          <w:lang w:val="es-ES"/>
        </w:rPr>
      </w:pPr>
      <w:r w:rsidRPr="0041008F">
        <w:rPr>
          <w:color w:val="auto"/>
        </w:rPr>
        <w:t>Notas explicativas sobre las variedades esencialmente derivadas con arreglo al Acta de 1991 del Convenio de la UPOV (revisión)</w:t>
      </w:r>
    </w:p>
    <w:p w:rsidR="00E705FA" w:rsidRPr="0041008F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 xml:space="preserve">El CAJ­AG examinó los </w:t>
      </w:r>
      <w:r w:rsidR="00710627" w:rsidRPr="009B41F4">
        <w:rPr>
          <w:lang w:val="es-ES_tradnl"/>
        </w:rPr>
        <w:t>documentos CAJ-AG/14/9/2 y UPOV/EXN/EDV/2 Draft 5 y las opiniones expresadas por la AIPH, la APBREBES, la CIOPORA, la ESA y la ISF.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 xml:space="preserve">El CAJ­AG </w:t>
      </w:r>
      <w:r w:rsidR="00710627" w:rsidRPr="009B41F4">
        <w:rPr>
          <w:lang w:val="es-ES_tradnl"/>
        </w:rPr>
        <w:t xml:space="preserve">acogió con agrado la presentación realizada por Australia </w:t>
      </w:r>
      <w:r w:rsidR="00710627" w:rsidRPr="0048773A">
        <w:rPr>
          <w:lang w:val="es-ES_tradnl"/>
        </w:rPr>
        <w:t>por medios electrónicos</w:t>
      </w:r>
      <w:r w:rsidR="00710627" w:rsidRPr="009B41F4">
        <w:rPr>
          <w:lang w:val="es-ES_tradnl"/>
        </w:rPr>
        <w:t xml:space="preserve">, por internet, </w:t>
      </w:r>
      <w:r w:rsidR="0048773A" w:rsidRPr="009B41F4">
        <w:rPr>
          <w:lang w:val="es-ES_tradnl"/>
        </w:rPr>
        <w:t xml:space="preserve">en la </w:t>
      </w:r>
      <w:r w:rsidR="00710627" w:rsidRPr="009B41F4">
        <w:rPr>
          <w:lang w:val="es-ES_tradnl"/>
        </w:rPr>
        <w:t xml:space="preserve">que </w:t>
      </w:r>
      <w:r w:rsidR="0048773A" w:rsidRPr="009B41F4">
        <w:rPr>
          <w:lang w:val="es-ES_tradnl"/>
        </w:rPr>
        <w:t xml:space="preserve">se ofreció </w:t>
      </w:r>
      <w:r w:rsidR="00710627" w:rsidRPr="009B41F4">
        <w:rPr>
          <w:lang w:val="es-ES_tradnl"/>
        </w:rPr>
        <w:t xml:space="preserve">información adicional sobre el contexto de los ejemplos proporcionados por Australia en el </w:t>
      </w:r>
      <w:r w:rsidR="00710627" w:rsidRPr="00710627">
        <w:rPr>
          <w:lang w:val="es-ES_tradnl"/>
        </w:rPr>
        <w:t>Seminario sobre variedades esencialmente derivadas</w:t>
      </w:r>
      <w:r w:rsidR="00710627" w:rsidRPr="009B41F4">
        <w:rPr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8B422B">
      <w:pPr>
        <w:spacing w:after="240"/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 xml:space="preserve">El CAJ­AG </w:t>
      </w:r>
      <w:r w:rsidR="00710627" w:rsidRPr="009B41F4">
        <w:rPr>
          <w:lang w:val="es-ES_tradnl"/>
        </w:rPr>
        <w:t>señaló que el CAJ-AG había acordado, en su octava sesión, tomar en consideración la elaboración de orientaciones sobre los asuntos expuestos en los párrafos 15 al 18 del documento CAJ AG/13/8/2 “</w:t>
      </w:r>
      <w:r w:rsidR="00710627" w:rsidRPr="00710627">
        <w:rPr>
          <w:lang w:val="es-ES_tradnl"/>
        </w:rPr>
        <w:t>Notas explicativas sobre las variedades esencialmente derivadas con arreglo al Acta de 1991 del Convenio de la UPOV</w:t>
      </w:r>
      <w:r w:rsidR="00710627" w:rsidRPr="009B41F4">
        <w:rPr>
          <w:lang w:val="es-ES_tradnl"/>
        </w:rPr>
        <w:t xml:space="preserve">”, </w:t>
      </w:r>
      <w:r w:rsidR="00710627" w:rsidRPr="00710627">
        <w:rPr>
          <w:lang w:val="es-ES_tradnl"/>
        </w:rPr>
        <w:t>relativas a la situación de las variedades esencialmente derivadas que no reciben protección por derecho propio, tras la aprobación de la revisión del documento UPOV/EXN/EDV/2.</w:t>
      </w:r>
    </w:p>
    <w:p w:rsidR="00E705FA" w:rsidRPr="0041008F" w:rsidRDefault="00E3139E" w:rsidP="00B31A08">
      <w:pPr>
        <w:rPr>
          <w:lang w:val="es-ES_tradnl"/>
        </w:rPr>
      </w:pPr>
      <w:r w:rsidRPr="009B41F4">
        <w:lastRenderedPageBreak/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710627" w:rsidRPr="009B41F4">
        <w:rPr>
          <w:rFonts w:cs="Arial"/>
          <w:lang w:val="es-ES_tradnl"/>
        </w:rPr>
        <w:t xml:space="preserve">El CAJ­AG </w:t>
      </w:r>
      <w:r w:rsidR="00710627" w:rsidRPr="009B41F4">
        <w:rPr>
          <w:lang w:val="es-ES_tradnl"/>
        </w:rPr>
        <w:t xml:space="preserve">indicó que </w:t>
      </w:r>
      <w:r w:rsidR="004C343D" w:rsidRPr="009B41F4">
        <w:rPr>
          <w:lang w:val="es-ES_tradnl"/>
        </w:rPr>
        <w:t xml:space="preserve">el CAJ </w:t>
      </w:r>
      <w:r w:rsidR="0048773A" w:rsidRPr="009B41F4">
        <w:rPr>
          <w:lang w:val="es-ES_tradnl"/>
        </w:rPr>
        <w:t>examin</w:t>
      </w:r>
      <w:r w:rsidR="004C343D" w:rsidRPr="009B41F4">
        <w:rPr>
          <w:lang w:val="es-ES_tradnl"/>
        </w:rPr>
        <w:t xml:space="preserve">aría </w:t>
      </w:r>
      <w:r w:rsidR="00710627" w:rsidRPr="009B41F4">
        <w:rPr>
          <w:lang w:val="es-ES_tradnl"/>
        </w:rPr>
        <w:t xml:space="preserve">la conclusión formulada por el CAJ-AG, en su octava sesión, </w:t>
      </w:r>
      <w:r w:rsidR="004C343D" w:rsidRPr="009B41F4">
        <w:rPr>
          <w:lang w:val="es-ES_tradnl"/>
        </w:rPr>
        <w:t xml:space="preserve">de que </w:t>
      </w:r>
      <w:r w:rsidR="004C343D" w:rsidRPr="004C343D">
        <w:rPr>
          <w:lang w:val="es-ES_tradnl"/>
        </w:rPr>
        <w:t>en la futura sesión del CAJ-AG que corresponda</w:t>
      </w:r>
      <w:r w:rsidR="00710627" w:rsidRPr="004C343D">
        <w:rPr>
          <w:lang w:val="es-ES_tradnl"/>
        </w:rPr>
        <w:t xml:space="preserve">, </w:t>
      </w:r>
      <w:r w:rsidR="004C343D" w:rsidRPr="004C343D">
        <w:rPr>
          <w:lang w:val="es-ES_tradnl"/>
        </w:rPr>
        <w:t>se invitará a las delegaciones de Australia, el Brasil y la Unión Europea, así como a las de otros miembros de la Unión, a presentar ponencias sobre sus sistemas relativos a las variedades esencialmente derivadas</w:t>
      </w:r>
      <w:r w:rsidR="00710627" w:rsidRPr="009B41F4">
        <w:rPr>
          <w:lang w:val="es-ES_tradnl"/>
        </w:rPr>
        <w:t>.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4C343D" w:rsidRPr="009B41F4">
        <w:rPr>
          <w:rFonts w:cs="Arial"/>
          <w:lang w:val="es-ES_tradnl"/>
        </w:rPr>
        <w:t xml:space="preserve">El CAJ­AG </w:t>
      </w:r>
      <w:r w:rsidR="0048773A" w:rsidRPr="009B41F4">
        <w:rPr>
          <w:lang w:val="es-ES_tradnl"/>
        </w:rPr>
        <w:t>señal</w:t>
      </w:r>
      <w:r w:rsidR="004C343D" w:rsidRPr="009B41F4">
        <w:rPr>
          <w:lang w:val="es-ES_tradnl"/>
        </w:rPr>
        <w:t xml:space="preserve">ó que los asuntos relativos a la posible función de la UPOV en los </w:t>
      </w:r>
      <w:r w:rsidR="004C343D" w:rsidRPr="004C343D">
        <w:rPr>
          <w:lang w:val="es-ES_tradnl"/>
        </w:rPr>
        <w:t>mecanismos alternativos de solución de controversias</w:t>
      </w:r>
      <w:r w:rsidR="004C343D" w:rsidRPr="009B41F4">
        <w:rPr>
          <w:lang w:val="es-ES_tradnl"/>
        </w:rPr>
        <w:t xml:space="preserve"> y la propuesta que figura en el documento CAJ-AG/14/9/3 “</w:t>
      </w:r>
      <w:r w:rsidR="004C343D" w:rsidRPr="004C343D">
        <w:rPr>
          <w:lang w:val="es-ES_tradnl"/>
        </w:rPr>
        <w:t>Posibles mecanismos alternativos de solución de controversias sobre variedades esencialmente derivadas</w:t>
      </w:r>
      <w:r w:rsidR="004C343D" w:rsidRPr="009B41F4">
        <w:rPr>
          <w:lang w:val="es-ES_tradnl"/>
        </w:rPr>
        <w:t xml:space="preserve">” se remitirían al CAJ para que los </w:t>
      </w:r>
      <w:r w:rsidR="0048773A" w:rsidRPr="009B41F4">
        <w:rPr>
          <w:lang w:val="es-ES_tradnl"/>
        </w:rPr>
        <w:t>examin</w:t>
      </w:r>
      <w:r w:rsidR="004C343D" w:rsidRPr="009B41F4">
        <w:rPr>
          <w:lang w:val="es-ES_tradnl"/>
        </w:rPr>
        <w:t>ara en su septuagésima primera sesión en marzo de 2015.</w:t>
      </w:r>
      <w:r w:rsidR="001228D1" w:rsidRPr="0041008F">
        <w:rPr>
          <w:lang w:val="es-ES_tradnl"/>
        </w:rPr>
        <w:t xml:space="preserve"> 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keepNext/>
        <w:rPr>
          <w:rFonts w:cs="Arial"/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4C343D" w:rsidRPr="009B41F4">
        <w:rPr>
          <w:rFonts w:cs="Arial"/>
          <w:lang w:val="es-ES_tradnl"/>
        </w:rPr>
        <w:t xml:space="preserve">El CAJ­AG convino en modificar el documento </w:t>
      </w:r>
      <w:r w:rsidR="004C343D" w:rsidRPr="009B41F4">
        <w:rPr>
          <w:lang w:val="es-ES_tradnl"/>
        </w:rPr>
        <w:t>UPOV/EXN/EDV/2 Draft 5</w:t>
      </w:r>
      <w:r w:rsidR="004C343D" w:rsidRPr="009B41F4">
        <w:rPr>
          <w:rFonts w:cs="Arial"/>
          <w:lang w:val="es-ES_tradnl"/>
        </w:rPr>
        <w:t xml:space="preserve"> del siguiente modo:</w:t>
      </w:r>
    </w:p>
    <w:p w:rsidR="001228D1" w:rsidRPr="0041008F" w:rsidRDefault="001228D1" w:rsidP="00B31A08">
      <w:pPr>
        <w:keepNext/>
        <w:rPr>
          <w:rFonts w:cs="Arial"/>
          <w:lang w:val="es-ES_tradnl"/>
        </w:rPr>
      </w:pPr>
    </w:p>
    <w:tbl>
      <w:tblPr>
        <w:tblW w:w="9180" w:type="dxa"/>
        <w:tblInd w:w="567" w:type="dxa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CellMar>
          <w:top w:w="57" w:type="dxa"/>
          <w:left w:w="57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391"/>
        <w:gridCol w:w="7789"/>
      </w:tblGrid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306307" w:rsidP="00B31A08">
            <w:pPr>
              <w:jc w:val="left"/>
              <w:rPr>
                <w:rFonts w:cs="Arial"/>
              </w:rPr>
            </w:pPr>
            <w:r w:rsidRPr="007D4CB7">
              <w:rPr>
                <w:rFonts w:cs="Arial"/>
                <w:lang w:val="es-ES_tradnl"/>
              </w:rPr>
              <w:t xml:space="preserve">Párrafo </w:t>
            </w:r>
            <w:r w:rsidR="00E705FA" w:rsidRPr="007D4CB7">
              <w:rPr>
                <w:rFonts w:cs="Arial"/>
                <w:lang w:val="es-ES_tradnl"/>
              </w:rPr>
              <w:t>2</w:t>
            </w:r>
          </w:p>
        </w:tc>
        <w:tc>
          <w:tcPr>
            <w:tcW w:w="7789" w:type="dxa"/>
          </w:tcPr>
          <w:p w:rsidR="00E705FA" w:rsidRPr="0041008F" w:rsidRDefault="004C343D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La segunda frase del texto debe</w:t>
            </w:r>
            <w:r w:rsidR="00FA5E12" w:rsidRPr="009B41F4">
              <w:rPr>
                <w:snapToGrid w:val="0"/>
                <w:lang w:val="es-ES_tradnl"/>
              </w:rPr>
              <w:t xml:space="preserve"> </w:t>
            </w:r>
            <w:r w:rsidR="009450C7" w:rsidRPr="009B41F4">
              <w:rPr>
                <w:snapToGrid w:val="0"/>
                <w:lang w:val="es-ES_tradnl"/>
              </w:rPr>
              <w:t>se</w:t>
            </w:r>
            <w:r w:rsidRPr="009B41F4">
              <w:rPr>
                <w:snapToGrid w:val="0"/>
                <w:lang w:val="es-ES_tradnl"/>
              </w:rPr>
              <w:t>r:</w:t>
            </w:r>
          </w:p>
          <w:p w:rsidR="00E705FA" w:rsidRPr="0041008F" w:rsidRDefault="00E705FA" w:rsidP="00B31A08">
            <w:pPr>
              <w:rPr>
                <w:snapToGrid w:val="0"/>
                <w:lang w:val="es-ES_tradnl"/>
              </w:rPr>
            </w:pPr>
          </w:p>
          <w:p w:rsidR="00E705FA" w:rsidRPr="0041008F" w:rsidRDefault="004C343D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 xml:space="preserve">“La finalidad de </w:t>
            </w:r>
            <w:r w:rsidRPr="009B41F4">
              <w:rPr>
                <w:strike/>
                <w:snapToGrid w:val="0"/>
                <w:lang w:val="es-ES_tradnl"/>
              </w:rPr>
              <w:t>las</w:t>
            </w:r>
            <w:r w:rsidRPr="009B41F4">
              <w:rPr>
                <w:snapToGrid w:val="0"/>
                <w:lang w:val="es-ES_tradnl"/>
              </w:rPr>
              <w:t xml:space="preserve"> </w:t>
            </w:r>
            <w:r w:rsidRPr="009B41F4">
              <w:rPr>
                <w:snapToGrid w:val="0"/>
                <w:u w:val="single"/>
                <w:lang w:val="es-ES_tradnl"/>
              </w:rPr>
              <w:t>estas</w:t>
            </w:r>
            <w:r w:rsidRPr="009B41F4">
              <w:rPr>
                <w:snapToGrid w:val="0"/>
                <w:lang w:val="es-ES_tradnl"/>
              </w:rPr>
              <w:t xml:space="preserve"> orientaciones […]”</w:t>
            </w:r>
          </w:p>
          <w:p w:rsidR="00E705FA" w:rsidRPr="0041008F" w:rsidRDefault="00E705FA" w:rsidP="00B31A08">
            <w:pPr>
              <w:rPr>
                <w:snapToGrid w:val="0"/>
                <w:lang w:val="es-ES_tradnl"/>
              </w:rPr>
            </w:pPr>
          </w:p>
          <w:p w:rsidR="00E705FA" w:rsidRPr="007D4CB7" w:rsidRDefault="00AE1FD7" w:rsidP="00B31A08">
            <w:pPr>
              <w:rPr>
                <w:snapToGrid w:val="0"/>
                <w:lang w:val="es-ES"/>
              </w:rPr>
            </w:pPr>
            <w:r w:rsidRPr="007D4CB7">
              <w:rPr>
                <w:snapToGrid w:val="0"/>
                <w:lang w:val="es-ES_tradnl"/>
              </w:rPr>
              <w:t>Se debe suprimir la tercera frase:</w:t>
            </w:r>
            <w:r w:rsidR="001228D1" w:rsidRPr="007D4CB7">
              <w:rPr>
                <w:snapToGrid w:val="0"/>
                <w:lang w:val="es-ES"/>
              </w:rPr>
              <w:t xml:space="preserve">  </w:t>
            </w:r>
          </w:p>
          <w:p w:rsidR="001228D1" w:rsidRPr="0041008F" w:rsidRDefault="004C343D" w:rsidP="00B31A08">
            <w:pPr>
              <w:rPr>
                <w:strike/>
                <w:snapToGrid w:val="0"/>
                <w:lang w:val="es-ES_tradnl"/>
              </w:rPr>
            </w:pPr>
            <w:r w:rsidRPr="009B41F4">
              <w:rPr>
                <w:strike/>
                <w:snapToGrid w:val="0"/>
                <w:lang w:val="es-ES_tradnl"/>
              </w:rPr>
              <w:t>“</w:t>
            </w:r>
            <w:r w:rsidR="002B6CE0" w:rsidRPr="009B41F4">
              <w:rPr>
                <w:strike/>
                <w:snapToGrid w:val="0"/>
                <w:lang w:val="es-ES_tradnl"/>
              </w:rPr>
              <w:t>Las orientaciones se dirigen a</w:t>
            </w:r>
            <w:r w:rsidRPr="009B41F4">
              <w:rPr>
                <w:strike/>
                <w:snapToGrid w:val="0"/>
                <w:lang w:val="es-ES_tradnl"/>
              </w:rPr>
              <w:t>:</w:t>
            </w:r>
            <w:r w:rsidR="001228D1" w:rsidRPr="0041008F">
              <w:rPr>
                <w:strike/>
                <w:snapToGrid w:val="0"/>
                <w:lang w:val="es-ES_tradnl"/>
              </w:rPr>
              <w:t xml:space="preserve">  </w:t>
            </w:r>
            <w:r w:rsidR="002B6CE0" w:rsidRPr="009B41F4">
              <w:rPr>
                <w:strike/>
                <w:snapToGrid w:val="0"/>
                <w:lang w:val="es-ES_tradnl"/>
              </w:rPr>
              <w:t>las autoridades que conceden los derechos de obtentor con competencia en asuntos relativos a las variedades esencialmente derivadas; los obtentores, los agricultores, los productores y otros sectores interesados;</w:t>
            </w:r>
            <w:r w:rsidR="001228D1" w:rsidRPr="0041008F">
              <w:rPr>
                <w:strike/>
                <w:snapToGrid w:val="0"/>
                <w:lang w:val="es-ES_tradnl"/>
              </w:rPr>
              <w:t xml:space="preserve">  </w:t>
            </w:r>
            <w:r w:rsidR="002B6CE0" w:rsidRPr="009B41F4">
              <w:rPr>
                <w:strike/>
                <w:snapToGrid w:val="0"/>
                <w:lang w:val="es-ES_tradnl"/>
              </w:rPr>
              <w:t>y los órganos pertinentes responsables de la solución de controversias en pleitos, mediaciones o  casos de arbitraje”</w:t>
            </w:r>
          </w:p>
        </w:tc>
      </w:tr>
      <w:tr w:rsidR="001228D1" w:rsidRPr="00993257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  <w:rPr>
                <w:rFonts w:cs="Arial"/>
              </w:rPr>
            </w:pPr>
            <w:r w:rsidRPr="007D4CB7">
              <w:rPr>
                <w:rFonts w:cs="Arial"/>
                <w:lang w:val="es-ES_tradnl"/>
              </w:rPr>
              <w:t>Párrafo 6</w:t>
            </w:r>
            <w:r w:rsidR="001228D1" w:rsidRPr="007D4CB7">
              <w:rPr>
                <w:rFonts w:cs="Arial"/>
              </w:rPr>
              <w:t xml:space="preserve"> </w:t>
            </w:r>
          </w:p>
        </w:tc>
        <w:tc>
          <w:tcPr>
            <w:tcW w:w="7789" w:type="dxa"/>
          </w:tcPr>
          <w:p w:rsidR="00E705FA" w:rsidRPr="007D4CB7" w:rsidRDefault="00AE1FD7" w:rsidP="00B31A08">
            <w:pPr>
              <w:autoSpaceDE w:val="0"/>
              <w:rPr>
                <w:rFonts w:cs="Arial"/>
                <w:lang w:val="es-ES"/>
              </w:rPr>
            </w:pPr>
            <w:r w:rsidRPr="007D4CB7">
              <w:rPr>
                <w:rFonts w:cs="Arial"/>
                <w:lang w:val="es-ES_tradnl"/>
              </w:rPr>
              <w:t>El texto debe ser el siguiente:</w:t>
            </w:r>
          </w:p>
          <w:p w:rsidR="00E705FA" w:rsidRPr="007D4CB7" w:rsidRDefault="00E705FA" w:rsidP="00B31A08">
            <w:pPr>
              <w:autoSpaceDE w:val="0"/>
              <w:rPr>
                <w:rFonts w:cs="Arial"/>
                <w:lang w:val="es-ES"/>
              </w:rPr>
            </w:pPr>
          </w:p>
          <w:p w:rsidR="00E705FA" w:rsidRPr="0041008F" w:rsidRDefault="001228D1" w:rsidP="00B31A08">
            <w:pPr>
              <w:tabs>
                <w:tab w:val="left" w:pos="547"/>
              </w:tabs>
              <w:autoSpaceDE w:val="0"/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“6.</w:t>
            </w:r>
            <w:r w:rsidRPr="0041008F">
              <w:rPr>
                <w:rFonts w:cs="Arial"/>
                <w:lang w:val="es-ES_tradnl"/>
              </w:rPr>
              <w:tab/>
            </w:r>
            <w:r w:rsidR="000D265F">
              <w:rPr>
                <w:rFonts w:cs="Arial"/>
                <w:lang w:val="es-ES_tradnl"/>
              </w:rPr>
              <w:t>En relación con el concepto de ‘</w:t>
            </w:r>
            <w:r w:rsidR="004A51EC" w:rsidRPr="004A51EC">
              <w:rPr>
                <w:rFonts w:cs="Arial"/>
                <w:lang w:val="es-ES_tradnl"/>
              </w:rPr>
              <w:t>caracteres esenciales</w:t>
            </w:r>
            <w:r w:rsidR="000D265F">
              <w:rPr>
                <w:rFonts w:cs="Arial"/>
                <w:lang w:val="es-ES_tradnl"/>
              </w:rPr>
              <w:t>’</w:t>
            </w:r>
            <w:r w:rsidR="0048773A" w:rsidRPr="009B41F4">
              <w:rPr>
                <w:rFonts w:cs="Arial"/>
                <w:lang w:val="es-ES_tradnl"/>
              </w:rPr>
              <w:t>,</w:t>
            </w:r>
            <w:r w:rsidR="004A51EC" w:rsidRPr="009B41F4">
              <w:rPr>
                <w:rFonts w:cs="Arial"/>
                <w:lang w:val="es-ES_tradnl"/>
              </w:rPr>
              <w:t xml:space="preserve"> cabe considera</w:t>
            </w:r>
            <w:r w:rsidR="0048773A" w:rsidRPr="009B41F4">
              <w:rPr>
                <w:rFonts w:cs="Arial"/>
                <w:lang w:val="es-ES_tradnl"/>
              </w:rPr>
              <w:t>r</w:t>
            </w:r>
            <w:r w:rsidR="004A51EC" w:rsidRPr="009B41F4">
              <w:rPr>
                <w:rFonts w:cs="Arial"/>
                <w:lang w:val="es-ES_tradnl"/>
              </w:rPr>
              <w:t>:</w:t>
            </w:r>
          </w:p>
          <w:p w:rsidR="00E705FA" w:rsidRPr="0041008F" w:rsidRDefault="00E705FA" w:rsidP="00B31A08">
            <w:pPr>
              <w:rPr>
                <w:rFonts w:cs="Arial"/>
                <w:lang w:val="es-ES_tradnl"/>
              </w:rPr>
            </w:pPr>
          </w:p>
          <w:p w:rsidR="00E705FA" w:rsidRPr="0041008F" w:rsidRDefault="001228D1" w:rsidP="00B31A08">
            <w:pPr>
              <w:tabs>
                <w:tab w:val="left" w:pos="1117"/>
              </w:tabs>
              <w:ind w:left="567"/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i)</w:t>
            </w:r>
            <w:r w:rsidRPr="0041008F">
              <w:rPr>
                <w:rFonts w:cs="Arial"/>
                <w:lang w:val="es-ES_tradnl"/>
              </w:rPr>
              <w:tab/>
            </w:r>
            <w:r w:rsidR="006C4B46" w:rsidRPr="006C4B46">
              <w:rPr>
                <w:rFonts w:cs="Arial"/>
                <w:lang w:val="es-ES_tradnl"/>
              </w:rPr>
              <w:t>en relación con una variedad vegetal, se entiende por caracteres esenciales aquellos rasgos heredables, determinados por la expresión de uno o más genes u otros factores heredables, que contribuyen a las características principales, al rendimiento o al valor de la variedad</w:t>
            </w:r>
            <w:r w:rsidR="004A51EC" w:rsidRPr="009B41F4">
              <w:rPr>
                <w:rFonts w:cs="Arial"/>
                <w:lang w:val="es-ES_tradnl"/>
              </w:rPr>
              <w:t>;</w:t>
            </w:r>
          </w:p>
          <w:p w:rsidR="00E705FA" w:rsidRPr="0041008F" w:rsidRDefault="00E705FA" w:rsidP="00B31A08">
            <w:pPr>
              <w:ind w:left="567"/>
              <w:rPr>
                <w:rFonts w:cs="Arial"/>
                <w:lang w:val="es-ES_tradnl"/>
              </w:rPr>
            </w:pPr>
          </w:p>
          <w:p w:rsidR="00E705FA" w:rsidRPr="0041008F" w:rsidRDefault="001228D1" w:rsidP="00B31A08">
            <w:pPr>
              <w:tabs>
                <w:tab w:val="left" w:pos="1117"/>
              </w:tabs>
              <w:ind w:left="567"/>
              <w:rPr>
                <w:rFonts w:cs="Arial"/>
                <w:b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ii)</w:t>
            </w:r>
            <w:r w:rsidRPr="0041008F">
              <w:rPr>
                <w:rFonts w:cs="Arial"/>
                <w:lang w:val="es-ES_tradnl"/>
              </w:rPr>
              <w:tab/>
            </w:r>
            <w:r w:rsidR="006C4B46" w:rsidRPr="009B41F4">
              <w:rPr>
                <w:rFonts w:cs="Arial"/>
                <w:lang w:val="es-ES_tradnl"/>
              </w:rPr>
              <w:t xml:space="preserve">caracteres que son importantes desde la perspectiva del </w:t>
            </w:r>
            <w:r w:rsidR="006C4B46" w:rsidRPr="006C4B46">
              <w:rPr>
                <w:rFonts w:cs="Arial"/>
                <w:lang w:val="es-ES_tradnl"/>
              </w:rPr>
              <w:t>productor, vendedor, suministrador, comprador, receptor</w:t>
            </w:r>
            <w:r w:rsidR="006C4B46" w:rsidRPr="009B41F4">
              <w:rPr>
                <w:rFonts w:cs="Arial"/>
                <w:lang w:val="es-ES_tradnl"/>
              </w:rPr>
              <w:t xml:space="preserve"> o </w:t>
            </w:r>
            <w:r w:rsidR="006C4B46" w:rsidRPr="006C4B46">
              <w:rPr>
                <w:rFonts w:cs="Arial"/>
                <w:lang w:val="es-ES_tradnl"/>
              </w:rPr>
              <w:t>usuario</w:t>
            </w:r>
            <w:r w:rsidR="006C4B46" w:rsidRPr="009B41F4">
              <w:rPr>
                <w:rFonts w:cs="Arial"/>
                <w:lang w:val="es-ES_tradnl"/>
              </w:rPr>
              <w:t>;</w:t>
            </w:r>
          </w:p>
          <w:p w:rsidR="00E705FA" w:rsidRPr="0041008F" w:rsidRDefault="00E705FA" w:rsidP="00B31A08">
            <w:pPr>
              <w:tabs>
                <w:tab w:val="left" w:pos="1117"/>
              </w:tabs>
              <w:ind w:left="567"/>
              <w:rPr>
                <w:rFonts w:cs="Arial"/>
                <w:lang w:val="es-ES_tradnl"/>
              </w:rPr>
            </w:pPr>
          </w:p>
          <w:p w:rsidR="00E705FA" w:rsidRPr="0041008F" w:rsidRDefault="001228D1" w:rsidP="00B31A08">
            <w:pPr>
              <w:tabs>
                <w:tab w:val="left" w:pos="1117"/>
              </w:tabs>
              <w:ind w:left="567"/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iii)</w:t>
            </w:r>
            <w:r w:rsidRPr="0041008F">
              <w:rPr>
                <w:rFonts w:cs="Arial"/>
                <w:b/>
                <w:lang w:val="es-ES_tradnl"/>
              </w:rPr>
              <w:tab/>
            </w:r>
            <w:r w:rsidR="006C4B46" w:rsidRPr="009B41F4">
              <w:rPr>
                <w:rFonts w:cs="Arial"/>
                <w:lang w:val="es-ES_tradnl"/>
              </w:rPr>
              <w:t xml:space="preserve">caracteres que son esenciales para la </w:t>
            </w:r>
            <w:r w:rsidR="006C4B46" w:rsidRPr="006C4B46">
              <w:rPr>
                <w:rFonts w:cs="Arial"/>
                <w:lang w:val="es-ES_tradnl"/>
              </w:rPr>
              <w:t>variedad en su conjunto</w:t>
            </w:r>
            <w:r w:rsidR="006C4B46" w:rsidRPr="009B41F4">
              <w:rPr>
                <w:rFonts w:cs="Arial"/>
                <w:lang w:val="es-ES_tradnl"/>
              </w:rPr>
              <w:t>, como son, por ejemplo, los caracteres morfológicos, fisiológicos, agronómicos, industriales y bioquímicos;</w:t>
            </w:r>
          </w:p>
          <w:p w:rsidR="00E705FA" w:rsidRPr="0041008F" w:rsidRDefault="00E705FA" w:rsidP="00B31A08">
            <w:pPr>
              <w:ind w:left="567"/>
              <w:rPr>
                <w:rFonts w:cs="Arial"/>
                <w:lang w:val="es-ES_tradnl"/>
              </w:rPr>
            </w:pPr>
          </w:p>
          <w:p w:rsidR="00E705FA" w:rsidRPr="0041008F" w:rsidRDefault="001228D1" w:rsidP="00B31A08">
            <w:pPr>
              <w:tabs>
                <w:tab w:val="left" w:pos="1117"/>
              </w:tabs>
              <w:ind w:left="567"/>
              <w:rPr>
                <w:rFonts w:cs="Arial"/>
                <w:b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iv)</w:t>
            </w:r>
            <w:r w:rsidRPr="0041008F">
              <w:rPr>
                <w:rFonts w:cs="Arial"/>
                <w:lang w:val="es-ES_tradnl"/>
              </w:rPr>
              <w:tab/>
            </w:r>
            <w:r w:rsidR="006C4B46" w:rsidRPr="009B41F4">
              <w:rPr>
                <w:rFonts w:cs="Arial"/>
                <w:lang w:val="es-ES_tradnl"/>
              </w:rPr>
              <w:t xml:space="preserve">los caracteres esenciales </w:t>
            </w:r>
            <w:r w:rsidR="000D265F">
              <w:rPr>
                <w:rFonts w:cs="Arial"/>
                <w:lang w:val="es-ES_tradnl"/>
              </w:rPr>
              <w:t xml:space="preserve">pueden o </w:t>
            </w:r>
            <w:r w:rsidR="006C4B46" w:rsidRPr="009B41F4">
              <w:rPr>
                <w:rFonts w:cs="Arial"/>
                <w:lang w:val="es-ES_tradnl"/>
              </w:rPr>
              <w:t xml:space="preserve">no </w:t>
            </w:r>
            <w:r w:rsidR="000D265F">
              <w:rPr>
                <w:rFonts w:cs="Arial"/>
                <w:lang w:val="es-ES_tradnl"/>
              </w:rPr>
              <w:t>coincidir</w:t>
            </w:r>
            <w:r w:rsidR="00D66637" w:rsidRPr="009B41F4">
              <w:rPr>
                <w:rFonts w:cs="Arial"/>
                <w:lang w:val="es-ES_tradnl"/>
              </w:rPr>
              <w:t xml:space="preserve"> con </w:t>
            </w:r>
            <w:r w:rsidR="0048773A" w:rsidRPr="009B41F4">
              <w:rPr>
                <w:rFonts w:cs="Arial"/>
                <w:lang w:val="es-ES_tradnl"/>
              </w:rPr>
              <w:t>los</w:t>
            </w:r>
            <w:r w:rsidR="006C4B46" w:rsidRPr="009B41F4">
              <w:rPr>
                <w:rFonts w:cs="Arial"/>
                <w:lang w:val="es-ES_tradnl"/>
              </w:rPr>
              <w:t xml:space="preserve"> </w:t>
            </w:r>
            <w:r w:rsidR="006C4B46" w:rsidRPr="0048773A">
              <w:rPr>
                <w:rFonts w:cs="Arial"/>
                <w:lang w:val="es-ES_tradnl"/>
              </w:rPr>
              <w:t>caracteres fenotípicos</w:t>
            </w:r>
            <w:r w:rsidR="006C4B46" w:rsidRPr="009B41F4">
              <w:rPr>
                <w:rFonts w:cs="Arial"/>
                <w:lang w:val="es-ES_tradnl"/>
              </w:rPr>
              <w:t xml:space="preserve"> utilizados para el </w:t>
            </w:r>
            <w:r w:rsidR="006C4B46" w:rsidRPr="0048773A">
              <w:rPr>
                <w:rFonts w:cs="Arial"/>
                <w:lang w:val="es-ES_tradnl"/>
              </w:rPr>
              <w:t>examen de la distinción, l</w:t>
            </w:r>
            <w:r w:rsidR="006C4B46" w:rsidRPr="006C4B46">
              <w:rPr>
                <w:rFonts w:cs="Arial"/>
                <w:lang w:val="es-ES_tradnl"/>
              </w:rPr>
              <w:t>a homogeneidad y la estabilidad (DHE)</w:t>
            </w:r>
            <w:r w:rsidR="006C4B46" w:rsidRPr="009B41F4">
              <w:rPr>
                <w:rFonts w:cs="Arial"/>
                <w:b/>
                <w:lang w:val="es-ES_tradnl"/>
              </w:rPr>
              <w:t>;</w:t>
            </w:r>
          </w:p>
          <w:p w:rsidR="00E705FA" w:rsidRPr="0041008F" w:rsidRDefault="00E705FA" w:rsidP="00B31A08">
            <w:pPr>
              <w:ind w:left="567"/>
              <w:rPr>
                <w:rFonts w:cs="Arial"/>
                <w:b/>
                <w:lang w:val="es-ES_tradnl"/>
              </w:rPr>
            </w:pPr>
          </w:p>
          <w:p w:rsidR="00E705FA" w:rsidRPr="0041008F" w:rsidRDefault="001228D1" w:rsidP="00B31A08">
            <w:pPr>
              <w:tabs>
                <w:tab w:val="left" w:pos="1117"/>
              </w:tabs>
              <w:ind w:left="567"/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v)</w:t>
            </w:r>
            <w:r w:rsidRPr="0041008F">
              <w:rPr>
                <w:rFonts w:cs="Arial"/>
                <w:lang w:val="es-ES_tradnl"/>
              </w:rPr>
              <w:tab/>
            </w:r>
            <w:r w:rsidR="00E073BD" w:rsidRPr="009B41F4">
              <w:rPr>
                <w:rFonts w:cs="Arial"/>
                <w:lang w:val="es-ES_tradnl"/>
              </w:rPr>
              <w:t xml:space="preserve">los </w:t>
            </w:r>
            <w:r w:rsidR="006C4B46" w:rsidRPr="009B41F4">
              <w:rPr>
                <w:rFonts w:cs="Arial"/>
                <w:lang w:val="es-ES_tradnl"/>
              </w:rPr>
              <w:t xml:space="preserve">caracteres esenciales </w:t>
            </w:r>
            <w:r w:rsidR="00E073BD" w:rsidRPr="009B41F4">
              <w:rPr>
                <w:rFonts w:cs="Arial"/>
                <w:lang w:val="es-ES_tradnl"/>
              </w:rPr>
              <w:t xml:space="preserve">no se limitan a los </w:t>
            </w:r>
            <w:r w:rsidR="006C4B46" w:rsidRPr="009B41F4">
              <w:rPr>
                <w:rFonts w:cs="Arial"/>
                <w:lang w:val="es-ES_tradnl"/>
              </w:rPr>
              <w:t xml:space="preserve">caracteres </w:t>
            </w:r>
            <w:r w:rsidR="00E073BD" w:rsidRPr="009B41F4">
              <w:rPr>
                <w:rFonts w:cs="Arial"/>
                <w:lang w:val="es-ES_tradnl"/>
              </w:rPr>
              <w:t xml:space="preserve">que guardan relación </w:t>
            </w:r>
            <w:r w:rsidR="00D66637" w:rsidRPr="009B41F4">
              <w:rPr>
                <w:rFonts w:cs="Arial"/>
                <w:lang w:val="es-ES_tradnl"/>
              </w:rPr>
              <w:t xml:space="preserve">únicamente </w:t>
            </w:r>
            <w:r w:rsidR="00E073BD" w:rsidRPr="009B41F4">
              <w:rPr>
                <w:rFonts w:cs="Arial"/>
                <w:lang w:val="es-ES_tradnl"/>
              </w:rPr>
              <w:t xml:space="preserve">con un alto rendimiento o valor </w:t>
            </w:r>
            <w:r w:rsidR="006C4B46" w:rsidRPr="009B41F4">
              <w:rPr>
                <w:rFonts w:cs="Arial"/>
                <w:lang w:val="es-ES_tradnl"/>
              </w:rPr>
              <w:t xml:space="preserve">(por ejemplo, </w:t>
            </w:r>
            <w:r w:rsidR="00E073BD" w:rsidRPr="009B41F4">
              <w:rPr>
                <w:rFonts w:cs="Arial"/>
                <w:lang w:val="es-ES_tradnl"/>
              </w:rPr>
              <w:t>la resistencia a enfermedad</w:t>
            </w:r>
            <w:r w:rsidR="00A55D25" w:rsidRPr="009B41F4">
              <w:rPr>
                <w:rFonts w:cs="Arial"/>
                <w:lang w:val="es-ES_tradnl"/>
              </w:rPr>
              <w:t>es</w:t>
            </w:r>
            <w:r w:rsidR="006C4B46" w:rsidRPr="009B41F4">
              <w:rPr>
                <w:rFonts w:cs="Arial"/>
                <w:lang w:val="es-ES_tradnl"/>
              </w:rPr>
              <w:t xml:space="preserve"> </w:t>
            </w:r>
            <w:r w:rsidR="00E073BD" w:rsidRPr="009B41F4">
              <w:rPr>
                <w:rFonts w:cs="Arial"/>
                <w:lang w:val="es-ES_tradnl"/>
              </w:rPr>
              <w:t xml:space="preserve">puede </w:t>
            </w:r>
            <w:r w:rsidR="006C4B46" w:rsidRPr="009B41F4">
              <w:rPr>
                <w:rFonts w:cs="Arial"/>
                <w:lang w:val="es-ES_tradnl"/>
              </w:rPr>
              <w:t>consider</w:t>
            </w:r>
            <w:r w:rsidR="00E073BD" w:rsidRPr="009B41F4">
              <w:rPr>
                <w:rFonts w:cs="Arial"/>
                <w:lang w:val="es-ES_tradnl"/>
              </w:rPr>
              <w:t xml:space="preserve">arse un </w:t>
            </w:r>
            <w:r w:rsidR="006C4B46" w:rsidRPr="009B41F4">
              <w:rPr>
                <w:rFonts w:cs="Arial"/>
                <w:lang w:val="es-ES_tradnl"/>
              </w:rPr>
              <w:t xml:space="preserve">carácter </w:t>
            </w:r>
            <w:r w:rsidR="00E073BD" w:rsidRPr="009B41F4">
              <w:rPr>
                <w:rFonts w:cs="Arial"/>
                <w:lang w:val="es-ES_tradnl"/>
              </w:rPr>
              <w:t xml:space="preserve">esencial cuando la </w:t>
            </w:r>
            <w:r w:rsidR="006C4B46" w:rsidRPr="009B41F4">
              <w:rPr>
                <w:rFonts w:cs="Arial"/>
                <w:lang w:val="es-ES_tradnl"/>
              </w:rPr>
              <w:t>varie</w:t>
            </w:r>
            <w:r w:rsidR="00E073BD" w:rsidRPr="009B41F4">
              <w:rPr>
                <w:rFonts w:cs="Arial"/>
                <w:lang w:val="es-ES_tradnl"/>
              </w:rPr>
              <w:t xml:space="preserve">dad es </w:t>
            </w:r>
            <w:r w:rsidR="006C4B46" w:rsidRPr="009B41F4">
              <w:rPr>
                <w:rFonts w:cs="Arial"/>
                <w:lang w:val="es-ES_tradnl"/>
              </w:rPr>
              <w:t>susceptib</w:t>
            </w:r>
            <w:r w:rsidR="00E073BD" w:rsidRPr="009B41F4">
              <w:rPr>
                <w:rFonts w:cs="Arial"/>
                <w:lang w:val="es-ES_tradnl"/>
              </w:rPr>
              <w:t xml:space="preserve">le a </w:t>
            </w:r>
            <w:r w:rsidR="00D66637" w:rsidRPr="009B41F4">
              <w:rPr>
                <w:rFonts w:cs="Arial"/>
                <w:lang w:val="es-ES_tradnl"/>
              </w:rPr>
              <w:t xml:space="preserve">las </w:t>
            </w:r>
            <w:r w:rsidR="00E073BD" w:rsidRPr="009B41F4">
              <w:rPr>
                <w:rFonts w:cs="Arial"/>
                <w:lang w:val="es-ES_tradnl"/>
              </w:rPr>
              <w:t>enfermedad</w:t>
            </w:r>
            <w:r w:rsidR="00A55D25" w:rsidRPr="009B41F4">
              <w:rPr>
                <w:rFonts w:cs="Arial"/>
                <w:lang w:val="es-ES_tradnl"/>
              </w:rPr>
              <w:t>es</w:t>
            </w:r>
            <w:r w:rsidR="006C4B46" w:rsidRPr="009B41F4">
              <w:rPr>
                <w:rFonts w:cs="Arial"/>
                <w:lang w:val="es-ES_tradnl"/>
              </w:rPr>
              <w:t>);</w:t>
            </w:r>
          </w:p>
          <w:p w:rsidR="00E705FA" w:rsidRPr="0041008F" w:rsidRDefault="00E705FA" w:rsidP="00B31A08">
            <w:pPr>
              <w:ind w:left="567"/>
              <w:rPr>
                <w:rFonts w:cs="Arial"/>
                <w:lang w:val="es-ES_tradnl"/>
              </w:rPr>
            </w:pPr>
          </w:p>
          <w:p w:rsidR="001228D1" w:rsidRPr="0041008F" w:rsidRDefault="001228D1" w:rsidP="00B31A08">
            <w:pPr>
              <w:tabs>
                <w:tab w:val="left" w:pos="1117"/>
              </w:tabs>
              <w:ind w:left="567"/>
              <w:rPr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vi)</w:t>
            </w:r>
            <w:r w:rsidRPr="0041008F">
              <w:rPr>
                <w:rFonts w:cs="Arial"/>
                <w:lang w:val="es-ES_tradnl"/>
              </w:rPr>
              <w:tab/>
            </w:r>
            <w:r w:rsidR="00A55D25" w:rsidRPr="009B41F4">
              <w:rPr>
                <w:lang w:val="es-ES_tradnl"/>
              </w:rPr>
              <w:t xml:space="preserve">diferentes </w:t>
            </w:r>
            <w:r w:rsidR="00A55D25" w:rsidRPr="007D4CB7">
              <w:rPr>
                <w:rFonts w:cs="Arial"/>
                <w:lang w:val="es-ES_tradnl"/>
              </w:rPr>
              <w:t>cultivos</w:t>
            </w:r>
            <w:r w:rsidR="00A55D25" w:rsidRPr="00A55D25">
              <w:rPr>
                <w:lang w:val="es-ES_tradnl"/>
              </w:rPr>
              <w:t xml:space="preserve"> o especies</w:t>
            </w:r>
            <w:r w:rsidR="00A55D25" w:rsidRPr="009B41F4">
              <w:rPr>
                <w:lang w:val="es-ES_tradnl"/>
              </w:rPr>
              <w:t xml:space="preserve"> pueden tener diferentes caracteres esenciales.”</w:t>
            </w:r>
          </w:p>
        </w:tc>
      </w:tr>
      <w:tr w:rsidR="001228D1" w:rsidRPr="0086342F" w:rsidTr="00D257D2">
        <w:trPr>
          <w:cantSplit/>
        </w:trPr>
        <w:tc>
          <w:tcPr>
            <w:tcW w:w="1391" w:type="dxa"/>
          </w:tcPr>
          <w:p w:rsidR="001228D1" w:rsidRPr="007D4CB7" w:rsidRDefault="00306307" w:rsidP="00B31A08">
            <w:pPr>
              <w:jc w:val="left"/>
              <w:rPr>
                <w:rFonts w:cs="Arial"/>
              </w:rPr>
            </w:pPr>
            <w:r w:rsidRPr="007D4CB7">
              <w:rPr>
                <w:rFonts w:cs="Arial"/>
                <w:lang w:val="es-ES_tradnl"/>
              </w:rPr>
              <w:t>Párrafo </w:t>
            </w:r>
            <w:r w:rsidR="00E705FA" w:rsidRPr="007D4CB7">
              <w:rPr>
                <w:rFonts w:cs="Arial"/>
                <w:lang w:val="es-ES_tradnl"/>
              </w:rPr>
              <w:t>7</w:t>
            </w:r>
          </w:p>
        </w:tc>
        <w:tc>
          <w:tcPr>
            <w:tcW w:w="7789" w:type="dxa"/>
          </w:tcPr>
          <w:p w:rsidR="001228D1" w:rsidRPr="00BB16C2" w:rsidRDefault="00FA5E12" w:rsidP="00B31A08">
            <w:pPr>
              <w:rPr>
                <w:rFonts w:cs="Arial"/>
                <w:color w:val="808080"/>
              </w:rPr>
            </w:pPr>
            <w:r w:rsidRPr="00FA5E12">
              <w:rPr>
                <w:rFonts w:cs="Arial"/>
                <w:lang w:val="es-ES_tradnl"/>
              </w:rPr>
              <w:t>Debe s</w:t>
            </w:r>
            <w:r w:rsidR="00AE1FD7" w:rsidRPr="00FA5E12">
              <w:rPr>
                <w:rFonts w:cs="Arial"/>
                <w:lang w:val="es-ES_tradnl"/>
              </w:rPr>
              <w:t>uprimir</w:t>
            </w:r>
            <w:r w:rsidRPr="00FA5E12">
              <w:rPr>
                <w:rFonts w:cs="Arial"/>
                <w:lang w:val="es-ES_tradnl"/>
              </w:rPr>
              <w:t>se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E705FA" w:rsidRPr="007D4CB7" w:rsidRDefault="00306307" w:rsidP="00B31A08">
            <w:pPr>
              <w:jc w:val="left"/>
            </w:pPr>
            <w:r w:rsidRPr="007D4CB7">
              <w:rPr>
                <w:lang w:val="es-ES_tradnl"/>
              </w:rPr>
              <w:t>Párrafo </w:t>
            </w:r>
            <w:r w:rsidR="00E705FA" w:rsidRPr="007D4CB7">
              <w:rPr>
                <w:lang w:val="es-ES_tradnl"/>
              </w:rPr>
              <w:t>8</w:t>
            </w:r>
          </w:p>
          <w:p w:rsidR="001228D1" w:rsidRPr="007D4CB7" w:rsidRDefault="001228D1" w:rsidP="00B31A08">
            <w:pPr>
              <w:jc w:val="left"/>
            </w:pPr>
          </w:p>
        </w:tc>
        <w:tc>
          <w:tcPr>
            <w:tcW w:w="7789" w:type="dxa"/>
          </w:tcPr>
          <w:p w:rsidR="00E705FA" w:rsidRPr="007D4CB7" w:rsidRDefault="00AE1FD7" w:rsidP="00B31A08">
            <w:pPr>
              <w:rPr>
                <w:lang w:val="es-ES"/>
              </w:rPr>
            </w:pPr>
            <w:r w:rsidRPr="007D4CB7">
              <w:rPr>
                <w:lang w:val="es-ES_tradnl"/>
              </w:rPr>
              <w:t>El texto debe ser el siguiente:</w:t>
            </w:r>
          </w:p>
          <w:p w:rsidR="00E705FA" w:rsidRPr="007D4CB7" w:rsidRDefault="00E705FA" w:rsidP="00B31A08">
            <w:pPr>
              <w:rPr>
                <w:lang w:val="es-ES"/>
              </w:rPr>
            </w:pPr>
          </w:p>
          <w:p w:rsidR="001228D1" w:rsidRPr="0041008F" w:rsidRDefault="001228D1" w:rsidP="000D265F">
            <w:pPr>
              <w:rPr>
                <w:lang w:val="es-ES_tradnl"/>
              </w:rPr>
            </w:pPr>
            <w:r w:rsidRPr="0041008F">
              <w:rPr>
                <w:lang w:val="es-ES_tradnl"/>
              </w:rPr>
              <w:t>“8.</w:t>
            </w:r>
            <w:r w:rsidRPr="0041008F">
              <w:rPr>
                <w:lang w:val="es-ES_tradnl"/>
              </w:rPr>
              <w:tab/>
            </w:r>
            <w:r w:rsidR="000D265F">
              <w:rPr>
                <w:lang w:val="es-ES_tradnl"/>
              </w:rPr>
              <w:t>La frase ‘</w:t>
            </w:r>
            <w:r w:rsidR="001105EF" w:rsidRPr="001105EF">
              <w:rPr>
                <w:lang w:val="es-ES_tradnl"/>
              </w:rPr>
              <w:t>se distingue claramente de la variedad inicial</w:t>
            </w:r>
            <w:r w:rsidR="000D265F">
              <w:rPr>
                <w:lang w:val="es-ES_tradnl"/>
              </w:rPr>
              <w:t>’</w:t>
            </w:r>
            <w:r w:rsidR="001105EF" w:rsidRPr="009B41F4">
              <w:rPr>
                <w:lang w:val="es-ES_tradnl"/>
              </w:rPr>
              <w:t xml:space="preserve"> establece que la </w:t>
            </w:r>
            <w:r w:rsidR="001105EF" w:rsidRPr="001105EF">
              <w:rPr>
                <w:lang w:val="es-ES_tradnl"/>
              </w:rPr>
              <w:t>derivación esencial</w:t>
            </w:r>
            <w:r w:rsidR="001105EF" w:rsidRPr="009B41F4">
              <w:rPr>
                <w:lang w:val="es-ES_tradnl"/>
              </w:rPr>
              <w:t xml:space="preserve"> se refiere únicamente a las variedades que son claramente distinguibles, </w:t>
            </w:r>
            <w:r w:rsidR="001105EF" w:rsidRPr="001105EF">
              <w:rPr>
                <w:lang w:val="es-ES_tradnl"/>
              </w:rPr>
              <w:t>según lo dispuesto en el Artículo 7</w:t>
            </w:r>
            <w:r w:rsidR="001105EF" w:rsidRPr="009B41F4">
              <w:rPr>
                <w:lang w:val="es-ES_tradnl"/>
              </w:rPr>
              <w:t xml:space="preserve">, de la variedad inicial y que son, por consiguiente, </w:t>
            </w:r>
            <w:r w:rsidR="001105EF" w:rsidRPr="001105EF">
              <w:rPr>
                <w:lang w:val="es-ES_tradnl"/>
              </w:rPr>
              <w:t>susceptibles de ser protegidas</w:t>
            </w:r>
            <w:r w:rsidR="001105EF" w:rsidRPr="009B41F4">
              <w:rPr>
                <w:lang w:val="es-ES_tradnl"/>
              </w:rPr>
              <w:t>.</w:t>
            </w:r>
            <w:r w:rsidRPr="0041008F">
              <w:rPr>
                <w:lang w:val="es-ES_tradnl"/>
              </w:rPr>
              <w:t xml:space="preserve">  </w:t>
            </w:r>
            <w:r w:rsidR="001105EF" w:rsidRPr="009B41F4">
              <w:rPr>
                <w:lang w:val="es-ES_tradnl"/>
              </w:rPr>
              <w:t xml:space="preserve">Si la variedad </w:t>
            </w:r>
            <w:r w:rsidR="000D265F">
              <w:rPr>
                <w:lang w:val="es-ES_tradnl"/>
              </w:rPr>
              <w:t>‘</w:t>
            </w:r>
            <w:r w:rsidR="001105EF" w:rsidRPr="001105EF">
              <w:rPr>
                <w:lang w:val="es-ES_tradnl"/>
              </w:rPr>
              <w:t>no se [distingue] claramente de la variedad protegida de conformidad con lo dispuesto en el Artículo 7</w:t>
            </w:r>
            <w:r w:rsidR="000D265F">
              <w:rPr>
                <w:lang w:val="es-ES_tradnl"/>
              </w:rPr>
              <w:t>’</w:t>
            </w:r>
            <w:r w:rsidR="001105EF" w:rsidRPr="009B41F4">
              <w:rPr>
                <w:lang w:val="es-ES_tradnl"/>
              </w:rPr>
              <w:t xml:space="preserve"> se aplicaría el inciso ii) del Artículo 14.5) a).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lastRenderedPageBreak/>
              <w:t>Párrafo 10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E705FA" w:rsidRPr="007D4CB7" w:rsidRDefault="00AE1FD7" w:rsidP="00B31A08">
            <w:pPr>
              <w:rPr>
                <w:snapToGrid w:val="0"/>
                <w:lang w:val="es-ES"/>
              </w:rPr>
            </w:pPr>
            <w:r w:rsidRPr="007D4CB7">
              <w:rPr>
                <w:lang w:val="es-ES_tradnl"/>
              </w:rPr>
              <w:t>El texto debe ser el siguiente:</w:t>
            </w:r>
          </w:p>
          <w:p w:rsidR="00E705FA" w:rsidRPr="007D4CB7" w:rsidRDefault="00E705FA" w:rsidP="00B31A08">
            <w:pPr>
              <w:rPr>
                <w:snapToGrid w:val="0"/>
                <w:lang w:val="es-ES"/>
              </w:rPr>
            </w:pPr>
          </w:p>
          <w:p w:rsidR="001228D1" w:rsidRPr="0041008F" w:rsidRDefault="001228D1" w:rsidP="000D265F">
            <w:pPr>
              <w:rPr>
                <w:snapToGrid w:val="0"/>
                <w:lang w:val="es-ES_tradnl"/>
              </w:rPr>
            </w:pPr>
            <w:r w:rsidRPr="0041008F">
              <w:rPr>
                <w:snapToGrid w:val="0"/>
                <w:lang w:val="es-ES_tradnl"/>
              </w:rPr>
              <w:t>“10.</w:t>
            </w:r>
            <w:r w:rsidRPr="0041008F">
              <w:rPr>
                <w:snapToGrid w:val="0"/>
                <w:lang w:val="es-ES_tradnl"/>
              </w:rPr>
              <w:tab/>
            </w:r>
            <w:r w:rsidR="00A55D25" w:rsidRPr="009B41F4">
              <w:rPr>
                <w:snapToGrid w:val="0"/>
                <w:lang w:val="es-ES_tradnl"/>
              </w:rPr>
              <w:t xml:space="preserve">La frase </w:t>
            </w:r>
            <w:r w:rsidR="000D265F">
              <w:rPr>
                <w:snapToGrid w:val="0"/>
                <w:lang w:val="es-ES_tradnl"/>
              </w:rPr>
              <w:t>‘</w:t>
            </w:r>
            <w:r w:rsidR="00A55D25" w:rsidRPr="00A55D25">
              <w:rPr>
                <w:snapToGrid w:val="0"/>
                <w:lang w:val="es-ES_tradnl"/>
              </w:rPr>
              <w:t>salvo por lo que respecta a las diferencias resultantes de la derivación</w:t>
            </w:r>
            <w:r w:rsidR="000D265F">
              <w:rPr>
                <w:snapToGrid w:val="0"/>
                <w:lang w:val="es-ES_tradnl"/>
              </w:rPr>
              <w:t>’</w:t>
            </w:r>
            <w:r w:rsidR="00A55D25" w:rsidRPr="009B41F4">
              <w:rPr>
                <w:snapToGrid w:val="0"/>
                <w:lang w:val="es-ES_tradnl"/>
              </w:rPr>
              <w:t xml:space="preserve"> no limita la magnitud de la diferencia que puede </w:t>
            </w:r>
            <w:r w:rsidR="00A764C4" w:rsidRPr="009B41F4">
              <w:rPr>
                <w:snapToGrid w:val="0"/>
                <w:lang w:val="es-ES_tradnl"/>
              </w:rPr>
              <w:t xml:space="preserve">darse en el caso de que </w:t>
            </w:r>
            <w:r w:rsidR="00A55D25" w:rsidRPr="009B41F4">
              <w:rPr>
                <w:snapToGrid w:val="0"/>
                <w:lang w:val="es-ES_tradnl"/>
              </w:rPr>
              <w:t xml:space="preserve">una variedad </w:t>
            </w:r>
            <w:r w:rsidR="00A764C4" w:rsidRPr="009B41F4">
              <w:rPr>
                <w:snapToGrid w:val="0"/>
                <w:lang w:val="es-ES_tradnl"/>
              </w:rPr>
              <w:t xml:space="preserve">se </w:t>
            </w:r>
            <w:r w:rsidR="00A55D25" w:rsidRPr="009B41F4">
              <w:rPr>
                <w:snapToGrid w:val="0"/>
                <w:lang w:val="es-ES_tradnl"/>
              </w:rPr>
              <w:t>consider</w:t>
            </w:r>
            <w:r w:rsidR="00A764C4" w:rsidRPr="009B41F4">
              <w:rPr>
                <w:snapToGrid w:val="0"/>
                <w:lang w:val="es-ES_tradnl"/>
              </w:rPr>
              <w:t>e</w:t>
            </w:r>
            <w:r w:rsidR="00A55D25" w:rsidRPr="009B41F4">
              <w:rPr>
                <w:snapToGrid w:val="0"/>
                <w:lang w:val="es-ES_tradnl"/>
              </w:rPr>
              <w:t xml:space="preserve"> </w:t>
            </w:r>
            <w:r w:rsidR="00A55D25" w:rsidRPr="00A55D25">
              <w:rPr>
                <w:snapToGrid w:val="0"/>
                <w:lang w:val="es-ES_tradnl"/>
              </w:rPr>
              <w:t>esencialmente derivada</w:t>
            </w:r>
            <w:r w:rsidR="00A55D25" w:rsidRPr="009B41F4">
              <w:rPr>
                <w:snapToGrid w:val="0"/>
                <w:lang w:val="es-ES_tradnl"/>
              </w:rPr>
              <w:t>.</w:t>
            </w:r>
            <w:r w:rsidRPr="0041008F">
              <w:rPr>
                <w:snapToGrid w:val="0"/>
                <w:lang w:val="es-ES_tradnl"/>
              </w:rPr>
              <w:t xml:space="preserve">  </w:t>
            </w:r>
            <w:r w:rsidR="00A55D25" w:rsidRPr="009B41F4">
              <w:rPr>
                <w:snapToGrid w:val="0"/>
                <w:lang w:val="es-ES_tradnl"/>
              </w:rPr>
              <w:t xml:space="preserve">No obstante, se establece un límite en el </w:t>
            </w:r>
            <w:r w:rsidR="00A55D25" w:rsidRPr="008A1101">
              <w:rPr>
                <w:snapToGrid w:val="0"/>
                <w:lang w:val="es-ES_tradnl"/>
              </w:rPr>
              <w:t>Artículo 14</w:t>
            </w:r>
            <w:r w:rsidR="008A1101" w:rsidRPr="008A1101">
              <w:rPr>
                <w:snapToGrid w:val="0"/>
                <w:lang w:val="es-ES_tradnl"/>
              </w:rPr>
              <w:t>.</w:t>
            </w:r>
            <w:r w:rsidR="00A55D25" w:rsidRPr="008A1101">
              <w:rPr>
                <w:snapToGrid w:val="0"/>
                <w:lang w:val="es-ES_tradnl"/>
              </w:rPr>
              <w:t>5) b),</w:t>
            </w:r>
            <w:r w:rsidR="00B067B0" w:rsidRPr="009B41F4">
              <w:rPr>
                <w:snapToGrid w:val="0"/>
                <w:lang w:val="es-ES_tradnl"/>
              </w:rPr>
              <w:t xml:space="preserve"> </w:t>
            </w:r>
            <w:r w:rsidR="00B067B0" w:rsidRPr="00B067B0">
              <w:rPr>
                <w:snapToGrid w:val="0"/>
                <w:lang w:val="es-ES_tradnl"/>
              </w:rPr>
              <w:t>inciso</w:t>
            </w:r>
            <w:r w:rsidR="00A55D25" w:rsidRPr="00B067B0">
              <w:rPr>
                <w:snapToGrid w:val="0"/>
                <w:lang w:val="es-ES_tradnl"/>
              </w:rPr>
              <w:t>s</w:t>
            </w:r>
            <w:r w:rsidR="00A55D25" w:rsidRPr="009B41F4">
              <w:rPr>
                <w:snapToGrid w:val="0"/>
                <w:lang w:val="es-ES_tradnl"/>
              </w:rPr>
              <w:t xml:space="preserve"> i) y iii).</w:t>
            </w:r>
            <w:r w:rsidRPr="0041008F">
              <w:rPr>
                <w:snapToGrid w:val="0"/>
                <w:lang w:val="es-ES_tradnl"/>
              </w:rPr>
              <w:t xml:space="preserve">   </w:t>
            </w:r>
            <w:r w:rsidR="00A55D25" w:rsidRPr="009B41F4">
              <w:rPr>
                <w:snapToGrid w:val="0"/>
                <w:lang w:val="es-ES_tradnl"/>
              </w:rPr>
              <w:t xml:space="preserve">Las diferencias no deben ser tales que la variedad </w:t>
            </w:r>
            <w:r w:rsidR="00A764C4" w:rsidRPr="009B41F4">
              <w:rPr>
                <w:snapToGrid w:val="0"/>
                <w:lang w:val="es-ES_tradnl"/>
              </w:rPr>
              <w:t xml:space="preserve">no </w:t>
            </w:r>
            <w:r w:rsidR="00A55D25" w:rsidRPr="00493F92">
              <w:rPr>
                <w:snapToGrid w:val="0"/>
                <w:lang w:val="es-ES_tradnl"/>
              </w:rPr>
              <w:t>conserv</w:t>
            </w:r>
            <w:r w:rsidR="00A55D25" w:rsidRPr="009B41F4">
              <w:rPr>
                <w:snapToGrid w:val="0"/>
                <w:lang w:val="es-ES_tradnl"/>
              </w:rPr>
              <w:t xml:space="preserve">e </w:t>
            </w:r>
            <w:r w:rsidR="000D265F">
              <w:rPr>
                <w:snapToGrid w:val="0"/>
                <w:lang w:val="es-ES_tradnl"/>
              </w:rPr>
              <w:t>‘</w:t>
            </w:r>
            <w:r w:rsidR="00A55D25" w:rsidRPr="00493F92">
              <w:rPr>
                <w:snapToGrid w:val="0"/>
                <w:lang w:val="es-ES_tradnl"/>
              </w:rPr>
              <w:t>las expresiones de los caracteres esenciales que resulten del genotipo o de la combinación de genotipos de la variedad inicial</w:t>
            </w:r>
            <w:r w:rsidR="000D265F">
              <w:rPr>
                <w:snapToGrid w:val="0"/>
                <w:lang w:val="es-ES_tradnl"/>
              </w:rPr>
              <w:t>’</w:t>
            </w:r>
            <w:r w:rsidR="00A55D25" w:rsidRPr="009B41F4">
              <w:rPr>
                <w:snapToGrid w:val="0"/>
                <w:lang w:val="es-ES_tradnl"/>
              </w:rPr>
              <w:t>.”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11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E705FA" w:rsidRPr="007D4CB7" w:rsidRDefault="00AE1FD7" w:rsidP="00B31A08">
            <w:pPr>
              <w:rPr>
                <w:rFonts w:cs="Arial"/>
                <w:lang w:val="es-ES"/>
              </w:rPr>
            </w:pPr>
            <w:r w:rsidRPr="007D4CB7">
              <w:rPr>
                <w:lang w:val="es-ES_tradnl"/>
              </w:rPr>
              <w:t>El texto debe ser el siguiente:</w:t>
            </w:r>
          </w:p>
          <w:p w:rsidR="00E705FA" w:rsidRPr="007D4CB7" w:rsidRDefault="00E705FA" w:rsidP="00B31A08">
            <w:pPr>
              <w:rPr>
                <w:rFonts w:cs="Arial"/>
                <w:lang w:val="es-ES"/>
              </w:rPr>
            </w:pPr>
          </w:p>
          <w:p w:rsidR="001228D1" w:rsidRPr="0041008F" w:rsidRDefault="001228D1" w:rsidP="00B31A08">
            <w:pPr>
              <w:rPr>
                <w:rFonts w:cs="Arial"/>
                <w:lang w:val="es-ES_tradnl"/>
              </w:rPr>
            </w:pPr>
            <w:r w:rsidRPr="0041008F">
              <w:rPr>
                <w:rFonts w:cs="Arial"/>
                <w:lang w:val="es-ES_tradnl"/>
              </w:rPr>
              <w:t>“11.</w:t>
            </w:r>
            <w:r w:rsidRPr="0041008F">
              <w:rPr>
                <w:rFonts w:cs="Arial"/>
                <w:lang w:val="es-ES_tradnl"/>
              </w:rPr>
              <w:tab/>
            </w:r>
            <w:r w:rsidR="00024F81" w:rsidRPr="008A1101">
              <w:rPr>
                <w:rFonts w:cs="Arial"/>
                <w:lang w:val="es-ES_tradnl"/>
              </w:rPr>
              <w:t>Los ejemplos</w:t>
            </w:r>
            <w:r w:rsidR="00024F81" w:rsidRPr="009B41F4">
              <w:rPr>
                <w:rFonts w:cs="Arial"/>
                <w:lang w:val="es-ES_tradnl"/>
              </w:rPr>
              <w:t xml:space="preserve"> citados </w:t>
            </w:r>
            <w:r w:rsidR="00024F81" w:rsidRPr="008A1101">
              <w:rPr>
                <w:rFonts w:cs="Arial"/>
                <w:lang w:val="es-ES_tradnl"/>
              </w:rPr>
              <w:t xml:space="preserve">en el Artículo 14.5) c) </w:t>
            </w:r>
            <w:r w:rsidR="00024F81" w:rsidRPr="009B41F4">
              <w:rPr>
                <w:rFonts w:cs="Arial"/>
                <w:lang w:val="es-ES_tradnl"/>
              </w:rPr>
              <w:t>dejan</w:t>
            </w:r>
            <w:r w:rsidR="00024F81" w:rsidRPr="008A1101">
              <w:rPr>
                <w:rFonts w:cs="Arial"/>
                <w:lang w:val="es-ES_tradnl"/>
              </w:rPr>
              <w:t xml:space="preserve"> claro que las diferencias resultantes de la derivación deben ser muy pocas o una sola.</w:t>
            </w:r>
            <w:r w:rsidRPr="0041008F">
              <w:rPr>
                <w:rFonts w:cs="Arial"/>
                <w:lang w:val="es-ES_tradnl"/>
              </w:rPr>
              <w:t xml:space="preserve">  </w:t>
            </w:r>
            <w:r w:rsidR="008A1101" w:rsidRPr="009B41F4">
              <w:rPr>
                <w:rFonts w:cs="Arial"/>
                <w:lang w:val="es-ES_tradnl"/>
              </w:rPr>
              <w:t>Ahora bien, el que una variedad presente una sola o pocas diferencias no implica necesariamente que sea esencialmente derivada,</w:t>
            </w:r>
            <w:r w:rsidRPr="0041008F">
              <w:rPr>
                <w:rFonts w:cs="Arial"/>
                <w:lang w:val="es-ES_tradnl"/>
              </w:rPr>
              <w:t xml:space="preserve">  </w:t>
            </w:r>
            <w:r w:rsidR="008A1101" w:rsidRPr="009B41F4">
              <w:rPr>
                <w:rFonts w:cs="Arial"/>
                <w:lang w:val="es-ES_tradnl"/>
              </w:rPr>
              <w:t>sino que la variedad deberá también ajustarse a la definición que figura en el Artículo 14.5) b).”</w:t>
            </w:r>
            <w:r w:rsidRPr="0041008F">
              <w:rPr>
                <w:rFonts w:cs="Arial"/>
                <w:lang w:val="es-ES_tradnl"/>
              </w:rPr>
              <w:t xml:space="preserve"> 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41008F" w:rsidRDefault="008A1101" w:rsidP="00B31A08">
            <w:pPr>
              <w:jc w:val="left"/>
              <w:rPr>
                <w:lang w:val="es-ES_tradnl"/>
              </w:rPr>
            </w:pPr>
            <w:r w:rsidRPr="007D4CB7">
              <w:rPr>
                <w:lang w:val="es-ES_tradnl"/>
              </w:rPr>
              <w:t>New párrafo tras el párrafo 11</w:t>
            </w:r>
          </w:p>
        </w:tc>
        <w:tc>
          <w:tcPr>
            <w:tcW w:w="7789" w:type="dxa"/>
          </w:tcPr>
          <w:p w:rsidR="00E705FA" w:rsidRPr="0041008F" w:rsidRDefault="00A764C4" w:rsidP="00B31A08">
            <w:pPr>
              <w:rPr>
                <w:rFonts w:cs="Arial"/>
                <w:lang w:val="es-ES_tradnl"/>
              </w:rPr>
            </w:pPr>
            <w:r w:rsidRPr="009B41F4">
              <w:rPr>
                <w:rFonts w:cs="Arial"/>
                <w:lang w:val="es-ES_tradnl"/>
              </w:rPr>
              <w:t>Debe insertarse, en un párrafo nuevo, la siguiente cita del párrafo 11</w:t>
            </w:r>
            <w:r w:rsidR="008A1101" w:rsidRPr="009B41F4">
              <w:rPr>
                <w:rFonts w:cs="Arial"/>
                <w:lang w:val="es-ES_tradnl"/>
              </w:rPr>
              <w:t>:</w:t>
            </w:r>
          </w:p>
          <w:p w:rsidR="00E705FA" w:rsidRPr="0041008F" w:rsidRDefault="00E705FA" w:rsidP="00B31A08">
            <w:pPr>
              <w:rPr>
                <w:rFonts w:cs="Arial"/>
                <w:lang w:val="es-ES_tradnl"/>
              </w:rPr>
            </w:pPr>
          </w:p>
          <w:p w:rsidR="001228D1" w:rsidRPr="005767EF" w:rsidRDefault="00E705FA" w:rsidP="00B31A08">
            <w:pPr>
              <w:rPr>
                <w:rFonts w:cs="Arial"/>
                <w:lang w:val="es-ES"/>
              </w:rPr>
            </w:pPr>
            <w:r w:rsidRPr="007D4CB7">
              <w:rPr>
                <w:rFonts w:cs="Arial"/>
                <w:lang w:val="es-ES_tradnl"/>
              </w:rPr>
              <w:t>“</w:t>
            </w:r>
            <w:r w:rsidR="00306307" w:rsidRPr="007D4CB7">
              <w:rPr>
                <w:rFonts w:cs="Arial"/>
                <w:lang w:val="es-ES_tradnl"/>
              </w:rPr>
              <w:t>12.</w:t>
            </w:r>
            <w:r w:rsidR="00306307" w:rsidRPr="007D4CB7">
              <w:rPr>
                <w:rFonts w:cs="Arial"/>
                <w:lang w:val="es-ES_tradnl"/>
              </w:rPr>
              <w:tab/>
            </w:r>
            <w:r w:rsidR="00AE1FD7" w:rsidRPr="007D4CB7">
              <w:rPr>
                <w:rFonts w:cs="Arial"/>
                <w:lang w:val="es-ES_tradnl"/>
              </w:rPr>
              <w:t>La variedad derivada debe mantener prácticamente la totalidad del genotipo de la variedad madre y poder distinguirse de esa variedad únicamente por un número muy limitado de caracteres (por lo general, uno).”</w:t>
            </w:r>
          </w:p>
        </w:tc>
      </w:tr>
      <w:tr w:rsidR="001228D1" w:rsidRPr="0086342F" w:rsidTr="00D257D2">
        <w:trPr>
          <w:cantSplit/>
        </w:trPr>
        <w:tc>
          <w:tcPr>
            <w:tcW w:w="1391" w:type="dxa"/>
          </w:tcPr>
          <w:p w:rsidR="001228D1" w:rsidRPr="007D4CB7" w:rsidRDefault="00A764C4" w:rsidP="00B31A08">
            <w:pPr>
              <w:jc w:val="left"/>
            </w:pPr>
            <w:r w:rsidRPr="007D4CB7">
              <w:rPr>
                <w:lang w:val="es-ES_tradnl"/>
              </w:rPr>
              <w:t>Debe r</w:t>
            </w:r>
            <w:r w:rsidR="008A1101" w:rsidRPr="007D4CB7">
              <w:rPr>
                <w:lang w:val="es-ES_tradnl"/>
              </w:rPr>
              <w:t>einser</w:t>
            </w:r>
            <w:r w:rsidRPr="007D4CB7">
              <w:rPr>
                <w:lang w:val="es-ES_tradnl"/>
              </w:rPr>
              <w:t xml:space="preserve">tarse </w:t>
            </w:r>
            <w:r w:rsidR="008A1101" w:rsidRPr="007D4CB7">
              <w:rPr>
                <w:lang w:val="es-ES_tradnl"/>
              </w:rPr>
              <w:t>el título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1228D1" w:rsidRPr="005767EF" w:rsidRDefault="008A1101" w:rsidP="00B31A08">
            <w:pPr>
              <w:rPr>
                <w:rFonts w:cs="Arial"/>
                <w:lang w:val="es-ES"/>
              </w:rPr>
            </w:pPr>
            <w:r w:rsidRPr="009B41F4">
              <w:rPr>
                <w:rFonts w:cs="Arial"/>
                <w:lang w:val="es-ES_tradnl"/>
              </w:rPr>
              <w:t>Método de fitomejoramiento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14</w:t>
            </w:r>
          </w:p>
        </w:tc>
        <w:tc>
          <w:tcPr>
            <w:tcW w:w="7789" w:type="dxa"/>
          </w:tcPr>
          <w:p w:rsidR="00E705FA" w:rsidRPr="0041008F" w:rsidRDefault="00AE1FD7" w:rsidP="00B31A08">
            <w:pPr>
              <w:rPr>
                <w:lang w:val="es-ES"/>
              </w:rPr>
            </w:pPr>
            <w:r w:rsidRPr="0041008F">
              <w:rPr>
                <w:lang w:val="es-ES_tradnl"/>
              </w:rPr>
              <w:t>El párrafo</w:t>
            </w:r>
            <w:r w:rsidR="00FA5E12" w:rsidRPr="0041008F">
              <w:rPr>
                <w:lang w:val="es-ES_tradnl"/>
              </w:rPr>
              <w:t> </w:t>
            </w:r>
            <w:r w:rsidRPr="0041008F">
              <w:rPr>
                <w:lang w:val="es-ES_tradnl"/>
              </w:rPr>
              <w:t xml:space="preserve">14 </w:t>
            </w:r>
            <w:r w:rsidR="00FA5E12" w:rsidRPr="0041008F">
              <w:rPr>
                <w:lang w:val="es-ES_tradnl"/>
              </w:rPr>
              <w:t>debe quedar</w:t>
            </w:r>
            <w:r w:rsidRPr="0041008F">
              <w:rPr>
                <w:lang w:val="es-ES_tradnl"/>
              </w:rPr>
              <w:t xml:space="preserve"> como sigue:</w:t>
            </w:r>
          </w:p>
          <w:p w:rsidR="00E705FA" w:rsidRPr="009B41F4" w:rsidRDefault="00E705FA" w:rsidP="00B31A08">
            <w:pPr>
              <w:rPr>
                <w:lang w:val="es-ES"/>
              </w:rPr>
            </w:pPr>
          </w:p>
          <w:p w:rsidR="001228D1" w:rsidRPr="0041008F" w:rsidRDefault="00DC4E3B" w:rsidP="00B31A08">
            <w:pPr>
              <w:rPr>
                <w:lang w:val="es-ES_tradnl"/>
              </w:rPr>
            </w:pPr>
            <w:r w:rsidRPr="009B41F4">
              <w:rPr>
                <w:lang w:val="es-ES_tradnl"/>
              </w:rPr>
              <w:t>“</w:t>
            </w:r>
            <w:r w:rsidR="00377199" w:rsidRPr="009B41F4">
              <w:rPr>
                <w:lang w:val="es-ES_tradnl"/>
              </w:rPr>
              <w:t xml:space="preserve">En la determinación de las </w:t>
            </w:r>
            <w:r w:rsidR="00377199" w:rsidRPr="00377199">
              <w:rPr>
                <w:lang w:val="es-ES_tradnl"/>
              </w:rPr>
              <w:t xml:space="preserve">variedades esencialmente derivadas </w:t>
            </w:r>
            <w:r w:rsidR="00377199" w:rsidRPr="009B41F4">
              <w:rPr>
                <w:lang w:val="es-ES_tradnl"/>
              </w:rPr>
              <w:t xml:space="preserve">es necesario </w:t>
            </w:r>
            <w:r w:rsidR="00377199" w:rsidRPr="00377199">
              <w:rPr>
                <w:lang w:val="es-ES_tradnl"/>
              </w:rPr>
              <w:t>examinar la situación en diferentes cultivos</w:t>
            </w:r>
            <w:r w:rsidR="00377199" w:rsidRPr="009B41F4">
              <w:rPr>
                <w:lang w:val="es-ES_tradnl"/>
              </w:rPr>
              <w:t xml:space="preserve"> y </w:t>
            </w:r>
            <w:r w:rsidR="00377199" w:rsidRPr="00377199">
              <w:rPr>
                <w:lang w:val="es-ES_tradnl"/>
              </w:rPr>
              <w:t>especies,</w:t>
            </w:r>
            <w:r w:rsidRPr="009B41F4">
              <w:rPr>
                <w:lang w:val="es-ES_tradnl"/>
              </w:rPr>
              <w:t xml:space="preserve"> </w:t>
            </w:r>
            <w:r w:rsidR="00377199" w:rsidRPr="009B41F4">
              <w:rPr>
                <w:lang w:val="es-ES_tradnl"/>
              </w:rPr>
              <w:t xml:space="preserve">así como el </w:t>
            </w:r>
            <w:r w:rsidR="00377199" w:rsidRPr="00377199">
              <w:rPr>
                <w:lang w:val="es-ES_tradnl"/>
              </w:rPr>
              <w:t>método de fitomejoramiento</w:t>
            </w:r>
            <w:r w:rsidRPr="009B41F4">
              <w:rPr>
                <w:lang w:val="es-ES_tradnl"/>
              </w:rPr>
              <w:t>.”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20</w:t>
            </w:r>
          </w:p>
        </w:tc>
        <w:tc>
          <w:tcPr>
            <w:tcW w:w="7789" w:type="dxa"/>
          </w:tcPr>
          <w:p w:rsidR="001228D1" w:rsidRPr="0041008F" w:rsidRDefault="00A764C4" w:rsidP="00B31A08">
            <w:pPr>
              <w:rPr>
                <w:lang w:val="es-ES_tradnl"/>
              </w:rPr>
            </w:pPr>
            <w:r w:rsidRPr="009B41F4">
              <w:rPr>
                <w:lang w:val="es-ES_tradnl"/>
              </w:rPr>
              <w:t xml:space="preserve">Debe </w:t>
            </w:r>
            <w:r w:rsidR="00377199" w:rsidRPr="009B41F4">
              <w:rPr>
                <w:lang w:val="es-ES_tradnl"/>
              </w:rPr>
              <w:t>espera</w:t>
            </w:r>
            <w:r w:rsidRPr="009B41F4">
              <w:rPr>
                <w:lang w:val="es-ES_tradnl"/>
              </w:rPr>
              <w:t>rse</w:t>
            </w:r>
            <w:r w:rsidR="00377199" w:rsidRPr="009B41F4">
              <w:rPr>
                <w:lang w:val="es-ES_tradnl"/>
              </w:rPr>
              <w:t xml:space="preserve"> </w:t>
            </w:r>
            <w:r w:rsidRPr="009B41F4">
              <w:rPr>
                <w:lang w:val="es-ES_tradnl"/>
              </w:rPr>
              <w:t>a</w:t>
            </w:r>
            <w:r w:rsidR="00377199" w:rsidRPr="009B41F4">
              <w:rPr>
                <w:lang w:val="es-ES_tradnl"/>
              </w:rPr>
              <w:t xml:space="preserve"> que la ESA y la ISF proporcionen propuestas conjuntas.</w:t>
            </w:r>
          </w:p>
        </w:tc>
      </w:tr>
      <w:tr w:rsidR="001228D1" w:rsidRPr="0086342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21</w:t>
            </w:r>
          </w:p>
        </w:tc>
        <w:tc>
          <w:tcPr>
            <w:tcW w:w="7789" w:type="dxa"/>
          </w:tcPr>
          <w:p w:rsidR="001228D1" w:rsidRPr="00440395" w:rsidRDefault="00A764C4" w:rsidP="00B31A08">
            <w:pPr>
              <w:rPr>
                <w:snapToGrid w:val="0"/>
                <w:spacing w:val="-2"/>
              </w:rPr>
            </w:pPr>
            <w:r w:rsidRPr="00440395">
              <w:rPr>
                <w:snapToGrid w:val="0"/>
                <w:spacing w:val="-2"/>
                <w:lang w:val="es-ES_tradnl"/>
              </w:rPr>
              <w:t>Debe a</w:t>
            </w:r>
            <w:r w:rsidR="00377199" w:rsidRPr="00440395">
              <w:rPr>
                <w:snapToGrid w:val="0"/>
                <w:spacing w:val="-2"/>
                <w:lang w:val="es-ES_tradnl"/>
              </w:rPr>
              <w:t>ñ</w:t>
            </w:r>
            <w:r w:rsidRPr="00440395">
              <w:rPr>
                <w:snapToGrid w:val="0"/>
                <w:spacing w:val="-2"/>
                <w:lang w:val="es-ES_tradnl"/>
              </w:rPr>
              <w:t xml:space="preserve">adirse </w:t>
            </w:r>
            <w:r w:rsidR="00377199" w:rsidRPr="00440395">
              <w:rPr>
                <w:snapToGrid w:val="0"/>
                <w:spacing w:val="-2"/>
                <w:lang w:val="es-ES_tradnl"/>
              </w:rPr>
              <w:t>una nota indicando que la redacción actual no se consideró aceptable y que deberían examinarse propuestas nuevas.</w:t>
            </w:r>
            <w:r w:rsidR="001228D1" w:rsidRPr="00440395">
              <w:rPr>
                <w:snapToGrid w:val="0"/>
                <w:spacing w:val="-2"/>
                <w:lang w:val="es-ES_tradnl"/>
              </w:rPr>
              <w:t xml:space="preserve">  </w:t>
            </w:r>
            <w:r w:rsidR="00377199" w:rsidRPr="00440395">
              <w:rPr>
                <w:snapToGrid w:val="0"/>
                <w:spacing w:val="-2"/>
                <w:lang w:val="es-ES_tradnl"/>
              </w:rPr>
              <w:t>El texto actual debe mostrarse tachado.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29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E705FA" w:rsidRPr="0041008F" w:rsidRDefault="00AE1FD7" w:rsidP="00B31A08">
            <w:pPr>
              <w:rPr>
                <w:snapToGrid w:val="0"/>
                <w:lang w:val="es-ES"/>
              </w:rPr>
            </w:pPr>
            <w:r w:rsidRPr="0041008F">
              <w:rPr>
                <w:lang w:val="es-ES_tradnl"/>
              </w:rPr>
              <w:t>El texto debe ser el siguiente:</w:t>
            </w:r>
          </w:p>
          <w:p w:rsidR="00E705FA" w:rsidRPr="009B41F4" w:rsidRDefault="00E705FA" w:rsidP="00B31A08">
            <w:pPr>
              <w:rPr>
                <w:snapToGrid w:val="0"/>
                <w:lang w:val="es-ES"/>
              </w:rPr>
            </w:pPr>
          </w:p>
          <w:p w:rsidR="001228D1" w:rsidRPr="0041008F" w:rsidRDefault="001228D1" w:rsidP="00B55380">
            <w:pPr>
              <w:rPr>
                <w:snapToGrid w:val="0"/>
                <w:lang w:val="es-ES_tradnl"/>
              </w:rPr>
            </w:pPr>
            <w:r w:rsidRPr="0041008F">
              <w:rPr>
                <w:snapToGrid w:val="0"/>
                <w:lang w:val="es-ES_tradnl"/>
              </w:rPr>
              <w:t>“29.</w:t>
            </w:r>
            <w:r w:rsidRPr="0041008F">
              <w:rPr>
                <w:snapToGrid w:val="0"/>
                <w:lang w:val="es-ES_tradnl"/>
              </w:rPr>
              <w:tab/>
            </w:r>
            <w:r w:rsidR="00704CCC" w:rsidRPr="00704CCC">
              <w:rPr>
                <w:snapToGrid w:val="0"/>
                <w:lang w:val="es-ES_tradnl"/>
              </w:rPr>
              <w:t>Tanto la derivación predominante</w:t>
            </w:r>
            <w:r w:rsidR="00704CCC" w:rsidRPr="009B41F4">
              <w:rPr>
                <w:snapToGrid w:val="0"/>
                <w:lang w:val="es-ES_tradnl"/>
              </w:rPr>
              <w:t xml:space="preserve"> (por ejemplo, </w:t>
            </w:r>
            <w:r w:rsidR="00B55380">
              <w:rPr>
                <w:snapToGrid w:val="0"/>
                <w:lang w:val="es-ES_tradnl"/>
              </w:rPr>
              <w:t xml:space="preserve">prueba </w:t>
            </w:r>
            <w:r w:rsidR="008B7F4F" w:rsidRPr="009B41F4">
              <w:rPr>
                <w:snapToGrid w:val="0"/>
                <w:lang w:val="es-ES_tradnl"/>
              </w:rPr>
              <w:t>sobre la</w:t>
            </w:r>
            <w:r w:rsidR="00704CCC" w:rsidRPr="009B41F4">
              <w:rPr>
                <w:snapToGrid w:val="0"/>
                <w:lang w:val="es-ES_tradnl"/>
              </w:rPr>
              <w:t xml:space="preserve"> </w:t>
            </w:r>
            <w:r w:rsidR="00704CCC" w:rsidRPr="00704CCC">
              <w:rPr>
                <w:snapToGrid w:val="0"/>
                <w:lang w:val="es-ES_tradnl"/>
              </w:rPr>
              <w:t>conformidad genética</w:t>
            </w:r>
            <w:r w:rsidR="00704CCC" w:rsidRPr="009B41F4">
              <w:rPr>
                <w:snapToGrid w:val="0"/>
                <w:lang w:val="es-ES_tradnl"/>
              </w:rPr>
              <w:t xml:space="preserve"> con la </w:t>
            </w:r>
            <w:r w:rsidR="00704CCC" w:rsidRPr="00704CCC">
              <w:rPr>
                <w:snapToGrid w:val="0"/>
                <w:lang w:val="es-ES_tradnl"/>
              </w:rPr>
              <w:t>variedad inicial</w:t>
            </w:r>
            <w:r w:rsidR="00704CCC" w:rsidRPr="009B41F4">
              <w:rPr>
                <w:snapToGrid w:val="0"/>
                <w:lang w:val="es-ES_tradnl"/>
              </w:rPr>
              <w:t xml:space="preserve">) como la conformidad respecto de los </w:t>
            </w:r>
            <w:r w:rsidR="00704CCC" w:rsidRPr="003F0870">
              <w:rPr>
                <w:snapToGrid w:val="0"/>
                <w:lang w:val="es-ES_tradnl"/>
              </w:rPr>
              <w:t>caracteres esenciales</w:t>
            </w:r>
            <w:r w:rsidR="00704CCC" w:rsidRPr="009B41F4">
              <w:rPr>
                <w:snapToGrid w:val="0"/>
                <w:lang w:val="es-ES_tradnl"/>
              </w:rPr>
              <w:t xml:space="preserve"> (por ejemplo, </w:t>
            </w:r>
            <w:r w:rsidR="00B55380">
              <w:rPr>
                <w:snapToGrid w:val="0"/>
                <w:lang w:val="es-ES_tradnl"/>
              </w:rPr>
              <w:t xml:space="preserve">prueba </w:t>
            </w:r>
            <w:r w:rsidR="008B7F4F" w:rsidRPr="009B41F4">
              <w:rPr>
                <w:snapToGrid w:val="0"/>
                <w:lang w:val="es-ES_tradnl"/>
              </w:rPr>
              <w:t xml:space="preserve">sobre la </w:t>
            </w:r>
            <w:r w:rsidR="00704CCC" w:rsidRPr="009B41F4">
              <w:rPr>
                <w:snapToGrid w:val="0"/>
                <w:lang w:val="es-ES_tradnl"/>
              </w:rPr>
              <w:t xml:space="preserve">conformidad en la expresión de los </w:t>
            </w:r>
            <w:r w:rsidR="00704CCC" w:rsidRPr="00704CCC">
              <w:rPr>
                <w:snapToGrid w:val="0"/>
                <w:lang w:val="es-ES_tradnl"/>
              </w:rPr>
              <w:t xml:space="preserve">caracteres esenciales </w:t>
            </w:r>
            <w:r w:rsidR="00704CCC" w:rsidRPr="009B41F4">
              <w:rPr>
                <w:snapToGrid w:val="0"/>
                <w:lang w:val="es-ES_tradnl"/>
              </w:rPr>
              <w:t xml:space="preserve">de la </w:t>
            </w:r>
            <w:r w:rsidR="00704CCC" w:rsidRPr="00704CCC">
              <w:rPr>
                <w:snapToGrid w:val="0"/>
                <w:lang w:val="es-ES_tradnl"/>
              </w:rPr>
              <w:t>variedad inicial</w:t>
            </w:r>
            <w:r w:rsidR="00704CCC" w:rsidRPr="009B41F4">
              <w:rPr>
                <w:snapToGrid w:val="0"/>
                <w:lang w:val="es-ES_tradnl"/>
              </w:rPr>
              <w:t xml:space="preserve">) son </w:t>
            </w:r>
            <w:r w:rsidR="00704CCC" w:rsidRPr="00704CCC">
              <w:rPr>
                <w:snapToGrid w:val="0"/>
                <w:lang w:val="es-ES_tradnl"/>
              </w:rPr>
              <w:t>posibles puntos de partida</w:t>
            </w:r>
            <w:r w:rsidR="00704CCC" w:rsidRPr="009B41F4">
              <w:rPr>
                <w:snapToGrid w:val="0"/>
                <w:lang w:val="es-ES_tradnl"/>
              </w:rPr>
              <w:t xml:space="preserve"> para </w:t>
            </w:r>
            <w:r w:rsidR="008B7F4F" w:rsidRPr="009B41F4">
              <w:rPr>
                <w:snapToGrid w:val="0"/>
                <w:lang w:val="es-ES_tradnl"/>
              </w:rPr>
              <w:t>ofrece</w:t>
            </w:r>
            <w:r w:rsidR="00704CCC" w:rsidRPr="009B41F4">
              <w:rPr>
                <w:snapToGrid w:val="0"/>
                <w:lang w:val="es-ES_tradnl"/>
              </w:rPr>
              <w:t>r indic</w:t>
            </w:r>
            <w:r w:rsidR="008B7F4F" w:rsidRPr="009B41F4">
              <w:rPr>
                <w:snapToGrid w:val="0"/>
                <w:lang w:val="es-ES_tradnl"/>
              </w:rPr>
              <w:t xml:space="preserve">ios </w:t>
            </w:r>
            <w:r w:rsidR="00704CCC" w:rsidRPr="009B41F4">
              <w:rPr>
                <w:snapToGrid w:val="0"/>
                <w:lang w:val="es-ES_tradnl"/>
              </w:rPr>
              <w:t xml:space="preserve">de que una variedad podría ser esencialmente derivada de la </w:t>
            </w:r>
            <w:r w:rsidR="00704CCC" w:rsidRPr="00704CCC">
              <w:rPr>
                <w:snapToGrid w:val="0"/>
                <w:lang w:val="es-ES_tradnl"/>
              </w:rPr>
              <w:t>variedad inicial</w:t>
            </w:r>
            <w:r w:rsidRPr="0041008F">
              <w:rPr>
                <w:snapToGrid w:val="0"/>
                <w:lang w:val="es-ES_tradnl"/>
              </w:rPr>
              <w:t>.”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Párrafo 30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E705FA" w:rsidRPr="0041008F" w:rsidRDefault="00AE1FD7" w:rsidP="00B31A08">
            <w:pPr>
              <w:rPr>
                <w:snapToGrid w:val="0"/>
                <w:lang w:val="es-ES"/>
              </w:rPr>
            </w:pPr>
            <w:r w:rsidRPr="0041008F">
              <w:rPr>
                <w:lang w:val="es-ES_tradnl"/>
              </w:rPr>
              <w:t>El texto debe ser el siguiente:</w:t>
            </w:r>
          </w:p>
          <w:p w:rsidR="00E705FA" w:rsidRPr="00440395" w:rsidRDefault="00E705FA" w:rsidP="00B31A08">
            <w:pPr>
              <w:rPr>
                <w:snapToGrid w:val="0"/>
                <w:spacing w:val="-2"/>
                <w:lang w:val="es-ES"/>
              </w:rPr>
            </w:pPr>
          </w:p>
          <w:p w:rsidR="001228D1" w:rsidRPr="0041008F" w:rsidRDefault="001228D1" w:rsidP="00B55380">
            <w:pPr>
              <w:rPr>
                <w:snapToGrid w:val="0"/>
                <w:lang w:val="es-ES_tradnl"/>
              </w:rPr>
            </w:pPr>
            <w:r w:rsidRPr="00440395">
              <w:rPr>
                <w:snapToGrid w:val="0"/>
                <w:spacing w:val="-2"/>
                <w:lang w:val="es-ES_tradnl"/>
              </w:rPr>
              <w:t>“30.</w:t>
            </w:r>
            <w:r w:rsidRPr="00440395">
              <w:rPr>
                <w:snapToGrid w:val="0"/>
                <w:spacing w:val="-2"/>
                <w:lang w:val="es-ES_tradnl"/>
              </w:rPr>
              <w:tab/>
            </w:r>
            <w:r w:rsidR="00F377E1" w:rsidRPr="00440395">
              <w:rPr>
                <w:snapToGrid w:val="0"/>
                <w:spacing w:val="-2"/>
                <w:lang w:val="es-ES_tradnl"/>
              </w:rPr>
              <w:t>En algunas situaciones, podría utilizarse como base de la inversión de la carga de la prueba información pertinente proporcionada por el obtentor de la variedad inicial relativa a la derivación predominante o la conformidad respecto de los caracteres esenciales.</w:t>
            </w:r>
            <w:r w:rsidRPr="00440395">
              <w:rPr>
                <w:snapToGrid w:val="0"/>
                <w:spacing w:val="-2"/>
                <w:lang w:val="es-ES_tradnl"/>
              </w:rPr>
              <w:t xml:space="preserve">  </w:t>
            </w:r>
            <w:r w:rsidR="00F377E1" w:rsidRPr="00440395">
              <w:rPr>
                <w:snapToGrid w:val="0"/>
                <w:spacing w:val="-2"/>
                <w:lang w:val="es-ES_tradnl"/>
              </w:rPr>
              <w:t xml:space="preserve">En tales situaciones, el otro obtentor </w:t>
            </w:r>
            <w:r w:rsidR="00B55380">
              <w:rPr>
                <w:snapToGrid w:val="0"/>
                <w:spacing w:val="-2"/>
                <w:lang w:val="es-ES_tradnl"/>
              </w:rPr>
              <w:t xml:space="preserve">tendría que poder </w:t>
            </w:r>
            <w:r w:rsidR="00F377E1" w:rsidRPr="00440395">
              <w:rPr>
                <w:snapToGrid w:val="0"/>
                <w:spacing w:val="-2"/>
                <w:lang w:val="es-ES_tradnl"/>
              </w:rPr>
              <w:t xml:space="preserve">demostrar que </w:t>
            </w:r>
            <w:r w:rsidR="007D4CB7" w:rsidRPr="00440395">
              <w:rPr>
                <w:snapToGrid w:val="0"/>
                <w:spacing w:val="-2"/>
                <w:lang w:val="es-ES_tradnl"/>
              </w:rPr>
              <w:t>su</w:t>
            </w:r>
            <w:r w:rsidR="008B7F4F" w:rsidRPr="00440395">
              <w:rPr>
                <w:snapToGrid w:val="0"/>
                <w:spacing w:val="-2"/>
                <w:lang w:val="es-ES_tradnl"/>
              </w:rPr>
              <w:t xml:space="preserve"> </w:t>
            </w:r>
            <w:r w:rsidR="00F377E1" w:rsidRPr="00440395">
              <w:rPr>
                <w:snapToGrid w:val="0"/>
                <w:spacing w:val="-2"/>
                <w:lang w:val="es-ES_tradnl"/>
              </w:rPr>
              <w:t>variedad no es esencialmente derivada de la variedad inicial.</w:t>
            </w:r>
            <w:r w:rsidRPr="00440395">
              <w:rPr>
                <w:snapToGrid w:val="0"/>
                <w:spacing w:val="-2"/>
                <w:lang w:val="es-ES_tradnl"/>
              </w:rPr>
              <w:t xml:space="preserve">  </w:t>
            </w:r>
            <w:r w:rsidR="00F377E1" w:rsidRPr="00440395">
              <w:rPr>
                <w:snapToGrid w:val="0"/>
                <w:spacing w:val="-2"/>
                <w:lang w:val="es-ES_tradnl"/>
              </w:rPr>
              <w:t xml:space="preserve">Por ejemplo, el otro obtentor debería </w:t>
            </w:r>
            <w:r w:rsidR="00E672CB">
              <w:rPr>
                <w:snapToGrid w:val="0"/>
                <w:spacing w:val="-2"/>
                <w:lang w:val="es-ES_tradnl"/>
              </w:rPr>
              <w:t xml:space="preserve">poder </w:t>
            </w:r>
            <w:r w:rsidR="00F377E1" w:rsidRPr="00440395">
              <w:rPr>
                <w:snapToGrid w:val="0"/>
                <w:spacing w:val="-2"/>
                <w:lang w:val="es-ES_tradnl"/>
              </w:rPr>
              <w:t>aportar información sobre el método de obtención de la segunda variedad para demostrar que la variedad no se derivó de la variedad inicial.”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E705FA" w:rsidP="00B31A08">
            <w:pPr>
              <w:jc w:val="left"/>
            </w:pPr>
            <w:r w:rsidRPr="007D4CB7">
              <w:rPr>
                <w:lang w:val="es-ES_tradnl"/>
              </w:rPr>
              <w:t>Sección II</w:t>
            </w:r>
          </w:p>
        </w:tc>
        <w:tc>
          <w:tcPr>
            <w:tcW w:w="7789" w:type="dxa"/>
          </w:tcPr>
          <w:p w:rsidR="001228D1" w:rsidRPr="0041008F" w:rsidRDefault="00F377E1" w:rsidP="00E672CB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 xml:space="preserve">Se debe aclarar la finalidad de la </w:t>
            </w:r>
            <w:r w:rsidR="008B7F4F" w:rsidRPr="009B41F4">
              <w:rPr>
                <w:snapToGrid w:val="0"/>
                <w:lang w:val="es-ES_tradnl"/>
              </w:rPr>
              <w:t>s</w:t>
            </w:r>
            <w:r w:rsidRPr="009B41F4">
              <w:rPr>
                <w:snapToGrid w:val="0"/>
                <w:lang w:val="es-ES_tradnl"/>
              </w:rPr>
              <w:t xml:space="preserve">ección II en las partes pertinentes del documento y, en particular, </w:t>
            </w:r>
            <w:r w:rsidR="008B7F4F" w:rsidRPr="009B41F4">
              <w:rPr>
                <w:snapToGrid w:val="0"/>
                <w:lang w:val="es-ES_tradnl"/>
              </w:rPr>
              <w:t xml:space="preserve">debe aclararse </w:t>
            </w:r>
            <w:r w:rsidR="008F4511" w:rsidRPr="009B41F4">
              <w:rPr>
                <w:snapToGrid w:val="0"/>
                <w:lang w:val="es-ES_tradnl"/>
              </w:rPr>
              <w:t xml:space="preserve">que se </w:t>
            </w:r>
            <w:r w:rsidRPr="009B41F4">
              <w:rPr>
                <w:snapToGrid w:val="0"/>
                <w:lang w:val="es-ES_tradnl"/>
              </w:rPr>
              <w:t>re</w:t>
            </w:r>
            <w:r w:rsidR="008F4511" w:rsidRPr="009B41F4">
              <w:rPr>
                <w:snapToGrid w:val="0"/>
                <w:lang w:val="es-ES_tradnl"/>
              </w:rPr>
              <w:t xml:space="preserve">fiere </w:t>
            </w:r>
            <w:r w:rsidR="00E672CB">
              <w:rPr>
                <w:snapToGrid w:val="0"/>
                <w:lang w:val="es-ES_tradnl"/>
              </w:rPr>
              <w:t>a la determinación de si una variedad es o no esencialmente derivada</w:t>
            </w:r>
            <w:r w:rsidR="008F4511" w:rsidRPr="009B41F4">
              <w:rPr>
                <w:snapToGrid w:val="0"/>
                <w:lang w:val="es-ES_tradnl"/>
              </w:rPr>
              <w:t xml:space="preserve"> y </w:t>
            </w:r>
            <w:r w:rsidRPr="009B41F4">
              <w:rPr>
                <w:snapToGrid w:val="0"/>
                <w:lang w:val="es-ES_tradnl"/>
              </w:rPr>
              <w:t>no</w:t>
            </w:r>
            <w:r w:rsidR="008F4511" w:rsidRPr="009B41F4">
              <w:rPr>
                <w:snapToGrid w:val="0"/>
                <w:lang w:val="es-ES_tradnl"/>
              </w:rPr>
              <w:t xml:space="preserve"> a si puede </w:t>
            </w:r>
            <w:r w:rsidR="008F4511" w:rsidRPr="008F4511">
              <w:rPr>
                <w:snapToGrid w:val="0"/>
                <w:lang w:val="es-ES_tradnl"/>
              </w:rPr>
              <w:t>ser objeto de protección</w:t>
            </w:r>
            <w:r w:rsidRPr="009B41F4">
              <w:rPr>
                <w:snapToGrid w:val="0"/>
                <w:lang w:val="es-ES_tradnl"/>
              </w:rPr>
              <w:t>.</w:t>
            </w:r>
          </w:p>
        </w:tc>
      </w:tr>
      <w:tr w:rsidR="001228D1" w:rsidRPr="0041008F" w:rsidTr="00D257D2">
        <w:trPr>
          <w:cantSplit/>
        </w:trPr>
        <w:tc>
          <w:tcPr>
            <w:tcW w:w="1391" w:type="dxa"/>
          </w:tcPr>
          <w:p w:rsidR="001228D1" w:rsidRPr="007D4CB7" w:rsidRDefault="008F4511" w:rsidP="00B31A08">
            <w:pPr>
              <w:jc w:val="left"/>
            </w:pPr>
            <w:r w:rsidRPr="007D4CB7">
              <w:rPr>
                <w:lang w:val="es-ES_tradnl"/>
              </w:rPr>
              <w:t>Propuesta nueva</w:t>
            </w:r>
            <w:r w:rsidR="001228D1" w:rsidRPr="007D4CB7">
              <w:t xml:space="preserve"> </w:t>
            </w:r>
          </w:p>
        </w:tc>
        <w:tc>
          <w:tcPr>
            <w:tcW w:w="7789" w:type="dxa"/>
          </w:tcPr>
          <w:p w:rsidR="001228D1" w:rsidRPr="0041008F" w:rsidRDefault="008F4511" w:rsidP="00B31A08">
            <w:pPr>
              <w:rPr>
                <w:snapToGrid w:val="0"/>
                <w:lang w:val="es-ES_tradnl"/>
              </w:rPr>
            </w:pPr>
            <w:r w:rsidRPr="009B41F4">
              <w:rPr>
                <w:snapToGrid w:val="0"/>
                <w:lang w:val="es-ES_tradnl"/>
              </w:rPr>
              <w:t>Elaborar orientaciones en el siguiente proyecto para aclarar la situación en el caso de que la variedad inicial, o la variedad esencialmente derivada, no esté protegida o lo esté en otro territorio.</w:t>
            </w:r>
          </w:p>
        </w:tc>
      </w:tr>
    </w:tbl>
    <w:p w:rsidR="00E705FA" w:rsidRPr="0041008F" w:rsidRDefault="00E705FA" w:rsidP="00B31A08">
      <w:pPr>
        <w:rPr>
          <w:lang w:val="es-ES_tradnl"/>
        </w:rPr>
      </w:pPr>
    </w:p>
    <w:p w:rsidR="00E705FA" w:rsidRPr="0041008F" w:rsidRDefault="00E705FA" w:rsidP="00B31A08">
      <w:pPr>
        <w:rPr>
          <w:lang w:val="es-ES_tradnl"/>
        </w:rPr>
      </w:pPr>
    </w:p>
    <w:p w:rsidR="00E705FA" w:rsidRPr="005767EF" w:rsidRDefault="00651FAC" w:rsidP="00B31A08">
      <w:pPr>
        <w:pStyle w:val="Heading2"/>
        <w:rPr>
          <w:lang w:val="es-ES"/>
        </w:rPr>
      </w:pPr>
      <w:r w:rsidRPr="00651FAC">
        <w:lastRenderedPageBreak/>
        <w:t>Asuntos relativos a los observadores en el CAJ-AG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rPr>
          <w:rFonts w:cs="Arial"/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AB175D" w:rsidRPr="009B41F4">
        <w:rPr>
          <w:rFonts w:cs="Arial"/>
          <w:lang w:val="es-ES_tradnl"/>
        </w:rPr>
        <w:t>El CAJ-AG examinó el documento CAJ-AG/14/9/5 y acordó que el CAJ debería examinar el asunto en su debido momento.</w:t>
      </w:r>
    </w:p>
    <w:p w:rsidR="00E705FA" w:rsidRPr="0041008F" w:rsidRDefault="00E705FA" w:rsidP="00B31A08">
      <w:pPr>
        <w:rPr>
          <w:rFonts w:cs="Arial"/>
          <w:lang w:val="es-ES_tradnl"/>
        </w:rPr>
      </w:pPr>
    </w:p>
    <w:p w:rsidR="00E705FA" w:rsidRPr="0041008F" w:rsidRDefault="00E3139E" w:rsidP="00B31A08">
      <w:pPr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AB175D" w:rsidRPr="009B41F4">
        <w:rPr>
          <w:lang w:val="es-ES_tradnl"/>
        </w:rPr>
        <w:t>El CAJ-AG sugirió al CAJ que considere la conveniencia de invitar a los miembros y observadores a que formulen observaciones relativas a los documentos del CAJ por escrito antes de las sesiones del CAJ.</w:t>
      </w:r>
    </w:p>
    <w:p w:rsidR="00E705FA" w:rsidRDefault="00E705FA" w:rsidP="00B31A08">
      <w:pPr>
        <w:rPr>
          <w:lang w:val="es-ES_tradnl"/>
        </w:rPr>
      </w:pPr>
    </w:p>
    <w:p w:rsidR="00440395" w:rsidRPr="0041008F" w:rsidRDefault="00440395" w:rsidP="00B31A08">
      <w:pPr>
        <w:rPr>
          <w:lang w:val="es-ES_tradnl"/>
        </w:rPr>
      </w:pPr>
    </w:p>
    <w:p w:rsidR="00E705FA" w:rsidRPr="005767EF" w:rsidRDefault="00651FAC" w:rsidP="00B31A08">
      <w:pPr>
        <w:pStyle w:val="Heading2"/>
        <w:rPr>
          <w:lang w:val="es-ES"/>
        </w:rPr>
      </w:pPr>
      <w:r w:rsidRPr="00651FAC">
        <w:t>Asuntos remitidos por el CAJ al CAJ-AG para su examen desde la octava sesión del CAJ-AG</w:t>
      </w:r>
    </w:p>
    <w:p w:rsidR="00E705FA" w:rsidRPr="009B41F4" w:rsidRDefault="00E705FA" w:rsidP="00B31A08">
      <w:pPr>
        <w:keepNext/>
        <w:rPr>
          <w:lang w:val="es-ES"/>
        </w:rPr>
      </w:pPr>
    </w:p>
    <w:p w:rsidR="00E705FA" w:rsidRPr="0041008F" w:rsidRDefault="00E3139E" w:rsidP="00B31A08">
      <w:pPr>
        <w:tabs>
          <w:tab w:val="left" w:pos="567"/>
        </w:tabs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AB175D" w:rsidRPr="009B41F4">
        <w:rPr>
          <w:lang w:val="es-ES_tradnl"/>
        </w:rPr>
        <w:t>El CAJ, en su septuagésima sesión, celebrada en Ginebra el 13 de octubre de 2014, solicitó al CAJ</w:t>
      </w:r>
      <w:r w:rsidR="00AB175D" w:rsidRPr="009B41F4">
        <w:rPr>
          <w:lang w:val="es-ES_tradnl"/>
        </w:rPr>
        <w:noBreakHyphen/>
        <w:t>AG, en su novena sesión, que informe al CAJ sobre los documentos que habrán de examinarse en la septuagésima primera sesión del CAJ en marzo de 2015.</w:t>
      </w:r>
      <w:r w:rsidR="001228D1" w:rsidRPr="0041008F">
        <w:rPr>
          <w:lang w:val="es-ES_tradnl"/>
        </w:rPr>
        <w:t xml:space="preserve">  </w:t>
      </w:r>
    </w:p>
    <w:p w:rsidR="00E705FA" w:rsidRPr="0041008F" w:rsidRDefault="00E705FA" w:rsidP="00B31A08">
      <w:pPr>
        <w:tabs>
          <w:tab w:val="left" w:pos="567"/>
        </w:tabs>
        <w:rPr>
          <w:lang w:val="es-ES_tradnl"/>
        </w:rPr>
      </w:pPr>
    </w:p>
    <w:p w:rsidR="00E705FA" w:rsidRPr="0041008F" w:rsidRDefault="00E3139E" w:rsidP="00B31A08">
      <w:pPr>
        <w:tabs>
          <w:tab w:val="left" w:pos="567"/>
        </w:tabs>
        <w:rPr>
          <w:lang w:val="es-ES_tradnl"/>
        </w:rPr>
      </w:pPr>
      <w:r w:rsidRPr="009B41F4">
        <w:fldChar w:fldCharType="begin"/>
      </w:r>
      <w:r w:rsidR="001228D1" w:rsidRPr="0041008F">
        <w:rPr>
          <w:lang w:val="es-ES_tradnl"/>
        </w:rPr>
        <w:instrText xml:space="preserve"> AUTONUM  </w:instrText>
      </w:r>
      <w:r w:rsidRPr="009B41F4">
        <w:fldChar w:fldCharType="end"/>
      </w:r>
      <w:r w:rsidR="001228D1" w:rsidRPr="0041008F">
        <w:rPr>
          <w:lang w:val="es-ES_tradnl"/>
        </w:rPr>
        <w:tab/>
      </w:r>
      <w:r w:rsidR="00AB175D" w:rsidRPr="009B41F4">
        <w:rPr>
          <w:lang w:val="es-ES_tradnl"/>
        </w:rPr>
        <w:t>A este respecto, el CAJ</w:t>
      </w:r>
      <w:r w:rsidR="00AB175D" w:rsidRPr="009B41F4">
        <w:rPr>
          <w:lang w:val="es-ES_tradnl"/>
        </w:rPr>
        <w:noBreakHyphen/>
        <w:t>AG proporcionó la siguiente información relativa a los puntos 4 “</w:t>
      </w:r>
      <w:r w:rsidR="00AB175D" w:rsidRPr="00AB175D">
        <w:rPr>
          <w:kern w:val="28"/>
          <w:lang w:val="es-ES_tradnl"/>
        </w:rPr>
        <w:t>Elaboración de material de información sobre el Convenio de la UPOV</w:t>
      </w:r>
      <w:r w:rsidR="00AB175D" w:rsidRPr="009B41F4">
        <w:rPr>
          <w:kern w:val="28"/>
          <w:lang w:val="es-ES_tradnl"/>
        </w:rPr>
        <w:t xml:space="preserve">” </w:t>
      </w:r>
      <w:r w:rsidR="00AB175D" w:rsidRPr="009B41F4">
        <w:rPr>
          <w:lang w:val="es-ES_tradnl"/>
        </w:rPr>
        <w:t>y 7 “</w:t>
      </w:r>
      <w:r w:rsidR="00AB175D" w:rsidRPr="00AB175D">
        <w:rPr>
          <w:kern w:val="28"/>
          <w:lang w:val="es-ES_tradnl"/>
        </w:rPr>
        <w:t>Denominaciones de variedades</w:t>
      </w:r>
      <w:r w:rsidR="00AB175D" w:rsidRPr="009B41F4">
        <w:rPr>
          <w:kern w:val="28"/>
          <w:lang w:val="es-ES_tradnl"/>
        </w:rPr>
        <w:t>”</w:t>
      </w:r>
      <w:r w:rsidR="00AB175D" w:rsidRPr="009B41F4">
        <w:rPr>
          <w:lang w:val="es-ES_tradnl"/>
        </w:rPr>
        <w:t xml:space="preserve"> de la septuagésima primera sesión del CAJ:</w:t>
      </w:r>
      <w:r w:rsidR="001228D1" w:rsidRPr="0041008F">
        <w:rPr>
          <w:lang w:val="es-ES_tradnl"/>
        </w:rPr>
        <w:t xml:space="preserve"> </w:t>
      </w:r>
    </w:p>
    <w:p w:rsidR="00E705FA" w:rsidRPr="0041008F" w:rsidRDefault="00E705FA" w:rsidP="00B31A08">
      <w:pPr>
        <w:tabs>
          <w:tab w:val="left" w:pos="567"/>
        </w:tabs>
        <w:rPr>
          <w:lang w:val="es-ES_tradnl"/>
        </w:rPr>
      </w:pPr>
    </w:p>
    <w:p w:rsidR="00E705FA" w:rsidRPr="0041008F" w:rsidRDefault="00306307" w:rsidP="00B31A08">
      <w:pPr>
        <w:tabs>
          <w:tab w:val="left" w:pos="567"/>
        </w:tabs>
        <w:ind w:left="1134" w:right="567" w:hanging="567"/>
        <w:rPr>
          <w:kern w:val="28"/>
          <w:lang w:val="es-ES"/>
        </w:rPr>
      </w:pPr>
      <w:r w:rsidRPr="0041008F">
        <w:rPr>
          <w:kern w:val="28"/>
          <w:lang w:val="es-ES_tradnl"/>
        </w:rPr>
        <w:t>4.</w:t>
      </w:r>
      <w:r w:rsidRPr="0041008F">
        <w:rPr>
          <w:kern w:val="28"/>
          <w:lang w:val="es-ES_tradnl"/>
        </w:rPr>
        <w:tab/>
      </w:r>
      <w:r w:rsidR="00651FAC" w:rsidRPr="0041008F">
        <w:rPr>
          <w:kern w:val="28"/>
          <w:lang w:val="es-ES_tradnl"/>
        </w:rPr>
        <w:t>Elaboración de material de información sobre el Convenio de la UPOV (documentos CAJ/71/2 y CAJ-AG/14/9/7 “Informe”)</w:t>
      </w:r>
    </w:p>
    <w:p w:rsidR="00E705FA" w:rsidRPr="009B41F4" w:rsidRDefault="00E705FA" w:rsidP="00B31A08">
      <w:pPr>
        <w:ind w:left="1134" w:right="567" w:hanging="567"/>
        <w:rPr>
          <w:lang w:val="es-ES"/>
        </w:rPr>
      </w:pPr>
    </w:p>
    <w:p w:rsidR="00E705FA" w:rsidRPr="0041008F" w:rsidRDefault="001228D1" w:rsidP="00B31A08">
      <w:pPr>
        <w:ind w:left="1701" w:right="567" w:hanging="567"/>
        <w:rPr>
          <w:strike/>
          <w:lang w:val="es-ES_tradnl"/>
        </w:rPr>
      </w:pPr>
      <w:r w:rsidRPr="0041008F">
        <w:rPr>
          <w:lang w:val="es-ES_tradnl"/>
        </w:rPr>
        <w:t>a)</w:t>
      </w:r>
      <w:r w:rsidRPr="0041008F">
        <w:rPr>
          <w:lang w:val="es-ES_tradnl"/>
        </w:rPr>
        <w:tab/>
      </w:r>
      <w:r w:rsidR="00583A08" w:rsidRPr="00583A08">
        <w:rPr>
          <w:lang w:val="es-ES_tradnl"/>
        </w:rPr>
        <w:t>Notas explicativas sobre las variedades esencialmente derivadas con arreglo al Acta de 1991 del Convenio de la UPOV (Revisión)</w:t>
      </w:r>
      <w:r w:rsidR="00583A08" w:rsidRPr="009B41F4">
        <w:rPr>
          <w:lang w:val="es-ES_tradnl"/>
        </w:rPr>
        <w:t xml:space="preserve"> (</w:t>
      </w:r>
      <w:r w:rsidR="00583A08" w:rsidRPr="009B41F4">
        <w:rPr>
          <w:kern w:val="28"/>
          <w:lang w:val="es-ES_tradnl"/>
        </w:rPr>
        <w:t xml:space="preserve">documento CAJ/71/2:  se propone una manera de proceder, con </w:t>
      </w:r>
      <w:r w:rsidR="008B7F4F" w:rsidRPr="009B41F4">
        <w:rPr>
          <w:kern w:val="28"/>
          <w:lang w:val="es-ES_tradnl"/>
        </w:rPr>
        <w:t xml:space="preserve">vistas a </w:t>
      </w:r>
      <w:r w:rsidR="00583A08" w:rsidRPr="009B41F4">
        <w:rPr>
          <w:kern w:val="28"/>
          <w:lang w:val="es-ES_tradnl"/>
        </w:rPr>
        <w:t xml:space="preserve">debatir en el CAJ </w:t>
      </w:r>
      <w:r w:rsidR="00583A08" w:rsidRPr="00583A08">
        <w:rPr>
          <w:kern w:val="28"/>
          <w:lang w:val="es-ES_tradnl"/>
        </w:rPr>
        <w:t>un nuevo proyecto del documento</w:t>
      </w:r>
      <w:r w:rsidR="00583A08" w:rsidRPr="009B41F4">
        <w:rPr>
          <w:kern w:val="28"/>
          <w:lang w:val="es-ES_tradnl"/>
        </w:rPr>
        <w:t xml:space="preserve"> UPOV/EXN/EDV/2 en octubre de 2015</w:t>
      </w:r>
      <w:r w:rsidR="00583A08" w:rsidRPr="009B41F4">
        <w:rPr>
          <w:lang w:val="es-ES_tradnl"/>
        </w:rPr>
        <w:t>)</w:t>
      </w:r>
    </w:p>
    <w:p w:rsidR="00E705FA" w:rsidRPr="0041008F" w:rsidRDefault="00E705FA" w:rsidP="00B31A08">
      <w:pPr>
        <w:ind w:left="1134" w:right="567" w:hanging="567"/>
        <w:rPr>
          <w:strike/>
          <w:lang w:val="es-ES_tradnl"/>
        </w:rPr>
      </w:pPr>
    </w:p>
    <w:p w:rsidR="00D75EA9" w:rsidRPr="0041008F" w:rsidRDefault="00306307" w:rsidP="00B31A08">
      <w:pPr>
        <w:ind w:left="1701" w:right="567" w:hanging="567"/>
        <w:rPr>
          <w:lang w:val="es-ES_tradnl"/>
        </w:rPr>
      </w:pPr>
      <w:r w:rsidRPr="0041008F">
        <w:rPr>
          <w:lang w:val="es-ES_tradnl"/>
        </w:rPr>
        <w:t>b)</w:t>
      </w:r>
      <w:r w:rsidRPr="0041008F">
        <w:rPr>
          <w:color w:val="FF00FF"/>
          <w:lang w:val="es-ES_tradnl"/>
        </w:rPr>
        <w:tab/>
      </w:r>
      <w:r w:rsidR="00583A08" w:rsidRPr="00583A08">
        <w:rPr>
          <w:lang w:val="es-ES_tradnl"/>
        </w:rPr>
        <w:t>Notas explicativas sobre el material de reproducción o multiplicación con arreglo al Convenio de la UPOV</w:t>
      </w:r>
      <w:r w:rsidR="00583A08" w:rsidRPr="009B41F4">
        <w:rPr>
          <w:lang w:val="es-ES_tradnl"/>
        </w:rPr>
        <w:t xml:space="preserve"> (documento UPOV/EXN/PPM/1 Draft 4)</w:t>
      </w:r>
    </w:p>
    <w:p w:rsidR="00E705FA" w:rsidRPr="0041008F" w:rsidRDefault="00E705FA" w:rsidP="00B31A08">
      <w:pPr>
        <w:ind w:left="1701" w:right="567" w:hanging="567"/>
        <w:rPr>
          <w:lang w:val="es-ES_tradnl"/>
        </w:rPr>
      </w:pPr>
    </w:p>
    <w:p w:rsidR="00E705FA" w:rsidRPr="0041008F" w:rsidRDefault="001228D1" w:rsidP="00B31A08">
      <w:pPr>
        <w:ind w:left="1701" w:right="567" w:hanging="567"/>
        <w:rPr>
          <w:kern w:val="28"/>
          <w:lang w:val="es-ES_tradnl"/>
        </w:rPr>
      </w:pPr>
      <w:r w:rsidRPr="0041008F">
        <w:rPr>
          <w:lang w:val="es-ES_tradnl"/>
        </w:rPr>
        <w:t>c)</w:t>
      </w:r>
      <w:r w:rsidRPr="0041008F">
        <w:rPr>
          <w:lang w:val="es-ES_tradnl"/>
        </w:rPr>
        <w:tab/>
      </w:r>
      <w:r w:rsidR="00583A08" w:rsidRPr="00583A08">
        <w:rPr>
          <w:lang w:val="es-ES_tradnl"/>
        </w:rPr>
        <w:t>Notas explicativas sobre los actos respecto del producto de la cosecha con arreglo al Acta de 1991 del Convenio de la UPOV (revisión)</w:t>
      </w:r>
      <w:r w:rsidR="00583A08" w:rsidRPr="009B41F4">
        <w:rPr>
          <w:lang w:val="es-ES_tradnl"/>
        </w:rPr>
        <w:t xml:space="preserve"> </w:t>
      </w:r>
      <w:r w:rsidR="00583A08" w:rsidRPr="009B41F4">
        <w:rPr>
          <w:kern w:val="28"/>
          <w:lang w:val="es-ES_tradnl"/>
        </w:rPr>
        <w:t>(documento CAJ/71/2:</w:t>
      </w:r>
      <w:r w:rsidRPr="0041008F">
        <w:rPr>
          <w:kern w:val="28"/>
          <w:lang w:val="es-ES_tradnl"/>
        </w:rPr>
        <w:t xml:space="preserve">  </w:t>
      </w:r>
      <w:r w:rsidR="00583A08" w:rsidRPr="009B41F4">
        <w:rPr>
          <w:lang w:val="es-ES_tradnl"/>
        </w:rPr>
        <w:t>propuesta del CAJ-AG de interrumpir la elaboración de una revisión del documento UPOV/EXN/HRV/1</w:t>
      </w:r>
      <w:r w:rsidR="00583A08" w:rsidRPr="009B41F4">
        <w:rPr>
          <w:kern w:val="28"/>
          <w:lang w:val="es-ES_tradnl"/>
        </w:rPr>
        <w:t>)</w:t>
      </w:r>
    </w:p>
    <w:p w:rsidR="00E705FA" w:rsidRPr="0041008F" w:rsidRDefault="00E705FA" w:rsidP="00B31A08">
      <w:pPr>
        <w:ind w:left="1701" w:right="567" w:hanging="567"/>
        <w:rPr>
          <w:kern w:val="28"/>
          <w:lang w:val="es-ES_tradnl"/>
        </w:rPr>
      </w:pPr>
    </w:p>
    <w:p w:rsidR="00E705FA" w:rsidRPr="0041008F" w:rsidRDefault="00306307" w:rsidP="00B31A08">
      <w:pPr>
        <w:ind w:left="1701" w:right="567" w:hanging="567"/>
        <w:rPr>
          <w:lang w:val="es-ES"/>
        </w:rPr>
      </w:pPr>
      <w:r w:rsidRPr="0041008F">
        <w:rPr>
          <w:lang w:val="es-ES_tradnl"/>
        </w:rPr>
        <w:t>d)</w:t>
      </w:r>
      <w:r w:rsidRPr="0041008F">
        <w:rPr>
          <w:lang w:val="es-ES_tradnl"/>
        </w:rPr>
        <w:tab/>
      </w:r>
      <w:r w:rsidR="00651FAC" w:rsidRPr="0041008F">
        <w:rPr>
          <w:lang w:val="es-ES_tradnl"/>
        </w:rPr>
        <w:t>Notas explicativas sobre la caducidad del derecho de obtentor con arreglo al Convenio de la UPOV (revisión) (documento UPOV/EXN/CAN/2</w:t>
      </w:r>
      <w:r w:rsidR="00583A08" w:rsidRPr="0041008F">
        <w:rPr>
          <w:lang w:val="es-ES_tradnl"/>
        </w:rPr>
        <w:t> </w:t>
      </w:r>
      <w:r w:rsidR="00651FAC" w:rsidRPr="0041008F">
        <w:rPr>
          <w:lang w:val="es-ES_tradnl"/>
        </w:rPr>
        <w:t>Draft</w:t>
      </w:r>
      <w:r w:rsidR="00583A08" w:rsidRPr="0041008F">
        <w:rPr>
          <w:lang w:val="es-ES_tradnl"/>
        </w:rPr>
        <w:t> </w:t>
      </w:r>
      <w:r w:rsidR="00651FAC" w:rsidRPr="0041008F">
        <w:rPr>
          <w:lang w:val="es-ES_tradnl"/>
        </w:rPr>
        <w:t>3)</w:t>
      </w:r>
    </w:p>
    <w:p w:rsidR="00E705FA" w:rsidRPr="0041008F" w:rsidRDefault="00E705FA" w:rsidP="00B31A08">
      <w:pPr>
        <w:ind w:left="1701" w:right="567" w:hanging="567"/>
        <w:rPr>
          <w:lang w:val="es-ES"/>
        </w:rPr>
      </w:pPr>
    </w:p>
    <w:p w:rsidR="00E705FA" w:rsidRPr="0041008F" w:rsidRDefault="00306307" w:rsidP="00B31A08">
      <w:pPr>
        <w:ind w:left="1701" w:right="567" w:hanging="567"/>
        <w:rPr>
          <w:lang w:val="es-ES"/>
        </w:rPr>
      </w:pPr>
      <w:r w:rsidRPr="0041008F">
        <w:rPr>
          <w:lang w:val="es-ES_tradnl"/>
        </w:rPr>
        <w:t>e)</w:t>
      </w:r>
      <w:r w:rsidRPr="0041008F">
        <w:rPr>
          <w:lang w:val="es-ES_tradnl"/>
        </w:rPr>
        <w:tab/>
      </w:r>
      <w:r w:rsidR="00651FAC" w:rsidRPr="0041008F">
        <w:rPr>
          <w:lang w:val="es-ES_tradnl"/>
        </w:rPr>
        <w:t>Notas explicativas sobre la nulidad del derecho de obtentor con arreglo al Convenio de la UPOV (revisión) (documento UPOV/EXN/NUL/2</w:t>
      </w:r>
      <w:r w:rsidR="00583A08" w:rsidRPr="0041008F">
        <w:rPr>
          <w:lang w:val="es-ES_tradnl"/>
        </w:rPr>
        <w:t> </w:t>
      </w:r>
      <w:r w:rsidR="00651FAC" w:rsidRPr="0041008F">
        <w:rPr>
          <w:lang w:val="es-ES_tradnl"/>
        </w:rPr>
        <w:t>Draft</w:t>
      </w:r>
      <w:r w:rsidR="00583A08" w:rsidRPr="0041008F">
        <w:rPr>
          <w:lang w:val="es-ES_tradnl"/>
        </w:rPr>
        <w:t> </w:t>
      </w:r>
      <w:r w:rsidR="00651FAC" w:rsidRPr="0041008F">
        <w:rPr>
          <w:lang w:val="es-ES_tradnl"/>
        </w:rPr>
        <w:t>3)</w:t>
      </w:r>
    </w:p>
    <w:p w:rsidR="00E705FA" w:rsidRPr="009B41F4" w:rsidRDefault="00E705FA" w:rsidP="00B31A08">
      <w:pPr>
        <w:ind w:left="1701" w:right="567" w:hanging="567"/>
        <w:rPr>
          <w:lang w:val="es-ES"/>
        </w:rPr>
      </w:pPr>
    </w:p>
    <w:p w:rsidR="00E705FA" w:rsidRPr="0041008F" w:rsidRDefault="001228D1" w:rsidP="00B31A08">
      <w:pPr>
        <w:ind w:left="1701" w:right="567" w:hanging="567"/>
        <w:rPr>
          <w:kern w:val="28"/>
          <w:lang w:val="es-ES_tradnl"/>
        </w:rPr>
      </w:pPr>
      <w:r w:rsidRPr="0041008F">
        <w:rPr>
          <w:lang w:val="es-ES_tradnl"/>
        </w:rPr>
        <w:t>f)</w:t>
      </w:r>
      <w:r w:rsidRPr="0041008F">
        <w:rPr>
          <w:lang w:val="es-ES_tradnl"/>
        </w:rPr>
        <w:tab/>
      </w:r>
      <w:r w:rsidR="00583A08" w:rsidRPr="00583A08">
        <w:rPr>
          <w:lang w:val="es-ES_tradnl"/>
        </w:rPr>
        <w:t>Asuntos relativos a las descripciones de variedades</w:t>
      </w:r>
      <w:r w:rsidR="00583A08" w:rsidRPr="009B41F4">
        <w:rPr>
          <w:lang w:val="es-ES_tradnl"/>
        </w:rPr>
        <w:t xml:space="preserve"> </w:t>
      </w:r>
      <w:r w:rsidR="00583A08" w:rsidRPr="009B41F4">
        <w:rPr>
          <w:kern w:val="28"/>
          <w:lang w:val="es-ES_tradnl"/>
        </w:rPr>
        <w:t>(documento CAJ/71/2:</w:t>
      </w:r>
      <w:r w:rsidRPr="0041008F">
        <w:rPr>
          <w:kern w:val="28"/>
          <w:lang w:val="es-ES_tradnl"/>
        </w:rPr>
        <w:t xml:space="preserve">  </w:t>
      </w:r>
      <w:r w:rsidR="00E320DB" w:rsidRPr="009B41F4">
        <w:rPr>
          <w:kern w:val="28"/>
          <w:lang w:val="es-ES_tradnl"/>
        </w:rPr>
        <w:t xml:space="preserve">se </w:t>
      </w:r>
      <w:r w:rsidR="00583A08" w:rsidRPr="009B41F4">
        <w:rPr>
          <w:kern w:val="28"/>
          <w:lang w:val="es-ES_tradnl"/>
        </w:rPr>
        <w:t>present</w:t>
      </w:r>
      <w:r w:rsidR="00277B1A" w:rsidRPr="009B41F4">
        <w:rPr>
          <w:kern w:val="28"/>
          <w:lang w:val="es-ES_tradnl"/>
        </w:rPr>
        <w:t>ar</w:t>
      </w:r>
      <w:r w:rsidR="00E320DB" w:rsidRPr="009B41F4">
        <w:rPr>
          <w:kern w:val="28"/>
          <w:lang w:val="es-ES_tradnl"/>
        </w:rPr>
        <w:t>á</w:t>
      </w:r>
      <w:r w:rsidR="00583A08" w:rsidRPr="009B41F4">
        <w:rPr>
          <w:kern w:val="28"/>
          <w:lang w:val="es-ES_tradnl"/>
        </w:rPr>
        <w:t xml:space="preserve"> </w:t>
      </w:r>
      <w:r w:rsidR="00277B1A" w:rsidRPr="009B41F4">
        <w:rPr>
          <w:kern w:val="28"/>
          <w:lang w:val="es-ES_tradnl"/>
        </w:rPr>
        <w:t xml:space="preserve">la </w:t>
      </w:r>
      <w:r w:rsidR="00583A08" w:rsidRPr="009B41F4">
        <w:rPr>
          <w:lang w:val="es-ES_tradnl"/>
        </w:rPr>
        <w:t>conclusi</w:t>
      </w:r>
      <w:r w:rsidR="00277B1A" w:rsidRPr="009B41F4">
        <w:rPr>
          <w:lang w:val="es-ES_tradnl"/>
        </w:rPr>
        <w:t>ó</w:t>
      </w:r>
      <w:r w:rsidR="00583A08" w:rsidRPr="009B41F4">
        <w:rPr>
          <w:lang w:val="es-ES_tradnl"/>
        </w:rPr>
        <w:t xml:space="preserve">n </w:t>
      </w:r>
      <w:r w:rsidR="00277B1A" w:rsidRPr="009B41F4">
        <w:rPr>
          <w:lang w:val="es-ES_tradnl"/>
        </w:rPr>
        <w:t xml:space="preserve">del </w:t>
      </w:r>
      <w:r w:rsidR="00583A08" w:rsidRPr="009B41F4">
        <w:rPr>
          <w:lang w:val="es-ES_tradnl"/>
        </w:rPr>
        <w:t>CAJ-AG</w:t>
      </w:r>
      <w:r w:rsidR="00583A08" w:rsidRPr="009B41F4">
        <w:rPr>
          <w:kern w:val="28"/>
          <w:lang w:val="es-ES_tradnl"/>
        </w:rPr>
        <w:t>)</w:t>
      </w:r>
    </w:p>
    <w:p w:rsidR="00E705FA" w:rsidRPr="0041008F" w:rsidRDefault="00E705FA" w:rsidP="00B31A08">
      <w:pPr>
        <w:ind w:left="1701" w:right="567" w:hanging="567"/>
        <w:rPr>
          <w:kern w:val="28"/>
          <w:lang w:val="es-ES_tradnl"/>
        </w:rPr>
      </w:pPr>
    </w:p>
    <w:p w:rsidR="00E705FA" w:rsidRPr="0041008F" w:rsidRDefault="00306307" w:rsidP="00B31A08">
      <w:pPr>
        <w:ind w:left="1701" w:right="567" w:hanging="567"/>
        <w:rPr>
          <w:lang w:val="es-ES"/>
        </w:rPr>
      </w:pPr>
      <w:r w:rsidRPr="0041008F">
        <w:rPr>
          <w:lang w:val="es-ES"/>
        </w:rPr>
        <w:t>g)</w:t>
      </w:r>
      <w:r w:rsidRPr="0041008F">
        <w:rPr>
          <w:lang w:val="es-ES"/>
        </w:rPr>
        <w:tab/>
      </w:r>
      <w:r w:rsidR="00651FAC" w:rsidRPr="0041008F">
        <w:rPr>
          <w:lang w:val="es-ES_tradnl"/>
        </w:rPr>
        <w:t>Notas explicativas sobre la protección provisional con arreglo al Convenio de la UPOV (revisión) (documento UPOV/EXN/PRP/2 Draft 3)</w:t>
      </w:r>
    </w:p>
    <w:p w:rsidR="00E705FA" w:rsidRPr="0041008F" w:rsidRDefault="00E705FA" w:rsidP="00B31A08">
      <w:pPr>
        <w:ind w:left="1134" w:right="567" w:hanging="567"/>
        <w:rPr>
          <w:kern w:val="28"/>
          <w:lang w:val="es-ES"/>
        </w:rPr>
      </w:pPr>
    </w:p>
    <w:p w:rsidR="00E705FA" w:rsidRPr="0041008F" w:rsidRDefault="00306307" w:rsidP="00B31A08">
      <w:pPr>
        <w:ind w:left="1134" w:right="567" w:hanging="567"/>
        <w:rPr>
          <w:kern w:val="28"/>
          <w:lang w:val="es-ES"/>
        </w:rPr>
      </w:pPr>
      <w:r w:rsidRPr="0041008F">
        <w:rPr>
          <w:kern w:val="28"/>
          <w:lang w:val="es-ES_tradnl"/>
        </w:rPr>
        <w:t>7.</w:t>
      </w:r>
      <w:r w:rsidRPr="0041008F">
        <w:rPr>
          <w:kern w:val="28"/>
          <w:lang w:val="es-ES_tradnl"/>
        </w:rPr>
        <w:tab/>
      </w:r>
      <w:r w:rsidR="00651FAC" w:rsidRPr="0041008F">
        <w:rPr>
          <w:kern w:val="28"/>
          <w:lang w:val="es-ES_tradnl"/>
        </w:rPr>
        <w:t>Denominaciones de variedades (documento CAJ/71/3)</w:t>
      </w:r>
    </w:p>
    <w:p w:rsidR="00E705FA" w:rsidRPr="0041008F" w:rsidRDefault="00E705FA" w:rsidP="00B31A08">
      <w:pPr>
        <w:ind w:left="1701" w:right="567" w:hanging="567"/>
        <w:rPr>
          <w:kern w:val="28"/>
          <w:lang w:val="es-ES"/>
        </w:rPr>
      </w:pPr>
    </w:p>
    <w:p w:rsidR="00E705FA" w:rsidRPr="0041008F" w:rsidRDefault="00277B1A" w:rsidP="00B31A08">
      <w:pPr>
        <w:ind w:left="1134" w:right="567"/>
        <w:rPr>
          <w:strike/>
          <w:lang w:val="es-ES_tradnl"/>
        </w:rPr>
      </w:pPr>
      <w:r w:rsidRPr="00277B1A">
        <w:rPr>
          <w:lang w:val="es-ES_tradnl"/>
        </w:rPr>
        <w:t>Notas explicativas sobre las denominaciones de variedades con arreglo al Convenio de la UPOV (revi</w:t>
      </w:r>
      <w:r w:rsidRPr="00E320DB">
        <w:rPr>
          <w:lang w:val="es-ES_tradnl"/>
        </w:rPr>
        <w:t>sión)</w:t>
      </w:r>
      <w:r w:rsidRPr="009B41F4">
        <w:rPr>
          <w:lang w:val="es-ES_tradnl"/>
        </w:rPr>
        <w:t xml:space="preserve"> (se invitará al </w:t>
      </w:r>
      <w:r w:rsidRPr="009B41F4">
        <w:rPr>
          <w:kern w:val="28"/>
          <w:lang w:val="es-ES_tradnl"/>
        </w:rPr>
        <w:t xml:space="preserve">CAJ a que </w:t>
      </w:r>
      <w:r w:rsidR="00E320DB" w:rsidRPr="009B41F4">
        <w:rPr>
          <w:kern w:val="28"/>
          <w:lang w:val="es-ES_tradnl"/>
        </w:rPr>
        <w:t xml:space="preserve">examine </w:t>
      </w:r>
      <w:r w:rsidRPr="009B41F4">
        <w:rPr>
          <w:kern w:val="28"/>
          <w:lang w:val="es-ES_tradnl"/>
        </w:rPr>
        <w:t>un plan relativo a la revisión del documento UPOV/INF/12/5</w:t>
      </w:r>
      <w:r w:rsidRPr="009B41F4">
        <w:rPr>
          <w:lang w:val="es-ES_tradnl"/>
        </w:rPr>
        <w:t>)</w:t>
      </w:r>
    </w:p>
    <w:p w:rsidR="00E705FA" w:rsidRPr="0041008F" w:rsidRDefault="00E705FA" w:rsidP="00B31A08">
      <w:pPr>
        <w:rPr>
          <w:lang w:val="es-ES_tradnl"/>
        </w:rPr>
      </w:pPr>
    </w:p>
    <w:p w:rsidR="00E705FA" w:rsidRPr="0041008F" w:rsidRDefault="00E3139E" w:rsidP="00B31A08">
      <w:pPr>
        <w:pStyle w:val="DecisionParagraphs"/>
        <w:keepLines/>
        <w:rPr>
          <w:lang w:val="es-ES"/>
        </w:rPr>
      </w:pPr>
      <w:r w:rsidRPr="0041008F">
        <w:fldChar w:fldCharType="begin"/>
      </w:r>
      <w:r w:rsidR="001228D1" w:rsidRPr="0041008F">
        <w:rPr>
          <w:lang w:val="es-ES"/>
        </w:rPr>
        <w:instrText xml:space="preserve"> AUTONUM  </w:instrText>
      </w:r>
      <w:r w:rsidRPr="0041008F">
        <w:fldChar w:fldCharType="end"/>
      </w:r>
      <w:r w:rsidR="001228D1" w:rsidRPr="0041008F">
        <w:rPr>
          <w:lang w:val="es-ES"/>
        </w:rPr>
        <w:tab/>
      </w:r>
      <w:r w:rsidR="00651FAC" w:rsidRPr="0041008F">
        <w:rPr>
          <w:lang w:val="es-ES_tradnl"/>
        </w:rPr>
        <w:t>El CAJ–AG aprobó el presente informe en la clausura de la sesión el 17 de octubre de 2014.</w:t>
      </w:r>
    </w:p>
    <w:p w:rsidR="00E705FA" w:rsidRPr="0041008F" w:rsidRDefault="00E705FA" w:rsidP="00B31A08">
      <w:pPr>
        <w:keepNext/>
        <w:keepLines/>
        <w:jc w:val="left"/>
        <w:rPr>
          <w:lang w:val="es-ES"/>
        </w:rPr>
      </w:pPr>
    </w:p>
    <w:p w:rsidR="00E705FA" w:rsidRPr="0041008F" w:rsidRDefault="00E705FA" w:rsidP="00B31A08">
      <w:pPr>
        <w:jc w:val="left"/>
        <w:rPr>
          <w:lang w:val="es-ES"/>
        </w:rPr>
      </w:pPr>
    </w:p>
    <w:p w:rsidR="00E705FA" w:rsidRPr="0041008F" w:rsidRDefault="00E705FA" w:rsidP="00B31A08">
      <w:pPr>
        <w:jc w:val="left"/>
        <w:rPr>
          <w:lang w:val="es-ES"/>
        </w:rPr>
      </w:pPr>
    </w:p>
    <w:p w:rsidR="00E705FA" w:rsidRPr="0041008F" w:rsidRDefault="00651FAC" w:rsidP="00B31A08">
      <w:pPr>
        <w:ind w:left="567" w:hanging="567"/>
        <w:jc w:val="right"/>
        <w:rPr>
          <w:lang w:val="fr-FR"/>
        </w:rPr>
      </w:pPr>
      <w:r w:rsidRPr="0041008F">
        <w:rPr>
          <w:lang w:val="fr-FR"/>
        </w:rPr>
        <w:t>[Sigue el Anexo]</w:t>
      </w:r>
    </w:p>
    <w:p w:rsidR="00E705FA" w:rsidRPr="009B41F4" w:rsidRDefault="00E705FA" w:rsidP="00B31A08">
      <w:pPr>
        <w:rPr>
          <w:snapToGrid w:val="0"/>
          <w:lang w:val="fr-FR"/>
        </w:rPr>
      </w:pPr>
    </w:p>
    <w:p w:rsidR="00EE2BC8" w:rsidRPr="009B41F4" w:rsidRDefault="00EE2BC8" w:rsidP="00B31A08">
      <w:pPr>
        <w:rPr>
          <w:snapToGrid w:val="0"/>
          <w:lang w:val="fr-FR"/>
        </w:rPr>
        <w:sectPr w:rsidR="00EE2BC8" w:rsidRPr="009B41F4" w:rsidSect="00726590">
          <w:headerReference w:type="default" r:id="rId10"/>
          <w:pgSz w:w="11907" w:h="16840" w:code="9"/>
          <w:pgMar w:top="510" w:right="1134" w:bottom="1134" w:left="1134" w:header="510" w:footer="624" w:gutter="0"/>
          <w:cols w:space="720"/>
          <w:titlePg/>
        </w:sectPr>
      </w:pPr>
    </w:p>
    <w:p w:rsidR="00B36B32" w:rsidRPr="0052102F" w:rsidRDefault="00B36B32" w:rsidP="00B36B32">
      <w:pPr>
        <w:jc w:val="center"/>
        <w:rPr>
          <w:rFonts w:cs="Arial"/>
          <w:lang w:val="fr-FR"/>
        </w:rPr>
      </w:pPr>
      <w:r w:rsidRPr="0052102F">
        <w:rPr>
          <w:rFonts w:cs="Arial"/>
          <w:lang w:val="fr-FR"/>
        </w:rPr>
        <w:lastRenderedPageBreak/>
        <w:t>CAJ-AG/1</w:t>
      </w:r>
      <w:r>
        <w:rPr>
          <w:rFonts w:cs="Arial"/>
          <w:lang w:val="fr-FR"/>
        </w:rPr>
        <w:t>4</w:t>
      </w:r>
      <w:r w:rsidRPr="0052102F">
        <w:rPr>
          <w:rFonts w:cs="Arial"/>
          <w:lang w:val="fr-FR"/>
        </w:rPr>
        <w:t>/</w:t>
      </w:r>
      <w:r>
        <w:rPr>
          <w:rFonts w:cs="Arial"/>
          <w:lang w:val="fr-FR"/>
        </w:rPr>
        <w:t>9</w:t>
      </w:r>
      <w:r w:rsidRPr="0052102F">
        <w:rPr>
          <w:rFonts w:cs="Arial"/>
          <w:lang w:val="fr-FR"/>
        </w:rPr>
        <w:t>/</w:t>
      </w:r>
      <w:r>
        <w:rPr>
          <w:rFonts w:cs="Arial"/>
          <w:lang w:val="fr-FR"/>
        </w:rPr>
        <w:t>6</w:t>
      </w:r>
    </w:p>
    <w:p w:rsidR="00B36B32" w:rsidRPr="0052102F" w:rsidRDefault="00B36B32" w:rsidP="00B36B32">
      <w:pPr>
        <w:jc w:val="center"/>
        <w:rPr>
          <w:rFonts w:cs="Arial"/>
          <w:lang w:val="fr-FR"/>
        </w:rPr>
      </w:pPr>
    </w:p>
    <w:p w:rsidR="00B36B32" w:rsidRPr="0052102F" w:rsidRDefault="00B36B32" w:rsidP="00B36B32">
      <w:pPr>
        <w:jc w:val="center"/>
        <w:rPr>
          <w:rFonts w:cs="Arial"/>
          <w:lang w:val="fr-FR"/>
        </w:rPr>
      </w:pPr>
      <w:r w:rsidRPr="0052102F">
        <w:rPr>
          <w:rFonts w:cs="Arial"/>
          <w:lang w:val="fr-FR"/>
        </w:rPr>
        <w:t>ANNEXE / ANNEX / ANLAGE / ANEXO</w:t>
      </w:r>
    </w:p>
    <w:p w:rsidR="00B36B32" w:rsidRDefault="00B36B32" w:rsidP="00B36B32">
      <w:pPr>
        <w:jc w:val="center"/>
        <w:rPr>
          <w:rFonts w:cs="Arial"/>
          <w:lang w:val="fr-FR"/>
        </w:rPr>
      </w:pPr>
    </w:p>
    <w:p w:rsidR="00B36B32" w:rsidRPr="0052102F" w:rsidRDefault="00B36B32" w:rsidP="00B36B32">
      <w:pPr>
        <w:jc w:val="center"/>
        <w:rPr>
          <w:rFonts w:cs="Arial"/>
          <w:lang w:val="fr-FR"/>
        </w:rPr>
      </w:pPr>
    </w:p>
    <w:p w:rsidR="00B36B32" w:rsidRPr="00722730" w:rsidRDefault="00B36B32" w:rsidP="00B36B32">
      <w:pPr>
        <w:jc w:val="center"/>
        <w:rPr>
          <w:rFonts w:cs="Arial"/>
          <w:lang w:val="fr-FR"/>
        </w:rPr>
      </w:pPr>
      <w:r w:rsidRPr="00722730">
        <w:rPr>
          <w:rFonts w:cs="Arial"/>
          <w:lang w:val="fr-FR"/>
        </w:rPr>
        <w:t>LISTE DES PARTICIPANTS / LIST OF PARTICIPANTS /</w:t>
      </w:r>
    </w:p>
    <w:p w:rsidR="00B36B32" w:rsidRDefault="00B36B32" w:rsidP="00B36B32">
      <w:pPr>
        <w:jc w:val="center"/>
        <w:rPr>
          <w:rFonts w:cs="Arial"/>
          <w:lang w:val="fr-FR"/>
        </w:rPr>
      </w:pPr>
      <w:r w:rsidRPr="00722730">
        <w:rPr>
          <w:rFonts w:cs="Arial"/>
          <w:lang w:val="fr-FR"/>
        </w:rPr>
        <w:t>TEILNEHMERLISTE / LISTA DE PARTICIPANTES</w:t>
      </w:r>
    </w:p>
    <w:p w:rsidR="00B36B32" w:rsidRPr="0052102F" w:rsidRDefault="00B36B32" w:rsidP="00B36B32">
      <w:pPr>
        <w:jc w:val="center"/>
        <w:rPr>
          <w:rFonts w:cs="Arial"/>
          <w:lang w:val="fr-FR"/>
        </w:rPr>
      </w:pPr>
    </w:p>
    <w:p w:rsidR="00B36B32" w:rsidRPr="0052102F" w:rsidRDefault="00B36B32" w:rsidP="00B36B32">
      <w:pPr>
        <w:jc w:val="center"/>
        <w:rPr>
          <w:rFonts w:cs="Arial"/>
          <w:lang w:val="fr-FR"/>
        </w:rPr>
      </w:pPr>
      <w:r w:rsidRPr="0052102F">
        <w:rPr>
          <w:rFonts w:cs="Arial"/>
          <w:lang w:val="fr-FR"/>
        </w:rPr>
        <w:t>(dans l’ordre alphabétique des noms français des membres/</w:t>
      </w:r>
    </w:p>
    <w:p w:rsidR="00B36B32" w:rsidRPr="0052102F" w:rsidRDefault="00B36B32" w:rsidP="00B36B32">
      <w:pPr>
        <w:jc w:val="center"/>
        <w:rPr>
          <w:rFonts w:cs="Arial"/>
        </w:rPr>
      </w:pPr>
      <w:r w:rsidRPr="0052102F">
        <w:rPr>
          <w:rFonts w:cs="Arial"/>
        </w:rPr>
        <w:t>in the alphabetical order of the names in French of the members/</w:t>
      </w:r>
    </w:p>
    <w:p w:rsidR="00B36B32" w:rsidRPr="0052102F" w:rsidRDefault="00B36B32" w:rsidP="00B36B32">
      <w:pPr>
        <w:jc w:val="center"/>
        <w:rPr>
          <w:rFonts w:cs="Arial"/>
          <w:lang w:val="de-CH"/>
        </w:rPr>
      </w:pPr>
      <w:r w:rsidRPr="0052102F">
        <w:rPr>
          <w:rFonts w:cs="Arial"/>
          <w:lang w:val="de-CH"/>
        </w:rPr>
        <w:t>in alphabetischer Reihenfolge der französischen Namen der Mitglieder/</w:t>
      </w:r>
    </w:p>
    <w:p w:rsidR="00B36B32" w:rsidRPr="0052102F" w:rsidRDefault="00B36B32" w:rsidP="00B36B32">
      <w:pPr>
        <w:jc w:val="center"/>
        <w:rPr>
          <w:rFonts w:cs="Arial"/>
          <w:lang w:val="es-ES"/>
        </w:rPr>
      </w:pPr>
      <w:r w:rsidRPr="0052102F">
        <w:rPr>
          <w:rFonts w:cs="Arial"/>
          <w:lang w:val="es-ES"/>
        </w:rPr>
        <w:t>por orden alfabético de los nombres en francés de los miembros)</w:t>
      </w:r>
    </w:p>
    <w:p w:rsidR="00B36B32" w:rsidRPr="0052102F" w:rsidRDefault="00B36B32" w:rsidP="00B36B32">
      <w:pPr>
        <w:jc w:val="center"/>
        <w:rPr>
          <w:rFonts w:cs="Arial"/>
          <w:lang w:val="es-ES"/>
        </w:rPr>
      </w:pPr>
    </w:p>
    <w:p w:rsidR="00B36B32" w:rsidRDefault="00B36B32" w:rsidP="00B36B32">
      <w:pPr>
        <w:jc w:val="center"/>
        <w:rPr>
          <w:rFonts w:cs="Arial"/>
          <w:lang w:val="de-CH"/>
        </w:rPr>
      </w:pPr>
    </w:p>
    <w:p w:rsidR="00B36B32" w:rsidRPr="0052102F" w:rsidRDefault="00B36B32" w:rsidP="00B36B32">
      <w:pPr>
        <w:jc w:val="center"/>
        <w:rPr>
          <w:rFonts w:cs="Arial"/>
          <w:lang w:val="de-CH"/>
        </w:rPr>
      </w:pPr>
    </w:p>
    <w:p w:rsidR="00B36B32" w:rsidRPr="00AC0DE9" w:rsidRDefault="00B36B32" w:rsidP="00B36B32">
      <w:pPr>
        <w:jc w:val="center"/>
        <w:rPr>
          <w:rFonts w:cs="Arial"/>
          <w:u w:val="single"/>
          <w:lang w:val="de-CH"/>
        </w:rPr>
      </w:pPr>
      <w:r w:rsidRPr="00AC0DE9">
        <w:rPr>
          <w:rFonts w:cs="Arial"/>
          <w:lang w:val="de-CH"/>
        </w:rPr>
        <w:t>I.</w:t>
      </w:r>
      <w:r w:rsidRPr="00AC0DE9">
        <w:rPr>
          <w:rFonts w:cs="Arial"/>
          <w:lang w:val="de-CH"/>
        </w:rPr>
        <w:tab/>
      </w:r>
      <w:r w:rsidRPr="00AC0DE9">
        <w:rPr>
          <w:rFonts w:cs="Arial"/>
          <w:u w:val="single"/>
          <w:lang w:val="de-CH"/>
        </w:rPr>
        <w:t>MEMBRES / MEMBERS / VERBANDSMITGLIEDER / MIEMBROS</w:t>
      </w:r>
    </w:p>
    <w:p w:rsidR="00B36B32" w:rsidRPr="00E73C16" w:rsidRDefault="00B36B32" w:rsidP="00B36B32">
      <w:pPr>
        <w:jc w:val="center"/>
        <w:rPr>
          <w:rFonts w:cs="Arial"/>
          <w:lang w:val="de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de-CH"/>
        </w:rPr>
      </w:pPr>
      <w:r w:rsidRPr="00E73C16">
        <w:rPr>
          <w:rFonts w:cs="Arial"/>
          <w:color w:val="000000"/>
          <w:u w:val="single"/>
          <w:lang w:val="de-CH"/>
        </w:rPr>
        <w:t>AFRIQUE DU SUD / SOUTH AFRICA / SÜDAFRIKA / SUDÁFRICA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de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de-CH"/>
        </w:rPr>
      </w:pPr>
      <w:r w:rsidRPr="00E73C16">
        <w:rPr>
          <w:rFonts w:cs="Arial"/>
          <w:color w:val="000000"/>
          <w:lang w:val="de-CH"/>
        </w:rPr>
        <w:t xml:space="preserve">Noluthando NETNOU-NKOANA (Mrs.), Director of Genetic Resources, Directorate: Genetic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Resources, Department of Agriculture, Forestry and Fisheries, Pretoria (e-mail: noluthandon@daff.gov.za)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171A61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171A61">
        <w:rPr>
          <w:rFonts w:cs="Arial"/>
          <w:color w:val="000000"/>
        </w:rPr>
        <w:t>Lentheng TSWAI, Minister, Permanent Mission of South Africa, Geneva, Switzerland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171A61">
        <w:rPr>
          <w:rFonts w:cs="Arial"/>
          <w:color w:val="000000"/>
        </w:rPr>
        <w:t>(e-mail: tsweni.agriculture@gmail.com)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ALLEMAGNE / GERMANY / DEUTSCHLAND / ALEMANIA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Barbara SOHNEMANN (Frau), Justiziarin, Leiterin, Rechtsangelegenheiten, Sortenverwaltung,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Gebühren, Bundessortenamt, Hannover (e-mail: barbara.sohnemann@bundessortenamt.de)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ARGENTINE / ARGENTINA / ARGENTINIEN / ARGENTINA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Raimundo LAVIGNOLLE, Presidente del directorio, Instituto Nacional de Semillas (INASE), Buenos Aires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(e-mail: rlavignolle@inase.gov.ar)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María Laura VILLAMAYOR (Ms.), Abogada, </w:t>
      </w:r>
      <w:r>
        <w:rPr>
          <w:rFonts w:cs="Arial"/>
          <w:color w:val="000000"/>
          <w:lang w:val="es-ES"/>
        </w:rPr>
        <w:t>Unidad Presidencia</w:t>
      </w:r>
      <w:r w:rsidRPr="00E73C16">
        <w:rPr>
          <w:rFonts w:cs="Arial"/>
          <w:color w:val="000000"/>
          <w:lang w:val="es-ES"/>
        </w:rPr>
        <w:t xml:space="preserve">, Instituto Nacional de Semillas (INASE), Buenos Aires (e-mail: mlvillamayor@inase.gov.ar)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 xml:space="preserve">BOLIVIE (ÉTAT PLURINATIONAL DE) / BOLIVIA (PLURINATIONAL STATE OF) /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BOLIVIEN (PLURINATIONALER STAAT) / BOLIVIA (ESTADO PLURINACIONAL DE)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Sergio Rider ANDRADE CÁCERES, Director Nacional de Semillas del INIAF, Instituto Nacional de Innovación Agropecuaria y Forestal (INIAF), La Paz (e-mail: rideran@yahoo.es) 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Freddy CABALLERO LEDEZMA, Ingeniero Agrónomo, Instituto Nacional de Innovación Agropecuaria y Forestal (INIAF), La Paz (e-mail: calefred@yahoo.es) 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>Martin Nelson CAZON ORTEGA, Ingeniero Agrónomo, Instituto Nacional de Innovación Agropecuaria y Forestal (INIAF)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Luis Fernando ROSALES LOZADA, Primer Secretario, Misión Permanente de Bolivia ante la Oficina de las Naciones Unidas en Ginebra, Ginebra (e-mail: fernando.rosales@bluewin.ch)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BRÉSIL / BRAZIL / BRASILIEN / BRASIL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Fabrício SANTANA SANTOS, Coordinator, National Plant Variety Protection Office (SNPC), Ministry of Agriculture, Livestock and Food Supply, Brasilia (e-mail: fabricio.santos@agricultura.gov.br)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030AE8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030AE8">
        <w:rPr>
          <w:rFonts w:cs="Arial"/>
          <w:color w:val="000000"/>
        </w:rPr>
        <w:t>Cleiton SCHENKEL, First Secretary, Permanent Mission of Brazil to the World Trade Organization (WTO), Cointrin, Switzerland (e-mail: cleiton.schenkel@itamaraty.gov.br)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CANADA / KANADA / CANADÁ</w:t>
      </w:r>
    </w:p>
    <w:p w:rsidR="00B36B32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keepLines/>
        <w:tabs>
          <w:tab w:val="left" w:pos="90"/>
        </w:tabs>
        <w:autoSpaceDE w:val="0"/>
        <w:autoSpaceDN w:val="0"/>
        <w:spacing w:after="24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Anthony PARKER, Commissioner, Plant Breeders' Rights Office, Canadian Food Inspection Agency (CFIA), Ottawa (e-mail: anthony.parker@inspection.gc.ca) 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lastRenderedPageBreak/>
        <w:t>CHILI / CHILE / CHILE / CHILE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>Hugo MARTÍNEZ, Asesor Ministro de Agricultura, Santiago de Chile (e-mail: hugo.martinez@minagri.gob.cl)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Manuel TORO UGALDE, Jefe Subdepartamento, Registro de Variedades Protegidas, División Semillas,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Servicio Agrícola y Ganadero (SAG), Santiago de Chile (e-mail: manuel.toro@sag.gob.cl)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CHINE / CHINA / CHINA / CHINA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LV Bo, Division Director, Division of Variety Management, Bureau of Seed Management, Ministry of Agriculture, Beijing (e-mail: lvbo@agri.gov.cn)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HUANG Faji, Deputy Division Director, Office for the Protection of New Plant Varieties, State Forestry Administration, Beijing (e-mail: huangfaji@cnpvp.net)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Xue JIANG, Project Administrator, Beijing (e-mail: jiangxue@sipo.gov.cn)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COLOMBIE / COLOMBIA / KOLUMBIEN / COLOMBIA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Ana Luisa DÍAZ JIMÉNEZ (Sra.), Directora Técnica de Semillas, Dirección Técnica de Semillas, Instituto Colombiano Agropecuario (ICA), Bogotá (e-mail: ana.diaz@ica.gov.co)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A643C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643CA">
        <w:rPr>
          <w:rFonts w:cs="Arial"/>
          <w:color w:val="000000"/>
          <w:u w:val="single"/>
        </w:rPr>
        <w:t>CROATIE / CROATIA / KROATIEN / CROACIA</w:t>
      </w:r>
    </w:p>
    <w:p w:rsidR="00B36B32" w:rsidRPr="00A643C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643CA">
        <w:rPr>
          <w:rFonts w:cs="Arial"/>
          <w:color w:val="000000"/>
        </w:rPr>
        <w:t>Ivana BULAJIĆ (Ms.), Head of Plant Health Service, Directorate for Food Quality and Fitosanitary Policy, Ministry of Agriculture, Zagreb (e-mail: ivana.bulajic@mps.hr)</w:t>
      </w:r>
      <w:r w:rsidRPr="00AC0DE9">
        <w:rPr>
          <w:rFonts w:cs="Arial"/>
          <w:color w:val="000000"/>
        </w:rPr>
        <w:t xml:space="preserve">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DANEMARK / DENMARK / DÄNEMARK / DINAMARCA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Gerhard DENEKEN, Department of Variety Testing, The Danish AgriFish Agency (NaturErhvervestyrelsen), Skaelskoer (e-mail: gde@naturerhverv.dk)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ÉQUATEUR / ECUADOR / ECUADOR / ECUADOR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Lilián CARRERA GONZÁLEZ (Sra.), Directora Nacional de Obtenciones Vegetales, Instituto Ecuatoriano de la Propiedad Intelectual (IEPI), Quito (e-mail: lmcarrera@iepi.gob.ec)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ESPAGNE / SPAIN / SPANIEN / ESPAÑA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Luis SALAICES, Jefe del Área del Registro de Variedades, Subdirección general de Medios de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Producción Agrícolas y Oficina Española de Variedades Vegetales (MPA y OEVV), Ministerio de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Agricultura, Alimentación y Medio Ambiente (MAGRAMA), Madrid (e-mail: luis.salaices@magrama.es)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 xml:space="preserve">José Antonio SOBRINO, Jefe del servicio de registro de variedades, Oficina Española de Variedades Vegetales, Ministerio de Agricultura, Alimentación y Medio Ambiente, Madrid (e-mail: jasobrino@magrama.es)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ESTONIE / ESTONIA / ESTLAND / ESTONIA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Renata TSATURJAN (Ms.), Chief Specialist, Plant Production Bureau, Ministry of Agriculture,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Tallinn (e-mail: renata.tsaturjan@agri.ee)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ÉTATS-UNIS D'AMÉRIQUE / UNITED STATES OF AMERICA / VEREINIGTE STAATEN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VON AMERIKA / ESTADOS UNIDOS DE AMÉRICA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1D4989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1D4989">
        <w:rPr>
          <w:rFonts w:cs="Arial"/>
          <w:color w:val="000000"/>
        </w:rPr>
        <w:t xml:space="preserve">Kitisri SUKHAPINDA (Ms.), Patent Attorney, Office of Policy and External Affairs, United States Patent and Trademark Office (USPTO), Alexandria (e-mail: kitisri.sukhapinda@uspto.gov) </w:t>
      </w: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B36B32" w:rsidRPr="001D4989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1D4989">
        <w:rPr>
          <w:rFonts w:cs="Arial"/>
          <w:color w:val="000000"/>
        </w:rPr>
        <w:t xml:space="preserve">Ruihong GUO (Ms.), Deputy Administrator, AMS, Science &amp; Technolgoy Program, United States Department of Agriculture (USDA), Washington D.C. (e-mail: ruihong.guo@ams.usda.gov) </w:t>
      </w: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fr-CH"/>
        </w:rPr>
      </w:pPr>
      <w:r w:rsidRPr="001D4989">
        <w:rPr>
          <w:rFonts w:cs="Arial"/>
          <w:color w:val="000000"/>
        </w:rPr>
        <w:lastRenderedPageBreak/>
        <w:t xml:space="preserve">Karin L. FERRITER (Ms.), Intellectual Property Attaché, United States Mission to the WTO, Chambesy </w:t>
      </w:r>
      <w:r w:rsidRPr="00E73C16">
        <w:rPr>
          <w:rFonts w:cs="Arial"/>
          <w:color w:val="000000"/>
          <w:lang w:val="fr-CH"/>
        </w:rPr>
        <w:t xml:space="preserve">(e-mail: karin_ferriter@ustr.eop.gov)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FÉDÉRATION DE RUSSIE / RUSSIAN FEDERATION / RUSSISCHE FÖDERATION /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FEDERACIÓN DE RUSIA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Yuri A. ROGOVSKIY, Deputy Chairman, Head of Methodology and International Cooperation, State Commission of the Russian Federation for Selection Achievements Test and Protection, Moscow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yrogovskij@yandex.ru)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Viktor I. STARTCEV, Deputy Chairman, State Commission of the Russian Federation for Selection Achievements Test and Protection, Moscow (e-mail: gossort@gossort.com)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Antonina TRETINNIKOVA (Ms.), Deputy Head, Methodology and International Cooperation Department, State Commission of the Russian Federation for Selection Achievements Test and Protection, Moscow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tretinnikova@mail.ru)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Vitaly S. VOLOSHCHENKO, Chairman, State Commission of the Russian Federation for Selection Achievements Test and Protection, Moscow (e-mail: gossort@gossort.com)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>FRANCE / FRANKREICH / FRANCIA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Virginie BERTOUX (Mme), Responsable, Instance nationale des obtentions végétales (INOV), INOV-GEVES, Beaucouzé (e-mail: virginie.bertoux@geves.fr)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GÉORGIE / GEORGIA / GEORGIEN / GEORGIA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Nana PANTSKHAVA (Ms.), Chief Examiner, Department of Invention, Design and New Varieties and Breeds, National Intellectual Property Centre (SAKPATENTI), Mtskheta (e-mail: npantskhava@sakpatenti.org.ge)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ind w:right="90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HONGRIE / HUNGARY / UNGARN / HUNGRÍA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Szabolcs FARKAS, Head, Patent Department, Hungarian Intellectual Property Office (HIPO), Budapest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szabolcs.farkas@hipo.gov.hu)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Katalin MIKLÓ (Ms.), Head of Chemical and Agricultural Division, Agriculture and Plant Variety Protection Section, Hungarian Intellectual Property Office, Budapest (e-mail: katalin.miklo@hipo.gov.hu)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IRLANDE / IRELAND / IRLAND / IRLANDA</w:t>
      </w: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Donal COLEMAN, Controller of Plant Breeders' Rights, National Crop Evaluation Centre, Department of Agriculture, National Crop Evaluation Centre, Leixlip (e-mail: donal.coleman@agriculture.gov.ie)  </w:t>
      </w: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A2C8C">
        <w:rPr>
          <w:rFonts w:cs="Arial"/>
          <w:color w:val="000000"/>
          <w:u w:val="single"/>
        </w:rPr>
        <w:t>ITALIE / ITALY / ITALIEN / ITALIA</w:t>
      </w:r>
    </w:p>
    <w:p w:rsidR="00B36B32" w:rsidRPr="00DA2C8C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DA2C8C">
        <w:rPr>
          <w:rFonts w:cs="Arial"/>
          <w:color w:val="000000"/>
        </w:rPr>
        <w:t>Antonio ATAZ, Official of the General Secretariat of the Council of the EU, Council of the European Union, Brussels (e-mail: antonio.ataz@consilium.europa.eu)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EC749E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EC749E">
        <w:rPr>
          <w:rFonts w:cs="Arial"/>
          <w:color w:val="000000"/>
        </w:rPr>
        <w:t xml:space="preserve">Loredana GUGLIELMETTI (Mrs.), Dirigente, Divisione XI - Invenzioni e modelli di utilità, Direzione generale per la lotta alla contraffazione, </w:t>
      </w:r>
      <w:r>
        <w:rPr>
          <w:rFonts w:cs="Arial"/>
          <w:color w:val="000000"/>
        </w:rPr>
        <w:t xml:space="preserve">Italian Patent and Trademark Office, </w:t>
      </w:r>
      <w:r w:rsidRPr="00FE42DF">
        <w:rPr>
          <w:rFonts w:cs="Arial"/>
          <w:color w:val="000000"/>
        </w:rPr>
        <w:t xml:space="preserve">Ministry of Economic Development, </w:t>
      </w:r>
      <w:r w:rsidRPr="00EC749E">
        <w:rPr>
          <w:rFonts w:cs="Arial"/>
          <w:color w:val="000000"/>
        </w:rPr>
        <w:t>Rom</w:t>
      </w:r>
      <w:r>
        <w:rPr>
          <w:rFonts w:cs="Arial"/>
          <w:color w:val="000000"/>
        </w:rPr>
        <w:t>e</w:t>
      </w:r>
      <w:r w:rsidRPr="00EC749E">
        <w:rPr>
          <w:rFonts w:cs="Arial"/>
          <w:color w:val="000000"/>
        </w:rPr>
        <w:t xml:space="preserve"> (e-mail: loredana.guglielmetti@sviluppoeconomico.gov.it) </w:t>
      </w:r>
    </w:p>
    <w:p w:rsidR="00B36B32" w:rsidRPr="00EC749E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FE42DF">
        <w:rPr>
          <w:rFonts w:cs="Arial"/>
          <w:color w:val="000000"/>
        </w:rPr>
        <w:t xml:space="preserve">Ivana PUGLIESE (Mrs.), Chief Patent Examiner, Patent and Plant Variety Division, </w:t>
      </w:r>
      <w:r>
        <w:rPr>
          <w:rFonts w:cs="Arial"/>
          <w:color w:val="000000"/>
        </w:rPr>
        <w:t xml:space="preserve">Italian Patent and Trademark Office, </w:t>
      </w:r>
      <w:r w:rsidRPr="00FE42DF">
        <w:rPr>
          <w:rFonts w:cs="Arial"/>
          <w:color w:val="000000"/>
        </w:rPr>
        <w:t xml:space="preserve">Ministry of Economic Development, Rome (e-mail : </w:t>
      </w:r>
      <w:r w:rsidRPr="00EC749E">
        <w:rPr>
          <w:rFonts w:cs="Arial"/>
          <w:color w:val="000000"/>
        </w:rPr>
        <w:t>ivana.pugliese@mise.gov.it</w:t>
      </w:r>
      <w:r>
        <w:rPr>
          <w:rFonts w:cs="Arial"/>
          <w:color w:val="000000"/>
        </w:rPr>
        <w:t>)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FE42DF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FE42DF">
        <w:rPr>
          <w:rFonts w:cs="Arial"/>
          <w:color w:val="000000"/>
          <w:u w:val="single"/>
        </w:rPr>
        <w:t>JAPON / JAPAN / JAPAN / JAPÓN</w:t>
      </w:r>
    </w:p>
    <w:p w:rsidR="00B36B32" w:rsidRPr="00FE42DF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Katsuhiro SAKA, Director, New Business and Intellectual Property Division, Ministry of Agriculture, Forestry and Fisheries (MAFF), Tokyo (e-mail: katsuhiro_saka@nm.maff.go.jp) </w:t>
      </w:r>
    </w:p>
    <w:p w:rsidR="00B36B32" w:rsidRPr="00AC0DE9" w:rsidRDefault="00B36B32" w:rsidP="00B36B32"/>
    <w:p w:rsidR="00B36B32" w:rsidRDefault="00B36B32" w:rsidP="00B36B32">
      <w:r w:rsidRPr="00AC0DE9">
        <w:lastRenderedPageBreak/>
        <w:t xml:space="preserve">Akira MIYAKE, Senior Policy Advisor, New Business and Intellectual Property Division, Food Industry Affairs Bureau, Ministry of Agriculture, Forestry and Fisheries (MAFF), Tokyo (e-mail: akira_miyake@nm.maff.go.jp)  </w:t>
      </w:r>
    </w:p>
    <w:p w:rsidR="00B36B32" w:rsidRPr="00AC0DE9" w:rsidRDefault="00B36B32" w:rsidP="00B36B32"/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LETTONIE / LATVIA / LETTLAND / LETONIA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>Daiga BAJALE (Miss), Senior Officer, Seed Control Department, Division of Seed Certification and Plant Variety Protection, State Plant Protection Service, Riga (e-mail: daiga.bajale@vaad.gov.lv)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>Iveta OZOLINA (Mrs.), Deputy Director, Department of Agriculture, Ministry of Agriculture, Riga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(e-mail: iveta.ozolina@zm.gov.lv)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>LITUANIE / LITHUANIA / LITAUEN / LITUANIA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643CA">
        <w:rPr>
          <w:rFonts w:cs="Arial"/>
          <w:color w:val="000000"/>
        </w:rPr>
        <w:t>Rasa ZUIKIENÉ (Mrs.), Deputy Head of the plant variety division, State Plant Service under the Ministry of Agriculture, Vilnius (e-mail: rasa.zuikiene@vatzum.lt)</w:t>
      </w:r>
      <w:r w:rsidRPr="00AC0DE9">
        <w:rPr>
          <w:rFonts w:cs="Arial"/>
          <w:color w:val="000000"/>
        </w:rPr>
        <w:t xml:space="preserve">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MAROC / MOROCCO / MAROKKO / MARRUECOS</w:t>
      </w:r>
    </w:p>
    <w:p w:rsidR="00B36B32" w:rsidRPr="00AC0DE9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Zoubida TAOUSSI (Mrs.), Responsible of Plant Variety Protection, Division of Seed and Plant Control, The National Office for Food Safety, Rabat (e-mail: ztaoussi67@gmail.com)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MEXIQUE / MEXICO / MEXIKO / MÉXICO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>Eduardo PADILLA VACA, Director de Registro de Variedades Vegetales, Servicio Nacional de Inspección y Certificación de Semillas (SNICS), México (e-mail: eduardo.padilla@</w:t>
      </w:r>
      <w:r>
        <w:rPr>
          <w:rFonts w:cs="Arial"/>
          <w:color w:val="000000"/>
          <w:lang w:val="es-ES"/>
        </w:rPr>
        <w:t>sagarpa</w:t>
      </w:r>
      <w:r w:rsidRPr="00E73C16">
        <w:rPr>
          <w:rFonts w:cs="Arial"/>
          <w:color w:val="000000"/>
          <w:lang w:val="es-ES"/>
        </w:rPr>
        <w:t xml:space="preserve">.gob.mx)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NORVÈGE / NORWAY / NORWEGEN / NORUEGA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Tor Erik JØRGENSEN, Head of Department for National Approvals, Norwegian Food Safety Authority, Brumunddal (e-mail: tor.erik.jorgensen@mattilsynet.no)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Marianne SMITH (Ms.), Senior Advisor, Norwegian Ministry of Agriculture and Food, Oslo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(e-mail: marianne.smith@lmd.dep.no)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ORGANISATION AFRICAINE DE LA PROPRIÉTÉ INTELLECTUELLE / OAPI - AFRICAN </w:t>
      </w:r>
      <w:r w:rsidRPr="00AC0DE9">
        <w:rPr>
          <w:rFonts w:cs="Arial"/>
          <w:color w:val="000000"/>
          <w:u w:val="single"/>
        </w:rPr>
        <w:t xml:space="preserve">INTELLECTUAL PROPERTY ORGANIZATION / AFRIKANISCHE ORGANISATION FÜR </w:t>
      </w:r>
      <w:r w:rsidRPr="00E73C16">
        <w:rPr>
          <w:rFonts w:cs="Arial"/>
          <w:color w:val="000000"/>
          <w:u w:val="single"/>
          <w:lang w:val="es-ES"/>
        </w:rPr>
        <w:t xml:space="preserve">GEISTIGES EIGENTUM / ORGANIZACIÓN AFRICANA DE LA PROPIEDAD </w:t>
      </w:r>
      <w:r w:rsidRPr="00E73C16">
        <w:rPr>
          <w:rFonts w:cs="Arial"/>
          <w:color w:val="000000"/>
          <w:u w:val="single"/>
          <w:lang w:val="fr-CH"/>
        </w:rPr>
        <w:t>INTELECTUAL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Juliette DOUMATEY AYITE (Mme), Directeur Général Adjoint, Organisation africaine de la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propriété intellectuelle (OAPI), Yaoundé (e-mail: ayijuliette@yahoo.fr) 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Wéré Régine GAZARO (Madame), Directeur, Protection de la propriété industrielle, Organisation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africaine de la propriété intellectuelle (OAPI), Yaoundé (e-mail: </w:t>
      </w:r>
      <w:r w:rsidRPr="00D539E8">
        <w:rPr>
          <w:rFonts w:cs="Arial"/>
          <w:lang w:val="fr-CH"/>
        </w:rPr>
        <w:t>were_regine@yahoo.fr</w:t>
      </w:r>
      <w:r w:rsidRPr="00E73C16">
        <w:rPr>
          <w:rFonts w:cs="Arial"/>
          <w:lang w:val="fr-CH"/>
        </w:rPr>
        <w:t>)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PARAGUAY / PARAGUAY / PARAGUAY / PARAGUAY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lang w:val="es-ES"/>
        </w:rPr>
        <w:t>Regis MERELES MACIEL, Presidente, Servicio Nacional de Calidad y Sanidad Vegetal y de Semillas (SENAVE) (e-mail: regis.mereles@senave.gov.py)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Pr="00E73C16" w:rsidRDefault="00B36B32" w:rsidP="00B36B32">
      <w:pPr>
        <w:keepLines/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  <w:r w:rsidRPr="00E73C16">
        <w:rPr>
          <w:rFonts w:cs="Arial"/>
          <w:color w:val="000000"/>
          <w:lang w:val="es-ES"/>
        </w:rPr>
        <w:t>Sr. Enrique ROJAS MACEDO, Director General, Dirección General de Asuntos Jurídicos Servicio Nacional de Calidad y Sanidad Vegetal y de Semillas (SENAVE), (e-mail: enrique.macedo@senave.gov.py</w:t>
      </w:r>
      <w:r>
        <w:rPr>
          <w:rFonts w:cs="Arial"/>
          <w:color w:val="000000"/>
          <w:lang w:val="es-ES"/>
        </w:rPr>
        <w:t>)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>PAYS-BAS / NETHERLANDS / NIEDERLANDE / PAÍSES BAJOS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Kees Jan GROENEWOUD, Secretary, Plant Variety Board (Raad voor Plantenrassen), Naktuinbouw, Roelofarendsveen (e-mail: c.j.a.groenewoud@naktuinbouw.nl)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>Jacob SATTER, Senior Policy Officer, Seeds and Propagation Materials, Ministry of Economic Affairs, The Hague (e-mail: j.h.satter@minez.nl)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Kees VAN ETTEKOVEN, Head of Variety Testing Department, Naktuinbouw NL, Roelofarendsveen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spacing w:after="24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(e-mail: c.v.ettekoven@naktuinbouw.nl)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lastRenderedPageBreak/>
        <w:t>POLOGNE / POLAND / POLEN / POLONIA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Marcin BEHNKE, Deputy Director General for Experimental Affairs, Research Centre for Cultivar Testing (COBORU), Slupia Wielka (e-mail: m.behnke@coboru.pl)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Alicja RUTKOWSKA (Mrs.), Head, National Listing and Plant Breeders' Rights Protection Office, The Research Centre for Cultivar Testing (COBORU), Slupia Wielka (e-mail: a.rutkowska@coboru.pl)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RÉPUBLIQUE DE CORÉE / REPUBLIC OF KOREA / REPUBLIK KOREA / REPÚBLICA DE COREA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>Seung-In YI, Deputy Head, Plant Variety Protection Division, Korea Seed &amp; Variety Service (KSVS), Gyeongsangbuk-Do (e-mail: seedin@korea.kr)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Kwang-Hong LEE, Agricultural Researcher, Korea Seed and Variety Service (KSVS), Gyeongsangnam-Do (e-mail: grin@korea.kr)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 xml:space="preserve">RÉPUBLIQUE DE MOLDOVA / REPUBLIC OF MOLDOVA / REPUBLIK MOLDAU /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REPÚBLICA DE MOLDOVA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es-ES"/>
        </w:rPr>
      </w:pP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Mihail MACHIDON, Chairman, State Commission for Crops Variety Testing and Registration (SCCVTR), Chisinau (e-mail: info@cstsp.md)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ROUMANIE / ROMANIA / RUMÄNIEN / RUMANIA</w:t>
      </w: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Mihaela-Rodica CIORA (Mrs.), Senior Expert, State Institute for Variety Testing and Registration (ISTIS), Bucarest (e-mail: mihaela_ciora@yahoo.com)  </w:t>
      </w: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Cristian Irinel MOCANU, Head of Legal and Administrative Department, State Institute for Variety Testing and Registration, Bucharest (e-mail: irinel_mocanu@istis.ro)  </w:t>
      </w:r>
    </w:p>
    <w:p w:rsidR="00B36B32" w:rsidRPr="00AC0DE9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ROYAUME-UNI / UNITED KINGDOM / VEREINIGTES KÖNIGREICH / REINO UNIDO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Andrew MITCHELL, Policy Team Leader, Department for Environment, Food and Rural Affairs (DEFRA), Cambridge (e-mail: andrew.mitchell@defra.gsi.gov.uk)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SLOVAQUIE / SLOVAKIA / SLOWAKEI / ESLOVAQUIA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Bronislava BÁTOROVÁ (Mrs.), National Coordinator for the Cooperation of the Slovak Republic with UPOV/ Senior Officer, Department of Variety Testing, Central Controlling and Testing Institute in Agriculture (ÚKSÚP), Nitra (e-mail: bronislava.batorova@uksup.sk)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  <w:u w:val="single"/>
        </w:rPr>
        <w:t>SUÈDE / SWEDEN / SCHWEDEN / SUECIA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1331C4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1331C4">
        <w:rPr>
          <w:rFonts w:cs="Arial"/>
          <w:color w:val="000000"/>
        </w:rPr>
        <w:t>Olof JOHANSSON, Head, Plant and Environment Department, Swedish Board of Agriculture, Jönköping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1331C4">
        <w:rPr>
          <w:rFonts w:cs="Arial"/>
          <w:color w:val="000000"/>
        </w:rPr>
        <w:t xml:space="preserve"> </w:t>
      </w:r>
      <w:r w:rsidRPr="00E73C16">
        <w:rPr>
          <w:rFonts w:cs="Arial"/>
          <w:color w:val="000000"/>
          <w:lang w:val="fr-CH"/>
        </w:rPr>
        <w:t xml:space="preserve">(e-mail: olof.johansson@jordbruksverket.se)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>SUISSE / SWITZERLAND / SCHWEIZ / SUIZA</w:t>
      </w:r>
    </w:p>
    <w:p w:rsidR="00B36B32" w:rsidRPr="00E73C16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Eva TSCHARLAND (Frau), Juristin, Direktionsbereich Landwirtschaftliche Produktionsmittel, Bundesamt für Landwirtschaft, Bern (e-mail: eva.tscharland@blw.admin.ch)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>Manuela BRAND (Ms.), Plant Variety Rights Office, Federal Department of Economic Affairs</w:t>
      </w:r>
      <w:r>
        <w:rPr>
          <w:rFonts w:cs="Arial"/>
          <w:color w:val="000000"/>
        </w:rPr>
        <w:t xml:space="preserve"> </w:t>
      </w:r>
      <w:r w:rsidRPr="00AC0DE9">
        <w:rPr>
          <w:rFonts w:cs="Arial"/>
          <w:color w:val="000000"/>
        </w:rPr>
        <w:t>Education and Research EAER</w:t>
      </w:r>
      <w:r>
        <w:rPr>
          <w:rFonts w:cs="Arial"/>
          <w:color w:val="000000"/>
        </w:rPr>
        <w:t xml:space="preserve"> </w:t>
      </w:r>
      <w:r w:rsidRPr="00AC0DE9">
        <w:rPr>
          <w:rFonts w:cs="Arial"/>
          <w:color w:val="000000"/>
        </w:rPr>
        <w:t>Plant Health and Varieties, Federal Office for Agricu</w:t>
      </w:r>
      <w:r>
        <w:rPr>
          <w:rFonts w:cs="Arial"/>
          <w:color w:val="000000"/>
        </w:rPr>
        <w:t>l</w:t>
      </w:r>
      <w:r w:rsidRPr="00AC0DE9">
        <w:rPr>
          <w:rFonts w:cs="Arial"/>
          <w:color w:val="000000"/>
        </w:rPr>
        <w:t xml:space="preserve">ture FOAG, Bern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(e-mail: manuela.brand@blw.admin.ch)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>TUNISIE / TUNISIA / TUNESIEN / TÚNEZ</w:t>
      </w:r>
    </w:p>
    <w:p w:rsidR="00B36B32" w:rsidRPr="00E73C16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584F70" w:rsidRDefault="00B36B32" w:rsidP="00B36B32">
      <w:pPr>
        <w:keepLines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584F70">
        <w:rPr>
          <w:rFonts w:cs="Arial"/>
          <w:color w:val="000000"/>
          <w:lang w:val="fr-CH"/>
        </w:rPr>
        <w:t xml:space="preserve">Tarek CHIBOUB, Directeur général de la protection et du contrôle de la qualité des produits agricoles, Direction générale de la protection et du contrôle de la qualité des produits agricoles, </w:t>
      </w:r>
      <w:r w:rsidRPr="00584F70">
        <w:rPr>
          <w:rFonts w:cs="Arial"/>
          <w:color w:val="000000"/>
          <w:lang w:val="fr-CH"/>
        </w:rPr>
        <w:br/>
        <w:t xml:space="preserve">Ministère de l’agriculture, Tunis (e-mail: tarechib@yahoo.fr)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lastRenderedPageBreak/>
        <w:t>UNION EUROPÉENNE / EUROPEAN UNION / EUROPÄISCHE UNION / UNIÓN EUROPEA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Thomas Peter WEBER, Policy Officer, DG Sanco, European Commission, Bruxelles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(e-mail: thomas.weber@ec.europa.eu) 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Isabelle CLEMENT-NISSOU (Mrs.), Policy Officer - Unité E2, Plant Reproductive Material Sector, Direction Générale Santé et Protection des Consommateurs,, Commission européenne (DG SANCO), Bruxelles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isabelle.clement-nissou@ec.europa.eu)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Martin EKVAD, President, Community Plant Variety Office (CPVO), European Union, Angers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ekvad@cpvo.europa.eu)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Muriel LIGHTBOURNE (Mme), Legal Adviser, Community Plant Variety Office (CPVO), Angers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AC0DE9">
        <w:rPr>
          <w:rFonts w:cs="Arial"/>
          <w:color w:val="000000"/>
        </w:rPr>
        <w:t xml:space="preserve">(e-mail: lightbourne@cpvo.europa.eu)  </w:t>
      </w: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keepNext/>
        <w:tabs>
          <w:tab w:val="left" w:pos="567"/>
          <w:tab w:val="center" w:pos="4792"/>
        </w:tabs>
        <w:autoSpaceDE w:val="0"/>
        <w:autoSpaceDN w:val="0"/>
        <w:adjustRightInd w:val="0"/>
        <w:jc w:val="center"/>
        <w:rPr>
          <w:rFonts w:cs="Arial"/>
          <w:color w:val="000000"/>
          <w:u w:val="single"/>
        </w:rPr>
      </w:pPr>
      <w:r w:rsidRPr="00AC0DE9">
        <w:rPr>
          <w:rFonts w:cs="Arial"/>
          <w:color w:val="000000"/>
        </w:rPr>
        <w:t>II.</w:t>
      </w:r>
      <w:r w:rsidRPr="00AC0DE9">
        <w:rPr>
          <w:rFonts w:cs="Arial"/>
          <w:color w:val="000000"/>
        </w:rPr>
        <w:tab/>
      </w:r>
      <w:r w:rsidRPr="00AC0DE9">
        <w:rPr>
          <w:rFonts w:cs="Arial"/>
          <w:color w:val="000000"/>
          <w:u w:val="single"/>
        </w:rPr>
        <w:t>ORGANISATIONS / ORGANIZATIONS / ORGANISATIONEN / ORGANIZACIONES</w:t>
      </w:r>
    </w:p>
    <w:p w:rsidR="00B36B32" w:rsidRPr="00AC0DE9" w:rsidRDefault="00B36B32" w:rsidP="00B36B32">
      <w:pPr>
        <w:keepNext/>
        <w:tabs>
          <w:tab w:val="left" w:pos="567"/>
          <w:tab w:val="center" w:pos="4792"/>
        </w:tabs>
        <w:autoSpaceDE w:val="0"/>
        <w:autoSpaceDN w:val="0"/>
        <w:adjustRightInd w:val="0"/>
        <w:jc w:val="center"/>
        <w:rPr>
          <w:rFonts w:cs="Arial"/>
          <w:color w:val="000000"/>
          <w:u w:val="single"/>
        </w:rPr>
      </w:pPr>
    </w:p>
    <w:p w:rsidR="00B36B32" w:rsidRPr="00722730" w:rsidRDefault="00B36B32" w:rsidP="00B36B32">
      <w:pPr>
        <w:tabs>
          <w:tab w:val="left" w:pos="90"/>
        </w:tabs>
        <w:autoSpaceDE w:val="0"/>
        <w:autoSpaceDN w:val="0"/>
        <w:rPr>
          <w:rFonts w:cs="Arial"/>
          <w:u w:val="single"/>
        </w:rPr>
      </w:pPr>
      <w:r w:rsidRPr="00722730">
        <w:rPr>
          <w:rFonts w:cs="Arial"/>
          <w:u w:val="single"/>
        </w:rPr>
        <w:t>ASSOCIATION FOR PLANT BREEDING FOR THE BENEFIT OF SOCIETY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highlight w:val="yellow"/>
        </w:rPr>
      </w:pPr>
    </w:p>
    <w:p w:rsidR="00B36B32" w:rsidRPr="00AF3E0A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AF3E0A">
        <w:rPr>
          <w:rFonts w:cs="Arial"/>
          <w:color w:val="000000"/>
        </w:rPr>
        <w:t>Susanne GURA</w:t>
      </w:r>
      <w:r>
        <w:rPr>
          <w:rFonts w:cs="Arial"/>
          <w:color w:val="000000"/>
        </w:rPr>
        <w:t>, (</w:t>
      </w:r>
      <w:r w:rsidRPr="00AF3E0A">
        <w:rPr>
          <w:rFonts w:cs="Arial"/>
          <w:color w:val="000000"/>
        </w:rPr>
        <w:t>Ms.</w:t>
      </w:r>
      <w:r>
        <w:rPr>
          <w:rFonts w:cs="Arial"/>
          <w:color w:val="000000"/>
        </w:rPr>
        <w:t xml:space="preserve">) </w:t>
      </w:r>
      <w:r w:rsidRPr="00AF3E0A">
        <w:rPr>
          <w:rFonts w:cs="Arial"/>
          <w:color w:val="000000"/>
        </w:rPr>
        <w:t>Coordinator</w:t>
      </w:r>
      <w:r>
        <w:rPr>
          <w:rFonts w:cs="Arial"/>
          <w:color w:val="000000"/>
        </w:rPr>
        <w:t xml:space="preserve">, </w:t>
      </w:r>
      <w:r w:rsidRPr="00AF3E0A">
        <w:rPr>
          <w:rFonts w:cs="Arial"/>
          <w:color w:val="000000"/>
        </w:rPr>
        <w:t>Association for Plant Breeding for the Benefit of Society (APBREBES)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>(email: contact@apbrebes.org)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highlight w:val="yellow"/>
          <w:lang w:val="fr-CH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ASSOCIATION INTERNATIONALE DES PRODUCTEURS HORTICOLES (AIPH) / </w:t>
      </w:r>
    </w:p>
    <w:p w:rsidR="00B36B32" w:rsidRPr="001D4989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1D4989">
        <w:rPr>
          <w:rFonts w:cs="Arial"/>
          <w:color w:val="000000"/>
          <w:u w:val="single"/>
        </w:rPr>
        <w:t xml:space="preserve">INTERNATIONAL ASSOCIATION OF HORTICULTURAL PRODUCERS (AIPH) /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 xml:space="preserve">INTERNATIONALER VERBAND DES ERWERBSGARTENBAUES (AIPH) / ASOCIACIÓN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  <w:lang w:val="es-ES"/>
        </w:rPr>
      </w:pPr>
      <w:r w:rsidRPr="00E73C16">
        <w:rPr>
          <w:rFonts w:cs="Arial"/>
          <w:color w:val="000000"/>
          <w:u w:val="single"/>
          <w:lang w:val="es-ES"/>
        </w:rPr>
        <w:t>INTERNACIONAL DE PRODUCTORES HORTÍCOLAS (AIPH)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es-ES"/>
        </w:rPr>
      </w:pPr>
    </w:p>
    <w:p w:rsidR="00B36B32" w:rsidRPr="001D4989" w:rsidRDefault="00B36B32" w:rsidP="00B36B32">
      <w:pPr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1D4989">
        <w:rPr>
          <w:rFonts w:cs="Arial"/>
          <w:color w:val="000000"/>
        </w:rPr>
        <w:t>Mia BUMA (Mrs</w:t>
      </w:r>
      <w:r>
        <w:rPr>
          <w:rFonts w:cs="Arial"/>
          <w:color w:val="000000"/>
        </w:rPr>
        <w:t>.</w:t>
      </w:r>
      <w:r w:rsidRPr="001D4989">
        <w:rPr>
          <w:rFonts w:cs="Arial"/>
          <w:color w:val="000000"/>
        </w:rPr>
        <w:t xml:space="preserve">), Secretary, Committee for Novelty Protection, International Association of Horticultural Producers (AIPH), Reading, United Kingdom (e-mail: info@miabuma.nl)  </w:t>
      </w:r>
    </w:p>
    <w:p w:rsidR="00B36B32" w:rsidRPr="00722730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highlight w:val="yellow"/>
        </w:rPr>
      </w:pP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COMMUNAUTÉ INTERNATIONALE DES OBTENTEURS DE PLANTES </w:t>
      </w:r>
    </w:p>
    <w:p w:rsidR="00B36B32" w:rsidRPr="00E73C16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  <w:lang w:val="fr-CH"/>
        </w:rPr>
      </w:pPr>
      <w:r w:rsidRPr="00E73C16">
        <w:rPr>
          <w:rFonts w:cs="Arial"/>
          <w:color w:val="000000"/>
          <w:u w:val="single"/>
          <w:lang w:val="fr-CH"/>
        </w:rPr>
        <w:t xml:space="preserve">ORNEMENTALES ET FRUITIÈRES À REPRODUCTION ASEXUÉE (CIOPORA) /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476BBA">
        <w:rPr>
          <w:rFonts w:cs="Arial"/>
          <w:color w:val="000000"/>
          <w:u w:val="single"/>
        </w:rPr>
        <w:t xml:space="preserve">INTERNATIONAL COMMUNITY OF BREEDERS OF ASEXUALLY REPRODUCED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476BBA">
        <w:rPr>
          <w:rFonts w:cs="Arial"/>
          <w:color w:val="000000"/>
          <w:u w:val="single"/>
        </w:rPr>
        <w:t xml:space="preserve">ORNAMENTAL AND FRUIT PLANTS (CIOPORA) / INTERNATIONALE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476BBA">
        <w:rPr>
          <w:rFonts w:cs="Arial"/>
          <w:color w:val="000000"/>
          <w:u w:val="single"/>
        </w:rPr>
        <w:t>GEMEINSCHAFT DER ZÜCHTER V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>Andrea MANSUINO, President</w:t>
      </w:r>
      <w:r>
        <w:rPr>
          <w:rFonts w:cs="Arial"/>
          <w:color w:val="000000"/>
        </w:rPr>
        <w:t>,</w:t>
      </w:r>
      <w:r w:rsidRPr="00476BBA">
        <w:rPr>
          <w:rFonts w:cs="Arial"/>
          <w:color w:val="000000"/>
        </w:rPr>
        <w:t xml:space="preserve"> International Community of Breeders of Asexually Reproduced Ornamental and Fruit Plants (CIOPORA), Hamburg, Germany (e-mail: a.mansuino@yahoo.it) 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 xml:space="preserve">Edgar KRIEGER, Secretary General, International Community of Breeders of Asexually Reproduced Ornamental and Fruit Plants (CIOPORA), Hamburg, Germany (e-mail: edgar.krieger@ciopora.org) 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476BBA" w:rsidRDefault="00B36B32" w:rsidP="00B36B32">
      <w:pPr>
        <w:keepNext/>
        <w:keepLines/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>Dominique THÉVENON</w:t>
      </w:r>
      <w:r>
        <w:rPr>
          <w:rFonts w:cs="Arial"/>
          <w:color w:val="000000"/>
        </w:rPr>
        <w:t xml:space="preserve"> (M</w:t>
      </w:r>
      <w:r w:rsidRPr="00476BBA">
        <w:rPr>
          <w:rFonts w:cs="Arial"/>
          <w:color w:val="000000"/>
        </w:rPr>
        <w:t xml:space="preserve">me), Board member, Treasurer - AIGN, International Community of Breeders of Asexually Reproduced Ornamental and Fruit Plants  (CIOPORA), Hamburg, Germany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 xml:space="preserve">(e-mail: t.dominique4@aliceadsl.fr)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476BBA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  <w:r w:rsidRPr="00476BBA">
        <w:rPr>
          <w:rFonts w:cs="Arial"/>
          <w:color w:val="000000"/>
          <w:u w:val="single"/>
        </w:rPr>
        <w:t>INTERNATIONAL SEED FEDERATION (ISF)</w:t>
      </w:r>
    </w:p>
    <w:p w:rsidR="00B36B32" w:rsidRPr="00476BBA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u w:val="single"/>
        </w:rPr>
      </w:pP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1331C4">
        <w:rPr>
          <w:rFonts w:cs="Arial"/>
          <w:color w:val="000000"/>
        </w:rPr>
        <w:t>Michael KELLER, Secretary General, Nyon, Switzerland (e-mail: m.keller@worldseed.org)</w:t>
      </w:r>
      <w:r w:rsidRPr="00476BBA">
        <w:rPr>
          <w:rFonts w:cs="Arial"/>
          <w:color w:val="000000"/>
        </w:rPr>
        <w:t xml:space="preserve">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 xml:space="preserve">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 xml:space="preserve">Stevan MADJARAC, Representative, American Seed Trade Association (ASTA), Alexandria,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476BBA">
        <w:rPr>
          <w:rFonts w:cs="Arial"/>
          <w:color w:val="000000"/>
        </w:rPr>
        <w:t xml:space="preserve">United States of America (e-mail: smadjarac@gmail.com)  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7D1918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7D1918">
        <w:rPr>
          <w:rFonts w:cs="Arial"/>
          <w:color w:val="000000"/>
        </w:rPr>
        <w:t>Diego A. RISSO, Secretary General of URUPOV (e-mail: drisso@saaseed.org)</w:t>
      </w:r>
    </w:p>
    <w:p w:rsidR="00B36B32" w:rsidRPr="007D1918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7D1918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7D1918">
        <w:rPr>
          <w:rFonts w:cs="Arial"/>
          <w:color w:val="000000"/>
        </w:rPr>
        <w:t xml:space="preserve">Stephen SMITH, Germplasm Security Coordinator, DuPont Pioneer, Johnston, États-Unis d'Amérique </w:t>
      </w: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  <w:r w:rsidRPr="007D1918">
        <w:rPr>
          <w:rFonts w:cs="Arial"/>
          <w:color w:val="000000"/>
        </w:rPr>
        <w:t>(e-mail: stephen.smith@pioneer.com)</w:t>
      </w: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1D4989" w:rsidRDefault="00B36B32" w:rsidP="00B36B32">
      <w:pPr>
        <w:keepNext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1D4989">
        <w:rPr>
          <w:rFonts w:cs="Arial"/>
          <w:color w:val="000000"/>
          <w:u w:val="single"/>
        </w:rPr>
        <w:lastRenderedPageBreak/>
        <w:t>EUROPEAN SEED ASSOCIATION (ESA)</w:t>
      </w: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  <w:lang w:val="fr-CH"/>
        </w:rPr>
      </w:pPr>
      <w:r w:rsidRPr="00E73C16">
        <w:rPr>
          <w:rFonts w:cs="Arial"/>
          <w:color w:val="000000"/>
          <w:lang w:val="fr-CH"/>
        </w:rPr>
        <w:t xml:space="preserve">Hélène GUILLOT (Mlle), Lawyer, Union Française des Semenciers (UFS), Paris, France </w:t>
      </w:r>
      <w:r w:rsidRPr="00E73C16">
        <w:rPr>
          <w:rFonts w:cs="Arial"/>
          <w:color w:val="000000"/>
          <w:lang w:val="fr-CH"/>
        </w:rPr>
        <w:br/>
        <w:t xml:space="preserve">(e-mail: helene.guillot@ufs-asso.com)  </w:t>
      </w:r>
    </w:p>
    <w:p w:rsidR="00B36B32" w:rsidRPr="00E73C16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  <w:lang w:val="fr-CH"/>
        </w:rPr>
      </w:pPr>
    </w:p>
    <w:p w:rsidR="00B36B32" w:rsidRPr="001D4989" w:rsidRDefault="00B36B32" w:rsidP="00B36B32">
      <w:pPr>
        <w:keepNext/>
        <w:tabs>
          <w:tab w:val="left" w:pos="90"/>
        </w:tabs>
        <w:autoSpaceDE w:val="0"/>
        <w:autoSpaceDN w:val="0"/>
        <w:adjustRightInd w:val="0"/>
        <w:rPr>
          <w:rFonts w:cs="Arial"/>
          <w:color w:val="000000"/>
        </w:rPr>
      </w:pPr>
      <w:r w:rsidRPr="00FA1497">
        <w:rPr>
          <w:rFonts w:cs="Arial"/>
          <w:color w:val="000000"/>
        </w:rPr>
        <w:t>Judith DE ROOS - BLOKLAND (Mrs.), Lawyer, Regulatory and Legal Affairs, Plantum NL, Gouda, Pays-Bas (e-mail: j.blokland@plantum.nl)</w:t>
      </w:r>
      <w:r w:rsidRPr="001D4989">
        <w:rPr>
          <w:rFonts w:cs="Arial"/>
          <w:color w:val="000000"/>
        </w:rPr>
        <w:t xml:space="preserve">  </w:t>
      </w:r>
    </w:p>
    <w:p w:rsidR="00B36B32" w:rsidRDefault="00B36B32" w:rsidP="00B36B32">
      <w:pPr>
        <w:keepNext/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476BBA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</w:rPr>
      </w:pPr>
    </w:p>
    <w:p w:rsidR="00B36B32" w:rsidRPr="00AC0DE9" w:rsidRDefault="00B36B32" w:rsidP="00B36B32">
      <w:pPr>
        <w:keepNext/>
        <w:jc w:val="center"/>
        <w:rPr>
          <w:rFonts w:cs="Arial"/>
          <w:u w:val="single"/>
        </w:rPr>
      </w:pPr>
      <w:r w:rsidRPr="00E73C16">
        <w:rPr>
          <w:rFonts w:cs="Arial"/>
        </w:rPr>
        <w:t>I</w:t>
      </w:r>
      <w:r>
        <w:rPr>
          <w:rFonts w:cs="Arial"/>
        </w:rPr>
        <w:t>II</w:t>
      </w:r>
      <w:r w:rsidRPr="00AC0DE9">
        <w:rPr>
          <w:rFonts w:cs="Arial"/>
        </w:rPr>
        <w:t>.</w:t>
      </w:r>
      <w:r w:rsidRPr="00AC0DE9">
        <w:rPr>
          <w:rFonts w:cs="Arial"/>
        </w:rPr>
        <w:tab/>
      </w:r>
      <w:r w:rsidRPr="00AC0DE9">
        <w:rPr>
          <w:rFonts w:cs="Arial"/>
          <w:u w:val="single"/>
        </w:rPr>
        <w:t>BUREAU / OFFICER / VORSITZ / OFICINA</w:t>
      </w:r>
    </w:p>
    <w:p w:rsidR="00B36B32" w:rsidRPr="00AC0DE9" w:rsidRDefault="00B36B32" w:rsidP="00B36B32">
      <w:pPr>
        <w:keepNext/>
        <w:jc w:val="center"/>
        <w:rPr>
          <w:rFonts w:cs="Arial"/>
          <w:highlight w:val="yellow"/>
        </w:rPr>
      </w:pPr>
    </w:p>
    <w:p w:rsidR="00B36B32" w:rsidRPr="00E73C16" w:rsidRDefault="00B36B32" w:rsidP="00B36B32">
      <w:pPr>
        <w:keepNext/>
        <w:rPr>
          <w:rFonts w:cs="Arial"/>
          <w:highlight w:val="yellow"/>
        </w:rPr>
      </w:pPr>
      <w:r w:rsidRPr="00044149">
        <w:rPr>
          <w:rFonts w:cs="Arial"/>
        </w:rPr>
        <w:t>Peter BUTTON, Chair</w:t>
      </w:r>
    </w:p>
    <w:p w:rsidR="00B36B32" w:rsidRPr="00E73C16" w:rsidRDefault="00B36B32" w:rsidP="00B36B32">
      <w:pPr>
        <w:jc w:val="center"/>
        <w:rPr>
          <w:rFonts w:cs="Arial"/>
        </w:rPr>
      </w:pPr>
    </w:p>
    <w:p w:rsidR="00B36B32" w:rsidRPr="00E73C16" w:rsidRDefault="00B36B32" w:rsidP="00B36B32">
      <w:pPr>
        <w:jc w:val="center"/>
        <w:rPr>
          <w:rFonts w:cs="Arial"/>
        </w:rPr>
      </w:pPr>
    </w:p>
    <w:p w:rsidR="00B36B32" w:rsidRPr="00E73C16" w:rsidRDefault="00B36B32" w:rsidP="00B36B32">
      <w:pPr>
        <w:jc w:val="center"/>
        <w:rPr>
          <w:rFonts w:cs="Arial"/>
        </w:rPr>
      </w:pPr>
    </w:p>
    <w:p w:rsidR="00B36B32" w:rsidRPr="00E73C16" w:rsidRDefault="00B36B32" w:rsidP="00B36B32">
      <w:pPr>
        <w:keepNext/>
        <w:jc w:val="center"/>
        <w:rPr>
          <w:rFonts w:cs="Arial"/>
          <w:u w:val="single"/>
        </w:rPr>
      </w:pPr>
      <w:r>
        <w:rPr>
          <w:rFonts w:cs="Arial"/>
          <w:lang w:val="pt-BR"/>
        </w:rPr>
        <w:t>IV</w:t>
      </w:r>
      <w:r w:rsidRPr="00AC0DE9">
        <w:rPr>
          <w:rFonts w:cs="Arial"/>
          <w:lang w:val="pt-BR"/>
        </w:rPr>
        <w:t>.</w:t>
      </w:r>
      <w:r w:rsidRPr="00AC0DE9">
        <w:rPr>
          <w:rFonts w:cs="Arial"/>
          <w:lang w:val="pt-BR"/>
        </w:rPr>
        <w:tab/>
      </w:r>
      <w:r w:rsidRPr="00AC0DE9">
        <w:rPr>
          <w:rFonts w:cs="Arial"/>
          <w:u w:val="single"/>
          <w:lang w:val="pt-BR"/>
        </w:rPr>
        <w:t>BUREAU DE L’UPOV / OFFICE OF UPOV / BÜRO DER UPOV / OFICINA DE LA UPOV</w:t>
      </w:r>
    </w:p>
    <w:p w:rsidR="00B36B32" w:rsidRPr="00E73C16" w:rsidRDefault="00B36B32" w:rsidP="00B36B32">
      <w:pPr>
        <w:keepNext/>
        <w:jc w:val="center"/>
        <w:rPr>
          <w:rFonts w:cs="Arial"/>
        </w:rPr>
      </w:pPr>
    </w:p>
    <w:p w:rsidR="00B36B32" w:rsidRPr="00AC0DE9" w:rsidRDefault="00B36B32" w:rsidP="00B36B32">
      <w:pPr>
        <w:keepNext/>
        <w:rPr>
          <w:rFonts w:cs="Arial"/>
          <w:noProof/>
          <w:snapToGrid w:val="0"/>
        </w:rPr>
      </w:pPr>
      <w:r w:rsidRPr="00AC0DE9">
        <w:rPr>
          <w:rFonts w:cs="Arial"/>
          <w:noProof/>
          <w:snapToGrid w:val="0"/>
        </w:rPr>
        <w:t>Peter BUTTON, Vice Secretary-General</w:t>
      </w:r>
    </w:p>
    <w:p w:rsidR="00B36B32" w:rsidRPr="00AC0DE9" w:rsidRDefault="00B36B32" w:rsidP="00B36B32">
      <w:pPr>
        <w:keepNext/>
        <w:rPr>
          <w:rFonts w:cs="Arial"/>
          <w:noProof/>
          <w:snapToGrid w:val="0"/>
        </w:rPr>
      </w:pPr>
    </w:p>
    <w:p w:rsidR="00B36B32" w:rsidRPr="00AC0DE9" w:rsidRDefault="00B36B32" w:rsidP="00B36B32">
      <w:pPr>
        <w:keepNext/>
        <w:rPr>
          <w:rFonts w:cs="Arial"/>
          <w:noProof/>
          <w:snapToGrid w:val="0"/>
        </w:rPr>
      </w:pPr>
      <w:r w:rsidRPr="00AC0DE9">
        <w:rPr>
          <w:rFonts w:cs="Arial"/>
          <w:noProof/>
          <w:snapToGrid w:val="0"/>
        </w:rPr>
        <w:t>Yolanda HUERTA (Mrs.), Legal Counsel</w:t>
      </w:r>
    </w:p>
    <w:p w:rsidR="00B36B32" w:rsidRPr="00AC0DE9" w:rsidRDefault="00B36B32" w:rsidP="00B36B32">
      <w:pPr>
        <w:keepNext/>
        <w:rPr>
          <w:rFonts w:cs="Arial"/>
          <w:noProof/>
          <w:snapToGrid w:val="0"/>
        </w:rPr>
      </w:pPr>
    </w:p>
    <w:p w:rsidR="00B36B32" w:rsidRPr="00E73C16" w:rsidRDefault="00B36B32" w:rsidP="00B36B32">
      <w:pPr>
        <w:keepNext/>
        <w:rPr>
          <w:rFonts w:cs="Arial"/>
          <w:noProof/>
          <w:snapToGrid w:val="0"/>
        </w:rPr>
      </w:pPr>
      <w:r w:rsidRPr="00E73C16">
        <w:rPr>
          <w:rFonts w:cs="Arial"/>
          <w:noProof/>
          <w:snapToGrid w:val="0"/>
        </w:rPr>
        <w:t>Jun KOIDE, Technical/Regional Officer (Asia)</w:t>
      </w:r>
    </w:p>
    <w:p w:rsidR="00B36B32" w:rsidRPr="00AC0DE9" w:rsidRDefault="00B36B32" w:rsidP="00B36B32">
      <w:pPr>
        <w:keepNext/>
        <w:rPr>
          <w:rFonts w:cs="Arial"/>
          <w:noProof/>
          <w:snapToGrid w:val="0"/>
        </w:rPr>
      </w:pPr>
    </w:p>
    <w:p w:rsidR="00B36B32" w:rsidRPr="00E73C16" w:rsidRDefault="00B36B32" w:rsidP="00B36B32">
      <w:pPr>
        <w:keepNext/>
        <w:rPr>
          <w:rFonts w:cs="Arial"/>
          <w:noProof/>
          <w:snapToGrid w:val="0"/>
        </w:rPr>
      </w:pPr>
      <w:r w:rsidRPr="00E73C16">
        <w:rPr>
          <w:rFonts w:cs="Arial"/>
          <w:noProof/>
          <w:snapToGrid w:val="0"/>
        </w:rPr>
        <w:t>Ben RIVOIRE, Technical/Regional Officer (Africa, Arab countries)</w:t>
      </w:r>
    </w:p>
    <w:p w:rsidR="00B36B32" w:rsidRPr="00E73C16" w:rsidRDefault="00B36B32" w:rsidP="00B36B32">
      <w:pPr>
        <w:keepNext/>
        <w:rPr>
          <w:rFonts w:cs="Arial"/>
          <w:noProof/>
          <w:snapToGrid w:val="0"/>
        </w:rPr>
      </w:pPr>
    </w:p>
    <w:p w:rsidR="00B36B32" w:rsidRPr="00E73C16" w:rsidRDefault="00B36B32" w:rsidP="00B36B32">
      <w:pPr>
        <w:keepNext/>
        <w:rPr>
          <w:rFonts w:cs="Arial"/>
        </w:rPr>
      </w:pPr>
      <w:r w:rsidRPr="00E73C16">
        <w:rPr>
          <w:rFonts w:cs="Arial"/>
        </w:rPr>
        <w:t>Leontino TAVEIRA, Technical/Regional Officer (Latin America, Caribbean countries)</w:t>
      </w:r>
    </w:p>
    <w:p w:rsidR="00B36B32" w:rsidRPr="00E73C16" w:rsidRDefault="00B36B32" w:rsidP="00B36B32">
      <w:pPr>
        <w:tabs>
          <w:tab w:val="left" w:pos="90"/>
          <w:tab w:val="left" w:pos="3782"/>
        </w:tabs>
        <w:autoSpaceDE w:val="0"/>
        <w:autoSpaceDN w:val="0"/>
        <w:rPr>
          <w:rFonts w:cs="Arial"/>
          <w:color w:val="000000"/>
        </w:rPr>
      </w:pPr>
    </w:p>
    <w:p w:rsidR="00B36B32" w:rsidRPr="00E73C16" w:rsidRDefault="00B36B32" w:rsidP="00B36B32">
      <w:pPr>
        <w:jc w:val="right"/>
        <w:rPr>
          <w:rFonts w:cs="Arial"/>
          <w:color w:val="000000"/>
        </w:rPr>
      </w:pPr>
    </w:p>
    <w:p w:rsidR="00B36B32" w:rsidRPr="00E73C16" w:rsidRDefault="00B36B32" w:rsidP="00B36B32">
      <w:pPr>
        <w:jc w:val="right"/>
        <w:rPr>
          <w:rFonts w:cs="Arial"/>
          <w:color w:val="000000"/>
        </w:rPr>
      </w:pPr>
    </w:p>
    <w:p w:rsidR="00B36B32" w:rsidRPr="00E73C16" w:rsidRDefault="00B36B32" w:rsidP="00B36B32">
      <w:pPr>
        <w:jc w:val="right"/>
        <w:rPr>
          <w:rFonts w:cs="Arial"/>
          <w:color w:val="000000"/>
        </w:rPr>
      </w:pPr>
    </w:p>
    <w:p w:rsidR="00B36B32" w:rsidRPr="0052102F" w:rsidRDefault="00B36B32" w:rsidP="00B36B32">
      <w:pPr>
        <w:jc w:val="right"/>
        <w:rPr>
          <w:rFonts w:cs="Arial"/>
          <w:lang w:val="fr-FR"/>
        </w:rPr>
      </w:pPr>
      <w:r w:rsidRPr="0052102F">
        <w:rPr>
          <w:rFonts w:cs="Arial"/>
          <w:lang w:val="fr-FR"/>
        </w:rPr>
        <w:t xml:space="preserve">[Fin de l’annexe et du document / </w:t>
      </w:r>
    </w:p>
    <w:p w:rsidR="00B36B32" w:rsidRPr="0052102F" w:rsidRDefault="00B36B32" w:rsidP="00B36B32">
      <w:pPr>
        <w:jc w:val="right"/>
        <w:rPr>
          <w:rFonts w:cs="Arial"/>
        </w:rPr>
      </w:pPr>
      <w:r w:rsidRPr="0052102F">
        <w:rPr>
          <w:rFonts w:cs="Arial"/>
        </w:rPr>
        <w:t xml:space="preserve">End of Annex and of document / </w:t>
      </w:r>
    </w:p>
    <w:p w:rsidR="00B36B32" w:rsidRPr="0052102F" w:rsidRDefault="00B36B32" w:rsidP="00B36B32">
      <w:pPr>
        <w:jc w:val="right"/>
        <w:rPr>
          <w:rFonts w:cs="Arial"/>
          <w:lang w:val="de-DE"/>
        </w:rPr>
      </w:pPr>
      <w:r w:rsidRPr="0052102F">
        <w:rPr>
          <w:rFonts w:cs="Arial"/>
          <w:lang w:val="de-DE"/>
        </w:rPr>
        <w:t xml:space="preserve">Ende der Anlage und des Dokuments / </w:t>
      </w:r>
    </w:p>
    <w:p w:rsidR="00B36B32" w:rsidRPr="0052102F" w:rsidRDefault="00B36B32" w:rsidP="00B36B32">
      <w:pPr>
        <w:jc w:val="right"/>
        <w:rPr>
          <w:rFonts w:cs="Arial"/>
          <w:lang w:val="es-ES"/>
        </w:rPr>
      </w:pPr>
      <w:r w:rsidRPr="0052102F">
        <w:rPr>
          <w:rFonts w:cs="Arial"/>
          <w:lang w:val="es-ES"/>
        </w:rPr>
        <w:t>Fin del Anexo y del documento]</w:t>
      </w:r>
    </w:p>
    <w:p w:rsidR="00B36B32" w:rsidRPr="0052102F" w:rsidRDefault="00B36B32" w:rsidP="00B36B32">
      <w:pPr>
        <w:tabs>
          <w:tab w:val="left" w:pos="90"/>
        </w:tabs>
        <w:autoSpaceDE w:val="0"/>
        <w:autoSpaceDN w:val="0"/>
        <w:rPr>
          <w:rFonts w:cs="Arial"/>
          <w:color w:val="000000"/>
          <w:lang w:val="es-ES"/>
        </w:rPr>
      </w:pPr>
    </w:p>
    <w:p w:rsidR="00B36B32" w:rsidRPr="007429B5" w:rsidRDefault="00B36B32" w:rsidP="00B36B32"/>
    <w:p w:rsidR="00EE2BC8" w:rsidRPr="0041008F" w:rsidRDefault="00EE2BC8" w:rsidP="00B36B32">
      <w:pPr>
        <w:jc w:val="center"/>
        <w:rPr>
          <w:snapToGrid w:val="0"/>
          <w:lang w:val="es-ES"/>
        </w:rPr>
      </w:pPr>
    </w:p>
    <w:sectPr w:rsidR="00EE2BC8" w:rsidRPr="0041008F" w:rsidSect="00B55380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380" w:rsidRDefault="00B55380">
      <w:r>
        <w:separator/>
      </w:r>
    </w:p>
    <w:p w:rsidR="00B55380" w:rsidRDefault="00B55380"/>
    <w:p w:rsidR="00B55380" w:rsidRDefault="00B55380"/>
  </w:endnote>
  <w:endnote w:type="continuationSeparator" w:id="0">
    <w:p w:rsidR="00B55380" w:rsidRDefault="00B55380">
      <w:r>
        <w:separator/>
      </w:r>
    </w:p>
    <w:p w:rsidR="00B55380" w:rsidRPr="005E0668" w:rsidRDefault="00B55380">
      <w:pPr>
        <w:pStyle w:val="Footer"/>
        <w:spacing w:after="60"/>
        <w:rPr>
          <w:sz w:val="18"/>
          <w:lang w:val="fr-FR"/>
        </w:rPr>
      </w:pPr>
      <w:r w:rsidRPr="005E0668">
        <w:rPr>
          <w:sz w:val="18"/>
          <w:lang w:val="fr-FR"/>
        </w:rPr>
        <w:t>[Suite de la note de la page précédente]</w:t>
      </w:r>
    </w:p>
    <w:p w:rsidR="00B55380" w:rsidRPr="005E0668" w:rsidRDefault="00B55380">
      <w:pPr>
        <w:rPr>
          <w:lang w:val="fr-FR"/>
        </w:rPr>
      </w:pPr>
    </w:p>
    <w:p w:rsidR="00B55380" w:rsidRPr="005E0668" w:rsidRDefault="00B55380">
      <w:pPr>
        <w:rPr>
          <w:lang w:val="fr-FR"/>
        </w:rPr>
      </w:pPr>
    </w:p>
  </w:endnote>
  <w:endnote w:type="continuationNotice" w:id="1">
    <w:p w:rsidR="00B55380" w:rsidRPr="005E0668" w:rsidRDefault="00B55380">
      <w:pPr>
        <w:spacing w:before="60"/>
        <w:jc w:val="right"/>
        <w:rPr>
          <w:sz w:val="18"/>
          <w:lang w:val="fr-FR"/>
        </w:rPr>
      </w:pPr>
      <w:r w:rsidRPr="005E0668">
        <w:rPr>
          <w:sz w:val="18"/>
          <w:lang w:val="fr-FR"/>
        </w:rPr>
        <w:t>[Suite de la note page suivante]</w:t>
      </w:r>
    </w:p>
    <w:p w:rsidR="00B55380" w:rsidRPr="005E0668" w:rsidRDefault="00B55380">
      <w:pPr>
        <w:rPr>
          <w:lang w:val="fr-FR"/>
        </w:rPr>
      </w:pPr>
    </w:p>
    <w:p w:rsidR="00B55380" w:rsidRPr="005E0668" w:rsidRDefault="00B55380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380" w:rsidRDefault="00B55380" w:rsidP="009D690D">
      <w:pPr>
        <w:spacing w:before="120"/>
      </w:pPr>
      <w:r>
        <w:separator/>
      </w:r>
    </w:p>
  </w:footnote>
  <w:footnote w:type="continuationSeparator" w:id="0">
    <w:p w:rsidR="00B55380" w:rsidRDefault="00B55380" w:rsidP="00D5454B">
      <w:pPr>
        <w:spacing w:before="120"/>
        <w:jc w:val="left"/>
        <w:rPr>
          <w:sz w:val="18"/>
        </w:rPr>
      </w:pPr>
      <w:r>
        <w:separator/>
      </w:r>
    </w:p>
  </w:footnote>
  <w:footnote w:type="continuationNotice" w:id="1">
    <w:p w:rsidR="00B55380" w:rsidRPr="001610A0" w:rsidRDefault="00B55380" w:rsidP="001610A0">
      <w:pPr>
        <w:pStyle w:val="Footer"/>
      </w:pPr>
    </w:p>
  </w:footnote>
  <w:footnote w:id="2">
    <w:p w:rsidR="00B55380" w:rsidRPr="0041008F" w:rsidRDefault="00B55380" w:rsidP="00C822E0">
      <w:pPr>
        <w:pStyle w:val="FootnoteText"/>
        <w:rPr>
          <w:lang w:val="es-ES_tradnl"/>
        </w:rPr>
      </w:pPr>
      <w:r w:rsidRPr="009B41F4">
        <w:rPr>
          <w:rStyle w:val="FootnoteReference"/>
        </w:rPr>
        <w:footnoteRef/>
      </w:r>
      <w:r w:rsidRPr="0041008F">
        <w:rPr>
          <w:lang w:val="es-ES_tradnl"/>
        </w:rPr>
        <w:tab/>
      </w:r>
      <w:r w:rsidRPr="00B067B0">
        <w:rPr>
          <w:lang w:val="es-ES_tradnl"/>
        </w:rPr>
        <w:t>“[S]i el carácter es importante para la armonización internacional de las descripciones de variedades (por ejemplo, caracteres señalados con asterisco) y está influenciado por el medio ambiente (por ejemplo, la mayoría de los caracteres cuantitativos y pseudocualitativos) […] será necesario proporcionar variedades ejemplo” en las directrices de examen (véase el inciso iii) de la sección 3.3. de la nota orientativa GN 28 “Variedades ejemplo” en el Anexo 3 del documento TGP/7).</w:t>
      </w:r>
    </w:p>
    <w:p w:rsidR="00B55380" w:rsidRPr="0041008F" w:rsidRDefault="00B55380" w:rsidP="00C822E0">
      <w:pPr>
        <w:pStyle w:val="FootnoteText"/>
        <w:rPr>
          <w:lang w:val="es-ES_tradnl"/>
        </w:rPr>
      </w:pPr>
      <w:r w:rsidRPr="0041008F">
        <w:rPr>
          <w:lang w:val="es-ES_tradnl"/>
        </w:rPr>
        <w:tab/>
        <w:t>“1.2.3</w:t>
      </w:r>
      <w:r w:rsidRPr="0041008F">
        <w:rPr>
          <w:lang w:val="es-ES_tradnl"/>
        </w:rPr>
        <w:tab/>
      </w:r>
      <w:r w:rsidRPr="00B067B0">
        <w:rPr>
          <w:lang w:val="es-ES_tradnl"/>
        </w:rPr>
        <w:t>Las variedades ejemplo son importantes para ajustar en la medida de lo posible la descripción del carácter a los efectos de la influencia anual y local.</w:t>
      </w:r>
      <w:r w:rsidRPr="0041008F">
        <w:rPr>
          <w:lang w:val="es-ES_tradnl"/>
        </w:rPr>
        <w:t xml:space="preserve">  </w:t>
      </w:r>
      <w:r w:rsidRPr="00B067B0">
        <w:rPr>
          <w:lang w:val="es-ES_tradnl"/>
        </w:rPr>
        <w:t>[…] ” (véase la sección 1.2.3. de la nota orientativa GN 28 “Variedades ejemplo” en el Anexo 3 del documento TGP/7)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80" w:rsidRPr="009B41F4" w:rsidRDefault="00B55380" w:rsidP="00E705FA">
    <w:pPr>
      <w:jc w:val="center"/>
      <w:rPr>
        <w:rStyle w:val="PageNumber"/>
        <w:lang w:val="es-ES_tradnl"/>
      </w:rPr>
    </w:pPr>
    <w:r w:rsidRPr="009B41F4">
      <w:rPr>
        <w:rStyle w:val="PageNumber"/>
        <w:lang w:val="es-ES_tradnl"/>
      </w:rPr>
      <w:t>CAJ-AG/14/9/6</w:t>
    </w:r>
  </w:p>
  <w:p w:rsidR="00B55380" w:rsidRPr="009B41F4" w:rsidRDefault="00B55380" w:rsidP="00126C00">
    <w:pPr>
      <w:jc w:val="center"/>
      <w:rPr>
        <w:rStyle w:val="PageNumber"/>
        <w:lang w:val="es-ES_tradnl"/>
      </w:rPr>
    </w:pPr>
    <w:r w:rsidRPr="009B41F4">
      <w:rPr>
        <w:rStyle w:val="PageNumber"/>
        <w:lang w:val="es-ES_tradnl"/>
      </w:rPr>
      <w:t xml:space="preserve">página </w:t>
    </w:r>
    <w:r w:rsidRPr="009B41F4">
      <w:rPr>
        <w:rStyle w:val="PageNumber"/>
        <w:lang w:val="es-ES_tradnl"/>
      </w:rPr>
      <w:fldChar w:fldCharType="begin"/>
    </w:r>
    <w:r w:rsidRPr="009B41F4">
      <w:rPr>
        <w:rStyle w:val="PageNumber"/>
        <w:lang w:val="es-ES_tradnl"/>
      </w:rPr>
      <w:instrText xml:space="preserve"> PAGE </w:instrText>
    </w:r>
    <w:r w:rsidRPr="009B41F4">
      <w:rPr>
        <w:rStyle w:val="PageNumber"/>
        <w:lang w:val="es-ES_tradnl"/>
      </w:rPr>
      <w:fldChar w:fldCharType="separate"/>
    </w:r>
    <w:r w:rsidR="008F1E22">
      <w:rPr>
        <w:rStyle w:val="PageNumber"/>
        <w:noProof/>
        <w:lang w:val="es-ES_tradnl"/>
      </w:rPr>
      <w:t>4</w:t>
    </w:r>
    <w:r w:rsidRPr="009B41F4">
      <w:rPr>
        <w:rStyle w:val="PageNumber"/>
        <w:lang w:val="es-ES_tradnl"/>
      </w:rPr>
      <w:fldChar w:fldCharType="end"/>
    </w:r>
  </w:p>
  <w:p w:rsidR="00B55380" w:rsidRPr="009B41F4" w:rsidRDefault="00B55380" w:rsidP="00126C00">
    <w:pPr>
      <w:jc w:val="center"/>
      <w:rPr>
        <w:lang w:val="es-ES_tradn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380" w:rsidRPr="0052102F" w:rsidRDefault="00B55380" w:rsidP="00B55380">
    <w:pPr>
      <w:pStyle w:val="Header"/>
      <w:rPr>
        <w:rFonts w:cs="Arial"/>
      </w:rPr>
    </w:pPr>
    <w:r w:rsidRPr="0052102F">
      <w:rPr>
        <w:rFonts w:cs="Arial"/>
      </w:rPr>
      <w:t>CAJ-AG/1</w:t>
    </w:r>
    <w:r>
      <w:rPr>
        <w:rFonts w:cs="Arial"/>
      </w:rPr>
      <w:t>4/9</w:t>
    </w:r>
    <w:r w:rsidRPr="0052102F">
      <w:rPr>
        <w:rFonts w:cs="Arial"/>
      </w:rPr>
      <w:t>/</w:t>
    </w:r>
    <w:r>
      <w:rPr>
        <w:rFonts w:cs="Arial"/>
      </w:rPr>
      <w:t>6</w:t>
    </w:r>
  </w:p>
  <w:p w:rsidR="00B55380" w:rsidRPr="0052102F" w:rsidRDefault="00B55380" w:rsidP="00B55380">
    <w:pPr>
      <w:pStyle w:val="Header"/>
      <w:rPr>
        <w:rFonts w:cs="Arial"/>
      </w:rPr>
    </w:pPr>
    <w:r w:rsidRPr="0052102F">
      <w:rPr>
        <w:rFonts w:cs="Arial"/>
      </w:rPr>
      <w:t>Annexe / Annex / Anlage / Anexo</w:t>
    </w:r>
  </w:p>
  <w:p w:rsidR="00B55380" w:rsidRPr="0052102F" w:rsidRDefault="00B55380" w:rsidP="00B55380">
    <w:pPr>
      <w:pStyle w:val="Header"/>
      <w:rPr>
        <w:rStyle w:val="PageNumber"/>
        <w:rFonts w:cs="Arial"/>
      </w:rPr>
    </w:pPr>
    <w:r w:rsidRPr="0052102F">
      <w:rPr>
        <w:rFonts w:cs="Arial"/>
      </w:rPr>
      <w:t xml:space="preserve">page </w:t>
    </w:r>
    <w:r w:rsidRPr="0052102F">
      <w:rPr>
        <w:rStyle w:val="PageNumber"/>
        <w:rFonts w:cs="Arial"/>
      </w:rPr>
      <w:fldChar w:fldCharType="begin"/>
    </w:r>
    <w:r w:rsidRPr="0052102F">
      <w:rPr>
        <w:rStyle w:val="PageNumber"/>
        <w:rFonts w:cs="Arial"/>
      </w:rPr>
      <w:instrText xml:space="preserve"> PAGE </w:instrText>
    </w:r>
    <w:r w:rsidRPr="0052102F">
      <w:rPr>
        <w:rStyle w:val="PageNumber"/>
        <w:rFonts w:cs="Arial"/>
      </w:rPr>
      <w:fldChar w:fldCharType="separate"/>
    </w:r>
    <w:r w:rsidR="008F1E22">
      <w:rPr>
        <w:rStyle w:val="PageNumber"/>
        <w:rFonts w:cs="Arial"/>
        <w:noProof/>
      </w:rPr>
      <w:t>7</w:t>
    </w:r>
    <w:r w:rsidRPr="0052102F">
      <w:rPr>
        <w:rStyle w:val="PageNumber"/>
        <w:rFonts w:cs="Arial"/>
      </w:rPr>
      <w:fldChar w:fldCharType="end"/>
    </w:r>
    <w:r w:rsidRPr="0052102F">
      <w:rPr>
        <w:rStyle w:val="PageNumber"/>
        <w:rFonts w:cs="Arial"/>
      </w:rPr>
      <w:t xml:space="preserve"> / Seite </w:t>
    </w:r>
    <w:r w:rsidRPr="0052102F">
      <w:rPr>
        <w:rStyle w:val="PageNumber"/>
        <w:rFonts w:cs="Arial"/>
      </w:rPr>
      <w:fldChar w:fldCharType="begin"/>
    </w:r>
    <w:r w:rsidRPr="0052102F">
      <w:rPr>
        <w:rStyle w:val="PageNumber"/>
        <w:rFonts w:cs="Arial"/>
      </w:rPr>
      <w:instrText xml:space="preserve"> PAGE </w:instrText>
    </w:r>
    <w:r w:rsidRPr="0052102F">
      <w:rPr>
        <w:rStyle w:val="PageNumber"/>
        <w:rFonts w:cs="Arial"/>
      </w:rPr>
      <w:fldChar w:fldCharType="separate"/>
    </w:r>
    <w:r w:rsidR="008F1E22">
      <w:rPr>
        <w:rStyle w:val="PageNumber"/>
        <w:rFonts w:cs="Arial"/>
        <w:noProof/>
      </w:rPr>
      <w:t>7</w:t>
    </w:r>
    <w:r w:rsidRPr="0052102F">
      <w:rPr>
        <w:rStyle w:val="PageNumber"/>
        <w:rFonts w:cs="Arial"/>
      </w:rPr>
      <w:fldChar w:fldCharType="end"/>
    </w:r>
    <w:r w:rsidRPr="0052102F">
      <w:rPr>
        <w:rStyle w:val="PageNumber"/>
        <w:rFonts w:cs="Arial"/>
      </w:rPr>
      <w:t xml:space="preserve"> / página </w:t>
    </w:r>
    <w:r w:rsidRPr="0052102F">
      <w:rPr>
        <w:rStyle w:val="PageNumber"/>
        <w:rFonts w:cs="Arial"/>
      </w:rPr>
      <w:fldChar w:fldCharType="begin"/>
    </w:r>
    <w:r w:rsidRPr="0052102F">
      <w:rPr>
        <w:rStyle w:val="PageNumber"/>
        <w:rFonts w:cs="Arial"/>
      </w:rPr>
      <w:instrText xml:space="preserve"> PAGE </w:instrText>
    </w:r>
    <w:r w:rsidRPr="0052102F">
      <w:rPr>
        <w:rStyle w:val="PageNumber"/>
        <w:rFonts w:cs="Arial"/>
      </w:rPr>
      <w:fldChar w:fldCharType="separate"/>
    </w:r>
    <w:r w:rsidR="008F1E22">
      <w:rPr>
        <w:rStyle w:val="PageNumber"/>
        <w:rFonts w:cs="Arial"/>
        <w:noProof/>
      </w:rPr>
      <w:t>7</w:t>
    </w:r>
    <w:r w:rsidRPr="0052102F">
      <w:rPr>
        <w:rStyle w:val="PageNumber"/>
        <w:rFonts w:cs="Arial"/>
      </w:rPr>
      <w:fldChar w:fldCharType="end"/>
    </w:r>
  </w:p>
  <w:p w:rsidR="00B55380" w:rsidRDefault="00B55380" w:rsidP="00B5538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1DA1"/>
    <w:multiLevelType w:val="hybridMultilevel"/>
    <w:tmpl w:val="3634DD3C"/>
    <w:lvl w:ilvl="0" w:tplc="097087E8">
      <w:start w:val="1"/>
      <w:numFmt w:val="lowerRoman"/>
      <w:lvlText w:val="%1)"/>
      <w:lvlJc w:val="left"/>
      <w:pPr>
        <w:ind w:left="1287" w:hanging="720"/>
      </w:pPr>
      <w:rPr>
        <w:rFonts w:hint="default"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CD3268D"/>
    <w:multiLevelType w:val="hybridMultilevel"/>
    <w:tmpl w:val="3B6CFB5C"/>
    <w:lvl w:ilvl="0" w:tplc="13A4C64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C4B81"/>
    <w:multiLevelType w:val="hybridMultilevel"/>
    <w:tmpl w:val="EB4C88FC"/>
    <w:lvl w:ilvl="0" w:tplc="01C2BD9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Empty"/>
    <w:docVar w:name="TermBaseURL" w:val="empty"/>
    <w:docVar w:name="TextBases" w:val="UPOV\Meetings"/>
    <w:docVar w:name="TextBaseURL" w:val="empty"/>
    <w:docVar w:name="UILng" w:val="en"/>
    <w:docVar w:name="WfColors" w:val="1"/>
  </w:docVars>
  <w:rsids>
    <w:rsidRoot w:val="00396AB7"/>
    <w:rsid w:val="00010CF3"/>
    <w:rsid w:val="00011E27"/>
    <w:rsid w:val="000148BC"/>
    <w:rsid w:val="00024AB8"/>
    <w:rsid w:val="00024F81"/>
    <w:rsid w:val="00036028"/>
    <w:rsid w:val="000446B9"/>
    <w:rsid w:val="00047E21"/>
    <w:rsid w:val="00055F03"/>
    <w:rsid w:val="00085505"/>
    <w:rsid w:val="000C7021"/>
    <w:rsid w:val="000D265F"/>
    <w:rsid w:val="000D6BBC"/>
    <w:rsid w:val="000D7780"/>
    <w:rsid w:val="000E05F2"/>
    <w:rsid w:val="000E0E19"/>
    <w:rsid w:val="000E1CC5"/>
    <w:rsid w:val="00104F74"/>
    <w:rsid w:val="00105929"/>
    <w:rsid w:val="00105CCB"/>
    <w:rsid w:val="001105EF"/>
    <w:rsid w:val="001131D5"/>
    <w:rsid w:val="0011630E"/>
    <w:rsid w:val="00121B3E"/>
    <w:rsid w:val="001228D1"/>
    <w:rsid w:val="00124936"/>
    <w:rsid w:val="00126C00"/>
    <w:rsid w:val="00127BC2"/>
    <w:rsid w:val="001419E7"/>
    <w:rsid w:val="00141DB8"/>
    <w:rsid w:val="001574F7"/>
    <w:rsid w:val="001610A0"/>
    <w:rsid w:val="0017474A"/>
    <w:rsid w:val="00175815"/>
    <w:rsid w:val="001758C6"/>
    <w:rsid w:val="00190F5B"/>
    <w:rsid w:val="001C1166"/>
    <w:rsid w:val="001C65C0"/>
    <w:rsid w:val="001D3AE6"/>
    <w:rsid w:val="001E7546"/>
    <w:rsid w:val="0021332C"/>
    <w:rsid w:val="00213982"/>
    <w:rsid w:val="00225A43"/>
    <w:rsid w:val="00231849"/>
    <w:rsid w:val="0024416D"/>
    <w:rsid w:val="00276609"/>
    <w:rsid w:val="00277B1A"/>
    <w:rsid w:val="002800A0"/>
    <w:rsid w:val="00281060"/>
    <w:rsid w:val="002A0C2D"/>
    <w:rsid w:val="002A6E50"/>
    <w:rsid w:val="002B6CE0"/>
    <w:rsid w:val="002C256A"/>
    <w:rsid w:val="002D42FA"/>
    <w:rsid w:val="002E308F"/>
    <w:rsid w:val="002F2709"/>
    <w:rsid w:val="002F361B"/>
    <w:rsid w:val="003009C4"/>
    <w:rsid w:val="00304E4F"/>
    <w:rsid w:val="00305A17"/>
    <w:rsid w:val="00305A7F"/>
    <w:rsid w:val="00306307"/>
    <w:rsid w:val="003152FE"/>
    <w:rsid w:val="00327436"/>
    <w:rsid w:val="00333EA5"/>
    <w:rsid w:val="00341BD4"/>
    <w:rsid w:val="00344F69"/>
    <w:rsid w:val="00353222"/>
    <w:rsid w:val="0035528D"/>
    <w:rsid w:val="00361821"/>
    <w:rsid w:val="00365EE9"/>
    <w:rsid w:val="00377199"/>
    <w:rsid w:val="00383DE4"/>
    <w:rsid w:val="0039127B"/>
    <w:rsid w:val="00396AB7"/>
    <w:rsid w:val="003B1E4A"/>
    <w:rsid w:val="003D227C"/>
    <w:rsid w:val="003D2B4D"/>
    <w:rsid w:val="003D733A"/>
    <w:rsid w:val="003F0870"/>
    <w:rsid w:val="0041008F"/>
    <w:rsid w:val="0042019F"/>
    <w:rsid w:val="00440395"/>
    <w:rsid w:val="00444A88"/>
    <w:rsid w:val="004556AF"/>
    <w:rsid w:val="00460197"/>
    <w:rsid w:val="00474DA4"/>
    <w:rsid w:val="004759DE"/>
    <w:rsid w:val="0048773A"/>
    <w:rsid w:val="00493F92"/>
    <w:rsid w:val="004A51EC"/>
    <w:rsid w:val="004C343D"/>
    <w:rsid w:val="004D047D"/>
    <w:rsid w:val="004D6228"/>
    <w:rsid w:val="004E2A42"/>
    <w:rsid w:val="004F305A"/>
    <w:rsid w:val="00512164"/>
    <w:rsid w:val="00520297"/>
    <w:rsid w:val="0053083B"/>
    <w:rsid w:val="005338F9"/>
    <w:rsid w:val="0054281C"/>
    <w:rsid w:val="0055268D"/>
    <w:rsid w:val="00567588"/>
    <w:rsid w:val="005767EF"/>
    <w:rsid w:val="00576BE4"/>
    <w:rsid w:val="00577D74"/>
    <w:rsid w:val="00583A08"/>
    <w:rsid w:val="00590F6B"/>
    <w:rsid w:val="00593E3E"/>
    <w:rsid w:val="005A400A"/>
    <w:rsid w:val="005D1C43"/>
    <w:rsid w:val="005D2FE8"/>
    <w:rsid w:val="005E0668"/>
    <w:rsid w:val="005E093F"/>
    <w:rsid w:val="005E464F"/>
    <w:rsid w:val="005F1F02"/>
    <w:rsid w:val="00600A90"/>
    <w:rsid w:val="00612379"/>
    <w:rsid w:val="0061555F"/>
    <w:rsid w:val="00633D5C"/>
    <w:rsid w:val="00641200"/>
    <w:rsid w:val="00645BDE"/>
    <w:rsid w:val="006502BA"/>
    <w:rsid w:val="00651FAC"/>
    <w:rsid w:val="006576FF"/>
    <w:rsid w:val="00683E88"/>
    <w:rsid w:val="006B17D2"/>
    <w:rsid w:val="006C224E"/>
    <w:rsid w:val="006C4B46"/>
    <w:rsid w:val="006F03AB"/>
    <w:rsid w:val="006F0B65"/>
    <w:rsid w:val="00704CCC"/>
    <w:rsid w:val="00707A52"/>
    <w:rsid w:val="00710627"/>
    <w:rsid w:val="00711E99"/>
    <w:rsid w:val="007136A6"/>
    <w:rsid w:val="00726590"/>
    <w:rsid w:val="00732DEC"/>
    <w:rsid w:val="00735BD5"/>
    <w:rsid w:val="007556F6"/>
    <w:rsid w:val="00760EEF"/>
    <w:rsid w:val="00772008"/>
    <w:rsid w:val="00777EE5"/>
    <w:rsid w:val="00784836"/>
    <w:rsid w:val="0079023E"/>
    <w:rsid w:val="007C0E33"/>
    <w:rsid w:val="007D0B9D"/>
    <w:rsid w:val="007D19B0"/>
    <w:rsid w:val="007D4CB7"/>
    <w:rsid w:val="007F498F"/>
    <w:rsid w:val="0080679D"/>
    <w:rsid w:val="008067CE"/>
    <w:rsid w:val="008108B0"/>
    <w:rsid w:val="0082296E"/>
    <w:rsid w:val="00824099"/>
    <w:rsid w:val="00830DFC"/>
    <w:rsid w:val="008355EC"/>
    <w:rsid w:val="00845CF2"/>
    <w:rsid w:val="0086342F"/>
    <w:rsid w:val="00867AC1"/>
    <w:rsid w:val="008930D9"/>
    <w:rsid w:val="0089505F"/>
    <w:rsid w:val="008A1101"/>
    <w:rsid w:val="008A5CD1"/>
    <w:rsid w:val="008A743F"/>
    <w:rsid w:val="008B422B"/>
    <w:rsid w:val="008B7F4F"/>
    <w:rsid w:val="008C0970"/>
    <w:rsid w:val="008D1446"/>
    <w:rsid w:val="008D2CF7"/>
    <w:rsid w:val="008E5628"/>
    <w:rsid w:val="008F1E22"/>
    <w:rsid w:val="008F4511"/>
    <w:rsid w:val="00900C26"/>
    <w:rsid w:val="0090197F"/>
    <w:rsid w:val="00906DDC"/>
    <w:rsid w:val="00922A43"/>
    <w:rsid w:val="00934E09"/>
    <w:rsid w:val="00936253"/>
    <w:rsid w:val="0094124D"/>
    <w:rsid w:val="00944845"/>
    <w:rsid w:val="009450C7"/>
    <w:rsid w:val="00947CB6"/>
    <w:rsid w:val="009618E8"/>
    <w:rsid w:val="00970FED"/>
    <w:rsid w:val="00974E04"/>
    <w:rsid w:val="0098101D"/>
    <w:rsid w:val="00993257"/>
    <w:rsid w:val="00993D86"/>
    <w:rsid w:val="00997029"/>
    <w:rsid w:val="009A24A2"/>
    <w:rsid w:val="009B41F4"/>
    <w:rsid w:val="009B7176"/>
    <w:rsid w:val="009D276C"/>
    <w:rsid w:val="009D52E5"/>
    <w:rsid w:val="009D690D"/>
    <w:rsid w:val="009E05DF"/>
    <w:rsid w:val="009E592A"/>
    <w:rsid w:val="009E65B6"/>
    <w:rsid w:val="00A0006B"/>
    <w:rsid w:val="00A36CD1"/>
    <w:rsid w:val="00A42AC3"/>
    <w:rsid w:val="00A430CF"/>
    <w:rsid w:val="00A54309"/>
    <w:rsid w:val="00A55D25"/>
    <w:rsid w:val="00A641FA"/>
    <w:rsid w:val="00A764C4"/>
    <w:rsid w:val="00A82089"/>
    <w:rsid w:val="00AB175D"/>
    <w:rsid w:val="00AB2B93"/>
    <w:rsid w:val="00AD7E15"/>
    <w:rsid w:val="00AE0EF1"/>
    <w:rsid w:val="00AE1FD7"/>
    <w:rsid w:val="00AE5E7B"/>
    <w:rsid w:val="00AF295E"/>
    <w:rsid w:val="00B02377"/>
    <w:rsid w:val="00B067B0"/>
    <w:rsid w:val="00B07301"/>
    <w:rsid w:val="00B149F1"/>
    <w:rsid w:val="00B224DE"/>
    <w:rsid w:val="00B31A08"/>
    <w:rsid w:val="00B368FC"/>
    <w:rsid w:val="00B36B32"/>
    <w:rsid w:val="00B4432C"/>
    <w:rsid w:val="00B45557"/>
    <w:rsid w:val="00B55380"/>
    <w:rsid w:val="00B7359A"/>
    <w:rsid w:val="00B84BBD"/>
    <w:rsid w:val="00B864A3"/>
    <w:rsid w:val="00B951FB"/>
    <w:rsid w:val="00BA425F"/>
    <w:rsid w:val="00BA43FB"/>
    <w:rsid w:val="00BB16C2"/>
    <w:rsid w:val="00BB1877"/>
    <w:rsid w:val="00BC127D"/>
    <w:rsid w:val="00BC1FE6"/>
    <w:rsid w:val="00BC758D"/>
    <w:rsid w:val="00BD2C18"/>
    <w:rsid w:val="00BE680E"/>
    <w:rsid w:val="00C061B6"/>
    <w:rsid w:val="00C17594"/>
    <w:rsid w:val="00C2446C"/>
    <w:rsid w:val="00C33592"/>
    <w:rsid w:val="00C36AE5"/>
    <w:rsid w:val="00C41F17"/>
    <w:rsid w:val="00C5791C"/>
    <w:rsid w:val="00C66290"/>
    <w:rsid w:val="00C72B7A"/>
    <w:rsid w:val="00C822E0"/>
    <w:rsid w:val="00C90917"/>
    <w:rsid w:val="00C958C9"/>
    <w:rsid w:val="00C973F2"/>
    <w:rsid w:val="00CA774A"/>
    <w:rsid w:val="00CC0F56"/>
    <w:rsid w:val="00CC11B0"/>
    <w:rsid w:val="00CF7E36"/>
    <w:rsid w:val="00D01E34"/>
    <w:rsid w:val="00D257D2"/>
    <w:rsid w:val="00D337AA"/>
    <w:rsid w:val="00D3708D"/>
    <w:rsid w:val="00D40426"/>
    <w:rsid w:val="00D418B6"/>
    <w:rsid w:val="00D5454B"/>
    <w:rsid w:val="00D57C96"/>
    <w:rsid w:val="00D66637"/>
    <w:rsid w:val="00D75EA9"/>
    <w:rsid w:val="00D91203"/>
    <w:rsid w:val="00D95174"/>
    <w:rsid w:val="00DA4028"/>
    <w:rsid w:val="00DA6F36"/>
    <w:rsid w:val="00DB5D84"/>
    <w:rsid w:val="00DC00EA"/>
    <w:rsid w:val="00DC4E3B"/>
    <w:rsid w:val="00DE07AA"/>
    <w:rsid w:val="00E073BD"/>
    <w:rsid w:val="00E3139E"/>
    <w:rsid w:val="00E320DB"/>
    <w:rsid w:val="00E33A05"/>
    <w:rsid w:val="00E344C6"/>
    <w:rsid w:val="00E51EB2"/>
    <w:rsid w:val="00E671F7"/>
    <w:rsid w:val="00E672CB"/>
    <w:rsid w:val="00E705FA"/>
    <w:rsid w:val="00E72D49"/>
    <w:rsid w:val="00E7593C"/>
    <w:rsid w:val="00E7678A"/>
    <w:rsid w:val="00E935F1"/>
    <w:rsid w:val="00E94A81"/>
    <w:rsid w:val="00EA1FFB"/>
    <w:rsid w:val="00EB048E"/>
    <w:rsid w:val="00EE2BC8"/>
    <w:rsid w:val="00EF2F89"/>
    <w:rsid w:val="00F1053E"/>
    <w:rsid w:val="00F1237A"/>
    <w:rsid w:val="00F22CBD"/>
    <w:rsid w:val="00F377E1"/>
    <w:rsid w:val="00F37F4B"/>
    <w:rsid w:val="00F47BAE"/>
    <w:rsid w:val="00F6334D"/>
    <w:rsid w:val="00F66ACA"/>
    <w:rsid w:val="00F97307"/>
    <w:rsid w:val="00FA49AB"/>
    <w:rsid w:val="00FA5E12"/>
    <w:rsid w:val="00FA6D99"/>
    <w:rsid w:val="00FB190F"/>
    <w:rsid w:val="00FB38F8"/>
    <w:rsid w:val="00FC5E0B"/>
    <w:rsid w:val="00FE39C7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CC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F7CC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1008F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BB16C2"/>
    <w:pPr>
      <w:keepNext/>
      <w:jc w:val="both"/>
      <w:outlineLvl w:val="2"/>
    </w:pPr>
    <w:rPr>
      <w:rFonts w:ascii="Arial" w:hAnsi="Arial"/>
      <w:i/>
      <w:color w:val="808080"/>
      <w:lang w:val="es-ES_tradnl"/>
    </w:rPr>
  </w:style>
  <w:style w:type="paragraph" w:styleId="Heading4">
    <w:name w:val="heading 4"/>
    <w:next w:val="Normal"/>
    <w:autoRedefine/>
    <w:qFormat/>
    <w:rsid w:val="00FF7CC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F7CC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F7CC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FF7CC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F7CC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F7CC1"/>
    <w:rPr>
      <w:rFonts w:ascii="Arial" w:hAnsi="Arial"/>
      <w:sz w:val="20"/>
    </w:rPr>
  </w:style>
  <w:style w:type="paragraph" w:styleId="Title">
    <w:name w:val="Title"/>
    <w:basedOn w:val="Normal"/>
    <w:qFormat/>
    <w:rsid w:val="00FF7CC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F7CC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F7CC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F7CC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F7CC1"/>
    <w:rPr>
      <w:vertAlign w:val="superscript"/>
    </w:rPr>
  </w:style>
  <w:style w:type="paragraph" w:styleId="Closing">
    <w:name w:val="Closing"/>
    <w:basedOn w:val="Normal"/>
    <w:rsid w:val="00FF7CC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F7CC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F7CC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F7CC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F7C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F7CC1"/>
    <w:pPr>
      <w:ind w:left="4536"/>
      <w:jc w:val="center"/>
    </w:pPr>
  </w:style>
  <w:style w:type="character" w:customStyle="1" w:styleId="Doclang">
    <w:name w:val="Doc_lang"/>
    <w:rsid w:val="00FF7CC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F7CC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F7CC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F7CC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7CC1"/>
    <w:pPr>
      <w:ind w:left="1589"/>
      <w:jc w:val="left"/>
    </w:pPr>
  </w:style>
  <w:style w:type="paragraph" w:customStyle="1" w:styleId="upove">
    <w:name w:val="upov_e"/>
    <w:basedOn w:val="Normal"/>
    <w:rsid w:val="00FF7CC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F7CC1"/>
  </w:style>
  <w:style w:type="paragraph" w:styleId="EndnoteText">
    <w:name w:val="endnote text"/>
    <w:basedOn w:val="Normal"/>
    <w:semiHidden/>
    <w:rsid w:val="00FF7CC1"/>
  </w:style>
  <w:style w:type="character" w:styleId="EndnoteReference">
    <w:name w:val="endnote reference"/>
    <w:semiHidden/>
    <w:rsid w:val="00FF7CC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F7CC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F7CC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F7CC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F7CC1"/>
    <w:pPr>
      <w:spacing w:before="60" w:after="480"/>
      <w:jc w:val="center"/>
    </w:pPr>
  </w:style>
  <w:style w:type="paragraph" w:customStyle="1" w:styleId="Lettrine">
    <w:name w:val="Lettrine"/>
    <w:basedOn w:val="Normal"/>
    <w:rsid w:val="00FF7CC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F7CC1"/>
    <w:pPr>
      <w:spacing w:before="720"/>
      <w:jc w:val="center"/>
    </w:pPr>
  </w:style>
  <w:style w:type="paragraph" w:customStyle="1" w:styleId="Sessiontc">
    <w:name w:val="Session_tc"/>
    <w:basedOn w:val="StyleSessionAllcaps"/>
    <w:rsid w:val="00FF7CC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F7CC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F7CC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F7CC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F7CC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F7CC1"/>
    <w:pPr>
      <w:spacing w:before="240"/>
    </w:pPr>
  </w:style>
  <w:style w:type="paragraph" w:customStyle="1" w:styleId="Titleofdoc0">
    <w:name w:val="Title_of_doc"/>
    <w:basedOn w:val="Normal"/>
    <w:rsid w:val="00FF7CC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F7CC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F7CC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F7CC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7CC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F7CC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F7CC1"/>
  </w:style>
  <w:style w:type="character" w:customStyle="1" w:styleId="StyleDocoriginalChar">
    <w:name w:val="Style Doc_original Char"/>
    <w:basedOn w:val="DocoriginalChar"/>
    <w:link w:val="StyleDocoriginal"/>
    <w:rsid w:val="00FF7CC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F7CC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F7CC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uiPriority w:val="99"/>
    <w:rsid w:val="00FF7CC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F7CC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semiHidden/>
    <w:rsid w:val="00BD2C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1008F"/>
    <w:rPr>
      <w:rFonts w:ascii="Arial" w:hAnsi="Arial"/>
      <w:u w:val="single"/>
      <w:lang w:val="es-ES_tradnl"/>
    </w:rPr>
  </w:style>
  <w:style w:type="paragraph" w:styleId="ListParagraph">
    <w:name w:val="List Paragraph"/>
    <w:basedOn w:val="Normal"/>
    <w:uiPriority w:val="34"/>
    <w:qFormat/>
    <w:rsid w:val="001228D1"/>
    <w:pPr>
      <w:ind w:left="720"/>
      <w:contextualSpacing/>
    </w:pPr>
  </w:style>
  <w:style w:type="paragraph" w:customStyle="1" w:styleId="Style1">
    <w:name w:val="Style1"/>
    <w:basedOn w:val="Normal"/>
    <w:rsid w:val="001228D1"/>
    <w:pPr>
      <w:tabs>
        <w:tab w:val="decimal" w:pos="907"/>
        <w:tab w:val="left" w:pos="1077"/>
      </w:tabs>
    </w:pPr>
    <w:rPr>
      <w:szCs w:val="24"/>
      <w:lang w:eastAsia="ja-JP"/>
    </w:rPr>
  </w:style>
  <w:style w:type="character" w:customStyle="1" w:styleId="FootnoteTextChar">
    <w:name w:val="Footnote Text Char"/>
    <w:link w:val="FootnoteText"/>
    <w:rsid w:val="001228D1"/>
    <w:rPr>
      <w:rFonts w:ascii="Arial" w:hAnsi="Arial"/>
      <w:sz w:val="16"/>
    </w:rPr>
  </w:style>
  <w:style w:type="character" w:customStyle="1" w:styleId="DecisionParagraphsChar">
    <w:name w:val="DecisionParagraphs Char"/>
    <w:link w:val="DecisionParagraphs"/>
    <w:rsid w:val="001228D1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EE2BC8"/>
    <w:rPr>
      <w:rFonts w:ascii="Arial" w:hAnsi="Arial"/>
      <w:lang w:val="fr-FR"/>
    </w:rPr>
  </w:style>
  <w:style w:type="character" w:styleId="CommentReference">
    <w:name w:val="annotation reference"/>
    <w:basedOn w:val="DefaultParagraphFont"/>
    <w:rsid w:val="009450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0C7"/>
  </w:style>
  <w:style w:type="character" w:customStyle="1" w:styleId="CommentTextChar">
    <w:name w:val="Comment Text Char"/>
    <w:basedOn w:val="DefaultParagraphFont"/>
    <w:link w:val="CommentText"/>
    <w:rsid w:val="009450C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0C7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CC1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F7CC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1008F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BB16C2"/>
    <w:pPr>
      <w:keepNext/>
      <w:jc w:val="both"/>
      <w:outlineLvl w:val="2"/>
    </w:pPr>
    <w:rPr>
      <w:rFonts w:ascii="Arial" w:hAnsi="Arial"/>
      <w:i/>
      <w:color w:val="808080"/>
      <w:lang w:val="es-ES_tradnl"/>
    </w:rPr>
  </w:style>
  <w:style w:type="paragraph" w:styleId="Heading4">
    <w:name w:val="heading 4"/>
    <w:next w:val="Normal"/>
    <w:autoRedefine/>
    <w:qFormat/>
    <w:rsid w:val="00FF7CC1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F7CC1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F7CC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rsid w:val="00FF7CC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F7CC1"/>
    <w:pPr>
      <w:jc w:val="both"/>
    </w:pPr>
    <w:rPr>
      <w:rFonts w:ascii="Arial" w:hAnsi="Arial"/>
      <w:sz w:val="14"/>
    </w:rPr>
  </w:style>
  <w:style w:type="character" w:styleId="PageNumber">
    <w:name w:val="page number"/>
    <w:rsid w:val="00FF7CC1"/>
    <w:rPr>
      <w:rFonts w:ascii="Arial" w:hAnsi="Arial"/>
      <w:sz w:val="20"/>
    </w:rPr>
  </w:style>
  <w:style w:type="paragraph" w:styleId="Title">
    <w:name w:val="Title"/>
    <w:basedOn w:val="Normal"/>
    <w:qFormat/>
    <w:rsid w:val="00FF7CC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F7CC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link w:val="DecisionParagraphsChar"/>
    <w:qFormat/>
    <w:rsid w:val="00FF7CC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F7CC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semiHidden/>
    <w:rsid w:val="00FF7CC1"/>
    <w:rPr>
      <w:vertAlign w:val="superscript"/>
    </w:rPr>
  </w:style>
  <w:style w:type="paragraph" w:styleId="Closing">
    <w:name w:val="Closing"/>
    <w:basedOn w:val="Normal"/>
    <w:rsid w:val="00FF7CC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F7CC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F7CC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F7CC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F7CC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F7CC1"/>
    <w:pPr>
      <w:ind w:left="4536"/>
      <w:jc w:val="center"/>
    </w:pPr>
  </w:style>
  <w:style w:type="character" w:customStyle="1" w:styleId="Doclang">
    <w:name w:val="Doc_lang"/>
    <w:rsid w:val="00FF7CC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F7CC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F7CC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F7CC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F7CC1"/>
    <w:pPr>
      <w:ind w:left="1589"/>
      <w:jc w:val="left"/>
    </w:pPr>
  </w:style>
  <w:style w:type="paragraph" w:customStyle="1" w:styleId="upove">
    <w:name w:val="upov_e"/>
    <w:basedOn w:val="Normal"/>
    <w:rsid w:val="00FF7CC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F7CC1"/>
  </w:style>
  <w:style w:type="paragraph" w:styleId="EndnoteText">
    <w:name w:val="endnote text"/>
    <w:basedOn w:val="Normal"/>
    <w:semiHidden/>
    <w:rsid w:val="00FF7CC1"/>
  </w:style>
  <w:style w:type="character" w:styleId="EndnoteReference">
    <w:name w:val="endnote reference"/>
    <w:semiHidden/>
    <w:rsid w:val="00FF7CC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F7CC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F7CC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F7CC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F7CC1"/>
    <w:pPr>
      <w:spacing w:before="60" w:after="480"/>
      <w:jc w:val="center"/>
    </w:pPr>
  </w:style>
  <w:style w:type="paragraph" w:customStyle="1" w:styleId="Lettrine">
    <w:name w:val="Lettrine"/>
    <w:basedOn w:val="Normal"/>
    <w:rsid w:val="00FF7CC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F7CC1"/>
    <w:pPr>
      <w:spacing w:before="720"/>
      <w:jc w:val="center"/>
    </w:pPr>
  </w:style>
  <w:style w:type="paragraph" w:customStyle="1" w:styleId="Sessiontc">
    <w:name w:val="Session_tc"/>
    <w:basedOn w:val="StyleSessionAllcaps"/>
    <w:rsid w:val="00FF7CC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F7CC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F7CC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F7CC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F7CC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F7CC1"/>
    <w:pPr>
      <w:spacing w:before="240"/>
    </w:pPr>
  </w:style>
  <w:style w:type="paragraph" w:customStyle="1" w:styleId="Titleofdoc0">
    <w:name w:val="Title_of_doc"/>
    <w:basedOn w:val="Normal"/>
    <w:rsid w:val="00FF7CC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F7CC1"/>
    <w:pPr>
      <w:spacing w:before="240" w:after="600"/>
      <w:jc w:val="center"/>
    </w:pPr>
    <w:rPr>
      <w:i/>
    </w:rPr>
  </w:style>
  <w:style w:type="character" w:customStyle="1" w:styleId="CodeChar">
    <w:name w:val="Code Char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F7CC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link w:val="Docoriginal"/>
    <w:rsid w:val="00FF7CC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F7CC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F7CC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F7CC1"/>
  </w:style>
  <w:style w:type="character" w:customStyle="1" w:styleId="StyleDocoriginalChar">
    <w:name w:val="Style Doc_original Char"/>
    <w:basedOn w:val="DocoriginalChar"/>
    <w:link w:val="StyleDocoriginal"/>
    <w:rsid w:val="00FF7CC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rsid w:val="00FF7CC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rsid w:val="00FF7CC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uiPriority w:val="99"/>
    <w:rsid w:val="00FF7CC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F7CC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F7CC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semiHidden/>
    <w:rsid w:val="00BD2C18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41008F"/>
    <w:rPr>
      <w:rFonts w:ascii="Arial" w:hAnsi="Arial"/>
      <w:u w:val="single"/>
      <w:lang w:val="es-ES_tradnl"/>
    </w:rPr>
  </w:style>
  <w:style w:type="paragraph" w:styleId="ListParagraph">
    <w:name w:val="List Paragraph"/>
    <w:basedOn w:val="Normal"/>
    <w:uiPriority w:val="34"/>
    <w:qFormat/>
    <w:rsid w:val="001228D1"/>
    <w:pPr>
      <w:ind w:left="720"/>
      <w:contextualSpacing/>
    </w:pPr>
  </w:style>
  <w:style w:type="paragraph" w:customStyle="1" w:styleId="Style1">
    <w:name w:val="Style1"/>
    <w:basedOn w:val="Normal"/>
    <w:rsid w:val="001228D1"/>
    <w:pPr>
      <w:tabs>
        <w:tab w:val="decimal" w:pos="907"/>
        <w:tab w:val="left" w:pos="1077"/>
      </w:tabs>
    </w:pPr>
    <w:rPr>
      <w:szCs w:val="24"/>
      <w:lang w:eastAsia="ja-JP"/>
    </w:rPr>
  </w:style>
  <w:style w:type="character" w:customStyle="1" w:styleId="FootnoteTextChar">
    <w:name w:val="Footnote Text Char"/>
    <w:link w:val="FootnoteText"/>
    <w:rsid w:val="001228D1"/>
    <w:rPr>
      <w:rFonts w:ascii="Arial" w:hAnsi="Arial"/>
      <w:sz w:val="16"/>
    </w:rPr>
  </w:style>
  <w:style w:type="character" w:customStyle="1" w:styleId="DecisionParagraphsChar">
    <w:name w:val="DecisionParagraphs Char"/>
    <w:link w:val="DecisionParagraphs"/>
    <w:rsid w:val="001228D1"/>
    <w:rPr>
      <w:rFonts w:ascii="Arial" w:hAnsi="Arial"/>
      <w:i/>
    </w:rPr>
  </w:style>
  <w:style w:type="character" w:customStyle="1" w:styleId="HeaderChar">
    <w:name w:val="Header Char"/>
    <w:basedOn w:val="DefaultParagraphFont"/>
    <w:link w:val="Header"/>
    <w:rsid w:val="00EE2BC8"/>
    <w:rPr>
      <w:rFonts w:ascii="Arial" w:hAnsi="Arial"/>
      <w:lang w:val="fr-FR"/>
    </w:rPr>
  </w:style>
  <w:style w:type="character" w:styleId="CommentReference">
    <w:name w:val="annotation reference"/>
    <w:basedOn w:val="DefaultParagraphFont"/>
    <w:rsid w:val="009450C7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50C7"/>
  </w:style>
  <w:style w:type="character" w:customStyle="1" w:styleId="CommentTextChar">
    <w:name w:val="Comment Text Char"/>
    <w:basedOn w:val="DefaultParagraphFont"/>
    <w:link w:val="CommentText"/>
    <w:rsid w:val="009450C7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9450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50C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ov.int/pluto/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17</Pages>
  <Words>7230</Words>
  <Characters>41212</Characters>
  <Application>Microsoft Office Word</Application>
  <DocSecurity>0</DocSecurity>
  <Lines>343</Lines>
  <Paragraphs>96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CAJ-AG/14/9/</vt:lpstr>
      <vt:lpstr>CAJ-AG/14/9/</vt:lpstr>
    </vt:vector>
  </TitlesOfParts>
  <Company>UPOV</Company>
  <LinksUpToDate>false</LinksUpToDate>
  <CharactersWithSpaces>48346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CAJ-AG/14/9/</dc:title>
  <dc:creator>CEVALLOS DUQUE Nilo</dc:creator>
  <cp:lastModifiedBy>BESSE Ariane</cp:lastModifiedBy>
  <cp:revision>9</cp:revision>
  <cp:lastPrinted>2014-11-03T13:53:00Z</cp:lastPrinted>
  <dcterms:created xsi:type="dcterms:W3CDTF">2014-11-03T13:54:00Z</dcterms:created>
  <dcterms:modified xsi:type="dcterms:W3CDTF">2014-11-21T08:26:00Z</dcterms:modified>
</cp:coreProperties>
</file>