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5777B" w14:paraId="2CDDC917" w14:textId="77777777" w:rsidTr="00EB4E9C">
        <w:tc>
          <w:tcPr>
            <w:tcW w:w="6522" w:type="dxa"/>
          </w:tcPr>
          <w:p w14:paraId="02A1E41D" w14:textId="66DC6A4F" w:rsidR="00DC3802" w:rsidRPr="0085777B" w:rsidRDefault="00213C63" w:rsidP="00AC2883">
            <w:r w:rsidRPr="0085777B">
              <w:rPr>
                <w:sz w:val="16"/>
              </w:rPr>
              <w:drawing>
                <wp:inline distT="0" distB="0" distL="0" distR="0" wp14:anchorId="30E753F5" wp14:editId="358CB020">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17B8F00C" w14:textId="39922836" w:rsidR="00DC3802" w:rsidRPr="0085777B" w:rsidRDefault="00216EBC" w:rsidP="00AC2883">
            <w:pPr>
              <w:pStyle w:val="Lettrine"/>
            </w:pPr>
            <w:r>
              <w:t>S</w:t>
            </w:r>
          </w:p>
        </w:tc>
      </w:tr>
      <w:tr w:rsidR="00DC3802" w:rsidRPr="0085777B" w14:paraId="73296B8B" w14:textId="77777777" w:rsidTr="00645CA8">
        <w:trPr>
          <w:trHeight w:val="219"/>
        </w:trPr>
        <w:tc>
          <w:tcPr>
            <w:tcW w:w="6522" w:type="dxa"/>
          </w:tcPr>
          <w:p w14:paraId="537841D5" w14:textId="371D63BA" w:rsidR="00DC3802" w:rsidRPr="0085777B" w:rsidRDefault="00DC3802" w:rsidP="00AC2883">
            <w:pPr>
              <w:pStyle w:val="upove"/>
            </w:pPr>
            <w:r w:rsidRPr="0085777B">
              <w:t>Unión Internacional para la Protección de las Obtenciones Vegetales</w:t>
            </w:r>
          </w:p>
        </w:tc>
        <w:tc>
          <w:tcPr>
            <w:tcW w:w="3117" w:type="dxa"/>
          </w:tcPr>
          <w:p w14:paraId="47827759" w14:textId="77777777" w:rsidR="00DC3802" w:rsidRPr="0085777B" w:rsidRDefault="00DC3802" w:rsidP="00DA4973"/>
        </w:tc>
      </w:tr>
    </w:tbl>
    <w:p w14:paraId="170FA803" w14:textId="77777777" w:rsidR="00DC3802" w:rsidRPr="0085777B" w:rsidRDefault="00DC3802" w:rsidP="00DC3802"/>
    <w:p w14:paraId="4EAD3FF3" w14:textId="77777777" w:rsidR="00DA4973" w:rsidRPr="0085777B"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85777B" w14:paraId="47387489" w14:textId="77777777" w:rsidTr="00EB4E9C">
        <w:tc>
          <w:tcPr>
            <w:tcW w:w="6512" w:type="dxa"/>
          </w:tcPr>
          <w:p w14:paraId="677B2458" w14:textId="77777777" w:rsidR="00EB4E9C" w:rsidRPr="0085777B" w:rsidRDefault="00EB4E9C" w:rsidP="00AC2883">
            <w:pPr>
              <w:pStyle w:val="Sessiontc"/>
              <w:spacing w:line="240" w:lineRule="auto"/>
            </w:pPr>
            <w:r w:rsidRPr="0085777B">
              <w:t xml:space="preserve">Comité </w:t>
            </w:r>
            <w:r w:rsidR="00B622E6" w:rsidRPr="0085777B">
              <w:t>Administrativo y Jurídico</w:t>
            </w:r>
          </w:p>
          <w:p w14:paraId="66BBCAA3" w14:textId="7EAD1200" w:rsidR="00213C63" w:rsidRPr="0085777B" w:rsidRDefault="00216EBC" w:rsidP="00213C63">
            <w:pPr>
              <w:pStyle w:val="Sessiontcplacedate"/>
            </w:pPr>
            <w:r>
              <w:t>Octogésima segunda</w:t>
            </w:r>
            <w:r w:rsidR="00213C63" w:rsidRPr="0085777B">
              <w:t xml:space="preserve"> sesión</w:t>
            </w:r>
          </w:p>
          <w:p w14:paraId="569C1B79" w14:textId="4D59C6E0" w:rsidR="00EB4E9C" w:rsidRPr="0085777B" w:rsidRDefault="00213C63" w:rsidP="00213C63">
            <w:pPr>
              <w:pStyle w:val="Sessiontcplacedate"/>
              <w:rPr>
                <w:sz w:val="22"/>
              </w:rPr>
            </w:pPr>
            <w:r w:rsidRPr="0085777B">
              <w:t>Ginebra, 22 de octubre de 2025</w:t>
            </w:r>
          </w:p>
        </w:tc>
        <w:tc>
          <w:tcPr>
            <w:tcW w:w="3127" w:type="dxa"/>
          </w:tcPr>
          <w:p w14:paraId="3DD6D7AF" w14:textId="355745C2" w:rsidR="00EB4E9C" w:rsidRPr="0085777B" w:rsidRDefault="00213C63" w:rsidP="003C7FBE">
            <w:pPr>
              <w:pStyle w:val="Doccode"/>
              <w:rPr>
                <w:lang w:val="es-ES_tradnl"/>
              </w:rPr>
            </w:pPr>
            <w:r w:rsidRPr="0085777B">
              <w:rPr>
                <w:lang w:val="es-ES_tradnl"/>
              </w:rPr>
              <w:t xml:space="preserve">CAJ/82/5 </w:t>
            </w:r>
          </w:p>
          <w:p w14:paraId="761D2F89" w14:textId="77777777" w:rsidR="00EB4E9C" w:rsidRPr="0085777B" w:rsidRDefault="00EB4E9C" w:rsidP="003C7FBE">
            <w:pPr>
              <w:pStyle w:val="Docoriginal"/>
            </w:pPr>
            <w:r w:rsidRPr="0085777B">
              <w:t xml:space="preserve">Original: </w:t>
            </w:r>
            <w:r w:rsidRPr="0085777B">
              <w:rPr>
                <w:b w:val="0"/>
                <w:spacing w:val="0"/>
              </w:rPr>
              <w:t>inglés</w:t>
            </w:r>
          </w:p>
          <w:p w14:paraId="58B5883D" w14:textId="509885C8" w:rsidR="00EB4E9C" w:rsidRPr="0085777B" w:rsidRDefault="00EB4E9C" w:rsidP="00CF00FD">
            <w:pPr>
              <w:pStyle w:val="Docoriginal"/>
            </w:pPr>
            <w:r w:rsidRPr="0085777B">
              <w:t>Fecha:</w:t>
            </w:r>
            <w:r w:rsidRPr="0085777B">
              <w:rPr>
                <w:b w:val="0"/>
                <w:spacing w:val="0"/>
              </w:rPr>
              <w:t xml:space="preserve"> </w:t>
            </w:r>
            <w:r w:rsidR="006B706F" w:rsidRPr="0085777B">
              <w:rPr>
                <w:b w:val="0"/>
                <w:spacing w:val="0"/>
              </w:rPr>
              <w:t xml:space="preserve"> 22 </w:t>
            </w:r>
            <w:r w:rsidRPr="0085777B">
              <w:rPr>
                <w:b w:val="0"/>
                <w:spacing w:val="0"/>
              </w:rPr>
              <w:t xml:space="preserve">de </w:t>
            </w:r>
            <w:r w:rsidR="00C205D4" w:rsidRPr="0085777B">
              <w:rPr>
                <w:b w:val="0"/>
                <w:spacing w:val="0"/>
              </w:rPr>
              <w:t xml:space="preserve">octubre </w:t>
            </w:r>
            <w:r w:rsidR="006B706F" w:rsidRPr="0085777B">
              <w:rPr>
                <w:b w:val="0"/>
                <w:spacing w:val="0"/>
              </w:rPr>
              <w:t>de 2025</w:t>
            </w:r>
          </w:p>
        </w:tc>
      </w:tr>
    </w:tbl>
    <w:p w14:paraId="5BDB8695" w14:textId="03C3B322" w:rsidR="000D7780" w:rsidRPr="0085777B" w:rsidRDefault="00580BD2" w:rsidP="006A644A">
      <w:pPr>
        <w:pStyle w:val="Titleofdoc0"/>
      </w:pPr>
      <w:r w:rsidRPr="0085777B">
        <w:t>Informe</w:t>
      </w:r>
    </w:p>
    <w:p w14:paraId="0FC6E1AA" w14:textId="50E57D3C" w:rsidR="006A644A" w:rsidRPr="0085777B" w:rsidRDefault="006C67CA" w:rsidP="006A644A">
      <w:pPr>
        <w:pStyle w:val="preparedby1"/>
        <w:jc w:val="left"/>
      </w:pPr>
      <w:r w:rsidRPr="0085777B">
        <w:t>aprobado por el Comité Administrativo y Jurídico</w:t>
      </w:r>
    </w:p>
    <w:p w14:paraId="06513D46" w14:textId="77777777" w:rsidR="00216EBC" w:rsidRPr="006365CE" w:rsidRDefault="00216EBC" w:rsidP="00216EBC">
      <w:pPr>
        <w:pStyle w:val="Disclaimer"/>
        <w:spacing w:after="480"/>
        <w:rPr>
          <w:lang w:val="es-ES_tradnl"/>
        </w:rPr>
      </w:pPr>
      <w:r w:rsidRPr="006365CE">
        <w:rPr>
          <w:lang w:val="es-ES_tradnl"/>
        </w:rPr>
        <w:t>Descargo de responsabilidad: el presente documento no constituye un documento de política u orientación de la UPOV</w:t>
      </w:r>
      <w:r>
        <w:rPr>
          <w:lang w:val="es-ES_tradnl"/>
        </w:rPr>
        <w:t>.</w:t>
      </w:r>
      <w:r>
        <w:rPr>
          <w:lang w:val="es-ES_tradnl"/>
        </w:rPr>
        <w:br/>
      </w:r>
      <w:r>
        <w:rPr>
          <w:lang w:val="es-ES_tradnl"/>
        </w:rPr>
        <w:br/>
      </w:r>
      <w:r w:rsidRPr="006365CE">
        <w:rPr>
          <w:lang w:val="es-ES_tradnl"/>
        </w:rPr>
        <w:t>Este documento se ha generado mediante traducción automática y no puede garantizarse su exactitud. Por lo tanto, el texto en el idioma original es la única versión auténtica.</w:t>
      </w:r>
    </w:p>
    <w:p w14:paraId="688EF056" w14:textId="77777777" w:rsidR="00F80885" w:rsidRPr="0085777B" w:rsidRDefault="00F80885" w:rsidP="00F80885">
      <w:pPr>
        <w:pStyle w:val="Heading2"/>
        <w:rPr>
          <w:snapToGrid w:val="0"/>
          <w:lang w:val="es-ES_tradnl"/>
        </w:rPr>
      </w:pPr>
      <w:r w:rsidRPr="0085777B">
        <w:rPr>
          <w:snapToGrid w:val="0"/>
          <w:lang w:val="es-ES_tradnl"/>
        </w:rPr>
        <w:t>Apertura de la sesión</w:t>
      </w:r>
    </w:p>
    <w:p w14:paraId="4EA702A9" w14:textId="77777777" w:rsidR="00F80885" w:rsidRPr="0085777B" w:rsidRDefault="00F80885" w:rsidP="00F80885"/>
    <w:p w14:paraId="781DEB0D" w14:textId="13DFFC18" w:rsidR="00F80885" w:rsidRPr="0085777B" w:rsidRDefault="00F80885" w:rsidP="00F80885">
      <w:r w:rsidRPr="0085777B">
        <w:fldChar w:fldCharType="begin"/>
      </w:r>
      <w:r w:rsidRPr="0085777B">
        <w:instrText xml:space="preserve"> AUTONUM  </w:instrText>
      </w:r>
      <w:r w:rsidRPr="0085777B">
        <w:fldChar w:fldCharType="end"/>
      </w:r>
      <w:r w:rsidRPr="0085777B">
        <w:tab/>
        <w:t xml:space="preserve">El Comité Administrativo y Jurídico (CAJ) celebró su </w:t>
      </w:r>
      <w:r w:rsidR="00006D73" w:rsidRPr="0085777B">
        <w:t xml:space="preserve">octogésima segunda </w:t>
      </w:r>
      <w:r w:rsidRPr="0085777B">
        <w:t xml:space="preserve">sesión en Ginebra </w:t>
      </w:r>
      <w:r w:rsidR="003C3421">
        <w:br/>
      </w:r>
      <w:r w:rsidRPr="0085777B">
        <w:t>el</w:t>
      </w:r>
      <w:r w:rsidR="00006D73" w:rsidRPr="0085777B">
        <w:t xml:space="preserve"> 22</w:t>
      </w:r>
      <w:r w:rsidRPr="0085777B">
        <w:t xml:space="preserve"> de octubre </w:t>
      </w:r>
      <w:r w:rsidR="00006D73" w:rsidRPr="0085777B">
        <w:t>de 2025</w:t>
      </w:r>
      <w:r w:rsidRPr="0085777B">
        <w:t>, bajo la presidencia de la Sra. María Laura Villamayor (Argentina).</w:t>
      </w:r>
    </w:p>
    <w:p w14:paraId="2ECF53E0" w14:textId="77777777" w:rsidR="00F80885" w:rsidRPr="0085777B" w:rsidRDefault="00F80885" w:rsidP="00F80885"/>
    <w:p w14:paraId="62D17F7B" w14:textId="56F18AAE" w:rsidR="00F80885" w:rsidRPr="0085777B" w:rsidRDefault="00F80885" w:rsidP="00F80885">
      <w:r w:rsidRPr="0085777B">
        <w:fldChar w:fldCharType="begin"/>
      </w:r>
      <w:r w:rsidRPr="0085777B">
        <w:instrText xml:space="preserve"> AUTONUM  </w:instrText>
      </w:r>
      <w:r w:rsidRPr="0085777B">
        <w:fldChar w:fldCharType="end"/>
      </w:r>
      <w:r w:rsidRPr="0085777B">
        <w:tab/>
        <w:t xml:space="preserve">La sesión fue inaugurada por la </w:t>
      </w:r>
      <w:r w:rsidR="003C3421">
        <w:t>p</w:t>
      </w:r>
      <w:r w:rsidRPr="0085777B">
        <w:t>residenta, quien dio la bienvenida a los participantes.</w:t>
      </w:r>
      <w:bookmarkStart w:id="0" w:name="_Hlk211871272"/>
      <w:r w:rsidR="00F67C15" w:rsidRPr="0085777B">
        <w:t xml:space="preserve"> El CAJ </w:t>
      </w:r>
      <w:r w:rsidR="00A17313" w:rsidRPr="0085777B">
        <w:t xml:space="preserve">acordó seguir el enfoque adoptado por </w:t>
      </w:r>
      <w:r w:rsidR="00F67C15" w:rsidRPr="0085777B">
        <w:t>el Comité Técnico</w:t>
      </w:r>
      <w:r w:rsidR="00A17313" w:rsidRPr="0085777B">
        <w:t xml:space="preserve">, </w:t>
      </w:r>
      <w:r w:rsidR="00F67C15" w:rsidRPr="0085777B">
        <w:t xml:space="preserve">según el cual la lista de participantes se distribuirá directamente a los participantes por correo electrónico (véase el documento TC/61/8 «Informe», párrafo 5, para más información) </w:t>
      </w:r>
      <w:r w:rsidR="00A17313" w:rsidRPr="0085777B">
        <w:t xml:space="preserve">y no se publicará en el sitio web de la UPOV a la espera de una decisión del Consejo al respecto. </w:t>
      </w:r>
      <w:bookmarkEnd w:id="0"/>
    </w:p>
    <w:p w14:paraId="3C4CEE61" w14:textId="408A59F3" w:rsidR="00F57A1A" w:rsidRPr="0085777B" w:rsidRDefault="00F57A1A" w:rsidP="00F57A1A"/>
    <w:p w14:paraId="7391D7DA" w14:textId="7A06529A" w:rsidR="00AE2702" w:rsidRPr="0085777B" w:rsidRDefault="004D3802" w:rsidP="00F80885">
      <w:r w:rsidRPr="0085777B">
        <w:fldChar w:fldCharType="begin"/>
      </w:r>
      <w:r w:rsidRPr="0085777B">
        <w:instrText xml:space="preserve"> AUTONUM  </w:instrText>
      </w:r>
      <w:r w:rsidRPr="0085777B">
        <w:fldChar w:fldCharType="end"/>
      </w:r>
      <w:r w:rsidRPr="0085777B">
        <w:tab/>
      </w:r>
      <w:r w:rsidR="003C3421">
        <w:t>La p</w:t>
      </w:r>
      <w:r w:rsidRPr="0085777B">
        <w:t>resident</w:t>
      </w:r>
      <w:r w:rsidR="003C3421">
        <w:t>a</w:t>
      </w:r>
      <w:r w:rsidRPr="0085777B">
        <w:t xml:space="preserve"> informó de que </w:t>
      </w:r>
      <w:r w:rsidR="00006D73" w:rsidRPr="0085777B">
        <w:t xml:space="preserve">Nigeria </w:t>
      </w:r>
      <w:r w:rsidRPr="0085777B">
        <w:t>había depositado su instrumento de adhesión al Acta de 1991 del Convenio de la UPOV el</w:t>
      </w:r>
      <w:r w:rsidR="00006D73" w:rsidRPr="0085777B">
        <w:t xml:space="preserve"> 27</w:t>
      </w:r>
      <w:r w:rsidRPr="0085777B">
        <w:t xml:space="preserve"> de febrero </w:t>
      </w:r>
      <w:r w:rsidR="00006D73" w:rsidRPr="0085777B">
        <w:t xml:space="preserve">de 2025 </w:t>
      </w:r>
      <w:r w:rsidRPr="0085777B">
        <w:t xml:space="preserve">y que había quedado vinculada por el Acta de 1991 </w:t>
      </w:r>
      <w:r w:rsidR="003C3421">
        <w:br/>
      </w:r>
      <w:r w:rsidRPr="0085777B">
        <w:t>el</w:t>
      </w:r>
      <w:r w:rsidR="00006D73" w:rsidRPr="0085777B">
        <w:t xml:space="preserve"> 27</w:t>
      </w:r>
      <w:r w:rsidRPr="0085777B">
        <w:t xml:space="preserve"> de marzo </w:t>
      </w:r>
      <w:r w:rsidR="00006D73" w:rsidRPr="0085777B">
        <w:t>de 2025</w:t>
      </w:r>
      <w:r w:rsidRPr="0085777B">
        <w:t xml:space="preserve">.  </w:t>
      </w:r>
      <w:r w:rsidR="00006D73" w:rsidRPr="0085777B">
        <w:t xml:space="preserve">Nigeria </w:t>
      </w:r>
      <w:r w:rsidRPr="0085777B">
        <w:t>se convirtió en el 80º miembro de la Unión el</w:t>
      </w:r>
      <w:r w:rsidR="00006D73" w:rsidRPr="0085777B">
        <w:t xml:space="preserve"> 27</w:t>
      </w:r>
      <w:r w:rsidRPr="0085777B">
        <w:t xml:space="preserve"> de marzo </w:t>
      </w:r>
      <w:r w:rsidR="00006D73" w:rsidRPr="0085777B">
        <w:t>de 2025</w:t>
      </w:r>
      <w:r w:rsidRPr="0085777B">
        <w:t>.</w:t>
      </w:r>
    </w:p>
    <w:p w14:paraId="2B6C665C" w14:textId="77777777" w:rsidR="00AE2702" w:rsidRPr="0085777B" w:rsidRDefault="00AE2702" w:rsidP="00AE2702"/>
    <w:p w14:paraId="789F8F51" w14:textId="04DE0BE3" w:rsidR="00AE2702" w:rsidRPr="0085777B" w:rsidRDefault="00AE2702" w:rsidP="00AE2702">
      <w:r w:rsidRPr="0085777B">
        <w:fldChar w:fldCharType="begin"/>
      </w:r>
      <w:r w:rsidRPr="0085777B">
        <w:instrText xml:space="preserve"> AUTONUM  </w:instrText>
      </w:r>
      <w:r w:rsidRPr="0085777B">
        <w:fldChar w:fldCharType="end"/>
      </w:r>
      <w:r w:rsidRPr="0085777B">
        <w:tab/>
      </w:r>
      <w:bookmarkStart w:id="1" w:name="_Hlk211974454"/>
      <w:r w:rsidR="003C3421">
        <w:t>La p</w:t>
      </w:r>
      <w:r w:rsidR="003C3421" w:rsidRPr="0085777B">
        <w:t>resident</w:t>
      </w:r>
      <w:r w:rsidR="003C3421">
        <w:t>a</w:t>
      </w:r>
      <w:r w:rsidR="003C3421" w:rsidRPr="0085777B">
        <w:t xml:space="preserve"> </w:t>
      </w:r>
      <w:r w:rsidRPr="0085777B">
        <w:t xml:space="preserve">informó de que se había concedido a </w:t>
      </w:r>
      <w:r w:rsidR="00006D73" w:rsidRPr="0085777B">
        <w:t xml:space="preserve">Seychelles y Sudán </w:t>
      </w:r>
      <w:r w:rsidRPr="0085777B">
        <w:t xml:space="preserve">la condición de observadores en el CAJ </w:t>
      </w:r>
      <w:r w:rsidR="00BA704C" w:rsidRPr="0085777B">
        <w:t>y que se había cursado a la AIPPI una invitación ad hoc para participar en la reunión WG-HRV/8</w:t>
      </w:r>
      <w:bookmarkEnd w:id="1"/>
      <w:r w:rsidR="00BA704C" w:rsidRPr="0085777B">
        <w:t xml:space="preserve"> .</w:t>
      </w:r>
    </w:p>
    <w:p w14:paraId="65455F4F" w14:textId="77777777" w:rsidR="00F80885" w:rsidRPr="0085777B" w:rsidRDefault="00F80885" w:rsidP="00F80885"/>
    <w:p w14:paraId="31665901" w14:textId="77777777" w:rsidR="00F80885" w:rsidRPr="0085777B" w:rsidRDefault="00F80885" w:rsidP="00F80885"/>
    <w:p w14:paraId="3E714624" w14:textId="77777777" w:rsidR="00F80885" w:rsidRPr="0085777B" w:rsidRDefault="00F80885" w:rsidP="00F80885">
      <w:pPr>
        <w:pStyle w:val="Heading2"/>
        <w:rPr>
          <w:lang w:val="es-ES_tradnl"/>
        </w:rPr>
      </w:pPr>
      <w:r w:rsidRPr="0085777B">
        <w:rPr>
          <w:lang w:val="es-ES_tradnl"/>
        </w:rPr>
        <w:t>Aprobación del orden del día</w:t>
      </w:r>
    </w:p>
    <w:p w14:paraId="1A9CB78F" w14:textId="77777777" w:rsidR="00F80885" w:rsidRPr="0085777B" w:rsidRDefault="00F80885" w:rsidP="00F80885">
      <w:pPr>
        <w:keepNext/>
        <w:jc w:val="left"/>
        <w:outlineLvl w:val="0"/>
        <w:rPr>
          <w:snapToGrid w:val="0"/>
          <w:u w:val="single"/>
        </w:rPr>
      </w:pPr>
    </w:p>
    <w:p w14:paraId="093AB2AF" w14:textId="2E32978B" w:rsidR="00F80885" w:rsidRPr="0085777B" w:rsidRDefault="00F80885" w:rsidP="00F80885">
      <w:r w:rsidRPr="0085777B">
        <w:rPr>
          <w:snapToGrid w:val="0"/>
        </w:rPr>
        <w:fldChar w:fldCharType="begin"/>
      </w:r>
      <w:r w:rsidRPr="0085777B">
        <w:rPr>
          <w:snapToGrid w:val="0"/>
        </w:rPr>
        <w:instrText xml:space="preserve"> AUTONUM  </w:instrText>
      </w:r>
      <w:r w:rsidRPr="0085777B">
        <w:rPr>
          <w:snapToGrid w:val="0"/>
        </w:rPr>
        <w:fldChar w:fldCharType="end"/>
      </w:r>
      <w:r w:rsidRPr="0085777B">
        <w:rPr>
          <w:snapToGrid w:val="0"/>
        </w:rPr>
        <w:tab/>
      </w:r>
      <w:r w:rsidRPr="0085777B">
        <w:t xml:space="preserve">El CAJ aprobó el proyecto de orden del día, tal como se propone en el documento CAJ/82/1. </w:t>
      </w:r>
    </w:p>
    <w:p w14:paraId="2BE58CDC" w14:textId="77777777" w:rsidR="00F80885" w:rsidRPr="0085777B" w:rsidRDefault="00F80885" w:rsidP="00F80885"/>
    <w:p w14:paraId="2059B0FC" w14:textId="77777777" w:rsidR="00F80885" w:rsidRPr="0085777B" w:rsidRDefault="00F80885" w:rsidP="00F80885"/>
    <w:p w14:paraId="2BE77DF4" w14:textId="50DA7C89" w:rsidR="00F80885" w:rsidRPr="0085777B" w:rsidRDefault="00F80885" w:rsidP="00F80885">
      <w:pPr>
        <w:keepNext/>
        <w:rPr>
          <w:snapToGrid w:val="0"/>
          <w:u w:val="single"/>
        </w:rPr>
      </w:pPr>
      <w:r w:rsidRPr="0085777B">
        <w:rPr>
          <w:snapToGrid w:val="0"/>
          <w:u w:val="single"/>
        </w:rPr>
        <w:t>Informe de</w:t>
      </w:r>
      <w:r w:rsidR="003C3421">
        <w:rPr>
          <w:snapToGrid w:val="0"/>
          <w:u w:val="single"/>
        </w:rPr>
        <w:t xml:space="preserve"> </w:t>
      </w:r>
      <w:r w:rsidRPr="0085777B">
        <w:rPr>
          <w:snapToGrid w:val="0"/>
          <w:u w:val="single"/>
        </w:rPr>
        <w:t>l</w:t>
      </w:r>
      <w:r w:rsidR="003C3421">
        <w:rPr>
          <w:snapToGrid w:val="0"/>
          <w:u w:val="single"/>
        </w:rPr>
        <w:t>a</w:t>
      </w:r>
      <w:r w:rsidRPr="0085777B">
        <w:rPr>
          <w:snapToGrid w:val="0"/>
          <w:u w:val="single"/>
        </w:rPr>
        <w:t xml:space="preserve"> </w:t>
      </w:r>
      <w:r w:rsidR="003C3421">
        <w:rPr>
          <w:snapToGrid w:val="0"/>
          <w:u w:val="single"/>
        </w:rPr>
        <w:t>S</w:t>
      </w:r>
      <w:r w:rsidRPr="0085777B">
        <w:rPr>
          <w:snapToGrid w:val="0"/>
          <w:u w:val="single"/>
        </w:rPr>
        <w:t>ecretari</w:t>
      </w:r>
      <w:r w:rsidR="003C3421">
        <w:rPr>
          <w:snapToGrid w:val="0"/>
          <w:u w:val="single"/>
        </w:rPr>
        <w:t>a</w:t>
      </w:r>
      <w:r w:rsidRPr="0085777B">
        <w:rPr>
          <w:snapToGrid w:val="0"/>
          <w:u w:val="single"/>
        </w:rPr>
        <w:t xml:space="preserve"> General </w:t>
      </w:r>
      <w:r w:rsidR="003C3421">
        <w:rPr>
          <w:snapToGrid w:val="0"/>
          <w:u w:val="single"/>
        </w:rPr>
        <w:t xml:space="preserve">Adjunta </w:t>
      </w:r>
      <w:r w:rsidRPr="0085777B">
        <w:rPr>
          <w:snapToGrid w:val="0"/>
          <w:u w:val="single"/>
        </w:rPr>
        <w:t xml:space="preserve">sobre </w:t>
      </w:r>
      <w:r w:rsidR="00FB61FF">
        <w:rPr>
          <w:snapToGrid w:val="0"/>
          <w:u w:val="single"/>
        </w:rPr>
        <w:t xml:space="preserve">las novedades acaecidas en </w:t>
      </w:r>
      <w:r w:rsidRPr="0085777B">
        <w:rPr>
          <w:snapToGrid w:val="0"/>
          <w:u w:val="single"/>
        </w:rPr>
        <w:t>la UPOV</w:t>
      </w:r>
    </w:p>
    <w:p w14:paraId="6AD7BB47" w14:textId="77777777" w:rsidR="00F80885" w:rsidRPr="0085777B" w:rsidRDefault="00F80885" w:rsidP="00F80885"/>
    <w:p w14:paraId="19B154D2" w14:textId="71B5CF86" w:rsidR="004C5B6B" w:rsidRPr="0085777B" w:rsidRDefault="00F80885" w:rsidP="00F57A1A">
      <w:r w:rsidRPr="0085777B">
        <w:fldChar w:fldCharType="begin"/>
      </w:r>
      <w:r w:rsidRPr="0085777B">
        <w:instrText xml:space="preserve"> AUTONUM  </w:instrText>
      </w:r>
      <w:r w:rsidRPr="0085777B">
        <w:fldChar w:fldCharType="end"/>
      </w:r>
      <w:r w:rsidRPr="0085777B">
        <w:tab/>
        <w:t>El CAJ escuchó una presentación de</w:t>
      </w:r>
      <w:r w:rsidR="00FB61FF">
        <w:t xml:space="preserve"> </w:t>
      </w:r>
      <w:r w:rsidRPr="0085777B">
        <w:t>l</w:t>
      </w:r>
      <w:r w:rsidR="00FB61FF">
        <w:t>a</w:t>
      </w:r>
      <w:r w:rsidRPr="0085777B">
        <w:t xml:space="preserve"> </w:t>
      </w:r>
      <w:r w:rsidR="00FB61FF" w:rsidRPr="00FB61FF">
        <w:t>Secretaria General Adjunta</w:t>
      </w:r>
      <w:r w:rsidR="00FB61FF" w:rsidRPr="00FB61FF">
        <w:t xml:space="preserve"> </w:t>
      </w:r>
      <w:r w:rsidRPr="0085777B">
        <w:t xml:space="preserve">y </w:t>
      </w:r>
      <w:r w:rsidR="00F57A1A" w:rsidRPr="0085777B">
        <w:t xml:space="preserve">tomó nota de </w:t>
      </w:r>
      <w:r w:rsidR="00FB61FF">
        <w:t xml:space="preserve">las novedades acaecidas en </w:t>
      </w:r>
      <w:r w:rsidR="00F57A1A" w:rsidRPr="0085777B">
        <w:t xml:space="preserve">la UPOV y de una visión general de las cuestiones pertinentes para el CAJ. El CAJ </w:t>
      </w:r>
      <w:r w:rsidRPr="0085777B">
        <w:t xml:space="preserve">tomó nota de que la presentación </w:t>
      </w:r>
      <w:r w:rsidR="00F57A1A" w:rsidRPr="0085777B">
        <w:t>completa est</w:t>
      </w:r>
      <w:r w:rsidR="00FB61FF">
        <w:t>á</w:t>
      </w:r>
      <w:r w:rsidR="00F57A1A" w:rsidRPr="0085777B">
        <w:t xml:space="preserve"> disponible en el documento SESSIONS/2025/1 y en forma de grabación de vídeo en el sitio web de la UPOV.</w:t>
      </w:r>
    </w:p>
    <w:p w14:paraId="1FCFC2C5" w14:textId="77777777" w:rsidR="00F57A1A" w:rsidRPr="0085777B" w:rsidRDefault="00F57A1A" w:rsidP="00F57A1A"/>
    <w:p w14:paraId="72B72374" w14:textId="77777777" w:rsidR="00F80885" w:rsidRPr="0085777B" w:rsidRDefault="00F80885" w:rsidP="00F80885">
      <w:pPr>
        <w:jc w:val="left"/>
      </w:pPr>
    </w:p>
    <w:p w14:paraId="76D800B0" w14:textId="52BA6F78" w:rsidR="00F80885" w:rsidRPr="0085777B" w:rsidRDefault="00F80885" w:rsidP="00F80885">
      <w:pPr>
        <w:pStyle w:val="Heading2"/>
        <w:rPr>
          <w:snapToGrid w:val="0"/>
          <w:lang w:val="es-ES_tradnl"/>
        </w:rPr>
      </w:pPr>
      <w:bookmarkStart w:id="2" w:name="_Hlk212011316"/>
      <w:r w:rsidRPr="0085777B">
        <w:rPr>
          <w:snapToGrid w:val="0"/>
          <w:lang w:val="es-ES_tradnl"/>
        </w:rPr>
        <w:t xml:space="preserve">Informe sobre </w:t>
      </w:r>
      <w:r w:rsidR="00FB61FF">
        <w:rPr>
          <w:snapToGrid w:val="0"/>
          <w:lang w:val="es-ES_tradnl"/>
        </w:rPr>
        <w:t xml:space="preserve">las novedades acaecidas en el </w:t>
      </w:r>
      <w:r w:rsidRPr="0085777B">
        <w:rPr>
          <w:snapToGrid w:val="0"/>
          <w:lang w:val="es-ES_tradnl"/>
        </w:rPr>
        <w:t>Comité Técnico</w:t>
      </w:r>
    </w:p>
    <w:p w14:paraId="579F6156" w14:textId="77777777" w:rsidR="00F80885" w:rsidRPr="0085777B" w:rsidRDefault="00F80885" w:rsidP="00F80885">
      <w:pPr>
        <w:keepNext/>
        <w:jc w:val="left"/>
        <w:rPr>
          <w:snapToGrid w:val="0"/>
        </w:rPr>
      </w:pPr>
    </w:p>
    <w:p w14:paraId="186614C2" w14:textId="68375D0A" w:rsidR="00F80885" w:rsidRPr="0085777B" w:rsidRDefault="00F80885" w:rsidP="00F80885">
      <w:pPr>
        <w:rPr>
          <w:snapToGrid w:val="0"/>
        </w:rPr>
      </w:pPr>
      <w:r w:rsidRPr="0085777B">
        <w:rPr>
          <w:snapToGrid w:val="0"/>
        </w:rPr>
        <w:fldChar w:fldCharType="begin"/>
      </w:r>
      <w:r w:rsidRPr="0085777B">
        <w:rPr>
          <w:snapToGrid w:val="0"/>
        </w:rPr>
        <w:instrText xml:space="preserve"> AUTONUM  </w:instrText>
      </w:r>
      <w:r w:rsidRPr="0085777B">
        <w:rPr>
          <w:snapToGrid w:val="0"/>
        </w:rPr>
        <w:fldChar w:fldCharType="end"/>
      </w:r>
      <w:r w:rsidRPr="0085777B">
        <w:rPr>
          <w:snapToGrid w:val="0"/>
        </w:rPr>
        <w:tab/>
        <w:t xml:space="preserve">El CAJ tomó nota de la información contenida en el documento CAJ/82/2 y del informe oral presentado por la Sra. Beate </w:t>
      </w:r>
      <w:proofErr w:type="spellStart"/>
      <w:r w:rsidRPr="0085777B">
        <w:rPr>
          <w:snapToGrid w:val="0"/>
        </w:rPr>
        <w:t>Rücker</w:t>
      </w:r>
      <w:proofErr w:type="spellEnd"/>
      <w:r w:rsidRPr="0085777B">
        <w:rPr>
          <w:snapToGrid w:val="0"/>
        </w:rPr>
        <w:t xml:space="preserve">, </w:t>
      </w:r>
      <w:r w:rsidR="00FB61FF">
        <w:rPr>
          <w:snapToGrid w:val="0"/>
        </w:rPr>
        <w:t>p</w:t>
      </w:r>
      <w:r w:rsidRPr="0085777B">
        <w:rPr>
          <w:snapToGrid w:val="0"/>
        </w:rPr>
        <w:t xml:space="preserve">residenta del Comité Técnico (TC), </w:t>
      </w:r>
      <w:r w:rsidR="00AE2702" w:rsidRPr="0085777B">
        <w:rPr>
          <w:snapToGrid w:val="0"/>
        </w:rPr>
        <w:t>sobre la labor realizada en la última sesión del</w:t>
      </w:r>
      <w:r w:rsidR="00FB61FF">
        <w:rPr>
          <w:snapToGrid w:val="0"/>
        </w:rPr>
        <w:t> </w:t>
      </w:r>
      <w:r w:rsidR="00AE2702" w:rsidRPr="0085777B">
        <w:rPr>
          <w:snapToGrid w:val="0"/>
        </w:rPr>
        <w:t>TC</w:t>
      </w:r>
      <w:r w:rsidR="004A2553" w:rsidRPr="0085777B">
        <w:rPr>
          <w:snapToGrid w:val="0"/>
        </w:rPr>
        <w:t>.</w:t>
      </w:r>
    </w:p>
    <w:bookmarkEnd w:id="2"/>
    <w:p w14:paraId="4348B0A5" w14:textId="77777777" w:rsidR="004C5B6B" w:rsidRPr="0085777B" w:rsidRDefault="004C5B6B" w:rsidP="00F743C1"/>
    <w:p w14:paraId="3E7CB466" w14:textId="02A2B757" w:rsidR="004D2863" w:rsidRPr="0085777B" w:rsidRDefault="004D2863" w:rsidP="004D2863">
      <w:r w:rsidRPr="0085777B">
        <w:fldChar w:fldCharType="begin"/>
      </w:r>
      <w:r w:rsidRPr="0085777B">
        <w:instrText xml:space="preserve"> AUTONUM  </w:instrText>
      </w:r>
      <w:r w:rsidRPr="0085777B">
        <w:fldChar w:fldCharType="end"/>
      </w:r>
      <w:r w:rsidRPr="0085777B">
        <w:tab/>
      </w:r>
      <w:r w:rsidR="00A17313" w:rsidRPr="0085777B">
        <w:t>El CAJ acordó seguir el enfoque adoptado por el Comité Técnico</w:t>
      </w:r>
      <w:r w:rsidR="00585868" w:rsidRPr="0085777B">
        <w:t xml:space="preserve">, </w:t>
      </w:r>
      <w:r w:rsidRPr="0085777B">
        <w:t>según el cual la lista de participantes no debería incluirse en el informe de la sesión ni publicarse en el sitio web de la UPOV hasta que se tom</w:t>
      </w:r>
      <w:r w:rsidR="00FB61FF">
        <w:t>e</w:t>
      </w:r>
      <w:r w:rsidRPr="0085777B">
        <w:t xml:space="preserve"> una decisión al respecto para todos los órganos de la UPOV. El CAJ acordó que la lista de participantes de </w:t>
      </w:r>
      <w:r w:rsidR="00C566B3" w:rsidRPr="0085777B">
        <w:t xml:space="preserve">la sesión </w:t>
      </w:r>
      <w:r w:rsidRPr="0085777B">
        <w:t>CAJ/82 se distribuiría directamente a los participantes por correo electrónico</w:t>
      </w:r>
      <w:r w:rsidR="00C566B3" w:rsidRPr="0085777B">
        <w:t>.</w:t>
      </w:r>
    </w:p>
    <w:p w14:paraId="0742B15C" w14:textId="77777777" w:rsidR="00A17313" w:rsidRPr="0085777B" w:rsidRDefault="00A17313" w:rsidP="004D2863"/>
    <w:p w14:paraId="2CFA0E32" w14:textId="31780B37" w:rsidR="00F80885" w:rsidRPr="0085777B" w:rsidRDefault="00F80885" w:rsidP="00F80885">
      <w:pPr>
        <w:pStyle w:val="Heading2"/>
        <w:rPr>
          <w:lang w:val="es-ES_tradnl"/>
        </w:rPr>
      </w:pPr>
      <w:r w:rsidRPr="0085777B">
        <w:rPr>
          <w:lang w:val="es-ES_tradnl"/>
        </w:rPr>
        <w:t xml:space="preserve">Elaboración de orientaciones y documentos propuestos para su adopción por el Consejo </w:t>
      </w:r>
    </w:p>
    <w:p w14:paraId="0FFF6C35" w14:textId="77777777" w:rsidR="00F80885" w:rsidRPr="0085777B" w:rsidRDefault="00F80885" w:rsidP="00F80885">
      <w:pPr>
        <w:keepNext/>
      </w:pPr>
    </w:p>
    <w:p w14:paraId="54E6F123" w14:textId="35C1BE6B" w:rsidR="00F80885" w:rsidRPr="0085777B" w:rsidRDefault="00F80885" w:rsidP="00F80885">
      <w:pPr>
        <w:keepNext/>
        <w:rPr>
          <w:snapToGrid w:val="0"/>
        </w:rPr>
      </w:pPr>
      <w:r w:rsidRPr="0085777B">
        <w:rPr>
          <w:snapToGrid w:val="0"/>
        </w:rPr>
        <w:fldChar w:fldCharType="begin"/>
      </w:r>
      <w:r w:rsidRPr="0085777B">
        <w:rPr>
          <w:snapToGrid w:val="0"/>
        </w:rPr>
        <w:instrText xml:space="preserve"> AUTONUM  </w:instrText>
      </w:r>
      <w:r w:rsidRPr="0085777B">
        <w:rPr>
          <w:snapToGrid w:val="0"/>
        </w:rPr>
        <w:fldChar w:fldCharType="end"/>
      </w:r>
      <w:r w:rsidRPr="0085777B">
        <w:rPr>
          <w:snapToGrid w:val="0"/>
        </w:rPr>
        <w:tab/>
        <w:t xml:space="preserve">El CAJ examinó </w:t>
      </w:r>
      <w:r w:rsidR="00D80EA1" w:rsidRPr="0085777B">
        <w:rPr>
          <w:snapToGrid w:val="0"/>
        </w:rPr>
        <w:t xml:space="preserve">los documentos </w:t>
      </w:r>
      <w:r w:rsidRPr="0085777B">
        <w:t xml:space="preserve">SESSIONS/2025/2 </w:t>
      </w:r>
      <w:r w:rsidR="00D80EA1" w:rsidRPr="0085777B">
        <w:t>y CAJ/82/2</w:t>
      </w:r>
      <w:r w:rsidRPr="0085777B">
        <w:t>.</w:t>
      </w:r>
    </w:p>
    <w:p w14:paraId="5A56246D" w14:textId="77777777" w:rsidR="005A1D79" w:rsidRPr="0085777B" w:rsidRDefault="005A1D79" w:rsidP="00F80885">
      <w:pPr>
        <w:keepNext/>
      </w:pPr>
    </w:p>
    <w:p w14:paraId="2EAB53A9" w14:textId="012708DA" w:rsidR="00F80885" w:rsidRPr="0085777B" w:rsidRDefault="00F80885" w:rsidP="00006D73">
      <w:pPr>
        <w:pStyle w:val="Heading3"/>
        <w:rPr>
          <w:lang w:val="es-ES_tradnl"/>
        </w:rPr>
      </w:pPr>
      <w:r w:rsidRPr="0085777B">
        <w:rPr>
          <w:lang w:val="es-ES_tradnl"/>
        </w:rPr>
        <w:t xml:space="preserve">Materiales </w:t>
      </w:r>
      <w:r w:rsidR="009B6F2C">
        <w:rPr>
          <w:lang w:val="es-ES_tradnl"/>
        </w:rPr>
        <w:t>de información</w:t>
      </w:r>
    </w:p>
    <w:p w14:paraId="023CF441" w14:textId="77777777" w:rsidR="00F80885" w:rsidRPr="0085777B" w:rsidRDefault="00F80885" w:rsidP="00F80885"/>
    <w:p w14:paraId="6579994C" w14:textId="77777777" w:rsidR="009B6F2C" w:rsidRPr="008551F4" w:rsidRDefault="009B6F2C" w:rsidP="009B6F2C">
      <w:pPr>
        <w:keepNext/>
        <w:shd w:val="clear" w:color="auto" w:fill="FFFFFF" w:themeFill="background1"/>
        <w:ind w:left="567"/>
        <w:rPr>
          <w:u w:val="single"/>
        </w:rPr>
      </w:pPr>
      <w:r w:rsidRPr="008551F4">
        <w:rPr>
          <w:u w:val="single"/>
        </w:rPr>
        <w:t>UPOV/INF/22: Programas informáticos y equipos utilizados por los miembros de la Unión (Revisión) (documento UPOV/INF/22/12 Draft 1)</w:t>
      </w:r>
    </w:p>
    <w:p w14:paraId="14A3C90B" w14:textId="77777777" w:rsidR="00F80885" w:rsidRPr="0085777B" w:rsidRDefault="00F80885" w:rsidP="00F80885">
      <w:pPr>
        <w:keepNext/>
        <w:rPr>
          <w:lang w:eastAsia="ja-JP"/>
        </w:rPr>
      </w:pPr>
    </w:p>
    <w:p w14:paraId="6A645B53" w14:textId="701AF2E0" w:rsidR="00F80885" w:rsidRPr="0085777B" w:rsidRDefault="00F80885" w:rsidP="00F80885">
      <w:pPr>
        <w:rPr>
          <w:sz w:val="16"/>
          <w:szCs w:val="16"/>
          <w:lang w:eastAsia="ja-JP"/>
        </w:rPr>
      </w:pPr>
      <w:r w:rsidRPr="0085777B">
        <w:fldChar w:fldCharType="begin"/>
      </w:r>
      <w:r w:rsidRPr="0085777B">
        <w:instrText xml:space="preserve"> AUTONUM  </w:instrText>
      </w:r>
      <w:r w:rsidRPr="0085777B">
        <w:fldChar w:fldCharType="end"/>
      </w:r>
      <w:r w:rsidRPr="0085777B">
        <w:rPr>
          <w:sz w:val="16"/>
          <w:szCs w:val="16"/>
          <w:lang w:eastAsia="ja-JP"/>
        </w:rPr>
        <w:tab/>
      </w:r>
      <w:r w:rsidRPr="0085777B">
        <w:t xml:space="preserve">El CAJ aprobó la revisión del documento </w:t>
      </w:r>
      <w:r w:rsidR="00006D73" w:rsidRPr="0085777B">
        <w:t xml:space="preserve">UPOV/INF/22/11 </w:t>
      </w:r>
      <w:r w:rsidRPr="0085777B">
        <w:t>“</w:t>
      </w:r>
      <w:r w:rsidR="009B6F2C" w:rsidRPr="00135AC5">
        <w:t>Programas informáticos y equipos utilizados por los miembros de la Unión</w:t>
      </w:r>
      <w:r w:rsidRPr="0085777B">
        <w:t xml:space="preserve">”, sobre la base del documento </w:t>
      </w:r>
      <w:r w:rsidR="00006D73" w:rsidRPr="0085777B">
        <w:t xml:space="preserve">UPOV/INF/22/12 </w:t>
      </w:r>
      <w:r w:rsidRPr="0085777B">
        <w:t>Draft 1</w:t>
      </w:r>
      <w:r w:rsidR="007A7BC1" w:rsidRPr="0085777B">
        <w:t>.</w:t>
      </w:r>
    </w:p>
    <w:p w14:paraId="27105F10" w14:textId="77777777" w:rsidR="00F80885" w:rsidRPr="0085777B" w:rsidRDefault="00F80885" w:rsidP="00F80885"/>
    <w:p w14:paraId="3A1BAF78" w14:textId="5A8151E0" w:rsidR="00F80885" w:rsidRPr="0085777B" w:rsidRDefault="00F80885" w:rsidP="00F80885">
      <w:pPr>
        <w:rPr>
          <w:lang w:eastAsia="ja-JP"/>
        </w:rPr>
      </w:pPr>
      <w:r w:rsidRPr="0085777B">
        <w:rPr>
          <w:lang w:eastAsia="ja-JP"/>
        </w:rPr>
        <w:fldChar w:fldCharType="begin"/>
      </w:r>
      <w:r w:rsidRPr="0085777B">
        <w:rPr>
          <w:lang w:eastAsia="ja-JP"/>
        </w:rPr>
        <w:instrText xml:space="preserve"> AUTONUM  </w:instrText>
      </w:r>
      <w:r w:rsidRPr="0085777B">
        <w:rPr>
          <w:lang w:eastAsia="ja-JP"/>
        </w:rPr>
        <w:fldChar w:fldCharType="end"/>
      </w:r>
      <w:r w:rsidRPr="0085777B">
        <w:rPr>
          <w:lang w:eastAsia="ja-JP"/>
        </w:rPr>
        <w:tab/>
        <w:t xml:space="preserve">El CAJ acordó invitar al Consejo a que, en su </w:t>
      </w:r>
      <w:r w:rsidR="00006D73" w:rsidRPr="0085777B">
        <w:rPr>
          <w:lang w:eastAsia="ja-JP"/>
        </w:rPr>
        <w:t xml:space="preserve">quincuagésima novena </w:t>
      </w:r>
      <w:r w:rsidRPr="0085777B">
        <w:rPr>
          <w:lang w:eastAsia="ja-JP"/>
        </w:rPr>
        <w:t xml:space="preserve">sesión ordinaria, aprobara las revisiones propuestas al documento </w:t>
      </w:r>
      <w:r w:rsidR="00006D73" w:rsidRPr="0085777B">
        <w:rPr>
          <w:lang w:eastAsia="ja-JP"/>
        </w:rPr>
        <w:t>UPOV/INF/22/11</w:t>
      </w:r>
      <w:r w:rsidRPr="0085777B">
        <w:rPr>
          <w:lang w:eastAsia="ja-JP"/>
        </w:rPr>
        <w:t xml:space="preserve"> “</w:t>
      </w:r>
      <w:r w:rsidR="009E0097" w:rsidRPr="00135AC5">
        <w:t>Programas informáticos y equipos utilizados por los miembros de la Unión</w:t>
      </w:r>
      <w:r w:rsidRPr="0085777B">
        <w:rPr>
          <w:lang w:eastAsia="ja-JP"/>
        </w:rPr>
        <w:t xml:space="preserve">”, sobre la base del documento </w:t>
      </w:r>
      <w:r w:rsidR="00006D73" w:rsidRPr="0085777B">
        <w:rPr>
          <w:lang w:eastAsia="ja-JP"/>
        </w:rPr>
        <w:t xml:space="preserve">UPOV/INF/22/12 </w:t>
      </w:r>
      <w:r w:rsidRPr="0085777B">
        <w:rPr>
          <w:lang w:eastAsia="ja-JP"/>
        </w:rPr>
        <w:t xml:space="preserve">Draft 1. </w:t>
      </w:r>
    </w:p>
    <w:p w14:paraId="5C51543A" w14:textId="77777777" w:rsidR="00F80885" w:rsidRPr="0085777B" w:rsidRDefault="00F80885" w:rsidP="00F80885"/>
    <w:p w14:paraId="37192803" w14:textId="77777777" w:rsidR="00F80885" w:rsidRPr="0085777B" w:rsidRDefault="00F80885" w:rsidP="00F80885"/>
    <w:p w14:paraId="5B20C6FE" w14:textId="77777777" w:rsidR="00F80885" w:rsidRPr="0085777B" w:rsidRDefault="00F80885" w:rsidP="00006D73">
      <w:pPr>
        <w:pStyle w:val="Heading3"/>
        <w:rPr>
          <w:lang w:val="es-ES_tradnl"/>
        </w:rPr>
      </w:pPr>
      <w:r w:rsidRPr="0085777B">
        <w:rPr>
          <w:lang w:val="es-ES_tradnl"/>
        </w:rPr>
        <w:t>Documentos TGP</w:t>
      </w:r>
    </w:p>
    <w:p w14:paraId="137ED831" w14:textId="77777777" w:rsidR="00F80885" w:rsidRPr="0085777B" w:rsidRDefault="00F80885" w:rsidP="00F80885">
      <w:pPr>
        <w:keepNext/>
      </w:pPr>
    </w:p>
    <w:p w14:paraId="349983D7" w14:textId="22CF30B6" w:rsidR="00006D73" w:rsidRPr="0085777B" w:rsidRDefault="00006D73" w:rsidP="00006D73">
      <w:pPr>
        <w:pStyle w:val="Heading4"/>
        <w:rPr>
          <w:lang w:val="es-ES_tradnl"/>
        </w:rPr>
      </w:pPr>
      <w:r w:rsidRPr="0085777B">
        <w:rPr>
          <w:lang w:val="es-ES_tradnl"/>
        </w:rPr>
        <w:t>Documento TGP/5:  «Experiencia y cooperación en el examen DHE»:</w:t>
      </w:r>
    </w:p>
    <w:p w14:paraId="0063A62D" w14:textId="77777777" w:rsidR="00006D73" w:rsidRPr="0085777B" w:rsidRDefault="00006D73" w:rsidP="00006D73"/>
    <w:p w14:paraId="09EAC260" w14:textId="788C9C8F" w:rsidR="00006D73" w:rsidRPr="009E0097" w:rsidRDefault="00006D73" w:rsidP="009E0097">
      <w:pPr>
        <w:pStyle w:val="Heading5"/>
        <w:rPr>
          <w:lang w:val="es-ES_tradnl"/>
        </w:rPr>
      </w:pPr>
      <w:r w:rsidRPr="009E0097">
        <w:rPr>
          <w:lang w:val="es-ES_tradnl"/>
        </w:rPr>
        <w:t>Experiencia y cooperación en el examen DHE:  Sección 6 “</w:t>
      </w:r>
      <w:r w:rsidR="009E0097" w:rsidRPr="009E0097">
        <w:rPr>
          <w:lang w:val="es-ES_tradnl"/>
        </w:rPr>
        <w:t>Informe de la UPOV sobre el examen técnico y Formulario UPOV para la descripción de variedades</w:t>
      </w:r>
      <w:r w:rsidRPr="009E0097">
        <w:rPr>
          <w:lang w:val="es-ES_tradnl"/>
        </w:rPr>
        <w:t>” (Revisión)</w:t>
      </w:r>
    </w:p>
    <w:p w14:paraId="0E2F8EEF" w14:textId="77777777" w:rsidR="00006D73" w:rsidRPr="0085777B" w:rsidRDefault="00006D73" w:rsidP="00006D73"/>
    <w:p w14:paraId="518B0F33" w14:textId="73CA7A01" w:rsidR="00006D73" w:rsidRPr="0085777B" w:rsidRDefault="00006D73" w:rsidP="00006D73">
      <w:pPr>
        <w:rPr>
          <w:lang w:eastAsia="ja-JP"/>
        </w:rPr>
      </w:pPr>
      <w:r w:rsidRPr="0085777B">
        <w:rPr>
          <w:lang w:eastAsia="ja-JP"/>
        </w:rPr>
        <w:fldChar w:fldCharType="begin"/>
      </w:r>
      <w:r w:rsidRPr="0085777B">
        <w:rPr>
          <w:lang w:eastAsia="ja-JP"/>
        </w:rPr>
        <w:instrText xml:space="preserve"> AUTONUM  </w:instrText>
      </w:r>
      <w:r w:rsidRPr="0085777B">
        <w:rPr>
          <w:lang w:eastAsia="ja-JP"/>
        </w:rPr>
        <w:fldChar w:fldCharType="end"/>
      </w:r>
      <w:r w:rsidRPr="0085777B">
        <w:rPr>
          <w:lang w:eastAsia="ja-JP"/>
        </w:rPr>
        <w:tab/>
        <w:t>El CAJ examinó el Anexo I del documento SESSION/2025/2.</w:t>
      </w:r>
    </w:p>
    <w:p w14:paraId="5ED304CF" w14:textId="77777777" w:rsidR="00006D73" w:rsidRPr="0085777B" w:rsidRDefault="00006D73" w:rsidP="00006D73"/>
    <w:p w14:paraId="65C24BB7" w14:textId="43CE3855" w:rsidR="00006D73" w:rsidRPr="0085777B" w:rsidRDefault="00006D73" w:rsidP="00006D73">
      <w:r w:rsidRPr="0085777B">
        <w:fldChar w:fldCharType="begin"/>
      </w:r>
      <w:r w:rsidRPr="0085777B">
        <w:instrText xml:space="preserve"> AUTONUM  </w:instrText>
      </w:r>
      <w:r w:rsidRPr="0085777B">
        <w:fldChar w:fldCharType="end"/>
      </w:r>
      <w:r w:rsidRPr="0085777B">
        <w:tab/>
        <w:t xml:space="preserve">El CAJ tomó nota de que el TC había acordado, en su </w:t>
      </w:r>
      <w:r w:rsidR="009E0097">
        <w:t xml:space="preserve">sexagésima primera </w:t>
      </w:r>
      <w:r w:rsidR="00D65089" w:rsidRPr="0085777B">
        <w:t>sesión</w:t>
      </w:r>
      <w:r w:rsidRPr="0085777B">
        <w:t>, proponer una revisión del documento TGP/5 «Experiencia y cooperación en el examen DHE», sección 6 «</w:t>
      </w:r>
      <w:r w:rsidR="009E0097" w:rsidRPr="009E0097">
        <w:t>Informe de la</w:t>
      </w:r>
      <w:r w:rsidR="009E0097">
        <w:t> </w:t>
      </w:r>
      <w:r w:rsidR="009E0097" w:rsidRPr="009E0097">
        <w:t>UPOV sobre el examen técnico y Formulario UPOV para la descripción de variedades</w:t>
      </w:r>
      <w:r w:rsidRPr="0085777B">
        <w:t xml:space="preserve">», sobre la base del documento TGP/5, sección 6/5 </w:t>
      </w:r>
      <w:r w:rsidR="009E0097">
        <w:t xml:space="preserve">Draft </w:t>
      </w:r>
      <w:r w:rsidRPr="0085777B">
        <w:t>2.</w:t>
      </w:r>
    </w:p>
    <w:p w14:paraId="302C7537" w14:textId="69DF87CA" w:rsidR="00006D73" w:rsidRPr="0085777B" w:rsidRDefault="00006D73" w:rsidP="00006D73"/>
    <w:p w14:paraId="04388215" w14:textId="7E37E9BB" w:rsidR="00F80885" w:rsidRPr="0085777B" w:rsidRDefault="009E0097" w:rsidP="00F80885">
      <w:pPr>
        <w:pStyle w:val="Heading4"/>
        <w:rPr>
          <w:lang w:val="es-ES_tradnl"/>
        </w:rPr>
      </w:pPr>
      <w:bookmarkStart w:id="3" w:name="_Hlk179278540"/>
      <w:r>
        <w:rPr>
          <w:lang w:val="es-ES_tradnl"/>
        </w:rPr>
        <w:t>Documento</w:t>
      </w:r>
      <w:r w:rsidR="00F80885" w:rsidRPr="0085777B">
        <w:rPr>
          <w:lang w:val="es-ES_tradnl"/>
        </w:rPr>
        <w:t xml:space="preserve"> TGP/7</w:t>
      </w:r>
      <w:bookmarkEnd w:id="3"/>
      <w:r w:rsidR="00F80885" w:rsidRPr="0085777B">
        <w:rPr>
          <w:lang w:val="es-ES_tradnl"/>
        </w:rPr>
        <w:t xml:space="preserve">: Elaboración de </w:t>
      </w:r>
      <w:r>
        <w:rPr>
          <w:lang w:val="es-ES_tradnl"/>
        </w:rPr>
        <w:t xml:space="preserve">las </w:t>
      </w:r>
      <w:r w:rsidR="00F80885" w:rsidRPr="0085777B">
        <w:rPr>
          <w:lang w:val="es-ES_tradnl"/>
        </w:rPr>
        <w:t xml:space="preserve">directrices de examen (revisión) </w:t>
      </w:r>
    </w:p>
    <w:p w14:paraId="06E30E8A" w14:textId="77777777" w:rsidR="00F80885" w:rsidRPr="0085777B" w:rsidRDefault="00F80885" w:rsidP="00F80885"/>
    <w:p w14:paraId="2C79C073" w14:textId="77777777" w:rsidR="009E0097" w:rsidRPr="008551F4" w:rsidRDefault="009E0097" w:rsidP="009E0097">
      <w:pPr>
        <w:ind w:left="567"/>
        <w:rPr>
          <w:i/>
          <w:iCs/>
        </w:rPr>
      </w:pPr>
      <w:r w:rsidRPr="008551F4">
        <w:rPr>
          <w:i/>
          <w:iCs/>
        </w:rPr>
        <w:t xml:space="preserve">Nota de orientación </w:t>
      </w:r>
      <w:r>
        <w:rPr>
          <w:i/>
          <w:iCs/>
        </w:rPr>
        <w:t>GN</w:t>
      </w:r>
      <w:r w:rsidRPr="008551F4">
        <w:rPr>
          <w:i/>
          <w:iCs/>
        </w:rPr>
        <w:t xml:space="preserve"> 28 «Variedades ejemplo»: Situaciones en las que las ilustraciones </w:t>
      </w:r>
      <w:r>
        <w:rPr>
          <w:i/>
          <w:iCs/>
        </w:rPr>
        <w:t xml:space="preserve">pueden </w:t>
      </w:r>
      <w:r w:rsidRPr="008551F4">
        <w:rPr>
          <w:i/>
          <w:iCs/>
        </w:rPr>
        <w:t>complementar o sustituir las variedades ejemplo</w:t>
      </w:r>
    </w:p>
    <w:p w14:paraId="04A14162" w14:textId="77777777" w:rsidR="008F0F9B" w:rsidRPr="0085777B" w:rsidRDefault="008F0F9B" w:rsidP="008F0F9B"/>
    <w:p w14:paraId="199B96C3" w14:textId="01C787A6" w:rsidR="00F80885" w:rsidRPr="0085777B" w:rsidRDefault="00F80885" w:rsidP="00F80885">
      <w:pPr>
        <w:rPr>
          <w:lang w:eastAsia="ja-JP"/>
        </w:rPr>
      </w:pPr>
      <w:r w:rsidRPr="0085777B">
        <w:rPr>
          <w:lang w:eastAsia="ja-JP"/>
        </w:rPr>
        <w:fldChar w:fldCharType="begin"/>
      </w:r>
      <w:r w:rsidRPr="0085777B">
        <w:rPr>
          <w:lang w:eastAsia="ja-JP"/>
        </w:rPr>
        <w:instrText xml:space="preserve"> AUTONUM  </w:instrText>
      </w:r>
      <w:r w:rsidRPr="0085777B">
        <w:rPr>
          <w:lang w:eastAsia="ja-JP"/>
        </w:rPr>
        <w:fldChar w:fldCharType="end"/>
      </w:r>
      <w:r w:rsidRPr="0085777B">
        <w:rPr>
          <w:lang w:eastAsia="ja-JP"/>
        </w:rPr>
        <w:tab/>
        <w:t xml:space="preserve">El CAJ examinó el Anexo </w:t>
      </w:r>
      <w:r w:rsidR="00F97752" w:rsidRPr="0085777B">
        <w:rPr>
          <w:lang w:eastAsia="ja-JP"/>
        </w:rPr>
        <w:t xml:space="preserve">II </w:t>
      </w:r>
      <w:r w:rsidRPr="0085777B">
        <w:rPr>
          <w:lang w:eastAsia="ja-JP"/>
        </w:rPr>
        <w:t>del documento SESSION/2025/2.</w:t>
      </w:r>
    </w:p>
    <w:p w14:paraId="7D17F5A4" w14:textId="77777777" w:rsidR="00206A25" w:rsidRPr="0085777B" w:rsidRDefault="00206A25" w:rsidP="00F80885">
      <w:pPr>
        <w:rPr>
          <w:lang w:eastAsia="ja-JP"/>
        </w:rPr>
      </w:pPr>
    </w:p>
    <w:p w14:paraId="60C78966" w14:textId="55198E9E" w:rsidR="002200F7" w:rsidRPr="0085777B" w:rsidRDefault="00206A25" w:rsidP="00206A25">
      <w:r w:rsidRPr="0085777B">
        <w:rPr>
          <w:lang w:eastAsia="ja-JP"/>
        </w:rPr>
        <w:fldChar w:fldCharType="begin"/>
      </w:r>
      <w:r w:rsidRPr="0085777B">
        <w:rPr>
          <w:lang w:eastAsia="ja-JP"/>
        </w:rPr>
        <w:instrText xml:space="preserve"> AUTONUM  </w:instrText>
      </w:r>
      <w:r w:rsidRPr="0085777B">
        <w:rPr>
          <w:lang w:eastAsia="ja-JP"/>
        </w:rPr>
        <w:fldChar w:fldCharType="end"/>
      </w:r>
      <w:r w:rsidRPr="0085777B">
        <w:rPr>
          <w:lang w:eastAsia="ja-JP"/>
        </w:rPr>
        <w:tab/>
      </w:r>
      <w:r w:rsidR="00E159FE" w:rsidRPr="0085777B">
        <w:t xml:space="preserve">El CAJ tomó nota de que el TC había </w:t>
      </w:r>
      <w:r w:rsidRPr="0085777B">
        <w:t xml:space="preserve">acordado, en su </w:t>
      </w:r>
      <w:r w:rsidR="00006D73" w:rsidRPr="0085777B">
        <w:t xml:space="preserve">sexagésima </w:t>
      </w:r>
      <w:r w:rsidR="00861C7A" w:rsidRPr="0085777B">
        <w:t>primera sesión</w:t>
      </w:r>
      <w:r w:rsidRPr="0085777B">
        <w:t xml:space="preserve">, </w:t>
      </w:r>
      <w:r w:rsidR="002200F7" w:rsidRPr="0085777B">
        <w:t xml:space="preserve">proponer una revisión del documento TGP/7 «Elaboración de </w:t>
      </w:r>
      <w:r w:rsidR="009E0097">
        <w:t xml:space="preserve">las </w:t>
      </w:r>
      <w:r w:rsidR="002200F7" w:rsidRPr="0085777B">
        <w:t xml:space="preserve">directrices de examen», sobre la base de las enmiendas propuestas que figuran en el apéndice del </w:t>
      </w:r>
      <w:r w:rsidR="009E0097" w:rsidRPr="0085777B">
        <w:t xml:space="preserve">Anexo </w:t>
      </w:r>
      <w:r w:rsidR="002200F7" w:rsidRPr="0085777B">
        <w:t>II del documento SESSIONS/2025/2.</w:t>
      </w:r>
    </w:p>
    <w:p w14:paraId="7786AE50" w14:textId="77777777" w:rsidR="002200F7" w:rsidRPr="0085777B" w:rsidRDefault="002200F7" w:rsidP="00206A25"/>
    <w:p w14:paraId="68000FBF" w14:textId="32C14C85" w:rsidR="00206A25" w:rsidRPr="0085777B" w:rsidRDefault="002200F7" w:rsidP="00206A25">
      <w:r w:rsidRPr="0085777B">
        <w:rPr>
          <w:lang w:eastAsia="ja-JP"/>
        </w:rPr>
        <w:fldChar w:fldCharType="begin"/>
      </w:r>
      <w:r w:rsidRPr="0085777B">
        <w:rPr>
          <w:lang w:eastAsia="ja-JP"/>
        </w:rPr>
        <w:instrText xml:space="preserve"> AUTONUM  </w:instrText>
      </w:r>
      <w:r w:rsidRPr="0085777B">
        <w:rPr>
          <w:lang w:eastAsia="ja-JP"/>
        </w:rPr>
        <w:fldChar w:fldCharType="end"/>
      </w:r>
      <w:r w:rsidRPr="0085777B">
        <w:rPr>
          <w:lang w:eastAsia="ja-JP"/>
        </w:rPr>
        <w:tab/>
      </w:r>
      <w:r w:rsidRPr="0085777B">
        <w:t xml:space="preserve">El CAJ tomó nota de que el TC había acordado, en su sexagésima primera sesión, </w:t>
      </w:r>
      <w:r w:rsidR="00006D73" w:rsidRPr="0085777B">
        <w:t xml:space="preserve">invitar a los TWP, en sus sesiones de 2026, a examinar las enmiendas propuestas al documento TGP/7 «Elaboración de </w:t>
      </w:r>
      <w:r w:rsidR="009E0097">
        <w:t xml:space="preserve">las </w:t>
      </w:r>
      <w:r w:rsidR="00006D73" w:rsidRPr="0085777B">
        <w:t>directrices de examen (revisión)» en relación con el número de ciclos de cultivo y el examen final, tal como se establece en los párrafos 22 a 24 del documento SESSIONS/2025/2.</w:t>
      </w:r>
    </w:p>
    <w:p w14:paraId="00F3733C" w14:textId="77777777" w:rsidR="00F80885" w:rsidRPr="0085777B" w:rsidRDefault="00F80885" w:rsidP="00F80885">
      <w:pPr>
        <w:rPr>
          <w:highlight w:val="yellow"/>
          <w:lang w:eastAsia="ja-JP"/>
        </w:rPr>
      </w:pPr>
    </w:p>
    <w:p w14:paraId="169887B6" w14:textId="30BF6AB9" w:rsidR="00F80885" w:rsidRPr="0085777B" w:rsidRDefault="00F80885" w:rsidP="00F80885">
      <w:pPr>
        <w:rPr>
          <w:lang w:eastAsia="ja-JP"/>
        </w:rPr>
      </w:pPr>
      <w:r w:rsidRPr="0085777B">
        <w:rPr>
          <w:lang w:eastAsia="ja-JP"/>
        </w:rPr>
        <w:fldChar w:fldCharType="begin"/>
      </w:r>
      <w:r w:rsidRPr="0085777B">
        <w:rPr>
          <w:lang w:eastAsia="ja-JP"/>
        </w:rPr>
        <w:instrText xml:space="preserve"> AUTONUM  </w:instrText>
      </w:r>
      <w:r w:rsidRPr="0085777B">
        <w:rPr>
          <w:lang w:eastAsia="ja-JP"/>
        </w:rPr>
        <w:fldChar w:fldCharType="end"/>
      </w:r>
      <w:r w:rsidRPr="0085777B">
        <w:rPr>
          <w:lang w:eastAsia="ja-JP"/>
        </w:rPr>
        <w:tab/>
        <w:t xml:space="preserve">El CAJ </w:t>
      </w:r>
      <w:r w:rsidR="00193B38" w:rsidRPr="0085777B">
        <w:t xml:space="preserve">estuvo de acuerdo con la propuesta del TC y </w:t>
      </w:r>
      <w:r w:rsidRPr="0085777B">
        <w:rPr>
          <w:lang w:eastAsia="ja-JP"/>
        </w:rPr>
        <w:t xml:space="preserve">aprobó la revisión propuesta del documento TGP/7 «Elaboración de </w:t>
      </w:r>
      <w:r w:rsidR="009E0097">
        <w:rPr>
          <w:lang w:eastAsia="ja-JP"/>
        </w:rPr>
        <w:t xml:space="preserve">las </w:t>
      </w:r>
      <w:r w:rsidRPr="0085777B">
        <w:rPr>
          <w:lang w:eastAsia="ja-JP"/>
        </w:rPr>
        <w:t xml:space="preserve">directrices de examen», </w:t>
      </w:r>
      <w:r w:rsidR="00193B38" w:rsidRPr="0085777B">
        <w:rPr>
          <w:lang w:eastAsia="ja-JP"/>
        </w:rPr>
        <w:t>tal como se establece en el párrafo</w:t>
      </w:r>
      <w:r w:rsidR="00A77A77" w:rsidRPr="0085777B">
        <w:rPr>
          <w:lang w:eastAsia="ja-JP"/>
        </w:rPr>
        <w:t xml:space="preserve"> 24</w:t>
      </w:r>
      <w:r w:rsidR="00193B38" w:rsidRPr="0085777B">
        <w:rPr>
          <w:lang w:eastAsia="ja-JP"/>
        </w:rPr>
        <w:t>.</w:t>
      </w:r>
    </w:p>
    <w:p w14:paraId="749B0C75" w14:textId="77777777" w:rsidR="00F80885" w:rsidRPr="0085777B" w:rsidRDefault="00F80885" w:rsidP="00F80885">
      <w:pPr>
        <w:rPr>
          <w:highlight w:val="yellow"/>
          <w:lang w:eastAsia="ja-JP"/>
        </w:rPr>
      </w:pPr>
    </w:p>
    <w:p w14:paraId="65781489" w14:textId="40764945" w:rsidR="00193B38" w:rsidRPr="0085777B" w:rsidRDefault="00F80885" w:rsidP="00F80885">
      <w:pPr>
        <w:rPr>
          <w:lang w:eastAsia="ja-JP"/>
        </w:rPr>
      </w:pPr>
      <w:r w:rsidRPr="0085777B">
        <w:rPr>
          <w:lang w:eastAsia="ja-JP"/>
        </w:rPr>
        <w:fldChar w:fldCharType="begin"/>
      </w:r>
      <w:r w:rsidRPr="0085777B">
        <w:rPr>
          <w:lang w:eastAsia="ja-JP"/>
        </w:rPr>
        <w:instrText xml:space="preserve"> AUTONUM  </w:instrText>
      </w:r>
      <w:r w:rsidRPr="0085777B">
        <w:rPr>
          <w:lang w:eastAsia="ja-JP"/>
        </w:rPr>
        <w:fldChar w:fldCharType="end"/>
      </w:r>
      <w:r w:rsidRPr="0085777B">
        <w:rPr>
          <w:lang w:eastAsia="ja-JP"/>
        </w:rPr>
        <w:tab/>
      </w:r>
      <w:r w:rsidR="00193B38" w:rsidRPr="0085777B">
        <w:rPr>
          <w:lang w:eastAsia="ja-JP"/>
        </w:rPr>
        <w:t xml:space="preserve">Sobre esa base, </w:t>
      </w:r>
      <w:r w:rsidRPr="0085777B">
        <w:rPr>
          <w:lang w:eastAsia="ja-JP"/>
        </w:rPr>
        <w:t xml:space="preserve">el CAJ acordó invitar al Consejo a que, en su </w:t>
      </w:r>
      <w:r w:rsidR="002200F7" w:rsidRPr="0085777B">
        <w:rPr>
          <w:lang w:eastAsia="ja-JP"/>
        </w:rPr>
        <w:t xml:space="preserve">quincuagésima novena </w:t>
      </w:r>
      <w:r w:rsidRPr="0085777B">
        <w:rPr>
          <w:lang w:eastAsia="ja-JP"/>
        </w:rPr>
        <w:t xml:space="preserve">sesión ordinaria, aprobara las revisiones propuestas al documento TGP/7 «Elaboración de </w:t>
      </w:r>
      <w:r w:rsidR="009E0097">
        <w:rPr>
          <w:lang w:eastAsia="ja-JP"/>
        </w:rPr>
        <w:t xml:space="preserve">las </w:t>
      </w:r>
      <w:r w:rsidRPr="0085777B">
        <w:rPr>
          <w:lang w:eastAsia="ja-JP"/>
        </w:rPr>
        <w:t>directrices de examen</w:t>
      </w:r>
      <w:r w:rsidR="00193B38" w:rsidRPr="0085777B">
        <w:rPr>
          <w:lang w:eastAsia="ja-JP"/>
        </w:rPr>
        <w:t>».</w:t>
      </w:r>
    </w:p>
    <w:p w14:paraId="00ABCCB3" w14:textId="77777777" w:rsidR="00F80885" w:rsidRPr="0085777B" w:rsidRDefault="00F80885" w:rsidP="00F80885"/>
    <w:p w14:paraId="6E8B5DA0" w14:textId="1951CD4E" w:rsidR="00FB0EE6" w:rsidRPr="0085777B" w:rsidRDefault="00FB0EE6">
      <w:pPr>
        <w:jc w:val="left"/>
        <w:rPr>
          <w:u w:val="single"/>
        </w:rPr>
      </w:pPr>
    </w:p>
    <w:p w14:paraId="31D893E9" w14:textId="458DDE06" w:rsidR="002B7148" w:rsidRPr="0085777B" w:rsidRDefault="002B7148" w:rsidP="002B7148">
      <w:pPr>
        <w:pStyle w:val="Heading2"/>
        <w:rPr>
          <w:lang w:val="es-ES_tradnl"/>
        </w:rPr>
      </w:pPr>
      <w:r w:rsidRPr="0085777B">
        <w:rPr>
          <w:lang w:val="es-ES_tradnl"/>
        </w:rPr>
        <w:t>Medidas para mejorar la cooperación en materia de examen (documento SESSIONS/2025/3)</w:t>
      </w:r>
    </w:p>
    <w:p w14:paraId="5CAF10A8" w14:textId="77777777" w:rsidR="002B7148" w:rsidRPr="0085777B" w:rsidRDefault="002B7148" w:rsidP="002B7148">
      <w:pPr>
        <w:keepNext/>
      </w:pPr>
    </w:p>
    <w:p w14:paraId="431EF404" w14:textId="7321B006" w:rsidR="002B7148" w:rsidRPr="0085777B" w:rsidRDefault="002B7148" w:rsidP="002B7148">
      <w:r w:rsidRPr="0085777B">
        <w:fldChar w:fldCharType="begin"/>
      </w:r>
      <w:r w:rsidRPr="0085777B">
        <w:instrText xml:space="preserve"> AUTONUM  </w:instrText>
      </w:r>
      <w:r w:rsidRPr="0085777B">
        <w:fldChar w:fldCharType="end"/>
      </w:r>
      <w:r w:rsidRPr="0085777B">
        <w:tab/>
        <w:t>El CAJ examinó el documento SESSIONS/2025/3.</w:t>
      </w:r>
    </w:p>
    <w:p w14:paraId="5CA144C8" w14:textId="77777777" w:rsidR="002B7148" w:rsidRPr="0085777B" w:rsidRDefault="002B7148" w:rsidP="00F80885"/>
    <w:p w14:paraId="6B488CA4" w14:textId="14E5B875" w:rsidR="00685A07" w:rsidRPr="0085777B" w:rsidRDefault="00685A07" w:rsidP="00685A07">
      <w:pPr>
        <w:pStyle w:val="Heading3"/>
        <w:rPr>
          <w:lang w:val="es-ES_tradnl"/>
        </w:rPr>
      </w:pPr>
      <w:bookmarkStart w:id="4" w:name="_Toc210138028"/>
      <w:r w:rsidRPr="0085777B">
        <w:rPr>
          <w:lang w:val="es-ES_tradnl"/>
        </w:rPr>
        <w:t>Aumento de las oportunidades de cooperación internacional</w:t>
      </w:r>
      <w:bookmarkEnd w:id="4"/>
    </w:p>
    <w:p w14:paraId="59485807" w14:textId="77777777" w:rsidR="00685A07" w:rsidRPr="0085777B" w:rsidRDefault="00685A07" w:rsidP="00685A07"/>
    <w:p w14:paraId="4765E679" w14:textId="77777777" w:rsidR="00685A07" w:rsidRPr="0085777B" w:rsidRDefault="00685A07" w:rsidP="00685A07">
      <w:pPr>
        <w:pStyle w:val="Heading4"/>
        <w:rPr>
          <w:lang w:val="es-ES_tradnl"/>
        </w:rPr>
      </w:pPr>
      <w:bookmarkStart w:id="5" w:name="_Toc210138029"/>
      <w:bookmarkStart w:id="6" w:name="_Hlk210898652"/>
      <w:r w:rsidRPr="0085777B">
        <w:rPr>
          <w:lang w:val="es-ES_tradnl"/>
        </w:rPr>
        <w:t>(a)</w:t>
      </w:r>
      <w:r w:rsidRPr="0085777B">
        <w:rPr>
          <w:lang w:val="es-ES_tradnl"/>
        </w:rPr>
        <w:tab/>
        <w:t>“Efecto ambiental en la expresión de los caracteres”</w:t>
      </w:r>
      <w:bookmarkEnd w:id="5"/>
    </w:p>
    <w:p w14:paraId="2B47994F" w14:textId="6113A724" w:rsidR="00685A07" w:rsidRPr="0085777B" w:rsidRDefault="003D2B36" w:rsidP="00685A07">
      <w:pPr>
        <w:pStyle w:val="Heading4"/>
        <w:rPr>
          <w:lang w:val="es-ES_tradnl"/>
        </w:rPr>
      </w:pPr>
      <w:bookmarkStart w:id="7" w:name="_Toc210138030"/>
      <w:r>
        <w:rPr>
          <w:lang w:val="es-ES_tradnl"/>
        </w:rPr>
        <w:t>(</w:t>
      </w:r>
      <w:r w:rsidR="00685A07" w:rsidRPr="0085777B">
        <w:rPr>
          <w:lang w:val="es-ES_tradnl"/>
        </w:rPr>
        <w:t>b)</w:t>
      </w:r>
      <w:r w:rsidR="00685A07" w:rsidRPr="0085777B">
        <w:rPr>
          <w:lang w:val="es-ES_tradnl"/>
        </w:rPr>
        <w:tab/>
        <w:t>«Exhaustividad y pertinencia de las colecciones de variedades»</w:t>
      </w:r>
      <w:bookmarkEnd w:id="7"/>
    </w:p>
    <w:bookmarkEnd w:id="6"/>
    <w:p w14:paraId="74D12E02" w14:textId="77777777" w:rsidR="00685A07" w:rsidRPr="0085777B" w:rsidRDefault="00685A07" w:rsidP="00685A07"/>
    <w:p w14:paraId="17DEF96A" w14:textId="4A2A6B2B" w:rsidR="00685A07" w:rsidRPr="0085777B" w:rsidRDefault="00685A07" w:rsidP="00685A07">
      <w:r w:rsidRPr="0085777B">
        <w:fldChar w:fldCharType="begin"/>
      </w:r>
      <w:r w:rsidRPr="0085777B">
        <w:instrText xml:space="preserve"> AUTONUM  </w:instrText>
      </w:r>
      <w:r w:rsidRPr="0085777B">
        <w:fldChar w:fldCharType="end"/>
      </w:r>
      <w:r w:rsidRPr="0085777B">
        <w:tab/>
        <w:t>El CAJ consideró la posibilidad de organizar seminarios web para presentar experiencias prácticas relacionadas con el efecto ambiental en la expresión de los caracteres.</w:t>
      </w:r>
    </w:p>
    <w:p w14:paraId="6013268E" w14:textId="77777777" w:rsidR="00685A07" w:rsidRPr="0085777B" w:rsidRDefault="00685A07" w:rsidP="00685A07"/>
    <w:bookmarkStart w:id="8" w:name="_Hlk210898495"/>
    <w:p w14:paraId="59BB07A0" w14:textId="2D5D7239" w:rsidR="00685A07" w:rsidRPr="0085777B" w:rsidRDefault="00685A07" w:rsidP="00685A07">
      <w:r w:rsidRPr="0085777B">
        <w:fldChar w:fldCharType="begin"/>
      </w:r>
      <w:r w:rsidRPr="0085777B">
        <w:instrText xml:space="preserve"> AUTONUM  </w:instrText>
      </w:r>
      <w:r w:rsidRPr="0085777B">
        <w:fldChar w:fldCharType="end"/>
      </w:r>
      <w:r w:rsidRPr="0085777B">
        <w:tab/>
        <w:t xml:space="preserve">El CAJ examinó la posibilidad de organizar seminarios web para presentar experiencias prácticas relacionadas con la constitución y la pertinencia de las colecciones de variedades. </w:t>
      </w:r>
    </w:p>
    <w:p w14:paraId="37711FAB" w14:textId="77777777" w:rsidR="008103E7" w:rsidRPr="0085777B" w:rsidRDefault="008103E7" w:rsidP="00685A07"/>
    <w:bookmarkEnd w:id="8"/>
    <w:p w14:paraId="7720707F" w14:textId="43A685D5" w:rsidR="00685A07" w:rsidRPr="0085777B" w:rsidRDefault="008103E7" w:rsidP="00685A07">
      <w:r w:rsidRPr="0085777B">
        <w:fldChar w:fldCharType="begin"/>
      </w:r>
      <w:r w:rsidRPr="0085777B">
        <w:instrText xml:space="preserve"> AUTONUM  </w:instrText>
      </w:r>
      <w:r w:rsidRPr="0085777B">
        <w:fldChar w:fldCharType="end"/>
      </w:r>
      <w:r w:rsidRPr="0085777B">
        <w:tab/>
        <w:t xml:space="preserve">El CAJ tomó nota de que el TC acordó </w:t>
      </w:r>
      <w:r w:rsidR="00391333" w:rsidRPr="0085777B">
        <w:t>organizar seminarios web para presentar experiencias prácticas relacionadas con el efecto del medio ambiente en la expresión de los caracteres y la constitución y pertinencia de las colecciones de variedades.</w:t>
      </w:r>
    </w:p>
    <w:p w14:paraId="37C58248" w14:textId="77777777" w:rsidR="00F743C1" w:rsidRPr="0085777B" w:rsidRDefault="00F743C1" w:rsidP="00F743C1">
      <w:pPr>
        <w:keepNext/>
      </w:pPr>
    </w:p>
    <w:p w14:paraId="2F23DE85" w14:textId="145AB11A" w:rsidR="00F743C1" w:rsidRPr="0085777B" w:rsidRDefault="00F743C1" w:rsidP="00F743C1">
      <w:pPr>
        <w:keepNext/>
      </w:pPr>
      <w:r w:rsidRPr="0085777B">
        <w:fldChar w:fldCharType="begin"/>
      </w:r>
      <w:r w:rsidRPr="0085777B">
        <w:instrText xml:space="preserve"> AUTONUM  </w:instrText>
      </w:r>
      <w:r w:rsidRPr="0085777B">
        <w:fldChar w:fldCharType="end"/>
      </w:r>
      <w:r w:rsidRPr="0085777B">
        <w:tab/>
        <w:t>El CAJ tomó nota de que el TC convino en la importancia de compartir información sobre las prácticas y experiencias de los distintos miembros de la UPOV, en particular sobre la forma en que organizan la cooperación bilateral y las condiciones para el intercambio de informes de examen.  El CAJ tomó nota de que el TC había recibido manifestaciones de interés en realizar presentaciones por parte de Australia, China, Alemania, Japón, los Países Bajos (Reino de los) y el Reino Unido, y de que otros miembros de la UPOV que desearan realizar presentaciones debían ponerse en contacto con la Oficina de la Unión (véase el documento TC/61/8 «Informe», párrafos 27 a 31).</w:t>
      </w:r>
    </w:p>
    <w:p w14:paraId="0E1C7068" w14:textId="77777777" w:rsidR="00F743C1" w:rsidRPr="0085777B" w:rsidRDefault="00F743C1" w:rsidP="00F743C1">
      <w:pPr>
        <w:keepNext/>
      </w:pPr>
    </w:p>
    <w:p w14:paraId="6BF07993" w14:textId="3A54C4EE" w:rsidR="00F743C1" w:rsidRPr="0085777B" w:rsidRDefault="00F743C1" w:rsidP="00F743C1">
      <w:r w:rsidRPr="0085777B">
        <w:fldChar w:fldCharType="begin"/>
      </w:r>
      <w:r w:rsidRPr="0085777B">
        <w:instrText xml:space="preserve"> AUTONUM  </w:instrText>
      </w:r>
      <w:r w:rsidRPr="0085777B">
        <w:fldChar w:fldCharType="end"/>
      </w:r>
      <w:r w:rsidRPr="0085777B">
        <w:tab/>
        <w:t>El CAJ tomó nota de que el TC acordó que la «sesión de debate abierto» que se celebrar</w:t>
      </w:r>
      <w:r w:rsidR="003D2B36">
        <w:t>á</w:t>
      </w:r>
      <w:r w:rsidRPr="0085777B">
        <w:t xml:space="preserve"> en la sexagésima segunda sesión del TC (2026) podría utilizarse para continuar los debates sobre estos temas.</w:t>
      </w:r>
    </w:p>
    <w:p w14:paraId="1D6C93B8" w14:textId="77777777" w:rsidR="00333CC7" w:rsidRPr="0085777B" w:rsidRDefault="00333CC7" w:rsidP="00685A07"/>
    <w:p w14:paraId="32889D24" w14:textId="4AD41923" w:rsidR="00685A07" w:rsidRPr="0085777B" w:rsidRDefault="003D2B36" w:rsidP="00685A07">
      <w:pPr>
        <w:pStyle w:val="Heading4"/>
        <w:rPr>
          <w:lang w:val="es-ES_tradnl"/>
        </w:rPr>
      </w:pPr>
      <w:bookmarkStart w:id="9" w:name="_Toc210138033"/>
      <w:bookmarkStart w:id="10" w:name="_Hlk210898679"/>
      <w:r>
        <w:rPr>
          <w:lang w:val="es-ES_tradnl"/>
        </w:rPr>
        <w:t>(</w:t>
      </w:r>
      <w:r w:rsidR="00685A07" w:rsidRPr="0085777B">
        <w:rPr>
          <w:lang w:val="es-ES_tradnl"/>
        </w:rPr>
        <w:t>c)</w:t>
      </w:r>
      <w:r w:rsidR="00685A07" w:rsidRPr="0085777B">
        <w:rPr>
          <w:lang w:val="es-ES_tradnl"/>
        </w:rPr>
        <w:tab/>
        <w:t>«Revisar el documento TGP/5, sección 6, para proporcionar información sobre los elementos que necesitan los miembros de la UPOV para utilizar los informes de examen de otros miembros de la</w:t>
      </w:r>
      <w:r>
        <w:rPr>
          <w:lang w:val="es-ES_tradnl"/>
        </w:rPr>
        <w:t> </w:t>
      </w:r>
      <w:r w:rsidR="00685A07" w:rsidRPr="0085777B">
        <w:rPr>
          <w:lang w:val="es-ES_tradnl"/>
        </w:rPr>
        <w:t>UPOV»</w:t>
      </w:r>
      <w:bookmarkEnd w:id="9"/>
    </w:p>
    <w:bookmarkEnd w:id="10"/>
    <w:p w14:paraId="51565DDF" w14:textId="77777777" w:rsidR="00685A07" w:rsidRPr="0085777B" w:rsidRDefault="00685A07" w:rsidP="00685A07">
      <w:pPr>
        <w:tabs>
          <w:tab w:val="left" w:pos="567"/>
        </w:tabs>
      </w:pPr>
    </w:p>
    <w:bookmarkStart w:id="11" w:name="_Hlk210898696"/>
    <w:p w14:paraId="795C13B1" w14:textId="4E60041F" w:rsidR="00685A07" w:rsidRPr="0085777B" w:rsidRDefault="00685A07" w:rsidP="00685A07">
      <w:r w:rsidRPr="0085777B">
        <w:rPr>
          <w:snapToGrid w:val="0"/>
        </w:rPr>
        <w:fldChar w:fldCharType="begin"/>
      </w:r>
      <w:r w:rsidRPr="0085777B">
        <w:rPr>
          <w:snapToGrid w:val="0"/>
        </w:rPr>
        <w:instrText xml:space="preserve"> AUTONUM  </w:instrText>
      </w:r>
      <w:r w:rsidRPr="0085777B">
        <w:rPr>
          <w:snapToGrid w:val="0"/>
        </w:rPr>
        <w:fldChar w:fldCharType="end"/>
      </w:r>
      <w:r w:rsidRPr="0085777B">
        <w:rPr>
          <w:snapToGrid w:val="0"/>
        </w:rPr>
        <w:tab/>
        <w:t xml:space="preserve">El CAJ tomó nota </w:t>
      </w:r>
      <w:r w:rsidR="00F97752" w:rsidRPr="0085777B">
        <w:rPr>
          <w:snapToGrid w:val="0"/>
        </w:rPr>
        <w:t xml:space="preserve">de </w:t>
      </w:r>
      <w:r w:rsidRPr="0085777B">
        <w:rPr>
          <w:snapToGrid w:val="0"/>
        </w:rPr>
        <w:t xml:space="preserve">la propuesta </w:t>
      </w:r>
      <w:r w:rsidRPr="0085777B">
        <w:t xml:space="preserve">de revisión de la sección 6 del documento TGP/5, </w:t>
      </w:r>
      <w:r w:rsidR="00F97752" w:rsidRPr="0085777B">
        <w:rPr>
          <w:snapToGrid w:val="0"/>
        </w:rPr>
        <w:t xml:space="preserve">tal como </w:t>
      </w:r>
      <w:r w:rsidRPr="0085777B">
        <w:rPr>
          <w:snapToGrid w:val="0"/>
        </w:rPr>
        <w:t>se presenta en el documento SESSIONS/2025/2 “</w:t>
      </w:r>
      <w:r w:rsidR="003D2B36" w:rsidRPr="003D2B36">
        <w:rPr>
          <w:snapToGrid w:val="0"/>
        </w:rPr>
        <w:t>Elaboración de orientaciones y documentos propuestos para adopción por el Consejo</w:t>
      </w:r>
      <w:r w:rsidRPr="0085777B">
        <w:rPr>
          <w:snapToGrid w:val="0"/>
        </w:rPr>
        <w:t>”.</w:t>
      </w:r>
    </w:p>
    <w:bookmarkEnd w:id="11"/>
    <w:p w14:paraId="5C6C6BC7" w14:textId="77777777" w:rsidR="00685A07" w:rsidRPr="0085777B" w:rsidRDefault="00685A07" w:rsidP="00685A07">
      <w:pPr>
        <w:jc w:val="left"/>
      </w:pPr>
    </w:p>
    <w:p w14:paraId="25154287" w14:textId="696BA8D2" w:rsidR="00685A07" w:rsidRPr="0085777B" w:rsidRDefault="00685A07" w:rsidP="00333CC7">
      <w:pPr>
        <w:pStyle w:val="Heading4"/>
        <w:rPr>
          <w:lang w:val="es-ES_tradnl"/>
        </w:rPr>
      </w:pPr>
      <w:bookmarkStart w:id="12" w:name="_Toc210138034"/>
      <w:bookmarkStart w:id="13" w:name="_Hlk210898744"/>
      <w:r w:rsidRPr="0085777B">
        <w:rPr>
          <w:lang w:val="es-ES_tradnl"/>
        </w:rPr>
        <w:t>(d)</w:t>
      </w:r>
      <w:r w:rsidRPr="0085777B">
        <w:rPr>
          <w:lang w:val="es-ES_tradnl"/>
        </w:rPr>
        <w:tab/>
        <w:t>«Cuestiones fitosanitarias que impiden o retrasan la presentación de material vegetal»</w:t>
      </w:r>
      <w:bookmarkEnd w:id="12"/>
      <w:bookmarkEnd w:id="13"/>
    </w:p>
    <w:p w14:paraId="2EFC2DB5" w14:textId="77777777" w:rsidR="008103E7" w:rsidRPr="0085777B" w:rsidRDefault="008103E7" w:rsidP="008103E7"/>
    <w:p w14:paraId="1E00E49A" w14:textId="0D7A50EA" w:rsidR="008842E4" w:rsidRPr="0085777B" w:rsidRDefault="008103E7" w:rsidP="00391333">
      <w:r w:rsidRPr="0085777B">
        <w:fldChar w:fldCharType="begin"/>
      </w:r>
      <w:r w:rsidRPr="0085777B">
        <w:instrText xml:space="preserve"> AUTONUM  </w:instrText>
      </w:r>
      <w:r w:rsidRPr="0085777B">
        <w:fldChar w:fldCharType="end"/>
      </w:r>
      <w:r w:rsidRPr="0085777B">
        <w:tab/>
        <w:t xml:space="preserve">El CAJ tomó nota de que el TC </w:t>
      </w:r>
      <w:r w:rsidR="00265D82" w:rsidRPr="0085777B">
        <w:t>acordó organizar un seminario web sobre experiencias prácticas con retrasos en los exámenes DHE debido a requisitos fitosanitarios y consideraciones sobre el uso de informes de examen de otro miembro de la UPOV para reducir los retrasos en la concesión de los derechos de obtentor. El CAJ tomó nota de que el TC recibió manifestaciones de interés para realizar presentaciones de Australia, Japón, Países Bajos (Reino de los), Nueva Zelandia y Reino Unido.</w:t>
      </w:r>
    </w:p>
    <w:p w14:paraId="1F43246E" w14:textId="77777777" w:rsidR="008842E4" w:rsidRPr="0085777B" w:rsidRDefault="008842E4" w:rsidP="00391333">
      <w:pPr>
        <w:rPr>
          <w:snapToGrid w:val="0"/>
        </w:rPr>
      </w:pPr>
    </w:p>
    <w:p w14:paraId="78097936" w14:textId="49BE272C" w:rsidR="008842E4" w:rsidRPr="0085777B" w:rsidRDefault="008842E4" w:rsidP="008842E4">
      <w:pPr>
        <w:rPr>
          <w:snapToGrid w:val="0"/>
        </w:rPr>
      </w:pPr>
      <w:r w:rsidRPr="0085777B">
        <w:fldChar w:fldCharType="begin"/>
      </w:r>
      <w:r w:rsidRPr="0085777B">
        <w:instrText xml:space="preserve"> AUTONUM  </w:instrText>
      </w:r>
      <w:r w:rsidRPr="0085777B">
        <w:fldChar w:fldCharType="end"/>
      </w:r>
      <w:r w:rsidRPr="0085777B">
        <w:tab/>
        <w:t>El CAJ tomó nota de la intervención de la delegación de</w:t>
      </w:r>
      <w:r w:rsidR="00501769">
        <w:t>l</w:t>
      </w:r>
      <w:r w:rsidRPr="0085777B">
        <w:t xml:space="preserve"> Japón, que señaló la importancia de comprender las experiencias prácticas de los miembros de la UPOV en estas cuestiones, ya que, de conformidad con el artículo 5 del Convenio de la UPOV, los retrasos en el suministro de material no deben ser motivo para rechazar una solicitud de derechos de obtentor.</w:t>
      </w:r>
    </w:p>
    <w:p w14:paraId="068168E3" w14:textId="77777777" w:rsidR="00C566B3" w:rsidRPr="0085777B" w:rsidRDefault="00C566B3" w:rsidP="00391333">
      <w:pPr>
        <w:rPr>
          <w:snapToGrid w:val="0"/>
        </w:rPr>
      </w:pPr>
    </w:p>
    <w:p w14:paraId="6A908122" w14:textId="4DD187B4" w:rsidR="00391333" w:rsidRPr="0085777B" w:rsidRDefault="008842E4" w:rsidP="00391333">
      <w:r w:rsidRPr="0085777B">
        <w:fldChar w:fldCharType="begin"/>
      </w:r>
      <w:r w:rsidRPr="0085777B">
        <w:instrText xml:space="preserve"> AUTONUM  </w:instrText>
      </w:r>
      <w:r w:rsidRPr="0085777B">
        <w:fldChar w:fldCharType="end"/>
      </w:r>
      <w:r w:rsidRPr="0085777B">
        <w:tab/>
      </w:r>
      <w:r w:rsidR="00C566B3" w:rsidRPr="0085777B">
        <w:t xml:space="preserve">El CAJ también estuvo de acuerdo con la iniciativa del TC de organizar seminarios web sobre experiencias prácticas en las que se han producido retrasos en los exámenes DHE debido a requisitos fitosanitarios y sobre las consideraciones en las que se puede utilizar un informe de examen DHE de otro miembro de la UPOV en estas circunstancias para evitar o reducir los retrasos en la concesión de un derecho de obtentor.  </w:t>
      </w:r>
    </w:p>
    <w:p w14:paraId="23C19532" w14:textId="77777777" w:rsidR="00333CC7" w:rsidRPr="0085777B" w:rsidRDefault="00333CC7" w:rsidP="00391333">
      <w:pPr>
        <w:rPr>
          <w:snapToGrid w:val="0"/>
        </w:rPr>
      </w:pPr>
    </w:p>
    <w:p w14:paraId="6F26FBD5" w14:textId="54856D17" w:rsidR="00F73BE5" w:rsidRPr="0085777B" w:rsidRDefault="00391333" w:rsidP="00685A07">
      <w:pPr>
        <w:rPr>
          <w:snapToGrid w:val="0"/>
        </w:rPr>
      </w:pPr>
      <w:r w:rsidRPr="0085777B">
        <w:rPr>
          <w:snapToGrid w:val="0"/>
        </w:rPr>
        <w:fldChar w:fldCharType="begin"/>
      </w:r>
      <w:r w:rsidRPr="0085777B">
        <w:rPr>
          <w:snapToGrid w:val="0"/>
        </w:rPr>
        <w:instrText xml:space="preserve"> AUTONUM  </w:instrText>
      </w:r>
      <w:r w:rsidRPr="0085777B">
        <w:rPr>
          <w:snapToGrid w:val="0"/>
        </w:rPr>
        <w:fldChar w:fldCharType="end"/>
      </w:r>
      <w:r w:rsidRPr="0085777B">
        <w:rPr>
          <w:snapToGrid w:val="0"/>
        </w:rPr>
        <w:tab/>
        <w:t>El CAJ tomó nota de que el TC acordó invitar a la Oficina de la UPOV a proponer fechas adecuadas para los seminarios web</w:t>
      </w:r>
      <w:r w:rsidR="008842E4" w:rsidRPr="0085777B">
        <w:rPr>
          <w:snapToGrid w:val="0"/>
        </w:rPr>
        <w:t xml:space="preserve"> mencionados </w:t>
      </w:r>
      <w:r w:rsidRPr="0085777B">
        <w:rPr>
          <w:snapToGrid w:val="0"/>
        </w:rPr>
        <w:t>antes de las sesiones de 2026 de los TWP.</w:t>
      </w:r>
    </w:p>
    <w:p w14:paraId="7802FCD8" w14:textId="77777777" w:rsidR="00333CC7" w:rsidRPr="0085777B" w:rsidRDefault="00333CC7" w:rsidP="00333CC7">
      <w:pPr>
        <w:pStyle w:val="Heading4"/>
        <w:ind w:left="0"/>
        <w:rPr>
          <w:lang w:val="es-ES_tradnl"/>
        </w:rPr>
      </w:pPr>
      <w:bookmarkStart w:id="14" w:name="_Toc210138037"/>
      <w:bookmarkStart w:id="15" w:name="_Hlk210898823"/>
    </w:p>
    <w:p w14:paraId="0FB76EC3" w14:textId="0871C755" w:rsidR="00685A07" w:rsidRPr="0085777B" w:rsidRDefault="00685A07" w:rsidP="00685A07">
      <w:pPr>
        <w:pStyle w:val="Heading4"/>
        <w:rPr>
          <w:lang w:val="es-ES_tradnl"/>
        </w:rPr>
      </w:pPr>
      <w:r w:rsidRPr="0085777B">
        <w:rPr>
          <w:lang w:val="es-ES_tradnl"/>
        </w:rPr>
        <w:t>(e)</w:t>
      </w:r>
      <w:r w:rsidRPr="0085777B">
        <w:rPr>
          <w:lang w:val="es-ES_tradnl"/>
        </w:rPr>
        <w:tab/>
        <w:t xml:space="preserve">«Aumentar la información sobre </w:t>
      </w:r>
      <w:r w:rsidR="00501769">
        <w:rPr>
          <w:lang w:val="es-ES_tradnl"/>
        </w:rPr>
        <w:t xml:space="preserve">los </w:t>
      </w:r>
      <w:r w:rsidR="00A8491D">
        <w:rPr>
          <w:lang w:val="es-ES_tradnl"/>
        </w:rPr>
        <w:t>preparativos</w:t>
      </w:r>
      <w:r w:rsidR="00501769">
        <w:rPr>
          <w:lang w:val="es-ES_tradnl"/>
        </w:rPr>
        <w:t xml:space="preserve"> </w:t>
      </w:r>
      <w:r w:rsidRPr="0085777B">
        <w:rPr>
          <w:lang w:val="es-ES_tradnl"/>
        </w:rPr>
        <w:t>para la realización de exámenes en las instalaciones de los obtentores»</w:t>
      </w:r>
      <w:bookmarkEnd w:id="14"/>
    </w:p>
    <w:bookmarkEnd w:id="15"/>
    <w:p w14:paraId="0B20D548" w14:textId="77777777" w:rsidR="00685A07" w:rsidRPr="0085777B" w:rsidRDefault="00685A07" w:rsidP="00685A07">
      <w:pPr>
        <w:rPr>
          <w:snapToGrid w:val="0"/>
        </w:rPr>
      </w:pPr>
    </w:p>
    <w:p w14:paraId="05A2E59B" w14:textId="0FF8B8E3" w:rsidR="00685A07" w:rsidRPr="0085777B" w:rsidRDefault="00685A07" w:rsidP="00685A07">
      <w:pPr>
        <w:rPr>
          <w:snapToGrid w:val="0"/>
        </w:rPr>
      </w:pPr>
      <w:r w:rsidRPr="0085777B">
        <w:rPr>
          <w:snapToGrid w:val="0"/>
        </w:rPr>
        <w:fldChar w:fldCharType="begin"/>
      </w:r>
      <w:r w:rsidRPr="0085777B">
        <w:rPr>
          <w:snapToGrid w:val="0"/>
        </w:rPr>
        <w:instrText xml:space="preserve"> AUTONUM  </w:instrText>
      </w:r>
      <w:r w:rsidRPr="0085777B">
        <w:rPr>
          <w:snapToGrid w:val="0"/>
        </w:rPr>
        <w:fldChar w:fldCharType="end"/>
      </w:r>
      <w:r w:rsidRPr="0085777B">
        <w:rPr>
          <w:snapToGrid w:val="0"/>
        </w:rPr>
        <w:tab/>
        <w:t xml:space="preserve">El </w:t>
      </w:r>
      <w:r w:rsidR="00F73BE5" w:rsidRPr="0085777B">
        <w:rPr>
          <w:snapToGrid w:val="0"/>
        </w:rPr>
        <w:t xml:space="preserve">CAJ </w:t>
      </w:r>
      <w:r w:rsidRPr="0085777B">
        <w:rPr>
          <w:snapToGrid w:val="0"/>
        </w:rPr>
        <w:t xml:space="preserve">tomó nota de los seminarios web preparatorios sobre la cooperación con los obtentores en el examen DHE celebrados en 2025 y de los avances relativos a la preparación del «Seminario sobre la cooperación con los obtentores en el examen DHE», que se celebrará por medios híbridos en Ginebra, </w:t>
      </w:r>
      <w:r w:rsidR="00A8491D">
        <w:rPr>
          <w:snapToGrid w:val="0"/>
        </w:rPr>
        <w:br/>
      </w:r>
      <w:r w:rsidRPr="0085777B">
        <w:rPr>
          <w:snapToGrid w:val="0"/>
        </w:rPr>
        <w:t>el 22 de octubre de 2025.</w:t>
      </w:r>
    </w:p>
    <w:p w14:paraId="2391B0A8" w14:textId="77777777" w:rsidR="00685A07" w:rsidRPr="0085777B" w:rsidRDefault="00685A07" w:rsidP="00F80885"/>
    <w:p w14:paraId="6724B27A" w14:textId="77777777" w:rsidR="00685A07" w:rsidRPr="0085777B" w:rsidRDefault="00685A07" w:rsidP="00F80885"/>
    <w:p w14:paraId="569720A3" w14:textId="03EB1DD1" w:rsidR="00FE6B53" w:rsidRPr="0085777B" w:rsidRDefault="00FE6B53" w:rsidP="00FE6B53">
      <w:pPr>
        <w:pStyle w:val="Heading2"/>
        <w:rPr>
          <w:lang w:val="es-ES_tradnl"/>
        </w:rPr>
      </w:pPr>
      <w:r w:rsidRPr="0085777B">
        <w:rPr>
          <w:snapToGrid w:val="0"/>
          <w:lang w:val="es-ES_tradnl"/>
        </w:rPr>
        <w:t xml:space="preserve">Actualizaciones de los miembros y observadores de la UPOV en relación con la aplicación del concepto de </w:t>
      </w:r>
      <w:r w:rsidR="00A8491D" w:rsidRPr="0085777B">
        <w:rPr>
          <w:snapToGrid w:val="0"/>
          <w:lang w:val="es-ES_tradnl"/>
        </w:rPr>
        <w:t xml:space="preserve">variedades esencialmente derivadas </w:t>
      </w:r>
      <w:r w:rsidRPr="0085777B">
        <w:rPr>
          <w:snapToGrid w:val="0"/>
          <w:lang w:val="es-ES_tradnl"/>
        </w:rPr>
        <w:t>(documento CAJ/82/3)</w:t>
      </w:r>
    </w:p>
    <w:p w14:paraId="6F8A441A" w14:textId="77777777" w:rsidR="00FE6B53" w:rsidRPr="0085777B" w:rsidRDefault="00FE6B53" w:rsidP="00F80885"/>
    <w:p w14:paraId="739645C6" w14:textId="487C5F97" w:rsidR="00FE6B53" w:rsidRPr="0085777B" w:rsidRDefault="00FE6B53" w:rsidP="00F80885">
      <w:r w:rsidRPr="0085777B">
        <w:fldChar w:fldCharType="begin"/>
      </w:r>
      <w:r w:rsidRPr="0085777B">
        <w:instrText xml:space="preserve"> AUTONUM  </w:instrText>
      </w:r>
      <w:r w:rsidRPr="0085777B">
        <w:fldChar w:fldCharType="end"/>
      </w:r>
      <w:r w:rsidRPr="0085777B">
        <w:tab/>
      </w:r>
      <w:r w:rsidR="002432FB" w:rsidRPr="0085777B">
        <w:t>El CAJ examinó el documento CAJ/82/3</w:t>
      </w:r>
      <w:r w:rsidR="009140D6" w:rsidRPr="0085777B">
        <w:t>.</w:t>
      </w:r>
    </w:p>
    <w:p w14:paraId="04219A8A" w14:textId="77777777" w:rsidR="00223DB0" w:rsidRPr="0085777B" w:rsidRDefault="00223DB0" w:rsidP="00F80885"/>
    <w:p w14:paraId="67635C63" w14:textId="0EC4A38A" w:rsidR="00223DB0" w:rsidRPr="0085777B" w:rsidRDefault="00223DB0" w:rsidP="00223DB0">
      <w:pPr>
        <w:rPr>
          <w:lang w:eastAsia="ja-JP"/>
        </w:rPr>
      </w:pPr>
      <w:r w:rsidRPr="0085777B">
        <w:fldChar w:fldCharType="begin"/>
      </w:r>
      <w:r w:rsidRPr="0085777B">
        <w:instrText xml:space="preserve"> AUTONUM  </w:instrText>
      </w:r>
      <w:r w:rsidRPr="0085777B">
        <w:fldChar w:fldCharType="end"/>
      </w:r>
      <w:r w:rsidRPr="0085777B">
        <w:tab/>
      </w:r>
      <w:r w:rsidRPr="0085777B">
        <w:rPr>
          <w:lang w:eastAsia="ja-JP"/>
        </w:rPr>
        <w:t xml:space="preserve">El CAJ tomó nota del papel de las técnicas moleculares en la evaluación de las variedades esencialmente derivadas de trigo y soja, que se presentó en </w:t>
      </w:r>
      <w:r w:rsidR="00E25908">
        <w:rPr>
          <w:lang w:eastAsia="ja-JP"/>
        </w:rPr>
        <w:t>el</w:t>
      </w:r>
      <w:r w:rsidRPr="0085777B">
        <w:rPr>
          <w:lang w:eastAsia="ja-JP"/>
        </w:rPr>
        <w:t xml:space="preserve"> </w:t>
      </w:r>
      <w:hyperlink r:id="rId9" w:history="1">
        <w:r w:rsidRPr="0085777B">
          <w:rPr>
            <w:rStyle w:val="Hyperlink"/>
            <w:lang w:eastAsia="ja-JP"/>
          </w:rPr>
          <w:t>TWM/3</w:t>
        </w:r>
      </w:hyperlink>
      <w:r w:rsidRPr="0085777B">
        <w:rPr>
          <w:lang w:eastAsia="ja-JP"/>
        </w:rPr>
        <w:t xml:space="preserve"> en Beijing.  </w:t>
      </w:r>
    </w:p>
    <w:p w14:paraId="452FEF78" w14:textId="77777777" w:rsidR="006652D6" w:rsidRPr="0085777B" w:rsidRDefault="006652D6" w:rsidP="00223DB0">
      <w:pPr>
        <w:rPr>
          <w:lang w:eastAsia="ja-JP"/>
        </w:rPr>
      </w:pPr>
    </w:p>
    <w:p w14:paraId="1CF8457B" w14:textId="1E4C14FD" w:rsidR="006652D6" w:rsidRPr="0085777B" w:rsidRDefault="006652D6" w:rsidP="00223DB0">
      <w:pPr>
        <w:rPr>
          <w:highlight w:val="yellow"/>
          <w:lang w:eastAsia="ja-JP"/>
        </w:rPr>
      </w:pPr>
      <w:r w:rsidRPr="0085777B">
        <w:rPr>
          <w:lang w:eastAsia="ja-JP"/>
        </w:rPr>
        <w:fldChar w:fldCharType="begin"/>
      </w:r>
      <w:r w:rsidRPr="0085777B">
        <w:rPr>
          <w:lang w:eastAsia="ja-JP"/>
        </w:rPr>
        <w:instrText xml:space="preserve"> AUTONUM  </w:instrText>
      </w:r>
      <w:r w:rsidRPr="0085777B">
        <w:rPr>
          <w:lang w:eastAsia="ja-JP"/>
        </w:rPr>
        <w:fldChar w:fldCharType="end"/>
      </w:r>
      <w:r w:rsidRPr="0085777B">
        <w:rPr>
          <w:lang w:eastAsia="ja-JP"/>
        </w:rPr>
        <w:tab/>
      </w:r>
      <w:r w:rsidR="00333CC7" w:rsidRPr="0085777B">
        <w:rPr>
          <w:lang w:eastAsia="ja-JP"/>
        </w:rPr>
        <w:t>La delegación de</w:t>
      </w:r>
      <w:r w:rsidR="00E25908">
        <w:rPr>
          <w:lang w:eastAsia="ja-JP"/>
        </w:rPr>
        <w:t>l</w:t>
      </w:r>
      <w:r w:rsidR="00333CC7" w:rsidRPr="0085777B">
        <w:rPr>
          <w:lang w:eastAsia="ja-JP"/>
        </w:rPr>
        <w:t xml:space="preserve"> Uruguay informó al CAJ de que </w:t>
      </w:r>
      <w:r w:rsidR="00E25908">
        <w:rPr>
          <w:lang w:eastAsia="ja-JP"/>
        </w:rPr>
        <w:t xml:space="preserve">el </w:t>
      </w:r>
      <w:r w:rsidR="00333CC7" w:rsidRPr="0085777B">
        <w:rPr>
          <w:lang w:eastAsia="ja-JP"/>
        </w:rPr>
        <w:t xml:space="preserve">Uruguay </w:t>
      </w:r>
      <w:r w:rsidR="006C4D58" w:rsidRPr="0085777B">
        <w:rPr>
          <w:lang w:eastAsia="ja-JP"/>
        </w:rPr>
        <w:t xml:space="preserve">estaba </w:t>
      </w:r>
      <w:r w:rsidR="00333CC7" w:rsidRPr="0085777B">
        <w:rPr>
          <w:lang w:eastAsia="ja-JP"/>
        </w:rPr>
        <w:t>en proceso de incorporar disposiciones sobre variedades esencialmente derivadas en su legislación, tras celebrar consultas con las partes interesadas</w:t>
      </w:r>
      <w:r w:rsidR="002F0942" w:rsidRPr="0085777B">
        <w:rPr>
          <w:lang w:eastAsia="ja-JP"/>
        </w:rPr>
        <w:t>.</w:t>
      </w:r>
    </w:p>
    <w:p w14:paraId="6F837F43" w14:textId="77777777" w:rsidR="00223DB0" w:rsidRPr="0085777B" w:rsidRDefault="00223DB0" w:rsidP="00F80885"/>
    <w:p w14:paraId="50CF60D5" w14:textId="0019A283" w:rsidR="006A1A2A" w:rsidRPr="0085777B" w:rsidRDefault="002432FB" w:rsidP="00382889">
      <w:r w:rsidRPr="0085777B">
        <w:fldChar w:fldCharType="begin"/>
      </w:r>
      <w:r w:rsidRPr="0085777B">
        <w:instrText xml:space="preserve"> AUTONUM  </w:instrText>
      </w:r>
      <w:r w:rsidRPr="0085777B">
        <w:fldChar w:fldCharType="end"/>
      </w:r>
      <w:r w:rsidRPr="0085777B">
        <w:tab/>
      </w:r>
      <w:r w:rsidR="00A77A77" w:rsidRPr="0085777B">
        <w:t xml:space="preserve">El CAJ tomó nota de las </w:t>
      </w:r>
      <w:r w:rsidR="00270242" w:rsidRPr="0085777B">
        <w:t xml:space="preserve">intervenciones </w:t>
      </w:r>
      <w:r w:rsidR="00A77A77" w:rsidRPr="0085777B">
        <w:t xml:space="preserve">de la International </w:t>
      </w:r>
      <w:proofErr w:type="spellStart"/>
      <w:r w:rsidR="00A77A77" w:rsidRPr="0085777B">
        <w:t>Seed</w:t>
      </w:r>
      <w:proofErr w:type="spellEnd"/>
      <w:r w:rsidR="00A77A77" w:rsidRPr="0085777B">
        <w:t xml:space="preserve"> </w:t>
      </w:r>
      <w:proofErr w:type="spellStart"/>
      <w:r w:rsidR="00A77A77" w:rsidRPr="0085777B">
        <w:t>Federation</w:t>
      </w:r>
      <w:proofErr w:type="spellEnd"/>
      <w:r w:rsidR="00A77A77" w:rsidRPr="0085777B">
        <w:t xml:space="preserve"> (ISF) </w:t>
      </w:r>
      <w:r w:rsidR="00270242" w:rsidRPr="0085777B">
        <w:t xml:space="preserve">y </w:t>
      </w:r>
      <w:proofErr w:type="spellStart"/>
      <w:r w:rsidR="00270242" w:rsidRPr="0085777B">
        <w:t>Euroseeds</w:t>
      </w:r>
      <w:proofErr w:type="spellEnd"/>
      <w:r w:rsidR="00270242" w:rsidRPr="0085777B">
        <w:t xml:space="preserve">. El CAJ señaló que las copias de las presentaciones están disponibles en el sitio web de la UPOV. </w:t>
      </w:r>
    </w:p>
    <w:p w14:paraId="1D3555CD" w14:textId="77777777" w:rsidR="00FE6B53" w:rsidRPr="0085777B" w:rsidRDefault="00FE6B53" w:rsidP="00F80885"/>
    <w:p w14:paraId="011A9AC6" w14:textId="77777777" w:rsidR="00A33003" w:rsidRPr="0085777B" w:rsidRDefault="00A33003" w:rsidP="00F80885"/>
    <w:p w14:paraId="674F1B7E" w14:textId="1B400C3F" w:rsidR="00F80885" w:rsidRPr="0085777B" w:rsidRDefault="00F80885" w:rsidP="00F80885">
      <w:pPr>
        <w:pStyle w:val="Heading2"/>
        <w:rPr>
          <w:highlight w:val="green"/>
          <w:lang w:val="es-ES_tradnl"/>
        </w:rPr>
      </w:pPr>
      <w:r w:rsidRPr="0085777B">
        <w:rPr>
          <w:snapToGrid w:val="0"/>
          <w:lang w:val="es-ES_tradnl"/>
        </w:rPr>
        <w:t xml:space="preserve">Informe del Grupo de Trabajo sobre el producto de la cosecha y la utilización no autorizada de material de reproducción o de multiplicación (WG-HRV) (documento </w:t>
      </w:r>
      <w:r w:rsidR="002B7148" w:rsidRPr="0085777B">
        <w:rPr>
          <w:lang w:val="es-ES_tradnl"/>
        </w:rPr>
        <w:t>CAJ/82/4</w:t>
      </w:r>
      <w:r w:rsidRPr="0085777B">
        <w:rPr>
          <w:lang w:val="es-ES_tradnl"/>
        </w:rPr>
        <w:t>)</w:t>
      </w:r>
    </w:p>
    <w:p w14:paraId="60DE8E5B" w14:textId="77777777" w:rsidR="00F80885" w:rsidRPr="0085777B" w:rsidRDefault="00F80885" w:rsidP="00F80885">
      <w:pPr>
        <w:keepNext/>
      </w:pPr>
    </w:p>
    <w:p w14:paraId="5508343D" w14:textId="379DB0E5" w:rsidR="00F80885" w:rsidRPr="0085777B" w:rsidRDefault="00F80885" w:rsidP="00F80885">
      <w:pPr>
        <w:rPr>
          <w:bCs/>
          <w:snapToGrid w:val="0"/>
        </w:rPr>
      </w:pPr>
      <w:r w:rsidRPr="0085777B">
        <w:fldChar w:fldCharType="begin"/>
      </w:r>
      <w:r w:rsidRPr="0085777B">
        <w:instrText xml:space="preserve"> AUTONUM  </w:instrText>
      </w:r>
      <w:r w:rsidRPr="0085777B">
        <w:fldChar w:fldCharType="end"/>
      </w:r>
      <w:r w:rsidRPr="0085777B">
        <w:tab/>
        <w:t xml:space="preserve">El CAJ examinó </w:t>
      </w:r>
      <w:r w:rsidR="00E159FE" w:rsidRPr="0085777B">
        <w:rPr>
          <w:bCs/>
          <w:snapToGrid w:val="0"/>
        </w:rPr>
        <w:t xml:space="preserve">los documentos </w:t>
      </w:r>
      <w:r w:rsidR="002B7148" w:rsidRPr="0085777B">
        <w:rPr>
          <w:bCs/>
          <w:snapToGrid w:val="0"/>
        </w:rPr>
        <w:t>CAJ/82/4.</w:t>
      </w:r>
    </w:p>
    <w:p w14:paraId="36C8F9AD" w14:textId="77777777" w:rsidR="00F80885" w:rsidRPr="0085777B" w:rsidRDefault="00F80885" w:rsidP="00F80885">
      <w:pPr>
        <w:rPr>
          <w:bCs/>
          <w:snapToGrid w:val="0"/>
        </w:rPr>
      </w:pPr>
    </w:p>
    <w:p w14:paraId="6552B452" w14:textId="672EFD66" w:rsidR="00F80885" w:rsidRPr="0085777B" w:rsidRDefault="00F80885" w:rsidP="00F80885">
      <w:pPr>
        <w:rPr>
          <w:bCs/>
          <w:snapToGrid w:val="0"/>
        </w:rPr>
      </w:pPr>
      <w:r w:rsidRPr="0085777B">
        <w:rPr>
          <w:bCs/>
          <w:snapToGrid w:val="0"/>
          <w:spacing w:val="-4"/>
        </w:rPr>
        <w:fldChar w:fldCharType="begin"/>
      </w:r>
      <w:r w:rsidRPr="0085777B">
        <w:rPr>
          <w:bCs/>
          <w:snapToGrid w:val="0"/>
          <w:spacing w:val="-4"/>
        </w:rPr>
        <w:instrText xml:space="preserve"> AUTONUM  </w:instrText>
      </w:r>
      <w:r w:rsidRPr="0085777B">
        <w:rPr>
          <w:bCs/>
          <w:snapToGrid w:val="0"/>
          <w:spacing w:val="-4"/>
        </w:rPr>
        <w:fldChar w:fldCharType="end"/>
      </w:r>
      <w:r w:rsidRPr="0085777B">
        <w:rPr>
          <w:bCs/>
          <w:snapToGrid w:val="0"/>
          <w:spacing w:val="-4"/>
        </w:rPr>
        <w:tab/>
        <w:t xml:space="preserve">El CAJ tomó nota de los avances relativos a la labor del WG-HRV, tal y como se recoge en el documento </w:t>
      </w:r>
      <w:r w:rsidR="002B7148" w:rsidRPr="0085777B">
        <w:rPr>
          <w:bCs/>
          <w:snapToGrid w:val="0"/>
        </w:rPr>
        <w:t>CAJ/82/4</w:t>
      </w:r>
      <w:r w:rsidR="00F97752" w:rsidRPr="0085777B">
        <w:rPr>
          <w:bCs/>
          <w:snapToGrid w:val="0"/>
        </w:rPr>
        <w:t xml:space="preserve">. </w:t>
      </w:r>
    </w:p>
    <w:p w14:paraId="4057D596" w14:textId="77777777" w:rsidR="00C803FF" w:rsidRPr="0085777B" w:rsidRDefault="00C803FF" w:rsidP="00F80885">
      <w:pPr>
        <w:rPr>
          <w:bCs/>
          <w:snapToGrid w:val="0"/>
        </w:rPr>
      </w:pPr>
    </w:p>
    <w:p w14:paraId="106DE9C9" w14:textId="5F129884" w:rsidR="005A1D79" w:rsidRPr="0085777B" w:rsidRDefault="00C803FF" w:rsidP="00C803FF">
      <w:r w:rsidRPr="0085777B">
        <w:rPr>
          <w:rFonts w:cs="Arial"/>
        </w:rPr>
        <w:fldChar w:fldCharType="begin"/>
      </w:r>
      <w:r w:rsidRPr="0085777B">
        <w:rPr>
          <w:rFonts w:cs="Arial"/>
        </w:rPr>
        <w:instrText xml:space="preserve"> AUTONUM  </w:instrText>
      </w:r>
      <w:r w:rsidRPr="0085777B">
        <w:rPr>
          <w:rFonts w:cs="Arial"/>
        </w:rPr>
        <w:fldChar w:fldCharType="end"/>
      </w:r>
      <w:r w:rsidRPr="0085777B">
        <w:rPr>
          <w:rFonts w:cs="Arial"/>
        </w:rPr>
        <w:tab/>
        <w:t xml:space="preserve">El CAJ tomó nota de que el WG-HRV </w:t>
      </w:r>
      <w:r w:rsidR="006F4793" w:rsidRPr="0085777B">
        <w:rPr>
          <w:rFonts w:cs="Arial"/>
        </w:rPr>
        <w:t xml:space="preserve">celebrará </w:t>
      </w:r>
      <w:r w:rsidRPr="0085777B">
        <w:rPr>
          <w:rFonts w:cs="Arial"/>
        </w:rPr>
        <w:t xml:space="preserve">su </w:t>
      </w:r>
      <w:r w:rsidR="002B7148" w:rsidRPr="0085777B">
        <w:rPr>
          <w:rFonts w:cs="Arial"/>
        </w:rPr>
        <w:t xml:space="preserve">octava </w:t>
      </w:r>
      <w:r w:rsidRPr="0085777B">
        <w:rPr>
          <w:rFonts w:cs="Arial"/>
        </w:rPr>
        <w:t xml:space="preserve">reunión en Ginebra, el 22 de octubre </w:t>
      </w:r>
      <w:r w:rsidR="002B7148" w:rsidRPr="0085777B">
        <w:rPr>
          <w:rFonts w:cs="Arial"/>
        </w:rPr>
        <w:t>de 2025</w:t>
      </w:r>
      <w:r w:rsidRPr="0085777B">
        <w:rPr>
          <w:rFonts w:cs="Arial"/>
        </w:rPr>
        <w:t>, por medios híbridos</w:t>
      </w:r>
      <w:r w:rsidR="006217EB" w:rsidRPr="0085777B">
        <w:rPr>
          <w:rFonts w:cs="Arial"/>
        </w:rPr>
        <w:t xml:space="preserve">, y de que los </w:t>
      </w:r>
      <w:r w:rsidR="006217EB" w:rsidRPr="0085777B">
        <w:rPr>
          <w:bCs/>
          <w:snapToGrid w:val="0"/>
        </w:rPr>
        <w:t xml:space="preserve">autores presentarán un proyecto de estudio en persona durante esta reunión. </w:t>
      </w:r>
      <w:r w:rsidRPr="0085777B">
        <w:rPr>
          <w:rFonts w:cs="Arial"/>
        </w:rPr>
        <w:t xml:space="preserve"> Los documentos </w:t>
      </w:r>
      <w:r w:rsidR="002B7148" w:rsidRPr="0085777B">
        <w:rPr>
          <w:rFonts w:cs="Arial"/>
        </w:rPr>
        <w:t xml:space="preserve">WG-HRV/8 </w:t>
      </w:r>
      <w:r w:rsidRPr="0085777B">
        <w:rPr>
          <w:rFonts w:cs="Arial"/>
        </w:rPr>
        <w:t xml:space="preserve">están </w:t>
      </w:r>
      <w:r w:rsidRPr="0085777B">
        <w:t>disponibles en:</w:t>
      </w:r>
    </w:p>
    <w:p w14:paraId="3E413434" w14:textId="755B9259" w:rsidR="00C803FF" w:rsidRPr="0085777B" w:rsidRDefault="002B7148" w:rsidP="00C803FF">
      <w:hyperlink r:id="rId10" w:history="1">
        <w:r w:rsidRPr="0085777B">
          <w:rPr>
            <w:rStyle w:val="Hyperlink"/>
          </w:rPr>
          <w:t>https://www.upov.int/meetings/en/details.jsp?meeting_id=88391</w:t>
        </w:r>
      </w:hyperlink>
      <w:r w:rsidR="00C803FF" w:rsidRPr="0085777B">
        <w:t xml:space="preserve">. </w:t>
      </w:r>
    </w:p>
    <w:p w14:paraId="2DB514FB" w14:textId="77777777" w:rsidR="00F80885" w:rsidRPr="0085777B" w:rsidRDefault="00F80885" w:rsidP="00F80885"/>
    <w:p w14:paraId="16F2BAA7" w14:textId="175D3AA1" w:rsidR="00F80885" w:rsidRPr="0085777B" w:rsidRDefault="00554A12" w:rsidP="00F80885">
      <w:r w:rsidRPr="0085777B">
        <w:fldChar w:fldCharType="begin"/>
      </w:r>
      <w:r w:rsidRPr="0085777B">
        <w:instrText xml:space="preserve"> AUTONUM  </w:instrText>
      </w:r>
      <w:r w:rsidRPr="0085777B">
        <w:fldChar w:fldCharType="end"/>
      </w:r>
      <w:r w:rsidRPr="0085777B">
        <w:tab/>
        <w:t>El CAJ tomó nota de que, mediante la Circular E-25/053, de 11 de septiembre de 2025, se informó al WG-HRV de que los autores del estudio habían solicitado aplazar la fecha de entrega de la versión final del estudio hasta el 15 de diciembre de 2025.  El estudio se pondrá a disposición del WG-HRV en enero de 2026, lo que dará tiempo a los miembros para examinar la versión final del estudio antes de la novena reunión del WG-HRV, prevista para el 19 de marzo de 2026.</w:t>
      </w:r>
    </w:p>
    <w:p w14:paraId="1658CFB1" w14:textId="77777777" w:rsidR="0092508E" w:rsidRPr="0085777B" w:rsidRDefault="0092508E" w:rsidP="00F80885"/>
    <w:p w14:paraId="5643C241" w14:textId="77777777" w:rsidR="002F0942" w:rsidRPr="0085777B" w:rsidRDefault="002F0942" w:rsidP="00F80885"/>
    <w:p w14:paraId="2AF34AA8" w14:textId="36F46585" w:rsidR="00F80885" w:rsidRPr="0085777B" w:rsidRDefault="00F80885" w:rsidP="00F80885">
      <w:pPr>
        <w:keepNext/>
        <w:jc w:val="left"/>
        <w:rPr>
          <w:u w:val="single"/>
        </w:rPr>
      </w:pPr>
      <w:r w:rsidRPr="0085777B">
        <w:rPr>
          <w:u w:val="single"/>
        </w:rPr>
        <w:t>Reunión sobre solicitudes electrónicas (EAM) (documento</w:t>
      </w:r>
      <w:bookmarkStart w:id="16" w:name="_Hlk148691524"/>
      <w:r w:rsidRPr="0085777B">
        <w:rPr>
          <w:u w:val="single"/>
        </w:rPr>
        <w:t xml:space="preserve"> </w:t>
      </w:r>
      <w:r w:rsidR="00FE6B53" w:rsidRPr="0085777B">
        <w:rPr>
          <w:u w:val="single"/>
        </w:rPr>
        <w:t>SESSIONS/2025/</w:t>
      </w:r>
      <w:bookmarkEnd w:id="16"/>
      <w:r w:rsidR="00FE6B53" w:rsidRPr="0085777B">
        <w:rPr>
          <w:u w:val="single"/>
        </w:rPr>
        <w:t>4</w:t>
      </w:r>
      <w:r w:rsidRPr="0085777B">
        <w:rPr>
          <w:u w:val="single"/>
        </w:rPr>
        <w:t>)</w:t>
      </w:r>
    </w:p>
    <w:p w14:paraId="5283DD08" w14:textId="77777777" w:rsidR="00F80885" w:rsidRPr="0085777B" w:rsidRDefault="00F80885" w:rsidP="00F80885">
      <w:pPr>
        <w:keepNext/>
        <w:jc w:val="left"/>
      </w:pPr>
    </w:p>
    <w:p w14:paraId="27C3591E" w14:textId="035177E0" w:rsidR="00F80885" w:rsidRPr="0085777B" w:rsidRDefault="00F80885" w:rsidP="00F80885">
      <w:pPr>
        <w:jc w:val="left"/>
        <w:rPr>
          <w:highlight w:val="yellow"/>
        </w:rPr>
      </w:pPr>
      <w:r w:rsidRPr="0085777B">
        <w:fldChar w:fldCharType="begin"/>
      </w:r>
      <w:r w:rsidRPr="0085777B">
        <w:instrText xml:space="preserve"> AUTONUM  </w:instrText>
      </w:r>
      <w:r w:rsidRPr="0085777B">
        <w:fldChar w:fldCharType="end"/>
      </w:r>
      <w:r w:rsidRPr="0085777B">
        <w:tab/>
        <w:t xml:space="preserve">El CAJ examinó el documento </w:t>
      </w:r>
      <w:r w:rsidR="005F5C4A" w:rsidRPr="0085777B">
        <w:t>SESSIONS/2025/4</w:t>
      </w:r>
      <w:r w:rsidRPr="0085777B">
        <w:t>.</w:t>
      </w:r>
    </w:p>
    <w:p w14:paraId="0C3EAC3E" w14:textId="77777777" w:rsidR="00F80885" w:rsidRPr="0085777B" w:rsidRDefault="00F80885" w:rsidP="00F80885">
      <w:pPr>
        <w:rPr>
          <w:highlight w:val="yellow"/>
        </w:rPr>
      </w:pPr>
    </w:p>
    <w:p w14:paraId="5B627FEB" w14:textId="42782FA9" w:rsidR="00F80885" w:rsidRPr="0085777B" w:rsidRDefault="00F80885" w:rsidP="00F80885">
      <w:r w:rsidRPr="0085777B">
        <w:fldChar w:fldCharType="begin"/>
      </w:r>
      <w:r w:rsidRPr="0085777B">
        <w:instrText xml:space="preserve"> AUTONUM  </w:instrText>
      </w:r>
      <w:r w:rsidRPr="0085777B">
        <w:fldChar w:fldCharType="end"/>
      </w:r>
      <w:r w:rsidRPr="0085777B">
        <w:tab/>
        <w:t>El CAJ tomó nota de l</w:t>
      </w:r>
      <w:r w:rsidR="00A43830">
        <w:t>as</w:t>
      </w:r>
      <w:r w:rsidRPr="0085777B">
        <w:t xml:space="preserve"> </w:t>
      </w:r>
      <w:r w:rsidR="00A43830">
        <w:t xml:space="preserve">novedades </w:t>
      </w:r>
      <w:r w:rsidRPr="0085777B">
        <w:t>relativ</w:t>
      </w:r>
      <w:r w:rsidR="00A43830">
        <w:t>a</w:t>
      </w:r>
      <w:r w:rsidRPr="0085777B">
        <w:t>s a las reuniones sobre solicitudes electrónicas.</w:t>
      </w:r>
    </w:p>
    <w:p w14:paraId="6CD23974" w14:textId="77777777" w:rsidR="00F80885" w:rsidRPr="0085777B" w:rsidRDefault="00F80885" w:rsidP="00F80885"/>
    <w:p w14:paraId="156518E8" w14:textId="17C92C75" w:rsidR="006C4D58" w:rsidRPr="0085777B" w:rsidRDefault="006D4CB1" w:rsidP="00F80885">
      <w:r w:rsidRPr="0085777B">
        <w:fldChar w:fldCharType="begin"/>
      </w:r>
      <w:r w:rsidRPr="0085777B">
        <w:instrText xml:space="preserve"> AUTONUM  </w:instrText>
      </w:r>
      <w:r w:rsidRPr="0085777B">
        <w:fldChar w:fldCharType="end"/>
      </w:r>
      <w:r w:rsidRPr="0085777B">
        <w:tab/>
        <w:t xml:space="preserve">El CAJ tomó nota de que </w:t>
      </w:r>
      <w:r w:rsidR="00554A12" w:rsidRPr="0085777B">
        <w:t xml:space="preserve">se desarrollaría </w:t>
      </w:r>
      <w:r w:rsidRPr="0085777B">
        <w:t xml:space="preserve">un </w:t>
      </w:r>
      <w:r w:rsidR="0092508E" w:rsidRPr="0085777B">
        <w:t xml:space="preserve">proyecto piloto </w:t>
      </w:r>
      <w:r w:rsidR="009E2C30" w:rsidRPr="0085777B">
        <w:t xml:space="preserve">en el marco de la labor de </w:t>
      </w:r>
      <w:r w:rsidR="00554A12" w:rsidRPr="0085777B">
        <w:t>la EAM con los miembros de la UPOV y los representantes de los obtentores para determinar la información básica</w:t>
      </w:r>
      <w:r w:rsidR="00E03468" w:rsidRPr="0085777B">
        <w:t xml:space="preserve"> común que podría utilizarse en la </w:t>
      </w:r>
      <w:r w:rsidR="009E2C30" w:rsidRPr="0085777B">
        <w:t>presentación de solicitudes (proyecto piloto)</w:t>
      </w:r>
      <w:r w:rsidR="00E03468" w:rsidRPr="0085777B">
        <w:t xml:space="preserve">. </w:t>
      </w:r>
      <w:r w:rsidR="006C4D58" w:rsidRPr="0085777B">
        <w:t xml:space="preserve">La intención de este proyecto no es sustituir los sistemas nacionales o regionales, sino facilitar aún más la presentación de solicitudes.  Se mantendrá la libertad de utilizar los formularios de solicitud nacionales o regionales en UPOV PRISMA. </w:t>
      </w:r>
    </w:p>
    <w:p w14:paraId="5CD9A647" w14:textId="77777777" w:rsidR="006C4D58" w:rsidRPr="0085777B" w:rsidRDefault="006C4D58" w:rsidP="00F80885"/>
    <w:p w14:paraId="7E49494B" w14:textId="4E157C90" w:rsidR="006D4CB1" w:rsidRPr="0085777B" w:rsidRDefault="006C4D58" w:rsidP="00F80885">
      <w:r w:rsidRPr="0085777B">
        <w:fldChar w:fldCharType="begin"/>
      </w:r>
      <w:r w:rsidRPr="0085777B">
        <w:instrText xml:space="preserve"> AUTONUM  </w:instrText>
      </w:r>
      <w:r w:rsidRPr="0085777B">
        <w:fldChar w:fldCharType="end"/>
      </w:r>
      <w:r w:rsidRPr="0085777B">
        <w:tab/>
      </w:r>
      <w:r w:rsidR="009E2C30" w:rsidRPr="0085777B">
        <w:t xml:space="preserve">El CAJ </w:t>
      </w:r>
      <w:r w:rsidR="000F4411" w:rsidRPr="0085777B">
        <w:t xml:space="preserve">tomó nota de que Australia, Canadá, la Unión Europea, Japón, el Reino Unido, Estados Unidos de América y la </w:t>
      </w:r>
      <w:r w:rsidR="00A43830" w:rsidRPr="0085777B">
        <w:t xml:space="preserve">International </w:t>
      </w:r>
      <w:proofErr w:type="spellStart"/>
      <w:r w:rsidR="00A43830" w:rsidRPr="0085777B">
        <w:t>Seed</w:t>
      </w:r>
      <w:proofErr w:type="spellEnd"/>
      <w:r w:rsidR="00A43830" w:rsidRPr="0085777B">
        <w:t xml:space="preserve"> </w:t>
      </w:r>
      <w:proofErr w:type="spellStart"/>
      <w:r w:rsidR="00A43830" w:rsidRPr="0085777B">
        <w:t>Federation</w:t>
      </w:r>
      <w:proofErr w:type="spellEnd"/>
      <w:r w:rsidR="000F4411" w:rsidRPr="0085777B">
        <w:t xml:space="preserve"> se ofrecieron voluntariamente </w:t>
      </w:r>
      <w:r w:rsidRPr="0085777B">
        <w:t xml:space="preserve">en </w:t>
      </w:r>
      <w:r w:rsidR="00A43830">
        <w:t>la</w:t>
      </w:r>
      <w:r w:rsidRPr="0085777B">
        <w:t xml:space="preserve"> EAM </w:t>
      </w:r>
      <w:r w:rsidR="000F4411" w:rsidRPr="0085777B">
        <w:t xml:space="preserve">para participar </w:t>
      </w:r>
      <w:r w:rsidR="009E2C30" w:rsidRPr="0085777B">
        <w:t xml:space="preserve">en </w:t>
      </w:r>
      <w:r w:rsidR="000F4411" w:rsidRPr="0085777B">
        <w:t xml:space="preserve">el proyecto piloto y que otros miembros u observadores </w:t>
      </w:r>
      <w:r w:rsidR="00E03468" w:rsidRPr="0085777B">
        <w:t xml:space="preserve">son bienvenidos a </w:t>
      </w:r>
      <w:r w:rsidR="00A17313" w:rsidRPr="0085777B">
        <w:t>unirse</w:t>
      </w:r>
      <w:r w:rsidR="000F4411" w:rsidRPr="0085777B">
        <w:t xml:space="preserve">. </w:t>
      </w:r>
      <w:r w:rsidR="009E2C30" w:rsidRPr="0085777B">
        <w:t xml:space="preserve"> El CAJ tomó nota de que </w:t>
      </w:r>
      <w:r w:rsidRPr="0085777B">
        <w:t>Argentina y la CIOPORA también han manifestado al CAJ su interés en participar en el proyecto piloto.  El</w:t>
      </w:r>
      <w:r w:rsidR="00A43830">
        <w:t> </w:t>
      </w:r>
      <w:r w:rsidRPr="0085777B">
        <w:t>CAJ tomó nota de que los avances realizados en el «proyecto piloto PRISMA plus» se comunicarán al CAJ en su sesión de octubre de 2026.</w:t>
      </w:r>
    </w:p>
    <w:p w14:paraId="6B27E3BC" w14:textId="77777777" w:rsidR="002F0942" w:rsidRPr="0085777B" w:rsidRDefault="002F0942" w:rsidP="00F80885"/>
    <w:p w14:paraId="275F51DE" w14:textId="77777777" w:rsidR="00A17313" w:rsidRPr="0085777B" w:rsidRDefault="00A17313" w:rsidP="00F80885"/>
    <w:p w14:paraId="1A9D842F" w14:textId="62C8B5A7" w:rsidR="00AE6473" w:rsidRPr="0085777B" w:rsidRDefault="00AE6473" w:rsidP="00AE6473">
      <w:pPr>
        <w:rPr>
          <w:u w:val="single"/>
        </w:rPr>
      </w:pPr>
      <w:r w:rsidRPr="0085777B">
        <w:rPr>
          <w:u w:val="single"/>
        </w:rPr>
        <w:t>Bases de datos de información de la UPOV (documento SESSIONS/2025/5)</w:t>
      </w:r>
    </w:p>
    <w:p w14:paraId="27E4B34D" w14:textId="77777777" w:rsidR="00AE6473" w:rsidRPr="0085777B" w:rsidRDefault="00AE6473" w:rsidP="00AE6473"/>
    <w:p w14:paraId="0BBF5B9B" w14:textId="5FEF432C" w:rsidR="00AE6473" w:rsidRPr="0085777B" w:rsidRDefault="00AE6473" w:rsidP="00AE6473">
      <w:pPr>
        <w:jc w:val="left"/>
        <w:rPr>
          <w:highlight w:val="yellow"/>
        </w:rPr>
      </w:pPr>
      <w:r w:rsidRPr="0085777B">
        <w:fldChar w:fldCharType="begin"/>
      </w:r>
      <w:r w:rsidRPr="0085777B">
        <w:instrText xml:space="preserve"> AUTONUM  </w:instrText>
      </w:r>
      <w:r w:rsidRPr="0085777B">
        <w:fldChar w:fldCharType="end"/>
      </w:r>
      <w:r w:rsidRPr="0085777B">
        <w:tab/>
        <w:t xml:space="preserve">El CAJ examinó el documento </w:t>
      </w:r>
      <w:r w:rsidR="00C803FF" w:rsidRPr="0085777B">
        <w:t>SESSIONS/2025/5</w:t>
      </w:r>
      <w:r w:rsidRPr="0085777B">
        <w:t>.</w:t>
      </w:r>
    </w:p>
    <w:p w14:paraId="4729F97D" w14:textId="77777777" w:rsidR="00AE6473" w:rsidRPr="0085777B" w:rsidRDefault="00AE6473" w:rsidP="00AE6473"/>
    <w:p w14:paraId="30550262" w14:textId="27E4E5FA" w:rsidR="00AE6473" w:rsidRPr="0085777B" w:rsidRDefault="00AE6473" w:rsidP="00AE6473">
      <w:r w:rsidRPr="0085777B">
        <w:fldChar w:fldCharType="begin"/>
      </w:r>
      <w:r w:rsidRPr="0085777B">
        <w:instrText xml:space="preserve"> AUTONUM  </w:instrText>
      </w:r>
      <w:r w:rsidRPr="0085777B">
        <w:fldChar w:fldCharType="end"/>
      </w:r>
      <w:r w:rsidRPr="0085777B">
        <w:tab/>
        <w:t xml:space="preserve">El CAJ tomó nota de </w:t>
      </w:r>
      <w:r w:rsidR="00FB61FF">
        <w:t xml:space="preserve">las novedades </w:t>
      </w:r>
      <w:r w:rsidR="00A43830" w:rsidRPr="0085777B">
        <w:t>relativ</w:t>
      </w:r>
      <w:r w:rsidR="00A43830">
        <w:t>a</w:t>
      </w:r>
      <w:r w:rsidR="00A43830" w:rsidRPr="0085777B">
        <w:t xml:space="preserve">s </w:t>
      </w:r>
      <w:r w:rsidR="00A43830">
        <w:t>a</w:t>
      </w:r>
      <w:r w:rsidR="00FB61FF">
        <w:t xml:space="preserve"> </w:t>
      </w:r>
      <w:r w:rsidRPr="0085777B">
        <w:t>las bases de datos de información</w:t>
      </w:r>
      <w:r w:rsidR="00E159FE" w:rsidRPr="0085777B">
        <w:t>.</w:t>
      </w:r>
    </w:p>
    <w:p w14:paraId="1B0F8B9F" w14:textId="77777777" w:rsidR="00F97752" w:rsidRPr="0085777B" w:rsidRDefault="00F97752" w:rsidP="00AE6473"/>
    <w:p w14:paraId="542941F3" w14:textId="75C8F07F" w:rsidR="00F97752" w:rsidRPr="0085777B" w:rsidRDefault="00F97752" w:rsidP="00AE6473">
      <w:r w:rsidRPr="0085777B">
        <w:lastRenderedPageBreak/>
        <w:fldChar w:fldCharType="begin"/>
      </w:r>
      <w:r w:rsidRPr="0085777B">
        <w:instrText xml:space="preserve"> AUTONUM  </w:instrText>
      </w:r>
      <w:r w:rsidRPr="0085777B">
        <w:fldChar w:fldCharType="end"/>
      </w:r>
      <w:r w:rsidRPr="0085777B">
        <w:tab/>
        <w:t>El CAJ acordó recomendar al Consejo que considerara la posibilidad de suprimir la sección sobre «Cooperación en el examen DHE» de la base de datos GENIE y del documento del Consejo con el mismo título, en el entendimiento de que tal decisión no afectaría a la sección «Experiencia práctica en el examen DHE» de la base de datos GENIE, ni a la publicación del documento “Lista de géneros y especies respecto de los cuales las autoridades tienen experiencia práctica en el examen DHE”, tal como se establece en los párrafos 13 a 28 del documento SESSIONS/2025/5.</w:t>
      </w:r>
    </w:p>
    <w:p w14:paraId="181293B0" w14:textId="15FD7A13" w:rsidR="00F97752" w:rsidRPr="0085777B" w:rsidRDefault="00F97752" w:rsidP="00AE6473"/>
    <w:p w14:paraId="211C65AD" w14:textId="57BE91C2" w:rsidR="00585868" w:rsidRPr="0085777B" w:rsidRDefault="002F0942" w:rsidP="00585868">
      <w:r w:rsidRPr="0085777B">
        <w:fldChar w:fldCharType="begin"/>
      </w:r>
      <w:r w:rsidRPr="0085777B">
        <w:instrText xml:space="preserve"> AUTONUM  </w:instrText>
      </w:r>
      <w:r w:rsidRPr="0085777B">
        <w:fldChar w:fldCharType="end"/>
      </w:r>
      <w:r w:rsidRPr="0085777B">
        <w:tab/>
      </w:r>
      <w:r w:rsidR="00F97752" w:rsidRPr="0085777B">
        <w:t>El CAJ acordó realizar dos encuestas:</w:t>
      </w:r>
    </w:p>
    <w:p w14:paraId="5BEE973B" w14:textId="1AB63CCC" w:rsidR="00F97752" w:rsidRPr="0085777B" w:rsidRDefault="002539FF" w:rsidP="00391333">
      <w:pPr>
        <w:pStyle w:val="ListParagraph"/>
        <w:numPr>
          <w:ilvl w:val="0"/>
          <w:numId w:val="22"/>
        </w:numPr>
      </w:pPr>
      <w:r w:rsidRPr="0085777B">
        <w:t xml:space="preserve">una </w:t>
      </w:r>
      <w:r w:rsidR="00B63CBA">
        <w:t xml:space="preserve">encuesta </w:t>
      </w:r>
      <w:r w:rsidR="00A43830">
        <w:t xml:space="preserve">durante </w:t>
      </w:r>
      <w:r w:rsidR="00A43830" w:rsidRPr="0085777B">
        <w:t>el cuarto trimestre de 2025</w:t>
      </w:r>
      <w:r w:rsidR="00A43830">
        <w:t xml:space="preserve"> </w:t>
      </w:r>
      <w:r w:rsidR="00F97752" w:rsidRPr="0085777B">
        <w:t xml:space="preserve">dirigida a los miembros de la UPOV para comprender los factores adicionales que afectan a la exhaustividad y la puntualidad de las aportaciones de datos; </w:t>
      </w:r>
      <w:r w:rsidRPr="0085777B">
        <w:t>y</w:t>
      </w:r>
    </w:p>
    <w:p w14:paraId="72FE1AA5" w14:textId="6305DB86" w:rsidR="00F97752" w:rsidRPr="0085777B" w:rsidRDefault="002539FF" w:rsidP="00F97752">
      <w:pPr>
        <w:pStyle w:val="ListParagraph"/>
        <w:numPr>
          <w:ilvl w:val="0"/>
          <w:numId w:val="22"/>
        </w:numPr>
      </w:pPr>
      <w:r w:rsidRPr="0085777B">
        <w:t xml:space="preserve">otra </w:t>
      </w:r>
      <w:r w:rsidR="00B63CBA">
        <w:t>encuesta durante</w:t>
      </w:r>
      <w:r w:rsidR="00B63CBA" w:rsidRPr="0085777B">
        <w:t xml:space="preserve"> el primer trimestre de 2026</w:t>
      </w:r>
      <w:r w:rsidR="00B63CBA">
        <w:t xml:space="preserve"> dirigida </w:t>
      </w:r>
      <w:r w:rsidR="00F97752" w:rsidRPr="0085777B">
        <w:t>a todos los usuarios, actuales y futuros, para obtener información sobre los datos, la eficiencia y la facilidad de uso de la función de búsqueda</w:t>
      </w:r>
      <w:r w:rsidRPr="0085777B">
        <w:t>.</w:t>
      </w:r>
    </w:p>
    <w:p w14:paraId="48493880" w14:textId="77777777" w:rsidR="00AE6473" w:rsidRPr="0085777B" w:rsidRDefault="00AE6473" w:rsidP="00AE6473"/>
    <w:p w14:paraId="316490A8" w14:textId="77777777" w:rsidR="00554A12" w:rsidRPr="0085777B" w:rsidRDefault="00554A12" w:rsidP="00AE6473"/>
    <w:p w14:paraId="3C096A9B" w14:textId="4AA53DAF" w:rsidR="00AE6473" w:rsidRPr="0085777B" w:rsidRDefault="00AE6473" w:rsidP="00AE6473">
      <w:pPr>
        <w:rPr>
          <w:u w:val="single"/>
        </w:rPr>
      </w:pPr>
      <w:r w:rsidRPr="0085777B">
        <w:rPr>
          <w:u w:val="single"/>
        </w:rPr>
        <w:t>Técnicas moleculares (documento SESSIONS/2025/6)</w:t>
      </w:r>
    </w:p>
    <w:p w14:paraId="504B898F" w14:textId="77777777" w:rsidR="00AE6473" w:rsidRPr="0085777B" w:rsidRDefault="00AE6473" w:rsidP="00AE6473"/>
    <w:p w14:paraId="7CE91733" w14:textId="6117897D" w:rsidR="00AE6473" w:rsidRPr="0085777B" w:rsidRDefault="00AE6473" w:rsidP="00AE6473">
      <w:pPr>
        <w:jc w:val="left"/>
        <w:rPr>
          <w:highlight w:val="yellow"/>
        </w:rPr>
      </w:pPr>
      <w:r w:rsidRPr="0085777B">
        <w:fldChar w:fldCharType="begin"/>
      </w:r>
      <w:r w:rsidRPr="0085777B">
        <w:instrText xml:space="preserve"> AUTONUM  </w:instrText>
      </w:r>
      <w:r w:rsidRPr="0085777B">
        <w:fldChar w:fldCharType="end"/>
      </w:r>
      <w:r w:rsidRPr="0085777B">
        <w:tab/>
        <w:t>El CAJ examinó el documento SESSIONS/2025/6.</w:t>
      </w:r>
    </w:p>
    <w:p w14:paraId="152C0115" w14:textId="77777777" w:rsidR="00AE6473" w:rsidRPr="0085777B" w:rsidRDefault="00AE6473" w:rsidP="00AE6473"/>
    <w:p w14:paraId="5432385A" w14:textId="3450E5B3" w:rsidR="00AE6473" w:rsidRPr="0085777B" w:rsidRDefault="00AE6473" w:rsidP="00AE6473">
      <w:r w:rsidRPr="0085777B">
        <w:fldChar w:fldCharType="begin"/>
      </w:r>
      <w:r w:rsidRPr="0085777B">
        <w:instrText xml:space="preserve"> AUTONUM  </w:instrText>
      </w:r>
      <w:r w:rsidRPr="0085777B">
        <w:fldChar w:fldCharType="end"/>
      </w:r>
      <w:r w:rsidRPr="0085777B">
        <w:tab/>
        <w:t>El CAJ tomó nota de los avances en materia de técnicas moleculares</w:t>
      </w:r>
      <w:r w:rsidR="00C803FF" w:rsidRPr="0085777B">
        <w:t>.</w:t>
      </w:r>
    </w:p>
    <w:p w14:paraId="4665F855" w14:textId="77777777" w:rsidR="00AE6473" w:rsidRPr="0085777B" w:rsidRDefault="00AE6473" w:rsidP="00F80885">
      <w:pPr>
        <w:pStyle w:val="Heading2"/>
        <w:keepNext w:val="0"/>
        <w:rPr>
          <w:lang w:val="es-ES_tradnl"/>
        </w:rPr>
      </w:pPr>
    </w:p>
    <w:p w14:paraId="438A7226" w14:textId="77777777" w:rsidR="00AE6473" w:rsidRPr="0085777B" w:rsidRDefault="00AE6473" w:rsidP="00F80885">
      <w:pPr>
        <w:pStyle w:val="Heading2"/>
        <w:keepNext w:val="0"/>
        <w:rPr>
          <w:lang w:val="es-ES_tradnl"/>
        </w:rPr>
      </w:pPr>
    </w:p>
    <w:p w14:paraId="6C946886" w14:textId="436473DC" w:rsidR="00F80885" w:rsidRPr="0085777B" w:rsidRDefault="00F80885" w:rsidP="00F80885">
      <w:pPr>
        <w:pStyle w:val="Heading2"/>
        <w:keepNext w:val="0"/>
        <w:rPr>
          <w:lang w:val="es-ES_tradnl"/>
        </w:rPr>
      </w:pPr>
      <w:r w:rsidRPr="0085777B">
        <w:rPr>
          <w:lang w:val="es-ES_tradnl"/>
        </w:rPr>
        <w:t xml:space="preserve">Programa de la </w:t>
      </w:r>
      <w:r w:rsidR="00244AF1">
        <w:rPr>
          <w:lang w:val="es-ES_tradnl"/>
        </w:rPr>
        <w:t>octogésima tercera s</w:t>
      </w:r>
      <w:r w:rsidRPr="0085777B">
        <w:rPr>
          <w:lang w:val="es-ES_tradnl"/>
        </w:rPr>
        <w:t>e</w:t>
      </w:r>
      <w:r w:rsidR="00244AF1">
        <w:rPr>
          <w:lang w:val="es-ES_tradnl"/>
        </w:rPr>
        <w:t>s</w:t>
      </w:r>
      <w:r w:rsidRPr="0085777B">
        <w:rPr>
          <w:lang w:val="es-ES_tradnl"/>
        </w:rPr>
        <w:t>ión</w:t>
      </w:r>
    </w:p>
    <w:p w14:paraId="147AE01B" w14:textId="77777777" w:rsidR="00F80885" w:rsidRPr="0085777B" w:rsidRDefault="00F80885" w:rsidP="00F80885"/>
    <w:p w14:paraId="48F4365D" w14:textId="11D2AABD" w:rsidR="00F80885" w:rsidRPr="0085777B" w:rsidRDefault="00F80885" w:rsidP="00F80885">
      <w:pPr>
        <w:tabs>
          <w:tab w:val="left" w:pos="567"/>
          <w:tab w:val="left" w:pos="851"/>
        </w:tabs>
      </w:pPr>
      <w:r w:rsidRPr="0085777B">
        <w:rPr>
          <w:kern w:val="28"/>
        </w:rPr>
        <w:fldChar w:fldCharType="begin"/>
      </w:r>
      <w:r w:rsidRPr="0085777B">
        <w:rPr>
          <w:kern w:val="28"/>
        </w:rPr>
        <w:instrText xml:space="preserve"> AUTONUM  </w:instrText>
      </w:r>
      <w:r w:rsidRPr="0085777B">
        <w:rPr>
          <w:kern w:val="28"/>
        </w:rPr>
        <w:fldChar w:fldCharType="end"/>
      </w:r>
      <w:r w:rsidRPr="0085777B">
        <w:rPr>
          <w:kern w:val="28"/>
        </w:rPr>
        <w:tab/>
        <w:t>El CAJ acordó el siguiente programa para su</w:t>
      </w:r>
      <w:r w:rsidRPr="0085777B">
        <w:t xml:space="preserve"> </w:t>
      </w:r>
      <w:r w:rsidR="00244AF1" w:rsidRPr="00244AF1">
        <w:t>octogésima tercera</w:t>
      </w:r>
      <w:r w:rsidR="00AE4A3D" w:rsidRPr="0085777B">
        <w:t xml:space="preserve"> </w:t>
      </w:r>
      <w:r w:rsidRPr="0085777B">
        <w:t xml:space="preserve">sesión, que se celebrará </w:t>
      </w:r>
      <w:r w:rsidR="00244AF1">
        <w:br/>
      </w:r>
      <w:r w:rsidRPr="0085777B">
        <w:t>el</w:t>
      </w:r>
      <w:r w:rsidR="00AE4A3D" w:rsidRPr="0085777B">
        <w:t xml:space="preserve"> 21</w:t>
      </w:r>
      <w:r w:rsidRPr="0085777B">
        <w:t xml:space="preserve"> de octubre de</w:t>
      </w:r>
      <w:r w:rsidR="00AE4A3D" w:rsidRPr="0085777B">
        <w:t xml:space="preserve"> 2026</w:t>
      </w:r>
      <w:r w:rsidRPr="0085777B">
        <w:t>:</w:t>
      </w:r>
    </w:p>
    <w:p w14:paraId="5BD65D5C" w14:textId="77777777" w:rsidR="00F80885" w:rsidRPr="0085777B" w:rsidRDefault="00F80885" w:rsidP="00F80885"/>
    <w:p w14:paraId="49C86884" w14:textId="77777777" w:rsidR="00F80885" w:rsidRPr="0085777B" w:rsidRDefault="00F80885" w:rsidP="00F80885">
      <w:pPr>
        <w:pStyle w:val="ListParagraph"/>
        <w:numPr>
          <w:ilvl w:val="0"/>
          <w:numId w:val="1"/>
        </w:numPr>
        <w:ind w:left="1134"/>
      </w:pPr>
      <w:r w:rsidRPr="0085777B">
        <w:t>Apertura de la sesión</w:t>
      </w:r>
    </w:p>
    <w:p w14:paraId="285E5E7B" w14:textId="77777777" w:rsidR="00F80885" w:rsidRPr="0085777B" w:rsidRDefault="00F80885" w:rsidP="00F80885">
      <w:pPr>
        <w:ind w:left="1134" w:hanging="570"/>
      </w:pPr>
    </w:p>
    <w:p w14:paraId="475B55F2" w14:textId="77777777" w:rsidR="00F80885" w:rsidRPr="0085777B" w:rsidRDefault="00F80885" w:rsidP="00F80885">
      <w:pPr>
        <w:pStyle w:val="ListParagraph"/>
        <w:numPr>
          <w:ilvl w:val="0"/>
          <w:numId w:val="1"/>
        </w:numPr>
        <w:ind w:left="1134"/>
      </w:pPr>
      <w:r w:rsidRPr="0085777B">
        <w:t>Aprobación del orden del día</w:t>
      </w:r>
    </w:p>
    <w:p w14:paraId="15FD06C6" w14:textId="77777777" w:rsidR="00F80885" w:rsidRPr="0085777B" w:rsidRDefault="00F80885" w:rsidP="00F80885">
      <w:pPr>
        <w:ind w:left="1134" w:hanging="570"/>
      </w:pPr>
    </w:p>
    <w:p w14:paraId="26F995F3" w14:textId="36F55EEB" w:rsidR="00F80885" w:rsidRPr="0085777B" w:rsidRDefault="00F80885" w:rsidP="00F80885">
      <w:pPr>
        <w:pStyle w:val="ListParagraph"/>
        <w:numPr>
          <w:ilvl w:val="0"/>
          <w:numId w:val="1"/>
        </w:numPr>
        <w:ind w:left="1134"/>
      </w:pPr>
      <w:r w:rsidRPr="0085777B">
        <w:t>Informe de</w:t>
      </w:r>
      <w:r w:rsidR="00244AF1">
        <w:t xml:space="preserve"> </w:t>
      </w:r>
      <w:r w:rsidRPr="0085777B">
        <w:t>l</w:t>
      </w:r>
      <w:r w:rsidR="00244AF1">
        <w:t>a</w:t>
      </w:r>
      <w:r w:rsidRPr="0085777B">
        <w:t xml:space="preserve"> Secretari</w:t>
      </w:r>
      <w:r w:rsidR="00244AF1">
        <w:t>a</w:t>
      </w:r>
      <w:r w:rsidRPr="0085777B">
        <w:t xml:space="preserve"> General Adjunt</w:t>
      </w:r>
      <w:r w:rsidR="00244AF1">
        <w:t>a</w:t>
      </w:r>
      <w:r w:rsidRPr="0085777B">
        <w:t xml:space="preserve"> sobre </w:t>
      </w:r>
      <w:r w:rsidR="00244AF1">
        <w:t>las novedades acaecidas</w:t>
      </w:r>
      <w:r w:rsidRPr="0085777B">
        <w:t xml:space="preserve"> en la UPOV </w:t>
      </w:r>
    </w:p>
    <w:p w14:paraId="4FFA51B6" w14:textId="77777777" w:rsidR="00F80885" w:rsidRPr="0085777B" w:rsidRDefault="00F80885" w:rsidP="00F80885">
      <w:pPr>
        <w:ind w:left="1134" w:hanging="570"/>
      </w:pPr>
    </w:p>
    <w:p w14:paraId="511D8311" w14:textId="7DDBCDA8" w:rsidR="00F80885" w:rsidRPr="0085777B" w:rsidRDefault="00F80885" w:rsidP="00F80885">
      <w:pPr>
        <w:pStyle w:val="ListParagraph"/>
        <w:numPr>
          <w:ilvl w:val="0"/>
          <w:numId w:val="1"/>
        </w:numPr>
        <w:ind w:left="1134"/>
      </w:pPr>
      <w:r w:rsidRPr="0085777B">
        <w:t xml:space="preserve">Informe sobre </w:t>
      </w:r>
      <w:r w:rsidR="00FB61FF">
        <w:t xml:space="preserve">las novedades acaecidas en el </w:t>
      </w:r>
      <w:r w:rsidRPr="0085777B">
        <w:t xml:space="preserve">Comité Técnico </w:t>
      </w:r>
    </w:p>
    <w:p w14:paraId="7439F5BE" w14:textId="77777777" w:rsidR="00F80885" w:rsidRPr="0085777B" w:rsidRDefault="00F80885" w:rsidP="00F80885">
      <w:pPr>
        <w:ind w:left="1134" w:hanging="570"/>
      </w:pPr>
    </w:p>
    <w:p w14:paraId="6E9580AB" w14:textId="0A64B9B1" w:rsidR="00F80885" w:rsidRPr="0085777B" w:rsidRDefault="00F80885" w:rsidP="00F80885">
      <w:pPr>
        <w:pStyle w:val="ListParagraph"/>
        <w:numPr>
          <w:ilvl w:val="0"/>
          <w:numId w:val="1"/>
        </w:numPr>
        <w:ind w:left="1134"/>
      </w:pPr>
      <w:r w:rsidRPr="0085777B">
        <w:t xml:space="preserve">Elaboración de </w:t>
      </w:r>
      <w:r w:rsidR="00244AF1">
        <w:t xml:space="preserve">orientaciones y </w:t>
      </w:r>
      <w:r w:rsidRPr="0085777B">
        <w:t xml:space="preserve">material de información </w:t>
      </w:r>
    </w:p>
    <w:p w14:paraId="787609B1" w14:textId="77777777" w:rsidR="00F80885" w:rsidRPr="0085777B" w:rsidRDefault="00F80885" w:rsidP="00F80885">
      <w:pPr>
        <w:ind w:left="1134" w:hanging="570"/>
      </w:pPr>
    </w:p>
    <w:p w14:paraId="635EC8F4" w14:textId="6D6396AA" w:rsidR="00F80885" w:rsidRPr="0085777B" w:rsidRDefault="00F80885" w:rsidP="00244AF1">
      <w:pPr>
        <w:pStyle w:val="ListParagraph"/>
        <w:numPr>
          <w:ilvl w:val="0"/>
          <w:numId w:val="2"/>
        </w:numPr>
        <w:spacing w:after="120"/>
        <w:ind w:left="1701" w:hanging="573"/>
        <w:contextualSpacing w:val="0"/>
      </w:pPr>
      <w:r w:rsidRPr="0085777B">
        <w:t xml:space="preserve">Documentos </w:t>
      </w:r>
      <w:r w:rsidR="00244AF1">
        <w:t>de información</w:t>
      </w:r>
    </w:p>
    <w:p w14:paraId="0C6861C0" w14:textId="77777777" w:rsidR="00F80885" w:rsidRPr="0085777B" w:rsidRDefault="00F80885" w:rsidP="00244AF1">
      <w:pPr>
        <w:pStyle w:val="ListParagraph"/>
        <w:numPr>
          <w:ilvl w:val="0"/>
          <w:numId w:val="2"/>
        </w:numPr>
        <w:spacing w:after="120"/>
        <w:ind w:left="1701" w:hanging="573"/>
        <w:contextualSpacing w:val="0"/>
      </w:pPr>
      <w:r w:rsidRPr="0085777B">
        <w:t>Notas explicativas</w:t>
      </w:r>
    </w:p>
    <w:p w14:paraId="4F290FAC" w14:textId="77777777" w:rsidR="00F80885" w:rsidRPr="0085777B" w:rsidRDefault="00F80885" w:rsidP="00F80885">
      <w:pPr>
        <w:pStyle w:val="ListParagraph"/>
        <w:numPr>
          <w:ilvl w:val="0"/>
          <w:numId w:val="2"/>
        </w:numPr>
        <w:ind w:left="1701"/>
      </w:pPr>
      <w:r w:rsidRPr="0085777B">
        <w:t>Documentos TGP</w:t>
      </w:r>
    </w:p>
    <w:p w14:paraId="754B0BFA" w14:textId="77777777" w:rsidR="00F80885" w:rsidRPr="0085777B" w:rsidRDefault="00F80885" w:rsidP="00F80885">
      <w:pPr>
        <w:pStyle w:val="ListParagraph"/>
        <w:ind w:left="1134" w:hanging="570"/>
      </w:pPr>
    </w:p>
    <w:p w14:paraId="41F86B45" w14:textId="38FCDB43" w:rsidR="003016DD" w:rsidRPr="0085777B" w:rsidRDefault="00F80885" w:rsidP="00655D80">
      <w:pPr>
        <w:ind w:left="1134" w:hanging="570"/>
      </w:pPr>
      <w:r w:rsidRPr="0085777B">
        <w:t>6.</w:t>
      </w:r>
      <w:r w:rsidRPr="0085777B">
        <w:tab/>
        <w:t>Medidas para mejorar la cooperación en el examen</w:t>
      </w:r>
    </w:p>
    <w:p w14:paraId="43112251" w14:textId="77777777" w:rsidR="00655D80" w:rsidRPr="0085777B" w:rsidRDefault="00655D80" w:rsidP="00655D80">
      <w:pPr>
        <w:ind w:left="1134" w:hanging="570"/>
      </w:pPr>
    </w:p>
    <w:p w14:paraId="1045A809" w14:textId="34BC6951" w:rsidR="00655D80" w:rsidRPr="0085777B" w:rsidRDefault="00655D80" w:rsidP="00655D80">
      <w:pPr>
        <w:ind w:left="1134" w:hanging="567"/>
      </w:pPr>
      <w:r w:rsidRPr="0085777B">
        <w:t>7.</w:t>
      </w:r>
      <w:r w:rsidRPr="0085777B">
        <w:tab/>
      </w:r>
      <w:r w:rsidRPr="0085777B">
        <w:tab/>
      </w:r>
      <w:r w:rsidRPr="0085777B">
        <w:rPr>
          <w:snapToGrid w:val="0"/>
        </w:rPr>
        <w:t xml:space="preserve">Actualizaciones de los miembros y observadores de la UPOV en relación con la aplicación del concepto de </w:t>
      </w:r>
      <w:r w:rsidR="00244AF1" w:rsidRPr="0085777B">
        <w:rPr>
          <w:snapToGrid w:val="0"/>
        </w:rPr>
        <w:t>variedades esencialmente derivadas</w:t>
      </w:r>
    </w:p>
    <w:p w14:paraId="69B3084C" w14:textId="77777777" w:rsidR="00F80885" w:rsidRPr="0085777B" w:rsidRDefault="00F80885" w:rsidP="008B2D8D"/>
    <w:p w14:paraId="14523004" w14:textId="489D4B19" w:rsidR="00F80885" w:rsidRPr="0085777B" w:rsidRDefault="008B2D8D" w:rsidP="00F80885">
      <w:pPr>
        <w:ind w:left="1134" w:hanging="570"/>
      </w:pPr>
      <w:r w:rsidRPr="0085777B">
        <w:t>8</w:t>
      </w:r>
      <w:r w:rsidR="00F80885" w:rsidRPr="0085777B">
        <w:t>.</w:t>
      </w:r>
      <w:r w:rsidR="00F80885" w:rsidRPr="0085777B">
        <w:tab/>
      </w:r>
      <w:r w:rsidR="00F80885" w:rsidRPr="0085777B">
        <w:tab/>
        <w:t xml:space="preserve">Informe del Grupo de Trabajo sobre el producto de la cosecha y la utilización no autorizada de material de reproducción o de multiplicación (WG-HRV) </w:t>
      </w:r>
    </w:p>
    <w:p w14:paraId="7BDAFB6F" w14:textId="77777777" w:rsidR="00F80885" w:rsidRPr="0085777B" w:rsidRDefault="00F80885" w:rsidP="00AE4A3D"/>
    <w:p w14:paraId="1AECC59E" w14:textId="522584B8" w:rsidR="00F80885" w:rsidRPr="0085777B" w:rsidRDefault="00AE4A3D" w:rsidP="00F80885">
      <w:pPr>
        <w:ind w:left="1134" w:hanging="570"/>
      </w:pPr>
      <w:r w:rsidRPr="0085777B">
        <w:t>9</w:t>
      </w:r>
      <w:r w:rsidR="00F80885" w:rsidRPr="0085777B">
        <w:t>.</w:t>
      </w:r>
      <w:r w:rsidR="00F80885" w:rsidRPr="0085777B">
        <w:tab/>
        <w:t>Informe sobre las reuniones sobre solicitudes electrónicas (EAM)</w:t>
      </w:r>
    </w:p>
    <w:p w14:paraId="0865EE48" w14:textId="77777777" w:rsidR="00F80885" w:rsidRPr="0085777B" w:rsidRDefault="00F80885" w:rsidP="00F80885">
      <w:pPr>
        <w:ind w:left="1134" w:hanging="570"/>
      </w:pPr>
    </w:p>
    <w:p w14:paraId="4972F641" w14:textId="268A8DF7" w:rsidR="00F80885" w:rsidRPr="0085777B" w:rsidRDefault="00AE4A3D" w:rsidP="00F80885">
      <w:pPr>
        <w:ind w:left="1134" w:hanging="570"/>
      </w:pPr>
      <w:r w:rsidRPr="0085777B">
        <w:t>10</w:t>
      </w:r>
      <w:r w:rsidR="00F80885" w:rsidRPr="0085777B">
        <w:t>.</w:t>
      </w:r>
      <w:r w:rsidR="00F80885" w:rsidRPr="0085777B">
        <w:tab/>
        <w:t>Informe sobre las bases de datos de información de la UPOV</w:t>
      </w:r>
    </w:p>
    <w:p w14:paraId="5A5DFAFF" w14:textId="2C74F993" w:rsidR="00F80885" w:rsidRPr="0085777B" w:rsidRDefault="00F80885" w:rsidP="00F80885">
      <w:pPr>
        <w:ind w:left="1134" w:hanging="570"/>
      </w:pPr>
    </w:p>
    <w:p w14:paraId="6272EB3E" w14:textId="2BE8FBD2" w:rsidR="00F80885" w:rsidRPr="0085777B" w:rsidRDefault="00AE4A3D" w:rsidP="00F80885">
      <w:pPr>
        <w:ind w:left="1134" w:hanging="570"/>
      </w:pPr>
      <w:r w:rsidRPr="0085777B">
        <w:t>11</w:t>
      </w:r>
      <w:r w:rsidR="00F80885" w:rsidRPr="0085777B">
        <w:t>.</w:t>
      </w:r>
      <w:r w:rsidR="00F80885" w:rsidRPr="0085777B">
        <w:tab/>
        <w:t>Informe sobre técnicas moleculares</w:t>
      </w:r>
    </w:p>
    <w:p w14:paraId="6DB784DC" w14:textId="77777777" w:rsidR="00F80885" w:rsidRPr="0085777B" w:rsidRDefault="00F80885" w:rsidP="00F80885">
      <w:pPr>
        <w:ind w:left="1134" w:hanging="570"/>
      </w:pPr>
    </w:p>
    <w:p w14:paraId="3470D5DF" w14:textId="54FE0C83" w:rsidR="00F80885" w:rsidRPr="0085777B" w:rsidRDefault="00AE4A3D" w:rsidP="00F80885">
      <w:pPr>
        <w:ind w:left="1134" w:hanging="570"/>
      </w:pPr>
      <w:r w:rsidRPr="0085777B">
        <w:t>12</w:t>
      </w:r>
      <w:r w:rsidR="00F80885" w:rsidRPr="0085777B">
        <w:t>.</w:t>
      </w:r>
      <w:r w:rsidR="00F80885" w:rsidRPr="0085777B">
        <w:tab/>
        <w:t xml:space="preserve">Programa de la </w:t>
      </w:r>
      <w:r w:rsidRPr="0085777B">
        <w:t xml:space="preserve">octogésima cuarta </w:t>
      </w:r>
      <w:r w:rsidR="00F80885" w:rsidRPr="0085777B">
        <w:t>sesión</w:t>
      </w:r>
    </w:p>
    <w:p w14:paraId="67C99FDB" w14:textId="77777777" w:rsidR="00F80885" w:rsidRPr="0085777B" w:rsidRDefault="00F80885" w:rsidP="00F80885">
      <w:pPr>
        <w:ind w:left="1134" w:hanging="570"/>
      </w:pPr>
    </w:p>
    <w:p w14:paraId="3D067837" w14:textId="271460BB" w:rsidR="00F80885" w:rsidRPr="0085777B" w:rsidRDefault="00AE4A3D" w:rsidP="00F80885">
      <w:pPr>
        <w:ind w:left="1134" w:hanging="570"/>
      </w:pPr>
      <w:r w:rsidRPr="0085777B">
        <w:t>13</w:t>
      </w:r>
      <w:r w:rsidR="00F80885" w:rsidRPr="0085777B">
        <w:t>.</w:t>
      </w:r>
      <w:r w:rsidR="00F80885" w:rsidRPr="0085777B">
        <w:tab/>
        <w:t>Aprobación del informe (si el tiempo lo permite)</w:t>
      </w:r>
    </w:p>
    <w:p w14:paraId="3C3E9FC9" w14:textId="77777777" w:rsidR="00F80885" w:rsidRPr="0085777B" w:rsidRDefault="00F80885" w:rsidP="00F80885">
      <w:pPr>
        <w:ind w:left="1134" w:hanging="570"/>
      </w:pPr>
    </w:p>
    <w:p w14:paraId="3AF90F34" w14:textId="558C6037" w:rsidR="00050E16" w:rsidRPr="0085777B" w:rsidRDefault="00AE4A3D" w:rsidP="00655D80">
      <w:pPr>
        <w:ind w:left="1134" w:hanging="570"/>
      </w:pPr>
      <w:r w:rsidRPr="0085777B">
        <w:t>14</w:t>
      </w:r>
      <w:r w:rsidR="00F80885" w:rsidRPr="0085777B">
        <w:t>.</w:t>
      </w:r>
      <w:r w:rsidR="00F80885" w:rsidRPr="0085777B">
        <w:tab/>
        <w:t>Clausura de</w:t>
      </w:r>
      <w:r w:rsidR="00244AF1">
        <w:t xml:space="preserve"> </w:t>
      </w:r>
      <w:r w:rsidR="00F80885" w:rsidRPr="0085777B">
        <w:t>l</w:t>
      </w:r>
      <w:r w:rsidR="00244AF1">
        <w:t>a sesión</w:t>
      </w:r>
    </w:p>
    <w:p w14:paraId="63FEB1D7" w14:textId="77777777" w:rsidR="005A3AEE" w:rsidRPr="0085777B" w:rsidRDefault="005A3AEE" w:rsidP="003F4DC4"/>
    <w:p w14:paraId="4EDCB357" w14:textId="77777777" w:rsidR="005A3AEE" w:rsidRPr="0085777B" w:rsidRDefault="005A3AEE" w:rsidP="003F4DC4"/>
    <w:p w14:paraId="30505F29" w14:textId="14D208F9" w:rsidR="00B51DBD" w:rsidRPr="0085777B" w:rsidRDefault="00B51DBD" w:rsidP="00B51DBD">
      <w:pPr>
        <w:pStyle w:val="Heading2"/>
        <w:rPr>
          <w:lang w:val="es-ES_tradnl"/>
        </w:rPr>
      </w:pPr>
      <w:r w:rsidRPr="0085777B">
        <w:rPr>
          <w:lang w:val="es-ES_tradnl"/>
        </w:rPr>
        <w:lastRenderedPageBreak/>
        <w:t>Medalla UPOV</w:t>
      </w:r>
    </w:p>
    <w:p w14:paraId="165F7A52" w14:textId="77777777" w:rsidR="00B51DBD" w:rsidRPr="0085777B" w:rsidRDefault="00B51DBD" w:rsidP="00B51DBD">
      <w:pPr>
        <w:keepNext/>
      </w:pPr>
    </w:p>
    <w:p w14:paraId="38B07FDE" w14:textId="2CBA385B" w:rsidR="005A3AEE" w:rsidRPr="0085777B" w:rsidRDefault="00B51DBD" w:rsidP="005A3AEE">
      <w:pPr>
        <w:keepNext/>
        <w:rPr>
          <w:rFonts w:cs="Arial"/>
        </w:rPr>
      </w:pPr>
      <w:r w:rsidRPr="0085777B">
        <w:rPr>
          <w:rFonts w:cs="Arial"/>
        </w:rPr>
        <w:fldChar w:fldCharType="begin"/>
      </w:r>
      <w:r w:rsidRPr="0085777B">
        <w:rPr>
          <w:rFonts w:cs="Arial"/>
        </w:rPr>
        <w:instrText xml:space="preserve"> AUTONUM  </w:instrText>
      </w:r>
      <w:r w:rsidRPr="0085777B">
        <w:rPr>
          <w:rFonts w:cs="Arial"/>
        </w:rPr>
        <w:fldChar w:fldCharType="end"/>
      </w:r>
      <w:r w:rsidRPr="0085777B">
        <w:rPr>
          <w:rFonts w:cs="Arial"/>
        </w:rPr>
        <w:tab/>
      </w:r>
      <w:r w:rsidR="005A3AEE" w:rsidRPr="0085777B">
        <w:rPr>
          <w:rFonts w:cs="Arial"/>
        </w:rPr>
        <w:t xml:space="preserve">En reconocimiento a su contribución como </w:t>
      </w:r>
      <w:r w:rsidR="00C74E0C">
        <w:rPr>
          <w:rFonts w:cs="Arial"/>
        </w:rPr>
        <w:t>p</w:t>
      </w:r>
      <w:r w:rsidR="005A3AEE" w:rsidRPr="0085777B">
        <w:rPr>
          <w:rFonts w:cs="Arial"/>
        </w:rPr>
        <w:t xml:space="preserve">residenta del Comité Administrativo y Jurídico (CAJ), </w:t>
      </w:r>
      <w:r w:rsidR="00C74E0C">
        <w:rPr>
          <w:rFonts w:cs="Arial"/>
        </w:rPr>
        <w:t>la</w:t>
      </w:r>
      <w:r w:rsidR="005A3AEE" w:rsidRPr="0085777B">
        <w:rPr>
          <w:rFonts w:cs="Arial"/>
        </w:rPr>
        <w:t xml:space="preserve"> </w:t>
      </w:r>
      <w:r w:rsidR="00A7135B" w:rsidRPr="0085777B">
        <w:rPr>
          <w:rFonts w:cs="Arial"/>
        </w:rPr>
        <w:br/>
      </w:r>
      <w:r w:rsidR="005A3AEE" w:rsidRPr="0085777B">
        <w:rPr>
          <w:rFonts w:cs="Arial"/>
        </w:rPr>
        <w:t xml:space="preserve">Secretaria General Adjunta otorgó una </w:t>
      </w:r>
      <w:r w:rsidR="00C74E0C" w:rsidRPr="0085777B">
        <w:rPr>
          <w:rFonts w:cs="Arial"/>
        </w:rPr>
        <w:t xml:space="preserve">medalla de plata </w:t>
      </w:r>
      <w:r w:rsidR="005A3AEE" w:rsidRPr="0085777B">
        <w:rPr>
          <w:rFonts w:cs="Arial"/>
        </w:rPr>
        <w:t xml:space="preserve">de la UPOV a </w:t>
      </w:r>
      <w:r w:rsidR="005A3AEE" w:rsidRPr="0085777B">
        <w:t>la Sra. Laura Villamayor (Argentina)</w:t>
      </w:r>
      <w:r w:rsidR="005A3AEE" w:rsidRPr="0085777B">
        <w:rPr>
          <w:rFonts w:cs="Arial"/>
        </w:rPr>
        <w:t>.</w:t>
      </w:r>
    </w:p>
    <w:p w14:paraId="2444E396" w14:textId="77777777" w:rsidR="00213C63" w:rsidRPr="0085777B" w:rsidRDefault="00213C63" w:rsidP="00F80885">
      <w:pPr>
        <w:jc w:val="right"/>
      </w:pPr>
    </w:p>
    <w:p w14:paraId="54101CA1" w14:textId="241F86D9" w:rsidR="00F80885" w:rsidRPr="0085777B" w:rsidRDefault="00F80885" w:rsidP="00475B5E">
      <w:pPr>
        <w:jc w:val="right"/>
      </w:pPr>
      <w:r w:rsidRPr="0085777B">
        <w:t>[</w:t>
      </w:r>
      <w:r w:rsidR="00735CB4" w:rsidRPr="0085777B">
        <w:t>Fin del documento</w:t>
      </w:r>
      <w:r w:rsidRPr="0085777B">
        <w:t>]</w:t>
      </w:r>
    </w:p>
    <w:sectPr w:rsidR="00F80885" w:rsidRPr="0085777B" w:rsidSect="00FB61FF">
      <w:headerReference w:type="default" r:id="rId11"/>
      <w:pgSz w:w="11907" w:h="16840" w:code="9"/>
      <w:pgMar w:top="510" w:right="1134" w:bottom="709" w:left="1134"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C535" w14:textId="77777777" w:rsidR="00141182" w:rsidRPr="0085777B" w:rsidRDefault="00141182" w:rsidP="006655D3">
      <w:r w:rsidRPr="0085777B">
        <w:separator/>
      </w:r>
    </w:p>
    <w:p w14:paraId="4E0A4B75" w14:textId="77777777" w:rsidR="00141182" w:rsidRPr="0085777B" w:rsidRDefault="00141182" w:rsidP="006655D3"/>
    <w:p w14:paraId="7BFDB319" w14:textId="77777777" w:rsidR="00141182" w:rsidRPr="0085777B" w:rsidRDefault="00141182" w:rsidP="006655D3"/>
  </w:endnote>
  <w:endnote w:type="continuationSeparator" w:id="0">
    <w:p w14:paraId="1FEE3B22" w14:textId="77777777" w:rsidR="00141182" w:rsidRPr="0085777B" w:rsidRDefault="00141182" w:rsidP="006655D3">
      <w:r w:rsidRPr="0085777B">
        <w:separator/>
      </w:r>
    </w:p>
    <w:p w14:paraId="115F4240" w14:textId="77777777" w:rsidR="00141182" w:rsidRPr="0085777B" w:rsidRDefault="00141182">
      <w:pPr>
        <w:pStyle w:val="Footer"/>
        <w:spacing w:after="60"/>
        <w:rPr>
          <w:sz w:val="18"/>
          <w:lang w:val="es-ES_tradnl"/>
        </w:rPr>
      </w:pPr>
      <w:r w:rsidRPr="0085777B">
        <w:rPr>
          <w:sz w:val="18"/>
          <w:lang w:val="es-ES_tradnl"/>
        </w:rPr>
        <w:t>[Continuación de la nota de la página anterior]</w:t>
      </w:r>
    </w:p>
    <w:p w14:paraId="0E7D3BE3" w14:textId="77777777" w:rsidR="00141182" w:rsidRPr="0085777B" w:rsidRDefault="00141182" w:rsidP="006655D3"/>
    <w:p w14:paraId="756F3480" w14:textId="77777777" w:rsidR="00141182" w:rsidRPr="0085777B" w:rsidRDefault="00141182" w:rsidP="006655D3"/>
  </w:endnote>
  <w:endnote w:type="continuationNotice" w:id="1">
    <w:p w14:paraId="5471EB61" w14:textId="77777777" w:rsidR="00141182" w:rsidRPr="0085777B" w:rsidRDefault="00141182" w:rsidP="006655D3">
      <w:r w:rsidRPr="0085777B">
        <w:t>[Continuación de la nota de la página siguiente]</w:t>
      </w:r>
    </w:p>
    <w:p w14:paraId="315FDAE1" w14:textId="77777777" w:rsidR="00141182" w:rsidRPr="0085777B" w:rsidRDefault="00141182" w:rsidP="006655D3"/>
    <w:p w14:paraId="455CC021" w14:textId="77777777" w:rsidR="00141182" w:rsidRPr="0085777B" w:rsidRDefault="00141182"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FA410" w14:textId="77777777" w:rsidR="00141182" w:rsidRPr="0085777B" w:rsidRDefault="00141182" w:rsidP="006655D3">
      <w:r w:rsidRPr="0085777B">
        <w:separator/>
      </w:r>
    </w:p>
  </w:footnote>
  <w:footnote w:type="continuationSeparator" w:id="0">
    <w:p w14:paraId="45A51384" w14:textId="77777777" w:rsidR="00141182" w:rsidRPr="0085777B" w:rsidRDefault="00141182" w:rsidP="006655D3">
      <w:r w:rsidRPr="0085777B">
        <w:separator/>
      </w:r>
    </w:p>
  </w:footnote>
  <w:footnote w:type="continuationNotice" w:id="1">
    <w:p w14:paraId="0718F63C" w14:textId="77777777" w:rsidR="00141182" w:rsidRPr="0085777B" w:rsidRDefault="00141182" w:rsidP="00AB530F">
      <w:pPr>
        <w:pStyle w:val="Footer"/>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7287" w14:textId="1DE1856A" w:rsidR="00333CC7" w:rsidRPr="0085777B" w:rsidRDefault="00333CC7" w:rsidP="00333CC7">
    <w:pPr>
      <w:pStyle w:val="Header"/>
      <w:rPr>
        <w:lang w:val="es-ES_tradnl"/>
      </w:rPr>
    </w:pPr>
    <w:r w:rsidRPr="0085777B">
      <w:rPr>
        <w:lang w:val="es-ES_tradnl"/>
      </w:rPr>
      <w:t>CAJ/82/5</w:t>
    </w:r>
  </w:p>
  <w:p w14:paraId="346FF322" w14:textId="5BE3DBA9" w:rsidR="00333CC7" w:rsidRPr="0085777B" w:rsidRDefault="00333CC7">
    <w:pPr>
      <w:pStyle w:val="Header"/>
      <w:rPr>
        <w:lang w:val="es-ES_tradnl"/>
      </w:rPr>
    </w:pPr>
    <w:r w:rsidRPr="0085777B">
      <w:rPr>
        <w:lang w:val="es-ES_tradnl"/>
      </w:rPr>
      <w:t xml:space="preserve">página </w:t>
    </w:r>
    <w:sdt>
      <w:sdtPr>
        <w:rPr>
          <w:lang w:val="es-ES_tradnl"/>
        </w:rPr>
        <w:id w:val="472486046"/>
        <w:docPartObj>
          <w:docPartGallery w:val="Page Numbers (Top of Page)"/>
          <w:docPartUnique/>
        </w:docPartObj>
      </w:sdtPr>
      <w:sdtEndPr/>
      <w:sdtContent>
        <w:r w:rsidRPr="0085777B">
          <w:rPr>
            <w:lang w:val="es-ES_tradnl"/>
          </w:rPr>
          <w:fldChar w:fldCharType="begin"/>
        </w:r>
        <w:r w:rsidRPr="0085777B">
          <w:rPr>
            <w:lang w:val="es-ES_tradnl"/>
          </w:rPr>
          <w:instrText xml:space="preserve"> PAGE   \* MERGEFORMAT </w:instrText>
        </w:r>
        <w:r w:rsidRPr="0085777B">
          <w:rPr>
            <w:lang w:val="es-ES_tradnl"/>
          </w:rPr>
          <w:fldChar w:fldCharType="separate"/>
        </w:r>
        <w:r w:rsidRPr="0085777B">
          <w:rPr>
            <w:lang w:val="es-ES_tradnl"/>
          </w:rPr>
          <w:t>2</w:t>
        </w:r>
        <w:r w:rsidRPr="0085777B">
          <w:rPr>
            <w:lang w:val="es-ES_tradnl"/>
          </w:rPr>
          <w:fldChar w:fldCharType="end"/>
        </w:r>
      </w:sdtContent>
    </w:sdt>
  </w:p>
  <w:p w14:paraId="470F23BD" w14:textId="77777777" w:rsidR="00333CC7" w:rsidRPr="0085777B" w:rsidRDefault="00333CC7">
    <w:pPr>
      <w:pStyle w:val="Heade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687"/>
    <w:multiLevelType w:val="hybridMultilevel"/>
    <w:tmpl w:val="8F4CBACA"/>
    <w:lvl w:ilvl="0" w:tplc="9000D9C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620C7"/>
    <w:multiLevelType w:val="hybridMultilevel"/>
    <w:tmpl w:val="F76A5D50"/>
    <w:lvl w:ilvl="0" w:tplc="1F4E71D4">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239D9"/>
    <w:multiLevelType w:val="hybridMultilevel"/>
    <w:tmpl w:val="E91A4E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D31ACC"/>
    <w:multiLevelType w:val="hybridMultilevel"/>
    <w:tmpl w:val="61EE423E"/>
    <w:lvl w:ilvl="0" w:tplc="9428285A">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F2561"/>
    <w:multiLevelType w:val="hybridMultilevel"/>
    <w:tmpl w:val="FAEA834A"/>
    <w:lvl w:ilvl="0" w:tplc="4550909A">
      <w:start w:val="6"/>
      <w:numFmt w:val="bullet"/>
      <w:lvlText w:val="-"/>
      <w:lvlJc w:val="left"/>
      <w:pPr>
        <w:ind w:left="720" w:hanging="360"/>
      </w:pPr>
      <w:rPr>
        <w:rFonts w:ascii="Arial" w:eastAsia="Times New Roman" w:hAnsi="Arial" w:cs="Aria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D08CE"/>
    <w:multiLevelType w:val="hybridMultilevel"/>
    <w:tmpl w:val="F1862708"/>
    <w:lvl w:ilvl="0" w:tplc="3224ECB8">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B5087"/>
    <w:multiLevelType w:val="hybridMultilevel"/>
    <w:tmpl w:val="3E5CD83C"/>
    <w:lvl w:ilvl="0" w:tplc="8C38EC0C">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A56F4"/>
    <w:multiLevelType w:val="hybridMultilevel"/>
    <w:tmpl w:val="4D88E70E"/>
    <w:lvl w:ilvl="0" w:tplc="8C202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D4CED"/>
    <w:multiLevelType w:val="hybridMultilevel"/>
    <w:tmpl w:val="CD2C8A7A"/>
    <w:lvl w:ilvl="0" w:tplc="101C42A2">
      <w:start w:val="5"/>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D887840"/>
    <w:multiLevelType w:val="hybridMultilevel"/>
    <w:tmpl w:val="26F4AC5E"/>
    <w:lvl w:ilvl="0" w:tplc="21A408E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364C4"/>
    <w:multiLevelType w:val="hybridMultilevel"/>
    <w:tmpl w:val="DBA4D2AA"/>
    <w:lvl w:ilvl="0" w:tplc="44B2F5CA">
      <w:start w:val="1"/>
      <w:numFmt w:val="bullet"/>
      <w:lvlText w:val="•"/>
      <w:lvlJc w:val="left"/>
      <w:pPr>
        <w:tabs>
          <w:tab w:val="num" w:pos="720"/>
        </w:tabs>
        <w:ind w:left="720" w:hanging="360"/>
      </w:pPr>
      <w:rPr>
        <w:rFonts w:ascii="Arial" w:hAnsi="Arial" w:hint="default"/>
      </w:rPr>
    </w:lvl>
    <w:lvl w:ilvl="1" w:tplc="FC4A5254">
      <w:start w:val="1"/>
      <w:numFmt w:val="bullet"/>
      <w:lvlText w:val="•"/>
      <w:lvlJc w:val="left"/>
      <w:pPr>
        <w:tabs>
          <w:tab w:val="num" w:pos="1440"/>
        </w:tabs>
        <w:ind w:left="1440" w:hanging="360"/>
      </w:pPr>
      <w:rPr>
        <w:rFonts w:ascii="Arial" w:hAnsi="Arial" w:hint="default"/>
      </w:rPr>
    </w:lvl>
    <w:lvl w:ilvl="2" w:tplc="C2CEEBBE" w:tentative="1">
      <w:start w:val="1"/>
      <w:numFmt w:val="bullet"/>
      <w:lvlText w:val="•"/>
      <w:lvlJc w:val="left"/>
      <w:pPr>
        <w:tabs>
          <w:tab w:val="num" w:pos="2160"/>
        </w:tabs>
        <w:ind w:left="2160" w:hanging="360"/>
      </w:pPr>
      <w:rPr>
        <w:rFonts w:ascii="Arial" w:hAnsi="Arial" w:hint="default"/>
      </w:rPr>
    </w:lvl>
    <w:lvl w:ilvl="3" w:tplc="84B20E2A" w:tentative="1">
      <w:start w:val="1"/>
      <w:numFmt w:val="bullet"/>
      <w:lvlText w:val="•"/>
      <w:lvlJc w:val="left"/>
      <w:pPr>
        <w:tabs>
          <w:tab w:val="num" w:pos="2880"/>
        </w:tabs>
        <w:ind w:left="2880" w:hanging="360"/>
      </w:pPr>
      <w:rPr>
        <w:rFonts w:ascii="Arial" w:hAnsi="Arial" w:hint="default"/>
      </w:rPr>
    </w:lvl>
    <w:lvl w:ilvl="4" w:tplc="DF28A802" w:tentative="1">
      <w:start w:val="1"/>
      <w:numFmt w:val="bullet"/>
      <w:lvlText w:val="•"/>
      <w:lvlJc w:val="left"/>
      <w:pPr>
        <w:tabs>
          <w:tab w:val="num" w:pos="3600"/>
        </w:tabs>
        <w:ind w:left="3600" w:hanging="360"/>
      </w:pPr>
      <w:rPr>
        <w:rFonts w:ascii="Arial" w:hAnsi="Arial" w:hint="default"/>
      </w:rPr>
    </w:lvl>
    <w:lvl w:ilvl="5" w:tplc="EF8A4788" w:tentative="1">
      <w:start w:val="1"/>
      <w:numFmt w:val="bullet"/>
      <w:lvlText w:val="•"/>
      <w:lvlJc w:val="left"/>
      <w:pPr>
        <w:tabs>
          <w:tab w:val="num" w:pos="4320"/>
        </w:tabs>
        <w:ind w:left="4320" w:hanging="360"/>
      </w:pPr>
      <w:rPr>
        <w:rFonts w:ascii="Arial" w:hAnsi="Arial" w:hint="default"/>
      </w:rPr>
    </w:lvl>
    <w:lvl w:ilvl="6" w:tplc="7A60500A" w:tentative="1">
      <w:start w:val="1"/>
      <w:numFmt w:val="bullet"/>
      <w:lvlText w:val="•"/>
      <w:lvlJc w:val="left"/>
      <w:pPr>
        <w:tabs>
          <w:tab w:val="num" w:pos="5040"/>
        </w:tabs>
        <w:ind w:left="5040" w:hanging="360"/>
      </w:pPr>
      <w:rPr>
        <w:rFonts w:ascii="Arial" w:hAnsi="Arial" w:hint="default"/>
      </w:rPr>
    </w:lvl>
    <w:lvl w:ilvl="7" w:tplc="0C988C98" w:tentative="1">
      <w:start w:val="1"/>
      <w:numFmt w:val="bullet"/>
      <w:lvlText w:val="•"/>
      <w:lvlJc w:val="left"/>
      <w:pPr>
        <w:tabs>
          <w:tab w:val="num" w:pos="5760"/>
        </w:tabs>
        <w:ind w:left="5760" w:hanging="360"/>
      </w:pPr>
      <w:rPr>
        <w:rFonts w:ascii="Arial" w:hAnsi="Arial" w:hint="default"/>
      </w:rPr>
    </w:lvl>
    <w:lvl w:ilvl="8" w:tplc="20D00E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9A2633"/>
    <w:multiLevelType w:val="hybridMultilevel"/>
    <w:tmpl w:val="F0EC571E"/>
    <w:lvl w:ilvl="0" w:tplc="26FAAA90">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6373E"/>
    <w:multiLevelType w:val="hybridMultilevel"/>
    <w:tmpl w:val="2604AAA6"/>
    <w:lvl w:ilvl="0" w:tplc="4AEC9406">
      <w:start w:val="5"/>
      <w:numFmt w:val="lowerLetter"/>
      <w:lvlText w:val="(%1)"/>
      <w:lvlJc w:val="left"/>
      <w:pPr>
        <w:tabs>
          <w:tab w:val="num" w:pos="720"/>
        </w:tabs>
        <w:ind w:left="720" w:hanging="360"/>
      </w:pPr>
    </w:lvl>
    <w:lvl w:ilvl="1" w:tplc="56C2B2D2" w:tentative="1">
      <w:start w:val="1"/>
      <w:numFmt w:val="lowerLetter"/>
      <w:lvlText w:val="(%2)"/>
      <w:lvlJc w:val="left"/>
      <w:pPr>
        <w:tabs>
          <w:tab w:val="num" w:pos="1440"/>
        </w:tabs>
        <w:ind w:left="1440" w:hanging="360"/>
      </w:pPr>
    </w:lvl>
    <w:lvl w:ilvl="2" w:tplc="9D52F26C" w:tentative="1">
      <w:start w:val="1"/>
      <w:numFmt w:val="lowerLetter"/>
      <w:lvlText w:val="(%3)"/>
      <w:lvlJc w:val="left"/>
      <w:pPr>
        <w:tabs>
          <w:tab w:val="num" w:pos="2160"/>
        </w:tabs>
        <w:ind w:left="2160" w:hanging="360"/>
      </w:pPr>
    </w:lvl>
    <w:lvl w:ilvl="3" w:tplc="C4DE296E" w:tentative="1">
      <w:start w:val="1"/>
      <w:numFmt w:val="lowerLetter"/>
      <w:lvlText w:val="(%4)"/>
      <w:lvlJc w:val="left"/>
      <w:pPr>
        <w:tabs>
          <w:tab w:val="num" w:pos="2880"/>
        </w:tabs>
        <w:ind w:left="2880" w:hanging="360"/>
      </w:pPr>
    </w:lvl>
    <w:lvl w:ilvl="4" w:tplc="BBDEDB50" w:tentative="1">
      <w:start w:val="1"/>
      <w:numFmt w:val="lowerLetter"/>
      <w:lvlText w:val="(%5)"/>
      <w:lvlJc w:val="left"/>
      <w:pPr>
        <w:tabs>
          <w:tab w:val="num" w:pos="3600"/>
        </w:tabs>
        <w:ind w:left="3600" w:hanging="360"/>
      </w:pPr>
    </w:lvl>
    <w:lvl w:ilvl="5" w:tplc="36B64DDC" w:tentative="1">
      <w:start w:val="1"/>
      <w:numFmt w:val="lowerLetter"/>
      <w:lvlText w:val="(%6)"/>
      <w:lvlJc w:val="left"/>
      <w:pPr>
        <w:tabs>
          <w:tab w:val="num" w:pos="4320"/>
        </w:tabs>
        <w:ind w:left="4320" w:hanging="360"/>
      </w:pPr>
    </w:lvl>
    <w:lvl w:ilvl="6" w:tplc="47DC22D8" w:tentative="1">
      <w:start w:val="1"/>
      <w:numFmt w:val="lowerLetter"/>
      <w:lvlText w:val="(%7)"/>
      <w:lvlJc w:val="left"/>
      <w:pPr>
        <w:tabs>
          <w:tab w:val="num" w:pos="5040"/>
        </w:tabs>
        <w:ind w:left="5040" w:hanging="360"/>
      </w:pPr>
    </w:lvl>
    <w:lvl w:ilvl="7" w:tplc="103AF896" w:tentative="1">
      <w:start w:val="1"/>
      <w:numFmt w:val="lowerLetter"/>
      <w:lvlText w:val="(%8)"/>
      <w:lvlJc w:val="left"/>
      <w:pPr>
        <w:tabs>
          <w:tab w:val="num" w:pos="5760"/>
        </w:tabs>
        <w:ind w:left="5760" w:hanging="360"/>
      </w:pPr>
    </w:lvl>
    <w:lvl w:ilvl="8" w:tplc="362ED6A4" w:tentative="1">
      <w:start w:val="1"/>
      <w:numFmt w:val="lowerLetter"/>
      <w:lvlText w:val="(%9)"/>
      <w:lvlJc w:val="left"/>
      <w:pPr>
        <w:tabs>
          <w:tab w:val="num" w:pos="6480"/>
        </w:tabs>
        <w:ind w:left="6480" w:hanging="360"/>
      </w:pPr>
    </w:lvl>
  </w:abstractNum>
  <w:abstractNum w:abstractNumId="13" w15:restartNumberingAfterBreak="0">
    <w:nsid w:val="41AA6440"/>
    <w:multiLevelType w:val="hybridMultilevel"/>
    <w:tmpl w:val="12F4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34B1B"/>
    <w:multiLevelType w:val="hybridMultilevel"/>
    <w:tmpl w:val="3EF2525E"/>
    <w:lvl w:ilvl="0" w:tplc="74AA1378">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642E68"/>
    <w:multiLevelType w:val="hybridMultilevel"/>
    <w:tmpl w:val="7424264E"/>
    <w:lvl w:ilvl="0" w:tplc="04090017">
      <w:start w:val="1"/>
      <w:numFmt w:val="lowerLetter"/>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6" w15:restartNumberingAfterBreak="0">
    <w:nsid w:val="59B84402"/>
    <w:multiLevelType w:val="hybridMultilevel"/>
    <w:tmpl w:val="810A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B26E3"/>
    <w:multiLevelType w:val="hybridMultilevel"/>
    <w:tmpl w:val="4A922A22"/>
    <w:lvl w:ilvl="0" w:tplc="CE866370">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556CCE"/>
    <w:multiLevelType w:val="hybridMultilevel"/>
    <w:tmpl w:val="D4EE3738"/>
    <w:lvl w:ilvl="0" w:tplc="E0C8D2DA">
      <w:start w:val="1"/>
      <w:numFmt w:val="lowerLetter"/>
      <w:lvlText w:val="(%1)"/>
      <w:lvlJc w:val="left"/>
      <w:pPr>
        <w:tabs>
          <w:tab w:val="num" w:pos="720"/>
        </w:tabs>
        <w:ind w:left="720" w:hanging="360"/>
      </w:pPr>
    </w:lvl>
    <w:lvl w:ilvl="1" w:tplc="72E2C932" w:tentative="1">
      <w:start w:val="1"/>
      <w:numFmt w:val="lowerLetter"/>
      <w:lvlText w:val="(%2)"/>
      <w:lvlJc w:val="left"/>
      <w:pPr>
        <w:tabs>
          <w:tab w:val="num" w:pos="1440"/>
        </w:tabs>
        <w:ind w:left="1440" w:hanging="360"/>
      </w:pPr>
    </w:lvl>
    <w:lvl w:ilvl="2" w:tplc="FCD4DE7C" w:tentative="1">
      <w:start w:val="1"/>
      <w:numFmt w:val="lowerLetter"/>
      <w:lvlText w:val="(%3)"/>
      <w:lvlJc w:val="left"/>
      <w:pPr>
        <w:tabs>
          <w:tab w:val="num" w:pos="2160"/>
        </w:tabs>
        <w:ind w:left="2160" w:hanging="360"/>
      </w:pPr>
    </w:lvl>
    <w:lvl w:ilvl="3" w:tplc="D0445A00" w:tentative="1">
      <w:start w:val="1"/>
      <w:numFmt w:val="lowerLetter"/>
      <w:lvlText w:val="(%4)"/>
      <w:lvlJc w:val="left"/>
      <w:pPr>
        <w:tabs>
          <w:tab w:val="num" w:pos="2880"/>
        </w:tabs>
        <w:ind w:left="2880" w:hanging="360"/>
      </w:pPr>
    </w:lvl>
    <w:lvl w:ilvl="4" w:tplc="2C460534" w:tentative="1">
      <w:start w:val="1"/>
      <w:numFmt w:val="lowerLetter"/>
      <w:lvlText w:val="(%5)"/>
      <w:lvlJc w:val="left"/>
      <w:pPr>
        <w:tabs>
          <w:tab w:val="num" w:pos="3600"/>
        </w:tabs>
        <w:ind w:left="3600" w:hanging="360"/>
      </w:pPr>
    </w:lvl>
    <w:lvl w:ilvl="5" w:tplc="E71E1C80" w:tentative="1">
      <w:start w:val="1"/>
      <w:numFmt w:val="lowerLetter"/>
      <w:lvlText w:val="(%6)"/>
      <w:lvlJc w:val="left"/>
      <w:pPr>
        <w:tabs>
          <w:tab w:val="num" w:pos="4320"/>
        </w:tabs>
        <w:ind w:left="4320" w:hanging="360"/>
      </w:pPr>
    </w:lvl>
    <w:lvl w:ilvl="6" w:tplc="E4A8C516" w:tentative="1">
      <w:start w:val="1"/>
      <w:numFmt w:val="lowerLetter"/>
      <w:lvlText w:val="(%7)"/>
      <w:lvlJc w:val="left"/>
      <w:pPr>
        <w:tabs>
          <w:tab w:val="num" w:pos="5040"/>
        </w:tabs>
        <w:ind w:left="5040" w:hanging="360"/>
      </w:pPr>
    </w:lvl>
    <w:lvl w:ilvl="7" w:tplc="6E120D28" w:tentative="1">
      <w:start w:val="1"/>
      <w:numFmt w:val="lowerLetter"/>
      <w:lvlText w:val="(%8)"/>
      <w:lvlJc w:val="left"/>
      <w:pPr>
        <w:tabs>
          <w:tab w:val="num" w:pos="5760"/>
        </w:tabs>
        <w:ind w:left="5760" w:hanging="360"/>
      </w:pPr>
    </w:lvl>
    <w:lvl w:ilvl="8" w:tplc="2EEA324A" w:tentative="1">
      <w:start w:val="1"/>
      <w:numFmt w:val="lowerLetter"/>
      <w:lvlText w:val="(%9)"/>
      <w:lvlJc w:val="left"/>
      <w:pPr>
        <w:tabs>
          <w:tab w:val="num" w:pos="6480"/>
        </w:tabs>
        <w:ind w:left="6480" w:hanging="360"/>
      </w:pPr>
    </w:lvl>
  </w:abstractNum>
  <w:abstractNum w:abstractNumId="19" w15:restartNumberingAfterBreak="0">
    <w:nsid w:val="69DB533F"/>
    <w:multiLevelType w:val="hybridMultilevel"/>
    <w:tmpl w:val="1EE6BFF6"/>
    <w:lvl w:ilvl="0" w:tplc="E6EC927C">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B62F3"/>
    <w:multiLevelType w:val="hybridMultilevel"/>
    <w:tmpl w:val="7BA2948E"/>
    <w:lvl w:ilvl="0" w:tplc="51C8EFF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70757864"/>
    <w:multiLevelType w:val="hybridMultilevel"/>
    <w:tmpl w:val="2B98F2A0"/>
    <w:lvl w:ilvl="0" w:tplc="15B4F052">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8537D"/>
    <w:multiLevelType w:val="hybridMultilevel"/>
    <w:tmpl w:val="A21E09AC"/>
    <w:lvl w:ilvl="0" w:tplc="38E0542C">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21827">
    <w:abstractNumId w:val="1"/>
  </w:num>
  <w:num w:numId="2" w16cid:durableId="335500768">
    <w:abstractNumId w:val="3"/>
  </w:num>
  <w:num w:numId="3" w16cid:durableId="1069573828">
    <w:abstractNumId w:val="7"/>
  </w:num>
  <w:num w:numId="4" w16cid:durableId="816648212">
    <w:abstractNumId w:val="0"/>
  </w:num>
  <w:num w:numId="5" w16cid:durableId="1220747429">
    <w:abstractNumId w:val="4"/>
  </w:num>
  <w:num w:numId="6" w16cid:durableId="807354543">
    <w:abstractNumId w:val="13"/>
  </w:num>
  <w:num w:numId="7" w16cid:durableId="444500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0385">
    <w:abstractNumId w:val="15"/>
  </w:num>
  <w:num w:numId="9" w16cid:durableId="400828621">
    <w:abstractNumId w:val="21"/>
  </w:num>
  <w:num w:numId="10" w16cid:durableId="1423992621">
    <w:abstractNumId w:val="17"/>
  </w:num>
  <w:num w:numId="11" w16cid:durableId="831993139">
    <w:abstractNumId w:val="11"/>
  </w:num>
  <w:num w:numId="12" w16cid:durableId="39861750">
    <w:abstractNumId w:val="14"/>
  </w:num>
  <w:num w:numId="13" w16cid:durableId="1967000786">
    <w:abstractNumId w:val="5"/>
  </w:num>
  <w:num w:numId="14" w16cid:durableId="2087603058">
    <w:abstractNumId w:val="22"/>
  </w:num>
  <w:num w:numId="15" w16cid:durableId="1668701920">
    <w:abstractNumId w:val="19"/>
  </w:num>
  <w:num w:numId="16" w16cid:durableId="1515264676">
    <w:abstractNumId w:val="6"/>
  </w:num>
  <w:num w:numId="17" w16cid:durableId="825316987">
    <w:abstractNumId w:val="10"/>
  </w:num>
  <w:num w:numId="18" w16cid:durableId="712924923">
    <w:abstractNumId w:val="2"/>
  </w:num>
  <w:num w:numId="19" w16cid:durableId="271598541">
    <w:abstractNumId w:val="16"/>
  </w:num>
  <w:num w:numId="20" w16cid:durableId="1158768261">
    <w:abstractNumId w:val="18"/>
  </w:num>
  <w:num w:numId="21" w16cid:durableId="1801652459">
    <w:abstractNumId w:val="12"/>
  </w:num>
  <w:num w:numId="22" w16cid:durableId="1784420002">
    <w:abstractNumId w:val="8"/>
  </w:num>
  <w:num w:numId="23" w16cid:durableId="9664241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82"/>
    <w:rsid w:val="00000EFD"/>
    <w:rsid w:val="00003D3B"/>
    <w:rsid w:val="00006D73"/>
    <w:rsid w:val="00010CF3"/>
    <w:rsid w:val="00011E27"/>
    <w:rsid w:val="000148BC"/>
    <w:rsid w:val="00017952"/>
    <w:rsid w:val="00024516"/>
    <w:rsid w:val="00024AB8"/>
    <w:rsid w:val="00030854"/>
    <w:rsid w:val="00036028"/>
    <w:rsid w:val="00044097"/>
    <w:rsid w:val="00044642"/>
    <w:rsid w:val="000446B9"/>
    <w:rsid w:val="00047E21"/>
    <w:rsid w:val="00050E16"/>
    <w:rsid w:val="00053B19"/>
    <w:rsid w:val="00075F4C"/>
    <w:rsid w:val="00085505"/>
    <w:rsid w:val="000B48C8"/>
    <w:rsid w:val="000C1CF0"/>
    <w:rsid w:val="000C4E25"/>
    <w:rsid w:val="000C7021"/>
    <w:rsid w:val="000D6BBC"/>
    <w:rsid w:val="000D7780"/>
    <w:rsid w:val="000E636A"/>
    <w:rsid w:val="000F2F11"/>
    <w:rsid w:val="000F4411"/>
    <w:rsid w:val="00105929"/>
    <w:rsid w:val="00106617"/>
    <w:rsid w:val="00110BED"/>
    <w:rsid w:val="00110C36"/>
    <w:rsid w:val="0011255E"/>
    <w:rsid w:val="001131D5"/>
    <w:rsid w:val="00126F46"/>
    <w:rsid w:val="00135EB3"/>
    <w:rsid w:val="001371FA"/>
    <w:rsid w:val="00141182"/>
    <w:rsid w:val="00141DB8"/>
    <w:rsid w:val="00154507"/>
    <w:rsid w:val="00171644"/>
    <w:rsid w:val="00172084"/>
    <w:rsid w:val="0017306B"/>
    <w:rsid w:val="0017474A"/>
    <w:rsid w:val="001758C6"/>
    <w:rsid w:val="00182B99"/>
    <w:rsid w:val="00183CC6"/>
    <w:rsid w:val="0018660B"/>
    <w:rsid w:val="00193B38"/>
    <w:rsid w:val="001A13BF"/>
    <w:rsid w:val="001C1525"/>
    <w:rsid w:val="001C76CD"/>
    <w:rsid w:val="001D511C"/>
    <w:rsid w:val="001E26F2"/>
    <w:rsid w:val="001E6C97"/>
    <w:rsid w:val="001F4C71"/>
    <w:rsid w:val="00206A25"/>
    <w:rsid w:val="0021332C"/>
    <w:rsid w:val="00213982"/>
    <w:rsid w:val="00213C63"/>
    <w:rsid w:val="00216EBC"/>
    <w:rsid w:val="00217510"/>
    <w:rsid w:val="002200F7"/>
    <w:rsid w:val="00223DB0"/>
    <w:rsid w:val="00226497"/>
    <w:rsid w:val="002358DC"/>
    <w:rsid w:val="002432FB"/>
    <w:rsid w:val="0024416D"/>
    <w:rsid w:val="0024491B"/>
    <w:rsid w:val="00244AF1"/>
    <w:rsid w:val="002539FF"/>
    <w:rsid w:val="00261ECC"/>
    <w:rsid w:val="00265D82"/>
    <w:rsid w:val="00270242"/>
    <w:rsid w:val="00271911"/>
    <w:rsid w:val="002800A0"/>
    <w:rsid w:val="002801B3"/>
    <w:rsid w:val="00281060"/>
    <w:rsid w:val="00281656"/>
    <w:rsid w:val="002848DE"/>
    <w:rsid w:val="002940E8"/>
    <w:rsid w:val="00294751"/>
    <w:rsid w:val="002A6E50"/>
    <w:rsid w:val="002B134D"/>
    <w:rsid w:val="002B3D06"/>
    <w:rsid w:val="002B40C2"/>
    <w:rsid w:val="002B4298"/>
    <w:rsid w:val="002B7148"/>
    <w:rsid w:val="002B7A36"/>
    <w:rsid w:val="002C256A"/>
    <w:rsid w:val="002F0942"/>
    <w:rsid w:val="003016DD"/>
    <w:rsid w:val="00305A7F"/>
    <w:rsid w:val="00310346"/>
    <w:rsid w:val="003152FE"/>
    <w:rsid w:val="00327436"/>
    <w:rsid w:val="00333CC7"/>
    <w:rsid w:val="0033597A"/>
    <w:rsid w:val="00344BD6"/>
    <w:rsid w:val="003545F9"/>
    <w:rsid w:val="0035528D"/>
    <w:rsid w:val="00361821"/>
    <w:rsid w:val="00361E9E"/>
    <w:rsid w:val="0037672C"/>
    <w:rsid w:val="003800CC"/>
    <w:rsid w:val="00382889"/>
    <w:rsid w:val="00391333"/>
    <w:rsid w:val="0039462A"/>
    <w:rsid w:val="003A58B8"/>
    <w:rsid w:val="003A5AAF"/>
    <w:rsid w:val="003C3421"/>
    <w:rsid w:val="003C7FBE"/>
    <w:rsid w:val="003D227C"/>
    <w:rsid w:val="003D2B36"/>
    <w:rsid w:val="003D2B4D"/>
    <w:rsid w:val="003E0644"/>
    <w:rsid w:val="003E125D"/>
    <w:rsid w:val="003F4DC4"/>
    <w:rsid w:val="00414296"/>
    <w:rsid w:val="00424052"/>
    <w:rsid w:val="0043175C"/>
    <w:rsid w:val="00432FDF"/>
    <w:rsid w:val="00444A88"/>
    <w:rsid w:val="00453066"/>
    <w:rsid w:val="00456B8F"/>
    <w:rsid w:val="00474DA4"/>
    <w:rsid w:val="00475B5E"/>
    <w:rsid w:val="00476B4D"/>
    <w:rsid w:val="004805FA"/>
    <w:rsid w:val="00486A89"/>
    <w:rsid w:val="004935D2"/>
    <w:rsid w:val="00496913"/>
    <w:rsid w:val="004972D0"/>
    <w:rsid w:val="004A2553"/>
    <w:rsid w:val="004A429A"/>
    <w:rsid w:val="004A735A"/>
    <w:rsid w:val="004B1215"/>
    <w:rsid w:val="004C5B6B"/>
    <w:rsid w:val="004C73D0"/>
    <w:rsid w:val="004D047D"/>
    <w:rsid w:val="004D171E"/>
    <w:rsid w:val="004D2863"/>
    <w:rsid w:val="004D3802"/>
    <w:rsid w:val="004E5742"/>
    <w:rsid w:val="004F1E9E"/>
    <w:rsid w:val="004F305A"/>
    <w:rsid w:val="00501769"/>
    <w:rsid w:val="005028D6"/>
    <w:rsid w:val="00512164"/>
    <w:rsid w:val="00520297"/>
    <w:rsid w:val="005338F9"/>
    <w:rsid w:val="00537F1C"/>
    <w:rsid w:val="0054281C"/>
    <w:rsid w:val="00544581"/>
    <w:rsid w:val="005449B6"/>
    <w:rsid w:val="0055268D"/>
    <w:rsid w:val="00554A12"/>
    <w:rsid w:val="00576BE4"/>
    <w:rsid w:val="005779DB"/>
    <w:rsid w:val="00580BD2"/>
    <w:rsid w:val="00585868"/>
    <w:rsid w:val="00587634"/>
    <w:rsid w:val="005A1D79"/>
    <w:rsid w:val="005A3AEE"/>
    <w:rsid w:val="005A400A"/>
    <w:rsid w:val="005A700D"/>
    <w:rsid w:val="005B48CE"/>
    <w:rsid w:val="005C43B9"/>
    <w:rsid w:val="005E0C02"/>
    <w:rsid w:val="005E1C6B"/>
    <w:rsid w:val="005F4542"/>
    <w:rsid w:val="005F5C4A"/>
    <w:rsid w:val="005F7B92"/>
    <w:rsid w:val="006106BF"/>
    <w:rsid w:val="0061170A"/>
    <w:rsid w:val="00612379"/>
    <w:rsid w:val="006153B6"/>
    <w:rsid w:val="0061555F"/>
    <w:rsid w:val="006217EB"/>
    <w:rsid w:val="00623B1D"/>
    <w:rsid w:val="00623CA9"/>
    <w:rsid w:val="00624CE8"/>
    <w:rsid w:val="00632045"/>
    <w:rsid w:val="00635687"/>
    <w:rsid w:val="00635C07"/>
    <w:rsid w:val="00636CA6"/>
    <w:rsid w:val="00641200"/>
    <w:rsid w:val="00645CA8"/>
    <w:rsid w:val="00655D80"/>
    <w:rsid w:val="006652D6"/>
    <w:rsid w:val="006655D3"/>
    <w:rsid w:val="00667404"/>
    <w:rsid w:val="00673FD4"/>
    <w:rsid w:val="00685A07"/>
    <w:rsid w:val="00687EB4"/>
    <w:rsid w:val="00695C56"/>
    <w:rsid w:val="006A1A2A"/>
    <w:rsid w:val="006A5CDE"/>
    <w:rsid w:val="006A644A"/>
    <w:rsid w:val="006B17D2"/>
    <w:rsid w:val="006B706F"/>
    <w:rsid w:val="006C03A6"/>
    <w:rsid w:val="006C224E"/>
    <w:rsid w:val="006C4D58"/>
    <w:rsid w:val="006C5BD3"/>
    <w:rsid w:val="006C67CA"/>
    <w:rsid w:val="006D1885"/>
    <w:rsid w:val="006D4CB1"/>
    <w:rsid w:val="006D780A"/>
    <w:rsid w:val="006D7BC7"/>
    <w:rsid w:val="006F4793"/>
    <w:rsid w:val="0071271E"/>
    <w:rsid w:val="00725B4A"/>
    <w:rsid w:val="00732DEC"/>
    <w:rsid w:val="00734FC3"/>
    <w:rsid w:val="00735BD5"/>
    <w:rsid w:val="00735CB4"/>
    <w:rsid w:val="007450F8"/>
    <w:rsid w:val="007451EC"/>
    <w:rsid w:val="00751613"/>
    <w:rsid w:val="00753EE9"/>
    <w:rsid w:val="007556F6"/>
    <w:rsid w:val="007568C2"/>
    <w:rsid w:val="00760EEF"/>
    <w:rsid w:val="00772813"/>
    <w:rsid w:val="00777EE5"/>
    <w:rsid w:val="00784836"/>
    <w:rsid w:val="0079023E"/>
    <w:rsid w:val="007A2854"/>
    <w:rsid w:val="007A5179"/>
    <w:rsid w:val="007A7BC1"/>
    <w:rsid w:val="007C108C"/>
    <w:rsid w:val="007C1D92"/>
    <w:rsid w:val="007C4CB9"/>
    <w:rsid w:val="007D0B9D"/>
    <w:rsid w:val="007D19B0"/>
    <w:rsid w:val="007D45CC"/>
    <w:rsid w:val="007E736E"/>
    <w:rsid w:val="007F498F"/>
    <w:rsid w:val="00802679"/>
    <w:rsid w:val="0080679D"/>
    <w:rsid w:val="008103E7"/>
    <w:rsid w:val="008108B0"/>
    <w:rsid w:val="00811B20"/>
    <w:rsid w:val="00812609"/>
    <w:rsid w:val="00815D23"/>
    <w:rsid w:val="008211B5"/>
    <w:rsid w:val="0082296E"/>
    <w:rsid w:val="00824099"/>
    <w:rsid w:val="00830753"/>
    <w:rsid w:val="008436FD"/>
    <w:rsid w:val="00845D8B"/>
    <w:rsid w:val="00846D7C"/>
    <w:rsid w:val="0085777B"/>
    <w:rsid w:val="00861C7A"/>
    <w:rsid w:val="00867AC1"/>
    <w:rsid w:val="008842E4"/>
    <w:rsid w:val="00890DF8"/>
    <w:rsid w:val="008A1566"/>
    <w:rsid w:val="008A743F"/>
    <w:rsid w:val="008B2D8D"/>
    <w:rsid w:val="008C0970"/>
    <w:rsid w:val="008D0BC5"/>
    <w:rsid w:val="008D0E85"/>
    <w:rsid w:val="008D2CF7"/>
    <w:rsid w:val="008E6D0E"/>
    <w:rsid w:val="008F0F9B"/>
    <w:rsid w:val="00900C26"/>
    <w:rsid w:val="0090197F"/>
    <w:rsid w:val="00903264"/>
    <w:rsid w:val="00906DDC"/>
    <w:rsid w:val="009140D6"/>
    <w:rsid w:val="0092229E"/>
    <w:rsid w:val="0092508E"/>
    <w:rsid w:val="00934E09"/>
    <w:rsid w:val="00936253"/>
    <w:rsid w:val="00940D46"/>
    <w:rsid w:val="00943ABD"/>
    <w:rsid w:val="00952DD4"/>
    <w:rsid w:val="00957F9F"/>
    <w:rsid w:val="00965AE7"/>
    <w:rsid w:val="00970FED"/>
    <w:rsid w:val="00980AAB"/>
    <w:rsid w:val="00991210"/>
    <w:rsid w:val="00992D82"/>
    <w:rsid w:val="009966A2"/>
    <w:rsid w:val="00997029"/>
    <w:rsid w:val="009A7339"/>
    <w:rsid w:val="009A7CC0"/>
    <w:rsid w:val="009B440E"/>
    <w:rsid w:val="009B6F2C"/>
    <w:rsid w:val="009C5EB2"/>
    <w:rsid w:val="009D3426"/>
    <w:rsid w:val="009D5663"/>
    <w:rsid w:val="009D690D"/>
    <w:rsid w:val="009E0097"/>
    <w:rsid w:val="009E2C30"/>
    <w:rsid w:val="009E65B6"/>
    <w:rsid w:val="009F77CF"/>
    <w:rsid w:val="00A05DD0"/>
    <w:rsid w:val="00A17289"/>
    <w:rsid w:val="00A17313"/>
    <w:rsid w:val="00A24C10"/>
    <w:rsid w:val="00A26D0B"/>
    <w:rsid w:val="00A306BF"/>
    <w:rsid w:val="00A33003"/>
    <w:rsid w:val="00A42AC3"/>
    <w:rsid w:val="00A430CF"/>
    <w:rsid w:val="00A43830"/>
    <w:rsid w:val="00A54309"/>
    <w:rsid w:val="00A6320A"/>
    <w:rsid w:val="00A7135B"/>
    <w:rsid w:val="00A77A77"/>
    <w:rsid w:val="00A80F2A"/>
    <w:rsid w:val="00A8491D"/>
    <w:rsid w:val="00AB2B93"/>
    <w:rsid w:val="00AB530F"/>
    <w:rsid w:val="00AB7E5B"/>
    <w:rsid w:val="00AC2883"/>
    <w:rsid w:val="00AD3CB3"/>
    <w:rsid w:val="00AE0EF1"/>
    <w:rsid w:val="00AE1D02"/>
    <w:rsid w:val="00AE2702"/>
    <w:rsid w:val="00AE2937"/>
    <w:rsid w:val="00AE4A3D"/>
    <w:rsid w:val="00AE6473"/>
    <w:rsid w:val="00AE68A0"/>
    <w:rsid w:val="00B07301"/>
    <w:rsid w:val="00B11F3E"/>
    <w:rsid w:val="00B224DE"/>
    <w:rsid w:val="00B238C1"/>
    <w:rsid w:val="00B25094"/>
    <w:rsid w:val="00B312FC"/>
    <w:rsid w:val="00B324D4"/>
    <w:rsid w:val="00B46575"/>
    <w:rsid w:val="00B51DBD"/>
    <w:rsid w:val="00B553DE"/>
    <w:rsid w:val="00B60927"/>
    <w:rsid w:val="00B61777"/>
    <w:rsid w:val="00B622E6"/>
    <w:rsid w:val="00B63CBA"/>
    <w:rsid w:val="00B64767"/>
    <w:rsid w:val="00B81EEA"/>
    <w:rsid w:val="00B84A6A"/>
    <w:rsid w:val="00B84BBD"/>
    <w:rsid w:val="00BA43FB"/>
    <w:rsid w:val="00BA66DE"/>
    <w:rsid w:val="00BA704C"/>
    <w:rsid w:val="00BC127D"/>
    <w:rsid w:val="00BC1FE6"/>
    <w:rsid w:val="00BC4893"/>
    <w:rsid w:val="00BD55D1"/>
    <w:rsid w:val="00BD6E1E"/>
    <w:rsid w:val="00C061B6"/>
    <w:rsid w:val="00C16A59"/>
    <w:rsid w:val="00C205D4"/>
    <w:rsid w:val="00C2446C"/>
    <w:rsid w:val="00C36AE5"/>
    <w:rsid w:val="00C41F17"/>
    <w:rsid w:val="00C513CC"/>
    <w:rsid w:val="00C51F7B"/>
    <w:rsid w:val="00C527FA"/>
    <w:rsid w:val="00C5280D"/>
    <w:rsid w:val="00C53EB3"/>
    <w:rsid w:val="00C566B3"/>
    <w:rsid w:val="00C5791C"/>
    <w:rsid w:val="00C66290"/>
    <w:rsid w:val="00C70B45"/>
    <w:rsid w:val="00C72B7A"/>
    <w:rsid w:val="00C74E0C"/>
    <w:rsid w:val="00C803FF"/>
    <w:rsid w:val="00C823FF"/>
    <w:rsid w:val="00C8405F"/>
    <w:rsid w:val="00C845BD"/>
    <w:rsid w:val="00C96984"/>
    <w:rsid w:val="00C973F2"/>
    <w:rsid w:val="00CA304C"/>
    <w:rsid w:val="00CA774A"/>
    <w:rsid w:val="00CB5E39"/>
    <w:rsid w:val="00CC11B0"/>
    <w:rsid w:val="00CC2841"/>
    <w:rsid w:val="00CD2492"/>
    <w:rsid w:val="00CD6C45"/>
    <w:rsid w:val="00CD6E6D"/>
    <w:rsid w:val="00CF00FD"/>
    <w:rsid w:val="00CF1330"/>
    <w:rsid w:val="00CF2E9C"/>
    <w:rsid w:val="00CF7E36"/>
    <w:rsid w:val="00D217D6"/>
    <w:rsid w:val="00D3708D"/>
    <w:rsid w:val="00D40426"/>
    <w:rsid w:val="00D44CC9"/>
    <w:rsid w:val="00D56647"/>
    <w:rsid w:val="00D57C96"/>
    <w:rsid w:val="00D57D18"/>
    <w:rsid w:val="00D65089"/>
    <w:rsid w:val="00D80EA1"/>
    <w:rsid w:val="00D91203"/>
    <w:rsid w:val="00D95174"/>
    <w:rsid w:val="00DA4973"/>
    <w:rsid w:val="00DA6F36"/>
    <w:rsid w:val="00DB596E"/>
    <w:rsid w:val="00DB7773"/>
    <w:rsid w:val="00DC00EA"/>
    <w:rsid w:val="00DC3802"/>
    <w:rsid w:val="00DD467E"/>
    <w:rsid w:val="00DD6208"/>
    <w:rsid w:val="00DE2D4A"/>
    <w:rsid w:val="00DF1636"/>
    <w:rsid w:val="00DF59FE"/>
    <w:rsid w:val="00E03468"/>
    <w:rsid w:val="00E036B2"/>
    <w:rsid w:val="00E03776"/>
    <w:rsid w:val="00E07D87"/>
    <w:rsid w:val="00E159FE"/>
    <w:rsid w:val="00E249C8"/>
    <w:rsid w:val="00E25908"/>
    <w:rsid w:val="00E32F7E"/>
    <w:rsid w:val="00E5267B"/>
    <w:rsid w:val="00E54738"/>
    <w:rsid w:val="00E559F0"/>
    <w:rsid w:val="00E63C0E"/>
    <w:rsid w:val="00E70A85"/>
    <w:rsid w:val="00E72D49"/>
    <w:rsid w:val="00E7593C"/>
    <w:rsid w:val="00E7678A"/>
    <w:rsid w:val="00E86056"/>
    <w:rsid w:val="00E935F1"/>
    <w:rsid w:val="00E94A81"/>
    <w:rsid w:val="00EA1FFB"/>
    <w:rsid w:val="00EB048E"/>
    <w:rsid w:val="00EB4E9C"/>
    <w:rsid w:val="00ED191C"/>
    <w:rsid w:val="00ED5735"/>
    <w:rsid w:val="00EE34DF"/>
    <w:rsid w:val="00EE616C"/>
    <w:rsid w:val="00EF2F89"/>
    <w:rsid w:val="00F03E98"/>
    <w:rsid w:val="00F0418F"/>
    <w:rsid w:val="00F1237A"/>
    <w:rsid w:val="00F21DCC"/>
    <w:rsid w:val="00F22CBD"/>
    <w:rsid w:val="00F272F1"/>
    <w:rsid w:val="00F31412"/>
    <w:rsid w:val="00F348A8"/>
    <w:rsid w:val="00F441FB"/>
    <w:rsid w:val="00F45372"/>
    <w:rsid w:val="00F560F7"/>
    <w:rsid w:val="00F57A1A"/>
    <w:rsid w:val="00F6334D"/>
    <w:rsid w:val="00F63599"/>
    <w:rsid w:val="00F67C15"/>
    <w:rsid w:val="00F73BE5"/>
    <w:rsid w:val="00F743C1"/>
    <w:rsid w:val="00F750F5"/>
    <w:rsid w:val="00F757B5"/>
    <w:rsid w:val="00F80885"/>
    <w:rsid w:val="00F97752"/>
    <w:rsid w:val="00FA49AB"/>
    <w:rsid w:val="00FB0EE6"/>
    <w:rsid w:val="00FB61FF"/>
    <w:rsid w:val="00FE39C7"/>
    <w:rsid w:val="00FE4A8D"/>
    <w:rsid w:val="00FE6B53"/>
    <w:rsid w:val="00FF4D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0042"/>
  <w15:docId w15:val="{F337108C-1040-47BE-9D14-A07995EB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lang w:val="es-ES_tradnl"/>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4805FA"/>
    <w:pPr>
      <w:keepNext/>
      <w:jc w:val="both"/>
      <w:outlineLvl w:val="1"/>
    </w:pPr>
    <w:rPr>
      <w:rFonts w:ascii="Arial" w:hAnsi="Arial"/>
      <w:u w:val="single"/>
    </w:rPr>
  </w:style>
  <w:style w:type="paragraph" w:styleId="Heading3">
    <w:name w:val="heading 3"/>
    <w:next w:val="Normal"/>
    <w:autoRedefine/>
    <w:qFormat/>
    <w:rsid w:val="00006D73"/>
    <w:pPr>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9E0097"/>
    <w:pPr>
      <w:keepNext/>
      <w:ind w:left="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link w:val="pldetailsChar"/>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aliases w:val="VARIETY Char,variety Char"/>
    <w:basedOn w:val="DefaultParagraphFont"/>
    <w:link w:val="Heading2"/>
    <w:rsid w:val="00F80885"/>
    <w:rPr>
      <w:rFonts w:ascii="Arial" w:hAnsi="Arial"/>
      <w:u w:val="single"/>
    </w:rPr>
  </w:style>
  <w:style w:type="paragraph" w:styleId="ListParagraph">
    <w:name w:val="List Paragraph"/>
    <w:aliases w:val="auto_list_(i),List Paragraph1"/>
    <w:basedOn w:val="Normal"/>
    <w:link w:val="ListParagraphChar"/>
    <w:uiPriority w:val="34"/>
    <w:qFormat/>
    <w:rsid w:val="00F80885"/>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F80885"/>
    <w:rPr>
      <w:rFonts w:ascii="Arial" w:hAnsi="Arial"/>
    </w:rPr>
  </w:style>
  <w:style w:type="character" w:customStyle="1" w:styleId="HeaderChar">
    <w:name w:val="Header Char"/>
    <w:basedOn w:val="DefaultParagraphFont"/>
    <w:link w:val="Header"/>
    <w:uiPriority w:val="99"/>
    <w:rsid w:val="00F80885"/>
    <w:rPr>
      <w:rFonts w:ascii="Arial" w:hAnsi="Arial"/>
      <w:lang w:val="fr-FR"/>
    </w:rPr>
  </w:style>
  <w:style w:type="character" w:customStyle="1" w:styleId="pldetailsChar">
    <w:name w:val="pldetails Char"/>
    <w:link w:val="pldetails"/>
    <w:locked/>
    <w:rsid w:val="00F80885"/>
    <w:rPr>
      <w:rFonts w:ascii="Arial" w:hAnsi="Arial"/>
      <w:noProof/>
      <w:snapToGrid w:val="0"/>
    </w:rPr>
  </w:style>
  <w:style w:type="paragraph" w:styleId="Revision">
    <w:name w:val="Revision"/>
    <w:hidden/>
    <w:uiPriority w:val="99"/>
    <w:semiHidden/>
    <w:rsid w:val="009140D6"/>
    <w:rPr>
      <w:rFonts w:ascii="Arial" w:hAnsi="Arial"/>
    </w:rPr>
  </w:style>
  <w:style w:type="character" w:customStyle="1" w:styleId="DecisionParagraphsChar">
    <w:name w:val="DecisionParagraphs Char"/>
    <w:basedOn w:val="DefaultParagraphFont"/>
    <w:link w:val="DecisionParagraphs"/>
    <w:rsid w:val="00C51F7B"/>
    <w:rPr>
      <w:rFonts w:ascii="Arial" w:hAnsi="Arial"/>
      <w:i/>
    </w:rPr>
  </w:style>
  <w:style w:type="paragraph" w:customStyle="1" w:styleId="BasistekstNaktuinbouw">
    <w:name w:val="Basistekst Naktuinbouw"/>
    <w:basedOn w:val="Normal"/>
    <w:qFormat/>
    <w:rsid w:val="00206A25"/>
    <w:pPr>
      <w:spacing w:line="240" w:lineRule="atLeast"/>
      <w:jc w:val="left"/>
    </w:pPr>
    <w:rPr>
      <w:rFonts w:cs="Maiandra GD"/>
      <w:color w:val="000000" w:themeColor="text1"/>
      <w:szCs w:val="18"/>
      <w:lang w:val="nl-NL" w:eastAsia="nl-NL"/>
    </w:rPr>
  </w:style>
  <w:style w:type="character" w:customStyle="1" w:styleId="FootnoteTextChar">
    <w:name w:val="Footnote Text Char"/>
    <w:basedOn w:val="DefaultParagraphFont"/>
    <w:link w:val="FootnoteText"/>
    <w:rsid w:val="00310346"/>
    <w:rPr>
      <w:rFonts w:ascii="Arial" w:hAnsi="Arial"/>
      <w:sz w:val="16"/>
    </w:rPr>
  </w:style>
  <w:style w:type="character" w:customStyle="1" w:styleId="ui-provider">
    <w:name w:val="ui-provider"/>
    <w:basedOn w:val="DefaultParagraphFont"/>
    <w:rsid w:val="00310346"/>
  </w:style>
  <w:style w:type="character" w:styleId="UnresolvedMention">
    <w:name w:val="Unresolved Mention"/>
    <w:basedOn w:val="DefaultParagraphFont"/>
    <w:uiPriority w:val="99"/>
    <w:semiHidden/>
    <w:unhideWhenUsed/>
    <w:rsid w:val="002B7148"/>
    <w:rPr>
      <w:color w:val="605E5C"/>
      <w:shd w:val="clear" w:color="auto" w:fill="E1DFDD"/>
    </w:rPr>
  </w:style>
  <w:style w:type="character" w:styleId="CommentReference">
    <w:name w:val="annotation reference"/>
    <w:basedOn w:val="DefaultParagraphFont"/>
    <w:semiHidden/>
    <w:unhideWhenUsed/>
    <w:rsid w:val="00685A07"/>
    <w:rPr>
      <w:sz w:val="16"/>
      <w:szCs w:val="16"/>
    </w:rPr>
  </w:style>
  <w:style w:type="paragraph" w:styleId="CommentText">
    <w:name w:val="annotation text"/>
    <w:basedOn w:val="Normal"/>
    <w:link w:val="CommentTextChar"/>
    <w:unhideWhenUsed/>
    <w:rsid w:val="00685A07"/>
  </w:style>
  <w:style w:type="character" w:customStyle="1" w:styleId="CommentTextChar">
    <w:name w:val="Comment Text Char"/>
    <w:basedOn w:val="DefaultParagraphFont"/>
    <w:link w:val="CommentText"/>
    <w:rsid w:val="00685A07"/>
    <w:rPr>
      <w:rFonts w:ascii="Arial" w:hAnsi="Arial"/>
    </w:rPr>
  </w:style>
  <w:style w:type="paragraph" w:styleId="CommentSubject">
    <w:name w:val="annotation subject"/>
    <w:basedOn w:val="CommentText"/>
    <w:next w:val="CommentText"/>
    <w:link w:val="CommentSubjectChar"/>
    <w:semiHidden/>
    <w:unhideWhenUsed/>
    <w:rsid w:val="00685A07"/>
    <w:rPr>
      <w:b/>
      <w:bCs/>
    </w:rPr>
  </w:style>
  <w:style w:type="character" w:customStyle="1" w:styleId="CommentSubjectChar">
    <w:name w:val="Comment Subject Char"/>
    <w:basedOn w:val="CommentTextChar"/>
    <w:link w:val="CommentSubject"/>
    <w:semiHidden/>
    <w:rsid w:val="00685A0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32007">
      <w:bodyDiv w:val="1"/>
      <w:marLeft w:val="0"/>
      <w:marRight w:val="0"/>
      <w:marTop w:val="0"/>
      <w:marBottom w:val="0"/>
      <w:divBdr>
        <w:top w:val="none" w:sz="0" w:space="0" w:color="auto"/>
        <w:left w:val="none" w:sz="0" w:space="0" w:color="auto"/>
        <w:bottom w:val="none" w:sz="0" w:space="0" w:color="auto"/>
        <w:right w:val="none" w:sz="0" w:space="0" w:color="auto"/>
      </w:divBdr>
    </w:div>
    <w:div w:id="303390137">
      <w:bodyDiv w:val="1"/>
      <w:marLeft w:val="0"/>
      <w:marRight w:val="0"/>
      <w:marTop w:val="0"/>
      <w:marBottom w:val="0"/>
      <w:divBdr>
        <w:top w:val="none" w:sz="0" w:space="0" w:color="auto"/>
        <w:left w:val="none" w:sz="0" w:space="0" w:color="auto"/>
        <w:bottom w:val="none" w:sz="0" w:space="0" w:color="auto"/>
        <w:right w:val="none" w:sz="0" w:space="0" w:color="auto"/>
      </w:divBdr>
    </w:div>
    <w:div w:id="676419893">
      <w:bodyDiv w:val="1"/>
      <w:marLeft w:val="0"/>
      <w:marRight w:val="0"/>
      <w:marTop w:val="0"/>
      <w:marBottom w:val="0"/>
      <w:divBdr>
        <w:top w:val="none" w:sz="0" w:space="0" w:color="auto"/>
        <w:left w:val="none" w:sz="0" w:space="0" w:color="auto"/>
        <w:bottom w:val="none" w:sz="0" w:space="0" w:color="auto"/>
        <w:right w:val="none" w:sz="0" w:space="0" w:color="auto"/>
      </w:divBdr>
    </w:div>
    <w:div w:id="986129883">
      <w:bodyDiv w:val="1"/>
      <w:marLeft w:val="0"/>
      <w:marRight w:val="0"/>
      <w:marTop w:val="0"/>
      <w:marBottom w:val="0"/>
      <w:divBdr>
        <w:top w:val="none" w:sz="0" w:space="0" w:color="auto"/>
        <w:left w:val="none" w:sz="0" w:space="0" w:color="auto"/>
        <w:bottom w:val="none" w:sz="0" w:space="0" w:color="auto"/>
        <w:right w:val="none" w:sz="0" w:space="0" w:color="auto"/>
      </w:divBdr>
    </w:div>
    <w:div w:id="1105032115">
      <w:bodyDiv w:val="1"/>
      <w:marLeft w:val="0"/>
      <w:marRight w:val="0"/>
      <w:marTop w:val="0"/>
      <w:marBottom w:val="0"/>
      <w:divBdr>
        <w:top w:val="none" w:sz="0" w:space="0" w:color="auto"/>
        <w:left w:val="none" w:sz="0" w:space="0" w:color="auto"/>
        <w:bottom w:val="none" w:sz="0" w:space="0" w:color="auto"/>
        <w:right w:val="none" w:sz="0" w:space="0" w:color="auto"/>
      </w:divBdr>
    </w:div>
    <w:div w:id="1168323399">
      <w:bodyDiv w:val="1"/>
      <w:marLeft w:val="0"/>
      <w:marRight w:val="0"/>
      <w:marTop w:val="0"/>
      <w:marBottom w:val="0"/>
      <w:divBdr>
        <w:top w:val="none" w:sz="0" w:space="0" w:color="auto"/>
        <w:left w:val="none" w:sz="0" w:space="0" w:color="auto"/>
        <w:bottom w:val="none" w:sz="0" w:space="0" w:color="auto"/>
        <w:right w:val="none" w:sz="0" w:space="0" w:color="auto"/>
      </w:divBdr>
      <w:divsChild>
        <w:div w:id="1783038190">
          <w:marLeft w:val="360"/>
          <w:marRight w:val="0"/>
          <w:marTop w:val="200"/>
          <w:marBottom w:val="0"/>
          <w:divBdr>
            <w:top w:val="none" w:sz="0" w:space="0" w:color="auto"/>
            <w:left w:val="none" w:sz="0" w:space="0" w:color="auto"/>
            <w:bottom w:val="none" w:sz="0" w:space="0" w:color="auto"/>
            <w:right w:val="none" w:sz="0" w:space="0" w:color="auto"/>
          </w:divBdr>
        </w:div>
      </w:divsChild>
    </w:div>
    <w:div w:id="1372533640">
      <w:bodyDiv w:val="1"/>
      <w:marLeft w:val="0"/>
      <w:marRight w:val="0"/>
      <w:marTop w:val="0"/>
      <w:marBottom w:val="0"/>
      <w:divBdr>
        <w:top w:val="none" w:sz="0" w:space="0" w:color="auto"/>
        <w:left w:val="none" w:sz="0" w:space="0" w:color="auto"/>
        <w:bottom w:val="none" w:sz="0" w:space="0" w:color="auto"/>
        <w:right w:val="none" w:sz="0" w:space="0" w:color="auto"/>
      </w:divBdr>
      <w:divsChild>
        <w:div w:id="1132864300">
          <w:marLeft w:val="720"/>
          <w:marRight w:val="0"/>
          <w:marTop w:val="200"/>
          <w:marBottom w:val="0"/>
          <w:divBdr>
            <w:top w:val="none" w:sz="0" w:space="0" w:color="auto"/>
            <w:left w:val="none" w:sz="0" w:space="0" w:color="auto"/>
            <w:bottom w:val="none" w:sz="0" w:space="0" w:color="auto"/>
            <w:right w:val="none" w:sz="0" w:space="0" w:color="auto"/>
          </w:divBdr>
        </w:div>
        <w:div w:id="2116515659">
          <w:marLeft w:val="720"/>
          <w:marRight w:val="0"/>
          <w:marTop w:val="200"/>
          <w:marBottom w:val="0"/>
          <w:divBdr>
            <w:top w:val="none" w:sz="0" w:space="0" w:color="auto"/>
            <w:left w:val="none" w:sz="0" w:space="0" w:color="auto"/>
            <w:bottom w:val="none" w:sz="0" w:space="0" w:color="auto"/>
            <w:right w:val="none" w:sz="0" w:space="0" w:color="auto"/>
          </w:divBdr>
        </w:div>
        <w:div w:id="1998919163">
          <w:marLeft w:val="720"/>
          <w:marRight w:val="0"/>
          <w:marTop w:val="200"/>
          <w:marBottom w:val="0"/>
          <w:divBdr>
            <w:top w:val="none" w:sz="0" w:space="0" w:color="auto"/>
            <w:left w:val="none" w:sz="0" w:space="0" w:color="auto"/>
            <w:bottom w:val="none" w:sz="0" w:space="0" w:color="auto"/>
            <w:right w:val="none" w:sz="0" w:space="0" w:color="auto"/>
          </w:divBdr>
        </w:div>
        <w:div w:id="765927488">
          <w:marLeft w:val="720"/>
          <w:marRight w:val="0"/>
          <w:marTop w:val="200"/>
          <w:marBottom w:val="0"/>
          <w:divBdr>
            <w:top w:val="none" w:sz="0" w:space="0" w:color="auto"/>
            <w:left w:val="none" w:sz="0" w:space="0" w:color="auto"/>
            <w:bottom w:val="none" w:sz="0" w:space="0" w:color="auto"/>
            <w:right w:val="none" w:sz="0" w:space="0" w:color="auto"/>
          </w:divBdr>
        </w:div>
        <w:div w:id="2092578221">
          <w:marLeft w:val="806"/>
          <w:marRight w:val="0"/>
          <w:marTop w:val="200"/>
          <w:marBottom w:val="0"/>
          <w:divBdr>
            <w:top w:val="none" w:sz="0" w:space="0" w:color="auto"/>
            <w:left w:val="none" w:sz="0" w:space="0" w:color="auto"/>
            <w:bottom w:val="none" w:sz="0" w:space="0" w:color="auto"/>
            <w:right w:val="none" w:sz="0" w:space="0" w:color="auto"/>
          </w:divBdr>
        </w:div>
      </w:divsChild>
    </w:div>
    <w:div w:id="1506631049">
      <w:bodyDiv w:val="1"/>
      <w:marLeft w:val="0"/>
      <w:marRight w:val="0"/>
      <w:marTop w:val="0"/>
      <w:marBottom w:val="0"/>
      <w:divBdr>
        <w:top w:val="none" w:sz="0" w:space="0" w:color="auto"/>
        <w:left w:val="none" w:sz="0" w:space="0" w:color="auto"/>
        <w:bottom w:val="none" w:sz="0" w:space="0" w:color="auto"/>
        <w:right w:val="none" w:sz="0" w:space="0" w:color="auto"/>
      </w:divBdr>
    </w:div>
    <w:div w:id="1807773886">
      <w:bodyDiv w:val="1"/>
      <w:marLeft w:val="0"/>
      <w:marRight w:val="0"/>
      <w:marTop w:val="0"/>
      <w:marBottom w:val="0"/>
      <w:divBdr>
        <w:top w:val="none" w:sz="0" w:space="0" w:color="auto"/>
        <w:left w:val="none" w:sz="0" w:space="0" w:color="auto"/>
        <w:bottom w:val="none" w:sz="0" w:space="0" w:color="auto"/>
        <w:right w:val="none" w:sz="0" w:space="0" w:color="auto"/>
      </w:divBdr>
    </w:div>
    <w:div w:id="1863278437">
      <w:bodyDiv w:val="1"/>
      <w:marLeft w:val="0"/>
      <w:marRight w:val="0"/>
      <w:marTop w:val="0"/>
      <w:marBottom w:val="0"/>
      <w:divBdr>
        <w:top w:val="none" w:sz="0" w:space="0" w:color="auto"/>
        <w:left w:val="none" w:sz="0" w:space="0" w:color="auto"/>
        <w:bottom w:val="none" w:sz="0" w:space="0" w:color="auto"/>
        <w:right w:val="none" w:sz="0" w:space="0" w:color="auto"/>
      </w:divBdr>
      <w:divsChild>
        <w:div w:id="265845838">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pov.int/meetings/en/details.jsp?meeting_id=88391" TargetMode="External"/><Relationship Id="rId4" Type="http://schemas.openxmlformats.org/officeDocument/2006/relationships/settings" Target="settings.xml"/><Relationship Id="rId9" Type="http://schemas.openxmlformats.org/officeDocument/2006/relationships/hyperlink" Target="https://www.upov.int/meetings/en/details.jsp?meeting_id=858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AJ\CAJ81_(2024)\templates\caj_81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01263-19A4-4BD7-BDA3-E869F148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caj_81_EN.dotx</Template>
  <TotalTime>74</TotalTime>
  <Pages>5</Pages>
  <Words>2605</Words>
  <Characters>14007</Characters>
  <Application>Microsoft Office Word</Application>
  <DocSecurity>0</DocSecurity>
  <Lines>298</Lines>
  <Paragraphs>105</Paragraphs>
  <ScaleCrop>false</ScaleCrop>
  <HeadingPairs>
    <vt:vector size="2" baseType="variant">
      <vt:variant>
        <vt:lpstr>Title</vt:lpstr>
      </vt:variant>
      <vt:variant>
        <vt:i4>1</vt:i4>
      </vt:variant>
    </vt:vector>
  </HeadingPairs>
  <TitlesOfParts>
    <vt:vector size="1" baseType="lpstr">
      <vt:lpstr>CAJ/82/5</vt:lpstr>
    </vt:vector>
  </TitlesOfParts>
  <Company>UPOV</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CAJ/82/5</dc:title>
  <dc:creator>SANCHEZ VIZCAINO GOMEZ Rosa Maria</dc:creator>
  <cp:keywords>, docId:182BD38419539DFABE7542BDABA226BD</cp:keywords>
  <cp:lastModifiedBy>SANCHEZ VIZCAINO GOMEZ Rosa Maria</cp:lastModifiedBy>
  <cp:revision>11</cp:revision>
  <cp:lastPrinted>2024-10-23T13:41:00Z</cp:lastPrinted>
  <dcterms:created xsi:type="dcterms:W3CDTF">2025-11-11T10:19:00Z</dcterms:created>
  <dcterms:modified xsi:type="dcterms:W3CDTF">2025-11-11T16:43:00Z</dcterms:modified>
</cp:coreProperties>
</file>