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A6F45" w14:paraId="3E6ACE12" w14:textId="77777777" w:rsidTr="00EB4E9C">
        <w:tc>
          <w:tcPr>
            <w:tcW w:w="6522" w:type="dxa"/>
          </w:tcPr>
          <w:p w14:paraId="705EC3A5" w14:textId="77777777" w:rsidR="00DC3802" w:rsidRPr="000A6F45" w:rsidRDefault="00DC3802" w:rsidP="00AC2883">
            <w:r w:rsidRPr="000A6F45">
              <w:drawing>
                <wp:inline distT="0" distB="0" distL="0" distR="0" wp14:anchorId="2D1DD28A" wp14:editId="6C22BD7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848EE4" w14:textId="6DCDA0E5" w:rsidR="00E33CFC" w:rsidRPr="000A6F45" w:rsidRDefault="000A6F45">
            <w:pPr>
              <w:pStyle w:val="Lettrine"/>
            </w:pPr>
            <w:r w:rsidRPr="000A6F45">
              <w:t>S</w:t>
            </w:r>
          </w:p>
        </w:tc>
      </w:tr>
      <w:tr w:rsidR="00DC3802" w:rsidRPr="000A6F45" w14:paraId="1ACE2DEE" w14:textId="77777777" w:rsidTr="00645CA8">
        <w:trPr>
          <w:trHeight w:val="219"/>
        </w:trPr>
        <w:tc>
          <w:tcPr>
            <w:tcW w:w="6522" w:type="dxa"/>
          </w:tcPr>
          <w:p w14:paraId="22704B27" w14:textId="59653251" w:rsidR="00E33CFC" w:rsidRPr="000A6F45" w:rsidRDefault="00044CA4">
            <w:pPr>
              <w:pStyle w:val="upove"/>
            </w:pPr>
            <w:r w:rsidRPr="000A6F45">
              <w:t>Unión Internacional para la Protección de las Obtenciones Vegetales</w:t>
            </w:r>
          </w:p>
        </w:tc>
        <w:tc>
          <w:tcPr>
            <w:tcW w:w="3117" w:type="dxa"/>
          </w:tcPr>
          <w:p w14:paraId="48FFDD00" w14:textId="77777777" w:rsidR="00DC3802" w:rsidRPr="000A6F45" w:rsidRDefault="00DC3802" w:rsidP="00DA4973"/>
        </w:tc>
      </w:tr>
    </w:tbl>
    <w:p w14:paraId="72C4D0A2" w14:textId="77777777" w:rsidR="00DC3802" w:rsidRPr="000A6F45" w:rsidRDefault="00DC3802" w:rsidP="00DC3802"/>
    <w:p w14:paraId="0384DA81" w14:textId="77777777" w:rsidR="00B22ED6" w:rsidRPr="000A6F45"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0A6F45" w14:paraId="02F287FB" w14:textId="77777777" w:rsidTr="00D7425C">
        <w:tc>
          <w:tcPr>
            <w:tcW w:w="6512" w:type="dxa"/>
          </w:tcPr>
          <w:p w14:paraId="1ABF3FE3" w14:textId="77777777" w:rsidR="00E33CFC" w:rsidRPr="000A6F45" w:rsidRDefault="00044CA4">
            <w:pPr>
              <w:pStyle w:val="Sessiontwp"/>
            </w:pPr>
            <w:r w:rsidRPr="000A6F45">
              <w:t>Comité Técnico</w:t>
            </w:r>
          </w:p>
          <w:p w14:paraId="3602A3B5" w14:textId="77777777" w:rsidR="00E33CFC" w:rsidRPr="000A6F45" w:rsidRDefault="00044CA4">
            <w:pPr>
              <w:pStyle w:val="Sessiontwpplacedate"/>
            </w:pPr>
            <w:r w:rsidRPr="000A6F45">
              <w:t>Sexagésima sesión</w:t>
            </w:r>
          </w:p>
          <w:p w14:paraId="1E4F3218" w14:textId="77777777" w:rsidR="00E33CFC" w:rsidRPr="000A6F45" w:rsidRDefault="00044CA4">
            <w:r w:rsidRPr="000A6F45">
              <w:t>Ginebra, 21 y 22 de octubre de 2024</w:t>
            </w:r>
          </w:p>
          <w:p w14:paraId="5F41864D" w14:textId="77777777" w:rsidR="00B22ED6" w:rsidRPr="000A6F45" w:rsidRDefault="00B22ED6" w:rsidP="00D7425C"/>
          <w:p w14:paraId="6FCA3207" w14:textId="77777777" w:rsidR="00E33CFC" w:rsidRPr="000A6F45" w:rsidRDefault="00044CA4">
            <w:pPr>
              <w:pStyle w:val="Sessiontwp"/>
            </w:pPr>
            <w:r w:rsidRPr="000A6F45">
              <w:t>Comité Administrativo y Jurídico</w:t>
            </w:r>
          </w:p>
          <w:p w14:paraId="3AEE32A0" w14:textId="77777777" w:rsidR="00E33CFC" w:rsidRPr="000A6F45" w:rsidRDefault="00044CA4">
            <w:pPr>
              <w:pStyle w:val="Sessiontwp"/>
              <w:rPr>
                <w:b w:val="0"/>
              </w:rPr>
            </w:pPr>
            <w:r w:rsidRPr="000A6F45">
              <w:rPr>
                <w:b w:val="0"/>
              </w:rPr>
              <w:t>Octogésima primera sesión</w:t>
            </w:r>
          </w:p>
          <w:p w14:paraId="5F18F62B" w14:textId="77777777" w:rsidR="00E33CFC" w:rsidRPr="000A6F45" w:rsidRDefault="00044CA4">
            <w:pPr>
              <w:pStyle w:val="Sessiontwpplacedate"/>
            </w:pPr>
            <w:r w:rsidRPr="000A6F45">
              <w:t>Ginebra, 23 de octubre de 2024</w:t>
            </w:r>
          </w:p>
        </w:tc>
        <w:tc>
          <w:tcPr>
            <w:tcW w:w="3127" w:type="dxa"/>
          </w:tcPr>
          <w:p w14:paraId="5BA8CBDA" w14:textId="5F841170" w:rsidR="00E33CFC" w:rsidRPr="000A6F45" w:rsidRDefault="000A6F45">
            <w:pPr>
              <w:pStyle w:val="Doccode"/>
              <w:rPr>
                <w:lang w:val="es-ES_tradnl"/>
              </w:rPr>
            </w:pPr>
            <w:r w:rsidRPr="000A6F45">
              <w:rPr>
                <w:lang w:val="es-ES_tradnl"/>
              </w:rPr>
              <w:t>SESSIONS/2024</w:t>
            </w:r>
            <w:r w:rsidR="002A12E1" w:rsidRPr="000A6F45">
              <w:rPr>
                <w:lang w:val="es-ES_tradnl"/>
              </w:rPr>
              <w:t>/6</w:t>
            </w:r>
          </w:p>
          <w:p w14:paraId="75A14A2D" w14:textId="77777777" w:rsidR="00E33CFC" w:rsidRPr="000A6F45" w:rsidRDefault="00044CA4">
            <w:pPr>
              <w:pStyle w:val="Docoriginal"/>
            </w:pPr>
            <w:r w:rsidRPr="000A6F45">
              <w:t>Original:</w:t>
            </w:r>
            <w:r w:rsidRPr="000A6F45">
              <w:rPr>
                <w:b w:val="0"/>
                <w:spacing w:val="0"/>
              </w:rPr>
              <w:t xml:space="preserve">  Inglés</w:t>
            </w:r>
          </w:p>
          <w:p w14:paraId="47A79456" w14:textId="77777777" w:rsidR="00E33CFC" w:rsidRPr="000A6F45" w:rsidRDefault="00044CA4">
            <w:pPr>
              <w:pStyle w:val="Docoriginal"/>
            </w:pPr>
            <w:r w:rsidRPr="000A6F45">
              <w:t xml:space="preserve">Fecha:  </w:t>
            </w:r>
            <w:r w:rsidR="00C14398" w:rsidRPr="000A6F45">
              <w:rPr>
                <w:b w:val="0"/>
                <w:spacing w:val="0"/>
              </w:rPr>
              <w:t>25</w:t>
            </w:r>
            <w:r w:rsidR="00F5305E" w:rsidRPr="000A6F45">
              <w:rPr>
                <w:b w:val="0"/>
                <w:spacing w:val="0"/>
              </w:rPr>
              <w:t xml:space="preserve"> de septiembre </w:t>
            </w:r>
            <w:r w:rsidRPr="000A6F45">
              <w:rPr>
                <w:b w:val="0"/>
                <w:spacing w:val="0"/>
              </w:rPr>
              <w:t>de 2024</w:t>
            </w:r>
          </w:p>
        </w:tc>
      </w:tr>
    </w:tbl>
    <w:p w14:paraId="2D574867" w14:textId="77777777" w:rsidR="00E33CFC" w:rsidRPr="000A6F45" w:rsidRDefault="00044CA4">
      <w:pPr>
        <w:pStyle w:val="Titleofdoc0"/>
      </w:pPr>
      <w:r w:rsidRPr="000A6F45">
        <w:t>Técnicas moleculares</w:t>
      </w:r>
    </w:p>
    <w:p w14:paraId="0881754F" w14:textId="0225D98E" w:rsidR="00E33CFC" w:rsidRPr="000A6F45" w:rsidRDefault="00044CA4">
      <w:pPr>
        <w:pStyle w:val="preparedby1"/>
        <w:jc w:val="left"/>
      </w:pPr>
      <w:r w:rsidRPr="000A6F45">
        <w:t>Documento preparado por la Oficina de la Uni</w:t>
      </w:r>
      <w:r w:rsidR="000A6F45" w:rsidRPr="000A6F45">
        <w:t>ó</w:t>
      </w:r>
      <w:r w:rsidRPr="000A6F45">
        <w:t>n</w:t>
      </w:r>
    </w:p>
    <w:p w14:paraId="4AFA14AF" w14:textId="77777777" w:rsidR="000A6F45" w:rsidRPr="000A6F45" w:rsidRDefault="000A6F45" w:rsidP="000A6F45">
      <w:pPr>
        <w:pStyle w:val="Disclaimer"/>
        <w:spacing w:after="480"/>
        <w:rPr>
          <w:lang w:val="es-ES_tradnl"/>
        </w:rPr>
      </w:pPr>
      <w:bookmarkStart w:id="0" w:name="_Toc177773938"/>
      <w:bookmarkStart w:id="1" w:name="_Toc84413225"/>
      <w:bookmarkStart w:id="2" w:name="_Toc97892774"/>
      <w:r w:rsidRPr="000A6F45">
        <w:rPr>
          <w:lang w:val="es-ES_tradnl"/>
        </w:rPr>
        <w:t>Descargo de responsabilidad: el presente documento no constituye un documento de política u orientación de la UPOV.</w:t>
      </w:r>
      <w:r w:rsidRPr="000A6F45">
        <w:rPr>
          <w:lang w:val="es-ES_tradnl"/>
        </w:rPr>
        <w:br/>
      </w:r>
      <w:r w:rsidRPr="000A6F45">
        <w:rPr>
          <w:lang w:val="es-ES_tradnl"/>
        </w:rPr>
        <w:br/>
        <w:t>Este documento se ha generado mediante traducción automática y no puede garantizarse su exactitud. Por lo tanto, el texto en el idioma original es la única versión auténtica.</w:t>
      </w:r>
    </w:p>
    <w:p w14:paraId="249F0217" w14:textId="77777777" w:rsidR="00E33CFC" w:rsidRPr="000A6F45" w:rsidRDefault="00044CA4">
      <w:pPr>
        <w:keepNext/>
        <w:outlineLvl w:val="0"/>
        <w:rPr>
          <w:caps/>
          <w:snapToGrid w:val="0"/>
          <w:lang w:eastAsia="ja-JP"/>
        </w:rPr>
      </w:pPr>
      <w:r w:rsidRPr="000A6F45">
        <w:rPr>
          <w:caps/>
          <w:snapToGrid w:val="0"/>
          <w:lang w:eastAsia="ja-JP"/>
        </w:rPr>
        <w:t>RESUMEN</w:t>
      </w:r>
      <w:bookmarkEnd w:id="0"/>
    </w:p>
    <w:p w14:paraId="031FE947" w14:textId="77777777" w:rsidR="00EF4B00" w:rsidRPr="000A6F45" w:rsidRDefault="00EF4B00" w:rsidP="00EF4B00">
      <w:pPr>
        <w:rPr>
          <w:lang w:eastAsia="ja-JP"/>
        </w:rPr>
      </w:pPr>
    </w:p>
    <w:p w14:paraId="7A44EFC1" w14:textId="77777777" w:rsidR="00E33CFC" w:rsidRPr="000A6F45" w:rsidRDefault="00044CA4">
      <w:r w:rsidRPr="000A6F45">
        <w:fldChar w:fldCharType="begin"/>
      </w:r>
      <w:r w:rsidRPr="000A6F45">
        <w:instrText xml:space="preserve"> AUTONUM  </w:instrText>
      </w:r>
      <w:r w:rsidRPr="000A6F45">
        <w:fldChar w:fldCharType="end"/>
      </w:r>
      <w:r w:rsidRPr="000A6F45">
        <w:tab/>
        <w:t xml:space="preserve">El objetivo de este documento es informar al </w:t>
      </w:r>
      <w:r w:rsidR="00752F0F" w:rsidRPr="000A6F45">
        <w:t xml:space="preserve">Comité Técnico </w:t>
      </w:r>
      <w:r w:rsidRPr="000A6F45">
        <w:t>(TC</w:t>
      </w:r>
      <w:r w:rsidR="00752F0F" w:rsidRPr="000A6F45">
        <w:t xml:space="preserve">) </w:t>
      </w:r>
      <w:r w:rsidRPr="000A6F45">
        <w:t xml:space="preserve">y al </w:t>
      </w:r>
      <w:r w:rsidR="00752F0F" w:rsidRPr="000A6F45">
        <w:t xml:space="preserve">Comité Administrativo y Jurídico </w:t>
      </w:r>
      <w:r w:rsidRPr="000A6F45">
        <w:t>(CAJ</w:t>
      </w:r>
      <w:r w:rsidR="00752F0F" w:rsidRPr="000A6F45">
        <w:t xml:space="preserve">) sobre </w:t>
      </w:r>
      <w:r w:rsidRPr="000A6F45">
        <w:t>los avances relativos a las técnicas moleculares</w:t>
      </w:r>
      <w:r w:rsidRPr="000A6F45">
        <w:rPr>
          <w:iCs/>
          <w:snapToGrid w:val="0"/>
          <w:lang w:eastAsia="ja-JP"/>
        </w:rPr>
        <w:t>.</w:t>
      </w:r>
    </w:p>
    <w:p w14:paraId="41AEAA57" w14:textId="77777777" w:rsidR="00EF4B00" w:rsidRPr="000A6F45" w:rsidRDefault="00EF4B00" w:rsidP="00EF4B00"/>
    <w:p w14:paraId="64C9934F" w14:textId="77777777" w:rsidR="00E33CFC" w:rsidRPr="000A6F45" w:rsidRDefault="00044CA4">
      <w:pPr>
        <w:tabs>
          <w:tab w:val="left" w:pos="567"/>
          <w:tab w:val="left" w:pos="1134"/>
          <w:tab w:val="left" w:pos="5387"/>
          <w:tab w:val="left" w:pos="5954"/>
        </w:tabs>
      </w:pPr>
      <w:r w:rsidRPr="000A6F45">
        <w:fldChar w:fldCharType="begin"/>
      </w:r>
      <w:r w:rsidRPr="000A6F45">
        <w:instrText xml:space="preserve"> AUTONUM  </w:instrText>
      </w:r>
      <w:r w:rsidRPr="000A6F45">
        <w:fldChar w:fldCharType="end"/>
      </w:r>
      <w:r w:rsidRPr="000A6F45">
        <w:tab/>
        <w:t>Se invita al TC a:</w:t>
      </w:r>
    </w:p>
    <w:p w14:paraId="24253763" w14:textId="77777777" w:rsidR="00EF4B00" w:rsidRPr="000A6F45" w:rsidRDefault="00EF4B00" w:rsidP="00EF4B00">
      <w:pPr>
        <w:keepNext/>
        <w:keepLines/>
        <w:tabs>
          <w:tab w:val="left" w:pos="567"/>
          <w:tab w:val="left" w:pos="1134"/>
          <w:tab w:val="left" w:pos="5387"/>
          <w:tab w:val="left" w:pos="5954"/>
        </w:tabs>
      </w:pPr>
    </w:p>
    <w:p w14:paraId="42CA83D7" w14:textId="77777777" w:rsidR="00E33CFC" w:rsidRPr="000A6F45" w:rsidRDefault="00044CA4">
      <w:pPr>
        <w:tabs>
          <w:tab w:val="left" w:pos="567"/>
          <w:tab w:val="left" w:pos="1134"/>
          <w:tab w:val="left" w:pos="5387"/>
          <w:tab w:val="left" w:pos="5954"/>
        </w:tabs>
        <w:rPr>
          <w:iCs/>
          <w:snapToGrid w:val="0"/>
          <w:lang w:eastAsia="ja-JP"/>
        </w:rPr>
      </w:pPr>
      <w:r w:rsidRPr="000A6F45">
        <w:rPr>
          <w:iCs/>
          <w:snapToGrid w:val="0"/>
          <w:lang w:eastAsia="ja-JP"/>
        </w:rPr>
        <w:tab/>
        <w:t>(a)</w:t>
      </w:r>
      <w:r w:rsidRPr="000A6F45">
        <w:rPr>
          <w:iCs/>
          <w:snapToGrid w:val="0"/>
          <w:lang w:eastAsia="ja-JP"/>
        </w:rPr>
        <w:tab/>
      </w:r>
      <w:r w:rsidR="00110AC8" w:rsidRPr="000A6F45">
        <w:rPr>
          <w:iCs/>
          <w:snapToGrid w:val="0"/>
          <w:lang w:eastAsia="ja-JP"/>
        </w:rPr>
        <w:t xml:space="preserve">solicitar </w:t>
      </w:r>
      <w:r w:rsidR="00F509D3" w:rsidRPr="000A6F45">
        <w:rPr>
          <w:iCs/>
          <w:snapToGrid w:val="0"/>
          <w:lang w:eastAsia="ja-JP"/>
        </w:rPr>
        <w:t xml:space="preserve">a los </w:t>
      </w:r>
      <w:r w:rsidR="00752F0F" w:rsidRPr="000A6F45">
        <w:rPr>
          <w:iCs/>
          <w:snapToGrid w:val="0"/>
          <w:lang w:eastAsia="ja-JP"/>
        </w:rPr>
        <w:t>Grupos de Trabajo Técnico (</w:t>
      </w:r>
      <w:r w:rsidR="00F509D3" w:rsidRPr="000A6F45">
        <w:rPr>
          <w:iCs/>
          <w:snapToGrid w:val="0"/>
          <w:lang w:eastAsia="ja-JP"/>
        </w:rPr>
        <w:t>TWP) que, en sus reuniones de 2025, examinen la propuesta de directrices para la validación de un nuevo protocolo de marcadores moleculares específicos de caracteres para el examen DHE, que figura en el Anexo del presente documento</w:t>
      </w:r>
      <w:r w:rsidRPr="000A6F45">
        <w:rPr>
          <w:iCs/>
          <w:snapToGrid w:val="0"/>
          <w:lang w:eastAsia="ja-JP"/>
        </w:rPr>
        <w:t xml:space="preserve">; </w:t>
      </w:r>
    </w:p>
    <w:p w14:paraId="6E30B5C1" w14:textId="77777777" w:rsidR="00D447A6" w:rsidRPr="000A6F45" w:rsidRDefault="00D447A6" w:rsidP="00F509D3">
      <w:pPr>
        <w:tabs>
          <w:tab w:val="left" w:pos="567"/>
          <w:tab w:val="left" w:pos="1134"/>
          <w:tab w:val="left" w:pos="5387"/>
          <w:tab w:val="left" w:pos="5954"/>
        </w:tabs>
        <w:rPr>
          <w:iCs/>
          <w:snapToGrid w:val="0"/>
          <w:lang w:eastAsia="ja-JP"/>
        </w:rPr>
      </w:pPr>
    </w:p>
    <w:p w14:paraId="5DB9A778" w14:textId="77777777" w:rsidR="00E33CFC" w:rsidRPr="000A6F45" w:rsidRDefault="00044CA4">
      <w:pPr>
        <w:tabs>
          <w:tab w:val="left" w:pos="567"/>
          <w:tab w:val="left" w:pos="1134"/>
          <w:tab w:val="left" w:pos="5387"/>
          <w:tab w:val="left" w:pos="5954"/>
        </w:tabs>
        <w:rPr>
          <w:iCs/>
          <w:snapToGrid w:val="0"/>
          <w:lang w:eastAsia="ja-JP"/>
        </w:rPr>
      </w:pPr>
      <w:r w:rsidRPr="000A6F45">
        <w:rPr>
          <w:iCs/>
          <w:snapToGrid w:val="0"/>
          <w:lang w:eastAsia="ja-JP"/>
        </w:rPr>
        <w:tab/>
        <w:t>(b)</w:t>
      </w:r>
      <w:r w:rsidRPr="000A6F45">
        <w:rPr>
          <w:iCs/>
          <w:snapToGrid w:val="0"/>
          <w:lang w:eastAsia="ja-JP"/>
        </w:rPr>
        <w:tab/>
        <w:t xml:space="preserve">tomar nota de la petición de las organizaciones de obtentores de que se elaboren orientaciones en la UPOV sobre la confidencialidad de los datos moleculares y del ofrecimiento de proponer un proyecto de modelo de acuerdo, que se presentará en la tercera sesión del </w:t>
      </w:r>
      <w:r w:rsidR="00752F0F" w:rsidRPr="000A6F45">
        <w:rPr>
          <w:iCs/>
          <w:snapToGrid w:val="0"/>
          <w:lang w:eastAsia="ja-JP"/>
        </w:rPr>
        <w:t>Grupo de Trabajo Técnico sobre Métodos y Técnicas de Examen (</w:t>
      </w:r>
      <w:r w:rsidRPr="000A6F45">
        <w:rPr>
          <w:iCs/>
          <w:snapToGrid w:val="0"/>
          <w:lang w:eastAsia="ja-JP"/>
        </w:rPr>
        <w:t>TWM</w:t>
      </w:r>
      <w:r w:rsidR="00752F0F" w:rsidRPr="000A6F45">
        <w:rPr>
          <w:iCs/>
          <w:snapToGrid w:val="0"/>
          <w:lang w:eastAsia="ja-JP"/>
        </w:rPr>
        <w:t>)</w:t>
      </w:r>
      <w:r w:rsidRPr="000A6F45">
        <w:rPr>
          <w:iCs/>
          <w:snapToGrid w:val="0"/>
          <w:lang w:eastAsia="ja-JP"/>
        </w:rPr>
        <w:t xml:space="preserve">; </w:t>
      </w:r>
      <w:r w:rsidR="00EF4B00" w:rsidRPr="000A6F45">
        <w:rPr>
          <w:iCs/>
          <w:snapToGrid w:val="0"/>
          <w:lang w:eastAsia="ja-JP"/>
        </w:rPr>
        <w:t>y</w:t>
      </w:r>
    </w:p>
    <w:p w14:paraId="365A9843" w14:textId="77777777" w:rsidR="00EF4B00" w:rsidRPr="000A6F45" w:rsidRDefault="00EF4B00" w:rsidP="00EF4B00">
      <w:pPr>
        <w:tabs>
          <w:tab w:val="left" w:pos="567"/>
          <w:tab w:val="left" w:pos="1134"/>
          <w:tab w:val="left" w:pos="5387"/>
          <w:tab w:val="left" w:pos="5954"/>
        </w:tabs>
        <w:rPr>
          <w:iCs/>
          <w:snapToGrid w:val="0"/>
          <w:lang w:eastAsia="ja-JP"/>
        </w:rPr>
      </w:pPr>
    </w:p>
    <w:p w14:paraId="4C900ADF" w14:textId="762537E5" w:rsidR="00E33CFC" w:rsidRPr="000A6F45" w:rsidRDefault="000A6F45">
      <w:pPr>
        <w:tabs>
          <w:tab w:val="left" w:pos="567"/>
          <w:tab w:val="left" w:pos="1134"/>
          <w:tab w:val="left" w:pos="5387"/>
          <w:tab w:val="left" w:pos="5954"/>
        </w:tabs>
        <w:rPr>
          <w:iCs/>
          <w:snapToGrid w:val="0"/>
          <w:lang w:eastAsia="ja-JP"/>
        </w:rPr>
      </w:pPr>
      <w:r>
        <w:rPr>
          <w:iCs/>
          <w:snapToGrid w:val="0"/>
          <w:lang w:eastAsia="ja-JP"/>
        </w:rPr>
        <w:tab/>
      </w:r>
      <w:r w:rsidR="00D447A6" w:rsidRPr="000A6F45">
        <w:rPr>
          <w:iCs/>
          <w:snapToGrid w:val="0"/>
          <w:lang w:eastAsia="ja-JP"/>
        </w:rPr>
        <w:t>(c</w:t>
      </w:r>
      <w:r w:rsidR="00044CA4" w:rsidRPr="000A6F45">
        <w:rPr>
          <w:iCs/>
          <w:snapToGrid w:val="0"/>
          <w:lang w:eastAsia="ja-JP"/>
        </w:rPr>
        <w:t>)</w:t>
      </w:r>
      <w:r w:rsidR="00044CA4" w:rsidRPr="000A6F45">
        <w:rPr>
          <w:iCs/>
          <w:snapToGrid w:val="0"/>
          <w:lang w:eastAsia="ja-JP"/>
        </w:rPr>
        <w:tab/>
      </w:r>
      <w:r w:rsidR="00044CA4" w:rsidRPr="000A6F45">
        <w:rPr>
          <w:lang w:eastAsia="ja-JP"/>
        </w:rPr>
        <w:t>tomar nota de los elementos informativos que figuran en el presente documento.</w:t>
      </w:r>
    </w:p>
    <w:p w14:paraId="4CFDE042" w14:textId="77777777" w:rsidR="00EF4B00" w:rsidRPr="000A6F45" w:rsidRDefault="00EF4B00" w:rsidP="00EF4B00">
      <w:pPr>
        <w:tabs>
          <w:tab w:val="left" w:pos="567"/>
          <w:tab w:val="left" w:pos="1134"/>
          <w:tab w:val="left" w:pos="5387"/>
          <w:tab w:val="left" w:pos="5954"/>
        </w:tabs>
      </w:pPr>
    </w:p>
    <w:p w14:paraId="4291163F" w14:textId="77777777" w:rsidR="00E33CFC" w:rsidRPr="000A6F45" w:rsidRDefault="00044CA4">
      <w:r w:rsidRPr="000A6F45">
        <w:fldChar w:fldCharType="begin"/>
      </w:r>
      <w:r w:rsidRPr="000A6F45">
        <w:instrText xml:space="preserve"> AUTONUM  </w:instrText>
      </w:r>
      <w:r w:rsidRPr="000A6F45">
        <w:fldChar w:fldCharType="end"/>
      </w:r>
      <w:r w:rsidRPr="000A6F45">
        <w:tab/>
        <w:t>En este documento se utilizan las siguientes abreviaturas:</w:t>
      </w:r>
    </w:p>
    <w:p w14:paraId="530F59A9" w14:textId="77777777" w:rsidR="00EF4B00" w:rsidRPr="000A6F45" w:rsidRDefault="00EF4B00" w:rsidP="00EF4B00"/>
    <w:p w14:paraId="0EEF7C05" w14:textId="44489157" w:rsidR="00E33CFC" w:rsidRPr="000A6F45" w:rsidRDefault="00044CA4">
      <w:pPr>
        <w:keepNext/>
        <w:tabs>
          <w:tab w:val="left" w:pos="567"/>
        </w:tabs>
        <w:ind w:left="1701" w:hanging="1134"/>
        <w:rPr>
          <w:sz w:val="18"/>
        </w:rPr>
      </w:pPr>
      <w:r w:rsidRPr="000A6F45">
        <w:rPr>
          <w:sz w:val="18"/>
        </w:rPr>
        <w:t xml:space="preserve">CAJ: </w:t>
      </w:r>
      <w:r w:rsidRPr="000A6F45">
        <w:rPr>
          <w:sz w:val="18"/>
        </w:rPr>
        <w:tab/>
        <w:t>Comité Administrativo y Jurídico</w:t>
      </w:r>
    </w:p>
    <w:p w14:paraId="14757435" w14:textId="2EFC9F0F" w:rsidR="00E33CFC" w:rsidRPr="000A6F45" w:rsidRDefault="00044CA4">
      <w:pPr>
        <w:ind w:left="1701" w:hanging="1134"/>
        <w:rPr>
          <w:rFonts w:cs="Arial"/>
          <w:snapToGrid w:val="0"/>
          <w:sz w:val="18"/>
          <w:szCs w:val="24"/>
          <w:lang w:eastAsia="ja-JP"/>
        </w:rPr>
      </w:pPr>
      <w:r w:rsidRPr="000A6F45">
        <w:rPr>
          <w:rFonts w:eastAsia="PMingLiU" w:cs="Arial"/>
          <w:snapToGrid w:val="0"/>
          <w:sz w:val="18"/>
          <w:szCs w:val="24"/>
          <w:lang w:eastAsia="fr-FR"/>
        </w:rPr>
        <w:t xml:space="preserve">ISTA: </w:t>
      </w:r>
      <w:r w:rsidRPr="000A6F45">
        <w:rPr>
          <w:rFonts w:eastAsia="PMingLiU" w:cs="Arial"/>
          <w:snapToGrid w:val="0"/>
          <w:sz w:val="18"/>
          <w:szCs w:val="24"/>
          <w:lang w:eastAsia="fr-FR"/>
        </w:rPr>
        <w:tab/>
        <w:t xml:space="preserve">International </w:t>
      </w:r>
      <w:proofErr w:type="spellStart"/>
      <w:r w:rsidRPr="000A6F45">
        <w:rPr>
          <w:rFonts w:eastAsia="PMingLiU" w:cs="Arial"/>
          <w:snapToGrid w:val="0"/>
          <w:sz w:val="18"/>
          <w:szCs w:val="24"/>
          <w:lang w:eastAsia="fr-FR"/>
        </w:rPr>
        <w:t>Seed</w:t>
      </w:r>
      <w:proofErr w:type="spellEnd"/>
      <w:r w:rsidRPr="000A6F45">
        <w:rPr>
          <w:rFonts w:eastAsia="PMingLiU" w:cs="Arial"/>
          <w:snapToGrid w:val="0"/>
          <w:sz w:val="18"/>
          <w:szCs w:val="24"/>
          <w:lang w:eastAsia="fr-FR"/>
        </w:rPr>
        <w:t xml:space="preserve"> </w:t>
      </w:r>
      <w:proofErr w:type="spellStart"/>
      <w:r w:rsidRPr="000A6F45">
        <w:rPr>
          <w:rFonts w:eastAsia="PMingLiU" w:cs="Arial"/>
          <w:snapToGrid w:val="0"/>
          <w:sz w:val="18"/>
          <w:szCs w:val="24"/>
          <w:lang w:eastAsia="fr-FR"/>
        </w:rPr>
        <w:t>Testing</w:t>
      </w:r>
      <w:proofErr w:type="spellEnd"/>
      <w:r w:rsidRPr="000A6F45">
        <w:rPr>
          <w:rFonts w:eastAsia="PMingLiU" w:cs="Arial"/>
          <w:snapToGrid w:val="0"/>
          <w:sz w:val="18"/>
          <w:szCs w:val="24"/>
          <w:lang w:eastAsia="fr-FR"/>
        </w:rPr>
        <w:t xml:space="preserve"> </w:t>
      </w:r>
      <w:proofErr w:type="spellStart"/>
      <w:r w:rsidRPr="000A6F45">
        <w:rPr>
          <w:rFonts w:eastAsia="PMingLiU" w:cs="Arial"/>
          <w:snapToGrid w:val="0"/>
          <w:sz w:val="18"/>
          <w:szCs w:val="24"/>
          <w:lang w:eastAsia="fr-FR"/>
        </w:rPr>
        <w:t>Association</w:t>
      </w:r>
      <w:proofErr w:type="spellEnd"/>
      <w:r w:rsidRPr="000A6F45">
        <w:rPr>
          <w:rFonts w:eastAsia="PMingLiU" w:cs="Arial"/>
          <w:snapToGrid w:val="0"/>
          <w:sz w:val="18"/>
          <w:szCs w:val="24"/>
          <w:lang w:eastAsia="fr-FR"/>
        </w:rPr>
        <w:t xml:space="preserve"> </w:t>
      </w:r>
    </w:p>
    <w:p w14:paraId="78F7C50E" w14:textId="77777777" w:rsidR="00E33CFC" w:rsidRPr="000A6F45" w:rsidRDefault="00044CA4">
      <w:pPr>
        <w:ind w:left="1701" w:hanging="1134"/>
        <w:rPr>
          <w:rFonts w:eastAsia="PMingLiU" w:cs="Arial"/>
          <w:snapToGrid w:val="0"/>
          <w:sz w:val="18"/>
          <w:szCs w:val="24"/>
        </w:rPr>
      </w:pPr>
      <w:r w:rsidRPr="000A6F45">
        <w:rPr>
          <w:rFonts w:eastAsia="PMingLiU" w:cs="Arial"/>
          <w:sz w:val="18"/>
          <w:szCs w:val="24"/>
        </w:rPr>
        <w:t>OCDE:</w:t>
      </w:r>
      <w:r w:rsidRPr="000A6F45">
        <w:rPr>
          <w:rFonts w:eastAsia="PMingLiU" w:cs="Arial"/>
          <w:sz w:val="18"/>
          <w:szCs w:val="24"/>
        </w:rPr>
        <w:tab/>
      </w:r>
      <w:r w:rsidRPr="000A6F45">
        <w:rPr>
          <w:rFonts w:eastAsia="PMingLiU" w:cs="Arial"/>
          <w:snapToGrid w:val="0"/>
          <w:sz w:val="18"/>
          <w:szCs w:val="24"/>
        </w:rPr>
        <w:t>Organización para la Cooperación y el Desarrollo Económico</w:t>
      </w:r>
    </w:p>
    <w:p w14:paraId="544FA5F1" w14:textId="77777777" w:rsidR="00E33CFC" w:rsidRPr="000A6F45" w:rsidRDefault="00044CA4">
      <w:pPr>
        <w:keepNext/>
        <w:tabs>
          <w:tab w:val="left" w:pos="567"/>
        </w:tabs>
        <w:ind w:left="1701" w:hanging="1134"/>
        <w:rPr>
          <w:sz w:val="18"/>
        </w:rPr>
      </w:pPr>
      <w:r w:rsidRPr="000A6F45">
        <w:rPr>
          <w:sz w:val="18"/>
        </w:rPr>
        <w:t>TC:</w:t>
      </w:r>
      <w:r w:rsidRPr="000A6F45">
        <w:rPr>
          <w:sz w:val="18"/>
        </w:rPr>
        <w:tab/>
        <w:t>Comité Técnico</w:t>
      </w:r>
    </w:p>
    <w:p w14:paraId="0E9DF222" w14:textId="77777777" w:rsidR="00E33CFC" w:rsidRPr="000A6F45" w:rsidRDefault="00044CA4">
      <w:pPr>
        <w:ind w:left="1701" w:hanging="1134"/>
        <w:rPr>
          <w:rFonts w:eastAsia="PMingLiU" w:cs="Arial"/>
          <w:sz w:val="18"/>
          <w:szCs w:val="24"/>
        </w:rPr>
      </w:pPr>
      <w:r w:rsidRPr="000A6F45">
        <w:rPr>
          <w:rFonts w:eastAsia="PMingLiU" w:cs="Arial"/>
          <w:sz w:val="18"/>
          <w:szCs w:val="24"/>
        </w:rPr>
        <w:t>TWA:</w:t>
      </w:r>
      <w:r w:rsidRPr="000A6F45">
        <w:rPr>
          <w:rFonts w:eastAsia="PMingLiU" w:cs="Arial"/>
          <w:sz w:val="18"/>
          <w:szCs w:val="24"/>
        </w:rPr>
        <w:tab/>
        <w:t>Grupo de Trabajo Técnico sobre Plantas Agrícolas</w:t>
      </w:r>
    </w:p>
    <w:p w14:paraId="5C5EC530" w14:textId="77777777" w:rsidR="00E33CFC" w:rsidRPr="000A6F45" w:rsidRDefault="00044CA4">
      <w:pPr>
        <w:ind w:left="1701" w:hanging="1134"/>
        <w:rPr>
          <w:rFonts w:eastAsia="PMingLiU" w:cs="Arial"/>
          <w:sz w:val="18"/>
          <w:szCs w:val="24"/>
        </w:rPr>
      </w:pPr>
      <w:r w:rsidRPr="000A6F45">
        <w:rPr>
          <w:rFonts w:eastAsia="PMingLiU" w:cs="Arial"/>
          <w:sz w:val="18"/>
          <w:szCs w:val="24"/>
        </w:rPr>
        <w:t>TWF:</w:t>
      </w:r>
      <w:r w:rsidRPr="000A6F45">
        <w:rPr>
          <w:rFonts w:eastAsia="PMingLiU" w:cs="Arial"/>
          <w:sz w:val="18"/>
          <w:szCs w:val="24"/>
        </w:rPr>
        <w:tab/>
        <w:t>Grupo de Trabajo Técnico sobre Plantas Frutales</w:t>
      </w:r>
    </w:p>
    <w:p w14:paraId="3ABF9D2D" w14:textId="77777777" w:rsidR="00E33CFC" w:rsidRPr="000A6F45" w:rsidRDefault="00044CA4">
      <w:pPr>
        <w:ind w:left="1701" w:hanging="1134"/>
        <w:rPr>
          <w:rFonts w:eastAsia="PMingLiU" w:cs="Arial"/>
          <w:sz w:val="18"/>
          <w:szCs w:val="24"/>
        </w:rPr>
      </w:pPr>
      <w:r w:rsidRPr="000A6F45">
        <w:rPr>
          <w:rFonts w:eastAsia="PMingLiU" w:cs="Arial"/>
          <w:sz w:val="18"/>
          <w:szCs w:val="24"/>
        </w:rPr>
        <w:t>TWM:</w:t>
      </w:r>
      <w:r w:rsidRPr="000A6F45">
        <w:rPr>
          <w:rFonts w:eastAsia="PMingLiU" w:cs="Arial"/>
          <w:sz w:val="18"/>
          <w:szCs w:val="24"/>
        </w:rPr>
        <w:tab/>
        <w:t>Grupo de Trabajo Técnico sobre Métodos y Técnicas de Examen</w:t>
      </w:r>
    </w:p>
    <w:p w14:paraId="63FD9FE9" w14:textId="77777777" w:rsidR="00E33CFC" w:rsidRPr="000A6F45" w:rsidRDefault="00044CA4">
      <w:pPr>
        <w:ind w:left="1701" w:hanging="1134"/>
        <w:rPr>
          <w:rFonts w:eastAsia="PMingLiU" w:cs="Arial"/>
          <w:sz w:val="18"/>
          <w:szCs w:val="24"/>
        </w:rPr>
      </w:pPr>
      <w:r w:rsidRPr="000A6F45">
        <w:rPr>
          <w:rFonts w:eastAsia="PMingLiU" w:cs="Arial"/>
          <w:sz w:val="18"/>
          <w:szCs w:val="24"/>
        </w:rPr>
        <w:t>TWO:</w:t>
      </w:r>
      <w:r w:rsidRPr="000A6F45">
        <w:rPr>
          <w:rFonts w:eastAsia="PMingLiU" w:cs="Arial"/>
          <w:sz w:val="18"/>
          <w:szCs w:val="24"/>
        </w:rPr>
        <w:tab/>
        <w:t>Grupo de Trabajo Técnico sobre Plantas Ornamentales y Árboles Forestales</w:t>
      </w:r>
    </w:p>
    <w:p w14:paraId="13ECA250" w14:textId="1CA25D74" w:rsidR="00E33CFC" w:rsidRPr="000A6F45" w:rsidRDefault="00044CA4">
      <w:pPr>
        <w:ind w:left="1701" w:hanging="1134"/>
        <w:rPr>
          <w:rFonts w:eastAsia="PMingLiU" w:cs="Arial"/>
          <w:sz w:val="18"/>
          <w:szCs w:val="24"/>
        </w:rPr>
      </w:pPr>
      <w:r w:rsidRPr="000A6F45">
        <w:rPr>
          <w:rFonts w:eastAsia="PMingLiU" w:cs="Arial"/>
          <w:sz w:val="18"/>
          <w:szCs w:val="24"/>
        </w:rPr>
        <w:t>TWP:</w:t>
      </w:r>
      <w:r w:rsidRPr="000A6F45">
        <w:rPr>
          <w:rFonts w:eastAsia="PMingLiU" w:cs="Arial"/>
          <w:sz w:val="18"/>
          <w:szCs w:val="24"/>
        </w:rPr>
        <w:tab/>
        <w:t>Grupo</w:t>
      </w:r>
      <w:r w:rsidR="000A6F45">
        <w:rPr>
          <w:rFonts w:eastAsia="PMingLiU" w:cs="Arial"/>
          <w:sz w:val="18"/>
          <w:szCs w:val="24"/>
        </w:rPr>
        <w:t>(</w:t>
      </w:r>
      <w:r w:rsidRPr="000A6F45">
        <w:rPr>
          <w:rFonts w:eastAsia="PMingLiU" w:cs="Arial"/>
          <w:sz w:val="18"/>
          <w:szCs w:val="24"/>
        </w:rPr>
        <w:t>s</w:t>
      </w:r>
      <w:r w:rsidR="000A6F45">
        <w:rPr>
          <w:rFonts w:eastAsia="PMingLiU" w:cs="Arial"/>
          <w:sz w:val="18"/>
          <w:szCs w:val="24"/>
        </w:rPr>
        <w:t>)</w:t>
      </w:r>
      <w:r w:rsidRPr="000A6F45">
        <w:rPr>
          <w:rFonts w:eastAsia="PMingLiU" w:cs="Arial"/>
          <w:sz w:val="18"/>
          <w:szCs w:val="24"/>
        </w:rPr>
        <w:t xml:space="preserve"> de Trabajo Técnico</w:t>
      </w:r>
      <w:r w:rsidR="000A6F45">
        <w:rPr>
          <w:rFonts w:eastAsia="PMingLiU" w:cs="Arial"/>
          <w:sz w:val="18"/>
          <w:szCs w:val="24"/>
        </w:rPr>
        <w:t>(s)</w:t>
      </w:r>
    </w:p>
    <w:p w14:paraId="781B836B" w14:textId="77777777" w:rsidR="00E33CFC" w:rsidRPr="000A6F45" w:rsidRDefault="00044CA4">
      <w:pPr>
        <w:ind w:left="1701" w:hanging="1134"/>
        <w:rPr>
          <w:rFonts w:eastAsia="PMingLiU" w:cs="Arial"/>
          <w:sz w:val="18"/>
          <w:szCs w:val="24"/>
        </w:rPr>
      </w:pPr>
      <w:r w:rsidRPr="000A6F45">
        <w:rPr>
          <w:rFonts w:eastAsia="PMingLiU" w:cs="Arial"/>
          <w:sz w:val="18"/>
          <w:szCs w:val="24"/>
        </w:rPr>
        <w:t>TWV:</w:t>
      </w:r>
      <w:r w:rsidRPr="000A6F45">
        <w:rPr>
          <w:rFonts w:eastAsia="PMingLiU" w:cs="Arial"/>
          <w:sz w:val="18"/>
          <w:szCs w:val="24"/>
        </w:rPr>
        <w:tab/>
        <w:t>Grupo de Trabajo Técnico sobre Hortalizas</w:t>
      </w:r>
    </w:p>
    <w:p w14:paraId="528D8E17" w14:textId="77777777" w:rsidR="00EF4B00" w:rsidRPr="000A6F45" w:rsidRDefault="00EF4B00" w:rsidP="00EF4B00">
      <w:pPr>
        <w:jc w:val="left"/>
        <w:rPr>
          <w:rFonts w:cs="Arial"/>
          <w:snapToGrid w:val="0"/>
          <w:sz w:val="18"/>
          <w:szCs w:val="24"/>
          <w:lang w:eastAsia="ja-JP"/>
        </w:rPr>
      </w:pPr>
    </w:p>
    <w:p w14:paraId="1B90E9B1" w14:textId="77777777" w:rsidR="0068528F" w:rsidRPr="000A6F45" w:rsidRDefault="0068528F">
      <w:pPr>
        <w:jc w:val="left"/>
      </w:pPr>
      <w:r w:rsidRPr="000A6F45">
        <w:br w:type="page"/>
      </w:r>
    </w:p>
    <w:p w14:paraId="2161DCE8" w14:textId="77777777" w:rsidR="00E33CFC" w:rsidRPr="000A6F45" w:rsidRDefault="00044CA4">
      <w:r w:rsidRPr="000A6F45">
        <w:lastRenderedPageBreak/>
        <w:fldChar w:fldCharType="begin"/>
      </w:r>
      <w:r w:rsidRPr="000A6F45">
        <w:instrText xml:space="preserve"> AUTONUM  </w:instrText>
      </w:r>
      <w:r w:rsidRPr="000A6F45">
        <w:fldChar w:fldCharType="end"/>
      </w:r>
      <w:r w:rsidRPr="000A6F45">
        <w:tab/>
        <w:t>La estructura de este documento es la siguiente:</w:t>
      </w:r>
    </w:p>
    <w:p w14:paraId="42646D33" w14:textId="77777777" w:rsidR="00EF4B00" w:rsidRPr="000A6F45" w:rsidRDefault="00EF4B00" w:rsidP="00C3093B">
      <w:pPr>
        <w:rPr>
          <w:rFonts w:cs="Arial"/>
          <w:caps/>
          <w:szCs w:val="18"/>
        </w:rPr>
      </w:pPr>
    </w:p>
    <w:p w14:paraId="6690A2AC" w14:textId="5F26DC72" w:rsidR="00E14115" w:rsidRDefault="00044CA4">
      <w:pPr>
        <w:pStyle w:val="TOC1"/>
        <w:rPr>
          <w:rFonts w:asciiTheme="minorHAnsi" w:eastAsiaTheme="minorEastAsia" w:hAnsiTheme="minorHAnsi" w:cstheme="minorBidi"/>
          <w:caps w:val="0"/>
          <w:noProof/>
          <w:kern w:val="2"/>
          <w:sz w:val="24"/>
          <w:szCs w:val="24"/>
          <w:lang w:val="en-GB" w:eastAsia="en-GB"/>
          <w14:ligatures w14:val="standardContextual"/>
        </w:rPr>
      </w:pPr>
      <w:r w:rsidRPr="000A6F45">
        <w:rPr>
          <w:rFonts w:cs="Arial"/>
          <w:bCs/>
          <w:szCs w:val="18"/>
        </w:rPr>
        <w:fldChar w:fldCharType="begin"/>
      </w:r>
      <w:r w:rsidRPr="000A6F45">
        <w:rPr>
          <w:rFonts w:cs="Arial"/>
          <w:bCs/>
          <w:szCs w:val="18"/>
        </w:rPr>
        <w:instrText xml:space="preserve"> TOC \t "Heading 1,1,Heading 2,2,Heading 3,3" </w:instrText>
      </w:r>
      <w:r w:rsidRPr="000A6F45">
        <w:rPr>
          <w:rFonts w:cs="Arial"/>
          <w:bCs/>
          <w:szCs w:val="18"/>
        </w:rPr>
        <w:fldChar w:fldCharType="separate"/>
      </w:r>
      <w:r w:rsidR="00E14115" w:rsidRPr="00425BC4">
        <w:rPr>
          <w:noProof/>
        </w:rPr>
        <w:t>Directrices para la validación de un nuevo protocolo de marcadores moleculares específicos de caracterES como método alternativo de observación</w:t>
      </w:r>
      <w:r w:rsidR="00E14115">
        <w:rPr>
          <w:noProof/>
        </w:rPr>
        <w:tab/>
      </w:r>
      <w:r w:rsidR="00E14115">
        <w:rPr>
          <w:noProof/>
        </w:rPr>
        <w:fldChar w:fldCharType="begin"/>
      </w:r>
      <w:r w:rsidR="00E14115">
        <w:rPr>
          <w:noProof/>
        </w:rPr>
        <w:instrText xml:space="preserve"> PAGEREF _Toc178243050 \h </w:instrText>
      </w:r>
      <w:r w:rsidR="00E14115">
        <w:rPr>
          <w:noProof/>
        </w:rPr>
      </w:r>
      <w:r w:rsidR="00E14115">
        <w:rPr>
          <w:noProof/>
        </w:rPr>
        <w:fldChar w:fldCharType="separate"/>
      </w:r>
      <w:r w:rsidR="00E14115">
        <w:rPr>
          <w:noProof/>
        </w:rPr>
        <w:t>2</w:t>
      </w:r>
      <w:r w:rsidR="00E14115">
        <w:rPr>
          <w:noProof/>
        </w:rPr>
        <w:fldChar w:fldCharType="end"/>
      </w:r>
    </w:p>
    <w:p w14:paraId="55BD7DC5" w14:textId="56ECEDA8"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425BC4">
        <w:rPr>
          <w:noProof/>
        </w:rPr>
        <w:t>Antecedentes</w:t>
      </w:r>
      <w:r>
        <w:rPr>
          <w:noProof/>
        </w:rPr>
        <w:tab/>
      </w:r>
      <w:r>
        <w:rPr>
          <w:noProof/>
        </w:rPr>
        <w:fldChar w:fldCharType="begin"/>
      </w:r>
      <w:r>
        <w:rPr>
          <w:noProof/>
        </w:rPr>
        <w:instrText xml:space="preserve"> PAGEREF _Toc178243051 \h </w:instrText>
      </w:r>
      <w:r>
        <w:rPr>
          <w:noProof/>
        </w:rPr>
      </w:r>
      <w:r>
        <w:rPr>
          <w:noProof/>
        </w:rPr>
        <w:fldChar w:fldCharType="separate"/>
      </w:r>
      <w:r>
        <w:rPr>
          <w:noProof/>
        </w:rPr>
        <w:t>3</w:t>
      </w:r>
      <w:r>
        <w:rPr>
          <w:noProof/>
        </w:rPr>
        <w:fldChar w:fldCharType="end"/>
      </w:r>
    </w:p>
    <w:p w14:paraId="618ECDE0" w14:textId="07452EFF"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425BC4">
        <w:rPr>
          <w:noProof/>
          <w:lang w:eastAsia="ja-JP"/>
        </w:rPr>
        <w:t>Novedades acontecidas en los Grupos de Trabajo Técnicos en sus sesiones de 2024</w:t>
      </w:r>
      <w:r>
        <w:rPr>
          <w:noProof/>
        </w:rPr>
        <w:tab/>
      </w:r>
      <w:r>
        <w:rPr>
          <w:noProof/>
        </w:rPr>
        <w:fldChar w:fldCharType="begin"/>
      </w:r>
      <w:r>
        <w:rPr>
          <w:noProof/>
        </w:rPr>
        <w:instrText xml:space="preserve"> PAGEREF _Toc178243052 \h </w:instrText>
      </w:r>
      <w:r>
        <w:rPr>
          <w:noProof/>
        </w:rPr>
      </w:r>
      <w:r>
        <w:rPr>
          <w:noProof/>
        </w:rPr>
        <w:fldChar w:fldCharType="separate"/>
      </w:r>
      <w:r>
        <w:rPr>
          <w:noProof/>
        </w:rPr>
        <w:t>3</w:t>
      </w:r>
      <w:r>
        <w:rPr>
          <w:noProof/>
        </w:rPr>
        <w:fldChar w:fldCharType="end"/>
      </w:r>
    </w:p>
    <w:p w14:paraId="3E7CE603" w14:textId="538134C2"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425BC4">
        <w:rPr>
          <w:noProof/>
          <w:lang w:val="es-ES_tradnl"/>
        </w:rPr>
        <w:t>Grupo de Trabajo Técnico sobre Métodos y Técnicas de Examen (TWM)</w:t>
      </w:r>
      <w:r>
        <w:rPr>
          <w:noProof/>
        </w:rPr>
        <w:tab/>
      </w:r>
      <w:r>
        <w:rPr>
          <w:noProof/>
        </w:rPr>
        <w:fldChar w:fldCharType="begin"/>
      </w:r>
      <w:r>
        <w:rPr>
          <w:noProof/>
        </w:rPr>
        <w:instrText xml:space="preserve"> PAGEREF _Toc178243053 \h </w:instrText>
      </w:r>
      <w:r>
        <w:rPr>
          <w:noProof/>
        </w:rPr>
      </w:r>
      <w:r>
        <w:rPr>
          <w:noProof/>
        </w:rPr>
        <w:fldChar w:fldCharType="separate"/>
      </w:r>
      <w:r>
        <w:rPr>
          <w:noProof/>
        </w:rPr>
        <w:t>3</w:t>
      </w:r>
      <w:r>
        <w:rPr>
          <w:noProof/>
        </w:rPr>
        <w:fldChar w:fldCharType="end"/>
      </w:r>
    </w:p>
    <w:p w14:paraId="5890E08C" w14:textId="27FEACF9"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sidRPr="00425BC4">
        <w:rPr>
          <w:noProof/>
          <w:snapToGrid w:val="0"/>
          <w:lang w:eastAsia="ja-JP"/>
        </w:rPr>
        <w:t>Cuestiones para información</w:t>
      </w:r>
      <w:r>
        <w:rPr>
          <w:noProof/>
        </w:rPr>
        <w:tab/>
      </w:r>
      <w:r>
        <w:rPr>
          <w:noProof/>
        </w:rPr>
        <w:fldChar w:fldCharType="begin"/>
      </w:r>
      <w:r>
        <w:rPr>
          <w:noProof/>
        </w:rPr>
        <w:instrText xml:space="preserve"> PAGEREF _Toc178243054 \h </w:instrText>
      </w:r>
      <w:r>
        <w:rPr>
          <w:noProof/>
        </w:rPr>
      </w:r>
      <w:r>
        <w:rPr>
          <w:noProof/>
        </w:rPr>
        <w:fldChar w:fldCharType="separate"/>
      </w:r>
      <w:r>
        <w:rPr>
          <w:noProof/>
        </w:rPr>
        <w:t>4</w:t>
      </w:r>
      <w:r>
        <w:rPr>
          <w:noProof/>
        </w:rPr>
        <w:fldChar w:fldCharType="end"/>
      </w:r>
    </w:p>
    <w:p w14:paraId="4903446F" w14:textId="042158E2"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425BC4">
        <w:rPr>
          <w:noProof/>
        </w:rPr>
        <w:t>Novedades acontecidas en la segunda reunión del Grupo de Trabajo Técnico sobre Métodos y Técnicas de Examen (TWM)</w:t>
      </w:r>
      <w:r>
        <w:rPr>
          <w:noProof/>
        </w:rPr>
        <w:tab/>
      </w:r>
      <w:r>
        <w:rPr>
          <w:noProof/>
        </w:rPr>
        <w:fldChar w:fldCharType="begin"/>
      </w:r>
      <w:r>
        <w:rPr>
          <w:noProof/>
        </w:rPr>
        <w:instrText xml:space="preserve"> PAGEREF _Toc178243055 \h </w:instrText>
      </w:r>
      <w:r>
        <w:rPr>
          <w:noProof/>
        </w:rPr>
      </w:r>
      <w:r>
        <w:rPr>
          <w:noProof/>
        </w:rPr>
        <w:fldChar w:fldCharType="separate"/>
      </w:r>
      <w:r>
        <w:rPr>
          <w:noProof/>
        </w:rPr>
        <w:t>4</w:t>
      </w:r>
      <w:r>
        <w:rPr>
          <w:noProof/>
        </w:rPr>
        <w:fldChar w:fldCharType="end"/>
      </w:r>
    </w:p>
    <w:p w14:paraId="1D652D8B" w14:textId="4FB5A8BE"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425BC4">
        <w:rPr>
          <w:noProof/>
        </w:rPr>
        <w:t>Avances en técnicas moleculares y bioinformática</w:t>
      </w:r>
      <w:r>
        <w:rPr>
          <w:noProof/>
        </w:rPr>
        <w:tab/>
      </w:r>
      <w:r>
        <w:rPr>
          <w:noProof/>
        </w:rPr>
        <w:fldChar w:fldCharType="begin"/>
      </w:r>
      <w:r>
        <w:rPr>
          <w:noProof/>
        </w:rPr>
        <w:instrText xml:space="preserve"> PAGEREF _Toc178243056 \h </w:instrText>
      </w:r>
      <w:r>
        <w:rPr>
          <w:noProof/>
        </w:rPr>
      </w:r>
      <w:r>
        <w:rPr>
          <w:noProof/>
        </w:rPr>
        <w:fldChar w:fldCharType="separate"/>
      </w:r>
      <w:r>
        <w:rPr>
          <w:noProof/>
        </w:rPr>
        <w:t>4</w:t>
      </w:r>
      <w:r>
        <w:rPr>
          <w:noProof/>
        </w:rPr>
        <w:fldChar w:fldCharType="end"/>
      </w:r>
    </w:p>
    <w:p w14:paraId="4D90F175" w14:textId="043B9DB5"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425BC4">
        <w:rPr>
          <w:noProof/>
          <w:lang w:val="es-ES_tradnl"/>
        </w:rPr>
        <w:t>Últimos avances en técnicas moleculares y bioinformática</w:t>
      </w:r>
      <w:r>
        <w:rPr>
          <w:noProof/>
        </w:rPr>
        <w:tab/>
      </w:r>
      <w:r>
        <w:rPr>
          <w:noProof/>
        </w:rPr>
        <w:fldChar w:fldCharType="begin"/>
      </w:r>
      <w:r>
        <w:rPr>
          <w:noProof/>
        </w:rPr>
        <w:instrText xml:space="preserve"> PAGEREF _Toc178243057 \h </w:instrText>
      </w:r>
      <w:r>
        <w:rPr>
          <w:noProof/>
        </w:rPr>
      </w:r>
      <w:r>
        <w:rPr>
          <w:noProof/>
        </w:rPr>
        <w:fldChar w:fldCharType="separate"/>
      </w:r>
      <w:r>
        <w:rPr>
          <w:noProof/>
        </w:rPr>
        <w:t>4</w:t>
      </w:r>
      <w:r>
        <w:rPr>
          <w:noProof/>
        </w:rPr>
        <w:fldChar w:fldCharType="end"/>
      </w:r>
    </w:p>
    <w:p w14:paraId="4C8BE5AD" w14:textId="758F82C9"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425BC4">
        <w:rPr>
          <w:noProof/>
          <w:lang w:val="es-ES_tradnl"/>
        </w:rPr>
        <w:t>Cooperación entre organizaciones internacionales</w:t>
      </w:r>
      <w:r>
        <w:rPr>
          <w:noProof/>
        </w:rPr>
        <w:tab/>
      </w:r>
      <w:r>
        <w:rPr>
          <w:noProof/>
        </w:rPr>
        <w:fldChar w:fldCharType="begin"/>
      </w:r>
      <w:r>
        <w:rPr>
          <w:noProof/>
        </w:rPr>
        <w:instrText xml:space="preserve"> PAGEREF _Toc178243058 \h </w:instrText>
      </w:r>
      <w:r>
        <w:rPr>
          <w:noProof/>
        </w:rPr>
      </w:r>
      <w:r>
        <w:rPr>
          <w:noProof/>
        </w:rPr>
        <w:fldChar w:fldCharType="separate"/>
      </w:r>
      <w:r>
        <w:rPr>
          <w:noProof/>
        </w:rPr>
        <w:t>4</w:t>
      </w:r>
      <w:r>
        <w:rPr>
          <w:noProof/>
        </w:rPr>
        <w:fldChar w:fldCharType="end"/>
      </w:r>
    </w:p>
    <w:p w14:paraId="2DF70553" w14:textId="39F838B9"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425BC4">
        <w:rPr>
          <w:noProof/>
          <w:lang w:val="es-ES_tradnl"/>
        </w:rPr>
        <w:t>Informe sobre los trabajos relativos a las técnicas moleculares en relación con el examen DHE</w:t>
      </w:r>
      <w:r>
        <w:rPr>
          <w:noProof/>
        </w:rPr>
        <w:tab/>
      </w:r>
      <w:r>
        <w:rPr>
          <w:noProof/>
        </w:rPr>
        <w:fldChar w:fldCharType="begin"/>
      </w:r>
      <w:r>
        <w:rPr>
          <w:noProof/>
        </w:rPr>
        <w:instrText xml:space="preserve"> PAGEREF _Toc178243059 \h </w:instrText>
      </w:r>
      <w:r>
        <w:rPr>
          <w:noProof/>
        </w:rPr>
      </w:r>
      <w:r>
        <w:rPr>
          <w:noProof/>
        </w:rPr>
        <w:fldChar w:fldCharType="separate"/>
      </w:r>
      <w:r>
        <w:rPr>
          <w:noProof/>
        </w:rPr>
        <w:t>4</w:t>
      </w:r>
      <w:r>
        <w:rPr>
          <w:noProof/>
        </w:rPr>
        <w:fldChar w:fldCharType="end"/>
      </w:r>
    </w:p>
    <w:p w14:paraId="78941512" w14:textId="7E24D712"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425BC4">
        <w:rPr>
          <w:noProof/>
          <w:lang w:val="es-ES_tradnl"/>
        </w:rPr>
        <w:t>El uso de técnicas moleculares en la identificación de variedades</w:t>
      </w:r>
      <w:r>
        <w:rPr>
          <w:noProof/>
        </w:rPr>
        <w:tab/>
      </w:r>
      <w:r>
        <w:rPr>
          <w:noProof/>
        </w:rPr>
        <w:fldChar w:fldCharType="begin"/>
      </w:r>
      <w:r>
        <w:rPr>
          <w:noProof/>
        </w:rPr>
        <w:instrText xml:space="preserve"> PAGEREF _Toc178243060 \h </w:instrText>
      </w:r>
      <w:r>
        <w:rPr>
          <w:noProof/>
        </w:rPr>
      </w:r>
      <w:r>
        <w:rPr>
          <w:noProof/>
        </w:rPr>
        <w:fldChar w:fldCharType="separate"/>
      </w:r>
      <w:r>
        <w:rPr>
          <w:noProof/>
        </w:rPr>
        <w:t>6</w:t>
      </w:r>
      <w:r>
        <w:rPr>
          <w:noProof/>
        </w:rPr>
        <w:fldChar w:fldCharType="end"/>
      </w:r>
    </w:p>
    <w:p w14:paraId="04EC6291" w14:textId="63F93E29" w:rsidR="00E33CFC" w:rsidRPr="000A6F45" w:rsidRDefault="00044CA4">
      <w:pPr>
        <w:keepNext/>
        <w:tabs>
          <w:tab w:val="center" w:pos="4479"/>
        </w:tabs>
        <w:spacing w:before="120"/>
        <w:ind w:left="851" w:right="851" w:hanging="851"/>
        <w:contextualSpacing/>
        <w:rPr>
          <w:sz w:val="18"/>
          <w:szCs w:val="18"/>
        </w:rPr>
      </w:pPr>
      <w:r w:rsidRPr="000A6F45">
        <w:rPr>
          <w:rFonts w:cs="Arial"/>
          <w:bCs/>
          <w:sz w:val="18"/>
          <w:szCs w:val="18"/>
        </w:rPr>
        <w:fldChar w:fldCharType="end"/>
      </w:r>
      <w:r w:rsidR="00F509D3" w:rsidRPr="000A6F45">
        <w:rPr>
          <w:rFonts w:cs="Arial"/>
          <w:bCs/>
          <w:caps/>
          <w:sz w:val="18"/>
          <w:szCs w:val="18"/>
        </w:rPr>
        <w:t>Anexo:</w:t>
      </w:r>
      <w:r w:rsidR="008A52E0" w:rsidRPr="000A6F45">
        <w:rPr>
          <w:rFonts w:cs="Arial"/>
          <w:bCs/>
          <w:caps/>
          <w:sz w:val="18"/>
          <w:szCs w:val="18"/>
        </w:rPr>
        <w:tab/>
      </w:r>
      <w:r w:rsidR="00F509D3" w:rsidRPr="000A6F45">
        <w:rPr>
          <w:sz w:val="18"/>
          <w:szCs w:val="18"/>
        </w:rPr>
        <w:t>Directrices para la validación de un nuevo protocolo de marcadores moleculares específicos de características para estudios DHE como método alternativo de observación".</w:t>
      </w:r>
    </w:p>
    <w:p w14:paraId="7B8DF531" w14:textId="77777777" w:rsidR="00342001" w:rsidRPr="000A6F45" w:rsidRDefault="00342001" w:rsidP="00342001">
      <w:pPr>
        <w:jc w:val="left"/>
      </w:pPr>
    </w:p>
    <w:p w14:paraId="10045290" w14:textId="77777777" w:rsidR="008A52E0" w:rsidRPr="000A6F45" w:rsidRDefault="008A52E0" w:rsidP="00342001">
      <w:pPr>
        <w:jc w:val="left"/>
      </w:pPr>
    </w:p>
    <w:p w14:paraId="10E0183C" w14:textId="77777777" w:rsidR="00047CF1" w:rsidRPr="000A6F45" w:rsidRDefault="00047CF1" w:rsidP="00342001">
      <w:pPr>
        <w:jc w:val="left"/>
      </w:pPr>
    </w:p>
    <w:p w14:paraId="000E78F0" w14:textId="4D47BFBE" w:rsidR="00E33CFC" w:rsidRPr="000A6F45" w:rsidRDefault="00044CA4">
      <w:pPr>
        <w:pStyle w:val="Heading1"/>
        <w:rPr>
          <w:lang w:val="es-ES_tradnl"/>
        </w:rPr>
      </w:pPr>
      <w:bookmarkStart w:id="3" w:name="_Toc177773940"/>
      <w:bookmarkStart w:id="4" w:name="_Toc178243050"/>
      <w:r w:rsidRPr="000A6F45">
        <w:rPr>
          <w:lang w:val="es-ES_tradnl"/>
        </w:rPr>
        <w:t xml:space="preserve">Directrices para la validación de un nuevo protocolo de marcadores moleculares </w:t>
      </w:r>
      <w:r w:rsidR="00DF2E44" w:rsidRPr="000A6F45">
        <w:rPr>
          <w:lang w:val="es-ES_tradnl"/>
        </w:rPr>
        <w:t>específic</w:t>
      </w:r>
      <w:r w:rsidR="00DF2E44">
        <w:rPr>
          <w:lang w:val="es-ES_tradnl"/>
        </w:rPr>
        <w:t>o</w:t>
      </w:r>
      <w:r w:rsidR="00DF2E44" w:rsidRPr="000A6F45">
        <w:rPr>
          <w:lang w:val="es-ES_tradnl"/>
        </w:rPr>
        <w:t xml:space="preserve">s </w:t>
      </w:r>
      <w:r w:rsidRPr="000A6F45">
        <w:rPr>
          <w:lang w:val="es-ES_tradnl"/>
        </w:rPr>
        <w:t>de caracter</w:t>
      </w:r>
      <w:r w:rsidR="00DF2E44">
        <w:rPr>
          <w:lang w:val="es-ES_tradnl"/>
        </w:rPr>
        <w:t>ES</w:t>
      </w:r>
      <w:r w:rsidRPr="000A6F45">
        <w:rPr>
          <w:lang w:val="es-ES_tradnl"/>
        </w:rPr>
        <w:t xml:space="preserve"> como método alternativo de observación</w:t>
      </w:r>
      <w:bookmarkEnd w:id="3"/>
      <w:bookmarkEnd w:id="4"/>
    </w:p>
    <w:p w14:paraId="46423913" w14:textId="77777777" w:rsidR="00342001" w:rsidRPr="000A6F45" w:rsidRDefault="00342001" w:rsidP="00342001"/>
    <w:p w14:paraId="759455FB" w14:textId="77777777" w:rsidR="00E33CFC" w:rsidRPr="000A6F45" w:rsidRDefault="00044CA4">
      <w:r w:rsidRPr="000A6F45">
        <w:fldChar w:fldCharType="begin"/>
      </w:r>
      <w:r w:rsidRPr="000A6F45">
        <w:instrText xml:space="preserve"> AUTONUM  </w:instrText>
      </w:r>
      <w:r w:rsidRPr="000A6F45">
        <w:fldChar w:fldCharType="end"/>
      </w:r>
      <w:r w:rsidRPr="000A6F45">
        <w:tab/>
        <w:t>El TWM</w:t>
      </w:r>
      <w:r w:rsidRPr="000A6F45">
        <w:rPr>
          <w:rStyle w:val="FootnoteReference"/>
          <w:lang w:eastAsia="ja-JP"/>
        </w:rPr>
        <w:footnoteReference w:id="2"/>
      </w:r>
      <w:r w:rsidRPr="000A6F45">
        <w:t xml:space="preserve"> , en su segunda sesión, recibió una ponencia de la Sra. </w:t>
      </w:r>
      <w:proofErr w:type="spellStart"/>
      <w:r w:rsidRPr="000A6F45">
        <w:t>Amandine</w:t>
      </w:r>
      <w:proofErr w:type="spellEnd"/>
      <w:r w:rsidRPr="000A6F45">
        <w:t xml:space="preserve"> </w:t>
      </w:r>
      <w:proofErr w:type="spellStart"/>
      <w:r w:rsidRPr="000A6F45">
        <w:t>LeVan</w:t>
      </w:r>
      <w:proofErr w:type="spellEnd"/>
      <w:r w:rsidRPr="000A6F45">
        <w:t xml:space="preserve"> (Francia) sobre "Directrices para la validación de un nuevo protocolo de marcadores moleculares específicos de caracteres para estudios DHE como método alternativo de observación", de </w:t>
      </w:r>
      <w:r w:rsidR="00825360" w:rsidRPr="000A6F45">
        <w:t xml:space="preserve">la que </w:t>
      </w:r>
      <w:r w:rsidRPr="000A6F45">
        <w:t xml:space="preserve">se proporciona copia en el documento TWM/2/17.  El TWM tomó nota de que las </w:t>
      </w:r>
      <w:r w:rsidR="004D217B" w:rsidRPr="000A6F45">
        <w:t xml:space="preserve">propuestas formuladas durante la ponencia </w:t>
      </w:r>
      <w:r w:rsidRPr="000A6F45">
        <w:t>serán examinadas por el TWV e informadas al TC en sus sesiones de 2024.</w:t>
      </w:r>
    </w:p>
    <w:p w14:paraId="56B381FB" w14:textId="77777777" w:rsidR="00A655A8" w:rsidRPr="000A6F45" w:rsidRDefault="00A655A8" w:rsidP="00342001"/>
    <w:p w14:paraId="3F8E6781" w14:textId="77777777" w:rsidR="00E33CFC" w:rsidRPr="000A6F45" w:rsidRDefault="00044CA4">
      <w:r w:rsidRPr="000A6F45">
        <w:fldChar w:fldCharType="begin"/>
      </w:r>
      <w:r w:rsidRPr="000A6F45">
        <w:instrText xml:space="preserve"> AUTONUM  </w:instrText>
      </w:r>
      <w:r w:rsidRPr="000A6F45">
        <w:fldChar w:fldCharType="end"/>
      </w:r>
      <w:r w:rsidRPr="000A6F45">
        <w:tab/>
        <w:t>El TWV</w:t>
      </w:r>
      <w:r w:rsidR="00A655A8" w:rsidRPr="000A6F45">
        <w:rPr>
          <w:rStyle w:val="FootnoteReference"/>
        </w:rPr>
        <w:footnoteReference w:id="3"/>
      </w:r>
      <w:r w:rsidR="00A655A8" w:rsidRPr="000A6F45">
        <w:t xml:space="preserve"> , en su quincuagésima octava sesión, </w:t>
      </w:r>
      <w:r w:rsidRPr="000A6F45">
        <w:t xml:space="preserve">examinó el documento TWV/58/9, presentado por un experto de los Países Bajos (Reino de).  </w:t>
      </w:r>
      <w:r w:rsidR="00825360" w:rsidRPr="000A6F45">
        <w:t xml:space="preserve">El </w:t>
      </w:r>
      <w:r w:rsidR="00383D5A" w:rsidRPr="000A6F45">
        <w:t xml:space="preserve">documento TWV/58/9 se reproduce </w:t>
      </w:r>
      <w:r w:rsidR="00825360" w:rsidRPr="000A6F45">
        <w:t xml:space="preserve">en </w:t>
      </w:r>
      <w:r w:rsidR="00383D5A" w:rsidRPr="000A6F45">
        <w:t>el Anexo del presente documento.</w:t>
      </w:r>
    </w:p>
    <w:p w14:paraId="55259A3A" w14:textId="77777777" w:rsidR="00342001" w:rsidRPr="000A6F45" w:rsidRDefault="00342001" w:rsidP="00342001"/>
    <w:p w14:paraId="1E9A7F29" w14:textId="77777777" w:rsidR="00E33CFC" w:rsidRPr="000A6F45" w:rsidRDefault="00044CA4">
      <w:r w:rsidRPr="000A6F45">
        <w:fldChar w:fldCharType="begin"/>
      </w:r>
      <w:r w:rsidRPr="000A6F45">
        <w:instrText xml:space="preserve"> AUTONUM  </w:instrText>
      </w:r>
      <w:r w:rsidRPr="000A6F45">
        <w:fldChar w:fldCharType="end"/>
      </w:r>
      <w:r w:rsidRPr="000A6F45">
        <w:tab/>
        <w:t xml:space="preserve">El TWV convino en que las orientaciones sobre la evaluación de caracteres mediante marcadores moleculares presentadas en las directrices de examen se beneficiarían </w:t>
      </w:r>
      <w:r w:rsidR="00825360" w:rsidRPr="000A6F45">
        <w:t xml:space="preserve">de la </w:t>
      </w:r>
      <w:r w:rsidRPr="000A6F45">
        <w:t>armonización internacional.</w:t>
      </w:r>
    </w:p>
    <w:p w14:paraId="280D0470" w14:textId="77777777" w:rsidR="00342001" w:rsidRPr="000A6F45" w:rsidRDefault="00342001" w:rsidP="00342001"/>
    <w:p w14:paraId="16700D8A" w14:textId="77777777" w:rsidR="00E33CFC" w:rsidRPr="000A6F45" w:rsidRDefault="00044CA4">
      <w:pPr>
        <w:pStyle w:val="pldetails"/>
        <w:keepLines w:val="0"/>
        <w:spacing w:before="0" w:after="0"/>
        <w:jc w:val="both"/>
        <w:rPr>
          <w:noProof w:val="0"/>
          <w:snapToGrid/>
        </w:rPr>
      </w:pPr>
      <w:r w:rsidRPr="000A6F45">
        <w:rPr>
          <w:noProof w:val="0"/>
          <w:snapToGrid/>
        </w:rPr>
        <w:fldChar w:fldCharType="begin"/>
      </w:r>
      <w:r w:rsidRPr="000A6F45">
        <w:rPr>
          <w:noProof w:val="0"/>
          <w:snapToGrid/>
        </w:rPr>
        <w:instrText xml:space="preserve"> AUTONUM  </w:instrText>
      </w:r>
      <w:r w:rsidRPr="000A6F45">
        <w:rPr>
          <w:noProof w:val="0"/>
          <w:snapToGrid/>
        </w:rPr>
        <w:fldChar w:fldCharType="end"/>
      </w:r>
      <w:r w:rsidRPr="000A6F45">
        <w:rPr>
          <w:noProof w:val="0"/>
          <w:snapToGrid/>
        </w:rPr>
        <w:tab/>
        <w:t>El TWV acordó proponer la supresión de la última frase del apartado 5 y la inclusión de una referencia a las respectivas orientaciones de la UPOV aplicables a las normas ISO mencionadas.</w:t>
      </w:r>
    </w:p>
    <w:p w14:paraId="63C41A3B" w14:textId="77777777" w:rsidR="00342001" w:rsidRPr="000A6F45" w:rsidRDefault="00342001" w:rsidP="00342001"/>
    <w:p w14:paraId="752F44FD" w14:textId="6367BA51" w:rsidR="00E33CFC" w:rsidRPr="000A6F45" w:rsidRDefault="00044CA4">
      <w:pPr>
        <w:pStyle w:val="pldetails"/>
        <w:spacing w:before="0" w:after="0"/>
        <w:jc w:val="both"/>
        <w:rPr>
          <w:noProof w:val="0"/>
          <w:snapToGrid/>
        </w:rPr>
      </w:pPr>
      <w:r w:rsidRPr="000A6F45">
        <w:rPr>
          <w:noProof w:val="0"/>
          <w:snapToGrid/>
        </w:rPr>
        <w:fldChar w:fldCharType="begin"/>
      </w:r>
      <w:r w:rsidRPr="000A6F45">
        <w:rPr>
          <w:noProof w:val="0"/>
          <w:snapToGrid/>
        </w:rPr>
        <w:instrText xml:space="preserve"> AUTONUM  </w:instrText>
      </w:r>
      <w:r w:rsidRPr="000A6F45">
        <w:rPr>
          <w:noProof w:val="0"/>
          <w:snapToGrid/>
        </w:rPr>
        <w:fldChar w:fldCharType="end"/>
      </w:r>
      <w:r w:rsidRPr="000A6F45">
        <w:rPr>
          <w:noProof w:val="0"/>
          <w:snapToGrid/>
        </w:rPr>
        <w:tab/>
        <w:t>El TWV acordó proponer que se modifique la información proporcionada en el cuadro del protocolo, punto 8, para aclarar que "en caso de que el resultado de la prueba del marcador de ADN no confirme la declaración del Cuestionario Técnico, deberá realizarse un ensayo de campo o un bioensayo para evaluar si la declaración del Cuestionario Técnico es correcta".</w:t>
      </w:r>
    </w:p>
    <w:p w14:paraId="31768BE8" w14:textId="77777777" w:rsidR="00342001" w:rsidRPr="000A6F45" w:rsidRDefault="00342001" w:rsidP="00342001"/>
    <w:p w14:paraId="2BE20FA2" w14:textId="77777777" w:rsidR="00E33CFC" w:rsidRPr="000A6F45" w:rsidRDefault="00044CA4">
      <w:r w:rsidRPr="000A6F45">
        <w:fldChar w:fldCharType="begin"/>
      </w:r>
      <w:r w:rsidRPr="000A6F45">
        <w:instrText xml:space="preserve"> AUTONUM  </w:instrText>
      </w:r>
      <w:r w:rsidRPr="000A6F45">
        <w:fldChar w:fldCharType="end"/>
      </w:r>
      <w:r w:rsidRPr="000A6F45">
        <w:tab/>
        <w:t xml:space="preserve">El TWV tomó nota de que los obtentores podían utilizar marcadores moleculares específicos para cada carácter y convino en que tenían derecho a informar al examinador sobre el método de evaluación utilizado para evaluar los caracteres en el Cuestionario Técnico, en los casos en que se dispusiera de un marcador molecular alternativo al indicado en el Cuestionario Técnico. </w:t>
      </w:r>
    </w:p>
    <w:p w14:paraId="1A7E9737" w14:textId="77777777" w:rsidR="00342001" w:rsidRPr="000A6F45" w:rsidRDefault="00342001" w:rsidP="00EF4B00"/>
    <w:p w14:paraId="057BD8E6" w14:textId="77777777" w:rsidR="00E33CFC" w:rsidRPr="000A6F45" w:rsidRDefault="00044CA4">
      <w:pPr>
        <w:tabs>
          <w:tab w:val="left" w:pos="5387"/>
        </w:tabs>
        <w:ind w:left="4820"/>
        <w:rPr>
          <w:i/>
          <w:iCs/>
        </w:rPr>
      </w:pPr>
      <w:r w:rsidRPr="000A6F45">
        <w:rPr>
          <w:i/>
          <w:iCs/>
        </w:rPr>
        <w:fldChar w:fldCharType="begin"/>
      </w:r>
      <w:r w:rsidRPr="000A6F45">
        <w:rPr>
          <w:i/>
          <w:iCs/>
        </w:rPr>
        <w:instrText xml:space="preserve"> AUTONUM  </w:instrText>
      </w:r>
      <w:r w:rsidRPr="000A6F45">
        <w:rPr>
          <w:i/>
          <w:iCs/>
        </w:rPr>
        <w:fldChar w:fldCharType="end"/>
      </w:r>
      <w:r w:rsidRPr="000A6F45">
        <w:rPr>
          <w:i/>
          <w:iCs/>
        </w:rPr>
        <w:tab/>
      </w:r>
      <w:bookmarkStart w:id="5" w:name="_Hlk177776751"/>
      <w:r w:rsidRPr="000A6F45">
        <w:rPr>
          <w:i/>
          <w:iCs/>
        </w:rPr>
        <w:t xml:space="preserve">Se invita al TC a </w:t>
      </w:r>
      <w:r w:rsidR="00825360" w:rsidRPr="000A6F45">
        <w:rPr>
          <w:i/>
          <w:iCs/>
        </w:rPr>
        <w:t xml:space="preserve">solicitar </w:t>
      </w:r>
      <w:r w:rsidRPr="000A6F45">
        <w:rPr>
          <w:i/>
          <w:iCs/>
        </w:rPr>
        <w:t xml:space="preserve">a los TWP que, en sus reuniones de 2025, examinen la propuesta de </w:t>
      </w:r>
      <w:r w:rsidR="00B43A2A" w:rsidRPr="000A6F45">
        <w:rPr>
          <w:i/>
          <w:iCs/>
        </w:rPr>
        <w:t xml:space="preserve">directrices para la validación de un nuevo protocolo de marcadores moleculares específicos de caracteres para el examen DHE, que figura en el Anexo del presente documento. </w:t>
      </w:r>
    </w:p>
    <w:bookmarkEnd w:id="5"/>
    <w:p w14:paraId="7B3CA0B4" w14:textId="77777777" w:rsidR="00550FF9" w:rsidRPr="000A6F45" w:rsidRDefault="00550FF9" w:rsidP="00EF4B00"/>
    <w:p w14:paraId="5FEE1F96" w14:textId="77777777" w:rsidR="00550FF9" w:rsidRPr="000A6F45" w:rsidRDefault="00550FF9" w:rsidP="00EF4B00"/>
    <w:p w14:paraId="4D3EA39E" w14:textId="77777777" w:rsidR="00E33CFC" w:rsidRPr="000A6F45" w:rsidRDefault="00044CA4">
      <w:pPr>
        <w:keepNext/>
        <w:outlineLvl w:val="0"/>
        <w:rPr>
          <w:caps/>
        </w:rPr>
      </w:pPr>
      <w:bookmarkStart w:id="6" w:name="_Toc177773941"/>
      <w:r w:rsidRPr="000A6F45">
        <w:rPr>
          <w:caps/>
        </w:rPr>
        <w:t xml:space="preserve">Confidencialidad </w:t>
      </w:r>
      <w:r w:rsidR="00825360" w:rsidRPr="000A6F45">
        <w:rPr>
          <w:caps/>
        </w:rPr>
        <w:t xml:space="preserve">y </w:t>
      </w:r>
      <w:r w:rsidRPr="000A6F45">
        <w:rPr>
          <w:caps/>
        </w:rPr>
        <w:t>propiedad de la información molecular</w:t>
      </w:r>
      <w:bookmarkEnd w:id="1"/>
      <w:bookmarkEnd w:id="2"/>
      <w:bookmarkEnd w:id="6"/>
    </w:p>
    <w:p w14:paraId="7717D457" w14:textId="77777777" w:rsidR="00EF4B00" w:rsidRPr="000A6F45" w:rsidRDefault="00EF4B00" w:rsidP="00975B88">
      <w:pPr>
        <w:keepNext/>
      </w:pPr>
    </w:p>
    <w:p w14:paraId="6839F5AE" w14:textId="12F32E5C" w:rsidR="00E33CFC" w:rsidRPr="000A6F45" w:rsidRDefault="00DF2E44">
      <w:pPr>
        <w:pStyle w:val="Heading2"/>
        <w:rPr>
          <w:lang w:val="es-ES_tradnl"/>
        </w:rPr>
      </w:pPr>
      <w:bookmarkStart w:id="7" w:name="_Toc177773942"/>
      <w:bookmarkStart w:id="8" w:name="_Toc178243051"/>
      <w:r w:rsidRPr="000A6F45">
        <w:rPr>
          <w:lang w:val="es-ES_tradnl"/>
        </w:rPr>
        <w:t>Antecedentes</w:t>
      </w:r>
      <w:bookmarkEnd w:id="7"/>
      <w:bookmarkEnd w:id="8"/>
    </w:p>
    <w:p w14:paraId="1292F998" w14:textId="77777777" w:rsidR="00EF4B00" w:rsidRPr="000A6F45" w:rsidRDefault="00EF4B00" w:rsidP="00975B88">
      <w:pPr>
        <w:keepNext/>
        <w:keepLines/>
      </w:pPr>
    </w:p>
    <w:p w14:paraId="2B7DE67B" w14:textId="77777777" w:rsidR="00E33CFC" w:rsidRPr="000A6F45" w:rsidRDefault="00044CA4">
      <w:r w:rsidRPr="000A6F45">
        <w:fldChar w:fldCharType="begin"/>
      </w:r>
      <w:r w:rsidRPr="000A6F45">
        <w:instrText xml:space="preserve"> AUTONUM  </w:instrText>
      </w:r>
      <w:r w:rsidRPr="000A6F45">
        <w:fldChar w:fldCharType="end"/>
      </w:r>
      <w:r w:rsidRPr="000A6F45">
        <w:tab/>
        <w:t>El TC, en su quincuagésima octava sesión</w:t>
      </w:r>
      <w:r w:rsidRPr="000A6F45">
        <w:rPr>
          <w:vertAlign w:val="superscript"/>
        </w:rPr>
        <w:footnoteReference w:id="4"/>
      </w:r>
      <w:r w:rsidRPr="000A6F45">
        <w:t xml:space="preserve"> , tomó nota de los debates mantenidos en los TWP, en sus sesiones de 2022, sobre "Confidencialidad </w:t>
      </w:r>
      <w:r w:rsidR="00825360" w:rsidRPr="000A6F45">
        <w:t xml:space="preserve">y </w:t>
      </w:r>
      <w:r w:rsidRPr="000A6F45">
        <w:t>propiedad de la información molecular"</w:t>
      </w:r>
      <w:r w:rsidR="006A263B" w:rsidRPr="000A6F45">
        <w:t xml:space="preserve">.  </w:t>
      </w:r>
      <w:r w:rsidRPr="000A6F45">
        <w:t xml:space="preserve">El TC tomó nota de las preocupaciones expresadas por las organizaciones de obtentores en el TWM en el sentido de que la información molecular </w:t>
      </w:r>
      <w:r w:rsidR="00A02C6D" w:rsidRPr="000A6F45">
        <w:t xml:space="preserve">utilizada durante el examen </w:t>
      </w:r>
      <w:r w:rsidRPr="000A6F45">
        <w:t xml:space="preserve">de una variedad no debe ser </w:t>
      </w:r>
      <w:r w:rsidR="00986E0C" w:rsidRPr="000A6F45">
        <w:t xml:space="preserve">compartida por </w:t>
      </w:r>
      <w:r w:rsidRPr="000A6F45">
        <w:t xml:space="preserve">la autoridad que recibió la solicitud sin el permiso del obtentor.  El TC convino en invitar a los miembros y observadores a informar </w:t>
      </w:r>
      <w:r w:rsidR="00986E0C" w:rsidRPr="000A6F45">
        <w:t xml:space="preserve">sobre </w:t>
      </w:r>
      <w:r w:rsidRPr="000A6F45">
        <w:t xml:space="preserve">las políticas vigentes en materia de confidencialidad de la información molecular en los TWP, en sus sesiones de 2023 </w:t>
      </w:r>
      <w:r w:rsidR="006A263B" w:rsidRPr="000A6F45">
        <w:t>(véase el documento TC/58/31 "Informe", párrafos 48 a 50)</w:t>
      </w:r>
      <w:r w:rsidR="00986E0C" w:rsidRPr="000A6F45">
        <w:t xml:space="preserve">. </w:t>
      </w:r>
    </w:p>
    <w:p w14:paraId="17FFC13F" w14:textId="77777777" w:rsidR="00EF4B00" w:rsidRPr="000A6F45" w:rsidRDefault="00EF4B00" w:rsidP="00EF4B00"/>
    <w:p w14:paraId="49A54914"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6A263B" w:rsidRPr="000A6F45">
        <w:t>El TC, en su quincuagésima novena sesión</w:t>
      </w:r>
      <w:r w:rsidR="006A263B" w:rsidRPr="000A6F45">
        <w:rPr>
          <w:vertAlign w:val="superscript"/>
        </w:rPr>
        <w:footnoteReference w:id="5"/>
      </w:r>
      <w:r w:rsidRPr="000A6F45">
        <w:t xml:space="preserve"> , tomó nota de las políticas </w:t>
      </w:r>
      <w:r w:rsidR="00986E0C" w:rsidRPr="000A6F45">
        <w:t xml:space="preserve">sobre las </w:t>
      </w:r>
      <w:r w:rsidRPr="000A6F45">
        <w:t xml:space="preserve">que se ha informado y de los debates sobre la confidencialidad de la información molecular en las sesiones de los TWP de 2023. El TC convino en reiterar la invitación a los miembros y observadores para que informen </w:t>
      </w:r>
      <w:r w:rsidR="00825360" w:rsidRPr="000A6F45">
        <w:t xml:space="preserve">sobre </w:t>
      </w:r>
      <w:r w:rsidRPr="000A6F45">
        <w:t>las políticas existentes en materia de confidencialidad de la información molecular en los TWP, en sus sesiones de 2024.</w:t>
      </w:r>
    </w:p>
    <w:p w14:paraId="64F17122" w14:textId="77777777" w:rsidR="0010001A" w:rsidRPr="000A6F45" w:rsidRDefault="0010001A" w:rsidP="00EF4B00"/>
    <w:p w14:paraId="1D8E22A2" w14:textId="5BA97CDE" w:rsidR="00E33CFC" w:rsidRPr="000A6F45" w:rsidRDefault="00044CA4">
      <w:r w:rsidRPr="000A6F45">
        <w:fldChar w:fldCharType="begin"/>
      </w:r>
      <w:r w:rsidRPr="000A6F45">
        <w:instrText xml:space="preserve"> AUTONUM  </w:instrText>
      </w:r>
      <w:r w:rsidRPr="000A6F45">
        <w:fldChar w:fldCharType="end"/>
      </w:r>
      <w:r w:rsidRPr="000A6F45">
        <w:tab/>
        <w:t xml:space="preserve">En el documento </w:t>
      </w:r>
      <w:r w:rsidR="001A0DD8" w:rsidRPr="000A6F45">
        <w:t xml:space="preserve">SESSIONS/2023/5 </w:t>
      </w:r>
      <w:r w:rsidRPr="000A6F45">
        <w:t>"Técnicas moleculares" se ofrecen más antecedentes sobre este asunto.</w:t>
      </w:r>
    </w:p>
    <w:p w14:paraId="70D36F4D" w14:textId="77777777" w:rsidR="007C0689" w:rsidRPr="000A6F45" w:rsidRDefault="007C0689" w:rsidP="00EF4B00">
      <w:pPr>
        <w:rPr>
          <w:lang w:eastAsia="ja-JP"/>
        </w:rPr>
      </w:pPr>
    </w:p>
    <w:p w14:paraId="7A61BDA0" w14:textId="7B698DC7" w:rsidR="00E33CFC" w:rsidRPr="000A6F45" w:rsidRDefault="00F33364">
      <w:pPr>
        <w:pStyle w:val="Heading2"/>
        <w:rPr>
          <w:lang w:val="es-ES_tradnl" w:eastAsia="ja-JP"/>
        </w:rPr>
      </w:pPr>
      <w:bookmarkStart w:id="9" w:name="_Toc177773944"/>
      <w:bookmarkStart w:id="10" w:name="_Toc178243052"/>
      <w:r>
        <w:rPr>
          <w:lang w:val="es-ES_tradnl" w:eastAsia="ja-JP"/>
        </w:rPr>
        <w:t>Novedades acontecidas en</w:t>
      </w:r>
      <w:r w:rsidR="00044CA4" w:rsidRPr="000A6F45">
        <w:rPr>
          <w:lang w:val="es-ES_tradnl" w:eastAsia="ja-JP"/>
        </w:rPr>
        <w:t xml:space="preserve"> los Grupos de Trabajo Técnicos en sus sesiones de 2024</w:t>
      </w:r>
      <w:bookmarkEnd w:id="9"/>
      <w:bookmarkEnd w:id="10"/>
    </w:p>
    <w:p w14:paraId="12B4AF9E" w14:textId="77777777" w:rsidR="00EF4B00" w:rsidRPr="000A6F45" w:rsidRDefault="00EF4B00" w:rsidP="00EF4B00">
      <w:pPr>
        <w:jc w:val="left"/>
      </w:pPr>
    </w:p>
    <w:p w14:paraId="38C20A0E" w14:textId="77777777" w:rsidR="00E33CFC" w:rsidRPr="000A6F45" w:rsidRDefault="00044CA4">
      <w:r w:rsidRPr="000A6F45">
        <w:fldChar w:fldCharType="begin"/>
      </w:r>
      <w:r w:rsidRPr="000A6F45">
        <w:instrText xml:space="preserve"> AUTONUM  </w:instrText>
      </w:r>
      <w:r w:rsidRPr="000A6F45">
        <w:fldChar w:fldCharType="end"/>
      </w:r>
      <w:r w:rsidRPr="000A6F45">
        <w:tab/>
        <w:t xml:space="preserve">En sus reuniones de </w:t>
      </w:r>
      <w:r w:rsidR="0010001A" w:rsidRPr="000A6F45">
        <w:t>2024</w:t>
      </w:r>
      <w:r w:rsidRPr="000A6F45">
        <w:t xml:space="preserve">, </w:t>
      </w:r>
      <w:r w:rsidR="0010001A" w:rsidRPr="000A6F45">
        <w:rPr>
          <w:rFonts w:eastAsia="PMingLiU"/>
          <w:szCs w:val="24"/>
        </w:rPr>
        <w:t xml:space="preserve">se invitó a </w:t>
      </w:r>
      <w:r w:rsidRPr="000A6F45">
        <w:rPr>
          <w:rFonts w:eastAsia="PMingLiU"/>
          <w:szCs w:val="24"/>
        </w:rPr>
        <w:t xml:space="preserve">los </w:t>
      </w:r>
      <w:r w:rsidR="0010001A" w:rsidRPr="000A6F45">
        <w:rPr>
          <w:rFonts w:eastAsia="PMingLiU"/>
          <w:szCs w:val="24"/>
        </w:rPr>
        <w:t xml:space="preserve">TWP a presentar ponencias e informar </w:t>
      </w:r>
      <w:r w:rsidR="00825360" w:rsidRPr="000A6F45">
        <w:rPr>
          <w:rFonts w:eastAsia="PMingLiU"/>
          <w:szCs w:val="24"/>
        </w:rPr>
        <w:t xml:space="preserve">sobre </w:t>
      </w:r>
      <w:r w:rsidR="0010001A" w:rsidRPr="000A6F45">
        <w:rPr>
          <w:rFonts w:eastAsia="PMingLiU"/>
          <w:szCs w:val="24"/>
        </w:rPr>
        <w:t xml:space="preserve">ejemplos de políticas sobre confidencialidad y acceso a datos moleculares. </w:t>
      </w:r>
      <w:r w:rsidR="00D632F1" w:rsidRPr="000A6F45">
        <w:rPr>
          <w:rFonts w:eastAsia="PMingLiU"/>
          <w:szCs w:val="24"/>
        </w:rPr>
        <w:t xml:space="preserve">En el TWA, el TWF, el TWO y el TWV </w:t>
      </w:r>
      <w:r w:rsidR="0014482F" w:rsidRPr="000A6F45">
        <w:rPr>
          <w:rFonts w:eastAsia="PMingLiU"/>
          <w:szCs w:val="24"/>
        </w:rPr>
        <w:t>no se informó sobre las políticas existentes en materia de confidencialidad.</w:t>
      </w:r>
    </w:p>
    <w:p w14:paraId="070883C5" w14:textId="77777777" w:rsidR="005B6C70" w:rsidRPr="000A6F45" w:rsidRDefault="005B6C70" w:rsidP="00EF4B00">
      <w:pPr>
        <w:rPr>
          <w:i/>
        </w:rPr>
      </w:pPr>
    </w:p>
    <w:p w14:paraId="6CB3D762" w14:textId="77777777" w:rsidR="00E33CFC" w:rsidRPr="000A6F45" w:rsidRDefault="00044CA4">
      <w:pPr>
        <w:pStyle w:val="Heading3"/>
        <w:rPr>
          <w:lang w:val="es-ES_tradnl"/>
        </w:rPr>
      </w:pPr>
      <w:bookmarkStart w:id="11" w:name="_Toc178243053"/>
      <w:r w:rsidRPr="000A6F45">
        <w:rPr>
          <w:lang w:val="es-ES_tradnl"/>
        </w:rPr>
        <w:t>Grupo de Trabajo Técnico sobre Métodos y Técnicas de Examen (TWM)</w:t>
      </w:r>
      <w:bookmarkEnd w:id="11"/>
    </w:p>
    <w:p w14:paraId="4A5ABAFE" w14:textId="77777777" w:rsidR="005B6C70" w:rsidRPr="000A6F45" w:rsidRDefault="005B6C70" w:rsidP="00EF4B00">
      <w:pPr>
        <w:rPr>
          <w:iCs/>
        </w:rPr>
      </w:pPr>
    </w:p>
    <w:p w14:paraId="15C48DCC" w14:textId="264D4689" w:rsidR="00E33CFC" w:rsidRPr="000A6F45" w:rsidRDefault="00044CA4">
      <w:pPr>
        <w:rPr>
          <w:lang w:eastAsia="ja-JP"/>
        </w:rPr>
      </w:pPr>
      <w:r w:rsidRPr="000A6F45">
        <w:fldChar w:fldCharType="begin"/>
      </w:r>
      <w:r w:rsidRPr="000A6F45">
        <w:instrText xml:space="preserve"> AUTONUM  </w:instrText>
      </w:r>
      <w:r w:rsidRPr="000A6F45">
        <w:fldChar w:fldCharType="end"/>
      </w:r>
      <w:r w:rsidRPr="000A6F45">
        <w:tab/>
      </w:r>
      <w:r w:rsidR="005B6C70" w:rsidRPr="000A6F45">
        <w:rPr>
          <w:lang w:eastAsia="ja-JP"/>
        </w:rPr>
        <w:t>El TWM</w:t>
      </w:r>
      <w:r w:rsidR="00A655A8" w:rsidRPr="000A6F45">
        <w:rPr>
          <w:rStyle w:val="FootnoteReference"/>
          <w:lang w:eastAsia="ja-JP"/>
        </w:rPr>
        <w:footnoteReference w:id="6"/>
      </w:r>
      <w:r w:rsidR="005B6C70" w:rsidRPr="000A6F45">
        <w:rPr>
          <w:lang w:eastAsia="ja-JP"/>
        </w:rPr>
        <w:t xml:space="preserve"> recibió una ponencia sobre "Confidencialidad de la información molecular" del Sr. Marcel </w:t>
      </w:r>
      <w:proofErr w:type="spellStart"/>
      <w:r w:rsidR="005B6C70" w:rsidRPr="000A6F45">
        <w:rPr>
          <w:lang w:eastAsia="ja-JP"/>
        </w:rPr>
        <w:t>Bruins</w:t>
      </w:r>
      <w:proofErr w:type="spellEnd"/>
      <w:r w:rsidR="005B6C70" w:rsidRPr="000A6F45">
        <w:rPr>
          <w:lang w:eastAsia="ja-JP"/>
        </w:rPr>
        <w:t xml:space="preserve">, de </w:t>
      </w:r>
      <w:proofErr w:type="spellStart"/>
      <w:r w:rsidR="005B6C70" w:rsidRPr="000A6F45">
        <w:rPr>
          <w:lang w:eastAsia="ja-JP"/>
        </w:rPr>
        <w:t>CropLife</w:t>
      </w:r>
      <w:proofErr w:type="spellEnd"/>
      <w:r w:rsidR="005B6C70" w:rsidRPr="000A6F45">
        <w:rPr>
          <w:lang w:eastAsia="ja-JP"/>
        </w:rPr>
        <w:t xml:space="preserve"> International, en nombre de la </w:t>
      </w:r>
      <w:proofErr w:type="spellStart"/>
      <w:r w:rsidR="005B6C70" w:rsidRPr="000A6F45">
        <w:rPr>
          <w:lang w:eastAsia="ja-JP"/>
        </w:rPr>
        <w:t>African</w:t>
      </w:r>
      <w:proofErr w:type="spellEnd"/>
      <w:r w:rsidR="005B6C70" w:rsidRPr="000A6F45">
        <w:rPr>
          <w:lang w:eastAsia="ja-JP"/>
        </w:rPr>
        <w:t xml:space="preserve"> </w:t>
      </w:r>
      <w:proofErr w:type="spellStart"/>
      <w:r w:rsidR="005B6C70" w:rsidRPr="000A6F45">
        <w:rPr>
          <w:lang w:eastAsia="ja-JP"/>
        </w:rPr>
        <w:t>Seed</w:t>
      </w:r>
      <w:proofErr w:type="spellEnd"/>
      <w:r w:rsidR="005B6C70" w:rsidRPr="000A6F45">
        <w:rPr>
          <w:lang w:eastAsia="ja-JP"/>
        </w:rPr>
        <w:t xml:space="preserve"> </w:t>
      </w:r>
      <w:proofErr w:type="spellStart"/>
      <w:r w:rsidR="005B6C70" w:rsidRPr="000A6F45">
        <w:rPr>
          <w:lang w:eastAsia="ja-JP"/>
        </w:rPr>
        <w:t>Trade</w:t>
      </w:r>
      <w:proofErr w:type="spellEnd"/>
      <w:r w:rsidR="005B6C70" w:rsidRPr="000A6F45">
        <w:rPr>
          <w:lang w:eastAsia="ja-JP"/>
        </w:rPr>
        <w:t xml:space="preserve"> </w:t>
      </w:r>
      <w:proofErr w:type="spellStart"/>
      <w:r w:rsidR="005B6C70" w:rsidRPr="000A6F45">
        <w:rPr>
          <w:lang w:eastAsia="ja-JP"/>
        </w:rPr>
        <w:t>Association</w:t>
      </w:r>
      <w:proofErr w:type="spellEnd"/>
      <w:r w:rsidR="005B6C70" w:rsidRPr="000A6F45">
        <w:rPr>
          <w:lang w:eastAsia="ja-JP"/>
        </w:rPr>
        <w:t xml:space="preserve"> (AFSTA), la Asia and </w:t>
      </w:r>
      <w:proofErr w:type="spellStart"/>
      <w:r w:rsidR="005B6C70" w:rsidRPr="000A6F45">
        <w:rPr>
          <w:lang w:eastAsia="ja-JP"/>
        </w:rPr>
        <w:t>Pacific</w:t>
      </w:r>
      <w:proofErr w:type="spellEnd"/>
      <w:r w:rsidR="005B6C70" w:rsidRPr="000A6F45">
        <w:rPr>
          <w:lang w:eastAsia="ja-JP"/>
        </w:rPr>
        <w:t xml:space="preserve"> </w:t>
      </w:r>
      <w:proofErr w:type="spellStart"/>
      <w:r w:rsidR="005B6C70" w:rsidRPr="000A6F45">
        <w:rPr>
          <w:lang w:eastAsia="ja-JP"/>
        </w:rPr>
        <w:t>Seed</w:t>
      </w:r>
      <w:proofErr w:type="spellEnd"/>
      <w:r w:rsidR="005B6C70" w:rsidRPr="000A6F45">
        <w:rPr>
          <w:lang w:eastAsia="ja-JP"/>
        </w:rPr>
        <w:t xml:space="preserve"> </w:t>
      </w:r>
      <w:proofErr w:type="spellStart"/>
      <w:r w:rsidR="005B6C70" w:rsidRPr="000A6F45">
        <w:rPr>
          <w:lang w:eastAsia="ja-JP"/>
        </w:rPr>
        <w:t>Association</w:t>
      </w:r>
      <w:proofErr w:type="spellEnd"/>
      <w:r w:rsidR="005B6C70" w:rsidRPr="000A6F45">
        <w:rPr>
          <w:lang w:eastAsia="ja-JP"/>
        </w:rPr>
        <w:t xml:space="preserve"> (APSA), la Comunidad Internacional de </w:t>
      </w:r>
      <w:proofErr w:type="spellStart"/>
      <w:r w:rsidR="005B6C70" w:rsidRPr="000A6F45">
        <w:rPr>
          <w:lang w:eastAsia="ja-JP"/>
        </w:rPr>
        <w:t>Fitomejoradores</w:t>
      </w:r>
      <w:proofErr w:type="spellEnd"/>
      <w:r w:rsidR="005B6C70" w:rsidRPr="000A6F45">
        <w:rPr>
          <w:lang w:eastAsia="ja-JP"/>
        </w:rPr>
        <w:t xml:space="preserve"> de Plantas Hortícolas de Reproducción Asexuada (CIOPORA), </w:t>
      </w:r>
      <w:proofErr w:type="spellStart"/>
      <w:r w:rsidR="005B6C70" w:rsidRPr="000A6F45">
        <w:rPr>
          <w:lang w:eastAsia="ja-JP"/>
        </w:rPr>
        <w:t>CropLife</w:t>
      </w:r>
      <w:proofErr w:type="spellEnd"/>
      <w:r w:rsidR="005B6C70" w:rsidRPr="000A6F45">
        <w:rPr>
          <w:lang w:eastAsia="ja-JP"/>
        </w:rPr>
        <w:t xml:space="preserve"> International, </w:t>
      </w:r>
      <w:proofErr w:type="spellStart"/>
      <w:r w:rsidR="005B6C70" w:rsidRPr="000A6F45">
        <w:rPr>
          <w:lang w:eastAsia="ja-JP"/>
        </w:rPr>
        <w:t>Euroseeds</w:t>
      </w:r>
      <w:proofErr w:type="spellEnd"/>
      <w:r w:rsidR="005B6C70" w:rsidRPr="000A6F45">
        <w:rPr>
          <w:lang w:eastAsia="ja-JP"/>
        </w:rPr>
        <w:t xml:space="preserve">, la International </w:t>
      </w:r>
      <w:proofErr w:type="spellStart"/>
      <w:r w:rsidR="005B6C70" w:rsidRPr="000A6F45">
        <w:rPr>
          <w:lang w:eastAsia="ja-JP"/>
        </w:rPr>
        <w:t>Seed</w:t>
      </w:r>
      <w:proofErr w:type="spellEnd"/>
      <w:r w:rsidR="005B6C70" w:rsidRPr="000A6F45">
        <w:rPr>
          <w:lang w:eastAsia="ja-JP"/>
        </w:rPr>
        <w:t xml:space="preserve"> </w:t>
      </w:r>
      <w:proofErr w:type="spellStart"/>
      <w:r w:rsidR="005B6C70" w:rsidRPr="000A6F45">
        <w:rPr>
          <w:lang w:eastAsia="ja-JP"/>
        </w:rPr>
        <w:t>Federation</w:t>
      </w:r>
      <w:proofErr w:type="spellEnd"/>
      <w:r w:rsidR="005B6C70" w:rsidRPr="000A6F45">
        <w:rPr>
          <w:lang w:eastAsia="ja-JP"/>
        </w:rPr>
        <w:t xml:space="preserve"> (ISF) y la </w:t>
      </w:r>
      <w:r w:rsidR="00644634" w:rsidRPr="00644634">
        <w:rPr>
          <w:lang w:eastAsia="ja-JP"/>
        </w:rPr>
        <w:t>Asociación de Semillas de las Américas</w:t>
      </w:r>
      <w:r w:rsidR="00644634" w:rsidRPr="00644634">
        <w:rPr>
          <w:lang w:eastAsia="ja-JP"/>
        </w:rPr>
        <w:t xml:space="preserve"> </w:t>
      </w:r>
      <w:r w:rsidR="005B6C70" w:rsidRPr="000A6F45">
        <w:rPr>
          <w:lang w:eastAsia="ja-JP"/>
        </w:rPr>
        <w:t xml:space="preserve">(SAA) ("organizaciones de obtentores"). En el documento TWM/2/7 figura una copia de la ponencia. </w:t>
      </w:r>
    </w:p>
    <w:p w14:paraId="308097B0" w14:textId="77777777" w:rsidR="005B6C70" w:rsidRPr="000A6F45" w:rsidRDefault="005B6C70" w:rsidP="00EF4B00">
      <w:pPr>
        <w:rPr>
          <w:lang w:eastAsia="ja-JP"/>
        </w:rPr>
      </w:pPr>
    </w:p>
    <w:p w14:paraId="504806D7" w14:textId="77777777" w:rsidR="00E33CFC" w:rsidRPr="000A6F45" w:rsidRDefault="00044CA4">
      <w:pPr>
        <w:rPr>
          <w:lang w:eastAsia="ja-JP"/>
        </w:rPr>
      </w:pPr>
      <w:r w:rsidRPr="000A6F45">
        <w:fldChar w:fldCharType="begin"/>
      </w:r>
      <w:r w:rsidRPr="000A6F45">
        <w:instrText xml:space="preserve"> AUTONUM  </w:instrText>
      </w:r>
      <w:r w:rsidRPr="000A6F45">
        <w:fldChar w:fldCharType="end"/>
      </w:r>
      <w:r w:rsidRPr="000A6F45">
        <w:tab/>
      </w:r>
      <w:r w:rsidR="005B6C70" w:rsidRPr="000A6F45">
        <w:rPr>
          <w:lang w:eastAsia="ja-JP"/>
        </w:rPr>
        <w:t xml:space="preserve">El TWM tomó nota de la petición de las organizaciones de obtentores de que se elaboren orientaciones en la UPOV sobre la confidencialidad de los datos moleculares y del ofrecimiento de proponer un proyecto de modelo de acuerdo, que se presentará en su tercera reunión. </w:t>
      </w:r>
    </w:p>
    <w:p w14:paraId="763B4004" w14:textId="77777777" w:rsidR="005B6C70" w:rsidRPr="000A6F45" w:rsidRDefault="005B6C70" w:rsidP="00EF4B00">
      <w:pPr>
        <w:rPr>
          <w:lang w:eastAsia="ja-JP"/>
        </w:rPr>
      </w:pPr>
    </w:p>
    <w:p w14:paraId="5A13D875" w14:textId="77777777" w:rsidR="00E33CFC" w:rsidRPr="000A6F45" w:rsidRDefault="00044CA4">
      <w:pPr>
        <w:pStyle w:val="Heading4"/>
        <w:rPr>
          <w:lang w:val="es-ES_tradnl" w:eastAsia="ja-JP"/>
        </w:rPr>
      </w:pPr>
      <w:r w:rsidRPr="000A6F45">
        <w:rPr>
          <w:lang w:val="es-ES_tradnl" w:eastAsia="ja-JP"/>
        </w:rPr>
        <w:t xml:space="preserve">Ejemplos de políticas de confidencialidad y acceso a datos de información molecular </w:t>
      </w:r>
    </w:p>
    <w:p w14:paraId="4663D5D9" w14:textId="77777777" w:rsidR="005B6C70" w:rsidRPr="000A6F45" w:rsidRDefault="005B6C70" w:rsidP="008A52E0">
      <w:pPr>
        <w:keepNext/>
        <w:rPr>
          <w:lang w:eastAsia="ja-JP"/>
        </w:rPr>
      </w:pPr>
    </w:p>
    <w:p w14:paraId="7F0FBB66" w14:textId="77777777" w:rsidR="00E33CFC" w:rsidRPr="000A6F45" w:rsidRDefault="00044CA4">
      <w:pPr>
        <w:rPr>
          <w:lang w:eastAsia="ja-JP"/>
        </w:rPr>
      </w:pPr>
      <w:r w:rsidRPr="000A6F45">
        <w:fldChar w:fldCharType="begin"/>
      </w:r>
      <w:r w:rsidRPr="000A6F45">
        <w:instrText xml:space="preserve"> AUTONUM  </w:instrText>
      </w:r>
      <w:r w:rsidRPr="000A6F45">
        <w:fldChar w:fldCharType="end"/>
      </w:r>
      <w:r w:rsidRPr="000A6F45">
        <w:tab/>
      </w:r>
      <w:r w:rsidR="005B6C70" w:rsidRPr="000A6F45">
        <w:rPr>
          <w:lang w:eastAsia="ja-JP"/>
        </w:rPr>
        <w:t xml:space="preserve">El TWM señaló que se espera que la Unión Europea adopte una política sobre el acceso a las muestras de variedades vegetales, incluidas las muestras de ADN, de la que se informará en los TWP en 2024. </w:t>
      </w:r>
    </w:p>
    <w:p w14:paraId="19952288" w14:textId="77777777" w:rsidR="005B6C70" w:rsidRPr="000A6F45" w:rsidRDefault="005B6C70" w:rsidP="00EF4B00">
      <w:pPr>
        <w:rPr>
          <w:lang w:eastAsia="ja-JP"/>
        </w:rPr>
      </w:pPr>
    </w:p>
    <w:p w14:paraId="095A733B" w14:textId="77777777" w:rsidR="00E33CFC" w:rsidRPr="000A6F45" w:rsidRDefault="00044CA4">
      <w:pPr>
        <w:rPr>
          <w:lang w:eastAsia="ja-JP"/>
        </w:rPr>
      </w:pPr>
      <w:r w:rsidRPr="000A6F45">
        <w:fldChar w:fldCharType="begin"/>
      </w:r>
      <w:r w:rsidRPr="000A6F45">
        <w:instrText xml:space="preserve"> AUTONUM  </w:instrText>
      </w:r>
      <w:r w:rsidRPr="000A6F45">
        <w:fldChar w:fldCharType="end"/>
      </w:r>
      <w:r w:rsidRPr="000A6F45">
        <w:tab/>
      </w:r>
      <w:r w:rsidR="005B6C70" w:rsidRPr="000A6F45">
        <w:rPr>
          <w:lang w:eastAsia="ja-JP"/>
        </w:rPr>
        <w:t>El TWM acordó invitar a los miembros de la UPOV a que informen en su tercera reunión sobre las políticas existentes en materia de confidencialidad de la información molecular.</w:t>
      </w:r>
    </w:p>
    <w:p w14:paraId="6E035E45" w14:textId="77777777" w:rsidR="0010001A" w:rsidRPr="000A6F45" w:rsidRDefault="0010001A" w:rsidP="00EF4B00">
      <w:pPr>
        <w:rPr>
          <w:lang w:eastAsia="ja-JP"/>
        </w:rPr>
      </w:pPr>
    </w:p>
    <w:bookmarkStart w:id="12" w:name="_Toc460313637"/>
    <w:p w14:paraId="124473FB" w14:textId="77777777" w:rsidR="00E33CFC" w:rsidRPr="000A6F45" w:rsidRDefault="00044CA4">
      <w:pPr>
        <w:tabs>
          <w:tab w:val="left" w:pos="5387"/>
        </w:tabs>
        <w:ind w:left="4820"/>
        <w:rPr>
          <w:i/>
          <w:snapToGrid w:val="0"/>
          <w:lang w:eastAsia="ja-JP"/>
        </w:rPr>
      </w:pPr>
      <w:r w:rsidRPr="000A6F45">
        <w:rPr>
          <w:i/>
          <w:snapToGrid w:val="0"/>
          <w:lang w:eastAsia="ja-JP"/>
        </w:rPr>
        <w:fldChar w:fldCharType="begin"/>
      </w:r>
      <w:r w:rsidRPr="000A6F45">
        <w:rPr>
          <w:i/>
          <w:snapToGrid w:val="0"/>
          <w:lang w:eastAsia="ja-JP"/>
        </w:rPr>
        <w:instrText xml:space="preserve"> AUTONUM  </w:instrText>
      </w:r>
      <w:r w:rsidRPr="000A6F45">
        <w:rPr>
          <w:i/>
          <w:snapToGrid w:val="0"/>
          <w:lang w:eastAsia="ja-JP"/>
        </w:rPr>
        <w:fldChar w:fldCharType="end"/>
      </w:r>
      <w:r w:rsidRPr="000A6F45">
        <w:rPr>
          <w:i/>
          <w:snapToGrid w:val="0"/>
          <w:lang w:eastAsia="ja-JP"/>
        </w:rPr>
        <w:tab/>
        <w:t xml:space="preserve">Se invita al TC a </w:t>
      </w:r>
      <w:r w:rsidR="00E33B89" w:rsidRPr="000A6F45">
        <w:rPr>
          <w:i/>
          <w:snapToGrid w:val="0"/>
          <w:lang w:eastAsia="ja-JP"/>
        </w:rPr>
        <w:t>tomar nota de la solicitud de las organizaciones de obtentores de que se elaboren orientaciones en la UPOV sobre la confidencialidad de los datos moleculares y del ofrecimiento de proponer un proyecto de modelo de acuerdo, que se presentará en la tercera sesión del TWM.</w:t>
      </w:r>
    </w:p>
    <w:p w14:paraId="672221D9" w14:textId="77777777" w:rsidR="003012FA" w:rsidRPr="000A6F45" w:rsidRDefault="003012FA" w:rsidP="00EF4B00">
      <w:pPr>
        <w:rPr>
          <w:snapToGrid w:val="0"/>
          <w:lang w:eastAsia="ja-JP"/>
        </w:rPr>
      </w:pPr>
    </w:p>
    <w:p w14:paraId="23796E7B" w14:textId="77777777" w:rsidR="00825360" w:rsidRPr="000A6F45" w:rsidRDefault="00825360" w:rsidP="00EF4B00">
      <w:pPr>
        <w:rPr>
          <w:snapToGrid w:val="0"/>
          <w:lang w:eastAsia="ja-JP"/>
        </w:rPr>
      </w:pPr>
    </w:p>
    <w:p w14:paraId="049026B3" w14:textId="54BE2FB0" w:rsidR="00E33CFC" w:rsidRPr="000A6F45" w:rsidRDefault="00644634">
      <w:pPr>
        <w:pStyle w:val="Heading1"/>
        <w:rPr>
          <w:snapToGrid w:val="0"/>
          <w:lang w:val="es-ES_tradnl" w:eastAsia="ja-JP"/>
        </w:rPr>
      </w:pPr>
      <w:bookmarkStart w:id="13" w:name="_Toc177773948"/>
      <w:bookmarkStart w:id="14" w:name="_Toc178243054"/>
      <w:r>
        <w:rPr>
          <w:snapToGrid w:val="0"/>
          <w:lang w:val="es-ES_tradnl" w:eastAsia="ja-JP"/>
        </w:rPr>
        <w:lastRenderedPageBreak/>
        <w:t>Cuestiones para i</w:t>
      </w:r>
      <w:r w:rsidR="00044CA4" w:rsidRPr="000A6F45">
        <w:rPr>
          <w:snapToGrid w:val="0"/>
          <w:lang w:val="es-ES_tradnl" w:eastAsia="ja-JP"/>
        </w:rPr>
        <w:t>nformación</w:t>
      </w:r>
      <w:bookmarkEnd w:id="13"/>
      <w:bookmarkEnd w:id="14"/>
    </w:p>
    <w:bookmarkEnd w:id="12"/>
    <w:p w14:paraId="2929557B" w14:textId="77777777" w:rsidR="00EF4B00" w:rsidRPr="000A6F45" w:rsidRDefault="00EF4B00" w:rsidP="00975B88">
      <w:pPr>
        <w:keepNext/>
        <w:jc w:val="left"/>
      </w:pPr>
    </w:p>
    <w:p w14:paraId="31C108DB" w14:textId="3AFE5FBC" w:rsidR="00E33CFC" w:rsidRPr="000A6F45" w:rsidRDefault="00044CA4">
      <w:pPr>
        <w:pStyle w:val="Heading2"/>
        <w:rPr>
          <w:lang w:val="es-ES_tradnl"/>
        </w:rPr>
      </w:pPr>
      <w:bookmarkStart w:id="15" w:name="_Toc178243055"/>
      <w:r w:rsidRPr="000A6F45">
        <w:rPr>
          <w:lang w:val="es-ES_tradnl"/>
        </w:rPr>
        <w:t xml:space="preserve">Novedades </w:t>
      </w:r>
      <w:r w:rsidR="007476B1">
        <w:rPr>
          <w:lang w:val="es-ES_tradnl"/>
        </w:rPr>
        <w:t>acontecidas en</w:t>
      </w:r>
      <w:r w:rsidRPr="000A6F45">
        <w:rPr>
          <w:lang w:val="es-ES_tradnl"/>
        </w:rPr>
        <w:t xml:space="preserve"> la segunda reunión del Grupo </w:t>
      </w:r>
      <w:r w:rsidR="00E44C4F" w:rsidRPr="000A6F45">
        <w:rPr>
          <w:lang w:val="es-ES_tradnl"/>
        </w:rPr>
        <w:t xml:space="preserve">de Trabajo </w:t>
      </w:r>
      <w:r w:rsidRPr="000A6F45">
        <w:rPr>
          <w:lang w:val="es-ES_tradnl"/>
        </w:rPr>
        <w:t>Técnico sobre Métodos y Técnicas de Examen (</w:t>
      </w:r>
      <w:r w:rsidR="00E44C4F" w:rsidRPr="000A6F45">
        <w:rPr>
          <w:lang w:val="es-ES_tradnl"/>
        </w:rPr>
        <w:t>TWM)</w:t>
      </w:r>
      <w:bookmarkEnd w:id="15"/>
    </w:p>
    <w:p w14:paraId="557D83BD" w14:textId="77777777" w:rsidR="00EF4B00" w:rsidRPr="000A6F45" w:rsidRDefault="00EF4B00" w:rsidP="00975B88">
      <w:pPr>
        <w:keepNext/>
        <w:jc w:val="left"/>
      </w:pPr>
    </w:p>
    <w:p w14:paraId="4B33BCC1" w14:textId="0F370C04" w:rsidR="00E33CFC" w:rsidRPr="000A6F45" w:rsidRDefault="00044CA4">
      <w:r w:rsidRPr="000A6F45">
        <w:fldChar w:fldCharType="begin"/>
      </w:r>
      <w:r w:rsidRPr="000A6F45">
        <w:instrText xml:space="preserve"> AUTONUM  </w:instrText>
      </w:r>
      <w:r w:rsidRPr="000A6F45">
        <w:fldChar w:fldCharType="end"/>
      </w:r>
      <w:r w:rsidRPr="000A6F45">
        <w:tab/>
        <w:t xml:space="preserve">El TWM celebró su segunda reunión por medios </w:t>
      </w:r>
      <w:r w:rsidR="007476B1">
        <w:t>electrónicos</w:t>
      </w:r>
      <w:r w:rsidRPr="000A6F45">
        <w:t xml:space="preserve"> del 8 al 11 de abril de 2024.  En las secciones siguientes se informa de las novedades sobre técnicas moleculares.</w:t>
      </w:r>
    </w:p>
    <w:p w14:paraId="1ADD22D0" w14:textId="77777777" w:rsidR="00A33FD0" w:rsidRPr="000A6F45" w:rsidRDefault="00A33FD0" w:rsidP="00EF4B00"/>
    <w:p w14:paraId="308D5237" w14:textId="77777777" w:rsidR="00E33CFC" w:rsidRPr="000A6F45" w:rsidRDefault="00044CA4">
      <w:pPr>
        <w:pStyle w:val="Heading2"/>
        <w:rPr>
          <w:lang w:val="es-ES_tradnl"/>
        </w:rPr>
      </w:pPr>
      <w:bookmarkStart w:id="16" w:name="_Toc177773954"/>
      <w:bookmarkStart w:id="17" w:name="_Toc178243056"/>
      <w:r w:rsidRPr="000A6F45">
        <w:rPr>
          <w:lang w:val="es-ES_tradnl"/>
        </w:rPr>
        <w:t>Avances en técnicas moleculares y bioinformática</w:t>
      </w:r>
      <w:bookmarkEnd w:id="16"/>
      <w:bookmarkEnd w:id="17"/>
    </w:p>
    <w:p w14:paraId="3897DADA" w14:textId="77777777" w:rsidR="00EF4B00" w:rsidRPr="000A6F45" w:rsidRDefault="00EF4B00" w:rsidP="00EF4B00">
      <w:pPr>
        <w:pStyle w:val="Heading3"/>
        <w:rPr>
          <w:lang w:val="es-ES_tradnl"/>
        </w:rPr>
      </w:pPr>
    </w:p>
    <w:p w14:paraId="34B3B2FD" w14:textId="77777777" w:rsidR="00E33CFC" w:rsidRPr="000A6F45" w:rsidRDefault="00044CA4">
      <w:pPr>
        <w:pStyle w:val="Heading3"/>
        <w:rPr>
          <w:lang w:val="es-ES_tradnl"/>
        </w:rPr>
      </w:pPr>
      <w:bookmarkStart w:id="18" w:name="_Toc177773955"/>
      <w:bookmarkStart w:id="19" w:name="_Toc178243057"/>
      <w:r w:rsidRPr="000A6F45">
        <w:rPr>
          <w:lang w:val="es-ES_tradnl"/>
        </w:rPr>
        <w:t>Últimos avances en técnicas moleculares y bioinformática</w:t>
      </w:r>
      <w:bookmarkEnd w:id="19"/>
      <w:r w:rsidRPr="000A6F45">
        <w:rPr>
          <w:lang w:val="es-ES_tradnl"/>
        </w:rPr>
        <w:t xml:space="preserve"> </w:t>
      </w:r>
      <w:bookmarkEnd w:id="18"/>
    </w:p>
    <w:p w14:paraId="6CE66CEC" w14:textId="77777777" w:rsidR="00EF4B00" w:rsidRPr="000A6F45" w:rsidRDefault="00EF4B00" w:rsidP="00EF4B00">
      <w:pPr>
        <w:keepNext/>
      </w:pPr>
    </w:p>
    <w:p w14:paraId="5EED91D8" w14:textId="77777777" w:rsidR="00E33CFC" w:rsidRPr="000A6F45" w:rsidRDefault="00044CA4">
      <w:pPr>
        <w:pStyle w:val="Heading4"/>
        <w:rPr>
          <w:lang w:val="es-ES_tradnl"/>
        </w:rPr>
      </w:pPr>
      <w:r w:rsidRPr="000A6F45">
        <w:rPr>
          <w:lang w:val="es-ES_tradnl"/>
        </w:rPr>
        <w:t>Norma ST.26 de la OMPI - Secuencia de la OMPI</w:t>
      </w:r>
    </w:p>
    <w:p w14:paraId="5B00EBE6" w14:textId="77777777" w:rsidR="00EF4B00" w:rsidRPr="000A6F45" w:rsidRDefault="00EF4B00" w:rsidP="00EF4B00">
      <w:pPr>
        <w:keepNext/>
      </w:pPr>
    </w:p>
    <w:p w14:paraId="4D66CDFD"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escuchó una ponencia de la Sra. Emma Francis, de la Organización Mundial de la Propiedad Intelectual (OMPI), sobre la "Norma ST.26 de la OMPI - Secuencia de la OMPI", de </w:t>
      </w:r>
      <w:r w:rsidR="00825360" w:rsidRPr="000A6F45">
        <w:t xml:space="preserve">la que </w:t>
      </w:r>
      <w:r w:rsidR="00EF4B00" w:rsidRPr="000A6F45">
        <w:t xml:space="preserve">se proporciona copia en el documento TWM/2/15.  </w:t>
      </w:r>
    </w:p>
    <w:p w14:paraId="7BF95147" w14:textId="77777777" w:rsidR="00EF4B00" w:rsidRPr="000A6F45" w:rsidRDefault="00EF4B00" w:rsidP="00EF4B00">
      <w:pPr>
        <w:pStyle w:val="ListParagraph"/>
        <w:ind w:left="0"/>
        <w:jc w:val="both"/>
      </w:pPr>
    </w:p>
    <w:p w14:paraId="26AFFFFD"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señaló que podrían elaborarse algoritmos de búsqueda para bases de datos que contengan información sobre nucleótidos o aminoácidos utilizando el formato de datos ST.26 estándar de la OMPI, incluidos los datos sobre variedades vegetales.</w:t>
      </w:r>
    </w:p>
    <w:p w14:paraId="48FC55AA" w14:textId="77777777" w:rsidR="0028168A" w:rsidRPr="000A6F45" w:rsidRDefault="0028168A" w:rsidP="00EF4B00"/>
    <w:p w14:paraId="136F42E9" w14:textId="77777777" w:rsidR="00E33CFC" w:rsidRPr="000A6F45" w:rsidRDefault="00044CA4">
      <w:pPr>
        <w:pStyle w:val="Heading3"/>
        <w:rPr>
          <w:lang w:val="es-ES_tradnl"/>
        </w:rPr>
      </w:pPr>
      <w:bookmarkStart w:id="20" w:name="_Toc177773956"/>
      <w:bookmarkStart w:id="21" w:name="_Toc178243058"/>
      <w:r w:rsidRPr="000A6F45">
        <w:rPr>
          <w:lang w:val="es-ES_tradnl"/>
        </w:rPr>
        <w:t>Cooperación entre organizaciones internacionales</w:t>
      </w:r>
      <w:bookmarkEnd w:id="20"/>
      <w:bookmarkEnd w:id="21"/>
    </w:p>
    <w:p w14:paraId="2E66AA8E" w14:textId="77777777" w:rsidR="00EF4B00" w:rsidRPr="000A6F45" w:rsidRDefault="00EF4B00" w:rsidP="00EF4B00">
      <w:pPr>
        <w:keepNext/>
      </w:pPr>
    </w:p>
    <w:p w14:paraId="33A9CF1F" w14:textId="77777777" w:rsidR="00E33CFC" w:rsidRPr="000A6F45" w:rsidRDefault="00044CA4">
      <w:pPr>
        <w:pStyle w:val="Heading4"/>
        <w:rPr>
          <w:lang w:val="es-ES_tradnl"/>
        </w:rPr>
      </w:pPr>
      <w:r w:rsidRPr="000A6F45">
        <w:rPr>
          <w:lang w:val="es-ES_tradnl"/>
        </w:rPr>
        <w:t>OCDE</w:t>
      </w:r>
    </w:p>
    <w:p w14:paraId="147BA152" w14:textId="77777777" w:rsidR="00EF4B00" w:rsidRPr="000A6F45" w:rsidRDefault="00EF4B00" w:rsidP="00EF4B00">
      <w:pPr>
        <w:keepNext/>
      </w:pPr>
    </w:p>
    <w:p w14:paraId="65E87E16" w14:textId="02DF5692" w:rsidR="00E33CFC" w:rsidRPr="000A6F45" w:rsidRDefault="00044CA4">
      <w:pPr>
        <w:keepNext/>
      </w:pPr>
      <w:r w:rsidRPr="000A6F45">
        <w:fldChar w:fldCharType="begin"/>
      </w:r>
      <w:r w:rsidRPr="000A6F45">
        <w:instrText xml:space="preserve"> AUTONUM  </w:instrText>
      </w:r>
      <w:r w:rsidRPr="000A6F45">
        <w:fldChar w:fldCharType="end"/>
      </w:r>
      <w:r w:rsidRPr="000A6F45">
        <w:tab/>
      </w:r>
      <w:r w:rsidR="00EF4B00" w:rsidRPr="000A6F45">
        <w:t xml:space="preserve">El TWM recibió una ponencia del Sr. </w:t>
      </w:r>
      <w:proofErr w:type="spellStart"/>
      <w:r w:rsidR="00EF4B00" w:rsidRPr="000A6F45">
        <w:t>Csaba</w:t>
      </w:r>
      <w:proofErr w:type="spellEnd"/>
      <w:r w:rsidR="00EF4B00" w:rsidRPr="000A6F45">
        <w:t xml:space="preserve"> Gaspar, de la Organización de Cooperación y de Desarrollo Económicos (OCDE), sobre "Últimas novedades en la aplicación de BMT en el marco de los Sistemas de Semillas de la OCDE", de </w:t>
      </w:r>
      <w:r w:rsidR="00F07B06" w:rsidRPr="000A6F45">
        <w:t xml:space="preserve">la que </w:t>
      </w:r>
      <w:r w:rsidR="00EF4B00" w:rsidRPr="000A6F45">
        <w:t xml:space="preserve">se facilita copia en el documento TWM/2/19. </w:t>
      </w:r>
    </w:p>
    <w:p w14:paraId="2339EDC8" w14:textId="77777777" w:rsidR="00EF4B00" w:rsidRPr="000A6F45" w:rsidRDefault="00EF4B00" w:rsidP="00EF4B00">
      <w:pPr>
        <w:pStyle w:val="ListParagraph"/>
        <w:ind w:left="0"/>
        <w:jc w:val="both"/>
      </w:pPr>
    </w:p>
    <w:p w14:paraId="0063D8B1"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tomó nota de la utilización de técnicas moleculares en los Sistemas de Semillas de la OCDE como procedimiento complementario para la identificación de variedades en los ensayos de campo.</w:t>
      </w:r>
    </w:p>
    <w:p w14:paraId="117CB946" w14:textId="77777777" w:rsidR="00EF4B00" w:rsidRPr="000A6F45" w:rsidRDefault="00EF4B00" w:rsidP="00EF4B00">
      <w:pPr>
        <w:pStyle w:val="ListParagraph"/>
        <w:ind w:left="0"/>
        <w:jc w:val="both"/>
      </w:pPr>
    </w:p>
    <w:p w14:paraId="78DC6408"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señaló que la OCDE estaba estudiando la evaluación de caracteres mediante el análisis de imágenes y que se preveía considerar en el futuro el uso de algoritmos de inteligencia artificial. </w:t>
      </w:r>
    </w:p>
    <w:p w14:paraId="39F6788E" w14:textId="77777777" w:rsidR="00EF4B00" w:rsidRPr="000A6F45" w:rsidRDefault="00EF4B00" w:rsidP="00EF4B00"/>
    <w:p w14:paraId="3F7BAFFC" w14:textId="77777777" w:rsidR="00E33CFC" w:rsidRPr="000A6F45" w:rsidRDefault="00044CA4">
      <w:pPr>
        <w:pStyle w:val="Heading4"/>
        <w:rPr>
          <w:lang w:val="es-ES_tradnl"/>
        </w:rPr>
      </w:pPr>
      <w:r w:rsidRPr="000A6F45">
        <w:rPr>
          <w:lang w:val="es-ES_tradnl"/>
        </w:rPr>
        <w:t>ISTA</w:t>
      </w:r>
    </w:p>
    <w:p w14:paraId="071B2C91" w14:textId="77777777" w:rsidR="00EF4B00" w:rsidRPr="000A6F45" w:rsidRDefault="00EF4B00" w:rsidP="00EF4B00"/>
    <w:p w14:paraId="38897E3C"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escuchó una ponencia de la Sra. Ana Laura Vicario, de la International </w:t>
      </w:r>
      <w:proofErr w:type="spellStart"/>
      <w:r w:rsidR="00EF4B00" w:rsidRPr="000A6F45">
        <w:t>Seed</w:t>
      </w:r>
      <w:proofErr w:type="spellEnd"/>
      <w:r w:rsidR="00EF4B00" w:rsidRPr="000A6F45">
        <w:t xml:space="preserve"> </w:t>
      </w:r>
      <w:proofErr w:type="spellStart"/>
      <w:r w:rsidR="00EF4B00" w:rsidRPr="000A6F45">
        <w:t>Testing</w:t>
      </w:r>
      <w:proofErr w:type="spellEnd"/>
      <w:r w:rsidR="00EF4B00" w:rsidRPr="000A6F45">
        <w:t xml:space="preserve"> </w:t>
      </w:r>
      <w:proofErr w:type="spellStart"/>
      <w:r w:rsidR="00EF4B00" w:rsidRPr="000A6F45">
        <w:t>Association</w:t>
      </w:r>
      <w:proofErr w:type="spellEnd"/>
      <w:r w:rsidR="00EF4B00" w:rsidRPr="000A6F45">
        <w:t xml:space="preserve"> (ISTA), sobre el "Informe de la ISTA sobre la utilización de técnicas moleculares", del </w:t>
      </w:r>
      <w:r w:rsidR="00F07B06" w:rsidRPr="000A6F45">
        <w:t xml:space="preserve">que </w:t>
      </w:r>
      <w:r w:rsidR="00EF4B00" w:rsidRPr="000A6F45">
        <w:t xml:space="preserve">se proporciona copia en el documento TWM/2/18. </w:t>
      </w:r>
    </w:p>
    <w:p w14:paraId="0DBC892F" w14:textId="77777777" w:rsidR="00EF4B00" w:rsidRPr="000A6F45" w:rsidRDefault="00EF4B00" w:rsidP="00EF4B00">
      <w:pPr>
        <w:pStyle w:val="ListParagraph"/>
        <w:ind w:left="0"/>
        <w:jc w:val="both"/>
      </w:pPr>
    </w:p>
    <w:p w14:paraId="14E78B32"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tomó nota de la invitación a los expertos interesados a unirse a las actividades del Comité de Variedades de la ISTA.</w:t>
      </w:r>
    </w:p>
    <w:p w14:paraId="11D3BCB5" w14:textId="77777777" w:rsidR="00EF4B00" w:rsidRPr="000A6F45" w:rsidRDefault="00EF4B00" w:rsidP="00EF4B00">
      <w:pPr>
        <w:pStyle w:val="ListParagraph"/>
        <w:ind w:left="0"/>
        <w:jc w:val="both"/>
      </w:pPr>
    </w:p>
    <w:p w14:paraId="02FB206F"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dio las gracias a la OCDE y a la ISTA por informar </w:t>
      </w:r>
      <w:r w:rsidR="00F07B06" w:rsidRPr="000A6F45">
        <w:t xml:space="preserve">sobre </w:t>
      </w:r>
      <w:r w:rsidR="00EF4B00" w:rsidRPr="000A6F45">
        <w:t>los avances en el uso de técnicas moleculares en sus respectivas organizaciones.</w:t>
      </w:r>
    </w:p>
    <w:p w14:paraId="7717EA08" w14:textId="77777777" w:rsidR="00EF4B00" w:rsidRPr="000A6F45" w:rsidRDefault="00EF4B00" w:rsidP="00EF4B00">
      <w:pPr>
        <w:pStyle w:val="ListParagraph"/>
        <w:ind w:left="0"/>
        <w:jc w:val="both"/>
      </w:pPr>
    </w:p>
    <w:p w14:paraId="6B7A3F73"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tomó nota de la invitación de la UPOV para la organización conjunta de un taller de la OCDE, la ISTA y la UPOV en el futuro, a fin de debatir la utilización de técnicas moleculares en cada organización y explorar una mayor colaboración en este ámbito.</w:t>
      </w:r>
    </w:p>
    <w:p w14:paraId="4BE10A00" w14:textId="77777777" w:rsidR="007C0689" w:rsidRPr="000A6F45" w:rsidRDefault="007C0689" w:rsidP="00EF4B00">
      <w:pPr>
        <w:pStyle w:val="ListParagraph"/>
        <w:ind w:left="0"/>
        <w:jc w:val="both"/>
      </w:pPr>
    </w:p>
    <w:p w14:paraId="13497925" w14:textId="77777777" w:rsidR="00E33CFC" w:rsidRPr="000A6F45" w:rsidRDefault="00044CA4">
      <w:pPr>
        <w:pStyle w:val="Heading3"/>
        <w:rPr>
          <w:lang w:val="es-ES_tradnl"/>
        </w:rPr>
      </w:pPr>
      <w:bookmarkStart w:id="22" w:name="_Toc177773957"/>
      <w:bookmarkStart w:id="23" w:name="_Toc178243059"/>
      <w:r w:rsidRPr="000A6F45">
        <w:rPr>
          <w:lang w:val="es-ES_tradnl"/>
        </w:rPr>
        <w:t xml:space="preserve">Informe </w:t>
      </w:r>
      <w:r w:rsidR="00F07B06" w:rsidRPr="000A6F45">
        <w:rPr>
          <w:lang w:val="es-ES_tradnl"/>
        </w:rPr>
        <w:t xml:space="preserve">sobre </w:t>
      </w:r>
      <w:r w:rsidRPr="000A6F45">
        <w:rPr>
          <w:lang w:val="es-ES_tradnl"/>
        </w:rPr>
        <w:t>los trabajos relativos a las técnicas moleculares en relación con el examen DHE</w:t>
      </w:r>
      <w:bookmarkEnd w:id="22"/>
      <w:bookmarkEnd w:id="23"/>
    </w:p>
    <w:p w14:paraId="04B93D70" w14:textId="77777777" w:rsidR="00EF4B00" w:rsidRPr="000A6F45" w:rsidRDefault="00EF4B00" w:rsidP="00EF4B00"/>
    <w:p w14:paraId="51769F9E" w14:textId="77777777" w:rsidR="00E33CFC" w:rsidRPr="000A6F45" w:rsidRDefault="00044CA4">
      <w:pPr>
        <w:pStyle w:val="Heading4"/>
        <w:rPr>
          <w:lang w:val="es-ES_tradnl"/>
        </w:rPr>
      </w:pPr>
      <w:r w:rsidRPr="000A6F45">
        <w:rPr>
          <w:lang w:val="es-ES_tradnl"/>
        </w:rPr>
        <w:t>Gestión de colecciones de referencia mediante marcadores moleculares: un nuevo enfoque basado en la predicción genómica</w:t>
      </w:r>
    </w:p>
    <w:p w14:paraId="4ED65780" w14:textId="77777777" w:rsidR="00EF4B00" w:rsidRPr="000A6F45" w:rsidRDefault="00EF4B00" w:rsidP="00EF4B00"/>
    <w:p w14:paraId="0FE7A0F2"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examinó el documento TWM/2/4 y escuchó una ponencia del Sr. </w:t>
      </w:r>
      <w:proofErr w:type="spellStart"/>
      <w:r w:rsidR="00EF4B00" w:rsidRPr="000A6F45">
        <w:t>Adrian</w:t>
      </w:r>
      <w:proofErr w:type="spellEnd"/>
      <w:r w:rsidR="00EF4B00" w:rsidRPr="000A6F45">
        <w:t xml:space="preserve"> Roberts (Reino Unido) sobre "Predicción genómica para la gestión de colecciones de referencia", </w:t>
      </w:r>
      <w:r w:rsidR="00EF4B00" w:rsidRPr="000A6F45">
        <w:rPr>
          <w:rFonts w:cs="Arial"/>
          <w:iCs/>
        </w:rPr>
        <w:t xml:space="preserve">cuya copia se reproduce en el documento </w:t>
      </w:r>
      <w:r w:rsidR="00EF4B00" w:rsidRPr="000A6F45">
        <w:t xml:space="preserve">TWM/2/4 </w:t>
      </w:r>
      <w:proofErr w:type="spellStart"/>
      <w:r w:rsidR="00EF4B00" w:rsidRPr="000A6F45">
        <w:t>Add</w:t>
      </w:r>
      <w:proofErr w:type="spellEnd"/>
      <w:r w:rsidR="00EF4B00" w:rsidRPr="000A6F45">
        <w:t>.</w:t>
      </w:r>
    </w:p>
    <w:p w14:paraId="4416166A" w14:textId="77777777" w:rsidR="00EF4B00" w:rsidRPr="000A6F45" w:rsidRDefault="00EF4B00" w:rsidP="00EF4B00">
      <w:pPr>
        <w:pStyle w:val="ListParagraph"/>
        <w:ind w:left="0"/>
        <w:jc w:val="both"/>
      </w:pPr>
    </w:p>
    <w:p w14:paraId="1E66CAAF" w14:textId="77777777" w:rsidR="00E33CFC" w:rsidRPr="000A6F45" w:rsidRDefault="00044CA4">
      <w:r w:rsidRPr="000A6F45">
        <w:lastRenderedPageBreak/>
        <w:fldChar w:fldCharType="begin"/>
      </w:r>
      <w:r w:rsidRPr="000A6F45">
        <w:instrText xml:space="preserve"> AUTONUM  </w:instrText>
      </w:r>
      <w:r w:rsidRPr="000A6F45">
        <w:fldChar w:fldCharType="end"/>
      </w:r>
      <w:r w:rsidRPr="000A6F45">
        <w:tab/>
      </w:r>
      <w:r w:rsidR="00EF4B00" w:rsidRPr="000A6F45">
        <w:t xml:space="preserve">El TWM observó que el método de predicción genómica tenía por objeto establecer vínculos entre los marcadores moleculares y la expresión fenotípica de los caracteres en las variedades de </w:t>
      </w:r>
      <w:proofErr w:type="spellStart"/>
      <w:r w:rsidR="00EF4B00" w:rsidRPr="000A6F45">
        <w:t>ray-grass</w:t>
      </w:r>
      <w:proofErr w:type="spellEnd"/>
      <w:r w:rsidR="00EF4B00" w:rsidRPr="000A6F45">
        <w:t>, y que podría ayudar a la gestión de las colecciones de variedades.</w:t>
      </w:r>
    </w:p>
    <w:p w14:paraId="687A5DCF" w14:textId="77777777" w:rsidR="00EF4B00" w:rsidRPr="000A6F45" w:rsidRDefault="00EF4B00" w:rsidP="00EF4B00">
      <w:pPr>
        <w:pStyle w:val="ListParagraph"/>
        <w:ind w:left="0"/>
        <w:jc w:val="both"/>
      </w:pPr>
    </w:p>
    <w:p w14:paraId="396DBDEB"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señaló que el método de predicción genómica se había desarrollado utilizando datos de un único lugar de ensayo y que se seguiría evaluando en otros cultivos en los que se dispusiera de datos de diferentes lugares. </w:t>
      </w:r>
    </w:p>
    <w:p w14:paraId="421BB38B" w14:textId="77777777" w:rsidR="00EF4B00" w:rsidRPr="000A6F45" w:rsidRDefault="00EF4B00" w:rsidP="00EF4B00"/>
    <w:p w14:paraId="3BC3A6CD" w14:textId="77777777" w:rsidR="00E33CFC" w:rsidRPr="000A6F45" w:rsidRDefault="00044CA4">
      <w:pPr>
        <w:pStyle w:val="Heading4"/>
        <w:rPr>
          <w:lang w:val="es-ES_tradnl"/>
        </w:rPr>
      </w:pPr>
      <w:r w:rsidRPr="000A6F45">
        <w:rPr>
          <w:lang w:val="es-ES_tradnl"/>
        </w:rPr>
        <w:t>Evaluación de la uniformidad mediante marcadores moleculares</w:t>
      </w:r>
    </w:p>
    <w:p w14:paraId="5BE2CF00" w14:textId="77777777" w:rsidR="00EF4B00" w:rsidRPr="000A6F45" w:rsidRDefault="00EF4B00" w:rsidP="00EF4B00"/>
    <w:p w14:paraId="272C2C9C"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examinó el documento TWM/2/5 y escuchó una ponencia del Sr. </w:t>
      </w:r>
      <w:proofErr w:type="spellStart"/>
      <w:r w:rsidR="00EF4B00" w:rsidRPr="000A6F45">
        <w:t>Adrian</w:t>
      </w:r>
      <w:proofErr w:type="spellEnd"/>
      <w:r w:rsidR="00EF4B00" w:rsidRPr="000A6F45">
        <w:t xml:space="preserve"> Roberts (Reino Unido) sobre "Evaluación de la homogeneidad mediante marcadores moleculares", </w:t>
      </w:r>
      <w:r w:rsidR="00EF4B00" w:rsidRPr="000A6F45">
        <w:rPr>
          <w:rFonts w:cs="Arial"/>
          <w:iCs/>
        </w:rPr>
        <w:t xml:space="preserve">cuya copia se reproduce en el documento </w:t>
      </w:r>
      <w:r w:rsidR="00EF4B00" w:rsidRPr="000A6F45">
        <w:t xml:space="preserve">TWM/2/5 </w:t>
      </w:r>
      <w:proofErr w:type="spellStart"/>
      <w:r w:rsidR="00EF4B00" w:rsidRPr="000A6F45">
        <w:t>Add</w:t>
      </w:r>
      <w:proofErr w:type="spellEnd"/>
      <w:r w:rsidR="00EF4B00" w:rsidRPr="000A6F45">
        <w:t>.</w:t>
      </w:r>
    </w:p>
    <w:p w14:paraId="64B82EF1" w14:textId="77777777" w:rsidR="00EF4B00" w:rsidRPr="000A6F45" w:rsidRDefault="00EF4B00" w:rsidP="00EF4B00">
      <w:pPr>
        <w:pStyle w:val="ListParagraph"/>
        <w:ind w:left="0"/>
        <w:jc w:val="both"/>
      </w:pPr>
    </w:p>
    <w:p w14:paraId="08EDBE54"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observó que la investigación se había llevado a cabo evaluando la variabilidad genética de un cultivo </w:t>
      </w:r>
      <w:r w:rsidR="00F07B06" w:rsidRPr="000A6F45">
        <w:t xml:space="preserve">alógamo </w:t>
      </w:r>
      <w:r w:rsidR="00EF4B00" w:rsidRPr="000A6F45">
        <w:t>(</w:t>
      </w:r>
      <w:proofErr w:type="spellStart"/>
      <w:r w:rsidR="00EF4B00" w:rsidRPr="000A6F45">
        <w:t>ray-grass</w:t>
      </w:r>
      <w:proofErr w:type="spellEnd"/>
      <w:r w:rsidR="00EF4B00" w:rsidRPr="000A6F45">
        <w:t xml:space="preserve">) con caracteres medidos y no probados en caracteres </w:t>
      </w:r>
      <w:proofErr w:type="spellStart"/>
      <w:r w:rsidR="00EF4B00" w:rsidRPr="000A6F45">
        <w:t>pseudocualitativos</w:t>
      </w:r>
      <w:proofErr w:type="spellEnd"/>
      <w:r w:rsidR="00EF4B00" w:rsidRPr="000A6F45">
        <w:t>.</w:t>
      </w:r>
    </w:p>
    <w:p w14:paraId="23AB49C6" w14:textId="77777777" w:rsidR="00EF4B00" w:rsidRPr="000A6F45" w:rsidRDefault="00EF4B00" w:rsidP="00EF4B00">
      <w:pPr>
        <w:pStyle w:val="ListParagraph"/>
        <w:ind w:left="0"/>
        <w:jc w:val="both"/>
      </w:pPr>
    </w:p>
    <w:p w14:paraId="7D39FFAD"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señaló que en los próximos pasos de la investigación se podría investigar el error de medición asociado a la metodología de secuenciación mediante ejecuciones independientes con la misma muestra conjunta.</w:t>
      </w:r>
    </w:p>
    <w:p w14:paraId="35128C61" w14:textId="77777777" w:rsidR="00EF4B00" w:rsidRPr="000A6F45" w:rsidRDefault="00EF4B00" w:rsidP="00EF4B00"/>
    <w:p w14:paraId="23A03AE2" w14:textId="77777777" w:rsidR="00E33CFC" w:rsidRPr="000A6F45" w:rsidRDefault="00044CA4">
      <w:pPr>
        <w:pStyle w:val="Heading4"/>
        <w:rPr>
          <w:lang w:val="es-ES_tradnl"/>
        </w:rPr>
      </w:pPr>
      <w:r w:rsidRPr="000A6F45">
        <w:rPr>
          <w:lang w:val="es-ES_tradnl"/>
        </w:rPr>
        <w:t>Enfoques moleculares para apoyar el examen DHE</w:t>
      </w:r>
    </w:p>
    <w:p w14:paraId="54FFBB2E" w14:textId="77777777" w:rsidR="00EF4B00" w:rsidRPr="000A6F45" w:rsidRDefault="00EF4B00" w:rsidP="00EF4B00"/>
    <w:p w14:paraId="71BCADB2" w14:textId="651F5388"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examinó el documento TWM/2/6 y escuchó una ponencia de la Sra. Vanessa </w:t>
      </w:r>
      <w:proofErr w:type="spellStart"/>
      <w:r w:rsidR="00EF4B00" w:rsidRPr="000A6F45">
        <w:t>McMillan</w:t>
      </w:r>
      <w:proofErr w:type="spellEnd"/>
      <w:r w:rsidR="00EF4B00" w:rsidRPr="000A6F45">
        <w:t xml:space="preserve"> (Reino</w:t>
      </w:r>
      <w:r w:rsidR="0073134C">
        <w:t> </w:t>
      </w:r>
      <w:r w:rsidR="00EF4B00" w:rsidRPr="000A6F45">
        <w:t xml:space="preserve">Unido) sobre "Enfoques moleculares en apoyo del examen DHE", </w:t>
      </w:r>
      <w:r w:rsidR="00EF4B00" w:rsidRPr="000A6F45">
        <w:rPr>
          <w:rFonts w:cs="Arial"/>
          <w:iCs/>
        </w:rPr>
        <w:t xml:space="preserve">cuya copia se reproduce en el documento </w:t>
      </w:r>
      <w:r w:rsidR="00EF4B00" w:rsidRPr="000A6F45">
        <w:t xml:space="preserve">TWM/2/6 </w:t>
      </w:r>
      <w:proofErr w:type="spellStart"/>
      <w:r w:rsidR="00EF4B00" w:rsidRPr="000A6F45">
        <w:t>Add</w:t>
      </w:r>
      <w:proofErr w:type="spellEnd"/>
      <w:r w:rsidR="00EF4B00" w:rsidRPr="000A6F45">
        <w:t>.</w:t>
      </w:r>
    </w:p>
    <w:p w14:paraId="6E608BA2" w14:textId="77777777" w:rsidR="00EF4B00" w:rsidRPr="000A6F45" w:rsidRDefault="00EF4B00" w:rsidP="00EF4B00">
      <w:pPr>
        <w:pStyle w:val="ListParagraph"/>
        <w:ind w:left="0"/>
        <w:jc w:val="both"/>
      </w:pPr>
    </w:p>
    <w:p w14:paraId="08D9BD5E"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tomó nota de que se había logrado hasta un 75% de correlación marcador-rasgo en variedades de cebada, aunque no en relación con los caracteres DHE.  El TWM tomó nota de la intención de publicar los marcadores moleculares identificados en el proyecto, que también podrían utilizarse para autenticar nuevas semillas de variedades.  El TWM acordó invitar al experto del Reino Unido a que informe sobre los progresos realizados en su tercera reunión.</w:t>
      </w:r>
    </w:p>
    <w:p w14:paraId="244267D6" w14:textId="77777777" w:rsidR="00EF4B00" w:rsidRPr="000A6F45" w:rsidRDefault="00EF4B00" w:rsidP="00EF4B00"/>
    <w:p w14:paraId="2296486C" w14:textId="77777777" w:rsidR="00E33CFC" w:rsidRPr="000A6F45" w:rsidRDefault="00044CA4">
      <w:pPr>
        <w:pStyle w:val="Heading4"/>
        <w:rPr>
          <w:lang w:val="es-ES_tradnl"/>
        </w:rPr>
      </w:pPr>
      <w:r w:rsidRPr="000A6F45">
        <w:rPr>
          <w:lang w:val="es-ES_tradnl"/>
        </w:rPr>
        <w:t>Actividades de I+D de la OCVV</w:t>
      </w:r>
    </w:p>
    <w:p w14:paraId="7A651C3D" w14:textId="77777777" w:rsidR="00EF4B00" w:rsidRPr="000A6F45" w:rsidRDefault="00EF4B00" w:rsidP="00EF4B00">
      <w:pPr>
        <w:keepNext/>
      </w:pPr>
    </w:p>
    <w:p w14:paraId="13F95B88" w14:textId="77777777" w:rsidR="00E33CFC" w:rsidRPr="000A6F45" w:rsidRDefault="00044CA4">
      <w:pPr>
        <w:keepNext/>
      </w:pPr>
      <w:r w:rsidRPr="000A6F45">
        <w:fldChar w:fldCharType="begin"/>
      </w:r>
      <w:r w:rsidRPr="000A6F45">
        <w:instrText xml:space="preserve"> AUTONUM  </w:instrText>
      </w:r>
      <w:r w:rsidRPr="000A6F45">
        <w:fldChar w:fldCharType="end"/>
      </w:r>
      <w:r w:rsidRPr="000A6F45">
        <w:tab/>
      </w:r>
      <w:r w:rsidR="00EF4B00" w:rsidRPr="000A6F45">
        <w:t xml:space="preserve">El TWM escuchó una ponencia de la Sra. Cécile </w:t>
      </w:r>
      <w:proofErr w:type="spellStart"/>
      <w:r w:rsidR="00EF4B00" w:rsidRPr="000A6F45">
        <w:t>Collonnier</w:t>
      </w:r>
      <w:proofErr w:type="spellEnd"/>
      <w:r w:rsidR="00EF4B00" w:rsidRPr="000A6F45">
        <w:t xml:space="preserve"> (Unión Europea) sobre las "Actividades de I+D de la OCVV", de </w:t>
      </w:r>
      <w:r w:rsidRPr="000A6F45">
        <w:t xml:space="preserve">la que </w:t>
      </w:r>
      <w:r w:rsidR="00EF4B00" w:rsidRPr="000A6F45">
        <w:t xml:space="preserve">se facilita copia en el documento TWM/2/12. </w:t>
      </w:r>
    </w:p>
    <w:p w14:paraId="60391E30" w14:textId="77777777" w:rsidR="00EF4B00" w:rsidRPr="000A6F45" w:rsidRDefault="00EF4B00" w:rsidP="00EF4B00">
      <w:pPr>
        <w:pStyle w:val="ListParagraph"/>
        <w:ind w:left="0"/>
        <w:jc w:val="both"/>
      </w:pPr>
    </w:p>
    <w:p w14:paraId="0A47F09B"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tomó nota de las aportaciones de los distintos proyectos presentados, en particular del proyecto INVITE, que finalizará en 2024. </w:t>
      </w:r>
    </w:p>
    <w:p w14:paraId="04E623A2" w14:textId="77777777" w:rsidR="00EF4B00" w:rsidRPr="000A6F45" w:rsidRDefault="00EF4B00" w:rsidP="00EF4B00"/>
    <w:p w14:paraId="0BF1AF9C" w14:textId="77777777" w:rsidR="00E33CFC" w:rsidRPr="000A6F45" w:rsidRDefault="00044CA4">
      <w:pPr>
        <w:pStyle w:val="Heading4"/>
        <w:rPr>
          <w:lang w:val="es-ES_tradnl"/>
        </w:rPr>
      </w:pPr>
      <w:r w:rsidRPr="000A6F45">
        <w:rPr>
          <w:lang w:val="es-ES_tradnl"/>
        </w:rPr>
        <w:t xml:space="preserve">Maíz6H-60K: </w:t>
      </w:r>
      <w:bookmarkStart w:id="24" w:name="_Hlk178242185"/>
      <w:r w:rsidRPr="000A6F45">
        <w:rPr>
          <w:lang w:val="es-ES_tradnl"/>
        </w:rPr>
        <w:t>Una matriz de polimorfismos de nucleótido único para todo el genoma y su aplicación</w:t>
      </w:r>
      <w:bookmarkEnd w:id="24"/>
    </w:p>
    <w:p w14:paraId="51EA9829" w14:textId="77777777" w:rsidR="00EF4B00" w:rsidRPr="000A6F45" w:rsidRDefault="00EF4B00" w:rsidP="00EF4B00"/>
    <w:p w14:paraId="2FDC4858" w14:textId="6B19A379"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recibió una ponencia de la Sra. </w:t>
      </w:r>
      <w:proofErr w:type="spellStart"/>
      <w:r w:rsidR="00EF4B00" w:rsidRPr="000A6F45">
        <w:t>Hongli</w:t>
      </w:r>
      <w:proofErr w:type="spellEnd"/>
      <w:r w:rsidR="00EF4B00" w:rsidRPr="000A6F45">
        <w:t xml:space="preserve"> </w:t>
      </w:r>
      <w:proofErr w:type="spellStart"/>
      <w:r w:rsidR="00EF4B00" w:rsidRPr="000A6F45">
        <w:t>Tian</w:t>
      </w:r>
      <w:proofErr w:type="spellEnd"/>
      <w:r w:rsidR="00EF4B00" w:rsidRPr="000A6F45">
        <w:t xml:space="preserve"> (China) sobre "Maize6H-60K: </w:t>
      </w:r>
      <w:r w:rsidR="0073134C" w:rsidRPr="0073134C">
        <w:t>Una matriz de polimorfismos de nucleótido único para todo el genoma y su aplicación</w:t>
      </w:r>
      <w:r w:rsidR="00EF4B00" w:rsidRPr="000A6F45">
        <w:t xml:space="preserve">", de </w:t>
      </w:r>
      <w:r w:rsidRPr="000A6F45">
        <w:t xml:space="preserve">la que </w:t>
      </w:r>
      <w:r w:rsidR="00EF4B00" w:rsidRPr="000A6F45">
        <w:t xml:space="preserve">se proporciona copia en el documento TWM/2/16. </w:t>
      </w:r>
    </w:p>
    <w:p w14:paraId="30D01D94" w14:textId="77777777" w:rsidR="00EF4B00" w:rsidRPr="000A6F45" w:rsidRDefault="00EF4B00" w:rsidP="00EF4B00">
      <w:pPr>
        <w:pStyle w:val="ListParagraph"/>
        <w:ind w:left="0"/>
        <w:contextualSpacing w:val="0"/>
        <w:jc w:val="both"/>
      </w:pPr>
    </w:p>
    <w:p w14:paraId="3B0B86CA" w14:textId="77777777" w:rsidR="00E33CFC" w:rsidRPr="000A6F45" w:rsidRDefault="00044CA4">
      <w:pPr>
        <w:spacing w:before="60" w:after="60"/>
      </w:pPr>
      <w:r w:rsidRPr="000A6F45">
        <w:fldChar w:fldCharType="begin"/>
      </w:r>
      <w:r w:rsidRPr="000A6F45">
        <w:instrText xml:space="preserve"> AUTONUM  </w:instrText>
      </w:r>
      <w:r w:rsidRPr="000A6F45">
        <w:fldChar w:fldCharType="end"/>
      </w:r>
      <w:r w:rsidRPr="000A6F45">
        <w:tab/>
      </w:r>
      <w:r w:rsidR="00EF4B00" w:rsidRPr="000A6F45">
        <w:t xml:space="preserve">El TWM observó que el 21% de los SNP de la matriz estaban situados en regiones codificantes del genoma, aunque aún no se había identificado su relación con la expresión de los caracteres. </w:t>
      </w:r>
    </w:p>
    <w:p w14:paraId="443ECCEC" w14:textId="77777777" w:rsidR="00EF4B00" w:rsidRPr="000A6F45" w:rsidRDefault="00EF4B00" w:rsidP="00EF4B00"/>
    <w:p w14:paraId="384855E6" w14:textId="77777777" w:rsidR="00E33CFC" w:rsidRPr="000A6F45" w:rsidRDefault="00044CA4">
      <w:pPr>
        <w:pStyle w:val="Heading4"/>
        <w:rPr>
          <w:lang w:val="es-ES_tradnl"/>
        </w:rPr>
      </w:pPr>
      <w:r w:rsidRPr="000A6F45">
        <w:rPr>
          <w:lang w:val="es-ES_tradnl"/>
        </w:rPr>
        <w:t>Directrices para la validación de un nuevo protocolo de marcadores moleculares específicos para estudios DHE como método alternativo de observación</w:t>
      </w:r>
    </w:p>
    <w:p w14:paraId="4A141C11" w14:textId="77777777" w:rsidR="00EF4B00" w:rsidRPr="000A6F45" w:rsidRDefault="00EF4B00" w:rsidP="00F07B06">
      <w:pPr>
        <w:keepNext/>
      </w:pPr>
    </w:p>
    <w:p w14:paraId="008584E8"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escuchó una ponencia de la Sra. </w:t>
      </w:r>
      <w:proofErr w:type="spellStart"/>
      <w:r w:rsidR="00EF4B00" w:rsidRPr="000A6F45">
        <w:t>Amandine</w:t>
      </w:r>
      <w:proofErr w:type="spellEnd"/>
      <w:r w:rsidR="00EF4B00" w:rsidRPr="000A6F45">
        <w:t xml:space="preserve"> </w:t>
      </w:r>
      <w:proofErr w:type="spellStart"/>
      <w:r w:rsidR="00EF4B00" w:rsidRPr="000A6F45">
        <w:t>LeVan</w:t>
      </w:r>
      <w:proofErr w:type="spellEnd"/>
      <w:r w:rsidR="00EF4B00" w:rsidRPr="000A6F45">
        <w:t xml:space="preserve"> (Francia) sobre "Directrices para la validación de un nuevo protocolo de marcadores moleculares específicos de caracteres para estudios DHE como método alternativo de observación", </w:t>
      </w:r>
      <w:r w:rsidR="00143B09" w:rsidRPr="000A6F45">
        <w:t>cuya</w:t>
      </w:r>
      <w:r w:rsidR="00EF4B00" w:rsidRPr="000A6F45">
        <w:t xml:space="preserve"> copia figura en el documento TWM/2/17. </w:t>
      </w:r>
    </w:p>
    <w:p w14:paraId="1D486BC2" w14:textId="77777777" w:rsidR="00EF4B00" w:rsidRPr="000A6F45" w:rsidRDefault="00EF4B00" w:rsidP="00EF4B00">
      <w:pPr>
        <w:pStyle w:val="ListParagraph"/>
        <w:ind w:left="0"/>
        <w:jc w:val="both"/>
      </w:pPr>
    </w:p>
    <w:p w14:paraId="7E5AC325"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señaló que la propuesta sería examinada por el TWV e informada al TC, en sus sesiones de 2024.</w:t>
      </w:r>
    </w:p>
    <w:p w14:paraId="7AFD6DB1" w14:textId="77777777" w:rsidR="00795BFF" w:rsidRPr="000A6F45" w:rsidRDefault="00795BFF" w:rsidP="00EF4B00">
      <w:pPr>
        <w:pStyle w:val="ListParagraph"/>
        <w:ind w:left="0"/>
        <w:jc w:val="both"/>
      </w:pPr>
    </w:p>
    <w:p w14:paraId="676622A6" w14:textId="77777777" w:rsidR="00E33CFC" w:rsidRPr="000A6F45" w:rsidRDefault="00044CA4">
      <w:pPr>
        <w:pStyle w:val="Heading3"/>
        <w:rPr>
          <w:lang w:val="es-ES_tradnl"/>
        </w:rPr>
      </w:pPr>
      <w:bookmarkStart w:id="25" w:name="_Toc177773958"/>
      <w:bookmarkStart w:id="26" w:name="_Toc178243060"/>
      <w:r w:rsidRPr="000A6F45">
        <w:rPr>
          <w:lang w:val="es-ES_tradnl"/>
        </w:rPr>
        <w:lastRenderedPageBreak/>
        <w:t>El uso de técnicas moleculares en la identificación de variedades</w:t>
      </w:r>
      <w:bookmarkEnd w:id="25"/>
      <w:bookmarkEnd w:id="26"/>
    </w:p>
    <w:p w14:paraId="544C242D" w14:textId="77777777" w:rsidR="00EF4B00" w:rsidRPr="000A6F45" w:rsidRDefault="00EF4B00" w:rsidP="00EF4B00">
      <w:pPr>
        <w:keepNext/>
      </w:pPr>
    </w:p>
    <w:p w14:paraId="0814C571" w14:textId="77777777" w:rsidR="00E33CFC" w:rsidRPr="000A6F45" w:rsidRDefault="00044CA4">
      <w:pPr>
        <w:pStyle w:val="Heading4"/>
        <w:rPr>
          <w:lang w:val="es-ES_tradnl"/>
        </w:rPr>
      </w:pPr>
      <w:r w:rsidRPr="000A6F45">
        <w:rPr>
          <w:lang w:val="es-ES_tradnl"/>
        </w:rPr>
        <w:t>Uso de marcadores basados en inteligencia artificial para la trazabilidad de variedades</w:t>
      </w:r>
    </w:p>
    <w:p w14:paraId="1FE73387" w14:textId="77777777" w:rsidR="00EF4B00" w:rsidRPr="000A6F45" w:rsidRDefault="00EF4B00" w:rsidP="00EF4B00">
      <w:pPr>
        <w:keepNext/>
      </w:pPr>
    </w:p>
    <w:p w14:paraId="03B093B8" w14:textId="77777777" w:rsidR="00E33CFC" w:rsidRPr="000A6F45" w:rsidRDefault="00044CA4">
      <w:pPr>
        <w:keepNext/>
      </w:pPr>
      <w:r w:rsidRPr="000A6F45">
        <w:fldChar w:fldCharType="begin"/>
      </w:r>
      <w:r w:rsidRPr="000A6F45">
        <w:instrText xml:space="preserve"> AUTONUM  </w:instrText>
      </w:r>
      <w:r w:rsidRPr="000A6F45">
        <w:fldChar w:fldCharType="end"/>
      </w:r>
      <w:r w:rsidRPr="000A6F45">
        <w:tab/>
      </w:r>
      <w:r w:rsidR="00EF4B00" w:rsidRPr="000A6F45">
        <w:t xml:space="preserve">El TWM escuchó una ponencia de la Sra. Ana Laura Vicario (Argentina) sobre la "Utilización de marcadores basados en la inteligencia artificial para la rastreabilidad de las variedades", de </w:t>
      </w:r>
      <w:r w:rsidR="00143B09" w:rsidRPr="000A6F45">
        <w:t xml:space="preserve">la que </w:t>
      </w:r>
      <w:r w:rsidR="00EF4B00" w:rsidRPr="000A6F45">
        <w:t xml:space="preserve">se facilita copia en el documento TWM/2/9. </w:t>
      </w:r>
    </w:p>
    <w:p w14:paraId="281FACDF" w14:textId="77777777" w:rsidR="00EF4B00" w:rsidRPr="000A6F45" w:rsidRDefault="00EF4B00" w:rsidP="00EF4B00">
      <w:pPr>
        <w:pStyle w:val="ListParagraph"/>
        <w:ind w:left="0"/>
        <w:jc w:val="both"/>
      </w:pPr>
    </w:p>
    <w:p w14:paraId="6237B53C"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señaló que la tecnología se utiliza en los procedimientos rutinarios de control del mercado y trazabilidad de las variedades de cebada y trigo en Argentina.  El TWM tomó nota de que la tecnología se estaba desarrollando para las variedades de soja.</w:t>
      </w:r>
    </w:p>
    <w:p w14:paraId="0E30B0EB" w14:textId="77777777" w:rsidR="00EF4B00" w:rsidRPr="000A6F45" w:rsidRDefault="00EF4B00" w:rsidP="00EF4B00">
      <w:pPr>
        <w:pStyle w:val="ListParagraph"/>
        <w:ind w:left="0"/>
        <w:jc w:val="both"/>
      </w:pPr>
    </w:p>
    <w:p w14:paraId="7CFFCCFB"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El TWM observó que el algoritmo utilizado establece patrones únicos para cada variedad basándose en la morfología de las semillas.  El TWM observó que los umbrales para la toma de decisiones y el error aceptado podrían ajustarse para permitir el análisis de la pureza de las variedades.</w:t>
      </w:r>
    </w:p>
    <w:p w14:paraId="7C67C06D" w14:textId="77777777" w:rsidR="00EF4B00" w:rsidRPr="000A6F45" w:rsidRDefault="00EF4B00" w:rsidP="00EF4B00"/>
    <w:p w14:paraId="334E108E" w14:textId="77777777" w:rsidR="00E33CFC" w:rsidRPr="000A6F45" w:rsidRDefault="00044CA4">
      <w:pPr>
        <w:pStyle w:val="Heading4"/>
        <w:rPr>
          <w:lang w:val="es-ES_tradnl"/>
        </w:rPr>
      </w:pPr>
      <w:proofErr w:type="spellStart"/>
      <w:r w:rsidRPr="000A6F45">
        <w:rPr>
          <w:lang w:val="es-ES_tradnl"/>
        </w:rPr>
        <w:t>LociScan</w:t>
      </w:r>
      <w:proofErr w:type="spellEnd"/>
      <w:r w:rsidRPr="000A6F45">
        <w:rPr>
          <w:lang w:val="es-ES_tradnl"/>
        </w:rPr>
        <w:t>, una herramienta de selección de combinaciones de marcadores genéticos para la discriminación de variedades vegetales</w:t>
      </w:r>
    </w:p>
    <w:p w14:paraId="54DDF445" w14:textId="77777777" w:rsidR="00EF4B00" w:rsidRPr="000A6F45" w:rsidRDefault="00EF4B00" w:rsidP="00EF4B00"/>
    <w:p w14:paraId="61F0EF5A" w14:textId="003B4A94"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asistió a una ponencia del Sr. Yang </w:t>
      </w:r>
      <w:proofErr w:type="spellStart"/>
      <w:r w:rsidR="00EF4B00" w:rsidRPr="000A6F45">
        <w:t>Yang</w:t>
      </w:r>
      <w:proofErr w:type="spellEnd"/>
      <w:r w:rsidR="00EF4B00" w:rsidRPr="000A6F45">
        <w:t xml:space="preserve"> (China) sobre "</w:t>
      </w:r>
      <w:proofErr w:type="spellStart"/>
      <w:r w:rsidR="00EF4B00" w:rsidRPr="000A6F45">
        <w:t>LociScan</w:t>
      </w:r>
      <w:proofErr w:type="spellEnd"/>
      <w:r w:rsidR="00EF4B00" w:rsidRPr="000A6F45">
        <w:t xml:space="preserve">, una herramienta de </w:t>
      </w:r>
      <w:r w:rsidR="00362DE3" w:rsidRPr="00362DE3">
        <w:t xml:space="preserve">selección </w:t>
      </w:r>
      <w:r w:rsidR="00EF4B00" w:rsidRPr="000A6F45">
        <w:t xml:space="preserve">de combinaciones de marcadores genéticos para la discriminación de variedades vegetales", </w:t>
      </w:r>
      <w:r w:rsidR="00DB0627" w:rsidRPr="000A6F45">
        <w:t>cuya</w:t>
      </w:r>
      <w:r w:rsidR="00EF4B00" w:rsidRPr="000A6F45">
        <w:t xml:space="preserve"> copia figura en el documento TWM/2/14. </w:t>
      </w:r>
    </w:p>
    <w:p w14:paraId="731B4C4C" w14:textId="77777777" w:rsidR="00EF4B00" w:rsidRPr="000A6F45" w:rsidRDefault="00EF4B00" w:rsidP="00EF4B00"/>
    <w:p w14:paraId="794B026E"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señaló que la herramienta informática </w:t>
      </w:r>
      <w:proofErr w:type="spellStart"/>
      <w:r w:rsidR="00EF4B00" w:rsidRPr="000A6F45">
        <w:t>LociScan</w:t>
      </w:r>
      <w:proofErr w:type="spellEnd"/>
      <w:r w:rsidR="00EF4B00" w:rsidRPr="000A6F45">
        <w:t xml:space="preserve"> identifica combinaciones de conjuntos de marcadores para optimizar el número de marcadores necesarios para discriminar las variedades.  El TWM señaló que el tiempo de análisis requerido por la herramienta dependerá del número de muestras procesadas y no del número de marcadores utilizados.</w:t>
      </w:r>
    </w:p>
    <w:p w14:paraId="4DA93BDB" w14:textId="77777777" w:rsidR="00EF4B00" w:rsidRPr="000A6F45" w:rsidRDefault="00EF4B00" w:rsidP="00EF4B00"/>
    <w:p w14:paraId="706A312C" w14:textId="77777777" w:rsidR="00E33CFC" w:rsidRPr="000A6F45" w:rsidRDefault="00044CA4">
      <w:r w:rsidRPr="000A6F45">
        <w:fldChar w:fldCharType="begin"/>
      </w:r>
      <w:r w:rsidRPr="000A6F45">
        <w:instrText xml:space="preserve"> AUTONUM  </w:instrText>
      </w:r>
      <w:r w:rsidRPr="000A6F45">
        <w:fldChar w:fldCharType="end"/>
      </w:r>
      <w:r w:rsidRPr="000A6F45">
        <w:tab/>
      </w:r>
      <w:r w:rsidR="00EF4B00" w:rsidRPr="000A6F45">
        <w:t xml:space="preserve">El TWM tomó nota de que la herramienta informática </w:t>
      </w:r>
      <w:proofErr w:type="spellStart"/>
      <w:r w:rsidR="00EF4B00" w:rsidRPr="000A6F45">
        <w:t>LociScan</w:t>
      </w:r>
      <w:proofErr w:type="spellEnd"/>
      <w:r w:rsidR="00EF4B00" w:rsidRPr="000A6F45">
        <w:t xml:space="preserve"> estaba disponible para ser probada y acordó invitar a los expertos interesados a probar la herramienta e informar de los resultados al experto de China.</w:t>
      </w:r>
    </w:p>
    <w:p w14:paraId="34ED656A" w14:textId="77777777" w:rsidR="00EF4B00" w:rsidRPr="000A6F45" w:rsidRDefault="00EF4B00" w:rsidP="00EF4B00">
      <w:pPr>
        <w:rPr>
          <w:u w:val="single"/>
        </w:rPr>
      </w:pPr>
    </w:p>
    <w:p w14:paraId="125853E0" w14:textId="77777777" w:rsidR="00E33CFC" w:rsidRPr="000A6F45" w:rsidRDefault="00044CA4">
      <w:pPr>
        <w:tabs>
          <w:tab w:val="left" w:pos="5387"/>
        </w:tabs>
        <w:ind w:left="4820"/>
        <w:rPr>
          <w:i/>
          <w:iCs/>
          <w:lang w:eastAsia="ja-JP"/>
        </w:rPr>
      </w:pPr>
      <w:r w:rsidRPr="000A6F45">
        <w:rPr>
          <w:i/>
          <w:iCs/>
          <w:lang w:eastAsia="ja-JP"/>
        </w:rPr>
        <w:fldChar w:fldCharType="begin"/>
      </w:r>
      <w:r w:rsidRPr="000A6F45">
        <w:rPr>
          <w:i/>
          <w:iCs/>
          <w:lang w:eastAsia="ja-JP"/>
        </w:rPr>
        <w:instrText xml:space="preserve"> AUTONUM  </w:instrText>
      </w:r>
      <w:r w:rsidRPr="000A6F45">
        <w:rPr>
          <w:i/>
          <w:iCs/>
          <w:lang w:eastAsia="ja-JP"/>
        </w:rPr>
        <w:fldChar w:fldCharType="end"/>
      </w:r>
      <w:r w:rsidRPr="000A6F45">
        <w:rPr>
          <w:i/>
          <w:iCs/>
          <w:lang w:eastAsia="ja-JP"/>
        </w:rPr>
        <w:tab/>
        <w:t>Se invita al TC y al CAJ a tomar nota de las cuestiones informativas que figuran en el presente documento.</w:t>
      </w:r>
    </w:p>
    <w:p w14:paraId="61966CF9" w14:textId="77777777" w:rsidR="00E37133" w:rsidRPr="000A6F45" w:rsidRDefault="00E37133" w:rsidP="00E37133"/>
    <w:p w14:paraId="62DF79ED" w14:textId="77777777" w:rsidR="00BA1D85" w:rsidRPr="000A6F45" w:rsidRDefault="00BA1D85" w:rsidP="00EF4B00">
      <w:pPr>
        <w:rPr>
          <w:u w:val="single"/>
        </w:rPr>
      </w:pPr>
    </w:p>
    <w:p w14:paraId="32556166" w14:textId="77777777" w:rsidR="00795BFF" w:rsidRPr="000A6F45" w:rsidRDefault="00795BFF" w:rsidP="00EF4B00"/>
    <w:p w14:paraId="108659E7" w14:textId="77777777" w:rsidR="00E33CFC" w:rsidRPr="000A6F45" w:rsidRDefault="00044CA4">
      <w:pPr>
        <w:jc w:val="right"/>
      </w:pPr>
      <w:r w:rsidRPr="000A6F45">
        <w:t>[Sigue el anexo]</w:t>
      </w:r>
    </w:p>
    <w:p w14:paraId="0D33B036" w14:textId="77777777" w:rsidR="00EF4B00" w:rsidRPr="000A6F45" w:rsidRDefault="00EF4B00" w:rsidP="00F16D33">
      <w:pPr>
        <w:pStyle w:val="ListParagraph"/>
        <w:ind w:left="360"/>
        <w:jc w:val="right"/>
      </w:pPr>
    </w:p>
    <w:p w14:paraId="12FBD16D" w14:textId="77777777" w:rsidR="00EF4B00" w:rsidRPr="000A6F45" w:rsidRDefault="00EF4B00" w:rsidP="00EF4B00">
      <w:pPr>
        <w:pStyle w:val="ListParagraph"/>
        <w:ind w:left="360"/>
        <w:jc w:val="both"/>
      </w:pPr>
    </w:p>
    <w:p w14:paraId="619DF2DA" w14:textId="77777777" w:rsidR="00550FF9" w:rsidRPr="000A6F45" w:rsidRDefault="00550FF9" w:rsidP="00EF4B00">
      <w:pPr>
        <w:sectPr w:rsidR="00550FF9" w:rsidRPr="000A6F45" w:rsidSect="0004198B">
          <w:headerReference w:type="default" r:id="rId9"/>
          <w:pgSz w:w="11907" w:h="16840" w:code="9"/>
          <w:pgMar w:top="510" w:right="1134" w:bottom="1134" w:left="1134" w:header="510" w:footer="680" w:gutter="0"/>
          <w:pgNumType w:start="1"/>
          <w:cols w:space="720"/>
          <w:titlePg/>
        </w:sectPr>
      </w:pPr>
    </w:p>
    <w:p w14:paraId="037A6E24" w14:textId="77777777" w:rsidR="00E33CFC" w:rsidRPr="000A6F45" w:rsidRDefault="00044CA4">
      <w:pPr>
        <w:jc w:val="center"/>
      </w:pPr>
      <w:r w:rsidRPr="000A6F45">
        <w:lastRenderedPageBreak/>
        <w:t>EXTRACTO DEL DOCUMENTO TWV/58/9</w:t>
      </w:r>
    </w:p>
    <w:p w14:paraId="0ADFFF7F" w14:textId="77777777" w:rsidR="005C3343" w:rsidRPr="000A6F45" w:rsidRDefault="005C3343" w:rsidP="005C3343">
      <w:pPr>
        <w:jc w:val="center"/>
      </w:pPr>
    </w:p>
    <w:p w14:paraId="4E596940" w14:textId="037939E1" w:rsidR="00E33CFC" w:rsidRPr="000A6F45" w:rsidRDefault="00044CA4">
      <w:pPr>
        <w:jc w:val="center"/>
      </w:pPr>
      <w:r w:rsidRPr="000A6F45">
        <w:t xml:space="preserve">DIRECTRICES PARA LA VALIDACIÓN DE UN NUEVO PROTOCOLO DE MARCADORES MOLECULARES </w:t>
      </w:r>
      <w:r w:rsidR="00DB367A" w:rsidRPr="000A6F45">
        <w:t>ESPECÍFIC</w:t>
      </w:r>
      <w:r w:rsidR="00DB367A">
        <w:t>O</w:t>
      </w:r>
      <w:r w:rsidR="00DB367A" w:rsidRPr="000A6F45">
        <w:t xml:space="preserve">S </w:t>
      </w:r>
      <w:r w:rsidRPr="000A6F45">
        <w:t>DE CARACTER</w:t>
      </w:r>
      <w:r w:rsidR="00DB367A">
        <w:t>ES</w:t>
      </w:r>
      <w:r w:rsidRPr="000A6F45">
        <w:t xml:space="preserve"> COMO MÉTODO ALTERNATIVO DE OBSERVACIÓN</w:t>
      </w:r>
    </w:p>
    <w:p w14:paraId="5727AC57" w14:textId="77777777" w:rsidR="005C3343" w:rsidRPr="000A6F45" w:rsidRDefault="005C3343" w:rsidP="005C3343">
      <w:pPr>
        <w:jc w:val="center"/>
      </w:pPr>
      <w:bookmarkStart w:id="27" w:name="Prepared"/>
      <w:bookmarkEnd w:id="27"/>
    </w:p>
    <w:p w14:paraId="280B7B9F" w14:textId="77777777" w:rsidR="00E33CFC" w:rsidRPr="000A6F45" w:rsidRDefault="00044CA4">
      <w:pPr>
        <w:jc w:val="center"/>
        <w:rPr>
          <w:i/>
          <w:iCs/>
        </w:rPr>
      </w:pPr>
      <w:r w:rsidRPr="000A6F45">
        <w:rPr>
          <w:i/>
          <w:iCs/>
        </w:rPr>
        <w:t>Documento elaborado por expertos de Francia, Italia y el Reino de los Países Bajos</w:t>
      </w:r>
    </w:p>
    <w:p w14:paraId="5B923975" w14:textId="77777777" w:rsidR="005C3343" w:rsidRPr="000A6F45" w:rsidRDefault="005C3343" w:rsidP="005C3343">
      <w:pPr>
        <w:jc w:val="center"/>
      </w:pPr>
    </w:p>
    <w:p w14:paraId="13B32E46" w14:textId="43153ADD" w:rsidR="00E33CFC" w:rsidRPr="000A6F45" w:rsidRDefault="00044CA4">
      <w:pPr>
        <w:jc w:val="center"/>
        <w:rPr>
          <w:i/>
          <w:iCs/>
          <w:color w:val="A6A6A6" w:themeColor="background1" w:themeShade="A6"/>
        </w:rPr>
      </w:pPr>
      <w:r w:rsidRPr="000A6F45">
        <w:rPr>
          <w:i/>
          <w:iCs/>
          <w:color w:val="A6A6A6" w:themeColor="background1" w:themeShade="A6"/>
        </w:rPr>
        <w:t>Descargo de responsabilidad: el presente documento no constituye un documento de pol</w:t>
      </w:r>
      <w:r w:rsidR="00DB367A">
        <w:rPr>
          <w:i/>
          <w:iCs/>
          <w:color w:val="A6A6A6" w:themeColor="background1" w:themeShade="A6"/>
        </w:rPr>
        <w:t>í</w:t>
      </w:r>
      <w:r w:rsidRPr="000A6F45">
        <w:rPr>
          <w:i/>
          <w:iCs/>
          <w:color w:val="A6A6A6" w:themeColor="background1" w:themeShade="A6"/>
        </w:rPr>
        <w:t>tica u orientaci</w:t>
      </w:r>
      <w:r w:rsidR="00DB367A">
        <w:rPr>
          <w:i/>
          <w:iCs/>
          <w:color w:val="A6A6A6" w:themeColor="background1" w:themeShade="A6"/>
        </w:rPr>
        <w:t>ó</w:t>
      </w:r>
      <w:r w:rsidRPr="000A6F45">
        <w:rPr>
          <w:i/>
          <w:iCs/>
          <w:color w:val="A6A6A6" w:themeColor="background1" w:themeShade="A6"/>
        </w:rPr>
        <w:t>n de la UPOV</w:t>
      </w:r>
    </w:p>
    <w:p w14:paraId="5C02F511" w14:textId="77777777" w:rsidR="005C3343" w:rsidRPr="000A6F45" w:rsidRDefault="005C3343" w:rsidP="005C3343"/>
    <w:p w14:paraId="78806B82" w14:textId="77777777" w:rsidR="005C3343" w:rsidRPr="000A6F45" w:rsidRDefault="005C3343" w:rsidP="005C3343"/>
    <w:p w14:paraId="4024B56E" w14:textId="52AA1399" w:rsidR="00E14115" w:rsidRDefault="00263789">
      <w:pPr>
        <w:pStyle w:val="TOC1"/>
        <w:rPr>
          <w:rFonts w:asciiTheme="minorHAnsi" w:eastAsiaTheme="minorEastAsia" w:hAnsiTheme="minorHAnsi" w:cstheme="minorBidi"/>
          <w:caps w:val="0"/>
          <w:noProof/>
          <w:kern w:val="2"/>
          <w:sz w:val="24"/>
          <w:szCs w:val="24"/>
          <w:lang w:val="en-GB" w:eastAsia="en-GB"/>
          <w14:ligatures w14:val="standardContextual"/>
        </w:rPr>
      </w:pPr>
      <w:r w:rsidRPr="000A6F45">
        <w:fldChar w:fldCharType="begin"/>
      </w:r>
      <w:r w:rsidR="00044CA4" w:rsidRPr="000A6F45">
        <w:instrText xml:space="preserve"> TOC \u \t "Heading 1 Annex,1,Heading 2 Annex,2,Heading 3 Annex,3" </w:instrText>
      </w:r>
      <w:r w:rsidRPr="000A6F45">
        <w:fldChar w:fldCharType="separate"/>
      </w:r>
      <w:r w:rsidR="00E14115">
        <w:rPr>
          <w:noProof/>
        </w:rPr>
        <w:t>Documentos asociados</w:t>
      </w:r>
      <w:r w:rsidR="00E14115">
        <w:rPr>
          <w:noProof/>
        </w:rPr>
        <w:tab/>
      </w:r>
      <w:r w:rsidR="00E14115">
        <w:rPr>
          <w:noProof/>
        </w:rPr>
        <w:fldChar w:fldCharType="begin"/>
      </w:r>
      <w:r w:rsidR="00E14115">
        <w:rPr>
          <w:noProof/>
        </w:rPr>
        <w:instrText xml:space="preserve"> PAGEREF _Toc178243061 \h </w:instrText>
      </w:r>
      <w:r w:rsidR="00E14115">
        <w:rPr>
          <w:noProof/>
        </w:rPr>
      </w:r>
      <w:r w:rsidR="00E14115">
        <w:rPr>
          <w:noProof/>
        </w:rPr>
        <w:fldChar w:fldCharType="separate"/>
      </w:r>
      <w:r w:rsidR="00E14115">
        <w:rPr>
          <w:noProof/>
        </w:rPr>
        <w:t>1</w:t>
      </w:r>
      <w:r w:rsidR="00E14115">
        <w:rPr>
          <w:noProof/>
        </w:rPr>
        <w:fldChar w:fldCharType="end"/>
      </w:r>
    </w:p>
    <w:p w14:paraId="5B5122CA" w14:textId="60EAB137"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w:t>
      </w:r>
      <w:r>
        <w:rPr>
          <w:rFonts w:asciiTheme="minorHAnsi" w:eastAsiaTheme="minorEastAsia" w:hAnsiTheme="minorHAnsi" w:cstheme="minorBidi"/>
          <w:caps w:val="0"/>
          <w:noProof/>
          <w:kern w:val="2"/>
          <w:sz w:val="24"/>
          <w:szCs w:val="24"/>
          <w:lang w:val="en-GB" w:eastAsia="en-GB"/>
          <w14:ligatures w14:val="standardContextual"/>
        </w:rPr>
        <w:tab/>
      </w:r>
      <w:r>
        <w:rPr>
          <w:noProof/>
        </w:rPr>
        <w:t>Objetivos de estas directrices</w:t>
      </w:r>
      <w:r>
        <w:rPr>
          <w:noProof/>
        </w:rPr>
        <w:tab/>
      </w:r>
      <w:r>
        <w:rPr>
          <w:noProof/>
        </w:rPr>
        <w:fldChar w:fldCharType="begin"/>
      </w:r>
      <w:r>
        <w:rPr>
          <w:noProof/>
        </w:rPr>
        <w:instrText xml:space="preserve"> PAGEREF _Toc178243062 \h </w:instrText>
      </w:r>
      <w:r>
        <w:rPr>
          <w:noProof/>
        </w:rPr>
      </w:r>
      <w:r>
        <w:rPr>
          <w:noProof/>
        </w:rPr>
        <w:fldChar w:fldCharType="separate"/>
      </w:r>
      <w:r>
        <w:rPr>
          <w:noProof/>
        </w:rPr>
        <w:t>2</w:t>
      </w:r>
      <w:r>
        <w:rPr>
          <w:noProof/>
        </w:rPr>
        <w:fldChar w:fldCharType="end"/>
      </w:r>
    </w:p>
    <w:p w14:paraId="52B081D6" w14:textId="58D2B672"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w:t>
      </w:r>
      <w:r>
        <w:rPr>
          <w:rFonts w:asciiTheme="minorHAnsi" w:eastAsiaTheme="minorEastAsia" w:hAnsiTheme="minorHAnsi" w:cstheme="minorBidi"/>
          <w:caps w:val="0"/>
          <w:noProof/>
          <w:kern w:val="2"/>
          <w:sz w:val="24"/>
          <w:szCs w:val="24"/>
          <w:lang w:val="en-GB" w:eastAsia="en-GB"/>
          <w14:ligatures w14:val="standardContextual"/>
        </w:rPr>
        <w:tab/>
      </w:r>
      <w:r>
        <w:rPr>
          <w:noProof/>
        </w:rPr>
        <w:t>Ámbito de aplicación de las presentes directrices</w:t>
      </w:r>
      <w:r>
        <w:rPr>
          <w:noProof/>
        </w:rPr>
        <w:tab/>
      </w:r>
      <w:r>
        <w:rPr>
          <w:noProof/>
        </w:rPr>
        <w:fldChar w:fldCharType="begin"/>
      </w:r>
      <w:r>
        <w:rPr>
          <w:noProof/>
        </w:rPr>
        <w:instrText xml:space="preserve"> PAGEREF _Toc178243063 \h </w:instrText>
      </w:r>
      <w:r>
        <w:rPr>
          <w:noProof/>
        </w:rPr>
      </w:r>
      <w:r>
        <w:rPr>
          <w:noProof/>
        </w:rPr>
        <w:fldChar w:fldCharType="separate"/>
      </w:r>
      <w:r>
        <w:rPr>
          <w:noProof/>
        </w:rPr>
        <w:t>2</w:t>
      </w:r>
      <w:r>
        <w:rPr>
          <w:noProof/>
        </w:rPr>
        <w:fldChar w:fldCharType="end"/>
      </w:r>
    </w:p>
    <w:p w14:paraId="5871E281" w14:textId="5EEA102F"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III.</w:t>
      </w:r>
      <w:r>
        <w:rPr>
          <w:rFonts w:asciiTheme="minorHAnsi" w:eastAsiaTheme="minorEastAsia" w:hAnsiTheme="minorHAnsi" w:cstheme="minorBidi"/>
          <w:caps w:val="0"/>
          <w:noProof/>
          <w:kern w:val="2"/>
          <w:sz w:val="24"/>
          <w:szCs w:val="24"/>
          <w:lang w:val="en-GB" w:eastAsia="en-GB"/>
          <w14:ligatures w14:val="standardContextual"/>
        </w:rPr>
        <w:tab/>
      </w:r>
      <w:r>
        <w:rPr>
          <w:noProof/>
        </w:rPr>
        <w:t>Criterios de funcionamiento de un nuevo protocolo basado en marcadores moleculares</w:t>
      </w:r>
      <w:r>
        <w:rPr>
          <w:noProof/>
        </w:rPr>
        <w:tab/>
      </w:r>
      <w:r>
        <w:rPr>
          <w:noProof/>
        </w:rPr>
        <w:fldChar w:fldCharType="begin"/>
      </w:r>
      <w:r>
        <w:rPr>
          <w:noProof/>
        </w:rPr>
        <w:instrText xml:space="preserve"> PAGEREF _Toc178243064 \h </w:instrText>
      </w:r>
      <w:r>
        <w:rPr>
          <w:noProof/>
        </w:rPr>
      </w:r>
      <w:r>
        <w:rPr>
          <w:noProof/>
        </w:rPr>
        <w:fldChar w:fldCharType="separate"/>
      </w:r>
      <w:r>
        <w:rPr>
          <w:noProof/>
        </w:rPr>
        <w:t>2</w:t>
      </w:r>
      <w:r>
        <w:rPr>
          <w:noProof/>
        </w:rPr>
        <w:fldChar w:fldCharType="end"/>
      </w:r>
    </w:p>
    <w:p w14:paraId="240B610E" w14:textId="5A21CEDD"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Especificidad</w:t>
      </w:r>
      <w:r>
        <w:rPr>
          <w:noProof/>
        </w:rPr>
        <w:tab/>
      </w:r>
      <w:r>
        <w:rPr>
          <w:noProof/>
        </w:rPr>
        <w:fldChar w:fldCharType="begin"/>
      </w:r>
      <w:r>
        <w:rPr>
          <w:noProof/>
        </w:rPr>
        <w:instrText xml:space="preserve"> PAGEREF _Toc178243065 \h </w:instrText>
      </w:r>
      <w:r>
        <w:rPr>
          <w:noProof/>
        </w:rPr>
      </w:r>
      <w:r>
        <w:rPr>
          <w:noProof/>
        </w:rPr>
        <w:fldChar w:fldCharType="separate"/>
      </w:r>
      <w:r>
        <w:rPr>
          <w:noProof/>
        </w:rPr>
        <w:t>2</w:t>
      </w:r>
      <w:r>
        <w:rPr>
          <w:noProof/>
        </w:rPr>
        <w:fldChar w:fldCharType="end"/>
      </w:r>
    </w:p>
    <w:p w14:paraId="63972908" w14:textId="6D92D436"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Definición</w:t>
      </w:r>
      <w:r>
        <w:rPr>
          <w:noProof/>
        </w:rPr>
        <w:tab/>
      </w:r>
      <w:r>
        <w:rPr>
          <w:noProof/>
        </w:rPr>
        <w:fldChar w:fldCharType="begin"/>
      </w:r>
      <w:r>
        <w:rPr>
          <w:noProof/>
        </w:rPr>
        <w:instrText xml:space="preserve"> PAGEREF _Toc178243066 \h </w:instrText>
      </w:r>
      <w:r>
        <w:rPr>
          <w:noProof/>
        </w:rPr>
      </w:r>
      <w:r>
        <w:rPr>
          <w:noProof/>
        </w:rPr>
        <w:fldChar w:fldCharType="separate"/>
      </w:r>
      <w:r>
        <w:rPr>
          <w:noProof/>
        </w:rPr>
        <w:t>2</w:t>
      </w:r>
      <w:r>
        <w:rPr>
          <w:noProof/>
        </w:rPr>
        <w:fldChar w:fldCharType="end"/>
      </w:r>
    </w:p>
    <w:p w14:paraId="390DF4AB" w14:textId="3D00EA97"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Requisito</w:t>
      </w:r>
      <w:r>
        <w:rPr>
          <w:noProof/>
        </w:rPr>
        <w:tab/>
      </w:r>
      <w:r>
        <w:rPr>
          <w:noProof/>
        </w:rPr>
        <w:fldChar w:fldCharType="begin"/>
      </w:r>
      <w:r>
        <w:rPr>
          <w:noProof/>
        </w:rPr>
        <w:instrText xml:space="preserve"> PAGEREF _Toc178243067 \h </w:instrText>
      </w:r>
      <w:r>
        <w:rPr>
          <w:noProof/>
        </w:rPr>
      </w:r>
      <w:r>
        <w:rPr>
          <w:noProof/>
        </w:rPr>
        <w:fldChar w:fldCharType="separate"/>
      </w:r>
      <w:r>
        <w:rPr>
          <w:noProof/>
        </w:rPr>
        <w:t>2</w:t>
      </w:r>
      <w:r>
        <w:rPr>
          <w:noProof/>
        </w:rPr>
        <w:fldChar w:fldCharType="end"/>
      </w:r>
    </w:p>
    <w:p w14:paraId="67701903" w14:textId="50029D72"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Cómo evaluarlo</w:t>
      </w:r>
      <w:r>
        <w:rPr>
          <w:noProof/>
        </w:rPr>
        <w:tab/>
      </w:r>
      <w:r>
        <w:rPr>
          <w:noProof/>
        </w:rPr>
        <w:fldChar w:fldCharType="begin"/>
      </w:r>
      <w:r>
        <w:rPr>
          <w:noProof/>
        </w:rPr>
        <w:instrText xml:space="preserve"> PAGEREF _Toc178243068 \h </w:instrText>
      </w:r>
      <w:r>
        <w:rPr>
          <w:noProof/>
        </w:rPr>
      </w:r>
      <w:r>
        <w:rPr>
          <w:noProof/>
        </w:rPr>
        <w:fldChar w:fldCharType="separate"/>
      </w:r>
      <w:r>
        <w:rPr>
          <w:noProof/>
        </w:rPr>
        <w:t>2</w:t>
      </w:r>
      <w:r>
        <w:rPr>
          <w:noProof/>
        </w:rPr>
        <w:fldChar w:fldCharType="end"/>
      </w:r>
    </w:p>
    <w:p w14:paraId="527C8093" w14:textId="291011F0"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Sensibilidad y límite de detección</w:t>
      </w:r>
      <w:r>
        <w:rPr>
          <w:noProof/>
        </w:rPr>
        <w:tab/>
      </w:r>
      <w:r>
        <w:rPr>
          <w:noProof/>
        </w:rPr>
        <w:fldChar w:fldCharType="begin"/>
      </w:r>
      <w:r>
        <w:rPr>
          <w:noProof/>
        </w:rPr>
        <w:instrText xml:space="preserve"> PAGEREF _Toc178243069 \h </w:instrText>
      </w:r>
      <w:r>
        <w:rPr>
          <w:noProof/>
        </w:rPr>
      </w:r>
      <w:r>
        <w:rPr>
          <w:noProof/>
        </w:rPr>
        <w:fldChar w:fldCharType="separate"/>
      </w:r>
      <w:r>
        <w:rPr>
          <w:noProof/>
        </w:rPr>
        <w:t>2</w:t>
      </w:r>
      <w:r>
        <w:rPr>
          <w:noProof/>
        </w:rPr>
        <w:fldChar w:fldCharType="end"/>
      </w:r>
    </w:p>
    <w:p w14:paraId="0D5D643E" w14:textId="05A0C764"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Definición</w:t>
      </w:r>
      <w:r>
        <w:rPr>
          <w:noProof/>
        </w:rPr>
        <w:tab/>
      </w:r>
      <w:r>
        <w:rPr>
          <w:noProof/>
        </w:rPr>
        <w:fldChar w:fldCharType="begin"/>
      </w:r>
      <w:r>
        <w:rPr>
          <w:noProof/>
        </w:rPr>
        <w:instrText xml:space="preserve"> PAGEREF _Toc178243070 \h </w:instrText>
      </w:r>
      <w:r>
        <w:rPr>
          <w:noProof/>
        </w:rPr>
      </w:r>
      <w:r>
        <w:rPr>
          <w:noProof/>
        </w:rPr>
        <w:fldChar w:fldCharType="separate"/>
      </w:r>
      <w:r>
        <w:rPr>
          <w:noProof/>
        </w:rPr>
        <w:t>2</w:t>
      </w:r>
      <w:r>
        <w:rPr>
          <w:noProof/>
        </w:rPr>
        <w:fldChar w:fldCharType="end"/>
      </w:r>
    </w:p>
    <w:p w14:paraId="52DB5405" w14:textId="0E45079F"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Requisito</w:t>
      </w:r>
      <w:r>
        <w:rPr>
          <w:noProof/>
        </w:rPr>
        <w:tab/>
      </w:r>
      <w:r>
        <w:rPr>
          <w:noProof/>
        </w:rPr>
        <w:fldChar w:fldCharType="begin"/>
      </w:r>
      <w:r>
        <w:rPr>
          <w:noProof/>
        </w:rPr>
        <w:instrText xml:space="preserve"> PAGEREF _Toc178243071 \h </w:instrText>
      </w:r>
      <w:r>
        <w:rPr>
          <w:noProof/>
        </w:rPr>
      </w:r>
      <w:r>
        <w:rPr>
          <w:noProof/>
        </w:rPr>
        <w:fldChar w:fldCharType="separate"/>
      </w:r>
      <w:r>
        <w:rPr>
          <w:noProof/>
        </w:rPr>
        <w:t>3</w:t>
      </w:r>
      <w:r>
        <w:rPr>
          <w:noProof/>
        </w:rPr>
        <w:fldChar w:fldCharType="end"/>
      </w:r>
    </w:p>
    <w:p w14:paraId="4333382E" w14:textId="421127BA"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Repetibilidad</w:t>
      </w:r>
      <w:r>
        <w:rPr>
          <w:noProof/>
        </w:rPr>
        <w:tab/>
      </w:r>
      <w:r>
        <w:rPr>
          <w:noProof/>
        </w:rPr>
        <w:fldChar w:fldCharType="begin"/>
      </w:r>
      <w:r>
        <w:rPr>
          <w:noProof/>
        </w:rPr>
        <w:instrText xml:space="preserve"> PAGEREF _Toc178243072 \h </w:instrText>
      </w:r>
      <w:r>
        <w:rPr>
          <w:noProof/>
        </w:rPr>
      </w:r>
      <w:r>
        <w:rPr>
          <w:noProof/>
        </w:rPr>
        <w:fldChar w:fldCharType="separate"/>
      </w:r>
      <w:r>
        <w:rPr>
          <w:noProof/>
        </w:rPr>
        <w:t>3</w:t>
      </w:r>
      <w:r>
        <w:rPr>
          <w:noProof/>
        </w:rPr>
        <w:fldChar w:fldCharType="end"/>
      </w:r>
    </w:p>
    <w:p w14:paraId="1EFF19ED" w14:textId="014AC30B"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 xml:space="preserve">Definición </w:t>
      </w:r>
      <w:r w:rsidRPr="00F60629">
        <w:rPr>
          <w:noProof/>
          <w:highlight w:val="yellow"/>
          <w:lang w:val="es-ES_tradnl"/>
        </w:rPr>
        <w:t>(basada en ISO 16 577:2016)</w:t>
      </w:r>
      <w:r>
        <w:rPr>
          <w:noProof/>
        </w:rPr>
        <w:tab/>
      </w:r>
      <w:r>
        <w:rPr>
          <w:noProof/>
        </w:rPr>
        <w:fldChar w:fldCharType="begin"/>
      </w:r>
      <w:r>
        <w:rPr>
          <w:noProof/>
        </w:rPr>
        <w:instrText xml:space="preserve"> PAGEREF _Toc178243073 \h </w:instrText>
      </w:r>
      <w:r>
        <w:rPr>
          <w:noProof/>
        </w:rPr>
      </w:r>
      <w:r>
        <w:rPr>
          <w:noProof/>
        </w:rPr>
        <w:fldChar w:fldCharType="separate"/>
      </w:r>
      <w:r>
        <w:rPr>
          <w:noProof/>
        </w:rPr>
        <w:t>3</w:t>
      </w:r>
      <w:r>
        <w:rPr>
          <w:noProof/>
        </w:rPr>
        <w:fldChar w:fldCharType="end"/>
      </w:r>
    </w:p>
    <w:p w14:paraId="3B924B13" w14:textId="6E10DCEE"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Requisito</w:t>
      </w:r>
      <w:r>
        <w:rPr>
          <w:noProof/>
        </w:rPr>
        <w:tab/>
      </w:r>
      <w:r>
        <w:rPr>
          <w:noProof/>
        </w:rPr>
        <w:fldChar w:fldCharType="begin"/>
      </w:r>
      <w:r>
        <w:rPr>
          <w:noProof/>
        </w:rPr>
        <w:instrText xml:space="preserve"> PAGEREF _Toc178243074 \h </w:instrText>
      </w:r>
      <w:r>
        <w:rPr>
          <w:noProof/>
        </w:rPr>
      </w:r>
      <w:r>
        <w:rPr>
          <w:noProof/>
        </w:rPr>
        <w:fldChar w:fldCharType="separate"/>
      </w:r>
      <w:r>
        <w:rPr>
          <w:noProof/>
        </w:rPr>
        <w:t>3</w:t>
      </w:r>
      <w:r>
        <w:rPr>
          <w:noProof/>
        </w:rPr>
        <w:fldChar w:fldCharType="end"/>
      </w:r>
    </w:p>
    <w:p w14:paraId="7656F7A8" w14:textId="769B786F"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¿Cómo evaluarlo?</w:t>
      </w:r>
      <w:r>
        <w:rPr>
          <w:noProof/>
        </w:rPr>
        <w:tab/>
      </w:r>
      <w:r>
        <w:rPr>
          <w:noProof/>
        </w:rPr>
        <w:fldChar w:fldCharType="begin"/>
      </w:r>
      <w:r>
        <w:rPr>
          <w:noProof/>
        </w:rPr>
        <w:instrText xml:space="preserve"> PAGEREF _Toc178243075 \h </w:instrText>
      </w:r>
      <w:r>
        <w:rPr>
          <w:noProof/>
        </w:rPr>
      </w:r>
      <w:r>
        <w:rPr>
          <w:noProof/>
        </w:rPr>
        <w:fldChar w:fldCharType="separate"/>
      </w:r>
      <w:r>
        <w:rPr>
          <w:noProof/>
        </w:rPr>
        <w:t>3</w:t>
      </w:r>
      <w:r>
        <w:rPr>
          <w:noProof/>
        </w:rPr>
        <w:fldChar w:fldCharType="end"/>
      </w:r>
    </w:p>
    <w:p w14:paraId="0167ED7C" w14:textId="608E6685"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Reproducibilidad</w:t>
      </w:r>
      <w:r>
        <w:rPr>
          <w:noProof/>
        </w:rPr>
        <w:tab/>
      </w:r>
      <w:r>
        <w:rPr>
          <w:noProof/>
        </w:rPr>
        <w:fldChar w:fldCharType="begin"/>
      </w:r>
      <w:r>
        <w:rPr>
          <w:noProof/>
        </w:rPr>
        <w:instrText xml:space="preserve"> PAGEREF _Toc178243076 \h </w:instrText>
      </w:r>
      <w:r>
        <w:rPr>
          <w:noProof/>
        </w:rPr>
      </w:r>
      <w:r>
        <w:rPr>
          <w:noProof/>
        </w:rPr>
        <w:fldChar w:fldCharType="separate"/>
      </w:r>
      <w:r>
        <w:rPr>
          <w:noProof/>
        </w:rPr>
        <w:t>3</w:t>
      </w:r>
      <w:r>
        <w:rPr>
          <w:noProof/>
        </w:rPr>
        <w:fldChar w:fldCharType="end"/>
      </w:r>
    </w:p>
    <w:p w14:paraId="0B0E4E7F" w14:textId="3673EB28"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 xml:space="preserve">Definición </w:t>
      </w:r>
      <w:r w:rsidRPr="00F60629">
        <w:rPr>
          <w:noProof/>
          <w:highlight w:val="yellow"/>
          <w:lang w:val="es-ES_tradnl"/>
        </w:rPr>
        <w:t>(basada en ISO 16 577:2016)</w:t>
      </w:r>
      <w:r>
        <w:rPr>
          <w:noProof/>
        </w:rPr>
        <w:tab/>
      </w:r>
      <w:r>
        <w:rPr>
          <w:noProof/>
        </w:rPr>
        <w:fldChar w:fldCharType="begin"/>
      </w:r>
      <w:r>
        <w:rPr>
          <w:noProof/>
        </w:rPr>
        <w:instrText xml:space="preserve"> PAGEREF _Toc178243077 \h </w:instrText>
      </w:r>
      <w:r>
        <w:rPr>
          <w:noProof/>
        </w:rPr>
      </w:r>
      <w:r>
        <w:rPr>
          <w:noProof/>
        </w:rPr>
        <w:fldChar w:fldCharType="separate"/>
      </w:r>
      <w:r>
        <w:rPr>
          <w:noProof/>
        </w:rPr>
        <w:t>3</w:t>
      </w:r>
      <w:r>
        <w:rPr>
          <w:noProof/>
        </w:rPr>
        <w:fldChar w:fldCharType="end"/>
      </w:r>
    </w:p>
    <w:p w14:paraId="3EE60434" w14:textId="1C7880C9"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Requisito</w:t>
      </w:r>
      <w:r>
        <w:rPr>
          <w:noProof/>
        </w:rPr>
        <w:tab/>
      </w:r>
      <w:r>
        <w:rPr>
          <w:noProof/>
        </w:rPr>
        <w:fldChar w:fldCharType="begin"/>
      </w:r>
      <w:r>
        <w:rPr>
          <w:noProof/>
        </w:rPr>
        <w:instrText xml:space="preserve"> PAGEREF _Toc178243078 \h </w:instrText>
      </w:r>
      <w:r>
        <w:rPr>
          <w:noProof/>
        </w:rPr>
      </w:r>
      <w:r>
        <w:rPr>
          <w:noProof/>
        </w:rPr>
        <w:fldChar w:fldCharType="separate"/>
      </w:r>
      <w:r>
        <w:rPr>
          <w:noProof/>
        </w:rPr>
        <w:t>3</w:t>
      </w:r>
      <w:r>
        <w:rPr>
          <w:noProof/>
        </w:rPr>
        <w:fldChar w:fldCharType="end"/>
      </w:r>
    </w:p>
    <w:p w14:paraId="193C085C" w14:textId="65A30532"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¿Cómo evaluarlo?</w:t>
      </w:r>
      <w:r>
        <w:rPr>
          <w:noProof/>
        </w:rPr>
        <w:tab/>
      </w:r>
      <w:r>
        <w:rPr>
          <w:noProof/>
        </w:rPr>
        <w:fldChar w:fldCharType="begin"/>
      </w:r>
      <w:r>
        <w:rPr>
          <w:noProof/>
        </w:rPr>
        <w:instrText xml:space="preserve"> PAGEREF _Toc178243079 \h </w:instrText>
      </w:r>
      <w:r>
        <w:rPr>
          <w:noProof/>
        </w:rPr>
      </w:r>
      <w:r>
        <w:rPr>
          <w:noProof/>
        </w:rPr>
        <w:fldChar w:fldCharType="separate"/>
      </w:r>
      <w:r>
        <w:rPr>
          <w:noProof/>
        </w:rPr>
        <w:t>3</w:t>
      </w:r>
      <w:r>
        <w:rPr>
          <w:noProof/>
        </w:rPr>
        <w:fldChar w:fldCharType="end"/>
      </w:r>
    </w:p>
    <w:p w14:paraId="2F197BE7" w14:textId="49DAB498"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Robustez</w:t>
      </w:r>
      <w:r>
        <w:rPr>
          <w:noProof/>
        </w:rPr>
        <w:tab/>
      </w:r>
      <w:r>
        <w:rPr>
          <w:noProof/>
        </w:rPr>
        <w:fldChar w:fldCharType="begin"/>
      </w:r>
      <w:r>
        <w:rPr>
          <w:noProof/>
        </w:rPr>
        <w:instrText xml:space="preserve"> PAGEREF _Toc178243080 \h </w:instrText>
      </w:r>
      <w:r>
        <w:rPr>
          <w:noProof/>
        </w:rPr>
      </w:r>
      <w:r>
        <w:rPr>
          <w:noProof/>
        </w:rPr>
        <w:fldChar w:fldCharType="separate"/>
      </w:r>
      <w:r>
        <w:rPr>
          <w:noProof/>
        </w:rPr>
        <w:t>4</w:t>
      </w:r>
      <w:r>
        <w:rPr>
          <w:noProof/>
        </w:rPr>
        <w:fldChar w:fldCharType="end"/>
      </w:r>
    </w:p>
    <w:p w14:paraId="7FB31585" w14:textId="4AE64037"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Definición</w:t>
      </w:r>
      <w:r>
        <w:rPr>
          <w:noProof/>
        </w:rPr>
        <w:tab/>
      </w:r>
      <w:r>
        <w:rPr>
          <w:noProof/>
        </w:rPr>
        <w:fldChar w:fldCharType="begin"/>
      </w:r>
      <w:r>
        <w:rPr>
          <w:noProof/>
        </w:rPr>
        <w:instrText xml:space="preserve"> PAGEREF _Toc178243081 \h </w:instrText>
      </w:r>
      <w:r>
        <w:rPr>
          <w:noProof/>
        </w:rPr>
      </w:r>
      <w:r>
        <w:rPr>
          <w:noProof/>
        </w:rPr>
        <w:fldChar w:fldCharType="separate"/>
      </w:r>
      <w:r>
        <w:rPr>
          <w:noProof/>
        </w:rPr>
        <w:t>4</w:t>
      </w:r>
      <w:r>
        <w:rPr>
          <w:noProof/>
        </w:rPr>
        <w:fldChar w:fldCharType="end"/>
      </w:r>
    </w:p>
    <w:p w14:paraId="144D8FE5" w14:textId="7EBD7FBA"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Requisito</w:t>
      </w:r>
      <w:r>
        <w:rPr>
          <w:noProof/>
        </w:rPr>
        <w:tab/>
      </w:r>
      <w:r>
        <w:rPr>
          <w:noProof/>
        </w:rPr>
        <w:fldChar w:fldCharType="begin"/>
      </w:r>
      <w:r>
        <w:rPr>
          <w:noProof/>
        </w:rPr>
        <w:instrText xml:space="preserve"> PAGEREF _Toc178243082 \h </w:instrText>
      </w:r>
      <w:r>
        <w:rPr>
          <w:noProof/>
        </w:rPr>
      </w:r>
      <w:r>
        <w:rPr>
          <w:noProof/>
        </w:rPr>
        <w:fldChar w:fldCharType="separate"/>
      </w:r>
      <w:r>
        <w:rPr>
          <w:noProof/>
        </w:rPr>
        <w:t>4</w:t>
      </w:r>
      <w:r>
        <w:rPr>
          <w:noProof/>
        </w:rPr>
        <w:fldChar w:fldCharType="end"/>
      </w:r>
    </w:p>
    <w:p w14:paraId="7E961257" w14:textId="5CD2A93F" w:rsidR="00E14115" w:rsidRDefault="00E14115">
      <w:pPr>
        <w:pStyle w:val="TOC3"/>
        <w:rPr>
          <w:rFonts w:asciiTheme="minorHAnsi" w:eastAsiaTheme="minorEastAsia" w:hAnsiTheme="minorHAnsi" w:cstheme="minorBidi"/>
          <w:i w:val="0"/>
          <w:noProof/>
          <w:kern w:val="2"/>
          <w:sz w:val="24"/>
          <w:szCs w:val="24"/>
          <w:lang w:val="en-GB" w:eastAsia="en-GB"/>
          <w14:ligatures w14:val="standardContextual"/>
        </w:rPr>
      </w:pPr>
      <w:r w:rsidRPr="00F60629">
        <w:rPr>
          <w:noProof/>
          <w:lang w:val="es-ES_tradnl"/>
        </w:rPr>
        <w:t>¿Cómo evaluarlo?</w:t>
      </w:r>
      <w:r>
        <w:rPr>
          <w:noProof/>
        </w:rPr>
        <w:tab/>
      </w:r>
      <w:r>
        <w:rPr>
          <w:noProof/>
        </w:rPr>
        <w:fldChar w:fldCharType="begin"/>
      </w:r>
      <w:r>
        <w:rPr>
          <w:noProof/>
        </w:rPr>
        <w:instrText xml:space="preserve"> PAGEREF _Toc178243083 \h </w:instrText>
      </w:r>
      <w:r>
        <w:rPr>
          <w:noProof/>
        </w:rPr>
      </w:r>
      <w:r>
        <w:rPr>
          <w:noProof/>
        </w:rPr>
        <w:fldChar w:fldCharType="separate"/>
      </w:r>
      <w:r>
        <w:rPr>
          <w:noProof/>
        </w:rPr>
        <w:t>4</w:t>
      </w:r>
      <w:r>
        <w:rPr>
          <w:noProof/>
        </w:rPr>
        <w:fldChar w:fldCharType="end"/>
      </w:r>
    </w:p>
    <w:p w14:paraId="5E4A7EC0" w14:textId="117A08C4"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IV.</w:t>
      </w:r>
      <w:r>
        <w:rPr>
          <w:rFonts w:asciiTheme="minorHAnsi" w:eastAsiaTheme="minorEastAsia" w:hAnsiTheme="minorHAnsi" w:cstheme="minorBidi"/>
          <w:caps w:val="0"/>
          <w:noProof/>
          <w:kern w:val="2"/>
          <w:sz w:val="24"/>
          <w:szCs w:val="24"/>
          <w:lang w:val="en-GB" w:eastAsia="en-GB"/>
          <w14:ligatures w14:val="standardContextual"/>
        </w:rPr>
        <w:tab/>
      </w:r>
      <w:r>
        <w:rPr>
          <w:noProof/>
        </w:rPr>
        <w:t>Informe de validación</w:t>
      </w:r>
      <w:r>
        <w:rPr>
          <w:noProof/>
        </w:rPr>
        <w:tab/>
      </w:r>
      <w:r>
        <w:rPr>
          <w:noProof/>
        </w:rPr>
        <w:fldChar w:fldCharType="begin"/>
      </w:r>
      <w:r>
        <w:rPr>
          <w:noProof/>
        </w:rPr>
        <w:instrText xml:space="preserve"> PAGEREF _Toc178243084 \h </w:instrText>
      </w:r>
      <w:r>
        <w:rPr>
          <w:noProof/>
        </w:rPr>
      </w:r>
      <w:r>
        <w:rPr>
          <w:noProof/>
        </w:rPr>
        <w:fldChar w:fldCharType="separate"/>
      </w:r>
      <w:r>
        <w:rPr>
          <w:noProof/>
        </w:rPr>
        <w:t>4</w:t>
      </w:r>
      <w:r>
        <w:rPr>
          <w:noProof/>
        </w:rPr>
        <w:fldChar w:fldCharType="end"/>
      </w:r>
    </w:p>
    <w:p w14:paraId="6AED825C" w14:textId="33ECE4A8"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Contenido del informe de validación</w:t>
      </w:r>
      <w:r>
        <w:rPr>
          <w:noProof/>
        </w:rPr>
        <w:tab/>
      </w:r>
      <w:r>
        <w:rPr>
          <w:noProof/>
        </w:rPr>
        <w:fldChar w:fldCharType="begin"/>
      </w:r>
      <w:r>
        <w:rPr>
          <w:noProof/>
        </w:rPr>
        <w:instrText xml:space="preserve"> PAGEREF _Toc178243085 \h </w:instrText>
      </w:r>
      <w:r>
        <w:rPr>
          <w:noProof/>
        </w:rPr>
      </w:r>
      <w:r>
        <w:rPr>
          <w:noProof/>
        </w:rPr>
        <w:fldChar w:fldCharType="separate"/>
      </w:r>
      <w:r>
        <w:rPr>
          <w:noProof/>
        </w:rPr>
        <w:t>4</w:t>
      </w:r>
      <w:r>
        <w:rPr>
          <w:noProof/>
        </w:rPr>
        <w:fldChar w:fldCharType="end"/>
      </w:r>
    </w:p>
    <w:p w14:paraId="34AEF1DE" w14:textId="65FEC7C7" w:rsidR="00E14115" w:rsidRDefault="00E14115">
      <w:pPr>
        <w:pStyle w:val="TOC2"/>
        <w:rPr>
          <w:rFonts w:asciiTheme="minorHAnsi" w:eastAsiaTheme="minorEastAsia" w:hAnsiTheme="minorHAnsi" w:cstheme="minorBidi"/>
          <w:noProof/>
          <w:kern w:val="2"/>
          <w:sz w:val="24"/>
          <w:szCs w:val="24"/>
          <w:lang w:val="en-GB" w:eastAsia="en-GB"/>
          <w14:ligatures w14:val="standardContextual"/>
        </w:rPr>
      </w:pPr>
      <w:r w:rsidRPr="00F60629">
        <w:rPr>
          <w:noProof/>
        </w:rPr>
        <w:t>Publicidad</w:t>
      </w:r>
      <w:r>
        <w:rPr>
          <w:noProof/>
        </w:rPr>
        <w:tab/>
      </w:r>
      <w:r>
        <w:rPr>
          <w:noProof/>
        </w:rPr>
        <w:fldChar w:fldCharType="begin"/>
      </w:r>
      <w:r>
        <w:rPr>
          <w:noProof/>
        </w:rPr>
        <w:instrText xml:space="preserve"> PAGEREF _Toc178243086 \h </w:instrText>
      </w:r>
      <w:r>
        <w:rPr>
          <w:noProof/>
        </w:rPr>
      </w:r>
      <w:r>
        <w:rPr>
          <w:noProof/>
        </w:rPr>
        <w:fldChar w:fldCharType="separate"/>
      </w:r>
      <w:r>
        <w:rPr>
          <w:noProof/>
        </w:rPr>
        <w:t>4</w:t>
      </w:r>
      <w:r>
        <w:rPr>
          <w:noProof/>
        </w:rPr>
        <w:fldChar w:fldCharType="end"/>
      </w:r>
    </w:p>
    <w:p w14:paraId="3681A199" w14:textId="781E4DAB"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V.</w:t>
      </w:r>
      <w:r>
        <w:rPr>
          <w:rFonts w:asciiTheme="minorHAnsi" w:eastAsiaTheme="minorEastAsia" w:hAnsiTheme="minorHAnsi" w:cstheme="minorBidi"/>
          <w:caps w:val="0"/>
          <w:noProof/>
          <w:kern w:val="2"/>
          <w:sz w:val="24"/>
          <w:szCs w:val="24"/>
          <w:lang w:val="en-GB" w:eastAsia="en-GB"/>
          <w14:ligatures w14:val="standardContextual"/>
        </w:rPr>
        <w:tab/>
      </w:r>
      <w:r>
        <w:rPr>
          <w:noProof/>
        </w:rPr>
        <w:t>Protocolo estándar para el protocolo de marcadores moleculares específicos de características</w:t>
      </w:r>
      <w:r>
        <w:rPr>
          <w:noProof/>
        </w:rPr>
        <w:tab/>
      </w:r>
      <w:r>
        <w:rPr>
          <w:noProof/>
        </w:rPr>
        <w:fldChar w:fldCharType="begin"/>
      </w:r>
      <w:r>
        <w:rPr>
          <w:noProof/>
        </w:rPr>
        <w:instrText xml:space="preserve"> PAGEREF _Toc178243087 \h </w:instrText>
      </w:r>
      <w:r>
        <w:rPr>
          <w:noProof/>
        </w:rPr>
      </w:r>
      <w:r>
        <w:rPr>
          <w:noProof/>
        </w:rPr>
        <w:fldChar w:fldCharType="separate"/>
      </w:r>
      <w:r>
        <w:rPr>
          <w:noProof/>
        </w:rPr>
        <w:t>4</w:t>
      </w:r>
      <w:r>
        <w:rPr>
          <w:noProof/>
        </w:rPr>
        <w:fldChar w:fldCharType="end"/>
      </w:r>
    </w:p>
    <w:p w14:paraId="26213D28" w14:textId="396493A7" w:rsidR="00E14115" w:rsidRDefault="00E14115">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VI.</w:t>
      </w:r>
      <w:r>
        <w:rPr>
          <w:rFonts w:asciiTheme="minorHAnsi" w:eastAsiaTheme="minorEastAsia" w:hAnsiTheme="minorHAnsi" w:cstheme="minorBidi"/>
          <w:caps w:val="0"/>
          <w:noProof/>
          <w:kern w:val="2"/>
          <w:sz w:val="24"/>
          <w:szCs w:val="24"/>
          <w:lang w:val="en-GB" w:eastAsia="en-GB"/>
          <w14:ligatures w14:val="standardContextual"/>
        </w:rPr>
        <w:tab/>
      </w:r>
      <w:r>
        <w:rPr>
          <w:noProof/>
        </w:rPr>
        <w:t>Encuesta de seguimiento tras la aprobación</w:t>
      </w:r>
      <w:r>
        <w:rPr>
          <w:noProof/>
        </w:rPr>
        <w:tab/>
      </w:r>
      <w:r>
        <w:rPr>
          <w:noProof/>
        </w:rPr>
        <w:fldChar w:fldCharType="begin"/>
      </w:r>
      <w:r>
        <w:rPr>
          <w:noProof/>
        </w:rPr>
        <w:instrText xml:space="preserve"> PAGEREF _Toc178243088 \h </w:instrText>
      </w:r>
      <w:r>
        <w:rPr>
          <w:noProof/>
        </w:rPr>
      </w:r>
      <w:r>
        <w:rPr>
          <w:noProof/>
        </w:rPr>
        <w:fldChar w:fldCharType="separate"/>
      </w:r>
      <w:r>
        <w:rPr>
          <w:noProof/>
        </w:rPr>
        <w:t>7</w:t>
      </w:r>
      <w:r>
        <w:rPr>
          <w:noProof/>
        </w:rPr>
        <w:fldChar w:fldCharType="end"/>
      </w:r>
    </w:p>
    <w:p w14:paraId="2258578E" w14:textId="6433E173" w:rsidR="00550FF9" w:rsidRPr="000A6F45" w:rsidRDefault="00263789" w:rsidP="00550FF9">
      <w:r w:rsidRPr="000A6F45">
        <w:fldChar w:fldCharType="end"/>
      </w:r>
    </w:p>
    <w:p w14:paraId="3223B682" w14:textId="77777777" w:rsidR="00550FF9" w:rsidRPr="000A6F45" w:rsidRDefault="00550FF9" w:rsidP="00550FF9"/>
    <w:p w14:paraId="1F1D5D7D" w14:textId="77777777" w:rsidR="00E33CFC" w:rsidRPr="000A6F45" w:rsidRDefault="00044CA4" w:rsidP="006044A9">
      <w:pPr>
        <w:pStyle w:val="Heading1Annex"/>
      </w:pPr>
      <w:bookmarkStart w:id="28" w:name="_Toc178243061"/>
      <w:r w:rsidRPr="000A6F45">
        <w:t>Documentos asociados</w:t>
      </w:r>
      <w:bookmarkEnd w:id="28"/>
    </w:p>
    <w:p w14:paraId="44984A18" w14:textId="77777777" w:rsidR="00550FF9" w:rsidRPr="000A6F45" w:rsidRDefault="00550FF9" w:rsidP="00550FF9">
      <w:pPr>
        <w:rPr>
          <w:lang w:eastAsia="fr-FR"/>
        </w:rPr>
      </w:pPr>
    </w:p>
    <w:p w14:paraId="215F51B6" w14:textId="77777777" w:rsidR="00E33CFC" w:rsidRPr="000A6F45" w:rsidRDefault="00044CA4">
      <w:pPr>
        <w:rPr>
          <w:rFonts w:cs="Arial"/>
        </w:rPr>
      </w:pPr>
      <w:r w:rsidRPr="000A6F45">
        <w:fldChar w:fldCharType="begin"/>
      </w:r>
      <w:r w:rsidRPr="000A6F45">
        <w:instrText xml:space="preserve"> LISTNUM  LegalDefault \l 1 \s 1 </w:instrText>
      </w:r>
      <w:r w:rsidRPr="000A6F45">
        <w:fldChar w:fldCharType="end">
          <w:numberingChange w:id="29" w:author="SANCHEZ VIZCAINO GOMEZ Rosa Maria" w:date="2024-09-23T14:37:00Z" w16du:dateUtc="2024-09-23T12:37:00Z" w:original="1."/>
        </w:fldChar>
      </w:r>
      <w:r w:rsidR="00550FF9" w:rsidRPr="000A6F45">
        <w:rPr>
          <w:rFonts w:cs="Arial"/>
        </w:rPr>
        <w:tab/>
        <w:t>Tenga en cuenta que las partes resaltadas indican texto citado de los documentos que figuran a continuación:</w:t>
      </w:r>
    </w:p>
    <w:p w14:paraId="60CE8889" w14:textId="77777777" w:rsidR="00550FF9" w:rsidRPr="000A6F45" w:rsidRDefault="00550FF9" w:rsidP="00550FF9">
      <w:pPr>
        <w:rPr>
          <w:rFonts w:cs="Arial"/>
          <w:lang w:eastAsia="fr-FR"/>
        </w:rPr>
      </w:pPr>
    </w:p>
    <w:p w14:paraId="6E58CC4E" w14:textId="77777777" w:rsidR="00E33CFC" w:rsidRPr="000A6F45" w:rsidRDefault="00044CA4">
      <w:pPr>
        <w:numPr>
          <w:ilvl w:val="0"/>
          <w:numId w:val="16"/>
        </w:numPr>
        <w:tabs>
          <w:tab w:val="left" w:pos="567"/>
        </w:tabs>
        <w:spacing w:after="60"/>
        <w:ind w:left="2127" w:hanging="1770"/>
        <w:rPr>
          <w:rFonts w:eastAsia="Calibri" w:cs="Arial"/>
        </w:rPr>
      </w:pPr>
      <w:r w:rsidRPr="000A6F45">
        <w:rPr>
          <w:rFonts w:eastAsia="Calibri" w:cs="Arial"/>
        </w:rPr>
        <w:t>TG/1/3:</w:t>
      </w:r>
      <w:r w:rsidRPr="000A6F45">
        <w:rPr>
          <w:rFonts w:eastAsia="Calibri" w:cs="Arial"/>
        </w:rPr>
        <w:tab/>
        <w:t>Introducción general al examen de la distinción, la homogeneidad y la estabilidad y a la elaboración de descripciones armonizadas de las obtenciones vegetales</w:t>
      </w:r>
    </w:p>
    <w:p w14:paraId="5FA2B2B0" w14:textId="77777777" w:rsidR="00E33CFC" w:rsidRPr="000A6F45" w:rsidRDefault="00044CA4">
      <w:pPr>
        <w:numPr>
          <w:ilvl w:val="0"/>
          <w:numId w:val="16"/>
        </w:numPr>
        <w:tabs>
          <w:tab w:val="left" w:pos="567"/>
        </w:tabs>
        <w:spacing w:after="60"/>
        <w:ind w:left="2127" w:hanging="1770"/>
        <w:rPr>
          <w:rFonts w:eastAsia="Calibri" w:cs="Arial"/>
        </w:rPr>
      </w:pPr>
      <w:r w:rsidRPr="000A6F45">
        <w:rPr>
          <w:rFonts w:eastAsia="Calibri" w:cs="Arial"/>
        </w:rPr>
        <w:t>TG/44:</w:t>
      </w:r>
      <w:r w:rsidRPr="000A6F45">
        <w:rPr>
          <w:rFonts w:eastAsia="Calibri" w:cs="Arial"/>
        </w:rPr>
        <w:tab/>
        <w:t>Directrices para la realización de los ensayos de distinción, homogeneidad y estabilidad del tomate</w:t>
      </w:r>
    </w:p>
    <w:p w14:paraId="7FADE892" w14:textId="77777777" w:rsidR="00E33CFC" w:rsidRPr="000A6F45" w:rsidRDefault="00044CA4">
      <w:pPr>
        <w:numPr>
          <w:ilvl w:val="0"/>
          <w:numId w:val="16"/>
        </w:numPr>
        <w:tabs>
          <w:tab w:val="left" w:pos="567"/>
        </w:tabs>
        <w:spacing w:after="60"/>
        <w:ind w:left="2127" w:hanging="1770"/>
        <w:rPr>
          <w:rFonts w:eastAsia="Calibri" w:cs="Arial"/>
        </w:rPr>
      </w:pPr>
      <w:r w:rsidRPr="000A6F45">
        <w:rPr>
          <w:rFonts w:eastAsia="Calibri" w:cs="Arial"/>
        </w:rPr>
        <w:t>TGP/12:</w:t>
      </w:r>
      <w:r w:rsidRPr="000A6F45">
        <w:rPr>
          <w:rFonts w:eastAsia="Calibri" w:cs="Arial"/>
        </w:rPr>
        <w:tab/>
        <w:t>Orientaciones sobre ciertos caracteres fisiológicos</w:t>
      </w:r>
    </w:p>
    <w:p w14:paraId="4DC012B0" w14:textId="4E791EC9" w:rsidR="00E33CFC" w:rsidRPr="000A6F45" w:rsidRDefault="00044CA4">
      <w:pPr>
        <w:numPr>
          <w:ilvl w:val="0"/>
          <w:numId w:val="16"/>
        </w:numPr>
        <w:tabs>
          <w:tab w:val="left" w:pos="567"/>
        </w:tabs>
        <w:spacing w:after="60"/>
        <w:ind w:left="2127" w:hanging="1770"/>
        <w:rPr>
          <w:rFonts w:eastAsia="Calibri" w:cs="Arial"/>
          <w:b/>
          <w:bCs/>
        </w:rPr>
      </w:pPr>
      <w:r w:rsidRPr="000A6F45">
        <w:rPr>
          <w:rFonts w:eastAsia="Calibri" w:cs="Arial"/>
        </w:rPr>
        <w:t>TGP/15:</w:t>
      </w:r>
      <w:r w:rsidRPr="000A6F45">
        <w:rPr>
          <w:rFonts w:eastAsia="Calibri" w:cs="Arial"/>
        </w:rPr>
        <w:tab/>
        <w:t>Orientaci</w:t>
      </w:r>
      <w:r w:rsidR="00F66E91">
        <w:rPr>
          <w:rFonts w:eastAsia="Calibri" w:cs="Arial"/>
        </w:rPr>
        <w:t>ón</w:t>
      </w:r>
      <w:r w:rsidRPr="000A6F45">
        <w:rPr>
          <w:rFonts w:eastAsia="Calibri" w:cs="Arial"/>
        </w:rPr>
        <w:t xml:space="preserve"> sobre el uso de marcadores bioquímicos y moleculares en el examen de la distinción, la homogeneidad y la estabilidad (DHE)</w:t>
      </w:r>
    </w:p>
    <w:p w14:paraId="5C99C845" w14:textId="13FCE2F0" w:rsidR="00E33CFC" w:rsidRPr="000A6F45" w:rsidRDefault="00044CA4">
      <w:pPr>
        <w:numPr>
          <w:ilvl w:val="0"/>
          <w:numId w:val="16"/>
        </w:numPr>
        <w:tabs>
          <w:tab w:val="left" w:pos="567"/>
        </w:tabs>
        <w:spacing w:after="60"/>
        <w:ind w:left="2127" w:hanging="1770"/>
        <w:rPr>
          <w:rFonts w:eastAsia="Calibri" w:cs="Arial"/>
          <w:highlight w:val="yellow"/>
        </w:rPr>
      </w:pPr>
      <w:r w:rsidRPr="000A6F45">
        <w:rPr>
          <w:rFonts w:eastAsia="Calibri" w:cs="Arial"/>
          <w:highlight w:val="yellow"/>
        </w:rPr>
        <w:t>UPOV/INF/17</w:t>
      </w:r>
      <w:r w:rsidR="00F66E91">
        <w:rPr>
          <w:rFonts w:eastAsia="Calibri" w:cs="Arial"/>
          <w:highlight w:val="yellow"/>
        </w:rPr>
        <w:tab/>
      </w:r>
      <w:r w:rsidRPr="000A6F45">
        <w:rPr>
          <w:rFonts w:eastAsia="Calibri" w:cs="Arial"/>
          <w:highlight w:val="yellow"/>
        </w:rPr>
        <w:t xml:space="preserve">Directrices para los perfiles de ADN: </w:t>
      </w:r>
      <w:r w:rsidR="00F66E91">
        <w:rPr>
          <w:rFonts w:eastAsia="Calibri" w:cs="Arial"/>
          <w:highlight w:val="yellow"/>
        </w:rPr>
        <w:t>s</w:t>
      </w:r>
      <w:r w:rsidRPr="000A6F45">
        <w:rPr>
          <w:rFonts w:eastAsia="Calibri" w:cs="Arial"/>
          <w:highlight w:val="yellow"/>
        </w:rPr>
        <w:t xml:space="preserve">elección de marcadores moleculares y creación de </w:t>
      </w:r>
      <w:r w:rsidR="00F66E91">
        <w:rPr>
          <w:rFonts w:eastAsia="Calibri" w:cs="Arial"/>
          <w:highlight w:val="yellow"/>
        </w:rPr>
        <w:t xml:space="preserve">una </w:t>
      </w:r>
      <w:r w:rsidRPr="000A6F45">
        <w:rPr>
          <w:rFonts w:eastAsia="Calibri" w:cs="Arial"/>
          <w:highlight w:val="yellow"/>
        </w:rPr>
        <w:t xml:space="preserve">base de datos </w:t>
      </w:r>
    </w:p>
    <w:p w14:paraId="12A4F335" w14:textId="306F05EF" w:rsidR="00E33CFC" w:rsidRPr="000A6F45" w:rsidRDefault="00044CA4">
      <w:pPr>
        <w:numPr>
          <w:ilvl w:val="0"/>
          <w:numId w:val="16"/>
        </w:numPr>
        <w:tabs>
          <w:tab w:val="left" w:pos="567"/>
        </w:tabs>
        <w:spacing w:after="60"/>
        <w:ind w:left="2127" w:hanging="1770"/>
        <w:rPr>
          <w:rFonts w:eastAsia="Calibri" w:cs="Arial"/>
          <w:b/>
          <w:bCs/>
        </w:rPr>
      </w:pPr>
      <w:r w:rsidRPr="000A6F45">
        <w:rPr>
          <w:rFonts w:eastAsia="Calibri" w:cs="Arial"/>
        </w:rPr>
        <w:t>UPOV/INF/18</w:t>
      </w:r>
      <w:r w:rsidR="00A35F5E">
        <w:rPr>
          <w:rFonts w:eastAsia="Calibri" w:cs="Arial"/>
        </w:rPr>
        <w:tab/>
      </w:r>
      <w:r w:rsidR="00A35F5E" w:rsidRPr="00A35F5E">
        <w:rPr>
          <w:rFonts w:eastAsia="Calibri" w:cs="Arial"/>
        </w:rPr>
        <w:t>Posibilidad de utilizar marcadores moleculares en el examen de la distinción, homogeneidad y estabilidad (DUS)</w:t>
      </w:r>
    </w:p>
    <w:p w14:paraId="5D13008F" w14:textId="6A1AA666" w:rsidR="00E33CFC" w:rsidRPr="000A6F45" w:rsidRDefault="00044CA4">
      <w:pPr>
        <w:numPr>
          <w:ilvl w:val="0"/>
          <w:numId w:val="16"/>
        </w:numPr>
        <w:tabs>
          <w:tab w:val="left" w:pos="567"/>
        </w:tabs>
        <w:spacing w:after="200" w:line="276" w:lineRule="auto"/>
        <w:ind w:left="2127" w:hanging="1770"/>
        <w:contextualSpacing/>
        <w:rPr>
          <w:rFonts w:eastAsia="Calibri" w:cs="Arial"/>
        </w:rPr>
      </w:pPr>
      <w:r w:rsidRPr="000A6F45">
        <w:rPr>
          <w:rFonts w:eastAsia="Calibri" w:cs="Arial"/>
        </w:rPr>
        <w:t xml:space="preserve">TWV/54/7 + </w:t>
      </w:r>
      <w:proofErr w:type="spellStart"/>
      <w:r w:rsidRPr="000A6F45">
        <w:rPr>
          <w:rFonts w:eastAsia="Calibri" w:cs="Arial"/>
        </w:rPr>
        <w:t>Add</w:t>
      </w:r>
      <w:proofErr w:type="spellEnd"/>
      <w:r w:rsidR="00A35F5E">
        <w:rPr>
          <w:rFonts w:eastAsia="Calibri" w:cs="Arial"/>
        </w:rPr>
        <w:tab/>
      </w:r>
      <w:r w:rsidRPr="000A6F45">
        <w:rPr>
          <w:rFonts w:eastAsia="Calibri" w:cs="Arial"/>
        </w:rPr>
        <w:t>Utilización de técnicas moleculares en el examen DHE</w:t>
      </w:r>
    </w:p>
    <w:p w14:paraId="13B606A0" w14:textId="77777777" w:rsidR="00E33CFC" w:rsidRPr="000A6F45" w:rsidRDefault="00044CA4" w:rsidP="006044A9">
      <w:pPr>
        <w:pStyle w:val="Heading1Annex"/>
      </w:pPr>
      <w:bookmarkStart w:id="30" w:name="_Toc178243062"/>
      <w:r w:rsidRPr="000A6F45">
        <w:lastRenderedPageBreak/>
        <w:t>I.</w:t>
      </w:r>
      <w:r w:rsidRPr="000A6F45">
        <w:tab/>
        <w:t>Objetivos de estas directrices</w:t>
      </w:r>
      <w:bookmarkEnd w:id="30"/>
    </w:p>
    <w:p w14:paraId="4928DFF2" w14:textId="77777777" w:rsidR="00550FF9" w:rsidRPr="000A6F45" w:rsidRDefault="00550FF9" w:rsidP="00550FF9">
      <w:pPr>
        <w:keepNext/>
        <w:rPr>
          <w:lang w:eastAsia="fr-FR"/>
        </w:rPr>
      </w:pPr>
    </w:p>
    <w:p w14:paraId="40242D1E"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31" w:author="SANCHEZ VIZCAINO GOMEZ Rosa Maria" w:date="2024-09-23T14:37:00Z" w16du:dateUtc="2024-09-23T12:37:00Z" w:original="2."/>
        </w:fldChar>
      </w:r>
      <w:r w:rsidR="00550FF9" w:rsidRPr="000A6F45">
        <w:rPr>
          <w:lang w:eastAsia="fr-FR"/>
        </w:rPr>
        <w:tab/>
        <w:t>El propósito de estas directrices es elaborar los principios contenidos en la Introducción General (documento TG/1/3), y sus documentos TGP asociados, en una guía práctica detallada para la validación armonizada de un nuevo método basado en un marcador molecular antes de su uso como prueba alternativa.  Se describen los criterios de rendimiento necesarios para la validación y se ofrecen orientaciones sobre su evaluación. Estas directrices también describen un protocolo estándar con capítulos obligatorios y opcionales. También se describe la encuesta posterior a la aceptación.</w:t>
      </w:r>
    </w:p>
    <w:p w14:paraId="46E3A872" w14:textId="77777777" w:rsidR="00550FF9" w:rsidRPr="000A6F45" w:rsidRDefault="00550FF9" w:rsidP="00550FF9">
      <w:pPr>
        <w:rPr>
          <w:lang w:eastAsia="fr-FR"/>
        </w:rPr>
      </w:pPr>
    </w:p>
    <w:p w14:paraId="26C2015F"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32" w:author="SANCHEZ VIZCAINO GOMEZ Rosa Maria" w:date="2024-09-23T14:37:00Z" w16du:dateUtc="2024-09-23T12:37:00Z" w:original="3."/>
        </w:fldChar>
      </w:r>
      <w:r w:rsidR="00550FF9" w:rsidRPr="000A6F45">
        <w:rPr>
          <w:lang w:eastAsia="fr-FR"/>
        </w:rPr>
        <w:tab/>
        <w:t>Si se utiliza una técnica diferente, el laboratorio debe validar su método en comparación con el método de referencia (para demostrar que la técnica alternativa da los mismos resultados).</w:t>
      </w:r>
    </w:p>
    <w:p w14:paraId="7BBB58D3" w14:textId="77777777" w:rsidR="00550FF9" w:rsidRPr="000A6F45" w:rsidRDefault="00550FF9" w:rsidP="00550FF9">
      <w:pPr>
        <w:rPr>
          <w:lang w:eastAsia="fr-FR"/>
        </w:rPr>
      </w:pPr>
    </w:p>
    <w:p w14:paraId="5D4B8326" w14:textId="77777777" w:rsidR="00550FF9" w:rsidRPr="000A6F45" w:rsidRDefault="00550FF9" w:rsidP="00550FF9">
      <w:pPr>
        <w:rPr>
          <w:lang w:eastAsia="fr-FR"/>
        </w:rPr>
      </w:pPr>
    </w:p>
    <w:p w14:paraId="34F3233E" w14:textId="77777777" w:rsidR="00E33CFC" w:rsidRPr="000A6F45" w:rsidRDefault="00044CA4" w:rsidP="006044A9">
      <w:pPr>
        <w:pStyle w:val="Heading1Annex"/>
      </w:pPr>
      <w:bookmarkStart w:id="33" w:name="_Toc178243063"/>
      <w:r w:rsidRPr="000A6F45">
        <w:t>II.</w:t>
      </w:r>
      <w:r w:rsidRPr="000A6F45">
        <w:tab/>
        <w:t>Ámbito de aplicación de las presentes directrices</w:t>
      </w:r>
      <w:bookmarkEnd w:id="33"/>
    </w:p>
    <w:p w14:paraId="6E9BE493" w14:textId="77777777" w:rsidR="00550FF9" w:rsidRPr="000A6F45" w:rsidRDefault="00550FF9" w:rsidP="00550FF9">
      <w:pPr>
        <w:rPr>
          <w:lang w:eastAsia="fr-FR"/>
        </w:rPr>
      </w:pPr>
    </w:p>
    <w:p w14:paraId="6D9CE08C" w14:textId="77777777" w:rsidR="00E33CFC" w:rsidRPr="000A6F45" w:rsidRDefault="00044CA4">
      <w:pPr>
        <w:rPr>
          <w:lang w:eastAsia="fr-FR"/>
        </w:rPr>
      </w:pPr>
      <w:r w:rsidRPr="000A6F45">
        <w:rPr>
          <w:lang w:eastAsia="fr-FR"/>
        </w:rPr>
        <w:t>Todos los cultivos</w:t>
      </w:r>
    </w:p>
    <w:p w14:paraId="365F5285" w14:textId="77777777" w:rsidR="00E33CFC" w:rsidRPr="000A6F45" w:rsidRDefault="00044CA4">
      <w:pPr>
        <w:rPr>
          <w:lang w:eastAsia="fr-FR"/>
        </w:rPr>
      </w:pPr>
      <w:r w:rsidRPr="000A6F45">
        <w:rPr>
          <w:lang w:eastAsia="fr-FR"/>
        </w:rPr>
        <w:t>Marcadores moleculares específicos de las características</w:t>
      </w:r>
    </w:p>
    <w:p w14:paraId="01ED954E" w14:textId="77777777" w:rsidR="00E33CFC" w:rsidRPr="000A6F45" w:rsidRDefault="00044CA4">
      <w:pPr>
        <w:rPr>
          <w:lang w:eastAsia="fr-FR"/>
        </w:rPr>
      </w:pPr>
      <w:r w:rsidRPr="000A6F45">
        <w:rPr>
          <w:lang w:eastAsia="fr-FR"/>
        </w:rPr>
        <w:t>Para el examen de Distinción, Homogeneidad y Estabilidad (DHE).</w:t>
      </w:r>
    </w:p>
    <w:p w14:paraId="128594C6" w14:textId="77777777" w:rsidR="00550FF9" w:rsidRPr="000A6F45" w:rsidRDefault="00550FF9" w:rsidP="00550FF9">
      <w:pPr>
        <w:rPr>
          <w:lang w:eastAsia="fr-FR"/>
        </w:rPr>
      </w:pPr>
    </w:p>
    <w:p w14:paraId="29A935B1" w14:textId="77777777" w:rsidR="00550FF9" w:rsidRPr="000A6F45" w:rsidRDefault="00550FF9" w:rsidP="00550FF9">
      <w:pPr>
        <w:rPr>
          <w:lang w:eastAsia="fr-FR"/>
        </w:rPr>
      </w:pPr>
    </w:p>
    <w:p w14:paraId="5B7D95E6" w14:textId="77777777" w:rsidR="00E33CFC" w:rsidRPr="000A6F45" w:rsidRDefault="00044CA4" w:rsidP="006044A9">
      <w:pPr>
        <w:pStyle w:val="Heading1Annex"/>
      </w:pPr>
      <w:bookmarkStart w:id="34" w:name="_Toc178243064"/>
      <w:r w:rsidRPr="000A6F45">
        <w:t>III.</w:t>
      </w:r>
      <w:r w:rsidRPr="000A6F45">
        <w:tab/>
        <w:t xml:space="preserve">Criterios de funcionamiento de un nuevo protocolo basado en marcadores </w:t>
      </w:r>
      <w:r w:rsidRPr="006044A9">
        <w:t>moleculares</w:t>
      </w:r>
      <w:bookmarkEnd w:id="34"/>
    </w:p>
    <w:p w14:paraId="7BEC8725" w14:textId="77777777" w:rsidR="00550FF9" w:rsidRPr="000A6F45" w:rsidRDefault="00550FF9" w:rsidP="00550FF9">
      <w:pPr>
        <w:rPr>
          <w:lang w:eastAsia="fr-FR"/>
        </w:rPr>
      </w:pPr>
    </w:p>
    <w:p w14:paraId="3C099A8A" w14:textId="77777777" w:rsidR="00E33CFC" w:rsidRPr="000A6F45" w:rsidRDefault="00044CA4">
      <w:pPr>
        <w:pStyle w:val="Heading2Annex"/>
        <w:rPr>
          <w:lang w:val="es-ES_tradnl"/>
        </w:rPr>
      </w:pPr>
      <w:bookmarkStart w:id="35" w:name="_Toc178243065"/>
      <w:r w:rsidRPr="000A6F45">
        <w:rPr>
          <w:lang w:val="es-ES_tradnl"/>
        </w:rPr>
        <w:t>Especificidad</w:t>
      </w:r>
      <w:bookmarkEnd w:id="35"/>
    </w:p>
    <w:p w14:paraId="577A82F6" w14:textId="77777777" w:rsidR="00550FF9" w:rsidRPr="000A6F45" w:rsidRDefault="00550FF9" w:rsidP="00550FF9">
      <w:pPr>
        <w:rPr>
          <w:lang w:eastAsia="fr-FR"/>
        </w:rPr>
      </w:pPr>
    </w:p>
    <w:p w14:paraId="11FF079D" w14:textId="77777777" w:rsidR="00E33CFC" w:rsidRPr="000A6F45" w:rsidRDefault="00044CA4">
      <w:pPr>
        <w:pStyle w:val="Heading3Annex"/>
        <w:rPr>
          <w:lang w:val="es-ES_tradnl"/>
        </w:rPr>
      </w:pPr>
      <w:bookmarkStart w:id="36" w:name="_Toc178243066"/>
      <w:r w:rsidRPr="000A6F45">
        <w:rPr>
          <w:lang w:val="es-ES_tradnl"/>
        </w:rPr>
        <w:t>Definición</w:t>
      </w:r>
      <w:bookmarkEnd w:id="36"/>
    </w:p>
    <w:p w14:paraId="7FD3C941" w14:textId="77777777" w:rsidR="00550FF9" w:rsidRPr="000A6F45" w:rsidRDefault="00550FF9" w:rsidP="00550FF9">
      <w:pPr>
        <w:rPr>
          <w:u w:val="single"/>
          <w:lang w:eastAsia="fr-FR"/>
        </w:rPr>
      </w:pPr>
    </w:p>
    <w:p w14:paraId="7ADCBDCB"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37" w:author="SANCHEZ VIZCAINO GOMEZ Rosa Maria" w:date="2024-09-23T14:37:00Z" w16du:dateUtc="2024-09-23T12:37:00Z" w:original="4."/>
        </w:fldChar>
      </w:r>
      <w:r w:rsidR="00550FF9" w:rsidRPr="000A6F45">
        <w:rPr>
          <w:lang w:eastAsia="fr-FR"/>
        </w:rPr>
        <w:tab/>
        <w:t xml:space="preserve">Correlación entre el genotipo y el fenotipo, </w:t>
      </w:r>
      <w:r w:rsidR="00550FF9" w:rsidRPr="002F4F74">
        <w:rPr>
          <w:lang w:eastAsia="fr-FR"/>
        </w:rPr>
        <w:t>es decir</w:t>
      </w:r>
      <w:r w:rsidR="00550FF9" w:rsidRPr="000A6F45">
        <w:rPr>
          <w:i/>
          <w:iCs/>
          <w:lang w:eastAsia="fr-FR"/>
        </w:rPr>
        <w:t xml:space="preserve">, </w:t>
      </w:r>
      <w:r w:rsidR="00550FF9" w:rsidRPr="000A6F45">
        <w:rPr>
          <w:lang w:eastAsia="fr-FR"/>
        </w:rPr>
        <w:t>fiabilidad del vínculo entre el marcador y el carácter.</w:t>
      </w:r>
    </w:p>
    <w:p w14:paraId="016A0644" w14:textId="77777777" w:rsidR="00550FF9" w:rsidRPr="000A6F45" w:rsidRDefault="00550FF9" w:rsidP="00550FF9">
      <w:pPr>
        <w:rPr>
          <w:lang w:eastAsia="fr-FR"/>
        </w:rPr>
      </w:pPr>
    </w:p>
    <w:p w14:paraId="5B7F195F" w14:textId="77777777" w:rsidR="00E33CFC" w:rsidRPr="000A6F45" w:rsidRDefault="00044CA4">
      <w:pPr>
        <w:pStyle w:val="Heading3Annex"/>
        <w:rPr>
          <w:lang w:val="es-ES_tradnl"/>
        </w:rPr>
      </w:pPr>
      <w:bookmarkStart w:id="38" w:name="_Toc178243067"/>
      <w:r w:rsidRPr="000A6F45">
        <w:rPr>
          <w:lang w:val="es-ES_tradnl"/>
        </w:rPr>
        <w:t>Requisito</w:t>
      </w:r>
      <w:bookmarkEnd w:id="38"/>
    </w:p>
    <w:p w14:paraId="35FD33F8" w14:textId="77777777" w:rsidR="00550FF9" w:rsidRPr="000A6F45" w:rsidRDefault="00550FF9" w:rsidP="00550FF9">
      <w:pPr>
        <w:rPr>
          <w:u w:val="single"/>
          <w:lang w:eastAsia="fr-FR"/>
        </w:rPr>
      </w:pPr>
    </w:p>
    <w:p w14:paraId="4DBF89F5" w14:textId="011456CC"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39" w:author="SANCHEZ VIZCAINO GOMEZ Rosa Maria" w:date="2024-09-23T14:37:00Z" w16du:dateUtc="2024-09-23T12:37:00Z" w:original="5."/>
        </w:fldChar>
      </w:r>
      <w:r w:rsidR="00550FF9" w:rsidRPr="000A6F45">
        <w:rPr>
          <w:lang w:eastAsia="fr-FR"/>
        </w:rPr>
        <w:tab/>
        <w:t>En principio 100% de correlación entre el genotipo y el fenotipo. Si la correlación es inferior al 100%, deben realizarse una o varias pruebas de seguimiento para garantizar la fiabilidad de los resultados. En ese caso puede utilizarse una regla de decisión. Una correlación inferior al 100% puede deberse a otros factores genéticos. También puede sugerir que la no correlación no está causada por el marcador, sino por factores externos en las observaciones fenotípicas (</w:t>
      </w:r>
      <w:r w:rsidR="001D28A3" w:rsidRPr="001D28A3">
        <w:rPr>
          <w:lang w:eastAsia="fr-FR"/>
        </w:rPr>
        <w:t>por ejemplo</w:t>
      </w:r>
      <w:r w:rsidR="00550FF9" w:rsidRPr="000A6F45">
        <w:rPr>
          <w:i/>
          <w:lang w:eastAsia="fr-FR"/>
        </w:rPr>
        <w:t xml:space="preserve">, </w:t>
      </w:r>
      <w:proofErr w:type="spellStart"/>
      <w:r w:rsidR="00550FF9" w:rsidRPr="000A6F45">
        <w:rPr>
          <w:lang w:eastAsia="fr-FR"/>
        </w:rPr>
        <w:t>biotest</w:t>
      </w:r>
      <w:proofErr w:type="spellEnd"/>
      <w:r w:rsidR="00550FF9" w:rsidRPr="000A6F45">
        <w:rPr>
          <w:lang w:eastAsia="fr-FR"/>
        </w:rPr>
        <w:t xml:space="preserve"> para la resistencia a una enfermedad).  </w:t>
      </w:r>
    </w:p>
    <w:p w14:paraId="481C662D" w14:textId="77777777" w:rsidR="00550FF9" w:rsidRPr="000A6F45" w:rsidRDefault="00550FF9" w:rsidP="00550FF9">
      <w:pPr>
        <w:rPr>
          <w:lang w:eastAsia="fr-FR"/>
        </w:rPr>
      </w:pPr>
    </w:p>
    <w:p w14:paraId="0488B4F4" w14:textId="77777777" w:rsidR="00E33CFC" w:rsidRPr="000A6F45" w:rsidRDefault="00044CA4">
      <w:pPr>
        <w:pStyle w:val="Heading2Annex"/>
        <w:rPr>
          <w:lang w:val="es-ES_tradnl"/>
        </w:rPr>
      </w:pPr>
      <w:bookmarkStart w:id="40" w:name="_Toc178243068"/>
      <w:r w:rsidRPr="000A6F45">
        <w:rPr>
          <w:lang w:val="es-ES_tradnl"/>
        </w:rPr>
        <w:t>Cómo evaluarlo</w:t>
      </w:r>
      <w:bookmarkEnd w:id="40"/>
    </w:p>
    <w:p w14:paraId="0B9297A3" w14:textId="77777777" w:rsidR="00550FF9" w:rsidRPr="000A6F45" w:rsidRDefault="00550FF9" w:rsidP="00550FF9">
      <w:pPr>
        <w:rPr>
          <w:u w:val="single"/>
          <w:lang w:eastAsia="fr-FR"/>
        </w:rPr>
      </w:pPr>
    </w:p>
    <w:p w14:paraId="11CFF506"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41" w:author="SANCHEZ VIZCAINO GOMEZ Rosa Maria" w:date="2024-09-23T14:37:00Z" w16du:dateUtc="2024-09-23T12:37:00Z" w:original="6."/>
        </w:fldChar>
      </w:r>
      <w:r w:rsidR="00550FF9" w:rsidRPr="000A6F45">
        <w:rPr>
          <w:lang w:eastAsia="fr-FR"/>
        </w:rPr>
        <w:tab/>
        <w:t>Número de variedades: "</w:t>
      </w:r>
      <w:r w:rsidR="00550FF9" w:rsidRPr="000A6F45">
        <w:rPr>
          <w:i/>
          <w:iCs/>
          <w:highlight w:val="yellow"/>
          <w:lang w:eastAsia="fr-FR"/>
        </w:rPr>
        <w:t>Para iniciar el proceso de selección de marcadores se necesita un número adecuado de variedades (conjunto de desarrollo) que refleje como máximo la diversidad observada dentro del grupo/cultivo/especie/tipo para el que se pretende que los marcadores sean discriminantes</w:t>
      </w:r>
      <w:r w:rsidR="00550FF9" w:rsidRPr="000A6F45">
        <w:rPr>
          <w:highlight w:val="yellow"/>
          <w:lang w:eastAsia="fr-FR"/>
        </w:rPr>
        <w:t>.</w:t>
      </w:r>
      <w:r w:rsidR="00550FF9" w:rsidRPr="000A6F45">
        <w:rPr>
          <w:lang w:eastAsia="fr-FR"/>
        </w:rPr>
        <w:t xml:space="preserve">" </w:t>
      </w:r>
    </w:p>
    <w:p w14:paraId="71F7B27B" w14:textId="77777777" w:rsidR="00550FF9" w:rsidRPr="000A6F45" w:rsidRDefault="00550FF9" w:rsidP="00550FF9">
      <w:pPr>
        <w:rPr>
          <w:lang w:eastAsia="fr-FR"/>
        </w:rPr>
      </w:pPr>
    </w:p>
    <w:p w14:paraId="46870794" w14:textId="77777777" w:rsidR="00E33CFC" w:rsidRPr="000A6F45" w:rsidRDefault="00044CA4">
      <w:pPr>
        <w:keepLines/>
        <w:rPr>
          <w:lang w:eastAsia="fr-FR"/>
        </w:rPr>
      </w:pPr>
      <w:r w:rsidRPr="000A6F45">
        <w:fldChar w:fldCharType="begin"/>
      </w:r>
      <w:r w:rsidRPr="000A6F45">
        <w:instrText xml:space="preserve"> LISTNUM  LegalDefault \l 1 </w:instrText>
      </w:r>
      <w:r w:rsidRPr="000A6F45">
        <w:fldChar w:fldCharType="end">
          <w:numberingChange w:id="42" w:author="SANCHEZ VIZCAINO GOMEZ Rosa Maria" w:date="2024-09-23T14:37:00Z" w16du:dateUtc="2024-09-23T12:37:00Z" w:original="7."/>
        </w:fldChar>
      </w:r>
      <w:r w:rsidR="00550FF9" w:rsidRPr="000A6F45">
        <w:rPr>
          <w:lang w:eastAsia="fr-FR"/>
        </w:rPr>
        <w:tab/>
        <w:t>Las variedades deberán representar los diferentes niveles de expresión (si se conocen variedades con estado heterocigótico y homocigótico), proceder de diferentes empresas de semillas, con diferentes antecedentes genéticos del carácter y diferentes tipos. Deberán utilizarse variedades bien caracterizadas fenotípicamente para el carácter de interés cuando estén disponibles.</w:t>
      </w:r>
    </w:p>
    <w:p w14:paraId="453A8C03" w14:textId="77777777" w:rsidR="00550FF9" w:rsidRPr="000A6F45" w:rsidRDefault="00550FF9" w:rsidP="00550FF9">
      <w:pPr>
        <w:rPr>
          <w:lang w:eastAsia="fr-FR"/>
        </w:rPr>
      </w:pPr>
    </w:p>
    <w:p w14:paraId="721A215C"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43" w:author="SANCHEZ VIZCAINO GOMEZ Rosa Maria" w:date="2024-09-23T14:37:00Z" w16du:dateUtc="2024-09-23T12:37:00Z" w:original="8."/>
        </w:fldChar>
      </w:r>
      <w:r w:rsidR="00550FF9" w:rsidRPr="000A6F45">
        <w:rPr>
          <w:lang w:eastAsia="fr-FR"/>
        </w:rPr>
        <w:tab/>
        <w:t>Número de plantas por variedad: Al menos una planta por variedad si se dispone de variedades bien caracterizadas fenotípicamente. En caso contrario, el número de plantas deberá ser el mismo que para la observación morfológica descrita en la directriz de la UPOV.</w:t>
      </w:r>
    </w:p>
    <w:p w14:paraId="6F7EB131" w14:textId="77777777" w:rsidR="00550FF9" w:rsidRPr="000A6F45" w:rsidRDefault="00550FF9" w:rsidP="00550FF9">
      <w:pPr>
        <w:rPr>
          <w:lang w:eastAsia="fr-FR"/>
        </w:rPr>
      </w:pPr>
    </w:p>
    <w:p w14:paraId="6A609EDB"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44" w:author="SANCHEZ VIZCAINO GOMEZ Rosa Maria" w:date="2024-09-23T14:37:00Z" w16du:dateUtc="2024-09-23T12:37:00Z" w:original="9."/>
        </w:fldChar>
      </w:r>
      <w:r w:rsidR="00550FF9" w:rsidRPr="000A6F45">
        <w:rPr>
          <w:lang w:eastAsia="fr-FR"/>
        </w:rPr>
        <w:tab/>
        <w:t>La especificidad puede evaluarse en un solo laboratorio.</w:t>
      </w:r>
    </w:p>
    <w:p w14:paraId="17BB33B8" w14:textId="77777777" w:rsidR="00550FF9" w:rsidRPr="000A6F45" w:rsidRDefault="00550FF9" w:rsidP="00550FF9">
      <w:pPr>
        <w:rPr>
          <w:lang w:eastAsia="fr-FR"/>
        </w:rPr>
      </w:pPr>
    </w:p>
    <w:p w14:paraId="03BBCC80" w14:textId="77777777" w:rsidR="00E33CFC" w:rsidRPr="000A6F45" w:rsidRDefault="00044CA4">
      <w:pPr>
        <w:pStyle w:val="Heading2Annex"/>
        <w:rPr>
          <w:lang w:val="es-ES_tradnl"/>
        </w:rPr>
      </w:pPr>
      <w:bookmarkStart w:id="45" w:name="_Toc178243069"/>
      <w:r w:rsidRPr="000A6F45">
        <w:rPr>
          <w:lang w:val="es-ES_tradnl"/>
        </w:rPr>
        <w:t>Sensibilidad y límite de detección</w:t>
      </w:r>
      <w:bookmarkEnd w:id="45"/>
    </w:p>
    <w:p w14:paraId="56A0F5E2" w14:textId="77777777" w:rsidR="00550FF9" w:rsidRPr="000A6F45" w:rsidRDefault="00550FF9" w:rsidP="00550FF9">
      <w:pPr>
        <w:rPr>
          <w:lang w:eastAsia="fr-FR"/>
        </w:rPr>
      </w:pPr>
    </w:p>
    <w:p w14:paraId="7805BF75" w14:textId="77777777" w:rsidR="00E33CFC" w:rsidRPr="000A6F45" w:rsidRDefault="00044CA4">
      <w:pPr>
        <w:pStyle w:val="Heading3Annex"/>
        <w:rPr>
          <w:lang w:val="es-ES_tradnl"/>
        </w:rPr>
      </w:pPr>
      <w:bookmarkStart w:id="46" w:name="_Toc178243070"/>
      <w:r w:rsidRPr="000A6F45">
        <w:rPr>
          <w:lang w:val="es-ES_tradnl"/>
        </w:rPr>
        <w:t>Definición</w:t>
      </w:r>
      <w:bookmarkEnd w:id="46"/>
    </w:p>
    <w:p w14:paraId="0F8EDBF9" w14:textId="77777777" w:rsidR="00550FF9" w:rsidRPr="000A6F45" w:rsidRDefault="00550FF9" w:rsidP="00550FF9">
      <w:pPr>
        <w:rPr>
          <w:u w:val="single"/>
          <w:lang w:eastAsia="fr-FR"/>
        </w:rPr>
      </w:pPr>
    </w:p>
    <w:p w14:paraId="7699ABA8"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47" w:author="SANCHEZ VIZCAINO GOMEZ Rosa Maria" w:date="2024-09-23T14:37:00Z" w16du:dateUtc="2024-09-23T12:37:00Z" w:original="10."/>
        </w:fldChar>
      </w:r>
      <w:r w:rsidR="00550FF9" w:rsidRPr="000A6F45">
        <w:rPr>
          <w:lang w:eastAsia="fr-FR"/>
        </w:rPr>
        <w:tab/>
        <w:t>El límite de detección se define como la cantidad mínima de la diana que puede detectarse de forma fiable.</w:t>
      </w:r>
    </w:p>
    <w:p w14:paraId="005B41D3" w14:textId="77777777" w:rsidR="00550FF9" w:rsidRPr="000A6F45" w:rsidRDefault="00550FF9" w:rsidP="00550FF9">
      <w:pPr>
        <w:rPr>
          <w:lang w:eastAsia="fr-FR"/>
        </w:rPr>
      </w:pPr>
    </w:p>
    <w:p w14:paraId="47F8DD72"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48" w:author="SANCHEZ VIZCAINO GOMEZ Rosa Maria" w:date="2024-09-23T14:37:00Z" w16du:dateUtc="2024-09-23T12:37:00Z" w:original="11."/>
        </w:fldChar>
      </w:r>
      <w:r w:rsidR="00550FF9" w:rsidRPr="000A6F45">
        <w:rPr>
          <w:lang w:eastAsia="fr-FR"/>
        </w:rPr>
        <w:tab/>
        <w:t>En el caso de los análisis realizados en muestras a granel (</w:t>
      </w:r>
      <w:r w:rsidR="00550FF9" w:rsidRPr="002F4F74">
        <w:rPr>
          <w:lang w:eastAsia="fr-FR"/>
        </w:rPr>
        <w:t>por ejemplo</w:t>
      </w:r>
      <w:r w:rsidR="00550FF9" w:rsidRPr="000A6F45">
        <w:rPr>
          <w:i/>
          <w:iCs/>
          <w:lang w:eastAsia="fr-FR"/>
        </w:rPr>
        <w:t xml:space="preserve">, </w:t>
      </w:r>
      <w:r w:rsidR="00550FF9" w:rsidRPr="000A6F45">
        <w:rPr>
          <w:lang w:eastAsia="fr-FR"/>
        </w:rPr>
        <w:t>un conjunto de diferentes plantas de la misma variedad), la sensibilidad es crítica y debe evaluarse. Para el uso en plantas individuales, la cantidad del blanco no es crítica y este criterio de rendimiento es opcional.</w:t>
      </w:r>
    </w:p>
    <w:p w14:paraId="3154352F" w14:textId="77777777" w:rsidR="00550FF9" w:rsidRPr="000A6F45" w:rsidRDefault="00550FF9" w:rsidP="00550FF9">
      <w:pPr>
        <w:rPr>
          <w:lang w:eastAsia="fr-FR"/>
        </w:rPr>
      </w:pPr>
    </w:p>
    <w:p w14:paraId="06891AFA" w14:textId="77777777" w:rsidR="00E33CFC" w:rsidRPr="000A6F45" w:rsidRDefault="00044CA4">
      <w:pPr>
        <w:pStyle w:val="Heading3Annex"/>
        <w:rPr>
          <w:lang w:val="es-ES_tradnl"/>
        </w:rPr>
      </w:pPr>
      <w:bookmarkStart w:id="49" w:name="_Toc178243071"/>
      <w:r w:rsidRPr="000A6F45">
        <w:rPr>
          <w:lang w:val="es-ES_tradnl"/>
        </w:rPr>
        <w:lastRenderedPageBreak/>
        <w:t>Requisito</w:t>
      </w:r>
      <w:bookmarkEnd w:id="49"/>
    </w:p>
    <w:p w14:paraId="54DCA68F" w14:textId="77777777" w:rsidR="00550FF9" w:rsidRPr="000A6F45" w:rsidRDefault="00550FF9" w:rsidP="00550FF9">
      <w:pPr>
        <w:rPr>
          <w:lang w:eastAsia="fr-FR"/>
        </w:rPr>
      </w:pPr>
    </w:p>
    <w:p w14:paraId="2FEEAF91" w14:textId="31795280"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0" w:author="SANCHEZ VIZCAINO GOMEZ Rosa Maria" w:date="2024-09-23T14:37:00Z" w16du:dateUtc="2024-09-23T12:37:00Z" w:original="12."/>
        </w:fldChar>
      </w:r>
      <w:r w:rsidR="00550FF9" w:rsidRPr="000A6F45">
        <w:rPr>
          <w:lang w:eastAsia="fr-FR"/>
        </w:rPr>
        <w:tab/>
        <w:t xml:space="preserve">En el caso de </w:t>
      </w:r>
      <w:r w:rsidR="002F4F74">
        <w:rPr>
          <w:lang w:eastAsia="fr-FR"/>
        </w:rPr>
        <w:t>un conjunto</w:t>
      </w:r>
      <w:r w:rsidR="00550FF9" w:rsidRPr="000A6F45">
        <w:rPr>
          <w:lang w:eastAsia="fr-FR"/>
        </w:rPr>
        <w:t xml:space="preserve">, el requisito sería detectar al menos un fuera de tipo en </w:t>
      </w:r>
      <w:r w:rsidR="002F4F74">
        <w:rPr>
          <w:lang w:eastAsia="fr-FR"/>
        </w:rPr>
        <w:t>el conjunto</w:t>
      </w:r>
      <w:r w:rsidR="00550FF9" w:rsidRPr="000A6F45">
        <w:rPr>
          <w:lang w:eastAsia="fr-FR"/>
        </w:rPr>
        <w:t>.</w:t>
      </w:r>
    </w:p>
    <w:p w14:paraId="72D20B90" w14:textId="77777777" w:rsidR="00550FF9" w:rsidRPr="000A6F45" w:rsidRDefault="00550FF9" w:rsidP="00550FF9">
      <w:pPr>
        <w:rPr>
          <w:lang w:eastAsia="fr-FR"/>
        </w:rPr>
      </w:pPr>
    </w:p>
    <w:p w14:paraId="7F1294DC" w14:textId="77777777" w:rsidR="00E33CFC" w:rsidRPr="000A6F45" w:rsidRDefault="00044CA4">
      <w:pPr>
        <w:keepNext/>
        <w:outlineLvl w:val="2"/>
        <w:rPr>
          <w:i/>
          <w:lang w:eastAsia="fr-FR"/>
        </w:rPr>
      </w:pPr>
      <w:r w:rsidRPr="000A6F45">
        <w:rPr>
          <w:i/>
          <w:lang w:eastAsia="fr-FR"/>
        </w:rPr>
        <w:t>¿Cómo evaluarlo?</w:t>
      </w:r>
    </w:p>
    <w:p w14:paraId="06E5BE60" w14:textId="77777777" w:rsidR="00550FF9" w:rsidRPr="000A6F45" w:rsidRDefault="00550FF9" w:rsidP="00550FF9">
      <w:pPr>
        <w:rPr>
          <w:lang w:eastAsia="fr-FR"/>
        </w:rPr>
      </w:pPr>
    </w:p>
    <w:p w14:paraId="36C5257E" w14:textId="5410693A"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1" w:author="SANCHEZ VIZCAINO GOMEZ Rosa Maria" w:date="2024-09-23T14:37:00Z" w16du:dateUtc="2024-09-23T12:37:00Z" w:original="13."/>
        </w:fldChar>
      </w:r>
      <w:r w:rsidR="00550FF9" w:rsidRPr="000A6F45">
        <w:rPr>
          <w:lang w:eastAsia="fr-FR"/>
        </w:rPr>
        <w:tab/>
        <w:t xml:space="preserve">Utilizar muestras artificiales mezclando una fuera de tipo a un </w:t>
      </w:r>
      <w:r w:rsidR="002F4F74">
        <w:rPr>
          <w:lang w:eastAsia="fr-FR"/>
        </w:rPr>
        <w:t>conjunto</w:t>
      </w:r>
      <w:r w:rsidR="00550FF9" w:rsidRPr="000A6F45">
        <w:rPr>
          <w:lang w:eastAsia="fr-FR"/>
        </w:rPr>
        <w:t xml:space="preserve"> para comprobar la sensibilidad de la detección. </w:t>
      </w:r>
    </w:p>
    <w:p w14:paraId="443C2A97" w14:textId="77777777" w:rsidR="00550FF9" w:rsidRPr="000A6F45" w:rsidRDefault="00550FF9" w:rsidP="00550FF9">
      <w:pPr>
        <w:rPr>
          <w:lang w:eastAsia="fr-FR"/>
        </w:rPr>
      </w:pPr>
    </w:p>
    <w:p w14:paraId="533AB833" w14:textId="77777777" w:rsidR="00E33CFC" w:rsidRPr="000A6F45" w:rsidRDefault="00044CA4">
      <w:pPr>
        <w:pStyle w:val="Heading2Annex"/>
        <w:rPr>
          <w:lang w:val="es-ES_tradnl"/>
        </w:rPr>
      </w:pPr>
      <w:bookmarkStart w:id="52" w:name="_Toc178243072"/>
      <w:r w:rsidRPr="000A6F45">
        <w:rPr>
          <w:lang w:val="es-ES_tradnl"/>
        </w:rPr>
        <w:t>Repetibilidad</w:t>
      </w:r>
      <w:bookmarkEnd w:id="52"/>
    </w:p>
    <w:p w14:paraId="0EB95219" w14:textId="77777777" w:rsidR="00550FF9" w:rsidRPr="000A6F45" w:rsidRDefault="00550FF9" w:rsidP="00550FF9">
      <w:pPr>
        <w:keepNext/>
        <w:rPr>
          <w:lang w:eastAsia="fr-FR"/>
        </w:rPr>
      </w:pPr>
    </w:p>
    <w:p w14:paraId="768F4D30" w14:textId="77777777" w:rsidR="00E33CFC" w:rsidRPr="000A6F45" w:rsidRDefault="00044CA4">
      <w:pPr>
        <w:pStyle w:val="Heading3Annex"/>
        <w:rPr>
          <w:lang w:val="es-ES_tradnl"/>
        </w:rPr>
      </w:pPr>
      <w:bookmarkStart w:id="53" w:name="_Toc178243073"/>
      <w:r w:rsidRPr="000A6F45">
        <w:rPr>
          <w:lang w:val="es-ES_tradnl"/>
        </w:rPr>
        <w:t xml:space="preserve">Definición </w:t>
      </w:r>
      <w:r w:rsidRPr="000A6F45">
        <w:rPr>
          <w:highlight w:val="yellow"/>
          <w:lang w:val="es-ES_tradnl"/>
        </w:rPr>
        <w:t>(basada en ISO 16 577:2016)</w:t>
      </w:r>
      <w:bookmarkEnd w:id="53"/>
    </w:p>
    <w:p w14:paraId="72912EE8" w14:textId="77777777" w:rsidR="00550FF9" w:rsidRPr="000A6F45" w:rsidRDefault="00550FF9" w:rsidP="00550FF9">
      <w:pPr>
        <w:rPr>
          <w:highlight w:val="yellow"/>
          <w:lang w:eastAsia="fr-FR"/>
        </w:rPr>
      </w:pPr>
    </w:p>
    <w:p w14:paraId="46C17FE1" w14:textId="0973E845"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4" w:author="SANCHEZ VIZCAINO GOMEZ Rosa Maria" w:date="2024-09-23T14:37:00Z" w16du:dateUtc="2024-09-23T12:37:00Z" w:original="14."/>
        </w:fldChar>
      </w:r>
      <w:r w:rsidR="00550FF9" w:rsidRPr="000A6F45">
        <w:rPr>
          <w:lang w:eastAsia="fr-FR"/>
        </w:rPr>
        <w:tab/>
        <w:t>"</w:t>
      </w:r>
      <w:r w:rsidR="00550FF9" w:rsidRPr="000A6F45">
        <w:rPr>
          <w:i/>
          <w:iCs/>
          <w:highlight w:val="yellow"/>
          <w:lang w:eastAsia="fr-FR"/>
        </w:rPr>
        <w:t>Repetibilidad; cuando se obtienen resultados de ensayo idénticos con el mismo método, en elementos de ensayo idénticos, en el mismo laboratorio, por el mismo operario, utilizando el mismo equipo en intervalos cortos de tiempo</w:t>
      </w:r>
      <w:r w:rsidR="009C430E">
        <w:rPr>
          <w:i/>
          <w:iCs/>
          <w:lang w:eastAsia="fr-FR"/>
        </w:rPr>
        <w:t>.</w:t>
      </w:r>
      <w:r w:rsidR="00550FF9" w:rsidRPr="000A6F45">
        <w:rPr>
          <w:i/>
          <w:iCs/>
          <w:lang w:eastAsia="fr-FR"/>
        </w:rPr>
        <w:t>"</w:t>
      </w:r>
    </w:p>
    <w:p w14:paraId="0853AF7C" w14:textId="77777777" w:rsidR="00550FF9" w:rsidRPr="000A6F45" w:rsidRDefault="00550FF9" w:rsidP="00550FF9">
      <w:pPr>
        <w:rPr>
          <w:lang w:eastAsia="fr-FR"/>
        </w:rPr>
      </w:pPr>
    </w:p>
    <w:p w14:paraId="0D7FEC3C"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5" w:author="SANCHEZ VIZCAINO GOMEZ Rosa Maria" w:date="2024-09-23T14:37:00Z" w16du:dateUtc="2024-09-23T12:37:00Z" w:original="15."/>
        </w:fldChar>
      </w:r>
      <w:r w:rsidR="00550FF9" w:rsidRPr="000A6F45">
        <w:rPr>
          <w:lang w:eastAsia="fr-FR"/>
        </w:rPr>
        <w:tab/>
        <w:t xml:space="preserve">Para los métodos cualitativos, la concordancia es equivalente a la repetibilidad de los métodos cuantitativos (Langton </w:t>
      </w:r>
      <w:r w:rsidR="00550FF9" w:rsidRPr="000A6F45">
        <w:rPr>
          <w:i/>
          <w:iCs/>
          <w:lang w:eastAsia="fr-FR"/>
        </w:rPr>
        <w:t>et al.</w:t>
      </w:r>
      <w:r w:rsidR="00550FF9" w:rsidRPr="000A6F45">
        <w:rPr>
          <w:lang w:eastAsia="fr-FR"/>
        </w:rPr>
        <w:t>, 2002).</w:t>
      </w:r>
    </w:p>
    <w:p w14:paraId="7F967882" w14:textId="77777777" w:rsidR="00550FF9" w:rsidRPr="000A6F45" w:rsidRDefault="00550FF9" w:rsidP="00550FF9">
      <w:pPr>
        <w:rPr>
          <w:u w:val="single"/>
          <w:lang w:eastAsia="fr-FR"/>
        </w:rPr>
      </w:pPr>
    </w:p>
    <w:p w14:paraId="4A9A14B4" w14:textId="77777777" w:rsidR="00E33CFC" w:rsidRPr="000A6F45" w:rsidRDefault="00044CA4">
      <w:pPr>
        <w:pStyle w:val="Heading3Annex"/>
        <w:rPr>
          <w:lang w:val="es-ES_tradnl"/>
        </w:rPr>
      </w:pPr>
      <w:bookmarkStart w:id="56" w:name="_Toc178243074"/>
      <w:r w:rsidRPr="000A6F45">
        <w:rPr>
          <w:lang w:val="es-ES_tradnl"/>
        </w:rPr>
        <w:t>Requisito</w:t>
      </w:r>
      <w:bookmarkEnd w:id="56"/>
    </w:p>
    <w:p w14:paraId="14191270" w14:textId="77777777" w:rsidR="00550FF9" w:rsidRPr="000A6F45" w:rsidRDefault="00550FF9" w:rsidP="00550FF9">
      <w:pPr>
        <w:rPr>
          <w:lang w:eastAsia="fr-FR"/>
        </w:rPr>
      </w:pPr>
    </w:p>
    <w:p w14:paraId="20E50C62"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7" w:author="SANCHEZ VIZCAINO GOMEZ Rosa Maria" w:date="2024-09-23T14:37:00Z" w16du:dateUtc="2024-09-23T12:37:00Z" w:original="16."/>
        </w:fldChar>
      </w:r>
      <w:r w:rsidR="00550FF9" w:rsidRPr="000A6F45">
        <w:rPr>
          <w:lang w:eastAsia="fr-FR"/>
        </w:rPr>
        <w:tab/>
        <w:t xml:space="preserve">Idealmente el 100%, un rendimiento ≥90% es generalmente aceptado. Si se publica la repetibilidad del método de referencia, la repetibilidad del método alternativo debe ser al menos equivalente. </w:t>
      </w:r>
    </w:p>
    <w:p w14:paraId="0E18E033" w14:textId="77777777" w:rsidR="00550FF9" w:rsidRPr="000A6F45" w:rsidRDefault="00550FF9" w:rsidP="00550FF9">
      <w:pPr>
        <w:rPr>
          <w:lang w:eastAsia="fr-FR"/>
        </w:rPr>
      </w:pPr>
    </w:p>
    <w:p w14:paraId="6B5DBAC6" w14:textId="77777777" w:rsidR="00E33CFC" w:rsidRPr="000A6F45" w:rsidRDefault="00044CA4">
      <w:pPr>
        <w:pStyle w:val="Heading3Annex"/>
        <w:rPr>
          <w:lang w:val="es-ES_tradnl"/>
        </w:rPr>
      </w:pPr>
      <w:bookmarkStart w:id="58" w:name="_Toc178243075"/>
      <w:r w:rsidRPr="000A6F45">
        <w:rPr>
          <w:lang w:val="es-ES_tradnl"/>
        </w:rPr>
        <w:t>¿Cómo evaluarlo?</w:t>
      </w:r>
      <w:bookmarkEnd w:id="58"/>
    </w:p>
    <w:p w14:paraId="05D32B41" w14:textId="77777777" w:rsidR="00550FF9" w:rsidRPr="000A6F45" w:rsidRDefault="00550FF9" w:rsidP="00550FF9">
      <w:pPr>
        <w:rPr>
          <w:lang w:eastAsia="fr-FR"/>
        </w:rPr>
      </w:pPr>
    </w:p>
    <w:p w14:paraId="112F10B1"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59" w:author="SANCHEZ VIZCAINO GOMEZ Rosa Maria" w:date="2024-09-23T14:37:00Z" w16du:dateUtc="2024-09-23T12:37:00Z" w:original="17."/>
        </w:fldChar>
      </w:r>
      <w:r w:rsidR="00550FF9" w:rsidRPr="000A6F45">
        <w:rPr>
          <w:lang w:eastAsia="fr-FR"/>
        </w:rPr>
        <w:tab/>
        <w:t>La repetibilidad puede evaluarse dentro de un mismo laboratorio.</w:t>
      </w:r>
    </w:p>
    <w:p w14:paraId="55A012FE" w14:textId="77777777" w:rsidR="00550FF9" w:rsidRPr="000A6F45" w:rsidRDefault="00550FF9" w:rsidP="00550FF9">
      <w:pPr>
        <w:rPr>
          <w:lang w:eastAsia="fr-FR"/>
        </w:rPr>
      </w:pPr>
    </w:p>
    <w:p w14:paraId="7905790E" w14:textId="3EA25FA8"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60" w:author="SANCHEZ VIZCAINO GOMEZ Rosa Maria" w:date="2024-09-23T14:37:00Z" w16du:dateUtc="2024-09-23T12:37:00Z" w:original="18."/>
        </w:fldChar>
      </w:r>
      <w:r w:rsidR="00550FF9" w:rsidRPr="000A6F45">
        <w:rPr>
          <w:lang w:eastAsia="fr-FR"/>
        </w:rPr>
        <w:tab/>
        <w:t>Al menos tres réplicas técnicas extraídas de una misma planta (tres extracciones independientes de ADN). Incluir al menos todos los tipos de genotipo esperados.</w:t>
      </w:r>
    </w:p>
    <w:p w14:paraId="620205AB" w14:textId="77777777" w:rsidR="00550FF9" w:rsidRPr="000A6F45" w:rsidRDefault="00550FF9" w:rsidP="00550FF9">
      <w:pPr>
        <w:rPr>
          <w:lang w:eastAsia="fr-FR"/>
        </w:rPr>
      </w:pPr>
    </w:p>
    <w:p w14:paraId="02A06D6E" w14:textId="77777777" w:rsidR="00E33CFC" w:rsidRPr="000A6F45" w:rsidRDefault="00044CA4">
      <w:pPr>
        <w:pStyle w:val="Heading2Annex"/>
        <w:rPr>
          <w:lang w:val="es-ES_tradnl"/>
        </w:rPr>
      </w:pPr>
      <w:bookmarkStart w:id="61" w:name="_Toc178243076"/>
      <w:r w:rsidRPr="000A6F45">
        <w:rPr>
          <w:lang w:val="es-ES_tradnl"/>
        </w:rPr>
        <w:t>Reproducibilidad</w:t>
      </w:r>
      <w:bookmarkEnd w:id="61"/>
    </w:p>
    <w:p w14:paraId="5F92D58C" w14:textId="77777777" w:rsidR="00550FF9" w:rsidRPr="000A6F45" w:rsidRDefault="00550FF9" w:rsidP="00550FF9">
      <w:pPr>
        <w:rPr>
          <w:lang w:eastAsia="fr-FR"/>
        </w:rPr>
      </w:pPr>
    </w:p>
    <w:p w14:paraId="1F174BBB" w14:textId="77777777" w:rsidR="00E33CFC" w:rsidRPr="000A6F45" w:rsidRDefault="00044CA4">
      <w:pPr>
        <w:pStyle w:val="Heading3Annex"/>
        <w:rPr>
          <w:lang w:val="es-ES_tradnl"/>
        </w:rPr>
      </w:pPr>
      <w:bookmarkStart w:id="62" w:name="_Toc178243077"/>
      <w:r w:rsidRPr="000A6F45">
        <w:rPr>
          <w:lang w:val="es-ES_tradnl"/>
        </w:rPr>
        <w:t xml:space="preserve">Definición </w:t>
      </w:r>
      <w:r w:rsidRPr="000A6F45">
        <w:rPr>
          <w:highlight w:val="yellow"/>
          <w:lang w:val="es-ES_tradnl"/>
        </w:rPr>
        <w:t>(basada en ISO 16 577:2016)</w:t>
      </w:r>
      <w:bookmarkEnd w:id="62"/>
    </w:p>
    <w:p w14:paraId="5BC116AE" w14:textId="77777777" w:rsidR="00550FF9" w:rsidRPr="000A6F45" w:rsidRDefault="00550FF9" w:rsidP="00550FF9">
      <w:pPr>
        <w:rPr>
          <w:highlight w:val="yellow"/>
          <w:lang w:eastAsia="fr-FR"/>
        </w:rPr>
      </w:pPr>
    </w:p>
    <w:p w14:paraId="198FF192" w14:textId="77777777" w:rsidR="00E33CFC" w:rsidRPr="000A6F45" w:rsidRDefault="00044CA4">
      <w:pPr>
        <w:rPr>
          <w:lang w:eastAsia="fr-FR"/>
        </w:rPr>
      </w:pPr>
      <w:r w:rsidRPr="000A6F45">
        <w:rPr>
          <w:highlight w:val="yellow"/>
        </w:rPr>
        <w:fldChar w:fldCharType="begin"/>
      </w:r>
      <w:r w:rsidRPr="000A6F45">
        <w:rPr>
          <w:highlight w:val="yellow"/>
        </w:rPr>
        <w:instrText xml:space="preserve"> LISTNUM  LegalDefault \l 1 </w:instrText>
      </w:r>
      <w:r w:rsidRPr="000A6F45">
        <w:rPr>
          <w:highlight w:val="yellow"/>
        </w:rPr>
        <w:fldChar w:fldCharType="end">
          <w:numberingChange w:id="63" w:author="SANCHEZ VIZCAINO GOMEZ Rosa Maria" w:date="2024-09-23T14:37:00Z" w16du:dateUtc="2024-09-23T12:37:00Z" w:original="19."/>
        </w:fldChar>
      </w:r>
      <w:r w:rsidR="00550FF9" w:rsidRPr="000A6F45">
        <w:rPr>
          <w:highlight w:val="yellow"/>
          <w:lang w:eastAsia="fr-FR"/>
        </w:rPr>
        <w:tab/>
        <w:t>"</w:t>
      </w:r>
      <w:r w:rsidR="00550FF9" w:rsidRPr="000A6F45">
        <w:rPr>
          <w:i/>
          <w:iCs/>
          <w:highlight w:val="yellow"/>
          <w:lang w:eastAsia="fr-FR"/>
        </w:rPr>
        <w:t>Reproducibilidad; cuando los resultados de las pruebas se obtienen con el mismo método, en elementos de prueba idénticos, dentro del mismo laboratorio o entre laboratorios diferentes, con operadores diferentes, utilizando equipos diferentes</w:t>
      </w:r>
      <w:r w:rsidR="00550FF9" w:rsidRPr="000A6F45">
        <w:rPr>
          <w:highlight w:val="yellow"/>
          <w:lang w:eastAsia="fr-FR"/>
        </w:rPr>
        <w:t xml:space="preserve">" </w:t>
      </w:r>
      <w:r w:rsidR="00550FF9" w:rsidRPr="000A6F45">
        <w:rPr>
          <w:lang w:eastAsia="fr-FR"/>
        </w:rPr>
        <w:t>en momentos diferentes.</w:t>
      </w:r>
    </w:p>
    <w:p w14:paraId="42333825" w14:textId="77777777" w:rsidR="00550FF9" w:rsidRPr="000A6F45" w:rsidRDefault="00550FF9" w:rsidP="00550FF9">
      <w:pPr>
        <w:rPr>
          <w:lang w:eastAsia="fr-FR"/>
        </w:rPr>
      </w:pPr>
    </w:p>
    <w:p w14:paraId="41FDAF92"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64" w:author="SANCHEZ VIZCAINO GOMEZ Rosa Maria" w:date="2024-09-23T14:37:00Z" w16du:dateUtc="2024-09-23T12:37:00Z" w:original="20."/>
        </w:fldChar>
      </w:r>
      <w:r w:rsidR="00550FF9" w:rsidRPr="000A6F45">
        <w:rPr>
          <w:lang w:eastAsia="fr-FR"/>
        </w:rPr>
        <w:tab/>
        <w:t xml:space="preserve">Para los métodos cualitativos, la concordancia es equivalente a la reproducibilidad de los métodos cuantitativos (Langton </w:t>
      </w:r>
      <w:r w:rsidR="00550FF9" w:rsidRPr="000A6F45">
        <w:rPr>
          <w:i/>
          <w:iCs/>
          <w:lang w:eastAsia="fr-FR"/>
        </w:rPr>
        <w:t>et al.</w:t>
      </w:r>
      <w:r w:rsidR="00550FF9" w:rsidRPr="000A6F45">
        <w:rPr>
          <w:lang w:eastAsia="fr-FR"/>
        </w:rPr>
        <w:t>, 2002).</w:t>
      </w:r>
    </w:p>
    <w:p w14:paraId="3C453C7F" w14:textId="77777777" w:rsidR="00550FF9" w:rsidRPr="000A6F45" w:rsidRDefault="00550FF9" w:rsidP="00550FF9">
      <w:pPr>
        <w:rPr>
          <w:u w:val="single"/>
          <w:lang w:eastAsia="fr-FR"/>
        </w:rPr>
      </w:pPr>
    </w:p>
    <w:p w14:paraId="472EA06A" w14:textId="77777777" w:rsidR="00E33CFC" w:rsidRPr="000A6F45" w:rsidRDefault="00044CA4">
      <w:pPr>
        <w:pStyle w:val="Heading3Annex"/>
        <w:rPr>
          <w:lang w:val="es-ES_tradnl"/>
        </w:rPr>
      </w:pPr>
      <w:bookmarkStart w:id="65" w:name="_Toc178243078"/>
      <w:r w:rsidRPr="000A6F45">
        <w:rPr>
          <w:lang w:val="es-ES_tradnl"/>
        </w:rPr>
        <w:t>Requisito</w:t>
      </w:r>
      <w:bookmarkEnd w:id="65"/>
    </w:p>
    <w:p w14:paraId="62CCD8E6" w14:textId="77777777" w:rsidR="00550FF9" w:rsidRPr="000A6F45" w:rsidRDefault="00550FF9" w:rsidP="00550FF9">
      <w:pPr>
        <w:keepNext/>
        <w:rPr>
          <w:lang w:eastAsia="fr-FR"/>
        </w:rPr>
      </w:pPr>
    </w:p>
    <w:p w14:paraId="67A9D9F3" w14:textId="77777777" w:rsidR="00E33CFC" w:rsidRPr="000A6F45" w:rsidRDefault="00044CA4">
      <w:pPr>
        <w:keepNext/>
        <w:rPr>
          <w:lang w:eastAsia="fr-FR"/>
        </w:rPr>
      </w:pPr>
      <w:r w:rsidRPr="000A6F45">
        <w:fldChar w:fldCharType="begin"/>
      </w:r>
      <w:r w:rsidRPr="000A6F45">
        <w:instrText xml:space="preserve"> LISTNUM  LegalDefault \l 1 </w:instrText>
      </w:r>
      <w:r w:rsidRPr="000A6F45">
        <w:fldChar w:fldCharType="end">
          <w:numberingChange w:id="66" w:author="SANCHEZ VIZCAINO GOMEZ Rosa Maria" w:date="2024-09-23T14:37:00Z" w16du:dateUtc="2024-09-23T12:37:00Z" w:original="21."/>
        </w:fldChar>
      </w:r>
      <w:r w:rsidR="00550FF9" w:rsidRPr="000A6F45">
        <w:rPr>
          <w:lang w:eastAsia="fr-FR"/>
        </w:rPr>
        <w:tab/>
        <w:t xml:space="preserve">Idealmente el 100%, generalmente se acepta un rendimiento ≥90%. Si se publica la reproducibilidad del método de referencia, la reproducibilidad del método alternativo debe ser al menos equivalente. </w:t>
      </w:r>
    </w:p>
    <w:p w14:paraId="7A1B3CC7" w14:textId="77777777" w:rsidR="00550FF9" w:rsidRPr="000A6F45" w:rsidRDefault="00550FF9" w:rsidP="00550FF9">
      <w:pPr>
        <w:rPr>
          <w:lang w:eastAsia="fr-FR"/>
        </w:rPr>
      </w:pPr>
    </w:p>
    <w:p w14:paraId="01F7A804" w14:textId="77777777" w:rsidR="00E33CFC" w:rsidRPr="000A6F45" w:rsidRDefault="00044CA4">
      <w:pPr>
        <w:pStyle w:val="Heading3Annex"/>
        <w:rPr>
          <w:lang w:val="es-ES_tradnl"/>
        </w:rPr>
      </w:pPr>
      <w:bookmarkStart w:id="67" w:name="_Toc178243079"/>
      <w:r w:rsidRPr="000A6F45">
        <w:rPr>
          <w:lang w:val="es-ES_tradnl"/>
        </w:rPr>
        <w:t>¿Cómo evaluarlo?</w:t>
      </w:r>
      <w:bookmarkEnd w:id="67"/>
    </w:p>
    <w:p w14:paraId="14F54F89" w14:textId="77777777" w:rsidR="00550FF9" w:rsidRPr="000A6F45" w:rsidRDefault="00550FF9" w:rsidP="00550FF9">
      <w:pPr>
        <w:rPr>
          <w:lang w:eastAsia="fr-FR"/>
        </w:rPr>
      </w:pPr>
    </w:p>
    <w:p w14:paraId="21F90973" w14:textId="38E2D8C1"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68" w:author="SANCHEZ VIZCAINO GOMEZ Rosa Maria" w:date="2024-09-23T14:37:00Z" w16du:dateUtc="2024-09-23T12:37:00Z" w:original="22."/>
        </w:fldChar>
      </w:r>
      <w:r w:rsidR="00550FF9" w:rsidRPr="000A6F45">
        <w:rPr>
          <w:lang w:eastAsia="fr-FR"/>
        </w:rPr>
        <w:tab/>
        <w:t xml:space="preserve">La reproducibilidad debe evaluarse entre distintos laboratorios mediante un estudio de validación </w:t>
      </w:r>
      <w:proofErr w:type="spellStart"/>
      <w:r w:rsidR="00550FF9" w:rsidRPr="000A6F45">
        <w:rPr>
          <w:lang w:eastAsia="fr-FR"/>
        </w:rPr>
        <w:t>interlaboratorios</w:t>
      </w:r>
      <w:proofErr w:type="spellEnd"/>
      <w:r w:rsidR="00550FF9" w:rsidRPr="000A6F45">
        <w:rPr>
          <w:lang w:eastAsia="fr-FR"/>
        </w:rPr>
        <w:t xml:space="preserve"> (Ring-test) con muestras codificadas de genotipos conocidos. Deben incluirse</w:t>
      </w:r>
      <w:r w:rsidR="009C430E">
        <w:rPr>
          <w:lang w:eastAsia="fr-FR"/>
        </w:rPr>
        <w:t xml:space="preserve"> </w:t>
      </w:r>
      <w:r w:rsidR="00550FF9" w:rsidRPr="000A6F45">
        <w:rPr>
          <w:lang w:eastAsia="fr-FR"/>
        </w:rPr>
        <w:t>todos los tipos de genotipo esperados.</w:t>
      </w:r>
    </w:p>
    <w:p w14:paraId="69EC409D" w14:textId="77777777" w:rsidR="00550FF9" w:rsidRPr="000A6F45" w:rsidRDefault="00550FF9" w:rsidP="00550FF9">
      <w:pPr>
        <w:rPr>
          <w:lang w:eastAsia="fr-FR"/>
        </w:rPr>
      </w:pPr>
    </w:p>
    <w:p w14:paraId="2777BDF3" w14:textId="2C0F1909"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69" w:author="SANCHEZ VIZCAINO GOMEZ Rosa Maria" w:date="2024-09-23T14:37:00Z" w16du:dateUtc="2024-09-23T12:37:00Z" w:original="23."/>
        </w:fldChar>
      </w:r>
      <w:r w:rsidR="00550FF9" w:rsidRPr="000A6F45">
        <w:rPr>
          <w:lang w:eastAsia="fr-FR"/>
        </w:rPr>
        <w:tab/>
        <w:t xml:space="preserve">En la </w:t>
      </w:r>
      <w:r w:rsidR="001D28A3" w:rsidRPr="001D28A3">
        <w:rPr>
          <w:lang w:eastAsia="fr-FR"/>
        </w:rPr>
        <w:t>ring-test</w:t>
      </w:r>
      <w:r w:rsidR="00550FF9" w:rsidRPr="000A6F45">
        <w:rPr>
          <w:lang w:eastAsia="fr-FR"/>
        </w:rPr>
        <w:t xml:space="preserve"> deberán participar al menos tres laboratorios diferentes, incluidas al menos dos oficinas de examen diferentes (</w:t>
      </w:r>
      <w:r w:rsidR="00550FF9" w:rsidRPr="009C430E">
        <w:rPr>
          <w:lang w:eastAsia="fr-FR"/>
        </w:rPr>
        <w:t>por ejemplo</w:t>
      </w:r>
      <w:r w:rsidR="00550FF9" w:rsidRPr="000A6F45">
        <w:rPr>
          <w:i/>
          <w:iCs/>
          <w:lang w:eastAsia="fr-FR"/>
        </w:rPr>
        <w:t xml:space="preserve">, </w:t>
      </w:r>
      <w:r w:rsidR="00550FF9" w:rsidRPr="000A6F45">
        <w:rPr>
          <w:lang w:eastAsia="fr-FR"/>
        </w:rPr>
        <w:t>en el proyecto INVITE participaron 3 oficinas de examen en la prueba de validación). Si es posible, deberán participar laboratorios experimentados que conozcan la especie y la técnica. Si no, se puede organizar una formación antes de</w:t>
      </w:r>
      <w:r w:rsidR="001D28A3">
        <w:rPr>
          <w:lang w:eastAsia="fr-FR"/>
        </w:rPr>
        <w:t>l</w:t>
      </w:r>
      <w:r w:rsidR="00550FF9" w:rsidRPr="000A6F45">
        <w:rPr>
          <w:lang w:eastAsia="fr-FR"/>
        </w:rPr>
        <w:t xml:space="preserve"> </w:t>
      </w:r>
      <w:r w:rsidR="001D28A3">
        <w:rPr>
          <w:lang w:eastAsia="fr-FR"/>
        </w:rPr>
        <w:t xml:space="preserve">ring-test </w:t>
      </w:r>
      <w:r w:rsidR="00550FF9" w:rsidRPr="000A6F45">
        <w:rPr>
          <w:lang w:eastAsia="fr-FR"/>
        </w:rPr>
        <w:t>con muestras no codificadas. Los laboratorios pueden participar en un ring</w:t>
      </w:r>
      <w:r w:rsidR="001D28A3">
        <w:rPr>
          <w:lang w:eastAsia="fr-FR"/>
        </w:rPr>
        <w:t>-</w:t>
      </w:r>
      <w:r w:rsidR="00550FF9" w:rsidRPr="000A6F45">
        <w:rPr>
          <w:lang w:eastAsia="fr-FR"/>
        </w:rPr>
        <w:t>test de forma voluntaria. En caso de que no haya voluntarios, la reproducibilidad puede determinarse dentro de un laboratorio.</w:t>
      </w:r>
    </w:p>
    <w:p w14:paraId="37BED0DF" w14:textId="77777777" w:rsidR="00550FF9" w:rsidRPr="000A6F45" w:rsidRDefault="00550FF9" w:rsidP="00550FF9">
      <w:pPr>
        <w:rPr>
          <w:lang w:eastAsia="fr-FR"/>
        </w:rPr>
      </w:pPr>
    </w:p>
    <w:p w14:paraId="2E5FBA54"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70" w:author="SANCHEZ VIZCAINO GOMEZ Rosa Maria" w:date="2024-09-23T14:37:00Z" w16du:dateUtc="2024-09-23T12:37:00Z" w:original="24."/>
        </w:fldChar>
      </w:r>
      <w:r w:rsidR="00550FF9" w:rsidRPr="000A6F45">
        <w:rPr>
          <w:lang w:eastAsia="fr-FR"/>
        </w:rPr>
        <w:tab/>
        <w:t>Todos los laboratorios deben seguir el protocolo para ser validados. En el protocolo, el equipo de validación puede definir partes obligatorias y opcionales. Por ejemplo, véase el protocolo CPVO/TP-044/4-Rev. en el que se definieron las etapas obligatorias y opcionales.</w:t>
      </w:r>
    </w:p>
    <w:p w14:paraId="297BEEA6" w14:textId="77777777" w:rsidR="00550FF9" w:rsidRPr="000A6F45" w:rsidRDefault="00550FF9" w:rsidP="00550FF9">
      <w:pPr>
        <w:rPr>
          <w:lang w:eastAsia="fr-FR"/>
        </w:rPr>
      </w:pPr>
    </w:p>
    <w:p w14:paraId="127F30BF" w14:textId="5A4039B9" w:rsidR="00E33CFC" w:rsidRPr="000A6F45" w:rsidRDefault="00044CA4">
      <w:pPr>
        <w:rPr>
          <w:lang w:eastAsia="fr-FR"/>
        </w:rPr>
      </w:pPr>
      <w:r w:rsidRPr="000A6F45">
        <w:lastRenderedPageBreak/>
        <w:fldChar w:fldCharType="begin"/>
      </w:r>
      <w:r w:rsidRPr="000A6F45">
        <w:instrText xml:space="preserve"> LISTNUM  LegalDefault \l 1 </w:instrText>
      </w:r>
      <w:r w:rsidRPr="000A6F45">
        <w:fldChar w:fldCharType="end">
          <w:numberingChange w:id="71" w:author="SANCHEZ VIZCAINO GOMEZ Rosa Maria" w:date="2024-09-23T14:37:00Z" w16du:dateUtc="2024-09-23T12:37:00Z" w:original="25."/>
        </w:fldChar>
      </w:r>
      <w:r w:rsidR="00550FF9" w:rsidRPr="000A6F45">
        <w:rPr>
          <w:lang w:eastAsia="fr-FR"/>
        </w:rPr>
        <w:tab/>
        <w:t>Número de variedades: Incluir al menos todos los tipos de genotipo previstos.</w:t>
      </w:r>
    </w:p>
    <w:p w14:paraId="347DCC14" w14:textId="77777777" w:rsidR="00550FF9" w:rsidRPr="000A6F45" w:rsidRDefault="00550FF9" w:rsidP="00550FF9">
      <w:pPr>
        <w:rPr>
          <w:rFonts w:cs="Arial"/>
          <w:lang w:eastAsia="fr-FR"/>
        </w:rPr>
      </w:pPr>
    </w:p>
    <w:p w14:paraId="590AFA0C" w14:textId="77777777" w:rsidR="00E33CFC" w:rsidRPr="000A6F45" w:rsidRDefault="00044CA4">
      <w:pPr>
        <w:rPr>
          <w:rFonts w:cs="Arial"/>
          <w:lang w:eastAsia="fr-FR"/>
        </w:rPr>
      </w:pPr>
      <w:r w:rsidRPr="000A6F45">
        <w:fldChar w:fldCharType="begin"/>
      </w:r>
      <w:r w:rsidRPr="000A6F45">
        <w:instrText xml:space="preserve"> LISTNUM  LegalDefault \l 1 </w:instrText>
      </w:r>
      <w:r w:rsidRPr="000A6F45">
        <w:fldChar w:fldCharType="end">
          <w:numberingChange w:id="72" w:author="SANCHEZ VIZCAINO GOMEZ Rosa Maria" w:date="2024-09-23T14:37:00Z" w16du:dateUtc="2024-09-23T12:37:00Z" w:original="26."/>
        </w:fldChar>
      </w:r>
      <w:r w:rsidR="00550FF9" w:rsidRPr="000A6F45">
        <w:rPr>
          <w:rFonts w:cs="Arial"/>
          <w:lang w:eastAsia="fr-FR"/>
        </w:rPr>
        <w:tab/>
        <w:t xml:space="preserve">Pueden seguirse las directrices/normas sobre estudios </w:t>
      </w:r>
      <w:proofErr w:type="spellStart"/>
      <w:r w:rsidR="00550FF9" w:rsidRPr="000A6F45">
        <w:rPr>
          <w:rFonts w:cs="Arial"/>
          <w:lang w:eastAsia="fr-FR"/>
        </w:rPr>
        <w:t>interlaboratorios</w:t>
      </w:r>
      <w:proofErr w:type="spellEnd"/>
      <w:r w:rsidR="00550FF9" w:rsidRPr="000A6F45">
        <w:rPr>
          <w:rFonts w:cs="Arial"/>
          <w:lang w:eastAsia="fr-FR"/>
        </w:rPr>
        <w:t xml:space="preserve">: ISO 13495 </w:t>
      </w:r>
      <w:proofErr w:type="spellStart"/>
      <w:r w:rsidR="00550FF9" w:rsidRPr="000A6F45">
        <w:rPr>
          <w:rFonts w:cs="Arial"/>
          <w:i/>
          <w:iCs/>
          <w:lang w:eastAsia="fr-FR"/>
        </w:rPr>
        <w:t>Foodstuffs</w:t>
      </w:r>
      <w:proofErr w:type="spellEnd"/>
      <w:r w:rsidR="00550FF9" w:rsidRPr="000A6F45">
        <w:rPr>
          <w:rFonts w:cs="Arial"/>
          <w:i/>
          <w:iCs/>
          <w:lang w:eastAsia="fr-FR"/>
        </w:rPr>
        <w:t xml:space="preserve"> - </w:t>
      </w:r>
      <w:proofErr w:type="spellStart"/>
      <w:r w:rsidR="00550FF9" w:rsidRPr="000A6F45">
        <w:rPr>
          <w:rFonts w:cs="Arial"/>
          <w:i/>
          <w:iCs/>
          <w:lang w:eastAsia="fr-FR"/>
        </w:rPr>
        <w:t>Principles</w:t>
      </w:r>
      <w:proofErr w:type="spellEnd"/>
      <w:r w:rsidR="00550FF9" w:rsidRPr="000A6F45">
        <w:rPr>
          <w:rFonts w:cs="Arial"/>
          <w:i/>
          <w:iCs/>
          <w:lang w:eastAsia="fr-FR"/>
        </w:rPr>
        <w:t xml:space="preserve"> of </w:t>
      </w:r>
      <w:proofErr w:type="spellStart"/>
      <w:r w:rsidR="00550FF9" w:rsidRPr="000A6F45">
        <w:rPr>
          <w:rFonts w:cs="Arial"/>
          <w:i/>
          <w:iCs/>
          <w:lang w:eastAsia="fr-FR"/>
        </w:rPr>
        <w:t>selection</w:t>
      </w:r>
      <w:proofErr w:type="spellEnd"/>
      <w:r w:rsidR="00550FF9" w:rsidRPr="000A6F45">
        <w:rPr>
          <w:rFonts w:cs="Arial"/>
          <w:i/>
          <w:iCs/>
          <w:lang w:eastAsia="fr-FR"/>
        </w:rPr>
        <w:t xml:space="preserve"> and </w:t>
      </w:r>
      <w:proofErr w:type="spellStart"/>
      <w:r w:rsidR="00550FF9" w:rsidRPr="000A6F45">
        <w:rPr>
          <w:rFonts w:cs="Arial"/>
          <w:i/>
          <w:iCs/>
          <w:lang w:eastAsia="fr-FR"/>
        </w:rPr>
        <w:t>criteria</w:t>
      </w:r>
      <w:proofErr w:type="spellEnd"/>
      <w:r w:rsidR="00550FF9" w:rsidRPr="000A6F45">
        <w:rPr>
          <w:rFonts w:cs="Arial"/>
          <w:i/>
          <w:iCs/>
          <w:lang w:eastAsia="fr-FR"/>
        </w:rPr>
        <w:t xml:space="preserve"> of </w:t>
      </w:r>
      <w:proofErr w:type="spellStart"/>
      <w:r w:rsidR="00550FF9" w:rsidRPr="000A6F45">
        <w:rPr>
          <w:rFonts w:cs="Arial"/>
          <w:i/>
          <w:iCs/>
          <w:lang w:eastAsia="fr-FR"/>
        </w:rPr>
        <w:t>validation</w:t>
      </w:r>
      <w:proofErr w:type="spellEnd"/>
      <w:r w:rsidR="00550FF9" w:rsidRPr="000A6F45">
        <w:rPr>
          <w:rFonts w:cs="Arial"/>
          <w:i/>
          <w:iCs/>
          <w:lang w:eastAsia="fr-FR"/>
        </w:rPr>
        <w:t xml:space="preserve"> </w:t>
      </w:r>
      <w:proofErr w:type="spellStart"/>
      <w:r w:rsidR="00550FF9" w:rsidRPr="000A6F45">
        <w:rPr>
          <w:rFonts w:cs="Arial"/>
          <w:i/>
          <w:iCs/>
          <w:lang w:eastAsia="fr-FR"/>
        </w:rPr>
        <w:t>for</w:t>
      </w:r>
      <w:proofErr w:type="spellEnd"/>
      <w:r w:rsidR="00550FF9" w:rsidRPr="000A6F45">
        <w:rPr>
          <w:rFonts w:cs="Arial"/>
          <w:i/>
          <w:iCs/>
          <w:lang w:eastAsia="fr-FR"/>
        </w:rPr>
        <w:t xml:space="preserve"> varietal </w:t>
      </w:r>
      <w:proofErr w:type="spellStart"/>
      <w:r w:rsidR="00550FF9" w:rsidRPr="000A6F45">
        <w:rPr>
          <w:rFonts w:cs="Arial"/>
          <w:i/>
          <w:iCs/>
          <w:lang w:eastAsia="fr-FR"/>
        </w:rPr>
        <w:t>identification</w:t>
      </w:r>
      <w:proofErr w:type="spellEnd"/>
      <w:r w:rsidR="00550FF9" w:rsidRPr="000A6F45">
        <w:rPr>
          <w:rFonts w:cs="Arial"/>
          <w:i/>
          <w:iCs/>
          <w:lang w:eastAsia="fr-FR"/>
        </w:rPr>
        <w:t xml:space="preserve"> </w:t>
      </w:r>
      <w:proofErr w:type="spellStart"/>
      <w:r w:rsidR="00550FF9" w:rsidRPr="000A6F45">
        <w:rPr>
          <w:rFonts w:cs="Arial"/>
          <w:i/>
          <w:iCs/>
          <w:lang w:eastAsia="fr-FR"/>
        </w:rPr>
        <w:t>methods</w:t>
      </w:r>
      <w:proofErr w:type="spellEnd"/>
      <w:r w:rsidR="00550FF9" w:rsidRPr="000A6F45">
        <w:rPr>
          <w:rFonts w:cs="Arial"/>
          <w:i/>
          <w:iCs/>
          <w:lang w:eastAsia="fr-FR"/>
        </w:rPr>
        <w:t xml:space="preserve"> </w:t>
      </w:r>
      <w:proofErr w:type="spellStart"/>
      <w:r w:rsidR="00550FF9" w:rsidRPr="000A6F45">
        <w:rPr>
          <w:rFonts w:cs="Arial"/>
          <w:i/>
          <w:iCs/>
          <w:lang w:eastAsia="fr-FR"/>
        </w:rPr>
        <w:t>using</w:t>
      </w:r>
      <w:proofErr w:type="spellEnd"/>
      <w:r w:rsidR="00550FF9" w:rsidRPr="000A6F45">
        <w:rPr>
          <w:rFonts w:cs="Arial"/>
          <w:i/>
          <w:iCs/>
          <w:lang w:eastAsia="fr-FR"/>
        </w:rPr>
        <w:t xml:space="preserve"> </w:t>
      </w:r>
      <w:proofErr w:type="spellStart"/>
      <w:r w:rsidR="00550FF9" w:rsidRPr="000A6F45">
        <w:rPr>
          <w:rFonts w:cs="Arial"/>
          <w:i/>
          <w:iCs/>
          <w:lang w:eastAsia="fr-FR"/>
        </w:rPr>
        <w:t>specific</w:t>
      </w:r>
      <w:proofErr w:type="spellEnd"/>
      <w:r w:rsidR="00550FF9" w:rsidRPr="000A6F45">
        <w:rPr>
          <w:rFonts w:cs="Arial"/>
          <w:i/>
          <w:iCs/>
          <w:lang w:eastAsia="fr-FR"/>
        </w:rPr>
        <w:t xml:space="preserve"> </w:t>
      </w:r>
      <w:proofErr w:type="spellStart"/>
      <w:r w:rsidR="00550FF9" w:rsidRPr="000A6F45">
        <w:rPr>
          <w:rFonts w:cs="Arial"/>
          <w:i/>
          <w:iCs/>
          <w:lang w:eastAsia="fr-FR"/>
        </w:rPr>
        <w:t>nucleic</w:t>
      </w:r>
      <w:proofErr w:type="spellEnd"/>
      <w:r w:rsidR="00550FF9" w:rsidRPr="000A6F45">
        <w:rPr>
          <w:rFonts w:cs="Arial"/>
          <w:i/>
          <w:iCs/>
          <w:lang w:eastAsia="fr-FR"/>
        </w:rPr>
        <w:t xml:space="preserve"> </w:t>
      </w:r>
      <w:proofErr w:type="spellStart"/>
      <w:r w:rsidR="00550FF9" w:rsidRPr="000A6F45">
        <w:rPr>
          <w:rFonts w:cs="Arial"/>
          <w:i/>
          <w:iCs/>
          <w:lang w:eastAsia="fr-FR"/>
        </w:rPr>
        <w:t>acid</w:t>
      </w:r>
      <w:proofErr w:type="spellEnd"/>
      <w:r w:rsidR="00550FF9" w:rsidRPr="000A6F45">
        <w:rPr>
          <w:rFonts w:cs="Arial"/>
          <w:lang w:eastAsia="fr-FR"/>
        </w:rPr>
        <w:t xml:space="preserve">, ISO 17043 </w:t>
      </w:r>
      <w:proofErr w:type="spellStart"/>
      <w:r w:rsidR="00550FF9" w:rsidRPr="000A6F45">
        <w:rPr>
          <w:rFonts w:cs="Arial"/>
          <w:i/>
          <w:iCs/>
          <w:lang w:eastAsia="fr-FR"/>
        </w:rPr>
        <w:t>Conformity</w:t>
      </w:r>
      <w:proofErr w:type="spellEnd"/>
      <w:r w:rsidR="00550FF9" w:rsidRPr="000A6F45">
        <w:rPr>
          <w:rFonts w:cs="Arial"/>
          <w:i/>
          <w:iCs/>
          <w:lang w:eastAsia="fr-FR"/>
        </w:rPr>
        <w:t xml:space="preserve"> </w:t>
      </w:r>
      <w:proofErr w:type="spellStart"/>
      <w:r w:rsidR="00550FF9" w:rsidRPr="000A6F45">
        <w:rPr>
          <w:rFonts w:cs="Arial"/>
          <w:i/>
          <w:iCs/>
          <w:lang w:eastAsia="fr-FR"/>
        </w:rPr>
        <w:t>assessment</w:t>
      </w:r>
      <w:proofErr w:type="spellEnd"/>
      <w:r w:rsidR="00550FF9" w:rsidRPr="000A6F45">
        <w:rPr>
          <w:rFonts w:cs="Arial"/>
          <w:i/>
          <w:iCs/>
          <w:lang w:eastAsia="fr-FR"/>
        </w:rPr>
        <w:t xml:space="preserve"> - General </w:t>
      </w:r>
      <w:proofErr w:type="spellStart"/>
      <w:r w:rsidR="00550FF9" w:rsidRPr="000A6F45">
        <w:rPr>
          <w:rFonts w:cs="Arial"/>
          <w:i/>
          <w:iCs/>
          <w:lang w:eastAsia="fr-FR"/>
        </w:rPr>
        <w:t>requirements</w:t>
      </w:r>
      <w:proofErr w:type="spellEnd"/>
      <w:r w:rsidR="00550FF9" w:rsidRPr="000A6F45">
        <w:rPr>
          <w:rFonts w:cs="Arial"/>
          <w:i/>
          <w:iCs/>
          <w:lang w:eastAsia="fr-FR"/>
        </w:rPr>
        <w:t xml:space="preserve"> </w:t>
      </w:r>
      <w:proofErr w:type="spellStart"/>
      <w:r w:rsidR="00550FF9" w:rsidRPr="000A6F45">
        <w:rPr>
          <w:rFonts w:cs="Arial"/>
          <w:i/>
          <w:iCs/>
          <w:lang w:eastAsia="fr-FR"/>
        </w:rPr>
        <w:t>for</w:t>
      </w:r>
      <w:proofErr w:type="spellEnd"/>
      <w:r w:rsidR="00550FF9" w:rsidRPr="000A6F45">
        <w:rPr>
          <w:rFonts w:cs="Arial"/>
          <w:i/>
          <w:iCs/>
          <w:lang w:eastAsia="fr-FR"/>
        </w:rPr>
        <w:t xml:space="preserve"> </w:t>
      </w:r>
      <w:proofErr w:type="spellStart"/>
      <w:r w:rsidR="00550FF9" w:rsidRPr="000A6F45">
        <w:rPr>
          <w:rFonts w:cs="Arial"/>
          <w:i/>
          <w:iCs/>
          <w:lang w:eastAsia="fr-FR"/>
        </w:rPr>
        <w:t>proficiency</w:t>
      </w:r>
      <w:proofErr w:type="spellEnd"/>
      <w:r w:rsidR="00550FF9" w:rsidRPr="000A6F45">
        <w:rPr>
          <w:rFonts w:cs="Arial"/>
          <w:i/>
          <w:iCs/>
          <w:lang w:eastAsia="fr-FR"/>
        </w:rPr>
        <w:t xml:space="preserve"> </w:t>
      </w:r>
      <w:proofErr w:type="spellStart"/>
      <w:r w:rsidR="00550FF9" w:rsidRPr="000A6F45">
        <w:rPr>
          <w:rFonts w:cs="Arial"/>
          <w:i/>
          <w:iCs/>
          <w:lang w:eastAsia="fr-FR"/>
        </w:rPr>
        <w:t>testing</w:t>
      </w:r>
      <w:proofErr w:type="spellEnd"/>
      <w:r w:rsidR="00550FF9" w:rsidRPr="000A6F45">
        <w:rPr>
          <w:rFonts w:cs="Arial"/>
          <w:lang w:eastAsia="fr-FR"/>
        </w:rPr>
        <w:t xml:space="preserve">, EPPO pm7-122-2 </w:t>
      </w:r>
      <w:proofErr w:type="spellStart"/>
      <w:r w:rsidR="00550FF9" w:rsidRPr="000A6F45">
        <w:rPr>
          <w:rFonts w:cs="Arial"/>
          <w:i/>
          <w:iCs/>
          <w:lang w:eastAsia="fr-FR"/>
        </w:rPr>
        <w:t>Guidelines</w:t>
      </w:r>
      <w:proofErr w:type="spellEnd"/>
      <w:r w:rsidR="00550FF9" w:rsidRPr="000A6F45">
        <w:rPr>
          <w:rFonts w:cs="Arial"/>
          <w:i/>
          <w:iCs/>
          <w:lang w:eastAsia="fr-FR"/>
        </w:rPr>
        <w:t xml:space="preserve"> </w:t>
      </w:r>
      <w:proofErr w:type="spellStart"/>
      <w:r w:rsidR="00550FF9" w:rsidRPr="000A6F45">
        <w:rPr>
          <w:rFonts w:cs="Arial"/>
          <w:i/>
          <w:iCs/>
          <w:lang w:eastAsia="fr-FR"/>
        </w:rPr>
        <w:t>for</w:t>
      </w:r>
      <w:proofErr w:type="spellEnd"/>
      <w:r w:rsidR="00550FF9" w:rsidRPr="000A6F45">
        <w:rPr>
          <w:rFonts w:cs="Arial"/>
          <w:i/>
          <w:iCs/>
          <w:lang w:eastAsia="fr-FR"/>
        </w:rPr>
        <w:t xml:space="preserve"> </w:t>
      </w:r>
      <w:proofErr w:type="spellStart"/>
      <w:r w:rsidR="00550FF9" w:rsidRPr="000A6F45">
        <w:rPr>
          <w:rFonts w:cs="Arial"/>
          <w:i/>
          <w:iCs/>
          <w:lang w:eastAsia="fr-FR"/>
        </w:rPr>
        <w:t>the</w:t>
      </w:r>
      <w:proofErr w:type="spellEnd"/>
      <w:r w:rsidR="00550FF9" w:rsidRPr="000A6F45">
        <w:rPr>
          <w:rFonts w:cs="Arial"/>
          <w:i/>
          <w:iCs/>
          <w:lang w:eastAsia="fr-FR"/>
        </w:rPr>
        <w:t xml:space="preserve"> </w:t>
      </w:r>
      <w:proofErr w:type="spellStart"/>
      <w:r w:rsidR="00550FF9" w:rsidRPr="000A6F45">
        <w:rPr>
          <w:rFonts w:cs="Arial"/>
          <w:i/>
          <w:iCs/>
          <w:lang w:eastAsia="fr-FR"/>
        </w:rPr>
        <w:t>organization</w:t>
      </w:r>
      <w:proofErr w:type="spellEnd"/>
      <w:r w:rsidR="00550FF9" w:rsidRPr="000A6F45">
        <w:rPr>
          <w:rFonts w:cs="Arial"/>
          <w:i/>
          <w:iCs/>
          <w:lang w:eastAsia="fr-FR"/>
        </w:rPr>
        <w:t xml:space="preserve"> of </w:t>
      </w:r>
      <w:proofErr w:type="spellStart"/>
      <w:r w:rsidR="00550FF9" w:rsidRPr="000A6F45">
        <w:rPr>
          <w:rFonts w:cs="Arial"/>
          <w:i/>
          <w:iCs/>
          <w:lang w:eastAsia="fr-FR"/>
        </w:rPr>
        <w:t>interlaboratory</w:t>
      </w:r>
      <w:proofErr w:type="spellEnd"/>
      <w:r w:rsidR="00550FF9" w:rsidRPr="000A6F45">
        <w:rPr>
          <w:rFonts w:cs="Arial"/>
          <w:i/>
          <w:iCs/>
          <w:lang w:eastAsia="fr-FR"/>
        </w:rPr>
        <w:t xml:space="preserve"> </w:t>
      </w:r>
      <w:proofErr w:type="spellStart"/>
      <w:r w:rsidR="00550FF9" w:rsidRPr="000A6F45">
        <w:rPr>
          <w:rFonts w:cs="Arial"/>
          <w:i/>
          <w:iCs/>
          <w:lang w:eastAsia="fr-FR"/>
        </w:rPr>
        <w:t>comparisons</w:t>
      </w:r>
      <w:proofErr w:type="spellEnd"/>
      <w:r w:rsidR="00550FF9" w:rsidRPr="000A6F45">
        <w:rPr>
          <w:rFonts w:cs="Arial"/>
          <w:i/>
          <w:iCs/>
          <w:lang w:eastAsia="fr-FR"/>
        </w:rPr>
        <w:t xml:space="preserve"> </w:t>
      </w:r>
      <w:proofErr w:type="spellStart"/>
      <w:r w:rsidR="00550FF9" w:rsidRPr="000A6F45">
        <w:rPr>
          <w:rFonts w:cs="Arial"/>
          <w:i/>
          <w:iCs/>
          <w:lang w:eastAsia="fr-FR"/>
        </w:rPr>
        <w:t>by</w:t>
      </w:r>
      <w:proofErr w:type="spellEnd"/>
      <w:r w:rsidR="00550FF9" w:rsidRPr="000A6F45">
        <w:rPr>
          <w:rFonts w:cs="Arial"/>
          <w:i/>
          <w:iCs/>
          <w:lang w:eastAsia="fr-FR"/>
        </w:rPr>
        <w:t xml:space="preserve"> </w:t>
      </w:r>
      <w:proofErr w:type="spellStart"/>
      <w:r w:rsidR="00550FF9" w:rsidRPr="000A6F45">
        <w:rPr>
          <w:rFonts w:cs="Arial"/>
          <w:i/>
          <w:iCs/>
          <w:lang w:eastAsia="fr-FR"/>
        </w:rPr>
        <w:t>plant</w:t>
      </w:r>
      <w:proofErr w:type="spellEnd"/>
      <w:r w:rsidR="00550FF9" w:rsidRPr="000A6F45">
        <w:rPr>
          <w:rFonts w:cs="Arial"/>
          <w:i/>
          <w:iCs/>
          <w:lang w:eastAsia="fr-FR"/>
        </w:rPr>
        <w:t xml:space="preserve"> </w:t>
      </w:r>
      <w:proofErr w:type="spellStart"/>
      <w:r w:rsidR="00550FF9" w:rsidRPr="000A6F45">
        <w:rPr>
          <w:rFonts w:cs="Arial"/>
          <w:i/>
          <w:iCs/>
          <w:lang w:eastAsia="fr-FR"/>
        </w:rPr>
        <w:t>pest</w:t>
      </w:r>
      <w:proofErr w:type="spellEnd"/>
      <w:r w:rsidR="00550FF9" w:rsidRPr="000A6F45">
        <w:rPr>
          <w:rFonts w:cs="Arial"/>
          <w:i/>
          <w:iCs/>
          <w:lang w:eastAsia="fr-FR"/>
        </w:rPr>
        <w:t xml:space="preserve"> </w:t>
      </w:r>
      <w:proofErr w:type="spellStart"/>
      <w:r w:rsidR="00550FF9" w:rsidRPr="000A6F45">
        <w:rPr>
          <w:rFonts w:cs="Arial"/>
          <w:i/>
          <w:iCs/>
          <w:lang w:eastAsia="fr-FR"/>
        </w:rPr>
        <w:t>diagnostic</w:t>
      </w:r>
      <w:proofErr w:type="spellEnd"/>
      <w:r w:rsidR="00550FF9" w:rsidRPr="000A6F45">
        <w:rPr>
          <w:rFonts w:cs="Arial"/>
          <w:i/>
          <w:iCs/>
          <w:lang w:eastAsia="fr-FR"/>
        </w:rPr>
        <w:t xml:space="preserve"> </w:t>
      </w:r>
      <w:proofErr w:type="spellStart"/>
      <w:r w:rsidR="00550FF9" w:rsidRPr="000A6F45">
        <w:rPr>
          <w:rFonts w:cs="Arial"/>
          <w:i/>
          <w:iCs/>
          <w:lang w:eastAsia="fr-FR"/>
        </w:rPr>
        <w:t>laboratories</w:t>
      </w:r>
      <w:proofErr w:type="spellEnd"/>
      <w:r w:rsidR="00550FF9" w:rsidRPr="000A6F45">
        <w:rPr>
          <w:rFonts w:cs="Arial"/>
          <w:lang w:eastAsia="fr-FR"/>
        </w:rPr>
        <w:t xml:space="preserve">, ISTA TCOM-P-10-Validation </w:t>
      </w:r>
      <w:r w:rsidR="00550FF9" w:rsidRPr="000A6F45">
        <w:rPr>
          <w:rFonts w:cs="Arial"/>
          <w:i/>
          <w:iCs/>
          <w:lang w:eastAsia="fr-FR"/>
        </w:rPr>
        <w:t xml:space="preserve">of </w:t>
      </w:r>
      <w:proofErr w:type="spellStart"/>
      <w:r w:rsidR="00550FF9" w:rsidRPr="000A6F45">
        <w:rPr>
          <w:rFonts w:cs="Arial"/>
          <w:i/>
          <w:iCs/>
          <w:lang w:eastAsia="fr-FR"/>
        </w:rPr>
        <w:t>seed</w:t>
      </w:r>
      <w:proofErr w:type="spellEnd"/>
      <w:r w:rsidR="00550FF9" w:rsidRPr="000A6F45">
        <w:rPr>
          <w:rFonts w:cs="Arial"/>
          <w:i/>
          <w:iCs/>
          <w:lang w:eastAsia="fr-FR"/>
        </w:rPr>
        <w:t xml:space="preserve"> </w:t>
      </w:r>
      <w:proofErr w:type="spellStart"/>
      <w:r w:rsidR="00550FF9" w:rsidRPr="000A6F45">
        <w:rPr>
          <w:rFonts w:cs="Arial"/>
          <w:i/>
          <w:iCs/>
          <w:lang w:eastAsia="fr-FR"/>
        </w:rPr>
        <w:t>health</w:t>
      </w:r>
      <w:proofErr w:type="spellEnd"/>
      <w:r w:rsidR="00550FF9" w:rsidRPr="000A6F45">
        <w:rPr>
          <w:rFonts w:cs="Arial"/>
          <w:i/>
          <w:iCs/>
          <w:lang w:eastAsia="fr-FR"/>
        </w:rPr>
        <w:t xml:space="preserve"> </w:t>
      </w:r>
      <w:proofErr w:type="spellStart"/>
      <w:r w:rsidR="00550FF9" w:rsidRPr="000A6F45">
        <w:rPr>
          <w:rFonts w:cs="Arial"/>
          <w:i/>
          <w:iCs/>
          <w:lang w:eastAsia="fr-FR"/>
        </w:rPr>
        <w:t>methods</w:t>
      </w:r>
      <w:proofErr w:type="spellEnd"/>
      <w:r w:rsidR="00550FF9" w:rsidRPr="000A6F45">
        <w:rPr>
          <w:rFonts w:cs="Arial"/>
          <w:i/>
          <w:iCs/>
          <w:lang w:eastAsia="fr-FR"/>
        </w:rPr>
        <w:t xml:space="preserve"> and </w:t>
      </w:r>
      <w:proofErr w:type="spellStart"/>
      <w:r w:rsidR="00550FF9" w:rsidRPr="000A6F45">
        <w:rPr>
          <w:rFonts w:cs="Arial"/>
          <w:i/>
          <w:iCs/>
          <w:lang w:eastAsia="fr-FR"/>
        </w:rPr>
        <w:t>organization</w:t>
      </w:r>
      <w:proofErr w:type="spellEnd"/>
      <w:r w:rsidR="00550FF9" w:rsidRPr="000A6F45">
        <w:rPr>
          <w:rFonts w:cs="Arial"/>
          <w:i/>
          <w:iCs/>
          <w:lang w:eastAsia="fr-FR"/>
        </w:rPr>
        <w:t xml:space="preserve"> and </w:t>
      </w:r>
      <w:proofErr w:type="spellStart"/>
      <w:r w:rsidR="00550FF9" w:rsidRPr="000A6F45">
        <w:rPr>
          <w:rFonts w:cs="Arial"/>
          <w:i/>
          <w:iCs/>
          <w:lang w:eastAsia="fr-FR"/>
        </w:rPr>
        <w:t>analysis</w:t>
      </w:r>
      <w:proofErr w:type="spellEnd"/>
      <w:r w:rsidR="00550FF9" w:rsidRPr="000A6F45">
        <w:rPr>
          <w:rFonts w:cs="Arial"/>
          <w:i/>
          <w:iCs/>
          <w:lang w:eastAsia="fr-FR"/>
        </w:rPr>
        <w:t xml:space="preserve"> of </w:t>
      </w:r>
      <w:proofErr w:type="spellStart"/>
      <w:r w:rsidR="00550FF9" w:rsidRPr="000A6F45">
        <w:rPr>
          <w:rFonts w:cs="Arial"/>
          <w:i/>
          <w:iCs/>
          <w:lang w:eastAsia="fr-FR"/>
        </w:rPr>
        <w:t>interlaboratory</w:t>
      </w:r>
      <w:proofErr w:type="spellEnd"/>
      <w:r w:rsidR="00550FF9" w:rsidRPr="000A6F45">
        <w:rPr>
          <w:rFonts w:cs="Arial"/>
          <w:i/>
          <w:iCs/>
          <w:lang w:eastAsia="fr-FR"/>
        </w:rPr>
        <w:t xml:space="preserve"> comparative </w:t>
      </w:r>
      <w:proofErr w:type="spellStart"/>
      <w:r w:rsidR="00550FF9" w:rsidRPr="000A6F45">
        <w:rPr>
          <w:rFonts w:cs="Arial"/>
          <w:i/>
          <w:iCs/>
          <w:lang w:eastAsia="fr-FR"/>
        </w:rPr>
        <w:t>tests</w:t>
      </w:r>
      <w:proofErr w:type="spellEnd"/>
      <w:r w:rsidR="00550FF9" w:rsidRPr="000A6F45">
        <w:rPr>
          <w:rFonts w:cs="Arial"/>
          <w:i/>
          <w:iCs/>
          <w:lang w:eastAsia="fr-FR"/>
        </w:rPr>
        <w:t xml:space="preserve"> (CT)</w:t>
      </w:r>
      <w:r w:rsidR="00550FF9" w:rsidRPr="000A6F45">
        <w:rPr>
          <w:rFonts w:cs="Arial"/>
          <w:lang w:eastAsia="fr-FR"/>
        </w:rPr>
        <w:t>... El equipo de validación puede citar en su informe las directrices seguidas.</w:t>
      </w:r>
    </w:p>
    <w:p w14:paraId="152795F3" w14:textId="77777777" w:rsidR="00550FF9" w:rsidRPr="000A6F45" w:rsidRDefault="00550FF9" w:rsidP="00550FF9">
      <w:pPr>
        <w:rPr>
          <w:lang w:eastAsia="fr-FR"/>
        </w:rPr>
      </w:pPr>
    </w:p>
    <w:p w14:paraId="2AB03ADC" w14:textId="77777777" w:rsidR="00E33CFC" w:rsidRPr="000A6F45" w:rsidRDefault="00044CA4">
      <w:pPr>
        <w:pStyle w:val="Heading2Annex"/>
        <w:rPr>
          <w:lang w:val="es-ES_tradnl"/>
        </w:rPr>
      </w:pPr>
      <w:bookmarkStart w:id="73" w:name="_Toc178243080"/>
      <w:r w:rsidRPr="000A6F45">
        <w:rPr>
          <w:lang w:val="es-ES_tradnl"/>
        </w:rPr>
        <w:t>Robustez</w:t>
      </w:r>
      <w:bookmarkEnd w:id="73"/>
    </w:p>
    <w:p w14:paraId="45CECA83" w14:textId="77777777" w:rsidR="00550FF9" w:rsidRPr="000A6F45" w:rsidRDefault="00550FF9" w:rsidP="00550FF9">
      <w:pPr>
        <w:rPr>
          <w:lang w:eastAsia="fr-FR"/>
        </w:rPr>
      </w:pPr>
    </w:p>
    <w:p w14:paraId="293BCD19" w14:textId="77777777" w:rsidR="00E33CFC" w:rsidRPr="000A6F45" w:rsidRDefault="00044CA4">
      <w:pPr>
        <w:pStyle w:val="Heading3Annex"/>
        <w:rPr>
          <w:lang w:val="es-ES_tradnl"/>
        </w:rPr>
      </w:pPr>
      <w:bookmarkStart w:id="74" w:name="_Toc178243081"/>
      <w:r w:rsidRPr="000A6F45">
        <w:rPr>
          <w:lang w:val="es-ES_tradnl"/>
        </w:rPr>
        <w:t>Definición</w:t>
      </w:r>
      <w:bookmarkEnd w:id="74"/>
    </w:p>
    <w:p w14:paraId="7637F2D3" w14:textId="77777777" w:rsidR="00550FF9" w:rsidRPr="000A6F45" w:rsidRDefault="00550FF9" w:rsidP="00550FF9">
      <w:pPr>
        <w:rPr>
          <w:highlight w:val="yellow"/>
          <w:lang w:eastAsia="fr-FR"/>
        </w:rPr>
      </w:pPr>
    </w:p>
    <w:p w14:paraId="5B6B7213" w14:textId="77777777" w:rsidR="00E33CFC" w:rsidRPr="000A6F45" w:rsidRDefault="00044CA4">
      <w:pPr>
        <w:rPr>
          <w:lang w:eastAsia="fr-FR"/>
        </w:rPr>
      </w:pPr>
      <w:r w:rsidRPr="000A6F45">
        <w:rPr>
          <w:highlight w:val="yellow"/>
        </w:rPr>
        <w:fldChar w:fldCharType="begin"/>
      </w:r>
      <w:r w:rsidRPr="000A6F45">
        <w:rPr>
          <w:highlight w:val="yellow"/>
        </w:rPr>
        <w:instrText xml:space="preserve"> LISTNUM  LegalDefault \l 1 </w:instrText>
      </w:r>
      <w:r w:rsidRPr="000A6F45">
        <w:rPr>
          <w:highlight w:val="yellow"/>
        </w:rPr>
        <w:fldChar w:fldCharType="end">
          <w:numberingChange w:id="75" w:author="SANCHEZ VIZCAINO GOMEZ Rosa Maria" w:date="2024-09-23T14:37:00Z" w16du:dateUtc="2024-09-23T12:37:00Z" w:original="27."/>
        </w:fldChar>
      </w:r>
      <w:r w:rsidR="00550FF9" w:rsidRPr="000A6F45">
        <w:rPr>
          <w:highlight w:val="yellow"/>
          <w:lang w:eastAsia="fr-FR"/>
        </w:rPr>
        <w:tab/>
        <w:t>"</w:t>
      </w:r>
      <w:r w:rsidR="00550FF9" w:rsidRPr="000A6F45">
        <w:rPr>
          <w:i/>
          <w:iCs/>
          <w:highlight w:val="yellow"/>
          <w:lang w:eastAsia="fr-FR"/>
        </w:rPr>
        <w:t xml:space="preserve">Robustez; una medida de su capacidad para no verse afectado por pequeñas, pero deliberadas, desviaciones de las condiciones experimentales descritas en los parámetros del procedimiento y proporciona una indicación de su fiabilidad durante el uso normal" </w:t>
      </w:r>
      <w:r w:rsidR="00550FF9" w:rsidRPr="000A6F45">
        <w:rPr>
          <w:lang w:eastAsia="fr-FR"/>
        </w:rPr>
        <w:t>(</w:t>
      </w:r>
      <w:r w:rsidR="00550FF9" w:rsidRPr="001D28A3">
        <w:rPr>
          <w:lang w:eastAsia="fr-FR"/>
        </w:rPr>
        <w:t>por ejemplo</w:t>
      </w:r>
      <w:r w:rsidR="00550FF9" w:rsidRPr="000A6F45">
        <w:rPr>
          <w:i/>
          <w:iCs/>
          <w:lang w:eastAsia="fr-FR"/>
        </w:rPr>
        <w:t xml:space="preserve">, </w:t>
      </w:r>
      <w:r w:rsidR="00550FF9" w:rsidRPr="000A6F45">
        <w:rPr>
          <w:lang w:eastAsia="fr-FR"/>
        </w:rPr>
        <w:t>cambio del método de extracción de ADN o cambio de la máquina de tiempo real).</w:t>
      </w:r>
    </w:p>
    <w:p w14:paraId="4404329F" w14:textId="77777777" w:rsidR="00550FF9" w:rsidRPr="000A6F45" w:rsidRDefault="00550FF9" w:rsidP="00550FF9">
      <w:pPr>
        <w:rPr>
          <w:lang w:eastAsia="fr-FR"/>
        </w:rPr>
      </w:pPr>
    </w:p>
    <w:p w14:paraId="7016D0EE" w14:textId="77777777" w:rsidR="00E33CFC" w:rsidRPr="000A6F45" w:rsidRDefault="00044CA4">
      <w:pPr>
        <w:pStyle w:val="Heading3Annex"/>
        <w:rPr>
          <w:lang w:val="es-ES_tradnl"/>
        </w:rPr>
      </w:pPr>
      <w:bookmarkStart w:id="76" w:name="_Toc178243082"/>
      <w:r w:rsidRPr="000A6F45">
        <w:rPr>
          <w:lang w:val="es-ES_tradnl"/>
        </w:rPr>
        <w:t>Requisito</w:t>
      </w:r>
      <w:bookmarkEnd w:id="76"/>
    </w:p>
    <w:p w14:paraId="365A2C21" w14:textId="77777777" w:rsidR="00550FF9" w:rsidRPr="000A6F45" w:rsidRDefault="00550FF9" w:rsidP="00550FF9">
      <w:pPr>
        <w:rPr>
          <w:lang w:eastAsia="fr-FR"/>
        </w:rPr>
      </w:pPr>
    </w:p>
    <w:p w14:paraId="3C5BB698"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77" w:author="SANCHEZ VIZCAINO GOMEZ Rosa Maria" w:date="2024-09-23T14:37:00Z" w16du:dateUtc="2024-09-23T12:37:00Z" w:original="28."/>
        </w:fldChar>
      </w:r>
      <w:r w:rsidR="00550FF9" w:rsidRPr="000A6F45">
        <w:rPr>
          <w:lang w:eastAsia="fr-FR"/>
        </w:rPr>
        <w:tab/>
        <w:t>Lo ideal es el 100%, si es menos significa que el método no es robusto a un cambio de un parámetro y esto debe indicarse en el protocolo como un paso obligatorio (</w:t>
      </w:r>
      <w:r w:rsidR="00550FF9" w:rsidRPr="001D28A3">
        <w:rPr>
          <w:lang w:eastAsia="fr-FR"/>
        </w:rPr>
        <w:t>por ejemplo</w:t>
      </w:r>
      <w:r w:rsidR="00550FF9" w:rsidRPr="000A6F45">
        <w:rPr>
          <w:i/>
          <w:iCs/>
          <w:lang w:eastAsia="fr-FR"/>
        </w:rPr>
        <w:t xml:space="preserve">, </w:t>
      </w:r>
      <w:r w:rsidR="00550FF9" w:rsidRPr="000A6F45">
        <w:rPr>
          <w:lang w:eastAsia="fr-FR"/>
        </w:rPr>
        <w:t>un cambio de una mezcla maestra que sería crítico).</w:t>
      </w:r>
    </w:p>
    <w:p w14:paraId="2578BF6F" w14:textId="77777777" w:rsidR="00550FF9" w:rsidRPr="000A6F45" w:rsidRDefault="00550FF9" w:rsidP="00550FF9">
      <w:pPr>
        <w:rPr>
          <w:lang w:eastAsia="fr-FR"/>
        </w:rPr>
      </w:pPr>
    </w:p>
    <w:p w14:paraId="2454D37A" w14:textId="77777777" w:rsidR="00E33CFC" w:rsidRPr="000A6F45" w:rsidRDefault="00044CA4">
      <w:pPr>
        <w:pStyle w:val="Heading3Annex"/>
        <w:rPr>
          <w:lang w:val="es-ES_tradnl"/>
        </w:rPr>
      </w:pPr>
      <w:bookmarkStart w:id="78" w:name="_Toc178243083"/>
      <w:r w:rsidRPr="000A6F45">
        <w:rPr>
          <w:lang w:val="es-ES_tradnl"/>
        </w:rPr>
        <w:t>¿Cómo evaluarlo?</w:t>
      </w:r>
      <w:bookmarkEnd w:id="78"/>
    </w:p>
    <w:p w14:paraId="6541B41A" w14:textId="77777777" w:rsidR="00550FF9" w:rsidRPr="000A6F45" w:rsidRDefault="00550FF9" w:rsidP="00550FF9">
      <w:pPr>
        <w:rPr>
          <w:lang w:eastAsia="fr-FR"/>
        </w:rPr>
      </w:pPr>
    </w:p>
    <w:p w14:paraId="24A73FE9"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79" w:author="SANCHEZ VIZCAINO GOMEZ Rosa Maria" w:date="2024-09-23T14:37:00Z" w16du:dateUtc="2024-09-23T12:37:00Z" w:original="29."/>
        </w:fldChar>
      </w:r>
      <w:r w:rsidR="00550FF9" w:rsidRPr="000A6F45">
        <w:rPr>
          <w:lang w:eastAsia="fr-FR"/>
        </w:rPr>
        <w:tab/>
        <w:t xml:space="preserve">Es opcional evaluar, y la robustez se evalúa parcialmente durante el ensayo </w:t>
      </w:r>
      <w:proofErr w:type="spellStart"/>
      <w:r w:rsidR="00550FF9" w:rsidRPr="000A6F45">
        <w:rPr>
          <w:lang w:eastAsia="fr-FR"/>
        </w:rPr>
        <w:t>interlaboratorios</w:t>
      </w:r>
      <w:proofErr w:type="spellEnd"/>
      <w:r w:rsidR="00550FF9" w:rsidRPr="000A6F45">
        <w:rPr>
          <w:lang w:eastAsia="fr-FR"/>
        </w:rPr>
        <w:t xml:space="preserve"> (reproducibilidad), (diferentes laboratorios, equipos, maquinaria, personas, etc.).</w:t>
      </w:r>
    </w:p>
    <w:p w14:paraId="3F4B87CA" w14:textId="77777777" w:rsidR="00550FF9" w:rsidRPr="000A6F45" w:rsidRDefault="00550FF9" w:rsidP="00550FF9">
      <w:pPr>
        <w:rPr>
          <w:lang w:eastAsia="fr-FR"/>
        </w:rPr>
      </w:pPr>
    </w:p>
    <w:p w14:paraId="4FA5286C" w14:textId="77777777" w:rsidR="00550FF9" w:rsidRPr="000A6F45" w:rsidRDefault="00550FF9" w:rsidP="00550FF9">
      <w:pPr>
        <w:rPr>
          <w:lang w:eastAsia="fr-FR"/>
        </w:rPr>
      </w:pPr>
    </w:p>
    <w:p w14:paraId="0E0CA17C" w14:textId="77777777" w:rsidR="00E33CFC" w:rsidRPr="000A6F45" w:rsidRDefault="00044CA4" w:rsidP="006044A9">
      <w:pPr>
        <w:pStyle w:val="Heading1Annex"/>
      </w:pPr>
      <w:bookmarkStart w:id="80" w:name="_Toc178243084"/>
      <w:r w:rsidRPr="000A6F45">
        <w:t>IV.</w:t>
      </w:r>
      <w:r w:rsidRPr="000A6F45">
        <w:tab/>
        <w:t>Informe de validación</w:t>
      </w:r>
      <w:bookmarkEnd w:id="80"/>
    </w:p>
    <w:p w14:paraId="159BDB41" w14:textId="77777777" w:rsidR="00550FF9" w:rsidRPr="000A6F45" w:rsidRDefault="00550FF9" w:rsidP="00550FF9">
      <w:pPr>
        <w:rPr>
          <w:lang w:eastAsia="fr-FR"/>
        </w:rPr>
      </w:pPr>
    </w:p>
    <w:p w14:paraId="173711DA" w14:textId="77777777" w:rsidR="00E33CFC" w:rsidRPr="000A6F45" w:rsidRDefault="00044CA4">
      <w:pPr>
        <w:rPr>
          <w:rFonts w:eastAsia="Arial"/>
        </w:rPr>
      </w:pPr>
      <w:r w:rsidRPr="000A6F45">
        <w:fldChar w:fldCharType="begin"/>
      </w:r>
      <w:r w:rsidRPr="000A6F45">
        <w:instrText xml:space="preserve"> LISTNUM  LegalDefault \l 1 </w:instrText>
      </w:r>
      <w:r w:rsidRPr="000A6F45">
        <w:fldChar w:fldCharType="end">
          <w:numberingChange w:id="81" w:author="SANCHEZ VIZCAINO GOMEZ Rosa Maria" w:date="2024-09-23T14:37:00Z" w16du:dateUtc="2024-09-23T12:37:00Z" w:original="30."/>
        </w:fldChar>
      </w:r>
      <w:r w:rsidR="00550FF9" w:rsidRPr="000A6F45">
        <w:rPr>
          <w:szCs w:val="24"/>
          <w:lang w:eastAsia="fr-FR"/>
        </w:rPr>
        <w:tab/>
        <w:t xml:space="preserve">El informe de validación </w:t>
      </w:r>
      <w:r w:rsidR="00550FF9" w:rsidRPr="000A6F45">
        <w:rPr>
          <w:rFonts w:eastAsia="Arial"/>
        </w:rPr>
        <w:t>y los resultados deben ser revisados por dos (preferiblemente 3 si la reproducibilidad se ha realizado en un solo laboratorio) de las oficinas de examen. La revisión es voluntaria, pero es preferible que la realice un laboratorio familiarizado con la especie y el método.</w:t>
      </w:r>
    </w:p>
    <w:p w14:paraId="36B48561" w14:textId="77777777" w:rsidR="00550FF9" w:rsidRPr="000A6F45" w:rsidRDefault="00550FF9" w:rsidP="00550FF9">
      <w:pPr>
        <w:rPr>
          <w:rFonts w:eastAsia="Arial"/>
        </w:rPr>
      </w:pPr>
    </w:p>
    <w:p w14:paraId="466DA205" w14:textId="77777777" w:rsidR="00E33CFC" w:rsidRPr="000A6F45" w:rsidRDefault="00044CA4">
      <w:pPr>
        <w:rPr>
          <w:rFonts w:eastAsia="Arial"/>
        </w:rPr>
      </w:pPr>
      <w:r w:rsidRPr="000A6F45">
        <w:fldChar w:fldCharType="begin"/>
      </w:r>
      <w:r w:rsidRPr="000A6F45">
        <w:instrText xml:space="preserve"> LISTNUM  LegalDefault \l 1 </w:instrText>
      </w:r>
      <w:r w:rsidRPr="000A6F45">
        <w:fldChar w:fldCharType="end">
          <w:numberingChange w:id="82" w:author="SANCHEZ VIZCAINO GOMEZ Rosa Maria" w:date="2024-09-23T14:37:00Z" w16du:dateUtc="2024-09-23T12:37:00Z" w:original="31."/>
        </w:fldChar>
      </w:r>
      <w:r w:rsidR="00550FF9" w:rsidRPr="000A6F45">
        <w:rPr>
          <w:rFonts w:eastAsia="Arial"/>
        </w:rPr>
        <w:tab/>
        <w:t>Durante el proceso de revisión, los revisores pueden exigir datos de validación adicionales en concertación con el equipo de validación.</w:t>
      </w:r>
    </w:p>
    <w:p w14:paraId="76ED741A" w14:textId="77777777" w:rsidR="00550FF9" w:rsidRPr="000A6F45" w:rsidRDefault="00550FF9" w:rsidP="00550FF9">
      <w:pPr>
        <w:rPr>
          <w:szCs w:val="24"/>
          <w:u w:val="single"/>
          <w:lang w:eastAsia="fr-FR"/>
        </w:rPr>
      </w:pPr>
    </w:p>
    <w:p w14:paraId="0E8C04EE" w14:textId="77777777" w:rsidR="00E33CFC" w:rsidRPr="000A6F45" w:rsidRDefault="00044CA4">
      <w:pPr>
        <w:pStyle w:val="Heading2Annex"/>
        <w:rPr>
          <w:lang w:val="es-ES_tradnl"/>
        </w:rPr>
      </w:pPr>
      <w:bookmarkStart w:id="83" w:name="_Toc178243085"/>
      <w:r w:rsidRPr="000A6F45">
        <w:rPr>
          <w:lang w:val="es-ES_tradnl"/>
        </w:rPr>
        <w:t>Contenido del informe de validación</w:t>
      </w:r>
      <w:bookmarkEnd w:id="83"/>
    </w:p>
    <w:p w14:paraId="2CA5DF20" w14:textId="77777777" w:rsidR="00550FF9" w:rsidRPr="000A6F45" w:rsidRDefault="00550FF9" w:rsidP="00550FF9">
      <w:pPr>
        <w:keepNext/>
        <w:rPr>
          <w:u w:val="single"/>
          <w:lang w:eastAsia="fr-FR"/>
        </w:rPr>
      </w:pPr>
    </w:p>
    <w:p w14:paraId="726D9F18" w14:textId="77777777" w:rsidR="00E33CFC" w:rsidRPr="000A6F45" w:rsidRDefault="00044CA4">
      <w:pPr>
        <w:keepNext/>
        <w:numPr>
          <w:ilvl w:val="0"/>
          <w:numId w:val="15"/>
        </w:numPr>
        <w:spacing w:after="200" w:line="276" w:lineRule="auto"/>
        <w:contextualSpacing/>
        <w:rPr>
          <w:rFonts w:eastAsia="Calibri" w:cs="Arial"/>
        </w:rPr>
      </w:pPr>
      <w:r w:rsidRPr="000A6F45">
        <w:rPr>
          <w:rFonts w:eastAsia="Calibri" w:cs="Arial"/>
        </w:rPr>
        <w:t>Datos brutos generados durante las distintas fases del proceso de validación</w:t>
      </w:r>
    </w:p>
    <w:p w14:paraId="727D5F11" w14:textId="77777777" w:rsidR="00E33CFC" w:rsidRPr="000A6F45" w:rsidRDefault="00044CA4">
      <w:pPr>
        <w:keepNext/>
        <w:numPr>
          <w:ilvl w:val="0"/>
          <w:numId w:val="15"/>
        </w:numPr>
        <w:spacing w:after="200" w:line="276" w:lineRule="auto"/>
        <w:contextualSpacing/>
        <w:rPr>
          <w:rFonts w:eastAsia="Calibri" w:cs="Arial"/>
        </w:rPr>
      </w:pPr>
      <w:r w:rsidRPr="000A6F45">
        <w:rPr>
          <w:rFonts w:eastAsia="Calibri" w:cs="Arial"/>
        </w:rPr>
        <w:t>Protocolo detallado con pasos opcionales y obligatorios definidos</w:t>
      </w:r>
    </w:p>
    <w:p w14:paraId="4EB4F90D" w14:textId="77777777" w:rsidR="00E33CFC" w:rsidRPr="000A6F45" w:rsidRDefault="00044CA4">
      <w:pPr>
        <w:numPr>
          <w:ilvl w:val="0"/>
          <w:numId w:val="15"/>
        </w:numPr>
        <w:spacing w:after="200" w:line="276" w:lineRule="auto"/>
        <w:contextualSpacing/>
        <w:rPr>
          <w:rFonts w:eastAsia="Calibri" w:cs="Arial"/>
        </w:rPr>
      </w:pPr>
      <w:r w:rsidRPr="000A6F45">
        <w:rPr>
          <w:rFonts w:eastAsia="Calibri" w:cs="Arial"/>
        </w:rPr>
        <w:t>Evaluación de los criterios de rendimiento</w:t>
      </w:r>
    </w:p>
    <w:p w14:paraId="0FC33487" w14:textId="77777777" w:rsidR="00E33CFC" w:rsidRPr="000A6F45" w:rsidRDefault="00044CA4">
      <w:pPr>
        <w:numPr>
          <w:ilvl w:val="0"/>
          <w:numId w:val="15"/>
        </w:numPr>
        <w:spacing w:after="200" w:line="276" w:lineRule="auto"/>
        <w:contextualSpacing/>
        <w:rPr>
          <w:rFonts w:eastAsia="Calibri" w:cs="Arial"/>
        </w:rPr>
      </w:pPr>
      <w:r w:rsidRPr="000A6F45">
        <w:rPr>
          <w:rFonts w:eastAsia="Calibri" w:cs="Arial"/>
        </w:rPr>
        <w:t>Conclusión</w:t>
      </w:r>
    </w:p>
    <w:p w14:paraId="4EC2D97D" w14:textId="77777777" w:rsidR="00550FF9" w:rsidRPr="000A6F45" w:rsidRDefault="00550FF9" w:rsidP="00550FF9">
      <w:pPr>
        <w:rPr>
          <w:rFonts w:eastAsia="Calibri"/>
        </w:rPr>
      </w:pPr>
    </w:p>
    <w:p w14:paraId="241E5DF7" w14:textId="77777777" w:rsidR="00E33CFC" w:rsidRPr="000A6F45" w:rsidRDefault="00044CA4">
      <w:pPr>
        <w:pStyle w:val="Heading2Annex"/>
        <w:rPr>
          <w:lang w:val="es-ES_tradnl"/>
        </w:rPr>
      </w:pPr>
      <w:bookmarkStart w:id="84" w:name="_Toc178243086"/>
      <w:r w:rsidRPr="000A6F45">
        <w:rPr>
          <w:lang w:val="es-ES_tradnl"/>
        </w:rPr>
        <w:t>Publicidad</w:t>
      </w:r>
      <w:bookmarkEnd w:id="84"/>
    </w:p>
    <w:p w14:paraId="3C078022" w14:textId="77777777" w:rsidR="00550FF9" w:rsidRPr="000A6F45" w:rsidRDefault="00550FF9" w:rsidP="00550FF9">
      <w:pPr>
        <w:keepNext/>
        <w:rPr>
          <w:lang w:eastAsia="fr-FR"/>
        </w:rPr>
      </w:pPr>
    </w:p>
    <w:p w14:paraId="06CB630F" w14:textId="4B9E6BDA"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85" w:author="SANCHEZ VIZCAINO GOMEZ Rosa Maria" w:date="2024-09-23T14:37:00Z" w16du:dateUtc="2024-09-23T12:37:00Z" w:original="32."/>
        </w:fldChar>
      </w:r>
      <w:r w:rsidR="00550FF9" w:rsidRPr="000A6F45">
        <w:rPr>
          <w:lang w:eastAsia="fr-FR"/>
        </w:rPr>
        <w:tab/>
        <w:t xml:space="preserve">El informe de validación debe estar disponible previa solicitud. En el nuevo protocolo deberá mencionarse el proceso de validación con la oficina de examen de contacto. En algunos casos particulares, </w:t>
      </w:r>
      <w:r w:rsidR="001D28A3" w:rsidRPr="001D28A3">
        <w:rPr>
          <w:lang w:eastAsia="fr-FR"/>
        </w:rPr>
        <w:t xml:space="preserve">por </w:t>
      </w:r>
      <w:proofErr w:type="gramStart"/>
      <w:r w:rsidR="001D28A3" w:rsidRPr="001D28A3">
        <w:rPr>
          <w:lang w:eastAsia="fr-FR"/>
        </w:rPr>
        <w:t>ejemplo</w:t>
      </w:r>
      <w:proofErr w:type="gramEnd"/>
      <w:r w:rsidR="00550FF9" w:rsidRPr="000A6F45">
        <w:rPr>
          <w:i/>
          <w:lang w:eastAsia="fr-FR"/>
        </w:rPr>
        <w:t xml:space="preserve"> </w:t>
      </w:r>
      <w:r w:rsidR="00550FF9" w:rsidRPr="000A6F45">
        <w:rPr>
          <w:lang w:eastAsia="fr-FR"/>
        </w:rPr>
        <w:t>un "protocolo de secreto comercial" (esterilidad masculina citoplasmática en la col), el protocolo y el informe de validación no podrán compartirse fuera de las oficinas de examen.</w:t>
      </w:r>
    </w:p>
    <w:p w14:paraId="43A3ED99" w14:textId="77777777" w:rsidR="00550FF9" w:rsidRPr="000A6F45" w:rsidRDefault="00550FF9" w:rsidP="00550FF9">
      <w:pPr>
        <w:rPr>
          <w:lang w:eastAsia="fr-FR"/>
        </w:rPr>
      </w:pPr>
    </w:p>
    <w:p w14:paraId="02DED470" w14:textId="77777777" w:rsidR="00550FF9" w:rsidRPr="000A6F45" w:rsidRDefault="00550FF9" w:rsidP="00550FF9">
      <w:pPr>
        <w:rPr>
          <w:lang w:eastAsia="fr-FR"/>
        </w:rPr>
      </w:pPr>
    </w:p>
    <w:p w14:paraId="39887599" w14:textId="77777777" w:rsidR="00E33CFC" w:rsidRPr="000A6F45" w:rsidRDefault="00044CA4" w:rsidP="006044A9">
      <w:pPr>
        <w:pStyle w:val="Heading1Annex"/>
      </w:pPr>
      <w:bookmarkStart w:id="86" w:name="_Toc178243087"/>
      <w:r w:rsidRPr="000A6F45">
        <w:t>V.</w:t>
      </w:r>
      <w:r w:rsidRPr="000A6F45">
        <w:tab/>
        <w:t>Protocolo estándar para el protocolo de marcadores moleculares específicos de características</w:t>
      </w:r>
      <w:bookmarkEnd w:id="86"/>
    </w:p>
    <w:p w14:paraId="43144F2B" w14:textId="77777777" w:rsidR="00550FF9" w:rsidRPr="000A6F45" w:rsidRDefault="00550FF9" w:rsidP="00550FF9">
      <w:pPr>
        <w:rPr>
          <w:lang w:eastAsia="fr-FR"/>
        </w:rPr>
      </w:pPr>
    </w:p>
    <w:p w14:paraId="7D2DF444" w14:textId="04528131"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87" w:author="SANCHEZ VIZCAINO GOMEZ Rosa Maria" w:date="2024-09-23T14:37:00Z" w16du:dateUtc="2024-09-23T12:37:00Z" w:original="33."/>
        </w:fldChar>
      </w:r>
      <w:r w:rsidR="00550FF9" w:rsidRPr="000A6F45">
        <w:rPr>
          <w:lang w:eastAsia="fr-FR"/>
        </w:rPr>
        <w:tab/>
        <w:t>Los elementos obligatorios se indican en la columna "información esencial", los demás elementos pueden utilizarse en función del protocolo de ensayo característico. Si un laboratorio desea adaptar/modificar/cambiar un capítulo obligatorio o un elemento de un capítulo obligatorio, debe validar su método en comparación con el método de referencia (para demostrar que se obtienen los mismos resultados que con el método publicado).</w:t>
      </w:r>
    </w:p>
    <w:p w14:paraId="6700D820" w14:textId="77777777" w:rsidR="00550FF9" w:rsidRPr="000A6F45" w:rsidRDefault="00550FF9" w:rsidP="00550FF9">
      <w:pPr>
        <w:rPr>
          <w:lang w:eastAsia="fr-FR"/>
        </w:rPr>
      </w:pPr>
    </w:p>
    <w:p w14:paraId="2670348B" w14:textId="77777777" w:rsidR="00E33CFC" w:rsidRPr="000A6F45" w:rsidRDefault="00044CA4">
      <w:pPr>
        <w:keepNext/>
        <w:jc w:val="center"/>
        <w:rPr>
          <w:lang w:eastAsia="fr-FR"/>
        </w:rPr>
      </w:pPr>
      <w:r w:rsidRPr="000A6F45">
        <w:rPr>
          <w:rFonts w:eastAsia="Calibri" w:cs="Arial"/>
        </w:rPr>
        <w:lastRenderedPageBreak/>
        <w:t>Cuadro 1</w:t>
      </w:r>
      <w:r w:rsidRPr="000A6F45">
        <w:rPr>
          <w:lang w:eastAsia="fr-FR"/>
        </w:rPr>
        <w:t xml:space="preserve">: Protocolo estándar de marcadores moleculares específicos de características (véase el documento TWV/54/7 "Utilización de técnicas moleculares en el examen DHE". Las modificaciones están </w:t>
      </w:r>
      <w:r w:rsidRPr="000A6F45">
        <w:rPr>
          <w:highlight w:val="lightGray"/>
          <w:lang w:eastAsia="fr-FR"/>
        </w:rPr>
        <w:t>resaltadas en gris</w:t>
      </w:r>
      <w:r w:rsidRPr="000A6F45">
        <w:rPr>
          <w:lang w:eastAsia="fr-FR"/>
        </w:rPr>
        <w:t>)</w:t>
      </w:r>
    </w:p>
    <w:p w14:paraId="399C8812" w14:textId="77777777" w:rsidR="00550FF9" w:rsidRPr="000A6F45" w:rsidRDefault="00550FF9" w:rsidP="00550FF9">
      <w:pPr>
        <w:keepNext/>
        <w:rPr>
          <w:lang w:eastAsia="fr-FR"/>
        </w:rPr>
      </w:pPr>
    </w:p>
    <w:tbl>
      <w:tblPr>
        <w:tblW w:w="5157" w:type="pct"/>
        <w:tblInd w:w="-152" w:type="dxa"/>
        <w:tblLayout w:type="fixed"/>
        <w:tblCellMar>
          <w:top w:w="15" w:type="dxa"/>
          <w:left w:w="28" w:type="dxa"/>
          <w:right w:w="28" w:type="dxa"/>
        </w:tblCellMar>
        <w:tblLook w:val="04A0" w:firstRow="1" w:lastRow="0" w:firstColumn="1" w:lastColumn="0" w:noHBand="0" w:noVBand="1"/>
      </w:tblPr>
      <w:tblGrid>
        <w:gridCol w:w="850"/>
        <w:gridCol w:w="1564"/>
        <w:gridCol w:w="2413"/>
        <w:gridCol w:w="1127"/>
        <w:gridCol w:w="3808"/>
        <w:gridCol w:w="159"/>
      </w:tblGrid>
      <w:tr w:rsidR="00550FF9" w:rsidRPr="000A6F45" w14:paraId="3708D5C8" w14:textId="77777777" w:rsidTr="009F5259">
        <w:trPr>
          <w:gridAfter w:val="1"/>
          <w:wAfter w:w="80" w:type="pct"/>
          <w:trHeight w:val="810"/>
          <w:tblHeader/>
        </w:trPr>
        <w:tc>
          <w:tcPr>
            <w:tcW w:w="429"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451CF0A2"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Capítulo</w:t>
            </w:r>
          </w:p>
        </w:tc>
        <w:tc>
          <w:tcPr>
            <w:tcW w:w="788" w:type="pct"/>
            <w:tcBorders>
              <w:top w:val="single" w:sz="8" w:space="0" w:color="auto"/>
              <w:left w:val="nil"/>
              <w:bottom w:val="single" w:sz="8" w:space="0" w:color="auto"/>
              <w:right w:val="single" w:sz="8" w:space="0" w:color="auto"/>
            </w:tcBorders>
            <w:shd w:val="clear" w:color="000000" w:fill="BFBFBF"/>
            <w:vAlign w:val="center"/>
            <w:hideMark/>
          </w:tcPr>
          <w:p w14:paraId="0248456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Elementos de un protocolo estándar de marcadores moleculares específicos de características</w:t>
            </w:r>
          </w:p>
        </w:tc>
        <w:tc>
          <w:tcPr>
            <w:tcW w:w="1216" w:type="pct"/>
            <w:tcBorders>
              <w:top w:val="single" w:sz="8" w:space="0" w:color="auto"/>
              <w:left w:val="nil"/>
              <w:bottom w:val="single" w:sz="8" w:space="0" w:color="auto"/>
              <w:right w:val="single" w:sz="8" w:space="0" w:color="auto"/>
            </w:tcBorders>
            <w:shd w:val="clear" w:color="000000" w:fill="BFBFBF"/>
            <w:vAlign w:val="center"/>
            <w:hideMark/>
          </w:tcPr>
          <w:p w14:paraId="299A5B8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Ejemplo</w:t>
            </w:r>
          </w:p>
        </w:tc>
        <w:tc>
          <w:tcPr>
            <w:tcW w:w="568" w:type="pct"/>
            <w:tcBorders>
              <w:top w:val="single" w:sz="8" w:space="0" w:color="auto"/>
              <w:left w:val="nil"/>
              <w:bottom w:val="single" w:sz="8" w:space="0" w:color="auto"/>
              <w:right w:val="single" w:sz="8" w:space="0" w:color="auto"/>
            </w:tcBorders>
            <w:shd w:val="clear" w:color="000000" w:fill="BFBFBF"/>
            <w:vAlign w:val="center"/>
            <w:hideMark/>
          </w:tcPr>
          <w:p w14:paraId="21B51F5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Información esencial para la armonización</w:t>
            </w:r>
          </w:p>
        </w:tc>
        <w:tc>
          <w:tcPr>
            <w:tcW w:w="1919" w:type="pct"/>
            <w:tcBorders>
              <w:top w:val="single" w:sz="8" w:space="0" w:color="auto"/>
              <w:left w:val="nil"/>
              <w:bottom w:val="single" w:sz="8" w:space="0" w:color="auto"/>
              <w:right w:val="single" w:sz="8" w:space="0" w:color="auto"/>
            </w:tcBorders>
            <w:shd w:val="clear" w:color="000000" w:fill="BFBFBF"/>
            <w:vAlign w:val="center"/>
            <w:hideMark/>
          </w:tcPr>
          <w:p w14:paraId="3C80DF7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Observación</w:t>
            </w:r>
          </w:p>
        </w:tc>
      </w:tr>
      <w:tr w:rsidR="00550FF9" w:rsidRPr="000A6F45" w14:paraId="457F45E6" w14:textId="77777777" w:rsidTr="009F5259">
        <w:trPr>
          <w:gridAfter w:val="1"/>
          <w:wAfter w:w="80" w:type="pct"/>
          <w:cantSplit/>
          <w:trHeight w:val="30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68FE2A6D"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79AE9074"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característica</w:t>
            </w:r>
          </w:p>
        </w:tc>
        <w:tc>
          <w:tcPr>
            <w:tcW w:w="1216" w:type="pct"/>
            <w:tcBorders>
              <w:top w:val="nil"/>
              <w:left w:val="nil"/>
              <w:bottom w:val="nil"/>
              <w:right w:val="single" w:sz="8" w:space="0" w:color="auto"/>
            </w:tcBorders>
            <w:shd w:val="clear" w:color="auto" w:fill="auto"/>
            <w:vAlign w:val="center"/>
            <w:hideMark/>
          </w:tcPr>
          <w:p w14:paraId="38E8B1D2"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Resistencia al virus del mosaico del tomate (</w:t>
            </w:r>
            <w:proofErr w:type="spellStart"/>
            <w:r w:rsidRPr="000A6F45">
              <w:rPr>
                <w:rFonts w:cs="Arial"/>
                <w:color w:val="000000"/>
                <w:sz w:val="18"/>
                <w:szCs w:val="18"/>
                <w:lang w:eastAsia="nl-NL"/>
              </w:rPr>
              <w:t>ToMV</w:t>
            </w:r>
            <w:proofErr w:type="spellEnd"/>
            <w:r w:rsidRPr="000A6F45">
              <w:rPr>
                <w:rFonts w:cs="Arial"/>
                <w:color w:val="000000"/>
                <w:sz w:val="18"/>
                <w:szCs w:val="18"/>
                <w:lang w:eastAsia="nl-NL"/>
              </w:rPr>
              <w:t>)</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51FA8C8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hideMark/>
          </w:tcPr>
          <w:p w14:paraId="13EEA6BC"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r>
      <w:tr w:rsidR="00550FF9" w:rsidRPr="000A6F45" w14:paraId="2A671251" w14:textId="77777777" w:rsidTr="009F5259">
        <w:trPr>
          <w:gridAfter w:val="1"/>
          <w:wAfter w:w="80" w:type="pct"/>
          <w:cantSplit/>
          <w:trHeight w:val="315"/>
        </w:trPr>
        <w:tc>
          <w:tcPr>
            <w:tcW w:w="429" w:type="pct"/>
            <w:vMerge/>
            <w:tcBorders>
              <w:top w:val="nil"/>
              <w:left w:val="single" w:sz="8" w:space="0" w:color="auto"/>
              <w:bottom w:val="single" w:sz="8" w:space="0" w:color="000000"/>
              <w:right w:val="single" w:sz="8" w:space="0" w:color="auto"/>
            </w:tcBorders>
            <w:vAlign w:val="center"/>
            <w:hideMark/>
          </w:tcPr>
          <w:p w14:paraId="3EA96CF6"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04C5DC22"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vAlign w:val="center"/>
            <w:hideMark/>
          </w:tcPr>
          <w:p w14:paraId="359AB1C2" w14:textId="77777777" w:rsidR="00E33CFC" w:rsidRPr="000A6F45" w:rsidRDefault="00044CA4">
            <w:pPr>
              <w:jc w:val="left"/>
              <w:rPr>
                <w:rFonts w:cs="Arial"/>
                <w:i/>
                <w:iCs/>
                <w:color w:val="000000"/>
                <w:sz w:val="18"/>
                <w:szCs w:val="18"/>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del marcador de ADN </w:t>
            </w:r>
          </w:p>
        </w:tc>
        <w:tc>
          <w:tcPr>
            <w:tcW w:w="568" w:type="pct"/>
            <w:vMerge/>
            <w:tcBorders>
              <w:top w:val="nil"/>
              <w:left w:val="single" w:sz="8" w:space="0" w:color="auto"/>
              <w:bottom w:val="single" w:sz="8" w:space="0" w:color="000000"/>
              <w:right w:val="single" w:sz="8" w:space="0" w:color="auto"/>
            </w:tcBorders>
            <w:vAlign w:val="center"/>
            <w:hideMark/>
          </w:tcPr>
          <w:p w14:paraId="0AA23C2B" w14:textId="77777777" w:rsidR="00550FF9" w:rsidRPr="000A6F45" w:rsidRDefault="00550FF9" w:rsidP="00550FF9">
            <w:pPr>
              <w:jc w:val="left"/>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hideMark/>
          </w:tcPr>
          <w:p w14:paraId="0CEAE530" w14:textId="77777777" w:rsidR="00550FF9" w:rsidRPr="000A6F45" w:rsidRDefault="00550FF9" w:rsidP="00550FF9">
            <w:pPr>
              <w:jc w:val="left"/>
              <w:rPr>
                <w:rFonts w:cs="Arial"/>
                <w:color w:val="000000"/>
                <w:sz w:val="18"/>
                <w:szCs w:val="18"/>
                <w:lang w:eastAsia="fr-FR"/>
              </w:rPr>
            </w:pPr>
          </w:p>
        </w:tc>
      </w:tr>
      <w:tr w:rsidR="00550FF9" w:rsidRPr="000A6F45" w14:paraId="586044AF" w14:textId="77777777" w:rsidTr="009F5259">
        <w:trPr>
          <w:gridAfter w:val="1"/>
          <w:wAfter w:w="80" w:type="pct"/>
          <w:cantSplit/>
          <w:trHeight w:val="52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4F3689E3"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2</w:t>
            </w:r>
          </w:p>
        </w:tc>
        <w:tc>
          <w:tcPr>
            <w:tcW w:w="788" w:type="pct"/>
            <w:tcBorders>
              <w:top w:val="nil"/>
              <w:left w:val="nil"/>
              <w:bottom w:val="single" w:sz="8" w:space="0" w:color="auto"/>
              <w:right w:val="single" w:sz="8" w:space="0" w:color="auto"/>
            </w:tcBorders>
            <w:shd w:val="clear" w:color="auto" w:fill="auto"/>
            <w:vAlign w:val="center"/>
            <w:hideMark/>
          </w:tcPr>
          <w:p w14:paraId="7A54A8D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Genes y alelos</w:t>
            </w:r>
          </w:p>
        </w:tc>
        <w:tc>
          <w:tcPr>
            <w:tcW w:w="1216" w:type="pct"/>
            <w:tcBorders>
              <w:top w:val="nil"/>
              <w:left w:val="nil"/>
              <w:bottom w:val="single" w:sz="8" w:space="0" w:color="auto"/>
              <w:right w:val="single" w:sz="8" w:space="0" w:color="auto"/>
            </w:tcBorders>
            <w:shd w:val="clear" w:color="auto" w:fill="auto"/>
            <w:vAlign w:val="center"/>
            <w:hideMark/>
          </w:tcPr>
          <w:p w14:paraId="1CDE6F71" w14:textId="77777777" w:rsidR="00E33CFC" w:rsidRPr="000A6F45" w:rsidRDefault="00044CA4">
            <w:pPr>
              <w:jc w:val="left"/>
              <w:rPr>
                <w:rFonts w:cs="Arial"/>
                <w:i/>
                <w:iCs/>
                <w:color w:val="000000"/>
                <w:sz w:val="18"/>
                <w:szCs w:val="18"/>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 marcadores de ADN </w:t>
            </w:r>
            <w:proofErr w:type="spellStart"/>
            <w:r w:rsidRPr="000A6F45">
              <w:rPr>
                <w:rFonts w:cs="Arial"/>
                <w:i/>
                <w:iCs/>
                <w:color w:val="000000"/>
                <w:sz w:val="18"/>
                <w:szCs w:val="18"/>
                <w:lang w:eastAsia="fr-FR"/>
              </w:rPr>
              <w:t>add</w:t>
            </w:r>
            <w:proofErr w:type="spellEnd"/>
            <w:r w:rsidRPr="000A6F45">
              <w:rPr>
                <w:rFonts w:cs="Arial"/>
                <w:i/>
                <w:iCs/>
                <w:color w:val="000000"/>
                <w:sz w:val="18"/>
                <w:szCs w:val="18"/>
                <w:lang w:eastAsia="fr-FR"/>
              </w:rPr>
              <w:t xml:space="preserve"> 2</w:t>
            </w:r>
          </w:p>
        </w:tc>
        <w:tc>
          <w:tcPr>
            <w:tcW w:w="568" w:type="pct"/>
            <w:tcBorders>
              <w:top w:val="nil"/>
              <w:left w:val="nil"/>
              <w:bottom w:val="single" w:sz="8" w:space="0" w:color="auto"/>
              <w:right w:val="single" w:sz="8" w:space="0" w:color="auto"/>
            </w:tcBorders>
            <w:shd w:val="clear" w:color="auto" w:fill="auto"/>
            <w:vAlign w:val="center"/>
            <w:hideMark/>
          </w:tcPr>
          <w:p w14:paraId="1C65F707"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0EC28B22"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Necesidad de evitar el marcador dominante o el marcador de presencia/ausencia, de lo contrario deberá evaluarse la solidez.</w:t>
            </w:r>
          </w:p>
        </w:tc>
      </w:tr>
      <w:tr w:rsidR="00550FF9" w:rsidRPr="000A6F45" w14:paraId="2254754B" w14:textId="77777777" w:rsidTr="009F5259">
        <w:trPr>
          <w:gridAfter w:val="1"/>
          <w:wAfter w:w="80" w:type="pct"/>
          <w:cantSplit/>
          <w:trHeight w:val="51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0037C34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2.1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764BE64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Gen(es) diana</w:t>
            </w:r>
          </w:p>
        </w:tc>
        <w:tc>
          <w:tcPr>
            <w:tcW w:w="1216" w:type="pct"/>
            <w:tcBorders>
              <w:top w:val="nil"/>
              <w:left w:val="nil"/>
              <w:bottom w:val="nil"/>
              <w:right w:val="single" w:sz="8" w:space="0" w:color="auto"/>
            </w:tcBorders>
            <w:shd w:val="clear" w:color="auto" w:fill="auto"/>
            <w:vAlign w:val="center"/>
            <w:hideMark/>
          </w:tcPr>
          <w:p w14:paraId="58CEA11D"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Gen de resistencia Tm2</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0A07C3E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nil"/>
              <w:right w:val="single" w:sz="8" w:space="0" w:color="auto"/>
            </w:tcBorders>
            <w:shd w:val="clear" w:color="auto" w:fill="auto"/>
            <w:vAlign w:val="center"/>
            <w:hideMark/>
          </w:tcPr>
          <w:p w14:paraId="66F3641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a) archivo(s) que contiene(n) la información sobre la secuencia del ADN (orden de los nucleótidos) </w:t>
            </w:r>
          </w:p>
        </w:tc>
      </w:tr>
      <w:tr w:rsidR="00550FF9" w:rsidRPr="000A6F45" w14:paraId="64A70467" w14:textId="77777777" w:rsidTr="009F5259">
        <w:trPr>
          <w:gridAfter w:val="1"/>
          <w:wAfter w:w="80" w:type="pct"/>
          <w:cantSplit/>
          <w:trHeight w:val="510"/>
        </w:trPr>
        <w:tc>
          <w:tcPr>
            <w:tcW w:w="429" w:type="pct"/>
            <w:vMerge/>
            <w:tcBorders>
              <w:top w:val="nil"/>
              <w:left w:val="single" w:sz="8" w:space="0" w:color="auto"/>
              <w:bottom w:val="single" w:sz="8" w:space="0" w:color="000000"/>
              <w:right w:val="single" w:sz="8" w:space="0" w:color="auto"/>
            </w:tcBorders>
            <w:vAlign w:val="center"/>
            <w:hideMark/>
          </w:tcPr>
          <w:p w14:paraId="1D248009"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1C509F2E"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5BF76D3E" w14:textId="77777777" w:rsidR="00E33CFC" w:rsidRPr="000A6F45" w:rsidRDefault="00044CA4">
            <w:pPr>
              <w:jc w:val="left"/>
              <w:rPr>
                <w:rFonts w:cs="Arial"/>
                <w:color w:val="000000"/>
                <w:sz w:val="18"/>
                <w:szCs w:val="18"/>
                <w:lang w:eastAsia="fr-FR"/>
              </w:rPr>
            </w:pPr>
            <w:proofErr w:type="spellStart"/>
            <w:r w:rsidRPr="000A6F45">
              <w:rPr>
                <w:rFonts w:cs="Arial"/>
                <w:color w:val="000000"/>
                <w:sz w:val="18"/>
                <w:szCs w:val="18"/>
                <w:lang w:eastAsia="fr-FR"/>
              </w:rPr>
              <w:t>Arens</w:t>
            </w:r>
            <w:proofErr w:type="spellEnd"/>
            <w:r w:rsidRPr="000A6F45">
              <w:rPr>
                <w:rFonts w:cs="Arial"/>
                <w:color w:val="000000"/>
                <w:sz w:val="18"/>
                <w:szCs w:val="18"/>
                <w:lang w:eastAsia="fr-FR"/>
              </w:rPr>
              <w:t>, P. et al (2010)</w:t>
            </w:r>
          </w:p>
        </w:tc>
        <w:tc>
          <w:tcPr>
            <w:tcW w:w="568" w:type="pct"/>
            <w:vMerge/>
            <w:tcBorders>
              <w:top w:val="nil"/>
              <w:left w:val="single" w:sz="8" w:space="0" w:color="auto"/>
              <w:bottom w:val="single" w:sz="8" w:space="0" w:color="000000"/>
              <w:right w:val="single" w:sz="8" w:space="0" w:color="auto"/>
            </w:tcBorders>
            <w:vAlign w:val="center"/>
            <w:hideMark/>
          </w:tcPr>
          <w:p w14:paraId="3E26D2F1"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72774535"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b) referencia a información sobre ADN en bases de datos públicas (como </w:t>
            </w:r>
            <w:proofErr w:type="spellStart"/>
            <w:r w:rsidRPr="000A6F45">
              <w:rPr>
                <w:rFonts w:cs="Arial"/>
                <w:color w:val="000000"/>
                <w:sz w:val="18"/>
                <w:szCs w:val="18"/>
                <w:lang w:eastAsia="nl-NL"/>
              </w:rPr>
              <w:t>GeneBank</w:t>
            </w:r>
            <w:proofErr w:type="spellEnd"/>
            <w:r w:rsidRPr="000A6F45">
              <w:rPr>
                <w:rFonts w:cs="Arial"/>
                <w:color w:val="000000"/>
                <w:sz w:val="18"/>
                <w:szCs w:val="18"/>
                <w:lang w:eastAsia="nl-NL"/>
              </w:rPr>
              <w:t>)</w:t>
            </w:r>
          </w:p>
        </w:tc>
      </w:tr>
      <w:tr w:rsidR="00550FF9" w:rsidRPr="000A6F45" w14:paraId="6BB2867B" w14:textId="77777777" w:rsidTr="009F5259">
        <w:trPr>
          <w:gridAfter w:val="1"/>
          <w:wAfter w:w="80" w:type="pct"/>
          <w:cantSplit/>
          <w:trHeight w:val="765"/>
        </w:trPr>
        <w:tc>
          <w:tcPr>
            <w:tcW w:w="429" w:type="pct"/>
            <w:vMerge/>
            <w:tcBorders>
              <w:top w:val="nil"/>
              <w:left w:val="single" w:sz="8" w:space="0" w:color="auto"/>
              <w:bottom w:val="single" w:sz="8" w:space="0" w:color="000000"/>
              <w:right w:val="single" w:sz="8" w:space="0" w:color="auto"/>
            </w:tcBorders>
            <w:vAlign w:val="center"/>
            <w:hideMark/>
          </w:tcPr>
          <w:p w14:paraId="7660D0E3"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B3A7CC3"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0DD13F0D" w14:textId="77777777" w:rsidR="00550FF9" w:rsidRPr="000A6F45" w:rsidRDefault="00550FF9" w:rsidP="00550FF9">
            <w:pPr>
              <w:jc w:val="left"/>
              <w:rPr>
                <w:rFonts w:cs="Arial"/>
                <w:i/>
                <w:iCs/>
                <w:color w:val="000000"/>
                <w:sz w:val="18"/>
                <w:szCs w:val="18"/>
                <w:lang w:eastAsia="fr-FR"/>
              </w:rPr>
            </w:pPr>
            <w:r w:rsidRPr="000A6F45">
              <w:rPr>
                <w:rFonts w:cs="Arial"/>
                <w:i/>
                <w:iCs/>
                <w:color w:val="000000"/>
                <w:sz w:val="18"/>
                <w:szCs w:val="18"/>
                <w:lang w:eastAsia="nl-NL"/>
              </w:rPr>
              <w:t> </w:t>
            </w:r>
          </w:p>
        </w:tc>
        <w:tc>
          <w:tcPr>
            <w:tcW w:w="568" w:type="pct"/>
            <w:vMerge/>
            <w:tcBorders>
              <w:top w:val="nil"/>
              <w:left w:val="single" w:sz="8" w:space="0" w:color="auto"/>
              <w:bottom w:val="single" w:sz="8" w:space="0" w:color="000000"/>
              <w:right w:val="single" w:sz="8" w:space="0" w:color="auto"/>
            </w:tcBorders>
            <w:vAlign w:val="center"/>
            <w:hideMark/>
          </w:tcPr>
          <w:p w14:paraId="2F6C9317"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7353AA20"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 referencia a publicaciones (científicas) en las que se revele la información de la secuencia de ADN de los niveles de expresión del carácter.</w:t>
            </w:r>
          </w:p>
        </w:tc>
      </w:tr>
      <w:tr w:rsidR="00550FF9" w:rsidRPr="000A6F45" w14:paraId="13BB8CF6" w14:textId="77777777" w:rsidTr="009F5259">
        <w:trPr>
          <w:gridAfter w:val="1"/>
          <w:wAfter w:w="80" w:type="pct"/>
          <w:cantSplit/>
          <w:trHeight w:val="525"/>
        </w:trPr>
        <w:tc>
          <w:tcPr>
            <w:tcW w:w="429" w:type="pct"/>
            <w:vMerge/>
            <w:tcBorders>
              <w:top w:val="nil"/>
              <w:left w:val="single" w:sz="8" w:space="0" w:color="auto"/>
              <w:bottom w:val="single" w:sz="8" w:space="0" w:color="000000"/>
              <w:right w:val="single" w:sz="8" w:space="0" w:color="auto"/>
            </w:tcBorders>
            <w:vAlign w:val="center"/>
            <w:hideMark/>
          </w:tcPr>
          <w:p w14:paraId="3ADE1C70"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5F5C2FC"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704636A1"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fr-FR"/>
              </w:rPr>
              <w:t> </w:t>
            </w:r>
          </w:p>
        </w:tc>
        <w:tc>
          <w:tcPr>
            <w:tcW w:w="568" w:type="pct"/>
            <w:vMerge/>
            <w:tcBorders>
              <w:top w:val="nil"/>
              <w:left w:val="single" w:sz="8" w:space="0" w:color="auto"/>
              <w:bottom w:val="single" w:sz="8" w:space="0" w:color="000000"/>
              <w:right w:val="single" w:sz="8" w:space="0" w:color="auto"/>
            </w:tcBorders>
            <w:vAlign w:val="center"/>
            <w:hideMark/>
          </w:tcPr>
          <w:p w14:paraId="50AAACB5"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single" w:sz="8" w:space="0" w:color="auto"/>
              <w:right w:val="single" w:sz="8" w:space="0" w:color="auto"/>
            </w:tcBorders>
            <w:shd w:val="clear" w:color="auto" w:fill="auto"/>
            <w:vAlign w:val="center"/>
            <w:hideMark/>
          </w:tcPr>
          <w:p w14:paraId="3EB07D16"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 referencia a una posición concreta en la versión del genoma de referencia publicada.</w:t>
            </w:r>
          </w:p>
        </w:tc>
      </w:tr>
      <w:tr w:rsidR="00550FF9" w:rsidRPr="000A6F45" w14:paraId="68D3472F" w14:textId="77777777" w:rsidTr="009F5259">
        <w:trPr>
          <w:gridAfter w:val="1"/>
          <w:wAfter w:w="80" w:type="pct"/>
          <w:cantSplit/>
          <w:trHeight w:val="51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1D1B7649"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2.2</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41959BD9"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Alelo correspondiente al estado 1 </w:t>
            </w:r>
          </w:p>
        </w:tc>
        <w:tc>
          <w:tcPr>
            <w:tcW w:w="1216" w:type="pct"/>
            <w:tcBorders>
              <w:top w:val="nil"/>
              <w:left w:val="nil"/>
              <w:bottom w:val="nil"/>
              <w:right w:val="single" w:sz="8" w:space="0" w:color="auto"/>
            </w:tcBorders>
            <w:shd w:val="clear" w:color="auto" w:fill="auto"/>
            <w:vAlign w:val="center"/>
            <w:hideMark/>
          </w:tcPr>
          <w:p w14:paraId="238898B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Tm2 y Tm2</w:t>
            </w:r>
            <w:r w:rsidRPr="000A6F45">
              <w:rPr>
                <w:rFonts w:cs="Arial"/>
                <w:color w:val="000000"/>
                <w:sz w:val="18"/>
                <w:szCs w:val="18"/>
                <w:vertAlign w:val="superscript"/>
                <w:lang w:eastAsia="nl-NL"/>
              </w:rPr>
              <w:t>2</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4A56955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nil"/>
              <w:right w:val="single" w:sz="8" w:space="0" w:color="auto"/>
            </w:tcBorders>
            <w:shd w:val="clear" w:color="auto" w:fill="auto"/>
            <w:vAlign w:val="center"/>
            <w:hideMark/>
          </w:tcPr>
          <w:p w14:paraId="76AD138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a) archivo(s) que contiene(n) la información sobre la secuencia del ADN (orden de los nucleótidos) </w:t>
            </w:r>
          </w:p>
        </w:tc>
      </w:tr>
      <w:tr w:rsidR="00550FF9" w:rsidRPr="000A6F45" w14:paraId="79F59C8B" w14:textId="77777777" w:rsidTr="009F5259">
        <w:trPr>
          <w:gridAfter w:val="1"/>
          <w:wAfter w:w="80" w:type="pct"/>
          <w:cantSplit/>
          <w:trHeight w:val="510"/>
        </w:trPr>
        <w:tc>
          <w:tcPr>
            <w:tcW w:w="429" w:type="pct"/>
            <w:vMerge/>
            <w:tcBorders>
              <w:top w:val="nil"/>
              <w:left w:val="single" w:sz="8" w:space="0" w:color="auto"/>
              <w:bottom w:val="single" w:sz="8" w:space="0" w:color="000000"/>
              <w:right w:val="single" w:sz="8" w:space="0" w:color="auto"/>
            </w:tcBorders>
            <w:vAlign w:val="center"/>
            <w:hideMark/>
          </w:tcPr>
          <w:p w14:paraId="0C5EBCCE"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297DDF70"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5CF192CB" w14:textId="77777777" w:rsidR="00E33CFC" w:rsidRPr="000A6F45" w:rsidRDefault="00044CA4">
            <w:pPr>
              <w:jc w:val="left"/>
              <w:rPr>
                <w:rFonts w:cs="Arial"/>
                <w:color w:val="000000"/>
                <w:sz w:val="18"/>
                <w:szCs w:val="18"/>
                <w:lang w:eastAsia="fr-FR"/>
              </w:rPr>
            </w:pPr>
            <w:proofErr w:type="spellStart"/>
            <w:r w:rsidRPr="000A6F45">
              <w:rPr>
                <w:rFonts w:cs="Arial"/>
                <w:color w:val="000000"/>
                <w:sz w:val="18"/>
                <w:szCs w:val="18"/>
                <w:lang w:eastAsia="fr-FR"/>
              </w:rPr>
              <w:t>Arens</w:t>
            </w:r>
            <w:proofErr w:type="spellEnd"/>
            <w:r w:rsidRPr="000A6F45">
              <w:rPr>
                <w:rFonts w:cs="Arial"/>
                <w:color w:val="000000"/>
                <w:sz w:val="18"/>
                <w:szCs w:val="18"/>
                <w:lang w:eastAsia="fr-FR"/>
              </w:rPr>
              <w:t>, P. et al (2010)</w:t>
            </w:r>
          </w:p>
        </w:tc>
        <w:tc>
          <w:tcPr>
            <w:tcW w:w="568" w:type="pct"/>
            <w:vMerge/>
            <w:tcBorders>
              <w:top w:val="nil"/>
              <w:left w:val="single" w:sz="8" w:space="0" w:color="auto"/>
              <w:bottom w:val="single" w:sz="8" w:space="0" w:color="000000"/>
              <w:right w:val="single" w:sz="8" w:space="0" w:color="auto"/>
            </w:tcBorders>
            <w:vAlign w:val="center"/>
            <w:hideMark/>
          </w:tcPr>
          <w:p w14:paraId="3A995E0C"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28B9C635"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b) referencia a información sobre ADN en bases de datos públicas (como </w:t>
            </w:r>
            <w:proofErr w:type="spellStart"/>
            <w:r w:rsidRPr="000A6F45">
              <w:rPr>
                <w:rFonts w:cs="Arial"/>
                <w:color w:val="000000"/>
                <w:sz w:val="18"/>
                <w:szCs w:val="18"/>
                <w:lang w:eastAsia="nl-NL"/>
              </w:rPr>
              <w:t>GeneBank</w:t>
            </w:r>
            <w:proofErr w:type="spellEnd"/>
            <w:r w:rsidRPr="000A6F45">
              <w:rPr>
                <w:rFonts w:cs="Arial"/>
                <w:color w:val="000000"/>
                <w:sz w:val="18"/>
                <w:szCs w:val="18"/>
                <w:lang w:eastAsia="nl-NL"/>
              </w:rPr>
              <w:t>)</w:t>
            </w:r>
          </w:p>
        </w:tc>
      </w:tr>
      <w:tr w:rsidR="00550FF9" w:rsidRPr="000A6F45" w14:paraId="5D6F57FB" w14:textId="77777777" w:rsidTr="009F5259">
        <w:trPr>
          <w:gridAfter w:val="1"/>
          <w:wAfter w:w="80" w:type="pct"/>
          <w:cantSplit/>
          <w:trHeight w:val="765"/>
        </w:trPr>
        <w:tc>
          <w:tcPr>
            <w:tcW w:w="429" w:type="pct"/>
            <w:vMerge/>
            <w:tcBorders>
              <w:top w:val="nil"/>
              <w:left w:val="single" w:sz="8" w:space="0" w:color="auto"/>
              <w:bottom w:val="single" w:sz="8" w:space="0" w:color="000000"/>
              <w:right w:val="single" w:sz="8" w:space="0" w:color="auto"/>
            </w:tcBorders>
            <w:vAlign w:val="center"/>
            <w:hideMark/>
          </w:tcPr>
          <w:p w14:paraId="5E8370AA"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3860072"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76CC1BAF"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568" w:type="pct"/>
            <w:vMerge/>
            <w:tcBorders>
              <w:top w:val="nil"/>
              <w:left w:val="single" w:sz="8" w:space="0" w:color="auto"/>
              <w:bottom w:val="single" w:sz="8" w:space="0" w:color="000000"/>
              <w:right w:val="single" w:sz="8" w:space="0" w:color="auto"/>
            </w:tcBorders>
            <w:vAlign w:val="center"/>
            <w:hideMark/>
          </w:tcPr>
          <w:p w14:paraId="0F4EF599"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6330AD25"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 referencia a publicaciones (científicas) en las que se revele la información de la secuencia de ADN de los niveles de expresión del carácter.</w:t>
            </w:r>
          </w:p>
        </w:tc>
      </w:tr>
      <w:tr w:rsidR="00550FF9" w:rsidRPr="000A6F45" w14:paraId="40C67C26" w14:textId="77777777" w:rsidTr="009F5259">
        <w:trPr>
          <w:gridAfter w:val="1"/>
          <w:wAfter w:w="80" w:type="pct"/>
          <w:cantSplit/>
          <w:trHeight w:val="1035"/>
        </w:trPr>
        <w:tc>
          <w:tcPr>
            <w:tcW w:w="429" w:type="pct"/>
            <w:vMerge/>
            <w:tcBorders>
              <w:top w:val="nil"/>
              <w:left w:val="single" w:sz="8" w:space="0" w:color="auto"/>
              <w:bottom w:val="single" w:sz="8" w:space="0" w:color="000000"/>
              <w:right w:val="single" w:sz="8" w:space="0" w:color="auto"/>
            </w:tcBorders>
            <w:vAlign w:val="center"/>
            <w:hideMark/>
          </w:tcPr>
          <w:p w14:paraId="138F1579"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3377BE6"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3299288E"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fr-FR"/>
              </w:rPr>
              <w:t> </w:t>
            </w:r>
          </w:p>
        </w:tc>
        <w:tc>
          <w:tcPr>
            <w:tcW w:w="568" w:type="pct"/>
            <w:vMerge/>
            <w:tcBorders>
              <w:top w:val="nil"/>
              <w:left w:val="single" w:sz="8" w:space="0" w:color="auto"/>
              <w:bottom w:val="single" w:sz="8" w:space="0" w:color="000000"/>
              <w:right w:val="single" w:sz="8" w:space="0" w:color="auto"/>
            </w:tcBorders>
            <w:vAlign w:val="center"/>
            <w:hideMark/>
          </w:tcPr>
          <w:p w14:paraId="38B5AF1F"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single" w:sz="8" w:space="0" w:color="auto"/>
              <w:right w:val="single" w:sz="8" w:space="0" w:color="auto"/>
            </w:tcBorders>
            <w:shd w:val="clear" w:color="auto" w:fill="auto"/>
            <w:vAlign w:val="center"/>
            <w:hideMark/>
          </w:tcPr>
          <w:p w14:paraId="2D0C027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 referencia a una posición concreta en la versión publicada del genoma de referencia en combinación con el SNP o INDEL responsable del estado de expresión.</w:t>
            </w:r>
          </w:p>
        </w:tc>
      </w:tr>
      <w:tr w:rsidR="00550FF9" w:rsidRPr="000A6F45" w14:paraId="34B7829C" w14:textId="77777777" w:rsidTr="009F5259">
        <w:trPr>
          <w:gridAfter w:val="1"/>
          <w:wAfter w:w="80" w:type="pct"/>
          <w:cantSplit/>
          <w:trHeight w:val="51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19958224"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2.3</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17AE6BBC"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 xml:space="preserve">Alelo correspondiente al estado de expresión n </w:t>
            </w:r>
          </w:p>
        </w:tc>
        <w:tc>
          <w:tcPr>
            <w:tcW w:w="1216" w:type="pct"/>
            <w:tcBorders>
              <w:top w:val="nil"/>
              <w:left w:val="nil"/>
              <w:bottom w:val="nil"/>
              <w:right w:val="single" w:sz="8" w:space="0" w:color="auto"/>
            </w:tcBorders>
            <w:shd w:val="clear" w:color="auto" w:fill="auto"/>
            <w:vAlign w:val="center"/>
            <w:hideMark/>
          </w:tcPr>
          <w:p w14:paraId="1967B7CF"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tm2</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3B032FA1"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nil"/>
              <w:right w:val="single" w:sz="8" w:space="0" w:color="auto"/>
            </w:tcBorders>
            <w:shd w:val="clear" w:color="auto" w:fill="auto"/>
            <w:vAlign w:val="center"/>
            <w:hideMark/>
          </w:tcPr>
          <w:p w14:paraId="04470C82"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 xml:space="preserve">a) archivo(s) que contiene(n) la información sobre la secuencia del ADN (orden de los nucleótidos) </w:t>
            </w:r>
          </w:p>
        </w:tc>
      </w:tr>
      <w:tr w:rsidR="00550FF9" w:rsidRPr="000A6F45" w14:paraId="08811359" w14:textId="77777777" w:rsidTr="009F5259">
        <w:trPr>
          <w:gridAfter w:val="1"/>
          <w:wAfter w:w="80" w:type="pct"/>
          <w:cantSplit/>
          <w:trHeight w:val="510"/>
        </w:trPr>
        <w:tc>
          <w:tcPr>
            <w:tcW w:w="429" w:type="pct"/>
            <w:vMerge/>
            <w:tcBorders>
              <w:top w:val="nil"/>
              <w:left w:val="single" w:sz="8" w:space="0" w:color="auto"/>
              <w:bottom w:val="single" w:sz="8" w:space="0" w:color="000000"/>
              <w:right w:val="single" w:sz="8" w:space="0" w:color="auto"/>
            </w:tcBorders>
            <w:vAlign w:val="center"/>
            <w:hideMark/>
          </w:tcPr>
          <w:p w14:paraId="7F1A7B07" w14:textId="77777777" w:rsidR="00550FF9" w:rsidRPr="000A6F45" w:rsidRDefault="00550FF9" w:rsidP="00550FF9">
            <w:pPr>
              <w:keepNext/>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35EEAC03" w14:textId="77777777" w:rsidR="00550FF9" w:rsidRPr="000A6F45" w:rsidRDefault="00550FF9" w:rsidP="00550FF9">
            <w:pPr>
              <w:keepNext/>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2049BB4B" w14:textId="77777777" w:rsidR="00E33CFC" w:rsidRPr="000A6F45" w:rsidRDefault="00044CA4">
            <w:pPr>
              <w:keepNext/>
              <w:jc w:val="left"/>
              <w:rPr>
                <w:rFonts w:cs="Arial"/>
                <w:color w:val="000000"/>
                <w:sz w:val="18"/>
                <w:szCs w:val="18"/>
                <w:lang w:eastAsia="fr-FR"/>
              </w:rPr>
            </w:pPr>
            <w:proofErr w:type="spellStart"/>
            <w:r w:rsidRPr="000A6F45">
              <w:rPr>
                <w:rFonts w:cs="Arial"/>
                <w:color w:val="000000"/>
                <w:sz w:val="18"/>
                <w:szCs w:val="18"/>
                <w:lang w:eastAsia="fr-FR"/>
              </w:rPr>
              <w:t>Arens</w:t>
            </w:r>
            <w:proofErr w:type="spellEnd"/>
            <w:r w:rsidRPr="000A6F45">
              <w:rPr>
                <w:rFonts w:cs="Arial"/>
                <w:color w:val="000000"/>
                <w:sz w:val="18"/>
                <w:szCs w:val="18"/>
                <w:lang w:eastAsia="fr-FR"/>
              </w:rPr>
              <w:t>, P. et al (2010)</w:t>
            </w:r>
          </w:p>
        </w:tc>
        <w:tc>
          <w:tcPr>
            <w:tcW w:w="568" w:type="pct"/>
            <w:vMerge/>
            <w:tcBorders>
              <w:top w:val="nil"/>
              <w:left w:val="single" w:sz="8" w:space="0" w:color="auto"/>
              <w:bottom w:val="single" w:sz="8" w:space="0" w:color="000000"/>
              <w:right w:val="single" w:sz="8" w:space="0" w:color="auto"/>
            </w:tcBorders>
            <w:vAlign w:val="center"/>
            <w:hideMark/>
          </w:tcPr>
          <w:p w14:paraId="47A2FBAC" w14:textId="77777777" w:rsidR="00550FF9" w:rsidRPr="000A6F45" w:rsidRDefault="00550FF9" w:rsidP="00550FF9">
            <w:pPr>
              <w:keepNext/>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529DBDA4"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 xml:space="preserve">b) referencia a información sobre ADN en bases de datos públicas (como </w:t>
            </w:r>
            <w:proofErr w:type="spellStart"/>
            <w:r w:rsidRPr="000A6F45">
              <w:rPr>
                <w:rFonts w:cs="Arial"/>
                <w:color w:val="000000"/>
                <w:sz w:val="18"/>
                <w:szCs w:val="18"/>
                <w:lang w:eastAsia="nl-NL"/>
              </w:rPr>
              <w:t>GeneBank</w:t>
            </w:r>
            <w:proofErr w:type="spellEnd"/>
            <w:r w:rsidRPr="000A6F45">
              <w:rPr>
                <w:rFonts w:cs="Arial"/>
                <w:color w:val="000000"/>
                <w:sz w:val="18"/>
                <w:szCs w:val="18"/>
                <w:lang w:eastAsia="nl-NL"/>
              </w:rPr>
              <w:t>)</w:t>
            </w:r>
          </w:p>
        </w:tc>
      </w:tr>
      <w:tr w:rsidR="00550FF9" w:rsidRPr="000A6F45" w14:paraId="042FCC68" w14:textId="77777777" w:rsidTr="009F5259">
        <w:trPr>
          <w:gridAfter w:val="1"/>
          <w:wAfter w:w="80" w:type="pct"/>
          <w:cantSplit/>
          <w:trHeight w:val="765"/>
        </w:trPr>
        <w:tc>
          <w:tcPr>
            <w:tcW w:w="429" w:type="pct"/>
            <w:vMerge/>
            <w:tcBorders>
              <w:top w:val="nil"/>
              <w:left w:val="single" w:sz="8" w:space="0" w:color="auto"/>
              <w:bottom w:val="single" w:sz="8" w:space="0" w:color="000000"/>
              <w:right w:val="single" w:sz="8" w:space="0" w:color="auto"/>
            </w:tcBorders>
            <w:vAlign w:val="center"/>
            <w:hideMark/>
          </w:tcPr>
          <w:p w14:paraId="5ACFFDD8" w14:textId="77777777" w:rsidR="00550FF9" w:rsidRPr="000A6F45" w:rsidRDefault="00550FF9" w:rsidP="00550FF9">
            <w:pPr>
              <w:keepNext/>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84A305E" w14:textId="77777777" w:rsidR="00550FF9" w:rsidRPr="000A6F45" w:rsidRDefault="00550FF9" w:rsidP="00550FF9">
            <w:pPr>
              <w:keepNext/>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512E6B60" w14:textId="77777777" w:rsidR="00550FF9" w:rsidRPr="000A6F45" w:rsidRDefault="00550FF9" w:rsidP="00550FF9">
            <w:pPr>
              <w:keepNext/>
              <w:jc w:val="left"/>
              <w:rPr>
                <w:rFonts w:cs="Arial"/>
                <w:color w:val="000000"/>
                <w:sz w:val="18"/>
                <w:szCs w:val="18"/>
                <w:lang w:eastAsia="fr-FR"/>
              </w:rPr>
            </w:pPr>
            <w:r w:rsidRPr="000A6F45">
              <w:rPr>
                <w:rFonts w:cs="Arial"/>
                <w:color w:val="000000"/>
                <w:sz w:val="18"/>
                <w:szCs w:val="18"/>
                <w:lang w:eastAsia="nl-NL"/>
              </w:rPr>
              <w:t> </w:t>
            </w:r>
          </w:p>
        </w:tc>
        <w:tc>
          <w:tcPr>
            <w:tcW w:w="568" w:type="pct"/>
            <w:vMerge/>
            <w:tcBorders>
              <w:top w:val="nil"/>
              <w:left w:val="single" w:sz="8" w:space="0" w:color="auto"/>
              <w:bottom w:val="single" w:sz="8" w:space="0" w:color="000000"/>
              <w:right w:val="single" w:sz="8" w:space="0" w:color="auto"/>
            </w:tcBorders>
            <w:vAlign w:val="center"/>
            <w:hideMark/>
          </w:tcPr>
          <w:p w14:paraId="7CDA2AFF" w14:textId="77777777" w:rsidR="00550FF9" w:rsidRPr="000A6F45" w:rsidRDefault="00550FF9" w:rsidP="00550FF9">
            <w:pPr>
              <w:keepNext/>
              <w:jc w:val="left"/>
              <w:rPr>
                <w:rFonts w:cs="Arial"/>
                <w:color w:val="000000"/>
                <w:sz w:val="18"/>
                <w:szCs w:val="18"/>
                <w:lang w:eastAsia="fr-FR"/>
              </w:rPr>
            </w:pPr>
          </w:p>
        </w:tc>
        <w:tc>
          <w:tcPr>
            <w:tcW w:w="1919" w:type="pct"/>
            <w:tcBorders>
              <w:top w:val="nil"/>
              <w:left w:val="nil"/>
              <w:bottom w:val="nil"/>
              <w:right w:val="single" w:sz="8" w:space="0" w:color="auto"/>
            </w:tcBorders>
            <w:shd w:val="clear" w:color="auto" w:fill="auto"/>
            <w:vAlign w:val="center"/>
            <w:hideMark/>
          </w:tcPr>
          <w:p w14:paraId="58B072C5" w14:textId="77777777" w:rsidR="00E33CFC" w:rsidRPr="000A6F45" w:rsidRDefault="00044CA4">
            <w:pPr>
              <w:keepNext/>
              <w:jc w:val="left"/>
              <w:rPr>
                <w:rFonts w:cs="Arial"/>
                <w:color w:val="000000"/>
                <w:sz w:val="18"/>
                <w:szCs w:val="18"/>
                <w:lang w:eastAsia="fr-FR"/>
              </w:rPr>
            </w:pPr>
            <w:r w:rsidRPr="000A6F45">
              <w:rPr>
                <w:rFonts w:cs="Arial"/>
                <w:color w:val="000000"/>
                <w:sz w:val="18"/>
                <w:szCs w:val="18"/>
                <w:lang w:eastAsia="nl-NL"/>
              </w:rPr>
              <w:t>c) referencia a publicaciones (científicas) en las que se revele la información de la secuencia de ADN de los niveles de expresión del carácter.</w:t>
            </w:r>
          </w:p>
        </w:tc>
      </w:tr>
      <w:tr w:rsidR="00550FF9" w:rsidRPr="000A6F45" w14:paraId="266839BB" w14:textId="77777777" w:rsidTr="009F5259">
        <w:trPr>
          <w:gridAfter w:val="1"/>
          <w:wAfter w:w="80" w:type="pct"/>
          <w:cantSplit/>
          <w:trHeight w:val="1035"/>
        </w:trPr>
        <w:tc>
          <w:tcPr>
            <w:tcW w:w="429" w:type="pct"/>
            <w:vMerge/>
            <w:tcBorders>
              <w:top w:val="nil"/>
              <w:left w:val="single" w:sz="8" w:space="0" w:color="auto"/>
              <w:bottom w:val="single" w:sz="8" w:space="0" w:color="000000"/>
              <w:right w:val="single" w:sz="8" w:space="0" w:color="auto"/>
            </w:tcBorders>
            <w:vAlign w:val="center"/>
            <w:hideMark/>
          </w:tcPr>
          <w:p w14:paraId="38C16748"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EA40327"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2519F2BE"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fr-FR"/>
              </w:rPr>
              <w:t> </w:t>
            </w:r>
          </w:p>
        </w:tc>
        <w:tc>
          <w:tcPr>
            <w:tcW w:w="568" w:type="pct"/>
            <w:vMerge/>
            <w:tcBorders>
              <w:top w:val="nil"/>
              <w:left w:val="single" w:sz="8" w:space="0" w:color="auto"/>
              <w:bottom w:val="single" w:sz="8" w:space="0" w:color="000000"/>
              <w:right w:val="single" w:sz="8" w:space="0" w:color="auto"/>
            </w:tcBorders>
            <w:vAlign w:val="center"/>
            <w:hideMark/>
          </w:tcPr>
          <w:p w14:paraId="6F823B5C"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single" w:sz="8" w:space="0" w:color="auto"/>
              <w:right w:val="single" w:sz="8" w:space="0" w:color="auto"/>
            </w:tcBorders>
            <w:shd w:val="clear" w:color="auto" w:fill="auto"/>
            <w:vAlign w:val="center"/>
            <w:hideMark/>
          </w:tcPr>
          <w:p w14:paraId="722C3E8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 referencia a una posición concreta en la versión publicada del genoma de referencia en combinación con el SNP o INDEL responsable del estado de expresión.</w:t>
            </w:r>
          </w:p>
        </w:tc>
      </w:tr>
      <w:tr w:rsidR="00550FF9" w:rsidRPr="000A6F45" w14:paraId="357052AC" w14:textId="77777777" w:rsidTr="009F5259">
        <w:trPr>
          <w:gridAfter w:val="1"/>
          <w:wAfter w:w="80" w:type="pct"/>
          <w:cantSplit/>
          <w:trHeight w:val="780"/>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077B8FA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3</w:t>
            </w:r>
          </w:p>
        </w:tc>
        <w:tc>
          <w:tcPr>
            <w:tcW w:w="788" w:type="pct"/>
            <w:tcBorders>
              <w:top w:val="nil"/>
              <w:left w:val="nil"/>
              <w:bottom w:val="single" w:sz="8" w:space="0" w:color="auto"/>
              <w:right w:val="single" w:sz="8" w:space="0" w:color="auto"/>
            </w:tcBorders>
            <w:shd w:val="clear" w:color="auto" w:fill="auto"/>
            <w:vAlign w:val="center"/>
            <w:hideMark/>
          </w:tcPr>
          <w:p w14:paraId="2A43CA66"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Cebadores (y sondas)</w:t>
            </w:r>
          </w:p>
        </w:tc>
        <w:tc>
          <w:tcPr>
            <w:tcW w:w="1216" w:type="pct"/>
            <w:tcBorders>
              <w:top w:val="nil"/>
              <w:left w:val="nil"/>
              <w:bottom w:val="single" w:sz="8" w:space="0" w:color="auto"/>
              <w:right w:val="single" w:sz="8" w:space="0" w:color="auto"/>
            </w:tcBorders>
            <w:shd w:val="clear" w:color="auto" w:fill="auto"/>
            <w:vAlign w:val="center"/>
            <w:hideMark/>
          </w:tcPr>
          <w:p w14:paraId="05B869C6" w14:textId="77777777" w:rsidR="00E33CFC" w:rsidRPr="000A6F45" w:rsidRDefault="00044CA4">
            <w:pPr>
              <w:jc w:val="left"/>
              <w:rPr>
                <w:rFonts w:cs="Arial"/>
                <w:i/>
                <w:iCs/>
                <w:color w:val="000000"/>
                <w:sz w:val="18"/>
                <w:szCs w:val="18"/>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 marcadores de ADN añadir 3, 3.1 y 3.2</w:t>
            </w:r>
          </w:p>
        </w:tc>
        <w:tc>
          <w:tcPr>
            <w:tcW w:w="568" w:type="pct"/>
            <w:tcBorders>
              <w:top w:val="nil"/>
              <w:left w:val="nil"/>
              <w:bottom w:val="single" w:sz="8" w:space="0" w:color="auto"/>
              <w:right w:val="single" w:sz="8" w:space="0" w:color="auto"/>
            </w:tcBorders>
            <w:shd w:val="clear" w:color="auto" w:fill="auto"/>
            <w:vAlign w:val="center"/>
            <w:hideMark/>
          </w:tcPr>
          <w:p w14:paraId="0EBE85AF"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3E1B394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Secuencias de cebadores y sondas, referencia a accesiones y secuencias en bases de datos públicas (números </w:t>
            </w:r>
            <w:proofErr w:type="spellStart"/>
            <w:r w:rsidRPr="000A6F45">
              <w:rPr>
                <w:rFonts w:cs="Arial"/>
                <w:color w:val="000000"/>
                <w:sz w:val="18"/>
                <w:szCs w:val="18"/>
                <w:lang w:eastAsia="nl-NL"/>
              </w:rPr>
              <w:t>Genebank</w:t>
            </w:r>
            <w:proofErr w:type="spellEnd"/>
            <w:r w:rsidRPr="000A6F45">
              <w:rPr>
                <w:rFonts w:cs="Arial"/>
                <w:color w:val="000000"/>
                <w:sz w:val="18"/>
                <w:szCs w:val="18"/>
                <w:lang w:eastAsia="nl-NL"/>
              </w:rPr>
              <w:t>), bibliografía</w:t>
            </w:r>
          </w:p>
        </w:tc>
      </w:tr>
      <w:tr w:rsidR="00550FF9" w:rsidRPr="000A6F45" w14:paraId="31E70C65" w14:textId="77777777" w:rsidTr="009F5259">
        <w:trPr>
          <w:gridAfter w:val="1"/>
          <w:wAfter w:w="80" w:type="pct"/>
          <w:cantSplit/>
          <w:trHeight w:val="52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31206514"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3.1</w:t>
            </w:r>
          </w:p>
        </w:tc>
        <w:tc>
          <w:tcPr>
            <w:tcW w:w="788" w:type="pct"/>
            <w:tcBorders>
              <w:top w:val="nil"/>
              <w:left w:val="nil"/>
              <w:bottom w:val="single" w:sz="8" w:space="0" w:color="auto"/>
              <w:right w:val="single" w:sz="8" w:space="0" w:color="auto"/>
            </w:tcBorders>
            <w:shd w:val="clear" w:color="auto" w:fill="auto"/>
            <w:vAlign w:val="center"/>
            <w:hideMark/>
          </w:tcPr>
          <w:p w14:paraId="42D28CE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Cebadores </w:t>
            </w:r>
            <w:r w:rsidRPr="000A6F45">
              <w:rPr>
                <w:rFonts w:cs="Arial"/>
                <w:color w:val="000000"/>
                <w:sz w:val="18"/>
                <w:szCs w:val="18"/>
                <w:highlight w:val="lightGray"/>
                <w:lang w:eastAsia="nl-NL"/>
              </w:rPr>
              <w:t xml:space="preserve">(y sondas) </w:t>
            </w:r>
            <w:r w:rsidRPr="000A6F45">
              <w:rPr>
                <w:rFonts w:cs="Arial"/>
                <w:color w:val="000000"/>
                <w:sz w:val="18"/>
                <w:szCs w:val="18"/>
                <w:lang w:eastAsia="nl-NL"/>
              </w:rPr>
              <w:t>para detectar el alelo "9</w:t>
            </w:r>
          </w:p>
        </w:tc>
        <w:tc>
          <w:tcPr>
            <w:tcW w:w="1216" w:type="pct"/>
            <w:tcBorders>
              <w:top w:val="nil"/>
              <w:left w:val="nil"/>
              <w:bottom w:val="single" w:sz="8" w:space="0" w:color="auto"/>
              <w:right w:val="single" w:sz="8" w:space="0" w:color="auto"/>
            </w:tcBorders>
            <w:shd w:val="clear" w:color="auto" w:fill="auto"/>
            <w:vAlign w:val="center"/>
            <w:hideMark/>
          </w:tcPr>
          <w:p w14:paraId="22735AB3"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568" w:type="pct"/>
            <w:tcBorders>
              <w:top w:val="nil"/>
              <w:left w:val="nil"/>
              <w:bottom w:val="single" w:sz="8" w:space="0" w:color="auto"/>
              <w:right w:val="single" w:sz="8" w:space="0" w:color="auto"/>
            </w:tcBorders>
            <w:shd w:val="clear" w:color="auto" w:fill="auto"/>
            <w:vAlign w:val="center"/>
            <w:hideMark/>
          </w:tcPr>
          <w:p w14:paraId="3E6B3907"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32779DA2"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Primer Secuencias correspondientes a alelo(s) para la expresión "9" (resistencia)</w:t>
            </w:r>
          </w:p>
        </w:tc>
      </w:tr>
      <w:tr w:rsidR="00550FF9" w:rsidRPr="000A6F45" w14:paraId="15896E24" w14:textId="77777777" w:rsidTr="009F5259">
        <w:trPr>
          <w:gridAfter w:val="1"/>
          <w:wAfter w:w="80" w:type="pct"/>
          <w:cantSplit/>
          <w:trHeight w:val="52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07D34F8B"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3.2</w:t>
            </w:r>
          </w:p>
        </w:tc>
        <w:tc>
          <w:tcPr>
            <w:tcW w:w="788" w:type="pct"/>
            <w:tcBorders>
              <w:top w:val="nil"/>
              <w:left w:val="nil"/>
              <w:bottom w:val="single" w:sz="8" w:space="0" w:color="auto"/>
              <w:right w:val="single" w:sz="8" w:space="0" w:color="auto"/>
            </w:tcBorders>
            <w:shd w:val="clear" w:color="auto" w:fill="auto"/>
            <w:vAlign w:val="center"/>
            <w:hideMark/>
          </w:tcPr>
          <w:p w14:paraId="509F3A99"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Cebadores </w:t>
            </w:r>
            <w:r w:rsidRPr="000A6F45">
              <w:rPr>
                <w:rFonts w:cs="Arial"/>
                <w:color w:val="000000"/>
                <w:sz w:val="18"/>
                <w:szCs w:val="18"/>
                <w:highlight w:val="lightGray"/>
                <w:lang w:eastAsia="nl-NL"/>
              </w:rPr>
              <w:t xml:space="preserve">(y sondas) </w:t>
            </w:r>
            <w:r w:rsidRPr="000A6F45">
              <w:rPr>
                <w:rFonts w:cs="Arial"/>
                <w:color w:val="000000"/>
                <w:sz w:val="18"/>
                <w:szCs w:val="18"/>
                <w:lang w:eastAsia="nl-NL"/>
              </w:rPr>
              <w:t>para detectar el alelo "1</w:t>
            </w:r>
          </w:p>
        </w:tc>
        <w:tc>
          <w:tcPr>
            <w:tcW w:w="1216" w:type="pct"/>
            <w:tcBorders>
              <w:top w:val="nil"/>
              <w:left w:val="nil"/>
              <w:bottom w:val="single" w:sz="8" w:space="0" w:color="auto"/>
              <w:right w:val="single" w:sz="8" w:space="0" w:color="auto"/>
            </w:tcBorders>
            <w:shd w:val="clear" w:color="auto" w:fill="auto"/>
            <w:vAlign w:val="center"/>
            <w:hideMark/>
          </w:tcPr>
          <w:p w14:paraId="0797D4C7"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568" w:type="pct"/>
            <w:tcBorders>
              <w:top w:val="nil"/>
              <w:left w:val="nil"/>
              <w:bottom w:val="single" w:sz="8" w:space="0" w:color="auto"/>
              <w:right w:val="single" w:sz="8" w:space="0" w:color="auto"/>
            </w:tcBorders>
            <w:shd w:val="clear" w:color="auto" w:fill="auto"/>
            <w:vAlign w:val="center"/>
            <w:hideMark/>
          </w:tcPr>
          <w:p w14:paraId="66CA9DE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06195974"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Primer Secuencias correspondientes a alelo(s) para la expresión "1" (susceptibilidad)</w:t>
            </w:r>
          </w:p>
        </w:tc>
      </w:tr>
      <w:tr w:rsidR="00550FF9" w:rsidRPr="000A6F45" w14:paraId="51C42752" w14:textId="77777777" w:rsidTr="009F5259">
        <w:trPr>
          <w:gridAfter w:val="1"/>
          <w:wAfter w:w="80" w:type="pct"/>
          <w:cantSplit/>
          <w:trHeight w:val="52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54531AF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lastRenderedPageBreak/>
              <w:t>3.3</w:t>
            </w:r>
          </w:p>
        </w:tc>
        <w:tc>
          <w:tcPr>
            <w:tcW w:w="788" w:type="pct"/>
            <w:tcBorders>
              <w:top w:val="nil"/>
              <w:left w:val="nil"/>
              <w:bottom w:val="single" w:sz="8" w:space="0" w:color="auto"/>
              <w:right w:val="single" w:sz="8" w:space="0" w:color="auto"/>
            </w:tcBorders>
            <w:shd w:val="clear" w:color="auto" w:fill="auto"/>
            <w:vAlign w:val="center"/>
            <w:hideMark/>
          </w:tcPr>
          <w:p w14:paraId="133F59CB"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Cebadores (</w:t>
            </w:r>
            <w:r w:rsidRPr="000A6F45">
              <w:rPr>
                <w:rFonts w:cs="Arial"/>
                <w:color w:val="000000"/>
                <w:sz w:val="18"/>
                <w:szCs w:val="18"/>
                <w:highlight w:val="lightGray"/>
                <w:lang w:eastAsia="nl-NL"/>
              </w:rPr>
              <w:t xml:space="preserve">y sondas) </w:t>
            </w:r>
            <w:r w:rsidRPr="000A6F45">
              <w:rPr>
                <w:rFonts w:cs="Arial"/>
                <w:color w:val="000000"/>
                <w:sz w:val="18"/>
                <w:szCs w:val="18"/>
                <w:lang w:eastAsia="nl-NL"/>
              </w:rPr>
              <w:t>para detectar el alelo "x</w:t>
            </w:r>
          </w:p>
        </w:tc>
        <w:tc>
          <w:tcPr>
            <w:tcW w:w="1216" w:type="pct"/>
            <w:tcBorders>
              <w:top w:val="nil"/>
              <w:left w:val="nil"/>
              <w:bottom w:val="single" w:sz="8" w:space="0" w:color="auto"/>
              <w:right w:val="single" w:sz="8" w:space="0" w:color="auto"/>
            </w:tcBorders>
            <w:shd w:val="clear" w:color="auto" w:fill="auto"/>
            <w:vAlign w:val="center"/>
            <w:hideMark/>
          </w:tcPr>
          <w:p w14:paraId="00647A38"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568" w:type="pct"/>
            <w:tcBorders>
              <w:top w:val="nil"/>
              <w:left w:val="nil"/>
              <w:bottom w:val="single" w:sz="8" w:space="0" w:color="auto"/>
              <w:right w:val="single" w:sz="8" w:space="0" w:color="auto"/>
            </w:tcBorders>
            <w:shd w:val="clear" w:color="auto" w:fill="auto"/>
            <w:vAlign w:val="center"/>
            <w:hideMark/>
          </w:tcPr>
          <w:p w14:paraId="29B17609"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1809F9E3"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Primer Secuencias correspondientes a los alelos de la expresión "x </w:t>
            </w:r>
          </w:p>
        </w:tc>
      </w:tr>
      <w:tr w:rsidR="00550FF9" w:rsidRPr="000A6F45" w14:paraId="6938909A" w14:textId="77777777" w:rsidTr="009F5259">
        <w:trPr>
          <w:gridAfter w:val="1"/>
          <w:wAfter w:w="80" w:type="pct"/>
          <w:cantSplit/>
          <w:trHeight w:val="31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6D2554EB"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4</w:t>
            </w:r>
          </w:p>
        </w:tc>
        <w:tc>
          <w:tcPr>
            <w:tcW w:w="788" w:type="pct"/>
            <w:tcBorders>
              <w:top w:val="nil"/>
              <w:left w:val="nil"/>
              <w:bottom w:val="single" w:sz="8" w:space="0" w:color="auto"/>
              <w:right w:val="single" w:sz="8" w:space="0" w:color="auto"/>
            </w:tcBorders>
            <w:shd w:val="clear" w:color="auto" w:fill="auto"/>
            <w:vAlign w:val="center"/>
            <w:hideMark/>
          </w:tcPr>
          <w:p w14:paraId="4C37BD4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Formato de la prueba</w:t>
            </w:r>
          </w:p>
        </w:tc>
        <w:tc>
          <w:tcPr>
            <w:tcW w:w="1216" w:type="pct"/>
            <w:tcBorders>
              <w:top w:val="nil"/>
              <w:left w:val="nil"/>
              <w:bottom w:val="single" w:sz="8" w:space="0" w:color="auto"/>
              <w:right w:val="single" w:sz="8" w:space="0" w:color="auto"/>
            </w:tcBorders>
            <w:shd w:val="clear" w:color="auto" w:fill="auto"/>
            <w:vAlign w:val="center"/>
            <w:hideMark/>
          </w:tcPr>
          <w:p w14:paraId="1165E541"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568" w:type="pct"/>
            <w:tcBorders>
              <w:top w:val="nil"/>
              <w:left w:val="nil"/>
              <w:bottom w:val="single" w:sz="8" w:space="0" w:color="auto"/>
              <w:right w:val="single" w:sz="8" w:space="0" w:color="auto"/>
            </w:tcBorders>
            <w:shd w:val="clear" w:color="auto" w:fill="auto"/>
            <w:vAlign w:val="center"/>
            <w:hideMark/>
          </w:tcPr>
          <w:p w14:paraId="0D189D86"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c>
          <w:tcPr>
            <w:tcW w:w="1919" w:type="pct"/>
            <w:tcBorders>
              <w:top w:val="nil"/>
              <w:left w:val="nil"/>
              <w:bottom w:val="single" w:sz="8" w:space="0" w:color="auto"/>
              <w:right w:val="single" w:sz="8" w:space="0" w:color="auto"/>
            </w:tcBorders>
            <w:shd w:val="clear" w:color="auto" w:fill="auto"/>
            <w:vAlign w:val="center"/>
            <w:hideMark/>
          </w:tcPr>
          <w:p w14:paraId="045FC5EC" w14:textId="77777777" w:rsidR="00550FF9" w:rsidRPr="000A6F45" w:rsidRDefault="00550FF9" w:rsidP="00550FF9">
            <w:pPr>
              <w:jc w:val="left"/>
              <w:rPr>
                <w:rFonts w:cs="Arial"/>
                <w:color w:val="000000"/>
                <w:sz w:val="18"/>
                <w:szCs w:val="18"/>
                <w:lang w:eastAsia="fr-FR"/>
              </w:rPr>
            </w:pPr>
            <w:r w:rsidRPr="000A6F45">
              <w:rPr>
                <w:rFonts w:cs="Arial"/>
                <w:color w:val="000000"/>
                <w:sz w:val="18"/>
                <w:szCs w:val="18"/>
                <w:lang w:eastAsia="nl-NL"/>
              </w:rPr>
              <w:t> </w:t>
            </w:r>
          </w:p>
        </w:tc>
      </w:tr>
      <w:tr w:rsidR="00550FF9" w:rsidRPr="000A6F45" w14:paraId="48285B39" w14:textId="77777777" w:rsidTr="009F5259">
        <w:trPr>
          <w:gridAfter w:val="1"/>
          <w:wAfter w:w="80" w:type="pct"/>
          <w:cantSplit/>
          <w:trHeight w:val="1725"/>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3A1041A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4.1</w:t>
            </w:r>
          </w:p>
        </w:tc>
        <w:tc>
          <w:tcPr>
            <w:tcW w:w="788" w:type="pct"/>
            <w:tcBorders>
              <w:top w:val="nil"/>
              <w:left w:val="nil"/>
              <w:bottom w:val="single" w:sz="8" w:space="0" w:color="auto"/>
              <w:right w:val="single" w:sz="8" w:space="0" w:color="auto"/>
            </w:tcBorders>
            <w:shd w:val="clear" w:color="auto" w:fill="auto"/>
            <w:vAlign w:val="center"/>
            <w:hideMark/>
          </w:tcPr>
          <w:p w14:paraId="1CB492F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Número de plantas </w:t>
            </w:r>
            <w:r w:rsidRPr="000A6F45">
              <w:rPr>
                <w:rFonts w:cs="Arial"/>
                <w:color w:val="000000"/>
                <w:sz w:val="18"/>
                <w:szCs w:val="18"/>
                <w:highlight w:val="lightGray"/>
                <w:lang w:eastAsia="nl-NL"/>
              </w:rPr>
              <w:t>por genotipo</w:t>
            </w:r>
          </w:p>
        </w:tc>
        <w:tc>
          <w:tcPr>
            <w:tcW w:w="1216" w:type="pct"/>
            <w:tcBorders>
              <w:top w:val="nil"/>
              <w:left w:val="nil"/>
              <w:bottom w:val="single" w:sz="8" w:space="0" w:color="auto"/>
              <w:right w:val="single" w:sz="8" w:space="0" w:color="auto"/>
            </w:tcBorders>
            <w:shd w:val="clear" w:color="auto" w:fill="auto"/>
            <w:vAlign w:val="center"/>
            <w:hideMark/>
          </w:tcPr>
          <w:p w14:paraId="5676F70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&gt;=20</w:t>
            </w:r>
          </w:p>
        </w:tc>
        <w:tc>
          <w:tcPr>
            <w:tcW w:w="568" w:type="pct"/>
            <w:tcBorders>
              <w:top w:val="nil"/>
              <w:left w:val="nil"/>
              <w:bottom w:val="single" w:sz="8" w:space="0" w:color="auto"/>
              <w:right w:val="single" w:sz="8" w:space="0" w:color="auto"/>
            </w:tcBorders>
            <w:shd w:val="clear" w:color="auto" w:fill="auto"/>
            <w:vAlign w:val="center"/>
            <w:hideMark/>
          </w:tcPr>
          <w:p w14:paraId="2CEEC312"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5EBE5DFB"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se requiere un número mínimo de plantas individuales (véase 5.2.1a) el examen del marcador se realiza en el mismo número de plantas individuales, con los mismos criterios de distinción, homogeneidad y estabilidad que para el examen del carácter mediante un ensayo de observación (TGP 15)</w:t>
            </w:r>
          </w:p>
        </w:tc>
      </w:tr>
      <w:tr w:rsidR="00550FF9" w:rsidRPr="000A6F45" w14:paraId="6B99EAA9" w14:textId="77777777" w:rsidTr="009F5259">
        <w:trPr>
          <w:gridAfter w:val="1"/>
          <w:wAfter w:w="80" w:type="pct"/>
          <w:cantSplit/>
          <w:trHeight w:val="3000"/>
        </w:trPr>
        <w:tc>
          <w:tcPr>
            <w:tcW w:w="429" w:type="pct"/>
            <w:tcBorders>
              <w:top w:val="nil"/>
              <w:left w:val="single" w:sz="8" w:space="0" w:color="auto"/>
              <w:bottom w:val="single" w:sz="8" w:space="0" w:color="auto"/>
              <w:right w:val="single" w:sz="8" w:space="0" w:color="auto"/>
            </w:tcBorders>
            <w:shd w:val="clear" w:color="auto" w:fill="auto"/>
            <w:vAlign w:val="center"/>
            <w:hideMark/>
          </w:tcPr>
          <w:p w14:paraId="4F4068E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4.2</w:t>
            </w:r>
          </w:p>
        </w:tc>
        <w:tc>
          <w:tcPr>
            <w:tcW w:w="788" w:type="pct"/>
            <w:tcBorders>
              <w:top w:val="nil"/>
              <w:left w:val="nil"/>
              <w:bottom w:val="single" w:sz="8" w:space="0" w:color="auto"/>
              <w:right w:val="single" w:sz="8" w:space="0" w:color="auto"/>
            </w:tcBorders>
            <w:shd w:val="clear" w:color="auto" w:fill="auto"/>
            <w:vAlign w:val="center"/>
            <w:hideMark/>
          </w:tcPr>
          <w:p w14:paraId="750565E4"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Variedades de control</w:t>
            </w:r>
          </w:p>
        </w:tc>
        <w:tc>
          <w:tcPr>
            <w:tcW w:w="1216" w:type="pct"/>
            <w:tcBorders>
              <w:top w:val="nil"/>
              <w:left w:val="nil"/>
              <w:bottom w:val="single" w:sz="8" w:space="0" w:color="auto"/>
              <w:right w:val="single" w:sz="8" w:space="0" w:color="auto"/>
            </w:tcBorders>
            <w:shd w:val="clear" w:color="auto" w:fill="auto"/>
            <w:vAlign w:val="center"/>
            <w:hideMark/>
          </w:tcPr>
          <w:p w14:paraId="6B22E552" w14:textId="77777777" w:rsidR="00E33CFC" w:rsidRPr="000A6F45" w:rsidRDefault="00044CA4">
            <w:pPr>
              <w:jc w:val="left"/>
              <w:rPr>
                <w:rFonts w:cs="Arial"/>
                <w:i/>
                <w:iCs/>
                <w:color w:val="000000"/>
                <w:sz w:val="18"/>
                <w:szCs w:val="18"/>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 marcadores de ADN añadir 4.2</w:t>
            </w:r>
          </w:p>
        </w:tc>
        <w:tc>
          <w:tcPr>
            <w:tcW w:w="568" w:type="pct"/>
            <w:tcBorders>
              <w:top w:val="nil"/>
              <w:left w:val="nil"/>
              <w:bottom w:val="single" w:sz="8" w:space="0" w:color="auto"/>
              <w:right w:val="single" w:sz="8" w:space="0" w:color="auto"/>
            </w:tcBorders>
            <w:shd w:val="clear" w:color="auto" w:fill="auto"/>
            <w:vAlign w:val="center"/>
            <w:hideMark/>
          </w:tcPr>
          <w:p w14:paraId="34C4609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SÍ</w:t>
            </w:r>
          </w:p>
        </w:tc>
        <w:tc>
          <w:tcPr>
            <w:tcW w:w="1919" w:type="pct"/>
            <w:tcBorders>
              <w:top w:val="nil"/>
              <w:left w:val="nil"/>
              <w:bottom w:val="single" w:sz="8" w:space="0" w:color="auto"/>
              <w:right w:val="single" w:sz="8" w:space="0" w:color="auto"/>
            </w:tcBorders>
            <w:shd w:val="clear" w:color="auto" w:fill="auto"/>
            <w:vAlign w:val="center"/>
            <w:hideMark/>
          </w:tcPr>
          <w:p w14:paraId="6CBB618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Variedades de control (las mismas que en el ensayo de observación) como patrones que representan todas las combinaciones pertinentes de alelos. Por ejemplo, homocigoto para el alelo correspondiente al estado de expresión 9 (presente), homocigoto para el alelo correspondiente al estado de expresión 1 (susceptible) y heterocigoto (ambos alelos están presentes en un diploide) correspondiente al estado de expresión resistente, susceptible o intermedio (dependiendo de la función del gen; dominante - recesivo). </w:t>
            </w:r>
            <w:r w:rsidRPr="000A6F45">
              <w:rPr>
                <w:rFonts w:cs="Arial"/>
                <w:color w:val="000000"/>
                <w:sz w:val="18"/>
                <w:szCs w:val="18"/>
                <w:highlight w:val="lightGray"/>
                <w:lang w:eastAsia="nl-NL"/>
              </w:rPr>
              <w:t>Pueden utilizarse directamente controles de ADN</w:t>
            </w:r>
            <w:r w:rsidRPr="000A6F45">
              <w:rPr>
                <w:rFonts w:cs="Arial"/>
                <w:color w:val="000000"/>
                <w:sz w:val="18"/>
                <w:szCs w:val="18"/>
                <w:lang w:eastAsia="nl-NL"/>
              </w:rPr>
              <w:t>.</w:t>
            </w:r>
          </w:p>
        </w:tc>
      </w:tr>
      <w:tr w:rsidR="00550FF9" w:rsidRPr="000A6F45" w14:paraId="6C8AAB88" w14:textId="77777777" w:rsidTr="009F5259">
        <w:trPr>
          <w:gridAfter w:val="1"/>
          <w:wAfter w:w="80" w:type="pct"/>
          <w:cantSplit/>
          <w:trHeight w:val="1770"/>
        </w:trPr>
        <w:tc>
          <w:tcPr>
            <w:tcW w:w="429" w:type="pct"/>
            <w:tcBorders>
              <w:top w:val="nil"/>
              <w:left w:val="single" w:sz="8" w:space="0" w:color="auto"/>
              <w:bottom w:val="single" w:sz="8" w:space="0" w:color="auto"/>
              <w:right w:val="single" w:sz="8" w:space="0" w:color="auto"/>
            </w:tcBorders>
            <w:shd w:val="clear" w:color="auto" w:fill="auto"/>
          </w:tcPr>
          <w:p w14:paraId="0ACC353B" w14:textId="77777777" w:rsidR="00E33CFC" w:rsidRPr="000A6F45" w:rsidRDefault="00044CA4">
            <w:pPr>
              <w:jc w:val="left"/>
              <w:rPr>
                <w:rFonts w:cs="Arial"/>
                <w:color w:val="000000"/>
                <w:sz w:val="18"/>
                <w:szCs w:val="18"/>
                <w:lang w:eastAsia="nl-NL"/>
              </w:rPr>
            </w:pPr>
            <w:r w:rsidRPr="000A6F45">
              <w:rPr>
                <w:rFonts w:cs="Arial"/>
                <w:color w:val="000000"/>
                <w:sz w:val="18"/>
                <w:szCs w:val="18"/>
                <w:highlight w:val="lightGray"/>
                <w:lang w:eastAsia="nl-NL"/>
              </w:rPr>
              <w:t>4.3</w:t>
            </w:r>
          </w:p>
        </w:tc>
        <w:tc>
          <w:tcPr>
            <w:tcW w:w="788" w:type="pct"/>
            <w:tcBorders>
              <w:top w:val="nil"/>
              <w:left w:val="nil"/>
              <w:bottom w:val="single" w:sz="8" w:space="0" w:color="auto"/>
              <w:right w:val="single" w:sz="8" w:space="0" w:color="auto"/>
            </w:tcBorders>
            <w:shd w:val="clear" w:color="auto" w:fill="auto"/>
          </w:tcPr>
          <w:p w14:paraId="5722D832" w14:textId="77777777" w:rsidR="00E33CFC" w:rsidRPr="000A6F45" w:rsidRDefault="00044CA4">
            <w:pPr>
              <w:jc w:val="left"/>
              <w:rPr>
                <w:rFonts w:cs="Arial"/>
                <w:color w:val="000000"/>
                <w:sz w:val="18"/>
                <w:szCs w:val="18"/>
                <w:lang w:eastAsia="nl-NL"/>
              </w:rPr>
            </w:pPr>
            <w:r w:rsidRPr="000A6F45">
              <w:rPr>
                <w:rFonts w:cs="Arial"/>
                <w:color w:val="000000"/>
                <w:sz w:val="18"/>
                <w:szCs w:val="18"/>
                <w:highlight w:val="lightGray"/>
                <w:lang w:eastAsia="nl-NL"/>
              </w:rPr>
              <w:t>Controles de procesos</w:t>
            </w:r>
          </w:p>
        </w:tc>
        <w:tc>
          <w:tcPr>
            <w:tcW w:w="1216" w:type="pct"/>
            <w:tcBorders>
              <w:top w:val="nil"/>
              <w:left w:val="nil"/>
              <w:bottom w:val="single" w:sz="8" w:space="0" w:color="auto"/>
              <w:right w:val="single" w:sz="8" w:space="0" w:color="auto"/>
            </w:tcBorders>
            <w:shd w:val="clear" w:color="auto" w:fill="auto"/>
          </w:tcPr>
          <w:p w14:paraId="6ECCE61B" w14:textId="64B3CA94" w:rsidR="00E33CFC" w:rsidRPr="000A6F45" w:rsidRDefault="001D28A3">
            <w:pPr>
              <w:jc w:val="left"/>
              <w:rPr>
                <w:rFonts w:cs="Arial"/>
                <w:i/>
                <w:iCs/>
                <w:color w:val="000000"/>
                <w:sz w:val="18"/>
                <w:szCs w:val="18"/>
                <w:lang w:eastAsia="fr-FR"/>
              </w:rPr>
            </w:pPr>
            <w:r w:rsidRPr="001D28A3">
              <w:rPr>
                <w:rFonts w:cs="Arial"/>
                <w:sz w:val="18"/>
                <w:szCs w:val="18"/>
              </w:rPr>
              <w:t>por ejemplo</w:t>
            </w:r>
            <w:r w:rsidR="00044CA4" w:rsidRPr="000A6F45">
              <w:rPr>
                <w:rFonts w:cs="Arial"/>
                <w:i/>
                <w:iCs/>
                <w:sz w:val="18"/>
                <w:szCs w:val="18"/>
                <w:highlight w:val="lightGray"/>
              </w:rPr>
              <w:t xml:space="preserve">, el tampón utilizado para la extracción; un marcador dirigido al gen </w:t>
            </w:r>
            <w:proofErr w:type="gramStart"/>
            <w:r w:rsidR="00044CA4" w:rsidRPr="000A6F45">
              <w:rPr>
                <w:rFonts w:cs="Arial"/>
                <w:i/>
                <w:iCs/>
                <w:sz w:val="18"/>
                <w:szCs w:val="18"/>
                <w:highlight w:val="lightGray"/>
              </w:rPr>
              <w:t>de la citocromo</w:t>
            </w:r>
            <w:proofErr w:type="gramEnd"/>
            <w:r w:rsidR="00044CA4" w:rsidRPr="000A6F45">
              <w:rPr>
                <w:rFonts w:cs="Arial"/>
                <w:i/>
                <w:iCs/>
                <w:sz w:val="18"/>
                <w:szCs w:val="18"/>
                <w:highlight w:val="lightGray"/>
              </w:rPr>
              <w:t xml:space="preserve"> oxidasa como marcador interno de amplificación</w:t>
            </w:r>
          </w:p>
        </w:tc>
        <w:tc>
          <w:tcPr>
            <w:tcW w:w="568" w:type="pct"/>
            <w:tcBorders>
              <w:top w:val="nil"/>
              <w:left w:val="nil"/>
              <w:bottom w:val="single" w:sz="8" w:space="0" w:color="auto"/>
              <w:right w:val="single" w:sz="8" w:space="0" w:color="auto"/>
            </w:tcBorders>
            <w:shd w:val="clear" w:color="auto" w:fill="auto"/>
          </w:tcPr>
          <w:p w14:paraId="45A481E2"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nl-NL"/>
              </w:rPr>
              <w:t>SÍ</w:t>
            </w:r>
          </w:p>
        </w:tc>
        <w:tc>
          <w:tcPr>
            <w:tcW w:w="1919" w:type="pct"/>
            <w:tcBorders>
              <w:top w:val="nil"/>
              <w:left w:val="nil"/>
              <w:bottom w:val="single" w:sz="8" w:space="0" w:color="auto"/>
              <w:right w:val="single" w:sz="8" w:space="0" w:color="auto"/>
            </w:tcBorders>
            <w:shd w:val="clear" w:color="auto" w:fill="auto"/>
          </w:tcPr>
          <w:p w14:paraId="5317A07B" w14:textId="77777777" w:rsidR="00E33CFC" w:rsidRPr="000A6F45" w:rsidRDefault="00044CA4">
            <w:pPr>
              <w:numPr>
                <w:ilvl w:val="0"/>
                <w:numId w:val="17"/>
              </w:numPr>
              <w:spacing w:after="200" w:line="276" w:lineRule="auto"/>
              <w:contextualSpacing/>
              <w:jc w:val="left"/>
              <w:rPr>
                <w:rFonts w:eastAsia="Calibri" w:cs="Arial"/>
                <w:color w:val="000000"/>
                <w:sz w:val="18"/>
                <w:szCs w:val="18"/>
                <w:highlight w:val="lightGray"/>
                <w:lang w:eastAsia="nl-NL"/>
              </w:rPr>
            </w:pPr>
            <w:r w:rsidRPr="000A6F45">
              <w:rPr>
                <w:rFonts w:eastAsia="Calibri" w:cs="Arial"/>
                <w:color w:val="000000"/>
                <w:sz w:val="18"/>
                <w:szCs w:val="18"/>
                <w:highlight w:val="lightGray"/>
                <w:lang w:eastAsia="nl-NL"/>
              </w:rPr>
              <w:t>Control(es) negativo(s) del proceso</w:t>
            </w:r>
          </w:p>
          <w:p w14:paraId="4C745F4E" w14:textId="77777777" w:rsidR="00E33CFC" w:rsidRPr="000A6F45" w:rsidRDefault="00044CA4">
            <w:pPr>
              <w:numPr>
                <w:ilvl w:val="0"/>
                <w:numId w:val="17"/>
              </w:numPr>
              <w:spacing w:after="200" w:line="276" w:lineRule="auto"/>
              <w:contextualSpacing/>
              <w:jc w:val="left"/>
              <w:rPr>
                <w:rFonts w:eastAsia="Calibri" w:cs="Arial"/>
                <w:color w:val="000000"/>
                <w:sz w:val="18"/>
                <w:szCs w:val="18"/>
                <w:highlight w:val="lightGray"/>
                <w:lang w:eastAsia="nl-NL"/>
              </w:rPr>
            </w:pPr>
            <w:r w:rsidRPr="000A6F45">
              <w:rPr>
                <w:rFonts w:eastAsia="Calibri" w:cs="Arial"/>
                <w:color w:val="000000"/>
                <w:sz w:val="18"/>
                <w:szCs w:val="18"/>
                <w:highlight w:val="lightGray"/>
                <w:lang w:eastAsia="nl-NL"/>
              </w:rPr>
              <w:t>Control(es) positivo(s) de ADN que pueden ser las variedades de control</w:t>
            </w:r>
          </w:p>
          <w:p w14:paraId="27791E43" w14:textId="77777777" w:rsidR="00E33CFC" w:rsidRPr="000A6F45" w:rsidRDefault="00044CA4">
            <w:pPr>
              <w:numPr>
                <w:ilvl w:val="0"/>
                <w:numId w:val="17"/>
              </w:numPr>
              <w:spacing w:after="200" w:line="276" w:lineRule="auto"/>
              <w:contextualSpacing/>
              <w:jc w:val="left"/>
              <w:rPr>
                <w:rFonts w:eastAsia="Calibri" w:cs="Arial"/>
                <w:color w:val="000000"/>
                <w:sz w:val="18"/>
                <w:szCs w:val="18"/>
                <w:highlight w:val="lightGray"/>
                <w:lang w:eastAsia="nl-NL"/>
              </w:rPr>
            </w:pPr>
            <w:r w:rsidRPr="000A6F45">
              <w:rPr>
                <w:rFonts w:eastAsia="Calibri" w:cs="Arial"/>
                <w:color w:val="000000"/>
                <w:sz w:val="18"/>
                <w:szCs w:val="18"/>
                <w:highlight w:val="lightGray"/>
                <w:lang w:eastAsia="nl-NL"/>
              </w:rPr>
              <w:t xml:space="preserve"> Control interno de amplificación en caso de marcador de presencia/ausencia</w:t>
            </w:r>
          </w:p>
        </w:tc>
      </w:tr>
      <w:tr w:rsidR="00550FF9" w:rsidRPr="000A6F45" w14:paraId="1E05FEF0" w14:textId="77777777" w:rsidTr="009F5259">
        <w:trPr>
          <w:gridAfter w:val="1"/>
          <w:wAfter w:w="80" w:type="pct"/>
          <w:cantSplit/>
          <w:trHeight w:val="51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1EE36D4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5</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15E413C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Preparativos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69D7DB70" w14:textId="30F90587" w:rsidR="00E33CFC" w:rsidRPr="000A6F45" w:rsidRDefault="00044CA4">
            <w:pPr>
              <w:jc w:val="left"/>
              <w:rPr>
                <w:rFonts w:cs="Arial"/>
                <w:color w:val="000000"/>
                <w:sz w:val="18"/>
                <w:szCs w:val="18"/>
                <w:lang w:eastAsia="fr-FR"/>
              </w:rPr>
            </w:pPr>
            <w:r w:rsidRPr="000A6F45">
              <w:rPr>
                <w:rFonts w:cs="Arial"/>
                <w:i/>
                <w:color w:val="000000"/>
                <w:sz w:val="18"/>
                <w:szCs w:val="18"/>
                <w:lang w:eastAsia="nl-NL"/>
              </w:rPr>
              <w:t xml:space="preserve"> </w:t>
            </w:r>
            <w:r w:rsidR="001D28A3" w:rsidRPr="001D28A3">
              <w:rPr>
                <w:rFonts w:cs="Arial"/>
                <w:color w:val="000000"/>
                <w:sz w:val="18"/>
                <w:szCs w:val="18"/>
                <w:lang w:eastAsia="nl-NL"/>
              </w:rPr>
              <w:t>Por ejemplo</w:t>
            </w:r>
            <w:r w:rsidRPr="000A6F45">
              <w:rPr>
                <w:rFonts w:cs="Arial"/>
                <w:i/>
                <w:color w:val="000000"/>
                <w:sz w:val="18"/>
                <w:szCs w:val="18"/>
                <w:lang w:eastAsia="nl-NL"/>
              </w:rPr>
              <w:t xml:space="preserve">, </w:t>
            </w:r>
            <w:r w:rsidRPr="000A6F45">
              <w:rPr>
                <w:rFonts w:cs="Arial"/>
                <w:color w:val="000000"/>
                <w:sz w:val="18"/>
                <w:szCs w:val="18"/>
                <w:lang w:eastAsia="nl-NL"/>
              </w:rPr>
              <w:t>muestreo de plántulas de 4 días seguido de extracción de ADN mediante el método CTAB</w:t>
            </w:r>
            <w:r w:rsidRPr="000A6F45">
              <w:rPr>
                <w:rFonts w:cs="Arial"/>
                <w:i/>
                <w:color w:val="000000"/>
                <w:sz w:val="18"/>
                <w:szCs w:val="18"/>
                <w:lang w:eastAsia="nl-NL"/>
              </w:rPr>
              <w:t>.</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190A343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NO</w:t>
            </w:r>
          </w:p>
        </w:tc>
        <w:tc>
          <w:tcPr>
            <w:tcW w:w="1919" w:type="pct"/>
            <w:tcBorders>
              <w:top w:val="nil"/>
              <w:left w:val="nil"/>
              <w:bottom w:val="nil"/>
              <w:right w:val="single" w:sz="8" w:space="0" w:color="auto"/>
            </w:tcBorders>
            <w:shd w:val="clear" w:color="auto" w:fill="auto"/>
            <w:vAlign w:val="center"/>
            <w:hideMark/>
          </w:tcPr>
          <w:p w14:paraId="3782550F"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Depende del método utilizado. No figura en las directrices de ensayo. Pueden facilitarse protocolos detallados como ejemplo en el anexo o solicitarse al instituto que desarrolló el marcador.</w:t>
            </w:r>
          </w:p>
        </w:tc>
      </w:tr>
      <w:tr w:rsidR="00550FF9" w:rsidRPr="000A6F45" w14:paraId="453D230C" w14:textId="77777777" w:rsidTr="009F5259">
        <w:trPr>
          <w:gridAfter w:val="1"/>
          <w:wAfter w:w="80" w:type="pct"/>
          <w:cantSplit/>
          <w:trHeight w:val="50"/>
        </w:trPr>
        <w:tc>
          <w:tcPr>
            <w:tcW w:w="429" w:type="pct"/>
            <w:vMerge/>
            <w:tcBorders>
              <w:top w:val="nil"/>
              <w:left w:val="single" w:sz="8" w:space="0" w:color="auto"/>
              <w:bottom w:val="single" w:sz="8" w:space="0" w:color="000000"/>
              <w:right w:val="single" w:sz="8" w:space="0" w:color="auto"/>
            </w:tcBorders>
            <w:vAlign w:val="center"/>
            <w:hideMark/>
          </w:tcPr>
          <w:p w14:paraId="6711F289"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36925833" w14:textId="77777777" w:rsidR="00550FF9" w:rsidRPr="000A6F45"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274E5B9E" w14:textId="77777777" w:rsidR="00550FF9" w:rsidRPr="000A6F45" w:rsidRDefault="00550FF9" w:rsidP="00550FF9">
            <w:pPr>
              <w:jc w:val="left"/>
              <w:rPr>
                <w:rFonts w:cs="Arial"/>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vAlign w:val="center"/>
            <w:hideMark/>
          </w:tcPr>
          <w:p w14:paraId="041D93FE" w14:textId="77777777" w:rsidR="00550FF9" w:rsidRPr="000A6F45" w:rsidRDefault="00550FF9" w:rsidP="00550FF9">
            <w:pPr>
              <w:jc w:val="left"/>
              <w:rPr>
                <w:rFonts w:cs="Arial"/>
                <w:color w:val="000000"/>
                <w:sz w:val="18"/>
                <w:szCs w:val="18"/>
                <w:lang w:eastAsia="fr-FR"/>
              </w:rPr>
            </w:pPr>
          </w:p>
        </w:tc>
        <w:tc>
          <w:tcPr>
            <w:tcW w:w="1919" w:type="pct"/>
            <w:tcBorders>
              <w:top w:val="nil"/>
              <w:left w:val="nil"/>
              <w:bottom w:val="single" w:sz="8" w:space="0" w:color="auto"/>
              <w:right w:val="single" w:sz="8" w:space="0" w:color="auto"/>
            </w:tcBorders>
            <w:shd w:val="clear" w:color="auto" w:fill="auto"/>
            <w:vAlign w:val="center"/>
            <w:hideMark/>
          </w:tcPr>
          <w:p w14:paraId="7DC337B5" w14:textId="77777777" w:rsidR="00550FF9" w:rsidRPr="000A6F45" w:rsidRDefault="00550FF9" w:rsidP="00550FF9">
            <w:pPr>
              <w:jc w:val="left"/>
              <w:rPr>
                <w:rFonts w:cs="Arial"/>
                <w:color w:val="000000"/>
                <w:sz w:val="18"/>
                <w:szCs w:val="18"/>
                <w:lang w:eastAsia="fr-FR"/>
              </w:rPr>
            </w:pPr>
          </w:p>
        </w:tc>
      </w:tr>
      <w:tr w:rsidR="00550FF9" w:rsidRPr="000A6F45" w14:paraId="07220DC3" w14:textId="77777777" w:rsidTr="009F5259">
        <w:trPr>
          <w:gridAfter w:val="1"/>
          <w:wAfter w:w="80" w:type="pct"/>
          <w:cantSplit/>
          <w:trHeight w:val="51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55766CC8"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6</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3B38244D" w14:textId="77777777" w:rsidR="00E33CFC" w:rsidRPr="000A6F45" w:rsidRDefault="00044CA4">
            <w:pPr>
              <w:jc w:val="left"/>
              <w:rPr>
                <w:rFonts w:cs="Arial"/>
                <w:color w:val="000000"/>
                <w:sz w:val="18"/>
                <w:szCs w:val="18"/>
                <w:lang w:eastAsia="fr-FR"/>
              </w:rPr>
            </w:pPr>
            <w:r w:rsidRPr="000A6F45">
              <w:rPr>
                <w:rFonts w:cs="Arial"/>
                <w:strike/>
                <w:color w:val="000000"/>
                <w:sz w:val="18"/>
                <w:szCs w:val="18"/>
                <w:highlight w:val="lightGray"/>
                <w:lang w:eastAsia="nl-NL"/>
              </w:rPr>
              <w:t xml:space="preserve">Rendimiento o </w:t>
            </w:r>
            <w:r w:rsidRPr="000A6F45">
              <w:rPr>
                <w:rFonts w:cs="Arial"/>
                <w:color w:val="000000"/>
                <w:sz w:val="18"/>
                <w:szCs w:val="18"/>
                <w:lang w:eastAsia="nl-NL"/>
              </w:rPr>
              <w:t>técnica del método</w:t>
            </w:r>
          </w:p>
        </w:tc>
        <w:tc>
          <w:tcPr>
            <w:tcW w:w="1216" w:type="pct"/>
            <w:tcBorders>
              <w:top w:val="nil"/>
              <w:left w:val="nil"/>
              <w:bottom w:val="nil"/>
              <w:right w:val="single" w:sz="8" w:space="0" w:color="auto"/>
            </w:tcBorders>
            <w:shd w:val="clear" w:color="auto" w:fill="auto"/>
            <w:vAlign w:val="center"/>
            <w:hideMark/>
          </w:tcPr>
          <w:p w14:paraId="73D56A2C" w14:textId="65C5A7C1" w:rsidR="00E33CFC" w:rsidRPr="000A6F45" w:rsidRDefault="001D28A3">
            <w:pPr>
              <w:jc w:val="left"/>
              <w:rPr>
                <w:rFonts w:cs="Arial"/>
                <w:color w:val="000000"/>
                <w:sz w:val="18"/>
                <w:szCs w:val="18"/>
                <w:lang w:eastAsia="fr-FR"/>
              </w:rPr>
            </w:pPr>
            <w:r w:rsidRPr="001D28A3">
              <w:rPr>
                <w:rFonts w:cs="Arial"/>
                <w:color w:val="000000"/>
                <w:sz w:val="18"/>
                <w:szCs w:val="18"/>
                <w:lang w:eastAsia="nl-NL"/>
              </w:rPr>
              <w:t>por ejemplo</w:t>
            </w:r>
            <w:r w:rsidR="00044CA4" w:rsidRPr="000A6F45">
              <w:rPr>
                <w:rFonts w:cs="Arial"/>
                <w:i/>
                <w:color w:val="000000"/>
                <w:sz w:val="18"/>
                <w:szCs w:val="18"/>
                <w:lang w:eastAsia="nl-NL"/>
              </w:rPr>
              <w:t xml:space="preserve">, </w:t>
            </w:r>
            <w:r w:rsidR="00044CA4" w:rsidRPr="000A6F45">
              <w:rPr>
                <w:rFonts w:cs="Arial"/>
                <w:color w:val="000000"/>
                <w:sz w:val="18"/>
                <w:szCs w:val="18"/>
                <w:lang w:eastAsia="nl-NL"/>
              </w:rPr>
              <w:t xml:space="preserve">PCR convencional, TETRA-ARMS, </w:t>
            </w:r>
            <w:proofErr w:type="spellStart"/>
            <w:r w:rsidR="00044CA4" w:rsidRPr="000A6F45">
              <w:rPr>
                <w:rFonts w:cs="Arial"/>
                <w:color w:val="000000"/>
                <w:sz w:val="18"/>
                <w:szCs w:val="18"/>
                <w:lang w:eastAsia="nl-NL"/>
              </w:rPr>
              <w:t>qPCR</w:t>
            </w:r>
            <w:proofErr w:type="spellEnd"/>
            <w:r w:rsidR="00044CA4" w:rsidRPr="000A6F45">
              <w:rPr>
                <w:rFonts w:cs="Arial"/>
                <w:color w:val="000000"/>
                <w:sz w:val="18"/>
                <w:szCs w:val="18"/>
                <w:lang w:eastAsia="nl-NL"/>
              </w:rPr>
              <w:t xml:space="preserve">, KASP, secuenciación de </w:t>
            </w:r>
            <w:proofErr w:type="spellStart"/>
            <w:r w:rsidR="00044CA4" w:rsidRPr="000A6F45">
              <w:rPr>
                <w:rFonts w:cs="Arial"/>
                <w:color w:val="000000"/>
                <w:sz w:val="18"/>
                <w:szCs w:val="18"/>
                <w:lang w:eastAsia="nl-NL"/>
              </w:rPr>
              <w:t>amplicones</w:t>
            </w:r>
            <w:proofErr w:type="spellEnd"/>
            <w:r w:rsidR="00044CA4" w:rsidRPr="000A6F45">
              <w:rPr>
                <w:rFonts w:cs="Arial"/>
                <w:color w:val="000000"/>
                <w:sz w:val="18"/>
                <w:szCs w:val="18"/>
                <w:lang w:eastAsia="nl-NL"/>
              </w:rPr>
              <w:t xml:space="preserve"> </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5D570FC5" w14:textId="77777777" w:rsidR="00E33CFC" w:rsidRPr="000A6F45" w:rsidRDefault="00044CA4">
            <w:pPr>
              <w:jc w:val="left"/>
              <w:rPr>
                <w:rFonts w:cs="Arial"/>
                <w:color w:val="000000"/>
                <w:sz w:val="18"/>
                <w:szCs w:val="18"/>
                <w:lang w:eastAsia="fr-FR"/>
              </w:rPr>
            </w:pPr>
            <w:r w:rsidRPr="000A6F45">
              <w:rPr>
                <w:rFonts w:cs="Arial"/>
                <w:color w:val="000000"/>
                <w:sz w:val="18"/>
                <w:szCs w:val="18"/>
                <w:highlight w:val="lightGray"/>
                <w:lang w:eastAsia="nl-NL"/>
              </w:rPr>
              <w:t>SÍ</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hideMark/>
          </w:tcPr>
          <w:p w14:paraId="7004E715"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 xml:space="preserve">. </w:t>
            </w:r>
          </w:p>
        </w:tc>
      </w:tr>
      <w:tr w:rsidR="00550FF9" w:rsidRPr="000A6F45" w14:paraId="60F67C86" w14:textId="77777777" w:rsidTr="009F5259">
        <w:trPr>
          <w:gridAfter w:val="1"/>
          <w:wAfter w:w="80" w:type="pct"/>
          <w:cantSplit/>
          <w:trHeight w:val="525"/>
        </w:trPr>
        <w:tc>
          <w:tcPr>
            <w:tcW w:w="429" w:type="pct"/>
            <w:vMerge/>
            <w:tcBorders>
              <w:top w:val="nil"/>
              <w:left w:val="single" w:sz="8" w:space="0" w:color="auto"/>
              <w:bottom w:val="single" w:sz="8" w:space="0" w:color="000000"/>
              <w:right w:val="single" w:sz="8" w:space="0" w:color="auto"/>
            </w:tcBorders>
            <w:vAlign w:val="center"/>
            <w:hideMark/>
          </w:tcPr>
          <w:p w14:paraId="4076B281"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24AACF57" w14:textId="77777777" w:rsidR="00550FF9" w:rsidRPr="000A6F45"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vAlign w:val="center"/>
            <w:hideMark/>
          </w:tcPr>
          <w:p w14:paraId="47E0F33A" w14:textId="77777777" w:rsidR="00E33CFC" w:rsidRPr="000A6F45" w:rsidRDefault="00044CA4">
            <w:pPr>
              <w:jc w:val="left"/>
              <w:rPr>
                <w:rFonts w:cs="Arial"/>
                <w:i/>
                <w:iCs/>
                <w:color w:val="000000"/>
                <w:sz w:val="18"/>
                <w:szCs w:val="18"/>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 marcadores de ADN añadir 6</w:t>
            </w:r>
          </w:p>
        </w:tc>
        <w:tc>
          <w:tcPr>
            <w:tcW w:w="568" w:type="pct"/>
            <w:vMerge/>
            <w:tcBorders>
              <w:top w:val="nil"/>
              <w:left w:val="single" w:sz="8" w:space="0" w:color="auto"/>
              <w:bottom w:val="single" w:sz="8" w:space="0" w:color="000000"/>
              <w:right w:val="single" w:sz="8" w:space="0" w:color="auto"/>
            </w:tcBorders>
            <w:vAlign w:val="center"/>
            <w:hideMark/>
          </w:tcPr>
          <w:p w14:paraId="1BDFE1DF" w14:textId="77777777" w:rsidR="00550FF9" w:rsidRPr="000A6F45" w:rsidRDefault="00550FF9" w:rsidP="00550FF9">
            <w:pPr>
              <w:jc w:val="left"/>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hideMark/>
          </w:tcPr>
          <w:p w14:paraId="76E8EDC4" w14:textId="77777777" w:rsidR="00550FF9" w:rsidRPr="000A6F45" w:rsidRDefault="00550FF9" w:rsidP="00550FF9">
            <w:pPr>
              <w:jc w:val="left"/>
              <w:rPr>
                <w:rFonts w:cs="Arial"/>
                <w:color w:val="000000"/>
                <w:sz w:val="18"/>
                <w:szCs w:val="18"/>
                <w:lang w:eastAsia="fr-FR"/>
              </w:rPr>
            </w:pPr>
          </w:p>
        </w:tc>
      </w:tr>
      <w:tr w:rsidR="00550FF9" w:rsidRPr="000A6F45" w14:paraId="4AE502E0" w14:textId="77777777" w:rsidTr="009F5259">
        <w:trPr>
          <w:gridAfter w:val="1"/>
          <w:wAfter w:w="80" w:type="pct"/>
          <w:cantSplit/>
          <w:trHeight w:val="30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6B14187D"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6.1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7CFC5E4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Condiciones particulares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78B8E4B6" w14:textId="1EA05E11" w:rsidR="00E33CFC" w:rsidRPr="000A6F45" w:rsidRDefault="001D28A3">
            <w:pPr>
              <w:jc w:val="left"/>
              <w:rPr>
                <w:rFonts w:cs="Arial"/>
                <w:color w:val="000000"/>
                <w:sz w:val="18"/>
                <w:szCs w:val="18"/>
                <w:lang w:eastAsia="fr-FR"/>
              </w:rPr>
            </w:pPr>
            <w:r w:rsidRPr="001D28A3">
              <w:rPr>
                <w:rFonts w:cs="Arial"/>
                <w:color w:val="000000"/>
                <w:sz w:val="18"/>
                <w:szCs w:val="18"/>
                <w:lang w:eastAsia="nl-NL"/>
              </w:rPr>
              <w:t>por ejemplo</w:t>
            </w:r>
            <w:r w:rsidR="00044CA4" w:rsidRPr="000A6F45">
              <w:rPr>
                <w:rFonts w:cs="Arial"/>
                <w:i/>
                <w:color w:val="000000"/>
                <w:sz w:val="18"/>
                <w:szCs w:val="18"/>
                <w:lang w:eastAsia="nl-NL"/>
              </w:rPr>
              <w:t xml:space="preserve">, </w:t>
            </w:r>
            <w:r w:rsidR="00044CA4" w:rsidRPr="000A6F45">
              <w:rPr>
                <w:rFonts w:cs="Arial"/>
                <w:color w:val="000000"/>
                <w:sz w:val="18"/>
                <w:szCs w:val="18"/>
                <w:lang w:eastAsia="nl-NL"/>
              </w:rPr>
              <w:t xml:space="preserve">protocolo de PCR que describa las concentraciones de cebadores, enzimas y </w:t>
            </w:r>
            <w:proofErr w:type="spellStart"/>
            <w:r w:rsidR="00044CA4" w:rsidRPr="000A6F45">
              <w:rPr>
                <w:rFonts w:cs="Arial"/>
                <w:color w:val="000000"/>
                <w:sz w:val="18"/>
                <w:szCs w:val="18"/>
                <w:lang w:eastAsia="nl-NL"/>
              </w:rPr>
              <w:t>dNTP</w:t>
            </w:r>
            <w:proofErr w:type="spellEnd"/>
            <w:r w:rsidR="00044CA4" w:rsidRPr="000A6F45">
              <w:rPr>
                <w:rFonts w:cs="Arial"/>
                <w:color w:val="000000"/>
                <w:sz w:val="18"/>
                <w:szCs w:val="18"/>
                <w:lang w:eastAsia="nl-NL"/>
              </w:rPr>
              <w:t xml:space="preserve">, y el esquema de los ciclos de PCR </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682B191E"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NO</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hideMark/>
          </w:tcPr>
          <w:p w14:paraId="586F8F9B"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Depende del método utilizado. No figura en las directrices de ensayo. Pueden facilitarse protocolos detallados como ejemplo en el anexo o solicitarse al instituto que desarrolló el marcador.</w:t>
            </w:r>
          </w:p>
        </w:tc>
      </w:tr>
      <w:tr w:rsidR="00550FF9" w:rsidRPr="000A6F45" w14:paraId="1E73DCC7" w14:textId="77777777" w:rsidTr="009F5259">
        <w:trPr>
          <w:cantSplit/>
          <w:trHeight w:val="1005"/>
        </w:trPr>
        <w:tc>
          <w:tcPr>
            <w:tcW w:w="429" w:type="pct"/>
            <w:vMerge/>
            <w:tcBorders>
              <w:top w:val="nil"/>
              <w:left w:val="single" w:sz="8" w:space="0" w:color="auto"/>
              <w:bottom w:val="single" w:sz="8" w:space="0" w:color="000000"/>
              <w:right w:val="single" w:sz="8" w:space="0" w:color="auto"/>
            </w:tcBorders>
            <w:vAlign w:val="center"/>
            <w:hideMark/>
          </w:tcPr>
          <w:p w14:paraId="4EAC35D9"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3F9AA3F1" w14:textId="77777777" w:rsidR="00550FF9" w:rsidRPr="000A6F45"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2A9033C9" w14:textId="77777777" w:rsidR="00550FF9" w:rsidRPr="000A6F45" w:rsidRDefault="00550FF9" w:rsidP="00550FF9">
            <w:pPr>
              <w:jc w:val="left"/>
              <w:rPr>
                <w:rFonts w:cs="Arial"/>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vAlign w:val="center"/>
            <w:hideMark/>
          </w:tcPr>
          <w:p w14:paraId="791F7AAF" w14:textId="77777777" w:rsidR="00550FF9" w:rsidRPr="000A6F45" w:rsidRDefault="00550FF9" w:rsidP="00550FF9">
            <w:pPr>
              <w:jc w:val="left"/>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hideMark/>
          </w:tcPr>
          <w:p w14:paraId="47B29584" w14:textId="77777777" w:rsidR="00550FF9" w:rsidRPr="000A6F45"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291ED23B" w14:textId="77777777" w:rsidR="00550FF9" w:rsidRPr="000A6F45" w:rsidRDefault="00550FF9" w:rsidP="00550FF9">
            <w:pPr>
              <w:rPr>
                <w:rFonts w:cs="Arial"/>
                <w:color w:val="000000"/>
                <w:lang w:eastAsia="fr-FR"/>
              </w:rPr>
            </w:pPr>
          </w:p>
        </w:tc>
      </w:tr>
      <w:tr w:rsidR="00550FF9" w:rsidRPr="000A6F45" w14:paraId="27127872" w14:textId="77777777" w:rsidTr="009F5259">
        <w:trPr>
          <w:cantSplit/>
          <w:trHeight w:val="30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5DE992B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6.2</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64AF2B55"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Hardware o infraestructura particular</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2F1E5171" w14:textId="49BDA248" w:rsidR="00E33CFC" w:rsidRPr="000A6F45" w:rsidRDefault="001D28A3">
            <w:pPr>
              <w:jc w:val="left"/>
              <w:rPr>
                <w:rFonts w:cs="Arial"/>
                <w:color w:val="000000"/>
                <w:sz w:val="18"/>
                <w:szCs w:val="18"/>
                <w:lang w:eastAsia="fr-FR"/>
              </w:rPr>
            </w:pPr>
            <w:r w:rsidRPr="001D28A3">
              <w:rPr>
                <w:rFonts w:cs="Arial"/>
                <w:color w:val="000000"/>
                <w:sz w:val="18"/>
                <w:szCs w:val="18"/>
                <w:lang w:eastAsia="nl-NL"/>
              </w:rPr>
              <w:t>por ejemplo</w:t>
            </w:r>
            <w:r w:rsidR="00044CA4" w:rsidRPr="000A6F45">
              <w:rPr>
                <w:rFonts w:cs="Arial"/>
                <w:i/>
                <w:color w:val="000000"/>
                <w:sz w:val="18"/>
                <w:szCs w:val="18"/>
                <w:lang w:eastAsia="nl-NL"/>
              </w:rPr>
              <w:t xml:space="preserve">, </w:t>
            </w:r>
            <w:r w:rsidR="00044CA4" w:rsidRPr="000A6F45">
              <w:rPr>
                <w:rFonts w:cs="Arial"/>
                <w:color w:val="000000"/>
                <w:sz w:val="18"/>
                <w:szCs w:val="18"/>
                <w:lang w:eastAsia="nl-NL"/>
              </w:rPr>
              <w:t xml:space="preserve">máquinas, kits comerciales, fabricación de componentes, números de lote de productos químicos </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392735AA"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NO</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hideMark/>
          </w:tcPr>
          <w:p w14:paraId="30429DE4"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Depende del método utilizado. No figura en las directrices de ensayo. Pueden facilitarse protocolos detallados como ejemplo en el anexo o solicitarse al instituto que desarrolló el marcador.</w:t>
            </w:r>
          </w:p>
        </w:tc>
        <w:tc>
          <w:tcPr>
            <w:tcW w:w="80" w:type="pct"/>
            <w:vAlign w:val="center"/>
            <w:hideMark/>
          </w:tcPr>
          <w:p w14:paraId="06AFF339" w14:textId="77777777" w:rsidR="00550FF9" w:rsidRPr="000A6F45" w:rsidRDefault="00550FF9" w:rsidP="00550FF9">
            <w:pPr>
              <w:rPr>
                <w:rFonts w:ascii="Times New Roman" w:hAnsi="Times New Roman"/>
                <w:lang w:eastAsia="fr-FR"/>
              </w:rPr>
            </w:pPr>
          </w:p>
        </w:tc>
      </w:tr>
      <w:tr w:rsidR="00550FF9" w:rsidRPr="000A6F45" w14:paraId="0BA5C656" w14:textId="77777777" w:rsidTr="009F5259">
        <w:trPr>
          <w:cantSplit/>
          <w:trHeight w:val="1005"/>
        </w:trPr>
        <w:tc>
          <w:tcPr>
            <w:tcW w:w="429" w:type="pct"/>
            <w:vMerge/>
            <w:tcBorders>
              <w:top w:val="nil"/>
              <w:left w:val="single" w:sz="8" w:space="0" w:color="auto"/>
              <w:bottom w:val="single" w:sz="8" w:space="0" w:color="000000"/>
              <w:right w:val="single" w:sz="8" w:space="0" w:color="auto"/>
            </w:tcBorders>
            <w:vAlign w:val="center"/>
            <w:hideMark/>
          </w:tcPr>
          <w:p w14:paraId="0AA383BC"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3E01805D" w14:textId="77777777" w:rsidR="00550FF9" w:rsidRPr="000A6F45"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5AA64B0C" w14:textId="77777777" w:rsidR="00550FF9" w:rsidRPr="000A6F45" w:rsidRDefault="00550FF9" w:rsidP="00550FF9">
            <w:pPr>
              <w:jc w:val="left"/>
              <w:rPr>
                <w:rFonts w:cs="Arial"/>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vAlign w:val="center"/>
            <w:hideMark/>
          </w:tcPr>
          <w:p w14:paraId="3899EE57" w14:textId="77777777" w:rsidR="00550FF9" w:rsidRPr="000A6F45" w:rsidRDefault="00550FF9" w:rsidP="00550FF9">
            <w:pPr>
              <w:jc w:val="left"/>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hideMark/>
          </w:tcPr>
          <w:p w14:paraId="0459576D" w14:textId="77777777" w:rsidR="00550FF9" w:rsidRPr="000A6F45"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727B9F93" w14:textId="77777777" w:rsidR="00550FF9" w:rsidRPr="000A6F45" w:rsidRDefault="00550FF9" w:rsidP="00550FF9">
            <w:pPr>
              <w:rPr>
                <w:rFonts w:cs="Arial"/>
                <w:color w:val="000000"/>
                <w:lang w:eastAsia="fr-FR"/>
              </w:rPr>
            </w:pPr>
          </w:p>
        </w:tc>
      </w:tr>
      <w:tr w:rsidR="00550FF9" w:rsidRPr="000A6F45" w14:paraId="420A2355" w14:textId="77777777" w:rsidTr="009F5259">
        <w:trPr>
          <w:cantSplit/>
          <w:trHeight w:val="300"/>
        </w:trPr>
        <w:tc>
          <w:tcPr>
            <w:tcW w:w="429" w:type="pct"/>
            <w:vMerge w:val="restart"/>
            <w:tcBorders>
              <w:top w:val="nil"/>
              <w:left w:val="single" w:sz="8" w:space="0" w:color="auto"/>
              <w:bottom w:val="single" w:sz="8" w:space="0" w:color="000000"/>
              <w:right w:val="single" w:sz="8" w:space="0" w:color="auto"/>
            </w:tcBorders>
            <w:shd w:val="clear" w:color="auto" w:fill="auto"/>
            <w:vAlign w:val="center"/>
            <w:hideMark/>
          </w:tcPr>
          <w:p w14:paraId="71B69580"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7</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04923B8D"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Observaciones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790340FF" w14:textId="3C9E4D19" w:rsidR="00E33CFC" w:rsidRPr="000A6F45" w:rsidRDefault="001D28A3">
            <w:pPr>
              <w:jc w:val="left"/>
              <w:rPr>
                <w:rFonts w:cs="Arial"/>
                <w:color w:val="000000"/>
                <w:sz w:val="18"/>
                <w:szCs w:val="18"/>
                <w:lang w:eastAsia="fr-FR"/>
              </w:rPr>
            </w:pPr>
            <w:r w:rsidRPr="001D28A3">
              <w:rPr>
                <w:rFonts w:cs="Arial"/>
                <w:color w:val="000000"/>
                <w:sz w:val="18"/>
                <w:szCs w:val="18"/>
                <w:lang w:eastAsia="nl-NL"/>
              </w:rPr>
              <w:t>Por ejemplo</w:t>
            </w:r>
            <w:r w:rsidR="00044CA4" w:rsidRPr="000A6F45">
              <w:rPr>
                <w:rFonts w:cs="Arial"/>
                <w:i/>
                <w:color w:val="000000"/>
                <w:sz w:val="18"/>
                <w:szCs w:val="18"/>
                <w:lang w:eastAsia="nl-NL"/>
              </w:rPr>
              <w:t xml:space="preserve">, </w:t>
            </w:r>
            <w:r w:rsidR="00044CA4" w:rsidRPr="000A6F45">
              <w:rPr>
                <w:rFonts w:cs="Arial"/>
                <w:color w:val="000000"/>
                <w:sz w:val="18"/>
                <w:szCs w:val="18"/>
                <w:lang w:eastAsia="nl-NL"/>
              </w:rPr>
              <w:t xml:space="preserve">bandas en gel de agarosa (PCR convencional), valores </w:t>
            </w:r>
            <w:proofErr w:type="spellStart"/>
            <w:r w:rsidR="00044CA4" w:rsidRPr="000A6F45">
              <w:rPr>
                <w:rFonts w:cs="Arial"/>
                <w:color w:val="000000"/>
                <w:sz w:val="18"/>
                <w:szCs w:val="18"/>
                <w:lang w:eastAsia="nl-NL"/>
              </w:rPr>
              <w:t>Ct</w:t>
            </w:r>
            <w:proofErr w:type="spellEnd"/>
            <w:r w:rsidR="00044CA4" w:rsidRPr="000A6F45">
              <w:rPr>
                <w:rFonts w:cs="Arial"/>
                <w:color w:val="000000"/>
                <w:sz w:val="18"/>
                <w:szCs w:val="18"/>
                <w:lang w:eastAsia="nl-NL"/>
              </w:rPr>
              <w:t xml:space="preserve"> (</w:t>
            </w:r>
            <w:proofErr w:type="spellStart"/>
            <w:r w:rsidR="00044CA4" w:rsidRPr="000A6F45">
              <w:rPr>
                <w:rFonts w:cs="Arial"/>
                <w:color w:val="000000"/>
                <w:sz w:val="18"/>
                <w:szCs w:val="18"/>
                <w:lang w:eastAsia="nl-NL"/>
              </w:rPr>
              <w:t>qPCR</w:t>
            </w:r>
            <w:proofErr w:type="spellEnd"/>
            <w:r w:rsidR="00044CA4" w:rsidRPr="000A6F45">
              <w:rPr>
                <w:rFonts w:cs="Arial"/>
                <w:color w:val="000000"/>
                <w:sz w:val="18"/>
                <w:szCs w:val="18"/>
                <w:lang w:eastAsia="nl-NL"/>
              </w:rPr>
              <w:t xml:space="preserve">) Llamada de variantes basada en lecturas de secuenciación. </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hideMark/>
          </w:tcPr>
          <w:p w14:paraId="0CE1805C"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NO</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hideMark/>
          </w:tcPr>
          <w:p w14:paraId="4205F781" w14:textId="77777777" w:rsidR="00E33CFC" w:rsidRPr="000A6F45" w:rsidRDefault="00044CA4">
            <w:pPr>
              <w:jc w:val="left"/>
              <w:rPr>
                <w:rFonts w:cs="Arial"/>
                <w:color w:val="000000"/>
                <w:sz w:val="18"/>
                <w:szCs w:val="18"/>
                <w:lang w:eastAsia="fr-FR"/>
              </w:rPr>
            </w:pPr>
            <w:r w:rsidRPr="000A6F45">
              <w:rPr>
                <w:rFonts w:cs="Arial"/>
                <w:color w:val="000000"/>
                <w:sz w:val="18"/>
                <w:szCs w:val="18"/>
                <w:lang w:eastAsia="nl-NL"/>
              </w:rPr>
              <w:t>Depende del método utilizado. No figura en las directrices de ensayo. Pueden facilitarse protocolos detallados como ejemplo en el anexo o solicitarse al instituto que desarrolló el marcador.</w:t>
            </w:r>
          </w:p>
        </w:tc>
        <w:tc>
          <w:tcPr>
            <w:tcW w:w="80" w:type="pct"/>
            <w:vAlign w:val="center"/>
            <w:hideMark/>
          </w:tcPr>
          <w:p w14:paraId="79F4DE89" w14:textId="77777777" w:rsidR="00550FF9" w:rsidRPr="000A6F45" w:rsidRDefault="00550FF9" w:rsidP="00550FF9">
            <w:pPr>
              <w:rPr>
                <w:rFonts w:ascii="Times New Roman" w:hAnsi="Times New Roman"/>
                <w:lang w:eastAsia="fr-FR"/>
              </w:rPr>
            </w:pPr>
          </w:p>
        </w:tc>
      </w:tr>
      <w:tr w:rsidR="00550FF9" w:rsidRPr="000A6F45" w14:paraId="1ED89EE8" w14:textId="77777777" w:rsidTr="009F5259">
        <w:trPr>
          <w:cantSplit/>
          <w:trHeight w:val="945"/>
        </w:trPr>
        <w:tc>
          <w:tcPr>
            <w:tcW w:w="429" w:type="pct"/>
            <w:vMerge/>
            <w:tcBorders>
              <w:top w:val="nil"/>
              <w:left w:val="single" w:sz="8" w:space="0" w:color="auto"/>
              <w:bottom w:val="single" w:sz="8" w:space="0" w:color="000000"/>
              <w:right w:val="single" w:sz="8" w:space="0" w:color="auto"/>
            </w:tcBorders>
            <w:vAlign w:val="center"/>
            <w:hideMark/>
          </w:tcPr>
          <w:p w14:paraId="19FA4D92" w14:textId="77777777" w:rsidR="00550FF9" w:rsidRPr="000A6F45"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327E9DC7" w14:textId="77777777" w:rsidR="00550FF9" w:rsidRPr="000A6F45"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3E779690" w14:textId="77777777" w:rsidR="00550FF9" w:rsidRPr="000A6F45" w:rsidRDefault="00550FF9" w:rsidP="00550FF9">
            <w:pPr>
              <w:jc w:val="left"/>
              <w:rPr>
                <w:rFonts w:cs="Arial"/>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vAlign w:val="center"/>
            <w:hideMark/>
          </w:tcPr>
          <w:p w14:paraId="0CD7DFCB" w14:textId="77777777" w:rsidR="00550FF9" w:rsidRPr="000A6F45" w:rsidRDefault="00550FF9" w:rsidP="00550FF9">
            <w:pPr>
              <w:jc w:val="left"/>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hideMark/>
          </w:tcPr>
          <w:p w14:paraId="50B11B2E" w14:textId="77777777" w:rsidR="00550FF9" w:rsidRPr="000A6F45"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356C8289" w14:textId="77777777" w:rsidR="00550FF9" w:rsidRPr="000A6F45" w:rsidRDefault="00550FF9" w:rsidP="00550FF9">
            <w:pPr>
              <w:rPr>
                <w:rFonts w:cs="Arial"/>
                <w:color w:val="000000"/>
                <w:lang w:eastAsia="fr-FR"/>
              </w:rPr>
            </w:pPr>
          </w:p>
        </w:tc>
      </w:tr>
      <w:tr w:rsidR="00550FF9" w:rsidRPr="000A6F45" w14:paraId="710F850E" w14:textId="77777777" w:rsidTr="009F5259">
        <w:trPr>
          <w:cantSplit/>
          <w:trHeight w:val="300"/>
        </w:trPr>
        <w:tc>
          <w:tcPr>
            <w:tcW w:w="429" w:type="pct"/>
            <w:tcBorders>
              <w:top w:val="nil"/>
              <w:left w:val="single" w:sz="8" w:space="0" w:color="auto"/>
              <w:bottom w:val="single" w:sz="8" w:space="0" w:color="000000"/>
              <w:right w:val="single" w:sz="8" w:space="0" w:color="auto"/>
            </w:tcBorders>
            <w:shd w:val="clear" w:color="auto" w:fill="auto"/>
            <w:vAlign w:val="center"/>
          </w:tcPr>
          <w:p w14:paraId="7754FBA6" w14:textId="77777777" w:rsidR="00E33CFC" w:rsidRPr="000A6F45" w:rsidRDefault="00044CA4">
            <w:pPr>
              <w:jc w:val="left"/>
              <w:rPr>
                <w:rFonts w:cs="Arial"/>
                <w:color w:val="000000"/>
                <w:sz w:val="18"/>
                <w:szCs w:val="18"/>
                <w:lang w:eastAsia="nl-NL"/>
              </w:rPr>
            </w:pPr>
            <w:r w:rsidRPr="000A6F45">
              <w:rPr>
                <w:rFonts w:cs="Arial"/>
                <w:color w:val="000000"/>
                <w:sz w:val="18"/>
                <w:szCs w:val="18"/>
                <w:highlight w:val="lightGray"/>
                <w:lang w:eastAsia="nl-NL"/>
              </w:rPr>
              <w:t>7.1</w:t>
            </w:r>
          </w:p>
        </w:tc>
        <w:tc>
          <w:tcPr>
            <w:tcW w:w="788" w:type="pct"/>
            <w:tcBorders>
              <w:top w:val="nil"/>
              <w:left w:val="single" w:sz="8" w:space="0" w:color="auto"/>
              <w:bottom w:val="single" w:sz="8" w:space="0" w:color="000000"/>
              <w:right w:val="single" w:sz="8" w:space="0" w:color="auto"/>
            </w:tcBorders>
            <w:shd w:val="clear" w:color="auto" w:fill="auto"/>
            <w:vAlign w:val="center"/>
          </w:tcPr>
          <w:p w14:paraId="1247198D" w14:textId="77777777" w:rsidR="00E33CFC" w:rsidRPr="000A6F45" w:rsidRDefault="00044CA4">
            <w:pPr>
              <w:jc w:val="left"/>
              <w:rPr>
                <w:rFonts w:cs="Arial"/>
                <w:color w:val="000000"/>
                <w:sz w:val="18"/>
                <w:szCs w:val="18"/>
                <w:lang w:eastAsia="nl-NL"/>
              </w:rPr>
            </w:pPr>
            <w:r w:rsidRPr="000A6F45">
              <w:rPr>
                <w:rFonts w:cs="Arial"/>
                <w:color w:val="000000"/>
                <w:sz w:val="18"/>
                <w:szCs w:val="18"/>
                <w:highlight w:val="lightGray"/>
                <w:lang w:eastAsia="nl-NL"/>
              </w:rPr>
              <w:t>Validez de los resultados</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4CABEEA5" w14:textId="77777777"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 xml:space="preserve">Por </w:t>
            </w:r>
            <w:r w:rsidRPr="000A6F45">
              <w:rPr>
                <w:rFonts w:cs="Arial"/>
                <w:i/>
                <w:color w:val="000000"/>
                <w:sz w:val="18"/>
                <w:szCs w:val="18"/>
                <w:highlight w:val="lightGray"/>
                <w:lang w:eastAsia="fr-FR"/>
              </w:rPr>
              <w:t xml:space="preserve">ejemplo, </w:t>
            </w:r>
            <w:r w:rsidRPr="000A6F45">
              <w:rPr>
                <w:rFonts w:cs="Arial"/>
                <w:color w:val="000000"/>
                <w:sz w:val="18"/>
                <w:szCs w:val="18"/>
                <w:highlight w:val="lightGray"/>
                <w:lang w:eastAsia="fr-FR"/>
              </w:rPr>
              <w:t xml:space="preserve">para </w:t>
            </w:r>
            <w:proofErr w:type="spellStart"/>
            <w:r w:rsidRPr="000A6F45">
              <w:rPr>
                <w:rFonts w:cs="Arial"/>
                <w:color w:val="000000"/>
                <w:sz w:val="18"/>
                <w:szCs w:val="18"/>
                <w:highlight w:val="lightGray"/>
                <w:lang w:eastAsia="fr-FR"/>
              </w:rPr>
              <w:t>qPCR</w:t>
            </w:r>
            <w:proofErr w:type="spellEnd"/>
            <w:r w:rsidRPr="000A6F45">
              <w:rPr>
                <w:rFonts w:cs="Arial"/>
                <w:color w:val="000000"/>
                <w:sz w:val="18"/>
                <w:szCs w:val="18"/>
                <w:highlight w:val="lightGray"/>
                <w:lang w:eastAsia="fr-FR"/>
              </w:rPr>
              <w:t xml:space="preserve">, compruebe si existen curvas de amplificación exponencial típicas. Compruebe si los controles son los esperados (controles negativos = sin señal; controles positivos = muestran las señales esperadas para todos los </w:t>
            </w:r>
            <w:proofErr w:type="spellStart"/>
            <w:r w:rsidRPr="000A6F45">
              <w:rPr>
                <w:rFonts w:cs="Arial"/>
                <w:color w:val="000000"/>
                <w:sz w:val="18"/>
                <w:szCs w:val="18"/>
                <w:highlight w:val="lightGray"/>
                <w:lang w:eastAsia="fr-FR"/>
              </w:rPr>
              <w:t>fluoróforos</w:t>
            </w:r>
            <w:proofErr w:type="spellEnd"/>
            <w:r w:rsidRPr="000A6F45">
              <w:rPr>
                <w:rFonts w:cs="Arial"/>
                <w:color w:val="000000"/>
                <w:sz w:val="18"/>
                <w:szCs w:val="18"/>
                <w:highlight w:val="lightGray"/>
                <w:lang w:eastAsia="fr-FR"/>
              </w:rPr>
              <w:t>).</w:t>
            </w:r>
          </w:p>
        </w:tc>
        <w:tc>
          <w:tcPr>
            <w:tcW w:w="568" w:type="pct"/>
            <w:tcBorders>
              <w:top w:val="nil"/>
              <w:left w:val="single" w:sz="8" w:space="0" w:color="auto"/>
              <w:bottom w:val="single" w:sz="8" w:space="0" w:color="000000"/>
              <w:right w:val="single" w:sz="8" w:space="0" w:color="auto"/>
            </w:tcBorders>
            <w:shd w:val="clear" w:color="auto" w:fill="auto"/>
            <w:vAlign w:val="center"/>
          </w:tcPr>
          <w:p w14:paraId="7AEF0129"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nl-NL"/>
              </w:rPr>
              <w:t>SÍ</w:t>
            </w:r>
          </w:p>
        </w:tc>
        <w:tc>
          <w:tcPr>
            <w:tcW w:w="1919" w:type="pct"/>
            <w:tcBorders>
              <w:top w:val="nil"/>
              <w:left w:val="single" w:sz="8" w:space="0" w:color="auto"/>
              <w:bottom w:val="single" w:sz="8" w:space="0" w:color="000000"/>
              <w:right w:val="single" w:sz="8" w:space="0" w:color="auto"/>
            </w:tcBorders>
            <w:shd w:val="clear" w:color="auto" w:fill="auto"/>
            <w:vAlign w:val="center"/>
          </w:tcPr>
          <w:p w14:paraId="3E0C7E33"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nl-NL"/>
              </w:rPr>
              <w:t xml:space="preserve">Según el método utilizado. </w:t>
            </w:r>
          </w:p>
        </w:tc>
        <w:tc>
          <w:tcPr>
            <w:tcW w:w="80" w:type="pct"/>
            <w:vAlign w:val="center"/>
          </w:tcPr>
          <w:p w14:paraId="0052518F" w14:textId="77777777" w:rsidR="00550FF9" w:rsidRPr="000A6F45" w:rsidRDefault="00550FF9" w:rsidP="00550FF9">
            <w:pPr>
              <w:rPr>
                <w:rFonts w:ascii="Times New Roman" w:hAnsi="Times New Roman"/>
                <w:lang w:eastAsia="fr-FR"/>
              </w:rPr>
            </w:pPr>
          </w:p>
        </w:tc>
      </w:tr>
      <w:tr w:rsidR="00550FF9" w:rsidRPr="000A6F45" w14:paraId="0DBC5847" w14:textId="77777777" w:rsidTr="009F5259">
        <w:trPr>
          <w:cantSplit/>
          <w:trHeight w:val="300"/>
        </w:trPr>
        <w:tc>
          <w:tcPr>
            <w:tcW w:w="429" w:type="pct"/>
            <w:tcBorders>
              <w:top w:val="nil"/>
              <w:left w:val="single" w:sz="8" w:space="0" w:color="auto"/>
              <w:bottom w:val="single" w:sz="8" w:space="0" w:color="000000"/>
              <w:right w:val="single" w:sz="8" w:space="0" w:color="auto"/>
            </w:tcBorders>
            <w:shd w:val="clear" w:color="auto" w:fill="auto"/>
            <w:vAlign w:val="center"/>
          </w:tcPr>
          <w:p w14:paraId="7B706D6F"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lang w:eastAsia="nl-NL"/>
              </w:rPr>
              <w:t>8</w:t>
            </w:r>
          </w:p>
        </w:tc>
        <w:tc>
          <w:tcPr>
            <w:tcW w:w="788" w:type="pct"/>
            <w:tcBorders>
              <w:top w:val="nil"/>
              <w:left w:val="single" w:sz="8" w:space="0" w:color="auto"/>
              <w:bottom w:val="single" w:sz="8" w:space="0" w:color="000000"/>
              <w:right w:val="single" w:sz="8" w:space="0" w:color="auto"/>
            </w:tcBorders>
            <w:shd w:val="clear" w:color="auto" w:fill="auto"/>
            <w:vAlign w:val="center"/>
          </w:tcPr>
          <w:p w14:paraId="23233396"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lang w:eastAsia="nl-NL"/>
              </w:rPr>
              <w:t>Interpretación de los resultados de las pruebas</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187EC980" w14:textId="77777777" w:rsidR="00E33CFC" w:rsidRPr="000A6F45" w:rsidRDefault="00044CA4">
            <w:pPr>
              <w:jc w:val="left"/>
              <w:rPr>
                <w:rFonts w:cs="Arial"/>
                <w:color w:val="000000"/>
                <w:sz w:val="18"/>
                <w:szCs w:val="18"/>
                <w:highlight w:val="lightGray"/>
                <w:lang w:eastAsia="fr-FR"/>
              </w:rPr>
            </w:pPr>
            <w:r w:rsidRPr="000A6F45">
              <w:rPr>
                <w:rFonts w:cs="Arial"/>
                <w:i/>
                <w:iCs/>
                <w:color w:val="000000"/>
                <w:sz w:val="18"/>
                <w:szCs w:val="18"/>
                <w:lang w:eastAsia="fr-FR"/>
              </w:rPr>
              <w:t xml:space="preserve">Véase TG/44/11/rev3 - Ad 51: </w:t>
            </w:r>
            <w:proofErr w:type="spellStart"/>
            <w:r w:rsidRPr="000A6F45">
              <w:rPr>
                <w:rFonts w:cs="Arial"/>
                <w:i/>
                <w:iCs/>
                <w:color w:val="000000"/>
                <w:sz w:val="18"/>
                <w:szCs w:val="18"/>
                <w:lang w:eastAsia="fr-FR"/>
              </w:rPr>
              <w:t>ii</w:t>
            </w:r>
            <w:proofErr w:type="spellEnd"/>
            <w:r w:rsidRPr="000A6F45">
              <w:rPr>
                <w:rFonts w:cs="Arial"/>
                <w:i/>
                <w:iCs/>
                <w:color w:val="000000"/>
                <w:sz w:val="18"/>
                <w:szCs w:val="18"/>
                <w:lang w:eastAsia="fr-FR"/>
              </w:rPr>
              <w:t xml:space="preserve"> Prueba de marcadores de ADN añadir 8</w:t>
            </w:r>
          </w:p>
        </w:tc>
        <w:tc>
          <w:tcPr>
            <w:tcW w:w="568" w:type="pct"/>
            <w:tcBorders>
              <w:top w:val="nil"/>
              <w:left w:val="single" w:sz="8" w:space="0" w:color="auto"/>
              <w:bottom w:val="single" w:sz="8" w:space="0" w:color="000000"/>
              <w:right w:val="single" w:sz="8" w:space="0" w:color="auto"/>
            </w:tcBorders>
            <w:shd w:val="clear" w:color="auto" w:fill="auto"/>
            <w:vAlign w:val="center"/>
          </w:tcPr>
          <w:p w14:paraId="5304FC54"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lang w:eastAsia="nl-NL"/>
              </w:rPr>
              <w:t>SÍ</w:t>
            </w:r>
          </w:p>
        </w:tc>
        <w:tc>
          <w:tcPr>
            <w:tcW w:w="1919" w:type="pct"/>
            <w:tcBorders>
              <w:top w:val="nil"/>
              <w:left w:val="single" w:sz="8" w:space="0" w:color="auto"/>
              <w:bottom w:val="single" w:sz="8" w:space="0" w:color="000000"/>
              <w:right w:val="single" w:sz="8" w:space="0" w:color="auto"/>
            </w:tcBorders>
            <w:shd w:val="clear" w:color="auto" w:fill="auto"/>
            <w:vAlign w:val="center"/>
          </w:tcPr>
          <w:p w14:paraId="015111A3"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lang w:eastAsia="nl-NL"/>
              </w:rPr>
              <w:t>Relación entre alelos y expresiones (con sus notas)</w:t>
            </w:r>
          </w:p>
        </w:tc>
        <w:tc>
          <w:tcPr>
            <w:tcW w:w="80" w:type="pct"/>
            <w:vAlign w:val="center"/>
          </w:tcPr>
          <w:p w14:paraId="1E1E5C01" w14:textId="77777777" w:rsidR="00550FF9" w:rsidRPr="000A6F45" w:rsidRDefault="00550FF9" w:rsidP="00550FF9">
            <w:pPr>
              <w:rPr>
                <w:rFonts w:ascii="Times New Roman" w:hAnsi="Times New Roman"/>
                <w:lang w:eastAsia="fr-FR"/>
              </w:rPr>
            </w:pPr>
          </w:p>
        </w:tc>
      </w:tr>
      <w:tr w:rsidR="00550FF9" w:rsidRPr="000A6F45" w14:paraId="1ACD5BAF" w14:textId="77777777" w:rsidTr="009F5259">
        <w:trPr>
          <w:cantSplit/>
          <w:trHeight w:val="300"/>
        </w:trPr>
        <w:tc>
          <w:tcPr>
            <w:tcW w:w="429" w:type="pct"/>
            <w:tcBorders>
              <w:top w:val="nil"/>
              <w:left w:val="single" w:sz="8" w:space="0" w:color="auto"/>
              <w:bottom w:val="single" w:sz="8" w:space="0" w:color="000000"/>
              <w:right w:val="single" w:sz="8" w:space="0" w:color="auto"/>
            </w:tcBorders>
            <w:shd w:val="clear" w:color="auto" w:fill="auto"/>
            <w:vAlign w:val="center"/>
          </w:tcPr>
          <w:p w14:paraId="0D934678"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fr-FR"/>
              </w:rPr>
              <w:t>9</w:t>
            </w:r>
          </w:p>
        </w:tc>
        <w:tc>
          <w:tcPr>
            <w:tcW w:w="788" w:type="pct"/>
            <w:tcBorders>
              <w:top w:val="nil"/>
              <w:left w:val="single" w:sz="8" w:space="0" w:color="auto"/>
              <w:bottom w:val="single" w:sz="8" w:space="0" w:color="000000"/>
              <w:right w:val="single" w:sz="8" w:space="0" w:color="auto"/>
            </w:tcBorders>
            <w:shd w:val="clear" w:color="auto" w:fill="auto"/>
            <w:vAlign w:val="center"/>
          </w:tcPr>
          <w:p w14:paraId="66031AEF"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fr-FR"/>
              </w:rPr>
              <w:t xml:space="preserve">Validación del método, </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202D20E6" w14:textId="5066A25B"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 xml:space="preserve">Este protocolo se validó mediante un ensayo </w:t>
            </w:r>
            <w:proofErr w:type="spellStart"/>
            <w:r w:rsidRPr="000A6F45">
              <w:rPr>
                <w:rFonts w:cs="Arial"/>
                <w:color w:val="000000"/>
                <w:sz w:val="18"/>
                <w:szCs w:val="18"/>
                <w:highlight w:val="lightGray"/>
                <w:lang w:eastAsia="fr-FR"/>
              </w:rPr>
              <w:t>interlaboratorios</w:t>
            </w:r>
            <w:proofErr w:type="spellEnd"/>
            <w:r w:rsidRPr="000A6F45">
              <w:rPr>
                <w:rFonts w:cs="Arial"/>
                <w:color w:val="000000"/>
                <w:sz w:val="18"/>
                <w:szCs w:val="18"/>
                <w:highlight w:val="lightGray"/>
                <w:lang w:eastAsia="fr-FR"/>
              </w:rPr>
              <w:t xml:space="preserve"> con diferentes laboratorios (</w:t>
            </w:r>
            <w:r w:rsidR="001D28A3" w:rsidRPr="001D28A3">
              <w:rPr>
                <w:rFonts w:cs="Arial"/>
                <w:color w:val="000000"/>
                <w:sz w:val="18"/>
                <w:szCs w:val="18"/>
                <w:lang w:eastAsia="fr-FR"/>
              </w:rPr>
              <w:t>por ejemplo</w:t>
            </w:r>
            <w:r w:rsidRPr="000A6F45">
              <w:rPr>
                <w:rFonts w:cs="Arial"/>
                <w:i/>
                <w:color w:val="000000"/>
                <w:sz w:val="18"/>
                <w:szCs w:val="18"/>
                <w:highlight w:val="lightGray"/>
                <w:lang w:eastAsia="fr-FR"/>
              </w:rPr>
              <w:t xml:space="preserve">, </w:t>
            </w:r>
            <w:proofErr w:type="spellStart"/>
            <w:r w:rsidRPr="000A6F45">
              <w:rPr>
                <w:rFonts w:cs="Arial"/>
                <w:color w:val="000000"/>
                <w:sz w:val="18"/>
                <w:szCs w:val="18"/>
                <w:highlight w:val="lightGray"/>
                <w:lang w:eastAsia="fr-FR"/>
              </w:rPr>
              <w:t>Interlaboratory</w:t>
            </w:r>
            <w:proofErr w:type="spellEnd"/>
            <w:r w:rsidRPr="000A6F45">
              <w:rPr>
                <w:rFonts w:cs="Arial"/>
                <w:color w:val="000000"/>
                <w:sz w:val="18"/>
                <w:szCs w:val="18"/>
                <w:highlight w:val="lightGray"/>
                <w:lang w:eastAsia="fr-FR"/>
              </w:rPr>
              <w:t xml:space="preserve"> Comparative Test </w:t>
            </w:r>
            <w:proofErr w:type="spellStart"/>
            <w:r w:rsidRPr="000A6F45">
              <w:rPr>
                <w:rFonts w:cs="Arial"/>
                <w:color w:val="000000"/>
                <w:sz w:val="18"/>
                <w:szCs w:val="18"/>
                <w:highlight w:val="lightGray"/>
                <w:lang w:eastAsia="fr-FR"/>
              </w:rPr>
              <w:t>Report</w:t>
            </w:r>
            <w:proofErr w:type="spellEnd"/>
            <w:r w:rsidRPr="000A6F45">
              <w:rPr>
                <w:rFonts w:cs="Arial"/>
                <w:color w:val="000000"/>
                <w:sz w:val="18"/>
                <w:szCs w:val="18"/>
                <w:highlight w:val="lightGray"/>
                <w:lang w:eastAsia="fr-FR"/>
              </w:rPr>
              <w:t>, INVITE 2024).</w:t>
            </w:r>
          </w:p>
        </w:tc>
        <w:tc>
          <w:tcPr>
            <w:tcW w:w="568" w:type="pct"/>
            <w:tcBorders>
              <w:top w:val="nil"/>
              <w:left w:val="single" w:sz="8" w:space="0" w:color="auto"/>
              <w:bottom w:val="single" w:sz="8" w:space="0" w:color="000000"/>
              <w:right w:val="single" w:sz="8" w:space="0" w:color="auto"/>
            </w:tcBorders>
            <w:shd w:val="clear" w:color="auto" w:fill="auto"/>
            <w:vAlign w:val="center"/>
          </w:tcPr>
          <w:p w14:paraId="7E53E015" w14:textId="77777777" w:rsidR="00E33CFC" w:rsidRPr="000A6F45" w:rsidRDefault="00044CA4">
            <w:pPr>
              <w:jc w:val="left"/>
              <w:rPr>
                <w:rFonts w:cs="Arial"/>
                <w:color w:val="000000"/>
                <w:sz w:val="18"/>
                <w:szCs w:val="18"/>
                <w:highlight w:val="lightGray"/>
                <w:lang w:eastAsia="nl-NL"/>
              </w:rPr>
            </w:pPr>
            <w:r w:rsidRPr="000A6F45">
              <w:rPr>
                <w:rFonts w:cs="Arial"/>
                <w:color w:val="000000"/>
                <w:sz w:val="18"/>
                <w:szCs w:val="18"/>
                <w:highlight w:val="lightGray"/>
                <w:lang w:eastAsia="nl-NL"/>
              </w:rPr>
              <w:t>SÍ</w:t>
            </w:r>
          </w:p>
        </w:tc>
        <w:tc>
          <w:tcPr>
            <w:tcW w:w="1919" w:type="pct"/>
            <w:tcBorders>
              <w:top w:val="nil"/>
              <w:left w:val="single" w:sz="8" w:space="0" w:color="auto"/>
              <w:bottom w:val="single" w:sz="8" w:space="0" w:color="000000"/>
              <w:right w:val="single" w:sz="8" w:space="0" w:color="auto"/>
            </w:tcBorders>
            <w:shd w:val="clear" w:color="auto" w:fill="auto"/>
            <w:vAlign w:val="center"/>
          </w:tcPr>
          <w:p w14:paraId="72C87F3C" w14:textId="77777777" w:rsidR="00550FF9" w:rsidRPr="000A6F45" w:rsidRDefault="00550FF9" w:rsidP="00550FF9">
            <w:pPr>
              <w:jc w:val="left"/>
              <w:rPr>
                <w:rFonts w:cs="Arial"/>
                <w:color w:val="000000"/>
                <w:sz w:val="18"/>
                <w:szCs w:val="18"/>
                <w:highlight w:val="lightGray"/>
                <w:lang w:eastAsia="nl-NL"/>
              </w:rPr>
            </w:pPr>
          </w:p>
        </w:tc>
        <w:tc>
          <w:tcPr>
            <w:tcW w:w="80" w:type="pct"/>
            <w:vAlign w:val="center"/>
          </w:tcPr>
          <w:p w14:paraId="10C61982" w14:textId="77777777" w:rsidR="00550FF9" w:rsidRPr="000A6F45" w:rsidRDefault="00550FF9" w:rsidP="00550FF9">
            <w:pPr>
              <w:rPr>
                <w:rFonts w:ascii="Times New Roman" w:hAnsi="Times New Roman"/>
                <w:lang w:eastAsia="fr-FR"/>
              </w:rPr>
            </w:pPr>
          </w:p>
        </w:tc>
      </w:tr>
      <w:tr w:rsidR="00550FF9" w:rsidRPr="000A6F45" w14:paraId="66436E90" w14:textId="77777777" w:rsidTr="009F5259">
        <w:trPr>
          <w:cantSplit/>
          <w:trHeight w:val="300"/>
        </w:trPr>
        <w:tc>
          <w:tcPr>
            <w:tcW w:w="429" w:type="pct"/>
            <w:vMerge w:val="restart"/>
            <w:tcBorders>
              <w:top w:val="nil"/>
              <w:left w:val="single" w:sz="8" w:space="0" w:color="auto"/>
              <w:bottom w:val="single" w:sz="8" w:space="0" w:color="000000"/>
              <w:right w:val="single" w:sz="8" w:space="0" w:color="auto"/>
            </w:tcBorders>
            <w:shd w:val="clear" w:color="auto" w:fill="auto"/>
            <w:vAlign w:val="center"/>
          </w:tcPr>
          <w:p w14:paraId="5342F8AD" w14:textId="77777777"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9.1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tcPr>
          <w:p w14:paraId="4B4AF637" w14:textId="77777777"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Contacto con la oficina de examen</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tcPr>
          <w:p w14:paraId="15D46F01" w14:textId="25FE0BE2" w:rsidR="00E33CFC" w:rsidRPr="000A6F45" w:rsidRDefault="001D28A3">
            <w:pPr>
              <w:jc w:val="left"/>
              <w:rPr>
                <w:rFonts w:cs="Arial"/>
                <w:color w:val="000000"/>
                <w:sz w:val="18"/>
                <w:szCs w:val="18"/>
                <w:highlight w:val="lightGray"/>
                <w:lang w:eastAsia="fr-FR"/>
              </w:rPr>
            </w:pPr>
            <w:r w:rsidRPr="001D28A3">
              <w:rPr>
                <w:rFonts w:cs="Arial"/>
                <w:color w:val="000000"/>
                <w:sz w:val="18"/>
                <w:szCs w:val="18"/>
                <w:lang w:eastAsia="fr-FR"/>
              </w:rPr>
              <w:t>por ejemplo</w:t>
            </w:r>
            <w:r w:rsidR="00044CA4" w:rsidRPr="000A6F45">
              <w:rPr>
                <w:rFonts w:cs="Arial"/>
                <w:i/>
                <w:color w:val="000000"/>
                <w:sz w:val="18"/>
                <w:szCs w:val="18"/>
                <w:highlight w:val="lightGray"/>
                <w:lang w:eastAsia="fr-FR"/>
              </w:rPr>
              <w:t xml:space="preserve">, </w:t>
            </w:r>
            <w:r w:rsidR="00044CA4" w:rsidRPr="000A6F45">
              <w:rPr>
                <w:rFonts w:cs="Arial"/>
                <w:color w:val="000000"/>
                <w:sz w:val="18"/>
                <w:szCs w:val="18"/>
                <w:highlight w:val="lightGray"/>
                <w:lang w:eastAsia="fr-FR"/>
              </w:rPr>
              <w:t>Naktuinbouw</w:t>
            </w:r>
          </w:p>
        </w:tc>
        <w:tc>
          <w:tcPr>
            <w:tcW w:w="568" w:type="pct"/>
            <w:vMerge w:val="restart"/>
            <w:tcBorders>
              <w:top w:val="nil"/>
              <w:left w:val="single" w:sz="8" w:space="0" w:color="auto"/>
              <w:bottom w:val="single" w:sz="8" w:space="0" w:color="000000"/>
              <w:right w:val="single" w:sz="8" w:space="0" w:color="auto"/>
            </w:tcBorders>
            <w:shd w:val="clear" w:color="auto" w:fill="auto"/>
            <w:vAlign w:val="center"/>
          </w:tcPr>
          <w:p w14:paraId="11B336BC" w14:textId="77777777"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SÍ</w:t>
            </w:r>
          </w:p>
        </w:tc>
        <w:tc>
          <w:tcPr>
            <w:tcW w:w="1919" w:type="pct"/>
            <w:vMerge w:val="restart"/>
            <w:tcBorders>
              <w:top w:val="nil"/>
              <w:left w:val="single" w:sz="8" w:space="0" w:color="auto"/>
              <w:bottom w:val="single" w:sz="8" w:space="0" w:color="000000"/>
              <w:right w:val="single" w:sz="8" w:space="0" w:color="auto"/>
            </w:tcBorders>
            <w:shd w:val="clear" w:color="auto" w:fill="auto"/>
            <w:vAlign w:val="center"/>
          </w:tcPr>
          <w:p w14:paraId="234774B5" w14:textId="77777777" w:rsidR="00E33CFC" w:rsidRPr="000A6F45" w:rsidRDefault="00044CA4">
            <w:pPr>
              <w:jc w:val="left"/>
              <w:rPr>
                <w:rFonts w:cs="Arial"/>
                <w:color w:val="000000"/>
                <w:sz w:val="18"/>
                <w:szCs w:val="18"/>
                <w:highlight w:val="lightGray"/>
                <w:lang w:eastAsia="fr-FR"/>
              </w:rPr>
            </w:pPr>
            <w:r w:rsidRPr="000A6F45">
              <w:rPr>
                <w:rFonts w:cs="Arial"/>
                <w:color w:val="000000"/>
                <w:sz w:val="18"/>
                <w:szCs w:val="18"/>
                <w:highlight w:val="lightGray"/>
                <w:lang w:eastAsia="fr-FR"/>
              </w:rPr>
              <w:t>Contacto del instituto que ha desarrollado este protocolo, Nombre del servicio.</w:t>
            </w:r>
          </w:p>
        </w:tc>
        <w:tc>
          <w:tcPr>
            <w:tcW w:w="80" w:type="pct"/>
            <w:vAlign w:val="center"/>
            <w:hideMark/>
          </w:tcPr>
          <w:p w14:paraId="07551641" w14:textId="77777777" w:rsidR="00550FF9" w:rsidRPr="000A6F45" w:rsidRDefault="00550FF9" w:rsidP="00550FF9">
            <w:pPr>
              <w:rPr>
                <w:rFonts w:ascii="Times New Roman" w:hAnsi="Times New Roman"/>
                <w:lang w:eastAsia="fr-FR"/>
              </w:rPr>
            </w:pPr>
          </w:p>
        </w:tc>
      </w:tr>
      <w:tr w:rsidR="00550FF9" w:rsidRPr="000A6F45" w14:paraId="39D2A8FB" w14:textId="77777777" w:rsidTr="009F5259">
        <w:trPr>
          <w:trHeight w:val="300"/>
        </w:trPr>
        <w:tc>
          <w:tcPr>
            <w:tcW w:w="429" w:type="pct"/>
            <w:vMerge/>
            <w:tcBorders>
              <w:top w:val="nil"/>
              <w:left w:val="single" w:sz="8" w:space="0" w:color="auto"/>
              <w:bottom w:val="single" w:sz="8" w:space="0" w:color="000000"/>
              <w:right w:val="single" w:sz="8" w:space="0" w:color="auto"/>
            </w:tcBorders>
            <w:shd w:val="clear" w:color="auto" w:fill="auto"/>
            <w:vAlign w:val="center"/>
          </w:tcPr>
          <w:p w14:paraId="43F577EF" w14:textId="77777777" w:rsidR="00550FF9" w:rsidRPr="000A6F45" w:rsidRDefault="00550FF9" w:rsidP="00550FF9">
            <w:pPr>
              <w:rPr>
                <w:rFonts w:cs="Arial"/>
                <w:color w:val="000000"/>
                <w:sz w:val="18"/>
                <w:szCs w:val="18"/>
                <w:lang w:eastAsia="nl-NL"/>
              </w:rPr>
            </w:pPr>
          </w:p>
        </w:tc>
        <w:tc>
          <w:tcPr>
            <w:tcW w:w="788" w:type="pct"/>
            <w:vMerge/>
            <w:tcBorders>
              <w:top w:val="nil"/>
              <w:left w:val="single" w:sz="8" w:space="0" w:color="auto"/>
              <w:bottom w:val="single" w:sz="8" w:space="0" w:color="000000"/>
              <w:right w:val="single" w:sz="8" w:space="0" w:color="auto"/>
            </w:tcBorders>
            <w:shd w:val="clear" w:color="auto" w:fill="auto"/>
            <w:vAlign w:val="center"/>
          </w:tcPr>
          <w:p w14:paraId="3B06DBB3" w14:textId="77777777" w:rsidR="00550FF9" w:rsidRPr="000A6F45" w:rsidRDefault="00550FF9" w:rsidP="00550FF9">
            <w:pPr>
              <w:rPr>
                <w:rFonts w:cs="Arial"/>
                <w:color w:val="000000"/>
                <w:sz w:val="18"/>
                <w:szCs w:val="18"/>
                <w:lang w:eastAsia="nl-NL"/>
              </w:rPr>
            </w:pPr>
          </w:p>
        </w:tc>
        <w:tc>
          <w:tcPr>
            <w:tcW w:w="1216" w:type="pct"/>
            <w:vMerge/>
            <w:tcBorders>
              <w:top w:val="nil"/>
              <w:left w:val="single" w:sz="8" w:space="0" w:color="auto"/>
              <w:bottom w:val="single" w:sz="8" w:space="0" w:color="000000"/>
              <w:right w:val="single" w:sz="8" w:space="0" w:color="auto"/>
            </w:tcBorders>
            <w:shd w:val="clear" w:color="auto" w:fill="auto"/>
            <w:vAlign w:val="center"/>
          </w:tcPr>
          <w:p w14:paraId="11272DA2" w14:textId="77777777" w:rsidR="00550FF9" w:rsidRPr="000A6F45" w:rsidRDefault="00550FF9" w:rsidP="00550FF9">
            <w:pPr>
              <w:rPr>
                <w:rFonts w:cs="Arial"/>
                <w:i/>
                <w:iCs/>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shd w:val="clear" w:color="auto" w:fill="auto"/>
            <w:vAlign w:val="center"/>
          </w:tcPr>
          <w:p w14:paraId="270E5DE5" w14:textId="77777777" w:rsidR="00550FF9" w:rsidRPr="000A6F45" w:rsidRDefault="00550FF9" w:rsidP="00550FF9">
            <w:pPr>
              <w:rPr>
                <w:rFonts w:cs="Arial"/>
                <w:color w:val="000000"/>
                <w:sz w:val="18"/>
                <w:szCs w:val="18"/>
                <w:lang w:eastAsia="nl-NL"/>
              </w:rPr>
            </w:pPr>
          </w:p>
        </w:tc>
        <w:tc>
          <w:tcPr>
            <w:tcW w:w="1919" w:type="pct"/>
            <w:vMerge/>
            <w:tcBorders>
              <w:top w:val="nil"/>
              <w:left w:val="single" w:sz="8" w:space="0" w:color="auto"/>
              <w:bottom w:val="single" w:sz="8" w:space="0" w:color="000000"/>
              <w:right w:val="single" w:sz="8" w:space="0" w:color="auto"/>
            </w:tcBorders>
            <w:shd w:val="clear" w:color="auto" w:fill="auto"/>
            <w:vAlign w:val="center"/>
          </w:tcPr>
          <w:p w14:paraId="6D34DCF3" w14:textId="77777777" w:rsidR="00550FF9" w:rsidRPr="000A6F45" w:rsidRDefault="00550FF9" w:rsidP="00550FF9">
            <w:pPr>
              <w:rPr>
                <w:rFonts w:cs="Arial"/>
                <w:color w:val="000000"/>
                <w:sz w:val="18"/>
                <w:szCs w:val="18"/>
                <w:lang w:eastAsia="nl-NL"/>
              </w:rPr>
            </w:pPr>
          </w:p>
        </w:tc>
        <w:tc>
          <w:tcPr>
            <w:tcW w:w="80" w:type="pct"/>
            <w:vAlign w:val="center"/>
          </w:tcPr>
          <w:p w14:paraId="200D506A" w14:textId="77777777" w:rsidR="00550FF9" w:rsidRPr="000A6F45" w:rsidRDefault="00550FF9" w:rsidP="00550FF9">
            <w:pPr>
              <w:rPr>
                <w:rFonts w:ascii="Times New Roman" w:hAnsi="Times New Roman"/>
                <w:lang w:eastAsia="fr-FR"/>
              </w:rPr>
            </w:pPr>
          </w:p>
        </w:tc>
      </w:tr>
      <w:tr w:rsidR="00550FF9" w:rsidRPr="000A6F45" w14:paraId="2DE953BF" w14:textId="77777777" w:rsidTr="009F5259">
        <w:trPr>
          <w:trHeight w:val="315"/>
        </w:trPr>
        <w:tc>
          <w:tcPr>
            <w:tcW w:w="429" w:type="pct"/>
            <w:vMerge/>
            <w:tcBorders>
              <w:top w:val="nil"/>
              <w:left w:val="single" w:sz="8" w:space="0" w:color="auto"/>
              <w:bottom w:val="single" w:sz="8" w:space="0" w:color="000000"/>
              <w:right w:val="single" w:sz="8" w:space="0" w:color="auto"/>
            </w:tcBorders>
            <w:vAlign w:val="center"/>
          </w:tcPr>
          <w:p w14:paraId="61A9810B" w14:textId="77777777" w:rsidR="00550FF9" w:rsidRPr="000A6F45" w:rsidRDefault="00550FF9" w:rsidP="00550FF9">
            <w:pPr>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tcPr>
          <w:p w14:paraId="3EC8775C" w14:textId="77777777" w:rsidR="00550FF9" w:rsidRPr="000A6F45" w:rsidRDefault="00550FF9" w:rsidP="00550FF9">
            <w:pPr>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tcPr>
          <w:p w14:paraId="2B97E1A2" w14:textId="77777777" w:rsidR="00550FF9" w:rsidRPr="000A6F45" w:rsidRDefault="00550FF9" w:rsidP="00550FF9">
            <w:pPr>
              <w:rPr>
                <w:rFonts w:cs="Arial"/>
                <w:i/>
                <w:iCs/>
                <w:color w:val="000000"/>
                <w:sz w:val="18"/>
                <w:szCs w:val="18"/>
                <w:lang w:eastAsia="fr-FR"/>
              </w:rPr>
            </w:pPr>
          </w:p>
        </w:tc>
        <w:tc>
          <w:tcPr>
            <w:tcW w:w="568" w:type="pct"/>
            <w:vMerge/>
            <w:tcBorders>
              <w:top w:val="nil"/>
              <w:left w:val="single" w:sz="8" w:space="0" w:color="auto"/>
              <w:bottom w:val="single" w:sz="8" w:space="0" w:color="000000"/>
              <w:right w:val="single" w:sz="8" w:space="0" w:color="auto"/>
            </w:tcBorders>
            <w:vAlign w:val="center"/>
          </w:tcPr>
          <w:p w14:paraId="7CB7DC30" w14:textId="77777777" w:rsidR="00550FF9" w:rsidRPr="000A6F45" w:rsidRDefault="00550FF9" w:rsidP="00550FF9">
            <w:pPr>
              <w:rPr>
                <w:rFonts w:cs="Arial"/>
                <w:color w:val="000000"/>
                <w:sz w:val="18"/>
                <w:szCs w:val="18"/>
                <w:lang w:eastAsia="fr-FR"/>
              </w:rPr>
            </w:pPr>
          </w:p>
        </w:tc>
        <w:tc>
          <w:tcPr>
            <w:tcW w:w="1919" w:type="pct"/>
            <w:vMerge/>
            <w:tcBorders>
              <w:top w:val="nil"/>
              <w:left w:val="single" w:sz="8" w:space="0" w:color="auto"/>
              <w:bottom w:val="single" w:sz="8" w:space="0" w:color="000000"/>
              <w:right w:val="single" w:sz="8" w:space="0" w:color="auto"/>
            </w:tcBorders>
            <w:vAlign w:val="center"/>
          </w:tcPr>
          <w:p w14:paraId="3487238F" w14:textId="77777777" w:rsidR="00550FF9" w:rsidRPr="000A6F45" w:rsidRDefault="00550FF9" w:rsidP="00550FF9">
            <w:pPr>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3F6C042F" w14:textId="77777777" w:rsidR="00550FF9" w:rsidRPr="000A6F45" w:rsidRDefault="00550FF9" w:rsidP="00550FF9">
            <w:pPr>
              <w:rPr>
                <w:rFonts w:cs="Arial"/>
                <w:color w:val="000000"/>
                <w:lang w:eastAsia="fr-FR"/>
              </w:rPr>
            </w:pPr>
          </w:p>
        </w:tc>
      </w:tr>
    </w:tbl>
    <w:p w14:paraId="6B3E839A" w14:textId="77777777" w:rsidR="00550FF9" w:rsidRPr="000A6F45" w:rsidRDefault="00550FF9" w:rsidP="00550FF9">
      <w:pPr>
        <w:rPr>
          <w:lang w:eastAsia="fr-FR"/>
        </w:rPr>
      </w:pPr>
    </w:p>
    <w:p w14:paraId="584B9425" w14:textId="77777777" w:rsidR="00550FF9" w:rsidRPr="000A6F45" w:rsidRDefault="00550FF9" w:rsidP="00550FF9">
      <w:pPr>
        <w:rPr>
          <w:lang w:eastAsia="fr-FR"/>
        </w:rPr>
      </w:pPr>
    </w:p>
    <w:p w14:paraId="667F2A2D" w14:textId="77777777" w:rsidR="00E33CFC" w:rsidRPr="000A6F45" w:rsidRDefault="00044CA4" w:rsidP="006044A9">
      <w:pPr>
        <w:pStyle w:val="Heading1Annex"/>
      </w:pPr>
      <w:bookmarkStart w:id="88" w:name="_Toc178243088"/>
      <w:r w:rsidRPr="000A6F45">
        <w:t>VI.</w:t>
      </w:r>
      <w:r w:rsidRPr="000A6F45">
        <w:tab/>
        <w:t>Encuesta de seguimiento tras la aprobación</w:t>
      </w:r>
      <w:bookmarkEnd w:id="88"/>
    </w:p>
    <w:p w14:paraId="3781FF47" w14:textId="77777777" w:rsidR="00550FF9" w:rsidRPr="000A6F45" w:rsidRDefault="00550FF9" w:rsidP="00550FF9">
      <w:pPr>
        <w:keepNext/>
        <w:rPr>
          <w:lang w:eastAsia="fr-FR"/>
        </w:rPr>
      </w:pPr>
    </w:p>
    <w:p w14:paraId="112B1519"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89" w:author="SANCHEZ VIZCAINO GOMEZ Rosa Maria" w:date="2024-09-23T14:37:00Z" w16du:dateUtc="2024-09-23T12:37:00Z" w:original="34."/>
        </w:fldChar>
      </w:r>
      <w:r w:rsidR="00550FF9" w:rsidRPr="000A6F45">
        <w:rPr>
          <w:lang w:eastAsia="fr-FR"/>
        </w:rPr>
        <w:tab/>
        <w:t xml:space="preserve">La validación del marcador no es fija, ya que pueden surgir nuevas genéticas en el mercado. Se trata de un proceso de evaluación continua. La especificidad debe reevaluarse tras la aceptación de la validación utilizando pruebas dobles al menos durante el primer año con el método de observación. </w:t>
      </w:r>
    </w:p>
    <w:p w14:paraId="3CD50C71" w14:textId="77777777" w:rsidR="00550FF9" w:rsidRPr="000A6F45" w:rsidRDefault="00550FF9" w:rsidP="00550FF9">
      <w:pPr>
        <w:rPr>
          <w:lang w:eastAsia="fr-FR"/>
        </w:rPr>
      </w:pPr>
    </w:p>
    <w:p w14:paraId="544B12E8" w14:textId="77777777" w:rsidR="00E33CFC" w:rsidRPr="000A6F45" w:rsidRDefault="00044CA4">
      <w:pPr>
        <w:rPr>
          <w:lang w:eastAsia="fr-FR"/>
        </w:rPr>
      </w:pPr>
      <w:r w:rsidRPr="000A6F45">
        <w:fldChar w:fldCharType="begin"/>
      </w:r>
      <w:r w:rsidRPr="000A6F45">
        <w:instrText xml:space="preserve"> LISTNUM  LegalDefault \l 1 </w:instrText>
      </w:r>
      <w:r w:rsidRPr="000A6F45">
        <w:fldChar w:fldCharType="end">
          <w:numberingChange w:id="90" w:author="SANCHEZ VIZCAINO GOMEZ Rosa Maria" w:date="2024-09-23T14:37:00Z" w16du:dateUtc="2024-09-23T12:37:00Z" w:original="35."/>
        </w:fldChar>
      </w:r>
      <w:r w:rsidR="00550FF9" w:rsidRPr="000A6F45">
        <w:rPr>
          <w:lang w:eastAsia="fr-FR"/>
        </w:rPr>
        <w:tab/>
        <w:t>Tras el primer año de aceptación del protocolo, deberán realizarse controles morfológicos de aproximadamente el 10% de las nuevas variedades.</w:t>
      </w:r>
    </w:p>
    <w:p w14:paraId="5F212F89" w14:textId="77777777" w:rsidR="00550FF9" w:rsidRPr="000A6F45" w:rsidRDefault="00550FF9" w:rsidP="00550FF9">
      <w:pPr>
        <w:jc w:val="left"/>
      </w:pPr>
    </w:p>
    <w:p w14:paraId="17299222" w14:textId="77777777" w:rsidR="00EF4B00" w:rsidRPr="000A6F45" w:rsidRDefault="00EF4B00" w:rsidP="00EF4B00"/>
    <w:p w14:paraId="30D7E364" w14:textId="77777777" w:rsidR="003D7A73" w:rsidRPr="000A6F45" w:rsidRDefault="003D7A73" w:rsidP="00EF4B00"/>
    <w:p w14:paraId="653B4047" w14:textId="77777777" w:rsidR="00E33CFC" w:rsidRPr="000A6F45" w:rsidRDefault="00044CA4">
      <w:pPr>
        <w:jc w:val="right"/>
      </w:pPr>
      <w:r w:rsidRPr="000A6F45">
        <w:t>[Fin del anexo y del documento]</w:t>
      </w:r>
    </w:p>
    <w:sectPr w:rsidR="00E33CFC" w:rsidRPr="000A6F45" w:rsidSect="00A35F5E">
      <w:headerReference w:type="default" r:id="rId10"/>
      <w:headerReference w:type="first" r:id="rId11"/>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28406" w14:textId="77777777" w:rsidR="00DC51CA" w:rsidRDefault="00DC51CA" w:rsidP="006655D3">
      <w:r>
        <w:separator/>
      </w:r>
    </w:p>
    <w:p w14:paraId="370FC8B3" w14:textId="77777777" w:rsidR="00DC51CA" w:rsidRDefault="00DC51CA" w:rsidP="006655D3"/>
    <w:p w14:paraId="739351DE" w14:textId="77777777" w:rsidR="00DC51CA" w:rsidRDefault="00DC51CA" w:rsidP="006655D3"/>
  </w:endnote>
  <w:endnote w:type="continuationSeparator" w:id="0">
    <w:p w14:paraId="46CB89B4" w14:textId="77777777" w:rsidR="00DC51CA" w:rsidRDefault="00DC51CA" w:rsidP="006655D3">
      <w:r>
        <w:separator/>
      </w:r>
    </w:p>
    <w:p w14:paraId="096E8BA5" w14:textId="77777777" w:rsidR="00E33CFC" w:rsidRDefault="00044CA4">
      <w:pPr>
        <w:pStyle w:val="Footer"/>
        <w:spacing w:after="60"/>
        <w:rPr>
          <w:sz w:val="18"/>
          <w:lang w:val="fr-FR"/>
        </w:rPr>
      </w:pPr>
      <w:r w:rsidRPr="00294751">
        <w:rPr>
          <w:sz w:val="18"/>
          <w:lang w:val="fr-FR"/>
        </w:rPr>
        <w:t>[Suite de la note de la page précédente]</w:t>
      </w:r>
    </w:p>
    <w:p w14:paraId="70EFF6D4" w14:textId="77777777" w:rsidR="00DC51CA" w:rsidRPr="00294751" w:rsidRDefault="00DC51CA" w:rsidP="006655D3">
      <w:pPr>
        <w:rPr>
          <w:lang w:val="fr-FR"/>
        </w:rPr>
      </w:pPr>
    </w:p>
    <w:p w14:paraId="40DD2491" w14:textId="77777777" w:rsidR="00DC51CA" w:rsidRPr="00294751" w:rsidRDefault="00DC51CA" w:rsidP="006655D3">
      <w:pPr>
        <w:rPr>
          <w:lang w:val="fr-FR"/>
        </w:rPr>
      </w:pPr>
    </w:p>
  </w:endnote>
  <w:endnote w:type="continuationNotice" w:id="1">
    <w:p w14:paraId="2633DDBF" w14:textId="77777777" w:rsidR="00E33CFC" w:rsidRDefault="00044CA4">
      <w:pPr>
        <w:rPr>
          <w:lang w:val="fr-FR"/>
        </w:rPr>
      </w:pPr>
      <w:r w:rsidRPr="00294751">
        <w:rPr>
          <w:lang w:val="fr-FR"/>
        </w:rPr>
        <w:t>[Suite de la note page suivante]</w:t>
      </w:r>
    </w:p>
    <w:p w14:paraId="2ECEB93C" w14:textId="77777777" w:rsidR="00DC51CA" w:rsidRPr="00294751" w:rsidRDefault="00DC51CA" w:rsidP="006655D3">
      <w:pPr>
        <w:rPr>
          <w:lang w:val="fr-FR"/>
        </w:rPr>
      </w:pPr>
    </w:p>
    <w:p w14:paraId="4BA50C43"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E855" w14:textId="77777777" w:rsidR="00DC51CA" w:rsidRDefault="00DC51CA" w:rsidP="006655D3">
      <w:r>
        <w:separator/>
      </w:r>
    </w:p>
  </w:footnote>
  <w:footnote w:type="continuationSeparator" w:id="0">
    <w:p w14:paraId="66B66707" w14:textId="77777777" w:rsidR="00DC51CA" w:rsidRDefault="00DC51CA" w:rsidP="006655D3">
      <w:r>
        <w:separator/>
      </w:r>
    </w:p>
  </w:footnote>
  <w:footnote w:type="continuationNotice" w:id="1">
    <w:p w14:paraId="28880306" w14:textId="77777777" w:rsidR="00DC51CA" w:rsidRPr="00AB530F" w:rsidRDefault="00DC51CA" w:rsidP="00AB530F">
      <w:pPr>
        <w:pStyle w:val="Footer"/>
      </w:pPr>
    </w:p>
  </w:footnote>
  <w:footnote w:id="2">
    <w:p w14:paraId="5AC51AB4" w14:textId="77777777" w:rsidR="00E33CFC" w:rsidRDefault="00044CA4">
      <w:pPr>
        <w:pStyle w:val="FootnoteText"/>
      </w:pPr>
      <w:r>
        <w:rPr>
          <w:rStyle w:val="FootnoteReference"/>
        </w:rPr>
        <w:footnoteRef/>
      </w:r>
      <w:r>
        <w:t xml:space="preserve"> TWM, segunda sesión, celebrada por medios electrónicos, del 8 al 11 de abril de 2024. Véase el documento TWM/2/21 "Informe", párrafos 57 a 61</w:t>
      </w:r>
      <w:r w:rsidR="008A52E0">
        <w:t>.</w:t>
      </w:r>
    </w:p>
  </w:footnote>
  <w:footnote w:id="3">
    <w:p w14:paraId="569E5B8F" w14:textId="77777777" w:rsidR="00E33CFC" w:rsidRDefault="00044CA4">
      <w:pPr>
        <w:pStyle w:val="FootnoteText"/>
      </w:pPr>
      <w:r>
        <w:rPr>
          <w:rStyle w:val="FootnoteReference"/>
        </w:rPr>
        <w:footnoteRef/>
      </w:r>
      <w:r w:rsidRPr="008A52E0">
        <w:rPr>
          <w:spacing w:val="-2"/>
        </w:rPr>
        <w:t xml:space="preserve"> TWV, quincuagésima octava sesión, celebrada por medios electrónicos, del 22 al 25 de abril de 2024. Véase el documento TWV//58/11 "Informe", </w:t>
      </w:r>
      <w:r w:rsidR="008A52E0" w:rsidRPr="008A52E0">
        <w:rPr>
          <w:spacing w:val="-2"/>
        </w:rPr>
        <w:t xml:space="preserve">párrafos </w:t>
      </w:r>
      <w:r w:rsidRPr="008A52E0">
        <w:rPr>
          <w:spacing w:val="-2"/>
        </w:rPr>
        <w:t>54 a 58</w:t>
      </w:r>
      <w:r w:rsidR="008A52E0" w:rsidRPr="008A52E0">
        <w:rPr>
          <w:spacing w:val="-2"/>
        </w:rPr>
        <w:t>.</w:t>
      </w:r>
    </w:p>
  </w:footnote>
  <w:footnote w:id="4">
    <w:p w14:paraId="142B5392" w14:textId="77777777" w:rsidR="00E33CFC" w:rsidRDefault="00044CA4">
      <w:pPr>
        <w:pStyle w:val="FootnoteText"/>
      </w:pPr>
      <w:r w:rsidRPr="00A96C63">
        <w:rPr>
          <w:rStyle w:val="FootnoteReference"/>
        </w:rPr>
        <w:footnoteRef/>
      </w:r>
      <w:r>
        <w:t xml:space="preserve"> TC, quincuagésima octava sesión, </w:t>
      </w:r>
      <w:r w:rsidRPr="00A96C63">
        <w:t>celebrada en Ginebra, los días 24 y 25 de octubre de 2022</w:t>
      </w:r>
      <w:r w:rsidR="00825360">
        <w:t>.</w:t>
      </w:r>
    </w:p>
  </w:footnote>
  <w:footnote w:id="5">
    <w:p w14:paraId="5D31BA9D" w14:textId="77777777" w:rsidR="00E33CFC" w:rsidRDefault="00044CA4">
      <w:pPr>
        <w:pStyle w:val="FootnoteText"/>
      </w:pPr>
      <w:r w:rsidRPr="00A96C63">
        <w:rPr>
          <w:rStyle w:val="FootnoteReference"/>
        </w:rPr>
        <w:footnoteRef/>
      </w:r>
      <w:r>
        <w:t xml:space="preserve"> TC, quincuagésima novena sesión, </w:t>
      </w:r>
      <w:r w:rsidRPr="00A96C63">
        <w:t xml:space="preserve">celebrada en Ginebra, los días </w:t>
      </w:r>
      <w:r w:rsidR="0010001A">
        <w:t xml:space="preserve">23 </w:t>
      </w:r>
      <w:r w:rsidRPr="00A96C63">
        <w:t xml:space="preserve">y </w:t>
      </w:r>
      <w:r w:rsidR="0010001A">
        <w:t xml:space="preserve">24 </w:t>
      </w:r>
      <w:r w:rsidRPr="00A96C63">
        <w:t xml:space="preserve">de octubre de </w:t>
      </w:r>
      <w:r w:rsidR="0010001A">
        <w:t>2023</w:t>
      </w:r>
      <w:r w:rsidR="00825360">
        <w:t>.</w:t>
      </w:r>
    </w:p>
  </w:footnote>
  <w:footnote w:id="6">
    <w:p w14:paraId="57D10A2D" w14:textId="77777777" w:rsidR="00E33CFC" w:rsidRDefault="00044CA4">
      <w:pPr>
        <w:pStyle w:val="FootnoteText"/>
      </w:pPr>
      <w:r>
        <w:rPr>
          <w:rStyle w:val="FootnoteReference"/>
        </w:rPr>
        <w:footnoteRef/>
      </w:r>
      <w:r>
        <w:t xml:space="preserve"> TWM, segunda sesión, celebrada por medios electrónicos, del 8 al 11 de abril de 2024. Véase el documento TWM/2/21 "Informe", párrafos 57 a 61</w:t>
      </w:r>
      <w:r w:rsidR="0082536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BE68" w14:textId="0DB2CBBB" w:rsidR="00E33CFC" w:rsidRDefault="000A6F45">
    <w:pPr>
      <w:pStyle w:val="Header"/>
      <w:rPr>
        <w:rStyle w:val="PageNumber"/>
        <w:lang w:val="en-US"/>
      </w:rPr>
    </w:pPr>
    <w:r>
      <w:rPr>
        <w:rStyle w:val="PageNumber"/>
        <w:lang w:val="en-US"/>
      </w:rPr>
      <w:t>SESSIONS/2024</w:t>
    </w:r>
    <w:r w:rsidR="002A12E1">
      <w:rPr>
        <w:rStyle w:val="PageNumber"/>
        <w:lang w:val="en-US"/>
      </w:rPr>
      <w:t>/6</w:t>
    </w:r>
  </w:p>
  <w:p w14:paraId="402141C5" w14:textId="77777777" w:rsidR="00E33CFC" w:rsidRDefault="00044CA4">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56E4FFED"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CF364" w14:textId="397EB2C0" w:rsidR="00E33CFC" w:rsidRDefault="000A6F45">
    <w:pPr>
      <w:pStyle w:val="Header"/>
      <w:rPr>
        <w:rStyle w:val="PageNumber"/>
        <w:lang w:val="en-US"/>
      </w:rPr>
    </w:pPr>
    <w:r>
      <w:rPr>
        <w:rStyle w:val="PageNumber"/>
        <w:lang w:val="en-US"/>
      </w:rPr>
      <w:t>SESSIONS/2024</w:t>
    </w:r>
    <w:r w:rsidR="00044CA4">
      <w:rPr>
        <w:rStyle w:val="PageNumber"/>
        <w:lang w:val="en-US"/>
      </w:rPr>
      <w:t>/6</w:t>
    </w:r>
  </w:p>
  <w:p w14:paraId="72922329" w14:textId="77777777" w:rsidR="00E33CFC" w:rsidRDefault="00044CA4">
    <w:pPr>
      <w:pStyle w:val="Header"/>
      <w:rPr>
        <w:lang w:val="en-US"/>
      </w:rPr>
    </w:pPr>
    <w:r>
      <w:rPr>
        <w:lang w:val="en-US"/>
      </w:rPr>
      <w:t xml:space="preserve">Anexo,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B5BC1F2" w14:textId="77777777" w:rsidR="00550FF9" w:rsidRPr="00C5280D" w:rsidRDefault="00550FF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1357A" w14:textId="21334960" w:rsidR="00E33CFC" w:rsidRDefault="000A6F45">
    <w:pPr>
      <w:pStyle w:val="Header"/>
      <w:rPr>
        <w:rStyle w:val="PageNumber"/>
        <w:lang w:val="en-US"/>
      </w:rPr>
    </w:pPr>
    <w:r>
      <w:rPr>
        <w:rStyle w:val="PageNumber"/>
        <w:lang w:val="en-US"/>
      </w:rPr>
      <w:t>SESSIONS/2024</w:t>
    </w:r>
    <w:r w:rsidR="00044CA4">
      <w:rPr>
        <w:rStyle w:val="PageNumber"/>
        <w:lang w:val="en-US"/>
      </w:rPr>
      <w:t>/6</w:t>
    </w:r>
  </w:p>
  <w:p w14:paraId="250D6CFA" w14:textId="77777777" w:rsidR="00550FF9" w:rsidRDefault="00550FF9" w:rsidP="00550FF9">
    <w:pPr>
      <w:pStyle w:val="Header"/>
      <w:rPr>
        <w:lang w:val="en-US"/>
      </w:rPr>
    </w:pPr>
  </w:p>
  <w:p w14:paraId="0F1A7CA1" w14:textId="77777777" w:rsidR="00E33CFC" w:rsidRDefault="00044CA4">
    <w:pPr>
      <w:pStyle w:val="Header"/>
      <w:rPr>
        <w:lang w:val="en-US"/>
      </w:rPr>
    </w:pPr>
    <w:r>
      <w:rPr>
        <w:lang w:val="en-US"/>
      </w:rPr>
      <w:t>ANEXO</w:t>
    </w:r>
  </w:p>
  <w:p w14:paraId="062BDCBF" w14:textId="77777777" w:rsidR="00550FF9" w:rsidRPr="0004198B"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3"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6"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9"/>
  </w:num>
  <w:num w:numId="2" w16cid:durableId="400761307">
    <w:abstractNumId w:val="8"/>
  </w:num>
  <w:num w:numId="3" w16cid:durableId="2101874822">
    <w:abstractNumId w:val="7"/>
  </w:num>
  <w:num w:numId="4" w16cid:durableId="408501716">
    <w:abstractNumId w:val="1"/>
  </w:num>
  <w:num w:numId="5" w16cid:durableId="937522431">
    <w:abstractNumId w:val="5"/>
  </w:num>
  <w:num w:numId="6" w16cid:durableId="484014185">
    <w:abstractNumId w:val="6"/>
  </w:num>
  <w:num w:numId="7" w16cid:durableId="1027028850">
    <w:abstractNumId w:val="6"/>
    <w:lvlOverride w:ilvl="0">
      <w:startOverride w:val="1"/>
    </w:lvlOverride>
  </w:num>
  <w:num w:numId="8" w16cid:durableId="748161896">
    <w:abstractNumId w:val="6"/>
    <w:lvlOverride w:ilvl="0">
      <w:startOverride w:val="1"/>
    </w:lvlOverride>
  </w:num>
  <w:num w:numId="9" w16cid:durableId="1246569638">
    <w:abstractNumId w:val="6"/>
    <w:lvlOverride w:ilvl="0">
      <w:startOverride w:val="1"/>
    </w:lvlOverride>
  </w:num>
  <w:num w:numId="10" w16cid:durableId="730927524">
    <w:abstractNumId w:val="6"/>
    <w:lvlOverride w:ilvl="0">
      <w:startOverride w:val="1"/>
    </w:lvlOverride>
  </w:num>
  <w:num w:numId="11" w16cid:durableId="1772823668">
    <w:abstractNumId w:val="1"/>
    <w:lvlOverride w:ilvl="0">
      <w:startOverride w:val="1"/>
    </w:lvlOverride>
  </w:num>
  <w:num w:numId="12" w16cid:durableId="1272204577">
    <w:abstractNumId w:val="6"/>
    <w:lvlOverride w:ilvl="0">
      <w:startOverride w:val="1"/>
    </w:lvlOverride>
  </w:num>
  <w:num w:numId="13" w16cid:durableId="1515454636">
    <w:abstractNumId w:val="6"/>
    <w:lvlOverride w:ilvl="0">
      <w:startOverride w:val="1"/>
    </w:lvlOverride>
  </w:num>
  <w:num w:numId="14" w16cid:durableId="465464437">
    <w:abstractNumId w:val="6"/>
    <w:lvlOverride w:ilvl="0">
      <w:startOverride w:val="1"/>
    </w:lvlOverride>
  </w:num>
  <w:num w:numId="15" w16cid:durableId="1802335823">
    <w:abstractNumId w:val="0"/>
  </w:num>
  <w:num w:numId="16" w16cid:durableId="14625678">
    <w:abstractNumId w:val="4"/>
  </w:num>
  <w:num w:numId="17" w16cid:durableId="5327700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5884"/>
    <w:rsid w:val="00036028"/>
    <w:rsid w:val="0004198B"/>
    <w:rsid w:val="00044642"/>
    <w:rsid w:val="000446B9"/>
    <w:rsid w:val="00044CA4"/>
    <w:rsid w:val="00047CF1"/>
    <w:rsid w:val="00047E21"/>
    <w:rsid w:val="00050E16"/>
    <w:rsid w:val="00051ADC"/>
    <w:rsid w:val="00085505"/>
    <w:rsid w:val="000A6F45"/>
    <w:rsid w:val="000C4E25"/>
    <w:rsid w:val="000C7021"/>
    <w:rsid w:val="000D6BBC"/>
    <w:rsid w:val="000D7780"/>
    <w:rsid w:val="000E636A"/>
    <w:rsid w:val="000F2F11"/>
    <w:rsid w:val="0010001A"/>
    <w:rsid w:val="00100A5F"/>
    <w:rsid w:val="00105929"/>
    <w:rsid w:val="00110AC8"/>
    <w:rsid w:val="00110BED"/>
    <w:rsid w:val="00110C36"/>
    <w:rsid w:val="001131D5"/>
    <w:rsid w:val="00114547"/>
    <w:rsid w:val="00122C95"/>
    <w:rsid w:val="00124B80"/>
    <w:rsid w:val="00141DB8"/>
    <w:rsid w:val="00143B09"/>
    <w:rsid w:val="0014482F"/>
    <w:rsid w:val="00172084"/>
    <w:rsid w:val="0017474A"/>
    <w:rsid w:val="001758C6"/>
    <w:rsid w:val="00182B99"/>
    <w:rsid w:val="001A0DD8"/>
    <w:rsid w:val="001A621F"/>
    <w:rsid w:val="001B2365"/>
    <w:rsid w:val="001C1525"/>
    <w:rsid w:val="001C3B54"/>
    <w:rsid w:val="001C3C5C"/>
    <w:rsid w:val="001D28A3"/>
    <w:rsid w:val="001D736D"/>
    <w:rsid w:val="001E26DD"/>
    <w:rsid w:val="0021332C"/>
    <w:rsid w:val="00213982"/>
    <w:rsid w:val="0024416D"/>
    <w:rsid w:val="00263789"/>
    <w:rsid w:val="00271911"/>
    <w:rsid w:val="00273187"/>
    <w:rsid w:val="002800A0"/>
    <w:rsid w:val="002801B3"/>
    <w:rsid w:val="00281060"/>
    <w:rsid w:val="0028168A"/>
    <w:rsid w:val="00285BD0"/>
    <w:rsid w:val="002940E8"/>
    <w:rsid w:val="00294751"/>
    <w:rsid w:val="002A12E1"/>
    <w:rsid w:val="002A6E50"/>
    <w:rsid w:val="002B4298"/>
    <w:rsid w:val="002B7A36"/>
    <w:rsid w:val="002C256A"/>
    <w:rsid w:val="002C5E60"/>
    <w:rsid w:val="002D5226"/>
    <w:rsid w:val="002F3B82"/>
    <w:rsid w:val="002F4F74"/>
    <w:rsid w:val="003012FA"/>
    <w:rsid w:val="00305A7F"/>
    <w:rsid w:val="003152FE"/>
    <w:rsid w:val="00327436"/>
    <w:rsid w:val="00342001"/>
    <w:rsid w:val="00344BD6"/>
    <w:rsid w:val="0035528D"/>
    <w:rsid w:val="00361821"/>
    <w:rsid w:val="00361E9E"/>
    <w:rsid w:val="00362DE3"/>
    <w:rsid w:val="003753EE"/>
    <w:rsid w:val="00383D5A"/>
    <w:rsid w:val="00393C08"/>
    <w:rsid w:val="003A0835"/>
    <w:rsid w:val="003A2DA4"/>
    <w:rsid w:val="003A5AAF"/>
    <w:rsid w:val="003B700A"/>
    <w:rsid w:val="003C7FBE"/>
    <w:rsid w:val="003D227C"/>
    <w:rsid w:val="003D2B4D"/>
    <w:rsid w:val="003D7A73"/>
    <w:rsid w:val="003F37F5"/>
    <w:rsid w:val="00444A88"/>
    <w:rsid w:val="0046537A"/>
    <w:rsid w:val="00474DA4"/>
    <w:rsid w:val="00476B4D"/>
    <w:rsid w:val="004805FA"/>
    <w:rsid w:val="00487C4A"/>
    <w:rsid w:val="004935D2"/>
    <w:rsid w:val="004B1215"/>
    <w:rsid w:val="004D047D"/>
    <w:rsid w:val="004D217B"/>
    <w:rsid w:val="004D46E0"/>
    <w:rsid w:val="004F1E9E"/>
    <w:rsid w:val="004F305A"/>
    <w:rsid w:val="00512164"/>
    <w:rsid w:val="00520297"/>
    <w:rsid w:val="00522B64"/>
    <w:rsid w:val="005338F9"/>
    <w:rsid w:val="0054281C"/>
    <w:rsid w:val="00544581"/>
    <w:rsid w:val="00550FF9"/>
    <w:rsid w:val="0055268D"/>
    <w:rsid w:val="00575DE2"/>
    <w:rsid w:val="00576BE4"/>
    <w:rsid w:val="005779DB"/>
    <w:rsid w:val="005A400A"/>
    <w:rsid w:val="005B269D"/>
    <w:rsid w:val="005B3F0B"/>
    <w:rsid w:val="005B6C70"/>
    <w:rsid w:val="005C3343"/>
    <w:rsid w:val="005F7B92"/>
    <w:rsid w:val="006044A9"/>
    <w:rsid w:val="00612379"/>
    <w:rsid w:val="006153B6"/>
    <w:rsid w:val="0061555F"/>
    <w:rsid w:val="006245ED"/>
    <w:rsid w:val="00636CA6"/>
    <w:rsid w:val="00641200"/>
    <w:rsid w:val="00644634"/>
    <w:rsid w:val="00645CA8"/>
    <w:rsid w:val="0064783F"/>
    <w:rsid w:val="006655D3"/>
    <w:rsid w:val="00667404"/>
    <w:rsid w:val="00676EFE"/>
    <w:rsid w:val="0068528F"/>
    <w:rsid w:val="006868F8"/>
    <w:rsid w:val="00687EB4"/>
    <w:rsid w:val="00695C56"/>
    <w:rsid w:val="006A263B"/>
    <w:rsid w:val="006A5CDE"/>
    <w:rsid w:val="006A644A"/>
    <w:rsid w:val="006B17D2"/>
    <w:rsid w:val="006C224E"/>
    <w:rsid w:val="006D3882"/>
    <w:rsid w:val="006D780A"/>
    <w:rsid w:val="006D7B49"/>
    <w:rsid w:val="006E4B7F"/>
    <w:rsid w:val="0071271E"/>
    <w:rsid w:val="007154FD"/>
    <w:rsid w:val="0073134C"/>
    <w:rsid w:val="00732DEC"/>
    <w:rsid w:val="00735BD5"/>
    <w:rsid w:val="007451EC"/>
    <w:rsid w:val="007476B1"/>
    <w:rsid w:val="00751613"/>
    <w:rsid w:val="00752F0F"/>
    <w:rsid w:val="00753EE9"/>
    <w:rsid w:val="007546B2"/>
    <w:rsid w:val="007556F6"/>
    <w:rsid w:val="00760EEF"/>
    <w:rsid w:val="00777EE5"/>
    <w:rsid w:val="00784836"/>
    <w:rsid w:val="0079023E"/>
    <w:rsid w:val="00795BFF"/>
    <w:rsid w:val="007A2854"/>
    <w:rsid w:val="007B73A9"/>
    <w:rsid w:val="007C01EB"/>
    <w:rsid w:val="007C0689"/>
    <w:rsid w:val="007C1D92"/>
    <w:rsid w:val="007C4CB9"/>
    <w:rsid w:val="007D0B9D"/>
    <w:rsid w:val="007D19B0"/>
    <w:rsid w:val="007F498F"/>
    <w:rsid w:val="0080679D"/>
    <w:rsid w:val="008108B0"/>
    <w:rsid w:val="00811B20"/>
    <w:rsid w:val="00812609"/>
    <w:rsid w:val="008211B5"/>
    <w:rsid w:val="0082296E"/>
    <w:rsid w:val="00824099"/>
    <w:rsid w:val="00825360"/>
    <w:rsid w:val="00831868"/>
    <w:rsid w:val="00843455"/>
    <w:rsid w:val="00846D7C"/>
    <w:rsid w:val="00867AC1"/>
    <w:rsid w:val="008751DE"/>
    <w:rsid w:val="00882BE8"/>
    <w:rsid w:val="00890DF8"/>
    <w:rsid w:val="008A0ADE"/>
    <w:rsid w:val="008A52E0"/>
    <w:rsid w:val="008A743F"/>
    <w:rsid w:val="008C0970"/>
    <w:rsid w:val="008D0BC5"/>
    <w:rsid w:val="008D2CF7"/>
    <w:rsid w:val="008F32FF"/>
    <w:rsid w:val="00900C26"/>
    <w:rsid w:val="0090197F"/>
    <w:rsid w:val="00903264"/>
    <w:rsid w:val="00906DDC"/>
    <w:rsid w:val="00934E09"/>
    <w:rsid w:val="00936253"/>
    <w:rsid w:val="00940D46"/>
    <w:rsid w:val="009413F1"/>
    <w:rsid w:val="00946401"/>
    <w:rsid w:val="00952DD4"/>
    <w:rsid w:val="009561F4"/>
    <w:rsid w:val="00965AE7"/>
    <w:rsid w:val="00970FED"/>
    <w:rsid w:val="00975B88"/>
    <w:rsid w:val="00986E0C"/>
    <w:rsid w:val="00992D82"/>
    <w:rsid w:val="00997029"/>
    <w:rsid w:val="009A7339"/>
    <w:rsid w:val="009B440E"/>
    <w:rsid w:val="009C1313"/>
    <w:rsid w:val="009C430E"/>
    <w:rsid w:val="009C7353"/>
    <w:rsid w:val="009D690D"/>
    <w:rsid w:val="009E65B6"/>
    <w:rsid w:val="009F0A51"/>
    <w:rsid w:val="009F5259"/>
    <w:rsid w:val="009F77CF"/>
    <w:rsid w:val="00A02C6D"/>
    <w:rsid w:val="00A21829"/>
    <w:rsid w:val="00A24C10"/>
    <w:rsid w:val="00A32BD8"/>
    <w:rsid w:val="00A33FD0"/>
    <w:rsid w:val="00A35F5E"/>
    <w:rsid w:val="00A42AC3"/>
    <w:rsid w:val="00A430CF"/>
    <w:rsid w:val="00A54309"/>
    <w:rsid w:val="00A610A9"/>
    <w:rsid w:val="00A655A8"/>
    <w:rsid w:val="00A80F2A"/>
    <w:rsid w:val="00A83A48"/>
    <w:rsid w:val="00A96C33"/>
    <w:rsid w:val="00AA13A2"/>
    <w:rsid w:val="00AB2B93"/>
    <w:rsid w:val="00AB530F"/>
    <w:rsid w:val="00AB7E5B"/>
    <w:rsid w:val="00AC2883"/>
    <w:rsid w:val="00AE0EF1"/>
    <w:rsid w:val="00AE2937"/>
    <w:rsid w:val="00B047D9"/>
    <w:rsid w:val="00B07301"/>
    <w:rsid w:val="00B11F3E"/>
    <w:rsid w:val="00B224DE"/>
    <w:rsid w:val="00B22ED6"/>
    <w:rsid w:val="00B324D4"/>
    <w:rsid w:val="00B42CC2"/>
    <w:rsid w:val="00B43A2A"/>
    <w:rsid w:val="00B46575"/>
    <w:rsid w:val="00B61777"/>
    <w:rsid w:val="00B622E6"/>
    <w:rsid w:val="00B74B71"/>
    <w:rsid w:val="00B83E82"/>
    <w:rsid w:val="00B84BBD"/>
    <w:rsid w:val="00B91BD8"/>
    <w:rsid w:val="00BA1D85"/>
    <w:rsid w:val="00BA43FB"/>
    <w:rsid w:val="00BC127D"/>
    <w:rsid w:val="00BC1FE6"/>
    <w:rsid w:val="00BD5CF7"/>
    <w:rsid w:val="00BE6A55"/>
    <w:rsid w:val="00C047FC"/>
    <w:rsid w:val="00C061B6"/>
    <w:rsid w:val="00C14398"/>
    <w:rsid w:val="00C2446C"/>
    <w:rsid w:val="00C264ED"/>
    <w:rsid w:val="00C3093B"/>
    <w:rsid w:val="00C36AE5"/>
    <w:rsid w:val="00C41F17"/>
    <w:rsid w:val="00C527FA"/>
    <w:rsid w:val="00C5280D"/>
    <w:rsid w:val="00C53EB3"/>
    <w:rsid w:val="00C5791C"/>
    <w:rsid w:val="00C66290"/>
    <w:rsid w:val="00C72B7A"/>
    <w:rsid w:val="00C924B0"/>
    <w:rsid w:val="00C973F2"/>
    <w:rsid w:val="00CA304C"/>
    <w:rsid w:val="00CA774A"/>
    <w:rsid w:val="00CB4921"/>
    <w:rsid w:val="00CC11B0"/>
    <w:rsid w:val="00CC1E29"/>
    <w:rsid w:val="00CC2841"/>
    <w:rsid w:val="00CF1330"/>
    <w:rsid w:val="00CF7E36"/>
    <w:rsid w:val="00D173BC"/>
    <w:rsid w:val="00D3708D"/>
    <w:rsid w:val="00D40426"/>
    <w:rsid w:val="00D447A6"/>
    <w:rsid w:val="00D52F5C"/>
    <w:rsid w:val="00D57C96"/>
    <w:rsid w:val="00D57D18"/>
    <w:rsid w:val="00D632F1"/>
    <w:rsid w:val="00D65B8E"/>
    <w:rsid w:val="00D70E65"/>
    <w:rsid w:val="00D91203"/>
    <w:rsid w:val="00D95174"/>
    <w:rsid w:val="00DA4973"/>
    <w:rsid w:val="00DA6F36"/>
    <w:rsid w:val="00DB0627"/>
    <w:rsid w:val="00DB367A"/>
    <w:rsid w:val="00DB596E"/>
    <w:rsid w:val="00DB7773"/>
    <w:rsid w:val="00DC00EA"/>
    <w:rsid w:val="00DC3802"/>
    <w:rsid w:val="00DC51CA"/>
    <w:rsid w:val="00DD6208"/>
    <w:rsid w:val="00DF2E44"/>
    <w:rsid w:val="00DF7E99"/>
    <w:rsid w:val="00E00944"/>
    <w:rsid w:val="00E027D2"/>
    <w:rsid w:val="00E07D87"/>
    <w:rsid w:val="00E14115"/>
    <w:rsid w:val="00E20F65"/>
    <w:rsid w:val="00E249C8"/>
    <w:rsid w:val="00E32F7E"/>
    <w:rsid w:val="00E33B89"/>
    <w:rsid w:val="00E33CFC"/>
    <w:rsid w:val="00E37133"/>
    <w:rsid w:val="00E43C04"/>
    <w:rsid w:val="00E44C4F"/>
    <w:rsid w:val="00E5267B"/>
    <w:rsid w:val="00E559F0"/>
    <w:rsid w:val="00E63C0E"/>
    <w:rsid w:val="00E72D49"/>
    <w:rsid w:val="00E7593C"/>
    <w:rsid w:val="00E75B60"/>
    <w:rsid w:val="00E7678A"/>
    <w:rsid w:val="00E935F1"/>
    <w:rsid w:val="00E94A81"/>
    <w:rsid w:val="00EA1FFB"/>
    <w:rsid w:val="00EB048E"/>
    <w:rsid w:val="00EB445E"/>
    <w:rsid w:val="00EB4E9C"/>
    <w:rsid w:val="00ED7072"/>
    <w:rsid w:val="00EE34DF"/>
    <w:rsid w:val="00EF2F89"/>
    <w:rsid w:val="00EF34B2"/>
    <w:rsid w:val="00EF49B5"/>
    <w:rsid w:val="00EF4B00"/>
    <w:rsid w:val="00EF6D30"/>
    <w:rsid w:val="00F033F7"/>
    <w:rsid w:val="00F03E98"/>
    <w:rsid w:val="00F07B06"/>
    <w:rsid w:val="00F1019D"/>
    <w:rsid w:val="00F1237A"/>
    <w:rsid w:val="00F16D33"/>
    <w:rsid w:val="00F22CBD"/>
    <w:rsid w:val="00F272F1"/>
    <w:rsid w:val="00F31412"/>
    <w:rsid w:val="00F33364"/>
    <w:rsid w:val="00F34967"/>
    <w:rsid w:val="00F45372"/>
    <w:rsid w:val="00F509D3"/>
    <w:rsid w:val="00F5305E"/>
    <w:rsid w:val="00F560F7"/>
    <w:rsid w:val="00F6334D"/>
    <w:rsid w:val="00F63599"/>
    <w:rsid w:val="00F66E91"/>
    <w:rsid w:val="00F71781"/>
    <w:rsid w:val="00FA49AB"/>
    <w:rsid w:val="00FC5FD0"/>
    <w:rsid w:val="00FE39C7"/>
    <w:rsid w:val="00FE652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66908"/>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F45"/>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07B06"/>
    <w:pPr>
      <w:keepNext/>
      <w:ind w:left="567"/>
      <w:jc w:val="both"/>
      <w:outlineLvl w:val="3"/>
    </w:pPr>
    <w:rPr>
      <w:rFonts w:ascii="Arial" w:hAnsi="Arial"/>
      <w:spacing w:val="-2"/>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EF4B00"/>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F34967"/>
    <w:pPr>
      <w:tabs>
        <w:tab w:val="left" w:pos="567"/>
        <w:tab w:val="right" w:leader="dot" w:pos="9639"/>
      </w:tabs>
      <w:spacing w:before="60" w:after="60"/>
      <w:ind w:left="567" w:right="1418"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4B00"/>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6044A9"/>
    <w:pPr>
      <w:ind w:left="567" w:hanging="567"/>
    </w:pPr>
    <w:rPr>
      <w:lang w:val="es-ES_tradnl"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43</TotalTime>
  <Pages>13</Pages>
  <Words>5497</Words>
  <Characters>33129</Characters>
  <Application>Microsoft Office Word</Application>
  <DocSecurity>0</DocSecurity>
  <Lines>1068</Lines>
  <Paragraphs>429</Paragraphs>
  <ScaleCrop>false</ScaleCrop>
  <HeadingPairs>
    <vt:vector size="2" baseType="variant">
      <vt:variant>
        <vt:lpstr>Title</vt:lpstr>
      </vt:variant>
      <vt:variant>
        <vt:i4>1</vt:i4>
      </vt:variant>
    </vt:vector>
  </HeadingPairs>
  <TitlesOfParts>
    <vt:vector size="1" baseType="lpstr">
      <vt:lpstr>SESSIONS/2024/6</vt:lpstr>
    </vt:vector>
  </TitlesOfParts>
  <Company>UPOV</Company>
  <LinksUpToDate>false</LinksUpToDate>
  <CharactersWithSpaces>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SESSIONS/2024/6</dc:title>
  <dc:creator>SANCHEZ VIZCAINO GOMEZ Rosa Maria</dc:creator>
  <cp:keywords/>
  <cp:lastModifiedBy>SANCHEZ VIZCAINO GOMEZ Rosa Maria</cp:lastModifiedBy>
  <cp:revision>18</cp:revision>
  <cp:lastPrinted>2024-09-23T12:57:00Z</cp:lastPrinted>
  <dcterms:created xsi:type="dcterms:W3CDTF">2024-09-25T17:58:00Z</dcterms:created>
  <dcterms:modified xsi:type="dcterms:W3CDTF">2024-09-26T09:37:00Z</dcterms:modified>
</cp:coreProperties>
</file>