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753AE" w14:paraId="2E432BBA" w14:textId="77777777" w:rsidTr="00EB4E9C">
        <w:tc>
          <w:tcPr>
            <w:tcW w:w="6522" w:type="dxa"/>
          </w:tcPr>
          <w:p w14:paraId="211232FC" w14:textId="77777777" w:rsidR="00DC3802" w:rsidRPr="00F753AE" w:rsidRDefault="00DC3802" w:rsidP="00AC2883">
            <w:pPr>
              <w:rPr>
                <w:lang w:val="es-ES_tradnl"/>
              </w:rPr>
            </w:pPr>
            <w:r w:rsidRPr="00F753AE">
              <w:rPr>
                <w:lang w:val="es-ES_tradnl" w:eastAsia="de-DE"/>
              </w:rPr>
              <w:drawing>
                <wp:inline distT="0" distB="0" distL="0" distR="0" wp14:anchorId="00938779" wp14:editId="36C0EB3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3AA119" w14:textId="690AB285" w:rsidR="00DB52CB" w:rsidRPr="00F753AE" w:rsidRDefault="008101BB">
            <w:pPr>
              <w:pStyle w:val="Lettrine"/>
              <w:rPr>
                <w:lang w:val="es-ES_tradnl"/>
              </w:rPr>
            </w:pPr>
            <w:r w:rsidRPr="00F753AE">
              <w:rPr>
                <w:lang w:val="es-ES_tradnl"/>
              </w:rPr>
              <w:t>S</w:t>
            </w:r>
          </w:p>
        </w:tc>
      </w:tr>
      <w:tr w:rsidR="00DC3802" w:rsidRPr="00F753AE" w14:paraId="07E03438" w14:textId="77777777" w:rsidTr="00645CA8">
        <w:trPr>
          <w:trHeight w:val="219"/>
        </w:trPr>
        <w:tc>
          <w:tcPr>
            <w:tcW w:w="6522" w:type="dxa"/>
          </w:tcPr>
          <w:p w14:paraId="61F14AC5" w14:textId="5422C5B3" w:rsidR="00DB52CB" w:rsidRPr="00F753AE" w:rsidRDefault="003D283E">
            <w:pPr>
              <w:pStyle w:val="upove"/>
              <w:rPr>
                <w:lang w:val="es-ES_tradnl"/>
              </w:rPr>
            </w:pPr>
            <w:r w:rsidRPr="00F753AE">
              <w:rPr>
                <w:lang w:val="es-ES_tradnl"/>
              </w:rPr>
              <w:t>Unión Internacional para la Protección de las Obtenciones Vegetales</w:t>
            </w:r>
          </w:p>
        </w:tc>
        <w:tc>
          <w:tcPr>
            <w:tcW w:w="3117" w:type="dxa"/>
          </w:tcPr>
          <w:p w14:paraId="00CE5D5C" w14:textId="77777777" w:rsidR="00DC3802" w:rsidRPr="00F753AE" w:rsidRDefault="00DC3802" w:rsidP="00DA4973">
            <w:pPr>
              <w:rPr>
                <w:lang w:val="es-ES_tradnl"/>
              </w:rPr>
            </w:pPr>
          </w:p>
        </w:tc>
      </w:tr>
    </w:tbl>
    <w:p w14:paraId="3F3FF8C0" w14:textId="77777777" w:rsidR="00DC3802" w:rsidRPr="00F753AE" w:rsidRDefault="00DC3802" w:rsidP="00DC3802">
      <w:pPr>
        <w:rPr>
          <w:lang w:val="es-ES_tradnl"/>
        </w:rPr>
      </w:pPr>
    </w:p>
    <w:p w14:paraId="1436A9C5" w14:textId="77777777" w:rsidR="007B73A9" w:rsidRPr="00F753AE" w:rsidRDefault="007B73A9" w:rsidP="007B73A9">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F753AE" w14:paraId="418752CC" w14:textId="77777777" w:rsidTr="001B2C38">
        <w:tc>
          <w:tcPr>
            <w:tcW w:w="6512" w:type="dxa"/>
          </w:tcPr>
          <w:p w14:paraId="101B956E" w14:textId="77777777" w:rsidR="00DB52CB" w:rsidRPr="00F753AE" w:rsidRDefault="003D283E">
            <w:pPr>
              <w:pStyle w:val="Sessiontwp"/>
              <w:rPr>
                <w:lang w:val="es-ES_tradnl"/>
              </w:rPr>
            </w:pPr>
            <w:r w:rsidRPr="00F753AE">
              <w:rPr>
                <w:lang w:val="es-ES_tradnl"/>
              </w:rPr>
              <w:t>Comité Técnico</w:t>
            </w:r>
          </w:p>
          <w:p w14:paraId="0D404C8B" w14:textId="77777777" w:rsidR="00DB52CB" w:rsidRPr="00F753AE" w:rsidRDefault="003D283E">
            <w:pPr>
              <w:pStyle w:val="Sessiontwpplacedate"/>
              <w:rPr>
                <w:lang w:val="es-ES_tradnl"/>
              </w:rPr>
            </w:pPr>
            <w:r w:rsidRPr="00F753AE">
              <w:rPr>
                <w:lang w:val="es-ES_tradnl"/>
              </w:rPr>
              <w:t>Quincuagésima novena sesión</w:t>
            </w:r>
          </w:p>
          <w:p w14:paraId="76C53115" w14:textId="77777777" w:rsidR="00DB52CB" w:rsidRPr="00F753AE" w:rsidRDefault="003D283E">
            <w:pPr>
              <w:rPr>
                <w:lang w:val="es-ES_tradnl"/>
              </w:rPr>
            </w:pPr>
            <w:r w:rsidRPr="00F753AE">
              <w:rPr>
                <w:lang w:val="es-ES_tradnl"/>
              </w:rPr>
              <w:t>Ginebra, 23 y 24 de octubre de 2023</w:t>
            </w:r>
          </w:p>
          <w:p w14:paraId="05F8E280" w14:textId="77777777" w:rsidR="007B73A9" w:rsidRPr="00F753AE" w:rsidRDefault="007B73A9" w:rsidP="001B2C38">
            <w:pPr>
              <w:rPr>
                <w:lang w:val="es-ES_tradnl"/>
              </w:rPr>
            </w:pPr>
          </w:p>
          <w:p w14:paraId="38160352" w14:textId="77777777" w:rsidR="00DB52CB" w:rsidRPr="00F753AE" w:rsidRDefault="003D283E">
            <w:pPr>
              <w:pStyle w:val="Sessiontwp"/>
              <w:rPr>
                <w:lang w:val="es-ES_tradnl"/>
              </w:rPr>
            </w:pPr>
            <w:r w:rsidRPr="00F753AE">
              <w:rPr>
                <w:lang w:val="es-ES_tradnl"/>
              </w:rPr>
              <w:t>Comité Administrativo y Jurídico</w:t>
            </w:r>
          </w:p>
          <w:p w14:paraId="3F8A2AD2" w14:textId="77777777" w:rsidR="00DB52CB" w:rsidRPr="00F753AE" w:rsidRDefault="003D283E">
            <w:pPr>
              <w:pStyle w:val="Sessiontwp"/>
              <w:rPr>
                <w:b w:val="0"/>
                <w:lang w:val="es-ES_tradnl"/>
              </w:rPr>
            </w:pPr>
            <w:r w:rsidRPr="00F753AE">
              <w:rPr>
                <w:b w:val="0"/>
                <w:lang w:val="es-ES_tradnl"/>
              </w:rPr>
              <w:t>Octogésima sesión</w:t>
            </w:r>
          </w:p>
          <w:p w14:paraId="32997F73" w14:textId="77777777" w:rsidR="00DB52CB" w:rsidRPr="00F753AE" w:rsidRDefault="003D283E">
            <w:pPr>
              <w:pStyle w:val="Sessiontwpplacedate"/>
              <w:rPr>
                <w:lang w:val="es-ES_tradnl"/>
              </w:rPr>
            </w:pPr>
            <w:r w:rsidRPr="00F753AE">
              <w:rPr>
                <w:lang w:val="es-ES_tradnl"/>
              </w:rPr>
              <w:t>Ginebra, 25 de octubre de 2023</w:t>
            </w:r>
          </w:p>
        </w:tc>
        <w:tc>
          <w:tcPr>
            <w:tcW w:w="3127" w:type="dxa"/>
          </w:tcPr>
          <w:p w14:paraId="45BB2B5B" w14:textId="2C40431E" w:rsidR="00DB52CB" w:rsidRPr="00F753AE" w:rsidRDefault="00F531DD">
            <w:pPr>
              <w:pStyle w:val="Doccode"/>
              <w:rPr>
                <w:lang w:val="es-ES_tradnl"/>
              </w:rPr>
            </w:pPr>
            <w:r w:rsidRPr="00F753AE">
              <w:rPr>
                <w:lang w:val="es-ES_tradnl"/>
              </w:rPr>
              <w:t>SE</w:t>
            </w:r>
            <w:r w:rsidR="008101BB" w:rsidRPr="00F753AE">
              <w:rPr>
                <w:lang w:val="es-ES_tradnl"/>
              </w:rPr>
              <w:t>S</w:t>
            </w:r>
            <w:r w:rsidRPr="00F753AE">
              <w:rPr>
                <w:lang w:val="es-ES_tradnl"/>
              </w:rPr>
              <w:t>SIONS/2023/5</w:t>
            </w:r>
          </w:p>
          <w:p w14:paraId="387B0DF6" w14:textId="77777777" w:rsidR="00DB52CB" w:rsidRPr="00F753AE" w:rsidRDefault="003D283E">
            <w:pPr>
              <w:pStyle w:val="Docoriginal"/>
              <w:rPr>
                <w:lang w:val="es-ES_tradnl"/>
              </w:rPr>
            </w:pPr>
            <w:r w:rsidRPr="00F753AE">
              <w:rPr>
                <w:lang w:val="es-ES_tradnl"/>
              </w:rPr>
              <w:t>Original:</w:t>
            </w:r>
            <w:r w:rsidRPr="00F753AE">
              <w:rPr>
                <w:b w:val="0"/>
                <w:spacing w:val="0"/>
                <w:lang w:val="es-ES_tradnl"/>
              </w:rPr>
              <w:t xml:space="preserve">  Inglés</w:t>
            </w:r>
          </w:p>
          <w:p w14:paraId="63D37047" w14:textId="77777777" w:rsidR="00DB52CB" w:rsidRPr="00F753AE" w:rsidRDefault="003D283E">
            <w:pPr>
              <w:pStyle w:val="Docoriginal"/>
              <w:rPr>
                <w:lang w:val="es-ES_tradnl"/>
              </w:rPr>
            </w:pPr>
            <w:r w:rsidRPr="00F753AE">
              <w:rPr>
                <w:lang w:val="es-ES_tradnl"/>
              </w:rPr>
              <w:t xml:space="preserve">Fecha:  </w:t>
            </w:r>
            <w:r w:rsidR="00F94922" w:rsidRPr="00F753AE">
              <w:rPr>
                <w:b w:val="0"/>
                <w:spacing w:val="0"/>
                <w:lang w:val="es-ES_tradnl"/>
              </w:rPr>
              <w:t xml:space="preserve">6 de </w:t>
            </w:r>
            <w:r w:rsidR="00B50C2C" w:rsidRPr="00F753AE">
              <w:rPr>
                <w:b w:val="0"/>
                <w:spacing w:val="0"/>
                <w:lang w:val="es-ES_tradnl"/>
              </w:rPr>
              <w:t xml:space="preserve">octubre de </w:t>
            </w:r>
            <w:r w:rsidRPr="00F753AE">
              <w:rPr>
                <w:b w:val="0"/>
                <w:spacing w:val="0"/>
                <w:lang w:val="es-ES_tradnl"/>
              </w:rPr>
              <w:t>2023</w:t>
            </w:r>
          </w:p>
        </w:tc>
      </w:tr>
    </w:tbl>
    <w:p w14:paraId="7F803160" w14:textId="77777777" w:rsidR="00DB52CB" w:rsidRPr="00F753AE" w:rsidRDefault="003D283E">
      <w:pPr>
        <w:pStyle w:val="Titleofdoc0"/>
        <w:rPr>
          <w:lang w:val="es-ES_tradnl"/>
        </w:rPr>
      </w:pPr>
      <w:r w:rsidRPr="00F753AE">
        <w:rPr>
          <w:lang w:val="es-ES_tradnl"/>
        </w:rPr>
        <w:t>Técnicas moleculares</w:t>
      </w:r>
    </w:p>
    <w:p w14:paraId="73F324D6" w14:textId="493E33F3" w:rsidR="00DB52CB" w:rsidRPr="00F753AE" w:rsidRDefault="003D283E">
      <w:pPr>
        <w:pStyle w:val="preparedby1"/>
        <w:jc w:val="left"/>
        <w:rPr>
          <w:lang w:val="es-ES_tradnl"/>
        </w:rPr>
      </w:pPr>
      <w:r w:rsidRPr="00F753AE">
        <w:rPr>
          <w:lang w:val="es-ES_tradnl"/>
        </w:rPr>
        <w:t>Documento preparado por la Oficina de la Uni</w:t>
      </w:r>
      <w:r w:rsidR="00F753AE">
        <w:rPr>
          <w:lang w:val="es-ES_tradnl"/>
        </w:rPr>
        <w:t>ó</w:t>
      </w:r>
      <w:r w:rsidRPr="00F753AE">
        <w:rPr>
          <w:lang w:val="es-ES_tradnl"/>
        </w:rPr>
        <w:t>n</w:t>
      </w:r>
    </w:p>
    <w:p w14:paraId="71482AC1" w14:textId="77777777" w:rsidR="008101BB" w:rsidRPr="00F753AE" w:rsidRDefault="008101BB" w:rsidP="008101BB">
      <w:pPr>
        <w:pStyle w:val="Disclaimer"/>
        <w:rPr>
          <w:lang w:val="es-ES_tradnl"/>
        </w:rPr>
      </w:pPr>
      <w:bookmarkStart w:id="0" w:name="_Toc84413225"/>
      <w:bookmarkStart w:id="1" w:name="_Toc97892774"/>
      <w:r w:rsidRPr="00F753AE">
        <w:rPr>
          <w:lang w:val="es-ES_tradnl"/>
        </w:rPr>
        <w:t>Descargo de responsabilidad: el presente documento no constituye un documento de política u orientación de la UPOV.</w:t>
      </w:r>
      <w:r w:rsidRPr="00F753AE">
        <w:rPr>
          <w:lang w:val="es-ES_tradnl"/>
        </w:rPr>
        <w:br/>
      </w:r>
      <w:r w:rsidRPr="00F753AE">
        <w:rPr>
          <w:lang w:val="es-ES_tradnl"/>
        </w:rPr>
        <w:br/>
        <w:t>Este documento se ha generado mediante traducción automática y no puede garantizarse su exactitud. Por lo tanto, el texto en el idioma original es la única versión auténtica.</w:t>
      </w:r>
    </w:p>
    <w:p w14:paraId="0FF0E4ED" w14:textId="77777777" w:rsidR="00DB52CB" w:rsidRPr="00F753AE" w:rsidRDefault="003D283E">
      <w:pPr>
        <w:keepNext/>
        <w:outlineLvl w:val="0"/>
        <w:rPr>
          <w:caps/>
          <w:snapToGrid w:val="0"/>
          <w:lang w:val="es-ES_tradnl" w:eastAsia="ja-JP"/>
        </w:rPr>
      </w:pPr>
      <w:bookmarkStart w:id="2" w:name="_Toc148114519"/>
      <w:r w:rsidRPr="00F753AE">
        <w:rPr>
          <w:caps/>
          <w:snapToGrid w:val="0"/>
          <w:lang w:val="es-ES_tradnl" w:eastAsia="ja-JP"/>
        </w:rPr>
        <w:t>RESUMEN</w:t>
      </w:r>
      <w:bookmarkEnd w:id="2"/>
    </w:p>
    <w:p w14:paraId="278B1757" w14:textId="77777777" w:rsidR="005054F9" w:rsidRPr="00F753AE" w:rsidRDefault="005054F9" w:rsidP="00E209FA">
      <w:pPr>
        <w:rPr>
          <w:lang w:val="es-ES_tradnl" w:eastAsia="ja-JP"/>
        </w:rPr>
      </w:pPr>
    </w:p>
    <w:p w14:paraId="1E0B23C6"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 xml:space="preserve">La finalidad del presente documento es informar </w:t>
      </w:r>
      <w:r w:rsidR="002F1698" w:rsidRPr="00F753AE">
        <w:rPr>
          <w:lang w:val="es-ES_tradnl"/>
        </w:rPr>
        <w:t xml:space="preserve">al TC y al CAJ de </w:t>
      </w:r>
      <w:r w:rsidRPr="00F753AE">
        <w:rPr>
          <w:lang w:val="es-ES_tradnl"/>
        </w:rPr>
        <w:t xml:space="preserve">las novedades relativas a las técnicas moleculares </w:t>
      </w:r>
      <w:r w:rsidRPr="00F753AE">
        <w:rPr>
          <w:lang w:val="es-ES_tradnl"/>
        </w:rPr>
        <w:t xml:space="preserve">e invitar </w:t>
      </w:r>
      <w:r w:rsidRPr="00F753AE">
        <w:rPr>
          <w:rFonts w:cs="Arial"/>
          <w:lang w:val="es-ES_tradnl"/>
        </w:rPr>
        <w:t xml:space="preserve">al </w:t>
      </w:r>
      <w:r w:rsidR="00F33641" w:rsidRPr="00F753AE">
        <w:rPr>
          <w:rFonts w:cs="Arial"/>
          <w:lang w:val="es-ES_tradnl"/>
        </w:rPr>
        <w:t xml:space="preserve">TC </w:t>
      </w:r>
      <w:r w:rsidRPr="00F753AE">
        <w:rPr>
          <w:rFonts w:cs="Arial"/>
          <w:lang w:val="es-ES_tradnl"/>
        </w:rPr>
        <w:t xml:space="preserve">a </w:t>
      </w:r>
      <w:r w:rsidR="00F33641" w:rsidRPr="00F753AE">
        <w:rPr>
          <w:rFonts w:cs="Arial"/>
          <w:lang w:val="es-ES_tradnl"/>
        </w:rPr>
        <w:t xml:space="preserve">examinar propuestas relativas a </w:t>
      </w:r>
      <w:r w:rsidRPr="00F753AE">
        <w:rPr>
          <w:lang w:val="es-ES_tradnl"/>
        </w:rPr>
        <w:t xml:space="preserve">la confidencialidad de la información molecular </w:t>
      </w:r>
      <w:r w:rsidR="00F33641" w:rsidRPr="00F753AE">
        <w:rPr>
          <w:lang w:val="es-ES_tradnl"/>
        </w:rPr>
        <w:t xml:space="preserve">y señalar </w:t>
      </w:r>
      <w:r w:rsidR="00F33641" w:rsidRPr="00F753AE">
        <w:rPr>
          <w:iCs/>
          <w:snapToGrid w:val="0"/>
          <w:lang w:val="es-ES_tradnl" w:eastAsia="ja-JP"/>
        </w:rPr>
        <w:t xml:space="preserve">que en la quincuagésima novena sesión del TC se organizará una sesión de debate sobre técnicas moleculares en el examen DHE.  </w:t>
      </w:r>
    </w:p>
    <w:p w14:paraId="2C681B21" w14:textId="77777777" w:rsidR="00E209FA" w:rsidRPr="00F753AE" w:rsidRDefault="00E209FA" w:rsidP="00E209FA">
      <w:pPr>
        <w:rPr>
          <w:lang w:val="es-ES_tradnl"/>
        </w:rPr>
      </w:pPr>
    </w:p>
    <w:p w14:paraId="30E57D4F" w14:textId="45E836F1" w:rsidR="00DB52CB" w:rsidRPr="00F753AE" w:rsidRDefault="003D283E">
      <w:pPr>
        <w:tabs>
          <w:tab w:val="left" w:pos="567"/>
          <w:tab w:val="left" w:pos="1134"/>
          <w:tab w:val="left" w:pos="5387"/>
          <w:tab w:val="left" w:pos="5954"/>
        </w:tabs>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00F753AE">
        <w:rPr>
          <w:lang w:val="es-ES_tradnl"/>
        </w:rPr>
        <w:tab/>
      </w:r>
      <w:r w:rsidRPr="00F753AE">
        <w:rPr>
          <w:lang w:val="es-ES_tradnl"/>
        </w:rPr>
        <w:t>Se invit</w:t>
      </w:r>
      <w:r w:rsidRPr="00F753AE">
        <w:rPr>
          <w:lang w:val="es-ES_tradnl"/>
        </w:rPr>
        <w:t xml:space="preserve">a </w:t>
      </w:r>
      <w:r w:rsidRPr="00F753AE">
        <w:rPr>
          <w:lang w:val="es-ES_tradnl"/>
        </w:rPr>
        <w:t xml:space="preserve">al </w:t>
      </w:r>
      <w:r w:rsidR="00F626D8" w:rsidRPr="00F753AE">
        <w:rPr>
          <w:lang w:val="es-ES_tradnl"/>
        </w:rPr>
        <w:t xml:space="preserve">TC </w:t>
      </w:r>
      <w:r w:rsidRPr="00F753AE">
        <w:rPr>
          <w:lang w:val="es-ES_tradnl"/>
        </w:rPr>
        <w:t>a:</w:t>
      </w:r>
    </w:p>
    <w:p w14:paraId="6F04FBA4" w14:textId="77777777" w:rsidR="00E209FA" w:rsidRPr="00F753AE" w:rsidRDefault="00E209FA" w:rsidP="00E209FA">
      <w:pPr>
        <w:keepNext/>
        <w:keepLines/>
        <w:tabs>
          <w:tab w:val="left" w:pos="567"/>
          <w:tab w:val="left" w:pos="1134"/>
          <w:tab w:val="left" w:pos="5387"/>
          <w:tab w:val="left" w:pos="5954"/>
        </w:tabs>
        <w:rPr>
          <w:lang w:val="es-ES_tradnl"/>
        </w:rPr>
      </w:pPr>
    </w:p>
    <w:p w14:paraId="2D36A868" w14:textId="77777777" w:rsidR="00DB52CB" w:rsidRPr="00F753AE" w:rsidRDefault="003D283E">
      <w:pPr>
        <w:tabs>
          <w:tab w:val="left" w:pos="567"/>
          <w:tab w:val="left" w:pos="1134"/>
          <w:tab w:val="left" w:pos="5387"/>
          <w:tab w:val="left" w:pos="5954"/>
        </w:tabs>
        <w:rPr>
          <w:iCs/>
          <w:snapToGrid w:val="0"/>
          <w:lang w:val="es-ES_tradnl" w:eastAsia="ja-JP"/>
        </w:rPr>
      </w:pPr>
      <w:r w:rsidRPr="00F753AE">
        <w:rPr>
          <w:iCs/>
          <w:snapToGrid w:val="0"/>
          <w:lang w:val="es-ES_tradnl" w:eastAsia="ja-JP"/>
        </w:rPr>
        <w:tab/>
        <w:t>(a)</w:t>
      </w:r>
      <w:r w:rsidRPr="00F753AE">
        <w:rPr>
          <w:iCs/>
          <w:snapToGrid w:val="0"/>
          <w:lang w:val="es-ES_tradnl" w:eastAsia="ja-JP"/>
        </w:rPr>
        <w:tab/>
        <w:t xml:space="preserve">tomar nota de las políticas comunicadas y de los debates sobre la confidencialidad de la información molecular en las reuniones de los TWP de 2023; </w:t>
      </w:r>
    </w:p>
    <w:p w14:paraId="24E771ED" w14:textId="77777777" w:rsidR="00F33641" w:rsidRPr="00F753AE" w:rsidRDefault="00F33641" w:rsidP="00F33641">
      <w:pPr>
        <w:tabs>
          <w:tab w:val="left" w:pos="567"/>
          <w:tab w:val="left" w:pos="1134"/>
          <w:tab w:val="left" w:pos="5387"/>
        </w:tabs>
        <w:rPr>
          <w:iCs/>
          <w:snapToGrid w:val="0"/>
          <w:lang w:val="es-ES_tradnl" w:eastAsia="ja-JP"/>
        </w:rPr>
      </w:pPr>
    </w:p>
    <w:p w14:paraId="5E0A6A43" w14:textId="77777777" w:rsidR="00DB52CB" w:rsidRPr="00F753AE" w:rsidRDefault="003D283E">
      <w:pPr>
        <w:tabs>
          <w:tab w:val="left" w:pos="567"/>
          <w:tab w:val="left" w:pos="1134"/>
          <w:tab w:val="left" w:pos="5387"/>
          <w:tab w:val="left" w:pos="5954"/>
        </w:tabs>
        <w:rPr>
          <w:iCs/>
          <w:snapToGrid w:val="0"/>
          <w:lang w:val="es-ES_tradnl" w:eastAsia="ja-JP"/>
        </w:rPr>
      </w:pPr>
      <w:r w:rsidRPr="00F753AE">
        <w:rPr>
          <w:iCs/>
          <w:snapToGrid w:val="0"/>
          <w:lang w:val="es-ES_tradnl" w:eastAsia="ja-JP"/>
        </w:rPr>
        <w:tab/>
        <w:t>(b)</w:t>
      </w:r>
      <w:r w:rsidRPr="00F753AE">
        <w:rPr>
          <w:iCs/>
          <w:snapToGrid w:val="0"/>
          <w:lang w:val="es-ES_tradnl" w:eastAsia="ja-JP"/>
        </w:rPr>
        <w:tab/>
        <w:t>considerar si se mantiene la invitación a los miembros y observadores para que info</w:t>
      </w:r>
      <w:r w:rsidRPr="00F753AE">
        <w:rPr>
          <w:iCs/>
          <w:snapToGrid w:val="0"/>
          <w:lang w:val="es-ES_tradnl" w:eastAsia="ja-JP"/>
        </w:rPr>
        <w:t>rmen sobre las políticas existentes en materia de confidencialidad de la información molecular en los TWP, en sus reuniones de 2024</w:t>
      </w:r>
      <w:r w:rsidRPr="00F753AE">
        <w:rPr>
          <w:iCs/>
          <w:snapToGrid w:val="0"/>
          <w:lang w:val="es-ES_tradnl" w:eastAsia="ja-JP"/>
        </w:rPr>
        <w:t xml:space="preserve">; </w:t>
      </w:r>
    </w:p>
    <w:p w14:paraId="509B6C06" w14:textId="77777777" w:rsidR="00F33641" w:rsidRPr="00F753AE" w:rsidRDefault="00F33641" w:rsidP="00F33641">
      <w:pPr>
        <w:tabs>
          <w:tab w:val="left" w:pos="567"/>
          <w:tab w:val="left" w:pos="1134"/>
          <w:tab w:val="left" w:pos="5387"/>
          <w:tab w:val="left" w:pos="5954"/>
        </w:tabs>
        <w:rPr>
          <w:iCs/>
          <w:snapToGrid w:val="0"/>
          <w:lang w:val="es-ES_tradnl" w:eastAsia="ja-JP"/>
        </w:rPr>
      </w:pPr>
    </w:p>
    <w:p w14:paraId="758BFA4B" w14:textId="77777777" w:rsidR="00DB52CB" w:rsidRPr="00F753AE" w:rsidRDefault="003D283E">
      <w:pPr>
        <w:tabs>
          <w:tab w:val="left" w:pos="567"/>
          <w:tab w:val="left" w:pos="1134"/>
          <w:tab w:val="left" w:pos="5387"/>
          <w:tab w:val="left" w:pos="5954"/>
        </w:tabs>
        <w:rPr>
          <w:iCs/>
          <w:snapToGrid w:val="0"/>
          <w:lang w:val="es-ES_tradnl" w:eastAsia="ja-JP"/>
        </w:rPr>
      </w:pPr>
      <w:r w:rsidRPr="00F753AE">
        <w:rPr>
          <w:iCs/>
          <w:snapToGrid w:val="0"/>
          <w:lang w:val="es-ES_tradnl" w:eastAsia="ja-JP"/>
        </w:rPr>
        <w:tab/>
        <w:t>(c)</w:t>
      </w:r>
      <w:r w:rsidRPr="00F753AE">
        <w:rPr>
          <w:iCs/>
          <w:snapToGrid w:val="0"/>
          <w:lang w:val="es-ES_tradnl" w:eastAsia="ja-JP"/>
        </w:rPr>
        <w:tab/>
      </w:r>
      <w:r w:rsidRPr="00F753AE">
        <w:rPr>
          <w:iCs/>
          <w:snapToGrid w:val="0"/>
          <w:lang w:val="es-ES_tradnl" w:eastAsia="ja-JP"/>
        </w:rPr>
        <w:t xml:space="preserve">tomar nota de que en </w:t>
      </w:r>
      <w:r w:rsidR="00674731" w:rsidRPr="00F753AE">
        <w:rPr>
          <w:iCs/>
          <w:snapToGrid w:val="0"/>
          <w:lang w:val="es-ES_tradnl" w:eastAsia="ja-JP"/>
        </w:rPr>
        <w:t xml:space="preserve">su </w:t>
      </w:r>
      <w:r w:rsidRPr="00F753AE">
        <w:rPr>
          <w:iCs/>
          <w:snapToGrid w:val="0"/>
          <w:lang w:val="es-ES_tradnl" w:eastAsia="ja-JP"/>
        </w:rPr>
        <w:t xml:space="preserve">quincuagésima novena reunión se </w:t>
      </w:r>
      <w:r w:rsidRPr="00F753AE">
        <w:rPr>
          <w:iCs/>
          <w:snapToGrid w:val="0"/>
          <w:lang w:val="es-ES_tradnl" w:eastAsia="ja-JP"/>
        </w:rPr>
        <w:t>organizará una sesión de debate sobre las técnicas moleculares en el examen DHE</w:t>
      </w:r>
      <w:r w:rsidR="00F94922" w:rsidRPr="00F753AE">
        <w:rPr>
          <w:iCs/>
          <w:snapToGrid w:val="0"/>
          <w:lang w:val="es-ES_tradnl" w:eastAsia="ja-JP"/>
        </w:rPr>
        <w:t>; y</w:t>
      </w:r>
    </w:p>
    <w:p w14:paraId="160E0077" w14:textId="77777777" w:rsidR="00F94922" w:rsidRPr="00F753AE" w:rsidRDefault="00F94922" w:rsidP="00F33641">
      <w:pPr>
        <w:tabs>
          <w:tab w:val="left" w:pos="567"/>
          <w:tab w:val="left" w:pos="1134"/>
          <w:tab w:val="left" w:pos="5387"/>
          <w:tab w:val="left" w:pos="5954"/>
        </w:tabs>
        <w:rPr>
          <w:iCs/>
          <w:snapToGrid w:val="0"/>
          <w:lang w:val="es-ES_tradnl" w:eastAsia="ja-JP"/>
        </w:rPr>
      </w:pPr>
    </w:p>
    <w:p w14:paraId="32349A64" w14:textId="77777777" w:rsidR="00DB52CB" w:rsidRPr="00F753AE" w:rsidRDefault="003D283E">
      <w:pPr>
        <w:tabs>
          <w:tab w:val="left" w:pos="567"/>
          <w:tab w:val="left" w:pos="1134"/>
          <w:tab w:val="left" w:pos="5387"/>
          <w:tab w:val="left" w:pos="5954"/>
        </w:tabs>
        <w:rPr>
          <w:iCs/>
          <w:snapToGrid w:val="0"/>
          <w:lang w:val="es-ES_tradnl" w:eastAsia="ja-JP"/>
        </w:rPr>
      </w:pPr>
      <w:r w:rsidRPr="00F753AE">
        <w:rPr>
          <w:iCs/>
          <w:snapToGrid w:val="0"/>
          <w:lang w:val="es-ES_tradnl" w:eastAsia="ja-JP"/>
        </w:rPr>
        <w:tab/>
        <w:t>(d)</w:t>
      </w:r>
      <w:r w:rsidRPr="00F753AE">
        <w:rPr>
          <w:iCs/>
          <w:snapToGrid w:val="0"/>
          <w:lang w:val="es-ES_tradnl" w:eastAsia="ja-JP"/>
        </w:rPr>
        <w:tab/>
      </w:r>
      <w:r w:rsidRPr="00F753AE">
        <w:rPr>
          <w:lang w:val="es-ES_tradnl" w:eastAsia="ja-JP"/>
        </w:rPr>
        <w:t>tomar nota de los elementos informativos que figuran en el presente documento.</w:t>
      </w:r>
    </w:p>
    <w:p w14:paraId="2713BAE8" w14:textId="77777777" w:rsidR="004611F7" w:rsidRPr="00F753AE" w:rsidRDefault="004611F7" w:rsidP="00E209FA">
      <w:pPr>
        <w:tabs>
          <w:tab w:val="left" w:pos="567"/>
          <w:tab w:val="left" w:pos="1134"/>
          <w:tab w:val="left" w:pos="5387"/>
          <w:tab w:val="left" w:pos="5954"/>
        </w:tabs>
        <w:rPr>
          <w:lang w:val="es-ES_tradnl"/>
        </w:rPr>
      </w:pPr>
    </w:p>
    <w:p w14:paraId="3AF6222F"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En este documento se utilizan las siguientes abreviaturas:</w:t>
      </w:r>
    </w:p>
    <w:p w14:paraId="0F8A3EFE" w14:textId="77777777" w:rsidR="00E209FA" w:rsidRPr="00F753AE" w:rsidRDefault="00E209FA" w:rsidP="00E209FA">
      <w:pPr>
        <w:rPr>
          <w:lang w:val="es-ES_tradnl"/>
        </w:rPr>
      </w:pPr>
    </w:p>
    <w:p w14:paraId="459F488D" w14:textId="77777777" w:rsidR="00DB52CB" w:rsidRPr="00F753AE" w:rsidRDefault="003D283E">
      <w:pPr>
        <w:keepNext/>
        <w:tabs>
          <w:tab w:val="left" w:pos="567"/>
        </w:tabs>
        <w:ind w:left="1701" w:hanging="1134"/>
        <w:rPr>
          <w:sz w:val="18"/>
          <w:lang w:val="es-ES_tradnl"/>
        </w:rPr>
      </w:pPr>
      <w:r w:rsidRPr="00F753AE">
        <w:rPr>
          <w:sz w:val="18"/>
          <w:lang w:val="es-ES_tradnl"/>
        </w:rPr>
        <w:t>BMT:</w:t>
      </w:r>
      <w:r w:rsidRPr="00F753AE">
        <w:rPr>
          <w:sz w:val="18"/>
          <w:lang w:val="es-ES_tradnl"/>
        </w:rPr>
        <w:tab/>
        <w:t xml:space="preserve">Grupo de </w:t>
      </w:r>
      <w:r w:rsidRPr="00F753AE">
        <w:rPr>
          <w:sz w:val="18"/>
          <w:lang w:val="es-ES_tradnl"/>
        </w:rPr>
        <w:t>Trabajo sobre Técnicas Bioquímicas y Moleculares, y Perfiles de ADN en Particular</w:t>
      </w:r>
    </w:p>
    <w:p w14:paraId="0AAF1E7F" w14:textId="77777777" w:rsidR="00DB52CB" w:rsidRPr="00F753AE" w:rsidRDefault="003D283E">
      <w:pPr>
        <w:keepNext/>
        <w:tabs>
          <w:tab w:val="left" w:pos="567"/>
        </w:tabs>
        <w:ind w:left="1701" w:hanging="1134"/>
        <w:rPr>
          <w:sz w:val="18"/>
          <w:lang w:val="es-ES_tradnl"/>
        </w:rPr>
      </w:pPr>
      <w:r w:rsidRPr="00F753AE">
        <w:rPr>
          <w:sz w:val="18"/>
          <w:lang w:val="es-ES_tradnl"/>
        </w:rPr>
        <w:t xml:space="preserve">CAJ: </w:t>
      </w:r>
      <w:r w:rsidRPr="00F753AE">
        <w:rPr>
          <w:sz w:val="18"/>
          <w:lang w:val="es-ES_tradnl"/>
        </w:rPr>
        <w:tab/>
        <w:t xml:space="preserve">Comité Administrativo y Jurídico  </w:t>
      </w:r>
    </w:p>
    <w:p w14:paraId="7B31965F" w14:textId="796A4CBD" w:rsidR="00DB52CB" w:rsidRPr="00F753AE" w:rsidRDefault="003D283E">
      <w:pPr>
        <w:ind w:left="1701" w:hanging="1134"/>
        <w:rPr>
          <w:rFonts w:cs="Arial"/>
          <w:snapToGrid w:val="0"/>
          <w:sz w:val="18"/>
          <w:szCs w:val="24"/>
          <w:lang w:val="es-ES_tradnl" w:eastAsia="ja-JP"/>
        </w:rPr>
      </w:pPr>
      <w:r w:rsidRPr="00F753AE">
        <w:rPr>
          <w:rFonts w:eastAsia="PMingLiU" w:cs="Arial"/>
          <w:snapToGrid w:val="0"/>
          <w:sz w:val="18"/>
          <w:szCs w:val="24"/>
          <w:lang w:val="es-ES_tradnl" w:eastAsia="fr-FR"/>
        </w:rPr>
        <w:t xml:space="preserve">ISTA: </w:t>
      </w:r>
      <w:r w:rsidRPr="00F753AE">
        <w:rPr>
          <w:rFonts w:eastAsia="PMingLiU" w:cs="Arial"/>
          <w:snapToGrid w:val="0"/>
          <w:sz w:val="18"/>
          <w:szCs w:val="24"/>
          <w:lang w:val="es-ES_tradnl" w:eastAsia="fr-FR"/>
        </w:rPr>
        <w:tab/>
        <w:t>International Seed Testing Association (ISTA) (</w:t>
      </w:r>
      <w:r w:rsidRPr="00F753AE">
        <w:rPr>
          <w:rFonts w:eastAsia="PMingLiU" w:cs="Arial"/>
          <w:snapToGrid w:val="0"/>
          <w:sz w:val="18"/>
          <w:szCs w:val="24"/>
          <w:lang w:val="es-ES_tradnl" w:eastAsia="fr-FR"/>
        </w:rPr>
        <w:t>Asociación Internacional para el Ensayo de Semillas)</w:t>
      </w:r>
    </w:p>
    <w:p w14:paraId="3862A91B" w14:textId="77777777" w:rsidR="00DB52CB" w:rsidRPr="00F753AE" w:rsidRDefault="003D283E">
      <w:pPr>
        <w:ind w:left="1701" w:hanging="1134"/>
        <w:rPr>
          <w:rFonts w:eastAsia="PMingLiU" w:cs="Arial"/>
          <w:snapToGrid w:val="0"/>
          <w:sz w:val="18"/>
          <w:szCs w:val="24"/>
          <w:lang w:val="es-ES_tradnl"/>
        </w:rPr>
      </w:pPr>
      <w:r w:rsidRPr="00F753AE">
        <w:rPr>
          <w:rFonts w:eastAsia="PMingLiU" w:cs="Arial"/>
          <w:sz w:val="18"/>
          <w:szCs w:val="24"/>
          <w:lang w:val="es-ES_tradnl"/>
        </w:rPr>
        <w:t>OCDE:</w:t>
      </w:r>
      <w:r w:rsidRPr="00F753AE">
        <w:rPr>
          <w:rFonts w:eastAsia="PMingLiU" w:cs="Arial"/>
          <w:sz w:val="18"/>
          <w:szCs w:val="24"/>
          <w:lang w:val="es-ES_tradnl"/>
        </w:rPr>
        <w:tab/>
      </w:r>
      <w:r w:rsidRPr="00F753AE">
        <w:rPr>
          <w:rFonts w:eastAsia="PMingLiU" w:cs="Arial"/>
          <w:snapToGrid w:val="0"/>
          <w:sz w:val="18"/>
          <w:szCs w:val="24"/>
          <w:lang w:val="es-ES_tradnl"/>
        </w:rPr>
        <w:t>Organización para l</w:t>
      </w:r>
      <w:r w:rsidRPr="00F753AE">
        <w:rPr>
          <w:rFonts w:eastAsia="PMingLiU" w:cs="Arial"/>
          <w:snapToGrid w:val="0"/>
          <w:sz w:val="18"/>
          <w:szCs w:val="24"/>
          <w:lang w:val="es-ES_tradnl"/>
        </w:rPr>
        <w:t>a Cooperación y el Desarrollo Económico</w:t>
      </w:r>
    </w:p>
    <w:p w14:paraId="3BFE4E8B" w14:textId="77777777" w:rsidR="00DB52CB" w:rsidRPr="00F753AE" w:rsidRDefault="003D283E">
      <w:pPr>
        <w:keepNext/>
        <w:tabs>
          <w:tab w:val="left" w:pos="567"/>
        </w:tabs>
        <w:ind w:left="1701" w:hanging="1134"/>
        <w:rPr>
          <w:sz w:val="18"/>
          <w:lang w:val="es-ES_tradnl"/>
        </w:rPr>
      </w:pPr>
      <w:r w:rsidRPr="00F753AE">
        <w:rPr>
          <w:sz w:val="18"/>
          <w:lang w:val="es-ES_tradnl"/>
        </w:rPr>
        <w:t>TC:</w:t>
      </w:r>
      <w:r w:rsidRPr="00F753AE">
        <w:rPr>
          <w:sz w:val="18"/>
          <w:lang w:val="es-ES_tradnl"/>
        </w:rPr>
        <w:tab/>
        <w:t>Comité Técnico</w:t>
      </w:r>
    </w:p>
    <w:p w14:paraId="26180D41" w14:textId="77777777" w:rsidR="00DB52CB" w:rsidRPr="00F753AE" w:rsidRDefault="003D283E">
      <w:pPr>
        <w:ind w:left="1701" w:hanging="1134"/>
        <w:rPr>
          <w:rFonts w:eastAsia="PMingLiU" w:cs="Arial"/>
          <w:sz w:val="18"/>
          <w:szCs w:val="24"/>
          <w:lang w:val="es-ES_tradnl"/>
        </w:rPr>
      </w:pPr>
      <w:r w:rsidRPr="00F753AE">
        <w:rPr>
          <w:rFonts w:eastAsia="PMingLiU" w:cs="Arial"/>
          <w:sz w:val="18"/>
          <w:szCs w:val="24"/>
          <w:lang w:val="es-ES_tradnl"/>
        </w:rPr>
        <w:t>TWA:</w:t>
      </w:r>
      <w:r w:rsidRPr="00F753AE">
        <w:rPr>
          <w:rFonts w:eastAsia="PMingLiU" w:cs="Arial"/>
          <w:sz w:val="18"/>
          <w:szCs w:val="24"/>
          <w:lang w:val="es-ES_tradnl"/>
        </w:rPr>
        <w:tab/>
        <w:t>Grupo de Trabajo Técnico sobre Plantas Agrícolas</w:t>
      </w:r>
    </w:p>
    <w:p w14:paraId="03C13987" w14:textId="77777777" w:rsidR="00DB52CB" w:rsidRPr="00F753AE" w:rsidRDefault="003D283E">
      <w:pPr>
        <w:ind w:left="1701" w:hanging="1134"/>
        <w:rPr>
          <w:rFonts w:eastAsia="PMingLiU" w:cs="Arial"/>
          <w:sz w:val="18"/>
          <w:szCs w:val="24"/>
          <w:lang w:val="es-ES_tradnl"/>
        </w:rPr>
      </w:pPr>
      <w:r w:rsidRPr="00F753AE">
        <w:rPr>
          <w:rFonts w:eastAsia="PMingLiU" w:cs="Arial"/>
          <w:sz w:val="18"/>
          <w:szCs w:val="24"/>
          <w:lang w:val="es-ES_tradnl"/>
        </w:rPr>
        <w:t>TWF:</w:t>
      </w:r>
      <w:r w:rsidRPr="00F753AE">
        <w:rPr>
          <w:rFonts w:eastAsia="PMingLiU" w:cs="Arial"/>
          <w:sz w:val="18"/>
          <w:szCs w:val="24"/>
          <w:lang w:val="es-ES_tradnl"/>
        </w:rPr>
        <w:tab/>
        <w:t>Grupo de Trabajo Técnico sobre Plantas Frutales</w:t>
      </w:r>
    </w:p>
    <w:p w14:paraId="26C8AB63" w14:textId="77777777" w:rsidR="00DB52CB" w:rsidRPr="00F753AE" w:rsidRDefault="003D283E">
      <w:pPr>
        <w:ind w:left="1701" w:hanging="1134"/>
        <w:rPr>
          <w:rFonts w:eastAsia="PMingLiU" w:cs="Arial"/>
          <w:sz w:val="18"/>
          <w:szCs w:val="24"/>
          <w:lang w:val="es-ES_tradnl"/>
        </w:rPr>
      </w:pPr>
      <w:r w:rsidRPr="00F753AE">
        <w:rPr>
          <w:rFonts w:eastAsia="PMingLiU" w:cs="Arial"/>
          <w:sz w:val="18"/>
          <w:szCs w:val="24"/>
          <w:lang w:val="es-ES_tradnl"/>
        </w:rPr>
        <w:t>TWM:</w:t>
      </w:r>
      <w:r w:rsidRPr="00F753AE">
        <w:rPr>
          <w:rFonts w:eastAsia="PMingLiU" w:cs="Arial"/>
          <w:sz w:val="18"/>
          <w:szCs w:val="24"/>
          <w:lang w:val="es-ES_tradnl"/>
        </w:rPr>
        <w:tab/>
      </w:r>
      <w:r w:rsidRPr="00F753AE">
        <w:rPr>
          <w:rFonts w:eastAsia="PMingLiU" w:cs="Arial"/>
          <w:sz w:val="18"/>
          <w:szCs w:val="24"/>
          <w:lang w:val="es-ES_tradnl"/>
        </w:rPr>
        <w:t>Grupo de Trabajo Técnico sobre Métodos y Técnicas de Examen</w:t>
      </w:r>
    </w:p>
    <w:p w14:paraId="7B63C968" w14:textId="77777777" w:rsidR="00DB52CB" w:rsidRPr="00F753AE" w:rsidRDefault="003D283E">
      <w:pPr>
        <w:ind w:left="1701" w:hanging="1134"/>
        <w:rPr>
          <w:rFonts w:eastAsia="PMingLiU" w:cs="Arial"/>
          <w:sz w:val="18"/>
          <w:szCs w:val="24"/>
          <w:lang w:val="es-ES_tradnl"/>
        </w:rPr>
      </w:pPr>
      <w:r w:rsidRPr="00F753AE">
        <w:rPr>
          <w:rFonts w:eastAsia="PMingLiU" w:cs="Arial"/>
          <w:sz w:val="18"/>
          <w:szCs w:val="24"/>
          <w:lang w:val="es-ES_tradnl"/>
        </w:rPr>
        <w:t>TWO:</w:t>
      </w:r>
      <w:r w:rsidRPr="00F753AE">
        <w:rPr>
          <w:rFonts w:eastAsia="PMingLiU" w:cs="Arial"/>
          <w:sz w:val="18"/>
          <w:szCs w:val="24"/>
          <w:lang w:val="es-ES_tradnl"/>
        </w:rPr>
        <w:tab/>
        <w:t>Grupo de Trabajo Técnico sobre Plantas Ornamentales y Árboles Forestales</w:t>
      </w:r>
    </w:p>
    <w:p w14:paraId="3E328FD2" w14:textId="77777777" w:rsidR="00DB52CB" w:rsidRPr="00F753AE" w:rsidRDefault="003D283E">
      <w:pPr>
        <w:ind w:left="1701" w:hanging="1134"/>
        <w:rPr>
          <w:rFonts w:eastAsia="PMingLiU" w:cs="Arial"/>
          <w:sz w:val="18"/>
          <w:szCs w:val="24"/>
          <w:lang w:val="es-ES_tradnl"/>
        </w:rPr>
      </w:pPr>
      <w:r w:rsidRPr="00F753AE">
        <w:rPr>
          <w:rFonts w:eastAsia="PMingLiU" w:cs="Arial"/>
          <w:sz w:val="18"/>
          <w:szCs w:val="24"/>
          <w:lang w:val="es-ES_tradnl"/>
        </w:rPr>
        <w:t>TWP:</w:t>
      </w:r>
      <w:r w:rsidRPr="00F753AE">
        <w:rPr>
          <w:rFonts w:eastAsia="PMingLiU" w:cs="Arial"/>
          <w:sz w:val="18"/>
          <w:szCs w:val="24"/>
          <w:lang w:val="es-ES_tradnl"/>
        </w:rPr>
        <w:tab/>
        <w:t>Grupos de Trabajo Técnico</w:t>
      </w:r>
    </w:p>
    <w:p w14:paraId="34C43AA4" w14:textId="77777777" w:rsidR="00DB52CB" w:rsidRPr="00F753AE" w:rsidRDefault="003D283E">
      <w:pPr>
        <w:ind w:left="1701" w:hanging="1134"/>
        <w:rPr>
          <w:rFonts w:eastAsia="PMingLiU" w:cs="Arial"/>
          <w:sz w:val="18"/>
          <w:szCs w:val="24"/>
          <w:lang w:val="es-ES_tradnl"/>
        </w:rPr>
      </w:pPr>
      <w:r w:rsidRPr="00F753AE">
        <w:rPr>
          <w:rFonts w:eastAsia="PMingLiU" w:cs="Arial"/>
          <w:sz w:val="18"/>
          <w:szCs w:val="24"/>
          <w:lang w:val="es-ES_tradnl"/>
        </w:rPr>
        <w:t>TWV:</w:t>
      </w:r>
      <w:r w:rsidRPr="00F753AE">
        <w:rPr>
          <w:rFonts w:eastAsia="PMingLiU" w:cs="Arial"/>
          <w:sz w:val="18"/>
          <w:szCs w:val="24"/>
          <w:lang w:val="es-ES_tradnl"/>
        </w:rPr>
        <w:tab/>
        <w:t>Grupo de Trabajo Técnico sobre Hortalizas</w:t>
      </w:r>
    </w:p>
    <w:p w14:paraId="670A66C4" w14:textId="77777777" w:rsidR="00E209FA" w:rsidRPr="00F753AE" w:rsidRDefault="00E209FA" w:rsidP="00E209FA">
      <w:pPr>
        <w:jc w:val="left"/>
        <w:rPr>
          <w:rFonts w:cs="Arial"/>
          <w:snapToGrid w:val="0"/>
          <w:sz w:val="18"/>
          <w:szCs w:val="24"/>
          <w:lang w:val="es-ES_tradnl" w:eastAsia="ja-JP"/>
        </w:rPr>
      </w:pPr>
    </w:p>
    <w:p w14:paraId="7209E28F" w14:textId="77777777" w:rsidR="003D283E" w:rsidRDefault="003D283E">
      <w:pPr>
        <w:jc w:val="left"/>
        <w:rPr>
          <w:lang w:val="es-ES_tradnl"/>
        </w:rPr>
      </w:pPr>
      <w:r>
        <w:rPr>
          <w:lang w:val="es-ES_tradnl"/>
        </w:rPr>
        <w:br w:type="page"/>
      </w:r>
    </w:p>
    <w:p w14:paraId="15154818" w14:textId="0365C381" w:rsidR="00DB52CB" w:rsidRPr="00F753AE" w:rsidRDefault="003D283E">
      <w:pPr>
        <w:keepNext/>
        <w:rPr>
          <w:lang w:val="es-ES_tradnl"/>
        </w:rPr>
      </w:pPr>
      <w:r w:rsidRPr="00F753AE">
        <w:rPr>
          <w:lang w:val="es-ES_tradnl"/>
        </w:rPr>
        <w:lastRenderedPageBreak/>
        <w:fldChar w:fldCharType="begin"/>
      </w:r>
      <w:r w:rsidRPr="00F753AE">
        <w:rPr>
          <w:lang w:val="es-ES_tradnl"/>
        </w:rPr>
        <w:instrText xml:space="preserve"> AUTONUM  </w:instrText>
      </w:r>
      <w:r w:rsidRPr="00F753AE">
        <w:rPr>
          <w:lang w:val="es-ES_tradnl"/>
        </w:rPr>
        <w:fldChar w:fldCharType="end"/>
      </w:r>
      <w:r w:rsidRPr="00F753AE">
        <w:rPr>
          <w:lang w:val="es-ES_tradnl"/>
        </w:rPr>
        <w:tab/>
        <w:t>La estructura de este docu</w:t>
      </w:r>
      <w:r w:rsidRPr="00F753AE">
        <w:rPr>
          <w:lang w:val="es-ES_tradnl"/>
        </w:rPr>
        <w:t>mento es la siguiente:</w:t>
      </w:r>
    </w:p>
    <w:p w14:paraId="6C7B80DB" w14:textId="77777777" w:rsidR="00E209FA" w:rsidRPr="00F753AE" w:rsidRDefault="00E209FA" w:rsidP="00E209FA">
      <w:pPr>
        <w:keepNext/>
        <w:tabs>
          <w:tab w:val="right" w:leader="dot" w:pos="9639"/>
        </w:tabs>
        <w:spacing w:before="60"/>
        <w:ind w:right="1418"/>
        <w:jc w:val="left"/>
        <w:rPr>
          <w:rFonts w:cs="Arial"/>
          <w:caps/>
          <w:szCs w:val="18"/>
          <w:lang w:val="es-ES_tradnl"/>
        </w:rPr>
      </w:pPr>
    </w:p>
    <w:p w14:paraId="5BEC76A6" w14:textId="235DB90A" w:rsidR="003D283E" w:rsidRDefault="005820D2">
      <w:pPr>
        <w:pStyle w:val="TOC1"/>
        <w:rPr>
          <w:rFonts w:asciiTheme="minorHAnsi" w:eastAsiaTheme="minorEastAsia" w:hAnsiTheme="minorHAnsi" w:cstheme="minorBidi"/>
          <w:caps w:val="0"/>
          <w:noProof/>
          <w:sz w:val="22"/>
          <w:szCs w:val="22"/>
          <w:lang w:val="en-GB" w:eastAsia="en-GB"/>
        </w:rPr>
      </w:pPr>
      <w:r w:rsidRPr="00F753AE">
        <w:rPr>
          <w:rFonts w:cs="Arial"/>
          <w:bCs/>
          <w:caps w:val="0"/>
          <w:sz w:val="18"/>
          <w:szCs w:val="18"/>
          <w:lang w:val="es-ES_tradnl"/>
        </w:rPr>
        <w:fldChar w:fldCharType="begin"/>
      </w:r>
      <w:r w:rsidR="003D283E" w:rsidRPr="00F753AE">
        <w:rPr>
          <w:rFonts w:cs="Arial"/>
          <w:bCs/>
          <w:caps w:val="0"/>
          <w:sz w:val="18"/>
          <w:szCs w:val="18"/>
          <w:lang w:val="es-ES_tradnl"/>
        </w:rPr>
        <w:instrText xml:space="preserve"> TOC \o "1-3" \u </w:instrText>
      </w:r>
      <w:r w:rsidRPr="00F753AE">
        <w:rPr>
          <w:rFonts w:cs="Arial"/>
          <w:bCs/>
          <w:caps w:val="0"/>
          <w:sz w:val="18"/>
          <w:szCs w:val="18"/>
          <w:lang w:val="es-ES_tradnl"/>
        </w:rPr>
        <w:fldChar w:fldCharType="separate"/>
      </w:r>
      <w:r w:rsidR="003D283E" w:rsidRPr="00627CE9">
        <w:rPr>
          <w:noProof/>
          <w:snapToGrid w:val="0"/>
          <w:lang w:val="es-ES_tradnl" w:eastAsia="ja-JP"/>
        </w:rPr>
        <w:t>RESUMEN</w:t>
      </w:r>
      <w:r w:rsidR="003D283E">
        <w:rPr>
          <w:noProof/>
        </w:rPr>
        <w:tab/>
      </w:r>
      <w:r w:rsidR="003D283E">
        <w:rPr>
          <w:noProof/>
        </w:rPr>
        <w:fldChar w:fldCharType="begin"/>
      </w:r>
      <w:r w:rsidR="003D283E">
        <w:rPr>
          <w:noProof/>
        </w:rPr>
        <w:instrText xml:space="preserve"> PAGEREF _Toc148114519 \h </w:instrText>
      </w:r>
      <w:r w:rsidR="003D283E">
        <w:rPr>
          <w:noProof/>
        </w:rPr>
      </w:r>
      <w:r w:rsidR="003D283E">
        <w:rPr>
          <w:noProof/>
        </w:rPr>
        <w:fldChar w:fldCharType="separate"/>
      </w:r>
      <w:r w:rsidR="003D283E">
        <w:rPr>
          <w:noProof/>
        </w:rPr>
        <w:t>1</w:t>
      </w:r>
      <w:r w:rsidR="003D283E">
        <w:rPr>
          <w:noProof/>
        </w:rPr>
        <w:fldChar w:fldCharType="end"/>
      </w:r>
    </w:p>
    <w:p w14:paraId="1990A81B" w14:textId="19627DC0" w:rsidR="003D283E" w:rsidRDefault="003D283E">
      <w:pPr>
        <w:pStyle w:val="TOC1"/>
        <w:rPr>
          <w:rFonts w:asciiTheme="minorHAnsi" w:eastAsiaTheme="minorEastAsia" w:hAnsiTheme="minorHAnsi" w:cstheme="minorBidi"/>
          <w:caps w:val="0"/>
          <w:noProof/>
          <w:sz w:val="22"/>
          <w:szCs w:val="22"/>
          <w:lang w:val="en-GB" w:eastAsia="en-GB"/>
        </w:rPr>
      </w:pPr>
      <w:r w:rsidRPr="00627CE9">
        <w:rPr>
          <w:noProof/>
          <w:lang w:val="es-ES_tradnl"/>
        </w:rPr>
        <w:t>Confidencialidad y propiedad de la información molecular</w:t>
      </w:r>
      <w:r>
        <w:rPr>
          <w:noProof/>
        </w:rPr>
        <w:tab/>
      </w:r>
      <w:r>
        <w:rPr>
          <w:noProof/>
        </w:rPr>
        <w:fldChar w:fldCharType="begin"/>
      </w:r>
      <w:r>
        <w:rPr>
          <w:noProof/>
        </w:rPr>
        <w:instrText xml:space="preserve"> PAGEREF _Toc148114520 \h </w:instrText>
      </w:r>
      <w:r>
        <w:rPr>
          <w:noProof/>
        </w:rPr>
      </w:r>
      <w:r>
        <w:rPr>
          <w:noProof/>
        </w:rPr>
        <w:fldChar w:fldCharType="separate"/>
      </w:r>
      <w:r>
        <w:rPr>
          <w:noProof/>
        </w:rPr>
        <w:t>2</w:t>
      </w:r>
      <w:r>
        <w:rPr>
          <w:noProof/>
        </w:rPr>
        <w:fldChar w:fldCharType="end"/>
      </w:r>
    </w:p>
    <w:p w14:paraId="5D8DD991" w14:textId="3DBB2BD3" w:rsidR="003D283E" w:rsidRDefault="003D283E">
      <w:pPr>
        <w:pStyle w:val="TOC2"/>
        <w:rPr>
          <w:rFonts w:asciiTheme="minorHAnsi" w:eastAsiaTheme="minorEastAsia" w:hAnsiTheme="minorHAnsi" w:cstheme="minorBidi"/>
          <w:noProof/>
          <w:sz w:val="22"/>
          <w:szCs w:val="22"/>
          <w:lang w:val="en-GB" w:eastAsia="en-GB"/>
        </w:rPr>
      </w:pPr>
      <w:r w:rsidRPr="00627CE9">
        <w:rPr>
          <w:noProof/>
          <w:lang w:val="es-ES_tradnl"/>
        </w:rPr>
        <w:t>ANTECEDENTES</w:t>
      </w:r>
      <w:r>
        <w:rPr>
          <w:noProof/>
        </w:rPr>
        <w:tab/>
      </w:r>
      <w:r>
        <w:rPr>
          <w:noProof/>
        </w:rPr>
        <w:fldChar w:fldCharType="begin"/>
      </w:r>
      <w:r>
        <w:rPr>
          <w:noProof/>
        </w:rPr>
        <w:instrText xml:space="preserve"> PAGEREF _Toc148114521 \h </w:instrText>
      </w:r>
      <w:r>
        <w:rPr>
          <w:noProof/>
        </w:rPr>
      </w:r>
      <w:r>
        <w:rPr>
          <w:noProof/>
        </w:rPr>
        <w:fldChar w:fldCharType="separate"/>
      </w:r>
      <w:r>
        <w:rPr>
          <w:noProof/>
        </w:rPr>
        <w:t>2</w:t>
      </w:r>
      <w:r>
        <w:rPr>
          <w:noProof/>
        </w:rPr>
        <w:fldChar w:fldCharType="end"/>
      </w:r>
    </w:p>
    <w:p w14:paraId="25E06DA3" w14:textId="7F2DB237" w:rsidR="003D283E" w:rsidRDefault="003D283E">
      <w:pPr>
        <w:pStyle w:val="TOC2"/>
        <w:rPr>
          <w:rFonts w:asciiTheme="minorHAnsi" w:eastAsiaTheme="minorEastAsia" w:hAnsiTheme="minorHAnsi" w:cstheme="minorBidi"/>
          <w:noProof/>
          <w:sz w:val="22"/>
          <w:szCs w:val="22"/>
          <w:lang w:val="en-GB" w:eastAsia="en-GB"/>
        </w:rPr>
      </w:pPr>
      <w:r w:rsidRPr="00627CE9">
        <w:rPr>
          <w:noProof/>
          <w:lang w:val="es-ES_tradnl" w:eastAsia="ja-JP"/>
        </w:rPr>
        <w:t>Evolución de los Grupos de Trabajo Técnicos en sus sesiones de 2023</w:t>
      </w:r>
      <w:r>
        <w:rPr>
          <w:noProof/>
        </w:rPr>
        <w:tab/>
      </w:r>
      <w:r>
        <w:rPr>
          <w:noProof/>
        </w:rPr>
        <w:fldChar w:fldCharType="begin"/>
      </w:r>
      <w:r>
        <w:rPr>
          <w:noProof/>
        </w:rPr>
        <w:instrText xml:space="preserve"> PAGEREF _Toc148114522 \h </w:instrText>
      </w:r>
      <w:r>
        <w:rPr>
          <w:noProof/>
        </w:rPr>
      </w:r>
      <w:r>
        <w:rPr>
          <w:noProof/>
        </w:rPr>
        <w:fldChar w:fldCharType="separate"/>
      </w:r>
      <w:r>
        <w:rPr>
          <w:noProof/>
        </w:rPr>
        <w:t>2</w:t>
      </w:r>
      <w:r>
        <w:rPr>
          <w:noProof/>
        </w:rPr>
        <w:fldChar w:fldCharType="end"/>
      </w:r>
    </w:p>
    <w:p w14:paraId="2DDAD783" w14:textId="228F42B8" w:rsidR="003D283E" w:rsidRDefault="003D283E">
      <w:pPr>
        <w:pStyle w:val="TOC3"/>
        <w:rPr>
          <w:rFonts w:asciiTheme="minorHAnsi" w:eastAsiaTheme="minorEastAsia" w:hAnsiTheme="minorHAnsi" w:cstheme="minorBidi"/>
          <w:i w:val="0"/>
          <w:noProof/>
          <w:sz w:val="22"/>
          <w:szCs w:val="22"/>
          <w:lang w:val="en-GB" w:eastAsia="en-GB"/>
        </w:rPr>
      </w:pPr>
      <w:r w:rsidRPr="00627CE9">
        <w:rPr>
          <w:noProof/>
          <w:lang w:val="es-ES_tradnl"/>
        </w:rPr>
        <w:t>Políticas existentes sobre confidencialidad de la información molecular</w:t>
      </w:r>
      <w:r>
        <w:rPr>
          <w:noProof/>
        </w:rPr>
        <w:tab/>
      </w:r>
      <w:r>
        <w:rPr>
          <w:noProof/>
        </w:rPr>
        <w:fldChar w:fldCharType="begin"/>
      </w:r>
      <w:r>
        <w:rPr>
          <w:noProof/>
        </w:rPr>
        <w:instrText xml:space="preserve"> PAGEREF _Toc148114523 \h </w:instrText>
      </w:r>
      <w:r>
        <w:rPr>
          <w:noProof/>
        </w:rPr>
      </w:r>
      <w:r>
        <w:rPr>
          <w:noProof/>
        </w:rPr>
        <w:fldChar w:fldCharType="separate"/>
      </w:r>
      <w:r>
        <w:rPr>
          <w:noProof/>
        </w:rPr>
        <w:t>2</w:t>
      </w:r>
      <w:r>
        <w:rPr>
          <w:noProof/>
        </w:rPr>
        <w:fldChar w:fldCharType="end"/>
      </w:r>
    </w:p>
    <w:p w14:paraId="3F8A9980" w14:textId="2D0507B6" w:rsidR="003D283E" w:rsidRDefault="003D283E">
      <w:pPr>
        <w:pStyle w:val="TOC3"/>
        <w:rPr>
          <w:rFonts w:asciiTheme="minorHAnsi" w:eastAsiaTheme="minorEastAsia" w:hAnsiTheme="minorHAnsi" w:cstheme="minorBidi"/>
          <w:i w:val="0"/>
          <w:noProof/>
          <w:sz w:val="22"/>
          <w:szCs w:val="22"/>
          <w:lang w:val="en-GB" w:eastAsia="en-GB"/>
        </w:rPr>
      </w:pPr>
      <w:r w:rsidRPr="00627CE9">
        <w:rPr>
          <w:noProof/>
          <w:lang w:val="es-ES_tradnl"/>
        </w:rPr>
        <w:t>Presentación sobre "Confidencialidad de la información molecular"</w:t>
      </w:r>
      <w:r>
        <w:rPr>
          <w:noProof/>
        </w:rPr>
        <w:tab/>
      </w:r>
      <w:r>
        <w:rPr>
          <w:noProof/>
        </w:rPr>
        <w:fldChar w:fldCharType="begin"/>
      </w:r>
      <w:r>
        <w:rPr>
          <w:noProof/>
        </w:rPr>
        <w:instrText xml:space="preserve"> PAGEREF _Toc148114524 \h </w:instrText>
      </w:r>
      <w:r>
        <w:rPr>
          <w:noProof/>
        </w:rPr>
      </w:r>
      <w:r>
        <w:rPr>
          <w:noProof/>
        </w:rPr>
        <w:fldChar w:fldCharType="separate"/>
      </w:r>
      <w:r>
        <w:rPr>
          <w:noProof/>
        </w:rPr>
        <w:t>3</w:t>
      </w:r>
      <w:r>
        <w:rPr>
          <w:noProof/>
        </w:rPr>
        <w:fldChar w:fldCharType="end"/>
      </w:r>
    </w:p>
    <w:p w14:paraId="432FA655" w14:textId="7269DC98" w:rsidR="003D283E" w:rsidRDefault="003D283E">
      <w:pPr>
        <w:pStyle w:val="TOC1"/>
        <w:rPr>
          <w:rFonts w:asciiTheme="minorHAnsi" w:eastAsiaTheme="minorEastAsia" w:hAnsiTheme="minorHAnsi" w:cstheme="minorBidi"/>
          <w:caps w:val="0"/>
          <w:noProof/>
          <w:sz w:val="22"/>
          <w:szCs w:val="22"/>
          <w:lang w:val="en-GB" w:eastAsia="en-GB"/>
        </w:rPr>
      </w:pPr>
      <w:r w:rsidRPr="00627CE9">
        <w:rPr>
          <w:noProof/>
          <w:snapToGrid w:val="0"/>
          <w:lang w:val="es-ES_tradnl" w:eastAsia="ja-JP"/>
        </w:rPr>
        <w:t>Debate sobre las técnicas moleculares en el examen DHE</w:t>
      </w:r>
      <w:r>
        <w:rPr>
          <w:noProof/>
        </w:rPr>
        <w:tab/>
      </w:r>
      <w:r>
        <w:rPr>
          <w:noProof/>
        </w:rPr>
        <w:fldChar w:fldCharType="begin"/>
      </w:r>
      <w:r>
        <w:rPr>
          <w:noProof/>
        </w:rPr>
        <w:instrText xml:space="preserve"> PAGEREF _Toc148114525 \h </w:instrText>
      </w:r>
      <w:r>
        <w:rPr>
          <w:noProof/>
        </w:rPr>
      </w:r>
      <w:r>
        <w:rPr>
          <w:noProof/>
        </w:rPr>
        <w:fldChar w:fldCharType="separate"/>
      </w:r>
      <w:r>
        <w:rPr>
          <w:noProof/>
        </w:rPr>
        <w:t>3</w:t>
      </w:r>
      <w:r>
        <w:rPr>
          <w:noProof/>
        </w:rPr>
        <w:fldChar w:fldCharType="end"/>
      </w:r>
    </w:p>
    <w:p w14:paraId="160CD4C3" w14:textId="42ADF14A" w:rsidR="003D283E" w:rsidRDefault="003D283E">
      <w:pPr>
        <w:pStyle w:val="TOC1"/>
        <w:rPr>
          <w:rFonts w:asciiTheme="minorHAnsi" w:eastAsiaTheme="minorEastAsia" w:hAnsiTheme="minorHAnsi" w:cstheme="minorBidi"/>
          <w:caps w:val="0"/>
          <w:noProof/>
          <w:sz w:val="22"/>
          <w:szCs w:val="22"/>
          <w:lang w:val="en-GB" w:eastAsia="en-GB"/>
        </w:rPr>
      </w:pPr>
      <w:r w:rsidRPr="00627CE9">
        <w:rPr>
          <w:noProof/>
          <w:snapToGrid w:val="0"/>
          <w:lang w:val="es-ES_tradnl" w:eastAsia="ja-JP"/>
        </w:rPr>
        <w:t>Información</w:t>
      </w:r>
      <w:r>
        <w:rPr>
          <w:noProof/>
        </w:rPr>
        <w:tab/>
      </w:r>
      <w:r>
        <w:rPr>
          <w:noProof/>
        </w:rPr>
        <w:fldChar w:fldCharType="begin"/>
      </w:r>
      <w:r>
        <w:rPr>
          <w:noProof/>
        </w:rPr>
        <w:instrText xml:space="preserve"> PAGEREF _Toc148114526 \h </w:instrText>
      </w:r>
      <w:r>
        <w:rPr>
          <w:noProof/>
        </w:rPr>
      </w:r>
      <w:r>
        <w:rPr>
          <w:noProof/>
        </w:rPr>
        <w:fldChar w:fldCharType="separate"/>
      </w:r>
      <w:r>
        <w:rPr>
          <w:noProof/>
        </w:rPr>
        <w:t>4</w:t>
      </w:r>
      <w:r>
        <w:rPr>
          <w:noProof/>
        </w:rPr>
        <w:fldChar w:fldCharType="end"/>
      </w:r>
    </w:p>
    <w:p w14:paraId="054AF411" w14:textId="1D194ED8" w:rsidR="003D283E" w:rsidRDefault="003D283E">
      <w:pPr>
        <w:pStyle w:val="TOC2"/>
        <w:rPr>
          <w:rFonts w:asciiTheme="minorHAnsi" w:eastAsiaTheme="minorEastAsia" w:hAnsiTheme="minorHAnsi" w:cstheme="minorBidi"/>
          <w:noProof/>
          <w:sz w:val="22"/>
          <w:szCs w:val="22"/>
          <w:lang w:val="en-GB" w:eastAsia="en-GB"/>
        </w:rPr>
      </w:pPr>
      <w:r w:rsidRPr="00627CE9">
        <w:rPr>
          <w:noProof/>
          <w:lang w:val="es-ES_tradnl"/>
        </w:rPr>
        <w:t>Segunda sesión del Grupo de Trabajo Técnico sobre Métodos y Técnicas de Examen (TWM)</w:t>
      </w:r>
      <w:r>
        <w:rPr>
          <w:noProof/>
        </w:rPr>
        <w:tab/>
      </w:r>
      <w:r>
        <w:rPr>
          <w:noProof/>
        </w:rPr>
        <w:fldChar w:fldCharType="begin"/>
      </w:r>
      <w:r>
        <w:rPr>
          <w:noProof/>
        </w:rPr>
        <w:instrText xml:space="preserve"> PAGEREF _Toc148114527 \h </w:instrText>
      </w:r>
      <w:r>
        <w:rPr>
          <w:noProof/>
        </w:rPr>
      </w:r>
      <w:r>
        <w:rPr>
          <w:noProof/>
        </w:rPr>
        <w:fldChar w:fldCharType="separate"/>
      </w:r>
      <w:r>
        <w:rPr>
          <w:noProof/>
        </w:rPr>
        <w:t>4</w:t>
      </w:r>
      <w:r>
        <w:rPr>
          <w:noProof/>
        </w:rPr>
        <w:fldChar w:fldCharType="end"/>
      </w:r>
    </w:p>
    <w:p w14:paraId="2781DEA2" w14:textId="72B29884" w:rsidR="003D283E" w:rsidRDefault="003D283E">
      <w:pPr>
        <w:pStyle w:val="TOC2"/>
        <w:rPr>
          <w:rFonts w:asciiTheme="minorHAnsi" w:eastAsiaTheme="minorEastAsia" w:hAnsiTheme="minorHAnsi" w:cstheme="minorBidi"/>
          <w:noProof/>
          <w:sz w:val="22"/>
          <w:szCs w:val="22"/>
          <w:lang w:val="en-GB" w:eastAsia="en-GB"/>
        </w:rPr>
      </w:pPr>
      <w:r w:rsidRPr="00627CE9">
        <w:rPr>
          <w:rFonts w:eastAsia="MS Mincho"/>
          <w:noProof/>
          <w:lang w:val="es-ES_tradnl"/>
        </w:rPr>
        <w:t>Presentaciones sobre el uso de técnicas moleculares en el examen DHE</w:t>
      </w:r>
      <w:r>
        <w:rPr>
          <w:noProof/>
        </w:rPr>
        <w:tab/>
      </w:r>
      <w:r>
        <w:rPr>
          <w:noProof/>
        </w:rPr>
        <w:fldChar w:fldCharType="begin"/>
      </w:r>
      <w:r>
        <w:rPr>
          <w:noProof/>
        </w:rPr>
        <w:instrText xml:space="preserve"> PAGEREF _Toc148114528 \h </w:instrText>
      </w:r>
      <w:r>
        <w:rPr>
          <w:noProof/>
        </w:rPr>
      </w:r>
      <w:r>
        <w:rPr>
          <w:noProof/>
        </w:rPr>
        <w:fldChar w:fldCharType="separate"/>
      </w:r>
      <w:r>
        <w:rPr>
          <w:noProof/>
        </w:rPr>
        <w:t>5</w:t>
      </w:r>
      <w:r>
        <w:rPr>
          <w:noProof/>
        </w:rPr>
        <w:fldChar w:fldCharType="end"/>
      </w:r>
    </w:p>
    <w:p w14:paraId="3C46B801" w14:textId="634945C9" w:rsidR="003D283E" w:rsidRDefault="003D283E">
      <w:pPr>
        <w:pStyle w:val="TOC2"/>
        <w:rPr>
          <w:rFonts w:asciiTheme="minorHAnsi" w:eastAsiaTheme="minorEastAsia" w:hAnsiTheme="minorHAnsi" w:cstheme="minorBidi"/>
          <w:noProof/>
          <w:sz w:val="22"/>
          <w:szCs w:val="22"/>
          <w:lang w:val="en-GB" w:eastAsia="en-GB"/>
        </w:rPr>
      </w:pPr>
      <w:r w:rsidRPr="00627CE9">
        <w:rPr>
          <w:noProof/>
          <w:lang w:val="es-ES_tradnl" w:eastAsia="ja-JP"/>
        </w:rPr>
        <w:t>Cooperación entre organizaciones internacionales</w:t>
      </w:r>
      <w:r>
        <w:rPr>
          <w:noProof/>
        </w:rPr>
        <w:tab/>
      </w:r>
      <w:r>
        <w:rPr>
          <w:noProof/>
        </w:rPr>
        <w:fldChar w:fldCharType="begin"/>
      </w:r>
      <w:r>
        <w:rPr>
          <w:noProof/>
        </w:rPr>
        <w:instrText xml:space="preserve"> PAGEREF _Toc148114529 \h </w:instrText>
      </w:r>
      <w:r>
        <w:rPr>
          <w:noProof/>
        </w:rPr>
      </w:r>
      <w:r>
        <w:rPr>
          <w:noProof/>
        </w:rPr>
        <w:fldChar w:fldCharType="separate"/>
      </w:r>
      <w:r>
        <w:rPr>
          <w:noProof/>
        </w:rPr>
        <w:t>5</w:t>
      </w:r>
      <w:r>
        <w:rPr>
          <w:noProof/>
        </w:rPr>
        <w:fldChar w:fldCharType="end"/>
      </w:r>
    </w:p>
    <w:p w14:paraId="000DDF53" w14:textId="39F14927" w:rsidR="003D283E" w:rsidRDefault="003D283E">
      <w:pPr>
        <w:pStyle w:val="TOC3"/>
        <w:rPr>
          <w:rFonts w:asciiTheme="minorHAnsi" w:eastAsiaTheme="minorEastAsia" w:hAnsiTheme="minorHAnsi" w:cstheme="minorBidi"/>
          <w:i w:val="0"/>
          <w:noProof/>
          <w:sz w:val="22"/>
          <w:szCs w:val="22"/>
          <w:lang w:val="en-GB" w:eastAsia="en-GB"/>
        </w:rPr>
      </w:pPr>
      <w:r w:rsidRPr="00627CE9">
        <w:rPr>
          <w:rFonts w:eastAsiaTheme="minorEastAsia"/>
          <w:noProof/>
          <w:lang w:val="es-ES_tradnl"/>
        </w:rPr>
        <w:t>Inventario sobre el uso de técnicas de marcadores moleculares, por cultivo</w:t>
      </w:r>
      <w:r>
        <w:rPr>
          <w:noProof/>
        </w:rPr>
        <w:tab/>
      </w:r>
      <w:r>
        <w:rPr>
          <w:noProof/>
        </w:rPr>
        <w:fldChar w:fldCharType="begin"/>
      </w:r>
      <w:r>
        <w:rPr>
          <w:noProof/>
        </w:rPr>
        <w:instrText xml:space="preserve"> PAGEREF _Toc148114530 \h </w:instrText>
      </w:r>
      <w:r>
        <w:rPr>
          <w:noProof/>
        </w:rPr>
      </w:r>
      <w:r>
        <w:rPr>
          <w:noProof/>
        </w:rPr>
        <w:fldChar w:fldCharType="separate"/>
      </w:r>
      <w:r>
        <w:rPr>
          <w:noProof/>
        </w:rPr>
        <w:t>6</w:t>
      </w:r>
      <w:r>
        <w:rPr>
          <w:noProof/>
        </w:rPr>
        <w:fldChar w:fldCharType="end"/>
      </w:r>
    </w:p>
    <w:p w14:paraId="2F3D2847" w14:textId="31E19F20" w:rsidR="003D283E" w:rsidRDefault="003D283E">
      <w:pPr>
        <w:pStyle w:val="TOC3"/>
        <w:rPr>
          <w:rFonts w:asciiTheme="minorHAnsi" w:eastAsiaTheme="minorEastAsia" w:hAnsiTheme="minorHAnsi" w:cstheme="minorBidi"/>
          <w:i w:val="0"/>
          <w:noProof/>
          <w:sz w:val="22"/>
          <w:szCs w:val="22"/>
          <w:lang w:val="en-GB" w:eastAsia="en-GB"/>
        </w:rPr>
      </w:pPr>
      <w:r w:rsidRPr="00627CE9">
        <w:rPr>
          <w:rFonts w:eastAsiaTheme="minorEastAsia"/>
          <w:noProof/>
          <w:lang w:val="es-ES_tradnl"/>
        </w:rPr>
        <w:t>Documento conjunto que explica las principales características de los sistemas de la OCDE, la UPOV y la ISTA</w:t>
      </w:r>
      <w:r>
        <w:rPr>
          <w:noProof/>
        </w:rPr>
        <w:tab/>
      </w:r>
      <w:r>
        <w:rPr>
          <w:noProof/>
        </w:rPr>
        <w:fldChar w:fldCharType="begin"/>
      </w:r>
      <w:r>
        <w:rPr>
          <w:noProof/>
        </w:rPr>
        <w:instrText xml:space="preserve"> PAGEREF _Toc148114531 \h </w:instrText>
      </w:r>
      <w:r>
        <w:rPr>
          <w:noProof/>
        </w:rPr>
      </w:r>
      <w:r>
        <w:rPr>
          <w:noProof/>
        </w:rPr>
        <w:fldChar w:fldCharType="separate"/>
      </w:r>
      <w:r>
        <w:rPr>
          <w:noProof/>
        </w:rPr>
        <w:t>6</w:t>
      </w:r>
      <w:r>
        <w:rPr>
          <w:noProof/>
        </w:rPr>
        <w:fldChar w:fldCharType="end"/>
      </w:r>
    </w:p>
    <w:p w14:paraId="583EFD51" w14:textId="439C961F" w:rsidR="003D283E" w:rsidRDefault="003D283E">
      <w:pPr>
        <w:pStyle w:val="TOC3"/>
        <w:rPr>
          <w:rFonts w:asciiTheme="minorHAnsi" w:eastAsiaTheme="minorEastAsia" w:hAnsiTheme="minorHAnsi" w:cstheme="minorBidi"/>
          <w:i w:val="0"/>
          <w:noProof/>
          <w:sz w:val="22"/>
          <w:szCs w:val="22"/>
          <w:lang w:val="en-GB" w:eastAsia="en-GB"/>
        </w:rPr>
      </w:pPr>
      <w:r w:rsidRPr="00627CE9">
        <w:rPr>
          <w:noProof/>
          <w:lang w:val="es-ES_tradnl"/>
        </w:rPr>
        <w:t>Listas de posibles iniciativas conjuntas con la OCDE y la ISTA en relación con las técnicas moleculares</w:t>
      </w:r>
      <w:r>
        <w:rPr>
          <w:noProof/>
        </w:rPr>
        <w:tab/>
      </w:r>
      <w:r>
        <w:rPr>
          <w:noProof/>
        </w:rPr>
        <w:fldChar w:fldCharType="begin"/>
      </w:r>
      <w:r>
        <w:rPr>
          <w:noProof/>
        </w:rPr>
        <w:instrText xml:space="preserve"> PAGEREF _Toc148114532 \h </w:instrText>
      </w:r>
      <w:r>
        <w:rPr>
          <w:noProof/>
        </w:rPr>
      </w:r>
      <w:r>
        <w:rPr>
          <w:noProof/>
        </w:rPr>
        <w:fldChar w:fldCharType="separate"/>
      </w:r>
      <w:r>
        <w:rPr>
          <w:noProof/>
        </w:rPr>
        <w:t>6</w:t>
      </w:r>
      <w:r>
        <w:rPr>
          <w:noProof/>
        </w:rPr>
        <w:fldChar w:fldCharType="end"/>
      </w:r>
    </w:p>
    <w:p w14:paraId="0388E585" w14:textId="75814762" w:rsidR="003D283E" w:rsidRDefault="003D283E">
      <w:pPr>
        <w:pStyle w:val="TOC2"/>
        <w:rPr>
          <w:rFonts w:asciiTheme="minorHAnsi" w:eastAsiaTheme="minorEastAsia" w:hAnsiTheme="minorHAnsi" w:cstheme="minorBidi"/>
          <w:noProof/>
          <w:sz w:val="22"/>
          <w:szCs w:val="22"/>
          <w:lang w:val="en-GB" w:eastAsia="en-GB"/>
        </w:rPr>
      </w:pPr>
      <w:r w:rsidRPr="00627CE9">
        <w:rPr>
          <w:noProof/>
          <w:snapToGrid w:val="0"/>
          <w:lang w:val="es-ES_tradnl"/>
        </w:rPr>
        <w:t>Sesión para facilitar la cooperación en relación con el uso de técnicas moleculares</w:t>
      </w:r>
      <w:r>
        <w:rPr>
          <w:noProof/>
        </w:rPr>
        <w:tab/>
      </w:r>
      <w:r>
        <w:rPr>
          <w:noProof/>
        </w:rPr>
        <w:fldChar w:fldCharType="begin"/>
      </w:r>
      <w:r>
        <w:rPr>
          <w:noProof/>
        </w:rPr>
        <w:instrText xml:space="preserve"> PAGEREF _Toc148114533 \h </w:instrText>
      </w:r>
      <w:r>
        <w:rPr>
          <w:noProof/>
        </w:rPr>
      </w:r>
      <w:r>
        <w:rPr>
          <w:noProof/>
        </w:rPr>
        <w:fldChar w:fldCharType="separate"/>
      </w:r>
      <w:r>
        <w:rPr>
          <w:noProof/>
        </w:rPr>
        <w:t>7</w:t>
      </w:r>
      <w:r>
        <w:rPr>
          <w:noProof/>
        </w:rPr>
        <w:fldChar w:fldCharType="end"/>
      </w:r>
    </w:p>
    <w:p w14:paraId="47F2BEDF" w14:textId="35D9D1AB" w:rsidR="00E209FA" w:rsidRPr="00F753AE" w:rsidRDefault="005820D2" w:rsidP="005820D2">
      <w:pPr>
        <w:keepNext/>
        <w:tabs>
          <w:tab w:val="center" w:pos="4479"/>
        </w:tabs>
        <w:spacing w:before="120"/>
        <w:ind w:right="851"/>
        <w:contextualSpacing/>
        <w:jc w:val="left"/>
        <w:rPr>
          <w:snapToGrid w:val="0"/>
          <w:sz w:val="18"/>
          <w:szCs w:val="18"/>
          <w:lang w:val="es-ES_tradnl" w:eastAsia="ja-JP"/>
        </w:rPr>
      </w:pPr>
      <w:r w:rsidRPr="00F753AE">
        <w:rPr>
          <w:rFonts w:cs="Arial"/>
          <w:bCs/>
          <w:caps/>
          <w:sz w:val="18"/>
          <w:szCs w:val="18"/>
          <w:lang w:val="es-ES_tradnl"/>
        </w:rPr>
        <w:fldChar w:fldCharType="end"/>
      </w:r>
    </w:p>
    <w:p w14:paraId="46913A84" w14:textId="77777777" w:rsidR="00E209FA" w:rsidRPr="00F753AE" w:rsidRDefault="00E209FA" w:rsidP="00E209FA">
      <w:pPr>
        <w:rPr>
          <w:lang w:val="es-ES_tradnl"/>
        </w:rPr>
      </w:pPr>
    </w:p>
    <w:p w14:paraId="4C7EBB0F" w14:textId="77777777" w:rsidR="00DB52CB" w:rsidRPr="00F753AE" w:rsidRDefault="003D283E">
      <w:pPr>
        <w:keepNext/>
        <w:outlineLvl w:val="0"/>
        <w:rPr>
          <w:caps/>
          <w:lang w:val="es-ES_tradnl"/>
        </w:rPr>
      </w:pPr>
      <w:bookmarkStart w:id="3" w:name="_Toc148114520"/>
      <w:r w:rsidRPr="00F753AE">
        <w:rPr>
          <w:caps/>
          <w:lang w:val="es-ES_tradnl"/>
        </w:rPr>
        <w:t>Confidencialidad y propiedad de la información molecular</w:t>
      </w:r>
      <w:bookmarkEnd w:id="0"/>
      <w:bookmarkEnd w:id="1"/>
      <w:bookmarkEnd w:id="3"/>
    </w:p>
    <w:p w14:paraId="34DB17E0" w14:textId="77777777" w:rsidR="00E209FA" w:rsidRPr="00F753AE" w:rsidRDefault="00E209FA" w:rsidP="00E209FA">
      <w:pPr>
        <w:rPr>
          <w:lang w:val="es-ES_tradnl"/>
        </w:rPr>
      </w:pPr>
    </w:p>
    <w:p w14:paraId="542FB5A7" w14:textId="77777777" w:rsidR="00DB52CB" w:rsidRPr="00F753AE" w:rsidRDefault="003D283E">
      <w:pPr>
        <w:pStyle w:val="Heading2"/>
        <w:rPr>
          <w:lang w:val="es-ES_tradnl"/>
        </w:rPr>
      </w:pPr>
      <w:bookmarkStart w:id="4" w:name="_Toc148114521"/>
      <w:r w:rsidRPr="00F753AE">
        <w:rPr>
          <w:lang w:val="es-ES_tradnl"/>
        </w:rPr>
        <w:t>ANTECEDENTES</w:t>
      </w:r>
      <w:bookmarkEnd w:id="4"/>
    </w:p>
    <w:p w14:paraId="4558BA3C" w14:textId="77777777" w:rsidR="00E209FA" w:rsidRPr="00F753AE" w:rsidRDefault="00E209FA" w:rsidP="00E209FA">
      <w:pPr>
        <w:keepNext/>
        <w:keepLines/>
        <w:rPr>
          <w:lang w:val="es-ES_tradnl"/>
        </w:rPr>
      </w:pPr>
    </w:p>
    <w:p w14:paraId="77ED5F38" w14:textId="2DC963F8" w:rsidR="00DB52CB" w:rsidRPr="00F753AE" w:rsidRDefault="003D283E">
      <w:pPr>
        <w:keepNext/>
        <w:keepLines/>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 xml:space="preserve">El TC, en su </w:t>
      </w:r>
      <w:r w:rsidR="00DC3BDA" w:rsidRPr="00F753AE">
        <w:rPr>
          <w:lang w:val="es-ES_tradnl"/>
        </w:rPr>
        <w:t>quincuagésima</w:t>
      </w:r>
      <w:r w:rsidRPr="00F753AE">
        <w:rPr>
          <w:lang w:val="es-ES_tradnl"/>
        </w:rPr>
        <w:t xml:space="preserve"> octava sesión</w:t>
      </w:r>
      <w:r w:rsidRPr="00F753AE">
        <w:rPr>
          <w:vertAlign w:val="superscript"/>
          <w:lang w:val="es-ES_tradnl"/>
        </w:rPr>
        <w:footnoteReference w:id="2"/>
      </w:r>
      <w:r w:rsidRPr="00F753AE">
        <w:rPr>
          <w:lang w:val="es-ES_tradnl"/>
        </w:rPr>
        <w:t xml:space="preserve"> , tomó nota de los debates mantenidos en los TWP, en sus sesiones de 2022, sobre "Confidencialidad y propiedad de la información molecular" (véase el documento TC/58/31 "Informe", párrafos 48 a 50). </w:t>
      </w:r>
    </w:p>
    <w:p w14:paraId="686AD5DC" w14:textId="77777777" w:rsidR="00E209FA" w:rsidRPr="00F753AE" w:rsidRDefault="00E209FA" w:rsidP="00E209FA">
      <w:pPr>
        <w:rPr>
          <w:lang w:val="es-ES_tradnl"/>
        </w:rPr>
      </w:pPr>
    </w:p>
    <w:p w14:paraId="659B5620"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El TC tomó nota de las preocupaciones expresadas por las organizaciones de obtentores en el TWM en el sentido de que la información molecular proporcionada para el examen de una variedad no debe facilitarse a terceros ajenos a la autoridad q</w:t>
      </w:r>
      <w:r w:rsidRPr="00F753AE">
        <w:rPr>
          <w:lang w:val="es-ES_tradnl"/>
        </w:rPr>
        <w:t>ue recibió la solicitud sin el permiso del obtentor.</w:t>
      </w:r>
    </w:p>
    <w:p w14:paraId="1343F779" w14:textId="77777777" w:rsidR="00E209FA" w:rsidRPr="00F753AE" w:rsidRDefault="00E209FA" w:rsidP="00E209FA">
      <w:pPr>
        <w:rPr>
          <w:lang w:val="es-ES_tradnl"/>
        </w:rPr>
      </w:pPr>
    </w:p>
    <w:p w14:paraId="31799B60"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r>
      <w:r w:rsidRPr="00F753AE">
        <w:rPr>
          <w:lang w:val="es-ES_tradnl"/>
        </w:rPr>
        <w:t>El TC acordó invitar a los miembros y observadores a informar sobre las políticas existentes en materia de confidencialidad de la información molecular en los TWP, en sus sesiones de 2023.</w:t>
      </w:r>
    </w:p>
    <w:p w14:paraId="214A711E" w14:textId="77777777" w:rsidR="00E074B7" w:rsidRPr="00F753AE" w:rsidRDefault="00E074B7" w:rsidP="00E074B7">
      <w:pPr>
        <w:rPr>
          <w:lang w:val="es-ES_tradnl"/>
        </w:rPr>
      </w:pPr>
    </w:p>
    <w:p w14:paraId="3FE24B10" w14:textId="220CF76A"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 xml:space="preserve">En el documento </w:t>
      </w:r>
      <w:r w:rsidR="000D771D" w:rsidRPr="00F753AE">
        <w:rPr>
          <w:lang w:val="es-ES_tradnl"/>
        </w:rPr>
        <w:t xml:space="preserve">TC/58/7 </w:t>
      </w:r>
      <w:r w:rsidRPr="00F753AE">
        <w:rPr>
          <w:lang w:val="es-ES_tradnl"/>
        </w:rPr>
        <w:t xml:space="preserve">"Técnicas moleculares" se </w:t>
      </w:r>
      <w:r w:rsidRPr="00F753AE">
        <w:rPr>
          <w:lang w:val="es-ES_tradnl"/>
        </w:rPr>
        <w:t>of</w:t>
      </w:r>
      <w:r w:rsidRPr="00F753AE">
        <w:rPr>
          <w:lang w:val="es-ES_tradnl"/>
        </w:rPr>
        <w:t>recen más ANTECEDENTES sobre este asunto.</w:t>
      </w:r>
    </w:p>
    <w:p w14:paraId="6766835F" w14:textId="77777777" w:rsidR="00323E4E" w:rsidRPr="00F753AE" w:rsidRDefault="00323E4E" w:rsidP="00E209FA">
      <w:pPr>
        <w:rPr>
          <w:lang w:val="es-ES_tradnl" w:eastAsia="ja-JP"/>
        </w:rPr>
      </w:pPr>
    </w:p>
    <w:p w14:paraId="62CAB631" w14:textId="77777777" w:rsidR="00DB52CB" w:rsidRPr="00F753AE" w:rsidRDefault="003D283E">
      <w:pPr>
        <w:pStyle w:val="Heading2"/>
        <w:rPr>
          <w:lang w:val="es-ES_tradnl" w:eastAsia="ja-JP"/>
        </w:rPr>
      </w:pPr>
      <w:bookmarkStart w:id="5" w:name="_Toc148114522"/>
      <w:r w:rsidRPr="00F753AE">
        <w:rPr>
          <w:lang w:val="es-ES_tradnl" w:eastAsia="ja-JP"/>
        </w:rPr>
        <w:t xml:space="preserve">Evolución de los </w:t>
      </w:r>
      <w:r w:rsidR="00544EA5" w:rsidRPr="00F753AE">
        <w:rPr>
          <w:lang w:val="es-ES_tradnl" w:eastAsia="ja-JP"/>
        </w:rPr>
        <w:t>Grupos de Trabajo Técnicos en sus sesiones de 2023</w:t>
      </w:r>
      <w:bookmarkEnd w:id="5"/>
    </w:p>
    <w:p w14:paraId="15BC581C" w14:textId="77777777" w:rsidR="00323E4E" w:rsidRPr="00F753AE" w:rsidRDefault="00323E4E" w:rsidP="00323E4E">
      <w:pPr>
        <w:jc w:val="left"/>
        <w:rPr>
          <w:lang w:val="es-ES_tradnl"/>
        </w:rPr>
      </w:pPr>
    </w:p>
    <w:p w14:paraId="758CE9A2"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r>
      <w:r w:rsidRPr="00F753AE">
        <w:rPr>
          <w:lang w:val="es-ES_tradnl"/>
        </w:rPr>
        <w:t xml:space="preserve">En sus sesiones de 2023, </w:t>
      </w:r>
      <w:r w:rsidRPr="00F753AE">
        <w:rPr>
          <w:rFonts w:eastAsia="PMingLiU"/>
          <w:szCs w:val="24"/>
          <w:lang w:val="es-ES_tradnl"/>
        </w:rPr>
        <w:t>el TWV</w:t>
      </w:r>
      <w:r w:rsidRPr="00F753AE">
        <w:rPr>
          <w:rFonts w:eastAsia="PMingLiU"/>
          <w:szCs w:val="24"/>
          <w:vertAlign w:val="superscript"/>
          <w:lang w:val="es-ES_tradnl"/>
        </w:rPr>
        <w:footnoteReference w:id="3"/>
      </w:r>
      <w:r w:rsidRPr="00F753AE">
        <w:rPr>
          <w:rFonts w:eastAsia="PMingLiU"/>
          <w:szCs w:val="24"/>
          <w:lang w:val="es-ES_tradnl"/>
        </w:rPr>
        <w:t xml:space="preserve"> , el TWA</w:t>
      </w:r>
      <w:r w:rsidRPr="00F753AE">
        <w:rPr>
          <w:rFonts w:eastAsia="PMingLiU"/>
          <w:szCs w:val="24"/>
          <w:vertAlign w:val="superscript"/>
          <w:lang w:val="es-ES_tradnl"/>
        </w:rPr>
        <w:footnoteReference w:id="4"/>
      </w:r>
      <w:r w:rsidRPr="00F753AE">
        <w:rPr>
          <w:rFonts w:eastAsia="PMingLiU"/>
          <w:szCs w:val="24"/>
          <w:lang w:val="es-ES_tradnl"/>
        </w:rPr>
        <w:t xml:space="preserve"> , el TWO</w:t>
      </w:r>
      <w:r w:rsidRPr="00F753AE">
        <w:rPr>
          <w:rFonts w:eastAsia="PMingLiU"/>
          <w:szCs w:val="24"/>
          <w:vertAlign w:val="superscript"/>
          <w:lang w:val="es-ES_tradnl"/>
        </w:rPr>
        <w:footnoteReference w:id="5"/>
      </w:r>
      <w:r w:rsidRPr="00F753AE">
        <w:rPr>
          <w:rFonts w:eastAsia="PMingLiU"/>
          <w:szCs w:val="24"/>
          <w:lang w:val="es-ES_tradnl"/>
        </w:rPr>
        <w:t xml:space="preserve"> y </w:t>
      </w:r>
      <w:r w:rsidRPr="00F753AE">
        <w:rPr>
          <w:color w:val="000000"/>
          <w:lang w:val="es-ES_tradnl"/>
        </w:rPr>
        <w:t>el TWF</w:t>
      </w:r>
      <w:r w:rsidRPr="00F753AE">
        <w:rPr>
          <w:color w:val="000000"/>
          <w:vertAlign w:val="superscript"/>
          <w:lang w:val="es-ES_tradnl"/>
        </w:rPr>
        <w:footnoteReference w:id="6"/>
      </w:r>
      <w:r w:rsidRPr="00F753AE">
        <w:rPr>
          <w:lang w:val="es-ES_tradnl"/>
        </w:rPr>
        <w:t xml:space="preserve"> examinaron el documento TWP/7/3 </w:t>
      </w:r>
      <w:r w:rsidRPr="00F753AE">
        <w:rPr>
          <w:lang w:val="es-ES_tradnl"/>
        </w:rPr>
        <w:t>"Técnicas moleculares</w:t>
      </w:r>
      <w:r w:rsidRPr="00F753AE">
        <w:rPr>
          <w:lang w:val="es-ES_tradnl"/>
        </w:rPr>
        <w:t>"</w:t>
      </w:r>
      <w:r w:rsidR="00F418A0" w:rsidRPr="00F753AE">
        <w:rPr>
          <w:rStyle w:val="FootnoteReference"/>
          <w:lang w:val="es-ES_tradnl"/>
        </w:rPr>
        <w:footnoteReference w:id="7"/>
      </w:r>
      <w:r w:rsidRPr="00F753AE">
        <w:rPr>
          <w:lang w:val="es-ES_tradnl"/>
        </w:rPr>
        <w:t xml:space="preserve"> .</w:t>
      </w:r>
    </w:p>
    <w:p w14:paraId="39EBE649" w14:textId="77777777" w:rsidR="004E38BD" w:rsidRPr="00F753AE" w:rsidRDefault="004E38BD" w:rsidP="004E38BD">
      <w:pPr>
        <w:rPr>
          <w:i/>
          <w:lang w:val="es-ES_tradnl"/>
        </w:rPr>
      </w:pPr>
    </w:p>
    <w:p w14:paraId="29EE50DE" w14:textId="77777777" w:rsidR="00DB52CB" w:rsidRPr="00F753AE" w:rsidRDefault="003D283E">
      <w:pPr>
        <w:pStyle w:val="Heading3"/>
        <w:rPr>
          <w:lang w:val="es-ES_tradnl"/>
        </w:rPr>
      </w:pPr>
      <w:bookmarkStart w:id="6" w:name="_Toc148114523"/>
      <w:r w:rsidRPr="00F753AE">
        <w:rPr>
          <w:lang w:val="es-ES_tradnl"/>
        </w:rPr>
        <w:t>Polí</w:t>
      </w:r>
      <w:r w:rsidRPr="00F753AE">
        <w:rPr>
          <w:lang w:val="es-ES_tradnl"/>
        </w:rPr>
        <w:t>ticas existentes sobre confidencialidad de la información molecular</w:t>
      </w:r>
      <w:bookmarkEnd w:id="6"/>
    </w:p>
    <w:p w14:paraId="36A12007" w14:textId="77777777" w:rsidR="004B3AFD" w:rsidRPr="00F753AE" w:rsidRDefault="004B3AFD" w:rsidP="004E38BD">
      <w:pPr>
        <w:rPr>
          <w:lang w:val="es-ES_tradnl"/>
        </w:rPr>
      </w:pPr>
    </w:p>
    <w:p w14:paraId="5E567C0A" w14:textId="667C5A93"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 xml:space="preserve">El TWV, el TWA, el TWO y el TWF señalaron que se había </w:t>
      </w:r>
      <w:r w:rsidRPr="00F753AE">
        <w:rPr>
          <w:lang w:val="es-ES_tradnl"/>
        </w:rPr>
        <w:t xml:space="preserve">invitado a </w:t>
      </w:r>
      <w:r w:rsidRPr="00F753AE">
        <w:rPr>
          <w:lang w:val="es-ES_tradnl"/>
        </w:rPr>
        <w:t xml:space="preserve">expertos de los miembros y observadores de los TWP </w:t>
      </w:r>
      <w:r w:rsidRPr="00F753AE">
        <w:rPr>
          <w:lang w:val="es-ES_tradnl"/>
        </w:rPr>
        <w:t xml:space="preserve">a informar sobre las políticas existentes en materia de </w:t>
      </w:r>
      <w:r w:rsidRPr="00F753AE">
        <w:rPr>
          <w:lang w:val="es-ES_tradnl"/>
        </w:rPr>
        <w:t>confidencialidad de la información molecular</w:t>
      </w:r>
      <w:r w:rsidR="00BA37F9" w:rsidRPr="00F753AE">
        <w:rPr>
          <w:rStyle w:val="FootnoteReference"/>
          <w:lang w:val="es-ES_tradnl"/>
        </w:rPr>
        <w:footnoteReference w:id="8"/>
      </w:r>
      <w:r w:rsidRPr="00F753AE">
        <w:rPr>
          <w:lang w:val="es-ES_tradnl"/>
        </w:rPr>
        <w:t xml:space="preserve"> .</w:t>
      </w:r>
    </w:p>
    <w:p w14:paraId="36E1811F" w14:textId="77777777" w:rsidR="004E38BD" w:rsidRPr="00F753AE" w:rsidRDefault="004E38BD" w:rsidP="004E38BD">
      <w:pPr>
        <w:rPr>
          <w:lang w:val="es-ES_tradnl"/>
        </w:rPr>
      </w:pPr>
    </w:p>
    <w:p w14:paraId="042354E9" w14:textId="77777777" w:rsidR="00DB52CB" w:rsidRPr="00F753AE" w:rsidRDefault="003D283E">
      <w:pPr>
        <w:rPr>
          <w:lang w:val="es-ES_tradnl"/>
        </w:rPr>
      </w:pPr>
      <w:r w:rsidRPr="00F753AE">
        <w:rPr>
          <w:lang w:val="es-ES_tradnl"/>
        </w:rPr>
        <w:lastRenderedPageBreak/>
        <w:fldChar w:fldCharType="begin"/>
      </w:r>
      <w:r w:rsidRPr="00F753AE">
        <w:rPr>
          <w:lang w:val="es-ES_tradnl"/>
        </w:rPr>
        <w:instrText xml:space="preserve"> AUTONUM  </w:instrText>
      </w:r>
      <w:r w:rsidRPr="00F753AE">
        <w:rPr>
          <w:lang w:val="es-ES_tradnl"/>
        </w:rPr>
        <w:fldChar w:fldCharType="end"/>
      </w:r>
      <w:r w:rsidRPr="00F753AE">
        <w:rPr>
          <w:lang w:val="es-ES_tradnl"/>
        </w:rPr>
        <w:tab/>
        <w:t xml:space="preserve">El TWV tomó nota de que la </w:t>
      </w:r>
      <w:r w:rsidRPr="00F753AE">
        <w:rPr>
          <w:lang w:val="es-ES_tradnl"/>
        </w:rPr>
        <w:t xml:space="preserve">Oficina Comunitaria de Variedades Vegetales de la Unión Europea (OCVV) creó un Grupo de Trabajo para revisar la </w:t>
      </w:r>
      <w:r w:rsidRPr="00F753AE">
        <w:rPr>
          <w:lang w:val="es-ES_tradnl"/>
        </w:rPr>
        <w:t xml:space="preserve">política de </w:t>
      </w:r>
      <w:r w:rsidRPr="00F753AE">
        <w:rPr>
          <w:lang w:val="es-ES_tradnl"/>
        </w:rPr>
        <w:t xml:space="preserve">la OCVV </w:t>
      </w:r>
      <w:r w:rsidRPr="00F753AE">
        <w:rPr>
          <w:lang w:val="es-ES_tradnl"/>
        </w:rPr>
        <w:t xml:space="preserve">sobre la </w:t>
      </w:r>
      <w:r w:rsidRPr="00F753AE">
        <w:rPr>
          <w:lang w:val="es-ES_tradnl"/>
        </w:rPr>
        <w:t xml:space="preserve">situación del material vegetal utilizado a los fines del examen DHE. El TWV tomó nota de </w:t>
      </w:r>
      <w:r w:rsidRPr="00F753AE">
        <w:rPr>
          <w:lang w:val="es-ES_tradnl"/>
        </w:rPr>
        <w:t xml:space="preserve">que Sudáfrica y Türkiye </w:t>
      </w:r>
      <w:r w:rsidRPr="00F753AE">
        <w:rPr>
          <w:lang w:val="es-ES_tradnl"/>
        </w:rPr>
        <w:t xml:space="preserve">tienen </w:t>
      </w:r>
      <w:r w:rsidRPr="00F753AE">
        <w:rPr>
          <w:lang w:val="es-ES_tradnl"/>
        </w:rPr>
        <w:t xml:space="preserve">políticas sobre </w:t>
      </w:r>
      <w:r w:rsidRPr="00F753AE">
        <w:rPr>
          <w:lang w:val="es-ES_tradnl"/>
        </w:rPr>
        <w:t xml:space="preserve">la confidencialidad de la </w:t>
      </w:r>
      <w:r w:rsidRPr="00F753AE">
        <w:rPr>
          <w:lang w:val="es-ES_tradnl"/>
        </w:rPr>
        <w:t xml:space="preserve">información molecular </w:t>
      </w:r>
      <w:r w:rsidRPr="00F753AE">
        <w:rPr>
          <w:lang w:val="es-ES_tradnl"/>
        </w:rPr>
        <w:t xml:space="preserve">y sólo comparten </w:t>
      </w:r>
      <w:r w:rsidRPr="00F753AE">
        <w:rPr>
          <w:lang w:val="es-ES_tradnl"/>
        </w:rPr>
        <w:t xml:space="preserve">información con el consentimiento de los obtentores. </w:t>
      </w:r>
    </w:p>
    <w:p w14:paraId="5A7D2F88" w14:textId="77777777" w:rsidR="00317807" w:rsidRPr="00F753AE" w:rsidRDefault="00317807" w:rsidP="00317807">
      <w:pPr>
        <w:rPr>
          <w:lang w:val="es-ES_tradnl"/>
        </w:rPr>
      </w:pPr>
    </w:p>
    <w:p w14:paraId="0F9559CA"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 xml:space="preserve">El TWA tomó nota del informe de la Unión Europea en el sentido de que se había creado un grupo de trabajo para examinar cuestiones relacionadas con la confidencialidad de la información molecular.  </w:t>
      </w:r>
    </w:p>
    <w:p w14:paraId="6FA244A4" w14:textId="77777777" w:rsidR="00317807" w:rsidRPr="00F753AE" w:rsidRDefault="00317807" w:rsidP="00317807">
      <w:pPr>
        <w:rPr>
          <w:lang w:val="es-ES_tradnl"/>
        </w:rPr>
      </w:pPr>
    </w:p>
    <w:p w14:paraId="3F303280"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El TWF tomó nota del informe d</w:t>
      </w:r>
      <w:r w:rsidRPr="00F753AE">
        <w:rPr>
          <w:lang w:val="es-ES_tradnl"/>
        </w:rPr>
        <w:t>e Francia de que se está debatiendo una política sobre confidencialidad y propiedad de la información molecular en el marco de un proyecto regional (proyecto INVITE).</w:t>
      </w:r>
    </w:p>
    <w:p w14:paraId="370E3A22" w14:textId="77777777" w:rsidR="004E38BD" w:rsidRPr="00F753AE" w:rsidRDefault="004E38BD" w:rsidP="00323E4E">
      <w:pPr>
        <w:jc w:val="left"/>
        <w:rPr>
          <w:lang w:val="es-ES_tradnl"/>
        </w:rPr>
      </w:pPr>
    </w:p>
    <w:p w14:paraId="37D8F7D4" w14:textId="77777777" w:rsidR="00DB52CB" w:rsidRPr="00F753AE" w:rsidRDefault="003D283E">
      <w:pPr>
        <w:pStyle w:val="Heading3"/>
        <w:rPr>
          <w:lang w:val="es-ES_tradnl"/>
        </w:rPr>
      </w:pPr>
      <w:bookmarkStart w:id="7" w:name="_Toc148114524"/>
      <w:r w:rsidRPr="00F753AE">
        <w:rPr>
          <w:lang w:val="es-ES_tradnl"/>
        </w:rPr>
        <w:t>Presentación sobre "Confidencialidad de la información molecular"</w:t>
      </w:r>
      <w:bookmarkEnd w:id="7"/>
    </w:p>
    <w:p w14:paraId="19A852D0" w14:textId="77777777" w:rsidR="009F4F6F" w:rsidRPr="00F753AE" w:rsidRDefault="009F4F6F" w:rsidP="004718D1">
      <w:pPr>
        <w:keepNext/>
        <w:jc w:val="left"/>
        <w:rPr>
          <w:lang w:val="es-ES_tradnl"/>
        </w:rPr>
      </w:pPr>
    </w:p>
    <w:p w14:paraId="697DC463" w14:textId="33AFFB13" w:rsidR="00DB52CB" w:rsidRPr="00F753AE" w:rsidRDefault="003D283E">
      <w:pPr>
        <w:keepNext/>
        <w:autoSpaceDE w:val="0"/>
        <w:autoSpaceDN w:val="0"/>
        <w:adjustRightInd w:val="0"/>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Pr>
          <w:lang w:val="es-ES_tradnl"/>
        </w:rPr>
        <w:tab/>
      </w:r>
      <w:r w:rsidR="00ED449E" w:rsidRPr="00F753AE">
        <w:rPr>
          <w:lang w:val="es-ES_tradnl"/>
        </w:rPr>
        <w:t xml:space="preserve">El TWV, el TWA, el TWO y el TWF </w:t>
      </w:r>
      <w:r w:rsidRPr="00F753AE">
        <w:rPr>
          <w:lang w:val="es-ES_tradnl"/>
        </w:rPr>
        <w:t xml:space="preserve">recibieron una ponencia sobre "Confidencialidad de la información molecular" </w:t>
      </w:r>
      <w:r w:rsidRPr="00F753AE">
        <w:rPr>
          <w:lang w:val="es-ES_tradnl"/>
        </w:rPr>
        <w:t xml:space="preserve">a cargo de un </w:t>
      </w:r>
      <w:r w:rsidRPr="00F753AE">
        <w:rPr>
          <w:lang w:val="es-ES_tradnl"/>
        </w:rPr>
        <w:t>experto de CropLife International, en nombre de la African Seed Trade Association (AFSTA), la Asia and Pacific Seed Association (APSA), la Com</w:t>
      </w:r>
      <w:r w:rsidRPr="00F753AE">
        <w:rPr>
          <w:lang w:val="es-ES_tradnl"/>
        </w:rPr>
        <w:t>unidad Internacional de Fitomejoradores de Plantas Hortícolas de Reproducción Asexuada (CIOPORA), CropLife International, Euroseeds, la International Seed Federation (ISF) y la Asociación de Semillas de las Américas (SAA)</w:t>
      </w:r>
      <w:r w:rsidRPr="00F753AE">
        <w:rPr>
          <w:lang w:val="es-ES_tradnl"/>
        </w:rPr>
        <w:t>. Una copia de la ponencia figura e</w:t>
      </w:r>
      <w:r w:rsidRPr="00F753AE">
        <w:rPr>
          <w:lang w:val="es-ES_tradnl"/>
        </w:rPr>
        <w:t xml:space="preserve">n </w:t>
      </w:r>
      <w:r w:rsidR="00ED449E" w:rsidRPr="00F753AE">
        <w:rPr>
          <w:lang w:val="es-ES_tradnl"/>
        </w:rPr>
        <w:t xml:space="preserve">los documentos </w:t>
      </w:r>
      <w:r w:rsidRPr="00F753AE">
        <w:rPr>
          <w:rFonts w:eastAsia="MS Mincho"/>
          <w:lang w:val="es-ES_tradnl"/>
        </w:rPr>
        <w:t>TWV/57/25</w:t>
      </w:r>
      <w:r w:rsidR="00ED449E" w:rsidRPr="00F753AE">
        <w:rPr>
          <w:rFonts w:eastAsia="MS Mincho"/>
          <w:lang w:val="es-ES_tradnl"/>
        </w:rPr>
        <w:t xml:space="preserve">, </w:t>
      </w:r>
      <w:r w:rsidR="00ED449E" w:rsidRPr="00F753AE">
        <w:rPr>
          <w:rFonts w:eastAsia="MS Mincho" w:cs="Arial"/>
          <w:lang w:val="es-ES_tradnl"/>
        </w:rPr>
        <w:t xml:space="preserve">TWA/52/8, </w:t>
      </w:r>
      <w:r w:rsidR="00ED449E" w:rsidRPr="00F753AE">
        <w:rPr>
          <w:lang w:val="es-ES_tradnl"/>
        </w:rPr>
        <w:t>TWO/55/4 y TWF/54/4</w:t>
      </w:r>
      <w:r w:rsidR="00F418A0" w:rsidRPr="00F753AE">
        <w:rPr>
          <w:rStyle w:val="FootnoteReference"/>
          <w:lang w:val="es-ES_tradnl"/>
        </w:rPr>
        <w:footnoteReference w:id="9"/>
      </w:r>
      <w:r w:rsidRPr="00F753AE">
        <w:rPr>
          <w:rFonts w:eastAsia="MS Mincho"/>
          <w:lang w:val="es-ES_tradnl"/>
        </w:rPr>
        <w:t xml:space="preserve"> .</w:t>
      </w:r>
    </w:p>
    <w:p w14:paraId="18E3E71A" w14:textId="77777777" w:rsidR="00323E4E" w:rsidRPr="00F753AE" w:rsidRDefault="00323E4E" w:rsidP="00323E4E">
      <w:pPr>
        <w:rPr>
          <w:lang w:val="es-ES_tradnl"/>
        </w:rPr>
      </w:pPr>
    </w:p>
    <w:p w14:paraId="7A25A1D0" w14:textId="77777777" w:rsidR="00DB52CB" w:rsidRPr="00F753AE" w:rsidRDefault="003D283E">
      <w:pPr>
        <w:keepLines/>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r>
      <w:r w:rsidRPr="00F753AE">
        <w:rPr>
          <w:lang w:val="es-ES_tradnl"/>
        </w:rPr>
        <w:t>El TWV tomó nota de las propuestas de las organizaciones de obtentores sobre las situaciones en las que desearían que se exigiera o no la autorización del obtentor antes de divulgar información molecular a terceros.  Los participantes del TWV solicitaron a</w:t>
      </w:r>
      <w:r w:rsidRPr="00F753AE">
        <w:rPr>
          <w:lang w:val="es-ES_tradnl"/>
        </w:rPr>
        <w:t xml:space="preserve">claraciones sobre las situaciones particulares descritas en las propuestas, incluida la forma de obtener autorización para la constitución de bases de datos compartidas que contengan información molecular. </w:t>
      </w:r>
    </w:p>
    <w:p w14:paraId="10BDB2CF" w14:textId="77777777" w:rsidR="00317807" w:rsidRPr="00F753AE" w:rsidRDefault="00317807" w:rsidP="00317807">
      <w:pPr>
        <w:rPr>
          <w:lang w:val="es-ES_tradnl"/>
        </w:rPr>
      </w:pPr>
    </w:p>
    <w:p w14:paraId="5881679E" w14:textId="4BAB94AA"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El TWO examinó las situaciones prop</w:t>
      </w:r>
      <w:r w:rsidRPr="00F753AE">
        <w:rPr>
          <w:lang w:val="es-ES_tradnl"/>
        </w:rPr>
        <w:t xml:space="preserve">uestas en las que se exigiría y no se exigiría la autorización del obtentor en relación con la información molecular.  El TWO acordó invitar a las </w:t>
      </w:r>
      <w:r w:rsidRPr="00F753AE">
        <w:rPr>
          <w:lang w:val="es-ES_tradnl"/>
        </w:rPr>
        <w:t xml:space="preserve">organizaciones de </w:t>
      </w:r>
      <w:r w:rsidRPr="00F753AE">
        <w:rPr>
          <w:lang w:val="es-ES_tradnl"/>
        </w:rPr>
        <w:t xml:space="preserve">obtentores </w:t>
      </w:r>
      <w:r w:rsidRPr="00F753AE">
        <w:rPr>
          <w:lang w:val="es-ES_tradnl"/>
        </w:rPr>
        <w:t xml:space="preserve">a estudiar la posibilidad de simplificar las propuestas y </w:t>
      </w:r>
      <w:r w:rsidRPr="00F753AE">
        <w:rPr>
          <w:lang w:val="es-ES_tradnl"/>
        </w:rPr>
        <w:t>aclarar las situacion</w:t>
      </w:r>
      <w:r w:rsidRPr="00F753AE">
        <w:rPr>
          <w:lang w:val="es-ES_tradnl"/>
        </w:rPr>
        <w:t>es en las que sería perjudicial para el obtentor divulgar información molecular de una variedad protegida.</w:t>
      </w:r>
    </w:p>
    <w:p w14:paraId="77710FFB" w14:textId="77777777" w:rsidR="00317807" w:rsidRPr="00F753AE" w:rsidRDefault="00317807" w:rsidP="00317807">
      <w:pPr>
        <w:rPr>
          <w:lang w:val="es-ES_tradnl"/>
        </w:rPr>
      </w:pPr>
    </w:p>
    <w:p w14:paraId="477F0C7D"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El TWF solicitó aclaraciones sobre las situaciones descritas en la ponencia y tomó nota de la especial preocupación de las organizacion</w:t>
      </w:r>
      <w:r w:rsidRPr="00F753AE">
        <w:rPr>
          <w:lang w:val="es-ES_tradnl"/>
        </w:rPr>
        <w:t>es de obtentores en relación con la divulgación de información molecular de líneas parentales de variedades híbridas.  El TWF tomó nota de que las organizaciones de obtentores alientan a sus miembros a proporcionar información sobre sus políticas de confid</w:t>
      </w:r>
      <w:r w:rsidRPr="00F753AE">
        <w:rPr>
          <w:lang w:val="es-ES_tradnl"/>
        </w:rPr>
        <w:t>encialidad de la información molecular.</w:t>
      </w:r>
    </w:p>
    <w:p w14:paraId="700EFE6F" w14:textId="77777777" w:rsidR="009F4F6F" w:rsidRPr="00F753AE" w:rsidRDefault="009F4F6F" w:rsidP="00E209FA">
      <w:pPr>
        <w:rPr>
          <w:lang w:val="es-ES_tradnl" w:eastAsia="ja-JP"/>
        </w:rPr>
      </w:pPr>
    </w:p>
    <w:bookmarkStart w:id="8" w:name="_Toc460313637"/>
    <w:p w14:paraId="0A43DF2A" w14:textId="77777777" w:rsidR="00DB52CB" w:rsidRPr="00F753AE" w:rsidRDefault="003D283E">
      <w:pPr>
        <w:tabs>
          <w:tab w:val="left" w:pos="5387"/>
        </w:tabs>
        <w:ind w:left="4820"/>
        <w:rPr>
          <w:i/>
          <w:snapToGrid w:val="0"/>
          <w:lang w:val="es-ES_tradnl" w:eastAsia="ja-JP"/>
        </w:rPr>
      </w:pPr>
      <w:r w:rsidRPr="00F753AE">
        <w:rPr>
          <w:i/>
          <w:snapToGrid w:val="0"/>
          <w:lang w:val="es-ES_tradnl" w:eastAsia="ja-JP"/>
        </w:rPr>
        <w:fldChar w:fldCharType="begin"/>
      </w:r>
      <w:r w:rsidRPr="00F753AE">
        <w:rPr>
          <w:i/>
          <w:snapToGrid w:val="0"/>
          <w:lang w:val="es-ES_tradnl" w:eastAsia="ja-JP"/>
        </w:rPr>
        <w:instrText xml:space="preserve"> AUTONUM  </w:instrText>
      </w:r>
      <w:r w:rsidRPr="00F753AE">
        <w:rPr>
          <w:i/>
          <w:snapToGrid w:val="0"/>
          <w:lang w:val="es-ES_tradnl" w:eastAsia="ja-JP"/>
        </w:rPr>
        <w:fldChar w:fldCharType="end"/>
      </w:r>
      <w:r w:rsidRPr="00F753AE">
        <w:rPr>
          <w:i/>
          <w:snapToGrid w:val="0"/>
          <w:lang w:val="es-ES_tradnl" w:eastAsia="ja-JP"/>
        </w:rPr>
        <w:tab/>
      </w:r>
      <w:r w:rsidR="00D60967" w:rsidRPr="00F753AE">
        <w:rPr>
          <w:i/>
          <w:snapToGrid w:val="0"/>
          <w:lang w:val="es-ES_tradnl" w:eastAsia="ja-JP"/>
        </w:rPr>
        <w:t>Se invita al TC a</w:t>
      </w:r>
      <w:r w:rsidR="00A830D8" w:rsidRPr="00F753AE">
        <w:rPr>
          <w:i/>
          <w:snapToGrid w:val="0"/>
          <w:lang w:val="es-ES_tradnl" w:eastAsia="ja-JP"/>
        </w:rPr>
        <w:t>:</w:t>
      </w:r>
    </w:p>
    <w:p w14:paraId="68D50507" w14:textId="77777777" w:rsidR="00AD28D1" w:rsidRPr="00F753AE" w:rsidRDefault="00AD28D1" w:rsidP="00E209FA">
      <w:pPr>
        <w:tabs>
          <w:tab w:val="left" w:pos="5387"/>
        </w:tabs>
        <w:ind w:left="4820"/>
        <w:rPr>
          <w:i/>
          <w:snapToGrid w:val="0"/>
          <w:lang w:val="es-ES_tradnl" w:eastAsia="ja-JP"/>
        </w:rPr>
      </w:pPr>
    </w:p>
    <w:p w14:paraId="4F2ED547" w14:textId="77777777" w:rsidR="00DB52CB" w:rsidRPr="00F753AE" w:rsidRDefault="003D283E">
      <w:pPr>
        <w:tabs>
          <w:tab w:val="left" w:pos="5387"/>
          <w:tab w:val="left" w:pos="5954"/>
        </w:tabs>
        <w:ind w:left="4820"/>
        <w:rPr>
          <w:i/>
          <w:snapToGrid w:val="0"/>
          <w:lang w:val="es-ES_tradnl" w:eastAsia="ja-JP"/>
        </w:rPr>
      </w:pPr>
      <w:r w:rsidRPr="00F753AE">
        <w:rPr>
          <w:i/>
          <w:snapToGrid w:val="0"/>
          <w:lang w:val="es-ES_tradnl" w:eastAsia="ja-JP"/>
        </w:rPr>
        <w:tab/>
        <w:t>(a)</w:t>
      </w:r>
      <w:r w:rsidRPr="00F753AE">
        <w:rPr>
          <w:i/>
          <w:snapToGrid w:val="0"/>
          <w:lang w:val="es-ES_tradnl" w:eastAsia="ja-JP"/>
        </w:rPr>
        <w:tab/>
        <w:t xml:space="preserve">tomar nota de las políticas </w:t>
      </w:r>
      <w:r w:rsidR="00AC5F03" w:rsidRPr="00F753AE">
        <w:rPr>
          <w:i/>
          <w:snapToGrid w:val="0"/>
          <w:lang w:val="es-ES_tradnl" w:eastAsia="ja-JP"/>
        </w:rPr>
        <w:t xml:space="preserve">comunicadas y de los debates </w:t>
      </w:r>
      <w:r w:rsidRPr="00F753AE">
        <w:rPr>
          <w:i/>
          <w:snapToGrid w:val="0"/>
          <w:lang w:val="es-ES_tradnl" w:eastAsia="ja-JP"/>
        </w:rPr>
        <w:t xml:space="preserve">sobre la confidencialidad de la información molecular en las reuniones de los TWP en 2023; </w:t>
      </w:r>
      <w:r w:rsidR="00AC5F03" w:rsidRPr="00F753AE">
        <w:rPr>
          <w:i/>
          <w:snapToGrid w:val="0"/>
          <w:lang w:val="es-ES_tradnl" w:eastAsia="ja-JP"/>
        </w:rPr>
        <w:t>y</w:t>
      </w:r>
    </w:p>
    <w:p w14:paraId="52B8E8AC" w14:textId="77777777" w:rsidR="00AD28D1" w:rsidRPr="00F753AE" w:rsidRDefault="00AD28D1" w:rsidP="00E209FA">
      <w:pPr>
        <w:tabs>
          <w:tab w:val="left" w:pos="5387"/>
        </w:tabs>
        <w:ind w:left="4820"/>
        <w:rPr>
          <w:i/>
          <w:snapToGrid w:val="0"/>
          <w:lang w:val="es-ES_tradnl" w:eastAsia="ja-JP"/>
        </w:rPr>
      </w:pPr>
    </w:p>
    <w:p w14:paraId="1AC2ED32" w14:textId="77777777" w:rsidR="00DB52CB" w:rsidRPr="00F753AE" w:rsidRDefault="003D283E">
      <w:pPr>
        <w:tabs>
          <w:tab w:val="left" w:pos="5387"/>
          <w:tab w:val="left" w:pos="5954"/>
        </w:tabs>
        <w:ind w:left="4820"/>
        <w:rPr>
          <w:i/>
          <w:lang w:val="es-ES_tradnl" w:eastAsia="ja-JP"/>
        </w:rPr>
      </w:pPr>
      <w:r w:rsidRPr="00F753AE">
        <w:rPr>
          <w:i/>
          <w:snapToGrid w:val="0"/>
          <w:lang w:val="es-ES_tradnl" w:eastAsia="ja-JP"/>
        </w:rPr>
        <w:tab/>
        <w:t>(b)</w:t>
      </w:r>
      <w:r w:rsidRPr="00F753AE">
        <w:rPr>
          <w:i/>
          <w:snapToGrid w:val="0"/>
          <w:lang w:val="es-ES_tradnl" w:eastAsia="ja-JP"/>
        </w:rPr>
        <w:tab/>
      </w:r>
      <w:r w:rsidR="00D60967" w:rsidRPr="00F753AE">
        <w:rPr>
          <w:i/>
          <w:snapToGrid w:val="0"/>
          <w:lang w:val="es-ES_tradnl" w:eastAsia="ja-JP"/>
        </w:rPr>
        <w:t xml:space="preserve">considerar si se </w:t>
      </w:r>
      <w:r w:rsidR="00425B3B" w:rsidRPr="00F753AE">
        <w:rPr>
          <w:i/>
          <w:snapToGrid w:val="0"/>
          <w:lang w:val="es-ES_tradnl" w:eastAsia="ja-JP"/>
        </w:rPr>
        <w:t>mantiene la invitación a los miembros y observadores para que informen sobre las políticas existentes en materia de confidencialidad de la información molecular en los TWP</w:t>
      </w:r>
      <w:r w:rsidRPr="00F753AE">
        <w:rPr>
          <w:i/>
          <w:snapToGrid w:val="0"/>
          <w:lang w:val="es-ES_tradnl" w:eastAsia="ja-JP"/>
        </w:rPr>
        <w:t>, en sus reuniones de 2024</w:t>
      </w:r>
      <w:r w:rsidR="00425B3B" w:rsidRPr="00F753AE">
        <w:rPr>
          <w:i/>
          <w:snapToGrid w:val="0"/>
          <w:lang w:val="es-ES_tradnl" w:eastAsia="ja-JP"/>
        </w:rPr>
        <w:t>.</w:t>
      </w:r>
    </w:p>
    <w:p w14:paraId="4312616B" w14:textId="77777777" w:rsidR="00E209FA" w:rsidRPr="00F753AE" w:rsidRDefault="00E209FA" w:rsidP="00E209FA">
      <w:pPr>
        <w:rPr>
          <w:snapToGrid w:val="0"/>
          <w:lang w:val="es-ES_tradnl" w:eastAsia="ja-JP"/>
        </w:rPr>
      </w:pPr>
    </w:p>
    <w:p w14:paraId="33301FF0" w14:textId="77777777" w:rsidR="00A075C2" w:rsidRPr="00F753AE" w:rsidRDefault="00A075C2" w:rsidP="00E209FA">
      <w:pPr>
        <w:rPr>
          <w:snapToGrid w:val="0"/>
          <w:lang w:val="es-ES_tradnl" w:eastAsia="ja-JP"/>
        </w:rPr>
      </w:pPr>
    </w:p>
    <w:p w14:paraId="5845FA66" w14:textId="77777777" w:rsidR="00DB52CB" w:rsidRPr="00F753AE" w:rsidRDefault="003D283E">
      <w:pPr>
        <w:pStyle w:val="Heading1"/>
        <w:rPr>
          <w:snapToGrid w:val="0"/>
          <w:lang w:val="es-ES_tradnl" w:eastAsia="ja-JP"/>
        </w:rPr>
      </w:pPr>
      <w:bookmarkStart w:id="9" w:name="_Toc148114525"/>
      <w:r w:rsidRPr="00F753AE">
        <w:rPr>
          <w:snapToGrid w:val="0"/>
          <w:lang w:val="es-ES_tradnl" w:eastAsia="ja-JP"/>
        </w:rPr>
        <w:t>Debate sobre las técnicas moleculares en el examen DHE</w:t>
      </w:r>
      <w:bookmarkEnd w:id="9"/>
    </w:p>
    <w:p w14:paraId="0FA40E73" w14:textId="77777777" w:rsidR="00A075C2" w:rsidRPr="00F753AE" w:rsidRDefault="00A075C2" w:rsidP="00E209FA">
      <w:pPr>
        <w:rPr>
          <w:snapToGrid w:val="0"/>
          <w:lang w:val="es-ES_tradnl" w:eastAsia="ja-JP"/>
        </w:rPr>
      </w:pPr>
    </w:p>
    <w:p w14:paraId="23CAFAC4"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El TC, en su quincuagésima octava sesión</w:t>
      </w:r>
      <w:r w:rsidRPr="00F753AE">
        <w:rPr>
          <w:rStyle w:val="FootnoteReference"/>
          <w:lang w:val="es-ES_tradnl"/>
        </w:rPr>
        <w:footnoteReference w:id="10"/>
      </w:r>
      <w:r w:rsidRPr="00F753AE">
        <w:rPr>
          <w:lang w:val="es-ES_tradnl"/>
        </w:rPr>
        <w:t xml:space="preserve"> acordó invitar a presentaciones en su quincuagésima novena sesión para una sesión de debate sobre técnicas moleculares en el examen DHE</w:t>
      </w:r>
      <w:r w:rsidR="001612B5" w:rsidRPr="00F753AE">
        <w:rPr>
          <w:rStyle w:val="FootnoteReference"/>
          <w:lang w:val="es-ES_tradnl"/>
        </w:rPr>
        <w:footnoteReference w:id="11"/>
      </w:r>
      <w:r w:rsidRPr="00F753AE">
        <w:rPr>
          <w:lang w:val="es-ES_tradnl"/>
        </w:rPr>
        <w:t xml:space="preserve"> .  </w:t>
      </w:r>
    </w:p>
    <w:p w14:paraId="3D02F264" w14:textId="77777777" w:rsidR="00953A45" w:rsidRPr="00F753AE" w:rsidRDefault="00953A45" w:rsidP="00A075C2">
      <w:pPr>
        <w:rPr>
          <w:lang w:val="es-ES_tradnl"/>
        </w:rPr>
      </w:pPr>
    </w:p>
    <w:p w14:paraId="3519C138" w14:textId="77777777" w:rsidR="00DB52CB" w:rsidRPr="00F753AE" w:rsidRDefault="003D283E">
      <w:pPr>
        <w:rPr>
          <w:rFonts w:ascii="Calibri" w:hAnsi="Calibri"/>
          <w:lang w:val="es-ES_tradnl"/>
        </w:rPr>
      </w:pPr>
      <w:r w:rsidRPr="00F753AE">
        <w:rPr>
          <w:lang w:val="es-ES_tradnl"/>
        </w:rPr>
        <w:lastRenderedPageBreak/>
        <w:fldChar w:fldCharType="begin"/>
      </w:r>
      <w:r w:rsidRPr="00F753AE">
        <w:rPr>
          <w:lang w:val="es-ES_tradnl"/>
        </w:rPr>
        <w:instrText xml:space="preserve"> </w:instrText>
      </w:r>
      <w:r w:rsidRPr="00F753AE">
        <w:rPr>
          <w:lang w:val="es-ES_tradnl"/>
        </w:rPr>
        <w:instrText xml:space="preserve">AUTONUM  </w:instrText>
      </w:r>
      <w:r w:rsidRPr="00F753AE">
        <w:rPr>
          <w:lang w:val="es-ES_tradnl"/>
        </w:rPr>
        <w:fldChar w:fldCharType="end"/>
      </w:r>
      <w:r w:rsidRPr="00F753AE">
        <w:rPr>
          <w:lang w:val="es-ES_tradnl"/>
        </w:rPr>
        <w:tab/>
      </w:r>
      <w:r w:rsidR="00A075C2" w:rsidRPr="00F753AE">
        <w:rPr>
          <w:lang w:val="es-ES_tradnl"/>
        </w:rPr>
        <w:t xml:space="preserve">El 22 de agosto de 2023, la Oficina de la Unión publicó la Circular E-23/130 en la que se invita </w:t>
      </w:r>
      <w:r w:rsidR="00A075C2" w:rsidRPr="00F753AE">
        <w:rPr>
          <w:rFonts w:cs="Arial"/>
          <w:lang w:val="es-ES_tradnl"/>
        </w:rPr>
        <w:t>a los miembros de la Unión a presentar una ponencia sobre su utilización de técnicas moleculares en el examen DHE durante la quincuagésima novena sesión del Comité Técnico (TC), el 24 de octubre de 2023.</w:t>
      </w:r>
      <w:r w:rsidRPr="00F753AE">
        <w:rPr>
          <w:rFonts w:cs="Arial"/>
          <w:lang w:val="es-ES_tradnl"/>
        </w:rPr>
        <w:t xml:space="preserve">  El objetivo es proporcionar al TC información sobre las políticas, las prácticas actuales y los planes futuros relativos a la utilización de marcadores moleculares en el examen DHE.</w:t>
      </w:r>
    </w:p>
    <w:p w14:paraId="3816417C" w14:textId="77777777" w:rsidR="00A075C2" w:rsidRPr="00F753AE" w:rsidRDefault="00A075C2" w:rsidP="00E209FA">
      <w:pPr>
        <w:rPr>
          <w:snapToGrid w:val="0"/>
          <w:lang w:val="es-ES_tradnl" w:eastAsia="ja-JP"/>
        </w:rPr>
      </w:pPr>
    </w:p>
    <w:p w14:paraId="48DAF81B" w14:textId="107320BE" w:rsidR="00DB52CB" w:rsidRPr="00F753AE" w:rsidRDefault="003D283E">
      <w:pPr>
        <w:tabs>
          <w:tab w:val="left" w:pos="5387"/>
        </w:tabs>
        <w:ind w:left="4820"/>
        <w:rPr>
          <w:i/>
          <w:iCs/>
          <w:lang w:val="es-ES_tradnl"/>
        </w:rPr>
      </w:pPr>
      <w:r w:rsidRPr="00F753AE">
        <w:rPr>
          <w:i/>
          <w:iCs/>
          <w:snapToGrid w:val="0"/>
          <w:lang w:val="es-ES_tradnl" w:eastAsia="ja-JP"/>
        </w:rPr>
        <w:fldChar w:fldCharType="begin"/>
      </w:r>
      <w:r w:rsidRPr="00F753AE">
        <w:rPr>
          <w:i/>
          <w:iCs/>
          <w:snapToGrid w:val="0"/>
          <w:lang w:val="es-ES_tradnl" w:eastAsia="ja-JP"/>
        </w:rPr>
        <w:instrText xml:space="preserve"> AUTONUM  </w:instrText>
      </w:r>
      <w:r w:rsidRPr="00F753AE">
        <w:rPr>
          <w:i/>
          <w:iCs/>
          <w:snapToGrid w:val="0"/>
          <w:lang w:val="es-ES_tradnl" w:eastAsia="ja-JP"/>
        </w:rPr>
        <w:fldChar w:fldCharType="end"/>
      </w:r>
      <w:r w:rsidRPr="00F753AE">
        <w:rPr>
          <w:i/>
          <w:iCs/>
          <w:snapToGrid w:val="0"/>
          <w:lang w:val="es-ES_tradnl" w:eastAsia="ja-JP"/>
        </w:rPr>
        <w:tab/>
        <w:t>Se</w:t>
      </w:r>
      <w:r w:rsidRPr="00F753AE">
        <w:rPr>
          <w:i/>
          <w:iCs/>
          <w:snapToGrid w:val="0"/>
          <w:lang w:val="es-ES_tradnl" w:eastAsia="ja-JP"/>
        </w:rPr>
        <w:t xml:space="preserve"> invita al TC a tomar nota de que </w:t>
      </w:r>
      <w:r w:rsidRPr="00F753AE">
        <w:rPr>
          <w:i/>
          <w:iCs/>
          <w:lang w:val="es-ES_tradnl"/>
        </w:rPr>
        <w:t xml:space="preserve">en </w:t>
      </w:r>
      <w:r w:rsidR="00674731" w:rsidRPr="00F753AE">
        <w:rPr>
          <w:i/>
          <w:iCs/>
          <w:lang w:val="es-ES_tradnl"/>
        </w:rPr>
        <w:t xml:space="preserve">su </w:t>
      </w:r>
      <w:r w:rsidRPr="00F753AE">
        <w:rPr>
          <w:i/>
          <w:iCs/>
          <w:lang w:val="es-ES_tradnl"/>
        </w:rPr>
        <w:t xml:space="preserve">quincuagésima novena sesión se organizará </w:t>
      </w:r>
      <w:r w:rsidRPr="00F753AE">
        <w:rPr>
          <w:i/>
          <w:iCs/>
          <w:snapToGrid w:val="0"/>
          <w:lang w:val="es-ES_tradnl" w:eastAsia="ja-JP"/>
        </w:rPr>
        <w:t xml:space="preserve">una </w:t>
      </w:r>
      <w:r w:rsidRPr="00F753AE">
        <w:rPr>
          <w:i/>
          <w:iCs/>
          <w:lang w:val="es-ES_tradnl"/>
        </w:rPr>
        <w:t>sesión de debate sobre técnicas moleculares en el examen DHE.</w:t>
      </w:r>
    </w:p>
    <w:p w14:paraId="136CF748" w14:textId="77777777" w:rsidR="000458A4" w:rsidRPr="00F753AE" w:rsidRDefault="000458A4" w:rsidP="00E209FA">
      <w:pPr>
        <w:rPr>
          <w:snapToGrid w:val="0"/>
          <w:lang w:val="es-ES_tradnl" w:eastAsia="ja-JP"/>
        </w:rPr>
      </w:pPr>
    </w:p>
    <w:p w14:paraId="565745F8" w14:textId="77777777" w:rsidR="000458A4" w:rsidRPr="00F753AE" w:rsidRDefault="000458A4" w:rsidP="00E209FA">
      <w:pPr>
        <w:rPr>
          <w:snapToGrid w:val="0"/>
          <w:lang w:val="es-ES_tradnl" w:eastAsia="ja-JP"/>
        </w:rPr>
      </w:pPr>
    </w:p>
    <w:p w14:paraId="6D241980" w14:textId="77777777" w:rsidR="00DB52CB" w:rsidRPr="00F753AE" w:rsidRDefault="003D283E">
      <w:pPr>
        <w:pStyle w:val="Heading1"/>
        <w:rPr>
          <w:snapToGrid w:val="0"/>
          <w:lang w:val="es-ES_tradnl" w:eastAsia="ja-JP"/>
        </w:rPr>
      </w:pPr>
      <w:bookmarkStart w:id="10" w:name="_Toc148114526"/>
      <w:r w:rsidRPr="00F753AE">
        <w:rPr>
          <w:snapToGrid w:val="0"/>
          <w:lang w:val="es-ES_tradnl" w:eastAsia="ja-JP"/>
        </w:rPr>
        <w:t>Información</w:t>
      </w:r>
      <w:bookmarkEnd w:id="10"/>
    </w:p>
    <w:p w14:paraId="1CF33E9C" w14:textId="77777777" w:rsidR="002C721C" w:rsidRPr="00F753AE" w:rsidRDefault="002C721C" w:rsidP="002C721C">
      <w:pPr>
        <w:rPr>
          <w:lang w:val="es-ES_tradnl"/>
        </w:rPr>
      </w:pPr>
    </w:p>
    <w:p w14:paraId="3AB5AAEF" w14:textId="77777777" w:rsidR="00DB52CB" w:rsidRPr="00F753AE" w:rsidRDefault="003D283E">
      <w:pPr>
        <w:pStyle w:val="Heading2"/>
        <w:rPr>
          <w:lang w:val="es-ES_tradnl"/>
        </w:rPr>
      </w:pPr>
      <w:bookmarkStart w:id="11" w:name="_Toc148114527"/>
      <w:r w:rsidRPr="00F753AE">
        <w:rPr>
          <w:lang w:val="es-ES_tradnl"/>
        </w:rPr>
        <w:t xml:space="preserve">Segunda sesión del </w:t>
      </w:r>
      <w:r w:rsidRPr="00F753AE">
        <w:rPr>
          <w:lang w:val="es-ES_tradnl"/>
        </w:rPr>
        <w:t xml:space="preserve">Grupo de Trabajo Técnico sobre Métodos y Técnicas de Examen </w:t>
      </w:r>
      <w:r w:rsidRPr="00F753AE">
        <w:rPr>
          <w:lang w:val="es-ES_tradnl"/>
        </w:rPr>
        <w:t>(TWM)</w:t>
      </w:r>
      <w:bookmarkEnd w:id="11"/>
    </w:p>
    <w:p w14:paraId="666B5881" w14:textId="77777777" w:rsidR="00D75187" w:rsidRPr="00F753AE" w:rsidRDefault="00D75187" w:rsidP="002C721C">
      <w:pPr>
        <w:rPr>
          <w:lang w:val="es-ES_tradnl"/>
        </w:rPr>
      </w:pPr>
    </w:p>
    <w:p w14:paraId="3F2F4A38"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 xml:space="preserve">La segunda sesión del Grupo de Trabajo Técnico sobre Métodos y Técnicas de Examen </w:t>
      </w:r>
      <w:r w:rsidRPr="00F753AE">
        <w:rPr>
          <w:lang w:val="es-ES_tradnl"/>
        </w:rPr>
        <w:t xml:space="preserve">(TWM) </w:t>
      </w:r>
      <w:r w:rsidRPr="00F753AE">
        <w:rPr>
          <w:lang w:val="es-ES_tradnl"/>
        </w:rPr>
        <w:t xml:space="preserve">se celebrará como reunión virtual </w:t>
      </w:r>
      <w:r w:rsidRPr="00F753AE">
        <w:rPr>
          <w:rFonts w:cs="Arial"/>
          <w:lang w:val="es-ES_tradnl"/>
        </w:rPr>
        <w:t xml:space="preserve">del 8 al 12 de abril de 2024.  </w:t>
      </w:r>
      <w:r w:rsidRPr="00F753AE">
        <w:rPr>
          <w:lang w:val="es-ES_tradnl"/>
        </w:rPr>
        <w:t xml:space="preserve">Los documentos para su </w:t>
      </w:r>
      <w:r w:rsidRPr="00F753AE">
        <w:rPr>
          <w:lang w:val="es-ES_tradnl"/>
        </w:rPr>
        <w:t>segunda sesión deberán enviarse a la Oficina de la Unión antes del 23 de febrero de 2024.</w:t>
      </w:r>
    </w:p>
    <w:p w14:paraId="143F1BC4" w14:textId="77777777" w:rsidR="00D75187" w:rsidRPr="00F753AE" w:rsidRDefault="00D75187" w:rsidP="00D75187">
      <w:pPr>
        <w:rPr>
          <w:lang w:val="es-ES_tradnl"/>
        </w:rPr>
      </w:pPr>
    </w:p>
    <w:p w14:paraId="5418E460" w14:textId="77777777" w:rsidR="00DB52CB" w:rsidRPr="00F753AE" w:rsidRDefault="003D283E">
      <w:pPr>
        <w:keepNext/>
        <w:rPr>
          <w:snapToGrid w:val="0"/>
          <w:lang w:val="es-ES_tradnl"/>
        </w:rPr>
      </w:pPr>
      <w:r w:rsidRPr="00F753AE">
        <w:rPr>
          <w:snapToGrid w:val="0"/>
          <w:lang w:val="es-ES_tradnl"/>
        </w:rPr>
        <w:fldChar w:fldCharType="begin"/>
      </w:r>
      <w:r w:rsidRPr="00F753AE">
        <w:rPr>
          <w:snapToGrid w:val="0"/>
          <w:lang w:val="es-ES_tradnl"/>
        </w:rPr>
        <w:instrText xml:space="preserve"> AUTONUM  </w:instrText>
      </w:r>
      <w:r w:rsidRPr="00F753AE">
        <w:rPr>
          <w:snapToGrid w:val="0"/>
          <w:lang w:val="es-ES_tradnl"/>
        </w:rPr>
        <w:fldChar w:fldCharType="end"/>
      </w:r>
      <w:r w:rsidRPr="00F753AE">
        <w:rPr>
          <w:snapToGrid w:val="0"/>
          <w:lang w:val="es-ES_tradnl"/>
        </w:rPr>
        <w:tab/>
        <w:t xml:space="preserve">El </w:t>
      </w:r>
      <w:r w:rsidR="00754855" w:rsidRPr="00F753AE">
        <w:rPr>
          <w:snapToGrid w:val="0"/>
          <w:lang w:val="es-ES_tradnl"/>
        </w:rPr>
        <w:t xml:space="preserve">TWM </w:t>
      </w:r>
      <w:r w:rsidRPr="00F753AE">
        <w:rPr>
          <w:snapToGrid w:val="0"/>
          <w:lang w:val="es-ES_tradnl"/>
        </w:rPr>
        <w:t xml:space="preserve">debatirá los siguientes puntos en </w:t>
      </w:r>
      <w:r w:rsidRPr="00F753AE">
        <w:rPr>
          <w:lang w:val="es-ES_tradnl"/>
        </w:rPr>
        <w:t>la segunda sesión</w:t>
      </w:r>
      <w:r w:rsidRPr="00F753AE">
        <w:rPr>
          <w:snapToGrid w:val="0"/>
          <w:lang w:val="es-ES_tradnl"/>
        </w:rPr>
        <w:t>:</w:t>
      </w:r>
    </w:p>
    <w:p w14:paraId="59FE1D3A" w14:textId="77777777" w:rsidR="00D75187" w:rsidRPr="00F753AE" w:rsidRDefault="00D75187" w:rsidP="00754855">
      <w:pPr>
        <w:keepNext/>
        <w:rPr>
          <w:snapToGrid w:val="0"/>
          <w:lang w:val="es-ES_tradnl"/>
        </w:rPr>
      </w:pPr>
    </w:p>
    <w:p w14:paraId="04B4188F" w14:textId="77777777" w:rsidR="00DB52CB" w:rsidRPr="00F753AE" w:rsidRDefault="003D283E">
      <w:pPr>
        <w:spacing w:line="276" w:lineRule="auto"/>
        <w:ind w:left="567"/>
        <w:rPr>
          <w:lang w:val="es-ES_tradnl"/>
        </w:rPr>
      </w:pPr>
      <w:r w:rsidRPr="00F753AE">
        <w:rPr>
          <w:lang w:val="es-ES_tradnl"/>
        </w:rPr>
        <w:t>1.</w:t>
      </w:r>
      <w:r w:rsidRPr="00F753AE">
        <w:rPr>
          <w:lang w:val="es-ES_tradnl"/>
        </w:rPr>
        <w:tab/>
        <w:t>Apertura de la sesión</w:t>
      </w:r>
    </w:p>
    <w:p w14:paraId="0C1EDB4D" w14:textId="77777777" w:rsidR="00DB52CB" w:rsidRPr="00F753AE" w:rsidRDefault="003D283E">
      <w:pPr>
        <w:spacing w:line="276" w:lineRule="auto"/>
        <w:ind w:left="567"/>
        <w:rPr>
          <w:lang w:val="es-ES_tradnl"/>
        </w:rPr>
      </w:pPr>
      <w:r w:rsidRPr="00F753AE">
        <w:rPr>
          <w:lang w:val="es-ES_tradnl"/>
        </w:rPr>
        <w:t>2.</w:t>
      </w:r>
      <w:r w:rsidRPr="00F753AE">
        <w:rPr>
          <w:lang w:val="es-ES_tradnl"/>
        </w:rPr>
        <w:tab/>
        <w:t>Aprobación del orden del día</w:t>
      </w:r>
    </w:p>
    <w:p w14:paraId="16CFD90A" w14:textId="77777777" w:rsidR="00DB52CB" w:rsidRPr="00F753AE" w:rsidRDefault="003D283E">
      <w:pPr>
        <w:spacing w:line="276" w:lineRule="auto"/>
        <w:ind w:left="567"/>
        <w:rPr>
          <w:lang w:val="es-ES_tradnl"/>
        </w:rPr>
      </w:pPr>
      <w:r w:rsidRPr="00F753AE">
        <w:rPr>
          <w:lang w:val="es-ES_tradnl"/>
        </w:rPr>
        <w:t>3.</w:t>
      </w:r>
      <w:r w:rsidRPr="00F753AE">
        <w:rPr>
          <w:lang w:val="es-ES_tradnl"/>
        </w:rPr>
        <w:tab/>
      </w:r>
      <w:r w:rsidRPr="00F753AE">
        <w:rPr>
          <w:lang w:val="es-ES_tradnl"/>
        </w:rPr>
        <w:t>Evolución de la protección de las obtenciones vegetales:</w:t>
      </w:r>
    </w:p>
    <w:p w14:paraId="3EC613B9" w14:textId="77777777" w:rsidR="00DB52CB" w:rsidRPr="00F753AE" w:rsidRDefault="003D283E">
      <w:pPr>
        <w:tabs>
          <w:tab w:val="left" w:pos="1701"/>
        </w:tabs>
        <w:spacing w:line="276" w:lineRule="auto"/>
        <w:ind w:left="1701" w:hanging="567"/>
        <w:rPr>
          <w:lang w:val="es-ES_tradnl"/>
        </w:rPr>
      </w:pPr>
      <w:r w:rsidRPr="00F753AE">
        <w:rPr>
          <w:lang w:val="es-ES_tradnl"/>
        </w:rPr>
        <w:t>(a)</w:t>
      </w:r>
      <w:r w:rsidRPr="00F753AE">
        <w:rPr>
          <w:lang w:val="es-ES_tradnl"/>
        </w:rPr>
        <w:tab/>
        <w:t>Informes de los miembros y observadores (los miembros y observadores prepararán informes escritos)</w:t>
      </w:r>
    </w:p>
    <w:p w14:paraId="4FEF77CC" w14:textId="77777777" w:rsidR="00DB52CB" w:rsidRPr="00F753AE" w:rsidRDefault="003D283E">
      <w:pPr>
        <w:tabs>
          <w:tab w:val="left" w:pos="1701"/>
        </w:tabs>
        <w:spacing w:line="276" w:lineRule="auto"/>
        <w:ind w:left="1701" w:hanging="567"/>
        <w:rPr>
          <w:lang w:val="es-ES_tradnl"/>
        </w:rPr>
      </w:pPr>
      <w:r w:rsidRPr="00F753AE">
        <w:rPr>
          <w:lang w:val="es-ES_tradnl"/>
        </w:rPr>
        <w:t>(b)</w:t>
      </w:r>
      <w:r w:rsidRPr="00F753AE">
        <w:rPr>
          <w:lang w:val="es-ES_tradnl"/>
        </w:rPr>
        <w:tab/>
        <w:t xml:space="preserve">Informe sobre la evolución de la UPOV (informe de la Oficina de la Unión) </w:t>
      </w:r>
    </w:p>
    <w:p w14:paraId="30D3B3EA" w14:textId="77777777" w:rsidR="00DB52CB" w:rsidRPr="00F753AE" w:rsidRDefault="003D283E">
      <w:pPr>
        <w:tabs>
          <w:tab w:val="left" w:pos="1134"/>
        </w:tabs>
        <w:spacing w:line="276" w:lineRule="auto"/>
        <w:ind w:left="1134" w:hanging="567"/>
        <w:rPr>
          <w:i/>
          <w:lang w:val="es-ES_tradnl"/>
        </w:rPr>
      </w:pPr>
      <w:r w:rsidRPr="00F753AE">
        <w:rPr>
          <w:lang w:val="es-ES_tradnl"/>
        </w:rPr>
        <w:t>4.</w:t>
      </w:r>
      <w:r w:rsidRPr="00F753AE">
        <w:rPr>
          <w:lang w:val="es-ES_tradnl"/>
        </w:rPr>
        <w:tab/>
        <w:t xml:space="preserve">Orientación y </w:t>
      </w:r>
      <w:r w:rsidRPr="00F753AE">
        <w:rPr>
          <w:i/>
          <w:lang w:val="es-ES_tradnl"/>
        </w:rPr>
        <w:t xml:space="preserve">cooperación </w:t>
      </w:r>
    </w:p>
    <w:p w14:paraId="44A9D393" w14:textId="382ECECC" w:rsidR="00DB52CB" w:rsidRPr="00F753AE" w:rsidRDefault="003D283E">
      <w:pPr>
        <w:spacing w:line="276" w:lineRule="auto"/>
        <w:ind w:left="1710" w:hanging="630"/>
        <w:rPr>
          <w:lang w:val="es-ES_tradnl"/>
        </w:rPr>
      </w:pPr>
      <w:r w:rsidRPr="00F753AE">
        <w:rPr>
          <w:lang w:val="es-ES_tradnl"/>
        </w:rPr>
        <w:t>(a)</w:t>
      </w:r>
      <w:r w:rsidRPr="00F753AE">
        <w:rPr>
          <w:lang w:val="es-ES_tradnl"/>
        </w:rPr>
        <w:tab/>
        <w:t>Elaboraci</w:t>
      </w:r>
      <w:r w:rsidR="00734FD7">
        <w:rPr>
          <w:lang w:val="es-ES_tradnl"/>
        </w:rPr>
        <w:t>ó</w:t>
      </w:r>
      <w:r w:rsidRPr="00F753AE">
        <w:rPr>
          <w:lang w:val="es-ES_tradnl"/>
        </w:rPr>
        <w:t>n de material de orientaci</w:t>
      </w:r>
      <w:r w:rsidR="00734FD7">
        <w:rPr>
          <w:lang w:val="es-ES_tradnl"/>
        </w:rPr>
        <w:t>ó</w:t>
      </w:r>
      <w:r w:rsidRPr="00F753AE">
        <w:rPr>
          <w:lang w:val="es-ES_tradnl"/>
        </w:rPr>
        <w:t>n e informaci</w:t>
      </w:r>
      <w:r w:rsidR="00734FD7">
        <w:rPr>
          <w:lang w:val="es-ES_tradnl"/>
        </w:rPr>
        <w:t>ó</w:t>
      </w:r>
      <w:r w:rsidRPr="00F753AE">
        <w:rPr>
          <w:lang w:val="es-ES_tradnl"/>
        </w:rPr>
        <w:t>n (Documento preparado por la Oficina de la Uni</w:t>
      </w:r>
      <w:r w:rsidR="00734FD7">
        <w:rPr>
          <w:lang w:val="es-ES_tradnl"/>
        </w:rPr>
        <w:t>ó</w:t>
      </w:r>
      <w:r w:rsidRPr="00F753AE">
        <w:rPr>
          <w:lang w:val="es-ES_tradnl"/>
        </w:rPr>
        <w:t>n)</w:t>
      </w:r>
    </w:p>
    <w:p w14:paraId="422697C0" w14:textId="4DA498BD" w:rsidR="00DB52CB" w:rsidRPr="00F753AE" w:rsidRDefault="003D283E">
      <w:pPr>
        <w:spacing w:line="276" w:lineRule="auto"/>
        <w:ind w:left="1710" w:hanging="630"/>
        <w:rPr>
          <w:lang w:val="es-ES_tradnl"/>
        </w:rPr>
      </w:pPr>
      <w:r w:rsidRPr="00F753AE">
        <w:rPr>
          <w:lang w:val="es-ES_tradnl"/>
        </w:rPr>
        <w:t>(b)</w:t>
      </w:r>
      <w:r w:rsidRPr="00F753AE">
        <w:rPr>
          <w:lang w:val="es-ES_tradnl"/>
        </w:rPr>
        <w:tab/>
        <w:t>Aumentar la participaci</w:t>
      </w:r>
      <w:r w:rsidR="00734FD7">
        <w:rPr>
          <w:lang w:val="es-ES_tradnl"/>
        </w:rPr>
        <w:t>ó</w:t>
      </w:r>
      <w:r w:rsidRPr="00F753AE">
        <w:rPr>
          <w:lang w:val="es-ES_tradnl"/>
        </w:rPr>
        <w:t>n en los trabajos del TC y de los TWP (Documento preparado por la Oficina de la Uni</w:t>
      </w:r>
      <w:r w:rsidR="00734FD7">
        <w:rPr>
          <w:lang w:val="es-ES_tradnl"/>
        </w:rPr>
        <w:t>ó</w:t>
      </w:r>
      <w:r w:rsidRPr="00F753AE">
        <w:rPr>
          <w:lang w:val="es-ES_tradnl"/>
        </w:rPr>
        <w:t>n)</w:t>
      </w:r>
    </w:p>
    <w:p w14:paraId="5D98896C" w14:textId="76E5619E" w:rsidR="00DB52CB" w:rsidRPr="00F753AE" w:rsidRDefault="003D283E">
      <w:pPr>
        <w:spacing w:line="276" w:lineRule="auto"/>
        <w:ind w:left="1710" w:hanging="630"/>
        <w:rPr>
          <w:lang w:val="es-ES_tradnl"/>
        </w:rPr>
      </w:pPr>
      <w:r w:rsidRPr="00F753AE">
        <w:rPr>
          <w:lang w:val="es-ES_tradnl"/>
        </w:rPr>
        <w:t>(c)</w:t>
      </w:r>
      <w:r w:rsidRPr="00F753AE">
        <w:rPr>
          <w:lang w:val="es-ES_tradnl"/>
        </w:rPr>
        <w:tab/>
        <w:t xml:space="preserve">Cooperación </w:t>
      </w:r>
      <w:r w:rsidRPr="00F753AE">
        <w:rPr>
          <w:lang w:val="es-ES_tradnl"/>
        </w:rPr>
        <w:t>en el examen (documento que debe preparar la Oficina de la Uni</w:t>
      </w:r>
      <w:r w:rsidR="00734FD7">
        <w:rPr>
          <w:lang w:val="es-ES_tradnl"/>
        </w:rPr>
        <w:t>ó</w:t>
      </w:r>
      <w:r w:rsidRPr="00F753AE">
        <w:rPr>
          <w:lang w:val="es-ES_tradnl"/>
        </w:rPr>
        <w:t>n)</w:t>
      </w:r>
    </w:p>
    <w:p w14:paraId="3FDCEAEC" w14:textId="77777777" w:rsidR="00DB52CB" w:rsidRPr="00F753AE" w:rsidRDefault="003D283E">
      <w:pPr>
        <w:keepNext/>
        <w:spacing w:line="276" w:lineRule="auto"/>
        <w:ind w:left="1710" w:hanging="630"/>
        <w:rPr>
          <w:lang w:val="es-ES_tradnl"/>
        </w:rPr>
      </w:pPr>
      <w:r w:rsidRPr="00F753AE">
        <w:rPr>
          <w:lang w:val="es-ES_tradnl"/>
        </w:rPr>
        <w:t>(d)</w:t>
      </w:r>
      <w:r w:rsidRPr="00F753AE">
        <w:rPr>
          <w:lang w:val="es-ES_tradnl"/>
        </w:rPr>
        <w:tab/>
        <w:t>Información y bases de datos</w:t>
      </w:r>
    </w:p>
    <w:p w14:paraId="192D2EC9" w14:textId="7BC69D16" w:rsidR="00DB52CB" w:rsidRPr="00F753AE" w:rsidRDefault="003D283E" w:rsidP="00734FD7">
      <w:pPr>
        <w:keepNext/>
        <w:spacing w:line="276" w:lineRule="auto"/>
        <w:ind w:left="1985" w:hanging="275"/>
        <w:rPr>
          <w:lang w:val="es-ES_tradnl"/>
        </w:rPr>
      </w:pPr>
      <w:r w:rsidRPr="00F753AE">
        <w:rPr>
          <w:lang w:val="es-ES_tradnl"/>
        </w:rPr>
        <w:t>-</w:t>
      </w:r>
      <w:r w:rsidR="00734FD7">
        <w:rPr>
          <w:lang w:val="es-ES_tradnl"/>
        </w:rPr>
        <w:tab/>
      </w:r>
      <w:r w:rsidRPr="00F753AE">
        <w:rPr>
          <w:lang w:val="es-ES_tradnl"/>
        </w:rPr>
        <w:t xml:space="preserve">UPOV </w:t>
      </w:r>
      <w:r w:rsidRPr="00F753AE">
        <w:rPr>
          <w:lang w:val="es-ES_tradnl"/>
        </w:rPr>
        <w:t>PRISMA (Documento preparado por la Oficina de la Uni</w:t>
      </w:r>
      <w:r w:rsidR="00734FD7">
        <w:rPr>
          <w:lang w:val="es-ES_tradnl"/>
        </w:rPr>
        <w:t>ó</w:t>
      </w:r>
      <w:r w:rsidRPr="00F753AE">
        <w:rPr>
          <w:lang w:val="es-ES_tradnl"/>
        </w:rPr>
        <w:t xml:space="preserve">n) </w:t>
      </w:r>
    </w:p>
    <w:p w14:paraId="7568A0B2" w14:textId="1E128346" w:rsidR="00DB52CB" w:rsidRPr="00F753AE" w:rsidRDefault="003D283E" w:rsidP="00734FD7">
      <w:pPr>
        <w:keepNext/>
        <w:spacing w:line="276" w:lineRule="auto"/>
        <w:ind w:left="1985" w:hanging="275"/>
        <w:rPr>
          <w:lang w:val="es-ES_tradnl"/>
        </w:rPr>
      </w:pPr>
      <w:r w:rsidRPr="00F753AE">
        <w:rPr>
          <w:lang w:val="es-ES_tradnl"/>
        </w:rPr>
        <w:t>-</w:t>
      </w:r>
      <w:r w:rsidR="00734FD7">
        <w:rPr>
          <w:lang w:val="es-ES_tradnl"/>
        </w:rPr>
        <w:tab/>
      </w:r>
      <w:r w:rsidRPr="00F753AE">
        <w:rPr>
          <w:lang w:val="es-ES_tradnl"/>
        </w:rPr>
        <w:t>Bases de datos de informaci</w:t>
      </w:r>
      <w:r w:rsidR="00734FD7">
        <w:rPr>
          <w:lang w:val="es-ES_tradnl"/>
        </w:rPr>
        <w:t>ó</w:t>
      </w:r>
      <w:r w:rsidRPr="00F753AE">
        <w:rPr>
          <w:lang w:val="es-ES_tradnl"/>
        </w:rPr>
        <w:t xml:space="preserve">n de la UPOV </w:t>
      </w:r>
      <w:r w:rsidRPr="00F753AE">
        <w:rPr>
          <w:lang w:val="es-ES_tradnl"/>
        </w:rPr>
        <w:t>(documento preparado por la Oficina de la Uni</w:t>
      </w:r>
      <w:r w:rsidR="00734FD7">
        <w:rPr>
          <w:lang w:val="es-ES_tradnl"/>
        </w:rPr>
        <w:t>ó</w:t>
      </w:r>
      <w:r w:rsidRPr="00F753AE">
        <w:rPr>
          <w:lang w:val="es-ES_tradnl"/>
        </w:rPr>
        <w:t>n)</w:t>
      </w:r>
    </w:p>
    <w:p w14:paraId="49E9B809" w14:textId="1F6A4005" w:rsidR="00DB52CB" w:rsidRPr="00F753AE" w:rsidRDefault="003D283E" w:rsidP="00734FD7">
      <w:pPr>
        <w:keepNext/>
        <w:spacing w:line="276" w:lineRule="auto"/>
        <w:ind w:left="1985" w:hanging="275"/>
        <w:rPr>
          <w:lang w:val="es-ES_tradnl"/>
        </w:rPr>
      </w:pPr>
      <w:r w:rsidRPr="00F753AE">
        <w:rPr>
          <w:lang w:val="es-ES_tradnl"/>
        </w:rPr>
        <w:t>-</w:t>
      </w:r>
      <w:r w:rsidR="00734FD7">
        <w:rPr>
          <w:lang w:val="es-ES_tradnl"/>
        </w:rPr>
        <w:tab/>
      </w:r>
      <w:r w:rsidRPr="00F753AE">
        <w:rPr>
          <w:lang w:val="es-ES_tradnl"/>
        </w:rPr>
        <w:t>Bases de datos descriptivas variadas</w:t>
      </w:r>
      <w:r w:rsidRPr="00F753AE">
        <w:rPr>
          <w:lang w:val="es-ES_tradnl"/>
        </w:rPr>
        <w:t>, incluidas las que contienen datos moleculares (documento que preparar</w:t>
      </w:r>
      <w:r w:rsidR="00734FD7">
        <w:rPr>
          <w:lang w:val="es-ES_tradnl"/>
        </w:rPr>
        <w:t>á</w:t>
      </w:r>
      <w:r w:rsidRPr="00F753AE">
        <w:rPr>
          <w:lang w:val="es-ES_tradnl"/>
        </w:rPr>
        <w:t xml:space="preserve"> la Oficina de la Uni</w:t>
      </w:r>
      <w:r w:rsidR="00734FD7">
        <w:rPr>
          <w:lang w:val="es-ES_tradnl"/>
        </w:rPr>
        <w:t>ó</w:t>
      </w:r>
      <w:r w:rsidRPr="00F753AE">
        <w:rPr>
          <w:lang w:val="es-ES_tradnl"/>
        </w:rPr>
        <w:t>n y al que se invitar</w:t>
      </w:r>
      <w:r w:rsidR="00734FD7">
        <w:rPr>
          <w:lang w:val="es-ES_tradnl"/>
        </w:rPr>
        <w:t>á</w:t>
      </w:r>
      <w:r w:rsidRPr="00F753AE">
        <w:rPr>
          <w:lang w:val="es-ES_tradnl"/>
        </w:rPr>
        <w:t xml:space="preserve"> a presentar comunicaciones). </w:t>
      </w:r>
    </w:p>
    <w:p w14:paraId="2646165A" w14:textId="5524B6CD" w:rsidR="00DB52CB" w:rsidRPr="00F753AE" w:rsidRDefault="003D283E" w:rsidP="00734FD7">
      <w:pPr>
        <w:keepNext/>
        <w:spacing w:line="276" w:lineRule="auto"/>
        <w:ind w:left="1985" w:hanging="275"/>
        <w:rPr>
          <w:lang w:val="es-ES_tradnl"/>
        </w:rPr>
      </w:pPr>
      <w:r w:rsidRPr="00F753AE">
        <w:rPr>
          <w:lang w:val="es-ES_tradnl"/>
        </w:rPr>
        <w:t>-</w:t>
      </w:r>
      <w:r w:rsidR="00734FD7">
        <w:rPr>
          <w:lang w:val="es-ES_tradnl"/>
        </w:rPr>
        <w:tab/>
      </w:r>
      <w:r w:rsidRPr="00F753AE">
        <w:rPr>
          <w:lang w:val="es-ES_tradnl"/>
        </w:rPr>
        <w:t xml:space="preserve">Denominaciones variadas </w:t>
      </w:r>
      <w:r w:rsidRPr="00F753AE">
        <w:rPr>
          <w:lang w:val="es-ES_tradnl"/>
        </w:rPr>
        <w:t xml:space="preserve">(Documento preparado por la Oficina </w:t>
      </w:r>
      <w:r w:rsidRPr="00F753AE">
        <w:rPr>
          <w:lang w:val="es-ES_tradnl"/>
        </w:rPr>
        <w:t>de la Uni</w:t>
      </w:r>
      <w:r w:rsidR="00734FD7">
        <w:rPr>
          <w:lang w:val="es-ES_tradnl"/>
        </w:rPr>
        <w:t>ó</w:t>
      </w:r>
      <w:r w:rsidRPr="00F753AE">
        <w:rPr>
          <w:lang w:val="es-ES_tradnl"/>
        </w:rPr>
        <w:t>n)</w:t>
      </w:r>
    </w:p>
    <w:p w14:paraId="69D42F71" w14:textId="77777777" w:rsidR="00DB52CB" w:rsidRPr="00F753AE" w:rsidRDefault="003D283E">
      <w:pPr>
        <w:spacing w:line="276" w:lineRule="auto"/>
        <w:ind w:left="1134" w:hanging="567"/>
        <w:rPr>
          <w:i/>
          <w:lang w:val="es-ES_tradnl"/>
        </w:rPr>
      </w:pPr>
      <w:r w:rsidRPr="00F753AE">
        <w:rPr>
          <w:lang w:val="es-ES_tradnl"/>
        </w:rPr>
        <w:t>5.</w:t>
      </w:r>
      <w:r w:rsidRPr="00F753AE">
        <w:rPr>
          <w:lang w:val="es-ES_tradnl"/>
        </w:rPr>
        <w:tab/>
        <w:t>Software y métodos de análisis estadístico para el examen DHE</w:t>
      </w:r>
    </w:p>
    <w:p w14:paraId="0C2CFD76" w14:textId="27FD6FDE" w:rsidR="00DB52CB" w:rsidRPr="00F753AE" w:rsidRDefault="003D283E" w:rsidP="00734FD7">
      <w:pPr>
        <w:tabs>
          <w:tab w:val="left" w:pos="1701"/>
        </w:tabs>
        <w:spacing w:line="276" w:lineRule="auto"/>
        <w:ind w:left="1701" w:hanging="567"/>
        <w:rPr>
          <w:lang w:val="es-ES_tradnl"/>
        </w:rPr>
      </w:pPr>
      <w:r w:rsidRPr="00F753AE">
        <w:rPr>
          <w:lang w:val="es-ES_tradnl"/>
        </w:rPr>
        <w:t>(a)</w:t>
      </w:r>
      <w:r w:rsidRPr="00F753AE">
        <w:rPr>
          <w:lang w:val="es-ES_tradnl"/>
        </w:rPr>
        <w:tab/>
        <w:t>Herramientas y métodos estadísticos para el examen DHE (se invita a presentar ponencias)</w:t>
      </w:r>
    </w:p>
    <w:p w14:paraId="35045190" w14:textId="323F426A" w:rsidR="00DB52CB" w:rsidRPr="00F753AE" w:rsidRDefault="003D283E" w:rsidP="00734FD7">
      <w:pPr>
        <w:keepNext/>
        <w:spacing w:line="276" w:lineRule="auto"/>
        <w:ind w:left="1985" w:hanging="275"/>
        <w:rPr>
          <w:lang w:val="es-ES_tradnl"/>
        </w:rPr>
      </w:pPr>
      <w:r w:rsidRPr="00F753AE">
        <w:rPr>
          <w:lang w:val="es-ES_tradnl"/>
        </w:rPr>
        <w:t>-</w:t>
      </w:r>
      <w:r w:rsidR="00734FD7">
        <w:rPr>
          <w:lang w:val="es-ES_tradnl"/>
        </w:rPr>
        <w:tab/>
      </w:r>
      <w:r w:rsidRPr="00F753AE">
        <w:rPr>
          <w:lang w:val="es-ES_tradnl"/>
        </w:rPr>
        <w:t xml:space="preserve">The Combined-Over-Years Uniformity Criterion (COYU) (documento preparado por la </w:t>
      </w:r>
      <w:r w:rsidRPr="00F753AE">
        <w:rPr>
          <w:lang w:val="es-ES_tradnl"/>
        </w:rPr>
        <w:t>Oficina de la Uni</w:t>
      </w:r>
      <w:r w:rsidR="00734FD7">
        <w:rPr>
          <w:lang w:val="es-ES_tradnl"/>
        </w:rPr>
        <w:t>ó</w:t>
      </w:r>
      <w:r w:rsidRPr="00F753AE">
        <w:rPr>
          <w:lang w:val="es-ES_tradnl"/>
        </w:rPr>
        <w:t>n)</w:t>
      </w:r>
    </w:p>
    <w:p w14:paraId="01B9D5E9" w14:textId="19996D32" w:rsidR="00DB52CB" w:rsidRPr="00F753AE" w:rsidRDefault="003D283E" w:rsidP="00734FD7">
      <w:pPr>
        <w:keepNext/>
        <w:spacing w:line="276" w:lineRule="auto"/>
        <w:ind w:left="1985" w:hanging="275"/>
        <w:rPr>
          <w:lang w:val="es-ES_tradnl"/>
        </w:rPr>
      </w:pPr>
      <w:r w:rsidRPr="00F753AE">
        <w:rPr>
          <w:lang w:val="es-ES_tradnl"/>
        </w:rPr>
        <w:t>-</w:t>
      </w:r>
      <w:r w:rsidR="00734FD7">
        <w:rPr>
          <w:lang w:val="es-ES_tradnl"/>
        </w:rPr>
        <w:tab/>
      </w:r>
      <w:r w:rsidRPr="00F753AE">
        <w:rPr>
          <w:lang w:val="es-ES_tradnl"/>
        </w:rPr>
        <w:t xml:space="preserve">Desarrollo </w:t>
      </w:r>
      <w:r w:rsidRPr="00F753AE">
        <w:rPr>
          <w:lang w:val="es-ES_tradnl"/>
        </w:rPr>
        <w:t>de programas informáticos para el método COYU mejorado (splines) (documento que preparará el Reino Unido).</w:t>
      </w:r>
    </w:p>
    <w:p w14:paraId="515001E4" w14:textId="2DFEE10B" w:rsidR="00DB52CB" w:rsidRPr="00F753AE" w:rsidRDefault="003D283E" w:rsidP="00734FD7">
      <w:pPr>
        <w:keepNext/>
        <w:spacing w:line="276" w:lineRule="auto"/>
        <w:ind w:left="1985" w:hanging="275"/>
        <w:rPr>
          <w:lang w:val="es-ES_tradnl"/>
        </w:rPr>
      </w:pPr>
      <w:r w:rsidRPr="00F753AE">
        <w:rPr>
          <w:lang w:val="es-ES_tradnl"/>
        </w:rPr>
        <w:t>-</w:t>
      </w:r>
      <w:r w:rsidR="00734FD7">
        <w:rPr>
          <w:lang w:val="es-ES_tradnl"/>
        </w:rPr>
        <w:tab/>
      </w:r>
      <w:r w:rsidRPr="00F753AE">
        <w:rPr>
          <w:lang w:val="es-ES_tradnl"/>
        </w:rPr>
        <w:t xml:space="preserve">Extrapolación </w:t>
      </w:r>
      <w:r w:rsidRPr="00F753AE">
        <w:rPr>
          <w:lang w:val="es-ES_tradnl"/>
        </w:rPr>
        <w:t xml:space="preserve">en relación con el COYU (documento que preparará el Reino Unido y ponencias invitadas). </w:t>
      </w:r>
    </w:p>
    <w:p w14:paraId="05657528" w14:textId="260C4095" w:rsidR="00DB52CB" w:rsidRPr="00F753AE" w:rsidRDefault="003D283E" w:rsidP="00734FD7">
      <w:pPr>
        <w:keepNext/>
        <w:spacing w:line="276" w:lineRule="auto"/>
        <w:ind w:left="1985" w:hanging="275"/>
        <w:rPr>
          <w:lang w:val="es-ES_tradnl"/>
        </w:rPr>
      </w:pPr>
      <w:r w:rsidRPr="00F753AE">
        <w:rPr>
          <w:lang w:val="es-ES_tradnl"/>
        </w:rPr>
        <w:t>-</w:t>
      </w:r>
      <w:r w:rsidR="00734FD7">
        <w:rPr>
          <w:lang w:val="es-ES_tradnl"/>
        </w:rPr>
        <w:tab/>
      </w:r>
      <w:r w:rsidRPr="00F753AE">
        <w:rPr>
          <w:lang w:val="es-ES_tradnl"/>
        </w:rPr>
        <w:t xml:space="preserve">Comparación de los </w:t>
      </w:r>
      <w:r w:rsidRPr="00F753AE">
        <w:rPr>
          <w:lang w:val="es-ES_tradnl"/>
        </w:rPr>
        <w:t>resultados obtenidos para los procedimientos COYD y COYU utilizando diferentes programas informáticos (documento que deberá preparar Francia).</w:t>
      </w:r>
    </w:p>
    <w:p w14:paraId="204C242C" w14:textId="3F1668F3" w:rsidR="00DB52CB" w:rsidRPr="00F753AE" w:rsidRDefault="003D283E" w:rsidP="00734FD7">
      <w:pPr>
        <w:keepNext/>
        <w:spacing w:line="276" w:lineRule="auto"/>
        <w:ind w:left="1985" w:hanging="275"/>
        <w:rPr>
          <w:lang w:val="es-ES_tradnl"/>
        </w:rPr>
      </w:pPr>
      <w:r w:rsidRPr="00F753AE">
        <w:rPr>
          <w:lang w:val="es-ES_tradnl"/>
        </w:rPr>
        <w:t>-</w:t>
      </w:r>
      <w:r w:rsidR="00734FD7">
        <w:rPr>
          <w:lang w:val="es-ES_tradnl"/>
        </w:rPr>
        <w:tab/>
      </w:r>
      <w:r w:rsidRPr="00F753AE">
        <w:rPr>
          <w:lang w:val="es-ES_tradnl"/>
        </w:rPr>
        <w:t>De</w:t>
      </w:r>
      <w:r w:rsidRPr="00F753AE">
        <w:rPr>
          <w:lang w:val="es-ES_tradnl"/>
        </w:rPr>
        <w:t xml:space="preserve">sarrollo </w:t>
      </w:r>
      <w:r w:rsidRPr="00F753AE">
        <w:rPr>
          <w:lang w:val="es-ES_tradnl"/>
        </w:rPr>
        <w:t>de plataforma Big Data para examen DHE (documento a preparar por China).</w:t>
      </w:r>
    </w:p>
    <w:p w14:paraId="24147F02" w14:textId="3C587070" w:rsidR="00DB52CB" w:rsidRPr="00F753AE" w:rsidRDefault="003D283E" w:rsidP="00734FD7">
      <w:pPr>
        <w:tabs>
          <w:tab w:val="left" w:pos="1701"/>
        </w:tabs>
        <w:spacing w:line="276" w:lineRule="auto"/>
        <w:ind w:left="1701" w:hanging="567"/>
        <w:rPr>
          <w:lang w:val="es-ES_tradnl"/>
        </w:rPr>
      </w:pPr>
      <w:r w:rsidRPr="00F753AE">
        <w:rPr>
          <w:lang w:val="es-ES_tradnl"/>
        </w:rPr>
        <w:t>(b)</w:t>
      </w:r>
      <w:r w:rsidRPr="00F753AE">
        <w:rPr>
          <w:lang w:val="es-ES_tradnl"/>
        </w:rPr>
        <w:tab/>
      </w:r>
      <w:r w:rsidRPr="00F753AE">
        <w:rPr>
          <w:lang w:val="es-ES_tradnl"/>
        </w:rPr>
        <w:t>Intercambio y uso de programas y equipos inform</w:t>
      </w:r>
      <w:r w:rsidR="00734FD7">
        <w:rPr>
          <w:lang w:val="es-ES_tradnl"/>
        </w:rPr>
        <w:t>á</w:t>
      </w:r>
      <w:r w:rsidRPr="00F753AE">
        <w:rPr>
          <w:lang w:val="es-ES_tradnl"/>
        </w:rPr>
        <w:t>ticos (documento que preparar</w:t>
      </w:r>
      <w:r w:rsidR="00734FD7">
        <w:rPr>
          <w:lang w:val="es-ES_tradnl"/>
        </w:rPr>
        <w:t>á</w:t>
      </w:r>
      <w:r w:rsidRPr="00F753AE">
        <w:rPr>
          <w:lang w:val="es-ES_tradnl"/>
        </w:rPr>
        <w:t xml:space="preserve"> la Oficina de la Uni</w:t>
      </w:r>
      <w:r w:rsidR="00734FD7">
        <w:rPr>
          <w:lang w:val="es-ES_tradnl"/>
        </w:rPr>
        <w:t>ó</w:t>
      </w:r>
      <w:r w:rsidRPr="00F753AE">
        <w:rPr>
          <w:lang w:val="es-ES_tradnl"/>
        </w:rPr>
        <w:t>n y documentos invitados)</w:t>
      </w:r>
    </w:p>
    <w:p w14:paraId="41592D18" w14:textId="3279CB9D" w:rsidR="00DB52CB" w:rsidRPr="00F753AE" w:rsidRDefault="003D283E" w:rsidP="00734FD7">
      <w:pPr>
        <w:keepNext/>
        <w:spacing w:line="276" w:lineRule="auto"/>
        <w:ind w:left="1985" w:hanging="275"/>
        <w:rPr>
          <w:lang w:val="es-ES_tradnl"/>
        </w:rPr>
      </w:pPr>
      <w:r w:rsidRPr="00F753AE">
        <w:rPr>
          <w:lang w:val="es-ES_tradnl"/>
        </w:rPr>
        <w:lastRenderedPageBreak/>
        <w:t>-</w:t>
      </w:r>
      <w:r w:rsidR="00734FD7">
        <w:rPr>
          <w:lang w:val="es-ES_tradnl"/>
        </w:rPr>
        <w:tab/>
      </w:r>
      <w:r w:rsidRPr="00F753AE">
        <w:rPr>
          <w:lang w:val="es-ES_tradnl"/>
        </w:rPr>
        <w:t xml:space="preserve">Desarrollo </w:t>
      </w:r>
      <w:r w:rsidRPr="00F753AE">
        <w:rPr>
          <w:lang w:val="es-ES_tradnl"/>
        </w:rPr>
        <w:t>de programas informáticos de análisis estadístico: DUSCEL (documento a preparar por China)</w:t>
      </w:r>
    </w:p>
    <w:p w14:paraId="1523C27F" w14:textId="77777777" w:rsidR="00DB52CB" w:rsidRPr="00F753AE" w:rsidRDefault="003D283E">
      <w:pPr>
        <w:spacing w:line="276" w:lineRule="auto"/>
        <w:ind w:left="1134" w:hanging="567"/>
        <w:rPr>
          <w:lang w:val="es-ES_tradnl"/>
        </w:rPr>
      </w:pPr>
      <w:r w:rsidRPr="00F753AE">
        <w:rPr>
          <w:lang w:val="es-ES_tradnl"/>
        </w:rPr>
        <w:t>6.</w:t>
      </w:r>
      <w:r w:rsidRPr="00F753AE">
        <w:rPr>
          <w:lang w:val="es-ES_tradnl"/>
        </w:rPr>
        <w:tab/>
        <w:t>Fenotipado y análisi</w:t>
      </w:r>
      <w:r w:rsidRPr="00F753AE">
        <w:rPr>
          <w:lang w:val="es-ES_tradnl"/>
        </w:rPr>
        <w:t>s de imágenes (ponencias invitadas)</w:t>
      </w:r>
    </w:p>
    <w:p w14:paraId="17E92E46" w14:textId="5248D88E" w:rsidR="00DB52CB" w:rsidRPr="00F753AE" w:rsidRDefault="003D283E" w:rsidP="00734FD7">
      <w:pPr>
        <w:keepNext/>
        <w:spacing w:line="276" w:lineRule="auto"/>
        <w:ind w:left="1985" w:hanging="275"/>
        <w:rPr>
          <w:lang w:val="es-ES_tradnl"/>
        </w:rPr>
      </w:pPr>
      <w:r w:rsidRPr="00F753AE">
        <w:rPr>
          <w:lang w:val="es-ES_tradnl"/>
        </w:rPr>
        <w:t>-</w:t>
      </w:r>
      <w:r w:rsidR="00734FD7">
        <w:rPr>
          <w:lang w:val="es-ES_tradnl"/>
        </w:rPr>
        <w:tab/>
      </w:r>
      <w:r w:rsidRPr="00F753AE">
        <w:rPr>
          <w:lang w:val="es-ES_tradnl"/>
        </w:rPr>
        <w:t xml:space="preserve">Evaluación </w:t>
      </w:r>
      <w:r w:rsidRPr="00F753AE">
        <w:rPr>
          <w:lang w:val="es-ES_tradnl"/>
        </w:rPr>
        <w:t>de las características del color mediante el análisis de imágenes (ponencias invitadas).</w:t>
      </w:r>
    </w:p>
    <w:p w14:paraId="67A0E661" w14:textId="77777777" w:rsidR="00DB52CB" w:rsidRPr="00F753AE" w:rsidRDefault="003D283E">
      <w:pPr>
        <w:spacing w:line="276" w:lineRule="auto"/>
        <w:ind w:left="1134" w:hanging="567"/>
        <w:rPr>
          <w:lang w:val="es-ES_tradnl"/>
        </w:rPr>
      </w:pPr>
      <w:r w:rsidRPr="00F753AE">
        <w:rPr>
          <w:lang w:val="es-ES_tradnl"/>
        </w:rPr>
        <w:t>7.</w:t>
      </w:r>
      <w:r w:rsidRPr="00F753AE">
        <w:rPr>
          <w:lang w:val="es-ES_tradnl"/>
        </w:rPr>
        <w:tab/>
        <w:t>Avances en técnicas moleculares y bioinformática</w:t>
      </w:r>
    </w:p>
    <w:p w14:paraId="22B304DC" w14:textId="77777777" w:rsidR="00DB52CB" w:rsidRPr="00F753AE" w:rsidRDefault="003D283E" w:rsidP="00734FD7">
      <w:pPr>
        <w:tabs>
          <w:tab w:val="left" w:pos="1701"/>
        </w:tabs>
        <w:spacing w:line="276" w:lineRule="auto"/>
        <w:ind w:left="1701" w:hanging="567"/>
        <w:rPr>
          <w:lang w:val="es-ES_tradnl"/>
        </w:rPr>
      </w:pPr>
      <w:r w:rsidRPr="00F753AE">
        <w:rPr>
          <w:lang w:val="es-ES_tradnl"/>
        </w:rPr>
        <w:t>(a)</w:t>
      </w:r>
      <w:r w:rsidRPr="00F753AE">
        <w:rPr>
          <w:lang w:val="es-ES_tradnl"/>
        </w:rPr>
        <w:tab/>
        <w:t>Últimos avances en técnicas moleculares y bioinformática (pone</w:t>
      </w:r>
      <w:r w:rsidRPr="00F753AE">
        <w:rPr>
          <w:lang w:val="es-ES_tradnl"/>
        </w:rPr>
        <w:t>ncias invitadas)</w:t>
      </w:r>
    </w:p>
    <w:p w14:paraId="48CE3BCC" w14:textId="491F851C" w:rsidR="00DB52CB" w:rsidRPr="00F753AE" w:rsidRDefault="003D283E" w:rsidP="00734FD7">
      <w:pPr>
        <w:tabs>
          <w:tab w:val="left" w:pos="1701"/>
        </w:tabs>
        <w:spacing w:line="276" w:lineRule="auto"/>
        <w:ind w:left="1701" w:hanging="567"/>
        <w:rPr>
          <w:lang w:val="es-ES_tradnl"/>
        </w:rPr>
      </w:pPr>
      <w:r w:rsidRPr="00F753AE">
        <w:rPr>
          <w:lang w:val="es-ES_tradnl"/>
        </w:rPr>
        <w:t>(b)</w:t>
      </w:r>
      <w:r w:rsidRPr="00F753AE">
        <w:rPr>
          <w:lang w:val="es-ES_tradnl"/>
        </w:rPr>
        <w:tab/>
        <w:t>Cooperaci</w:t>
      </w:r>
      <w:r w:rsidR="00734FD7">
        <w:rPr>
          <w:lang w:val="es-ES_tradnl"/>
        </w:rPr>
        <w:t>ó</w:t>
      </w:r>
      <w:r w:rsidRPr="00F753AE">
        <w:rPr>
          <w:lang w:val="es-ES_tradnl"/>
        </w:rPr>
        <w:t>n entre organizaciones internacionales (Documento preparado por la Oficina de la Uni</w:t>
      </w:r>
      <w:r w:rsidR="00734FD7">
        <w:rPr>
          <w:lang w:val="es-ES_tradnl"/>
        </w:rPr>
        <w:t>ó</w:t>
      </w:r>
      <w:r w:rsidRPr="00F753AE">
        <w:rPr>
          <w:lang w:val="es-ES_tradnl"/>
        </w:rPr>
        <w:t>n y documentos invitados)</w:t>
      </w:r>
    </w:p>
    <w:p w14:paraId="2AD8CCB7" w14:textId="77777777" w:rsidR="00DB52CB" w:rsidRPr="00F753AE" w:rsidRDefault="003D283E" w:rsidP="00734FD7">
      <w:pPr>
        <w:tabs>
          <w:tab w:val="left" w:pos="1701"/>
        </w:tabs>
        <w:spacing w:line="276" w:lineRule="auto"/>
        <w:ind w:left="1701" w:hanging="567"/>
        <w:rPr>
          <w:lang w:val="es-ES_tradnl"/>
        </w:rPr>
      </w:pPr>
      <w:r w:rsidRPr="00F753AE">
        <w:rPr>
          <w:lang w:val="es-ES_tradnl"/>
        </w:rPr>
        <w:t>(c)</w:t>
      </w:r>
      <w:r w:rsidRPr="00F753AE">
        <w:rPr>
          <w:lang w:val="es-ES_tradnl"/>
        </w:rPr>
        <w:tab/>
        <w:t>Informe de los trabajos sobre técnicas moleculares en relación con el examen DHE (se invita a presentar pone</w:t>
      </w:r>
      <w:r w:rsidRPr="00F753AE">
        <w:rPr>
          <w:lang w:val="es-ES_tradnl"/>
        </w:rPr>
        <w:t>ncias)</w:t>
      </w:r>
    </w:p>
    <w:p w14:paraId="5A324685" w14:textId="77777777" w:rsidR="00DB52CB" w:rsidRPr="00F753AE" w:rsidRDefault="003D283E" w:rsidP="00734FD7">
      <w:pPr>
        <w:tabs>
          <w:tab w:val="left" w:pos="1701"/>
        </w:tabs>
        <w:spacing w:line="276" w:lineRule="auto"/>
        <w:ind w:left="1701" w:hanging="567"/>
        <w:rPr>
          <w:lang w:val="es-ES_tradnl"/>
        </w:rPr>
      </w:pPr>
      <w:r w:rsidRPr="00F753AE">
        <w:rPr>
          <w:lang w:val="es-ES_tradnl"/>
        </w:rPr>
        <w:t>(d)</w:t>
      </w:r>
      <w:r w:rsidRPr="00F753AE">
        <w:rPr>
          <w:lang w:val="es-ES_tradnl"/>
        </w:rPr>
        <w:tab/>
        <w:t xml:space="preserve">Métodos de análisis de datos moleculares, gestión de bases de datos e intercambio de datos y material (se invita a presentar comunicaciones) </w:t>
      </w:r>
    </w:p>
    <w:p w14:paraId="55C84571" w14:textId="77777777" w:rsidR="00DB52CB" w:rsidRPr="00F753AE" w:rsidRDefault="003D283E" w:rsidP="00734FD7">
      <w:pPr>
        <w:tabs>
          <w:tab w:val="left" w:pos="1701"/>
        </w:tabs>
        <w:spacing w:line="276" w:lineRule="auto"/>
        <w:ind w:left="1701" w:hanging="567"/>
        <w:rPr>
          <w:lang w:val="es-ES_tradnl"/>
        </w:rPr>
      </w:pPr>
      <w:r w:rsidRPr="00F753AE">
        <w:rPr>
          <w:lang w:val="es-ES_tradnl"/>
        </w:rPr>
        <w:t xml:space="preserve">(e) </w:t>
      </w:r>
      <w:r w:rsidRPr="00F753AE">
        <w:rPr>
          <w:lang w:val="es-ES_tradnl"/>
        </w:rPr>
        <w:tab/>
        <w:t>Confidencialidad, propiedad y acceso a los datos moleculares, incluido el modelo de acuerdo</w:t>
      </w:r>
      <w:r w:rsidRPr="00F753AE">
        <w:rPr>
          <w:vertAlign w:val="superscript"/>
          <w:lang w:val="es-ES_tradnl"/>
        </w:rPr>
        <w:t xml:space="preserve">1 </w:t>
      </w:r>
      <w:r w:rsidRPr="00F753AE">
        <w:rPr>
          <w:lang w:val="es-ES_tradnl"/>
        </w:rPr>
        <w:t xml:space="preserve"> (pon</w:t>
      </w:r>
      <w:r w:rsidRPr="00F753AE">
        <w:rPr>
          <w:lang w:val="es-ES_tradnl"/>
        </w:rPr>
        <w:t>encias invitadas)</w:t>
      </w:r>
    </w:p>
    <w:p w14:paraId="7F1CD3D1" w14:textId="77777777" w:rsidR="00DB52CB" w:rsidRPr="00F753AE" w:rsidRDefault="003D283E" w:rsidP="00734FD7">
      <w:pPr>
        <w:keepNext/>
        <w:spacing w:line="276" w:lineRule="auto"/>
        <w:ind w:left="1985" w:hanging="275"/>
        <w:rPr>
          <w:vertAlign w:val="superscript"/>
          <w:lang w:val="es-ES_tradnl"/>
        </w:rPr>
      </w:pPr>
      <w:r w:rsidRPr="00F753AE">
        <w:rPr>
          <w:lang w:val="es-ES_tradnl"/>
        </w:rPr>
        <w:t>-</w:t>
      </w:r>
      <w:r w:rsidRPr="00F753AE">
        <w:rPr>
          <w:lang w:val="es-ES_tradnl"/>
        </w:rPr>
        <w:tab/>
      </w:r>
      <w:r w:rsidRPr="00F753AE">
        <w:rPr>
          <w:rFonts w:cs="Arial"/>
          <w:iCs/>
          <w:lang w:val="es-ES_tradnl"/>
        </w:rPr>
        <w:t xml:space="preserve">Ejemplos de políticas de confidencialidad y acceso a datos de información molecular </w:t>
      </w:r>
      <w:r w:rsidRPr="00F753AE">
        <w:rPr>
          <w:lang w:val="es-ES_tradnl"/>
        </w:rPr>
        <w:t>(ponencias invitadas)</w:t>
      </w:r>
    </w:p>
    <w:p w14:paraId="0FF6FBFB" w14:textId="77777777" w:rsidR="00DB52CB" w:rsidRPr="00F753AE" w:rsidRDefault="003D283E" w:rsidP="00734FD7">
      <w:pPr>
        <w:tabs>
          <w:tab w:val="left" w:pos="1701"/>
        </w:tabs>
        <w:spacing w:line="276" w:lineRule="auto"/>
        <w:ind w:left="1701" w:hanging="567"/>
        <w:rPr>
          <w:lang w:val="es-ES_tradnl"/>
        </w:rPr>
      </w:pPr>
      <w:r w:rsidRPr="00F753AE">
        <w:rPr>
          <w:lang w:val="es-ES_tradnl"/>
        </w:rPr>
        <w:t>(f)</w:t>
      </w:r>
      <w:r w:rsidRPr="00F753AE">
        <w:rPr>
          <w:lang w:val="es-ES_tradnl"/>
        </w:rPr>
        <w:tab/>
        <w:t>El uso de técnicas moleculares en el examen de la derivación esencial</w:t>
      </w:r>
      <w:r w:rsidRPr="00734FD7">
        <w:rPr>
          <w:lang w:val="es-ES_tradnl"/>
        </w:rPr>
        <w:footnoteReference w:id="12"/>
      </w:r>
      <w:r w:rsidRPr="00F753AE">
        <w:rPr>
          <w:lang w:val="es-ES_tradnl"/>
        </w:rPr>
        <w:t xml:space="preserve"> (ponencias invitadas)</w:t>
      </w:r>
    </w:p>
    <w:p w14:paraId="112D73D3" w14:textId="77777777" w:rsidR="00DB52CB" w:rsidRPr="00F753AE" w:rsidRDefault="003D283E" w:rsidP="00734FD7">
      <w:pPr>
        <w:tabs>
          <w:tab w:val="left" w:pos="1701"/>
        </w:tabs>
        <w:spacing w:line="276" w:lineRule="auto"/>
        <w:ind w:left="1701" w:hanging="567"/>
        <w:rPr>
          <w:lang w:val="es-ES_tradnl"/>
        </w:rPr>
      </w:pPr>
      <w:r w:rsidRPr="00F753AE">
        <w:rPr>
          <w:lang w:val="es-ES_tradnl"/>
        </w:rPr>
        <w:t>(g)</w:t>
      </w:r>
      <w:r w:rsidRPr="00F753AE">
        <w:rPr>
          <w:lang w:val="es-ES_tradnl"/>
        </w:rPr>
        <w:tab/>
        <w:t>El uso de técnicas molecular</w:t>
      </w:r>
      <w:r w:rsidRPr="00F753AE">
        <w:rPr>
          <w:lang w:val="es-ES_tradnl"/>
        </w:rPr>
        <w:t>es en la identificación de variedades</w:t>
      </w:r>
      <w:r w:rsidRPr="00734FD7">
        <w:rPr>
          <w:lang w:val="es-ES_tradnl"/>
        </w:rPr>
        <w:t>1</w:t>
      </w:r>
      <w:r w:rsidRPr="00F753AE">
        <w:rPr>
          <w:lang w:val="es-ES_tradnl"/>
        </w:rPr>
        <w:t xml:space="preserve"> (ponencias invitadas)</w:t>
      </w:r>
    </w:p>
    <w:p w14:paraId="17C11C81" w14:textId="77777777" w:rsidR="00DB52CB" w:rsidRPr="00F753AE" w:rsidRDefault="003D283E" w:rsidP="00734FD7">
      <w:pPr>
        <w:tabs>
          <w:tab w:val="left" w:pos="1701"/>
        </w:tabs>
        <w:spacing w:line="276" w:lineRule="auto"/>
        <w:ind w:left="1701" w:hanging="567"/>
        <w:rPr>
          <w:lang w:val="es-ES_tradnl"/>
        </w:rPr>
      </w:pPr>
      <w:r w:rsidRPr="00F753AE">
        <w:rPr>
          <w:lang w:val="es-ES_tradnl"/>
        </w:rPr>
        <w:t>(h)</w:t>
      </w:r>
      <w:r w:rsidRPr="00F753AE">
        <w:rPr>
          <w:lang w:val="es-ES_tradnl"/>
        </w:rPr>
        <w:tab/>
        <w:t>El uso de técnicas moleculares para la aplicación de la ley</w:t>
      </w:r>
      <w:r w:rsidRPr="00F753AE">
        <w:rPr>
          <w:vertAlign w:val="superscript"/>
          <w:lang w:val="es-ES_tradnl"/>
        </w:rPr>
        <w:t>1</w:t>
      </w:r>
      <w:r w:rsidRPr="00F753AE">
        <w:rPr>
          <w:lang w:val="es-ES_tradnl"/>
        </w:rPr>
        <w:t xml:space="preserve"> (ponencias invitadas)</w:t>
      </w:r>
    </w:p>
    <w:p w14:paraId="666F32D7" w14:textId="77777777" w:rsidR="00DB52CB" w:rsidRPr="00F753AE" w:rsidRDefault="003D283E">
      <w:pPr>
        <w:spacing w:line="276" w:lineRule="auto"/>
        <w:ind w:left="1134" w:hanging="567"/>
        <w:rPr>
          <w:lang w:val="es-ES_tradnl"/>
        </w:rPr>
      </w:pPr>
      <w:r w:rsidRPr="00F753AE">
        <w:rPr>
          <w:lang w:val="es-ES_tradnl"/>
        </w:rPr>
        <w:t>8.</w:t>
      </w:r>
      <w:r w:rsidRPr="00F753AE">
        <w:rPr>
          <w:lang w:val="es-ES_tradnl"/>
        </w:rPr>
        <w:tab/>
        <w:t>Fecha y lugar de la próxima sesión</w:t>
      </w:r>
    </w:p>
    <w:p w14:paraId="52FE41DD" w14:textId="77777777" w:rsidR="00DB52CB" w:rsidRPr="00F753AE" w:rsidRDefault="003D283E">
      <w:pPr>
        <w:spacing w:line="276" w:lineRule="auto"/>
        <w:ind w:left="1134" w:hanging="567"/>
        <w:rPr>
          <w:lang w:val="es-ES_tradnl"/>
        </w:rPr>
      </w:pPr>
      <w:r w:rsidRPr="00F753AE">
        <w:rPr>
          <w:lang w:val="es-ES_tradnl"/>
        </w:rPr>
        <w:t>9.</w:t>
      </w:r>
      <w:r w:rsidRPr="00F753AE">
        <w:rPr>
          <w:lang w:val="es-ES_tradnl"/>
        </w:rPr>
        <w:tab/>
        <w:t>Programa futuro</w:t>
      </w:r>
    </w:p>
    <w:p w14:paraId="7F319A5E" w14:textId="77777777" w:rsidR="00DB52CB" w:rsidRPr="00F753AE" w:rsidRDefault="003D283E">
      <w:pPr>
        <w:spacing w:line="276" w:lineRule="auto"/>
        <w:ind w:left="1134" w:hanging="567"/>
        <w:rPr>
          <w:lang w:val="es-ES_tradnl"/>
        </w:rPr>
      </w:pPr>
      <w:r w:rsidRPr="00F753AE">
        <w:rPr>
          <w:lang w:val="es-ES_tradnl"/>
        </w:rPr>
        <w:t>10.</w:t>
      </w:r>
      <w:r w:rsidRPr="00F753AE">
        <w:rPr>
          <w:lang w:val="es-ES_tradnl"/>
        </w:rPr>
        <w:tab/>
        <w:t>Aprobación del Informe de la sesión (si el tiem</w:t>
      </w:r>
      <w:r w:rsidRPr="00F753AE">
        <w:rPr>
          <w:lang w:val="es-ES_tradnl"/>
        </w:rPr>
        <w:t>po lo permite)</w:t>
      </w:r>
    </w:p>
    <w:p w14:paraId="2CFBF53F" w14:textId="77777777" w:rsidR="00DB52CB" w:rsidRPr="00F753AE" w:rsidRDefault="003D283E">
      <w:pPr>
        <w:spacing w:line="276" w:lineRule="auto"/>
        <w:ind w:left="1134" w:hanging="567"/>
        <w:rPr>
          <w:lang w:val="es-ES_tradnl"/>
        </w:rPr>
      </w:pPr>
      <w:r w:rsidRPr="00F753AE">
        <w:rPr>
          <w:lang w:val="es-ES_tradnl"/>
        </w:rPr>
        <w:t>11.</w:t>
      </w:r>
      <w:r w:rsidRPr="00F753AE">
        <w:rPr>
          <w:lang w:val="es-ES_tradnl"/>
        </w:rPr>
        <w:tab/>
        <w:t>Clausura de la sesión</w:t>
      </w:r>
    </w:p>
    <w:p w14:paraId="58FC3758" w14:textId="77777777" w:rsidR="00D75187" w:rsidRPr="00F753AE" w:rsidRDefault="00D75187" w:rsidP="002C721C">
      <w:pPr>
        <w:rPr>
          <w:lang w:val="es-ES_tradnl"/>
        </w:rPr>
      </w:pPr>
    </w:p>
    <w:p w14:paraId="5EE4136B" w14:textId="77777777" w:rsidR="00D75187" w:rsidRPr="00F753AE" w:rsidRDefault="00D75187" w:rsidP="002C721C">
      <w:pPr>
        <w:rPr>
          <w:lang w:val="es-ES_tradnl"/>
        </w:rPr>
      </w:pPr>
    </w:p>
    <w:p w14:paraId="6EC9D1A6" w14:textId="77777777" w:rsidR="00DB52CB" w:rsidRPr="00F753AE" w:rsidRDefault="003D283E">
      <w:pPr>
        <w:pStyle w:val="Heading2"/>
        <w:rPr>
          <w:rFonts w:eastAsia="MS Mincho"/>
          <w:lang w:val="es-ES_tradnl"/>
        </w:rPr>
      </w:pPr>
      <w:bookmarkStart w:id="12" w:name="_Toc148114528"/>
      <w:r w:rsidRPr="00F753AE">
        <w:rPr>
          <w:rFonts w:eastAsia="MS Mincho"/>
          <w:lang w:val="es-ES_tradnl"/>
        </w:rPr>
        <w:t xml:space="preserve">Presentaciones </w:t>
      </w:r>
      <w:r w:rsidRPr="00F753AE">
        <w:rPr>
          <w:rFonts w:eastAsia="MS Mincho"/>
          <w:lang w:val="es-ES_tradnl"/>
        </w:rPr>
        <w:t>sobre el uso de técnicas moleculares en el examen DHE</w:t>
      </w:r>
      <w:bookmarkEnd w:id="12"/>
    </w:p>
    <w:p w14:paraId="4F7CCF14" w14:textId="77777777" w:rsidR="002C721C" w:rsidRPr="00F753AE" w:rsidRDefault="002C721C" w:rsidP="002C721C">
      <w:pPr>
        <w:keepNext/>
        <w:rPr>
          <w:lang w:val="es-ES_tradnl"/>
        </w:rPr>
      </w:pPr>
    </w:p>
    <w:p w14:paraId="02212330" w14:textId="013FD2C3"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Pr>
          <w:lang w:val="es-ES_tradnl"/>
        </w:rPr>
        <w:tab/>
      </w:r>
      <w:r w:rsidRPr="00F753AE">
        <w:rPr>
          <w:lang w:val="es-ES_tradnl"/>
        </w:rPr>
        <w:t>El TWA</w:t>
      </w:r>
      <w:r w:rsidRPr="00F753AE">
        <w:rPr>
          <w:rStyle w:val="FootnoteReference"/>
          <w:lang w:val="es-ES_tradnl"/>
        </w:rPr>
        <w:footnoteReference w:id="13"/>
      </w:r>
      <w:r w:rsidRPr="00F753AE">
        <w:rPr>
          <w:lang w:val="es-ES_tradnl"/>
        </w:rPr>
        <w:t xml:space="preserve"> recibió una ponencia sobre </w:t>
      </w:r>
      <w:r w:rsidRPr="00F753AE">
        <w:rPr>
          <w:lang w:val="es-ES_tradnl"/>
        </w:rPr>
        <w:t xml:space="preserve">la "Experiencia argentina en el genotipado del arroz" a cargo de un experto de Argentina.  </w:t>
      </w:r>
      <w:r w:rsidRPr="00F753AE">
        <w:rPr>
          <w:lang w:val="es-ES_tradnl"/>
        </w:rPr>
        <w:t xml:space="preserve">En el </w:t>
      </w:r>
      <w:r w:rsidRPr="00F753AE">
        <w:rPr>
          <w:lang w:val="es-ES_tradnl"/>
        </w:rPr>
        <w:t xml:space="preserve">Anexo I </w:t>
      </w:r>
      <w:r w:rsidR="006A1465" w:rsidRPr="00F753AE">
        <w:rPr>
          <w:lang w:val="es-ES_tradnl"/>
        </w:rPr>
        <w:t xml:space="preserve">del </w:t>
      </w:r>
      <w:r w:rsidRPr="00F753AE">
        <w:rPr>
          <w:lang w:val="es-ES_tradnl"/>
        </w:rPr>
        <w:t xml:space="preserve">documento </w:t>
      </w:r>
      <w:r w:rsidRPr="00F753AE">
        <w:rPr>
          <w:rFonts w:eastAsia="MS Mincho"/>
          <w:lang w:val="es-ES_tradnl"/>
        </w:rPr>
        <w:t>TWA/52/6</w:t>
      </w:r>
      <w:r w:rsidRPr="00F753AE">
        <w:rPr>
          <w:rStyle w:val="FootnoteReference"/>
          <w:rFonts w:eastAsia="MS Mincho"/>
          <w:lang w:val="es-ES_tradnl"/>
        </w:rPr>
        <w:footnoteReference w:id="14"/>
      </w:r>
      <w:r w:rsidRPr="00F753AE">
        <w:rPr>
          <w:lang w:val="es-ES_tradnl"/>
        </w:rPr>
        <w:t xml:space="preserve"> figura </w:t>
      </w:r>
      <w:r w:rsidRPr="00F753AE">
        <w:rPr>
          <w:lang w:val="es-ES_tradnl"/>
        </w:rPr>
        <w:t>una copia de la ponencia</w:t>
      </w:r>
      <w:r w:rsidRPr="00F753AE">
        <w:rPr>
          <w:rFonts w:eastAsia="MS Mincho"/>
          <w:lang w:val="es-ES_tradnl"/>
        </w:rPr>
        <w:t>.</w:t>
      </w:r>
    </w:p>
    <w:p w14:paraId="4C4F91A6" w14:textId="77777777" w:rsidR="002C721C" w:rsidRPr="00F753AE" w:rsidRDefault="002C721C" w:rsidP="002C721C">
      <w:pPr>
        <w:rPr>
          <w:lang w:val="es-ES_tradnl"/>
        </w:rPr>
      </w:pPr>
    </w:p>
    <w:p w14:paraId="23936367" w14:textId="08852190"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Pr>
          <w:lang w:val="es-ES_tradnl"/>
        </w:rPr>
        <w:tab/>
      </w:r>
      <w:r w:rsidRPr="00F753AE">
        <w:rPr>
          <w:lang w:val="es-ES_tradnl"/>
        </w:rPr>
        <w:t xml:space="preserve">El TWA </w:t>
      </w:r>
      <w:r w:rsidRPr="00F753AE">
        <w:rPr>
          <w:lang w:val="es-ES_tradnl"/>
        </w:rPr>
        <w:t xml:space="preserve">recibió una ponencia sobre el </w:t>
      </w:r>
      <w:r w:rsidRPr="00F753AE">
        <w:rPr>
          <w:lang w:val="es-ES_tradnl"/>
        </w:rPr>
        <w:t xml:space="preserve">"Uso de técnicas moleculares en el examen DHE: Ensayos de campo: detalles de la experiencia con la soja en Argentina", a cargo de un experto de Argentina.  </w:t>
      </w:r>
      <w:r w:rsidRPr="00F753AE">
        <w:rPr>
          <w:lang w:val="es-ES_tradnl"/>
        </w:rPr>
        <w:t xml:space="preserve">En el </w:t>
      </w:r>
      <w:r w:rsidRPr="00F753AE">
        <w:rPr>
          <w:lang w:val="es-ES_tradnl"/>
        </w:rPr>
        <w:t xml:space="preserve">Anexo II </w:t>
      </w:r>
      <w:r w:rsidR="006A1465" w:rsidRPr="00F753AE">
        <w:rPr>
          <w:lang w:val="es-ES_tradnl"/>
        </w:rPr>
        <w:t xml:space="preserve">del </w:t>
      </w:r>
      <w:r w:rsidRPr="00F753AE">
        <w:rPr>
          <w:lang w:val="es-ES_tradnl"/>
        </w:rPr>
        <w:t xml:space="preserve">documento </w:t>
      </w:r>
      <w:r w:rsidRPr="00F753AE">
        <w:rPr>
          <w:rFonts w:eastAsia="MS Mincho"/>
          <w:lang w:val="es-ES_tradnl"/>
        </w:rPr>
        <w:t xml:space="preserve">TWA/52/6 </w:t>
      </w:r>
      <w:r w:rsidRPr="00F753AE">
        <w:rPr>
          <w:lang w:val="es-ES_tradnl"/>
        </w:rPr>
        <w:t xml:space="preserve">figura </w:t>
      </w:r>
      <w:r w:rsidRPr="00F753AE">
        <w:rPr>
          <w:lang w:val="es-ES_tradnl"/>
        </w:rPr>
        <w:t>una copia de la ponencia</w:t>
      </w:r>
      <w:r w:rsidRPr="00F753AE">
        <w:rPr>
          <w:rFonts w:eastAsia="MS Mincho"/>
          <w:lang w:val="es-ES_tradnl"/>
        </w:rPr>
        <w:t>.</w:t>
      </w:r>
    </w:p>
    <w:p w14:paraId="68592595" w14:textId="77777777" w:rsidR="002C721C" w:rsidRPr="00F753AE" w:rsidRDefault="002C721C" w:rsidP="002C721C">
      <w:pPr>
        <w:keepNext/>
        <w:rPr>
          <w:lang w:val="es-ES_tradnl"/>
        </w:rPr>
      </w:pPr>
    </w:p>
    <w:p w14:paraId="3F03A3B0" w14:textId="77777777" w:rsidR="00DB52CB" w:rsidRPr="00F753AE" w:rsidRDefault="003D283E">
      <w:pPr>
        <w:keepNext/>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El TWF</w:t>
      </w:r>
      <w:r w:rsidRPr="00F753AE">
        <w:rPr>
          <w:rStyle w:val="FootnoteReference"/>
          <w:lang w:val="es-ES_tradnl"/>
        </w:rPr>
        <w:footnoteReference w:id="15"/>
      </w:r>
      <w:r w:rsidRPr="00F753AE">
        <w:rPr>
          <w:lang w:val="es-ES_tradnl"/>
        </w:rPr>
        <w:t xml:space="preserve"> recibi</w:t>
      </w:r>
      <w:r w:rsidRPr="00F753AE">
        <w:rPr>
          <w:lang w:val="es-ES_tradnl"/>
        </w:rPr>
        <w:t>ó una ponencia sobre el uso de marcadores moleculares en apoyo del examen DHE en Francia, de la que se proporcionaría una copia en el documento TWF/54/3</w:t>
      </w:r>
      <w:r w:rsidRPr="00F753AE">
        <w:rPr>
          <w:rStyle w:val="FootnoteReference"/>
          <w:lang w:val="es-ES_tradnl"/>
        </w:rPr>
        <w:footnoteReference w:id="16"/>
      </w:r>
      <w:r w:rsidRPr="00F753AE">
        <w:rPr>
          <w:lang w:val="es-ES_tradnl"/>
        </w:rPr>
        <w:t xml:space="preserve"> .  </w:t>
      </w:r>
    </w:p>
    <w:p w14:paraId="09AB799F" w14:textId="77777777" w:rsidR="002C721C" w:rsidRPr="00F753AE" w:rsidRDefault="002C721C" w:rsidP="00E209FA">
      <w:pPr>
        <w:rPr>
          <w:snapToGrid w:val="0"/>
          <w:lang w:val="es-ES_tradnl" w:eastAsia="ja-JP"/>
        </w:rPr>
      </w:pPr>
    </w:p>
    <w:p w14:paraId="126584B5" w14:textId="77777777" w:rsidR="002C721C" w:rsidRPr="00F753AE" w:rsidRDefault="002C721C" w:rsidP="00E209FA">
      <w:pPr>
        <w:rPr>
          <w:snapToGrid w:val="0"/>
          <w:lang w:val="es-ES_tradnl" w:eastAsia="ja-JP"/>
        </w:rPr>
      </w:pPr>
    </w:p>
    <w:p w14:paraId="5BA0D338" w14:textId="77777777" w:rsidR="00DB52CB" w:rsidRPr="00F753AE" w:rsidRDefault="003D283E">
      <w:pPr>
        <w:pStyle w:val="Heading2"/>
        <w:rPr>
          <w:lang w:val="es-ES_tradnl" w:eastAsia="ja-JP"/>
        </w:rPr>
      </w:pPr>
      <w:bookmarkStart w:id="13" w:name="_Toc525647214"/>
      <w:bookmarkStart w:id="14" w:name="_Toc526175654"/>
      <w:bookmarkStart w:id="15" w:name="_Toc148114529"/>
      <w:r w:rsidRPr="00F753AE">
        <w:rPr>
          <w:lang w:val="es-ES_tradnl" w:eastAsia="ja-JP"/>
        </w:rPr>
        <w:t>Cooperación entre organizaciones internacionales</w:t>
      </w:r>
      <w:bookmarkEnd w:id="13"/>
      <w:bookmarkEnd w:id="14"/>
      <w:bookmarkEnd w:id="15"/>
    </w:p>
    <w:p w14:paraId="43D3DF6A" w14:textId="77777777" w:rsidR="00E209FA" w:rsidRPr="00F753AE" w:rsidRDefault="00E209FA" w:rsidP="00E209FA">
      <w:pPr>
        <w:keepNext/>
        <w:rPr>
          <w:rFonts w:cs="Arial"/>
          <w:iCs/>
          <w:lang w:val="es-ES_tradnl"/>
        </w:rPr>
      </w:pPr>
    </w:p>
    <w:p w14:paraId="322EB7B5" w14:textId="77777777" w:rsidR="00DB52CB" w:rsidRPr="00F753AE" w:rsidRDefault="003D283E">
      <w:pPr>
        <w:rPr>
          <w:rFonts w:eastAsiaTheme="minorEastAsia"/>
          <w:lang w:val="es-ES_tradnl" w:eastAsia="ja-JP"/>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r>
      <w:r w:rsidRPr="00F753AE">
        <w:rPr>
          <w:rFonts w:eastAsiaTheme="minorEastAsia"/>
          <w:lang w:val="es-ES_tradnl" w:eastAsia="ja-JP"/>
        </w:rPr>
        <w:t xml:space="preserve">Los ANTECEDENTES </w:t>
      </w:r>
      <w:r w:rsidRPr="00F753AE">
        <w:rPr>
          <w:rFonts w:eastAsiaTheme="minorEastAsia"/>
          <w:lang w:val="es-ES_tradnl" w:eastAsia="ja-JP"/>
        </w:rPr>
        <w:t xml:space="preserve">de este asunto </w:t>
      </w:r>
      <w:r w:rsidRPr="00F753AE">
        <w:rPr>
          <w:rFonts w:eastAsiaTheme="minorEastAsia"/>
          <w:lang w:val="es-ES_tradnl" w:eastAsia="ja-JP"/>
        </w:rPr>
        <w:t xml:space="preserve">figuran en el documento </w:t>
      </w:r>
      <w:r w:rsidRPr="00F753AE">
        <w:rPr>
          <w:rFonts w:eastAsiaTheme="minorEastAsia"/>
          <w:lang w:val="es-ES_tradnl" w:eastAsia="ja-JP"/>
        </w:rPr>
        <w:t xml:space="preserve">TC/58/7 </w:t>
      </w:r>
      <w:r w:rsidRPr="00F753AE">
        <w:rPr>
          <w:lang w:val="es-ES_tradnl" w:eastAsia="ja-JP"/>
        </w:rPr>
        <w:t>"Técnicas Moleculares"</w:t>
      </w:r>
      <w:r w:rsidRPr="00F753AE">
        <w:rPr>
          <w:rFonts w:eastAsiaTheme="minorEastAsia"/>
          <w:lang w:val="es-ES_tradnl" w:eastAsia="ja-JP"/>
        </w:rPr>
        <w:t>.</w:t>
      </w:r>
    </w:p>
    <w:p w14:paraId="454A5832" w14:textId="77777777" w:rsidR="00E209FA" w:rsidRPr="00F753AE" w:rsidRDefault="00E209FA" w:rsidP="00E209FA">
      <w:pPr>
        <w:rPr>
          <w:rFonts w:eastAsiaTheme="minorEastAsia"/>
          <w:lang w:val="es-ES_tradnl" w:eastAsia="ja-JP"/>
        </w:rPr>
      </w:pPr>
    </w:p>
    <w:p w14:paraId="50264DE8" w14:textId="77777777" w:rsidR="00DB52CB" w:rsidRPr="00F753AE" w:rsidRDefault="003D283E">
      <w:pPr>
        <w:rPr>
          <w:rFonts w:eastAsiaTheme="minorEastAsia"/>
          <w:lang w:val="es-ES_tradnl" w:eastAsia="ja-JP"/>
        </w:rPr>
      </w:pPr>
      <w:r w:rsidRPr="00F753AE">
        <w:rPr>
          <w:rFonts w:eastAsiaTheme="minorEastAsia"/>
          <w:lang w:val="es-ES_tradnl" w:eastAsia="ja-JP"/>
        </w:rPr>
        <w:fldChar w:fldCharType="begin"/>
      </w:r>
      <w:r w:rsidRPr="00F753AE">
        <w:rPr>
          <w:rFonts w:eastAsiaTheme="minorEastAsia"/>
          <w:lang w:val="es-ES_tradnl" w:eastAsia="ja-JP"/>
        </w:rPr>
        <w:instrText xml:space="preserve"> AUTONUM  </w:instrText>
      </w:r>
      <w:r w:rsidRPr="00F753AE">
        <w:rPr>
          <w:rFonts w:eastAsiaTheme="minorEastAsia"/>
          <w:lang w:val="es-ES_tradnl" w:eastAsia="ja-JP"/>
        </w:rPr>
        <w:fldChar w:fldCharType="end"/>
      </w:r>
      <w:r w:rsidRPr="00F753AE">
        <w:rPr>
          <w:rFonts w:eastAsiaTheme="minorEastAsia"/>
          <w:lang w:val="es-ES_tradnl" w:eastAsia="ja-JP"/>
        </w:rPr>
        <w:tab/>
        <w:t>El TC, en su quincuagésima cuarta sesión</w:t>
      </w:r>
      <w:r w:rsidRPr="00F753AE">
        <w:rPr>
          <w:rFonts w:eastAsiaTheme="minorEastAsia"/>
          <w:vertAlign w:val="superscript"/>
          <w:lang w:val="es-ES_tradnl" w:eastAsia="ja-JP"/>
        </w:rPr>
        <w:footnoteReference w:id="17"/>
      </w:r>
      <w:r w:rsidRPr="00F753AE">
        <w:rPr>
          <w:rFonts w:eastAsiaTheme="minorEastAsia"/>
          <w:lang w:val="es-ES_tradnl" w:eastAsia="ja-JP"/>
        </w:rPr>
        <w:t xml:space="preserve"> , acordó que la UPOV y la OCDE debían avanzar en las cuestiones previamente acordadas por el TC, a saber (véase el documento TC/54/31 "Informe", párrafo 268</w:t>
      </w:r>
      <w:r w:rsidR="00794A18" w:rsidRPr="00F753AE">
        <w:rPr>
          <w:rFonts w:eastAsiaTheme="minorEastAsia"/>
          <w:lang w:val="es-ES_tradnl" w:eastAsia="ja-JP"/>
        </w:rPr>
        <w:t>)</w:t>
      </w:r>
      <w:r w:rsidRPr="00F753AE">
        <w:rPr>
          <w:rFonts w:eastAsiaTheme="minorEastAsia"/>
          <w:lang w:val="es-ES_tradnl" w:eastAsia="ja-JP"/>
        </w:rPr>
        <w:t xml:space="preserve">: </w:t>
      </w:r>
    </w:p>
    <w:p w14:paraId="68878BA7" w14:textId="77777777" w:rsidR="00E209FA" w:rsidRPr="00F753AE" w:rsidRDefault="00E209FA" w:rsidP="00E209FA">
      <w:pPr>
        <w:rPr>
          <w:rFonts w:eastAsiaTheme="minorEastAsia"/>
          <w:lang w:val="es-ES_tradnl" w:eastAsia="ja-JP"/>
        </w:rPr>
      </w:pPr>
    </w:p>
    <w:p w14:paraId="330585B9" w14:textId="77777777" w:rsidR="00DB52CB" w:rsidRPr="00F753AE" w:rsidRDefault="003D283E">
      <w:pPr>
        <w:ind w:firstLine="567"/>
        <w:rPr>
          <w:rFonts w:eastAsiaTheme="minorEastAsia"/>
          <w:lang w:val="es-ES_tradnl" w:eastAsia="ja-JP"/>
        </w:rPr>
      </w:pPr>
      <w:r w:rsidRPr="00F753AE">
        <w:rPr>
          <w:rFonts w:eastAsiaTheme="minorEastAsia"/>
          <w:lang w:val="es-ES_tradnl" w:eastAsia="ja-JP"/>
        </w:rPr>
        <w:t xml:space="preserve">(a) </w:t>
      </w:r>
      <w:r w:rsidRPr="00F753AE">
        <w:rPr>
          <w:rFonts w:eastAsiaTheme="minorEastAsia"/>
          <w:lang w:val="es-ES_tradnl" w:eastAsia="ja-JP"/>
        </w:rPr>
        <w:tab/>
        <w:t xml:space="preserve">elaborar un documento conjunto en el que se expliquen las principales características de </w:t>
      </w:r>
      <w:r w:rsidRPr="00F753AE">
        <w:rPr>
          <w:rFonts w:eastAsiaTheme="minorEastAsia"/>
          <w:lang w:val="es-ES_tradnl" w:eastAsia="ja-JP"/>
        </w:rPr>
        <w:t xml:space="preserve">los sistemas de la OCDE, la UPOV y la ISTA; </w:t>
      </w:r>
    </w:p>
    <w:p w14:paraId="75E7CDF0" w14:textId="77777777" w:rsidR="00E209FA" w:rsidRPr="00F753AE" w:rsidRDefault="00E209FA" w:rsidP="00E209FA">
      <w:pPr>
        <w:ind w:firstLine="567"/>
        <w:rPr>
          <w:rFonts w:eastAsiaTheme="minorEastAsia"/>
          <w:lang w:val="es-ES_tradnl" w:eastAsia="ja-JP"/>
        </w:rPr>
      </w:pPr>
    </w:p>
    <w:p w14:paraId="58D4782E" w14:textId="77777777" w:rsidR="00DB52CB" w:rsidRPr="00F753AE" w:rsidRDefault="003D283E">
      <w:pPr>
        <w:ind w:firstLine="567"/>
        <w:rPr>
          <w:rFonts w:eastAsiaTheme="minorEastAsia"/>
          <w:lang w:val="es-ES_tradnl" w:eastAsia="ja-JP"/>
        </w:rPr>
      </w:pPr>
      <w:r w:rsidRPr="00F753AE">
        <w:rPr>
          <w:rFonts w:eastAsiaTheme="minorEastAsia"/>
          <w:lang w:val="es-ES_tradnl" w:eastAsia="ja-JP"/>
        </w:rPr>
        <w:lastRenderedPageBreak/>
        <w:t>(b)</w:t>
      </w:r>
      <w:r w:rsidRPr="00F753AE">
        <w:rPr>
          <w:rFonts w:eastAsiaTheme="minorEastAsia"/>
          <w:lang w:val="es-ES_tradnl" w:eastAsia="ja-JP"/>
        </w:rPr>
        <w:tab/>
      </w:r>
      <w:r w:rsidRPr="00F753AE">
        <w:rPr>
          <w:rFonts w:eastAsiaTheme="minorEastAsia"/>
          <w:lang w:val="es-ES_tradnl" w:eastAsia="ja-JP"/>
        </w:rPr>
        <w:t>elaborar un inventario sobre el uso de técnicas de marcadores moleculares, por cultivo, con vistas a desarrollar un documento conjunto OCDE/UPOV/ISTA que contenga dicha información, en un formato similar al del documento UPOV/INF/16 de la UPOV "Software in</w:t>
      </w:r>
      <w:r w:rsidRPr="00F753AE">
        <w:rPr>
          <w:rFonts w:eastAsiaTheme="minorEastAsia"/>
          <w:lang w:val="es-ES_tradnl" w:eastAsia="ja-JP"/>
        </w:rPr>
        <w:t xml:space="preserve">tercambiable", sujeto a la aprobación del Consejo y en coordinación con la OCDE y la ISTA; y </w:t>
      </w:r>
    </w:p>
    <w:p w14:paraId="6A13709F" w14:textId="77777777" w:rsidR="00E209FA" w:rsidRPr="00F753AE" w:rsidRDefault="00E209FA" w:rsidP="00E209FA">
      <w:pPr>
        <w:ind w:firstLine="567"/>
        <w:rPr>
          <w:rFonts w:eastAsiaTheme="minorEastAsia"/>
          <w:lang w:val="es-ES_tradnl" w:eastAsia="ja-JP"/>
        </w:rPr>
      </w:pPr>
    </w:p>
    <w:p w14:paraId="06D483E5" w14:textId="77777777" w:rsidR="00DB52CB" w:rsidRPr="00F753AE" w:rsidRDefault="003D283E">
      <w:pPr>
        <w:ind w:firstLine="567"/>
        <w:rPr>
          <w:rFonts w:eastAsiaTheme="minorEastAsia"/>
          <w:lang w:val="es-ES_tradnl" w:eastAsia="ja-JP"/>
        </w:rPr>
      </w:pPr>
      <w:r w:rsidRPr="00F753AE">
        <w:rPr>
          <w:rFonts w:eastAsiaTheme="minorEastAsia"/>
          <w:lang w:val="es-ES_tradnl" w:eastAsia="ja-JP"/>
        </w:rPr>
        <w:t xml:space="preserve">(c) </w:t>
      </w:r>
      <w:r w:rsidRPr="00F753AE">
        <w:rPr>
          <w:rFonts w:eastAsiaTheme="minorEastAsia"/>
          <w:lang w:val="es-ES_tradnl" w:eastAsia="ja-JP"/>
        </w:rPr>
        <w:tab/>
        <w:t xml:space="preserve">que el BMT elabore listas de posibles iniciativas conjuntas con la OCDE y la ISTA en relación con las técnicas moleculares para su examen por el TC. </w:t>
      </w:r>
    </w:p>
    <w:p w14:paraId="21D48C89" w14:textId="77777777" w:rsidR="005E68FB" w:rsidRPr="00F753AE" w:rsidRDefault="005E68FB" w:rsidP="00E209FA">
      <w:pPr>
        <w:rPr>
          <w:rFonts w:eastAsiaTheme="minorEastAsia"/>
          <w:lang w:val="es-ES_tradnl" w:eastAsia="ja-JP"/>
        </w:rPr>
      </w:pPr>
    </w:p>
    <w:p w14:paraId="72201AEA" w14:textId="77777777" w:rsidR="00A96C63" w:rsidRPr="00F753AE" w:rsidRDefault="00A96C63" w:rsidP="00E209FA">
      <w:pPr>
        <w:rPr>
          <w:rFonts w:eastAsiaTheme="minorEastAsia"/>
          <w:lang w:val="es-ES_tradnl"/>
        </w:rPr>
      </w:pPr>
    </w:p>
    <w:p w14:paraId="54B57738" w14:textId="77777777" w:rsidR="00DB52CB" w:rsidRPr="00F753AE" w:rsidRDefault="003D283E">
      <w:pPr>
        <w:pStyle w:val="Heading3"/>
        <w:rPr>
          <w:rFonts w:eastAsiaTheme="minorEastAsia"/>
          <w:lang w:val="es-ES_tradnl"/>
        </w:rPr>
      </w:pPr>
      <w:bookmarkStart w:id="16" w:name="_Toc14980928"/>
      <w:bookmarkStart w:id="17" w:name="_Toc15059498"/>
      <w:bookmarkStart w:id="18" w:name="_Toc15295343"/>
      <w:bookmarkStart w:id="19" w:name="_Toc22564623"/>
      <w:bookmarkStart w:id="20" w:name="_Toc27663377"/>
      <w:bookmarkStart w:id="21" w:name="_Toc148114530"/>
      <w:r w:rsidRPr="00F753AE">
        <w:rPr>
          <w:rFonts w:eastAsiaTheme="minorEastAsia"/>
          <w:lang w:val="es-ES_tradnl"/>
        </w:rPr>
        <w:t>Inve</w:t>
      </w:r>
      <w:r w:rsidRPr="00F753AE">
        <w:rPr>
          <w:rFonts w:eastAsiaTheme="minorEastAsia"/>
          <w:lang w:val="es-ES_tradnl"/>
        </w:rPr>
        <w:t>ntario sobre el uso de técnicas de marcadores moleculares, por cultivo</w:t>
      </w:r>
      <w:bookmarkEnd w:id="16"/>
      <w:bookmarkEnd w:id="17"/>
      <w:bookmarkEnd w:id="18"/>
      <w:bookmarkEnd w:id="19"/>
      <w:bookmarkEnd w:id="20"/>
      <w:bookmarkEnd w:id="21"/>
    </w:p>
    <w:p w14:paraId="50AB950E" w14:textId="77777777" w:rsidR="00A96C63" w:rsidRPr="00F753AE" w:rsidRDefault="00A96C63" w:rsidP="003308D5">
      <w:pPr>
        <w:keepNext/>
        <w:keepLines/>
        <w:rPr>
          <w:rFonts w:eastAsiaTheme="minorEastAsia"/>
          <w:lang w:val="es-ES_tradnl"/>
        </w:rPr>
      </w:pPr>
      <w:bookmarkStart w:id="22" w:name="_Toc14980927"/>
      <w:bookmarkStart w:id="23" w:name="_Toc15059497"/>
      <w:bookmarkStart w:id="24" w:name="_Toc15295342"/>
      <w:bookmarkStart w:id="25" w:name="_Toc22564625"/>
      <w:bookmarkStart w:id="26" w:name="_Toc27663379"/>
    </w:p>
    <w:p w14:paraId="618221A3" w14:textId="77777777" w:rsidR="00DB52CB" w:rsidRPr="00F753AE" w:rsidRDefault="003D283E">
      <w:pPr>
        <w:keepNext/>
        <w:keepLines/>
        <w:rPr>
          <w:rFonts w:eastAsiaTheme="minorEastAsia"/>
          <w:lang w:val="es-ES_tradnl"/>
        </w:rPr>
      </w:pPr>
      <w:r w:rsidRPr="00F753AE">
        <w:rPr>
          <w:rFonts w:eastAsiaTheme="minorEastAsia"/>
          <w:lang w:val="es-ES_tradnl"/>
        </w:rPr>
        <w:fldChar w:fldCharType="begin"/>
      </w:r>
      <w:r w:rsidRPr="00F753AE">
        <w:rPr>
          <w:rFonts w:eastAsiaTheme="minorEastAsia"/>
          <w:lang w:val="es-ES_tradnl"/>
        </w:rPr>
        <w:instrText xml:space="preserve"> AUTONUM  </w:instrText>
      </w:r>
      <w:r w:rsidRPr="00F753AE">
        <w:rPr>
          <w:rFonts w:eastAsiaTheme="minorEastAsia"/>
          <w:lang w:val="es-ES_tradnl"/>
        </w:rPr>
        <w:fldChar w:fldCharType="end"/>
      </w:r>
      <w:r w:rsidRPr="00F753AE">
        <w:rPr>
          <w:rFonts w:eastAsiaTheme="minorEastAsia"/>
          <w:lang w:val="es-ES_tradnl"/>
        </w:rPr>
        <w:tab/>
        <w:t xml:space="preserve">Los ANTECEDENTES de este asunto figuran en el documento TC/58/7 "Técnicas Moleculares". </w:t>
      </w:r>
    </w:p>
    <w:p w14:paraId="5851451A" w14:textId="77777777" w:rsidR="00A96C63" w:rsidRPr="00F753AE" w:rsidRDefault="00A96C63" w:rsidP="00A96C63">
      <w:pPr>
        <w:rPr>
          <w:rFonts w:eastAsiaTheme="minorEastAsia"/>
          <w:lang w:val="es-ES_tradnl"/>
        </w:rPr>
      </w:pPr>
    </w:p>
    <w:p w14:paraId="14200734" w14:textId="77777777" w:rsidR="003D283E" w:rsidRDefault="003D283E">
      <w:pPr>
        <w:keepNext/>
        <w:keepLines/>
        <w:rPr>
          <w:lang w:val="es-ES_tradnl"/>
        </w:rPr>
      </w:pPr>
      <w:r w:rsidRPr="00F753AE">
        <w:rPr>
          <w:rFonts w:eastAsiaTheme="minorEastAsia"/>
          <w:lang w:val="es-ES_tradnl"/>
        </w:rPr>
        <w:fldChar w:fldCharType="begin"/>
      </w:r>
      <w:r w:rsidRPr="00F753AE">
        <w:rPr>
          <w:rFonts w:eastAsiaTheme="minorEastAsia"/>
          <w:lang w:val="es-ES_tradnl"/>
        </w:rPr>
        <w:instrText xml:space="preserve"> AUTONUM  </w:instrText>
      </w:r>
      <w:r w:rsidRPr="00F753AE">
        <w:rPr>
          <w:rFonts w:eastAsiaTheme="minorEastAsia"/>
          <w:lang w:val="es-ES_tradnl"/>
        </w:rPr>
        <w:fldChar w:fldCharType="end"/>
      </w:r>
      <w:r w:rsidRPr="00F753AE">
        <w:rPr>
          <w:rFonts w:eastAsiaTheme="minorEastAsia"/>
          <w:lang w:val="es-ES_tradnl"/>
        </w:rPr>
        <w:tab/>
        <w:t>El TC, en su quincuagésima octava sesión</w:t>
      </w:r>
      <w:r w:rsidRPr="00F753AE">
        <w:rPr>
          <w:rStyle w:val="FootnoteReference"/>
          <w:rFonts w:eastAsiaTheme="minorEastAsia"/>
          <w:lang w:val="es-ES_tradnl"/>
        </w:rPr>
        <w:footnoteReference w:id="18"/>
      </w:r>
      <w:r w:rsidR="00A96C63" w:rsidRPr="00F753AE">
        <w:rPr>
          <w:lang w:val="es-ES_tradnl"/>
        </w:rPr>
        <w:t xml:space="preserve"> , tomó nota de los resultados de las encuestas sobre la utilización de técnicas de marcadores moleculares por los miembros, por cultivo, que figuran en el Anexo del documento TC/58/7</w:t>
      </w:r>
      <w:r w:rsidR="00A96C63" w:rsidRPr="00F753AE">
        <w:rPr>
          <w:rStyle w:val="FootnoteReference"/>
          <w:lang w:val="es-ES_tradnl"/>
        </w:rPr>
        <w:footnoteReference w:id="19"/>
      </w:r>
      <w:r w:rsidR="00A96C63" w:rsidRPr="00F753AE">
        <w:rPr>
          <w:lang w:val="es-ES_tradnl"/>
        </w:rPr>
        <w:t xml:space="preserve"> .  Los resultados de la encuesta están disponibles como </w:t>
      </w:r>
      <w:r w:rsidR="002965B9" w:rsidRPr="00F753AE">
        <w:rPr>
          <w:lang w:val="es-ES_tradnl"/>
        </w:rPr>
        <w:t>archivo Excel en la página TC/58 del sitio Web de la UPOV</w:t>
      </w:r>
      <w:r>
        <w:rPr>
          <w:lang w:val="es-ES_tradnl"/>
        </w:rPr>
        <w:t>:</w:t>
      </w:r>
    </w:p>
    <w:p w14:paraId="40D4DCF3" w14:textId="4DB29230" w:rsidR="00DB52CB" w:rsidRPr="00F753AE" w:rsidRDefault="003D283E" w:rsidP="003D283E">
      <w:pPr>
        <w:rPr>
          <w:lang w:val="es-ES_tradnl"/>
        </w:rPr>
      </w:pPr>
      <w:hyperlink r:id="rId9" w:history="1">
        <w:r>
          <w:rPr>
            <w:rStyle w:val="Hyperlink"/>
            <w:lang w:val="es-ES_tradnl"/>
          </w:rPr>
          <w:t>https://www.upov.int/meetings/es/doc_details.jsp?meeting_id=67786&amp;doc_id=586962</w:t>
        </w:r>
      </w:hyperlink>
      <w:r>
        <w:rPr>
          <w:lang w:val="es-ES_tradnl"/>
        </w:rPr>
        <w:t xml:space="preserve"> </w:t>
      </w:r>
    </w:p>
    <w:p w14:paraId="412D1C56" w14:textId="77777777" w:rsidR="008B2E00" w:rsidRPr="00F753AE" w:rsidRDefault="008B2E00" w:rsidP="008B2E00">
      <w:pPr>
        <w:rPr>
          <w:lang w:val="es-ES_tradnl"/>
        </w:rPr>
      </w:pPr>
    </w:p>
    <w:p w14:paraId="7AA4E2B6" w14:textId="77777777" w:rsidR="00DB52CB" w:rsidRPr="00F753AE" w:rsidRDefault="003D283E">
      <w:pPr>
        <w:keepNext/>
        <w:keepLines/>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 xml:space="preserve">El 13 de diciembre de 2021, la Oficina de la Unión comunicó los resultados de la encuesta a la OCDE. </w:t>
      </w:r>
    </w:p>
    <w:p w14:paraId="229A474C" w14:textId="77777777" w:rsidR="00E209FA" w:rsidRPr="00F753AE" w:rsidRDefault="00E209FA" w:rsidP="00E209FA">
      <w:pPr>
        <w:rPr>
          <w:lang w:val="es-ES_tradnl"/>
        </w:rPr>
      </w:pPr>
    </w:p>
    <w:p w14:paraId="13ADE6BC" w14:textId="77777777" w:rsidR="00D513EC" w:rsidRPr="00F753AE" w:rsidRDefault="00D513EC" w:rsidP="00E209FA">
      <w:pPr>
        <w:rPr>
          <w:lang w:val="es-ES_tradnl"/>
        </w:rPr>
      </w:pPr>
    </w:p>
    <w:p w14:paraId="11796FA6" w14:textId="77777777" w:rsidR="00DB52CB" w:rsidRPr="00F753AE" w:rsidRDefault="003D283E">
      <w:pPr>
        <w:pStyle w:val="Heading3"/>
        <w:keepLines/>
        <w:rPr>
          <w:rFonts w:eastAsiaTheme="minorEastAsia"/>
          <w:lang w:val="es-ES_tradnl"/>
        </w:rPr>
      </w:pPr>
      <w:bookmarkStart w:id="27" w:name="_Toc148114531"/>
      <w:r w:rsidRPr="00F753AE">
        <w:rPr>
          <w:rFonts w:eastAsiaTheme="minorEastAsia"/>
          <w:lang w:val="es-ES_tradnl"/>
        </w:rPr>
        <w:t>Documento conjunto que explica las principales características de los sistemas de la OCDE, la UPOV y la ISTA</w:t>
      </w:r>
      <w:bookmarkEnd w:id="22"/>
      <w:bookmarkEnd w:id="23"/>
      <w:bookmarkEnd w:id="24"/>
      <w:bookmarkEnd w:id="25"/>
      <w:bookmarkEnd w:id="26"/>
      <w:bookmarkEnd w:id="27"/>
    </w:p>
    <w:p w14:paraId="7ABCF35D" w14:textId="77777777" w:rsidR="00E209FA" w:rsidRPr="00F753AE" w:rsidRDefault="00E209FA" w:rsidP="005820D2">
      <w:pPr>
        <w:keepNext/>
        <w:keepLines/>
        <w:rPr>
          <w:lang w:val="es-ES_tradnl"/>
        </w:rPr>
      </w:pPr>
      <w:bookmarkStart w:id="28" w:name="_Toc22569703"/>
    </w:p>
    <w:p w14:paraId="3DD1429A" w14:textId="76FC7870" w:rsidR="00DB52CB" w:rsidRPr="00F753AE" w:rsidRDefault="003D283E">
      <w:pPr>
        <w:keepNext/>
        <w:keepLines/>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En su quincuagés</w:t>
      </w:r>
      <w:r w:rsidRPr="00F753AE">
        <w:rPr>
          <w:lang w:val="es-ES_tradnl"/>
        </w:rPr>
        <w:t xml:space="preserve">ima séptima </w:t>
      </w:r>
      <w:r w:rsidRPr="00F753AE">
        <w:rPr>
          <w:lang w:val="es-ES_tradnl"/>
        </w:rPr>
        <w:t xml:space="preserve">sesión, </w:t>
      </w:r>
      <w:r w:rsidRPr="00F753AE">
        <w:rPr>
          <w:lang w:val="es-ES_tradnl"/>
        </w:rPr>
        <w:t xml:space="preserve">el TC </w:t>
      </w:r>
      <w:r w:rsidRPr="00F753AE">
        <w:rPr>
          <w:lang w:val="es-ES_tradnl"/>
        </w:rPr>
        <w:t>tomó nota de que había aprobado por correspondencia el proyecto de documento conjunto en el que se explican las principales características de los sistemas de la OCDE, la UPOV y la ISTA.  El TC solicitó a la Oficina de la Unión</w:t>
      </w:r>
      <w:r w:rsidRPr="00F753AE">
        <w:rPr>
          <w:lang w:val="es-ES_tradnl"/>
        </w:rPr>
        <w:t xml:space="preserve"> que informe en consecuencia a la OCDE y a la ISTA (véase el documento TC/57/25 "Informe", párrafo 52).</w:t>
      </w:r>
      <w:r w:rsidR="00891593" w:rsidRPr="00F753AE">
        <w:rPr>
          <w:lang w:val="es-ES_tradnl"/>
        </w:rPr>
        <w:t xml:space="preserve">  </w:t>
      </w:r>
    </w:p>
    <w:p w14:paraId="1FF4E5B0" w14:textId="77777777" w:rsidR="00E209FA" w:rsidRPr="00F753AE" w:rsidRDefault="00E209FA" w:rsidP="00E209FA">
      <w:pPr>
        <w:keepNext/>
        <w:keepLines/>
        <w:rPr>
          <w:lang w:val="es-ES_tradnl"/>
        </w:rPr>
      </w:pPr>
    </w:p>
    <w:p w14:paraId="111C5F51"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 xml:space="preserve">El 13 de diciembre de 2021, la Oficina de la Unión transmitió el proyecto de documento conjunto a la OCDE y a la ISTA.  </w:t>
      </w:r>
    </w:p>
    <w:bookmarkEnd w:id="28"/>
    <w:p w14:paraId="088159C1" w14:textId="77777777" w:rsidR="00E209FA" w:rsidRPr="00F753AE" w:rsidRDefault="00E209FA" w:rsidP="00E209FA">
      <w:pPr>
        <w:rPr>
          <w:rFonts w:eastAsiaTheme="minorEastAsia"/>
          <w:lang w:val="es-ES_tradnl"/>
        </w:rPr>
      </w:pPr>
    </w:p>
    <w:p w14:paraId="655D04D9" w14:textId="77777777" w:rsidR="00E209FA" w:rsidRPr="00F753AE" w:rsidRDefault="00E209FA" w:rsidP="00E209FA">
      <w:pPr>
        <w:rPr>
          <w:rFonts w:eastAsiaTheme="minorEastAsia"/>
          <w:lang w:val="es-ES_tradnl"/>
        </w:rPr>
      </w:pPr>
    </w:p>
    <w:p w14:paraId="3C8FDA77" w14:textId="77777777" w:rsidR="00DB52CB" w:rsidRPr="00F753AE" w:rsidRDefault="003D283E">
      <w:pPr>
        <w:pStyle w:val="Heading3"/>
        <w:rPr>
          <w:lang w:val="es-ES_tradnl"/>
        </w:rPr>
      </w:pPr>
      <w:bookmarkStart w:id="29" w:name="_Toc14980929"/>
      <w:bookmarkStart w:id="30" w:name="_Toc15059500"/>
      <w:bookmarkStart w:id="31" w:name="_Toc15295345"/>
      <w:bookmarkStart w:id="32" w:name="_Toc22564624"/>
      <w:bookmarkStart w:id="33" w:name="_Toc27663378"/>
      <w:bookmarkStart w:id="34" w:name="_Toc69722878"/>
      <w:bookmarkStart w:id="35" w:name="_Toc84364038"/>
      <w:bookmarkStart w:id="36" w:name="_Toc84415953"/>
      <w:bookmarkStart w:id="37" w:name="_Toc97892770"/>
      <w:bookmarkStart w:id="38" w:name="_Toc148114532"/>
      <w:r w:rsidRPr="00F753AE">
        <w:rPr>
          <w:lang w:val="es-ES_tradnl"/>
        </w:rPr>
        <w:t>Listas de posibles iniciativas conjuntas con la OCDE y la ISTA en relación con las técnicas moleculares</w:t>
      </w:r>
      <w:bookmarkEnd w:id="29"/>
      <w:bookmarkEnd w:id="30"/>
      <w:bookmarkEnd w:id="31"/>
      <w:bookmarkEnd w:id="32"/>
      <w:bookmarkEnd w:id="33"/>
      <w:bookmarkEnd w:id="34"/>
      <w:bookmarkEnd w:id="35"/>
      <w:bookmarkEnd w:id="36"/>
      <w:bookmarkEnd w:id="37"/>
      <w:bookmarkEnd w:id="38"/>
    </w:p>
    <w:p w14:paraId="75BCD4B4" w14:textId="77777777" w:rsidR="00E209FA" w:rsidRPr="00F753AE" w:rsidRDefault="00E209FA" w:rsidP="00E209FA">
      <w:pPr>
        <w:keepNext/>
        <w:jc w:val="left"/>
        <w:rPr>
          <w:lang w:val="es-ES_tradnl"/>
        </w:rPr>
      </w:pPr>
    </w:p>
    <w:p w14:paraId="6838F68C"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En su quincuagésima séptima sesión, el TC acordó proponer los siguientes temas para un futuro taller conjunto UPOV/OCDE/ISTA:</w:t>
      </w:r>
    </w:p>
    <w:p w14:paraId="6C574E1F" w14:textId="77777777" w:rsidR="00E209FA" w:rsidRPr="00F753AE" w:rsidRDefault="00E209FA" w:rsidP="00E209FA">
      <w:pPr>
        <w:rPr>
          <w:lang w:val="es-ES_tradnl"/>
        </w:rPr>
      </w:pPr>
    </w:p>
    <w:p w14:paraId="6C5CDF5D" w14:textId="77777777" w:rsidR="00DB52CB" w:rsidRPr="00F753AE" w:rsidRDefault="003D283E">
      <w:pPr>
        <w:jc w:val="left"/>
        <w:rPr>
          <w:lang w:val="es-ES_tradnl"/>
        </w:rPr>
      </w:pPr>
      <w:r w:rsidRPr="00F753AE">
        <w:rPr>
          <w:lang w:val="es-ES_tradnl"/>
        </w:rPr>
        <w:tab/>
        <w:t>(i)</w:t>
      </w:r>
      <w:r w:rsidRPr="00F753AE">
        <w:rPr>
          <w:lang w:val="es-ES_tradnl"/>
        </w:rPr>
        <w:tab/>
        <w:t>propor</w:t>
      </w:r>
      <w:r w:rsidRPr="00F753AE">
        <w:rPr>
          <w:lang w:val="es-ES_tradnl"/>
        </w:rPr>
        <w:t>cionar información sobre el uso de técnicas moleculares en cada organización;</w:t>
      </w:r>
    </w:p>
    <w:p w14:paraId="41F1E666" w14:textId="77777777" w:rsidR="00DB52CB" w:rsidRPr="003D283E" w:rsidRDefault="003D283E">
      <w:pPr>
        <w:jc w:val="left"/>
        <w:rPr>
          <w:spacing w:val="-2"/>
          <w:lang w:val="es-ES_tradnl"/>
        </w:rPr>
      </w:pPr>
      <w:r w:rsidRPr="00F753AE">
        <w:rPr>
          <w:lang w:val="es-ES_tradnl"/>
        </w:rPr>
        <w:tab/>
        <w:t>(ii)</w:t>
      </w:r>
      <w:r w:rsidRPr="00F753AE">
        <w:rPr>
          <w:lang w:val="es-ES_tradnl"/>
        </w:rPr>
        <w:tab/>
      </w:r>
      <w:r w:rsidRPr="003D283E">
        <w:rPr>
          <w:spacing w:val="-2"/>
          <w:lang w:val="es-ES_tradnl"/>
        </w:rPr>
        <w:t>procedimiento para la aprobación de métodos bioquímicos y moleculares en cada organización; y</w:t>
      </w:r>
    </w:p>
    <w:p w14:paraId="7820BB61" w14:textId="77777777" w:rsidR="00DB52CB" w:rsidRPr="003D283E" w:rsidRDefault="003D283E">
      <w:pPr>
        <w:jc w:val="left"/>
        <w:rPr>
          <w:spacing w:val="-2"/>
          <w:lang w:val="es-ES_tradnl"/>
        </w:rPr>
      </w:pPr>
      <w:r w:rsidRPr="00F753AE">
        <w:rPr>
          <w:lang w:val="es-ES_tradnl"/>
        </w:rPr>
        <w:tab/>
        <w:t>(iii)</w:t>
      </w:r>
      <w:r w:rsidRPr="00F753AE">
        <w:rPr>
          <w:lang w:val="es-ES_tradnl"/>
        </w:rPr>
        <w:tab/>
      </w:r>
      <w:r w:rsidRPr="003D283E">
        <w:rPr>
          <w:spacing w:val="-2"/>
          <w:lang w:val="es-ES_tradnl"/>
        </w:rPr>
        <w:t>posibilidades de armonizar términos, definiciones y métodos entre la UP</w:t>
      </w:r>
      <w:r w:rsidRPr="003D283E">
        <w:rPr>
          <w:spacing w:val="-2"/>
          <w:lang w:val="es-ES_tradnl"/>
        </w:rPr>
        <w:t xml:space="preserve">OV, la OCDE y la ISTA. </w:t>
      </w:r>
    </w:p>
    <w:p w14:paraId="1AC180C3" w14:textId="77777777" w:rsidR="00E209FA" w:rsidRPr="00F753AE" w:rsidRDefault="00E209FA" w:rsidP="00E209FA">
      <w:pPr>
        <w:jc w:val="left"/>
        <w:rPr>
          <w:lang w:val="es-ES_tradnl"/>
        </w:rPr>
      </w:pPr>
    </w:p>
    <w:p w14:paraId="0C756A85"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El TC acordó solicitar a la Oficina de la Unión que se ponga en contacto con la OCDE y la ISTA para estudiar fechas adecuadas para un futuro taller conjunto, por ejemplo, junto con la primera sesión sobre el TWM, que s</w:t>
      </w:r>
      <w:r w:rsidRPr="00F753AE">
        <w:rPr>
          <w:lang w:val="es-ES_tradnl"/>
        </w:rPr>
        <w:t>e celebrará en septiembre de 2022.</w:t>
      </w:r>
    </w:p>
    <w:p w14:paraId="0F843434" w14:textId="77777777" w:rsidR="00E209FA" w:rsidRPr="00F753AE" w:rsidRDefault="00E209FA" w:rsidP="00E209FA">
      <w:pPr>
        <w:keepNext/>
        <w:keepLines/>
        <w:rPr>
          <w:lang w:val="es-ES_tradnl"/>
        </w:rPr>
      </w:pPr>
    </w:p>
    <w:p w14:paraId="5DD37818"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El 13 de diciembre de 2021, la Oficina de la Unión comunicó una invitación a la OCDE y a la ISTA para celebrar otro taller conjunto sobre técnicas moleculares, conjuntamente con la primera sesión del TWM, qu</w:t>
      </w:r>
      <w:r w:rsidRPr="00F753AE">
        <w:rPr>
          <w:lang w:val="es-ES_tradnl"/>
        </w:rPr>
        <w:t xml:space="preserve">e se celebrará el 21 de septiembre de 2022, por medios electrónicos, para incluir el examen de los temas i) a iii) anteriores.    </w:t>
      </w:r>
    </w:p>
    <w:p w14:paraId="14B31C52" w14:textId="77777777" w:rsidR="00E209FA" w:rsidRPr="00F753AE" w:rsidRDefault="00E209FA" w:rsidP="00E209FA">
      <w:pPr>
        <w:rPr>
          <w:lang w:val="es-ES_tradnl"/>
        </w:rPr>
      </w:pPr>
    </w:p>
    <w:p w14:paraId="365222F9"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El 15 de mayo de 2022, la Oficina de la Unión se reunió con la OCDE y la ISTA al margen del Congreso Mundial de</w:t>
      </w:r>
      <w:r w:rsidRPr="00F753AE">
        <w:rPr>
          <w:lang w:val="es-ES_tradnl"/>
        </w:rPr>
        <w:t xml:space="preserve"> Semillas de la Federación Internacional de Semillas y debatió la cooperación entre la OCDE, la ISTA y la UPOV en relación con el BMT. La UPOV había planteado la idea de un taller conjunto OCDE/ISTA/UPOV en conjunción con el TWM, que se celebraría en septi</w:t>
      </w:r>
      <w:r w:rsidRPr="00F753AE">
        <w:rPr>
          <w:lang w:val="es-ES_tradnl"/>
        </w:rPr>
        <w:t>embre de 2022. Se acordó que no había novedades significativas que debatir en este momento y que sería mejor planificar un taller conjunto en 2023 como muy pronto.</w:t>
      </w:r>
    </w:p>
    <w:p w14:paraId="0814723E" w14:textId="77777777" w:rsidR="00E209FA" w:rsidRPr="00F753AE" w:rsidRDefault="00E209FA" w:rsidP="00E209FA">
      <w:pPr>
        <w:rPr>
          <w:lang w:val="es-ES_tradnl"/>
        </w:rPr>
      </w:pPr>
    </w:p>
    <w:p w14:paraId="3406D8E6" w14:textId="77777777" w:rsidR="00DB52CB" w:rsidRPr="00F753AE" w:rsidRDefault="003D283E">
      <w:pPr>
        <w:pStyle w:val="Heading2"/>
        <w:rPr>
          <w:lang w:val="es-ES_tradnl"/>
        </w:rPr>
      </w:pPr>
      <w:bookmarkStart w:id="39" w:name="_Toc69722870"/>
      <w:bookmarkStart w:id="40" w:name="_Toc84364034"/>
      <w:bookmarkStart w:id="41" w:name="_Toc84415958"/>
      <w:bookmarkStart w:id="42" w:name="_Toc97892761"/>
      <w:bookmarkStart w:id="43" w:name="_Toc148114533"/>
      <w:r w:rsidRPr="00F753AE">
        <w:rPr>
          <w:snapToGrid w:val="0"/>
          <w:lang w:val="es-ES_tradnl"/>
        </w:rPr>
        <w:lastRenderedPageBreak/>
        <w:t>Sesión para facilitar la cooperación en relación con el uso de técnicas moleculares</w:t>
      </w:r>
      <w:bookmarkEnd w:id="39"/>
      <w:bookmarkEnd w:id="40"/>
      <w:bookmarkEnd w:id="41"/>
      <w:bookmarkEnd w:id="42"/>
      <w:bookmarkEnd w:id="43"/>
    </w:p>
    <w:p w14:paraId="05BBB039" w14:textId="77777777" w:rsidR="00E209FA" w:rsidRPr="00F753AE" w:rsidRDefault="00E209FA" w:rsidP="00E209FA">
      <w:pPr>
        <w:keepNext/>
        <w:rPr>
          <w:lang w:val="es-ES_tradnl"/>
        </w:rPr>
      </w:pPr>
    </w:p>
    <w:p w14:paraId="0C6424D2" w14:textId="77777777" w:rsidR="00DB52CB" w:rsidRPr="00F753AE" w:rsidRDefault="003D283E">
      <w:pPr>
        <w:keepNext/>
        <w:rPr>
          <w:lang w:val="es-ES_tradnl"/>
        </w:rPr>
      </w:pPr>
      <w:r w:rsidRPr="00F753AE">
        <w:rPr>
          <w:lang w:val="es-ES_tradnl"/>
        </w:rPr>
        <w:fldChar w:fldCharType="begin"/>
      </w:r>
      <w:r w:rsidRPr="00F753AE">
        <w:rPr>
          <w:lang w:val="es-ES_tradnl"/>
        </w:rPr>
        <w:instrText xml:space="preserve"> AUTO</w:instrText>
      </w:r>
      <w:r w:rsidRPr="00F753AE">
        <w:rPr>
          <w:lang w:val="es-ES_tradnl"/>
        </w:rPr>
        <w:instrText xml:space="preserve">NUM  </w:instrText>
      </w:r>
      <w:r w:rsidRPr="00F753AE">
        <w:rPr>
          <w:lang w:val="es-ES_tradnl"/>
        </w:rPr>
        <w:fldChar w:fldCharType="end"/>
      </w:r>
      <w:r w:rsidRPr="00F753AE">
        <w:rPr>
          <w:lang w:val="es-ES_tradnl"/>
        </w:rPr>
        <w:tab/>
        <w:t>El TC, en su quincuagésima cuarta sesión</w:t>
      </w:r>
      <w:r w:rsidRPr="00F753AE">
        <w:rPr>
          <w:vertAlign w:val="superscript"/>
          <w:lang w:val="es-ES_tradnl"/>
        </w:rPr>
        <w:footnoteReference w:id="20"/>
      </w:r>
      <w:r w:rsidRPr="00F753AE">
        <w:rPr>
          <w:lang w:val="es-ES_tradnl"/>
        </w:rPr>
        <w:t xml:space="preserve"> , acordó que se constituyeran grupos de debate para los principales cultivos en cada TWP, a fin de que los participantes pudieran intercambiar información sobre su labor y explorar ámbitos de cooperación (véase el documento TC/54/31 "Informe", párrafo 281</w:t>
      </w:r>
      <w:r w:rsidRPr="00F753AE">
        <w:rPr>
          <w:lang w:val="es-ES_tradnl"/>
        </w:rPr>
        <w:t>).</w:t>
      </w:r>
    </w:p>
    <w:p w14:paraId="78E542E9" w14:textId="77777777" w:rsidR="00E209FA" w:rsidRPr="00F753AE" w:rsidRDefault="00E209FA" w:rsidP="00E209FA">
      <w:pPr>
        <w:rPr>
          <w:lang w:val="es-ES_tradnl"/>
        </w:rPr>
      </w:pPr>
    </w:p>
    <w:p w14:paraId="0E44CE72"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t>El TC, en su quincuagésima octava sesión</w:t>
      </w:r>
      <w:r w:rsidR="001975E1" w:rsidRPr="00F753AE">
        <w:rPr>
          <w:rStyle w:val="FootnoteReference"/>
          <w:lang w:val="es-ES_tradnl"/>
        </w:rPr>
        <w:footnoteReference w:id="21"/>
      </w:r>
      <w:r w:rsidRPr="00F753AE">
        <w:rPr>
          <w:lang w:val="es-ES_tradnl"/>
        </w:rPr>
        <w:t xml:space="preserve"> , tomó nota de los informes de los TWP sobre la organización de grupos de debate en sus sesiones de 2022.  El TC convino en que los presidentes deben disponer de flexibilidad para considerar la po</w:t>
      </w:r>
      <w:r w:rsidRPr="00F753AE">
        <w:rPr>
          <w:lang w:val="es-ES_tradnl"/>
        </w:rPr>
        <w:t>sibilidad de organizar grupos de debate durante las reuniones de los TWP a fin de que los participantes puedan intercambiar información sobre su labor y explorar ámbitos de cooperación sobre el uso de técnicas bioquímicas y moleculares en el examen DHE</w:t>
      </w:r>
      <w:r w:rsidR="009421CE" w:rsidRPr="00F753AE">
        <w:rPr>
          <w:rStyle w:val="FootnoteReference"/>
          <w:lang w:val="es-ES_tradnl"/>
        </w:rPr>
        <w:footnoteReference w:id="22"/>
      </w:r>
      <w:r w:rsidRPr="00F753AE">
        <w:rPr>
          <w:lang w:val="es-ES_tradnl"/>
        </w:rPr>
        <w:t xml:space="preserve"> .  </w:t>
      </w:r>
    </w:p>
    <w:p w14:paraId="00B0B12D" w14:textId="77777777" w:rsidR="00E209FA" w:rsidRPr="00F753AE" w:rsidRDefault="00E209FA" w:rsidP="00E209FA">
      <w:pPr>
        <w:rPr>
          <w:lang w:val="es-ES_tradnl"/>
        </w:rPr>
      </w:pPr>
    </w:p>
    <w:bookmarkEnd w:id="8"/>
    <w:p w14:paraId="1589C2F3" w14:textId="77777777" w:rsidR="00DB52CB" w:rsidRPr="00F753AE" w:rsidRDefault="003D283E">
      <w:pPr>
        <w:rPr>
          <w:lang w:val="es-ES_tradnl"/>
        </w:rPr>
      </w:pPr>
      <w:r w:rsidRPr="00F753AE">
        <w:rPr>
          <w:lang w:val="es-ES_tradnl"/>
        </w:rPr>
        <w:fldChar w:fldCharType="begin"/>
      </w:r>
      <w:r w:rsidRPr="00F753AE">
        <w:rPr>
          <w:lang w:val="es-ES_tradnl"/>
        </w:rPr>
        <w:instrText xml:space="preserve"> AUTONUM  </w:instrText>
      </w:r>
      <w:r w:rsidRPr="00F753AE">
        <w:rPr>
          <w:lang w:val="es-ES_tradnl"/>
        </w:rPr>
        <w:fldChar w:fldCharType="end"/>
      </w:r>
      <w:r w:rsidRPr="00F753AE">
        <w:rPr>
          <w:lang w:val="es-ES_tradnl"/>
        </w:rPr>
        <w:tab/>
      </w:r>
      <w:r w:rsidR="00CE16FE" w:rsidRPr="00F753AE">
        <w:rPr>
          <w:lang w:val="es-ES_tradnl"/>
        </w:rPr>
        <w:t xml:space="preserve">En sus reuniones de </w:t>
      </w:r>
      <w:r w:rsidR="00645DE3" w:rsidRPr="00F753AE">
        <w:rPr>
          <w:lang w:val="es-ES_tradnl"/>
        </w:rPr>
        <w:t xml:space="preserve">2023, </w:t>
      </w:r>
      <w:r w:rsidR="00CE16FE" w:rsidRPr="00F753AE">
        <w:rPr>
          <w:lang w:val="es-ES_tradnl"/>
        </w:rPr>
        <w:t xml:space="preserve">los TWP no organizaron </w:t>
      </w:r>
      <w:r w:rsidRPr="00F753AE">
        <w:rPr>
          <w:lang w:val="es-ES_tradnl"/>
        </w:rPr>
        <w:t>grupos de debate para intercambiar información y explorar ámbitos de cooperación sobre el uso de técnicas bioquímicas y moleculares en el examen DHE</w:t>
      </w:r>
      <w:r w:rsidR="00645DE3" w:rsidRPr="00F753AE">
        <w:rPr>
          <w:lang w:val="es-ES_tradnl"/>
        </w:rPr>
        <w:t xml:space="preserve">. </w:t>
      </w:r>
    </w:p>
    <w:p w14:paraId="61088F36" w14:textId="77777777" w:rsidR="000D771D" w:rsidRPr="00F753AE" w:rsidRDefault="000D771D" w:rsidP="00FA56F7">
      <w:pPr>
        <w:rPr>
          <w:lang w:val="es-ES_tradnl" w:eastAsia="ja-JP"/>
        </w:rPr>
      </w:pPr>
    </w:p>
    <w:p w14:paraId="206AF308" w14:textId="77777777" w:rsidR="00DB52CB" w:rsidRPr="00F753AE" w:rsidRDefault="003D283E">
      <w:pPr>
        <w:tabs>
          <w:tab w:val="left" w:pos="5387"/>
        </w:tabs>
        <w:ind w:left="4820"/>
        <w:rPr>
          <w:i/>
          <w:iCs/>
          <w:lang w:val="es-ES_tradnl" w:eastAsia="ja-JP"/>
        </w:rPr>
      </w:pPr>
      <w:r w:rsidRPr="00F753AE">
        <w:rPr>
          <w:i/>
          <w:iCs/>
          <w:lang w:val="es-ES_tradnl" w:eastAsia="ja-JP"/>
        </w:rPr>
        <w:fldChar w:fldCharType="begin"/>
      </w:r>
      <w:r w:rsidRPr="00F753AE">
        <w:rPr>
          <w:i/>
          <w:iCs/>
          <w:lang w:val="es-ES_tradnl" w:eastAsia="ja-JP"/>
        </w:rPr>
        <w:instrText xml:space="preserve"> AUTONUM  </w:instrText>
      </w:r>
      <w:r w:rsidRPr="00F753AE">
        <w:rPr>
          <w:i/>
          <w:iCs/>
          <w:lang w:val="es-ES_tradnl" w:eastAsia="ja-JP"/>
        </w:rPr>
        <w:fldChar w:fldCharType="end"/>
      </w:r>
      <w:r w:rsidRPr="00F753AE">
        <w:rPr>
          <w:i/>
          <w:iCs/>
          <w:lang w:val="es-ES_tradnl" w:eastAsia="ja-JP"/>
        </w:rPr>
        <w:tab/>
        <w:t>Se invita al TC a tomar</w:t>
      </w:r>
      <w:r w:rsidRPr="00F753AE">
        <w:rPr>
          <w:i/>
          <w:iCs/>
          <w:lang w:val="es-ES_tradnl" w:eastAsia="ja-JP"/>
        </w:rPr>
        <w:t xml:space="preserve"> nota de </w:t>
      </w:r>
      <w:r w:rsidRPr="00F753AE">
        <w:rPr>
          <w:i/>
          <w:iCs/>
          <w:lang w:val="es-ES_tradnl" w:eastAsia="ja-JP"/>
        </w:rPr>
        <w:t xml:space="preserve">las </w:t>
      </w:r>
      <w:r w:rsidRPr="00F753AE">
        <w:rPr>
          <w:i/>
          <w:iCs/>
          <w:lang w:val="es-ES_tradnl" w:eastAsia="ja-JP"/>
        </w:rPr>
        <w:t>cuestiones informativas que figuran en el presente documento.</w:t>
      </w:r>
    </w:p>
    <w:p w14:paraId="41FA44FC" w14:textId="77777777" w:rsidR="00F94922" w:rsidRPr="00F753AE" w:rsidRDefault="00F94922" w:rsidP="00FA56F7">
      <w:pPr>
        <w:rPr>
          <w:lang w:val="es-ES_tradnl" w:eastAsia="ja-JP"/>
        </w:rPr>
      </w:pPr>
    </w:p>
    <w:p w14:paraId="39355189" w14:textId="77777777" w:rsidR="00E7019C" w:rsidRPr="00F753AE" w:rsidRDefault="00E7019C" w:rsidP="00FA56F7">
      <w:pPr>
        <w:rPr>
          <w:lang w:val="es-ES_tradnl" w:eastAsia="ja-JP"/>
        </w:rPr>
      </w:pPr>
    </w:p>
    <w:p w14:paraId="4D85D461" w14:textId="77777777" w:rsidR="00FA56F7" w:rsidRPr="00F753AE" w:rsidRDefault="00FA56F7" w:rsidP="00050E16">
      <w:pPr>
        <w:rPr>
          <w:lang w:val="es-ES_tradnl"/>
        </w:rPr>
      </w:pPr>
    </w:p>
    <w:p w14:paraId="22315E63" w14:textId="77777777" w:rsidR="00DB52CB" w:rsidRPr="00F753AE" w:rsidRDefault="003D283E">
      <w:pPr>
        <w:jc w:val="right"/>
        <w:rPr>
          <w:lang w:val="es-ES_tradnl"/>
        </w:rPr>
      </w:pPr>
      <w:r w:rsidRPr="00F753AE">
        <w:rPr>
          <w:lang w:val="es-ES_tradnl"/>
        </w:rPr>
        <w:t>[Fin del documento]</w:t>
      </w:r>
    </w:p>
    <w:p w14:paraId="5AFECAF0" w14:textId="77777777" w:rsidR="00903264" w:rsidRPr="00F753AE" w:rsidRDefault="00903264">
      <w:pPr>
        <w:jc w:val="left"/>
        <w:rPr>
          <w:lang w:val="es-ES_tradnl"/>
        </w:rPr>
      </w:pPr>
    </w:p>
    <w:p w14:paraId="7BBC4442" w14:textId="77777777" w:rsidR="00050E16" w:rsidRPr="00F753AE" w:rsidRDefault="00050E16" w:rsidP="009B440E">
      <w:pPr>
        <w:jc w:val="left"/>
        <w:rPr>
          <w:lang w:val="es-ES_tradnl"/>
        </w:rPr>
      </w:pPr>
    </w:p>
    <w:sectPr w:rsidR="00050E16" w:rsidRPr="00F753AE"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191F" w14:textId="77777777" w:rsidR="00C67B45" w:rsidRDefault="00C67B45" w:rsidP="006655D3">
      <w:r>
        <w:separator/>
      </w:r>
    </w:p>
    <w:p w14:paraId="55F4ACD3" w14:textId="77777777" w:rsidR="00C67B45" w:rsidRDefault="00C67B45" w:rsidP="006655D3"/>
    <w:p w14:paraId="26971071" w14:textId="77777777" w:rsidR="00C67B45" w:rsidRDefault="00C67B45" w:rsidP="006655D3"/>
  </w:endnote>
  <w:endnote w:type="continuationSeparator" w:id="0">
    <w:p w14:paraId="2175D306" w14:textId="77777777" w:rsidR="00C67B45" w:rsidRDefault="00C67B45" w:rsidP="006655D3">
      <w:r>
        <w:separator/>
      </w:r>
    </w:p>
    <w:p w14:paraId="402D4DB1" w14:textId="77777777" w:rsidR="00DB52CB" w:rsidRDefault="003D283E">
      <w:pPr>
        <w:pStyle w:val="Footer"/>
        <w:spacing w:after="60"/>
        <w:rPr>
          <w:sz w:val="18"/>
          <w:lang w:val="fr-FR"/>
        </w:rPr>
      </w:pPr>
      <w:r w:rsidRPr="00294751">
        <w:rPr>
          <w:sz w:val="18"/>
          <w:lang w:val="fr-FR"/>
        </w:rPr>
        <w:t>[Suite de la note de la page précédente]</w:t>
      </w:r>
    </w:p>
    <w:p w14:paraId="250A6834" w14:textId="77777777" w:rsidR="00C67B45" w:rsidRPr="00294751" w:rsidRDefault="00C67B45" w:rsidP="006655D3">
      <w:pPr>
        <w:rPr>
          <w:lang w:val="fr-FR"/>
        </w:rPr>
      </w:pPr>
    </w:p>
    <w:p w14:paraId="1B4C51C2" w14:textId="77777777" w:rsidR="00C67B45" w:rsidRPr="00294751" w:rsidRDefault="00C67B45" w:rsidP="006655D3">
      <w:pPr>
        <w:rPr>
          <w:lang w:val="fr-FR"/>
        </w:rPr>
      </w:pPr>
    </w:p>
  </w:endnote>
  <w:endnote w:type="continuationNotice" w:id="1">
    <w:p w14:paraId="649C120F" w14:textId="77777777" w:rsidR="00DB52CB" w:rsidRDefault="003D283E">
      <w:pPr>
        <w:rPr>
          <w:lang w:val="fr-FR"/>
        </w:rPr>
      </w:pPr>
      <w:r w:rsidRPr="00294751">
        <w:rPr>
          <w:lang w:val="fr-FR"/>
        </w:rPr>
        <w:t>[Suite de la note page suivante]</w:t>
      </w:r>
    </w:p>
    <w:p w14:paraId="526DAA41" w14:textId="77777777" w:rsidR="00C67B45" w:rsidRPr="00294751" w:rsidRDefault="00C67B45" w:rsidP="006655D3">
      <w:pPr>
        <w:rPr>
          <w:lang w:val="fr-FR"/>
        </w:rPr>
      </w:pPr>
    </w:p>
    <w:p w14:paraId="54297387" w14:textId="77777777" w:rsidR="00C67B45" w:rsidRPr="00294751" w:rsidRDefault="00C67B4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C160" w14:textId="77777777" w:rsidR="00C67B45" w:rsidRDefault="00C67B45" w:rsidP="006655D3">
      <w:r>
        <w:separator/>
      </w:r>
    </w:p>
  </w:footnote>
  <w:footnote w:type="continuationSeparator" w:id="0">
    <w:p w14:paraId="236A3F2F" w14:textId="77777777" w:rsidR="00C67B45" w:rsidRDefault="00C67B45" w:rsidP="006655D3">
      <w:r>
        <w:separator/>
      </w:r>
    </w:p>
  </w:footnote>
  <w:footnote w:type="continuationNotice" w:id="1">
    <w:p w14:paraId="1F50D152" w14:textId="77777777" w:rsidR="00C67B45" w:rsidRPr="00AB530F" w:rsidRDefault="00C67B45" w:rsidP="00AB530F">
      <w:pPr>
        <w:pStyle w:val="Footer"/>
      </w:pPr>
    </w:p>
  </w:footnote>
  <w:footnote w:id="2">
    <w:p w14:paraId="4984CB0D" w14:textId="77777777" w:rsidR="00DB52CB" w:rsidRPr="003D283E" w:rsidRDefault="003D283E" w:rsidP="003D283E">
      <w:pPr>
        <w:pStyle w:val="FootnoteText"/>
        <w:rPr>
          <w:lang w:val="es-ES_tradnl"/>
        </w:rPr>
      </w:pPr>
      <w:r w:rsidRPr="003D283E">
        <w:rPr>
          <w:rStyle w:val="FootnoteReference"/>
          <w:lang w:val="es-ES_tradnl"/>
        </w:rPr>
        <w:footnoteRef/>
      </w:r>
      <w:r w:rsidR="00DC3BDA" w:rsidRPr="003D283E">
        <w:rPr>
          <w:lang w:val="es-ES_tradnl"/>
        </w:rPr>
        <w:t xml:space="preserve"> TC, quincuagésima octava sesión, </w:t>
      </w:r>
      <w:r w:rsidRPr="003D283E">
        <w:rPr>
          <w:lang w:val="es-ES_tradnl"/>
        </w:rPr>
        <w:t>celebrada en Ginebra, los días 24 y 25 de octubre de 2022</w:t>
      </w:r>
    </w:p>
  </w:footnote>
  <w:footnote w:id="3">
    <w:p w14:paraId="066E983A" w14:textId="77777777" w:rsidR="00DB52CB" w:rsidRPr="003D283E" w:rsidRDefault="003D283E" w:rsidP="003D283E">
      <w:pPr>
        <w:pStyle w:val="FootnoteText"/>
        <w:rPr>
          <w:lang w:val="es-ES_tradnl"/>
        </w:rPr>
      </w:pPr>
      <w:r w:rsidRPr="003D283E">
        <w:rPr>
          <w:rStyle w:val="FootnoteReference"/>
          <w:lang w:val="es-ES_tradnl"/>
        </w:rPr>
        <w:footnoteRef/>
      </w:r>
      <w:r w:rsidR="0052589C" w:rsidRPr="003D283E">
        <w:rPr>
          <w:lang w:val="es-ES_tradnl"/>
        </w:rPr>
        <w:t xml:space="preserve"> TWV, </w:t>
      </w:r>
      <w:r w:rsidRPr="003D283E">
        <w:rPr>
          <w:lang w:val="es-ES_tradnl"/>
        </w:rPr>
        <w:t xml:space="preserve">quincuagésima séptima sesión, celebrada en Antalya, Türkiye, del 1 al 5 de </w:t>
      </w:r>
      <w:r w:rsidR="0052589C" w:rsidRPr="003D283E">
        <w:rPr>
          <w:lang w:val="es-ES_tradnl"/>
        </w:rPr>
        <w:t xml:space="preserve">mayo </w:t>
      </w:r>
      <w:r w:rsidRPr="003D283E">
        <w:rPr>
          <w:lang w:val="es-ES_tradnl"/>
        </w:rPr>
        <w:t>de 2023.</w:t>
      </w:r>
    </w:p>
  </w:footnote>
  <w:footnote w:id="4">
    <w:p w14:paraId="5BD2AF20" w14:textId="77777777" w:rsidR="00DB52CB" w:rsidRPr="003D283E" w:rsidRDefault="003D283E" w:rsidP="003D283E">
      <w:pPr>
        <w:pStyle w:val="FootnoteText"/>
        <w:rPr>
          <w:lang w:val="es-ES_tradnl"/>
        </w:rPr>
      </w:pPr>
      <w:r w:rsidRPr="003D283E">
        <w:rPr>
          <w:rStyle w:val="FootnoteReference"/>
          <w:lang w:val="es-ES_tradnl"/>
        </w:rPr>
        <w:footnoteRef/>
      </w:r>
      <w:r w:rsidR="0052589C" w:rsidRPr="003D283E">
        <w:rPr>
          <w:lang w:val="es-ES_tradnl"/>
        </w:rPr>
        <w:t xml:space="preserve"> TWA, </w:t>
      </w:r>
      <w:r w:rsidRPr="003D283E">
        <w:rPr>
          <w:lang w:val="es-ES_tradnl"/>
        </w:rPr>
        <w:t>quincuagésima segunda sesión, celebrada por vía electrónica, del 22 al 26 de mayo de 2023.</w:t>
      </w:r>
    </w:p>
  </w:footnote>
  <w:footnote w:id="5">
    <w:p w14:paraId="3C955875" w14:textId="77777777" w:rsidR="00DB52CB" w:rsidRPr="003D283E" w:rsidRDefault="003D283E" w:rsidP="003D283E">
      <w:pPr>
        <w:pStyle w:val="FootnoteText"/>
        <w:rPr>
          <w:lang w:val="es-ES_tradnl"/>
        </w:rPr>
      </w:pPr>
      <w:r w:rsidRPr="003D283E">
        <w:rPr>
          <w:rStyle w:val="FootnoteReference"/>
          <w:lang w:val="es-ES_tradnl"/>
        </w:rPr>
        <w:footnoteRef/>
      </w:r>
      <w:r w:rsidR="0052589C" w:rsidRPr="003D283E">
        <w:rPr>
          <w:lang w:val="es-ES_tradnl"/>
        </w:rPr>
        <w:t xml:space="preserve"> TWO, </w:t>
      </w:r>
      <w:r w:rsidRPr="003D283E">
        <w:rPr>
          <w:lang w:val="es-ES_tradnl"/>
        </w:rPr>
        <w:t>quincuagésima quinta sesión, celebrada por vía electrónica, del 12 al 16 de junio de 2023.</w:t>
      </w:r>
    </w:p>
  </w:footnote>
  <w:footnote w:id="6">
    <w:p w14:paraId="486F67AE" w14:textId="77777777" w:rsidR="00DB52CB" w:rsidRPr="003D283E" w:rsidRDefault="003D283E" w:rsidP="003D283E">
      <w:pPr>
        <w:pStyle w:val="FootnoteText"/>
        <w:rPr>
          <w:lang w:val="es-ES_tradnl"/>
        </w:rPr>
      </w:pPr>
      <w:r w:rsidRPr="003D283E">
        <w:rPr>
          <w:rStyle w:val="FootnoteReference"/>
          <w:lang w:val="es-ES_tradnl"/>
        </w:rPr>
        <w:footnoteRef/>
      </w:r>
      <w:r w:rsidR="0052589C" w:rsidRPr="003D283E">
        <w:rPr>
          <w:lang w:val="es-ES_tradnl"/>
        </w:rPr>
        <w:t xml:space="preserve"> TWF, </w:t>
      </w:r>
      <w:r w:rsidRPr="003D283E">
        <w:rPr>
          <w:lang w:val="es-ES_tradnl"/>
        </w:rPr>
        <w:t>quincuagésima cuarta reunión, celebrada en Nimes, Francia, del 3 al 7 de julio de 2023</w:t>
      </w:r>
    </w:p>
  </w:footnote>
  <w:footnote w:id="7">
    <w:p w14:paraId="74E95C9E" w14:textId="77777777" w:rsidR="00DB52CB" w:rsidRPr="003D283E" w:rsidRDefault="003D283E" w:rsidP="003D283E">
      <w:pPr>
        <w:pStyle w:val="FootnoteText"/>
        <w:rPr>
          <w:lang w:val="es-ES_tradnl"/>
        </w:rPr>
      </w:pPr>
      <w:r w:rsidRPr="003D283E">
        <w:rPr>
          <w:rStyle w:val="FootnoteReference"/>
          <w:lang w:val="es-ES_tradnl"/>
        </w:rPr>
        <w:footnoteRef/>
      </w:r>
      <w:r w:rsidR="004B3AFD" w:rsidRPr="003D283E">
        <w:rPr>
          <w:lang w:val="es-ES_tradnl"/>
        </w:rPr>
        <w:t xml:space="preserve"> véanse los documentos TWV/57/26 "Informe", apartado 31; TWA/52/11 "Informe", apartado 34; TWO/55/11 "Informe", apartado 38; y TWF/54/13 "Informe", apartado </w:t>
      </w:r>
      <w:r w:rsidR="00D220BB" w:rsidRPr="003D283E">
        <w:rPr>
          <w:lang w:val="es-ES_tradnl"/>
        </w:rPr>
        <w:t>33.</w:t>
      </w:r>
    </w:p>
  </w:footnote>
  <w:footnote w:id="8">
    <w:p w14:paraId="37931482"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Véanse los documentos TWV/57/26 "Informe", párrafos 32 y </w:t>
      </w:r>
      <w:r w:rsidR="00E60BFD" w:rsidRPr="003D283E">
        <w:rPr>
          <w:lang w:val="es-ES_tradnl"/>
        </w:rPr>
        <w:t>35</w:t>
      </w:r>
      <w:r w:rsidRPr="003D283E">
        <w:rPr>
          <w:lang w:val="es-ES_tradnl"/>
        </w:rPr>
        <w:t xml:space="preserve">; TWA/52/11 "Informe", </w:t>
      </w:r>
      <w:r w:rsidR="00566F0A" w:rsidRPr="003D283E">
        <w:rPr>
          <w:lang w:val="es-ES_tradnl"/>
        </w:rPr>
        <w:t>párrafos 36 y 37</w:t>
      </w:r>
      <w:r w:rsidRPr="003D283E">
        <w:rPr>
          <w:lang w:val="es-ES_tradnl"/>
        </w:rPr>
        <w:t xml:space="preserve">; TWO/55/11 "Informe", párrafo </w:t>
      </w:r>
      <w:r w:rsidR="00A23CF5" w:rsidRPr="003D283E">
        <w:rPr>
          <w:lang w:val="es-ES_tradnl"/>
        </w:rPr>
        <w:t>39</w:t>
      </w:r>
      <w:r w:rsidRPr="003D283E">
        <w:rPr>
          <w:lang w:val="es-ES_tradnl"/>
        </w:rPr>
        <w:t xml:space="preserve">; y TWF/54/13 "Informe", </w:t>
      </w:r>
      <w:r w:rsidR="00566F0A" w:rsidRPr="003D283E">
        <w:rPr>
          <w:lang w:val="es-ES_tradnl"/>
        </w:rPr>
        <w:t>párrafos 34 y 37.</w:t>
      </w:r>
    </w:p>
  </w:footnote>
  <w:footnote w:id="9">
    <w:p w14:paraId="2086837D"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véanse los documentos TWV/57/26 "Informe", apartados </w:t>
      </w:r>
      <w:r w:rsidR="00E60BFD" w:rsidRPr="003D283E">
        <w:rPr>
          <w:lang w:val="es-ES_tradnl"/>
        </w:rPr>
        <w:t>33 y 34</w:t>
      </w:r>
      <w:r w:rsidRPr="003D283E">
        <w:rPr>
          <w:lang w:val="es-ES_tradnl"/>
        </w:rPr>
        <w:t xml:space="preserve">; TWA/52/11 "Informe", apartado </w:t>
      </w:r>
      <w:r w:rsidR="00D220BB" w:rsidRPr="003D283E">
        <w:rPr>
          <w:lang w:val="es-ES_tradnl"/>
        </w:rPr>
        <w:t>35</w:t>
      </w:r>
      <w:r w:rsidRPr="003D283E">
        <w:rPr>
          <w:lang w:val="es-ES_tradnl"/>
        </w:rPr>
        <w:t xml:space="preserve">; TWO/55/11 "Informe", apartados </w:t>
      </w:r>
      <w:r w:rsidR="00166E2F" w:rsidRPr="003D283E">
        <w:rPr>
          <w:lang w:val="es-ES_tradnl"/>
        </w:rPr>
        <w:t xml:space="preserve">40 y </w:t>
      </w:r>
      <w:r w:rsidRPr="003D283E">
        <w:rPr>
          <w:lang w:val="es-ES_tradnl"/>
        </w:rPr>
        <w:t xml:space="preserve">41; y TWF/54/13 "Informe", apartados </w:t>
      </w:r>
      <w:r w:rsidR="00166E2F" w:rsidRPr="003D283E">
        <w:rPr>
          <w:lang w:val="es-ES_tradnl"/>
        </w:rPr>
        <w:t>35 y 36</w:t>
      </w:r>
    </w:p>
  </w:footnote>
  <w:footnote w:id="10">
    <w:p w14:paraId="636F1817"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TC, quincuagésima octava sesión,</w:t>
      </w:r>
      <w:r w:rsidRPr="003D283E">
        <w:rPr>
          <w:lang w:val="es-ES_tradnl"/>
        </w:rPr>
        <w:t xml:space="preserve"> celebrada en Ginebra los días 25 y 26 de octubre de 2022</w:t>
      </w:r>
    </w:p>
  </w:footnote>
  <w:footnote w:id="11">
    <w:p w14:paraId="37FC27B6"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véase el documento TC/58/31 "Informe", apartado 107</w:t>
      </w:r>
    </w:p>
  </w:footnote>
  <w:footnote w:id="12">
    <w:p w14:paraId="5F8C4689"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"Día del Criador" 11 de abril de 2024</w:t>
      </w:r>
    </w:p>
  </w:footnote>
  <w:footnote w:id="13">
    <w:p w14:paraId="237AD24F"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TWA, quincuagésima segunda sesión, celebrada por vía electrónica, del 22 al 26 de mayo de 2023.</w:t>
      </w:r>
    </w:p>
  </w:footnote>
  <w:footnote w:id="14">
    <w:p w14:paraId="39E2E0B0"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Véas</w:t>
      </w:r>
      <w:r w:rsidRPr="003D283E">
        <w:rPr>
          <w:lang w:val="es-ES_tradnl"/>
        </w:rPr>
        <w:t>e el documento TWA/52/11 "Informe", apartados 38 y 39.</w:t>
      </w:r>
    </w:p>
  </w:footnote>
  <w:footnote w:id="15">
    <w:p w14:paraId="4FD29E6C"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TWF, quincuagésima cuarta reunión, celebrada en Nimes, Francia, del 3 al 7 de julio de 2023</w:t>
      </w:r>
    </w:p>
  </w:footnote>
  <w:footnote w:id="16">
    <w:p w14:paraId="5E1470F2"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Véase el documento TWF/54/13 "Informe", apartado 32.</w:t>
      </w:r>
    </w:p>
  </w:footnote>
  <w:footnote w:id="17">
    <w:p w14:paraId="513DDA57" w14:textId="77777777" w:rsidR="00DB52CB" w:rsidRPr="003D283E" w:rsidRDefault="003D283E" w:rsidP="003D283E">
      <w:pPr>
        <w:pStyle w:val="FootnoteText"/>
        <w:rPr>
          <w:lang w:val="es-ES_tradnl"/>
        </w:rPr>
      </w:pPr>
      <w:r w:rsidRPr="003D283E">
        <w:rPr>
          <w:rStyle w:val="FootnoteReference"/>
          <w:lang w:val="es-ES_tradnl"/>
        </w:rPr>
        <w:footnoteRef/>
      </w:r>
      <w:r w:rsidR="00873180" w:rsidRPr="003D283E">
        <w:rPr>
          <w:lang w:val="es-ES_tradnl"/>
        </w:rPr>
        <w:t xml:space="preserve"> TC, quincuagésima cuarta sesión, </w:t>
      </w:r>
      <w:r w:rsidRPr="003D283E">
        <w:rPr>
          <w:rFonts w:eastAsiaTheme="minorEastAsia"/>
          <w:lang w:val="es-ES_tradnl" w:eastAsia="ja-JP"/>
        </w:rPr>
        <w:t>celebrada en Gine</w:t>
      </w:r>
      <w:r w:rsidRPr="003D283E">
        <w:rPr>
          <w:rFonts w:eastAsiaTheme="minorEastAsia"/>
          <w:lang w:val="es-ES_tradnl" w:eastAsia="ja-JP"/>
        </w:rPr>
        <w:t>bra, los días 29 y 30 de octubre de 2018</w:t>
      </w:r>
    </w:p>
  </w:footnote>
  <w:footnote w:id="18">
    <w:p w14:paraId="4CEE210F"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TC, quincuagésima octava sesión, celebrada en Ginebra los días 25 y 26 de octubre de 2022</w:t>
      </w:r>
    </w:p>
  </w:footnote>
  <w:footnote w:id="19">
    <w:p w14:paraId="6677140A"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Véase el documento TC/58/31 "Informe", apartado 42.</w:t>
      </w:r>
    </w:p>
  </w:footnote>
  <w:footnote w:id="20">
    <w:p w14:paraId="0148AA70" w14:textId="77777777" w:rsidR="00DB52CB" w:rsidRPr="003D283E" w:rsidRDefault="003D283E" w:rsidP="003D283E">
      <w:pPr>
        <w:pStyle w:val="FootnoteText"/>
        <w:rPr>
          <w:lang w:val="es-ES_tradnl"/>
        </w:rPr>
      </w:pPr>
      <w:r w:rsidRPr="003D283E">
        <w:rPr>
          <w:rStyle w:val="FootnoteReference"/>
          <w:lang w:val="es-ES_tradnl"/>
        </w:rPr>
        <w:footnoteRef/>
      </w:r>
      <w:r w:rsidR="009421CE" w:rsidRPr="003D283E">
        <w:rPr>
          <w:lang w:val="es-ES_tradnl"/>
        </w:rPr>
        <w:t xml:space="preserve"> TC, quincuagésima cuarta sesión, </w:t>
      </w:r>
      <w:r w:rsidRPr="003D283E">
        <w:rPr>
          <w:lang w:val="es-ES_tradnl"/>
        </w:rPr>
        <w:t xml:space="preserve">celebrada en Ginebra, los días 29 </w:t>
      </w:r>
      <w:r w:rsidRPr="003D283E">
        <w:rPr>
          <w:lang w:val="es-ES_tradnl"/>
        </w:rPr>
        <w:t xml:space="preserve">y 30 de octubre de 2018 </w:t>
      </w:r>
    </w:p>
  </w:footnote>
  <w:footnote w:id="21">
    <w:p w14:paraId="5BBF4641"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TC, quincuagésima octava sesión, celebrada en Ginebra los días 25 y 26 de octubre de 2022</w:t>
      </w:r>
    </w:p>
  </w:footnote>
  <w:footnote w:id="22">
    <w:p w14:paraId="53F714F6" w14:textId="77777777" w:rsidR="00DB52CB" w:rsidRPr="003D283E" w:rsidRDefault="003D283E" w:rsidP="003D283E">
      <w:pPr>
        <w:pStyle w:val="FootnoteText"/>
        <w:rPr>
          <w:lang w:val="es-ES_tradnl"/>
        </w:rPr>
      </w:pPr>
      <w:r w:rsidRPr="003D283E">
        <w:rPr>
          <w:rStyle w:val="FootnoteReference"/>
          <w:lang w:val="es-ES_tradnl"/>
        </w:rPr>
        <w:footnoteRef/>
      </w:r>
      <w:r w:rsidRPr="003D283E">
        <w:rPr>
          <w:lang w:val="es-ES_tradnl"/>
        </w:rPr>
        <w:t xml:space="preserve"> Véase el documento TC/58/31 "Informe", apartado </w:t>
      </w:r>
      <w:r w:rsidRPr="003D283E">
        <w:rPr>
          <w:lang w:val="es-ES_tradnl"/>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5EE7" w14:textId="784627D3" w:rsidR="00DB52CB" w:rsidRDefault="003D283E">
    <w:pPr>
      <w:pStyle w:val="Header"/>
      <w:rPr>
        <w:rStyle w:val="PageNumber"/>
        <w:lang w:val="en-US"/>
      </w:rPr>
    </w:pPr>
    <w:r>
      <w:rPr>
        <w:rStyle w:val="PageNumber"/>
        <w:lang w:val="en-US"/>
      </w:rPr>
      <w:t>SE</w:t>
    </w:r>
    <w:r w:rsidR="008101BB">
      <w:rPr>
        <w:rStyle w:val="PageNumber"/>
        <w:lang w:val="en-US"/>
      </w:rPr>
      <w:t>S</w:t>
    </w:r>
    <w:r>
      <w:rPr>
        <w:rStyle w:val="PageNumber"/>
        <w:lang w:val="en-US"/>
      </w:rPr>
      <w:t>SION</w:t>
    </w:r>
    <w:r>
      <w:rPr>
        <w:rStyle w:val="PageNumber"/>
        <w:lang w:val="en-US"/>
      </w:rPr>
      <w:t>S/2023/5</w:t>
    </w:r>
  </w:p>
  <w:p w14:paraId="6F37A16D" w14:textId="77777777" w:rsidR="00DB52CB" w:rsidRDefault="003D283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2FD4">
      <w:rPr>
        <w:rStyle w:val="PageNumber"/>
        <w:noProof/>
        <w:lang w:val="en-US"/>
      </w:rPr>
      <w:t>2</w:t>
    </w:r>
    <w:r w:rsidRPr="00C5280D">
      <w:rPr>
        <w:rStyle w:val="PageNumber"/>
        <w:lang w:val="en-US"/>
      </w:rPr>
      <w:fldChar w:fldCharType="end"/>
    </w:r>
  </w:p>
  <w:p w14:paraId="4438C6D0" w14:textId="77777777" w:rsidR="00FA56F7" w:rsidRPr="00C5280D" w:rsidRDefault="00FA56F7"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C470B"/>
    <w:multiLevelType w:val="hybridMultilevel"/>
    <w:tmpl w:val="B0AC2606"/>
    <w:lvl w:ilvl="0" w:tplc="931AE488">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37E62201"/>
    <w:multiLevelType w:val="hybridMultilevel"/>
    <w:tmpl w:val="BD7E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546BE"/>
    <w:multiLevelType w:val="hybridMultilevel"/>
    <w:tmpl w:val="548A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89591">
    <w:abstractNumId w:val="0"/>
  </w:num>
  <w:num w:numId="2" w16cid:durableId="517548275">
    <w:abstractNumId w:val="2"/>
  </w:num>
  <w:num w:numId="3" w16cid:durableId="1535774018">
    <w:abstractNumId w:val="3"/>
  </w:num>
  <w:num w:numId="4" w16cid:durableId="7008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10CF3"/>
    <w:rsid w:val="00011E27"/>
    <w:rsid w:val="000148BC"/>
    <w:rsid w:val="00024AB8"/>
    <w:rsid w:val="00030854"/>
    <w:rsid w:val="00036028"/>
    <w:rsid w:val="0004198B"/>
    <w:rsid w:val="00044642"/>
    <w:rsid w:val="000446B9"/>
    <w:rsid w:val="000458A4"/>
    <w:rsid w:val="00047E21"/>
    <w:rsid w:val="00050E16"/>
    <w:rsid w:val="00055B19"/>
    <w:rsid w:val="00085505"/>
    <w:rsid w:val="00085D73"/>
    <w:rsid w:val="000912E2"/>
    <w:rsid w:val="000C4E25"/>
    <w:rsid w:val="000C7021"/>
    <w:rsid w:val="000D6BBC"/>
    <w:rsid w:val="000D771D"/>
    <w:rsid w:val="000D7780"/>
    <w:rsid w:val="000E636A"/>
    <w:rsid w:val="000F2F11"/>
    <w:rsid w:val="00100A5F"/>
    <w:rsid w:val="00105929"/>
    <w:rsid w:val="0010768B"/>
    <w:rsid w:val="00110BED"/>
    <w:rsid w:val="00110C36"/>
    <w:rsid w:val="001131D5"/>
    <w:rsid w:val="00114547"/>
    <w:rsid w:val="00122C95"/>
    <w:rsid w:val="00141DB8"/>
    <w:rsid w:val="00145CD6"/>
    <w:rsid w:val="0015123B"/>
    <w:rsid w:val="001612B5"/>
    <w:rsid w:val="00166E2F"/>
    <w:rsid w:val="00172084"/>
    <w:rsid w:val="0017474A"/>
    <w:rsid w:val="001758C6"/>
    <w:rsid w:val="00182B99"/>
    <w:rsid w:val="001975E1"/>
    <w:rsid w:val="001C1525"/>
    <w:rsid w:val="001D736D"/>
    <w:rsid w:val="0021332C"/>
    <w:rsid w:val="00213982"/>
    <w:rsid w:val="0024416D"/>
    <w:rsid w:val="00271911"/>
    <w:rsid w:val="00273187"/>
    <w:rsid w:val="00274002"/>
    <w:rsid w:val="002800A0"/>
    <w:rsid w:val="002801B3"/>
    <w:rsid w:val="00280887"/>
    <w:rsid w:val="00281060"/>
    <w:rsid w:val="00285BD0"/>
    <w:rsid w:val="002940E8"/>
    <w:rsid w:val="00294751"/>
    <w:rsid w:val="002965B9"/>
    <w:rsid w:val="002A6E50"/>
    <w:rsid w:val="002B4298"/>
    <w:rsid w:val="002B7A36"/>
    <w:rsid w:val="002C256A"/>
    <w:rsid w:val="002C721C"/>
    <w:rsid w:val="002D5226"/>
    <w:rsid w:val="002E0E2D"/>
    <w:rsid w:val="002F1698"/>
    <w:rsid w:val="00305A7F"/>
    <w:rsid w:val="003152FE"/>
    <w:rsid w:val="00317807"/>
    <w:rsid w:val="00323E4E"/>
    <w:rsid w:val="00327436"/>
    <w:rsid w:val="003308D5"/>
    <w:rsid w:val="0034366C"/>
    <w:rsid w:val="00344BD6"/>
    <w:rsid w:val="00351CA1"/>
    <w:rsid w:val="0035528D"/>
    <w:rsid w:val="00361821"/>
    <w:rsid w:val="00361E9E"/>
    <w:rsid w:val="003753EE"/>
    <w:rsid w:val="00377135"/>
    <w:rsid w:val="00391FB4"/>
    <w:rsid w:val="003A0835"/>
    <w:rsid w:val="003A5AAF"/>
    <w:rsid w:val="003B700A"/>
    <w:rsid w:val="003C03EB"/>
    <w:rsid w:val="003C7FBE"/>
    <w:rsid w:val="003D227C"/>
    <w:rsid w:val="003D283E"/>
    <w:rsid w:val="003D2B4D"/>
    <w:rsid w:val="003F37F5"/>
    <w:rsid w:val="00424E38"/>
    <w:rsid w:val="00425B3B"/>
    <w:rsid w:val="00444A88"/>
    <w:rsid w:val="00451D47"/>
    <w:rsid w:val="004611F7"/>
    <w:rsid w:val="004718D1"/>
    <w:rsid w:val="004722D8"/>
    <w:rsid w:val="00474DA4"/>
    <w:rsid w:val="00476B4D"/>
    <w:rsid w:val="004805FA"/>
    <w:rsid w:val="004935D2"/>
    <w:rsid w:val="004B1215"/>
    <w:rsid w:val="004B3AFD"/>
    <w:rsid w:val="004D047D"/>
    <w:rsid w:val="004E38BD"/>
    <w:rsid w:val="004F1E9E"/>
    <w:rsid w:val="004F305A"/>
    <w:rsid w:val="005054F9"/>
    <w:rsid w:val="00512164"/>
    <w:rsid w:val="00520297"/>
    <w:rsid w:val="0052589C"/>
    <w:rsid w:val="005338F9"/>
    <w:rsid w:val="0054281C"/>
    <w:rsid w:val="00544581"/>
    <w:rsid w:val="00544EA5"/>
    <w:rsid w:val="0055268D"/>
    <w:rsid w:val="00566F0A"/>
    <w:rsid w:val="00575DE2"/>
    <w:rsid w:val="00576BE4"/>
    <w:rsid w:val="005779DB"/>
    <w:rsid w:val="005820D2"/>
    <w:rsid w:val="00584B3E"/>
    <w:rsid w:val="005A400A"/>
    <w:rsid w:val="005B269D"/>
    <w:rsid w:val="005C1866"/>
    <w:rsid w:val="005C5244"/>
    <w:rsid w:val="005E68FB"/>
    <w:rsid w:val="005F2F0F"/>
    <w:rsid w:val="005F7B92"/>
    <w:rsid w:val="00612379"/>
    <w:rsid w:val="006153B6"/>
    <w:rsid w:val="0061555F"/>
    <w:rsid w:val="006245ED"/>
    <w:rsid w:val="00636CA6"/>
    <w:rsid w:val="00641200"/>
    <w:rsid w:val="00645CA8"/>
    <w:rsid w:val="00645DE3"/>
    <w:rsid w:val="006652D7"/>
    <w:rsid w:val="006655D3"/>
    <w:rsid w:val="00667404"/>
    <w:rsid w:val="00674731"/>
    <w:rsid w:val="006753D1"/>
    <w:rsid w:val="00676EFE"/>
    <w:rsid w:val="00677DC2"/>
    <w:rsid w:val="006868F8"/>
    <w:rsid w:val="00687EB4"/>
    <w:rsid w:val="00695C56"/>
    <w:rsid w:val="006A1465"/>
    <w:rsid w:val="006A5CDE"/>
    <w:rsid w:val="006A644A"/>
    <w:rsid w:val="006B17D2"/>
    <w:rsid w:val="006C224E"/>
    <w:rsid w:val="006D4C97"/>
    <w:rsid w:val="006D6698"/>
    <w:rsid w:val="006D780A"/>
    <w:rsid w:val="006F358B"/>
    <w:rsid w:val="0071271E"/>
    <w:rsid w:val="007154FD"/>
    <w:rsid w:val="00732DEC"/>
    <w:rsid w:val="00734FD7"/>
    <w:rsid w:val="00735BD5"/>
    <w:rsid w:val="007451EC"/>
    <w:rsid w:val="00751613"/>
    <w:rsid w:val="00753EE9"/>
    <w:rsid w:val="007546B2"/>
    <w:rsid w:val="00754855"/>
    <w:rsid w:val="007556F6"/>
    <w:rsid w:val="00760EEF"/>
    <w:rsid w:val="00777EE5"/>
    <w:rsid w:val="00784836"/>
    <w:rsid w:val="0079023E"/>
    <w:rsid w:val="00794A18"/>
    <w:rsid w:val="007A2854"/>
    <w:rsid w:val="007B73A9"/>
    <w:rsid w:val="007C01EB"/>
    <w:rsid w:val="007C1D92"/>
    <w:rsid w:val="007C4CB9"/>
    <w:rsid w:val="007D0B9D"/>
    <w:rsid w:val="007D19B0"/>
    <w:rsid w:val="007F498F"/>
    <w:rsid w:val="0080679D"/>
    <w:rsid w:val="008101BB"/>
    <w:rsid w:val="008108B0"/>
    <w:rsid w:val="00811B20"/>
    <w:rsid w:val="00812609"/>
    <w:rsid w:val="008211B5"/>
    <w:rsid w:val="0082296E"/>
    <w:rsid w:val="00824099"/>
    <w:rsid w:val="00846D7C"/>
    <w:rsid w:val="008644FE"/>
    <w:rsid w:val="00867AC1"/>
    <w:rsid w:val="00873180"/>
    <w:rsid w:val="008751DE"/>
    <w:rsid w:val="008772C1"/>
    <w:rsid w:val="00887B91"/>
    <w:rsid w:val="00890DF8"/>
    <w:rsid w:val="00891593"/>
    <w:rsid w:val="008A0ADE"/>
    <w:rsid w:val="008A743F"/>
    <w:rsid w:val="008A7867"/>
    <w:rsid w:val="008B2E00"/>
    <w:rsid w:val="008C0970"/>
    <w:rsid w:val="008D0BC5"/>
    <w:rsid w:val="008D1EC9"/>
    <w:rsid w:val="008D2CF7"/>
    <w:rsid w:val="008E22AF"/>
    <w:rsid w:val="00900C26"/>
    <w:rsid w:val="0090197F"/>
    <w:rsid w:val="00903264"/>
    <w:rsid w:val="00906DDC"/>
    <w:rsid w:val="00934D2B"/>
    <w:rsid w:val="00934E09"/>
    <w:rsid w:val="00936253"/>
    <w:rsid w:val="00936AF0"/>
    <w:rsid w:val="00940D46"/>
    <w:rsid w:val="009413F1"/>
    <w:rsid w:val="009421CE"/>
    <w:rsid w:val="00952DD4"/>
    <w:rsid w:val="00953A45"/>
    <w:rsid w:val="009561F4"/>
    <w:rsid w:val="00962FD4"/>
    <w:rsid w:val="009632AF"/>
    <w:rsid w:val="00965AE7"/>
    <w:rsid w:val="00970FED"/>
    <w:rsid w:val="00971744"/>
    <w:rsid w:val="00987464"/>
    <w:rsid w:val="00990E7C"/>
    <w:rsid w:val="009928E5"/>
    <w:rsid w:val="00992D82"/>
    <w:rsid w:val="00997029"/>
    <w:rsid w:val="009A7339"/>
    <w:rsid w:val="009B440E"/>
    <w:rsid w:val="009D05A8"/>
    <w:rsid w:val="009D690D"/>
    <w:rsid w:val="009E2D99"/>
    <w:rsid w:val="009E65B6"/>
    <w:rsid w:val="009F0A51"/>
    <w:rsid w:val="009F4F6F"/>
    <w:rsid w:val="009F77CF"/>
    <w:rsid w:val="00A075C2"/>
    <w:rsid w:val="00A1614C"/>
    <w:rsid w:val="00A23CF5"/>
    <w:rsid w:val="00A24C10"/>
    <w:rsid w:val="00A34633"/>
    <w:rsid w:val="00A42AC3"/>
    <w:rsid w:val="00A430CF"/>
    <w:rsid w:val="00A54309"/>
    <w:rsid w:val="00A610A9"/>
    <w:rsid w:val="00A80F2A"/>
    <w:rsid w:val="00A830D8"/>
    <w:rsid w:val="00A83A48"/>
    <w:rsid w:val="00A96C33"/>
    <w:rsid w:val="00A96C63"/>
    <w:rsid w:val="00AA13A2"/>
    <w:rsid w:val="00AB2B93"/>
    <w:rsid w:val="00AB530F"/>
    <w:rsid w:val="00AB7E5B"/>
    <w:rsid w:val="00AC2883"/>
    <w:rsid w:val="00AC5F03"/>
    <w:rsid w:val="00AD28D1"/>
    <w:rsid w:val="00AD727F"/>
    <w:rsid w:val="00AE0EF1"/>
    <w:rsid w:val="00AE2937"/>
    <w:rsid w:val="00B07301"/>
    <w:rsid w:val="00B11F3E"/>
    <w:rsid w:val="00B224DE"/>
    <w:rsid w:val="00B3111B"/>
    <w:rsid w:val="00B324D4"/>
    <w:rsid w:val="00B42CC2"/>
    <w:rsid w:val="00B46575"/>
    <w:rsid w:val="00B50C2C"/>
    <w:rsid w:val="00B61777"/>
    <w:rsid w:val="00B622E6"/>
    <w:rsid w:val="00B83E82"/>
    <w:rsid w:val="00B84BBD"/>
    <w:rsid w:val="00B91BD8"/>
    <w:rsid w:val="00BA37F9"/>
    <w:rsid w:val="00BA43FB"/>
    <w:rsid w:val="00BC127D"/>
    <w:rsid w:val="00BC1FE6"/>
    <w:rsid w:val="00BC2BF0"/>
    <w:rsid w:val="00BE752F"/>
    <w:rsid w:val="00C061B6"/>
    <w:rsid w:val="00C2446C"/>
    <w:rsid w:val="00C36AE5"/>
    <w:rsid w:val="00C41F17"/>
    <w:rsid w:val="00C527FA"/>
    <w:rsid w:val="00C5280D"/>
    <w:rsid w:val="00C53EB3"/>
    <w:rsid w:val="00C5791C"/>
    <w:rsid w:val="00C66290"/>
    <w:rsid w:val="00C67B45"/>
    <w:rsid w:val="00C72B7A"/>
    <w:rsid w:val="00C955FB"/>
    <w:rsid w:val="00C973F2"/>
    <w:rsid w:val="00CA304C"/>
    <w:rsid w:val="00CA774A"/>
    <w:rsid w:val="00CB4921"/>
    <w:rsid w:val="00CC11B0"/>
    <w:rsid w:val="00CC2841"/>
    <w:rsid w:val="00CE16FE"/>
    <w:rsid w:val="00CF1330"/>
    <w:rsid w:val="00CF7E36"/>
    <w:rsid w:val="00D06A59"/>
    <w:rsid w:val="00D220BB"/>
    <w:rsid w:val="00D3375A"/>
    <w:rsid w:val="00D3708D"/>
    <w:rsid w:val="00D40426"/>
    <w:rsid w:val="00D513EC"/>
    <w:rsid w:val="00D52F5C"/>
    <w:rsid w:val="00D57C96"/>
    <w:rsid w:val="00D57D18"/>
    <w:rsid w:val="00D60967"/>
    <w:rsid w:val="00D65B8E"/>
    <w:rsid w:val="00D70E65"/>
    <w:rsid w:val="00D75187"/>
    <w:rsid w:val="00D91203"/>
    <w:rsid w:val="00D95174"/>
    <w:rsid w:val="00DA4973"/>
    <w:rsid w:val="00DA6F36"/>
    <w:rsid w:val="00DB2899"/>
    <w:rsid w:val="00DB52CB"/>
    <w:rsid w:val="00DB596E"/>
    <w:rsid w:val="00DB7773"/>
    <w:rsid w:val="00DC00EA"/>
    <w:rsid w:val="00DC3802"/>
    <w:rsid w:val="00DC3BDA"/>
    <w:rsid w:val="00DD6208"/>
    <w:rsid w:val="00DF7E99"/>
    <w:rsid w:val="00E074B7"/>
    <w:rsid w:val="00E07D87"/>
    <w:rsid w:val="00E209FA"/>
    <w:rsid w:val="00E249C8"/>
    <w:rsid w:val="00E32F7E"/>
    <w:rsid w:val="00E5267B"/>
    <w:rsid w:val="00E559F0"/>
    <w:rsid w:val="00E60BFD"/>
    <w:rsid w:val="00E63C0E"/>
    <w:rsid w:val="00E7019C"/>
    <w:rsid w:val="00E72D49"/>
    <w:rsid w:val="00E7593C"/>
    <w:rsid w:val="00E7678A"/>
    <w:rsid w:val="00E935F1"/>
    <w:rsid w:val="00E94A81"/>
    <w:rsid w:val="00E97F81"/>
    <w:rsid w:val="00EA1FFB"/>
    <w:rsid w:val="00EB048E"/>
    <w:rsid w:val="00EB4E9C"/>
    <w:rsid w:val="00EB5EB3"/>
    <w:rsid w:val="00EC2F3D"/>
    <w:rsid w:val="00ED449E"/>
    <w:rsid w:val="00EE34DF"/>
    <w:rsid w:val="00EF2F89"/>
    <w:rsid w:val="00EF6D30"/>
    <w:rsid w:val="00F03E98"/>
    <w:rsid w:val="00F1237A"/>
    <w:rsid w:val="00F17DCF"/>
    <w:rsid w:val="00F22CBD"/>
    <w:rsid w:val="00F272F1"/>
    <w:rsid w:val="00F31412"/>
    <w:rsid w:val="00F33641"/>
    <w:rsid w:val="00F418A0"/>
    <w:rsid w:val="00F45372"/>
    <w:rsid w:val="00F531DD"/>
    <w:rsid w:val="00F560F7"/>
    <w:rsid w:val="00F626D8"/>
    <w:rsid w:val="00F6334D"/>
    <w:rsid w:val="00F63599"/>
    <w:rsid w:val="00F71781"/>
    <w:rsid w:val="00F73F7E"/>
    <w:rsid w:val="00F753AE"/>
    <w:rsid w:val="00F94922"/>
    <w:rsid w:val="00F9565D"/>
    <w:rsid w:val="00F97F47"/>
    <w:rsid w:val="00FA49AB"/>
    <w:rsid w:val="00FA56F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A91A1B"/>
  <w15:docId w15:val="{160B37CB-91D4-427C-B979-DAD66A5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3D283E"/>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1614C"/>
    <w:pPr>
      <w:tabs>
        <w:tab w:val="right" w:leader="dot" w:pos="9639"/>
      </w:tabs>
      <w:ind w:left="454" w:right="851" w:hanging="284"/>
      <w:contextualSpacing/>
    </w:pPr>
    <w:rPr>
      <w:rFonts w:ascii="Arial" w:hAnsi="Arial"/>
    </w:rPr>
  </w:style>
  <w:style w:type="paragraph" w:styleId="TOC3">
    <w:name w:val="toc 3"/>
    <w:next w:val="Normal"/>
    <w:autoRedefine/>
    <w:uiPriority w:val="39"/>
    <w:rsid w:val="00971744"/>
    <w:pPr>
      <w:tabs>
        <w:tab w:val="right" w:leader="dot" w:pos="9639"/>
      </w:tabs>
      <w:spacing w:after="120"/>
      <w:ind w:left="568" w:right="851" w:hanging="284"/>
    </w:pPr>
    <w:rPr>
      <w:rFonts w:ascii="Arial" w:hAnsi="Arial"/>
      <w:i/>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971744"/>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3D283E"/>
    <w:rPr>
      <w:rFonts w:ascii="Arial" w:hAnsi="Arial"/>
      <w:sz w:val="16"/>
    </w:rPr>
  </w:style>
  <w:style w:type="table" w:styleId="TableGrid">
    <w:name w:val="Table Grid"/>
    <w:basedOn w:val="TableNormal"/>
    <w:uiPriority w:val="39"/>
    <w:rsid w:val="00E209FA"/>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D4C97"/>
    <w:rPr>
      <w:rFonts w:ascii="Arial" w:hAnsi="Arial"/>
      <w:i/>
    </w:rPr>
  </w:style>
  <w:style w:type="character" w:customStyle="1" w:styleId="HeaderChar">
    <w:name w:val="Header Char"/>
    <w:basedOn w:val="DefaultParagraphFont"/>
    <w:link w:val="Header"/>
    <w:uiPriority w:val="99"/>
    <w:rsid w:val="00F626D8"/>
    <w:rPr>
      <w:rFonts w:ascii="Arial" w:hAnsi="Arial"/>
      <w:lang w:val="fr-FR"/>
    </w:rPr>
  </w:style>
  <w:style w:type="character" w:customStyle="1" w:styleId="UnresolvedMention1">
    <w:name w:val="Unresolved Mention1"/>
    <w:basedOn w:val="DefaultParagraphFont"/>
    <w:uiPriority w:val="99"/>
    <w:semiHidden/>
    <w:unhideWhenUsed/>
    <w:rsid w:val="002965B9"/>
    <w:rPr>
      <w:color w:val="605E5C"/>
      <w:shd w:val="clear" w:color="auto" w:fill="E1DFDD"/>
    </w:rPr>
  </w:style>
  <w:style w:type="paragraph" w:styleId="ListParagraph">
    <w:name w:val="List Paragraph"/>
    <w:basedOn w:val="Normal"/>
    <w:uiPriority w:val="34"/>
    <w:qFormat/>
    <w:rsid w:val="00FA56F7"/>
    <w:pPr>
      <w:ind w:left="720"/>
      <w:contextualSpacing/>
    </w:pPr>
  </w:style>
  <w:style w:type="paragraph" w:styleId="Revision">
    <w:name w:val="Revision"/>
    <w:hidden/>
    <w:uiPriority w:val="99"/>
    <w:semiHidden/>
    <w:rsid w:val="002F1698"/>
    <w:rPr>
      <w:rFonts w:ascii="Arial" w:hAnsi="Arial"/>
    </w:rPr>
  </w:style>
  <w:style w:type="character" w:styleId="CommentReference">
    <w:name w:val="annotation reference"/>
    <w:basedOn w:val="DefaultParagraphFont"/>
    <w:semiHidden/>
    <w:unhideWhenUsed/>
    <w:rsid w:val="00962FD4"/>
    <w:rPr>
      <w:sz w:val="16"/>
      <w:szCs w:val="16"/>
    </w:rPr>
  </w:style>
  <w:style w:type="paragraph" w:styleId="CommentText">
    <w:name w:val="annotation text"/>
    <w:basedOn w:val="Normal"/>
    <w:link w:val="CommentTextChar"/>
    <w:semiHidden/>
    <w:unhideWhenUsed/>
    <w:rsid w:val="00962FD4"/>
  </w:style>
  <w:style w:type="character" w:customStyle="1" w:styleId="CommentTextChar">
    <w:name w:val="Comment Text Char"/>
    <w:basedOn w:val="DefaultParagraphFont"/>
    <w:link w:val="CommentText"/>
    <w:semiHidden/>
    <w:rsid w:val="00962FD4"/>
    <w:rPr>
      <w:rFonts w:ascii="Arial" w:hAnsi="Arial"/>
    </w:rPr>
  </w:style>
  <w:style w:type="paragraph" w:styleId="CommentSubject">
    <w:name w:val="annotation subject"/>
    <w:basedOn w:val="CommentText"/>
    <w:next w:val="CommentText"/>
    <w:link w:val="CommentSubjectChar"/>
    <w:semiHidden/>
    <w:unhideWhenUsed/>
    <w:rsid w:val="00962FD4"/>
    <w:rPr>
      <w:b/>
      <w:bCs/>
    </w:rPr>
  </w:style>
  <w:style w:type="character" w:customStyle="1" w:styleId="CommentSubjectChar">
    <w:name w:val="Comment Subject Char"/>
    <w:basedOn w:val="CommentTextChar"/>
    <w:link w:val="CommentSubject"/>
    <w:semiHidden/>
    <w:rsid w:val="00962FD4"/>
    <w:rPr>
      <w:rFonts w:ascii="Arial" w:hAnsi="Arial"/>
      <w:b/>
      <w:bCs/>
    </w:rPr>
  </w:style>
  <w:style w:type="character" w:styleId="UnresolvedMention">
    <w:name w:val="Unresolved Mention"/>
    <w:basedOn w:val="DefaultParagraphFont"/>
    <w:uiPriority w:val="99"/>
    <w:semiHidden/>
    <w:unhideWhenUsed/>
    <w:rsid w:val="003D2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1930">
      <w:bodyDiv w:val="1"/>
      <w:marLeft w:val="0"/>
      <w:marRight w:val="0"/>
      <w:marTop w:val="0"/>
      <w:marBottom w:val="0"/>
      <w:divBdr>
        <w:top w:val="none" w:sz="0" w:space="0" w:color="auto"/>
        <w:left w:val="none" w:sz="0" w:space="0" w:color="auto"/>
        <w:bottom w:val="none" w:sz="0" w:space="0" w:color="auto"/>
        <w:right w:val="none" w:sz="0" w:space="0" w:color="auto"/>
      </w:divBdr>
    </w:div>
    <w:div w:id="1023359988">
      <w:bodyDiv w:val="1"/>
      <w:marLeft w:val="0"/>
      <w:marRight w:val="0"/>
      <w:marTop w:val="0"/>
      <w:marBottom w:val="0"/>
      <w:divBdr>
        <w:top w:val="none" w:sz="0" w:space="0" w:color="auto"/>
        <w:left w:val="none" w:sz="0" w:space="0" w:color="auto"/>
        <w:bottom w:val="none" w:sz="0" w:space="0" w:color="auto"/>
        <w:right w:val="none" w:sz="0" w:space="0" w:color="auto"/>
      </w:divBdr>
    </w:div>
    <w:div w:id="1358003307">
      <w:bodyDiv w:val="1"/>
      <w:marLeft w:val="0"/>
      <w:marRight w:val="0"/>
      <w:marTop w:val="0"/>
      <w:marBottom w:val="0"/>
      <w:divBdr>
        <w:top w:val="none" w:sz="0" w:space="0" w:color="auto"/>
        <w:left w:val="none" w:sz="0" w:space="0" w:color="auto"/>
        <w:bottom w:val="none" w:sz="0" w:space="0" w:color="auto"/>
        <w:right w:val="none" w:sz="0" w:space="0" w:color="auto"/>
      </w:divBdr>
    </w:div>
    <w:div w:id="182789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s/doc_details.jsp?meeting_id=67786&amp;doc_id=586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000A-20EB-4EC4-91F5-CD5D2818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2973</Words>
  <Characters>16608</Characters>
  <Application>Microsoft Office Word</Application>
  <DocSecurity>0</DocSecurity>
  <Lines>369</Lines>
  <Paragraphs>176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SESSIONS/2023/5</vt:lpstr>
      <vt:lpstr>SESSIONS/2023/5</vt:lpstr>
    </vt:vector>
  </TitlesOfParts>
  <Company>UPOV</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SESSIONS/2023/5</dc:title>
  <dc:creator>SANCHEZ VIZCAINO GOMEZ Rosa Maria</dc:creator>
  <cp:keywords>, docId:739760B5B6E6F0A999C1F8C27E8CE876</cp:keywords>
  <cp:lastModifiedBy>SANCHEZ VIZCAINO GOMEZ Rosa Maria</cp:lastModifiedBy>
  <cp:revision>7</cp:revision>
  <cp:lastPrinted>2023-10-06T08:53:00Z</cp:lastPrinted>
  <dcterms:created xsi:type="dcterms:W3CDTF">2023-10-10T17:17:00Z</dcterms:created>
  <dcterms:modified xsi:type="dcterms:W3CDTF">2023-10-13T16:37:00Z</dcterms:modified>
</cp:coreProperties>
</file>