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theme/themeOverride14.xml" ContentType="application/vnd.openxmlformats-officedocument.themeOverride+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C90461" w14:paraId="0369E73C" w14:textId="77777777" w:rsidTr="00EB4E9C">
        <w:tc>
          <w:tcPr>
            <w:tcW w:w="6522" w:type="dxa"/>
          </w:tcPr>
          <w:p w14:paraId="30E8DCFF" w14:textId="77777777" w:rsidR="00DC3802" w:rsidRPr="00C90461" w:rsidRDefault="00DC3802" w:rsidP="007D1BE6">
            <w:pPr>
              <w:pStyle w:val="EndnoteText"/>
              <w:rPr>
                <w:lang w:val="es-ES_tradnl"/>
              </w:rPr>
            </w:pPr>
            <w:r w:rsidRPr="00C90461">
              <w:rPr>
                <w:lang w:val="es-ES_tradnl" w:eastAsia="es-ES"/>
              </w:rPr>
              <w:drawing>
                <wp:inline distT="0" distB="0" distL="0" distR="0" wp14:anchorId="107466BC" wp14:editId="5C95E1EF">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7072E937" w14:textId="77777777" w:rsidR="00DC3802" w:rsidRPr="00C90461" w:rsidRDefault="00DC3802" w:rsidP="00AC2883">
            <w:pPr>
              <w:pStyle w:val="Lettrine"/>
              <w:rPr>
                <w:lang w:val="es-ES_tradnl"/>
              </w:rPr>
            </w:pPr>
            <w:r w:rsidRPr="00C90461">
              <w:rPr>
                <w:lang w:val="es-ES_tradnl"/>
              </w:rPr>
              <w:t>S</w:t>
            </w:r>
          </w:p>
        </w:tc>
      </w:tr>
      <w:tr w:rsidR="00DC3802" w:rsidRPr="00C90461" w14:paraId="34D7B85C" w14:textId="77777777" w:rsidTr="00645CA8">
        <w:trPr>
          <w:trHeight w:val="219"/>
        </w:trPr>
        <w:tc>
          <w:tcPr>
            <w:tcW w:w="6522" w:type="dxa"/>
          </w:tcPr>
          <w:p w14:paraId="10D88CD7" w14:textId="77777777" w:rsidR="00DC3802" w:rsidRPr="00C90461" w:rsidRDefault="00DC3802" w:rsidP="00AC2883">
            <w:pPr>
              <w:pStyle w:val="upove"/>
              <w:rPr>
                <w:lang w:val="es-ES_tradnl"/>
              </w:rPr>
            </w:pPr>
            <w:r w:rsidRPr="00C90461">
              <w:rPr>
                <w:lang w:val="es-ES_tradnl"/>
              </w:rPr>
              <w:t>Unión Internacional para la Protección de las Obtenciones Vegetales</w:t>
            </w:r>
          </w:p>
        </w:tc>
        <w:tc>
          <w:tcPr>
            <w:tcW w:w="3117" w:type="dxa"/>
          </w:tcPr>
          <w:p w14:paraId="5E9FD5BE" w14:textId="77777777" w:rsidR="00DC3802" w:rsidRPr="00C90461" w:rsidRDefault="00DC3802" w:rsidP="00DA4973">
            <w:pPr>
              <w:rPr>
                <w:lang w:val="es-ES_tradnl"/>
              </w:rPr>
            </w:pPr>
          </w:p>
        </w:tc>
      </w:tr>
    </w:tbl>
    <w:p w14:paraId="52C86F32" w14:textId="77777777" w:rsidR="00DC3802" w:rsidRPr="00C90461" w:rsidRDefault="00DC3802" w:rsidP="00DC3802">
      <w:pPr>
        <w:rPr>
          <w:lang w:val="es-ES_tradnl"/>
        </w:rPr>
      </w:pPr>
    </w:p>
    <w:p w14:paraId="6E5EBFD5" w14:textId="77777777" w:rsidR="007B73A9" w:rsidRPr="00C90461" w:rsidRDefault="007B73A9" w:rsidP="007B73A9">
      <w:pPr>
        <w:rPr>
          <w:lang w:val="es-ES_tradn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7B73A9" w:rsidRPr="00C90461" w14:paraId="34785BB2" w14:textId="77777777" w:rsidTr="00941AA9">
        <w:tc>
          <w:tcPr>
            <w:tcW w:w="6512" w:type="dxa"/>
          </w:tcPr>
          <w:p w14:paraId="43F23315" w14:textId="77777777" w:rsidR="007B73A9" w:rsidRPr="00C90461" w:rsidRDefault="007B73A9" w:rsidP="00941AA9">
            <w:pPr>
              <w:pStyle w:val="Sessiontwp"/>
              <w:rPr>
                <w:lang w:val="es-ES_tradnl"/>
              </w:rPr>
            </w:pPr>
            <w:r w:rsidRPr="00C90461">
              <w:rPr>
                <w:lang w:val="es-ES_tradnl"/>
              </w:rPr>
              <w:t>Comité Técnico</w:t>
            </w:r>
          </w:p>
          <w:p w14:paraId="3D9E8B44" w14:textId="77777777" w:rsidR="007B73A9" w:rsidRPr="00C90461" w:rsidRDefault="007B73A9" w:rsidP="00941AA9">
            <w:pPr>
              <w:pStyle w:val="Sessiontwpplacedate"/>
              <w:rPr>
                <w:lang w:val="es-ES_tradnl"/>
              </w:rPr>
            </w:pPr>
            <w:r w:rsidRPr="00C90461">
              <w:rPr>
                <w:lang w:val="es-ES_tradnl"/>
              </w:rPr>
              <w:t>Quincuagésima novena sesión</w:t>
            </w:r>
          </w:p>
          <w:p w14:paraId="065172FE" w14:textId="77777777" w:rsidR="007B73A9" w:rsidRPr="00C90461" w:rsidRDefault="007B73A9" w:rsidP="00941AA9">
            <w:pPr>
              <w:rPr>
                <w:lang w:val="es-ES_tradnl"/>
              </w:rPr>
            </w:pPr>
            <w:r w:rsidRPr="00C90461">
              <w:rPr>
                <w:lang w:val="es-ES_tradnl"/>
              </w:rPr>
              <w:t>Ginebra, 23 y 24 de octubre de 2023</w:t>
            </w:r>
          </w:p>
          <w:p w14:paraId="7DB53217" w14:textId="77777777" w:rsidR="007B73A9" w:rsidRPr="00C90461" w:rsidRDefault="007B73A9" w:rsidP="00941AA9">
            <w:pPr>
              <w:rPr>
                <w:lang w:val="es-ES_tradnl"/>
              </w:rPr>
            </w:pPr>
          </w:p>
          <w:p w14:paraId="2B4FA8EC" w14:textId="77777777" w:rsidR="007B73A9" w:rsidRPr="00C90461" w:rsidRDefault="007B73A9" w:rsidP="00941AA9">
            <w:pPr>
              <w:pStyle w:val="Sessiontwp"/>
              <w:rPr>
                <w:lang w:val="es-ES_tradnl"/>
              </w:rPr>
            </w:pPr>
            <w:r w:rsidRPr="00C90461">
              <w:rPr>
                <w:lang w:val="es-ES_tradnl"/>
              </w:rPr>
              <w:t>Comité Administrativo y Jurídico</w:t>
            </w:r>
          </w:p>
          <w:p w14:paraId="2A103649" w14:textId="77777777" w:rsidR="007B73A9" w:rsidRPr="00C90461" w:rsidRDefault="007B73A9" w:rsidP="00941AA9">
            <w:pPr>
              <w:pStyle w:val="Sessiontwp"/>
              <w:rPr>
                <w:b w:val="0"/>
                <w:lang w:val="es-ES_tradnl"/>
              </w:rPr>
            </w:pPr>
            <w:r w:rsidRPr="00C90461">
              <w:rPr>
                <w:b w:val="0"/>
                <w:lang w:val="es-ES_tradnl"/>
              </w:rPr>
              <w:t>Octogésima sesión</w:t>
            </w:r>
          </w:p>
          <w:p w14:paraId="4AFF4C1C" w14:textId="77777777" w:rsidR="007B73A9" w:rsidRPr="00C90461" w:rsidRDefault="007B73A9" w:rsidP="005F2F0F">
            <w:pPr>
              <w:pStyle w:val="Sessiontwpplacedate"/>
              <w:rPr>
                <w:lang w:val="es-ES_tradnl"/>
              </w:rPr>
            </w:pPr>
            <w:r w:rsidRPr="00C90461">
              <w:rPr>
                <w:lang w:val="es-ES_tradnl"/>
              </w:rPr>
              <w:t>Ginebra, 25 de octubre de 2023</w:t>
            </w:r>
          </w:p>
        </w:tc>
        <w:tc>
          <w:tcPr>
            <w:tcW w:w="3127" w:type="dxa"/>
          </w:tcPr>
          <w:p w14:paraId="3F17B3DA" w14:textId="77777777" w:rsidR="007B73A9" w:rsidRPr="00C90461" w:rsidRDefault="007154FD" w:rsidP="00941AA9">
            <w:pPr>
              <w:pStyle w:val="Doccode"/>
              <w:rPr>
                <w:lang w:val="es-ES_tradnl"/>
              </w:rPr>
            </w:pPr>
            <w:r w:rsidRPr="00C90461">
              <w:rPr>
                <w:lang w:val="es-ES_tradnl"/>
              </w:rPr>
              <w:t>SESSIONS/2023/4</w:t>
            </w:r>
          </w:p>
          <w:p w14:paraId="0B5B7855" w14:textId="2C21D092" w:rsidR="007B73A9" w:rsidRPr="00C90461" w:rsidRDefault="007B73A9" w:rsidP="00941AA9">
            <w:pPr>
              <w:pStyle w:val="Docoriginal"/>
              <w:rPr>
                <w:lang w:val="es-ES_tradnl"/>
              </w:rPr>
            </w:pPr>
            <w:r w:rsidRPr="00C90461">
              <w:rPr>
                <w:lang w:val="es-ES_tradnl"/>
              </w:rPr>
              <w:t>Original:</w:t>
            </w:r>
            <w:r w:rsidRPr="00C90461">
              <w:rPr>
                <w:b w:val="0"/>
                <w:lang w:val="es-ES_tradnl"/>
              </w:rPr>
              <w:t xml:space="preserve"> </w:t>
            </w:r>
            <w:proofErr w:type="gramStart"/>
            <w:r w:rsidRPr="00C90461">
              <w:rPr>
                <w:b w:val="0"/>
                <w:spacing w:val="0"/>
                <w:lang w:val="es-ES_tradnl"/>
              </w:rPr>
              <w:t>Inglés</w:t>
            </w:r>
            <w:proofErr w:type="gramEnd"/>
          </w:p>
          <w:p w14:paraId="4F2408F4" w14:textId="6167EC40" w:rsidR="007B73A9" w:rsidRPr="00C90461" w:rsidRDefault="007B73A9" w:rsidP="00AC7F69">
            <w:pPr>
              <w:pStyle w:val="Docoriginal"/>
              <w:rPr>
                <w:lang w:val="es-ES_tradnl"/>
              </w:rPr>
            </w:pPr>
            <w:r w:rsidRPr="00C90461">
              <w:rPr>
                <w:lang w:val="es-ES_tradnl"/>
              </w:rPr>
              <w:t>Fecha:</w:t>
            </w:r>
            <w:r w:rsidRPr="00C90461">
              <w:rPr>
                <w:b w:val="0"/>
                <w:lang w:val="es-ES_tradnl"/>
              </w:rPr>
              <w:t xml:space="preserve"> </w:t>
            </w:r>
            <w:r w:rsidRPr="00C90461">
              <w:rPr>
                <w:b w:val="0"/>
                <w:spacing w:val="0"/>
                <w:lang w:val="es-ES_tradnl"/>
              </w:rPr>
              <w:t>11 de septiembre de 2023</w:t>
            </w:r>
          </w:p>
        </w:tc>
      </w:tr>
    </w:tbl>
    <w:p w14:paraId="08629A74" w14:textId="64B49608" w:rsidR="007B73A9" w:rsidRPr="00C90461" w:rsidRDefault="005C1866" w:rsidP="007B73A9">
      <w:pPr>
        <w:pStyle w:val="Titleofdoc0"/>
        <w:rPr>
          <w:lang w:val="es-ES_tradnl"/>
        </w:rPr>
      </w:pPr>
      <w:r w:rsidRPr="00C90461">
        <w:rPr>
          <w:lang w:val="es-ES_tradnl"/>
        </w:rPr>
        <w:t>Medidas para reforzar la cooperación en el examen</w:t>
      </w:r>
    </w:p>
    <w:p w14:paraId="49CBFF00" w14:textId="77777777" w:rsidR="001D736D" w:rsidRPr="00C90461" w:rsidRDefault="001D736D" w:rsidP="001D736D">
      <w:pPr>
        <w:pStyle w:val="preparedby1"/>
        <w:jc w:val="left"/>
        <w:rPr>
          <w:lang w:val="es-ES_tradnl"/>
        </w:rPr>
      </w:pPr>
      <w:r w:rsidRPr="00C90461">
        <w:rPr>
          <w:lang w:val="es-ES_tradnl"/>
        </w:rPr>
        <w:t>Documento preparado por la Oficina de la Unión</w:t>
      </w:r>
    </w:p>
    <w:p w14:paraId="320278F2" w14:textId="13918653" w:rsidR="001D736D" w:rsidRPr="00C90461" w:rsidRDefault="001D736D" w:rsidP="00766123">
      <w:pPr>
        <w:pStyle w:val="Disclaimer"/>
        <w:spacing w:after="0"/>
        <w:rPr>
          <w:lang w:val="es-ES_tradnl"/>
        </w:rPr>
      </w:pPr>
      <w:r w:rsidRPr="00C90461">
        <w:rPr>
          <w:lang w:val="es-ES_tradnl"/>
        </w:rPr>
        <w:t>Descargo de responsabilidad: el presente documento no constituye un documento de política u orientación de la UPOV</w:t>
      </w:r>
    </w:p>
    <w:p w14:paraId="2C0D70F3" w14:textId="77777777" w:rsidR="00B97376" w:rsidRPr="00C90461" w:rsidRDefault="00B97376" w:rsidP="00B97376">
      <w:pPr>
        <w:rPr>
          <w:lang w:val="es-ES_tradnl"/>
        </w:rPr>
      </w:pPr>
      <w:bookmarkStart w:id="0" w:name="_Toc20505077"/>
    </w:p>
    <w:p w14:paraId="5D9C9C75" w14:textId="77777777" w:rsidR="00B97376" w:rsidRPr="00C90461" w:rsidRDefault="00B97376" w:rsidP="00B97376">
      <w:pPr>
        <w:rPr>
          <w:lang w:val="es-ES_tradnl"/>
        </w:rPr>
      </w:pPr>
    </w:p>
    <w:p w14:paraId="23E69C81" w14:textId="4BF95647" w:rsidR="004F2C43" w:rsidRPr="00C90461" w:rsidRDefault="00C90461" w:rsidP="00C90461">
      <w:pPr>
        <w:pStyle w:val="Heading1"/>
        <w:rPr>
          <w:lang w:val="es-ES_tradnl"/>
        </w:rPr>
      </w:pPr>
      <w:bookmarkStart w:id="1" w:name="_Toc148112569"/>
      <w:r>
        <w:rPr>
          <w:lang w:val="es-ES_tradnl"/>
        </w:rPr>
        <w:t>I.</w:t>
      </w:r>
      <w:r>
        <w:rPr>
          <w:lang w:val="es-ES_tradnl"/>
        </w:rPr>
        <w:tab/>
      </w:r>
      <w:r w:rsidR="004F2C43" w:rsidRPr="00C90461">
        <w:rPr>
          <w:lang w:val="es-ES_tradnl"/>
        </w:rPr>
        <w:t>RESUMEN</w:t>
      </w:r>
      <w:bookmarkEnd w:id="1"/>
    </w:p>
    <w:p w14:paraId="610ECA5E" w14:textId="77777777" w:rsidR="004F2C43" w:rsidRPr="00C90461" w:rsidRDefault="004F2C43" w:rsidP="00766123">
      <w:pPr>
        <w:rPr>
          <w:color w:val="000000"/>
          <w:lang w:val="es-ES_tradnl"/>
        </w:rPr>
      </w:pPr>
    </w:p>
    <w:p w14:paraId="0F765942" w14:textId="78D37AB0" w:rsidR="0043311C" w:rsidRPr="00C90461" w:rsidRDefault="004F2C43" w:rsidP="00766123">
      <w:pPr>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 xml:space="preserve">El presente documento tiene por objeto informar sobre la encuesta a los miembros de la Unión acerca de sus obstáculos de política o jurídicos que podrían impedir la cooperación internacional en materia de examen de la distinción, la homogeneidad y la estabilidad (DHE) y, a partir de esta información, invitar a examinar las posibles medidas para aumentar las oportunidades de cooperación internacional. </w:t>
      </w:r>
    </w:p>
    <w:p w14:paraId="74D7DB83" w14:textId="12574BE4" w:rsidR="004100F1" w:rsidRPr="00C90461" w:rsidRDefault="004100F1" w:rsidP="00766123">
      <w:pPr>
        <w:rPr>
          <w:lang w:val="es-ES_tradnl"/>
        </w:rPr>
      </w:pPr>
    </w:p>
    <w:p w14:paraId="7C32D8D4" w14:textId="0359FEC8" w:rsidR="00FF3729" w:rsidRPr="00C90461" w:rsidRDefault="00FF3729" w:rsidP="00766123">
      <w:pPr>
        <w:rPr>
          <w:snapToGrid w:val="0"/>
          <w:lang w:val="es-ES_tradnl"/>
        </w:rPr>
      </w:pPr>
      <w:r w:rsidRPr="00C90461">
        <w:rPr>
          <w:snapToGrid w:val="0"/>
          <w:lang w:val="es-ES_tradnl"/>
        </w:rPr>
        <w:fldChar w:fldCharType="begin"/>
      </w:r>
      <w:r w:rsidRPr="00C90461">
        <w:rPr>
          <w:snapToGrid w:val="0"/>
          <w:lang w:val="es-ES_tradnl"/>
        </w:rPr>
        <w:instrText xml:space="preserve"> AUTONUM  </w:instrText>
      </w:r>
      <w:r w:rsidRPr="00C90461">
        <w:rPr>
          <w:snapToGrid w:val="0"/>
          <w:lang w:val="es-ES_tradnl"/>
        </w:rPr>
        <w:fldChar w:fldCharType="end"/>
      </w:r>
      <w:r w:rsidRPr="00C90461">
        <w:rPr>
          <w:snapToGrid w:val="0"/>
          <w:lang w:val="es-ES_tradnl"/>
        </w:rPr>
        <w:tab/>
        <w:t>Se invita al Comité Técnico (TC) a tomar nota de las novedades expuestas en el presente documento</w:t>
      </w:r>
      <w:r w:rsidRPr="00C90461">
        <w:rPr>
          <w:lang w:val="es-ES_tradnl"/>
        </w:rPr>
        <w:t>.</w:t>
      </w:r>
    </w:p>
    <w:p w14:paraId="45B547A2" w14:textId="77777777" w:rsidR="00FF3729" w:rsidRPr="00C90461" w:rsidRDefault="00FF3729" w:rsidP="00766123">
      <w:pPr>
        <w:rPr>
          <w:snapToGrid w:val="0"/>
          <w:lang w:val="es-ES_tradnl"/>
        </w:rPr>
      </w:pPr>
    </w:p>
    <w:p w14:paraId="5689ED30" w14:textId="77777777" w:rsidR="00FF3729" w:rsidRPr="00C90461" w:rsidRDefault="00FF3729" w:rsidP="00766123">
      <w:pPr>
        <w:rPr>
          <w:snapToGrid w:val="0"/>
          <w:lang w:val="es-ES_tradnl"/>
        </w:rPr>
      </w:pPr>
      <w:r w:rsidRPr="00C90461">
        <w:rPr>
          <w:snapToGrid w:val="0"/>
          <w:lang w:val="es-ES_tradnl"/>
        </w:rPr>
        <w:fldChar w:fldCharType="begin"/>
      </w:r>
      <w:r w:rsidRPr="00C90461">
        <w:rPr>
          <w:snapToGrid w:val="0"/>
          <w:lang w:val="es-ES_tradnl"/>
        </w:rPr>
        <w:instrText xml:space="preserve"> AUTONUM  </w:instrText>
      </w:r>
      <w:r w:rsidRPr="00C90461">
        <w:rPr>
          <w:snapToGrid w:val="0"/>
          <w:lang w:val="es-ES_tradnl"/>
        </w:rPr>
        <w:fldChar w:fldCharType="end"/>
      </w:r>
      <w:r w:rsidRPr="00C90461">
        <w:rPr>
          <w:snapToGrid w:val="0"/>
          <w:lang w:val="es-ES_tradnl"/>
        </w:rPr>
        <w:tab/>
        <w:t>Se invita al Comité Administrativo y Jurídico (CAJ) a:</w:t>
      </w:r>
    </w:p>
    <w:p w14:paraId="045D3464" w14:textId="77777777" w:rsidR="00FF3729" w:rsidRPr="00C90461" w:rsidRDefault="00FF3729" w:rsidP="00766123">
      <w:pPr>
        <w:rPr>
          <w:snapToGrid w:val="0"/>
          <w:lang w:val="es-ES_tradnl"/>
        </w:rPr>
      </w:pPr>
    </w:p>
    <w:p w14:paraId="06AF8DAA" w14:textId="60E7EDAD" w:rsidR="00FF3729" w:rsidRPr="00C90461" w:rsidRDefault="0025403D" w:rsidP="00516C9F">
      <w:pPr>
        <w:pStyle w:val="ListParagraph"/>
        <w:numPr>
          <w:ilvl w:val="0"/>
          <w:numId w:val="9"/>
        </w:numPr>
        <w:spacing w:after="0"/>
        <w:ind w:left="0" w:firstLine="567"/>
        <w:jc w:val="both"/>
        <w:rPr>
          <w:snapToGrid w:val="0"/>
          <w:lang w:val="es-ES_tradnl"/>
        </w:rPr>
      </w:pPr>
      <w:r w:rsidRPr="00C90461">
        <w:rPr>
          <w:snapToGrid w:val="0"/>
          <w:lang w:val="es-ES_tradnl"/>
        </w:rPr>
        <w:t>tomar nota de las respuestas de los miembros de la Unión sobre sus obstáculos de política o jurídicos que podrían impedir la cooperación internacional en el examen DHE, expuestos en el Anexo II del presente documento; y</w:t>
      </w:r>
    </w:p>
    <w:p w14:paraId="0F6C5E00" w14:textId="77777777" w:rsidR="00FF3729" w:rsidRPr="00C90461" w:rsidRDefault="00FF3729" w:rsidP="00516C9F">
      <w:pPr>
        <w:ind w:firstLine="567"/>
        <w:rPr>
          <w:snapToGrid w:val="0"/>
          <w:lang w:val="es-ES_tradnl"/>
        </w:rPr>
      </w:pPr>
    </w:p>
    <w:p w14:paraId="4B5EDF9F" w14:textId="0157A191" w:rsidR="00FF3729" w:rsidRPr="00C90461" w:rsidRDefault="00972A4C" w:rsidP="00516C9F">
      <w:pPr>
        <w:pStyle w:val="ListParagraph"/>
        <w:numPr>
          <w:ilvl w:val="0"/>
          <w:numId w:val="9"/>
        </w:numPr>
        <w:spacing w:after="0"/>
        <w:ind w:left="0" w:firstLine="567"/>
        <w:jc w:val="both"/>
        <w:rPr>
          <w:snapToGrid w:val="0"/>
          <w:lang w:val="es-ES_tradnl"/>
        </w:rPr>
      </w:pPr>
      <w:r w:rsidRPr="00C90461">
        <w:rPr>
          <w:snapToGrid w:val="0"/>
          <w:lang w:val="es-ES_tradnl"/>
        </w:rPr>
        <w:t xml:space="preserve">examinar las posibles medidas </w:t>
      </w:r>
      <w:r w:rsidRPr="00C90461">
        <w:rPr>
          <w:lang w:val="es-ES_tradnl"/>
        </w:rPr>
        <w:t>para aumentar las oportunidades de cooperación internacional</w:t>
      </w:r>
      <w:r w:rsidRPr="00C90461">
        <w:rPr>
          <w:snapToGrid w:val="0"/>
          <w:lang w:val="es-ES_tradnl"/>
        </w:rPr>
        <w:t>, expuestas en el párrafo 13 del presente documento.</w:t>
      </w:r>
    </w:p>
    <w:p w14:paraId="58E8EAFA" w14:textId="77777777" w:rsidR="00EA6E43" w:rsidRPr="00C90461" w:rsidRDefault="00EA6E43" w:rsidP="00EA6E43">
      <w:pPr>
        <w:pStyle w:val="ListParagraph"/>
        <w:spacing w:after="0"/>
        <w:ind w:left="0"/>
        <w:jc w:val="both"/>
        <w:rPr>
          <w:lang w:val="es-ES_tradnl"/>
        </w:rPr>
      </w:pPr>
    </w:p>
    <w:p w14:paraId="7A8B605E" w14:textId="77777777" w:rsidR="00EA6E43" w:rsidRPr="00C90461" w:rsidRDefault="00EA6E43" w:rsidP="00EA6E43">
      <w:pPr>
        <w:rPr>
          <w:lang w:val="es-ES_tradnl"/>
        </w:rPr>
      </w:pPr>
      <w:r w:rsidRPr="00C90461">
        <w:rPr>
          <w:color w:val="000000"/>
          <w:lang w:val="es-ES_tradnl"/>
        </w:rPr>
        <w:fldChar w:fldCharType="begin"/>
      </w:r>
      <w:r w:rsidRPr="00C90461">
        <w:rPr>
          <w:color w:val="000000"/>
          <w:lang w:val="es-ES_tradnl"/>
        </w:rPr>
        <w:instrText xml:space="preserve"> AUTONUM  </w:instrText>
      </w:r>
      <w:r w:rsidRPr="00C90461">
        <w:rPr>
          <w:color w:val="000000"/>
          <w:lang w:val="es-ES_tradnl"/>
        </w:rPr>
        <w:fldChar w:fldCharType="end"/>
      </w:r>
      <w:r w:rsidRPr="00C90461">
        <w:rPr>
          <w:color w:val="000000"/>
          <w:lang w:val="es-ES_tradnl"/>
        </w:rPr>
        <w:tab/>
      </w:r>
      <w:r w:rsidRPr="00C90461">
        <w:rPr>
          <w:lang w:val="es-ES_tradnl"/>
        </w:rPr>
        <w:t>El presente documento se estructura del modo siguiente:</w:t>
      </w:r>
    </w:p>
    <w:p w14:paraId="4FFCF766" w14:textId="77777777" w:rsidR="00EA6E43" w:rsidRPr="00C90461" w:rsidRDefault="00EA6E43" w:rsidP="00C90461">
      <w:pPr>
        <w:pStyle w:val="TOC1"/>
        <w:rPr>
          <w:rFonts w:eastAsia="MS Mincho"/>
          <w:lang w:val="es-ES_tradnl" w:eastAsia="ja-JP"/>
        </w:rPr>
      </w:pPr>
    </w:p>
    <w:p w14:paraId="61B3F174" w14:textId="48008B00" w:rsidR="00C90461" w:rsidRDefault="00EA6E43" w:rsidP="00C90461">
      <w:pPr>
        <w:pStyle w:val="TOC1"/>
        <w:rPr>
          <w:rFonts w:asciiTheme="minorHAnsi" w:eastAsiaTheme="minorEastAsia" w:hAnsiTheme="minorHAnsi" w:cstheme="minorBidi"/>
          <w:noProof/>
          <w:sz w:val="22"/>
          <w:szCs w:val="22"/>
          <w:lang w:val="en-GB" w:eastAsia="en-GB"/>
        </w:rPr>
      </w:pPr>
      <w:r w:rsidRPr="00C90461">
        <w:rPr>
          <w:rFonts w:eastAsia="MS Mincho" w:cs="Arial"/>
          <w:sz w:val="18"/>
          <w:highlight w:val="cyan"/>
          <w:lang w:val="es-ES_tradnl"/>
        </w:rPr>
        <w:fldChar w:fldCharType="begin"/>
      </w:r>
      <w:r w:rsidRPr="00C90461">
        <w:rPr>
          <w:rFonts w:eastAsia="MS Mincho" w:cs="Arial"/>
          <w:highlight w:val="cyan"/>
          <w:lang w:val="es-ES_tradnl"/>
        </w:rPr>
        <w:instrText xml:space="preserve"> TOC \o "1-2" \u </w:instrText>
      </w:r>
      <w:r w:rsidRPr="00C90461">
        <w:rPr>
          <w:rFonts w:eastAsia="MS Mincho" w:cs="Arial"/>
          <w:sz w:val="18"/>
          <w:highlight w:val="cyan"/>
          <w:lang w:val="es-ES_tradnl"/>
        </w:rPr>
        <w:fldChar w:fldCharType="separate"/>
      </w:r>
      <w:r w:rsidR="00C90461" w:rsidRPr="006D6744">
        <w:rPr>
          <w:noProof/>
          <w:lang w:val="es-ES_tradnl"/>
        </w:rPr>
        <w:t>I.</w:t>
      </w:r>
      <w:r w:rsidR="00C90461">
        <w:rPr>
          <w:rFonts w:asciiTheme="minorHAnsi" w:eastAsiaTheme="minorEastAsia" w:hAnsiTheme="minorHAnsi" w:cstheme="minorBidi"/>
          <w:noProof/>
          <w:sz w:val="22"/>
          <w:szCs w:val="22"/>
          <w:lang w:val="en-GB" w:eastAsia="en-GB"/>
        </w:rPr>
        <w:tab/>
      </w:r>
      <w:r w:rsidR="00C90461" w:rsidRPr="006D6744">
        <w:rPr>
          <w:noProof/>
          <w:lang w:val="es-ES_tradnl"/>
        </w:rPr>
        <w:t>RESUMEN</w:t>
      </w:r>
      <w:r w:rsidR="00C90461">
        <w:rPr>
          <w:noProof/>
        </w:rPr>
        <w:tab/>
      </w:r>
      <w:r w:rsidR="00C90461">
        <w:rPr>
          <w:noProof/>
        </w:rPr>
        <w:fldChar w:fldCharType="begin"/>
      </w:r>
      <w:r w:rsidR="00C90461">
        <w:rPr>
          <w:noProof/>
        </w:rPr>
        <w:instrText xml:space="preserve"> PAGEREF _Toc148112569 \h </w:instrText>
      </w:r>
      <w:r w:rsidR="00C90461">
        <w:rPr>
          <w:noProof/>
        </w:rPr>
      </w:r>
      <w:r w:rsidR="00C90461">
        <w:rPr>
          <w:noProof/>
        </w:rPr>
        <w:fldChar w:fldCharType="separate"/>
      </w:r>
      <w:r w:rsidR="00C90461">
        <w:rPr>
          <w:noProof/>
        </w:rPr>
        <w:t>1</w:t>
      </w:r>
      <w:r w:rsidR="00C90461">
        <w:rPr>
          <w:noProof/>
        </w:rPr>
        <w:fldChar w:fldCharType="end"/>
      </w:r>
    </w:p>
    <w:p w14:paraId="4F42CE13" w14:textId="27ADD3B0" w:rsidR="00C90461" w:rsidRDefault="00C90461" w:rsidP="00C90461">
      <w:pPr>
        <w:pStyle w:val="TOC1"/>
        <w:rPr>
          <w:rFonts w:asciiTheme="minorHAnsi" w:eastAsiaTheme="minorEastAsia" w:hAnsiTheme="minorHAnsi" w:cstheme="minorBidi"/>
          <w:noProof/>
          <w:sz w:val="22"/>
          <w:szCs w:val="22"/>
          <w:lang w:val="en-GB" w:eastAsia="en-GB"/>
        </w:rPr>
      </w:pPr>
      <w:r w:rsidRPr="006D6744">
        <w:rPr>
          <w:noProof/>
          <w:lang w:val="es-ES_tradnl"/>
        </w:rPr>
        <w:t>II.</w:t>
      </w:r>
      <w:r>
        <w:rPr>
          <w:rFonts w:asciiTheme="minorHAnsi" w:eastAsiaTheme="minorEastAsia" w:hAnsiTheme="minorHAnsi" w:cstheme="minorBidi"/>
          <w:noProof/>
          <w:sz w:val="22"/>
          <w:szCs w:val="22"/>
          <w:lang w:val="en-GB" w:eastAsia="en-GB"/>
        </w:rPr>
        <w:tab/>
      </w:r>
      <w:r w:rsidRPr="006D6744">
        <w:rPr>
          <w:noProof/>
          <w:lang w:val="es-ES_tradnl"/>
        </w:rPr>
        <w:t>ANTECEDENTES</w:t>
      </w:r>
      <w:r>
        <w:rPr>
          <w:noProof/>
        </w:rPr>
        <w:tab/>
      </w:r>
      <w:r>
        <w:rPr>
          <w:noProof/>
        </w:rPr>
        <w:fldChar w:fldCharType="begin"/>
      </w:r>
      <w:r>
        <w:rPr>
          <w:noProof/>
        </w:rPr>
        <w:instrText xml:space="preserve"> PAGEREF _Toc148112570 \h </w:instrText>
      </w:r>
      <w:r>
        <w:rPr>
          <w:noProof/>
        </w:rPr>
      </w:r>
      <w:r>
        <w:rPr>
          <w:noProof/>
        </w:rPr>
        <w:fldChar w:fldCharType="separate"/>
      </w:r>
      <w:r>
        <w:rPr>
          <w:noProof/>
        </w:rPr>
        <w:t>2</w:t>
      </w:r>
      <w:r>
        <w:rPr>
          <w:noProof/>
        </w:rPr>
        <w:fldChar w:fldCharType="end"/>
      </w:r>
    </w:p>
    <w:p w14:paraId="50E88E10" w14:textId="5D3CA2B5" w:rsidR="00C90461" w:rsidRDefault="00C90461" w:rsidP="00C90461">
      <w:pPr>
        <w:pStyle w:val="TOC1"/>
        <w:rPr>
          <w:rFonts w:asciiTheme="minorHAnsi" w:eastAsiaTheme="minorEastAsia" w:hAnsiTheme="minorHAnsi" w:cstheme="minorBidi"/>
          <w:noProof/>
          <w:sz w:val="22"/>
          <w:szCs w:val="22"/>
          <w:lang w:val="en-GB" w:eastAsia="en-GB"/>
        </w:rPr>
      </w:pPr>
      <w:r w:rsidRPr="006D6744">
        <w:rPr>
          <w:noProof/>
          <w:lang w:val="es-ES_tradnl"/>
        </w:rPr>
        <w:t>III.</w:t>
      </w:r>
      <w:r>
        <w:rPr>
          <w:rFonts w:asciiTheme="minorHAnsi" w:eastAsiaTheme="minorEastAsia" w:hAnsiTheme="minorHAnsi" w:cstheme="minorBidi"/>
          <w:noProof/>
          <w:sz w:val="22"/>
          <w:szCs w:val="22"/>
          <w:lang w:val="en-GB" w:eastAsia="en-GB"/>
        </w:rPr>
        <w:tab/>
      </w:r>
      <w:r w:rsidRPr="006D6744">
        <w:rPr>
          <w:noProof/>
          <w:lang w:val="es-ES_tradnl"/>
        </w:rPr>
        <w:t>Encuesta y principales conclusiones:</w:t>
      </w:r>
      <w:r>
        <w:rPr>
          <w:noProof/>
        </w:rPr>
        <w:tab/>
      </w:r>
      <w:r>
        <w:rPr>
          <w:noProof/>
        </w:rPr>
        <w:fldChar w:fldCharType="begin"/>
      </w:r>
      <w:r>
        <w:rPr>
          <w:noProof/>
        </w:rPr>
        <w:instrText xml:space="preserve"> PAGEREF _Toc148112571 \h </w:instrText>
      </w:r>
      <w:r>
        <w:rPr>
          <w:noProof/>
        </w:rPr>
      </w:r>
      <w:r>
        <w:rPr>
          <w:noProof/>
        </w:rPr>
        <w:fldChar w:fldCharType="separate"/>
      </w:r>
      <w:r>
        <w:rPr>
          <w:noProof/>
        </w:rPr>
        <w:t>2</w:t>
      </w:r>
      <w:r>
        <w:rPr>
          <w:noProof/>
        </w:rPr>
        <w:fldChar w:fldCharType="end"/>
      </w:r>
    </w:p>
    <w:p w14:paraId="049EC984" w14:textId="41DDC337" w:rsidR="00C90461" w:rsidRDefault="00C90461" w:rsidP="00C90461">
      <w:pPr>
        <w:pStyle w:val="TOC2"/>
        <w:rPr>
          <w:rFonts w:asciiTheme="minorHAnsi" w:eastAsiaTheme="minorEastAsia" w:hAnsiTheme="minorHAnsi" w:cstheme="minorBidi"/>
          <w:noProof/>
          <w:sz w:val="22"/>
          <w:szCs w:val="22"/>
          <w:lang w:val="en-GB" w:eastAsia="en-GB"/>
        </w:rPr>
      </w:pPr>
      <w:r w:rsidRPr="006D6744">
        <w:rPr>
          <w:noProof/>
          <w:lang w:val="es-ES_tradnl"/>
        </w:rPr>
        <w:t>Uso de informes de los exámenes DHE de otros miembros de la UPOV:</w:t>
      </w:r>
      <w:r>
        <w:rPr>
          <w:noProof/>
        </w:rPr>
        <w:tab/>
      </w:r>
      <w:r>
        <w:rPr>
          <w:noProof/>
        </w:rPr>
        <w:fldChar w:fldCharType="begin"/>
      </w:r>
      <w:r>
        <w:rPr>
          <w:noProof/>
        </w:rPr>
        <w:instrText xml:space="preserve"> PAGEREF _Toc148112572 \h </w:instrText>
      </w:r>
      <w:r>
        <w:rPr>
          <w:noProof/>
        </w:rPr>
      </w:r>
      <w:r>
        <w:rPr>
          <w:noProof/>
        </w:rPr>
        <w:fldChar w:fldCharType="separate"/>
      </w:r>
      <w:r>
        <w:rPr>
          <w:noProof/>
        </w:rPr>
        <w:t>3</w:t>
      </w:r>
      <w:r>
        <w:rPr>
          <w:noProof/>
        </w:rPr>
        <w:fldChar w:fldCharType="end"/>
      </w:r>
    </w:p>
    <w:p w14:paraId="5AA58E4A" w14:textId="0568C03A" w:rsidR="00C90461" w:rsidRDefault="00C90461" w:rsidP="00C90461">
      <w:pPr>
        <w:pStyle w:val="TOC2"/>
        <w:rPr>
          <w:rFonts w:asciiTheme="minorHAnsi" w:eastAsiaTheme="minorEastAsia" w:hAnsiTheme="minorHAnsi" w:cstheme="minorBidi"/>
          <w:noProof/>
          <w:sz w:val="22"/>
          <w:szCs w:val="22"/>
          <w:lang w:val="en-GB" w:eastAsia="en-GB"/>
        </w:rPr>
      </w:pPr>
      <w:r w:rsidRPr="006D6744">
        <w:rPr>
          <w:noProof/>
          <w:lang w:val="es-ES_tradnl"/>
        </w:rPr>
        <w:t>Condiciones para utilizar informes de los exámenes DHE de otros miembros de la UPOV:</w:t>
      </w:r>
      <w:r>
        <w:rPr>
          <w:noProof/>
        </w:rPr>
        <w:tab/>
      </w:r>
      <w:r>
        <w:rPr>
          <w:noProof/>
        </w:rPr>
        <w:fldChar w:fldCharType="begin"/>
      </w:r>
      <w:r>
        <w:rPr>
          <w:noProof/>
        </w:rPr>
        <w:instrText xml:space="preserve"> PAGEREF _Toc148112573 \h </w:instrText>
      </w:r>
      <w:r>
        <w:rPr>
          <w:noProof/>
        </w:rPr>
      </w:r>
      <w:r>
        <w:rPr>
          <w:noProof/>
        </w:rPr>
        <w:fldChar w:fldCharType="separate"/>
      </w:r>
      <w:r>
        <w:rPr>
          <w:noProof/>
        </w:rPr>
        <w:t>3</w:t>
      </w:r>
      <w:r>
        <w:rPr>
          <w:noProof/>
        </w:rPr>
        <w:fldChar w:fldCharType="end"/>
      </w:r>
    </w:p>
    <w:p w14:paraId="1C5095B6" w14:textId="366943AD" w:rsidR="00C90461" w:rsidRDefault="00C90461" w:rsidP="00C90461">
      <w:pPr>
        <w:pStyle w:val="TOC2"/>
        <w:rPr>
          <w:rFonts w:asciiTheme="minorHAnsi" w:eastAsiaTheme="minorEastAsia" w:hAnsiTheme="minorHAnsi" w:cstheme="minorBidi"/>
          <w:noProof/>
          <w:sz w:val="22"/>
          <w:szCs w:val="22"/>
          <w:lang w:val="en-GB" w:eastAsia="en-GB"/>
        </w:rPr>
      </w:pPr>
      <w:r w:rsidRPr="006D6744">
        <w:rPr>
          <w:noProof/>
          <w:lang w:val="es-ES_tradnl"/>
        </w:rPr>
        <w:t>Motivos principales para no utilizar informes de los exámenes DHE de otros miembros de la UPOV:</w:t>
      </w:r>
      <w:r>
        <w:rPr>
          <w:noProof/>
        </w:rPr>
        <w:tab/>
      </w:r>
      <w:r>
        <w:rPr>
          <w:noProof/>
        </w:rPr>
        <w:fldChar w:fldCharType="begin"/>
      </w:r>
      <w:r>
        <w:rPr>
          <w:noProof/>
        </w:rPr>
        <w:instrText xml:space="preserve"> PAGEREF _Toc148112574 \h </w:instrText>
      </w:r>
      <w:r>
        <w:rPr>
          <w:noProof/>
        </w:rPr>
      </w:r>
      <w:r>
        <w:rPr>
          <w:noProof/>
        </w:rPr>
        <w:fldChar w:fldCharType="separate"/>
      </w:r>
      <w:r>
        <w:rPr>
          <w:noProof/>
        </w:rPr>
        <w:t>4</w:t>
      </w:r>
      <w:r>
        <w:rPr>
          <w:noProof/>
        </w:rPr>
        <w:fldChar w:fldCharType="end"/>
      </w:r>
    </w:p>
    <w:p w14:paraId="5A8C1F03" w14:textId="551481B7" w:rsidR="00C90461" w:rsidRDefault="00C90461" w:rsidP="00C90461">
      <w:pPr>
        <w:pStyle w:val="TOC1"/>
        <w:rPr>
          <w:rFonts w:asciiTheme="minorHAnsi" w:eastAsiaTheme="minorEastAsia" w:hAnsiTheme="minorHAnsi" w:cstheme="minorBidi"/>
          <w:noProof/>
          <w:sz w:val="22"/>
          <w:szCs w:val="22"/>
          <w:lang w:val="en-GB" w:eastAsia="en-GB"/>
        </w:rPr>
      </w:pPr>
      <w:r w:rsidRPr="006D6744">
        <w:rPr>
          <w:noProof/>
          <w:lang w:val="es-ES_tradnl"/>
        </w:rPr>
        <w:t>IV.</w:t>
      </w:r>
      <w:r>
        <w:rPr>
          <w:rFonts w:asciiTheme="minorHAnsi" w:eastAsiaTheme="minorEastAsia" w:hAnsiTheme="minorHAnsi" w:cstheme="minorBidi"/>
          <w:noProof/>
          <w:sz w:val="22"/>
          <w:szCs w:val="22"/>
          <w:lang w:val="en-GB" w:eastAsia="en-GB"/>
        </w:rPr>
        <w:tab/>
      </w:r>
      <w:r w:rsidRPr="006D6744">
        <w:rPr>
          <w:noProof/>
          <w:lang w:val="es-ES_tradnl"/>
        </w:rPr>
        <w:t>Posibles medidas para aumentar las oportunidades de cooperación internacional:</w:t>
      </w:r>
      <w:r>
        <w:rPr>
          <w:noProof/>
        </w:rPr>
        <w:tab/>
      </w:r>
      <w:r>
        <w:rPr>
          <w:noProof/>
        </w:rPr>
        <w:fldChar w:fldCharType="begin"/>
      </w:r>
      <w:r>
        <w:rPr>
          <w:noProof/>
        </w:rPr>
        <w:instrText xml:space="preserve"> PAGEREF _Toc148112575 \h </w:instrText>
      </w:r>
      <w:r>
        <w:rPr>
          <w:noProof/>
        </w:rPr>
      </w:r>
      <w:r>
        <w:rPr>
          <w:noProof/>
        </w:rPr>
        <w:fldChar w:fldCharType="separate"/>
      </w:r>
      <w:r>
        <w:rPr>
          <w:noProof/>
        </w:rPr>
        <w:t>4</w:t>
      </w:r>
      <w:r>
        <w:rPr>
          <w:noProof/>
        </w:rPr>
        <w:fldChar w:fldCharType="end"/>
      </w:r>
    </w:p>
    <w:p w14:paraId="29F86DE3" w14:textId="4C8EA343" w:rsidR="00EA6E43" w:rsidRPr="00C90461" w:rsidRDefault="00EA6E43" w:rsidP="00FA5159">
      <w:pPr>
        <w:tabs>
          <w:tab w:val="left" w:pos="1134"/>
          <w:tab w:val="left" w:pos="1701"/>
        </w:tabs>
        <w:spacing w:before="240"/>
        <w:ind w:left="1140" w:hanging="1140"/>
        <w:rPr>
          <w:rFonts w:eastAsia="MS Mincho" w:cs="Arial"/>
          <w:lang w:val="es-ES_tradnl"/>
        </w:rPr>
      </w:pPr>
      <w:r w:rsidRPr="00C90461">
        <w:rPr>
          <w:rFonts w:eastAsia="MS Mincho" w:cs="Arial"/>
          <w:i/>
          <w:highlight w:val="cyan"/>
          <w:lang w:val="es-ES_tradnl"/>
        </w:rPr>
        <w:fldChar w:fldCharType="end"/>
      </w:r>
      <w:r w:rsidRPr="00C90461">
        <w:rPr>
          <w:lang w:val="es-ES_tradnl"/>
        </w:rPr>
        <w:t>ANEXO I</w:t>
      </w:r>
      <w:r w:rsidRPr="00C90461">
        <w:rPr>
          <w:lang w:val="es-ES_tradnl"/>
        </w:rPr>
        <w:tab/>
        <w:t xml:space="preserve">Antecedentes </w:t>
      </w:r>
    </w:p>
    <w:p w14:paraId="3A1D4D6F" w14:textId="206951BB" w:rsidR="00EA6E43" w:rsidRPr="00C90461" w:rsidRDefault="00EA6E43" w:rsidP="00EA6E43">
      <w:pPr>
        <w:tabs>
          <w:tab w:val="left" w:pos="1134"/>
          <w:tab w:val="left" w:pos="1701"/>
        </w:tabs>
        <w:spacing w:before="120"/>
        <w:ind w:left="1138" w:hanging="1138"/>
        <w:rPr>
          <w:color w:val="000000"/>
          <w:lang w:val="es-ES_tradnl"/>
        </w:rPr>
      </w:pPr>
      <w:r w:rsidRPr="00C90461">
        <w:rPr>
          <w:lang w:val="es-ES_tradnl"/>
        </w:rPr>
        <w:t>ANEXO II</w:t>
      </w:r>
      <w:r w:rsidRPr="00C90461">
        <w:rPr>
          <w:lang w:val="es-ES_tradnl"/>
        </w:rPr>
        <w:tab/>
        <w:t xml:space="preserve">Encuesta a los miembros de la Unión sobre obstáculos de política o jurídicos que podrían impedir la cooperación internacional en materia de examen DHE </w:t>
      </w:r>
    </w:p>
    <w:p w14:paraId="3A9C6C24" w14:textId="77777777" w:rsidR="00EA6E43" w:rsidRPr="00C90461" w:rsidRDefault="00EA6E43" w:rsidP="00C90461">
      <w:pPr>
        <w:rPr>
          <w:lang w:val="es-ES_tradnl"/>
        </w:rPr>
      </w:pPr>
      <w:r w:rsidRPr="00C90461">
        <w:rPr>
          <w:lang w:val="es-ES_tradnl"/>
        </w:rPr>
        <w:fldChar w:fldCharType="begin"/>
      </w:r>
      <w:r w:rsidRPr="00C90461">
        <w:rPr>
          <w:lang w:val="es-ES_tradnl"/>
        </w:rPr>
        <w:instrText xml:space="preserve"> TOC \o "1-3" \h \z \u </w:instrText>
      </w:r>
      <w:r w:rsidRPr="00C90461">
        <w:rPr>
          <w:lang w:val="es-ES_tradnl"/>
        </w:rPr>
        <w:fldChar w:fldCharType="separate"/>
      </w:r>
    </w:p>
    <w:p w14:paraId="1DED7048" w14:textId="77777777" w:rsidR="00EA6E43" w:rsidRPr="00C90461" w:rsidRDefault="00EA6E43" w:rsidP="00C90461">
      <w:pPr>
        <w:rPr>
          <w:color w:val="000000"/>
          <w:lang w:val="es-ES_tradnl"/>
        </w:rPr>
      </w:pPr>
      <w:r w:rsidRPr="00C90461">
        <w:rPr>
          <w:lang w:val="es-ES_tradnl"/>
        </w:rPr>
        <w:fldChar w:fldCharType="end"/>
      </w:r>
      <w:r w:rsidRPr="00C90461">
        <w:rPr>
          <w:color w:val="000000"/>
          <w:lang w:val="es-ES_tradnl"/>
        </w:rPr>
        <w:fldChar w:fldCharType="begin"/>
      </w:r>
      <w:r w:rsidRPr="00C90461">
        <w:rPr>
          <w:color w:val="000000"/>
          <w:lang w:val="es-ES_tradnl"/>
        </w:rPr>
        <w:instrText xml:space="preserve"> AUTONUM  </w:instrText>
      </w:r>
      <w:r w:rsidRPr="00C90461">
        <w:rPr>
          <w:color w:val="000000"/>
          <w:lang w:val="es-ES_tradnl"/>
        </w:rPr>
        <w:fldChar w:fldCharType="end"/>
      </w:r>
      <w:r w:rsidRPr="00C90461">
        <w:rPr>
          <w:lang w:val="es-ES_tradnl"/>
        </w:rPr>
        <w:tab/>
        <w:t>En el presente documento se utilizan las abreviaturas siguientes:</w:t>
      </w:r>
    </w:p>
    <w:p w14:paraId="38F92D68" w14:textId="77777777" w:rsidR="00EA6E43" w:rsidRPr="00C90461" w:rsidRDefault="00EA6E43" w:rsidP="00C90461">
      <w:pPr>
        <w:rPr>
          <w:color w:val="000000"/>
          <w:lang w:val="es-ES_tradnl"/>
        </w:rPr>
      </w:pPr>
    </w:p>
    <w:p w14:paraId="4A4FD1E9" w14:textId="77777777" w:rsidR="00EA6E43" w:rsidRPr="00C90461" w:rsidRDefault="00EA6E43" w:rsidP="00C90461">
      <w:pPr>
        <w:tabs>
          <w:tab w:val="left" w:pos="567"/>
          <w:tab w:val="left" w:pos="1701"/>
        </w:tabs>
        <w:rPr>
          <w:lang w:val="es-ES_tradnl"/>
        </w:rPr>
      </w:pPr>
      <w:r w:rsidRPr="00C90461">
        <w:rPr>
          <w:lang w:val="es-ES_tradnl"/>
        </w:rPr>
        <w:tab/>
        <w:t>CAJ:</w:t>
      </w:r>
      <w:r w:rsidRPr="00C90461">
        <w:rPr>
          <w:lang w:val="es-ES_tradnl"/>
        </w:rPr>
        <w:tab/>
        <w:t>Comité Administrativo y Jurídico</w:t>
      </w:r>
    </w:p>
    <w:p w14:paraId="7334BD65" w14:textId="77777777" w:rsidR="00EA6E43" w:rsidRPr="00C90461" w:rsidRDefault="00EA6E43" w:rsidP="00C90461">
      <w:pPr>
        <w:tabs>
          <w:tab w:val="left" w:pos="567"/>
          <w:tab w:val="left" w:pos="1701"/>
        </w:tabs>
        <w:rPr>
          <w:lang w:val="es-ES_tradnl"/>
        </w:rPr>
      </w:pPr>
      <w:r w:rsidRPr="00C90461">
        <w:rPr>
          <w:lang w:val="es-ES_tradnl"/>
        </w:rPr>
        <w:tab/>
        <w:t>TC:</w:t>
      </w:r>
      <w:r w:rsidRPr="00C90461">
        <w:rPr>
          <w:lang w:val="es-ES_tradnl"/>
        </w:rPr>
        <w:tab/>
        <w:t>Comité Técnico</w:t>
      </w:r>
    </w:p>
    <w:p w14:paraId="4952BF28" w14:textId="77777777" w:rsidR="00EA6E43" w:rsidRPr="00C90461" w:rsidRDefault="00EA6E43" w:rsidP="00C90461">
      <w:pPr>
        <w:tabs>
          <w:tab w:val="left" w:pos="567"/>
          <w:tab w:val="left" w:pos="1701"/>
        </w:tabs>
        <w:rPr>
          <w:rFonts w:eastAsia="PMingLiU"/>
          <w:szCs w:val="24"/>
          <w:lang w:val="es-ES_tradnl"/>
        </w:rPr>
      </w:pPr>
      <w:r w:rsidRPr="00C90461">
        <w:rPr>
          <w:lang w:val="es-ES_tradnl"/>
        </w:rPr>
        <w:tab/>
        <w:t>TWP:</w:t>
      </w:r>
      <w:r w:rsidRPr="00C90461">
        <w:rPr>
          <w:lang w:val="es-ES_tradnl"/>
        </w:rPr>
        <w:tab/>
        <w:t>Grupos de Trabajo Técnico</w:t>
      </w:r>
    </w:p>
    <w:p w14:paraId="771EBB33" w14:textId="15944089" w:rsidR="000759D0" w:rsidRPr="00C90461" w:rsidRDefault="00C90461" w:rsidP="00C90461">
      <w:pPr>
        <w:pStyle w:val="Heading1"/>
        <w:rPr>
          <w:lang w:val="es-ES_tradnl"/>
        </w:rPr>
      </w:pPr>
      <w:bookmarkStart w:id="2" w:name="_Toc143883218"/>
      <w:bookmarkStart w:id="3" w:name="_Toc148112570"/>
      <w:r>
        <w:rPr>
          <w:lang w:val="es-ES_tradnl"/>
        </w:rPr>
        <w:lastRenderedPageBreak/>
        <w:t>II.</w:t>
      </w:r>
      <w:r>
        <w:rPr>
          <w:lang w:val="es-ES_tradnl"/>
        </w:rPr>
        <w:tab/>
      </w:r>
      <w:r w:rsidR="000759D0" w:rsidRPr="00C90461">
        <w:rPr>
          <w:lang w:val="es-ES_tradnl"/>
        </w:rPr>
        <w:t>ANTECEDENTES</w:t>
      </w:r>
      <w:bookmarkEnd w:id="3"/>
    </w:p>
    <w:p w14:paraId="742D8BA9" w14:textId="77777777" w:rsidR="000759D0" w:rsidRPr="00C90461" w:rsidRDefault="000759D0" w:rsidP="00C90461">
      <w:pPr>
        <w:pStyle w:val="Heading1"/>
        <w:rPr>
          <w:lang w:val="es-ES_tradnl"/>
        </w:rPr>
      </w:pPr>
    </w:p>
    <w:p w14:paraId="112C7E88" w14:textId="53FC7500" w:rsidR="0025403D" w:rsidRPr="00C90461" w:rsidRDefault="0025403D" w:rsidP="0025403D">
      <w:pPr>
        <w:keepNext/>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 xml:space="preserve">Los antecedentes sobre esta cuestión previos a 2022 se exponen en el Anexo I del presente documento. </w:t>
      </w:r>
    </w:p>
    <w:p w14:paraId="7D14EF76" w14:textId="77777777" w:rsidR="006C3690" w:rsidRPr="00C90461" w:rsidRDefault="006C3690" w:rsidP="006C3690">
      <w:pPr>
        <w:keepNext/>
        <w:tabs>
          <w:tab w:val="left" w:pos="567"/>
        </w:tabs>
        <w:rPr>
          <w:lang w:val="es-ES_tradnl"/>
        </w:rPr>
      </w:pPr>
    </w:p>
    <w:p w14:paraId="27337E8D" w14:textId="65E2E150" w:rsidR="006C3690" w:rsidRPr="00C90461" w:rsidDel="000759D0" w:rsidRDefault="006C3690" w:rsidP="006C3690">
      <w:pPr>
        <w:keepLines/>
        <w:rPr>
          <w:spacing w:val="-4"/>
          <w:lang w:val="es-ES_tradnl"/>
        </w:rPr>
      </w:pPr>
      <w:r w:rsidRPr="00C90461" w:rsidDel="000759D0">
        <w:rPr>
          <w:lang w:val="es-ES_tradnl"/>
        </w:rPr>
        <w:fldChar w:fldCharType="begin"/>
      </w:r>
      <w:r w:rsidRPr="00C90461" w:rsidDel="000759D0">
        <w:rPr>
          <w:lang w:val="es-ES_tradnl"/>
        </w:rPr>
        <w:instrText xml:space="preserve"> AUTONUM  </w:instrText>
      </w:r>
      <w:r w:rsidRPr="00C90461" w:rsidDel="000759D0">
        <w:rPr>
          <w:lang w:val="es-ES_tradnl"/>
        </w:rPr>
        <w:fldChar w:fldCharType="end"/>
      </w:r>
      <w:r w:rsidRPr="00C90461">
        <w:rPr>
          <w:lang w:val="es-ES_tradnl"/>
        </w:rPr>
        <w:tab/>
        <w:t>En su septuagésima séptima sesión,</w:t>
      </w:r>
      <w:r w:rsidRPr="00C90461">
        <w:rPr>
          <w:rStyle w:val="FootnoteReference"/>
          <w:lang w:val="es-ES_tradnl"/>
        </w:rPr>
        <w:footnoteReference w:id="2"/>
      </w:r>
      <w:r w:rsidRPr="00C90461">
        <w:rPr>
          <w:lang w:val="es-ES_tradnl"/>
        </w:rPr>
        <w:t xml:space="preserve"> el CAJ solicitó a la Oficina de la Unión la elaboración de un documento, para el examen en su septuagésima octava sesión, sobre los siguientes obstáculos normativos o jurídicos que el TC ha señalado como impedimentos para la cooperación internacional en el examen DHE y las posibles medidas para abordar estos obstáculos (véase el párrafo 14 del documento CAJ/77/10 “Informe”): </w:t>
      </w:r>
    </w:p>
    <w:p w14:paraId="7D8AA449" w14:textId="77777777" w:rsidR="006C3690" w:rsidRPr="00C90461" w:rsidDel="000759D0" w:rsidRDefault="006C3690" w:rsidP="006C3690">
      <w:pPr>
        <w:rPr>
          <w:lang w:val="es-ES_tradnl"/>
        </w:rPr>
      </w:pPr>
    </w:p>
    <w:p w14:paraId="4ACD8625" w14:textId="77777777" w:rsidR="006C3690" w:rsidRPr="00C90461" w:rsidDel="000759D0" w:rsidRDefault="006C3690" w:rsidP="006C3690">
      <w:pPr>
        <w:tabs>
          <w:tab w:val="left" w:pos="1134"/>
        </w:tabs>
        <w:ind w:left="567"/>
        <w:rPr>
          <w:spacing w:val="-4"/>
          <w:lang w:val="es-ES_tradnl"/>
        </w:rPr>
      </w:pPr>
      <w:r w:rsidRPr="00C90461">
        <w:rPr>
          <w:lang w:val="es-ES_tradnl"/>
        </w:rPr>
        <w:t>i)</w:t>
      </w:r>
      <w:r w:rsidRPr="00C90461">
        <w:rPr>
          <w:lang w:val="es-ES_tradnl"/>
        </w:rPr>
        <w:tab/>
        <w:t>Obligación de suscribir un acuerdo formal de cooperación</w:t>
      </w:r>
    </w:p>
    <w:p w14:paraId="49A01C92" w14:textId="77777777" w:rsidR="006C3690" w:rsidRPr="00C90461" w:rsidDel="000759D0" w:rsidRDefault="006C3690" w:rsidP="006C3690">
      <w:pPr>
        <w:tabs>
          <w:tab w:val="left" w:pos="1134"/>
        </w:tabs>
        <w:ind w:left="567"/>
        <w:rPr>
          <w:spacing w:val="-4"/>
          <w:lang w:val="es-ES_tradnl"/>
        </w:rPr>
      </w:pPr>
      <w:proofErr w:type="spellStart"/>
      <w:r w:rsidRPr="00C90461">
        <w:rPr>
          <w:lang w:val="es-ES_tradnl"/>
        </w:rPr>
        <w:t>ii</w:t>
      </w:r>
      <w:proofErr w:type="spellEnd"/>
      <w:r w:rsidRPr="00C90461">
        <w:rPr>
          <w:lang w:val="es-ES_tradnl"/>
        </w:rPr>
        <w:t>)</w:t>
      </w:r>
      <w:r w:rsidRPr="00C90461">
        <w:rPr>
          <w:lang w:val="es-ES_tradnl"/>
        </w:rPr>
        <w:tab/>
        <w:t>Obligación de que el examen DHE sea efectuado por la autoridad que concede los títulos;</w:t>
      </w:r>
    </w:p>
    <w:p w14:paraId="1E74F2CB" w14:textId="77777777" w:rsidR="006C3690" w:rsidRPr="00C90461" w:rsidDel="000759D0" w:rsidRDefault="006C3690" w:rsidP="006C3690">
      <w:pPr>
        <w:tabs>
          <w:tab w:val="left" w:pos="1134"/>
        </w:tabs>
        <w:ind w:left="567"/>
        <w:rPr>
          <w:spacing w:val="-4"/>
          <w:lang w:val="es-ES_tradnl"/>
        </w:rPr>
      </w:pPr>
      <w:proofErr w:type="spellStart"/>
      <w:r w:rsidRPr="00C90461">
        <w:rPr>
          <w:lang w:val="es-ES_tradnl"/>
        </w:rPr>
        <w:t>iii</w:t>
      </w:r>
      <w:proofErr w:type="spellEnd"/>
      <w:r w:rsidRPr="00C90461">
        <w:rPr>
          <w:lang w:val="es-ES_tradnl"/>
        </w:rPr>
        <w:t>)</w:t>
      </w:r>
      <w:r w:rsidRPr="00C90461">
        <w:rPr>
          <w:lang w:val="es-ES_tradnl"/>
        </w:rPr>
        <w:tab/>
        <w:t>No se admiten informes de los exámenes DHE realizados por obtentores;</w:t>
      </w:r>
    </w:p>
    <w:p w14:paraId="079322DA" w14:textId="7D773C49" w:rsidR="006C3690" w:rsidRPr="00C90461" w:rsidRDefault="006C3690" w:rsidP="006C3690">
      <w:pPr>
        <w:tabs>
          <w:tab w:val="left" w:pos="1134"/>
        </w:tabs>
        <w:ind w:left="567"/>
        <w:rPr>
          <w:spacing w:val="-4"/>
          <w:lang w:val="es-ES_tradnl"/>
        </w:rPr>
      </w:pPr>
      <w:proofErr w:type="spellStart"/>
      <w:r w:rsidRPr="00C90461">
        <w:rPr>
          <w:lang w:val="es-ES_tradnl"/>
        </w:rPr>
        <w:t>iv</w:t>
      </w:r>
      <w:proofErr w:type="spellEnd"/>
      <w:r w:rsidRPr="00C90461">
        <w:rPr>
          <w:lang w:val="es-ES_tradnl"/>
        </w:rPr>
        <w:t>)</w:t>
      </w:r>
      <w:r w:rsidRPr="00C90461">
        <w:rPr>
          <w:lang w:val="es-ES_tradnl"/>
        </w:rPr>
        <w:tab/>
        <w:t>Deseo de los obtentores de utilizar (o no) los informes DHE existentes</w:t>
      </w:r>
    </w:p>
    <w:p w14:paraId="6250AE42" w14:textId="77777777" w:rsidR="00761EF6" w:rsidRPr="00C90461" w:rsidDel="000759D0" w:rsidRDefault="00761EF6" w:rsidP="006C3690">
      <w:pPr>
        <w:tabs>
          <w:tab w:val="left" w:pos="1134"/>
        </w:tabs>
        <w:ind w:left="567"/>
        <w:rPr>
          <w:spacing w:val="-4"/>
          <w:lang w:val="es-ES_tradnl"/>
        </w:rPr>
      </w:pPr>
    </w:p>
    <w:p w14:paraId="1BD1AC5A" w14:textId="3D6EB064" w:rsidR="000C446D" w:rsidRPr="00C90461" w:rsidRDefault="000C446D" w:rsidP="000C446D">
      <w:pPr>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En su septuagésima novena sesión,</w:t>
      </w:r>
      <w:r w:rsidRPr="00C90461">
        <w:rPr>
          <w:rStyle w:val="FootnoteReference"/>
          <w:lang w:val="es-ES_tradnl"/>
        </w:rPr>
        <w:footnoteReference w:id="3"/>
      </w:r>
      <w:r w:rsidRPr="00C90461">
        <w:rPr>
          <w:lang w:val="es-ES_tradnl"/>
        </w:rPr>
        <w:t xml:space="preserve"> el CAJ aprobó las preguntas propuestas para la encuesta a los miembros de la Unión a fin de obtener información sobre sus obstáculos de política o jurídicos que podrían impedir la cooperación internacional en materia de examen DHE, con la siguiente pregunta adicional al final: “¿Alguna novedad puede aumentar la aceptación de los informes DHE en el futuro?” (véase el párrafo 58 del documento CAJ/79/11 “Informe”).</w:t>
      </w:r>
    </w:p>
    <w:p w14:paraId="6082B648" w14:textId="01557811" w:rsidR="007E52D4" w:rsidRPr="00C90461" w:rsidRDefault="007E52D4" w:rsidP="007E52D4">
      <w:pPr>
        <w:rPr>
          <w:lang w:val="es-ES_tradnl"/>
        </w:rPr>
      </w:pPr>
    </w:p>
    <w:p w14:paraId="46EBD1BB" w14:textId="77777777" w:rsidR="005C266E" w:rsidRPr="00C90461" w:rsidRDefault="005C266E" w:rsidP="007E52D4">
      <w:pPr>
        <w:rPr>
          <w:lang w:val="es-ES_tradnl"/>
        </w:rPr>
      </w:pPr>
    </w:p>
    <w:p w14:paraId="20475233" w14:textId="5FC80097" w:rsidR="00EF28ED" w:rsidRPr="00C90461" w:rsidRDefault="00C90461" w:rsidP="00C90461">
      <w:pPr>
        <w:pStyle w:val="Heading1"/>
        <w:rPr>
          <w:lang w:val="es-ES_tradnl"/>
        </w:rPr>
      </w:pPr>
      <w:bookmarkStart w:id="4" w:name="_Toc148112571"/>
      <w:r>
        <w:rPr>
          <w:lang w:val="es-ES_tradnl"/>
        </w:rPr>
        <w:t>III.</w:t>
      </w:r>
      <w:r>
        <w:rPr>
          <w:lang w:val="es-ES_tradnl"/>
        </w:rPr>
        <w:tab/>
      </w:r>
      <w:r w:rsidR="00EF28ED" w:rsidRPr="00C90461">
        <w:rPr>
          <w:lang w:val="es-ES_tradnl"/>
        </w:rPr>
        <w:t>Encuesta y principales conclusiones:</w:t>
      </w:r>
      <w:bookmarkEnd w:id="2"/>
      <w:bookmarkEnd w:id="4"/>
    </w:p>
    <w:p w14:paraId="284EA0E5" w14:textId="77777777" w:rsidR="00EF28ED" w:rsidRPr="00C90461" w:rsidRDefault="00EF28ED" w:rsidP="008F5DD0">
      <w:pPr>
        <w:keepNext/>
        <w:rPr>
          <w:lang w:val="es-ES_tradnl"/>
        </w:rPr>
      </w:pPr>
    </w:p>
    <w:p w14:paraId="08DC50E2" w14:textId="753C608F" w:rsidR="000C446D" w:rsidRPr="00C90461" w:rsidRDefault="000C446D" w:rsidP="000C446D">
      <w:pPr>
        <w:keepLines/>
        <w:rPr>
          <w:spacing w:val="-4"/>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El 2 de junio de 2023, la Oficina de la Unión envió la circular E-23/091 en la que se invitó a los miembros de la Unión a responder una encuesta sobre sus obstáculos de política o jurídicos que podrían impedir la cooperación internacional en materia de examen DHE. Los resultados de la encuesta se reproducen en el Anexo II del presente documento.</w:t>
      </w:r>
    </w:p>
    <w:p w14:paraId="0717A94C" w14:textId="77777777" w:rsidR="000C446D" w:rsidRPr="00C90461" w:rsidRDefault="000C446D" w:rsidP="000C446D">
      <w:pPr>
        <w:rPr>
          <w:lang w:val="es-ES_tradnl"/>
        </w:rPr>
      </w:pPr>
    </w:p>
    <w:p w14:paraId="31C68F1E" w14:textId="745367E9" w:rsidR="000C446D" w:rsidRPr="00C90461" w:rsidRDefault="000C446D" w:rsidP="000C446D">
      <w:pPr>
        <w:keepNext/>
        <w:keepLines/>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Se recibieron respuestas a la encuesta de los siguientes 43 miembros de la UPOV:</w:t>
      </w:r>
    </w:p>
    <w:p w14:paraId="296D48D1" w14:textId="77777777" w:rsidR="000C446D" w:rsidRPr="00C90461" w:rsidRDefault="000C446D" w:rsidP="000C446D">
      <w:pPr>
        <w:keepNext/>
        <w:keepLines/>
        <w:rPr>
          <w:spacing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2409"/>
        <w:gridCol w:w="1985"/>
        <w:gridCol w:w="2546"/>
      </w:tblGrid>
      <w:tr w:rsidR="000C446D" w:rsidRPr="00C90461" w14:paraId="6B0E8D7F" w14:textId="77777777" w:rsidTr="009D4598">
        <w:tc>
          <w:tcPr>
            <w:tcW w:w="2689" w:type="dxa"/>
            <w:vAlign w:val="center"/>
          </w:tcPr>
          <w:p w14:paraId="608F4860"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Albania </w:t>
            </w:r>
          </w:p>
        </w:tc>
        <w:tc>
          <w:tcPr>
            <w:tcW w:w="2409" w:type="dxa"/>
            <w:vAlign w:val="center"/>
          </w:tcPr>
          <w:p w14:paraId="73D86B88"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República Dominicana </w:t>
            </w:r>
          </w:p>
        </w:tc>
        <w:tc>
          <w:tcPr>
            <w:tcW w:w="1985" w:type="dxa"/>
            <w:vAlign w:val="center"/>
          </w:tcPr>
          <w:p w14:paraId="50A22662"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Jordania </w:t>
            </w:r>
          </w:p>
        </w:tc>
        <w:tc>
          <w:tcPr>
            <w:tcW w:w="2546" w:type="dxa"/>
            <w:vAlign w:val="center"/>
          </w:tcPr>
          <w:p w14:paraId="77A75FAE"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Polonia </w:t>
            </w:r>
          </w:p>
        </w:tc>
      </w:tr>
      <w:tr w:rsidR="000C446D" w:rsidRPr="00C90461" w14:paraId="3222437A" w14:textId="77777777" w:rsidTr="009D4598">
        <w:tc>
          <w:tcPr>
            <w:tcW w:w="2689" w:type="dxa"/>
            <w:vAlign w:val="center"/>
          </w:tcPr>
          <w:p w14:paraId="28572192"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Australia </w:t>
            </w:r>
          </w:p>
        </w:tc>
        <w:tc>
          <w:tcPr>
            <w:tcW w:w="2409" w:type="dxa"/>
            <w:vAlign w:val="center"/>
          </w:tcPr>
          <w:p w14:paraId="31AFAF30"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Ecuador </w:t>
            </w:r>
          </w:p>
        </w:tc>
        <w:tc>
          <w:tcPr>
            <w:tcW w:w="1985" w:type="dxa"/>
            <w:vAlign w:val="center"/>
          </w:tcPr>
          <w:p w14:paraId="3BE0936A" w14:textId="77777777" w:rsidR="000C446D" w:rsidRPr="00C90461" w:rsidRDefault="000C446D" w:rsidP="009D4598">
            <w:pPr>
              <w:keepNext/>
              <w:keepLines/>
              <w:jc w:val="left"/>
              <w:rPr>
                <w:rFonts w:cs="Arial"/>
                <w:spacing w:val="-4"/>
                <w:sz w:val="18"/>
                <w:szCs w:val="18"/>
                <w:lang w:val="es-ES_tradnl"/>
              </w:rPr>
            </w:pPr>
            <w:proofErr w:type="spellStart"/>
            <w:r w:rsidRPr="00C90461">
              <w:rPr>
                <w:rStyle w:val="text"/>
                <w:rFonts w:ascii="Arial" w:hAnsi="Arial"/>
                <w:sz w:val="18"/>
                <w:lang w:val="es-ES_tradnl"/>
              </w:rPr>
              <w:t>Kenya</w:t>
            </w:r>
            <w:proofErr w:type="spellEnd"/>
            <w:r w:rsidRPr="00C90461">
              <w:rPr>
                <w:rStyle w:val="text"/>
                <w:rFonts w:ascii="Arial" w:hAnsi="Arial"/>
                <w:sz w:val="18"/>
                <w:lang w:val="es-ES_tradnl"/>
              </w:rPr>
              <w:t xml:space="preserve"> </w:t>
            </w:r>
          </w:p>
        </w:tc>
        <w:tc>
          <w:tcPr>
            <w:tcW w:w="2546" w:type="dxa"/>
            <w:vAlign w:val="center"/>
          </w:tcPr>
          <w:p w14:paraId="31840E38"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República de Moldova </w:t>
            </w:r>
          </w:p>
        </w:tc>
      </w:tr>
      <w:tr w:rsidR="000C446D" w:rsidRPr="00C90461" w14:paraId="12D42062" w14:textId="77777777" w:rsidTr="009D4598">
        <w:tc>
          <w:tcPr>
            <w:tcW w:w="2689" w:type="dxa"/>
            <w:vAlign w:val="center"/>
          </w:tcPr>
          <w:p w14:paraId="67835D95"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Austria </w:t>
            </w:r>
          </w:p>
        </w:tc>
        <w:tc>
          <w:tcPr>
            <w:tcW w:w="2409" w:type="dxa"/>
            <w:vAlign w:val="center"/>
          </w:tcPr>
          <w:p w14:paraId="35AA1B29"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Egipto </w:t>
            </w:r>
          </w:p>
        </w:tc>
        <w:tc>
          <w:tcPr>
            <w:tcW w:w="1985" w:type="dxa"/>
            <w:vAlign w:val="center"/>
          </w:tcPr>
          <w:p w14:paraId="59E0BB4D"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Lituania </w:t>
            </w:r>
          </w:p>
        </w:tc>
        <w:tc>
          <w:tcPr>
            <w:tcW w:w="2546" w:type="dxa"/>
            <w:vAlign w:val="center"/>
          </w:tcPr>
          <w:p w14:paraId="1D7E56C9"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Rumania </w:t>
            </w:r>
          </w:p>
        </w:tc>
      </w:tr>
      <w:tr w:rsidR="000C446D" w:rsidRPr="00C90461" w14:paraId="601450A2" w14:textId="77777777" w:rsidTr="009D4598">
        <w:tc>
          <w:tcPr>
            <w:tcW w:w="2689" w:type="dxa"/>
            <w:vAlign w:val="center"/>
          </w:tcPr>
          <w:p w14:paraId="6EEB0E64" w14:textId="77777777" w:rsidR="000C446D" w:rsidRPr="00C90461" w:rsidRDefault="000C446D" w:rsidP="009D4598">
            <w:pPr>
              <w:keepNext/>
              <w:keepLines/>
              <w:jc w:val="left"/>
              <w:rPr>
                <w:rFonts w:cs="Arial"/>
                <w:spacing w:val="-4"/>
                <w:sz w:val="18"/>
                <w:szCs w:val="18"/>
                <w:lang w:val="es-ES_tradnl"/>
              </w:rPr>
            </w:pPr>
            <w:proofErr w:type="spellStart"/>
            <w:r w:rsidRPr="00C90461">
              <w:rPr>
                <w:sz w:val="18"/>
                <w:lang w:val="es-ES_tradnl"/>
              </w:rPr>
              <w:t>Belarús</w:t>
            </w:r>
            <w:proofErr w:type="spellEnd"/>
            <w:r w:rsidRPr="00C90461">
              <w:rPr>
                <w:sz w:val="18"/>
                <w:lang w:val="es-ES_tradnl"/>
              </w:rPr>
              <w:t xml:space="preserve"> </w:t>
            </w:r>
          </w:p>
        </w:tc>
        <w:tc>
          <w:tcPr>
            <w:tcW w:w="2409" w:type="dxa"/>
            <w:vAlign w:val="center"/>
          </w:tcPr>
          <w:p w14:paraId="4A93F469"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Estonia </w:t>
            </w:r>
          </w:p>
        </w:tc>
        <w:tc>
          <w:tcPr>
            <w:tcW w:w="1985" w:type="dxa"/>
            <w:vAlign w:val="center"/>
          </w:tcPr>
          <w:p w14:paraId="29143125"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México </w:t>
            </w:r>
          </w:p>
        </w:tc>
        <w:tc>
          <w:tcPr>
            <w:tcW w:w="2546" w:type="dxa"/>
            <w:vAlign w:val="center"/>
          </w:tcPr>
          <w:p w14:paraId="06AE197C"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Serbia </w:t>
            </w:r>
          </w:p>
        </w:tc>
      </w:tr>
      <w:tr w:rsidR="000C446D" w:rsidRPr="00C90461" w14:paraId="3743FE27" w14:textId="77777777" w:rsidTr="009D4598">
        <w:tc>
          <w:tcPr>
            <w:tcW w:w="2689" w:type="dxa"/>
            <w:vAlign w:val="center"/>
          </w:tcPr>
          <w:p w14:paraId="06664599" w14:textId="77777777" w:rsidR="000C446D" w:rsidRPr="00C90461" w:rsidRDefault="000C446D" w:rsidP="009D4598">
            <w:pPr>
              <w:keepNext/>
              <w:keepLines/>
              <w:ind w:right="-92"/>
              <w:jc w:val="left"/>
              <w:rPr>
                <w:rFonts w:cs="Arial"/>
                <w:spacing w:val="-4"/>
                <w:sz w:val="18"/>
                <w:szCs w:val="18"/>
                <w:lang w:val="es-ES_tradnl"/>
              </w:rPr>
            </w:pPr>
            <w:r w:rsidRPr="00C90461">
              <w:rPr>
                <w:sz w:val="18"/>
                <w:lang w:val="es-ES_tradnl"/>
              </w:rPr>
              <w:t xml:space="preserve">Bolivia (Estado Plurinacional de) </w:t>
            </w:r>
          </w:p>
        </w:tc>
        <w:tc>
          <w:tcPr>
            <w:tcW w:w="2409" w:type="dxa"/>
            <w:vAlign w:val="center"/>
          </w:tcPr>
          <w:p w14:paraId="1C88C3E5"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Unión Europea </w:t>
            </w:r>
          </w:p>
        </w:tc>
        <w:tc>
          <w:tcPr>
            <w:tcW w:w="1985" w:type="dxa"/>
            <w:vAlign w:val="center"/>
          </w:tcPr>
          <w:p w14:paraId="45CFDC57"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Montenegro </w:t>
            </w:r>
          </w:p>
        </w:tc>
        <w:tc>
          <w:tcPr>
            <w:tcW w:w="2546" w:type="dxa"/>
            <w:vAlign w:val="center"/>
          </w:tcPr>
          <w:p w14:paraId="5244DFA1"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Sudáfrica </w:t>
            </w:r>
          </w:p>
        </w:tc>
      </w:tr>
      <w:tr w:rsidR="000C446D" w:rsidRPr="00C90461" w14:paraId="14D40BBE" w14:textId="77777777" w:rsidTr="009D4598">
        <w:tc>
          <w:tcPr>
            <w:tcW w:w="2689" w:type="dxa"/>
            <w:vAlign w:val="center"/>
          </w:tcPr>
          <w:p w14:paraId="4679EFC4"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Brasil </w:t>
            </w:r>
          </w:p>
        </w:tc>
        <w:tc>
          <w:tcPr>
            <w:tcW w:w="2409" w:type="dxa"/>
            <w:vAlign w:val="center"/>
          </w:tcPr>
          <w:p w14:paraId="4EF004A0"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Francia </w:t>
            </w:r>
          </w:p>
        </w:tc>
        <w:tc>
          <w:tcPr>
            <w:tcW w:w="1985" w:type="dxa"/>
            <w:vAlign w:val="center"/>
          </w:tcPr>
          <w:p w14:paraId="68EE4078"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Marruecos </w:t>
            </w:r>
          </w:p>
        </w:tc>
        <w:tc>
          <w:tcPr>
            <w:tcW w:w="2546" w:type="dxa"/>
            <w:vAlign w:val="center"/>
          </w:tcPr>
          <w:p w14:paraId="172C2D56"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Suiza </w:t>
            </w:r>
          </w:p>
        </w:tc>
      </w:tr>
      <w:tr w:rsidR="000C446D" w:rsidRPr="00C90461" w14:paraId="3611C15C" w14:textId="77777777" w:rsidTr="009D4598">
        <w:tc>
          <w:tcPr>
            <w:tcW w:w="2689" w:type="dxa"/>
            <w:vAlign w:val="center"/>
          </w:tcPr>
          <w:p w14:paraId="25D34726"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Canadá </w:t>
            </w:r>
          </w:p>
        </w:tc>
        <w:tc>
          <w:tcPr>
            <w:tcW w:w="2409" w:type="dxa"/>
            <w:vAlign w:val="center"/>
          </w:tcPr>
          <w:p w14:paraId="355D4F74"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Ghana </w:t>
            </w:r>
          </w:p>
        </w:tc>
        <w:tc>
          <w:tcPr>
            <w:tcW w:w="1985" w:type="dxa"/>
            <w:vAlign w:val="center"/>
          </w:tcPr>
          <w:p w14:paraId="57BDD607"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Países Bajos </w:t>
            </w:r>
          </w:p>
        </w:tc>
        <w:tc>
          <w:tcPr>
            <w:tcW w:w="2546" w:type="dxa"/>
            <w:vAlign w:val="center"/>
          </w:tcPr>
          <w:p w14:paraId="28C8AFEC"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Túnez </w:t>
            </w:r>
          </w:p>
        </w:tc>
      </w:tr>
      <w:tr w:rsidR="000C446D" w:rsidRPr="00C90461" w14:paraId="36632D79" w14:textId="77777777" w:rsidTr="009D4598">
        <w:tc>
          <w:tcPr>
            <w:tcW w:w="2689" w:type="dxa"/>
            <w:vAlign w:val="center"/>
          </w:tcPr>
          <w:p w14:paraId="6233AAFB" w14:textId="77777777" w:rsidR="000C446D" w:rsidRPr="00C90461" w:rsidRDefault="000C446D" w:rsidP="009D4598">
            <w:pPr>
              <w:keepNext/>
              <w:keepLines/>
              <w:jc w:val="left"/>
              <w:rPr>
                <w:rFonts w:cs="Arial"/>
                <w:spacing w:val="-4"/>
                <w:sz w:val="18"/>
                <w:szCs w:val="18"/>
                <w:lang w:val="es-ES_tradnl"/>
              </w:rPr>
            </w:pPr>
            <w:r w:rsidRPr="00C90461">
              <w:rPr>
                <w:sz w:val="18"/>
                <w:lang w:val="es-ES_tradnl"/>
              </w:rPr>
              <w:t xml:space="preserve">Chile </w:t>
            </w:r>
          </w:p>
        </w:tc>
        <w:tc>
          <w:tcPr>
            <w:tcW w:w="2409" w:type="dxa"/>
            <w:vAlign w:val="center"/>
          </w:tcPr>
          <w:p w14:paraId="733340BD"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Hungría </w:t>
            </w:r>
          </w:p>
        </w:tc>
        <w:tc>
          <w:tcPr>
            <w:tcW w:w="1985" w:type="dxa"/>
            <w:vAlign w:val="center"/>
          </w:tcPr>
          <w:p w14:paraId="10477F89"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Nueva Zelandia </w:t>
            </w:r>
          </w:p>
        </w:tc>
        <w:tc>
          <w:tcPr>
            <w:tcW w:w="2546" w:type="dxa"/>
            <w:vAlign w:val="center"/>
          </w:tcPr>
          <w:p w14:paraId="21F45B66"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Reino Unido </w:t>
            </w:r>
          </w:p>
        </w:tc>
      </w:tr>
      <w:tr w:rsidR="000C446D" w:rsidRPr="00C90461" w14:paraId="6EE9E687" w14:textId="77777777" w:rsidTr="009D4598">
        <w:tc>
          <w:tcPr>
            <w:tcW w:w="2689" w:type="dxa"/>
            <w:vAlign w:val="center"/>
          </w:tcPr>
          <w:p w14:paraId="15D4577F" w14:textId="77777777" w:rsidR="000C446D" w:rsidRPr="00C90461" w:rsidRDefault="000C446D" w:rsidP="009D4598">
            <w:pPr>
              <w:keepNext/>
              <w:keepLines/>
              <w:jc w:val="left"/>
              <w:rPr>
                <w:rFonts w:cs="Arial"/>
                <w:sz w:val="18"/>
                <w:szCs w:val="18"/>
                <w:lang w:val="es-ES_tradnl"/>
              </w:rPr>
            </w:pPr>
            <w:r w:rsidRPr="00C90461">
              <w:rPr>
                <w:sz w:val="18"/>
                <w:lang w:val="es-ES_tradnl"/>
              </w:rPr>
              <w:t xml:space="preserve">China </w:t>
            </w:r>
          </w:p>
        </w:tc>
        <w:tc>
          <w:tcPr>
            <w:tcW w:w="2409" w:type="dxa"/>
            <w:vAlign w:val="center"/>
          </w:tcPr>
          <w:p w14:paraId="0E2D6321"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Irlanda </w:t>
            </w:r>
          </w:p>
        </w:tc>
        <w:tc>
          <w:tcPr>
            <w:tcW w:w="1985" w:type="dxa"/>
            <w:vAlign w:val="center"/>
          </w:tcPr>
          <w:p w14:paraId="7E40A11B"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Noruega </w:t>
            </w:r>
          </w:p>
        </w:tc>
        <w:tc>
          <w:tcPr>
            <w:tcW w:w="2546" w:type="dxa"/>
            <w:vAlign w:val="center"/>
          </w:tcPr>
          <w:p w14:paraId="10718AE3"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República Unida de </w:t>
            </w:r>
            <w:proofErr w:type="spellStart"/>
            <w:r w:rsidRPr="00C90461">
              <w:rPr>
                <w:rStyle w:val="text"/>
                <w:rFonts w:ascii="Arial" w:hAnsi="Arial"/>
                <w:sz w:val="18"/>
                <w:lang w:val="es-ES_tradnl"/>
              </w:rPr>
              <w:t>Tanzanía</w:t>
            </w:r>
            <w:proofErr w:type="spellEnd"/>
            <w:r w:rsidRPr="00C90461">
              <w:rPr>
                <w:rStyle w:val="text"/>
                <w:rFonts w:ascii="Arial" w:hAnsi="Arial"/>
                <w:sz w:val="18"/>
                <w:lang w:val="es-ES_tradnl"/>
              </w:rPr>
              <w:t xml:space="preserve"> </w:t>
            </w:r>
          </w:p>
        </w:tc>
      </w:tr>
      <w:tr w:rsidR="000C446D" w:rsidRPr="00C90461" w14:paraId="246A3DCF" w14:textId="77777777" w:rsidTr="009D4598">
        <w:tc>
          <w:tcPr>
            <w:tcW w:w="2689" w:type="dxa"/>
            <w:vAlign w:val="center"/>
          </w:tcPr>
          <w:p w14:paraId="1E3DAE80" w14:textId="77777777" w:rsidR="000C446D" w:rsidRPr="00C90461" w:rsidRDefault="000C446D" w:rsidP="009D4598">
            <w:pPr>
              <w:keepNext/>
              <w:keepLines/>
              <w:jc w:val="left"/>
              <w:rPr>
                <w:rFonts w:cs="Arial"/>
                <w:sz w:val="18"/>
                <w:szCs w:val="18"/>
                <w:lang w:val="es-ES_tradnl"/>
              </w:rPr>
            </w:pPr>
            <w:r w:rsidRPr="00C90461">
              <w:rPr>
                <w:sz w:val="18"/>
                <w:lang w:val="es-ES_tradnl"/>
              </w:rPr>
              <w:t xml:space="preserve">Croacia </w:t>
            </w:r>
          </w:p>
        </w:tc>
        <w:tc>
          <w:tcPr>
            <w:tcW w:w="2409" w:type="dxa"/>
            <w:vAlign w:val="center"/>
          </w:tcPr>
          <w:p w14:paraId="3F5C15E1"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Israel </w:t>
            </w:r>
          </w:p>
        </w:tc>
        <w:tc>
          <w:tcPr>
            <w:tcW w:w="1985" w:type="dxa"/>
            <w:vAlign w:val="center"/>
          </w:tcPr>
          <w:p w14:paraId="4AC0271D"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Omán </w:t>
            </w:r>
          </w:p>
        </w:tc>
        <w:tc>
          <w:tcPr>
            <w:tcW w:w="2546" w:type="dxa"/>
            <w:vAlign w:val="center"/>
          </w:tcPr>
          <w:p w14:paraId="48A95D39"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Estados Unidos de América </w:t>
            </w:r>
          </w:p>
        </w:tc>
      </w:tr>
      <w:tr w:rsidR="000C446D" w:rsidRPr="00C90461" w14:paraId="6CF1BD50" w14:textId="77777777" w:rsidTr="009D4598">
        <w:tc>
          <w:tcPr>
            <w:tcW w:w="2689" w:type="dxa"/>
            <w:vAlign w:val="center"/>
          </w:tcPr>
          <w:p w14:paraId="1AD1E978" w14:textId="77777777" w:rsidR="000C446D" w:rsidRPr="00C90461" w:rsidRDefault="000C446D" w:rsidP="009D4598">
            <w:pPr>
              <w:keepNext/>
              <w:keepLines/>
              <w:jc w:val="left"/>
              <w:rPr>
                <w:rFonts w:cs="Arial"/>
                <w:sz w:val="18"/>
                <w:szCs w:val="18"/>
                <w:lang w:val="es-ES_tradnl"/>
              </w:rPr>
            </w:pPr>
            <w:r w:rsidRPr="00C90461">
              <w:rPr>
                <w:sz w:val="18"/>
                <w:lang w:val="es-ES_tradnl"/>
              </w:rPr>
              <w:t>Dinamarca</w:t>
            </w:r>
          </w:p>
        </w:tc>
        <w:tc>
          <w:tcPr>
            <w:tcW w:w="2409" w:type="dxa"/>
            <w:vAlign w:val="center"/>
          </w:tcPr>
          <w:p w14:paraId="01F66E13"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Japón </w:t>
            </w:r>
          </w:p>
        </w:tc>
        <w:tc>
          <w:tcPr>
            <w:tcW w:w="1985" w:type="dxa"/>
            <w:vAlign w:val="center"/>
          </w:tcPr>
          <w:p w14:paraId="65E97B55" w14:textId="77777777" w:rsidR="000C446D" w:rsidRPr="00C90461" w:rsidRDefault="000C446D" w:rsidP="009D4598">
            <w:pPr>
              <w:keepNext/>
              <w:keepLines/>
              <w:jc w:val="left"/>
              <w:rPr>
                <w:rFonts w:cs="Arial"/>
                <w:spacing w:val="-4"/>
                <w:sz w:val="18"/>
                <w:szCs w:val="18"/>
                <w:lang w:val="es-ES_tradnl"/>
              </w:rPr>
            </w:pPr>
            <w:r w:rsidRPr="00C90461">
              <w:rPr>
                <w:rStyle w:val="text"/>
                <w:rFonts w:ascii="Arial" w:hAnsi="Arial"/>
                <w:sz w:val="18"/>
                <w:lang w:val="es-ES_tradnl"/>
              </w:rPr>
              <w:t xml:space="preserve">Panamá </w:t>
            </w:r>
          </w:p>
        </w:tc>
        <w:tc>
          <w:tcPr>
            <w:tcW w:w="2546" w:type="dxa"/>
            <w:vAlign w:val="center"/>
          </w:tcPr>
          <w:p w14:paraId="492D6112" w14:textId="77777777" w:rsidR="000C446D" w:rsidRPr="00C90461" w:rsidRDefault="000C446D" w:rsidP="009D4598">
            <w:pPr>
              <w:keepNext/>
              <w:keepLines/>
              <w:jc w:val="left"/>
              <w:rPr>
                <w:rFonts w:cs="Arial"/>
                <w:spacing w:val="-4"/>
                <w:sz w:val="18"/>
                <w:szCs w:val="18"/>
                <w:lang w:val="es-ES_tradnl"/>
              </w:rPr>
            </w:pPr>
          </w:p>
        </w:tc>
      </w:tr>
    </w:tbl>
    <w:p w14:paraId="10F894BC" w14:textId="77777777" w:rsidR="000C446D" w:rsidRPr="00C90461" w:rsidRDefault="000C446D" w:rsidP="000C446D">
      <w:pPr>
        <w:rPr>
          <w:spacing w:val="-4"/>
          <w:lang w:val="es-ES_tradnl"/>
        </w:rPr>
      </w:pPr>
    </w:p>
    <w:p w14:paraId="6A0E35BD" w14:textId="0E649A08" w:rsidR="004322DA" w:rsidRPr="00C90461" w:rsidRDefault="004322DA" w:rsidP="008F5DD0">
      <w:pPr>
        <w:keepNext/>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Las principales conclusiones son las siguientes:</w:t>
      </w:r>
    </w:p>
    <w:p w14:paraId="11567E32" w14:textId="29905722" w:rsidR="007E52D4" w:rsidRPr="00C90461" w:rsidRDefault="007E52D4" w:rsidP="00766123">
      <w:pPr>
        <w:rPr>
          <w:color w:val="404040"/>
          <w:lang w:val="es-ES_tradnl"/>
        </w:rPr>
      </w:pPr>
    </w:p>
    <w:p w14:paraId="216B72AB" w14:textId="77777777" w:rsidR="005C266E" w:rsidRPr="00C90461" w:rsidRDefault="005C266E" w:rsidP="00766123">
      <w:pPr>
        <w:rPr>
          <w:color w:val="404040"/>
          <w:lang w:val="es-ES_tradnl"/>
        </w:rPr>
      </w:pPr>
    </w:p>
    <w:p w14:paraId="61E6AE00" w14:textId="3FE5EE8B" w:rsidR="00823B18" w:rsidRPr="00C90461" w:rsidRDefault="00823B18" w:rsidP="00426434">
      <w:pPr>
        <w:pStyle w:val="Heading2"/>
        <w:rPr>
          <w:lang w:val="es-ES_tradnl"/>
        </w:rPr>
      </w:pPr>
      <w:bookmarkStart w:id="5" w:name="_Toc148112572"/>
      <w:r w:rsidRPr="00C90461">
        <w:rPr>
          <w:lang w:val="es-ES_tradnl"/>
        </w:rPr>
        <w:t>Uso de informes de los exámenes DHE de otros miembros de la UPOV:</w:t>
      </w:r>
      <w:bookmarkEnd w:id="5"/>
    </w:p>
    <w:p w14:paraId="72FD1379" w14:textId="77777777" w:rsidR="00823B18" w:rsidRPr="00C90461" w:rsidRDefault="00823B18" w:rsidP="00F3151E">
      <w:pPr>
        <w:keepNext/>
        <w:keepLines/>
        <w:rPr>
          <w:color w:val="404040"/>
          <w:lang w:val="es-ES_tradnl"/>
        </w:rPr>
      </w:pPr>
    </w:p>
    <w:p w14:paraId="6B5E37F7" w14:textId="5D1DCC4D" w:rsidR="004100F1" w:rsidRPr="00C90461" w:rsidRDefault="001767B8" w:rsidP="00045A6A">
      <w:pPr>
        <w:pStyle w:val="ListParagraph"/>
        <w:keepNext/>
        <w:keepLines/>
        <w:numPr>
          <w:ilvl w:val="0"/>
          <w:numId w:val="15"/>
        </w:numPr>
        <w:spacing w:after="0"/>
        <w:ind w:left="0" w:firstLine="567"/>
        <w:jc w:val="both"/>
        <w:rPr>
          <w:lang w:val="es-ES_tradnl"/>
        </w:rPr>
      </w:pPr>
      <w:r w:rsidRPr="00C90461">
        <w:rPr>
          <w:lang w:val="es-ES_tradnl"/>
        </w:rPr>
        <w:t xml:space="preserve">Todos los encuestados excepto uno (42 de 43 miembros) utilizan informes de los exámenes DHE de otros miembros de la UPOV. </w:t>
      </w:r>
    </w:p>
    <w:p w14:paraId="4EA80B7C" w14:textId="77777777" w:rsidR="00FB2009" w:rsidRPr="00C90461" w:rsidRDefault="00FB2009" w:rsidP="00045A6A">
      <w:pPr>
        <w:pStyle w:val="ListParagraph"/>
        <w:keepNext/>
        <w:keepLines/>
        <w:spacing w:after="0"/>
        <w:ind w:left="0" w:firstLine="567"/>
        <w:jc w:val="both"/>
        <w:rPr>
          <w:lang w:val="es-ES_tradnl"/>
        </w:rPr>
      </w:pPr>
    </w:p>
    <w:p w14:paraId="4568F3CB" w14:textId="51F9624C" w:rsidR="00C603E3" w:rsidRPr="00C90461" w:rsidRDefault="00FB2009" w:rsidP="00045A6A">
      <w:pPr>
        <w:pStyle w:val="ListParagraph"/>
        <w:numPr>
          <w:ilvl w:val="0"/>
          <w:numId w:val="15"/>
        </w:numPr>
        <w:spacing w:after="0"/>
        <w:ind w:left="0" w:firstLine="567"/>
        <w:jc w:val="both"/>
        <w:rPr>
          <w:lang w:val="es-ES_tradnl"/>
        </w:rPr>
      </w:pPr>
      <w:bookmarkStart w:id="6" w:name="_Hlk144736191"/>
      <w:r w:rsidRPr="00C90461">
        <w:rPr>
          <w:lang w:val="es-ES_tradnl"/>
        </w:rPr>
        <w:t xml:space="preserve">El 70 % de los encuestados no usan de manera habitual informes de los exámenes DHE de otros miembros de la UPOV </w:t>
      </w:r>
      <w:bookmarkEnd w:id="6"/>
      <w:r w:rsidRPr="00C90461">
        <w:rPr>
          <w:lang w:val="es-ES_tradnl"/>
        </w:rPr>
        <w:t xml:space="preserve">(30 respuestas): </w:t>
      </w:r>
    </w:p>
    <w:p w14:paraId="59ADE0E8" w14:textId="64D53907" w:rsidR="00C603E3" w:rsidRPr="00C90461" w:rsidRDefault="00C603E3" w:rsidP="00713C33">
      <w:pPr>
        <w:pStyle w:val="ListParagraph"/>
        <w:numPr>
          <w:ilvl w:val="1"/>
          <w:numId w:val="16"/>
        </w:numPr>
        <w:spacing w:after="0"/>
        <w:ind w:left="1701" w:hanging="567"/>
        <w:jc w:val="both"/>
        <w:rPr>
          <w:lang w:val="es-ES_tradnl"/>
        </w:rPr>
      </w:pPr>
      <w:r w:rsidRPr="00C90461">
        <w:rPr>
          <w:lang w:val="es-ES_tradnl"/>
        </w:rPr>
        <w:t>El 42 % de los encuestados están obligados a realizar un examen DHE para las solicitudes (18 respuestas) y solo usan informes de los exámenes DHE de otros miembros de la UPOV en determinadas circunstancias (17 respuestas); y</w:t>
      </w:r>
    </w:p>
    <w:p w14:paraId="20E6F34E" w14:textId="4ADDE54B" w:rsidR="00FB2009" w:rsidRPr="00C90461" w:rsidRDefault="00C603E3" w:rsidP="00713C33">
      <w:pPr>
        <w:pStyle w:val="ListParagraph"/>
        <w:numPr>
          <w:ilvl w:val="1"/>
          <w:numId w:val="16"/>
        </w:numPr>
        <w:spacing w:after="0"/>
        <w:ind w:left="1701" w:hanging="567"/>
        <w:jc w:val="both"/>
        <w:rPr>
          <w:lang w:val="es-ES_tradnl"/>
        </w:rPr>
      </w:pPr>
      <w:r w:rsidRPr="00C90461">
        <w:rPr>
          <w:lang w:val="es-ES_tradnl"/>
        </w:rPr>
        <w:lastRenderedPageBreak/>
        <w:t>El 28 % de los encuestados solo usa informes de los exámenes DHE de otros miembros de la UPOV dentro de un marco jurídico regional (12 respuestas).</w:t>
      </w:r>
    </w:p>
    <w:p w14:paraId="24897A04" w14:textId="77777777" w:rsidR="005A3A52" w:rsidRPr="00C90461" w:rsidRDefault="005A3A52" w:rsidP="005C266E">
      <w:pPr>
        <w:rPr>
          <w:lang w:val="es-ES_tradnl"/>
        </w:rPr>
      </w:pPr>
    </w:p>
    <w:p w14:paraId="6F2745A2" w14:textId="747AF44B" w:rsidR="005361A9" w:rsidRPr="00C90461" w:rsidRDefault="00B45561" w:rsidP="005C266E">
      <w:pPr>
        <w:pStyle w:val="Heading2"/>
        <w:rPr>
          <w:lang w:val="es-ES_tradnl"/>
        </w:rPr>
      </w:pPr>
      <w:bookmarkStart w:id="7" w:name="_Toc148112573"/>
      <w:r w:rsidRPr="00C90461">
        <w:rPr>
          <w:lang w:val="es-ES_tradnl"/>
        </w:rPr>
        <w:t>Condiciones para utilizar informes de los exámenes DHE de otros miembros de la UPOV:</w:t>
      </w:r>
      <w:bookmarkEnd w:id="7"/>
    </w:p>
    <w:p w14:paraId="2CA43F02" w14:textId="1EFA025E" w:rsidR="00485008" w:rsidRPr="00C90461" w:rsidRDefault="00485008" w:rsidP="005C266E">
      <w:pPr>
        <w:pStyle w:val="ListParagraph"/>
        <w:keepNext/>
        <w:spacing w:after="0"/>
        <w:ind w:left="567"/>
        <w:jc w:val="both"/>
        <w:rPr>
          <w:lang w:val="es-ES_tradnl"/>
        </w:rPr>
      </w:pPr>
    </w:p>
    <w:p w14:paraId="2219AEEE" w14:textId="244D4683" w:rsidR="00DD593C" w:rsidRPr="00C90461" w:rsidRDefault="009D4598" w:rsidP="005C266E">
      <w:pPr>
        <w:pStyle w:val="ListParagraph"/>
        <w:keepNext/>
        <w:keepLines/>
        <w:numPr>
          <w:ilvl w:val="0"/>
          <w:numId w:val="17"/>
        </w:numPr>
        <w:tabs>
          <w:tab w:val="left" w:pos="567"/>
        </w:tabs>
        <w:spacing w:after="0"/>
        <w:ind w:left="567" w:firstLine="0"/>
        <w:jc w:val="both"/>
        <w:rPr>
          <w:spacing w:val="-4"/>
          <w:lang w:val="es-ES_tradnl"/>
        </w:rPr>
      </w:pPr>
      <w:r w:rsidRPr="00C90461">
        <w:rPr>
          <w:lang w:val="es-ES_tradnl"/>
        </w:rPr>
        <w:t xml:space="preserve">Condiciones para utilizar informes de los exámenes DHE de otros miembros de la UPOV: </w:t>
      </w:r>
    </w:p>
    <w:p w14:paraId="573E5F61" w14:textId="0BF0FBE4" w:rsidR="00DD593C" w:rsidRPr="00C90461" w:rsidRDefault="00DD593C" w:rsidP="00713C33">
      <w:pPr>
        <w:pStyle w:val="ListParagraph"/>
        <w:keepNext/>
        <w:keepLines/>
        <w:numPr>
          <w:ilvl w:val="0"/>
          <w:numId w:val="19"/>
        </w:numPr>
        <w:spacing w:after="0"/>
        <w:ind w:left="1701" w:hanging="567"/>
        <w:jc w:val="both"/>
        <w:rPr>
          <w:lang w:val="es-ES_tradnl"/>
        </w:rPr>
      </w:pPr>
      <w:r w:rsidRPr="00C90461">
        <w:rPr>
          <w:lang w:val="es-ES_tradnl"/>
        </w:rPr>
        <w:t>El 58 % de los encuestados tienen condiciones para utilizar informes de los exámenes DHE de otros miembros de la UPOV (25 respuestas). De estos, el 48 % (12 respuestas) indicó que los requisitos están dispuestos en su legislación. Los 13 encuestados restantes manifestaron que las condiciones se establecen en sus reglamentos, procedimientos administrativos, políticas internas o en prácticas u orientaciones de la oficina.</w:t>
      </w:r>
    </w:p>
    <w:p w14:paraId="783985A5" w14:textId="77777777" w:rsidR="00DD593C" w:rsidRPr="00C90461" w:rsidRDefault="00DD593C" w:rsidP="00485008">
      <w:pPr>
        <w:pStyle w:val="ListParagraph"/>
        <w:spacing w:after="0"/>
        <w:ind w:left="567"/>
        <w:jc w:val="both"/>
        <w:rPr>
          <w:lang w:val="es-ES_tradnl"/>
        </w:rPr>
      </w:pPr>
    </w:p>
    <w:p w14:paraId="2CE53CCA" w14:textId="000FCA12" w:rsidR="00B426D3" w:rsidRPr="00C90461" w:rsidRDefault="005F5962" w:rsidP="00713C33">
      <w:pPr>
        <w:pStyle w:val="ListParagraph"/>
        <w:numPr>
          <w:ilvl w:val="0"/>
          <w:numId w:val="17"/>
        </w:numPr>
        <w:spacing w:after="0"/>
        <w:ind w:left="1134" w:hanging="567"/>
        <w:jc w:val="both"/>
        <w:rPr>
          <w:lang w:val="es-ES_tradnl"/>
        </w:rPr>
      </w:pPr>
      <w:r w:rsidRPr="00C90461">
        <w:rPr>
          <w:lang w:val="es-ES_tradnl"/>
        </w:rPr>
        <w:t xml:space="preserve">Acuerdo formal: </w:t>
      </w:r>
    </w:p>
    <w:p w14:paraId="010C8CB0" w14:textId="63AE45DA" w:rsidR="005F5962" w:rsidRPr="00C90461" w:rsidRDefault="005F5962" w:rsidP="00713C33">
      <w:pPr>
        <w:pStyle w:val="ListParagraph"/>
        <w:numPr>
          <w:ilvl w:val="1"/>
          <w:numId w:val="21"/>
        </w:numPr>
        <w:spacing w:after="0"/>
        <w:ind w:left="1701" w:hanging="567"/>
        <w:jc w:val="both"/>
        <w:rPr>
          <w:lang w:val="es-ES_tradnl"/>
        </w:rPr>
      </w:pPr>
      <w:r w:rsidRPr="00C90461">
        <w:rPr>
          <w:lang w:val="es-ES_tradnl"/>
        </w:rPr>
        <w:t>El 20 % de los encuestados requieren un acuerdo formal para utilizar informes de los exámenes DHE de otros miembros de la UPOV (nueve respuestas).</w:t>
      </w:r>
    </w:p>
    <w:p w14:paraId="2FBAA386" w14:textId="77777777" w:rsidR="00534F19" w:rsidRPr="00C90461" w:rsidRDefault="00534F19" w:rsidP="00534F19">
      <w:pPr>
        <w:pStyle w:val="ListParagraph"/>
        <w:spacing w:after="0"/>
        <w:ind w:left="1701"/>
        <w:jc w:val="both"/>
        <w:rPr>
          <w:lang w:val="es-ES_tradnl"/>
        </w:rPr>
      </w:pPr>
    </w:p>
    <w:p w14:paraId="24C378D9" w14:textId="0C468DC8" w:rsidR="001B25D6" w:rsidRPr="00C90461" w:rsidRDefault="001B25D6" w:rsidP="00713C33">
      <w:pPr>
        <w:pStyle w:val="ListParagraph"/>
        <w:keepNext/>
        <w:keepLines/>
        <w:numPr>
          <w:ilvl w:val="1"/>
          <w:numId w:val="21"/>
        </w:numPr>
        <w:spacing w:after="0"/>
        <w:ind w:left="1701" w:hanging="567"/>
        <w:jc w:val="both"/>
        <w:rPr>
          <w:lang w:val="es-ES_tradnl"/>
        </w:rPr>
      </w:pPr>
      <w:r w:rsidRPr="00C90461">
        <w:rPr>
          <w:lang w:val="es-ES_tradnl"/>
        </w:rPr>
        <w:t xml:space="preserve">De los nueve encuestados que requieren un acuerdo formal para utilizar informes de los exámenes DHE de otros miembros de la UPOV, cuatro indicaron que este requisito se dispone en su legislación. Los cinco encuestados restantes tienen este requisito especificado en sus procedimientos administrativos. </w:t>
      </w:r>
    </w:p>
    <w:p w14:paraId="00444C5B" w14:textId="77777777" w:rsidR="005F5962" w:rsidRPr="00C90461" w:rsidRDefault="005F5962" w:rsidP="005F5962">
      <w:pPr>
        <w:pStyle w:val="ListParagraph"/>
        <w:spacing w:after="0"/>
        <w:ind w:left="567"/>
        <w:jc w:val="both"/>
        <w:rPr>
          <w:lang w:val="es-ES_tradnl"/>
        </w:rPr>
      </w:pPr>
    </w:p>
    <w:p w14:paraId="029E4093" w14:textId="77777777" w:rsidR="00B426D3" w:rsidRPr="00C90461" w:rsidRDefault="00485008" w:rsidP="00713C33">
      <w:pPr>
        <w:pStyle w:val="ListParagraph"/>
        <w:keepNext/>
        <w:numPr>
          <w:ilvl w:val="0"/>
          <w:numId w:val="17"/>
        </w:numPr>
        <w:tabs>
          <w:tab w:val="left" w:pos="567"/>
        </w:tabs>
        <w:spacing w:after="0"/>
        <w:ind w:left="1134" w:hanging="567"/>
        <w:jc w:val="both"/>
        <w:rPr>
          <w:spacing w:val="-4"/>
          <w:lang w:val="es-ES_tradnl"/>
        </w:rPr>
      </w:pPr>
      <w:r w:rsidRPr="00C90461">
        <w:rPr>
          <w:lang w:val="es-ES_tradnl"/>
        </w:rPr>
        <w:t xml:space="preserve">Directrices de examen: </w:t>
      </w:r>
    </w:p>
    <w:p w14:paraId="4A49290B" w14:textId="22D578B1" w:rsidR="00B426D3" w:rsidRPr="00C90461" w:rsidRDefault="00C70B32" w:rsidP="0071676A">
      <w:pPr>
        <w:pStyle w:val="ListParagraph"/>
        <w:keepNext/>
        <w:numPr>
          <w:ilvl w:val="0"/>
          <w:numId w:val="31"/>
        </w:numPr>
        <w:tabs>
          <w:tab w:val="left" w:pos="567"/>
        </w:tabs>
        <w:spacing w:after="0"/>
        <w:ind w:left="1701" w:hanging="567"/>
        <w:jc w:val="both"/>
        <w:rPr>
          <w:spacing w:val="-4"/>
          <w:lang w:val="es-ES_tradnl"/>
        </w:rPr>
      </w:pPr>
      <w:r w:rsidRPr="00C90461">
        <w:rPr>
          <w:lang w:val="es-ES_tradnl"/>
        </w:rPr>
        <w:t xml:space="preserve">Para utilizar informes de los exámenes DHE de otros miembros de la UPOV, el 70 % de los encuestados requiere que las descripciones de variedades se ajusten a los caracteres de las directrices de examen de la UPOV. </w:t>
      </w:r>
    </w:p>
    <w:p w14:paraId="4418F141" w14:textId="0A80A662" w:rsidR="003D2F73" w:rsidRPr="00C90461" w:rsidRDefault="003D2F73" w:rsidP="0071676A">
      <w:pPr>
        <w:keepNext/>
        <w:tabs>
          <w:tab w:val="left" w:pos="567"/>
        </w:tabs>
        <w:ind w:left="1134"/>
        <w:rPr>
          <w:spacing w:val="-4"/>
          <w:lang w:val="es-ES_tradnl"/>
        </w:rPr>
      </w:pPr>
    </w:p>
    <w:p w14:paraId="761B7780" w14:textId="21451371" w:rsidR="003D2F73" w:rsidRPr="00C90461" w:rsidRDefault="00C70B32" w:rsidP="0071676A">
      <w:pPr>
        <w:pStyle w:val="ListParagraph"/>
        <w:keepNext/>
        <w:numPr>
          <w:ilvl w:val="0"/>
          <w:numId w:val="31"/>
        </w:numPr>
        <w:tabs>
          <w:tab w:val="left" w:pos="567"/>
        </w:tabs>
        <w:spacing w:after="0"/>
        <w:ind w:left="1701" w:hanging="567"/>
        <w:jc w:val="both"/>
        <w:rPr>
          <w:spacing w:val="-4"/>
          <w:lang w:val="es-ES_tradnl"/>
        </w:rPr>
      </w:pPr>
      <w:r w:rsidRPr="00C90461">
        <w:rPr>
          <w:lang w:val="es-ES_tradnl"/>
        </w:rPr>
        <w:t>Para utilizar informes de los exámenes de otros miembros de la UPOV, el 53% de los encuestados requiere que las descripciones de variedades se ajusten a los caracteres de sus propias directrices de examen.</w:t>
      </w:r>
    </w:p>
    <w:p w14:paraId="7A08079E" w14:textId="3FD82F74" w:rsidR="00485008" w:rsidRPr="00C90461" w:rsidRDefault="00485008" w:rsidP="00485008">
      <w:pPr>
        <w:pStyle w:val="ListParagraph"/>
        <w:tabs>
          <w:tab w:val="left" w:pos="567"/>
        </w:tabs>
        <w:spacing w:after="0"/>
        <w:ind w:left="567"/>
        <w:jc w:val="both"/>
        <w:rPr>
          <w:spacing w:val="-4"/>
          <w:lang w:val="es-ES_tradnl"/>
        </w:rPr>
      </w:pPr>
    </w:p>
    <w:p w14:paraId="1F8DFDD6" w14:textId="45DFD34B" w:rsidR="007F0436" w:rsidRPr="00C90461" w:rsidRDefault="00485008" w:rsidP="00713C33">
      <w:pPr>
        <w:pStyle w:val="ListParagraph"/>
        <w:keepNext/>
        <w:keepLines/>
        <w:numPr>
          <w:ilvl w:val="0"/>
          <w:numId w:val="17"/>
        </w:numPr>
        <w:spacing w:after="0"/>
        <w:ind w:left="1134" w:hanging="567"/>
        <w:jc w:val="both"/>
        <w:rPr>
          <w:lang w:val="es-ES_tradnl"/>
        </w:rPr>
      </w:pPr>
      <w:r w:rsidRPr="00C90461">
        <w:rPr>
          <w:lang w:val="es-ES_tradnl"/>
        </w:rPr>
        <w:t xml:space="preserve">Uso de las instalaciones de los obtentores: </w:t>
      </w:r>
    </w:p>
    <w:p w14:paraId="211939E0" w14:textId="67E2A31D" w:rsidR="00485008" w:rsidRPr="00C90461" w:rsidRDefault="00485008" w:rsidP="00713C33">
      <w:pPr>
        <w:pStyle w:val="ListParagraph"/>
        <w:keepNext/>
        <w:keepLines/>
        <w:numPr>
          <w:ilvl w:val="1"/>
          <w:numId w:val="26"/>
        </w:numPr>
        <w:spacing w:after="0"/>
        <w:ind w:left="1701" w:hanging="567"/>
        <w:jc w:val="both"/>
        <w:rPr>
          <w:lang w:val="es-ES_tradnl"/>
        </w:rPr>
      </w:pPr>
      <w:r w:rsidRPr="00C90461">
        <w:rPr>
          <w:lang w:val="es-ES_tradnl"/>
        </w:rPr>
        <w:t xml:space="preserve">El 30% de los encuestados no usan informes de los exámenes DHE de otros miembros de la UPOV cuando estos se basan en exámenes realizados en las instalaciones de los obtentores. El 44% de los encuestados usan informes de los exámenes DHE de otros miembros de la UPOV realizados en las instalaciones de los obtentores en determinadas condiciones. El 26 % restante de los encuestados usan informes de los exámenes DHE de otros miembros de la UPOV realizados en las instalaciones de los obtentores sin condiciones especiales. </w:t>
      </w:r>
    </w:p>
    <w:p w14:paraId="3CBD7AB3" w14:textId="77777777" w:rsidR="00534F19" w:rsidRPr="00C90461" w:rsidRDefault="00534F19" w:rsidP="00534F19">
      <w:pPr>
        <w:pStyle w:val="ListParagraph"/>
        <w:keepNext/>
        <w:keepLines/>
        <w:spacing w:after="0"/>
        <w:ind w:left="1701"/>
        <w:jc w:val="both"/>
        <w:rPr>
          <w:lang w:val="es-ES_tradnl"/>
        </w:rPr>
      </w:pPr>
    </w:p>
    <w:p w14:paraId="630E3B97" w14:textId="32199944" w:rsidR="007F0436" w:rsidRPr="00C90461" w:rsidRDefault="007F0436" w:rsidP="00713C33">
      <w:pPr>
        <w:pStyle w:val="ListParagraph"/>
        <w:keepNext/>
        <w:keepLines/>
        <w:numPr>
          <w:ilvl w:val="1"/>
          <w:numId w:val="26"/>
        </w:numPr>
        <w:spacing w:after="0"/>
        <w:ind w:left="1701" w:hanging="567"/>
        <w:jc w:val="both"/>
        <w:rPr>
          <w:lang w:val="es-ES_tradnl"/>
        </w:rPr>
      </w:pPr>
      <w:r w:rsidRPr="00C90461">
        <w:rPr>
          <w:lang w:val="es-ES_tradnl"/>
        </w:rPr>
        <w:t>De los 32 encuestados que declararon que no usan o que usan solo en determinadas circunstancias informes de los exámenes DHE de otros miembros de la UPOV realizados en las instalaciones experimentales de los obtentores, el 47 % indicó que el motivo para no aceptarlos o las condiciones para usarlos están dispuestos en su legislación. El 53 % restante indicó que están especificados en reglamentos o procedimientos administrativos.</w:t>
      </w:r>
    </w:p>
    <w:p w14:paraId="72BC4B65" w14:textId="77777777" w:rsidR="003F6357" w:rsidRPr="00C90461" w:rsidRDefault="003F6357" w:rsidP="003F6357">
      <w:pPr>
        <w:pStyle w:val="ListParagraph"/>
        <w:spacing w:after="0"/>
        <w:ind w:left="567"/>
        <w:jc w:val="both"/>
        <w:rPr>
          <w:lang w:val="es-ES_tradnl"/>
        </w:rPr>
      </w:pPr>
    </w:p>
    <w:p w14:paraId="05C18B8F" w14:textId="7F628A48" w:rsidR="00B426D3" w:rsidRPr="00C90461" w:rsidRDefault="003F6357" w:rsidP="00713C33">
      <w:pPr>
        <w:pStyle w:val="ListParagraph"/>
        <w:keepLines/>
        <w:numPr>
          <w:ilvl w:val="0"/>
          <w:numId w:val="17"/>
        </w:numPr>
        <w:tabs>
          <w:tab w:val="left" w:pos="567"/>
        </w:tabs>
        <w:spacing w:after="0"/>
        <w:ind w:left="1134" w:hanging="567"/>
        <w:jc w:val="both"/>
        <w:rPr>
          <w:spacing w:val="-4"/>
          <w:lang w:val="es-ES_tradnl"/>
        </w:rPr>
      </w:pPr>
      <w:r w:rsidRPr="00C90461">
        <w:rPr>
          <w:lang w:val="es-ES_tradnl"/>
        </w:rPr>
        <w:t xml:space="preserve">Requerimiento de material vegetal: </w:t>
      </w:r>
    </w:p>
    <w:p w14:paraId="461E45EA" w14:textId="36C7427A" w:rsidR="00B426D3" w:rsidRPr="00C90461" w:rsidRDefault="00C70B32" w:rsidP="00713C33">
      <w:pPr>
        <w:pStyle w:val="ListParagraph"/>
        <w:keepLines/>
        <w:numPr>
          <w:ilvl w:val="1"/>
          <w:numId w:val="27"/>
        </w:numPr>
        <w:tabs>
          <w:tab w:val="left" w:pos="567"/>
        </w:tabs>
        <w:spacing w:after="0"/>
        <w:ind w:left="1701" w:hanging="567"/>
        <w:jc w:val="both"/>
        <w:rPr>
          <w:spacing w:val="-4"/>
          <w:lang w:val="es-ES_tradnl"/>
        </w:rPr>
      </w:pPr>
      <w:r w:rsidRPr="00C90461">
        <w:rPr>
          <w:lang w:val="es-ES_tradnl"/>
        </w:rPr>
        <w:t xml:space="preserve">Casi la mitad de los encuestados (49 %) no aceptan motivos fitosanitarios, que impidan o retrasen la presentación de material vegetal, como fundamento para usar informes de los exámenes DHE de otros miembros de la UPOV. </w:t>
      </w:r>
    </w:p>
    <w:p w14:paraId="76B6F3A7" w14:textId="77777777" w:rsidR="00534F19" w:rsidRPr="00C90461" w:rsidRDefault="00534F19" w:rsidP="00534F19">
      <w:pPr>
        <w:pStyle w:val="ListParagraph"/>
        <w:keepLines/>
        <w:tabs>
          <w:tab w:val="left" w:pos="567"/>
        </w:tabs>
        <w:spacing w:after="0"/>
        <w:ind w:left="1701"/>
        <w:jc w:val="both"/>
        <w:rPr>
          <w:spacing w:val="-4"/>
          <w:lang w:val="es-ES_tradnl"/>
        </w:rPr>
      </w:pPr>
    </w:p>
    <w:p w14:paraId="3CA545CC" w14:textId="6B915B6C" w:rsidR="003F6357" w:rsidRPr="00C90461" w:rsidRDefault="00C70B32" w:rsidP="00713C33">
      <w:pPr>
        <w:pStyle w:val="ListParagraph"/>
        <w:keepLines/>
        <w:numPr>
          <w:ilvl w:val="1"/>
          <w:numId w:val="27"/>
        </w:numPr>
        <w:tabs>
          <w:tab w:val="left" w:pos="567"/>
        </w:tabs>
        <w:spacing w:after="0"/>
        <w:ind w:left="1701" w:hanging="567"/>
        <w:jc w:val="both"/>
        <w:rPr>
          <w:spacing w:val="-4"/>
          <w:lang w:val="es-ES_tradnl"/>
        </w:rPr>
      </w:pPr>
      <w:r w:rsidRPr="00C90461">
        <w:rPr>
          <w:lang w:val="es-ES_tradnl"/>
        </w:rPr>
        <w:t>Entre los encuestados que sí aceptan utilizar informes de examen DHE cuando los solicitantes no puedan presentar material vegetal por motivos fitosanitarios u otras cuestiones conexas, algunos indicaron en los comentarios que exigen una muestra del material vegetal antes de conceder el derecho.</w:t>
      </w:r>
    </w:p>
    <w:p w14:paraId="70F4078F" w14:textId="4D636026" w:rsidR="00FB2009" w:rsidRPr="00C90461" w:rsidRDefault="00FB2009" w:rsidP="00B97376">
      <w:pPr>
        <w:rPr>
          <w:lang w:val="es-ES_tradnl"/>
        </w:rPr>
      </w:pPr>
    </w:p>
    <w:p w14:paraId="7A58883C" w14:textId="1414B66D" w:rsidR="00CF75C9" w:rsidRPr="00C90461" w:rsidRDefault="002818D4" w:rsidP="003B5311">
      <w:pPr>
        <w:pStyle w:val="Heading2"/>
        <w:rPr>
          <w:lang w:val="es-ES_tradnl"/>
        </w:rPr>
      </w:pPr>
      <w:bookmarkStart w:id="8" w:name="_Toc148112574"/>
      <w:r w:rsidRPr="00C90461">
        <w:rPr>
          <w:lang w:val="es-ES_tradnl"/>
        </w:rPr>
        <w:lastRenderedPageBreak/>
        <w:t>Motivos principales para no utilizar informes de los exámenes DHE de otros miembros de la UPOV:</w:t>
      </w:r>
      <w:bookmarkEnd w:id="8"/>
    </w:p>
    <w:p w14:paraId="225F52A6" w14:textId="40E9A14F" w:rsidR="00E3004E" w:rsidRPr="00C90461" w:rsidRDefault="00E3004E" w:rsidP="003B5311">
      <w:pPr>
        <w:keepNext/>
        <w:rPr>
          <w:lang w:val="es-ES_tradnl"/>
        </w:rPr>
      </w:pPr>
    </w:p>
    <w:p w14:paraId="50A503D2" w14:textId="47D0D162" w:rsidR="00F13128" w:rsidRPr="00C90461" w:rsidRDefault="00F13128" w:rsidP="00F13128">
      <w:pPr>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A partir de la encuesta y las principales conclusiones resumidas en el</w:t>
      </w:r>
      <w:r w:rsidR="0099516F" w:rsidRPr="00C90461">
        <w:rPr>
          <w:lang w:val="es-ES_tradnl"/>
        </w:rPr>
        <w:t xml:space="preserve"> </w:t>
      </w:r>
      <w:r w:rsidRPr="00C90461">
        <w:rPr>
          <w:lang w:val="es-ES_tradnl"/>
        </w:rPr>
        <w:t>párrafo 10, se ha detectado que los motivos más importantes para no utilizar informes de los exámenes DHE de otros miembros de la UPOV son los siguientes:</w:t>
      </w:r>
    </w:p>
    <w:p w14:paraId="41119168" w14:textId="77777777" w:rsidR="00F24852" w:rsidRPr="00C90461" w:rsidRDefault="00F24852" w:rsidP="00F24852">
      <w:pPr>
        <w:pStyle w:val="ListParagraph"/>
        <w:spacing w:after="0"/>
        <w:ind w:left="567"/>
        <w:jc w:val="both"/>
        <w:rPr>
          <w:lang w:val="es-ES_tradnl"/>
        </w:rPr>
      </w:pPr>
    </w:p>
    <w:p w14:paraId="5DAAD378" w14:textId="4CD98FC6" w:rsidR="00860419" w:rsidRPr="00C90461" w:rsidRDefault="0074214B" w:rsidP="009B2303">
      <w:pPr>
        <w:pStyle w:val="ListParagraph"/>
        <w:numPr>
          <w:ilvl w:val="0"/>
          <w:numId w:val="28"/>
        </w:numPr>
        <w:spacing w:after="0"/>
        <w:ind w:left="0" w:firstLine="567"/>
        <w:jc w:val="both"/>
        <w:rPr>
          <w:lang w:val="es-ES_tradnl"/>
        </w:rPr>
      </w:pPr>
      <w:r w:rsidRPr="00C90461">
        <w:rPr>
          <w:lang w:val="es-ES_tradnl"/>
        </w:rPr>
        <w:t>La decisión política de mantener la capacidad interna para el examen DHE (70 % de las respuestas).</w:t>
      </w:r>
    </w:p>
    <w:p w14:paraId="0EFBDA68" w14:textId="77777777" w:rsidR="001E3DE2" w:rsidRPr="00C90461" w:rsidRDefault="001E3DE2" w:rsidP="009B2303">
      <w:pPr>
        <w:pStyle w:val="ListParagraph"/>
        <w:spacing w:after="0"/>
        <w:ind w:left="0" w:firstLine="567"/>
        <w:jc w:val="both"/>
        <w:rPr>
          <w:lang w:val="es-ES_tradnl"/>
        </w:rPr>
      </w:pPr>
    </w:p>
    <w:p w14:paraId="49DCFFF9" w14:textId="7A75DA15" w:rsidR="00E3004E" w:rsidRPr="00C90461" w:rsidRDefault="00E3004E" w:rsidP="009B2303">
      <w:pPr>
        <w:pStyle w:val="ListParagraph"/>
        <w:numPr>
          <w:ilvl w:val="0"/>
          <w:numId w:val="28"/>
        </w:numPr>
        <w:spacing w:after="0"/>
        <w:ind w:left="0" w:firstLine="567"/>
        <w:jc w:val="both"/>
        <w:rPr>
          <w:lang w:val="es-ES_tradnl"/>
        </w:rPr>
      </w:pPr>
      <w:r w:rsidRPr="00C90461">
        <w:rPr>
          <w:lang w:val="es-ES_tradnl"/>
        </w:rPr>
        <w:t xml:space="preserve">La integridad y pertinencia de las colecciones de variedades. </w:t>
      </w:r>
    </w:p>
    <w:p w14:paraId="2A79FEEF" w14:textId="77777777" w:rsidR="00E3004E" w:rsidRPr="00C90461" w:rsidRDefault="00E3004E" w:rsidP="009B2303">
      <w:pPr>
        <w:ind w:firstLine="567"/>
        <w:rPr>
          <w:lang w:val="es-ES_tradnl"/>
        </w:rPr>
      </w:pPr>
    </w:p>
    <w:p w14:paraId="07668838" w14:textId="74BBB5ED" w:rsidR="00D50C5A" w:rsidRPr="00C90461" w:rsidRDefault="00D50C5A" w:rsidP="009B2303">
      <w:pPr>
        <w:pStyle w:val="ListParagraph"/>
        <w:numPr>
          <w:ilvl w:val="0"/>
          <w:numId w:val="28"/>
        </w:numPr>
        <w:spacing w:after="0"/>
        <w:ind w:left="0" w:firstLine="567"/>
        <w:jc w:val="both"/>
        <w:rPr>
          <w:lang w:val="es-ES_tradnl"/>
        </w:rPr>
      </w:pPr>
      <w:r w:rsidRPr="00C90461">
        <w:rPr>
          <w:lang w:val="es-ES_tradnl"/>
        </w:rPr>
        <w:t>El efecto del medio ambiente en la expresión de los caracteres.</w:t>
      </w:r>
    </w:p>
    <w:p w14:paraId="1256459F" w14:textId="77777777" w:rsidR="00C24FDA" w:rsidRPr="00C90461" w:rsidRDefault="00C24FDA" w:rsidP="009B2303">
      <w:pPr>
        <w:pStyle w:val="ListParagraph"/>
        <w:spacing w:after="0"/>
        <w:ind w:left="0" w:firstLine="567"/>
        <w:jc w:val="both"/>
        <w:rPr>
          <w:lang w:val="es-ES_tradnl"/>
        </w:rPr>
      </w:pPr>
    </w:p>
    <w:p w14:paraId="08CC99F6" w14:textId="6E0BB7FC" w:rsidR="009D4598" w:rsidRPr="00C90461" w:rsidRDefault="00855A6C" w:rsidP="009B2303">
      <w:pPr>
        <w:pStyle w:val="ListParagraph"/>
        <w:numPr>
          <w:ilvl w:val="0"/>
          <w:numId w:val="28"/>
        </w:numPr>
        <w:tabs>
          <w:tab w:val="left" w:pos="1134"/>
        </w:tabs>
        <w:spacing w:after="0"/>
        <w:ind w:left="0" w:firstLine="567"/>
        <w:jc w:val="both"/>
        <w:rPr>
          <w:lang w:val="es-ES_tradnl"/>
        </w:rPr>
      </w:pPr>
      <w:r w:rsidRPr="00C90461">
        <w:rPr>
          <w:lang w:val="es-ES_tradnl"/>
        </w:rPr>
        <w:t xml:space="preserve">En algunos casos, en el informe de examen falta información que permita utilizarlo (p. ej. falta el fundamento de la distinción respecto de la variedad más similar, las variedades notoriamente conocidas en el mismo ensayo; caracteres de las directrices de examen de la UPOV o nacionales en la descripción de la variedad) (70 % de las respuestas). </w:t>
      </w:r>
    </w:p>
    <w:p w14:paraId="38378FDD" w14:textId="77777777" w:rsidR="009D4598" w:rsidRPr="00C90461" w:rsidRDefault="009D4598" w:rsidP="009B2303">
      <w:pPr>
        <w:pStyle w:val="ListParagraph"/>
        <w:spacing w:after="0"/>
        <w:ind w:left="0" w:firstLine="567"/>
        <w:rPr>
          <w:lang w:val="es-ES_tradnl"/>
        </w:rPr>
      </w:pPr>
    </w:p>
    <w:p w14:paraId="72097B94" w14:textId="67B50C16" w:rsidR="00C24FDA" w:rsidRPr="00C90461" w:rsidRDefault="009D4598" w:rsidP="009B2303">
      <w:pPr>
        <w:pStyle w:val="ListParagraph"/>
        <w:numPr>
          <w:ilvl w:val="0"/>
          <w:numId w:val="28"/>
        </w:numPr>
        <w:tabs>
          <w:tab w:val="left" w:pos="1134"/>
        </w:tabs>
        <w:spacing w:after="0"/>
        <w:ind w:left="0" w:firstLine="567"/>
        <w:jc w:val="both"/>
        <w:rPr>
          <w:lang w:val="es-ES_tradnl"/>
        </w:rPr>
      </w:pPr>
      <w:r w:rsidRPr="00C90461">
        <w:rPr>
          <w:lang w:val="es-ES_tradnl"/>
        </w:rPr>
        <w:t>Uso de las instalaciones de los obtentores (30 % de las respuestas).</w:t>
      </w:r>
    </w:p>
    <w:p w14:paraId="013E3242" w14:textId="6FF8BA19" w:rsidR="00F52984" w:rsidRPr="00C90461" w:rsidRDefault="00F52984" w:rsidP="00766123">
      <w:pPr>
        <w:tabs>
          <w:tab w:val="left" w:pos="567"/>
        </w:tabs>
        <w:rPr>
          <w:lang w:val="es-ES_tradnl"/>
        </w:rPr>
      </w:pPr>
    </w:p>
    <w:p w14:paraId="34085003" w14:textId="77777777" w:rsidR="005C266E" w:rsidRPr="00C90461" w:rsidRDefault="005C266E" w:rsidP="00766123">
      <w:pPr>
        <w:tabs>
          <w:tab w:val="left" w:pos="567"/>
        </w:tabs>
        <w:rPr>
          <w:lang w:val="es-ES_tradnl"/>
        </w:rPr>
      </w:pPr>
    </w:p>
    <w:p w14:paraId="7A271318" w14:textId="566682E7" w:rsidR="004100F1" w:rsidRPr="00C90461" w:rsidRDefault="00C90461" w:rsidP="00C90461">
      <w:pPr>
        <w:pStyle w:val="Heading1"/>
        <w:rPr>
          <w:lang w:val="es-ES_tradnl"/>
        </w:rPr>
      </w:pPr>
      <w:bookmarkStart w:id="9" w:name="_Toc143883219"/>
      <w:bookmarkStart w:id="10" w:name="_Toc148112575"/>
      <w:r>
        <w:rPr>
          <w:lang w:val="es-ES_tradnl"/>
        </w:rPr>
        <w:t>IV.</w:t>
      </w:r>
      <w:r>
        <w:rPr>
          <w:lang w:val="es-ES_tradnl"/>
        </w:rPr>
        <w:tab/>
      </w:r>
      <w:r w:rsidR="005241E8" w:rsidRPr="00C90461">
        <w:rPr>
          <w:lang w:val="es-ES_tradnl"/>
        </w:rPr>
        <w:t>Posibles medidas para aumentar las oportunidades de cooperación internacional:</w:t>
      </w:r>
      <w:bookmarkEnd w:id="9"/>
      <w:bookmarkEnd w:id="10"/>
    </w:p>
    <w:p w14:paraId="18A521FB" w14:textId="77777777" w:rsidR="004B492D" w:rsidRPr="00C90461" w:rsidRDefault="004B492D" w:rsidP="007D1BE6">
      <w:pPr>
        <w:pStyle w:val="EndnoteText"/>
        <w:tabs>
          <w:tab w:val="left" w:pos="567"/>
        </w:tabs>
        <w:rPr>
          <w:lang w:val="es-ES_tradnl"/>
        </w:rPr>
      </w:pPr>
    </w:p>
    <w:p w14:paraId="268A5BC9" w14:textId="35F0EB43" w:rsidR="0066782C" w:rsidRPr="00C90461" w:rsidRDefault="00083145" w:rsidP="00766123">
      <w:pPr>
        <w:tabs>
          <w:tab w:val="left" w:pos="567"/>
        </w:tabs>
        <w:rPr>
          <w:lang w:val="es-ES_tradnl"/>
        </w:rPr>
      </w:pPr>
      <w:r w:rsidRPr="00C90461">
        <w:rPr>
          <w:lang w:val="es-ES_tradnl"/>
        </w:rPr>
        <w:fldChar w:fldCharType="begin"/>
      </w:r>
      <w:r w:rsidRPr="00C90461">
        <w:rPr>
          <w:lang w:val="es-ES_tradnl"/>
        </w:rPr>
        <w:instrText xml:space="preserve"> AUTONUM  </w:instrText>
      </w:r>
      <w:r w:rsidRPr="00C90461">
        <w:rPr>
          <w:lang w:val="es-ES_tradnl"/>
        </w:rPr>
        <w:fldChar w:fldCharType="end"/>
      </w:r>
      <w:r w:rsidRPr="00C90461">
        <w:rPr>
          <w:lang w:val="es-ES_tradnl"/>
        </w:rPr>
        <w:tab/>
        <w:t>Conforme a los resultados de la encuesta (véase la sección III), se proponen las siguientes posibles medidas: para aumentar las oportunidades de cooperación internacional:</w:t>
      </w:r>
    </w:p>
    <w:p w14:paraId="0AA6C5B5" w14:textId="25207648" w:rsidR="00621DE1" w:rsidRPr="00C90461" w:rsidRDefault="00621DE1" w:rsidP="00B97376">
      <w:pPr>
        <w:pStyle w:val="ListParagraph"/>
        <w:tabs>
          <w:tab w:val="left" w:pos="709"/>
        </w:tabs>
        <w:spacing w:after="0"/>
        <w:ind w:left="567"/>
        <w:jc w:val="both"/>
        <w:rPr>
          <w:spacing w:val="-4"/>
          <w:lang w:val="es-ES_tradnl"/>
        </w:rPr>
      </w:pPr>
    </w:p>
    <w:p w14:paraId="3970D88F" w14:textId="70815ABB" w:rsidR="0005078E" w:rsidRPr="00C90461" w:rsidRDefault="00324B3B" w:rsidP="009B2303">
      <w:pPr>
        <w:pStyle w:val="ListParagraph"/>
        <w:numPr>
          <w:ilvl w:val="0"/>
          <w:numId w:val="29"/>
        </w:numPr>
        <w:spacing w:after="0"/>
        <w:ind w:left="0" w:firstLine="567"/>
        <w:jc w:val="both"/>
        <w:rPr>
          <w:lang w:val="es-ES_tradnl"/>
        </w:rPr>
      </w:pPr>
      <w:r w:rsidRPr="00C90461">
        <w:rPr>
          <w:lang w:val="es-ES_tradnl"/>
        </w:rPr>
        <w:t>Efecto del medio ambiente en la expresión de los caracteres: Organizar actividades para explicar la manera en que el examen DHE contempla el efecto del medio ambiente en la expresión de los caracteres y el motivo por el que no es necesario llevar a cabo exámenes DHE en cada miembro de la UPOV;</w:t>
      </w:r>
    </w:p>
    <w:p w14:paraId="22CBB331" w14:textId="77777777" w:rsidR="0005078E" w:rsidRPr="00C90461" w:rsidRDefault="0005078E" w:rsidP="009B2303">
      <w:pPr>
        <w:pStyle w:val="ListParagraph"/>
        <w:ind w:left="0" w:firstLine="567"/>
        <w:rPr>
          <w:lang w:val="es-ES_tradnl"/>
        </w:rPr>
      </w:pPr>
    </w:p>
    <w:p w14:paraId="31DBCBDE" w14:textId="0940FB17" w:rsidR="000A7986" w:rsidRPr="00C90461" w:rsidRDefault="0005078E" w:rsidP="009B2303">
      <w:pPr>
        <w:pStyle w:val="ListParagraph"/>
        <w:numPr>
          <w:ilvl w:val="0"/>
          <w:numId w:val="29"/>
        </w:numPr>
        <w:spacing w:after="0"/>
        <w:ind w:left="0" w:firstLine="567"/>
        <w:jc w:val="both"/>
        <w:rPr>
          <w:lang w:val="es-ES_tradnl"/>
        </w:rPr>
      </w:pPr>
      <w:r w:rsidRPr="00C90461">
        <w:rPr>
          <w:lang w:val="es-ES_tradnl"/>
        </w:rPr>
        <w:t>La integridad y pertinencia de las colecciones de variedades: Organizar actividades para demostrar la manera en que los miembros de la UPOV tratan los riesgos asociados a las colecciones incompletas de variedades notoriamente conocidas (documento TGP/4 “Constitución y mantenimiento de las colecciones de variedades”);</w:t>
      </w:r>
    </w:p>
    <w:p w14:paraId="29C7698F" w14:textId="77777777" w:rsidR="00FD2510" w:rsidRPr="00C90461" w:rsidRDefault="00FD2510" w:rsidP="009B2303">
      <w:pPr>
        <w:pStyle w:val="ListParagraph"/>
        <w:ind w:left="0" w:firstLine="567"/>
        <w:rPr>
          <w:lang w:val="es-ES_tradnl"/>
        </w:rPr>
      </w:pPr>
    </w:p>
    <w:p w14:paraId="4B2AB7BE" w14:textId="68FEFCEC" w:rsidR="00FD2510" w:rsidRPr="00C90461" w:rsidRDefault="00FD2510" w:rsidP="009B2303">
      <w:pPr>
        <w:pStyle w:val="ListParagraph"/>
        <w:numPr>
          <w:ilvl w:val="0"/>
          <w:numId w:val="29"/>
        </w:numPr>
        <w:tabs>
          <w:tab w:val="left" w:pos="567"/>
        </w:tabs>
        <w:spacing w:after="0"/>
        <w:ind w:left="0" w:firstLine="567"/>
        <w:jc w:val="both"/>
        <w:rPr>
          <w:rFonts w:eastAsia="Times New Roman" w:cs="Times New Roman"/>
          <w:spacing w:val="-4"/>
          <w:szCs w:val="20"/>
          <w:lang w:val="es-ES_tradnl"/>
        </w:rPr>
      </w:pPr>
      <w:r w:rsidRPr="00C90461">
        <w:rPr>
          <w:lang w:val="es-ES_tradnl"/>
        </w:rPr>
        <w:t xml:space="preserve">Revisar la sección 6 “Informe de la UPOV sobre el examen técnico y Formulario UPOV para la descripción de variedades” del documento TGP/5 para brindar información sobre: variedades notoriamente conocidas cultivadas en el mismo ensayo o consideradas de otra naturaleza en el examen DHE; u otros elementos que los miembros de la UPOV requieran para usar informes de los exámenes de otros miembros de la UPOV; </w:t>
      </w:r>
    </w:p>
    <w:p w14:paraId="4CF65FFC" w14:textId="77777777" w:rsidR="000E7747" w:rsidRPr="00C90461" w:rsidRDefault="000E7747" w:rsidP="000E7747">
      <w:pPr>
        <w:pStyle w:val="ListParagraph"/>
        <w:rPr>
          <w:rFonts w:eastAsia="Times New Roman" w:cs="Times New Roman"/>
          <w:spacing w:val="-4"/>
          <w:szCs w:val="20"/>
          <w:lang w:val="es-ES_tradnl"/>
        </w:rPr>
      </w:pPr>
    </w:p>
    <w:p w14:paraId="7100F650" w14:textId="6A6E9599" w:rsidR="000E7747" w:rsidRPr="00C90461" w:rsidRDefault="000E7747" w:rsidP="009B2303">
      <w:pPr>
        <w:pStyle w:val="ListParagraph"/>
        <w:numPr>
          <w:ilvl w:val="0"/>
          <w:numId w:val="29"/>
        </w:numPr>
        <w:tabs>
          <w:tab w:val="left" w:pos="567"/>
        </w:tabs>
        <w:spacing w:after="0"/>
        <w:ind w:left="0" w:firstLine="567"/>
        <w:jc w:val="both"/>
        <w:rPr>
          <w:rFonts w:eastAsia="Times New Roman" w:cs="Times New Roman"/>
          <w:spacing w:val="-4"/>
          <w:szCs w:val="20"/>
          <w:lang w:val="es-ES_tradnl"/>
        </w:rPr>
      </w:pPr>
      <w:r w:rsidRPr="00C90461">
        <w:rPr>
          <w:lang w:val="es-ES_tradnl"/>
        </w:rPr>
        <w:t>Motivos fitosanitarios que impidan o retrasen la presentación de material vegetal: añadir información en el documento UPOV/INF/15 “Orientación para los miembros de la UPOV” a fin de proponer que se considere el uso de informes de examen DHE de otros miembros de la UPOV cuando haya motivos fitosanitarios que impidan o retrasen la presentación de material vegetal; y</w:t>
      </w:r>
    </w:p>
    <w:p w14:paraId="29C6F8AD" w14:textId="77777777" w:rsidR="00FD2510" w:rsidRPr="00C90461" w:rsidRDefault="00FD2510" w:rsidP="009B2303">
      <w:pPr>
        <w:pStyle w:val="ListParagraph"/>
        <w:spacing w:after="0"/>
        <w:ind w:left="0" w:firstLine="567"/>
        <w:jc w:val="both"/>
        <w:rPr>
          <w:lang w:val="es-ES_tradnl"/>
        </w:rPr>
      </w:pPr>
    </w:p>
    <w:p w14:paraId="263E1E46" w14:textId="77777777" w:rsidR="00FD2510" w:rsidRPr="00C90461" w:rsidRDefault="00FD2510" w:rsidP="009B2303">
      <w:pPr>
        <w:pStyle w:val="ListParagraph"/>
        <w:numPr>
          <w:ilvl w:val="0"/>
          <w:numId w:val="29"/>
        </w:numPr>
        <w:spacing w:after="0"/>
        <w:ind w:left="0" w:firstLine="567"/>
        <w:jc w:val="both"/>
        <w:rPr>
          <w:lang w:val="es-ES_tradnl"/>
        </w:rPr>
      </w:pPr>
      <w:r w:rsidRPr="00C90461">
        <w:rPr>
          <w:lang w:val="es-ES_tradnl"/>
        </w:rPr>
        <w:t xml:space="preserve">Poner a disposición más información sobre los preparativos para los exámenes en las instalaciones de los obtentores: </w:t>
      </w:r>
    </w:p>
    <w:p w14:paraId="45795A29" w14:textId="035A2311" w:rsidR="00FD2510" w:rsidRPr="00C90461" w:rsidRDefault="00FD2510" w:rsidP="005208E7">
      <w:pPr>
        <w:pStyle w:val="ListParagraph"/>
        <w:numPr>
          <w:ilvl w:val="1"/>
          <w:numId w:val="30"/>
        </w:numPr>
        <w:ind w:left="1701" w:hanging="567"/>
        <w:rPr>
          <w:lang w:val="es-ES_tradnl"/>
        </w:rPr>
      </w:pPr>
      <w:r w:rsidRPr="00C90461">
        <w:rPr>
          <w:lang w:val="es-ES_tradnl"/>
        </w:rPr>
        <w:t>La autoridad encargada de conceder derechos de obtentor es siempre la que especifica los preparativos y toma las decisiones sobre DHE;</w:t>
      </w:r>
    </w:p>
    <w:p w14:paraId="340005CA" w14:textId="77777777" w:rsidR="00534F19" w:rsidRPr="00C90461" w:rsidRDefault="00534F19" w:rsidP="00534F19">
      <w:pPr>
        <w:pStyle w:val="ListParagraph"/>
        <w:ind w:left="1701"/>
        <w:rPr>
          <w:lang w:val="es-ES_tradnl"/>
        </w:rPr>
      </w:pPr>
    </w:p>
    <w:p w14:paraId="5B84B1DB" w14:textId="7FEADC36" w:rsidR="00FD2510" w:rsidRPr="00C90461" w:rsidRDefault="005208E7" w:rsidP="005208E7">
      <w:pPr>
        <w:pStyle w:val="ListParagraph"/>
        <w:numPr>
          <w:ilvl w:val="1"/>
          <w:numId w:val="30"/>
        </w:numPr>
        <w:spacing w:after="0"/>
        <w:ind w:left="1701" w:hanging="567"/>
        <w:jc w:val="both"/>
        <w:rPr>
          <w:lang w:val="es-ES_tradnl"/>
        </w:rPr>
      </w:pPr>
      <w:r w:rsidRPr="00C90461">
        <w:rPr>
          <w:lang w:val="es-ES_tradnl"/>
        </w:rPr>
        <w:t>Mantener la independencia del examen DHE y evitar el conflicto de intereses;</w:t>
      </w:r>
    </w:p>
    <w:p w14:paraId="700F0EE8" w14:textId="77777777" w:rsidR="00534F19" w:rsidRPr="00C90461" w:rsidRDefault="00534F19" w:rsidP="00534F19">
      <w:pPr>
        <w:pStyle w:val="ListParagraph"/>
        <w:spacing w:after="0"/>
        <w:ind w:left="1701"/>
        <w:jc w:val="both"/>
        <w:rPr>
          <w:lang w:val="es-ES_tradnl"/>
        </w:rPr>
      </w:pPr>
    </w:p>
    <w:p w14:paraId="0CA80C08" w14:textId="1B8538E4" w:rsidR="00FD2510" w:rsidRPr="00C90461" w:rsidRDefault="00D66E58" w:rsidP="005208E7">
      <w:pPr>
        <w:pStyle w:val="ListParagraph"/>
        <w:numPr>
          <w:ilvl w:val="1"/>
          <w:numId w:val="30"/>
        </w:numPr>
        <w:spacing w:after="0"/>
        <w:ind w:left="1701" w:hanging="567"/>
        <w:jc w:val="both"/>
        <w:rPr>
          <w:lang w:val="es-ES_tradnl"/>
        </w:rPr>
      </w:pPr>
      <w:r w:rsidRPr="00C90461">
        <w:rPr>
          <w:lang w:val="es-ES_tradnl"/>
        </w:rPr>
        <w:t xml:space="preserve">Invitar a los encargados de formular políticas de los miembros de la UPOV y a los observadores a participar en reuniones o seminarios en los miembros de la UPOV que </w:t>
      </w:r>
      <w:r w:rsidRPr="00C90461">
        <w:rPr>
          <w:lang w:val="es-ES_tradnl"/>
        </w:rPr>
        <w:lastRenderedPageBreak/>
        <w:t>llevan a cabo exámenes DHE en las instalaciones de los obtentores para facilitar el intercambio de información y brindar la oportunidad de visitar sus centros experimentales.</w:t>
      </w:r>
    </w:p>
    <w:p w14:paraId="6C9CC154" w14:textId="77777777" w:rsidR="00991185" w:rsidRPr="00C90461" w:rsidRDefault="00991185" w:rsidP="000E7747">
      <w:pPr>
        <w:pStyle w:val="EndnoteText"/>
        <w:rPr>
          <w:lang w:val="es-ES_tradnl"/>
        </w:rPr>
      </w:pPr>
    </w:p>
    <w:p w14:paraId="2873EC6C" w14:textId="30C444AA" w:rsidR="00F3151E" w:rsidRPr="00C90461" w:rsidRDefault="00F3151E" w:rsidP="003B5311">
      <w:pPr>
        <w:tabs>
          <w:tab w:val="left" w:pos="5387"/>
          <w:tab w:val="left" w:pos="5954"/>
        </w:tabs>
        <w:ind w:left="4820"/>
        <w:rPr>
          <w:i/>
          <w:iCs/>
          <w:snapToGrid w:val="0"/>
          <w:lang w:val="es-ES_tradnl"/>
        </w:rPr>
      </w:pPr>
      <w:r w:rsidRPr="00C90461">
        <w:rPr>
          <w:i/>
          <w:snapToGrid w:val="0"/>
          <w:lang w:val="es-ES_tradnl"/>
        </w:rPr>
        <w:fldChar w:fldCharType="begin"/>
      </w:r>
      <w:r w:rsidRPr="00C90461">
        <w:rPr>
          <w:i/>
          <w:snapToGrid w:val="0"/>
          <w:lang w:val="es-ES_tradnl"/>
        </w:rPr>
        <w:instrText xml:space="preserve"> AUTONUM  </w:instrText>
      </w:r>
      <w:r w:rsidRPr="00C90461">
        <w:rPr>
          <w:i/>
          <w:snapToGrid w:val="0"/>
          <w:lang w:val="es-ES_tradnl"/>
        </w:rPr>
        <w:fldChar w:fldCharType="end"/>
      </w:r>
      <w:r w:rsidRPr="00C90461">
        <w:rPr>
          <w:i/>
          <w:snapToGrid w:val="0"/>
          <w:lang w:val="es-ES_tradnl"/>
        </w:rPr>
        <w:tab/>
        <w:t>Se invita al TC a tomar nota de las novedades expuestas en el presente documento</w:t>
      </w:r>
      <w:r w:rsidRPr="00C90461">
        <w:rPr>
          <w:i/>
          <w:lang w:val="es-ES_tradnl"/>
        </w:rPr>
        <w:t>.</w:t>
      </w:r>
    </w:p>
    <w:p w14:paraId="0241A78E" w14:textId="77777777" w:rsidR="00F3151E" w:rsidRPr="00C90461" w:rsidRDefault="00F3151E" w:rsidP="003B5311">
      <w:pPr>
        <w:tabs>
          <w:tab w:val="left" w:pos="5387"/>
          <w:tab w:val="left" w:pos="5954"/>
        </w:tabs>
        <w:ind w:left="4820"/>
        <w:rPr>
          <w:i/>
          <w:iCs/>
          <w:snapToGrid w:val="0"/>
          <w:lang w:val="es-ES_tradnl"/>
        </w:rPr>
      </w:pPr>
    </w:p>
    <w:p w14:paraId="2BC5AE88" w14:textId="1267DB83" w:rsidR="00F3151E" w:rsidRPr="00C90461" w:rsidRDefault="00F3151E" w:rsidP="003B5311">
      <w:pPr>
        <w:keepNext/>
        <w:keepLines/>
        <w:tabs>
          <w:tab w:val="left" w:pos="5387"/>
          <w:tab w:val="left" w:pos="5954"/>
        </w:tabs>
        <w:ind w:left="4820"/>
        <w:rPr>
          <w:i/>
          <w:iCs/>
          <w:snapToGrid w:val="0"/>
          <w:lang w:val="es-ES_tradnl"/>
        </w:rPr>
      </w:pPr>
      <w:r w:rsidRPr="00C90461">
        <w:rPr>
          <w:i/>
          <w:snapToGrid w:val="0"/>
          <w:lang w:val="es-ES_tradnl"/>
        </w:rPr>
        <w:fldChar w:fldCharType="begin"/>
      </w:r>
      <w:r w:rsidRPr="00C90461">
        <w:rPr>
          <w:i/>
          <w:snapToGrid w:val="0"/>
          <w:lang w:val="es-ES_tradnl"/>
        </w:rPr>
        <w:instrText xml:space="preserve"> AUTONUM  </w:instrText>
      </w:r>
      <w:r w:rsidRPr="00C90461">
        <w:rPr>
          <w:i/>
          <w:snapToGrid w:val="0"/>
          <w:lang w:val="es-ES_tradnl"/>
        </w:rPr>
        <w:fldChar w:fldCharType="end"/>
      </w:r>
      <w:r w:rsidRPr="00C90461">
        <w:rPr>
          <w:i/>
          <w:snapToGrid w:val="0"/>
          <w:lang w:val="es-ES_tradnl"/>
        </w:rPr>
        <w:tab/>
        <w:t>Se invita al CAJ a:</w:t>
      </w:r>
    </w:p>
    <w:p w14:paraId="59C556DF" w14:textId="77777777" w:rsidR="00F3151E" w:rsidRPr="00C90461" w:rsidRDefault="00F3151E" w:rsidP="003B5311">
      <w:pPr>
        <w:keepNext/>
        <w:keepLines/>
        <w:tabs>
          <w:tab w:val="left" w:pos="5387"/>
          <w:tab w:val="left" w:pos="5954"/>
        </w:tabs>
        <w:ind w:left="4820"/>
        <w:rPr>
          <w:i/>
          <w:iCs/>
          <w:snapToGrid w:val="0"/>
          <w:lang w:val="es-ES_tradnl"/>
        </w:rPr>
      </w:pPr>
    </w:p>
    <w:p w14:paraId="02A29417" w14:textId="5F21B5D3" w:rsidR="00F3151E" w:rsidRPr="00C90461" w:rsidRDefault="0005078E" w:rsidP="003B5311">
      <w:pPr>
        <w:pStyle w:val="ListParagraph"/>
        <w:keepNext/>
        <w:keepLines/>
        <w:numPr>
          <w:ilvl w:val="0"/>
          <w:numId w:val="14"/>
        </w:numPr>
        <w:tabs>
          <w:tab w:val="left" w:pos="5387"/>
          <w:tab w:val="left" w:pos="5954"/>
        </w:tabs>
        <w:spacing w:after="0" w:line="240" w:lineRule="auto"/>
        <w:ind w:left="4820" w:firstLine="567"/>
        <w:jc w:val="both"/>
        <w:rPr>
          <w:i/>
          <w:iCs/>
          <w:snapToGrid w:val="0"/>
          <w:lang w:val="es-ES_tradnl"/>
        </w:rPr>
      </w:pPr>
      <w:r w:rsidRPr="00C90461">
        <w:rPr>
          <w:i/>
          <w:snapToGrid w:val="0"/>
          <w:lang w:val="es-ES_tradnl"/>
        </w:rPr>
        <w:t>tomar nota de las respuestas de los miembros de la Unión sobre sus obstáculos de política o jurídicos que podrían impedir la cooperación internacional en el examen DHE, expuestos en el Anexo II del presente documento; y</w:t>
      </w:r>
    </w:p>
    <w:p w14:paraId="3217D920" w14:textId="77777777" w:rsidR="00F3151E" w:rsidRPr="00C90461" w:rsidRDefault="00F3151E" w:rsidP="003B5311">
      <w:pPr>
        <w:tabs>
          <w:tab w:val="left" w:pos="5387"/>
          <w:tab w:val="left" w:pos="5954"/>
        </w:tabs>
        <w:ind w:left="4820" w:firstLine="567"/>
        <w:rPr>
          <w:i/>
          <w:iCs/>
          <w:snapToGrid w:val="0"/>
          <w:lang w:val="es-ES_tradnl"/>
        </w:rPr>
      </w:pPr>
    </w:p>
    <w:p w14:paraId="57F15EE4" w14:textId="324E2E9B" w:rsidR="00F3151E" w:rsidRPr="00C90461" w:rsidRDefault="00F3151E" w:rsidP="003B5311">
      <w:pPr>
        <w:pStyle w:val="ListParagraph"/>
        <w:numPr>
          <w:ilvl w:val="0"/>
          <w:numId w:val="14"/>
        </w:numPr>
        <w:tabs>
          <w:tab w:val="left" w:pos="5387"/>
          <w:tab w:val="left" w:pos="5954"/>
        </w:tabs>
        <w:spacing w:after="0" w:line="240" w:lineRule="auto"/>
        <w:ind w:left="4820" w:firstLine="567"/>
        <w:jc w:val="both"/>
        <w:rPr>
          <w:i/>
          <w:iCs/>
          <w:snapToGrid w:val="0"/>
          <w:lang w:val="es-ES_tradnl"/>
        </w:rPr>
      </w:pPr>
      <w:r w:rsidRPr="00C90461">
        <w:rPr>
          <w:i/>
          <w:snapToGrid w:val="0"/>
          <w:lang w:val="es-ES_tradnl"/>
        </w:rPr>
        <w:t xml:space="preserve">examinar las posibles medidas </w:t>
      </w:r>
      <w:r w:rsidRPr="00C90461">
        <w:rPr>
          <w:i/>
          <w:lang w:val="es-ES_tradnl"/>
        </w:rPr>
        <w:t>para aumentar las oportunidades de cooperación internacional</w:t>
      </w:r>
      <w:r w:rsidRPr="00C90461">
        <w:rPr>
          <w:i/>
          <w:snapToGrid w:val="0"/>
          <w:lang w:val="es-ES_tradnl"/>
        </w:rPr>
        <w:t>, expuestas en el párrafo 13 del presente documento.</w:t>
      </w:r>
    </w:p>
    <w:p w14:paraId="07A70D3F" w14:textId="473B691E" w:rsidR="00B40E4E" w:rsidRDefault="00B40E4E" w:rsidP="003B5311">
      <w:pPr>
        <w:rPr>
          <w:sz w:val="18"/>
          <w:szCs w:val="18"/>
          <w:lang w:val="es-ES_tradnl"/>
        </w:rPr>
      </w:pPr>
    </w:p>
    <w:p w14:paraId="4D3C6E01" w14:textId="77777777" w:rsidR="003B5311" w:rsidRPr="00C90461" w:rsidRDefault="003B5311" w:rsidP="003B5311">
      <w:pPr>
        <w:rPr>
          <w:sz w:val="18"/>
          <w:szCs w:val="18"/>
          <w:lang w:val="es-ES_tradnl"/>
        </w:rPr>
      </w:pPr>
    </w:p>
    <w:p w14:paraId="1BD6AE86" w14:textId="77777777" w:rsidR="00534F19" w:rsidRPr="00C90461" w:rsidRDefault="00534F19" w:rsidP="003B5311">
      <w:pPr>
        <w:rPr>
          <w:sz w:val="18"/>
          <w:szCs w:val="18"/>
          <w:lang w:val="es-ES_tradnl"/>
        </w:rPr>
      </w:pPr>
    </w:p>
    <w:p w14:paraId="37004E30" w14:textId="00EF27DA" w:rsidR="00EA6E43" w:rsidRPr="00C90461" w:rsidRDefault="00D82CA6" w:rsidP="00D82CA6">
      <w:pPr>
        <w:jc w:val="right"/>
        <w:rPr>
          <w:lang w:val="es-ES_tradnl"/>
        </w:rPr>
      </w:pPr>
      <w:r w:rsidRPr="00C90461">
        <w:rPr>
          <w:lang w:val="es-ES_tradnl"/>
        </w:rPr>
        <w:t>[Sigue el Anexo I]</w:t>
      </w:r>
    </w:p>
    <w:p w14:paraId="3309DF9F" w14:textId="77777777" w:rsidR="00EA6E43" w:rsidRPr="00C90461" w:rsidRDefault="00EA6E43" w:rsidP="00D82CA6">
      <w:pPr>
        <w:jc w:val="right"/>
        <w:rPr>
          <w:lang w:val="es-ES_tradnl"/>
        </w:rPr>
        <w:sectPr w:rsidR="00EA6E43" w:rsidRPr="00C90461" w:rsidSect="0004198B">
          <w:headerReference w:type="default" r:id="rId9"/>
          <w:pgSz w:w="11907" w:h="16840" w:code="9"/>
          <w:pgMar w:top="510" w:right="1134" w:bottom="1134" w:left="1134" w:header="510" w:footer="680" w:gutter="0"/>
          <w:pgNumType w:start="1"/>
          <w:cols w:space="720"/>
          <w:titlePg/>
        </w:sectPr>
      </w:pPr>
    </w:p>
    <w:p w14:paraId="182DF23A" w14:textId="68251937" w:rsidR="004F2C43" w:rsidRPr="00C90461" w:rsidRDefault="00EC6D43" w:rsidP="002C47FA">
      <w:pPr>
        <w:jc w:val="center"/>
        <w:rPr>
          <w:lang w:val="es-ES_tradnl"/>
        </w:rPr>
      </w:pPr>
      <w:r w:rsidRPr="00C90461">
        <w:rPr>
          <w:lang w:val="es-ES_tradnl"/>
        </w:rPr>
        <w:lastRenderedPageBreak/>
        <w:t>ANTECEDENTES</w:t>
      </w:r>
    </w:p>
    <w:p w14:paraId="3341E7FC" w14:textId="77777777" w:rsidR="005A0B20" w:rsidRPr="00C90461" w:rsidRDefault="005A0B20" w:rsidP="005A0B20">
      <w:pPr>
        <w:rPr>
          <w:lang w:val="es-ES_tradnl"/>
        </w:rPr>
      </w:pPr>
    </w:p>
    <w:p w14:paraId="2FD461B3" w14:textId="77777777" w:rsidR="002C47FA" w:rsidRPr="00C90461" w:rsidRDefault="002C47FA" w:rsidP="00EC6D43">
      <w:pPr>
        <w:rPr>
          <w:u w:val="single"/>
          <w:lang w:val="es-ES_tradnl"/>
        </w:rPr>
      </w:pPr>
    </w:p>
    <w:p w14:paraId="17AC94CF" w14:textId="387909FC" w:rsidR="00A63F7C" w:rsidRPr="00C90461" w:rsidRDefault="00A63F7C" w:rsidP="00393F6A">
      <w:pPr>
        <w:rPr>
          <w:u w:val="single"/>
          <w:lang w:val="es-ES_tradnl"/>
        </w:rPr>
      </w:pPr>
      <w:r w:rsidRPr="00C90461">
        <w:rPr>
          <w:u w:val="single"/>
          <w:lang w:val="es-ES_tradnl"/>
        </w:rPr>
        <w:t>Comité Técnico</w:t>
      </w:r>
    </w:p>
    <w:p w14:paraId="52D5860A" w14:textId="77777777" w:rsidR="00A63F7C" w:rsidRPr="00C90461" w:rsidRDefault="00A63F7C" w:rsidP="00393F6A">
      <w:pPr>
        <w:rPr>
          <w:lang w:val="es-ES_tradnl"/>
        </w:rPr>
      </w:pPr>
    </w:p>
    <w:p w14:paraId="64841A5A" w14:textId="55C878FA" w:rsidR="0024440C" w:rsidRPr="00C90461" w:rsidRDefault="004643F5" w:rsidP="00FA5159">
      <w:pPr>
        <w:pStyle w:val="ListParagraph"/>
        <w:numPr>
          <w:ilvl w:val="0"/>
          <w:numId w:val="32"/>
        </w:numPr>
        <w:spacing w:after="0" w:line="240" w:lineRule="auto"/>
        <w:ind w:left="0" w:firstLine="0"/>
        <w:jc w:val="both"/>
        <w:rPr>
          <w:snapToGrid w:val="0"/>
          <w:lang w:val="es-ES_tradnl"/>
        </w:rPr>
      </w:pPr>
      <w:r w:rsidRPr="00C90461">
        <w:rPr>
          <w:snapToGrid w:val="0"/>
          <w:lang w:val="es-ES_tradnl"/>
        </w:rPr>
        <w:t>En su</w:t>
      </w:r>
      <w:r w:rsidRPr="00C90461">
        <w:rPr>
          <w:lang w:val="es-ES_tradnl"/>
        </w:rPr>
        <w:t xml:space="preserve"> quincuagésima quinta sesión,</w:t>
      </w:r>
      <w:r w:rsidRPr="00C90461">
        <w:rPr>
          <w:rStyle w:val="FootnoteReference"/>
          <w:lang w:val="es-ES_tradnl"/>
        </w:rPr>
        <w:footnoteReference w:id="4"/>
      </w:r>
      <w:r w:rsidRPr="00C90461">
        <w:rPr>
          <w:lang w:val="es-ES_tradnl"/>
        </w:rPr>
        <w:t xml:space="preserve"> el TC</w:t>
      </w:r>
      <w:r w:rsidRPr="00C90461">
        <w:rPr>
          <w:snapToGrid w:val="0"/>
          <w:lang w:val="es-ES_tradnl"/>
        </w:rPr>
        <w:t xml:space="preserve"> examinó </w:t>
      </w:r>
      <w:r w:rsidRPr="00C90461">
        <w:rPr>
          <w:lang w:val="es-ES_tradnl"/>
        </w:rPr>
        <w:t>las conclusiones de los debates mantenidos en las sesiones de los TWP sobre las cuestiones técnicas que impiden la cooperación en el examen DHE y las maneras de solventarlas (véanse los párrafos 19 a 26 del documento TC/55/10). En su quincuagésima sexta sesión,</w:t>
      </w:r>
      <w:r w:rsidR="0024440C" w:rsidRPr="00C90461">
        <w:rPr>
          <w:rStyle w:val="FootnoteReference"/>
          <w:lang w:val="es-ES_tradnl"/>
        </w:rPr>
        <w:footnoteReference w:id="5"/>
      </w:r>
      <w:r w:rsidRPr="00C90461">
        <w:rPr>
          <w:lang w:val="es-ES_tradnl"/>
        </w:rPr>
        <w:t xml:space="preserve"> el TC convino en proponer el desarrollo de un conjunto de herramientas informáticas compatibles para solventar las cuestiones técnicas y administrativas conexas que impiden la cooperación en el examen DHE, con los elementos siguientes (véase el párrafo 41 del documento TC/56/22 “Resultado del examen de los documentos por correspondencia”).</w:t>
      </w:r>
    </w:p>
    <w:p w14:paraId="3AF3DE0A" w14:textId="77777777" w:rsidR="0024440C" w:rsidRPr="00C90461" w:rsidRDefault="0024440C" w:rsidP="00393F6A">
      <w:pPr>
        <w:tabs>
          <w:tab w:val="left" w:pos="567"/>
          <w:tab w:val="left" w:pos="1134"/>
          <w:tab w:val="left" w:pos="1701"/>
          <w:tab w:val="left" w:pos="5387"/>
          <w:tab w:val="left" w:pos="5954"/>
        </w:tabs>
        <w:rPr>
          <w:lang w:val="es-ES_tradnl"/>
        </w:rPr>
      </w:pPr>
    </w:p>
    <w:p w14:paraId="3899FC53" w14:textId="567F563F" w:rsidR="0024440C" w:rsidRPr="00C90461" w:rsidRDefault="0024440C" w:rsidP="00393F6A">
      <w:pPr>
        <w:keepNext/>
        <w:numPr>
          <w:ilvl w:val="1"/>
          <w:numId w:val="10"/>
        </w:numPr>
        <w:ind w:left="1134" w:hanging="578"/>
        <w:contextualSpacing/>
        <w:rPr>
          <w:lang w:val="es-ES_tradnl"/>
        </w:rPr>
      </w:pPr>
      <w:r w:rsidRPr="00C90461">
        <w:rPr>
          <w:lang w:val="es-ES_tradnl"/>
        </w:rPr>
        <w:t xml:space="preserve">Una plataforma que permita: </w:t>
      </w:r>
    </w:p>
    <w:p w14:paraId="0671DC10" w14:textId="77777777" w:rsidR="0024440C" w:rsidRPr="00C90461" w:rsidRDefault="0024440C" w:rsidP="007D1BE6">
      <w:pPr>
        <w:keepNext/>
        <w:numPr>
          <w:ilvl w:val="2"/>
          <w:numId w:val="10"/>
        </w:numPr>
        <w:ind w:left="1701" w:hanging="562"/>
        <w:rPr>
          <w:lang w:val="es-ES_tradnl"/>
        </w:rPr>
      </w:pPr>
      <w:r w:rsidRPr="00C90461">
        <w:rPr>
          <w:lang w:val="es-ES_tradnl"/>
        </w:rPr>
        <w:t>el intercambio de informes DHE existentes al objeto de que:</w:t>
      </w:r>
    </w:p>
    <w:p w14:paraId="59141878" w14:textId="77777777" w:rsidR="0024440C" w:rsidRPr="00C90461" w:rsidRDefault="0024440C" w:rsidP="007D1BE6">
      <w:pPr>
        <w:keepNext/>
        <w:numPr>
          <w:ilvl w:val="3"/>
          <w:numId w:val="10"/>
        </w:numPr>
        <w:ind w:left="2268" w:hanging="562"/>
        <w:rPr>
          <w:lang w:val="es-ES_tradnl"/>
        </w:rPr>
      </w:pPr>
      <w:r w:rsidRPr="00C90461">
        <w:rPr>
          <w:lang w:val="es-ES_tradnl"/>
        </w:rPr>
        <w:t xml:space="preserve">los miembros de la UPOV publiquen y reciban informes DHE existentes y organicen el pago, según proceda; </w:t>
      </w:r>
    </w:p>
    <w:p w14:paraId="72FB9872" w14:textId="77777777" w:rsidR="0024440C" w:rsidRPr="00C90461" w:rsidRDefault="0024440C" w:rsidP="007D1BE6">
      <w:pPr>
        <w:numPr>
          <w:ilvl w:val="3"/>
          <w:numId w:val="10"/>
        </w:numPr>
        <w:ind w:left="2268" w:hanging="562"/>
        <w:rPr>
          <w:lang w:val="es-ES_tradnl"/>
        </w:rPr>
      </w:pPr>
      <w:r w:rsidRPr="00C90461">
        <w:rPr>
          <w:lang w:val="es-ES_tradnl"/>
        </w:rPr>
        <w:t xml:space="preserve">los solicitantes de derechos de obtentor soliciten el uso de los informes DHE existentes y efectúen los pagos, según proceda. </w:t>
      </w:r>
    </w:p>
    <w:p w14:paraId="391439FC" w14:textId="77777777" w:rsidR="0024440C" w:rsidRPr="00C90461" w:rsidRDefault="0024440C" w:rsidP="007D1BE6">
      <w:pPr>
        <w:numPr>
          <w:ilvl w:val="2"/>
          <w:numId w:val="10"/>
        </w:numPr>
        <w:ind w:left="1701" w:hanging="562"/>
        <w:rPr>
          <w:lang w:val="es-ES_tradnl"/>
        </w:rPr>
      </w:pPr>
      <w:r w:rsidRPr="00C90461">
        <w:rPr>
          <w:lang w:val="es-ES_tradnl"/>
        </w:rPr>
        <w:t>que los miembros de la UPOV pongan a disposición de los demás miembros de la Unión sus procedimientos de examen DHE documentados y la información sobre sus sistemas de gestión de calidad.</w:t>
      </w:r>
    </w:p>
    <w:p w14:paraId="58015A07" w14:textId="12AE0D14" w:rsidR="0024440C" w:rsidRPr="00C90461" w:rsidRDefault="0024440C" w:rsidP="007D1BE6">
      <w:pPr>
        <w:numPr>
          <w:ilvl w:val="1"/>
          <w:numId w:val="10"/>
        </w:numPr>
        <w:ind w:left="1134" w:hanging="562"/>
        <w:rPr>
          <w:lang w:val="es-ES_tradnl"/>
        </w:rPr>
      </w:pPr>
      <w:r w:rsidRPr="00C90461">
        <w:rPr>
          <w:lang w:val="es-ES_tradnl"/>
        </w:rPr>
        <w:t>Herramienta que permita proporcionar fácilmente información sobre la cooperación en el examen DHE entre los miembros de la UPOV y los solicitantes de derechos de obtentor, a partir de la información que figura en la base de datos GENIE.</w:t>
      </w:r>
    </w:p>
    <w:p w14:paraId="46E7A472" w14:textId="77777777" w:rsidR="0024440C" w:rsidRPr="00C90461" w:rsidRDefault="0024440C" w:rsidP="007D1BE6">
      <w:pPr>
        <w:numPr>
          <w:ilvl w:val="1"/>
          <w:numId w:val="10"/>
        </w:numPr>
        <w:ind w:left="1134" w:hanging="562"/>
        <w:rPr>
          <w:lang w:val="es-ES_tradnl"/>
        </w:rPr>
      </w:pPr>
      <w:r w:rsidRPr="00C90461">
        <w:rPr>
          <w:lang w:val="es-ES_tradnl"/>
        </w:rPr>
        <w:t>Un módulo para que los miembros de la UPOV utilicen la plantilla en Internet de los documentos TG y la base de datos de caracteres en línea para elaborar directrices de examen propias de cada autoridad en su propio idioma</w:t>
      </w:r>
    </w:p>
    <w:p w14:paraId="3F9C8474" w14:textId="77777777" w:rsidR="0024440C" w:rsidRPr="00C90461" w:rsidRDefault="0024440C" w:rsidP="007D1BE6">
      <w:pPr>
        <w:numPr>
          <w:ilvl w:val="1"/>
          <w:numId w:val="10"/>
        </w:numPr>
        <w:ind w:left="1134" w:hanging="562"/>
        <w:rPr>
          <w:lang w:val="es-ES_tradnl"/>
        </w:rPr>
      </w:pPr>
      <w:r w:rsidRPr="00C90461">
        <w:rPr>
          <w:lang w:val="es-ES_tradnl"/>
        </w:rPr>
        <w:t>Una plataforma para las bases de datos de los miembros de la UPOV con información sobre descripción de variedades</w:t>
      </w:r>
    </w:p>
    <w:p w14:paraId="72922437" w14:textId="77777777" w:rsidR="0024440C" w:rsidRPr="00C90461" w:rsidRDefault="0024440C" w:rsidP="00393F6A">
      <w:pPr>
        <w:tabs>
          <w:tab w:val="left" w:pos="567"/>
          <w:tab w:val="left" w:pos="1134"/>
          <w:tab w:val="left" w:pos="1701"/>
          <w:tab w:val="left" w:pos="5387"/>
          <w:tab w:val="left" w:pos="5954"/>
        </w:tabs>
        <w:rPr>
          <w:lang w:val="es-ES_tradnl"/>
        </w:rPr>
      </w:pPr>
    </w:p>
    <w:p w14:paraId="6B843628" w14:textId="77777777" w:rsidR="00A63F7C" w:rsidRPr="00C90461" w:rsidRDefault="00A63F7C" w:rsidP="00393F6A">
      <w:pPr>
        <w:tabs>
          <w:tab w:val="left" w:pos="567"/>
          <w:tab w:val="left" w:pos="1134"/>
          <w:tab w:val="left" w:pos="1701"/>
          <w:tab w:val="left" w:pos="5387"/>
          <w:tab w:val="left" w:pos="5954"/>
        </w:tabs>
        <w:rPr>
          <w:lang w:val="es-ES_tradnl"/>
        </w:rPr>
      </w:pPr>
    </w:p>
    <w:p w14:paraId="4A1E9730" w14:textId="23B2EF40" w:rsidR="00A63F7C" w:rsidRPr="00C90461" w:rsidRDefault="00A63F7C" w:rsidP="00393F6A">
      <w:pPr>
        <w:rPr>
          <w:u w:val="single"/>
          <w:lang w:val="es-ES_tradnl"/>
        </w:rPr>
      </w:pPr>
      <w:r w:rsidRPr="00C90461">
        <w:rPr>
          <w:u w:val="single"/>
          <w:lang w:val="es-ES_tradnl"/>
        </w:rPr>
        <w:t>Comité Administrativo y Jurídico</w:t>
      </w:r>
    </w:p>
    <w:p w14:paraId="129AF39E" w14:textId="77777777" w:rsidR="00A63F7C" w:rsidRPr="00C90461" w:rsidRDefault="00A63F7C" w:rsidP="00393F6A">
      <w:pPr>
        <w:tabs>
          <w:tab w:val="left" w:pos="567"/>
          <w:tab w:val="left" w:pos="1134"/>
          <w:tab w:val="left" w:pos="1701"/>
          <w:tab w:val="left" w:pos="5387"/>
          <w:tab w:val="left" w:pos="5954"/>
        </w:tabs>
        <w:rPr>
          <w:lang w:val="es-ES_tradnl"/>
        </w:rPr>
      </w:pPr>
    </w:p>
    <w:p w14:paraId="5D80AC71" w14:textId="175AE20F" w:rsidR="007E35DA" w:rsidRPr="00C90461" w:rsidRDefault="005344A6" w:rsidP="00FA5159">
      <w:pPr>
        <w:pStyle w:val="ListParagraph"/>
        <w:numPr>
          <w:ilvl w:val="0"/>
          <w:numId w:val="32"/>
        </w:numPr>
        <w:spacing w:after="0" w:line="240" w:lineRule="auto"/>
        <w:ind w:left="0" w:firstLine="0"/>
        <w:jc w:val="both"/>
        <w:rPr>
          <w:lang w:val="es-ES_tradnl"/>
        </w:rPr>
      </w:pPr>
      <w:r w:rsidRPr="00C90461">
        <w:rPr>
          <w:lang w:val="es-ES_tradnl"/>
        </w:rPr>
        <w:t>En su septuagésima séptima sesión,</w:t>
      </w:r>
      <w:r w:rsidR="007E35DA" w:rsidRPr="00C90461">
        <w:rPr>
          <w:rStyle w:val="FootnoteReference"/>
          <w:lang w:val="es-ES_tradnl"/>
        </w:rPr>
        <w:footnoteReference w:id="6"/>
      </w:r>
      <w:r w:rsidRPr="00C90461">
        <w:rPr>
          <w:lang w:val="es-ES_tradnl"/>
        </w:rPr>
        <w:t xml:space="preserve"> el CAJ tomó nota de las medidas acordadas por el TC para superar los obstáculos que impiden la cooperación internacional en el examen DHE (véanse los párrafos 13 a 15 del documento CAJ/77/10 “Informe”).</w:t>
      </w:r>
    </w:p>
    <w:p w14:paraId="2C646629" w14:textId="77777777" w:rsidR="004F76BE" w:rsidRPr="00C90461" w:rsidRDefault="004F76BE" w:rsidP="00393F6A">
      <w:pPr>
        <w:rPr>
          <w:spacing w:val="-4"/>
          <w:lang w:val="es-ES_tradnl"/>
        </w:rPr>
      </w:pPr>
    </w:p>
    <w:p w14:paraId="22AFF715" w14:textId="53CADE18" w:rsidR="004F76BE" w:rsidRPr="00C90461" w:rsidRDefault="004F76BE" w:rsidP="00FA5159">
      <w:pPr>
        <w:pStyle w:val="ListParagraph"/>
        <w:numPr>
          <w:ilvl w:val="0"/>
          <w:numId w:val="32"/>
        </w:numPr>
        <w:spacing w:after="0" w:line="240" w:lineRule="auto"/>
        <w:ind w:left="0" w:firstLine="0"/>
        <w:jc w:val="both"/>
        <w:rPr>
          <w:spacing w:val="-4"/>
          <w:lang w:val="es-ES_tradnl"/>
        </w:rPr>
      </w:pPr>
      <w:r w:rsidRPr="00C90461">
        <w:rPr>
          <w:lang w:val="es-ES_tradnl"/>
        </w:rPr>
        <w:t xml:space="preserve">En respuesta a la solicitud del TC, el CAJ pidió a la Oficina de la Unión la elaboración de un documento, para su examen en su septuagésima octava sesión, sobre los siguientes obstáculos normativos o jurídicos que el TC ha señalado como impedimentos para la cooperación internacional en el examen DHE y las posibles medidas para abordar estos obstáculos: </w:t>
      </w:r>
    </w:p>
    <w:p w14:paraId="53A69F58" w14:textId="77777777" w:rsidR="004F76BE" w:rsidRPr="00C90461" w:rsidRDefault="004F76BE" w:rsidP="007D1BE6">
      <w:pPr>
        <w:pStyle w:val="EndnoteText"/>
        <w:rPr>
          <w:spacing w:val="-4"/>
          <w:lang w:val="es-ES_tradnl"/>
        </w:rPr>
      </w:pPr>
    </w:p>
    <w:p w14:paraId="3A3BCE15" w14:textId="77777777" w:rsidR="004F76BE" w:rsidRPr="00C90461" w:rsidRDefault="004F76BE" w:rsidP="00393F6A">
      <w:pPr>
        <w:tabs>
          <w:tab w:val="left" w:pos="1134"/>
        </w:tabs>
        <w:ind w:left="567"/>
        <w:rPr>
          <w:spacing w:val="-4"/>
          <w:lang w:val="es-ES_tradnl"/>
        </w:rPr>
      </w:pPr>
      <w:r w:rsidRPr="00C90461">
        <w:rPr>
          <w:lang w:val="es-ES_tradnl"/>
        </w:rPr>
        <w:t>i)</w:t>
      </w:r>
      <w:r w:rsidRPr="00C90461">
        <w:rPr>
          <w:lang w:val="es-ES_tradnl"/>
        </w:rPr>
        <w:tab/>
        <w:t>Obligación de suscribir un acuerdo formal de cooperación;</w:t>
      </w:r>
    </w:p>
    <w:p w14:paraId="235DD0AD" w14:textId="77777777" w:rsidR="004F76BE" w:rsidRPr="00C90461" w:rsidRDefault="004F76BE" w:rsidP="00393F6A">
      <w:pPr>
        <w:tabs>
          <w:tab w:val="left" w:pos="1134"/>
        </w:tabs>
        <w:ind w:left="567"/>
        <w:rPr>
          <w:spacing w:val="-4"/>
          <w:lang w:val="es-ES_tradnl"/>
        </w:rPr>
      </w:pPr>
      <w:proofErr w:type="spellStart"/>
      <w:r w:rsidRPr="00C90461">
        <w:rPr>
          <w:lang w:val="es-ES_tradnl"/>
        </w:rPr>
        <w:t>ii</w:t>
      </w:r>
      <w:proofErr w:type="spellEnd"/>
      <w:r w:rsidRPr="00C90461">
        <w:rPr>
          <w:lang w:val="es-ES_tradnl"/>
        </w:rPr>
        <w:t>)</w:t>
      </w:r>
      <w:r w:rsidRPr="00C90461">
        <w:rPr>
          <w:lang w:val="es-ES_tradnl"/>
        </w:rPr>
        <w:tab/>
        <w:t>Obligación de que el examen DHE sea efectuado por la autoridad que concede los títulos;</w:t>
      </w:r>
    </w:p>
    <w:p w14:paraId="611B368A" w14:textId="77777777" w:rsidR="004F76BE" w:rsidRPr="00C90461" w:rsidRDefault="004F76BE" w:rsidP="00393F6A">
      <w:pPr>
        <w:tabs>
          <w:tab w:val="left" w:pos="1134"/>
        </w:tabs>
        <w:ind w:left="567"/>
        <w:rPr>
          <w:spacing w:val="-4"/>
          <w:lang w:val="es-ES_tradnl"/>
        </w:rPr>
      </w:pPr>
      <w:proofErr w:type="spellStart"/>
      <w:r w:rsidRPr="00C90461">
        <w:rPr>
          <w:lang w:val="es-ES_tradnl"/>
        </w:rPr>
        <w:t>iii</w:t>
      </w:r>
      <w:proofErr w:type="spellEnd"/>
      <w:r w:rsidRPr="00C90461">
        <w:rPr>
          <w:lang w:val="es-ES_tradnl"/>
        </w:rPr>
        <w:t>)</w:t>
      </w:r>
      <w:r w:rsidRPr="00C90461">
        <w:rPr>
          <w:lang w:val="es-ES_tradnl"/>
        </w:rPr>
        <w:tab/>
        <w:t>No se admiten informes de los exámenes DHE realizados por los obtentores;</w:t>
      </w:r>
    </w:p>
    <w:p w14:paraId="6C084716" w14:textId="77777777" w:rsidR="004F76BE" w:rsidRPr="00C90461" w:rsidRDefault="004F76BE" w:rsidP="00FA5159">
      <w:pPr>
        <w:tabs>
          <w:tab w:val="left" w:pos="1134"/>
        </w:tabs>
        <w:ind w:left="567"/>
        <w:rPr>
          <w:spacing w:val="-4"/>
          <w:lang w:val="es-ES_tradnl"/>
        </w:rPr>
      </w:pPr>
      <w:proofErr w:type="spellStart"/>
      <w:r w:rsidRPr="00C90461">
        <w:rPr>
          <w:lang w:val="es-ES_tradnl"/>
        </w:rPr>
        <w:t>iv</w:t>
      </w:r>
      <w:proofErr w:type="spellEnd"/>
      <w:r w:rsidRPr="00C90461">
        <w:rPr>
          <w:lang w:val="es-ES_tradnl"/>
        </w:rPr>
        <w:t>)</w:t>
      </w:r>
      <w:r w:rsidRPr="00C90461">
        <w:rPr>
          <w:lang w:val="es-ES_tradnl"/>
        </w:rPr>
        <w:tab/>
        <w:t xml:space="preserve">Deseo de los obtentores de utilizar (o no) los informes DHE existentes. </w:t>
      </w:r>
    </w:p>
    <w:p w14:paraId="149C19F8" w14:textId="77777777" w:rsidR="00A63F7C" w:rsidRPr="00C90461" w:rsidRDefault="00A63F7C" w:rsidP="00393F6A">
      <w:pPr>
        <w:tabs>
          <w:tab w:val="left" w:pos="940"/>
        </w:tabs>
        <w:rPr>
          <w:lang w:val="es-ES_tradnl"/>
        </w:rPr>
      </w:pPr>
    </w:p>
    <w:p w14:paraId="439D060D" w14:textId="33D687BA" w:rsidR="00BD0860" w:rsidRPr="00C90461" w:rsidRDefault="00BD0860" w:rsidP="00FA5159">
      <w:pPr>
        <w:pStyle w:val="ListParagraph"/>
        <w:keepNext/>
        <w:keepLines/>
        <w:numPr>
          <w:ilvl w:val="0"/>
          <w:numId w:val="32"/>
        </w:numPr>
        <w:spacing w:after="0" w:line="240" w:lineRule="auto"/>
        <w:ind w:left="0" w:firstLine="0"/>
        <w:jc w:val="both"/>
        <w:rPr>
          <w:lang w:val="es-ES_tradnl"/>
        </w:rPr>
      </w:pPr>
      <w:r w:rsidRPr="00C90461">
        <w:rPr>
          <w:lang w:val="es-ES_tradnl"/>
        </w:rPr>
        <w:t>En su septuagésima octava sesión,</w:t>
      </w:r>
      <w:r w:rsidR="00D743BE" w:rsidRPr="00C90461">
        <w:rPr>
          <w:rStyle w:val="FootnoteReference"/>
          <w:lang w:val="es-ES_tradnl"/>
        </w:rPr>
        <w:footnoteReference w:id="7"/>
      </w:r>
      <w:r w:rsidRPr="00C90461">
        <w:rPr>
          <w:lang w:val="es-ES_tradnl"/>
        </w:rPr>
        <w:t xml:space="preserve"> el CAJ aprobó las siguientes medidas para superar los obstáculos de política o jurídicos que el TC ha señalado como impedimentos para la cooperación internacional en materia de examen DHE (véase el párrafo 43 del documento CAJ/78/13 “Informe”).</w:t>
      </w:r>
    </w:p>
    <w:p w14:paraId="79FDFB15" w14:textId="77777777" w:rsidR="00BD0860" w:rsidRPr="00C90461" w:rsidRDefault="00BD0860" w:rsidP="00393F6A">
      <w:pPr>
        <w:keepNext/>
        <w:rPr>
          <w:lang w:val="es-ES_tradnl"/>
        </w:rPr>
      </w:pPr>
    </w:p>
    <w:p w14:paraId="1F965715" w14:textId="4B47E3D7" w:rsidR="00BD0860" w:rsidRPr="00C90461" w:rsidRDefault="00FA5159" w:rsidP="00FA5159">
      <w:pPr>
        <w:rPr>
          <w:lang w:val="es-ES_tradnl"/>
        </w:rPr>
      </w:pPr>
      <w:r w:rsidRPr="00C90461">
        <w:rPr>
          <w:lang w:val="es-ES_tradnl"/>
        </w:rPr>
        <w:tab/>
        <w:t>a)</w:t>
      </w:r>
      <w:r w:rsidR="00BD0860" w:rsidRPr="00C90461">
        <w:rPr>
          <w:lang w:val="es-ES_tradnl"/>
        </w:rPr>
        <w:tab/>
        <w:t>realizar una encuesta a los miembros de la Unión para obtener información sobre sus obstáculos de política o jurídicos que podrían impedir la cooperación internacional en materia de examen DHE;</w:t>
      </w:r>
    </w:p>
    <w:p w14:paraId="65977D3E" w14:textId="77777777" w:rsidR="00BD0860" w:rsidRPr="00C90461" w:rsidRDefault="00BD0860" w:rsidP="00393F6A">
      <w:pPr>
        <w:rPr>
          <w:lang w:val="es-ES_tradnl"/>
        </w:rPr>
      </w:pPr>
    </w:p>
    <w:p w14:paraId="7FACB1B3" w14:textId="513B52E7" w:rsidR="00BD0860" w:rsidRPr="00C90461" w:rsidRDefault="00FA5159" w:rsidP="00393F6A">
      <w:pPr>
        <w:rPr>
          <w:lang w:val="es-ES_tradnl"/>
        </w:rPr>
      </w:pPr>
      <w:r w:rsidRPr="00C90461">
        <w:rPr>
          <w:lang w:val="es-ES_tradnl"/>
        </w:rPr>
        <w:lastRenderedPageBreak/>
        <w:tab/>
        <w:t>b)</w:t>
      </w:r>
      <w:r w:rsidR="00BD0860" w:rsidRPr="00C90461">
        <w:rPr>
          <w:lang w:val="es-ES_tradnl"/>
        </w:rPr>
        <w:tab/>
        <w:t>elaborar notas explicativas sobre el artículo 12 del Convenio de la UPOV (“Examen de la solicitud”); y</w:t>
      </w:r>
    </w:p>
    <w:p w14:paraId="1F2A1BBC" w14:textId="77777777" w:rsidR="00BD0860" w:rsidRPr="00C90461" w:rsidRDefault="00BD0860" w:rsidP="00393F6A">
      <w:pPr>
        <w:rPr>
          <w:lang w:val="es-ES_tradnl"/>
        </w:rPr>
      </w:pPr>
    </w:p>
    <w:p w14:paraId="2D76D0F1" w14:textId="4C800D4B" w:rsidR="00BD0860" w:rsidRPr="00C90461" w:rsidRDefault="00FA5159" w:rsidP="00FA5159">
      <w:pPr>
        <w:rPr>
          <w:lang w:val="es-ES_tradnl"/>
        </w:rPr>
      </w:pPr>
      <w:r w:rsidRPr="00C90461">
        <w:rPr>
          <w:lang w:val="es-ES_tradnl"/>
        </w:rPr>
        <w:tab/>
        <w:t>c)</w:t>
      </w:r>
      <w:r w:rsidR="00BD0860" w:rsidRPr="00C90461">
        <w:rPr>
          <w:lang w:val="es-ES_tradnl"/>
        </w:rPr>
        <w:tab/>
        <w:t>solicitar a las organizaciones de obtentores que aclaren las cuestiones relativas al deseo de los obtentores de utilizar o no informes de los exámenes DHE existentes.</w:t>
      </w:r>
    </w:p>
    <w:p w14:paraId="423A78A1" w14:textId="77777777" w:rsidR="0043311C" w:rsidRPr="00C90461" w:rsidRDefault="0043311C" w:rsidP="00393F6A">
      <w:pPr>
        <w:rPr>
          <w:spacing w:val="-4"/>
          <w:lang w:val="es-ES_tradnl"/>
        </w:rPr>
      </w:pPr>
    </w:p>
    <w:p w14:paraId="3B7CAF14" w14:textId="65B9B19A" w:rsidR="003012EF" w:rsidRPr="00C90461" w:rsidRDefault="00650152" w:rsidP="00FA5159">
      <w:pPr>
        <w:pStyle w:val="Heading3"/>
        <w:rPr>
          <w:lang w:val="es-ES_tradnl"/>
        </w:rPr>
      </w:pPr>
      <w:r w:rsidRPr="00C90461">
        <w:rPr>
          <w:lang w:val="es-ES_tradnl"/>
        </w:rPr>
        <w:t>Encuesta a los miembros de la Unión para obtener información sobre sus obstáculos de política o jurídicos que podrían impedir la cooperación internacional en materia de examen DHE</w:t>
      </w:r>
    </w:p>
    <w:p w14:paraId="1C6EE180" w14:textId="77777777" w:rsidR="003012EF" w:rsidRPr="00C90461" w:rsidRDefault="003012EF" w:rsidP="00393F6A">
      <w:pPr>
        <w:keepLines/>
        <w:rPr>
          <w:lang w:val="es-ES_tradnl"/>
        </w:rPr>
      </w:pPr>
    </w:p>
    <w:p w14:paraId="5832927A" w14:textId="0B10BE70" w:rsidR="0043311C" w:rsidRPr="00C90461" w:rsidRDefault="0043311C" w:rsidP="00FA5159">
      <w:pPr>
        <w:pStyle w:val="ListParagraph"/>
        <w:keepLines/>
        <w:numPr>
          <w:ilvl w:val="0"/>
          <w:numId w:val="32"/>
        </w:numPr>
        <w:spacing w:after="0" w:line="240" w:lineRule="auto"/>
        <w:ind w:left="0" w:firstLine="0"/>
        <w:jc w:val="both"/>
        <w:rPr>
          <w:spacing w:val="-4"/>
          <w:lang w:val="es-ES_tradnl"/>
        </w:rPr>
      </w:pPr>
      <w:r w:rsidRPr="00C90461">
        <w:rPr>
          <w:lang w:val="es-ES_tradnl"/>
        </w:rPr>
        <w:t>En su septuagésima octava sesión,</w:t>
      </w:r>
      <w:r w:rsidRPr="00C90461">
        <w:rPr>
          <w:rStyle w:val="FootnoteReference"/>
          <w:lang w:val="es-ES_tradnl"/>
        </w:rPr>
        <w:footnoteReference w:id="8"/>
      </w:r>
      <w:r w:rsidRPr="00C90461">
        <w:rPr>
          <w:lang w:val="es-ES_tradnl"/>
        </w:rPr>
        <w:t xml:space="preserve"> el CAJ acordó incluir una posible “orientación para alentar a los miembros de la Unión a aceptar, con carácter voluntario, informes de examen DHE cuando los solicitantes no puedan presentar material vegetal por motivos fitosanitarios u otras cuestiones conexas, siempre que sea admisible para los miembros de la Unión interesados” como parte de la labor futura que el CAJ acuerde en relación con el documento CAJ/78/9 “Medidas para mejorar la cooperación en materia de examen” (véase el párrafo 39 del documento CAJ/78/13 “Informe”).</w:t>
      </w:r>
    </w:p>
    <w:p w14:paraId="272A31EE" w14:textId="77777777" w:rsidR="00BD0860" w:rsidRPr="00C90461" w:rsidRDefault="00BD0860" w:rsidP="00393F6A">
      <w:pPr>
        <w:tabs>
          <w:tab w:val="left" w:pos="940"/>
        </w:tabs>
        <w:rPr>
          <w:lang w:val="es-ES_tradnl"/>
        </w:rPr>
      </w:pPr>
    </w:p>
    <w:p w14:paraId="18CA489C" w14:textId="34FC09C0" w:rsidR="004104C0" w:rsidRPr="00C90461" w:rsidRDefault="004104C0" w:rsidP="00FA5159">
      <w:pPr>
        <w:pStyle w:val="ListParagraph"/>
        <w:numPr>
          <w:ilvl w:val="0"/>
          <w:numId w:val="32"/>
        </w:numPr>
        <w:spacing w:after="0" w:line="240" w:lineRule="auto"/>
        <w:ind w:left="0" w:firstLine="0"/>
        <w:jc w:val="both"/>
        <w:rPr>
          <w:lang w:val="es-ES_tradnl"/>
        </w:rPr>
      </w:pPr>
      <w:r w:rsidRPr="00C90461">
        <w:rPr>
          <w:lang w:val="es-ES_tradnl"/>
        </w:rPr>
        <w:t>En su septuagésima novena sesión,</w:t>
      </w:r>
      <w:r w:rsidRPr="00C90461">
        <w:rPr>
          <w:rStyle w:val="FootnoteReference"/>
          <w:lang w:val="es-ES_tradnl"/>
        </w:rPr>
        <w:footnoteReference w:id="9"/>
      </w:r>
      <w:r w:rsidRPr="00C90461">
        <w:rPr>
          <w:lang w:val="es-ES_tradnl"/>
        </w:rPr>
        <w:t xml:space="preserve"> el CAJ aprobó las preguntas propuestas para la encuesta a los miembros de la Unión a fin de obtener información sobre sus obstáculos de política o jurídicos que podrían impedir la cooperación internacional en materia de examen DHE, con la siguiente pregunta adicional al final: “¿Alguna novedad puede aumentar la aceptación de los informes DHE en el futuro?” (véase el párrafo 58 del documento CAJ/79/11 “Informe”).</w:t>
      </w:r>
    </w:p>
    <w:p w14:paraId="77CA1CED" w14:textId="77777777" w:rsidR="002C11E6" w:rsidRPr="00C90461" w:rsidRDefault="002C11E6" w:rsidP="00393F6A">
      <w:pPr>
        <w:rPr>
          <w:snapToGrid w:val="0"/>
          <w:spacing w:val="-4"/>
          <w:u w:val="single"/>
          <w:lang w:val="es-ES_tradnl"/>
        </w:rPr>
      </w:pPr>
    </w:p>
    <w:p w14:paraId="1FC4A151" w14:textId="5B3F9081" w:rsidR="002C11E6" w:rsidRPr="00C90461" w:rsidRDefault="002C11E6" w:rsidP="00FA5159">
      <w:pPr>
        <w:pStyle w:val="ListParagraph"/>
        <w:keepLines/>
        <w:numPr>
          <w:ilvl w:val="0"/>
          <w:numId w:val="32"/>
        </w:numPr>
        <w:spacing w:after="0" w:line="240" w:lineRule="auto"/>
        <w:ind w:left="0" w:firstLine="0"/>
        <w:jc w:val="both"/>
        <w:rPr>
          <w:spacing w:val="-4"/>
          <w:lang w:val="es-ES_tradnl"/>
        </w:rPr>
      </w:pPr>
      <w:r w:rsidRPr="00C90461">
        <w:rPr>
          <w:lang w:val="es-ES_tradnl"/>
        </w:rPr>
        <w:t>El 2 de junio de 2023, la Oficina de la Unión envió la circular E-23/091 en la que se invitó a los miembros de la Unión a responder una encuesta sobre sus obstáculos de política o jurídicos que podrían impedir la cooperación internacional en materia de examen DHE. Los resultados de la encuesta se reproducen en el Anexo II del presente documento.</w:t>
      </w:r>
    </w:p>
    <w:p w14:paraId="556D6595" w14:textId="77777777" w:rsidR="002C11E6" w:rsidRPr="00C90461" w:rsidRDefault="002C11E6" w:rsidP="00393F6A">
      <w:pPr>
        <w:rPr>
          <w:lang w:val="es-ES_tradnl"/>
        </w:rPr>
      </w:pPr>
    </w:p>
    <w:p w14:paraId="60DEF811" w14:textId="35A2173F" w:rsidR="002C11E6" w:rsidRPr="00C90461" w:rsidRDefault="002C11E6" w:rsidP="007D1BE6">
      <w:pPr>
        <w:pStyle w:val="ListParagraph"/>
        <w:keepNext/>
        <w:keepLines/>
        <w:numPr>
          <w:ilvl w:val="0"/>
          <w:numId w:val="32"/>
        </w:numPr>
        <w:spacing w:after="0"/>
        <w:ind w:left="0" w:firstLine="0"/>
        <w:jc w:val="both"/>
        <w:rPr>
          <w:lang w:val="es-ES_tradnl"/>
        </w:rPr>
      </w:pPr>
      <w:r w:rsidRPr="00C90461">
        <w:rPr>
          <w:lang w:val="es-ES_tradnl"/>
        </w:rPr>
        <w:t>Se recibieron respuestas a la encuesta de los siguientes 43 miembros de la Unión:</w:t>
      </w:r>
    </w:p>
    <w:p w14:paraId="64DF9671" w14:textId="77777777" w:rsidR="002C11E6" w:rsidRPr="00C90461" w:rsidRDefault="002C11E6" w:rsidP="002C11E6">
      <w:pPr>
        <w:keepNext/>
        <w:keepLines/>
        <w:rPr>
          <w:spacing w:val="-4"/>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2268"/>
        <w:gridCol w:w="1843"/>
        <w:gridCol w:w="2688"/>
      </w:tblGrid>
      <w:tr w:rsidR="002C11E6" w:rsidRPr="00C90461" w14:paraId="2C062C1A" w14:textId="77777777" w:rsidTr="00FA5159">
        <w:tc>
          <w:tcPr>
            <w:tcW w:w="2830" w:type="dxa"/>
            <w:vAlign w:val="center"/>
          </w:tcPr>
          <w:p w14:paraId="709B46F6"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Albania </w:t>
            </w:r>
          </w:p>
        </w:tc>
        <w:tc>
          <w:tcPr>
            <w:tcW w:w="2268" w:type="dxa"/>
            <w:vAlign w:val="center"/>
          </w:tcPr>
          <w:p w14:paraId="0FFE4A60"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República Dominicana </w:t>
            </w:r>
          </w:p>
        </w:tc>
        <w:tc>
          <w:tcPr>
            <w:tcW w:w="1843" w:type="dxa"/>
            <w:vAlign w:val="center"/>
          </w:tcPr>
          <w:p w14:paraId="2977F3DB"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Jordania </w:t>
            </w:r>
          </w:p>
        </w:tc>
        <w:tc>
          <w:tcPr>
            <w:tcW w:w="2688" w:type="dxa"/>
            <w:vAlign w:val="center"/>
          </w:tcPr>
          <w:p w14:paraId="79D2EE20"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Polonia </w:t>
            </w:r>
          </w:p>
        </w:tc>
      </w:tr>
      <w:tr w:rsidR="002C11E6" w:rsidRPr="00C90461" w14:paraId="4C5FA2EC" w14:textId="77777777" w:rsidTr="00FA5159">
        <w:tc>
          <w:tcPr>
            <w:tcW w:w="2830" w:type="dxa"/>
            <w:vAlign w:val="center"/>
          </w:tcPr>
          <w:p w14:paraId="03D69945"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Australia </w:t>
            </w:r>
          </w:p>
        </w:tc>
        <w:tc>
          <w:tcPr>
            <w:tcW w:w="2268" w:type="dxa"/>
            <w:vAlign w:val="center"/>
          </w:tcPr>
          <w:p w14:paraId="5AC2ABE7"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Ecuador </w:t>
            </w:r>
          </w:p>
        </w:tc>
        <w:tc>
          <w:tcPr>
            <w:tcW w:w="1843" w:type="dxa"/>
            <w:vAlign w:val="center"/>
          </w:tcPr>
          <w:p w14:paraId="7949B3D3" w14:textId="77777777" w:rsidR="002C11E6" w:rsidRPr="00C90461" w:rsidRDefault="002C11E6" w:rsidP="000759D0">
            <w:pPr>
              <w:keepNext/>
              <w:keepLines/>
              <w:jc w:val="left"/>
              <w:rPr>
                <w:rFonts w:cs="Arial"/>
                <w:spacing w:val="-4"/>
                <w:sz w:val="18"/>
                <w:szCs w:val="18"/>
                <w:lang w:val="es-ES_tradnl"/>
              </w:rPr>
            </w:pPr>
            <w:proofErr w:type="spellStart"/>
            <w:r w:rsidRPr="00C90461">
              <w:rPr>
                <w:rStyle w:val="text"/>
                <w:rFonts w:ascii="Arial" w:hAnsi="Arial"/>
                <w:sz w:val="18"/>
                <w:lang w:val="es-ES_tradnl"/>
              </w:rPr>
              <w:t>Kenya</w:t>
            </w:r>
            <w:proofErr w:type="spellEnd"/>
            <w:r w:rsidRPr="00C90461">
              <w:rPr>
                <w:rStyle w:val="text"/>
                <w:rFonts w:ascii="Arial" w:hAnsi="Arial"/>
                <w:sz w:val="18"/>
                <w:lang w:val="es-ES_tradnl"/>
              </w:rPr>
              <w:t xml:space="preserve"> </w:t>
            </w:r>
          </w:p>
        </w:tc>
        <w:tc>
          <w:tcPr>
            <w:tcW w:w="2688" w:type="dxa"/>
            <w:vAlign w:val="center"/>
          </w:tcPr>
          <w:p w14:paraId="1B84AFF9"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República de Moldova </w:t>
            </w:r>
          </w:p>
        </w:tc>
      </w:tr>
      <w:tr w:rsidR="002C11E6" w:rsidRPr="00C90461" w14:paraId="4A0E054C" w14:textId="77777777" w:rsidTr="00FA5159">
        <w:tc>
          <w:tcPr>
            <w:tcW w:w="2830" w:type="dxa"/>
            <w:vAlign w:val="center"/>
          </w:tcPr>
          <w:p w14:paraId="0BFA0BCF"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Austria </w:t>
            </w:r>
          </w:p>
        </w:tc>
        <w:tc>
          <w:tcPr>
            <w:tcW w:w="2268" w:type="dxa"/>
            <w:vAlign w:val="center"/>
          </w:tcPr>
          <w:p w14:paraId="12A3B009"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Egipto </w:t>
            </w:r>
          </w:p>
        </w:tc>
        <w:tc>
          <w:tcPr>
            <w:tcW w:w="1843" w:type="dxa"/>
            <w:vAlign w:val="center"/>
          </w:tcPr>
          <w:p w14:paraId="2CA506B6"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Lituania </w:t>
            </w:r>
          </w:p>
        </w:tc>
        <w:tc>
          <w:tcPr>
            <w:tcW w:w="2688" w:type="dxa"/>
            <w:vAlign w:val="center"/>
          </w:tcPr>
          <w:p w14:paraId="51FF4BDC"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Rumania </w:t>
            </w:r>
          </w:p>
        </w:tc>
      </w:tr>
      <w:tr w:rsidR="002C11E6" w:rsidRPr="00C90461" w14:paraId="631CB0D8" w14:textId="77777777" w:rsidTr="00FA5159">
        <w:tc>
          <w:tcPr>
            <w:tcW w:w="2830" w:type="dxa"/>
            <w:vAlign w:val="center"/>
          </w:tcPr>
          <w:p w14:paraId="16EE0E4D" w14:textId="77777777" w:rsidR="002C11E6" w:rsidRPr="00C90461" w:rsidRDefault="002C11E6" w:rsidP="000759D0">
            <w:pPr>
              <w:keepNext/>
              <w:keepLines/>
              <w:jc w:val="left"/>
              <w:rPr>
                <w:rFonts w:cs="Arial"/>
                <w:spacing w:val="-4"/>
                <w:sz w:val="18"/>
                <w:szCs w:val="18"/>
                <w:lang w:val="es-ES_tradnl"/>
              </w:rPr>
            </w:pPr>
            <w:proofErr w:type="spellStart"/>
            <w:r w:rsidRPr="00C90461">
              <w:rPr>
                <w:sz w:val="18"/>
                <w:lang w:val="es-ES_tradnl"/>
              </w:rPr>
              <w:t>Belarús</w:t>
            </w:r>
            <w:proofErr w:type="spellEnd"/>
            <w:r w:rsidRPr="00C90461">
              <w:rPr>
                <w:sz w:val="18"/>
                <w:lang w:val="es-ES_tradnl"/>
              </w:rPr>
              <w:t xml:space="preserve"> </w:t>
            </w:r>
          </w:p>
        </w:tc>
        <w:tc>
          <w:tcPr>
            <w:tcW w:w="2268" w:type="dxa"/>
            <w:vAlign w:val="center"/>
          </w:tcPr>
          <w:p w14:paraId="45A763B5"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Estonia </w:t>
            </w:r>
          </w:p>
        </w:tc>
        <w:tc>
          <w:tcPr>
            <w:tcW w:w="1843" w:type="dxa"/>
            <w:vAlign w:val="center"/>
          </w:tcPr>
          <w:p w14:paraId="41A8F863"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México </w:t>
            </w:r>
          </w:p>
        </w:tc>
        <w:tc>
          <w:tcPr>
            <w:tcW w:w="2688" w:type="dxa"/>
            <w:vAlign w:val="center"/>
          </w:tcPr>
          <w:p w14:paraId="0A4DBB72"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Serbia </w:t>
            </w:r>
          </w:p>
        </w:tc>
      </w:tr>
      <w:tr w:rsidR="002C11E6" w:rsidRPr="00C90461" w14:paraId="016911E2" w14:textId="77777777" w:rsidTr="00FA5159">
        <w:tc>
          <w:tcPr>
            <w:tcW w:w="2830" w:type="dxa"/>
            <w:vAlign w:val="center"/>
          </w:tcPr>
          <w:p w14:paraId="5EB943A8" w14:textId="77777777" w:rsidR="002C11E6" w:rsidRPr="00C90461" w:rsidRDefault="002C11E6" w:rsidP="000759D0">
            <w:pPr>
              <w:keepNext/>
              <w:keepLines/>
              <w:ind w:right="-92"/>
              <w:jc w:val="left"/>
              <w:rPr>
                <w:rFonts w:cs="Arial"/>
                <w:spacing w:val="-4"/>
                <w:sz w:val="18"/>
                <w:szCs w:val="18"/>
                <w:lang w:val="es-ES_tradnl"/>
              </w:rPr>
            </w:pPr>
            <w:r w:rsidRPr="00C90461">
              <w:rPr>
                <w:sz w:val="18"/>
                <w:lang w:val="es-ES_tradnl"/>
              </w:rPr>
              <w:t xml:space="preserve">Bolivia (Estado Plurinacional de) </w:t>
            </w:r>
          </w:p>
        </w:tc>
        <w:tc>
          <w:tcPr>
            <w:tcW w:w="2268" w:type="dxa"/>
            <w:vAlign w:val="center"/>
          </w:tcPr>
          <w:p w14:paraId="0465612C"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Unión Europea </w:t>
            </w:r>
          </w:p>
        </w:tc>
        <w:tc>
          <w:tcPr>
            <w:tcW w:w="1843" w:type="dxa"/>
            <w:vAlign w:val="center"/>
          </w:tcPr>
          <w:p w14:paraId="404D7FFE"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Montenegro </w:t>
            </w:r>
          </w:p>
        </w:tc>
        <w:tc>
          <w:tcPr>
            <w:tcW w:w="2688" w:type="dxa"/>
            <w:vAlign w:val="center"/>
          </w:tcPr>
          <w:p w14:paraId="78341726"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Sudáfrica </w:t>
            </w:r>
          </w:p>
        </w:tc>
      </w:tr>
      <w:tr w:rsidR="002C11E6" w:rsidRPr="00C90461" w14:paraId="7492BE0B" w14:textId="77777777" w:rsidTr="00FA5159">
        <w:tc>
          <w:tcPr>
            <w:tcW w:w="2830" w:type="dxa"/>
            <w:vAlign w:val="center"/>
          </w:tcPr>
          <w:p w14:paraId="36DFAEFE"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Brasil </w:t>
            </w:r>
          </w:p>
        </w:tc>
        <w:tc>
          <w:tcPr>
            <w:tcW w:w="2268" w:type="dxa"/>
            <w:vAlign w:val="center"/>
          </w:tcPr>
          <w:p w14:paraId="3E492057"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Francia </w:t>
            </w:r>
          </w:p>
        </w:tc>
        <w:tc>
          <w:tcPr>
            <w:tcW w:w="1843" w:type="dxa"/>
            <w:vAlign w:val="center"/>
          </w:tcPr>
          <w:p w14:paraId="166A7549"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Marruecos </w:t>
            </w:r>
          </w:p>
        </w:tc>
        <w:tc>
          <w:tcPr>
            <w:tcW w:w="2688" w:type="dxa"/>
            <w:vAlign w:val="center"/>
          </w:tcPr>
          <w:p w14:paraId="0D223688"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Suiza </w:t>
            </w:r>
          </w:p>
        </w:tc>
      </w:tr>
      <w:tr w:rsidR="002C11E6" w:rsidRPr="00C90461" w14:paraId="22F6C97F" w14:textId="77777777" w:rsidTr="00FA5159">
        <w:tc>
          <w:tcPr>
            <w:tcW w:w="2830" w:type="dxa"/>
            <w:vAlign w:val="center"/>
          </w:tcPr>
          <w:p w14:paraId="3C91A681"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Canadá </w:t>
            </w:r>
          </w:p>
        </w:tc>
        <w:tc>
          <w:tcPr>
            <w:tcW w:w="2268" w:type="dxa"/>
            <w:vAlign w:val="center"/>
          </w:tcPr>
          <w:p w14:paraId="3AAD7C1B"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Ghana </w:t>
            </w:r>
          </w:p>
        </w:tc>
        <w:tc>
          <w:tcPr>
            <w:tcW w:w="1843" w:type="dxa"/>
            <w:vAlign w:val="center"/>
          </w:tcPr>
          <w:p w14:paraId="2C7ED819"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Países Bajos </w:t>
            </w:r>
          </w:p>
        </w:tc>
        <w:tc>
          <w:tcPr>
            <w:tcW w:w="2688" w:type="dxa"/>
            <w:vAlign w:val="center"/>
          </w:tcPr>
          <w:p w14:paraId="19350B14"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Túnez </w:t>
            </w:r>
          </w:p>
        </w:tc>
      </w:tr>
      <w:tr w:rsidR="002C11E6" w:rsidRPr="00C90461" w14:paraId="7697B706" w14:textId="77777777" w:rsidTr="00FA5159">
        <w:tc>
          <w:tcPr>
            <w:tcW w:w="2830" w:type="dxa"/>
            <w:vAlign w:val="center"/>
          </w:tcPr>
          <w:p w14:paraId="709CCEB2" w14:textId="77777777" w:rsidR="002C11E6" w:rsidRPr="00C90461" w:rsidRDefault="002C11E6" w:rsidP="000759D0">
            <w:pPr>
              <w:keepNext/>
              <w:keepLines/>
              <w:jc w:val="left"/>
              <w:rPr>
                <w:rFonts w:cs="Arial"/>
                <w:spacing w:val="-4"/>
                <w:sz w:val="18"/>
                <w:szCs w:val="18"/>
                <w:lang w:val="es-ES_tradnl"/>
              </w:rPr>
            </w:pPr>
            <w:r w:rsidRPr="00C90461">
              <w:rPr>
                <w:sz w:val="18"/>
                <w:lang w:val="es-ES_tradnl"/>
              </w:rPr>
              <w:t xml:space="preserve">Chile </w:t>
            </w:r>
          </w:p>
        </w:tc>
        <w:tc>
          <w:tcPr>
            <w:tcW w:w="2268" w:type="dxa"/>
            <w:vAlign w:val="center"/>
          </w:tcPr>
          <w:p w14:paraId="4AB28065"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Hungría </w:t>
            </w:r>
          </w:p>
        </w:tc>
        <w:tc>
          <w:tcPr>
            <w:tcW w:w="1843" w:type="dxa"/>
            <w:vAlign w:val="center"/>
          </w:tcPr>
          <w:p w14:paraId="3CF474BD"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Nueva Zelandia </w:t>
            </w:r>
          </w:p>
        </w:tc>
        <w:tc>
          <w:tcPr>
            <w:tcW w:w="2688" w:type="dxa"/>
            <w:vAlign w:val="center"/>
          </w:tcPr>
          <w:p w14:paraId="092F4C88"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Reino Unido </w:t>
            </w:r>
          </w:p>
        </w:tc>
      </w:tr>
      <w:tr w:rsidR="002C11E6" w:rsidRPr="00C90461" w14:paraId="5A0E1C8F" w14:textId="77777777" w:rsidTr="00FA5159">
        <w:tc>
          <w:tcPr>
            <w:tcW w:w="2830" w:type="dxa"/>
            <w:vAlign w:val="center"/>
          </w:tcPr>
          <w:p w14:paraId="3555552B" w14:textId="77777777" w:rsidR="002C11E6" w:rsidRPr="00C90461" w:rsidRDefault="002C11E6" w:rsidP="000759D0">
            <w:pPr>
              <w:keepNext/>
              <w:keepLines/>
              <w:jc w:val="left"/>
              <w:rPr>
                <w:rFonts w:cs="Arial"/>
                <w:sz w:val="18"/>
                <w:szCs w:val="18"/>
                <w:lang w:val="es-ES_tradnl"/>
              </w:rPr>
            </w:pPr>
            <w:r w:rsidRPr="00C90461">
              <w:rPr>
                <w:sz w:val="18"/>
                <w:lang w:val="es-ES_tradnl"/>
              </w:rPr>
              <w:t xml:space="preserve">China </w:t>
            </w:r>
          </w:p>
        </w:tc>
        <w:tc>
          <w:tcPr>
            <w:tcW w:w="2268" w:type="dxa"/>
            <w:vAlign w:val="center"/>
          </w:tcPr>
          <w:p w14:paraId="25B1335B"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Irlanda </w:t>
            </w:r>
          </w:p>
        </w:tc>
        <w:tc>
          <w:tcPr>
            <w:tcW w:w="1843" w:type="dxa"/>
            <w:vAlign w:val="center"/>
          </w:tcPr>
          <w:p w14:paraId="1A0BF0A5"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Noruega </w:t>
            </w:r>
          </w:p>
        </w:tc>
        <w:tc>
          <w:tcPr>
            <w:tcW w:w="2688" w:type="dxa"/>
            <w:vAlign w:val="center"/>
          </w:tcPr>
          <w:p w14:paraId="571BA176"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República Unida de </w:t>
            </w:r>
            <w:proofErr w:type="spellStart"/>
            <w:r w:rsidRPr="00C90461">
              <w:rPr>
                <w:rStyle w:val="text"/>
                <w:rFonts w:ascii="Arial" w:hAnsi="Arial"/>
                <w:sz w:val="18"/>
                <w:lang w:val="es-ES_tradnl"/>
              </w:rPr>
              <w:t>Tanzanía</w:t>
            </w:r>
            <w:proofErr w:type="spellEnd"/>
            <w:r w:rsidRPr="00C90461">
              <w:rPr>
                <w:rStyle w:val="text"/>
                <w:rFonts w:ascii="Arial" w:hAnsi="Arial"/>
                <w:sz w:val="18"/>
                <w:lang w:val="es-ES_tradnl"/>
              </w:rPr>
              <w:t xml:space="preserve"> </w:t>
            </w:r>
          </w:p>
        </w:tc>
      </w:tr>
      <w:tr w:rsidR="002C11E6" w:rsidRPr="00C90461" w14:paraId="2063E00A" w14:textId="77777777" w:rsidTr="00FA5159">
        <w:tc>
          <w:tcPr>
            <w:tcW w:w="2830" w:type="dxa"/>
            <w:vAlign w:val="center"/>
          </w:tcPr>
          <w:p w14:paraId="6A6A7AFB" w14:textId="77777777" w:rsidR="002C11E6" w:rsidRPr="00C90461" w:rsidRDefault="002C11E6" w:rsidP="000759D0">
            <w:pPr>
              <w:keepNext/>
              <w:keepLines/>
              <w:jc w:val="left"/>
              <w:rPr>
                <w:rFonts w:cs="Arial"/>
                <w:sz w:val="18"/>
                <w:szCs w:val="18"/>
                <w:lang w:val="es-ES_tradnl"/>
              </w:rPr>
            </w:pPr>
            <w:r w:rsidRPr="00C90461">
              <w:rPr>
                <w:sz w:val="18"/>
                <w:lang w:val="es-ES_tradnl"/>
              </w:rPr>
              <w:t xml:space="preserve">Croacia </w:t>
            </w:r>
          </w:p>
        </w:tc>
        <w:tc>
          <w:tcPr>
            <w:tcW w:w="2268" w:type="dxa"/>
            <w:vAlign w:val="center"/>
          </w:tcPr>
          <w:p w14:paraId="11FCD1A4"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Israel </w:t>
            </w:r>
          </w:p>
        </w:tc>
        <w:tc>
          <w:tcPr>
            <w:tcW w:w="1843" w:type="dxa"/>
            <w:vAlign w:val="center"/>
          </w:tcPr>
          <w:p w14:paraId="2B034DFB"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Omán </w:t>
            </w:r>
          </w:p>
        </w:tc>
        <w:tc>
          <w:tcPr>
            <w:tcW w:w="2688" w:type="dxa"/>
            <w:vAlign w:val="center"/>
          </w:tcPr>
          <w:p w14:paraId="38D36203"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Estados Unidos de América </w:t>
            </w:r>
          </w:p>
        </w:tc>
      </w:tr>
      <w:tr w:rsidR="002C11E6" w:rsidRPr="00C90461" w14:paraId="16737BF3" w14:textId="77777777" w:rsidTr="00FA5159">
        <w:tc>
          <w:tcPr>
            <w:tcW w:w="2830" w:type="dxa"/>
            <w:vAlign w:val="center"/>
          </w:tcPr>
          <w:p w14:paraId="32969608" w14:textId="77777777" w:rsidR="002C11E6" w:rsidRPr="00C90461" w:rsidRDefault="002C11E6" w:rsidP="000759D0">
            <w:pPr>
              <w:keepNext/>
              <w:keepLines/>
              <w:jc w:val="left"/>
              <w:rPr>
                <w:rFonts w:cs="Arial"/>
                <w:sz w:val="18"/>
                <w:szCs w:val="18"/>
                <w:lang w:val="es-ES_tradnl"/>
              </w:rPr>
            </w:pPr>
            <w:r w:rsidRPr="00C90461">
              <w:rPr>
                <w:sz w:val="18"/>
                <w:lang w:val="es-ES_tradnl"/>
              </w:rPr>
              <w:t>Dinamarca</w:t>
            </w:r>
          </w:p>
        </w:tc>
        <w:tc>
          <w:tcPr>
            <w:tcW w:w="2268" w:type="dxa"/>
            <w:vAlign w:val="center"/>
          </w:tcPr>
          <w:p w14:paraId="560685CD"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Japón </w:t>
            </w:r>
          </w:p>
        </w:tc>
        <w:tc>
          <w:tcPr>
            <w:tcW w:w="1843" w:type="dxa"/>
            <w:vAlign w:val="center"/>
          </w:tcPr>
          <w:p w14:paraId="5347DB98" w14:textId="77777777" w:rsidR="002C11E6" w:rsidRPr="00C90461" w:rsidRDefault="002C11E6" w:rsidP="000759D0">
            <w:pPr>
              <w:keepNext/>
              <w:keepLines/>
              <w:jc w:val="left"/>
              <w:rPr>
                <w:rFonts w:cs="Arial"/>
                <w:spacing w:val="-4"/>
                <w:sz w:val="18"/>
                <w:szCs w:val="18"/>
                <w:lang w:val="es-ES_tradnl"/>
              </w:rPr>
            </w:pPr>
            <w:r w:rsidRPr="00C90461">
              <w:rPr>
                <w:rStyle w:val="text"/>
                <w:rFonts w:ascii="Arial" w:hAnsi="Arial"/>
                <w:sz w:val="18"/>
                <w:lang w:val="es-ES_tradnl"/>
              </w:rPr>
              <w:t xml:space="preserve">Panamá </w:t>
            </w:r>
          </w:p>
        </w:tc>
        <w:tc>
          <w:tcPr>
            <w:tcW w:w="2688" w:type="dxa"/>
            <w:vAlign w:val="center"/>
          </w:tcPr>
          <w:p w14:paraId="06C0330F" w14:textId="77777777" w:rsidR="002C11E6" w:rsidRPr="00C90461" w:rsidRDefault="002C11E6" w:rsidP="000759D0">
            <w:pPr>
              <w:keepNext/>
              <w:keepLines/>
              <w:jc w:val="left"/>
              <w:rPr>
                <w:rFonts w:cs="Arial"/>
                <w:spacing w:val="-4"/>
                <w:sz w:val="18"/>
                <w:szCs w:val="18"/>
                <w:lang w:val="es-ES_tradnl"/>
              </w:rPr>
            </w:pPr>
          </w:p>
        </w:tc>
      </w:tr>
    </w:tbl>
    <w:p w14:paraId="6766E747" w14:textId="1DB86D6B" w:rsidR="002C11E6" w:rsidRPr="00C90461" w:rsidRDefault="002C11E6" w:rsidP="002C11E6">
      <w:pPr>
        <w:rPr>
          <w:spacing w:val="-4"/>
          <w:lang w:val="es-ES_tradnl"/>
        </w:rPr>
      </w:pPr>
    </w:p>
    <w:p w14:paraId="474A762A" w14:textId="77777777" w:rsidR="007D1BE6" w:rsidRPr="00C90461" w:rsidRDefault="007D1BE6" w:rsidP="002C11E6">
      <w:pPr>
        <w:rPr>
          <w:spacing w:val="-4"/>
          <w:lang w:val="es-ES_tradnl"/>
        </w:rPr>
      </w:pPr>
    </w:p>
    <w:p w14:paraId="3A7A7A4C" w14:textId="5BD920AE" w:rsidR="0011285E" w:rsidRPr="00C90461" w:rsidRDefault="0011285E" w:rsidP="00FA5159">
      <w:pPr>
        <w:pStyle w:val="Heading3"/>
        <w:rPr>
          <w:lang w:val="es-ES_tradnl"/>
        </w:rPr>
      </w:pPr>
      <w:r w:rsidRPr="00C90461">
        <w:rPr>
          <w:lang w:val="es-ES_tradnl"/>
        </w:rPr>
        <w:t>Información de las organizaciones de obtentores relativas al deseo de los obtentores de utilizar o no informes de los exámenes DHE existentes</w:t>
      </w:r>
    </w:p>
    <w:p w14:paraId="6797E78F" w14:textId="77777777" w:rsidR="0011285E" w:rsidRPr="00C90461" w:rsidRDefault="0011285E" w:rsidP="00393F6A">
      <w:pPr>
        <w:rPr>
          <w:lang w:val="es-ES_tradnl"/>
        </w:rPr>
      </w:pPr>
    </w:p>
    <w:p w14:paraId="5C3F4003" w14:textId="7C2E9416" w:rsidR="004104C0" w:rsidRPr="00C90461" w:rsidRDefault="00A73401" w:rsidP="00FA5159">
      <w:pPr>
        <w:pStyle w:val="ListParagraph"/>
        <w:keepLines/>
        <w:numPr>
          <w:ilvl w:val="0"/>
          <w:numId w:val="32"/>
        </w:numPr>
        <w:spacing w:after="0" w:line="240" w:lineRule="auto"/>
        <w:ind w:left="0" w:firstLine="0"/>
        <w:jc w:val="both"/>
        <w:rPr>
          <w:lang w:val="es-ES_tradnl"/>
        </w:rPr>
      </w:pPr>
      <w:r w:rsidRPr="00C90461">
        <w:rPr>
          <w:lang w:val="es-ES_tradnl"/>
        </w:rPr>
        <w:t xml:space="preserve">En </w:t>
      </w:r>
      <w:proofErr w:type="gramStart"/>
      <w:r w:rsidRPr="00C90461">
        <w:rPr>
          <w:lang w:val="es-ES_tradnl"/>
        </w:rPr>
        <w:t>sus septuagésima</w:t>
      </w:r>
      <w:proofErr w:type="gramEnd"/>
      <w:r w:rsidRPr="00C90461">
        <w:rPr>
          <w:lang w:val="es-ES_tradnl"/>
        </w:rPr>
        <w:t xml:space="preserve"> novena sesión,</w:t>
      </w:r>
      <w:r w:rsidRPr="00C90461">
        <w:rPr>
          <w:rStyle w:val="FootnoteReference"/>
          <w:lang w:val="es-ES_tradnl"/>
        </w:rPr>
        <w:t>8</w:t>
      </w:r>
      <w:r w:rsidRPr="00C90461">
        <w:rPr>
          <w:lang w:val="es-ES_tradnl"/>
        </w:rPr>
        <w:t xml:space="preserve"> el CAJ tomó nota de las respuestas a la solicitud realizada a las organizaciones de obtentores para que aclaren las cuestiones relativas al deseo de los obtentores de utilizar o no informes de los exámenes DHE existentes, que se recogen en el documento CAJ/79/7 </w:t>
      </w:r>
      <w:proofErr w:type="spellStart"/>
      <w:r w:rsidRPr="00C90461">
        <w:rPr>
          <w:lang w:val="es-ES_tradnl"/>
        </w:rPr>
        <w:t>Add</w:t>
      </w:r>
      <w:proofErr w:type="spellEnd"/>
      <w:r w:rsidRPr="00C90461">
        <w:rPr>
          <w:lang w:val="es-ES_tradnl"/>
        </w:rPr>
        <w:t xml:space="preserve">. “Adición a: Medidas para mejorar la cooperación en materia de examen”. El CAJ acordó integrar las cuestiones pertinentes en la información acerca de la encuesta a los miembros de la Unión para que el CAJ las examine en su octogésima sesión (véase el párrafo 59 del documento CAJ/79/11 “Informe”). </w:t>
      </w:r>
    </w:p>
    <w:p w14:paraId="0187A296" w14:textId="3548FDAC" w:rsidR="00ED0F6A" w:rsidRPr="00C90461" w:rsidRDefault="00ED0F6A" w:rsidP="00393F6A">
      <w:pPr>
        <w:rPr>
          <w:lang w:val="es-ES_tradnl"/>
        </w:rPr>
      </w:pPr>
    </w:p>
    <w:p w14:paraId="6E8032EC" w14:textId="528F6B42" w:rsidR="0011285E" w:rsidRPr="00C90461" w:rsidRDefault="0011285E" w:rsidP="00FA5159">
      <w:pPr>
        <w:pStyle w:val="Heading3"/>
        <w:rPr>
          <w:lang w:val="es-ES_tradnl"/>
        </w:rPr>
      </w:pPr>
      <w:r w:rsidRPr="00C90461">
        <w:rPr>
          <w:lang w:val="es-ES_tradnl"/>
        </w:rPr>
        <w:t>Notas explicativas sobre el Artículo 12 del Convenio de la UPOV (“Examen de la solicitud”);</w:t>
      </w:r>
    </w:p>
    <w:p w14:paraId="5EE296C7" w14:textId="77777777" w:rsidR="0011285E" w:rsidRPr="00C90461" w:rsidRDefault="0011285E" w:rsidP="00393F6A">
      <w:pPr>
        <w:rPr>
          <w:lang w:val="es-ES_tradnl"/>
        </w:rPr>
      </w:pPr>
    </w:p>
    <w:p w14:paraId="4B7512C2" w14:textId="515AE190" w:rsidR="00ED0F6A" w:rsidRPr="00C90461" w:rsidRDefault="00A73401" w:rsidP="00FA5159">
      <w:pPr>
        <w:pStyle w:val="ListParagraph"/>
        <w:numPr>
          <w:ilvl w:val="0"/>
          <w:numId w:val="32"/>
        </w:numPr>
        <w:spacing w:after="0" w:line="240" w:lineRule="auto"/>
        <w:ind w:left="0" w:firstLine="0"/>
        <w:jc w:val="both"/>
        <w:rPr>
          <w:lang w:val="es-ES_tradnl"/>
        </w:rPr>
      </w:pPr>
      <w:r w:rsidRPr="00C90461">
        <w:rPr>
          <w:lang w:val="es-ES_tradnl"/>
        </w:rPr>
        <w:t>En su septuagésima novena sesión,</w:t>
      </w:r>
      <w:r w:rsidRPr="00C90461">
        <w:rPr>
          <w:rStyle w:val="FootnoteReference"/>
          <w:lang w:val="es-ES_tradnl"/>
        </w:rPr>
        <w:t>8</w:t>
      </w:r>
      <w:r w:rsidRPr="00C90461">
        <w:rPr>
          <w:lang w:val="es-ES_tradnl"/>
        </w:rPr>
        <w:t xml:space="preserve"> el CAJ acordó posponer la elaboración de notas explicativas sobre el Artículo 12 del Convenio de la UPOV (“Examen de la solicitud”) hasta que estén disponibles los datos de la encuesta a los miembros de la Unión y de las organizaciones de obtentores y que el CAJ los haya examinado (véase el párrafo 60 del documento CAJ/79/11 “Informe”).</w:t>
      </w:r>
    </w:p>
    <w:bookmarkEnd w:id="0"/>
    <w:p w14:paraId="19263943" w14:textId="1627BEE6" w:rsidR="00E8744A" w:rsidRPr="00C90461" w:rsidRDefault="00E8744A" w:rsidP="00C16224">
      <w:pPr>
        <w:rPr>
          <w:color w:val="404040"/>
          <w:lang w:val="es-ES_tradnl"/>
        </w:rPr>
      </w:pPr>
    </w:p>
    <w:p w14:paraId="265C0700" w14:textId="6F6D2ABD" w:rsidR="00DA310B" w:rsidRPr="00C90461" w:rsidRDefault="00DA310B" w:rsidP="00FA5159">
      <w:pPr>
        <w:jc w:val="right"/>
        <w:rPr>
          <w:snapToGrid w:val="0"/>
          <w:lang w:val="es-ES_tradnl"/>
        </w:rPr>
      </w:pPr>
      <w:r w:rsidRPr="00C90461">
        <w:rPr>
          <w:snapToGrid w:val="0"/>
          <w:lang w:val="es-ES_tradnl"/>
        </w:rPr>
        <w:t>[Sigue el Anexo II]</w:t>
      </w:r>
    </w:p>
    <w:p w14:paraId="33854FDC" w14:textId="77777777" w:rsidR="00DA310B" w:rsidRPr="00C90461" w:rsidRDefault="00DA310B" w:rsidP="00DA310B">
      <w:pPr>
        <w:rPr>
          <w:snapToGrid w:val="0"/>
          <w:lang w:val="es-ES_tradnl"/>
        </w:rPr>
        <w:sectPr w:rsidR="00DA310B" w:rsidRPr="00C90461" w:rsidSect="0004198B">
          <w:headerReference w:type="default" r:id="rId10"/>
          <w:headerReference w:type="first" r:id="rId11"/>
          <w:pgSz w:w="11907" w:h="16840" w:code="9"/>
          <w:pgMar w:top="510" w:right="1134" w:bottom="1134" w:left="1134" w:header="510" w:footer="680" w:gutter="0"/>
          <w:pgNumType w:start="1"/>
          <w:cols w:space="720"/>
          <w:titlePg/>
        </w:sectPr>
      </w:pPr>
    </w:p>
    <w:p w14:paraId="1768A34D" w14:textId="77777777" w:rsidR="00DA310B" w:rsidRPr="00C90461" w:rsidRDefault="00DA310B" w:rsidP="00DA310B">
      <w:pPr>
        <w:rPr>
          <w:snapToGrid w:val="0"/>
          <w:lang w:val="es-ES_tradnl"/>
        </w:rPr>
      </w:pPr>
    </w:p>
    <w:p w14:paraId="244D7307" w14:textId="6DF5CB05" w:rsidR="00DA310B" w:rsidRPr="00C90461" w:rsidRDefault="00D9494F" w:rsidP="00DA310B">
      <w:pPr>
        <w:jc w:val="center"/>
        <w:rPr>
          <w:caps/>
          <w:snapToGrid w:val="0"/>
          <w:lang w:val="es-ES_tradnl"/>
        </w:rPr>
      </w:pPr>
      <w:r w:rsidRPr="00C90461">
        <w:rPr>
          <w:caps/>
          <w:snapToGrid w:val="0"/>
          <w:lang w:val="es-ES_tradnl"/>
        </w:rPr>
        <w:t>ENCUESTA A LOS MIEMBROS DE LA UNIÓN PARA OBTENER INFORMACIÓN SOBRE SUS OBSTÁCULOS DE POLÍTICA O JURÍDICOS QUE PODRÍAN IMPEDIR LA COOPERACIÓN INTERNACIONAL EN MATERIA DE EXAMEN DHE</w:t>
      </w:r>
      <w:r w:rsidRPr="00C90461">
        <w:rPr>
          <w:rStyle w:val="FootnoteReference"/>
          <w:caps/>
          <w:snapToGrid w:val="0"/>
          <w:vertAlign w:val="baseline"/>
          <w:lang w:val="es-ES_tradnl"/>
        </w:rPr>
        <w:t xml:space="preserve"> </w:t>
      </w:r>
    </w:p>
    <w:p w14:paraId="4A4293E8" w14:textId="77777777" w:rsidR="00DA310B" w:rsidRPr="00C90461" w:rsidRDefault="00DA310B" w:rsidP="00DA310B">
      <w:pPr>
        <w:rPr>
          <w:lang w:val="es-ES_tradnl"/>
        </w:rPr>
      </w:pPr>
    </w:p>
    <w:p w14:paraId="1CED604A" w14:textId="77777777" w:rsidR="008F5DD0" w:rsidRPr="00C90461" w:rsidRDefault="008F5DD0" w:rsidP="008F5DD0">
      <w:pPr>
        <w:spacing w:after="160" w:line="259" w:lineRule="auto"/>
        <w:jc w:val="left"/>
        <w:rPr>
          <w:rFonts w:eastAsia="Arial Unicode MS" w:cs="Arial"/>
          <w:b/>
          <w:bCs/>
          <w:lang w:val="es-ES_tradnl"/>
        </w:rPr>
      </w:pPr>
      <w:bookmarkStart w:id="12" w:name="_Toc3"/>
      <w:r w:rsidRPr="00C90461">
        <w:rPr>
          <w:b/>
          <w:lang w:val="es-ES_tradnl"/>
        </w:rPr>
        <w:t>1. ¿Está la autoridad encargada de otorgar derechos de obtentor en su país/organización obligada a realizar el examen DHE para todas las solicitudes?</w:t>
      </w:r>
      <w:bookmarkEnd w:id="12"/>
    </w:p>
    <w:p w14:paraId="5993C329" w14:textId="77777777" w:rsidR="008F5DD0" w:rsidRPr="00C90461" w:rsidRDefault="008F5DD0" w:rsidP="008F5DD0">
      <w:pPr>
        <w:spacing w:after="160" w:line="259" w:lineRule="auto"/>
        <w:jc w:val="left"/>
        <w:rPr>
          <w:rFonts w:eastAsia="Arial" w:cs="Arial"/>
          <w:lang w:val="es-ES_tradnl"/>
        </w:rPr>
      </w:pPr>
      <w:r w:rsidRPr="00C90461">
        <w:rPr>
          <w:lang w:val="es-ES_tradnl" w:eastAsia="es-ES"/>
        </w:rPr>
        <w:drawing>
          <wp:inline distT="0" distB="0" distL="0" distR="0" wp14:anchorId="79009230" wp14:editId="25F526F6">
            <wp:extent cx="5499735" cy="1850571"/>
            <wp:effectExtent l="0" t="0" r="5715" b="0"/>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56E3DEF2" w14:textId="77777777" w:rsidTr="000759D0">
        <w:tc>
          <w:tcPr>
            <w:tcW w:w="3120" w:type="dxa"/>
          </w:tcPr>
          <w:p w14:paraId="14B2D24A" w14:textId="77777777" w:rsidR="008F5DD0" w:rsidRPr="00C90461" w:rsidRDefault="008F5DD0" w:rsidP="00FB3A3A">
            <w:pPr>
              <w:spacing w:after="120" w:line="240" w:lineRule="auto"/>
              <w:jc w:val="left"/>
              <w:rPr>
                <w:lang w:val="es-ES_tradnl"/>
              </w:rPr>
            </w:pPr>
            <w:r w:rsidRPr="00C90461">
              <w:rPr>
                <w:lang w:val="es-ES_tradnl"/>
              </w:rPr>
              <w:t xml:space="preserve">Valor </w:t>
            </w:r>
          </w:p>
        </w:tc>
        <w:tc>
          <w:tcPr>
            <w:tcW w:w="3120" w:type="dxa"/>
          </w:tcPr>
          <w:p w14:paraId="2B3A24EB" w14:textId="77777777" w:rsidR="008F5DD0" w:rsidRPr="00C90461" w:rsidRDefault="008F5DD0" w:rsidP="00FB3A3A">
            <w:pPr>
              <w:spacing w:after="120" w:line="240" w:lineRule="auto"/>
              <w:jc w:val="left"/>
              <w:rPr>
                <w:lang w:val="es-ES_tradnl"/>
              </w:rPr>
            </w:pPr>
            <w:r w:rsidRPr="00C90461">
              <w:rPr>
                <w:lang w:val="es-ES_tradnl"/>
              </w:rPr>
              <w:t xml:space="preserve">Porcentaje </w:t>
            </w:r>
          </w:p>
        </w:tc>
        <w:tc>
          <w:tcPr>
            <w:tcW w:w="3120" w:type="dxa"/>
          </w:tcPr>
          <w:p w14:paraId="70A72283" w14:textId="77777777" w:rsidR="008F5DD0" w:rsidRPr="00C90461" w:rsidRDefault="008F5DD0" w:rsidP="00FB3A3A">
            <w:pPr>
              <w:spacing w:after="120" w:line="240" w:lineRule="auto"/>
              <w:jc w:val="left"/>
              <w:rPr>
                <w:lang w:val="es-ES_tradnl"/>
              </w:rPr>
            </w:pPr>
            <w:r w:rsidRPr="00C90461">
              <w:rPr>
                <w:lang w:val="es-ES_tradnl"/>
              </w:rPr>
              <w:t xml:space="preserve">Número </w:t>
            </w:r>
          </w:p>
        </w:tc>
      </w:tr>
      <w:tr w:rsidR="008F5DD0" w:rsidRPr="00C90461" w14:paraId="405E0783" w14:textId="77777777" w:rsidTr="000759D0">
        <w:tc>
          <w:tcPr>
            <w:tcW w:w="3120" w:type="dxa"/>
          </w:tcPr>
          <w:p w14:paraId="7EECBE5B" w14:textId="77777777" w:rsidR="008F5DD0" w:rsidRPr="00C90461" w:rsidRDefault="008F5DD0" w:rsidP="00FB3A3A">
            <w:pPr>
              <w:spacing w:after="120" w:line="240" w:lineRule="auto"/>
              <w:jc w:val="left"/>
              <w:rPr>
                <w:lang w:val="es-ES_tradnl"/>
              </w:rPr>
            </w:pPr>
            <w:r w:rsidRPr="00C90461">
              <w:rPr>
                <w:lang w:val="es-ES_tradnl"/>
              </w:rPr>
              <w:t xml:space="preserve">Sí </w:t>
            </w:r>
          </w:p>
        </w:tc>
        <w:tc>
          <w:tcPr>
            <w:tcW w:w="3120" w:type="dxa"/>
          </w:tcPr>
          <w:p w14:paraId="5B4F9E18" w14:textId="77777777" w:rsidR="008F5DD0" w:rsidRPr="00C90461" w:rsidRDefault="008F5DD0" w:rsidP="00FB3A3A">
            <w:pPr>
              <w:spacing w:after="120" w:line="240" w:lineRule="auto"/>
              <w:jc w:val="left"/>
              <w:rPr>
                <w:lang w:val="es-ES_tradnl"/>
              </w:rPr>
            </w:pPr>
            <w:r w:rsidRPr="00C90461">
              <w:rPr>
                <w:lang w:val="es-ES_tradnl"/>
              </w:rPr>
              <w:t xml:space="preserve">42 % </w:t>
            </w:r>
          </w:p>
        </w:tc>
        <w:tc>
          <w:tcPr>
            <w:tcW w:w="3120" w:type="dxa"/>
          </w:tcPr>
          <w:p w14:paraId="1870F46F" w14:textId="77777777" w:rsidR="008F5DD0" w:rsidRPr="00C90461" w:rsidRDefault="008F5DD0" w:rsidP="00FB3A3A">
            <w:pPr>
              <w:spacing w:after="120" w:line="240" w:lineRule="auto"/>
              <w:jc w:val="left"/>
              <w:rPr>
                <w:lang w:val="es-ES_tradnl"/>
              </w:rPr>
            </w:pPr>
            <w:r w:rsidRPr="00C90461">
              <w:rPr>
                <w:lang w:val="es-ES_tradnl"/>
              </w:rPr>
              <w:t xml:space="preserve">18 </w:t>
            </w:r>
          </w:p>
        </w:tc>
      </w:tr>
      <w:tr w:rsidR="008F5DD0" w:rsidRPr="00C90461" w14:paraId="11A8AEAA" w14:textId="77777777" w:rsidTr="000759D0">
        <w:tc>
          <w:tcPr>
            <w:tcW w:w="3120" w:type="dxa"/>
          </w:tcPr>
          <w:p w14:paraId="7253077A" w14:textId="77777777" w:rsidR="008F5DD0" w:rsidRPr="00C90461" w:rsidRDefault="008F5DD0" w:rsidP="00FB3A3A">
            <w:pPr>
              <w:spacing w:after="120" w:line="240" w:lineRule="auto"/>
              <w:jc w:val="left"/>
              <w:rPr>
                <w:lang w:val="es-ES_tradnl"/>
              </w:rPr>
            </w:pPr>
            <w:r w:rsidRPr="00C90461">
              <w:rPr>
                <w:lang w:val="es-ES_tradnl"/>
              </w:rPr>
              <w:t xml:space="preserve">No </w:t>
            </w:r>
          </w:p>
        </w:tc>
        <w:tc>
          <w:tcPr>
            <w:tcW w:w="3120" w:type="dxa"/>
          </w:tcPr>
          <w:p w14:paraId="7652B9D2" w14:textId="77777777" w:rsidR="008F5DD0" w:rsidRPr="00C90461" w:rsidRDefault="008F5DD0" w:rsidP="00FB3A3A">
            <w:pPr>
              <w:spacing w:after="120" w:line="240" w:lineRule="auto"/>
              <w:jc w:val="left"/>
              <w:rPr>
                <w:lang w:val="es-ES_tradnl"/>
              </w:rPr>
            </w:pPr>
            <w:r w:rsidRPr="00C90461">
              <w:rPr>
                <w:lang w:val="es-ES_tradnl"/>
              </w:rPr>
              <w:t xml:space="preserve">58 % </w:t>
            </w:r>
          </w:p>
        </w:tc>
        <w:tc>
          <w:tcPr>
            <w:tcW w:w="3120" w:type="dxa"/>
          </w:tcPr>
          <w:p w14:paraId="5EAF99B5" w14:textId="77777777" w:rsidR="008F5DD0" w:rsidRPr="00C90461" w:rsidRDefault="008F5DD0" w:rsidP="00FB3A3A">
            <w:pPr>
              <w:spacing w:after="120" w:line="240" w:lineRule="auto"/>
              <w:jc w:val="left"/>
              <w:rPr>
                <w:lang w:val="es-ES_tradnl"/>
              </w:rPr>
            </w:pPr>
            <w:r w:rsidRPr="00C90461">
              <w:rPr>
                <w:lang w:val="es-ES_tradnl"/>
              </w:rPr>
              <w:t xml:space="preserve">25 </w:t>
            </w:r>
          </w:p>
        </w:tc>
      </w:tr>
      <w:tr w:rsidR="008F5DD0" w:rsidRPr="00C90461" w14:paraId="5037F2B9" w14:textId="77777777" w:rsidTr="000759D0">
        <w:tc>
          <w:tcPr>
            <w:tcW w:w="3120" w:type="dxa"/>
          </w:tcPr>
          <w:p w14:paraId="0F41778B" w14:textId="77777777" w:rsidR="008F5DD0" w:rsidRPr="00C90461" w:rsidRDefault="008F5DD0" w:rsidP="00FB3A3A">
            <w:pPr>
              <w:spacing w:after="120" w:line="240" w:lineRule="auto"/>
              <w:jc w:val="left"/>
              <w:rPr>
                <w:lang w:val="es-ES_tradnl"/>
              </w:rPr>
            </w:pPr>
            <w:r w:rsidRPr="00C90461">
              <w:rPr>
                <w:lang w:val="es-ES_tradnl"/>
              </w:rPr>
              <w:t xml:space="preserve"> </w:t>
            </w:r>
          </w:p>
        </w:tc>
        <w:tc>
          <w:tcPr>
            <w:tcW w:w="3120" w:type="dxa"/>
          </w:tcPr>
          <w:p w14:paraId="5D93C36C" w14:textId="77777777" w:rsidR="008F5DD0" w:rsidRPr="00C90461" w:rsidRDefault="008F5DD0" w:rsidP="00FB3A3A">
            <w:pPr>
              <w:spacing w:after="120" w:line="240" w:lineRule="auto"/>
              <w:jc w:val="left"/>
              <w:rPr>
                <w:lang w:val="es-ES_tradnl"/>
              </w:rPr>
            </w:pPr>
            <w:r w:rsidRPr="00C90461">
              <w:rPr>
                <w:lang w:val="es-ES_tradnl"/>
              </w:rPr>
              <w:t xml:space="preserve">Totales </w:t>
            </w:r>
          </w:p>
        </w:tc>
        <w:tc>
          <w:tcPr>
            <w:tcW w:w="3120" w:type="dxa"/>
          </w:tcPr>
          <w:p w14:paraId="08BCDB5B" w14:textId="77777777" w:rsidR="008F5DD0" w:rsidRPr="00C90461" w:rsidRDefault="008F5DD0" w:rsidP="00FB3A3A">
            <w:pPr>
              <w:spacing w:after="120" w:line="240" w:lineRule="auto"/>
              <w:jc w:val="left"/>
              <w:rPr>
                <w:lang w:val="es-ES_tradnl"/>
              </w:rPr>
            </w:pPr>
            <w:r w:rsidRPr="00C90461">
              <w:rPr>
                <w:lang w:val="es-ES_tradnl"/>
              </w:rPr>
              <w:t xml:space="preserve">43 </w:t>
            </w:r>
          </w:p>
        </w:tc>
      </w:tr>
    </w:tbl>
    <w:p w14:paraId="0D6773AF" w14:textId="77777777" w:rsidR="008F5DD0" w:rsidRPr="00C90461" w:rsidRDefault="008F5DD0" w:rsidP="008F5DD0">
      <w:pPr>
        <w:spacing w:after="160" w:line="259" w:lineRule="auto"/>
        <w:jc w:val="left"/>
        <w:rPr>
          <w:rFonts w:eastAsia="Arial Unicode MS" w:cs="Arial"/>
          <w:b/>
          <w:bCs/>
          <w:lang w:val="es-ES_tradnl"/>
        </w:rPr>
      </w:pPr>
      <w:bookmarkStart w:id="13" w:name="_Toc4"/>
    </w:p>
    <w:p w14:paraId="54CDB732"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1.1. Indique si la obligación de realizar el examen DHE para todos los cultivos es un requisito establecido en:</w:t>
      </w:r>
      <w:bookmarkEnd w:id="13"/>
    </w:p>
    <w:p w14:paraId="72F9E2F6" w14:textId="77777777" w:rsidR="008F5DD0" w:rsidRPr="00C90461" w:rsidRDefault="008F5DD0" w:rsidP="008F5DD0">
      <w:pPr>
        <w:spacing w:after="160" w:line="259" w:lineRule="auto"/>
        <w:jc w:val="left"/>
        <w:rPr>
          <w:rFonts w:eastAsia="Arial" w:cs="Arial"/>
          <w:lang w:val="es-ES_tradnl"/>
        </w:rPr>
      </w:pPr>
      <w:r w:rsidRPr="00C90461">
        <w:rPr>
          <w:lang w:val="es-ES_tradnl" w:eastAsia="es-ES"/>
        </w:rPr>
        <w:drawing>
          <wp:inline distT="0" distB="0" distL="0" distR="0" wp14:anchorId="48E47805" wp14:editId="7FDD2AAF">
            <wp:extent cx="5500000" cy="3000000"/>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784E37C" w14:textId="77777777" w:rsidR="008F5DD0" w:rsidRPr="00C90461" w:rsidRDefault="008F5DD0" w:rsidP="008F5DD0">
      <w:pPr>
        <w:spacing w:after="160" w:line="259" w:lineRule="auto"/>
        <w:jc w:val="left"/>
        <w:rPr>
          <w:rFonts w:eastAsia="Arial" w:cs="Arial"/>
          <w:lang w:val="es-ES_tradnl"/>
        </w:rPr>
      </w:pPr>
    </w:p>
    <w:p w14:paraId="40181072" w14:textId="77777777" w:rsidR="008F5DD0" w:rsidRPr="00C90461" w:rsidRDefault="008F5DD0" w:rsidP="008F5DD0">
      <w:pPr>
        <w:spacing w:after="160" w:line="259" w:lineRule="auto"/>
        <w:jc w:val="left"/>
        <w:rPr>
          <w:rFonts w:eastAsia="Arial" w:cs="Arial"/>
          <w:lang w:val="es-ES_tradnl"/>
        </w:rPr>
      </w:pPr>
    </w:p>
    <w:p w14:paraId="763BBDC0" w14:textId="77777777" w:rsidR="008F5DD0" w:rsidRPr="00C90461" w:rsidRDefault="008F5DD0" w:rsidP="008F5DD0">
      <w:pPr>
        <w:spacing w:after="160" w:line="259" w:lineRule="auto"/>
        <w:jc w:val="left"/>
        <w:rPr>
          <w:rFonts w:eastAsia="Arial" w:cs="Arial"/>
          <w:lang w:val="es-ES_tradnl"/>
        </w:rPr>
      </w:pPr>
    </w:p>
    <w:tbl>
      <w:tblPr>
        <w:tblStyle w:val="table"/>
        <w:tblW w:w="0" w:type="auto"/>
        <w:tblInd w:w="80" w:type="dxa"/>
        <w:tblLook w:val="04A0" w:firstRow="1" w:lastRow="0" w:firstColumn="1" w:lastColumn="0" w:noHBand="0" w:noVBand="1"/>
      </w:tblPr>
      <w:tblGrid>
        <w:gridCol w:w="4465"/>
        <w:gridCol w:w="6"/>
        <w:gridCol w:w="4424"/>
      </w:tblGrid>
      <w:tr w:rsidR="008F5DD0" w:rsidRPr="00C90461" w14:paraId="3F653BA2" w14:textId="77777777" w:rsidTr="000759D0">
        <w:tc>
          <w:tcPr>
            <w:tcW w:w="4465" w:type="dxa"/>
          </w:tcPr>
          <w:p w14:paraId="6CEB74DF" w14:textId="77777777" w:rsidR="008F5DD0" w:rsidRPr="00C90461" w:rsidRDefault="008F5DD0" w:rsidP="00FB3A3A">
            <w:pPr>
              <w:spacing w:after="120" w:line="240" w:lineRule="auto"/>
              <w:jc w:val="left"/>
              <w:rPr>
                <w:lang w:val="es-ES_tradnl"/>
              </w:rPr>
            </w:pPr>
            <w:r w:rsidRPr="00C90461">
              <w:rPr>
                <w:lang w:val="es-ES_tradnl"/>
              </w:rPr>
              <w:lastRenderedPageBreak/>
              <w:t xml:space="preserve">Valor </w:t>
            </w:r>
          </w:p>
        </w:tc>
        <w:tc>
          <w:tcPr>
            <w:tcW w:w="4430" w:type="dxa"/>
            <w:gridSpan w:val="2"/>
          </w:tcPr>
          <w:p w14:paraId="1FEF6E3F" w14:textId="77777777" w:rsidR="008F5DD0" w:rsidRPr="00C90461" w:rsidRDefault="008F5DD0" w:rsidP="00FB3A3A">
            <w:pPr>
              <w:spacing w:after="120" w:line="240" w:lineRule="auto"/>
              <w:jc w:val="left"/>
              <w:rPr>
                <w:lang w:val="es-ES_tradnl"/>
              </w:rPr>
            </w:pPr>
            <w:r w:rsidRPr="00C90461">
              <w:rPr>
                <w:lang w:val="es-ES_tradnl"/>
              </w:rPr>
              <w:t xml:space="preserve">Porcentaje </w:t>
            </w:r>
          </w:p>
        </w:tc>
      </w:tr>
      <w:tr w:rsidR="008F5DD0" w:rsidRPr="00C90461" w14:paraId="5EC18171" w14:textId="77777777" w:rsidTr="000759D0">
        <w:tc>
          <w:tcPr>
            <w:tcW w:w="4465" w:type="dxa"/>
          </w:tcPr>
          <w:p w14:paraId="29AD7A0A" w14:textId="77777777" w:rsidR="008F5DD0" w:rsidRPr="00C90461" w:rsidRDefault="008F5DD0" w:rsidP="00FB3A3A">
            <w:pPr>
              <w:spacing w:after="120" w:line="240" w:lineRule="auto"/>
              <w:jc w:val="left"/>
              <w:rPr>
                <w:lang w:val="es-ES_tradnl"/>
              </w:rPr>
            </w:pPr>
            <w:r w:rsidRPr="00C90461">
              <w:rPr>
                <w:lang w:val="es-ES_tradnl"/>
              </w:rPr>
              <w:t xml:space="preserve">a. la legislación </w:t>
            </w:r>
          </w:p>
        </w:tc>
        <w:tc>
          <w:tcPr>
            <w:tcW w:w="4430" w:type="dxa"/>
            <w:gridSpan w:val="2"/>
          </w:tcPr>
          <w:p w14:paraId="7F2F9058" w14:textId="77777777" w:rsidR="008F5DD0" w:rsidRPr="00C90461" w:rsidRDefault="008F5DD0" w:rsidP="00FB3A3A">
            <w:pPr>
              <w:spacing w:after="120" w:line="240" w:lineRule="auto"/>
              <w:jc w:val="left"/>
              <w:rPr>
                <w:lang w:val="es-ES_tradnl"/>
              </w:rPr>
            </w:pPr>
            <w:r w:rsidRPr="00C90461">
              <w:rPr>
                <w:lang w:val="es-ES_tradnl"/>
              </w:rPr>
              <w:t xml:space="preserve">72 % </w:t>
            </w:r>
          </w:p>
        </w:tc>
      </w:tr>
      <w:tr w:rsidR="008F5DD0" w:rsidRPr="00C90461" w14:paraId="486C6FE8" w14:textId="77777777" w:rsidTr="000759D0">
        <w:tc>
          <w:tcPr>
            <w:tcW w:w="4465" w:type="dxa"/>
          </w:tcPr>
          <w:p w14:paraId="408FC775" w14:textId="77777777" w:rsidR="008F5DD0" w:rsidRPr="00C90461" w:rsidRDefault="008F5DD0" w:rsidP="00FB3A3A">
            <w:pPr>
              <w:spacing w:after="120" w:line="240" w:lineRule="auto"/>
              <w:jc w:val="left"/>
              <w:rPr>
                <w:lang w:val="es-ES_tradnl"/>
              </w:rPr>
            </w:pPr>
            <w:r w:rsidRPr="00C90461">
              <w:rPr>
                <w:lang w:val="es-ES_tradnl"/>
              </w:rPr>
              <w:t xml:space="preserve">b. los reglamentos </w:t>
            </w:r>
          </w:p>
        </w:tc>
        <w:tc>
          <w:tcPr>
            <w:tcW w:w="4430" w:type="dxa"/>
            <w:gridSpan w:val="2"/>
          </w:tcPr>
          <w:p w14:paraId="66E3B38F" w14:textId="77777777" w:rsidR="008F5DD0" w:rsidRPr="00C90461" w:rsidRDefault="008F5DD0" w:rsidP="00FB3A3A">
            <w:pPr>
              <w:spacing w:after="120" w:line="240" w:lineRule="auto"/>
              <w:jc w:val="left"/>
              <w:rPr>
                <w:lang w:val="es-ES_tradnl"/>
              </w:rPr>
            </w:pPr>
            <w:r w:rsidRPr="00C90461">
              <w:rPr>
                <w:lang w:val="es-ES_tradnl"/>
              </w:rPr>
              <w:t xml:space="preserve">56 % </w:t>
            </w:r>
          </w:p>
        </w:tc>
      </w:tr>
      <w:tr w:rsidR="008F5DD0" w:rsidRPr="00C90461" w14:paraId="78190F2B" w14:textId="77777777" w:rsidTr="000759D0">
        <w:tc>
          <w:tcPr>
            <w:tcW w:w="4465" w:type="dxa"/>
          </w:tcPr>
          <w:p w14:paraId="030DF3E6" w14:textId="77777777" w:rsidR="008F5DD0" w:rsidRPr="00C90461" w:rsidRDefault="008F5DD0" w:rsidP="00FB3A3A">
            <w:pPr>
              <w:spacing w:after="120" w:line="240" w:lineRule="auto"/>
              <w:jc w:val="left"/>
              <w:rPr>
                <w:lang w:val="es-ES_tradnl"/>
              </w:rPr>
            </w:pPr>
            <w:r w:rsidRPr="00C90461">
              <w:rPr>
                <w:lang w:val="es-ES_tradnl"/>
              </w:rPr>
              <w:t xml:space="preserve">c. los procedimientos administrativos </w:t>
            </w:r>
          </w:p>
        </w:tc>
        <w:tc>
          <w:tcPr>
            <w:tcW w:w="4430" w:type="dxa"/>
            <w:gridSpan w:val="2"/>
          </w:tcPr>
          <w:p w14:paraId="49525F26" w14:textId="77777777" w:rsidR="008F5DD0" w:rsidRPr="00C90461" w:rsidRDefault="008F5DD0" w:rsidP="00FB3A3A">
            <w:pPr>
              <w:spacing w:after="120" w:line="240" w:lineRule="auto"/>
              <w:jc w:val="left"/>
              <w:rPr>
                <w:lang w:val="es-ES_tradnl"/>
              </w:rPr>
            </w:pPr>
            <w:r w:rsidRPr="00C90461">
              <w:rPr>
                <w:lang w:val="es-ES_tradnl"/>
              </w:rPr>
              <w:t xml:space="preserve">11 % </w:t>
            </w:r>
          </w:p>
        </w:tc>
      </w:tr>
      <w:tr w:rsidR="008F5DD0" w:rsidRPr="00C90461" w14:paraId="65A19AC0" w14:textId="77777777" w:rsidTr="000759D0">
        <w:tc>
          <w:tcPr>
            <w:tcW w:w="4465" w:type="dxa"/>
          </w:tcPr>
          <w:p w14:paraId="7467D7B5" w14:textId="77777777" w:rsidR="008F5DD0" w:rsidRPr="00C90461" w:rsidRDefault="008F5DD0" w:rsidP="00FB3A3A">
            <w:pPr>
              <w:spacing w:after="120" w:line="240" w:lineRule="auto"/>
              <w:jc w:val="left"/>
              <w:rPr>
                <w:lang w:val="es-ES_tradnl"/>
              </w:rPr>
            </w:pPr>
            <w:r w:rsidRPr="00C90461">
              <w:rPr>
                <w:lang w:val="es-ES_tradnl"/>
              </w:rPr>
              <w:t xml:space="preserve">d. otro </w:t>
            </w:r>
          </w:p>
        </w:tc>
        <w:tc>
          <w:tcPr>
            <w:tcW w:w="4430" w:type="dxa"/>
            <w:gridSpan w:val="2"/>
          </w:tcPr>
          <w:p w14:paraId="4ECB3AF5" w14:textId="77777777" w:rsidR="008F5DD0" w:rsidRPr="00C90461" w:rsidRDefault="008F5DD0" w:rsidP="00FB3A3A">
            <w:pPr>
              <w:spacing w:after="120" w:line="240" w:lineRule="auto"/>
              <w:jc w:val="left"/>
              <w:rPr>
                <w:lang w:val="es-ES_tradnl"/>
              </w:rPr>
            </w:pPr>
            <w:r w:rsidRPr="00C90461">
              <w:rPr>
                <w:lang w:val="es-ES_tradnl"/>
              </w:rPr>
              <w:t xml:space="preserve">0 % </w:t>
            </w:r>
          </w:p>
        </w:tc>
      </w:tr>
      <w:tr w:rsidR="008F5DD0" w:rsidRPr="00C90461" w14:paraId="0D6453EC" w14:textId="77777777" w:rsidTr="000759D0">
        <w:tc>
          <w:tcPr>
            <w:tcW w:w="4471" w:type="dxa"/>
            <w:gridSpan w:val="2"/>
          </w:tcPr>
          <w:p w14:paraId="03BA981D" w14:textId="77777777" w:rsidR="008F5DD0" w:rsidRPr="00C90461" w:rsidRDefault="008F5DD0" w:rsidP="00FB3A3A">
            <w:pPr>
              <w:spacing w:after="120" w:line="240" w:lineRule="auto"/>
              <w:jc w:val="left"/>
              <w:rPr>
                <w:lang w:val="es-ES_tradnl"/>
              </w:rPr>
            </w:pPr>
            <w:proofErr w:type="gramStart"/>
            <w:r w:rsidRPr="00C90461">
              <w:rPr>
                <w:lang w:val="es-ES_tradnl"/>
              </w:rPr>
              <w:t>Total</w:t>
            </w:r>
            <w:proofErr w:type="gramEnd"/>
            <w:r w:rsidRPr="00C90461">
              <w:rPr>
                <w:lang w:val="es-ES_tradnl"/>
              </w:rPr>
              <w:t xml:space="preserve"> de respuestas </w:t>
            </w:r>
          </w:p>
        </w:tc>
        <w:tc>
          <w:tcPr>
            <w:tcW w:w="4424" w:type="dxa"/>
          </w:tcPr>
          <w:p w14:paraId="286A3447" w14:textId="77777777" w:rsidR="008F5DD0" w:rsidRPr="00C90461" w:rsidRDefault="008F5DD0" w:rsidP="00FB3A3A">
            <w:pPr>
              <w:spacing w:after="120" w:line="240" w:lineRule="auto"/>
              <w:jc w:val="left"/>
              <w:rPr>
                <w:lang w:val="es-ES_tradnl"/>
              </w:rPr>
            </w:pPr>
            <w:r w:rsidRPr="00C90461">
              <w:rPr>
                <w:lang w:val="es-ES_tradnl"/>
              </w:rPr>
              <w:t xml:space="preserve">18 </w:t>
            </w:r>
          </w:p>
        </w:tc>
      </w:tr>
    </w:tbl>
    <w:p w14:paraId="5CF44D30" w14:textId="77777777" w:rsidR="008F5DD0" w:rsidRPr="00C90461" w:rsidRDefault="008F5DD0" w:rsidP="008F5DD0">
      <w:pPr>
        <w:spacing w:after="160" w:line="259" w:lineRule="auto"/>
        <w:jc w:val="left"/>
        <w:rPr>
          <w:rFonts w:eastAsia="Arial Unicode MS" w:cs="Arial"/>
          <w:lang w:val="es-ES_tradnl"/>
        </w:rPr>
      </w:pPr>
      <w:bookmarkStart w:id="14" w:name="_Toc5"/>
    </w:p>
    <w:p w14:paraId="23421D14"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Comentarios:</w:t>
      </w:r>
      <w:bookmarkEnd w:id="14"/>
    </w:p>
    <w:tbl>
      <w:tblPr>
        <w:tblStyle w:val="table"/>
        <w:tblW w:w="9393" w:type="dxa"/>
        <w:tblInd w:w="80" w:type="dxa"/>
        <w:tblLook w:val="04A0" w:firstRow="1" w:lastRow="0" w:firstColumn="1" w:lastColumn="0" w:noHBand="0" w:noVBand="1"/>
      </w:tblPr>
      <w:tblGrid>
        <w:gridCol w:w="9393"/>
      </w:tblGrid>
      <w:tr w:rsidR="008F5DD0" w:rsidRPr="00C90461" w14:paraId="6AD63D6D" w14:textId="77777777" w:rsidTr="005A1C08">
        <w:tc>
          <w:tcPr>
            <w:tcW w:w="9393" w:type="dxa"/>
          </w:tcPr>
          <w:p w14:paraId="3A625EA9" w14:textId="77777777" w:rsidR="008F5DD0" w:rsidRPr="00C90461" w:rsidRDefault="008F5DD0" w:rsidP="00FB3A3A">
            <w:pPr>
              <w:spacing w:after="120" w:line="240" w:lineRule="auto"/>
              <w:jc w:val="left"/>
              <w:rPr>
                <w:lang w:val="es-ES_tradnl"/>
              </w:rPr>
            </w:pPr>
            <w:r w:rsidRPr="00C90461">
              <w:rPr>
                <w:lang w:val="es-ES_tradnl"/>
              </w:rPr>
              <w:t xml:space="preserve">Respuesta </w:t>
            </w:r>
          </w:p>
        </w:tc>
      </w:tr>
      <w:tr w:rsidR="008F5DD0" w:rsidRPr="00C90461" w14:paraId="5F48D4E0" w14:textId="77777777" w:rsidTr="005A1C08">
        <w:tc>
          <w:tcPr>
            <w:tcW w:w="9393" w:type="dxa"/>
          </w:tcPr>
          <w:p w14:paraId="37FF7C1A" w14:textId="77777777" w:rsidR="008F5DD0" w:rsidRPr="00C90461" w:rsidRDefault="008F5DD0" w:rsidP="00FB3A3A">
            <w:pPr>
              <w:spacing w:after="120" w:line="240" w:lineRule="auto"/>
              <w:jc w:val="left"/>
              <w:rPr>
                <w:lang w:val="es-ES_tradnl"/>
              </w:rPr>
            </w:pPr>
            <w:r w:rsidRPr="00C90461">
              <w:rPr>
                <w:lang w:val="es-ES_tradnl"/>
              </w:rPr>
              <w:t xml:space="preserve">La ley y los reglamentos de protección de las obtenciones vegetales de los Estados Unidos. </w:t>
            </w:r>
          </w:p>
        </w:tc>
      </w:tr>
      <w:tr w:rsidR="008F5DD0" w:rsidRPr="00C90461" w14:paraId="1FBD0033" w14:textId="77777777" w:rsidTr="005A1C08">
        <w:tc>
          <w:tcPr>
            <w:tcW w:w="9393" w:type="dxa"/>
          </w:tcPr>
          <w:p w14:paraId="081B70A4" w14:textId="77777777" w:rsidR="008F5DD0" w:rsidRPr="00C90461" w:rsidRDefault="008F5DD0" w:rsidP="00FB3A3A">
            <w:pPr>
              <w:spacing w:after="120" w:line="240" w:lineRule="auto"/>
              <w:jc w:val="left"/>
              <w:rPr>
                <w:lang w:val="es-ES_tradnl"/>
              </w:rPr>
            </w:pPr>
            <w:r w:rsidRPr="00C90461">
              <w:rPr>
                <w:lang w:val="es-ES_tradnl"/>
              </w:rPr>
              <w:t xml:space="preserve">La Ley 19342 establece que el Comité Calificador de Variedades ordena al SAG que realice las pruebas y ensayos de DHE </w:t>
            </w:r>
          </w:p>
        </w:tc>
      </w:tr>
      <w:tr w:rsidR="008F5DD0" w:rsidRPr="00C90461" w14:paraId="6A985386" w14:textId="77777777" w:rsidTr="005A1C08">
        <w:tc>
          <w:tcPr>
            <w:tcW w:w="9393" w:type="dxa"/>
          </w:tcPr>
          <w:p w14:paraId="30BD55FB" w14:textId="77777777" w:rsidR="008F5DD0" w:rsidRPr="00C90461" w:rsidRDefault="008F5DD0" w:rsidP="00FB3A3A">
            <w:pPr>
              <w:spacing w:after="120" w:line="240" w:lineRule="auto"/>
              <w:jc w:val="left"/>
              <w:rPr>
                <w:lang w:val="es-ES_tradnl"/>
              </w:rPr>
            </w:pPr>
            <w:r w:rsidRPr="00C90461">
              <w:rPr>
                <w:lang w:val="es-ES_tradnl"/>
              </w:rPr>
              <w:t xml:space="preserve">La nueva ley, la Ley de Derechos de Obtentor de 2022, establece que es necesario un ensayo en cultivo para determinar la DHE. La ley no especifica el lugar en que debe realizarse el ensayo en cultivo, lo que permite utilizar ensayos en cultivo llevados a cabo en otras autoridades. </w:t>
            </w:r>
          </w:p>
        </w:tc>
      </w:tr>
      <w:tr w:rsidR="008F5DD0" w:rsidRPr="00C90461" w14:paraId="72674624" w14:textId="77777777" w:rsidTr="005A1C08">
        <w:tc>
          <w:tcPr>
            <w:tcW w:w="9393" w:type="dxa"/>
          </w:tcPr>
          <w:p w14:paraId="70C9379C" w14:textId="77777777" w:rsidR="008F5DD0" w:rsidRPr="00C90461" w:rsidRDefault="008F5DD0" w:rsidP="00FB3A3A">
            <w:pPr>
              <w:spacing w:after="120" w:line="240" w:lineRule="auto"/>
              <w:jc w:val="left"/>
              <w:rPr>
                <w:lang w:val="es-ES_tradnl"/>
              </w:rPr>
            </w:pPr>
            <w:r w:rsidRPr="00C90461">
              <w:rPr>
                <w:lang w:val="es-ES_tradnl"/>
              </w:rPr>
              <w:t>Para nosotros, “realizar el examen DHE” significa subcontratar o aceptar el examen DHE. Por el contrario, por ahora no realizamos exámenes DHE dado que la INOV (</w:t>
            </w:r>
            <w:proofErr w:type="spellStart"/>
            <w:r w:rsidRPr="00C90461">
              <w:rPr>
                <w:i/>
                <w:iCs/>
                <w:lang w:val="es-ES_tradnl"/>
              </w:rPr>
              <w:t>Instance</w:t>
            </w:r>
            <w:proofErr w:type="spellEnd"/>
            <w:r w:rsidRPr="00C90461">
              <w:rPr>
                <w:i/>
                <w:iCs/>
                <w:lang w:val="es-ES_tradnl"/>
              </w:rPr>
              <w:t xml:space="preserve"> </w:t>
            </w:r>
            <w:proofErr w:type="spellStart"/>
            <w:r w:rsidRPr="00C90461">
              <w:rPr>
                <w:i/>
                <w:iCs/>
                <w:lang w:val="es-ES_tradnl"/>
              </w:rPr>
              <w:t>nationale</w:t>
            </w:r>
            <w:proofErr w:type="spellEnd"/>
            <w:r w:rsidRPr="00C90461">
              <w:rPr>
                <w:i/>
                <w:iCs/>
                <w:lang w:val="es-ES_tradnl"/>
              </w:rPr>
              <w:t xml:space="preserve"> des </w:t>
            </w:r>
            <w:proofErr w:type="spellStart"/>
            <w:r w:rsidRPr="00C90461">
              <w:rPr>
                <w:i/>
                <w:iCs/>
                <w:lang w:val="es-ES_tradnl"/>
              </w:rPr>
              <w:t>obtentions</w:t>
            </w:r>
            <w:proofErr w:type="spellEnd"/>
            <w:r w:rsidRPr="00C90461">
              <w:rPr>
                <w:i/>
                <w:iCs/>
                <w:lang w:val="es-ES_tradnl"/>
              </w:rPr>
              <w:t xml:space="preserve"> </w:t>
            </w:r>
            <w:proofErr w:type="spellStart"/>
            <w:r w:rsidRPr="00C90461">
              <w:rPr>
                <w:i/>
                <w:iCs/>
                <w:lang w:val="es-ES_tradnl"/>
              </w:rPr>
              <w:t>végétales</w:t>
            </w:r>
            <w:proofErr w:type="spellEnd"/>
            <w:r w:rsidRPr="00C90461">
              <w:rPr>
                <w:lang w:val="es-ES_tradnl"/>
              </w:rPr>
              <w:t xml:space="preserve">) es una oficina administrativa. </w:t>
            </w:r>
          </w:p>
        </w:tc>
      </w:tr>
      <w:tr w:rsidR="008F5DD0" w:rsidRPr="00C90461" w14:paraId="782EFB66" w14:textId="77777777" w:rsidTr="005A1C08">
        <w:tc>
          <w:tcPr>
            <w:tcW w:w="9393" w:type="dxa"/>
          </w:tcPr>
          <w:p w14:paraId="7EFAD79F" w14:textId="77777777" w:rsidR="008F5DD0" w:rsidRPr="00C90461" w:rsidRDefault="008F5DD0" w:rsidP="00FB3A3A">
            <w:pPr>
              <w:spacing w:after="120" w:line="240" w:lineRule="auto"/>
              <w:jc w:val="left"/>
              <w:rPr>
                <w:lang w:val="es-ES_tradnl"/>
              </w:rPr>
            </w:pPr>
            <w:r w:rsidRPr="00C90461">
              <w:rPr>
                <w:lang w:val="es-ES_tradnl"/>
              </w:rPr>
              <w:t xml:space="preserve">DIRECTIVA 2002/53/EC DEL CONSEJO </w:t>
            </w:r>
          </w:p>
        </w:tc>
      </w:tr>
      <w:tr w:rsidR="008F5DD0" w:rsidRPr="00C90461" w14:paraId="780F119A" w14:textId="77777777" w:rsidTr="005A1C08">
        <w:tc>
          <w:tcPr>
            <w:tcW w:w="9393" w:type="dxa"/>
          </w:tcPr>
          <w:p w14:paraId="3D6F7602" w14:textId="77777777" w:rsidR="008F5DD0" w:rsidRPr="00C90461" w:rsidRDefault="008F5DD0" w:rsidP="00FB3A3A">
            <w:pPr>
              <w:spacing w:after="120" w:line="240" w:lineRule="auto"/>
              <w:jc w:val="left"/>
              <w:rPr>
                <w:lang w:val="es-ES_tradnl"/>
              </w:rPr>
            </w:pPr>
            <w:r w:rsidRPr="00C90461">
              <w:rPr>
                <w:lang w:val="es-ES_tradnl"/>
              </w:rPr>
              <w:t xml:space="preserve">tenemos la Ley 63 de 5 de octubre de 2012 que reforma artículos de la Lay 23 de 1997 </w:t>
            </w:r>
          </w:p>
        </w:tc>
      </w:tr>
    </w:tbl>
    <w:p w14:paraId="7A1A649B" w14:textId="7247E9AC" w:rsidR="008F5DD0" w:rsidRPr="00C90461" w:rsidRDefault="008F5DD0" w:rsidP="008F5DD0">
      <w:pPr>
        <w:spacing w:after="160" w:line="259" w:lineRule="auto"/>
        <w:jc w:val="left"/>
        <w:rPr>
          <w:rFonts w:eastAsia="Arial" w:cs="Arial"/>
          <w:lang w:val="es-ES_tradnl"/>
        </w:rPr>
      </w:pPr>
      <w:bookmarkStart w:id="15" w:name="_Toc6"/>
    </w:p>
    <w:p w14:paraId="4BDC55CF" w14:textId="5ED4B672" w:rsidR="00FB3A3A" w:rsidRPr="00C90461" w:rsidRDefault="00FB3A3A">
      <w:pPr>
        <w:jc w:val="left"/>
        <w:rPr>
          <w:rFonts w:eastAsia="Arial" w:cs="Arial"/>
          <w:lang w:val="es-ES_tradnl"/>
        </w:rPr>
      </w:pPr>
      <w:r w:rsidRPr="00C90461">
        <w:rPr>
          <w:lang w:val="es-ES_tradnl"/>
        </w:rPr>
        <w:br w:type="page"/>
      </w:r>
    </w:p>
    <w:p w14:paraId="610928B2" w14:textId="61929A20"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2. ¿Exige su país/organización un acuerdo formal para utilizar informes de los exámenes DHE de otro miembro de la UPOV?</w:t>
      </w:r>
      <w:bookmarkEnd w:id="15"/>
    </w:p>
    <w:p w14:paraId="376B1DCA" w14:textId="77777777" w:rsidR="008F5DD0" w:rsidRPr="00C90461" w:rsidRDefault="008F5DD0" w:rsidP="00FB3A3A">
      <w:pPr>
        <w:spacing w:after="120"/>
        <w:jc w:val="left"/>
        <w:rPr>
          <w:rFonts w:eastAsia="Arial" w:cs="Arial"/>
          <w:sz w:val="12"/>
          <w:szCs w:val="12"/>
          <w:lang w:val="es-ES_tradnl"/>
        </w:rPr>
      </w:pPr>
      <w:r w:rsidRPr="00C90461">
        <w:rPr>
          <w:lang w:val="es-ES_tradnl" w:eastAsia="es-ES"/>
        </w:rPr>
        <w:drawing>
          <wp:inline distT="0" distB="0" distL="0" distR="0" wp14:anchorId="62BB77BB" wp14:editId="7A7BF827">
            <wp:extent cx="5499735" cy="1796902"/>
            <wp:effectExtent l="0" t="0" r="5715" b="0"/>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625CAC4A" w14:textId="77777777" w:rsidTr="000759D0">
        <w:tc>
          <w:tcPr>
            <w:tcW w:w="3120" w:type="dxa"/>
          </w:tcPr>
          <w:p w14:paraId="2362A228" w14:textId="77777777" w:rsidR="008F5DD0" w:rsidRPr="00C90461" w:rsidRDefault="008F5DD0" w:rsidP="00FB3A3A">
            <w:pPr>
              <w:spacing w:after="120" w:line="240" w:lineRule="auto"/>
              <w:jc w:val="left"/>
              <w:rPr>
                <w:lang w:val="es-ES_tradnl"/>
              </w:rPr>
            </w:pPr>
            <w:bookmarkStart w:id="16" w:name="_Hlk143710356"/>
            <w:r w:rsidRPr="00C90461">
              <w:rPr>
                <w:lang w:val="es-ES_tradnl"/>
              </w:rPr>
              <w:t xml:space="preserve">Valor </w:t>
            </w:r>
          </w:p>
        </w:tc>
        <w:tc>
          <w:tcPr>
            <w:tcW w:w="3120" w:type="dxa"/>
          </w:tcPr>
          <w:p w14:paraId="19F38EDB" w14:textId="77777777" w:rsidR="008F5DD0" w:rsidRPr="00C90461" w:rsidRDefault="008F5DD0" w:rsidP="00FB3A3A">
            <w:pPr>
              <w:spacing w:after="120" w:line="240" w:lineRule="auto"/>
              <w:jc w:val="left"/>
              <w:rPr>
                <w:lang w:val="es-ES_tradnl"/>
              </w:rPr>
            </w:pPr>
            <w:r w:rsidRPr="00C90461">
              <w:rPr>
                <w:lang w:val="es-ES_tradnl"/>
              </w:rPr>
              <w:t xml:space="preserve">Porcentaje </w:t>
            </w:r>
          </w:p>
        </w:tc>
        <w:tc>
          <w:tcPr>
            <w:tcW w:w="3120" w:type="dxa"/>
          </w:tcPr>
          <w:p w14:paraId="2FBC357C" w14:textId="77777777" w:rsidR="008F5DD0" w:rsidRPr="00C90461" w:rsidRDefault="008F5DD0" w:rsidP="00FB3A3A">
            <w:pPr>
              <w:spacing w:after="120" w:line="240" w:lineRule="auto"/>
              <w:jc w:val="left"/>
              <w:rPr>
                <w:lang w:val="es-ES_tradnl"/>
              </w:rPr>
            </w:pPr>
            <w:r w:rsidRPr="00C90461">
              <w:rPr>
                <w:lang w:val="es-ES_tradnl"/>
              </w:rPr>
              <w:t xml:space="preserve">Número </w:t>
            </w:r>
          </w:p>
        </w:tc>
      </w:tr>
      <w:tr w:rsidR="008F5DD0" w:rsidRPr="00C90461" w14:paraId="307BDA50" w14:textId="77777777" w:rsidTr="000759D0">
        <w:tc>
          <w:tcPr>
            <w:tcW w:w="3120" w:type="dxa"/>
          </w:tcPr>
          <w:p w14:paraId="184A6F59" w14:textId="77777777" w:rsidR="008F5DD0" w:rsidRPr="00C90461" w:rsidRDefault="008F5DD0" w:rsidP="00FB3A3A">
            <w:pPr>
              <w:spacing w:after="120" w:line="240" w:lineRule="auto"/>
              <w:jc w:val="left"/>
              <w:rPr>
                <w:lang w:val="es-ES_tradnl"/>
              </w:rPr>
            </w:pPr>
            <w:r w:rsidRPr="00C90461">
              <w:rPr>
                <w:lang w:val="es-ES_tradnl"/>
              </w:rPr>
              <w:t xml:space="preserve">Sí </w:t>
            </w:r>
          </w:p>
        </w:tc>
        <w:tc>
          <w:tcPr>
            <w:tcW w:w="3120" w:type="dxa"/>
          </w:tcPr>
          <w:p w14:paraId="7A9E6259" w14:textId="77777777" w:rsidR="008F5DD0" w:rsidRPr="00C90461" w:rsidRDefault="008F5DD0" w:rsidP="00FB3A3A">
            <w:pPr>
              <w:spacing w:after="120" w:line="240" w:lineRule="auto"/>
              <w:jc w:val="left"/>
              <w:rPr>
                <w:lang w:val="es-ES_tradnl"/>
              </w:rPr>
            </w:pPr>
            <w:r w:rsidRPr="00C90461">
              <w:rPr>
                <w:lang w:val="es-ES_tradnl"/>
              </w:rPr>
              <w:t xml:space="preserve">21 % </w:t>
            </w:r>
          </w:p>
        </w:tc>
        <w:tc>
          <w:tcPr>
            <w:tcW w:w="3120" w:type="dxa"/>
          </w:tcPr>
          <w:p w14:paraId="292FF94D" w14:textId="77777777" w:rsidR="008F5DD0" w:rsidRPr="00C90461" w:rsidRDefault="008F5DD0" w:rsidP="00FB3A3A">
            <w:pPr>
              <w:spacing w:after="120" w:line="240" w:lineRule="auto"/>
              <w:jc w:val="left"/>
              <w:rPr>
                <w:lang w:val="es-ES_tradnl"/>
              </w:rPr>
            </w:pPr>
            <w:r w:rsidRPr="00C90461">
              <w:rPr>
                <w:lang w:val="es-ES_tradnl"/>
              </w:rPr>
              <w:t xml:space="preserve">9 </w:t>
            </w:r>
          </w:p>
        </w:tc>
      </w:tr>
      <w:tr w:rsidR="008F5DD0" w:rsidRPr="00C90461" w14:paraId="103CD3E5" w14:textId="77777777" w:rsidTr="000759D0">
        <w:tc>
          <w:tcPr>
            <w:tcW w:w="3120" w:type="dxa"/>
          </w:tcPr>
          <w:p w14:paraId="1A72F2A7" w14:textId="77777777" w:rsidR="008F5DD0" w:rsidRPr="00C90461" w:rsidRDefault="008F5DD0" w:rsidP="00FB3A3A">
            <w:pPr>
              <w:spacing w:after="120" w:line="240" w:lineRule="auto"/>
              <w:jc w:val="left"/>
              <w:rPr>
                <w:lang w:val="es-ES_tradnl"/>
              </w:rPr>
            </w:pPr>
            <w:r w:rsidRPr="00C90461">
              <w:rPr>
                <w:lang w:val="es-ES_tradnl"/>
              </w:rPr>
              <w:t xml:space="preserve">No </w:t>
            </w:r>
          </w:p>
        </w:tc>
        <w:tc>
          <w:tcPr>
            <w:tcW w:w="3120" w:type="dxa"/>
          </w:tcPr>
          <w:p w14:paraId="46D39E00" w14:textId="77777777" w:rsidR="008F5DD0" w:rsidRPr="00C90461" w:rsidRDefault="008F5DD0" w:rsidP="00FB3A3A">
            <w:pPr>
              <w:spacing w:after="120" w:line="240" w:lineRule="auto"/>
              <w:jc w:val="left"/>
              <w:rPr>
                <w:lang w:val="es-ES_tradnl"/>
              </w:rPr>
            </w:pPr>
            <w:r w:rsidRPr="00C90461">
              <w:rPr>
                <w:lang w:val="es-ES_tradnl"/>
              </w:rPr>
              <w:t xml:space="preserve">79 % </w:t>
            </w:r>
          </w:p>
        </w:tc>
        <w:tc>
          <w:tcPr>
            <w:tcW w:w="3120" w:type="dxa"/>
          </w:tcPr>
          <w:p w14:paraId="3F613BB8" w14:textId="77777777" w:rsidR="008F5DD0" w:rsidRPr="00C90461" w:rsidRDefault="008F5DD0" w:rsidP="00FB3A3A">
            <w:pPr>
              <w:spacing w:after="120" w:line="240" w:lineRule="auto"/>
              <w:jc w:val="left"/>
              <w:rPr>
                <w:lang w:val="es-ES_tradnl"/>
              </w:rPr>
            </w:pPr>
            <w:r w:rsidRPr="00C90461">
              <w:rPr>
                <w:lang w:val="es-ES_tradnl"/>
              </w:rPr>
              <w:t xml:space="preserve">34 </w:t>
            </w:r>
          </w:p>
        </w:tc>
      </w:tr>
      <w:tr w:rsidR="008F5DD0" w:rsidRPr="00C90461" w14:paraId="626F9331" w14:textId="77777777" w:rsidTr="000759D0">
        <w:tc>
          <w:tcPr>
            <w:tcW w:w="3120" w:type="dxa"/>
          </w:tcPr>
          <w:p w14:paraId="0899A7B3" w14:textId="77777777" w:rsidR="008F5DD0" w:rsidRPr="00C90461" w:rsidRDefault="008F5DD0" w:rsidP="00FB3A3A">
            <w:pPr>
              <w:spacing w:after="120" w:line="240" w:lineRule="auto"/>
              <w:jc w:val="left"/>
              <w:rPr>
                <w:lang w:val="es-ES_tradnl"/>
              </w:rPr>
            </w:pPr>
            <w:r w:rsidRPr="00C90461">
              <w:rPr>
                <w:lang w:val="es-ES_tradnl"/>
              </w:rPr>
              <w:t xml:space="preserve"> </w:t>
            </w:r>
          </w:p>
        </w:tc>
        <w:tc>
          <w:tcPr>
            <w:tcW w:w="3120" w:type="dxa"/>
          </w:tcPr>
          <w:p w14:paraId="09C337A7" w14:textId="77777777" w:rsidR="008F5DD0" w:rsidRPr="00C90461" w:rsidRDefault="008F5DD0" w:rsidP="00FB3A3A">
            <w:pPr>
              <w:spacing w:after="120" w:line="240" w:lineRule="auto"/>
              <w:jc w:val="left"/>
              <w:rPr>
                <w:lang w:val="es-ES_tradnl"/>
              </w:rPr>
            </w:pPr>
            <w:r w:rsidRPr="00C90461">
              <w:rPr>
                <w:lang w:val="es-ES_tradnl"/>
              </w:rPr>
              <w:t xml:space="preserve">Totales </w:t>
            </w:r>
          </w:p>
        </w:tc>
        <w:tc>
          <w:tcPr>
            <w:tcW w:w="3120" w:type="dxa"/>
          </w:tcPr>
          <w:p w14:paraId="213AA8EF" w14:textId="77777777" w:rsidR="008F5DD0" w:rsidRPr="00C90461" w:rsidRDefault="008F5DD0" w:rsidP="00FB3A3A">
            <w:pPr>
              <w:spacing w:after="120" w:line="240" w:lineRule="auto"/>
              <w:jc w:val="left"/>
              <w:rPr>
                <w:lang w:val="es-ES_tradnl"/>
              </w:rPr>
            </w:pPr>
            <w:r w:rsidRPr="00C90461">
              <w:rPr>
                <w:lang w:val="es-ES_tradnl"/>
              </w:rPr>
              <w:t xml:space="preserve">43 </w:t>
            </w:r>
          </w:p>
        </w:tc>
      </w:tr>
    </w:tbl>
    <w:p w14:paraId="6D6EABBE" w14:textId="77777777" w:rsidR="008F5DD0" w:rsidRPr="00C90461" w:rsidRDefault="008F5DD0" w:rsidP="008F5DD0">
      <w:pPr>
        <w:spacing w:after="160" w:line="259" w:lineRule="auto"/>
        <w:jc w:val="left"/>
        <w:rPr>
          <w:rFonts w:eastAsia="Arial Unicode MS" w:cs="Arial"/>
          <w:b/>
          <w:bCs/>
          <w:lang w:val="es-ES_tradnl"/>
        </w:rPr>
      </w:pPr>
      <w:bookmarkStart w:id="17" w:name="_Toc7"/>
      <w:bookmarkEnd w:id="16"/>
    </w:p>
    <w:p w14:paraId="49BF9C46"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2.1. Indique si el acuerdo formal para utilizar informes de los exámenes DHE de otro miembro de la UPOV es un requisito especificado en:</w:t>
      </w:r>
      <w:bookmarkEnd w:id="17"/>
    </w:p>
    <w:p w14:paraId="56DAF3D5" w14:textId="3905F70B" w:rsidR="00C21BD2" w:rsidRPr="00C90461" w:rsidRDefault="008F5DD0" w:rsidP="00FB3A3A">
      <w:pPr>
        <w:spacing w:after="120"/>
        <w:jc w:val="left"/>
        <w:rPr>
          <w:rFonts w:eastAsia="Arial" w:cs="Arial"/>
          <w:sz w:val="12"/>
          <w:szCs w:val="12"/>
          <w:lang w:val="es-ES_tradnl"/>
        </w:rPr>
      </w:pPr>
      <w:r w:rsidRPr="00C90461">
        <w:rPr>
          <w:lang w:val="es-ES_tradnl" w:eastAsia="es-ES"/>
        </w:rPr>
        <w:drawing>
          <wp:inline distT="0" distB="0" distL="0" distR="0" wp14:anchorId="3F0C30E5" wp14:editId="51BC9D6D">
            <wp:extent cx="5499735" cy="2679404"/>
            <wp:effectExtent l="0" t="0" r="5715" b="6985"/>
            <wp:docPr id="1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55256F04" w14:textId="77777777" w:rsidTr="000759D0">
        <w:tc>
          <w:tcPr>
            <w:tcW w:w="3120" w:type="dxa"/>
          </w:tcPr>
          <w:p w14:paraId="28C91A62" w14:textId="77777777" w:rsidR="008F5DD0" w:rsidRPr="00C90461" w:rsidRDefault="008F5DD0" w:rsidP="00FB3A3A">
            <w:pPr>
              <w:spacing w:after="120" w:line="240" w:lineRule="auto"/>
              <w:jc w:val="left"/>
              <w:rPr>
                <w:lang w:val="es-ES_tradnl"/>
              </w:rPr>
            </w:pPr>
            <w:r w:rsidRPr="00C90461">
              <w:rPr>
                <w:lang w:val="es-ES_tradnl"/>
              </w:rPr>
              <w:t xml:space="preserve">Valor </w:t>
            </w:r>
          </w:p>
        </w:tc>
        <w:tc>
          <w:tcPr>
            <w:tcW w:w="3120" w:type="dxa"/>
          </w:tcPr>
          <w:p w14:paraId="4605D993" w14:textId="77777777" w:rsidR="008F5DD0" w:rsidRPr="00C90461" w:rsidRDefault="008F5DD0" w:rsidP="00FB3A3A">
            <w:pPr>
              <w:spacing w:after="120" w:line="240" w:lineRule="auto"/>
              <w:jc w:val="left"/>
              <w:rPr>
                <w:lang w:val="es-ES_tradnl"/>
              </w:rPr>
            </w:pPr>
            <w:r w:rsidRPr="00C90461">
              <w:rPr>
                <w:lang w:val="es-ES_tradnl"/>
              </w:rPr>
              <w:t xml:space="preserve">Porcentaje </w:t>
            </w:r>
          </w:p>
        </w:tc>
        <w:tc>
          <w:tcPr>
            <w:tcW w:w="3120" w:type="dxa"/>
          </w:tcPr>
          <w:p w14:paraId="6978AA2D" w14:textId="77777777" w:rsidR="008F5DD0" w:rsidRPr="00C90461" w:rsidRDefault="008F5DD0" w:rsidP="00FB3A3A">
            <w:pPr>
              <w:spacing w:after="120" w:line="240" w:lineRule="auto"/>
              <w:jc w:val="left"/>
              <w:rPr>
                <w:lang w:val="es-ES_tradnl"/>
              </w:rPr>
            </w:pPr>
            <w:r w:rsidRPr="00C90461">
              <w:rPr>
                <w:lang w:val="es-ES_tradnl"/>
              </w:rPr>
              <w:t xml:space="preserve">Número </w:t>
            </w:r>
          </w:p>
        </w:tc>
      </w:tr>
      <w:tr w:rsidR="008F5DD0" w:rsidRPr="00C90461" w14:paraId="3BC62077" w14:textId="77777777" w:rsidTr="000759D0">
        <w:tc>
          <w:tcPr>
            <w:tcW w:w="3120" w:type="dxa"/>
          </w:tcPr>
          <w:p w14:paraId="1820D129" w14:textId="77777777" w:rsidR="008F5DD0" w:rsidRPr="00C90461" w:rsidRDefault="008F5DD0" w:rsidP="00FB3A3A">
            <w:pPr>
              <w:spacing w:after="120" w:line="240" w:lineRule="auto"/>
              <w:jc w:val="left"/>
              <w:rPr>
                <w:lang w:val="es-ES_tradnl"/>
              </w:rPr>
            </w:pPr>
            <w:r w:rsidRPr="00C90461">
              <w:rPr>
                <w:lang w:val="es-ES_tradnl"/>
              </w:rPr>
              <w:t xml:space="preserve">a. la legislación </w:t>
            </w:r>
          </w:p>
        </w:tc>
        <w:tc>
          <w:tcPr>
            <w:tcW w:w="3120" w:type="dxa"/>
          </w:tcPr>
          <w:p w14:paraId="3E04CA2B" w14:textId="77777777" w:rsidR="008F5DD0" w:rsidRPr="00C90461" w:rsidRDefault="008F5DD0" w:rsidP="00FB3A3A">
            <w:pPr>
              <w:spacing w:after="120" w:line="240" w:lineRule="auto"/>
              <w:jc w:val="left"/>
              <w:rPr>
                <w:lang w:val="es-ES_tradnl"/>
              </w:rPr>
            </w:pPr>
            <w:r w:rsidRPr="00C90461">
              <w:rPr>
                <w:lang w:val="es-ES_tradnl"/>
              </w:rPr>
              <w:t xml:space="preserve">44 % </w:t>
            </w:r>
          </w:p>
        </w:tc>
        <w:tc>
          <w:tcPr>
            <w:tcW w:w="3120" w:type="dxa"/>
          </w:tcPr>
          <w:p w14:paraId="58CC96E8" w14:textId="77777777" w:rsidR="008F5DD0" w:rsidRPr="00C90461" w:rsidRDefault="008F5DD0" w:rsidP="00FB3A3A">
            <w:pPr>
              <w:spacing w:after="120" w:line="240" w:lineRule="auto"/>
              <w:jc w:val="left"/>
              <w:rPr>
                <w:lang w:val="es-ES_tradnl"/>
              </w:rPr>
            </w:pPr>
            <w:r w:rsidRPr="00C90461">
              <w:rPr>
                <w:lang w:val="es-ES_tradnl"/>
              </w:rPr>
              <w:t xml:space="preserve">4 </w:t>
            </w:r>
          </w:p>
        </w:tc>
      </w:tr>
      <w:tr w:rsidR="008F5DD0" w:rsidRPr="00C90461" w14:paraId="1E328869" w14:textId="77777777" w:rsidTr="000759D0">
        <w:tc>
          <w:tcPr>
            <w:tcW w:w="3120" w:type="dxa"/>
          </w:tcPr>
          <w:p w14:paraId="3AD85B6F" w14:textId="77777777" w:rsidR="008F5DD0" w:rsidRPr="00C90461" w:rsidRDefault="008F5DD0" w:rsidP="00FB3A3A">
            <w:pPr>
              <w:spacing w:after="120" w:line="240" w:lineRule="auto"/>
              <w:jc w:val="left"/>
              <w:rPr>
                <w:lang w:val="es-ES_tradnl"/>
              </w:rPr>
            </w:pPr>
            <w:r w:rsidRPr="00C90461">
              <w:rPr>
                <w:lang w:val="es-ES_tradnl"/>
              </w:rPr>
              <w:t xml:space="preserve">c. los procedimientos administrativos </w:t>
            </w:r>
          </w:p>
        </w:tc>
        <w:tc>
          <w:tcPr>
            <w:tcW w:w="3120" w:type="dxa"/>
          </w:tcPr>
          <w:p w14:paraId="193881E0" w14:textId="77777777" w:rsidR="008F5DD0" w:rsidRPr="00C90461" w:rsidRDefault="008F5DD0" w:rsidP="00FB3A3A">
            <w:pPr>
              <w:spacing w:after="120" w:line="240" w:lineRule="auto"/>
              <w:jc w:val="left"/>
              <w:rPr>
                <w:lang w:val="es-ES_tradnl"/>
              </w:rPr>
            </w:pPr>
            <w:r w:rsidRPr="00C90461">
              <w:rPr>
                <w:lang w:val="es-ES_tradnl"/>
              </w:rPr>
              <w:t xml:space="preserve">78 % </w:t>
            </w:r>
          </w:p>
        </w:tc>
        <w:tc>
          <w:tcPr>
            <w:tcW w:w="3120" w:type="dxa"/>
          </w:tcPr>
          <w:p w14:paraId="27DB2BF8" w14:textId="77777777" w:rsidR="008F5DD0" w:rsidRPr="00C90461" w:rsidRDefault="008F5DD0" w:rsidP="00FB3A3A">
            <w:pPr>
              <w:spacing w:after="120" w:line="240" w:lineRule="auto"/>
              <w:jc w:val="left"/>
              <w:rPr>
                <w:lang w:val="es-ES_tradnl"/>
              </w:rPr>
            </w:pPr>
            <w:r w:rsidRPr="00C90461">
              <w:rPr>
                <w:lang w:val="es-ES_tradnl"/>
              </w:rPr>
              <w:t xml:space="preserve">7 </w:t>
            </w:r>
          </w:p>
        </w:tc>
      </w:tr>
    </w:tbl>
    <w:p w14:paraId="13A7EA48" w14:textId="59505E2F" w:rsidR="008F5DD0" w:rsidRPr="00C90461" w:rsidRDefault="008F5DD0" w:rsidP="008F5DD0">
      <w:pPr>
        <w:spacing w:after="160" w:line="259" w:lineRule="auto"/>
        <w:jc w:val="left"/>
        <w:rPr>
          <w:rFonts w:eastAsia="Arial Unicode MS" w:cs="Arial"/>
          <w:b/>
          <w:bCs/>
          <w:lang w:val="es-ES_tradnl"/>
        </w:rPr>
      </w:pPr>
      <w:bookmarkStart w:id="18" w:name="_Toc8"/>
    </w:p>
    <w:p w14:paraId="7B3A2523" w14:textId="547D9111" w:rsidR="00FB3A3A" w:rsidRPr="00C90461" w:rsidRDefault="00FB3A3A">
      <w:pPr>
        <w:jc w:val="left"/>
        <w:rPr>
          <w:rFonts w:eastAsia="Arial Unicode MS" w:cs="Arial"/>
          <w:b/>
          <w:bCs/>
          <w:lang w:val="es-ES_tradnl"/>
        </w:rPr>
      </w:pPr>
      <w:r w:rsidRPr="00C90461">
        <w:rPr>
          <w:lang w:val="es-ES_tradnl"/>
        </w:rPr>
        <w:br w:type="page"/>
      </w:r>
    </w:p>
    <w:p w14:paraId="2BD3803C"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Comentarios:</w:t>
      </w:r>
      <w:bookmarkEnd w:id="18"/>
    </w:p>
    <w:tbl>
      <w:tblPr>
        <w:tblStyle w:val="table"/>
        <w:tblW w:w="9393" w:type="dxa"/>
        <w:tblInd w:w="80" w:type="dxa"/>
        <w:tblLook w:val="04A0" w:firstRow="1" w:lastRow="0" w:firstColumn="1" w:lastColumn="0" w:noHBand="0" w:noVBand="1"/>
      </w:tblPr>
      <w:tblGrid>
        <w:gridCol w:w="9393"/>
      </w:tblGrid>
      <w:tr w:rsidR="008F5DD0" w:rsidRPr="00C90461" w14:paraId="3A2FAC32" w14:textId="77777777" w:rsidTr="005A1C08">
        <w:tc>
          <w:tcPr>
            <w:tcW w:w="9393" w:type="dxa"/>
          </w:tcPr>
          <w:p w14:paraId="6BEB3A7D" w14:textId="77777777" w:rsidR="008F5DD0" w:rsidRPr="00C90461" w:rsidRDefault="008F5DD0" w:rsidP="00FB3A3A">
            <w:pPr>
              <w:spacing w:after="120" w:line="240" w:lineRule="auto"/>
              <w:jc w:val="left"/>
              <w:rPr>
                <w:lang w:val="es-ES_tradnl"/>
              </w:rPr>
            </w:pPr>
            <w:r w:rsidRPr="00C90461">
              <w:rPr>
                <w:lang w:val="es-ES_tradnl"/>
              </w:rPr>
              <w:t xml:space="preserve">Respuesta </w:t>
            </w:r>
          </w:p>
        </w:tc>
      </w:tr>
      <w:tr w:rsidR="008F5DD0" w:rsidRPr="00C90461" w14:paraId="2AA34AC8" w14:textId="77777777" w:rsidTr="005A1C08">
        <w:tc>
          <w:tcPr>
            <w:tcW w:w="9393" w:type="dxa"/>
          </w:tcPr>
          <w:p w14:paraId="51EDCB76" w14:textId="77777777" w:rsidR="008F5DD0" w:rsidRPr="00C90461" w:rsidRDefault="008F5DD0" w:rsidP="00FB3A3A">
            <w:pPr>
              <w:spacing w:after="120" w:line="240" w:lineRule="auto"/>
              <w:jc w:val="left"/>
              <w:rPr>
                <w:lang w:val="es-ES_tradnl"/>
              </w:rPr>
            </w:pPr>
            <w:r w:rsidRPr="00C90461">
              <w:rPr>
                <w:lang w:val="es-ES_tradnl"/>
              </w:rPr>
              <w:t>La Ley n.º 42 de semillas, plantas y obtenciones vegetales de 1999 (</w:t>
            </w:r>
            <w:proofErr w:type="spellStart"/>
            <w:r w:rsidRPr="00C90461">
              <w:rPr>
                <w:i/>
                <w:iCs/>
                <w:lang w:val="es-ES_tradnl"/>
              </w:rPr>
              <w:t>Loi</w:t>
            </w:r>
            <w:proofErr w:type="spellEnd"/>
            <w:r w:rsidRPr="00C90461">
              <w:rPr>
                <w:i/>
                <w:iCs/>
                <w:lang w:val="es-ES_tradnl"/>
              </w:rPr>
              <w:t xml:space="preserve"> N°42 du 99 sur les </w:t>
            </w:r>
            <w:proofErr w:type="spellStart"/>
            <w:r w:rsidRPr="00C90461">
              <w:rPr>
                <w:i/>
                <w:iCs/>
                <w:lang w:val="es-ES_tradnl"/>
              </w:rPr>
              <w:t>semences</w:t>
            </w:r>
            <w:proofErr w:type="spellEnd"/>
            <w:r w:rsidRPr="00C90461">
              <w:rPr>
                <w:i/>
                <w:iCs/>
                <w:lang w:val="es-ES_tradnl"/>
              </w:rPr>
              <w:t xml:space="preserve"> et </w:t>
            </w:r>
            <w:proofErr w:type="spellStart"/>
            <w:r w:rsidRPr="00C90461">
              <w:rPr>
                <w:i/>
                <w:iCs/>
                <w:lang w:val="es-ES_tradnl"/>
              </w:rPr>
              <w:t>plants</w:t>
            </w:r>
            <w:proofErr w:type="spellEnd"/>
            <w:r w:rsidRPr="00C90461">
              <w:rPr>
                <w:i/>
                <w:iCs/>
                <w:lang w:val="es-ES_tradnl"/>
              </w:rPr>
              <w:t xml:space="preserve"> et </w:t>
            </w:r>
            <w:proofErr w:type="spellStart"/>
            <w:r w:rsidRPr="00C90461">
              <w:rPr>
                <w:i/>
                <w:iCs/>
                <w:lang w:val="es-ES_tradnl"/>
              </w:rPr>
              <w:t>obtentions</w:t>
            </w:r>
            <w:proofErr w:type="spellEnd"/>
            <w:r w:rsidRPr="00C90461">
              <w:rPr>
                <w:i/>
                <w:iCs/>
                <w:lang w:val="es-ES_tradnl"/>
              </w:rPr>
              <w:t xml:space="preserve"> </w:t>
            </w:r>
            <w:proofErr w:type="spellStart"/>
            <w:r w:rsidRPr="00C90461">
              <w:rPr>
                <w:i/>
                <w:iCs/>
                <w:lang w:val="es-ES_tradnl"/>
              </w:rPr>
              <w:t>végétales</w:t>
            </w:r>
            <w:proofErr w:type="spellEnd"/>
            <w:r w:rsidRPr="00C90461">
              <w:rPr>
                <w:lang w:val="es-ES_tradnl"/>
              </w:rPr>
              <w:t xml:space="preserve">) </w:t>
            </w:r>
          </w:p>
        </w:tc>
      </w:tr>
      <w:tr w:rsidR="008F5DD0" w:rsidRPr="00C90461" w14:paraId="0E4A7082" w14:textId="77777777" w:rsidTr="005A1C08">
        <w:tc>
          <w:tcPr>
            <w:tcW w:w="9393" w:type="dxa"/>
          </w:tcPr>
          <w:p w14:paraId="5578971F" w14:textId="77777777" w:rsidR="008F5DD0" w:rsidRPr="00C90461" w:rsidRDefault="008F5DD0" w:rsidP="00FB3A3A">
            <w:pPr>
              <w:spacing w:after="120" w:line="240" w:lineRule="auto"/>
              <w:jc w:val="left"/>
              <w:rPr>
                <w:lang w:val="es-ES_tradnl"/>
              </w:rPr>
            </w:pPr>
            <w:r w:rsidRPr="00C90461">
              <w:rPr>
                <w:lang w:val="es-ES_tradnl"/>
              </w:rPr>
              <w:t xml:space="preserve">La oficina de examen DHE de Irlanda cuenta con reconocimiento oficial de la Oficina Comunitaria de Variedades Vegetales (OCVV). La OCVV tiene acuerdos formales (acuerdos con memorando de cooperación) en vigor con otros miembros de la UPOV para el intercambio de informes de los exámenes DHE. </w:t>
            </w:r>
          </w:p>
        </w:tc>
      </w:tr>
      <w:tr w:rsidR="008F5DD0" w:rsidRPr="00C90461" w14:paraId="7A5E2A98" w14:textId="77777777" w:rsidTr="005A1C08">
        <w:tc>
          <w:tcPr>
            <w:tcW w:w="9393" w:type="dxa"/>
          </w:tcPr>
          <w:p w14:paraId="58CAE273" w14:textId="5BDA5970" w:rsidR="008F5DD0" w:rsidRPr="00C90461" w:rsidRDefault="008F5DD0" w:rsidP="00FB3A3A">
            <w:pPr>
              <w:spacing w:after="120" w:line="240" w:lineRule="auto"/>
              <w:jc w:val="left"/>
              <w:rPr>
                <w:lang w:val="es-ES_tradnl"/>
              </w:rPr>
            </w:pPr>
            <w:r w:rsidRPr="00C90461">
              <w:rPr>
                <w:lang w:val="es-ES_tradnl"/>
              </w:rPr>
              <w:t xml:space="preserve">Los detalles se especifican en un procedimiento administrativo de ejecución </w:t>
            </w:r>
          </w:p>
        </w:tc>
      </w:tr>
      <w:tr w:rsidR="008F5DD0" w:rsidRPr="00C90461" w14:paraId="3363DF55" w14:textId="77777777" w:rsidTr="005A1C08">
        <w:tc>
          <w:tcPr>
            <w:tcW w:w="9393" w:type="dxa"/>
          </w:tcPr>
          <w:p w14:paraId="0994FABD" w14:textId="77777777" w:rsidR="008F5DD0" w:rsidRPr="00C90461" w:rsidRDefault="008F5DD0" w:rsidP="00FB3A3A">
            <w:pPr>
              <w:spacing w:after="120" w:line="240" w:lineRule="auto"/>
              <w:jc w:val="left"/>
              <w:rPr>
                <w:lang w:val="es-ES_tradnl"/>
              </w:rPr>
            </w:pPr>
            <w:r w:rsidRPr="00C90461">
              <w:rPr>
                <w:lang w:val="es-ES_tradnl"/>
              </w:rPr>
              <w:t xml:space="preserve">Ley albanesa n.º </w:t>
            </w:r>
            <w:r w:rsidRPr="00C90461">
              <w:rPr>
                <w:i/>
                <w:iCs/>
                <w:lang w:val="es-ES_tradnl"/>
              </w:rPr>
              <w:t xml:space="preserve">10416 </w:t>
            </w:r>
            <w:proofErr w:type="spellStart"/>
            <w:r w:rsidRPr="00C90461">
              <w:rPr>
                <w:i/>
                <w:iCs/>
                <w:lang w:val="es-ES_tradnl"/>
              </w:rPr>
              <w:t>dt</w:t>
            </w:r>
            <w:proofErr w:type="spellEnd"/>
            <w:r w:rsidRPr="00C90461">
              <w:rPr>
                <w:i/>
                <w:iCs/>
                <w:lang w:val="es-ES_tradnl"/>
              </w:rPr>
              <w:t xml:space="preserve"> 07.04.2011, </w:t>
            </w:r>
            <w:proofErr w:type="spellStart"/>
            <w:r w:rsidRPr="00C90461">
              <w:rPr>
                <w:i/>
                <w:iCs/>
                <w:lang w:val="es-ES_tradnl"/>
              </w:rPr>
              <w:t>neni</w:t>
            </w:r>
            <w:proofErr w:type="spellEnd"/>
            <w:r w:rsidRPr="00C90461">
              <w:rPr>
                <w:i/>
                <w:iCs/>
                <w:lang w:val="es-ES_tradnl"/>
              </w:rPr>
              <w:t xml:space="preserve"> 33, </w:t>
            </w:r>
            <w:proofErr w:type="spellStart"/>
            <w:r w:rsidRPr="00C90461">
              <w:rPr>
                <w:i/>
                <w:iCs/>
                <w:lang w:val="es-ES_tradnl"/>
              </w:rPr>
              <w:t>pika</w:t>
            </w:r>
            <w:proofErr w:type="spellEnd"/>
            <w:r w:rsidRPr="00C90461">
              <w:rPr>
                <w:i/>
                <w:iCs/>
                <w:lang w:val="es-ES_tradnl"/>
              </w:rPr>
              <w:t xml:space="preserve"> 2</w:t>
            </w:r>
            <w:r w:rsidRPr="00C90461">
              <w:rPr>
                <w:lang w:val="es-ES_tradnl"/>
              </w:rPr>
              <w:t xml:space="preserve"> </w:t>
            </w:r>
          </w:p>
        </w:tc>
      </w:tr>
    </w:tbl>
    <w:p w14:paraId="197B7BF9" w14:textId="77777777" w:rsidR="008F5DD0" w:rsidRPr="00C90461" w:rsidRDefault="008F5DD0" w:rsidP="008F5DD0">
      <w:pPr>
        <w:spacing w:after="160" w:line="259" w:lineRule="auto"/>
        <w:jc w:val="left"/>
        <w:rPr>
          <w:rFonts w:eastAsia="Arial Unicode MS" w:cs="Arial"/>
          <w:b/>
          <w:bCs/>
          <w:lang w:val="es-ES_tradnl"/>
        </w:rPr>
      </w:pPr>
      <w:bookmarkStart w:id="19" w:name="_Toc9"/>
    </w:p>
    <w:p w14:paraId="5D72DFBF"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3. ¿Existen requisitos en su país/organización para utilizar informes de los exámenes DHE de otro miembro de la UPOV?</w:t>
      </w:r>
      <w:bookmarkEnd w:id="19"/>
    </w:p>
    <w:p w14:paraId="1AFE9BB3" w14:textId="77777777" w:rsidR="008F5DD0" w:rsidRPr="00C90461" w:rsidRDefault="008F5DD0" w:rsidP="00FB3A3A">
      <w:pPr>
        <w:spacing w:after="120"/>
        <w:jc w:val="left"/>
        <w:rPr>
          <w:rFonts w:eastAsia="Arial" w:cs="Arial"/>
          <w:sz w:val="12"/>
          <w:szCs w:val="12"/>
          <w:lang w:val="es-ES_tradnl"/>
        </w:rPr>
      </w:pPr>
      <w:r w:rsidRPr="00C90461">
        <w:rPr>
          <w:lang w:val="es-ES_tradnl" w:eastAsia="es-ES"/>
        </w:rPr>
        <w:drawing>
          <wp:inline distT="0" distB="0" distL="0" distR="0" wp14:anchorId="4BF04F70" wp14:editId="5D246AA8">
            <wp:extent cx="5499735" cy="2041451"/>
            <wp:effectExtent l="0" t="0" r="5715" b="0"/>
            <wp:docPr id="12"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bl>
      <w:tblPr>
        <w:tblStyle w:val="table"/>
        <w:tblW w:w="0" w:type="auto"/>
        <w:tblInd w:w="80" w:type="dxa"/>
        <w:tblLook w:val="04A0" w:firstRow="1" w:lastRow="0" w:firstColumn="1" w:lastColumn="0" w:noHBand="0" w:noVBand="1"/>
      </w:tblPr>
      <w:tblGrid>
        <w:gridCol w:w="2961"/>
        <w:gridCol w:w="2972"/>
        <w:gridCol w:w="2962"/>
      </w:tblGrid>
      <w:tr w:rsidR="008F5DD0" w:rsidRPr="00C90461" w14:paraId="02346708" w14:textId="77777777" w:rsidTr="008F5DD0">
        <w:tc>
          <w:tcPr>
            <w:tcW w:w="2961" w:type="dxa"/>
          </w:tcPr>
          <w:p w14:paraId="34A7D86D" w14:textId="77777777" w:rsidR="008F5DD0" w:rsidRPr="00C90461" w:rsidRDefault="008F5DD0" w:rsidP="00FB3A3A">
            <w:pPr>
              <w:spacing w:after="120" w:line="240" w:lineRule="auto"/>
              <w:jc w:val="left"/>
              <w:rPr>
                <w:lang w:val="es-ES_tradnl"/>
              </w:rPr>
            </w:pPr>
            <w:r w:rsidRPr="00C90461">
              <w:rPr>
                <w:lang w:val="es-ES_tradnl"/>
              </w:rPr>
              <w:t xml:space="preserve">Valor </w:t>
            </w:r>
          </w:p>
        </w:tc>
        <w:tc>
          <w:tcPr>
            <w:tcW w:w="2972" w:type="dxa"/>
          </w:tcPr>
          <w:p w14:paraId="2626A27E" w14:textId="77777777" w:rsidR="008F5DD0" w:rsidRPr="00C90461" w:rsidRDefault="008F5DD0" w:rsidP="00FB3A3A">
            <w:pPr>
              <w:spacing w:after="120" w:line="240" w:lineRule="auto"/>
              <w:jc w:val="left"/>
              <w:rPr>
                <w:lang w:val="es-ES_tradnl"/>
              </w:rPr>
            </w:pPr>
            <w:r w:rsidRPr="00C90461">
              <w:rPr>
                <w:lang w:val="es-ES_tradnl"/>
              </w:rPr>
              <w:t xml:space="preserve">Porcentaje </w:t>
            </w:r>
          </w:p>
        </w:tc>
        <w:tc>
          <w:tcPr>
            <w:tcW w:w="2962" w:type="dxa"/>
          </w:tcPr>
          <w:p w14:paraId="33348DE5" w14:textId="77777777" w:rsidR="008F5DD0" w:rsidRPr="00C90461" w:rsidRDefault="008F5DD0" w:rsidP="00FB3A3A">
            <w:pPr>
              <w:spacing w:after="120" w:line="240" w:lineRule="auto"/>
              <w:jc w:val="left"/>
              <w:rPr>
                <w:lang w:val="es-ES_tradnl"/>
              </w:rPr>
            </w:pPr>
            <w:r w:rsidRPr="00C90461">
              <w:rPr>
                <w:lang w:val="es-ES_tradnl"/>
              </w:rPr>
              <w:t xml:space="preserve">Número </w:t>
            </w:r>
          </w:p>
        </w:tc>
      </w:tr>
      <w:tr w:rsidR="008F5DD0" w:rsidRPr="00C90461" w14:paraId="52ED5049" w14:textId="77777777" w:rsidTr="008F5DD0">
        <w:tc>
          <w:tcPr>
            <w:tcW w:w="2961" w:type="dxa"/>
          </w:tcPr>
          <w:p w14:paraId="2F615368" w14:textId="77777777" w:rsidR="008F5DD0" w:rsidRPr="00C90461" w:rsidRDefault="008F5DD0" w:rsidP="00FB3A3A">
            <w:pPr>
              <w:spacing w:after="120" w:line="240" w:lineRule="auto"/>
              <w:jc w:val="left"/>
              <w:rPr>
                <w:lang w:val="es-ES_tradnl"/>
              </w:rPr>
            </w:pPr>
            <w:r w:rsidRPr="00C90461">
              <w:rPr>
                <w:lang w:val="es-ES_tradnl"/>
              </w:rPr>
              <w:t xml:space="preserve">Sí </w:t>
            </w:r>
          </w:p>
        </w:tc>
        <w:tc>
          <w:tcPr>
            <w:tcW w:w="2972" w:type="dxa"/>
          </w:tcPr>
          <w:p w14:paraId="43C98AC9" w14:textId="77777777" w:rsidR="008F5DD0" w:rsidRPr="00C90461" w:rsidRDefault="008F5DD0" w:rsidP="00FB3A3A">
            <w:pPr>
              <w:spacing w:after="120" w:line="240" w:lineRule="auto"/>
              <w:jc w:val="left"/>
              <w:rPr>
                <w:lang w:val="es-ES_tradnl"/>
              </w:rPr>
            </w:pPr>
            <w:r w:rsidRPr="00C90461">
              <w:rPr>
                <w:lang w:val="es-ES_tradnl"/>
              </w:rPr>
              <w:t xml:space="preserve">58 % </w:t>
            </w:r>
          </w:p>
        </w:tc>
        <w:tc>
          <w:tcPr>
            <w:tcW w:w="2962" w:type="dxa"/>
          </w:tcPr>
          <w:p w14:paraId="25DE0EDF" w14:textId="77777777" w:rsidR="008F5DD0" w:rsidRPr="00C90461" w:rsidRDefault="008F5DD0" w:rsidP="00FB3A3A">
            <w:pPr>
              <w:spacing w:after="120" w:line="240" w:lineRule="auto"/>
              <w:jc w:val="left"/>
              <w:rPr>
                <w:lang w:val="es-ES_tradnl"/>
              </w:rPr>
            </w:pPr>
            <w:r w:rsidRPr="00C90461">
              <w:rPr>
                <w:lang w:val="es-ES_tradnl"/>
              </w:rPr>
              <w:t xml:space="preserve">25 </w:t>
            </w:r>
          </w:p>
        </w:tc>
      </w:tr>
      <w:tr w:rsidR="008F5DD0" w:rsidRPr="00C90461" w14:paraId="655291B8" w14:textId="77777777" w:rsidTr="008F5DD0">
        <w:tc>
          <w:tcPr>
            <w:tcW w:w="2961" w:type="dxa"/>
          </w:tcPr>
          <w:p w14:paraId="752DE119" w14:textId="77777777" w:rsidR="008F5DD0" w:rsidRPr="00C90461" w:rsidRDefault="008F5DD0" w:rsidP="00FB3A3A">
            <w:pPr>
              <w:spacing w:after="120" w:line="240" w:lineRule="auto"/>
              <w:jc w:val="left"/>
              <w:rPr>
                <w:lang w:val="es-ES_tradnl"/>
              </w:rPr>
            </w:pPr>
            <w:r w:rsidRPr="00C90461">
              <w:rPr>
                <w:lang w:val="es-ES_tradnl"/>
              </w:rPr>
              <w:t xml:space="preserve">No </w:t>
            </w:r>
          </w:p>
        </w:tc>
        <w:tc>
          <w:tcPr>
            <w:tcW w:w="2972" w:type="dxa"/>
          </w:tcPr>
          <w:p w14:paraId="7C218173" w14:textId="77777777" w:rsidR="008F5DD0" w:rsidRPr="00C90461" w:rsidRDefault="008F5DD0" w:rsidP="00FB3A3A">
            <w:pPr>
              <w:spacing w:after="120" w:line="240" w:lineRule="auto"/>
              <w:jc w:val="left"/>
              <w:rPr>
                <w:lang w:val="es-ES_tradnl"/>
              </w:rPr>
            </w:pPr>
            <w:r w:rsidRPr="00C90461">
              <w:rPr>
                <w:lang w:val="es-ES_tradnl"/>
              </w:rPr>
              <w:t xml:space="preserve">42 % </w:t>
            </w:r>
          </w:p>
        </w:tc>
        <w:tc>
          <w:tcPr>
            <w:tcW w:w="2962" w:type="dxa"/>
          </w:tcPr>
          <w:p w14:paraId="2C702545" w14:textId="77777777" w:rsidR="008F5DD0" w:rsidRPr="00C90461" w:rsidRDefault="008F5DD0" w:rsidP="00FB3A3A">
            <w:pPr>
              <w:spacing w:after="120" w:line="240" w:lineRule="auto"/>
              <w:jc w:val="left"/>
              <w:rPr>
                <w:lang w:val="es-ES_tradnl"/>
              </w:rPr>
            </w:pPr>
            <w:r w:rsidRPr="00C90461">
              <w:rPr>
                <w:lang w:val="es-ES_tradnl"/>
              </w:rPr>
              <w:t xml:space="preserve">18 </w:t>
            </w:r>
          </w:p>
        </w:tc>
      </w:tr>
      <w:tr w:rsidR="008F5DD0" w:rsidRPr="00C90461" w14:paraId="71391D66" w14:textId="77777777" w:rsidTr="008F5DD0">
        <w:tc>
          <w:tcPr>
            <w:tcW w:w="2961" w:type="dxa"/>
          </w:tcPr>
          <w:p w14:paraId="2BAD2EE4" w14:textId="77777777" w:rsidR="008F5DD0" w:rsidRPr="00C90461" w:rsidRDefault="008F5DD0" w:rsidP="00FB3A3A">
            <w:pPr>
              <w:spacing w:after="120" w:line="240" w:lineRule="auto"/>
              <w:jc w:val="left"/>
              <w:rPr>
                <w:lang w:val="es-ES_tradnl"/>
              </w:rPr>
            </w:pPr>
            <w:r w:rsidRPr="00C90461">
              <w:rPr>
                <w:lang w:val="es-ES_tradnl"/>
              </w:rPr>
              <w:t xml:space="preserve"> </w:t>
            </w:r>
          </w:p>
        </w:tc>
        <w:tc>
          <w:tcPr>
            <w:tcW w:w="2972" w:type="dxa"/>
          </w:tcPr>
          <w:p w14:paraId="2DEC9BA6" w14:textId="77777777" w:rsidR="008F5DD0" w:rsidRPr="00C90461" w:rsidRDefault="008F5DD0" w:rsidP="00FB3A3A">
            <w:pPr>
              <w:spacing w:after="120" w:line="240" w:lineRule="auto"/>
              <w:jc w:val="left"/>
              <w:rPr>
                <w:lang w:val="es-ES_tradnl"/>
              </w:rPr>
            </w:pPr>
            <w:r w:rsidRPr="00C90461">
              <w:rPr>
                <w:lang w:val="es-ES_tradnl"/>
              </w:rPr>
              <w:t xml:space="preserve">Totales </w:t>
            </w:r>
          </w:p>
        </w:tc>
        <w:tc>
          <w:tcPr>
            <w:tcW w:w="2962" w:type="dxa"/>
          </w:tcPr>
          <w:p w14:paraId="691BF955" w14:textId="77777777" w:rsidR="008F5DD0" w:rsidRPr="00C90461" w:rsidRDefault="008F5DD0" w:rsidP="00FB3A3A">
            <w:pPr>
              <w:spacing w:after="120" w:line="240" w:lineRule="auto"/>
              <w:jc w:val="left"/>
              <w:rPr>
                <w:lang w:val="es-ES_tradnl"/>
              </w:rPr>
            </w:pPr>
            <w:r w:rsidRPr="00C90461">
              <w:rPr>
                <w:lang w:val="es-ES_tradnl"/>
              </w:rPr>
              <w:t xml:space="preserve">43 </w:t>
            </w:r>
          </w:p>
        </w:tc>
      </w:tr>
    </w:tbl>
    <w:p w14:paraId="325E6952" w14:textId="77777777" w:rsidR="008F5DD0" w:rsidRPr="00C90461" w:rsidRDefault="008F5DD0" w:rsidP="008F5DD0">
      <w:pPr>
        <w:jc w:val="left"/>
        <w:rPr>
          <w:rFonts w:eastAsia="Arial" w:cs="Arial"/>
          <w:lang w:val="es-ES_tradnl"/>
        </w:rPr>
      </w:pPr>
      <w:bookmarkStart w:id="20" w:name="_Toc10"/>
      <w:r w:rsidRPr="00C90461">
        <w:rPr>
          <w:lang w:val="es-ES_tradnl"/>
        </w:rPr>
        <w:br w:type="page"/>
      </w:r>
    </w:p>
    <w:p w14:paraId="587736B0"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3.1. Enumere los requisitos para utilizar informes de los exámenes DHE de otro miembro de la UPOV:</w:t>
      </w:r>
      <w:bookmarkEnd w:id="20"/>
    </w:p>
    <w:tbl>
      <w:tblPr>
        <w:tblStyle w:val="table"/>
        <w:tblW w:w="0" w:type="auto"/>
        <w:tblInd w:w="80" w:type="dxa"/>
        <w:tblLook w:val="04A0" w:firstRow="1" w:lastRow="0" w:firstColumn="1" w:lastColumn="0" w:noHBand="0" w:noVBand="1"/>
      </w:tblPr>
      <w:tblGrid>
        <w:gridCol w:w="9393"/>
      </w:tblGrid>
      <w:tr w:rsidR="008F5DD0" w:rsidRPr="00C90461" w14:paraId="0F7146C9" w14:textId="77777777" w:rsidTr="005A1C08">
        <w:tc>
          <w:tcPr>
            <w:tcW w:w="9393" w:type="dxa"/>
          </w:tcPr>
          <w:p w14:paraId="7079E5C9" w14:textId="182938C6" w:rsidR="008F5DD0" w:rsidRPr="00C90461" w:rsidRDefault="008F5DD0" w:rsidP="00C91F15">
            <w:pPr>
              <w:spacing w:after="120" w:line="240" w:lineRule="auto"/>
              <w:jc w:val="left"/>
              <w:rPr>
                <w:rFonts w:eastAsia="Arial Unicode MS"/>
                <w:lang w:val="es-ES_tradnl"/>
              </w:rPr>
            </w:pPr>
            <w:r w:rsidRPr="00C90461">
              <w:rPr>
                <w:lang w:val="es-ES_tradnl"/>
              </w:rPr>
              <w:t xml:space="preserve">La Oficina de Protección de las Obtenciones Vegetales de los Estados Unidos exige información complementaria sobre el método de obtención, una declaración de distinción y, para algunos cultivos, caracteres adicionales que no siempre se incluyen en el informe DHE de otro país. Se establecen caso por caso. </w:t>
            </w:r>
          </w:p>
        </w:tc>
      </w:tr>
      <w:tr w:rsidR="008F5DD0" w:rsidRPr="00C90461" w14:paraId="4EE86046" w14:textId="77777777" w:rsidTr="005A1C08">
        <w:tc>
          <w:tcPr>
            <w:tcW w:w="9393" w:type="dxa"/>
          </w:tcPr>
          <w:p w14:paraId="252DE5C2" w14:textId="29D66EA8" w:rsidR="008E1106" w:rsidRPr="00C90461" w:rsidRDefault="008F5DD0" w:rsidP="00C91F15">
            <w:pPr>
              <w:pStyle w:val="ListParagraph"/>
              <w:spacing w:after="0" w:line="240" w:lineRule="auto"/>
              <w:ind w:left="0"/>
              <w:jc w:val="both"/>
              <w:rPr>
                <w:rFonts w:eastAsia="Arial Unicode MS"/>
                <w:lang w:val="es-ES_tradnl"/>
              </w:rPr>
            </w:pPr>
            <w:r w:rsidRPr="00C90461">
              <w:rPr>
                <w:lang w:val="es-ES_tradnl"/>
              </w:rPr>
              <w:t>Hay varios elementos que IP Australia analiza para determinar si la información facilitada en un informe DHE extranjero cumple los requisitos de la legislación australiana. En la Ley de Derechos de Obtentor de Australia de 1994 se dispone: - en el apartado 34.4)a), que ha de presentarse una descripción detallada de la variedad a la que se refiere la solicitud, en la que se debe incluir “la información sobre los caracteres que distinguen la variedad de otras variedades vegetales cuya existencia sea notoriamente conocida”; - según en el apartado 38 de la Ley de Derechos de Obtentor de Australia de 1994, no se considerará que la variedad tiene un carácter en concreto a no ser que se apliquen a ella los subapartados 2), 3), 4) o 5). En el subapartado 4) se expone lo siguiente:</w:t>
            </w:r>
          </w:p>
          <w:p w14:paraId="6ABE636E" w14:textId="183C38B8" w:rsidR="008E1106" w:rsidRPr="00C90461" w:rsidRDefault="008F5DD0" w:rsidP="00C91F15">
            <w:pPr>
              <w:pStyle w:val="ListParagraph"/>
              <w:spacing w:after="0" w:line="240" w:lineRule="auto"/>
              <w:ind w:left="567"/>
              <w:jc w:val="both"/>
              <w:rPr>
                <w:rFonts w:eastAsia="Arial Unicode MS"/>
                <w:lang w:val="es-ES_tradnl"/>
              </w:rPr>
            </w:pPr>
            <w:r w:rsidRPr="00C90461">
              <w:rPr>
                <w:lang w:val="es-ES_tradnl"/>
              </w:rPr>
              <w:t>4)</w:t>
            </w:r>
            <w:r w:rsidRPr="00C90461">
              <w:rPr>
                <w:lang w:val="es-ES_tradnl"/>
              </w:rPr>
              <w:tab/>
              <w:t xml:space="preserve">Este subapartado se aplica a la variedad objeto de registro si el registrador considera que: </w:t>
            </w:r>
          </w:p>
          <w:p w14:paraId="0DA4C7E3" w14:textId="0F51A5EB" w:rsidR="008E1106" w:rsidRPr="00C90461" w:rsidRDefault="008E1106" w:rsidP="00C91F15">
            <w:pPr>
              <w:pStyle w:val="ListParagraph"/>
              <w:spacing w:after="0" w:line="240" w:lineRule="auto"/>
              <w:ind w:left="567"/>
              <w:jc w:val="both"/>
              <w:rPr>
                <w:rFonts w:eastAsia="Arial Unicode MS"/>
                <w:lang w:val="es-ES_tradnl"/>
              </w:rPr>
            </w:pPr>
            <w:r w:rsidRPr="00C90461">
              <w:rPr>
                <w:lang w:val="es-ES_tradnl"/>
              </w:rPr>
              <w:tab/>
              <w:t xml:space="preserve"> a) en un ensayo en cultivo de la variedad realizado fuera de Australia se ha demostrado que esta tiene ese carácter en concreto; y</w:t>
            </w:r>
          </w:p>
          <w:p w14:paraId="45BDC487" w14:textId="5118CC9A" w:rsidR="008E1106" w:rsidRPr="00C90461" w:rsidRDefault="008E1106" w:rsidP="00C91F15">
            <w:pPr>
              <w:pStyle w:val="ListParagraph"/>
              <w:spacing w:after="0" w:line="240" w:lineRule="auto"/>
              <w:ind w:left="567"/>
              <w:jc w:val="both"/>
              <w:rPr>
                <w:rFonts w:eastAsia="Arial Unicode MS"/>
                <w:lang w:val="es-ES_tradnl"/>
              </w:rPr>
            </w:pPr>
            <w:r w:rsidRPr="00C90461">
              <w:rPr>
                <w:lang w:val="es-ES_tradnl"/>
              </w:rPr>
              <w:tab/>
              <w:t xml:space="preserve"> b) que el ensayo en cultivo de la variedad es equivalente al ensayo en cultivo de la variedad en Australia. A </w:t>
            </w:r>
            <w:proofErr w:type="gramStart"/>
            <w:r w:rsidRPr="00C90461">
              <w:rPr>
                <w:lang w:val="es-ES_tradnl"/>
              </w:rPr>
              <w:t>continuación</w:t>
            </w:r>
            <w:proofErr w:type="gramEnd"/>
            <w:r w:rsidRPr="00C90461">
              <w:rPr>
                <w:lang w:val="es-ES_tradnl"/>
              </w:rPr>
              <w:t xml:space="preserve"> se exponen varias situaciones en las que podemos requerir que se realice un ensayo australiano. </w:t>
            </w:r>
          </w:p>
          <w:p w14:paraId="76903B43" w14:textId="724100D4" w:rsidR="008E1106" w:rsidRPr="00C90461" w:rsidRDefault="008F5DD0" w:rsidP="00C91F15">
            <w:pPr>
              <w:spacing w:after="120" w:line="240" w:lineRule="auto"/>
              <w:jc w:val="left"/>
              <w:rPr>
                <w:rFonts w:eastAsia="Arial Unicode MS"/>
                <w:lang w:val="es-ES_tradnl"/>
              </w:rPr>
            </w:pPr>
            <w:r w:rsidRPr="00C90461">
              <w:rPr>
                <w:lang w:val="es-ES_tradnl"/>
              </w:rPr>
              <w:t xml:space="preserve">Situación 1: en el informe DHE extranjero no se ofrece información sobre ninguna variedad notoriamente conocida o si se ofrece no revela los caracteres específicos que distinguen la variedad candidata de cada una de las variedades notoriamente conocidas. En esta situación, no es posible proporcionar una descripción basada en este informe en que se señale la información sobre los caracteres que distinguen la variedad de otras plantas que son variedades notoriamente conocidas. Aun cuando se afirme que la especie la diferencia respecto de todas las demás variedades es significativa, para Australia sigue siendo necesario que se identifique la variedad notoriamente conocida más similar. </w:t>
            </w:r>
          </w:p>
          <w:p w14:paraId="7525C2B0" w14:textId="7BDD181D" w:rsidR="008E1106" w:rsidRPr="00C90461" w:rsidRDefault="008F5DD0" w:rsidP="00C91F15">
            <w:pPr>
              <w:spacing w:after="120" w:line="240" w:lineRule="auto"/>
              <w:jc w:val="left"/>
              <w:rPr>
                <w:rFonts w:eastAsia="Arial Unicode MS"/>
                <w:lang w:val="es-ES_tradnl"/>
              </w:rPr>
            </w:pPr>
            <w:r w:rsidRPr="00C90461">
              <w:rPr>
                <w:lang w:val="es-ES_tradnl"/>
              </w:rPr>
              <w:t xml:space="preserve">Situación 2: el informe extranjero indica que la variedad candidata y las variedades notoriamente conocidas no se cultivaron en el mismo ensayo; en cambio, se utilizan descriptores anteriores para comparar las variedades a fin de determinar la distinción. Esta posibilidad es admisible si Australia puede tener certeza de que los diferentes exámenes en que se basaron las descripciones se han llevado a cabo en condiciones idénticas; sin embargo, aun cuando los ensayos se realicen en condiciones controladas puede haber varianzas en los factores que las afectan, </w:t>
            </w:r>
            <w:proofErr w:type="gramStart"/>
            <w:r w:rsidRPr="00C90461">
              <w:rPr>
                <w:lang w:val="es-ES_tradnl"/>
              </w:rPr>
              <w:t>como</w:t>
            </w:r>
            <w:proofErr w:type="gramEnd"/>
            <w:r w:rsidRPr="00C90461">
              <w:rPr>
                <w:lang w:val="es-ES_tradnl"/>
              </w:rPr>
              <w:t xml:space="preserve"> por ejemplo, pequeños cambios en el suelo, la temperatura, la iluminación, etc. </w:t>
            </w:r>
          </w:p>
          <w:p w14:paraId="07B53CC1" w14:textId="514C6AEA" w:rsidR="008F5DD0" w:rsidRPr="00C90461" w:rsidRDefault="008F5DD0" w:rsidP="00C91F15">
            <w:pPr>
              <w:spacing w:after="120" w:line="240" w:lineRule="auto"/>
              <w:jc w:val="left"/>
              <w:rPr>
                <w:rFonts w:eastAsia="Arial Unicode MS"/>
                <w:lang w:val="es-ES_tradnl"/>
              </w:rPr>
            </w:pPr>
            <w:r w:rsidRPr="00C90461">
              <w:rPr>
                <w:lang w:val="es-ES_tradnl"/>
              </w:rPr>
              <w:t xml:space="preserve">De manera que Australia, por lo general, exige que la variedad candidata y la variedad notoriamente conocida se hayan evaluado en el mismo ensayo. En ambas situaciones (1 y 2) pediríamos más información a la autoridad extranjera para confirmar si en el ensayo se ha utilizado la variedad notoriamente conocida más similar. Si consideramos que hay suficientes pruebas de que la variedad candidata presenta caracteres diferentes de una variedad comparativa cultivada en el mismo ensayo, podemos seguir procesando la solicitud australiana con los datos extranjeros. Situación 3: posibilidad de que algunas variedades expresen diferentes caracteres cuando se evalúan en diferentes ambientes. En ocasiones puede preocupar que, debido a factores medioambientales, un ensayo en cultivo en otro lugar no sea equivalente a un ensayo en cultivo de la variedad en Australia. En la situación tres, es probable que exijamos al solicitante que lleve a cabo al menos un ensayo de verificación en Australia para confirmar que el carácter de distinción tiene una expresión estable en las condiciones australianas. </w:t>
            </w:r>
          </w:p>
        </w:tc>
      </w:tr>
      <w:tr w:rsidR="008F5DD0" w:rsidRPr="00C90461" w14:paraId="0EE00BF2" w14:textId="77777777" w:rsidTr="005A1C08">
        <w:tc>
          <w:tcPr>
            <w:tcW w:w="9393" w:type="dxa"/>
          </w:tcPr>
          <w:p w14:paraId="43C2450E" w14:textId="55FF5953" w:rsidR="008F5DD0" w:rsidRPr="00C90461" w:rsidRDefault="008F5DD0" w:rsidP="00C91F15">
            <w:pPr>
              <w:spacing w:after="120" w:line="240" w:lineRule="auto"/>
              <w:jc w:val="left"/>
              <w:rPr>
                <w:rFonts w:eastAsia="Arial Unicode MS"/>
                <w:lang w:val="es-ES_tradnl"/>
              </w:rPr>
            </w:pPr>
            <w:r w:rsidRPr="00C90461">
              <w:rPr>
                <w:lang w:val="es-ES_tradnl"/>
              </w:rPr>
              <w:t xml:space="preserve">El informe DHE puede tener dos finalidades: la protección o la protección e inclusión en la lista nacional. Lista nacional con la finalidad de la producción local de semilla. Se contemplará la posibilidad de un efecto ambiental en la expresión de los caracteres. </w:t>
            </w:r>
          </w:p>
        </w:tc>
      </w:tr>
      <w:tr w:rsidR="008F5DD0" w:rsidRPr="00C90461" w14:paraId="0CDEDD43" w14:textId="77777777" w:rsidTr="005A1C08">
        <w:tc>
          <w:tcPr>
            <w:tcW w:w="9393" w:type="dxa"/>
          </w:tcPr>
          <w:p w14:paraId="4436FEEF"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El organismo que realiza el examen debe estar reconocido y el examen debe cumplir las directrices de la UPOV. </w:t>
            </w:r>
          </w:p>
        </w:tc>
      </w:tr>
      <w:tr w:rsidR="008F5DD0" w:rsidRPr="00C90461" w14:paraId="5825E2AB" w14:textId="77777777" w:rsidTr="005A1C08">
        <w:tc>
          <w:tcPr>
            <w:tcW w:w="9393" w:type="dxa"/>
          </w:tcPr>
          <w:p w14:paraId="5CDAFCEC" w14:textId="77777777" w:rsidR="008F5DD0" w:rsidRPr="00C90461" w:rsidRDefault="008F5DD0" w:rsidP="00C91F15">
            <w:pPr>
              <w:spacing w:after="120" w:line="240" w:lineRule="auto"/>
              <w:jc w:val="left"/>
              <w:rPr>
                <w:rFonts w:eastAsia="Arial Unicode MS"/>
                <w:lang w:val="es-ES_tradnl"/>
              </w:rPr>
            </w:pPr>
            <w:r w:rsidRPr="00C90461">
              <w:rPr>
                <w:lang w:val="es-ES_tradnl"/>
              </w:rPr>
              <w:lastRenderedPageBreak/>
              <w:t xml:space="preserve">Es posible que aceptemos informes cuando no realizamos exámenes DHE de un determinado cultivo o cuando ha habido una solicitud anterior en otro país para la que nosotros hicimos el examen DHE. Solo aceptamos informes DHE de oficinas de examen que cuentan con el reconocimiento oficial de la OCVV. </w:t>
            </w:r>
          </w:p>
        </w:tc>
      </w:tr>
      <w:tr w:rsidR="008F5DD0" w:rsidRPr="00C90461" w14:paraId="7AB14AEA" w14:textId="77777777" w:rsidTr="005A1C08">
        <w:tc>
          <w:tcPr>
            <w:tcW w:w="9393" w:type="dxa"/>
          </w:tcPr>
          <w:p w14:paraId="40759A67" w14:textId="2D49A49B" w:rsidR="008F5DD0" w:rsidRPr="00C90461" w:rsidRDefault="008F5DD0" w:rsidP="00C91F15">
            <w:pPr>
              <w:keepLines/>
              <w:spacing w:after="120" w:line="240" w:lineRule="auto"/>
              <w:jc w:val="left"/>
              <w:rPr>
                <w:rFonts w:eastAsia="Arial Unicode MS"/>
                <w:spacing w:val="-2"/>
                <w:lang w:val="es-ES_tradnl"/>
              </w:rPr>
            </w:pPr>
            <w:r w:rsidRPr="00C90461">
              <w:rPr>
                <w:lang w:val="es-ES_tradnl"/>
              </w:rPr>
              <w:t xml:space="preserve">La Comisión Estatal puede usar en el examen técnico los resultados de ensayos en cultivo que ya han llevado a cabo o están llevando a cabo una autoridad extranjera competente de un Estado miembro de la UPOV, que el solicitante facilite con el consentimiento y conforme a las condiciones exigidas por dicha autoridad competente </w:t>
            </w:r>
          </w:p>
        </w:tc>
      </w:tr>
      <w:tr w:rsidR="008F5DD0" w:rsidRPr="00C90461" w14:paraId="0B7640EC" w14:textId="77777777" w:rsidTr="005A1C08">
        <w:tc>
          <w:tcPr>
            <w:tcW w:w="9393" w:type="dxa"/>
          </w:tcPr>
          <w:p w14:paraId="7E93E99E" w14:textId="3D455CE6" w:rsidR="008F5DD0" w:rsidRPr="00C90461" w:rsidRDefault="008F5DD0" w:rsidP="00C91F15">
            <w:pPr>
              <w:spacing w:after="120" w:line="240" w:lineRule="auto"/>
              <w:jc w:val="left"/>
              <w:rPr>
                <w:rFonts w:eastAsia="Arial Unicode MS"/>
                <w:lang w:val="es-ES_tradnl"/>
              </w:rPr>
            </w:pPr>
            <w:r w:rsidRPr="00C90461">
              <w:rPr>
                <w:lang w:val="es-ES_tradnl"/>
              </w:rPr>
              <w:t xml:space="preserve">1. </w:t>
            </w:r>
            <w:proofErr w:type="spellStart"/>
            <w:r w:rsidRPr="00C90461">
              <w:rPr>
                <w:lang w:val="es-ES_tradnl"/>
              </w:rPr>
              <w:t>Belarús</w:t>
            </w:r>
            <w:proofErr w:type="spellEnd"/>
            <w:r w:rsidRPr="00C90461">
              <w:rPr>
                <w:lang w:val="es-ES_tradnl"/>
              </w:rPr>
              <w:t xml:space="preserve"> utiliza informes de los exámenes DHE de otro miembro de la UPOV si la organización autorizada usa las directrices de examen de la UPOV actualizadas; 2. </w:t>
            </w:r>
            <w:proofErr w:type="spellStart"/>
            <w:r w:rsidRPr="00C90461">
              <w:rPr>
                <w:lang w:val="es-ES_tradnl"/>
              </w:rPr>
              <w:t>Belarús</w:t>
            </w:r>
            <w:proofErr w:type="spellEnd"/>
            <w:r w:rsidRPr="00C90461">
              <w:rPr>
                <w:lang w:val="es-ES_tradnl"/>
              </w:rPr>
              <w:t xml:space="preserve"> utiliza informes de los exámenes DHE de todas las especies y todos los géneros, excepto los incluidos en la lista en latín del cuadro 1 siguiente </w:t>
            </w:r>
            <w:r w:rsidRPr="00C90461">
              <w:rPr>
                <w:i/>
                <w:iCs/>
                <w:lang w:val="es-ES_tradnl"/>
              </w:rPr>
              <w:t xml:space="preserve">Triticum </w:t>
            </w:r>
            <w:proofErr w:type="spellStart"/>
            <w:r w:rsidRPr="00C90461">
              <w:rPr>
                <w:i/>
                <w:iCs/>
                <w:lang w:val="es-ES_tradnl"/>
              </w:rPr>
              <w:t>aestivum</w:t>
            </w:r>
            <w:proofErr w:type="spellEnd"/>
            <w:r w:rsidRPr="00C90461">
              <w:rPr>
                <w:lang w:val="es-ES_tradnl"/>
              </w:rPr>
              <w:t xml:space="preserve"> L. </w:t>
            </w:r>
            <w:proofErr w:type="spellStart"/>
            <w:r w:rsidRPr="00C90461">
              <w:rPr>
                <w:lang w:val="es-ES_tradnl"/>
              </w:rPr>
              <w:t>emend</w:t>
            </w:r>
            <w:proofErr w:type="spellEnd"/>
            <w:r w:rsidRPr="00C90461">
              <w:rPr>
                <w:lang w:val="es-ES_tradnl"/>
              </w:rPr>
              <w:t xml:space="preserve"> Fiori et </w:t>
            </w:r>
            <w:proofErr w:type="spellStart"/>
            <w:r w:rsidRPr="00C90461">
              <w:rPr>
                <w:lang w:val="es-ES_tradnl"/>
              </w:rPr>
              <w:t>Paol</w:t>
            </w:r>
            <w:proofErr w:type="spellEnd"/>
            <w:r w:rsidRPr="00C90461">
              <w:rPr>
                <w:lang w:val="es-ES_tradnl"/>
              </w:rPr>
              <w:t xml:space="preserve">. </w:t>
            </w:r>
            <w:r w:rsidRPr="00C90461">
              <w:rPr>
                <w:i/>
                <w:iCs/>
                <w:lang w:val="es-ES_tradnl"/>
              </w:rPr>
              <w:t xml:space="preserve">Triticum </w:t>
            </w:r>
            <w:proofErr w:type="spellStart"/>
            <w:r w:rsidRPr="00C90461">
              <w:rPr>
                <w:i/>
                <w:iCs/>
                <w:lang w:val="es-ES_tradnl"/>
              </w:rPr>
              <w:t>durum</w:t>
            </w:r>
            <w:proofErr w:type="spellEnd"/>
            <w:r w:rsidRPr="00C90461">
              <w:rPr>
                <w:lang w:val="es-ES_tradnl"/>
              </w:rPr>
              <w:t xml:space="preserve"> </w:t>
            </w:r>
            <w:proofErr w:type="spellStart"/>
            <w:r w:rsidRPr="00C90461">
              <w:rPr>
                <w:lang w:val="es-ES_tradnl"/>
              </w:rPr>
              <w:t>Desf</w:t>
            </w:r>
            <w:proofErr w:type="spellEnd"/>
            <w:r w:rsidRPr="00C90461">
              <w:rPr>
                <w:lang w:val="es-ES_tradnl"/>
              </w:rPr>
              <w:t xml:space="preserve">., </w:t>
            </w:r>
            <w:proofErr w:type="spellStart"/>
            <w:r w:rsidRPr="00C90461">
              <w:rPr>
                <w:i/>
                <w:iCs/>
                <w:lang w:val="es-ES_tradnl"/>
              </w:rPr>
              <w:t>Secale</w:t>
            </w:r>
            <w:proofErr w:type="spellEnd"/>
            <w:r w:rsidRPr="00C90461">
              <w:rPr>
                <w:i/>
                <w:iCs/>
                <w:lang w:val="es-ES_tradnl"/>
              </w:rPr>
              <w:t xml:space="preserve"> </w:t>
            </w:r>
            <w:proofErr w:type="spellStart"/>
            <w:r w:rsidRPr="00C90461">
              <w:rPr>
                <w:i/>
                <w:iCs/>
                <w:lang w:val="es-ES_tradnl"/>
              </w:rPr>
              <w:t>cereale</w:t>
            </w:r>
            <w:proofErr w:type="spellEnd"/>
            <w:r w:rsidRPr="00C90461">
              <w:rPr>
                <w:lang w:val="es-ES_tradnl"/>
              </w:rPr>
              <w:t xml:space="preserve"> L. ×</w:t>
            </w:r>
            <w:proofErr w:type="spellStart"/>
            <w:r w:rsidRPr="00C90461">
              <w:rPr>
                <w:i/>
                <w:iCs/>
                <w:lang w:val="es-ES_tradnl"/>
              </w:rPr>
              <w:t>Triticosecale</w:t>
            </w:r>
            <w:proofErr w:type="spellEnd"/>
            <w:r w:rsidRPr="00C90461">
              <w:rPr>
                <w:lang w:val="es-ES_tradnl"/>
              </w:rPr>
              <w:t xml:space="preserve"> </w:t>
            </w:r>
            <w:proofErr w:type="spellStart"/>
            <w:r w:rsidRPr="00C90461">
              <w:rPr>
                <w:lang w:val="es-ES_tradnl"/>
              </w:rPr>
              <w:t>Wittm</w:t>
            </w:r>
            <w:proofErr w:type="spellEnd"/>
            <w:r w:rsidRPr="00C90461">
              <w:rPr>
                <w:lang w:val="es-ES_tradnl"/>
              </w:rPr>
              <w:t xml:space="preserve">., </w:t>
            </w:r>
            <w:proofErr w:type="spellStart"/>
            <w:r w:rsidRPr="00C90461">
              <w:rPr>
                <w:i/>
                <w:iCs/>
                <w:lang w:val="es-ES_tradnl"/>
              </w:rPr>
              <w:t>Hordeum</w:t>
            </w:r>
            <w:proofErr w:type="spellEnd"/>
            <w:r w:rsidRPr="00C90461">
              <w:rPr>
                <w:i/>
                <w:iCs/>
                <w:lang w:val="es-ES_tradnl"/>
              </w:rPr>
              <w:t xml:space="preserve"> </w:t>
            </w:r>
            <w:proofErr w:type="spellStart"/>
            <w:r w:rsidRPr="00C90461">
              <w:rPr>
                <w:i/>
                <w:iCs/>
                <w:lang w:val="es-ES_tradnl"/>
              </w:rPr>
              <w:t>vulgare</w:t>
            </w:r>
            <w:proofErr w:type="spellEnd"/>
            <w:r w:rsidRPr="00C90461">
              <w:rPr>
                <w:lang w:val="es-ES_tradnl"/>
              </w:rPr>
              <w:t xml:space="preserve"> L. en sentido amplio, </w:t>
            </w:r>
            <w:proofErr w:type="spellStart"/>
            <w:r w:rsidRPr="00C90461">
              <w:rPr>
                <w:i/>
                <w:iCs/>
                <w:lang w:val="es-ES_tradnl"/>
              </w:rPr>
              <w:t>Fagopyrum</w:t>
            </w:r>
            <w:proofErr w:type="spellEnd"/>
            <w:r w:rsidRPr="00C90461">
              <w:rPr>
                <w:i/>
                <w:iCs/>
                <w:lang w:val="es-ES_tradnl"/>
              </w:rPr>
              <w:t xml:space="preserve"> </w:t>
            </w:r>
            <w:proofErr w:type="spellStart"/>
            <w:r w:rsidRPr="00C90461">
              <w:rPr>
                <w:i/>
                <w:iCs/>
                <w:lang w:val="es-ES_tradnl"/>
              </w:rPr>
              <w:t>esculentum</w:t>
            </w:r>
            <w:proofErr w:type="spellEnd"/>
            <w:r w:rsidRPr="00C90461">
              <w:rPr>
                <w:lang w:val="es-ES_tradnl"/>
              </w:rPr>
              <w:t xml:space="preserve"> Moench, </w:t>
            </w:r>
            <w:r w:rsidRPr="00C90461">
              <w:rPr>
                <w:i/>
                <w:iCs/>
                <w:lang w:val="es-ES_tradnl"/>
              </w:rPr>
              <w:t xml:space="preserve">Zea </w:t>
            </w:r>
            <w:proofErr w:type="spellStart"/>
            <w:r w:rsidRPr="00C90461">
              <w:rPr>
                <w:i/>
                <w:iCs/>
                <w:lang w:val="es-ES_tradnl"/>
              </w:rPr>
              <w:t>mays</w:t>
            </w:r>
            <w:proofErr w:type="spellEnd"/>
            <w:r w:rsidRPr="00C90461">
              <w:rPr>
                <w:lang w:val="es-ES_tradnl"/>
              </w:rPr>
              <w:t xml:space="preserve"> L., </w:t>
            </w:r>
            <w:r w:rsidRPr="00C90461">
              <w:rPr>
                <w:i/>
                <w:iCs/>
                <w:lang w:val="es-ES_tradnl"/>
              </w:rPr>
              <w:t>Avena nuda</w:t>
            </w:r>
            <w:r w:rsidRPr="00C90461">
              <w:rPr>
                <w:lang w:val="es-ES_tradnl"/>
              </w:rPr>
              <w:t xml:space="preserve"> L., </w:t>
            </w:r>
            <w:r w:rsidRPr="00C90461">
              <w:rPr>
                <w:i/>
                <w:iCs/>
                <w:lang w:val="es-ES_tradnl"/>
              </w:rPr>
              <w:t>Avena sativa</w:t>
            </w:r>
            <w:r w:rsidRPr="00C90461">
              <w:rPr>
                <w:lang w:val="es-ES_tradnl"/>
              </w:rPr>
              <w:t xml:space="preserve"> L. </w:t>
            </w:r>
            <w:proofErr w:type="spellStart"/>
            <w:r w:rsidRPr="00C90461">
              <w:rPr>
                <w:i/>
                <w:iCs/>
                <w:lang w:val="es-ES_tradnl"/>
              </w:rPr>
              <w:t>Pisum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en sentido amplio,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luteus</w:t>
            </w:r>
            <w:proofErr w:type="spellEnd"/>
            <w:r w:rsidRPr="00C90461">
              <w:rPr>
                <w:lang w:val="es-ES_tradnl"/>
              </w:rPr>
              <w:t xml:space="preserve"> L.,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angustifolius</w:t>
            </w:r>
            <w:proofErr w:type="spellEnd"/>
            <w:r w:rsidRPr="00C90461">
              <w:rPr>
                <w:lang w:val="es-ES_tradnl"/>
              </w:rPr>
              <w:t xml:space="preserve"> L., </w:t>
            </w:r>
            <w:proofErr w:type="spellStart"/>
            <w:r w:rsidRPr="00C90461">
              <w:rPr>
                <w:i/>
                <w:iCs/>
                <w:lang w:val="es-ES_tradnl"/>
              </w:rPr>
              <w:t>Glycine</w:t>
            </w:r>
            <w:proofErr w:type="spellEnd"/>
            <w:r w:rsidRPr="00C90461">
              <w:rPr>
                <w:i/>
                <w:iCs/>
                <w:lang w:val="es-ES_tradnl"/>
              </w:rPr>
              <w:t xml:space="preserve"> </w:t>
            </w:r>
            <w:proofErr w:type="spellStart"/>
            <w:r w:rsidRPr="00C90461">
              <w:rPr>
                <w:i/>
                <w:iCs/>
                <w:lang w:val="es-ES_tradnl"/>
              </w:rPr>
              <w:t>max</w:t>
            </w:r>
            <w:proofErr w:type="spellEnd"/>
            <w:r w:rsidRPr="00C90461">
              <w:rPr>
                <w:lang w:val="es-ES_tradnl"/>
              </w:rPr>
              <w:t xml:space="preserve"> (L.) </w:t>
            </w:r>
            <w:proofErr w:type="spellStart"/>
            <w:r w:rsidRPr="00C90461">
              <w:rPr>
                <w:lang w:val="es-ES_tradnl"/>
              </w:rPr>
              <w:t>Merr</w:t>
            </w:r>
            <w:proofErr w:type="spellEnd"/>
            <w:r w:rsidRPr="00C90461">
              <w:rPr>
                <w:lang w:val="es-ES_tradnl"/>
              </w:rPr>
              <w:t xml:space="preserve">., </w:t>
            </w:r>
            <w:proofErr w:type="spellStart"/>
            <w:r w:rsidRPr="00C90461">
              <w:rPr>
                <w:i/>
                <w:iCs/>
                <w:lang w:val="es-ES_tradnl"/>
              </w:rPr>
              <w:t>Cucumis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L. f. </w:t>
            </w:r>
            <w:r w:rsidRPr="00C90461">
              <w:rPr>
                <w:i/>
                <w:iCs/>
                <w:lang w:val="es-ES_tradnl"/>
              </w:rPr>
              <w:t>alba</w:t>
            </w:r>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w:t>
            </w:r>
            <w:proofErr w:type="spellStart"/>
            <w:r w:rsidRPr="00C90461">
              <w:rPr>
                <w:lang w:val="es-ES_tradnl"/>
              </w:rPr>
              <w:t>L.f</w:t>
            </w:r>
            <w:proofErr w:type="spellEnd"/>
            <w:r w:rsidRPr="00C90461">
              <w:rPr>
                <w:lang w:val="es-ES_tradnl"/>
              </w:rPr>
              <w:t xml:space="preserve">. </w:t>
            </w:r>
            <w:r w:rsidRPr="00C90461">
              <w:rPr>
                <w:i/>
                <w:iCs/>
                <w:lang w:val="es-ES_tradnl"/>
              </w:rPr>
              <w:t>rubra</w:t>
            </w:r>
            <w:r w:rsidRPr="00C90461">
              <w:rPr>
                <w:lang w:val="es-ES_tradnl"/>
              </w:rPr>
              <w:t xml:space="preserve"> (L.) </w:t>
            </w:r>
            <w:proofErr w:type="spellStart"/>
            <w:r w:rsidRPr="00C90461">
              <w:rPr>
                <w:lang w:val="es-ES_tradnl"/>
              </w:rPr>
              <w:t>Thell</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sabauda</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convar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(L.) </w:t>
            </w:r>
            <w:proofErr w:type="spellStart"/>
            <w:r w:rsidRPr="00C90461">
              <w:rPr>
                <w:lang w:val="es-ES_tradnl"/>
              </w:rPr>
              <w:t>Alef</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cymosa</w:t>
            </w:r>
            <w:proofErr w:type="spellEnd"/>
            <w:r w:rsidRPr="00C90461">
              <w:rPr>
                <w:lang w:val="es-ES_tradnl"/>
              </w:rPr>
              <w:t xml:space="preserve"> </w:t>
            </w:r>
            <w:proofErr w:type="spellStart"/>
            <w:r w:rsidRPr="00C90461">
              <w:rPr>
                <w:lang w:val="es-ES_tradnl"/>
              </w:rPr>
              <w:t>Duch</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gemmifera</w:t>
            </w:r>
            <w:proofErr w:type="spellEnd"/>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gongylodes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pekinensis</w:t>
            </w:r>
            <w:proofErr w:type="spellEnd"/>
            <w:r w:rsidRPr="00C90461">
              <w:rPr>
                <w:lang w:val="es-ES_tradnl"/>
              </w:rPr>
              <w:t xml:space="preserve"> (</w:t>
            </w:r>
            <w:proofErr w:type="spellStart"/>
            <w:r w:rsidRPr="00C90461">
              <w:rPr>
                <w:lang w:val="es-ES_tradnl"/>
              </w:rPr>
              <w:t>Lour</w:t>
            </w:r>
            <w:proofErr w:type="spellEnd"/>
            <w:r w:rsidRPr="00C90461">
              <w:rPr>
                <w:lang w:val="es-ES_tradnl"/>
              </w:rPr>
              <w:t xml:space="preserve">.) </w:t>
            </w:r>
            <w:proofErr w:type="spellStart"/>
            <w:r w:rsidRPr="00C90461">
              <w:rPr>
                <w:lang w:val="es-ES_tradnl"/>
              </w:rPr>
              <w:t>Rupr</w:t>
            </w:r>
            <w:proofErr w:type="spellEnd"/>
            <w:r w:rsidRPr="00C90461">
              <w:rPr>
                <w:lang w:val="es-ES_tradnl"/>
              </w:rPr>
              <w:t xml:space="preserve">., </w:t>
            </w:r>
            <w:proofErr w:type="spellStart"/>
            <w:r w:rsidRPr="00C90461">
              <w:rPr>
                <w:i/>
                <w:iCs/>
                <w:lang w:val="es-ES_tradnl"/>
              </w:rPr>
              <w:t>Allium</w:t>
            </w:r>
            <w:proofErr w:type="spellEnd"/>
            <w:r w:rsidRPr="00C90461">
              <w:rPr>
                <w:i/>
                <w:iCs/>
                <w:lang w:val="es-ES_tradnl"/>
              </w:rPr>
              <w:t xml:space="preserve"> cepa</w:t>
            </w:r>
            <w:r w:rsidRPr="00C90461">
              <w:rPr>
                <w:lang w:val="es-ES_tradnl"/>
              </w:rPr>
              <w:t xml:space="preserve"> L., </w:t>
            </w:r>
            <w:proofErr w:type="spellStart"/>
            <w:r w:rsidRPr="00C90461">
              <w:rPr>
                <w:i/>
                <w:iCs/>
                <w:lang w:val="es-ES_tradnl"/>
              </w:rPr>
              <w:t>Daucus</w:t>
            </w:r>
            <w:proofErr w:type="spellEnd"/>
            <w:r w:rsidRPr="00C90461">
              <w:rPr>
                <w:i/>
                <w:iCs/>
                <w:lang w:val="es-ES_tradnl"/>
              </w:rPr>
              <w:t xml:space="preserve"> carota</w:t>
            </w:r>
            <w:r w:rsidRPr="00C90461">
              <w:rPr>
                <w:lang w:val="es-ES_tradnl"/>
              </w:rPr>
              <w:t xml:space="preserve"> L., </w:t>
            </w:r>
            <w:proofErr w:type="spellStart"/>
            <w:r w:rsidRPr="00C90461">
              <w:rPr>
                <w:i/>
                <w:iCs/>
                <w:lang w:val="es-ES_tradnl"/>
              </w:rPr>
              <w:t>Capsicum</w:t>
            </w:r>
            <w:proofErr w:type="spellEnd"/>
            <w:r w:rsidRPr="00C90461">
              <w:rPr>
                <w:i/>
                <w:iCs/>
                <w:lang w:val="es-ES_tradnl"/>
              </w:rPr>
              <w:t xml:space="preserve"> </w:t>
            </w:r>
            <w:proofErr w:type="spellStart"/>
            <w:r w:rsidRPr="00C90461">
              <w:rPr>
                <w:i/>
                <w:iCs/>
                <w:lang w:val="es-ES_tradnl"/>
              </w:rPr>
              <w:t>annuum</w:t>
            </w:r>
            <w:proofErr w:type="spellEnd"/>
            <w:r w:rsidRPr="00C90461">
              <w:rPr>
                <w:lang w:val="es-ES_tradnl"/>
              </w:rPr>
              <w:t xml:space="preserve"> L., </w:t>
            </w:r>
            <w:proofErr w:type="spellStart"/>
            <w:r w:rsidRPr="00C90461">
              <w:rPr>
                <w:i/>
                <w:iCs/>
                <w:lang w:val="es-ES_tradnl"/>
              </w:rPr>
              <w:t>Petroselinum</w:t>
            </w:r>
            <w:proofErr w:type="spellEnd"/>
            <w:r w:rsidRPr="00C90461">
              <w:rPr>
                <w:i/>
                <w:iCs/>
                <w:lang w:val="es-ES_tradnl"/>
              </w:rPr>
              <w:t xml:space="preserve"> </w:t>
            </w:r>
            <w:proofErr w:type="spellStart"/>
            <w:r w:rsidRPr="00C90461">
              <w:rPr>
                <w:i/>
                <w:iCs/>
                <w:lang w:val="es-ES_tradnl"/>
              </w:rPr>
              <w:t>crispum</w:t>
            </w:r>
            <w:proofErr w:type="spellEnd"/>
            <w:r w:rsidRPr="00C90461">
              <w:rPr>
                <w:lang w:val="es-ES_tradnl"/>
              </w:rPr>
              <w:t xml:space="preserve"> (Mill.) </w:t>
            </w:r>
            <w:proofErr w:type="spellStart"/>
            <w:r w:rsidRPr="00C90461">
              <w:rPr>
                <w:lang w:val="es-ES_tradnl"/>
              </w:rPr>
              <w:t>Nyman</w:t>
            </w:r>
            <w:proofErr w:type="spellEnd"/>
            <w:r w:rsidRPr="00C90461">
              <w:rPr>
                <w:lang w:val="es-ES_tradnl"/>
              </w:rPr>
              <w:t xml:space="preserve"> ex A. W. Hill, </w:t>
            </w:r>
            <w:proofErr w:type="spellStart"/>
            <w:r w:rsidRPr="00C90461">
              <w:rPr>
                <w:i/>
                <w:iCs/>
                <w:lang w:val="es-ES_tradnl"/>
              </w:rPr>
              <w:t>Raphanus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rapa</w:t>
            </w:r>
            <w:r w:rsidRPr="00C90461">
              <w:rPr>
                <w:lang w:val="es-ES_tradnl"/>
              </w:rPr>
              <w:t xml:space="preserve"> L., </w:t>
            </w:r>
            <w:r w:rsidRPr="00C90461">
              <w:rPr>
                <w:i/>
                <w:iCs/>
                <w:lang w:val="es-ES_tradnl"/>
              </w:rPr>
              <w:t>Lactuca sativa</w:t>
            </w:r>
            <w:r w:rsidRPr="00C90461">
              <w:rPr>
                <w:lang w:val="es-ES_tradnl"/>
              </w:rPr>
              <w:t xml:space="preserve"> L.,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conditiva</w:t>
            </w:r>
            <w:proofErr w:type="spellEnd"/>
            <w:r w:rsidRPr="00C90461">
              <w:rPr>
                <w:lang w:val="es-ES_tradnl"/>
              </w:rPr>
              <w:t xml:space="preserve"> </w:t>
            </w:r>
            <w:proofErr w:type="spellStart"/>
            <w:r w:rsidRPr="00C90461">
              <w:rPr>
                <w:lang w:val="es-ES_tradnl"/>
              </w:rPr>
              <w:t>Alef</w:t>
            </w:r>
            <w:proofErr w:type="spellEnd"/>
            <w:r w:rsidRPr="00C90461">
              <w:rPr>
                <w:lang w:val="es-ES_tradnl"/>
              </w:rPr>
              <w:t xml:space="preserve">.,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lycopеrsicum</w:t>
            </w:r>
            <w:proofErr w:type="spellEnd"/>
            <w:r w:rsidRPr="00C90461">
              <w:rPr>
                <w:lang w:val="es-ES_tradnl"/>
              </w:rPr>
              <w:t xml:space="preserve"> L., </w:t>
            </w:r>
            <w:proofErr w:type="spellStart"/>
            <w:r w:rsidRPr="00C90461">
              <w:rPr>
                <w:i/>
                <w:iCs/>
                <w:lang w:val="es-ES_tradnl"/>
              </w:rPr>
              <w:t>Cucurbita</w:t>
            </w:r>
            <w:proofErr w:type="spellEnd"/>
            <w:r w:rsidRPr="00C90461">
              <w:rPr>
                <w:i/>
                <w:iCs/>
                <w:lang w:val="es-ES_tradnl"/>
              </w:rPr>
              <w:t xml:space="preserve"> pepo</w:t>
            </w:r>
            <w:r w:rsidRPr="00C90461">
              <w:rPr>
                <w:lang w:val="es-ES_tradnl"/>
              </w:rPr>
              <w:t xml:space="preserve"> L., </w:t>
            </w:r>
            <w:proofErr w:type="spellStart"/>
            <w:r w:rsidRPr="00C90461">
              <w:rPr>
                <w:i/>
                <w:iCs/>
                <w:lang w:val="es-ES_tradnl"/>
              </w:rPr>
              <w:t>Anethum</w:t>
            </w:r>
            <w:proofErr w:type="spellEnd"/>
            <w:r w:rsidRPr="00C90461">
              <w:rPr>
                <w:i/>
                <w:iCs/>
                <w:lang w:val="es-ES_tradnl"/>
              </w:rPr>
              <w:t xml:space="preserve"> </w:t>
            </w:r>
            <w:proofErr w:type="spellStart"/>
            <w:r w:rsidRPr="00C90461">
              <w:rPr>
                <w:i/>
                <w:iCs/>
                <w:lang w:val="es-ES_tradnl"/>
              </w:rPr>
              <w:t>graveolens</w:t>
            </w:r>
            <w:proofErr w:type="spellEnd"/>
            <w:r w:rsidRPr="00C90461">
              <w:rPr>
                <w:lang w:val="es-ES_tradnl"/>
              </w:rPr>
              <w:t xml:space="preserve"> L., </w:t>
            </w:r>
            <w:proofErr w:type="spellStart"/>
            <w:r w:rsidRPr="00C90461">
              <w:rPr>
                <w:i/>
                <w:iCs/>
                <w:lang w:val="es-ES_tradnl"/>
              </w:rPr>
              <w:t>Phaseolus</w:t>
            </w:r>
            <w:proofErr w:type="spellEnd"/>
            <w:r w:rsidRPr="00C90461">
              <w:rPr>
                <w:lang w:val="es-ES_tradnl"/>
              </w:rPr>
              <w:t xml:space="preserve"> L., </w:t>
            </w:r>
            <w:proofErr w:type="spellStart"/>
            <w:r w:rsidRPr="00C90461">
              <w:rPr>
                <w:i/>
                <w:iCs/>
                <w:lang w:val="es-ES_tradnl"/>
              </w:rPr>
              <w:t>Allium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tuberosum</w:t>
            </w:r>
            <w:proofErr w:type="spellEnd"/>
            <w:r w:rsidRPr="00C90461">
              <w:rPr>
                <w:lang w:val="es-ES_tradnl"/>
              </w:rPr>
              <w:t xml:space="preserve"> L. en sentido amplio,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alba DC., </w:t>
            </w:r>
            <w:proofErr w:type="spellStart"/>
            <w:r w:rsidRPr="00C90461">
              <w:rPr>
                <w:i/>
                <w:iCs/>
                <w:lang w:val="es-ES_tradnl"/>
              </w:rPr>
              <w:t>Linum</w:t>
            </w:r>
            <w:proofErr w:type="spellEnd"/>
            <w:r w:rsidRPr="00C90461">
              <w:rPr>
                <w:i/>
                <w:iCs/>
                <w:lang w:val="es-ES_tradnl"/>
              </w:rPr>
              <w:t xml:space="preserve"> </w:t>
            </w:r>
            <w:proofErr w:type="spellStart"/>
            <w:r w:rsidRPr="00C90461">
              <w:rPr>
                <w:i/>
                <w:iCs/>
                <w:lang w:val="es-ES_tradnl"/>
              </w:rPr>
              <w:t>usitatissimum</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napus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oleifera</w:t>
            </w:r>
            <w:proofErr w:type="spellEnd"/>
            <w:r w:rsidRPr="00C90461">
              <w:rPr>
                <w:lang w:val="es-ES_tradnl"/>
              </w:rPr>
              <w:t xml:space="preserve"> (</w:t>
            </w:r>
            <w:proofErr w:type="spellStart"/>
            <w:r w:rsidRPr="00C90461">
              <w:rPr>
                <w:lang w:val="es-ES_tradnl"/>
              </w:rPr>
              <w:t>Metzg</w:t>
            </w:r>
            <w:proofErr w:type="spellEnd"/>
            <w:r w:rsidRPr="00C90461">
              <w:rPr>
                <w:lang w:val="es-ES_tradnl"/>
              </w:rPr>
              <w:t xml:space="preserve">.) </w:t>
            </w:r>
            <w:proofErr w:type="spellStart"/>
            <w:r w:rsidRPr="00C90461">
              <w:rPr>
                <w:lang w:val="es-ES_tradnl"/>
              </w:rPr>
              <w:t>Sinsk</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campestris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campestris</w:t>
            </w:r>
            <w:proofErr w:type="spellEnd"/>
            <w:r w:rsidRPr="00C90461">
              <w:rPr>
                <w:i/>
                <w:iCs/>
                <w:lang w:val="es-ES_tradnl"/>
              </w:rPr>
              <w:t>,</w:t>
            </w:r>
            <w:r w:rsidRPr="00C90461">
              <w:rPr>
                <w:lang w:val="es-ES_tradnl"/>
              </w:rPr>
              <w:t xml:space="preserve"> </w:t>
            </w:r>
            <w:r w:rsidRPr="00C90461">
              <w:rPr>
                <w:i/>
                <w:iCs/>
                <w:lang w:val="es-ES_tradnl"/>
              </w:rPr>
              <w:t>Fragaria</w:t>
            </w:r>
            <w:r w:rsidRPr="00C90461">
              <w:rPr>
                <w:lang w:val="es-ES_tradnl"/>
              </w:rPr>
              <w:t xml:space="preserve"> L., </w:t>
            </w:r>
            <w:r w:rsidRPr="00C90461">
              <w:rPr>
                <w:i/>
                <w:iCs/>
                <w:lang w:val="es-ES_tradnl"/>
              </w:rPr>
              <w:t xml:space="preserve">Ribes </w:t>
            </w:r>
            <w:proofErr w:type="spellStart"/>
            <w:r w:rsidRPr="00C90461">
              <w:rPr>
                <w:i/>
                <w:iCs/>
                <w:lang w:val="es-ES_tradnl"/>
              </w:rPr>
              <w:t>rubrum</w:t>
            </w:r>
            <w:proofErr w:type="spellEnd"/>
            <w:r w:rsidRPr="00C90461">
              <w:rPr>
                <w:lang w:val="es-ES_tradnl"/>
              </w:rPr>
              <w:t xml:space="preserve"> L., </w:t>
            </w:r>
            <w:r w:rsidRPr="00C90461">
              <w:rPr>
                <w:i/>
                <w:iCs/>
                <w:lang w:val="es-ES_tradnl"/>
              </w:rPr>
              <w:t xml:space="preserve">Ribes </w:t>
            </w:r>
            <w:proofErr w:type="spellStart"/>
            <w:r w:rsidRPr="00C90461">
              <w:rPr>
                <w:i/>
                <w:iCs/>
                <w:lang w:val="es-ES_tradnl"/>
              </w:rPr>
              <w:t>nigrum</w:t>
            </w:r>
            <w:proofErr w:type="spellEnd"/>
            <w:r w:rsidRPr="00C90461">
              <w:rPr>
                <w:lang w:val="es-ES_tradnl"/>
              </w:rPr>
              <w:t xml:space="preserve"> L. 3. </w:t>
            </w:r>
            <w:proofErr w:type="spellStart"/>
            <w:r w:rsidRPr="00C90461">
              <w:rPr>
                <w:lang w:val="es-ES_tradnl"/>
              </w:rPr>
              <w:t>Belarús</w:t>
            </w:r>
            <w:proofErr w:type="spellEnd"/>
            <w:r w:rsidRPr="00C90461">
              <w:rPr>
                <w:lang w:val="es-ES_tradnl"/>
              </w:rPr>
              <w:t xml:space="preserve"> utiliza los informes DHE si se han determinado todos los caracteres de la tabla de caracteres de las directrices de examen de la UPOV </w:t>
            </w:r>
          </w:p>
        </w:tc>
      </w:tr>
      <w:tr w:rsidR="008F5DD0" w:rsidRPr="00C90461" w14:paraId="2AB65B77" w14:textId="77777777" w:rsidTr="005A1C08">
        <w:tc>
          <w:tcPr>
            <w:tcW w:w="9393" w:type="dxa"/>
          </w:tcPr>
          <w:p w14:paraId="52A54E36" w14:textId="4E66ADBC" w:rsidR="008F5DD0" w:rsidRPr="00C90461" w:rsidRDefault="008F5DD0" w:rsidP="00C91F15">
            <w:pPr>
              <w:spacing w:after="120" w:line="240" w:lineRule="auto"/>
              <w:jc w:val="left"/>
              <w:rPr>
                <w:rFonts w:eastAsia="Arial Unicode MS"/>
                <w:lang w:val="es-ES_tradnl"/>
              </w:rPr>
            </w:pPr>
            <w:r w:rsidRPr="00C90461">
              <w:rPr>
                <w:lang w:val="es-ES_tradnl"/>
              </w:rPr>
              <w:t xml:space="preserve">En el enlace se encontrará la explicación de la manera de tomar una decisión sobre el uso de informes extranjeros: https://www.iponz.govt.nz/about-ip/pvr/technical-guidance/current/use-of-foreign-test-reports-for-dus-testing-in-new-zealand/ </w:t>
            </w:r>
          </w:p>
        </w:tc>
      </w:tr>
      <w:tr w:rsidR="008F5DD0" w:rsidRPr="00C90461" w14:paraId="0E6F798C" w14:textId="77777777" w:rsidTr="005A1C08">
        <w:tc>
          <w:tcPr>
            <w:tcW w:w="9393" w:type="dxa"/>
          </w:tcPr>
          <w:p w14:paraId="30DFA2A6"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La autoridad que realizó el examen DHE debe haber examinado los mismos caracteres que figuran en las directrices de examen nacionales. </w:t>
            </w:r>
          </w:p>
        </w:tc>
      </w:tr>
      <w:tr w:rsidR="008F5DD0" w:rsidRPr="00C90461" w14:paraId="60C557BD" w14:textId="77777777" w:rsidTr="005A1C08">
        <w:tc>
          <w:tcPr>
            <w:tcW w:w="9393" w:type="dxa"/>
          </w:tcPr>
          <w:p w14:paraId="6596AF06"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exigimos una homologación para las variedades en cuestión. </w:t>
            </w:r>
          </w:p>
        </w:tc>
      </w:tr>
      <w:tr w:rsidR="008F5DD0" w:rsidRPr="00C90461" w14:paraId="2C1C7BEA" w14:textId="77777777" w:rsidTr="005A1C08">
        <w:tc>
          <w:tcPr>
            <w:tcW w:w="9393" w:type="dxa"/>
          </w:tcPr>
          <w:p w14:paraId="0DC3D058"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 tamaño de la colección de referencia, - experiencia que posee la oficina de examen, es decir, el número de solicitudes de la variedad en cuestión que ya ha examinado la oficina de examen. </w:t>
            </w:r>
          </w:p>
        </w:tc>
      </w:tr>
      <w:tr w:rsidR="008F5DD0" w:rsidRPr="00C90461" w14:paraId="02891908" w14:textId="77777777" w:rsidTr="005A1C08">
        <w:tc>
          <w:tcPr>
            <w:tcW w:w="9393" w:type="dxa"/>
          </w:tcPr>
          <w:p w14:paraId="5BCA7F79"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Informes de examen DHE conforme a los requisitos de la OCVV </w:t>
            </w:r>
          </w:p>
        </w:tc>
      </w:tr>
      <w:tr w:rsidR="008F5DD0" w:rsidRPr="00C90461" w14:paraId="5A407D77" w14:textId="77777777" w:rsidTr="005A1C08">
        <w:tc>
          <w:tcPr>
            <w:tcW w:w="9393" w:type="dxa"/>
          </w:tcPr>
          <w:p w14:paraId="6091F3BD"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Los resultados de ensayos experimentales llevados a cabo por una autoridad extranjera competente pueden tenerse en cuenta con el consentimiento de dicha autoridad. </w:t>
            </w:r>
          </w:p>
        </w:tc>
      </w:tr>
      <w:tr w:rsidR="008F5DD0" w:rsidRPr="00C90461" w14:paraId="423C3821" w14:textId="77777777" w:rsidTr="005A1C08">
        <w:tc>
          <w:tcPr>
            <w:tcW w:w="9393" w:type="dxa"/>
          </w:tcPr>
          <w:p w14:paraId="771A2CF9"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solo de los Estados miembros de la Unión Europea. </w:t>
            </w:r>
          </w:p>
        </w:tc>
      </w:tr>
      <w:tr w:rsidR="008F5DD0" w:rsidRPr="00C90461" w14:paraId="53820C65" w14:textId="77777777" w:rsidTr="005A1C08">
        <w:tc>
          <w:tcPr>
            <w:tcW w:w="9393" w:type="dxa"/>
          </w:tcPr>
          <w:p w14:paraId="1B422494"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Solo aceptamos informes de los exámenes DHE de otros Estados miembros de la Unión Europea y la oficina de examen debe contar con el reconocimiento oficial de la OCVV para realizar exámenes DHE. </w:t>
            </w:r>
          </w:p>
        </w:tc>
      </w:tr>
      <w:tr w:rsidR="008F5DD0" w:rsidRPr="00C90461" w14:paraId="232CB0C5" w14:textId="77777777" w:rsidTr="005A1C08">
        <w:tc>
          <w:tcPr>
            <w:tcW w:w="9393" w:type="dxa"/>
          </w:tcPr>
          <w:p w14:paraId="3F22553C"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Utilizamos resultados de exámenes que ya se han realizado para determinar si la variedad es nueva, distinta, homogénea y estable. </w:t>
            </w:r>
          </w:p>
        </w:tc>
      </w:tr>
      <w:tr w:rsidR="008F5DD0" w:rsidRPr="00C90461" w14:paraId="2DFD6D56" w14:textId="77777777" w:rsidTr="005A1C08">
        <w:tc>
          <w:tcPr>
            <w:tcW w:w="9393" w:type="dxa"/>
          </w:tcPr>
          <w:p w14:paraId="04864478" w14:textId="02CBEA02" w:rsidR="008F5DD0" w:rsidRPr="00C90461" w:rsidRDefault="008F5DD0" w:rsidP="00C91F15">
            <w:pPr>
              <w:spacing w:after="120" w:line="240" w:lineRule="auto"/>
              <w:jc w:val="left"/>
              <w:rPr>
                <w:rFonts w:eastAsia="Arial Unicode MS"/>
                <w:lang w:val="es-ES_tradnl"/>
              </w:rPr>
            </w:pPr>
            <w:r w:rsidRPr="00C90461">
              <w:rPr>
                <w:lang w:val="es-ES_tradnl"/>
              </w:rPr>
              <w:t xml:space="preserve">Debe haber un memorando de acuerdo de cooperación entre la OCVV y el otro Estado miembro de la UPOV. </w:t>
            </w:r>
          </w:p>
        </w:tc>
      </w:tr>
      <w:tr w:rsidR="008F5DD0" w:rsidRPr="00C90461" w14:paraId="4C084B07" w14:textId="77777777" w:rsidTr="005A1C08">
        <w:tc>
          <w:tcPr>
            <w:tcW w:w="9393" w:type="dxa"/>
          </w:tcPr>
          <w:p w14:paraId="6E58497E" w14:textId="77777777" w:rsidR="008F5DD0" w:rsidRPr="00C90461" w:rsidRDefault="008F5DD0" w:rsidP="00C20CA5">
            <w:pPr>
              <w:spacing w:after="120" w:line="240" w:lineRule="auto"/>
              <w:jc w:val="left"/>
              <w:rPr>
                <w:rFonts w:eastAsia="Arial Unicode MS"/>
                <w:lang w:val="es-ES_tradnl"/>
              </w:rPr>
            </w:pPr>
            <w:r w:rsidRPr="00C90461">
              <w:rPr>
                <w:lang w:val="es-ES_tradnl"/>
              </w:rPr>
              <w:lastRenderedPageBreak/>
              <w:t xml:space="preserve">Los informes DHE solo pueden comprarse a un centro de examen que cuente con reconocimiento oficial de la OCVV </w:t>
            </w:r>
          </w:p>
        </w:tc>
      </w:tr>
      <w:tr w:rsidR="008F5DD0" w:rsidRPr="00C90461" w14:paraId="46676FB0" w14:textId="77777777" w:rsidTr="005A1C08">
        <w:tc>
          <w:tcPr>
            <w:tcW w:w="9393" w:type="dxa"/>
          </w:tcPr>
          <w:p w14:paraId="753326E1" w14:textId="77777777" w:rsidR="008F5DD0" w:rsidRPr="00C90461" w:rsidRDefault="008F5DD0" w:rsidP="00C20CA5">
            <w:pPr>
              <w:spacing w:after="120" w:line="240" w:lineRule="auto"/>
              <w:jc w:val="left"/>
              <w:rPr>
                <w:rFonts w:eastAsia="Arial Unicode MS"/>
                <w:lang w:val="es-ES_tradnl"/>
              </w:rPr>
            </w:pPr>
            <w:r w:rsidRPr="00C90461">
              <w:rPr>
                <w:lang w:val="es-ES_tradnl"/>
              </w:rPr>
              <w:t xml:space="preserve">debe aprobarla el gobierno </w:t>
            </w:r>
          </w:p>
        </w:tc>
      </w:tr>
      <w:tr w:rsidR="008F5DD0" w:rsidRPr="00C90461" w14:paraId="3F238A50" w14:textId="77777777" w:rsidTr="005A1C08">
        <w:tc>
          <w:tcPr>
            <w:tcW w:w="9393" w:type="dxa"/>
          </w:tcPr>
          <w:p w14:paraId="093486C9" w14:textId="77777777" w:rsidR="008F5DD0" w:rsidRPr="00C90461" w:rsidRDefault="008F5DD0" w:rsidP="00C20CA5">
            <w:pPr>
              <w:spacing w:after="120" w:line="240" w:lineRule="auto"/>
              <w:jc w:val="left"/>
              <w:rPr>
                <w:rFonts w:eastAsia="Arial Unicode MS"/>
                <w:lang w:val="es-ES_tradnl"/>
              </w:rPr>
            </w:pPr>
            <w:r w:rsidRPr="00C90461">
              <w:rPr>
                <w:lang w:val="es-ES_tradnl"/>
              </w:rPr>
              <w:t xml:space="preserve">Los resultados de examen deben solicitarse de oficina a oficina. </w:t>
            </w:r>
          </w:p>
        </w:tc>
      </w:tr>
      <w:tr w:rsidR="008F5DD0" w:rsidRPr="00C90461" w14:paraId="665B6343" w14:textId="77777777" w:rsidTr="005A1C08">
        <w:tc>
          <w:tcPr>
            <w:tcW w:w="9393" w:type="dxa"/>
          </w:tcPr>
          <w:p w14:paraId="517DE8DE" w14:textId="2E71302C" w:rsidR="008F5DD0" w:rsidRPr="00C90461" w:rsidRDefault="008F5DD0" w:rsidP="00C91F15">
            <w:pPr>
              <w:spacing w:after="120" w:line="240" w:lineRule="auto"/>
              <w:jc w:val="left"/>
              <w:rPr>
                <w:rFonts w:eastAsia="Arial Unicode MS"/>
                <w:lang w:val="es-ES_tradnl"/>
              </w:rPr>
            </w:pPr>
            <w:r w:rsidRPr="00C90461">
              <w:rPr>
                <w:lang w:val="es-ES_tradnl"/>
              </w:rPr>
              <w:t xml:space="preserve">Debe garantizarse el cumplimiento de determinados requisitos administrativos y de calidad técnica. En especial, el otro miembro de la UPOV debe facilitar información sobre independencia, imparcialidad e integridad de la institución encargada del examen DHE, sobre instalaciones y equipo y sobre experiencia con la especie en cuestión. Además, </w:t>
            </w:r>
            <w:proofErr w:type="gramStart"/>
            <w:r w:rsidRPr="00C90461">
              <w:rPr>
                <w:lang w:val="es-ES_tradnl"/>
              </w:rPr>
              <w:t>la directrices técnicas existentes utilizadas</w:t>
            </w:r>
            <w:proofErr w:type="gramEnd"/>
            <w:r w:rsidRPr="00C90461">
              <w:rPr>
                <w:lang w:val="es-ES_tradnl"/>
              </w:rPr>
              <w:t xml:space="preserve"> y la manera de llevar a cabo el examen técnico, los requisitos para la presentación del material vegetal, información sobre la colección de variedades de referencia existente (forma, tamaño, mantenimiento, la composición y criterios para incluir variedades en la colección) y el procedimiento para elegir las variedades de referencia que han de cultivarse en el ensayo en cultivo. Se evalúa la información facilitada y la decisión de utilizar informes DHE de otro miembro de la UPOV debe contar con la aprobación del organismo de vigilancia. </w:t>
            </w:r>
          </w:p>
        </w:tc>
      </w:tr>
      <w:tr w:rsidR="008F5DD0" w:rsidRPr="00C90461" w14:paraId="10B184B9" w14:textId="77777777" w:rsidTr="005A1C08">
        <w:tc>
          <w:tcPr>
            <w:tcW w:w="9393" w:type="dxa"/>
          </w:tcPr>
          <w:p w14:paraId="5AFC00A4" w14:textId="77777777" w:rsidR="008F5DD0" w:rsidRPr="00C90461" w:rsidRDefault="008F5DD0" w:rsidP="00C20CA5">
            <w:pPr>
              <w:spacing w:after="120" w:line="240" w:lineRule="auto"/>
              <w:jc w:val="left"/>
              <w:rPr>
                <w:rFonts w:eastAsia="Arial Unicode MS"/>
                <w:lang w:val="es-ES_tradnl"/>
              </w:rPr>
            </w:pPr>
            <w:r w:rsidRPr="00C90461">
              <w:rPr>
                <w:lang w:val="es-ES_tradnl"/>
              </w:rPr>
              <w:t xml:space="preserve">1. Las evaluaciones de DHE deben realizarse conforme a las directrices de examen de la UPOV. 2. Pagos establecidos a la autoridad que realiza el examen </w:t>
            </w:r>
          </w:p>
        </w:tc>
      </w:tr>
      <w:tr w:rsidR="008F5DD0" w:rsidRPr="00C90461" w14:paraId="204B18E2" w14:textId="77777777" w:rsidTr="005A1C08">
        <w:tc>
          <w:tcPr>
            <w:tcW w:w="9393" w:type="dxa"/>
          </w:tcPr>
          <w:p w14:paraId="667A2BB0" w14:textId="77777777" w:rsidR="008E1106" w:rsidRPr="00C90461" w:rsidRDefault="008F5DD0" w:rsidP="00C20CA5">
            <w:pPr>
              <w:spacing w:after="120"/>
              <w:jc w:val="left"/>
              <w:rPr>
                <w:rFonts w:eastAsia="Arial Unicode MS"/>
                <w:lang w:val="es-ES_tradnl"/>
              </w:rPr>
            </w:pPr>
            <w:r w:rsidRPr="00C90461">
              <w:rPr>
                <w:lang w:val="es-ES_tradnl"/>
              </w:rPr>
              <w:t xml:space="preserve">La Ley de Derechos de Obtentor autoriza al Consejo sobre Obtenciones Vegetales de Noruega a decidir si las variedades que ya han sido objeto del examen DHE en otro país deben: </w:t>
            </w:r>
          </w:p>
          <w:p w14:paraId="08F82B8B" w14:textId="06C3FE14" w:rsidR="008E1106" w:rsidRPr="00C90461" w:rsidRDefault="008F5DD0" w:rsidP="00234F63">
            <w:pPr>
              <w:spacing w:after="0"/>
              <w:jc w:val="left"/>
              <w:rPr>
                <w:rFonts w:eastAsia="Arial Unicode MS"/>
                <w:lang w:val="es-ES_tradnl"/>
              </w:rPr>
            </w:pPr>
            <w:r w:rsidRPr="00C90461">
              <w:rPr>
                <w:lang w:val="es-ES_tradnl"/>
              </w:rPr>
              <w:t>1. volver a examinarse,</w:t>
            </w:r>
            <w:r w:rsidR="0099516F" w:rsidRPr="00C90461">
              <w:rPr>
                <w:lang w:val="es-ES_tradnl"/>
              </w:rPr>
              <w:t xml:space="preserve"> </w:t>
            </w:r>
          </w:p>
          <w:p w14:paraId="4A02991C" w14:textId="4B4964D2" w:rsidR="008E1106" w:rsidRPr="00C90461" w:rsidRDefault="008F5DD0" w:rsidP="00234F63">
            <w:pPr>
              <w:spacing w:after="0"/>
              <w:jc w:val="left"/>
              <w:rPr>
                <w:rFonts w:eastAsia="Arial Unicode MS"/>
                <w:lang w:val="es-ES_tradnl"/>
              </w:rPr>
            </w:pPr>
            <w:r w:rsidRPr="00C90461">
              <w:rPr>
                <w:lang w:val="es-ES_tradnl"/>
              </w:rPr>
              <w:t>2. volver a examinarse solo en parte o</w:t>
            </w:r>
            <w:r w:rsidR="0099516F" w:rsidRPr="00C90461">
              <w:rPr>
                <w:lang w:val="es-ES_tradnl"/>
              </w:rPr>
              <w:t xml:space="preserve"> </w:t>
            </w:r>
          </w:p>
          <w:p w14:paraId="053D6B54" w14:textId="33AB344F" w:rsidR="008F5DD0" w:rsidRPr="00C90461" w:rsidRDefault="008F5DD0" w:rsidP="00234F63">
            <w:pPr>
              <w:spacing w:after="0" w:line="240" w:lineRule="auto"/>
              <w:jc w:val="left"/>
              <w:rPr>
                <w:rFonts w:eastAsia="Arial Unicode MS"/>
                <w:lang w:val="es-ES_tradnl"/>
              </w:rPr>
            </w:pPr>
            <w:r w:rsidRPr="00C90461">
              <w:rPr>
                <w:lang w:val="es-ES_tradnl"/>
              </w:rPr>
              <w:t xml:space="preserve">3. no volver a examinarse (y aceptar el informe de examen DHE del primer país) </w:t>
            </w:r>
          </w:p>
        </w:tc>
      </w:tr>
      <w:tr w:rsidR="008F5DD0" w:rsidRPr="00C90461" w14:paraId="1C7A53D0" w14:textId="77777777" w:rsidTr="005A1C08">
        <w:tc>
          <w:tcPr>
            <w:tcW w:w="9393" w:type="dxa"/>
          </w:tcPr>
          <w:p w14:paraId="25424A8F" w14:textId="77777777" w:rsidR="008E1106" w:rsidRPr="00C90461" w:rsidRDefault="008F5DD0" w:rsidP="00234F63">
            <w:pPr>
              <w:spacing w:after="0"/>
              <w:jc w:val="left"/>
              <w:rPr>
                <w:rFonts w:eastAsia="Arial Unicode MS"/>
                <w:lang w:val="es-ES_tradnl"/>
              </w:rPr>
            </w:pPr>
            <w:r w:rsidRPr="00C90461">
              <w:rPr>
                <w:lang w:val="es-ES_tradnl"/>
              </w:rPr>
              <w:t xml:space="preserve">1. El remitente de los resultados debe ser la autoridad competente de un país miembro de la UPOV. </w:t>
            </w:r>
          </w:p>
          <w:p w14:paraId="70C66ADE" w14:textId="77777777" w:rsidR="008E1106" w:rsidRPr="00C90461" w:rsidRDefault="008F5DD0" w:rsidP="00234F63">
            <w:pPr>
              <w:spacing w:after="0"/>
              <w:jc w:val="left"/>
              <w:rPr>
                <w:rFonts w:eastAsia="Arial Unicode MS"/>
                <w:lang w:val="es-ES_tradnl"/>
              </w:rPr>
            </w:pPr>
            <w:r w:rsidRPr="00C90461">
              <w:rPr>
                <w:lang w:val="es-ES_tradnl"/>
              </w:rPr>
              <w:t xml:space="preserve">2. Los resultados deben ser acordes a las directrices de examen DHE de la UPOV o, en casos excepcionales, a las directrices nacionales de un Estado miembro de la UPOV. </w:t>
            </w:r>
          </w:p>
          <w:p w14:paraId="7C0665BF" w14:textId="7B330EA9" w:rsidR="008F5DD0" w:rsidRPr="00C90461" w:rsidRDefault="008F5DD0" w:rsidP="00234F63">
            <w:pPr>
              <w:spacing w:after="0" w:line="240" w:lineRule="auto"/>
              <w:jc w:val="left"/>
              <w:rPr>
                <w:rFonts w:eastAsia="Arial Unicode MS"/>
                <w:lang w:val="es-ES_tradnl"/>
              </w:rPr>
            </w:pPr>
            <w:r w:rsidRPr="00C90461">
              <w:rPr>
                <w:lang w:val="es-ES_tradnl"/>
              </w:rPr>
              <w:t xml:space="preserve">3. Los resultados deben ser acordes al formulario de la UPOV para informes de examen técnico. </w:t>
            </w:r>
          </w:p>
        </w:tc>
      </w:tr>
      <w:tr w:rsidR="008F5DD0" w:rsidRPr="00C90461" w14:paraId="18DFD77A" w14:textId="77777777" w:rsidTr="005A1C08">
        <w:tc>
          <w:tcPr>
            <w:tcW w:w="9393" w:type="dxa"/>
          </w:tcPr>
          <w:p w14:paraId="1BEE1D1E" w14:textId="2627FF69" w:rsidR="008F5DD0" w:rsidRPr="00C90461" w:rsidRDefault="008F5DD0" w:rsidP="00C91F15">
            <w:pPr>
              <w:spacing w:after="120" w:line="240" w:lineRule="auto"/>
              <w:jc w:val="left"/>
              <w:rPr>
                <w:rFonts w:eastAsia="Arial Unicode MS"/>
                <w:lang w:val="es-ES_tradnl"/>
              </w:rPr>
            </w:pPr>
            <w:r w:rsidRPr="00C90461">
              <w:rPr>
                <w:lang w:val="es-ES_tradnl"/>
              </w:rPr>
              <w:t xml:space="preserve">No hay criterios específicos para aceptar informes DHE extranjeros. En la práctica, hay margen para aceptar los informes DHE de géneros y especies vegetales poco frecuentes que no se han obtenido en nuestro país, a fin de no sobrecargar las instalaciones de examen y de reducir el número de exámenes. Cuando se solicita protección para una variedad de un género o especie vegetal de los que también se hace fitomejoramiento en nuestro país, en principio, no se aceptan informes DHE extranjeros. Pero hay margen para que nuestro país considere aceptar un informe DHE de una variedad extranjera si, como contrapartida, el país extranjero contempla aceptar el informe DHE de una variedad de nuestro país para la que se solicita autorización en el suyo. En este caso, para decidir si acepta el informe DHE, nuestro país debe analizar si en el examen DHE de esta variedad en concreto se han evaluado los caracteres incluidos en nuestra directriz nacional de examen basada en la directriz de examen de la UPOV para la especie, el efecto que pueda tener en la expresión de los caracteres y en la colección de referencia la diferencia en las condiciones ambientales de cultivo entre nuestro país y el lugar en que se realizaron los ensayos en cultivo del informe y el grado de desarrollo de la variedad en nuestro país. </w:t>
            </w:r>
          </w:p>
        </w:tc>
      </w:tr>
    </w:tbl>
    <w:p w14:paraId="67C9FFBC" w14:textId="77777777" w:rsidR="008F5DD0" w:rsidRPr="00C90461" w:rsidRDefault="008F5DD0" w:rsidP="008F5DD0">
      <w:pPr>
        <w:jc w:val="left"/>
        <w:rPr>
          <w:rFonts w:eastAsia="Arial" w:cs="Arial"/>
          <w:lang w:val="es-ES_tradnl"/>
        </w:rPr>
      </w:pPr>
      <w:bookmarkStart w:id="21" w:name="_Toc11"/>
      <w:r w:rsidRPr="00C90461">
        <w:rPr>
          <w:lang w:val="es-ES_tradnl"/>
        </w:rPr>
        <w:br w:type="page"/>
      </w:r>
    </w:p>
    <w:p w14:paraId="4099A83F" w14:textId="2A0BD9F7"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3.2. Indique si los requisitos para utilizar informes de los exámenes DHE de otro miembro de la UPOV se especifican en:</w:t>
      </w:r>
      <w:bookmarkEnd w:id="21"/>
    </w:p>
    <w:p w14:paraId="61D86083" w14:textId="77777777" w:rsidR="008F5DD0" w:rsidRPr="00C90461" w:rsidRDefault="008F5DD0" w:rsidP="00C20CA5">
      <w:pPr>
        <w:spacing w:after="120"/>
        <w:jc w:val="left"/>
        <w:rPr>
          <w:rFonts w:eastAsia="Arial" w:cs="Arial"/>
          <w:sz w:val="8"/>
          <w:szCs w:val="8"/>
          <w:lang w:val="es-ES_tradnl"/>
        </w:rPr>
      </w:pPr>
      <w:r w:rsidRPr="00C90461">
        <w:rPr>
          <w:lang w:val="es-ES_tradnl" w:eastAsia="es-ES"/>
        </w:rPr>
        <w:drawing>
          <wp:inline distT="0" distB="0" distL="0" distR="0" wp14:anchorId="591C893E" wp14:editId="36CA040A">
            <wp:extent cx="5499735" cy="2307265"/>
            <wp:effectExtent l="0" t="0" r="5715"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73137A71" w14:textId="77777777" w:rsidTr="000759D0">
        <w:tc>
          <w:tcPr>
            <w:tcW w:w="3120" w:type="dxa"/>
          </w:tcPr>
          <w:p w14:paraId="44FB6372" w14:textId="77777777" w:rsidR="008F5DD0" w:rsidRPr="00C90461" w:rsidRDefault="008F5DD0" w:rsidP="00C20CA5">
            <w:pPr>
              <w:spacing w:after="120" w:line="240" w:lineRule="auto"/>
              <w:jc w:val="left"/>
              <w:rPr>
                <w:lang w:val="es-ES_tradnl"/>
              </w:rPr>
            </w:pPr>
            <w:r w:rsidRPr="00C90461">
              <w:rPr>
                <w:lang w:val="es-ES_tradnl"/>
              </w:rPr>
              <w:t xml:space="preserve">Valor </w:t>
            </w:r>
          </w:p>
        </w:tc>
        <w:tc>
          <w:tcPr>
            <w:tcW w:w="3120" w:type="dxa"/>
          </w:tcPr>
          <w:p w14:paraId="7B22EECB" w14:textId="77777777" w:rsidR="008F5DD0" w:rsidRPr="00C90461" w:rsidRDefault="008F5DD0" w:rsidP="00C20CA5">
            <w:pPr>
              <w:spacing w:after="120" w:line="240" w:lineRule="auto"/>
              <w:jc w:val="left"/>
              <w:rPr>
                <w:lang w:val="es-ES_tradnl"/>
              </w:rPr>
            </w:pPr>
            <w:r w:rsidRPr="00C90461">
              <w:rPr>
                <w:lang w:val="es-ES_tradnl"/>
              </w:rPr>
              <w:t xml:space="preserve">Porcentaje </w:t>
            </w:r>
          </w:p>
        </w:tc>
        <w:tc>
          <w:tcPr>
            <w:tcW w:w="3120" w:type="dxa"/>
          </w:tcPr>
          <w:p w14:paraId="062FCE8C" w14:textId="77777777" w:rsidR="008F5DD0" w:rsidRPr="00C90461" w:rsidRDefault="008F5DD0" w:rsidP="00C20CA5">
            <w:pPr>
              <w:spacing w:after="120" w:line="240" w:lineRule="auto"/>
              <w:jc w:val="left"/>
              <w:rPr>
                <w:lang w:val="es-ES_tradnl"/>
              </w:rPr>
            </w:pPr>
            <w:r w:rsidRPr="00C90461">
              <w:rPr>
                <w:lang w:val="es-ES_tradnl"/>
              </w:rPr>
              <w:t xml:space="preserve">Número </w:t>
            </w:r>
          </w:p>
        </w:tc>
      </w:tr>
      <w:tr w:rsidR="008F5DD0" w:rsidRPr="00C90461" w14:paraId="24DFB9FC" w14:textId="77777777" w:rsidTr="000759D0">
        <w:tc>
          <w:tcPr>
            <w:tcW w:w="3120" w:type="dxa"/>
          </w:tcPr>
          <w:p w14:paraId="4D4D39FC" w14:textId="77777777" w:rsidR="008F5DD0" w:rsidRPr="00C90461" w:rsidRDefault="008F5DD0" w:rsidP="00C20CA5">
            <w:pPr>
              <w:spacing w:after="120" w:line="240" w:lineRule="auto"/>
              <w:jc w:val="left"/>
              <w:rPr>
                <w:lang w:val="es-ES_tradnl"/>
              </w:rPr>
            </w:pPr>
            <w:r w:rsidRPr="00C90461">
              <w:rPr>
                <w:lang w:val="es-ES_tradnl"/>
              </w:rPr>
              <w:t xml:space="preserve">a. la legislación </w:t>
            </w:r>
          </w:p>
        </w:tc>
        <w:tc>
          <w:tcPr>
            <w:tcW w:w="3120" w:type="dxa"/>
          </w:tcPr>
          <w:p w14:paraId="26B658FB" w14:textId="77777777" w:rsidR="008F5DD0" w:rsidRPr="00C90461" w:rsidRDefault="008F5DD0" w:rsidP="00C20CA5">
            <w:pPr>
              <w:spacing w:after="120" w:line="240" w:lineRule="auto"/>
              <w:jc w:val="left"/>
              <w:rPr>
                <w:lang w:val="es-ES_tradnl"/>
              </w:rPr>
            </w:pPr>
            <w:r w:rsidRPr="00C90461">
              <w:rPr>
                <w:lang w:val="es-ES_tradnl"/>
              </w:rPr>
              <w:t xml:space="preserve">48 % </w:t>
            </w:r>
          </w:p>
        </w:tc>
        <w:tc>
          <w:tcPr>
            <w:tcW w:w="3120" w:type="dxa"/>
          </w:tcPr>
          <w:p w14:paraId="3C806642" w14:textId="77777777" w:rsidR="008F5DD0" w:rsidRPr="00C90461" w:rsidRDefault="008F5DD0" w:rsidP="00C20CA5">
            <w:pPr>
              <w:spacing w:after="120" w:line="240" w:lineRule="auto"/>
              <w:jc w:val="left"/>
              <w:rPr>
                <w:lang w:val="es-ES_tradnl"/>
              </w:rPr>
            </w:pPr>
            <w:r w:rsidRPr="00C90461">
              <w:rPr>
                <w:lang w:val="es-ES_tradnl"/>
              </w:rPr>
              <w:t xml:space="preserve">12 </w:t>
            </w:r>
          </w:p>
        </w:tc>
      </w:tr>
      <w:tr w:rsidR="008F5DD0" w:rsidRPr="00C90461" w14:paraId="17229182" w14:textId="77777777" w:rsidTr="000759D0">
        <w:tc>
          <w:tcPr>
            <w:tcW w:w="3120" w:type="dxa"/>
          </w:tcPr>
          <w:p w14:paraId="35EEC161" w14:textId="77777777" w:rsidR="008F5DD0" w:rsidRPr="00C90461" w:rsidRDefault="008F5DD0" w:rsidP="00C20CA5">
            <w:pPr>
              <w:spacing w:after="120" w:line="240" w:lineRule="auto"/>
              <w:jc w:val="left"/>
              <w:rPr>
                <w:lang w:val="es-ES_tradnl"/>
              </w:rPr>
            </w:pPr>
            <w:r w:rsidRPr="00C90461">
              <w:rPr>
                <w:lang w:val="es-ES_tradnl"/>
              </w:rPr>
              <w:t xml:space="preserve">b. los reglamentos </w:t>
            </w:r>
          </w:p>
        </w:tc>
        <w:tc>
          <w:tcPr>
            <w:tcW w:w="3120" w:type="dxa"/>
          </w:tcPr>
          <w:p w14:paraId="237D6EFF" w14:textId="77777777" w:rsidR="008F5DD0" w:rsidRPr="00C90461" w:rsidRDefault="008F5DD0" w:rsidP="00C20CA5">
            <w:pPr>
              <w:spacing w:after="120" w:line="240" w:lineRule="auto"/>
              <w:jc w:val="left"/>
              <w:rPr>
                <w:lang w:val="es-ES_tradnl"/>
              </w:rPr>
            </w:pPr>
            <w:r w:rsidRPr="00C90461">
              <w:rPr>
                <w:lang w:val="es-ES_tradnl"/>
              </w:rPr>
              <w:t xml:space="preserve">32 % </w:t>
            </w:r>
          </w:p>
        </w:tc>
        <w:tc>
          <w:tcPr>
            <w:tcW w:w="3120" w:type="dxa"/>
          </w:tcPr>
          <w:p w14:paraId="1E17EE6D" w14:textId="77777777" w:rsidR="008F5DD0" w:rsidRPr="00C90461" w:rsidRDefault="008F5DD0" w:rsidP="00C20CA5">
            <w:pPr>
              <w:spacing w:after="120" w:line="240" w:lineRule="auto"/>
              <w:jc w:val="left"/>
              <w:rPr>
                <w:lang w:val="es-ES_tradnl"/>
              </w:rPr>
            </w:pPr>
            <w:r w:rsidRPr="00C90461">
              <w:rPr>
                <w:lang w:val="es-ES_tradnl"/>
              </w:rPr>
              <w:t xml:space="preserve">8 </w:t>
            </w:r>
          </w:p>
        </w:tc>
      </w:tr>
      <w:tr w:rsidR="008F5DD0" w:rsidRPr="00C90461" w14:paraId="770DA6FB" w14:textId="77777777" w:rsidTr="000759D0">
        <w:tc>
          <w:tcPr>
            <w:tcW w:w="3120" w:type="dxa"/>
          </w:tcPr>
          <w:p w14:paraId="2434EDC3" w14:textId="77777777" w:rsidR="008F5DD0" w:rsidRPr="00C90461" w:rsidRDefault="008F5DD0" w:rsidP="00C20CA5">
            <w:pPr>
              <w:spacing w:after="120" w:line="240" w:lineRule="auto"/>
              <w:jc w:val="left"/>
              <w:rPr>
                <w:lang w:val="es-ES_tradnl"/>
              </w:rPr>
            </w:pPr>
            <w:r w:rsidRPr="00C90461">
              <w:rPr>
                <w:lang w:val="es-ES_tradnl"/>
              </w:rPr>
              <w:t xml:space="preserve">c. los procedimientos administrativos </w:t>
            </w:r>
          </w:p>
        </w:tc>
        <w:tc>
          <w:tcPr>
            <w:tcW w:w="3120" w:type="dxa"/>
          </w:tcPr>
          <w:p w14:paraId="1D921AE6" w14:textId="77777777" w:rsidR="008F5DD0" w:rsidRPr="00C90461" w:rsidRDefault="008F5DD0" w:rsidP="00C20CA5">
            <w:pPr>
              <w:spacing w:after="120" w:line="240" w:lineRule="auto"/>
              <w:jc w:val="left"/>
              <w:rPr>
                <w:lang w:val="es-ES_tradnl"/>
              </w:rPr>
            </w:pPr>
            <w:r w:rsidRPr="00C90461">
              <w:rPr>
                <w:lang w:val="es-ES_tradnl"/>
              </w:rPr>
              <w:t xml:space="preserve">40 % </w:t>
            </w:r>
          </w:p>
        </w:tc>
        <w:tc>
          <w:tcPr>
            <w:tcW w:w="3120" w:type="dxa"/>
          </w:tcPr>
          <w:p w14:paraId="091EA0DB" w14:textId="77777777" w:rsidR="008F5DD0" w:rsidRPr="00C90461" w:rsidRDefault="008F5DD0" w:rsidP="00C20CA5">
            <w:pPr>
              <w:spacing w:after="120" w:line="240" w:lineRule="auto"/>
              <w:jc w:val="left"/>
              <w:rPr>
                <w:lang w:val="es-ES_tradnl"/>
              </w:rPr>
            </w:pPr>
            <w:r w:rsidRPr="00C90461">
              <w:rPr>
                <w:lang w:val="es-ES_tradnl"/>
              </w:rPr>
              <w:t xml:space="preserve">10 </w:t>
            </w:r>
          </w:p>
        </w:tc>
      </w:tr>
      <w:tr w:rsidR="008F5DD0" w:rsidRPr="00C90461" w14:paraId="79D489A3" w14:textId="77777777" w:rsidTr="000759D0">
        <w:tc>
          <w:tcPr>
            <w:tcW w:w="3120" w:type="dxa"/>
          </w:tcPr>
          <w:p w14:paraId="61CBD894" w14:textId="77777777" w:rsidR="008F5DD0" w:rsidRPr="00C90461" w:rsidRDefault="008F5DD0" w:rsidP="00C20CA5">
            <w:pPr>
              <w:spacing w:after="120" w:line="240" w:lineRule="auto"/>
              <w:jc w:val="left"/>
              <w:rPr>
                <w:lang w:val="es-ES_tradnl"/>
              </w:rPr>
            </w:pPr>
            <w:r w:rsidRPr="00C90461">
              <w:rPr>
                <w:lang w:val="es-ES_tradnl"/>
              </w:rPr>
              <w:t xml:space="preserve">d. otro </w:t>
            </w:r>
          </w:p>
        </w:tc>
        <w:tc>
          <w:tcPr>
            <w:tcW w:w="3120" w:type="dxa"/>
          </w:tcPr>
          <w:p w14:paraId="64408718" w14:textId="77777777" w:rsidR="008F5DD0" w:rsidRPr="00C90461" w:rsidRDefault="008F5DD0" w:rsidP="00C20CA5">
            <w:pPr>
              <w:spacing w:after="120" w:line="240" w:lineRule="auto"/>
              <w:jc w:val="left"/>
              <w:rPr>
                <w:lang w:val="es-ES_tradnl"/>
              </w:rPr>
            </w:pPr>
            <w:r w:rsidRPr="00C90461">
              <w:rPr>
                <w:lang w:val="es-ES_tradnl"/>
              </w:rPr>
              <w:t xml:space="preserve">12 % </w:t>
            </w:r>
          </w:p>
        </w:tc>
        <w:tc>
          <w:tcPr>
            <w:tcW w:w="3120" w:type="dxa"/>
          </w:tcPr>
          <w:p w14:paraId="1A8BA20D" w14:textId="77777777" w:rsidR="008F5DD0" w:rsidRPr="00C90461" w:rsidRDefault="008F5DD0" w:rsidP="00C20CA5">
            <w:pPr>
              <w:spacing w:after="120" w:line="240" w:lineRule="auto"/>
              <w:jc w:val="left"/>
              <w:rPr>
                <w:lang w:val="es-ES_tradnl"/>
              </w:rPr>
            </w:pPr>
            <w:r w:rsidRPr="00C90461">
              <w:rPr>
                <w:lang w:val="es-ES_tradnl"/>
              </w:rPr>
              <w:t xml:space="preserve">3 </w:t>
            </w:r>
          </w:p>
        </w:tc>
      </w:tr>
    </w:tbl>
    <w:p w14:paraId="69B125E7" w14:textId="77777777" w:rsidR="008F5DD0" w:rsidRPr="00C90461" w:rsidRDefault="008F5DD0" w:rsidP="00C20CA5">
      <w:pPr>
        <w:spacing w:after="120"/>
        <w:jc w:val="left"/>
        <w:rPr>
          <w:rFonts w:eastAsia="Arial" w:cs="Arial"/>
          <w:sz w:val="8"/>
          <w:szCs w:val="8"/>
          <w:lang w:val="es-ES_tradnl"/>
        </w:rPr>
      </w:pPr>
    </w:p>
    <w:tbl>
      <w:tblPr>
        <w:tblStyle w:val="table"/>
        <w:tblW w:w="0" w:type="auto"/>
        <w:tblInd w:w="965" w:type="dxa"/>
        <w:tblLook w:val="04A0" w:firstRow="1" w:lastRow="0" w:firstColumn="1" w:lastColumn="0" w:noHBand="0" w:noVBand="1"/>
      </w:tblPr>
      <w:tblGrid>
        <w:gridCol w:w="5400"/>
        <w:gridCol w:w="3075"/>
      </w:tblGrid>
      <w:tr w:rsidR="008F5DD0" w:rsidRPr="00C90461" w14:paraId="416F7DD4" w14:textId="77777777" w:rsidTr="00C20CA5">
        <w:tc>
          <w:tcPr>
            <w:tcW w:w="5400" w:type="dxa"/>
          </w:tcPr>
          <w:p w14:paraId="4C07FA24" w14:textId="77777777" w:rsidR="008F5DD0" w:rsidRPr="00C90461" w:rsidRDefault="008F5DD0" w:rsidP="00C20CA5">
            <w:pPr>
              <w:spacing w:after="120" w:line="240" w:lineRule="auto"/>
              <w:jc w:val="left"/>
              <w:rPr>
                <w:lang w:val="es-ES_tradnl"/>
              </w:rPr>
            </w:pPr>
            <w:r w:rsidRPr="00C90461">
              <w:rPr>
                <w:lang w:val="es-ES_tradnl"/>
              </w:rPr>
              <w:t xml:space="preserve">d. otro </w:t>
            </w:r>
          </w:p>
        </w:tc>
        <w:tc>
          <w:tcPr>
            <w:tcW w:w="3075" w:type="dxa"/>
          </w:tcPr>
          <w:p w14:paraId="69140E25" w14:textId="77777777" w:rsidR="008F5DD0" w:rsidRPr="00C90461" w:rsidRDefault="008F5DD0" w:rsidP="00C20CA5">
            <w:pPr>
              <w:spacing w:after="120" w:line="240" w:lineRule="auto"/>
              <w:jc w:val="left"/>
              <w:rPr>
                <w:lang w:val="es-ES_tradnl"/>
              </w:rPr>
            </w:pPr>
            <w:r w:rsidRPr="00C90461">
              <w:rPr>
                <w:lang w:val="es-ES_tradnl"/>
              </w:rPr>
              <w:t xml:space="preserve">Número </w:t>
            </w:r>
          </w:p>
        </w:tc>
      </w:tr>
      <w:tr w:rsidR="008F5DD0" w:rsidRPr="00C90461" w14:paraId="22258AFA" w14:textId="77777777" w:rsidTr="00C20CA5">
        <w:tc>
          <w:tcPr>
            <w:tcW w:w="5400" w:type="dxa"/>
          </w:tcPr>
          <w:p w14:paraId="6D3B066E" w14:textId="77777777" w:rsidR="008F5DD0" w:rsidRPr="00C90461" w:rsidRDefault="008F5DD0" w:rsidP="00C20CA5">
            <w:pPr>
              <w:spacing w:after="120" w:line="240" w:lineRule="auto"/>
              <w:jc w:val="left"/>
              <w:rPr>
                <w:lang w:val="es-ES_tradnl"/>
              </w:rPr>
            </w:pPr>
            <w:r w:rsidRPr="00C90461">
              <w:rPr>
                <w:lang w:val="es-ES_tradnl"/>
              </w:rPr>
              <w:t xml:space="preserve">políticas internas </w:t>
            </w:r>
          </w:p>
        </w:tc>
        <w:tc>
          <w:tcPr>
            <w:tcW w:w="3075" w:type="dxa"/>
          </w:tcPr>
          <w:p w14:paraId="0C7290B1" w14:textId="77777777" w:rsidR="008F5DD0" w:rsidRPr="00C90461" w:rsidRDefault="008F5DD0" w:rsidP="00C20CA5">
            <w:pPr>
              <w:spacing w:after="120" w:line="240" w:lineRule="auto"/>
              <w:jc w:val="left"/>
              <w:rPr>
                <w:lang w:val="es-ES_tradnl"/>
              </w:rPr>
            </w:pPr>
            <w:r w:rsidRPr="00C90461">
              <w:rPr>
                <w:lang w:val="es-ES_tradnl"/>
              </w:rPr>
              <w:t xml:space="preserve">1 </w:t>
            </w:r>
          </w:p>
        </w:tc>
      </w:tr>
      <w:tr w:rsidR="008F5DD0" w:rsidRPr="00C90461" w14:paraId="6C5667BB" w14:textId="77777777" w:rsidTr="00C20CA5">
        <w:tc>
          <w:tcPr>
            <w:tcW w:w="5400" w:type="dxa"/>
          </w:tcPr>
          <w:p w14:paraId="155166E6" w14:textId="77777777" w:rsidR="008F5DD0" w:rsidRPr="00C90461" w:rsidRDefault="008F5DD0" w:rsidP="00C20CA5">
            <w:pPr>
              <w:spacing w:after="120" w:line="240" w:lineRule="auto"/>
              <w:jc w:val="left"/>
              <w:rPr>
                <w:lang w:val="es-ES_tradnl"/>
              </w:rPr>
            </w:pPr>
            <w:r w:rsidRPr="00C90461">
              <w:rPr>
                <w:lang w:val="es-ES_tradnl"/>
              </w:rPr>
              <w:t xml:space="preserve">ninguno </w:t>
            </w:r>
          </w:p>
        </w:tc>
        <w:tc>
          <w:tcPr>
            <w:tcW w:w="3075" w:type="dxa"/>
          </w:tcPr>
          <w:p w14:paraId="6EE5435E" w14:textId="77777777" w:rsidR="008F5DD0" w:rsidRPr="00C90461" w:rsidRDefault="008F5DD0" w:rsidP="00C20CA5">
            <w:pPr>
              <w:spacing w:after="120" w:line="240" w:lineRule="auto"/>
              <w:jc w:val="left"/>
              <w:rPr>
                <w:lang w:val="es-ES_tradnl"/>
              </w:rPr>
            </w:pPr>
            <w:r w:rsidRPr="00C90461">
              <w:rPr>
                <w:lang w:val="es-ES_tradnl"/>
              </w:rPr>
              <w:t xml:space="preserve">1 </w:t>
            </w:r>
          </w:p>
        </w:tc>
      </w:tr>
      <w:tr w:rsidR="008F5DD0" w:rsidRPr="00C90461" w14:paraId="5B210F05" w14:textId="77777777" w:rsidTr="00C20CA5">
        <w:tc>
          <w:tcPr>
            <w:tcW w:w="5400" w:type="dxa"/>
          </w:tcPr>
          <w:p w14:paraId="49D65111" w14:textId="77777777" w:rsidR="008F5DD0" w:rsidRPr="00C90461" w:rsidRDefault="008F5DD0" w:rsidP="00C20CA5">
            <w:pPr>
              <w:spacing w:after="120" w:line="240" w:lineRule="auto"/>
              <w:jc w:val="left"/>
              <w:rPr>
                <w:lang w:val="es-ES_tradnl"/>
              </w:rPr>
            </w:pPr>
            <w:r w:rsidRPr="00C90461">
              <w:rPr>
                <w:lang w:val="es-ES_tradnl"/>
              </w:rPr>
              <w:t xml:space="preserve">práctica u orientaciones de la oficina </w:t>
            </w:r>
          </w:p>
        </w:tc>
        <w:tc>
          <w:tcPr>
            <w:tcW w:w="3075" w:type="dxa"/>
          </w:tcPr>
          <w:p w14:paraId="3DF0D4D0" w14:textId="77777777" w:rsidR="008F5DD0" w:rsidRPr="00C90461" w:rsidRDefault="008F5DD0" w:rsidP="00C20CA5">
            <w:pPr>
              <w:spacing w:after="120" w:line="240" w:lineRule="auto"/>
              <w:jc w:val="left"/>
              <w:rPr>
                <w:lang w:val="es-ES_tradnl"/>
              </w:rPr>
            </w:pPr>
            <w:r w:rsidRPr="00C90461">
              <w:rPr>
                <w:lang w:val="es-ES_tradnl"/>
              </w:rPr>
              <w:t xml:space="preserve">1 </w:t>
            </w:r>
          </w:p>
        </w:tc>
      </w:tr>
      <w:tr w:rsidR="008F5DD0" w:rsidRPr="00C90461" w14:paraId="786B61D1" w14:textId="77777777" w:rsidTr="00C20CA5">
        <w:tc>
          <w:tcPr>
            <w:tcW w:w="5400" w:type="dxa"/>
          </w:tcPr>
          <w:p w14:paraId="1E4A1C65" w14:textId="77777777" w:rsidR="008F5DD0" w:rsidRPr="00C90461" w:rsidRDefault="008F5DD0" w:rsidP="00C20CA5">
            <w:pPr>
              <w:spacing w:after="120" w:line="240" w:lineRule="auto"/>
              <w:jc w:val="left"/>
              <w:rPr>
                <w:lang w:val="es-ES_tradnl"/>
              </w:rPr>
            </w:pPr>
            <w:r w:rsidRPr="00C90461">
              <w:rPr>
                <w:lang w:val="es-ES_tradnl"/>
              </w:rPr>
              <w:t xml:space="preserve">Totales </w:t>
            </w:r>
          </w:p>
        </w:tc>
        <w:tc>
          <w:tcPr>
            <w:tcW w:w="3075" w:type="dxa"/>
          </w:tcPr>
          <w:p w14:paraId="1C2FFF8C" w14:textId="77777777" w:rsidR="008F5DD0" w:rsidRPr="00C90461" w:rsidRDefault="008F5DD0" w:rsidP="00C20CA5">
            <w:pPr>
              <w:spacing w:after="120" w:line="240" w:lineRule="auto"/>
              <w:jc w:val="left"/>
              <w:rPr>
                <w:lang w:val="es-ES_tradnl"/>
              </w:rPr>
            </w:pPr>
            <w:r w:rsidRPr="00C90461">
              <w:rPr>
                <w:lang w:val="es-ES_tradnl"/>
              </w:rPr>
              <w:t xml:space="preserve">3 </w:t>
            </w:r>
          </w:p>
        </w:tc>
      </w:tr>
    </w:tbl>
    <w:p w14:paraId="4A948576" w14:textId="77777777" w:rsidR="008F5DD0" w:rsidRPr="00C90461" w:rsidRDefault="008F5DD0" w:rsidP="00C20CA5">
      <w:pPr>
        <w:spacing w:after="120"/>
        <w:jc w:val="left"/>
        <w:rPr>
          <w:rFonts w:eastAsia="Arial Unicode MS" w:cs="Arial"/>
          <w:b/>
          <w:bCs/>
          <w:sz w:val="8"/>
          <w:szCs w:val="8"/>
          <w:lang w:val="es-ES_tradnl"/>
        </w:rPr>
      </w:pPr>
      <w:bookmarkStart w:id="22" w:name="_Toc12"/>
    </w:p>
    <w:p w14:paraId="3ED0E77E"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Comentarios:</w:t>
      </w:r>
      <w:bookmarkEnd w:id="22"/>
    </w:p>
    <w:tbl>
      <w:tblPr>
        <w:tblStyle w:val="table"/>
        <w:tblW w:w="9393" w:type="dxa"/>
        <w:tblInd w:w="80" w:type="dxa"/>
        <w:tblLook w:val="04A0" w:firstRow="1" w:lastRow="0" w:firstColumn="1" w:lastColumn="0" w:noHBand="0" w:noVBand="1"/>
      </w:tblPr>
      <w:tblGrid>
        <w:gridCol w:w="9393"/>
      </w:tblGrid>
      <w:tr w:rsidR="008F5DD0" w:rsidRPr="00C90461" w14:paraId="123138DF" w14:textId="77777777" w:rsidTr="005A1C08">
        <w:tc>
          <w:tcPr>
            <w:tcW w:w="9393" w:type="dxa"/>
          </w:tcPr>
          <w:p w14:paraId="6F4DAEA1" w14:textId="7144C50B" w:rsidR="008F5DD0" w:rsidRPr="00C90461" w:rsidRDefault="008F5DD0" w:rsidP="00C20CA5">
            <w:pPr>
              <w:spacing w:after="60" w:line="240" w:lineRule="auto"/>
              <w:jc w:val="left"/>
              <w:rPr>
                <w:lang w:val="es-ES_tradnl"/>
              </w:rPr>
            </w:pPr>
            <w:r w:rsidRPr="00C90461">
              <w:rPr>
                <w:lang w:val="es-ES_tradnl"/>
              </w:rPr>
              <w:t xml:space="preserve">Los requisitos son una política interna, no están establecidos y se interpretan para cada binomio de variedad-solicitud. </w:t>
            </w:r>
          </w:p>
        </w:tc>
      </w:tr>
      <w:tr w:rsidR="008F5DD0" w:rsidRPr="00C90461" w14:paraId="3D2B8A3C" w14:textId="77777777" w:rsidTr="005A1C08">
        <w:tc>
          <w:tcPr>
            <w:tcW w:w="9393" w:type="dxa"/>
          </w:tcPr>
          <w:p w14:paraId="055F8986" w14:textId="77777777" w:rsidR="008F5DD0" w:rsidRPr="00C90461" w:rsidRDefault="008F5DD0" w:rsidP="00C20CA5">
            <w:pPr>
              <w:spacing w:after="60" w:line="240" w:lineRule="auto"/>
              <w:jc w:val="left"/>
              <w:rPr>
                <w:lang w:val="es-ES_tradnl"/>
              </w:rPr>
            </w:pPr>
            <w:r w:rsidRPr="00C90461">
              <w:rPr>
                <w:lang w:val="es-ES_tradnl"/>
              </w:rPr>
              <w:t xml:space="preserve">El requisito anterior consta en los protocolos DHE que se publican en un sitio web gubernamental. </w:t>
            </w:r>
          </w:p>
        </w:tc>
      </w:tr>
      <w:tr w:rsidR="008F5DD0" w:rsidRPr="00C90461" w14:paraId="505AC78B" w14:textId="77777777" w:rsidTr="005A1C08">
        <w:tc>
          <w:tcPr>
            <w:tcW w:w="9393" w:type="dxa"/>
          </w:tcPr>
          <w:p w14:paraId="4A62EE3F" w14:textId="77777777" w:rsidR="008F5DD0" w:rsidRPr="00C90461" w:rsidRDefault="008F5DD0" w:rsidP="00C20CA5">
            <w:pPr>
              <w:spacing w:after="60" w:line="240" w:lineRule="auto"/>
              <w:jc w:val="left"/>
              <w:rPr>
                <w:lang w:val="es-ES_tradnl"/>
              </w:rPr>
            </w:pPr>
            <w:r w:rsidRPr="00C90461">
              <w:rPr>
                <w:lang w:val="es-ES_tradnl"/>
              </w:rPr>
              <w:t xml:space="preserve">véanse las especificaciones en 3.1. </w:t>
            </w:r>
          </w:p>
        </w:tc>
      </w:tr>
      <w:tr w:rsidR="008F5DD0" w:rsidRPr="00C90461" w14:paraId="0D2CD4F7" w14:textId="77777777" w:rsidTr="005A1C08">
        <w:tc>
          <w:tcPr>
            <w:tcW w:w="9393" w:type="dxa"/>
          </w:tcPr>
          <w:p w14:paraId="45A60579" w14:textId="77777777" w:rsidR="008F5DD0" w:rsidRPr="00C90461" w:rsidRDefault="008F5DD0" w:rsidP="00C20CA5">
            <w:pPr>
              <w:spacing w:after="60"/>
              <w:jc w:val="left"/>
              <w:rPr>
                <w:lang w:val="es-ES_tradnl"/>
              </w:rPr>
            </w:pPr>
            <w:r w:rsidRPr="00C90461">
              <w:rPr>
                <w:lang w:val="es-ES_tradnl"/>
              </w:rPr>
              <w:t xml:space="preserve">En general el Consejo sobre Obtenciones Vegetales de Noruega acepta informes de los exámenes DHE de otro miembro de la UPOV. Noruega ya no realiza exámenes DHE; dependemos de la aceptación de informes de los exámenes DHE de otros países. </w:t>
            </w:r>
          </w:p>
        </w:tc>
      </w:tr>
      <w:tr w:rsidR="008F5DD0" w:rsidRPr="00C90461" w14:paraId="7D630B20" w14:textId="77777777" w:rsidTr="005A1C08">
        <w:tc>
          <w:tcPr>
            <w:tcW w:w="9393" w:type="dxa"/>
          </w:tcPr>
          <w:p w14:paraId="0BF2D1B0" w14:textId="77777777" w:rsidR="008F5DD0" w:rsidRPr="00C90461" w:rsidRDefault="008F5DD0" w:rsidP="00C20CA5">
            <w:pPr>
              <w:spacing w:after="60" w:line="240" w:lineRule="auto"/>
              <w:jc w:val="left"/>
              <w:rPr>
                <w:lang w:val="es-ES_tradnl"/>
              </w:rPr>
            </w:pPr>
            <w:r w:rsidRPr="00C90461">
              <w:rPr>
                <w:lang w:val="es-ES_tradnl"/>
              </w:rPr>
              <w:lastRenderedPageBreak/>
              <w:t xml:space="preserve">No se estipula en ninguna parte. No tenemos directrices concretas sobre aceptación de informes DHE extranjeros. </w:t>
            </w:r>
          </w:p>
        </w:tc>
      </w:tr>
    </w:tbl>
    <w:p w14:paraId="5BAEC1AF" w14:textId="77777777" w:rsidR="008F5DD0" w:rsidRPr="00C90461" w:rsidRDefault="008F5DD0" w:rsidP="008F5DD0">
      <w:pPr>
        <w:spacing w:after="160" w:line="259" w:lineRule="auto"/>
        <w:jc w:val="left"/>
        <w:rPr>
          <w:rFonts w:eastAsia="Arial Unicode MS" w:cs="Arial"/>
          <w:b/>
          <w:bCs/>
          <w:lang w:val="es-ES_tradnl"/>
        </w:rPr>
      </w:pPr>
      <w:bookmarkStart w:id="23" w:name="_Toc13"/>
    </w:p>
    <w:p w14:paraId="5A49488A" w14:textId="77777777" w:rsidR="008F5DD0" w:rsidRPr="00C90461" w:rsidRDefault="008F5DD0" w:rsidP="008F5DD0">
      <w:pPr>
        <w:spacing w:after="160" w:line="259" w:lineRule="auto"/>
        <w:jc w:val="left"/>
        <w:rPr>
          <w:rFonts w:eastAsia="Arial Unicode MS" w:cs="Arial"/>
          <w:b/>
          <w:bCs/>
          <w:lang w:val="es-ES_tradnl"/>
        </w:rPr>
      </w:pPr>
      <w:bookmarkStart w:id="24" w:name="_Toc23"/>
      <w:bookmarkEnd w:id="23"/>
      <w:r w:rsidRPr="00C90461">
        <w:rPr>
          <w:b/>
          <w:lang w:val="es-ES_tradnl"/>
        </w:rPr>
        <w:t>4. ¿Acepta su país/</w:t>
      </w:r>
      <w:proofErr w:type="gramStart"/>
      <w:r w:rsidRPr="00C90461">
        <w:rPr>
          <w:b/>
          <w:lang w:val="es-ES_tradnl"/>
        </w:rPr>
        <w:t>organización informes</w:t>
      </w:r>
      <w:proofErr w:type="gramEnd"/>
      <w:r w:rsidRPr="00C90461">
        <w:rPr>
          <w:b/>
          <w:lang w:val="es-ES_tradnl"/>
        </w:rPr>
        <w:t xml:space="preserve"> de examen DHE cuando las descripciones de las variedades no se ajustan a los caracteres de las directrices de examen de la UPOV?</w:t>
      </w:r>
      <w:bookmarkEnd w:id="24"/>
    </w:p>
    <w:p w14:paraId="4870BA89" w14:textId="77777777" w:rsidR="008F5DD0" w:rsidRPr="00C90461" w:rsidRDefault="008F5DD0" w:rsidP="00C20CA5">
      <w:pPr>
        <w:spacing w:after="120"/>
        <w:jc w:val="left"/>
        <w:rPr>
          <w:rFonts w:eastAsia="Arial" w:cs="Arial"/>
          <w:lang w:val="es-ES_tradnl"/>
        </w:rPr>
      </w:pPr>
      <w:r w:rsidRPr="00C90461">
        <w:rPr>
          <w:lang w:val="es-ES_tradnl" w:eastAsia="es-ES"/>
        </w:rPr>
        <w:drawing>
          <wp:inline distT="0" distB="0" distL="0" distR="0" wp14:anchorId="7F09B86A" wp14:editId="32F4B0F8">
            <wp:extent cx="5499735" cy="1658679"/>
            <wp:effectExtent l="0" t="0" r="5715" b="0"/>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1557C704" w14:textId="77777777" w:rsidTr="000759D0">
        <w:tc>
          <w:tcPr>
            <w:tcW w:w="3120" w:type="dxa"/>
          </w:tcPr>
          <w:p w14:paraId="27B102E5" w14:textId="77777777" w:rsidR="008F5DD0" w:rsidRPr="00C90461" w:rsidRDefault="008F5DD0" w:rsidP="00C20CA5">
            <w:pPr>
              <w:spacing w:after="120" w:line="240" w:lineRule="auto"/>
              <w:jc w:val="left"/>
              <w:rPr>
                <w:lang w:val="es-ES_tradnl"/>
              </w:rPr>
            </w:pPr>
            <w:r w:rsidRPr="00C90461">
              <w:rPr>
                <w:lang w:val="es-ES_tradnl"/>
              </w:rPr>
              <w:t xml:space="preserve">Valor </w:t>
            </w:r>
          </w:p>
        </w:tc>
        <w:tc>
          <w:tcPr>
            <w:tcW w:w="3120" w:type="dxa"/>
          </w:tcPr>
          <w:p w14:paraId="4CC8DEF6" w14:textId="77777777" w:rsidR="008F5DD0" w:rsidRPr="00C90461" w:rsidRDefault="008F5DD0" w:rsidP="00C20CA5">
            <w:pPr>
              <w:spacing w:after="120" w:line="240" w:lineRule="auto"/>
              <w:jc w:val="left"/>
              <w:rPr>
                <w:lang w:val="es-ES_tradnl"/>
              </w:rPr>
            </w:pPr>
            <w:r w:rsidRPr="00C90461">
              <w:rPr>
                <w:lang w:val="es-ES_tradnl"/>
              </w:rPr>
              <w:t xml:space="preserve">Porcentaje </w:t>
            </w:r>
          </w:p>
        </w:tc>
        <w:tc>
          <w:tcPr>
            <w:tcW w:w="3120" w:type="dxa"/>
          </w:tcPr>
          <w:p w14:paraId="511E600E" w14:textId="77777777" w:rsidR="008F5DD0" w:rsidRPr="00C90461" w:rsidRDefault="008F5DD0" w:rsidP="00C20CA5">
            <w:pPr>
              <w:spacing w:after="120" w:line="240" w:lineRule="auto"/>
              <w:jc w:val="left"/>
              <w:rPr>
                <w:lang w:val="es-ES_tradnl"/>
              </w:rPr>
            </w:pPr>
            <w:r w:rsidRPr="00C90461">
              <w:rPr>
                <w:lang w:val="es-ES_tradnl"/>
              </w:rPr>
              <w:t xml:space="preserve">Número </w:t>
            </w:r>
          </w:p>
        </w:tc>
      </w:tr>
      <w:tr w:rsidR="008F5DD0" w:rsidRPr="00C90461" w14:paraId="511F1997" w14:textId="77777777" w:rsidTr="000759D0">
        <w:tc>
          <w:tcPr>
            <w:tcW w:w="3120" w:type="dxa"/>
          </w:tcPr>
          <w:p w14:paraId="637A9455" w14:textId="77777777" w:rsidR="008F5DD0" w:rsidRPr="00C90461" w:rsidRDefault="008F5DD0" w:rsidP="00C20CA5">
            <w:pPr>
              <w:spacing w:after="120" w:line="240" w:lineRule="auto"/>
              <w:jc w:val="left"/>
              <w:rPr>
                <w:lang w:val="es-ES_tradnl"/>
              </w:rPr>
            </w:pPr>
            <w:r w:rsidRPr="00C90461">
              <w:rPr>
                <w:lang w:val="es-ES_tradnl"/>
              </w:rPr>
              <w:t xml:space="preserve">Sí </w:t>
            </w:r>
          </w:p>
        </w:tc>
        <w:tc>
          <w:tcPr>
            <w:tcW w:w="3120" w:type="dxa"/>
          </w:tcPr>
          <w:p w14:paraId="70995D56" w14:textId="77777777" w:rsidR="008F5DD0" w:rsidRPr="00C90461" w:rsidRDefault="008F5DD0" w:rsidP="00C20CA5">
            <w:pPr>
              <w:spacing w:after="120" w:line="240" w:lineRule="auto"/>
              <w:jc w:val="left"/>
              <w:rPr>
                <w:lang w:val="es-ES_tradnl"/>
              </w:rPr>
            </w:pPr>
            <w:r w:rsidRPr="00C90461">
              <w:rPr>
                <w:lang w:val="es-ES_tradnl"/>
              </w:rPr>
              <w:t xml:space="preserve">30 % </w:t>
            </w:r>
          </w:p>
        </w:tc>
        <w:tc>
          <w:tcPr>
            <w:tcW w:w="3120" w:type="dxa"/>
          </w:tcPr>
          <w:p w14:paraId="469EB1FD" w14:textId="77777777" w:rsidR="008F5DD0" w:rsidRPr="00C90461" w:rsidRDefault="008F5DD0" w:rsidP="00C20CA5">
            <w:pPr>
              <w:spacing w:after="120" w:line="240" w:lineRule="auto"/>
              <w:jc w:val="left"/>
              <w:rPr>
                <w:lang w:val="es-ES_tradnl"/>
              </w:rPr>
            </w:pPr>
            <w:r w:rsidRPr="00C90461">
              <w:rPr>
                <w:lang w:val="es-ES_tradnl"/>
              </w:rPr>
              <w:t xml:space="preserve">13 </w:t>
            </w:r>
          </w:p>
        </w:tc>
      </w:tr>
      <w:tr w:rsidR="008F5DD0" w:rsidRPr="00C90461" w14:paraId="609180FD" w14:textId="77777777" w:rsidTr="000759D0">
        <w:tc>
          <w:tcPr>
            <w:tcW w:w="3120" w:type="dxa"/>
          </w:tcPr>
          <w:p w14:paraId="3125982A" w14:textId="77777777" w:rsidR="008F5DD0" w:rsidRPr="00C90461" w:rsidRDefault="008F5DD0" w:rsidP="00C20CA5">
            <w:pPr>
              <w:spacing w:after="120" w:line="240" w:lineRule="auto"/>
              <w:jc w:val="left"/>
              <w:rPr>
                <w:lang w:val="es-ES_tradnl"/>
              </w:rPr>
            </w:pPr>
            <w:r w:rsidRPr="00C90461">
              <w:rPr>
                <w:lang w:val="es-ES_tradnl"/>
              </w:rPr>
              <w:t xml:space="preserve">No </w:t>
            </w:r>
          </w:p>
        </w:tc>
        <w:tc>
          <w:tcPr>
            <w:tcW w:w="3120" w:type="dxa"/>
          </w:tcPr>
          <w:p w14:paraId="0A4B42BA" w14:textId="77777777" w:rsidR="008F5DD0" w:rsidRPr="00C90461" w:rsidRDefault="008F5DD0" w:rsidP="00C20CA5">
            <w:pPr>
              <w:spacing w:after="120" w:line="240" w:lineRule="auto"/>
              <w:jc w:val="left"/>
              <w:rPr>
                <w:lang w:val="es-ES_tradnl"/>
              </w:rPr>
            </w:pPr>
            <w:r w:rsidRPr="00C90461">
              <w:rPr>
                <w:lang w:val="es-ES_tradnl"/>
              </w:rPr>
              <w:t xml:space="preserve">70 % </w:t>
            </w:r>
          </w:p>
        </w:tc>
        <w:tc>
          <w:tcPr>
            <w:tcW w:w="3120" w:type="dxa"/>
          </w:tcPr>
          <w:p w14:paraId="044B8748" w14:textId="77777777" w:rsidR="008F5DD0" w:rsidRPr="00C90461" w:rsidRDefault="008F5DD0" w:rsidP="00C20CA5">
            <w:pPr>
              <w:spacing w:after="120" w:line="240" w:lineRule="auto"/>
              <w:jc w:val="left"/>
              <w:rPr>
                <w:lang w:val="es-ES_tradnl"/>
              </w:rPr>
            </w:pPr>
            <w:r w:rsidRPr="00C90461">
              <w:rPr>
                <w:lang w:val="es-ES_tradnl"/>
              </w:rPr>
              <w:t xml:space="preserve">30 </w:t>
            </w:r>
          </w:p>
        </w:tc>
      </w:tr>
      <w:tr w:rsidR="008F5DD0" w:rsidRPr="00C90461" w14:paraId="76483951" w14:textId="77777777" w:rsidTr="000759D0">
        <w:tc>
          <w:tcPr>
            <w:tcW w:w="3120" w:type="dxa"/>
          </w:tcPr>
          <w:p w14:paraId="490E4DB7" w14:textId="77777777" w:rsidR="008F5DD0" w:rsidRPr="00C90461" w:rsidRDefault="008F5DD0" w:rsidP="00C20CA5">
            <w:pPr>
              <w:spacing w:after="120" w:line="240" w:lineRule="auto"/>
              <w:jc w:val="left"/>
              <w:rPr>
                <w:lang w:val="es-ES_tradnl"/>
              </w:rPr>
            </w:pPr>
            <w:r w:rsidRPr="00C90461">
              <w:rPr>
                <w:lang w:val="es-ES_tradnl"/>
              </w:rPr>
              <w:t xml:space="preserve"> </w:t>
            </w:r>
          </w:p>
        </w:tc>
        <w:tc>
          <w:tcPr>
            <w:tcW w:w="3120" w:type="dxa"/>
          </w:tcPr>
          <w:p w14:paraId="44C83D39" w14:textId="77777777" w:rsidR="008F5DD0" w:rsidRPr="00C90461" w:rsidRDefault="008F5DD0" w:rsidP="00C20CA5">
            <w:pPr>
              <w:spacing w:after="120" w:line="240" w:lineRule="auto"/>
              <w:jc w:val="left"/>
              <w:rPr>
                <w:lang w:val="es-ES_tradnl"/>
              </w:rPr>
            </w:pPr>
            <w:r w:rsidRPr="00C90461">
              <w:rPr>
                <w:lang w:val="es-ES_tradnl"/>
              </w:rPr>
              <w:t xml:space="preserve">Totales </w:t>
            </w:r>
          </w:p>
        </w:tc>
        <w:tc>
          <w:tcPr>
            <w:tcW w:w="3120" w:type="dxa"/>
          </w:tcPr>
          <w:p w14:paraId="50E18215" w14:textId="77777777" w:rsidR="008F5DD0" w:rsidRPr="00C90461" w:rsidRDefault="008F5DD0" w:rsidP="00C20CA5">
            <w:pPr>
              <w:spacing w:after="120" w:line="240" w:lineRule="auto"/>
              <w:jc w:val="left"/>
              <w:rPr>
                <w:lang w:val="es-ES_tradnl"/>
              </w:rPr>
            </w:pPr>
            <w:r w:rsidRPr="00C90461">
              <w:rPr>
                <w:lang w:val="es-ES_tradnl"/>
              </w:rPr>
              <w:t xml:space="preserve">43 </w:t>
            </w:r>
          </w:p>
        </w:tc>
      </w:tr>
    </w:tbl>
    <w:p w14:paraId="4BCBC286" w14:textId="77777777" w:rsidR="008F5DD0" w:rsidRPr="00C90461" w:rsidRDefault="008F5DD0" w:rsidP="008F5DD0">
      <w:pPr>
        <w:spacing w:after="160" w:line="259" w:lineRule="auto"/>
        <w:jc w:val="left"/>
        <w:rPr>
          <w:rFonts w:eastAsia="Arial Unicode MS" w:cs="Arial"/>
          <w:b/>
          <w:bCs/>
          <w:lang w:val="es-ES_tradnl"/>
        </w:rPr>
      </w:pPr>
      <w:bookmarkStart w:id="25" w:name="_Toc24"/>
    </w:p>
    <w:p w14:paraId="62F2704F"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Comentarios:</w:t>
      </w:r>
      <w:bookmarkEnd w:id="25"/>
    </w:p>
    <w:tbl>
      <w:tblPr>
        <w:tblStyle w:val="table"/>
        <w:tblW w:w="0" w:type="auto"/>
        <w:tblInd w:w="80" w:type="dxa"/>
        <w:tblLook w:val="04A0" w:firstRow="1" w:lastRow="0" w:firstColumn="1" w:lastColumn="0" w:noHBand="0" w:noVBand="1"/>
      </w:tblPr>
      <w:tblGrid>
        <w:gridCol w:w="9393"/>
      </w:tblGrid>
      <w:tr w:rsidR="008F5DD0" w:rsidRPr="00C90461" w14:paraId="5E28D2ED" w14:textId="77777777" w:rsidTr="005A1C08">
        <w:tc>
          <w:tcPr>
            <w:tcW w:w="9393" w:type="dxa"/>
          </w:tcPr>
          <w:p w14:paraId="09CB7A8B" w14:textId="14F12F15" w:rsidR="008F5DD0" w:rsidRPr="00C90461" w:rsidRDefault="008F5DD0" w:rsidP="00C20CA5">
            <w:pPr>
              <w:spacing w:after="120" w:line="240" w:lineRule="auto"/>
              <w:jc w:val="left"/>
              <w:rPr>
                <w:lang w:val="es-ES_tradnl"/>
              </w:rPr>
            </w:pPr>
            <w:r w:rsidRPr="00C90461">
              <w:rPr>
                <w:lang w:val="es-ES_tradnl"/>
              </w:rPr>
              <w:t xml:space="preserve">La Oficina de Protección de las Obtenciones Vegetales de los Estados Unidos ha adoptado los caracteres de las directrices de examen de la UPOV para todas las variedades de reproducción asexuada y para la mayoría de las variedades reproducidas por semilla, excepto las 27 enumeradas en la pregunta 7. No podemos aceptar un informe de examen DHE que no siga las directrices de examen de la UPOV. </w:t>
            </w:r>
          </w:p>
        </w:tc>
      </w:tr>
      <w:tr w:rsidR="008F5DD0" w:rsidRPr="00C90461" w14:paraId="6CC0A4A7" w14:textId="77777777" w:rsidTr="005A1C08">
        <w:tc>
          <w:tcPr>
            <w:tcW w:w="9393" w:type="dxa"/>
          </w:tcPr>
          <w:p w14:paraId="5F30C349" w14:textId="347A6B2F" w:rsidR="008F5DD0" w:rsidRPr="00C90461" w:rsidRDefault="008F5DD0" w:rsidP="00C20CA5">
            <w:pPr>
              <w:spacing w:after="120" w:line="240" w:lineRule="auto"/>
              <w:jc w:val="left"/>
              <w:rPr>
                <w:lang w:val="es-ES_tradnl"/>
              </w:rPr>
            </w:pPr>
            <w:r w:rsidRPr="00C90461">
              <w:rPr>
                <w:lang w:val="es-ES_tradnl"/>
              </w:rPr>
              <w:t xml:space="preserve">Australia contempla aceptar informes en los siguientes casos: a. Un ensayo en cultivo realizado por un Estado miembro de la UPOV según las directrices de examen de la UPOV para el examen DHE; o b. Un ensayo en cultivo realizado por un Estado miembro de la UPOV según sus protocolos nacionales de examen armonizados para el examen DHE; o c. Un ensayo en cultivo realizado por un Estado ajeno a la UPOV según protocolos de examen armonizados con las directrices técnicas estándar de la UPOV para el examen DHE. </w:t>
            </w:r>
          </w:p>
        </w:tc>
      </w:tr>
      <w:tr w:rsidR="008F5DD0" w:rsidRPr="00C90461" w14:paraId="13F25D73" w14:textId="77777777" w:rsidTr="005A1C08">
        <w:tc>
          <w:tcPr>
            <w:tcW w:w="9393" w:type="dxa"/>
          </w:tcPr>
          <w:p w14:paraId="35799268" w14:textId="77777777" w:rsidR="008F5DD0" w:rsidRPr="00C90461" w:rsidRDefault="008F5DD0" w:rsidP="00C20CA5">
            <w:pPr>
              <w:spacing w:after="120" w:line="240" w:lineRule="auto"/>
              <w:jc w:val="left"/>
              <w:rPr>
                <w:lang w:val="es-ES_tradnl"/>
              </w:rPr>
            </w:pPr>
            <w:r w:rsidRPr="00C90461">
              <w:rPr>
                <w:lang w:val="es-ES_tradnl"/>
              </w:rPr>
              <w:t xml:space="preserve">Sí, si la OCVV cambia o modifica las directrices de examen </w:t>
            </w:r>
          </w:p>
        </w:tc>
      </w:tr>
      <w:tr w:rsidR="008F5DD0" w:rsidRPr="00C90461" w14:paraId="6435E6D3" w14:textId="77777777" w:rsidTr="005A1C08">
        <w:tc>
          <w:tcPr>
            <w:tcW w:w="9393" w:type="dxa"/>
          </w:tcPr>
          <w:p w14:paraId="53F7CB0F" w14:textId="5005722E" w:rsidR="008F5DD0" w:rsidRPr="00C90461" w:rsidRDefault="008F5DD0" w:rsidP="00C20CA5">
            <w:pPr>
              <w:spacing w:after="120" w:line="240" w:lineRule="auto"/>
              <w:jc w:val="left"/>
              <w:rPr>
                <w:lang w:val="es-ES_tradnl"/>
              </w:rPr>
            </w:pPr>
            <w:r w:rsidRPr="00C90461">
              <w:rPr>
                <w:lang w:val="es-ES_tradnl"/>
              </w:rPr>
              <w:t xml:space="preserve">Se valida el informe contrastándolo con las directrices de examen de la UPOV. </w:t>
            </w:r>
          </w:p>
        </w:tc>
      </w:tr>
      <w:tr w:rsidR="008F5DD0" w:rsidRPr="00C90461" w14:paraId="275C3FC4" w14:textId="77777777" w:rsidTr="005A1C08">
        <w:tc>
          <w:tcPr>
            <w:tcW w:w="9393" w:type="dxa"/>
          </w:tcPr>
          <w:p w14:paraId="02E50778" w14:textId="77777777" w:rsidR="008F5DD0" w:rsidRPr="00C90461" w:rsidRDefault="008F5DD0" w:rsidP="00C20CA5">
            <w:pPr>
              <w:spacing w:after="120" w:line="240" w:lineRule="auto"/>
              <w:jc w:val="left"/>
              <w:rPr>
                <w:lang w:val="es-ES_tradnl"/>
              </w:rPr>
            </w:pPr>
            <w:r w:rsidRPr="00C90461">
              <w:rPr>
                <w:lang w:val="es-ES_tradnl"/>
              </w:rPr>
              <w:t xml:space="preserve">En general concuerdan. </w:t>
            </w:r>
          </w:p>
        </w:tc>
      </w:tr>
      <w:tr w:rsidR="008F5DD0" w:rsidRPr="00C90461" w14:paraId="3E72F5B3" w14:textId="77777777" w:rsidTr="005A1C08">
        <w:tc>
          <w:tcPr>
            <w:tcW w:w="9393" w:type="dxa"/>
          </w:tcPr>
          <w:p w14:paraId="19070C63" w14:textId="77777777" w:rsidR="008F5DD0" w:rsidRPr="00C90461" w:rsidRDefault="008F5DD0" w:rsidP="00C20CA5">
            <w:pPr>
              <w:spacing w:after="120" w:line="240" w:lineRule="auto"/>
              <w:jc w:val="left"/>
              <w:rPr>
                <w:lang w:val="es-ES_tradnl"/>
              </w:rPr>
            </w:pPr>
            <w:r w:rsidRPr="00C90461">
              <w:rPr>
                <w:lang w:val="es-ES_tradnl"/>
              </w:rPr>
              <w:t xml:space="preserve">Por lo general, no. Pero, es una posibilidad si no hay directrices de examen de la UPOV para un determinado cultivo o si el protocolo de examen de la OCVV varía en este aspecto. </w:t>
            </w:r>
          </w:p>
        </w:tc>
      </w:tr>
      <w:tr w:rsidR="008F5DD0" w:rsidRPr="00C90461" w14:paraId="0F6DE1E0" w14:textId="77777777" w:rsidTr="005A1C08">
        <w:tc>
          <w:tcPr>
            <w:tcW w:w="9393" w:type="dxa"/>
          </w:tcPr>
          <w:p w14:paraId="5B48B5A8" w14:textId="77777777" w:rsidR="008F5DD0" w:rsidRPr="00C90461" w:rsidRDefault="008F5DD0" w:rsidP="00C91F15">
            <w:pPr>
              <w:keepLines/>
              <w:spacing w:after="120" w:line="240" w:lineRule="auto"/>
              <w:jc w:val="left"/>
              <w:rPr>
                <w:lang w:val="es-ES_tradnl"/>
              </w:rPr>
            </w:pPr>
            <w:r w:rsidRPr="00C90461">
              <w:rPr>
                <w:lang w:val="es-ES_tradnl"/>
              </w:rPr>
              <w:lastRenderedPageBreak/>
              <w:t xml:space="preserve">para los géneros o especies del cuadro </w:t>
            </w:r>
            <w:r w:rsidRPr="00C90461">
              <w:rPr>
                <w:i/>
                <w:iCs/>
                <w:lang w:val="es-ES_tradnl"/>
              </w:rPr>
              <w:t xml:space="preserve">Triticum </w:t>
            </w:r>
            <w:proofErr w:type="spellStart"/>
            <w:r w:rsidRPr="00C90461">
              <w:rPr>
                <w:i/>
                <w:iCs/>
                <w:lang w:val="es-ES_tradnl"/>
              </w:rPr>
              <w:t>aestivum</w:t>
            </w:r>
            <w:proofErr w:type="spellEnd"/>
            <w:r w:rsidRPr="00C90461">
              <w:rPr>
                <w:lang w:val="es-ES_tradnl"/>
              </w:rPr>
              <w:t xml:space="preserve"> L. </w:t>
            </w:r>
            <w:proofErr w:type="spellStart"/>
            <w:r w:rsidRPr="00C90461">
              <w:rPr>
                <w:lang w:val="es-ES_tradnl"/>
              </w:rPr>
              <w:t>emend</w:t>
            </w:r>
            <w:proofErr w:type="spellEnd"/>
            <w:r w:rsidRPr="00C90461">
              <w:rPr>
                <w:lang w:val="es-ES_tradnl"/>
              </w:rPr>
              <w:t xml:space="preserve"> Fiori et </w:t>
            </w:r>
            <w:proofErr w:type="spellStart"/>
            <w:r w:rsidRPr="00C90461">
              <w:rPr>
                <w:lang w:val="es-ES_tradnl"/>
              </w:rPr>
              <w:t>Paol</w:t>
            </w:r>
            <w:proofErr w:type="spellEnd"/>
            <w:r w:rsidRPr="00C90461">
              <w:rPr>
                <w:lang w:val="es-ES_tradnl"/>
              </w:rPr>
              <w:t xml:space="preserve">. </w:t>
            </w:r>
            <w:r w:rsidRPr="00C90461">
              <w:rPr>
                <w:i/>
                <w:iCs/>
                <w:lang w:val="es-ES_tradnl"/>
              </w:rPr>
              <w:t xml:space="preserve">Triticum </w:t>
            </w:r>
            <w:proofErr w:type="spellStart"/>
            <w:r w:rsidRPr="00C90461">
              <w:rPr>
                <w:i/>
                <w:iCs/>
                <w:lang w:val="es-ES_tradnl"/>
              </w:rPr>
              <w:t>durum</w:t>
            </w:r>
            <w:proofErr w:type="spellEnd"/>
            <w:r w:rsidRPr="00C90461">
              <w:rPr>
                <w:lang w:val="es-ES_tradnl"/>
              </w:rPr>
              <w:t xml:space="preserve"> </w:t>
            </w:r>
            <w:proofErr w:type="spellStart"/>
            <w:r w:rsidRPr="00C90461">
              <w:rPr>
                <w:lang w:val="es-ES_tradnl"/>
              </w:rPr>
              <w:t>Desf</w:t>
            </w:r>
            <w:proofErr w:type="spellEnd"/>
            <w:r w:rsidRPr="00C90461">
              <w:rPr>
                <w:lang w:val="es-ES_tradnl"/>
              </w:rPr>
              <w:t xml:space="preserve">., </w:t>
            </w:r>
            <w:proofErr w:type="spellStart"/>
            <w:r w:rsidRPr="00C90461">
              <w:rPr>
                <w:i/>
                <w:iCs/>
                <w:lang w:val="es-ES_tradnl"/>
              </w:rPr>
              <w:t>Secale</w:t>
            </w:r>
            <w:proofErr w:type="spellEnd"/>
            <w:r w:rsidRPr="00C90461">
              <w:rPr>
                <w:i/>
                <w:iCs/>
                <w:lang w:val="es-ES_tradnl"/>
              </w:rPr>
              <w:t xml:space="preserve"> </w:t>
            </w:r>
            <w:proofErr w:type="spellStart"/>
            <w:r w:rsidRPr="00C90461">
              <w:rPr>
                <w:i/>
                <w:iCs/>
                <w:lang w:val="es-ES_tradnl"/>
              </w:rPr>
              <w:t>cereale</w:t>
            </w:r>
            <w:proofErr w:type="spellEnd"/>
            <w:r w:rsidRPr="00C90461">
              <w:rPr>
                <w:lang w:val="es-ES_tradnl"/>
              </w:rPr>
              <w:t xml:space="preserve"> L. ×</w:t>
            </w:r>
            <w:proofErr w:type="spellStart"/>
            <w:r w:rsidRPr="00C90461">
              <w:rPr>
                <w:i/>
                <w:iCs/>
                <w:lang w:val="es-ES_tradnl"/>
              </w:rPr>
              <w:t>Triticosecale</w:t>
            </w:r>
            <w:proofErr w:type="spellEnd"/>
            <w:r w:rsidRPr="00C90461">
              <w:rPr>
                <w:lang w:val="es-ES_tradnl"/>
              </w:rPr>
              <w:t xml:space="preserve"> </w:t>
            </w:r>
            <w:proofErr w:type="spellStart"/>
            <w:r w:rsidRPr="00C90461">
              <w:rPr>
                <w:lang w:val="es-ES_tradnl"/>
              </w:rPr>
              <w:t>Wittm</w:t>
            </w:r>
            <w:proofErr w:type="spellEnd"/>
            <w:r w:rsidRPr="00C90461">
              <w:rPr>
                <w:lang w:val="es-ES_tradnl"/>
              </w:rPr>
              <w:t xml:space="preserve">., </w:t>
            </w:r>
            <w:proofErr w:type="spellStart"/>
            <w:r w:rsidRPr="00C90461">
              <w:rPr>
                <w:i/>
                <w:iCs/>
                <w:lang w:val="es-ES_tradnl"/>
              </w:rPr>
              <w:t>Hordeum</w:t>
            </w:r>
            <w:proofErr w:type="spellEnd"/>
            <w:r w:rsidRPr="00C90461">
              <w:rPr>
                <w:i/>
                <w:iCs/>
                <w:lang w:val="es-ES_tradnl"/>
              </w:rPr>
              <w:t xml:space="preserve"> </w:t>
            </w:r>
            <w:proofErr w:type="spellStart"/>
            <w:r w:rsidRPr="00C90461">
              <w:rPr>
                <w:i/>
                <w:iCs/>
                <w:lang w:val="es-ES_tradnl"/>
              </w:rPr>
              <w:t>vulgare</w:t>
            </w:r>
            <w:proofErr w:type="spellEnd"/>
            <w:r w:rsidRPr="00C90461">
              <w:rPr>
                <w:lang w:val="es-ES_tradnl"/>
              </w:rPr>
              <w:t xml:space="preserve"> L. en sentido amplio, </w:t>
            </w:r>
            <w:proofErr w:type="spellStart"/>
            <w:r w:rsidRPr="00C90461">
              <w:rPr>
                <w:i/>
                <w:iCs/>
                <w:lang w:val="es-ES_tradnl"/>
              </w:rPr>
              <w:t>Fagopyrum</w:t>
            </w:r>
            <w:proofErr w:type="spellEnd"/>
            <w:r w:rsidRPr="00C90461">
              <w:rPr>
                <w:i/>
                <w:iCs/>
                <w:lang w:val="es-ES_tradnl"/>
              </w:rPr>
              <w:t xml:space="preserve"> </w:t>
            </w:r>
            <w:proofErr w:type="spellStart"/>
            <w:r w:rsidRPr="00C90461">
              <w:rPr>
                <w:i/>
                <w:iCs/>
                <w:lang w:val="es-ES_tradnl"/>
              </w:rPr>
              <w:t>esculentum</w:t>
            </w:r>
            <w:proofErr w:type="spellEnd"/>
            <w:r w:rsidRPr="00C90461">
              <w:rPr>
                <w:lang w:val="es-ES_tradnl"/>
              </w:rPr>
              <w:t xml:space="preserve"> Moench, </w:t>
            </w:r>
            <w:r w:rsidRPr="00C90461">
              <w:rPr>
                <w:i/>
                <w:iCs/>
                <w:lang w:val="es-ES_tradnl"/>
              </w:rPr>
              <w:t xml:space="preserve">Zea </w:t>
            </w:r>
            <w:proofErr w:type="spellStart"/>
            <w:r w:rsidRPr="00C90461">
              <w:rPr>
                <w:i/>
                <w:iCs/>
                <w:lang w:val="es-ES_tradnl"/>
              </w:rPr>
              <w:t>mays</w:t>
            </w:r>
            <w:proofErr w:type="spellEnd"/>
            <w:r w:rsidRPr="00C90461">
              <w:rPr>
                <w:lang w:val="es-ES_tradnl"/>
              </w:rPr>
              <w:t xml:space="preserve"> L., </w:t>
            </w:r>
            <w:r w:rsidRPr="00C90461">
              <w:rPr>
                <w:i/>
                <w:iCs/>
                <w:lang w:val="es-ES_tradnl"/>
              </w:rPr>
              <w:t>Avena nuda</w:t>
            </w:r>
            <w:r w:rsidRPr="00C90461">
              <w:rPr>
                <w:lang w:val="es-ES_tradnl"/>
              </w:rPr>
              <w:t xml:space="preserve"> L., </w:t>
            </w:r>
            <w:r w:rsidRPr="00C90461">
              <w:rPr>
                <w:i/>
                <w:iCs/>
                <w:lang w:val="es-ES_tradnl"/>
              </w:rPr>
              <w:t>Avena sativa</w:t>
            </w:r>
            <w:r w:rsidRPr="00C90461">
              <w:rPr>
                <w:lang w:val="es-ES_tradnl"/>
              </w:rPr>
              <w:t xml:space="preserve"> L. </w:t>
            </w:r>
            <w:proofErr w:type="spellStart"/>
            <w:r w:rsidRPr="00C90461">
              <w:rPr>
                <w:i/>
                <w:iCs/>
                <w:lang w:val="es-ES_tradnl"/>
              </w:rPr>
              <w:t>Pisum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en sentido amplio,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luteus</w:t>
            </w:r>
            <w:proofErr w:type="spellEnd"/>
            <w:r w:rsidRPr="00C90461">
              <w:rPr>
                <w:lang w:val="es-ES_tradnl"/>
              </w:rPr>
              <w:t xml:space="preserve"> L.,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angustifolius</w:t>
            </w:r>
            <w:proofErr w:type="spellEnd"/>
            <w:r w:rsidRPr="00C90461">
              <w:rPr>
                <w:lang w:val="es-ES_tradnl"/>
              </w:rPr>
              <w:t xml:space="preserve"> L., </w:t>
            </w:r>
            <w:proofErr w:type="spellStart"/>
            <w:r w:rsidRPr="00C90461">
              <w:rPr>
                <w:i/>
                <w:iCs/>
                <w:lang w:val="es-ES_tradnl"/>
              </w:rPr>
              <w:t>Glycine</w:t>
            </w:r>
            <w:proofErr w:type="spellEnd"/>
            <w:r w:rsidRPr="00C90461">
              <w:rPr>
                <w:i/>
                <w:iCs/>
                <w:lang w:val="es-ES_tradnl"/>
              </w:rPr>
              <w:t xml:space="preserve"> </w:t>
            </w:r>
            <w:proofErr w:type="spellStart"/>
            <w:r w:rsidRPr="00C90461">
              <w:rPr>
                <w:i/>
                <w:iCs/>
                <w:lang w:val="es-ES_tradnl"/>
              </w:rPr>
              <w:t>max</w:t>
            </w:r>
            <w:proofErr w:type="spellEnd"/>
            <w:r w:rsidRPr="00C90461">
              <w:rPr>
                <w:lang w:val="es-ES_tradnl"/>
              </w:rPr>
              <w:t xml:space="preserve"> (L.) </w:t>
            </w:r>
            <w:proofErr w:type="spellStart"/>
            <w:r w:rsidRPr="00C90461">
              <w:rPr>
                <w:lang w:val="es-ES_tradnl"/>
              </w:rPr>
              <w:t>Merr</w:t>
            </w:r>
            <w:proofErr w:type="spellEnd"/>
            <w:r w:rsidRPr="00C90461">
              <w:rPr>
                <w:lang w:val="es-ES_tradnl"/>
              </w:rPr>
              <w:t xml:space="preserve">., </w:t>
            </w:r>
            <w:proofErr w:type="spellStart"/>
            <w:r w:rsidRPr="00C90461">
              <w:rPr>
                <w:i/>
                <w:iCs/>
                <w:lang w:val="es-ES_tradnl"/>
              </w:rPr>
              <w:t>Cucumis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L. f. </w:t>
            </w:r>
            <w:r w:rsidRPr="00C90461">
              <w:rPr>
                <w:i/>
                <w:iCs/>
                <w:lang w:val="es-ES_tradnl"/>
              </w:rPr>
              <w:t>alba</w:t>
            </w:r>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w:t>
            </w:r>
            <w:proofErr w:type="spellStart"/>
            <w:r w:rsidRPr="00C90461">
              <w:rPr>
                <w:lang w:val="es-ES_tradnl"/>
              </w:rPr>
              <w:t>L.f</w:t>
            </w:r>
            <w:proofErr w:type="spellEnd"/>
            <w:r w:rsidRPr="00C90461">
              <w:rPr>
                <w:lang w:val="es-ES_tradnl"/>
              </w:rPr>
              <w:t xml:space="preserve">. </w:t>
            </w:r>
            <w:r w:rsidRPr="00C90461">
              <w:rPr>
                <w:i/>
                <w:iCs/>
                <w:lang w:val="es-ES_tradnl"/>
              </w:rPr>
              <w:t>rubra</w:t>
            </w:r>
            <w:r w:rsidRPr="00C90461">
              <w:rPr>
                <w:lang w:val="es-ES_tradnl"/>
              </w:rPr>
              <w:t xml:space="preserve"> (L.) </w:t>
            </w:r>
            <w:proofErr w:type="spellStart"/>
            <w:r w:rsidRPr="00C90461">
              <w:rPr>
                <w:lang w:val="es-ES_tradnl"/>
              </w:rPr>
              <w:t>Thell</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sabauda</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convar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(L.) </w:t>
            </w:r>
            <w:proofErr w:type="spellStart"/>
            <w:r w:rsidRPr="00C90461">
              <w:rPr>
                <w:lang w:val="es-ES_tradnl"/>
              </w:rPr>
              <w:t>Alef</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cymosa</w:t>
            </w:r>
            <w:proofErr w:type="spellEnd"/>
            <w:r w:rsidRPr="00C90461">
              <w:rPr>
                <w:lang w:val="es-ES_tradnl"/>
              </w:rPr>
              <w:t xml:space="preserve"> </w:t>
            </w:r>
            <w:proofErr w:type="spellStart"/>
            <w:r w:rsidRPr="00C90461">
              <w:rPr>
                <w:lang w:val="es-ES_tradnl"/>
              </w:rPr>
              <w:t>Duch</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gemmifera</w:t>
            </w:r>
            <w:proofErr w:type="spellEnd"/>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gongylodes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pekinensis</w:t>
            </w:r>
            <w:proofErr w:type="spellEnd"/>
            <w:r w:rsidRPr="00C90461">
              <w:rPr>
                <w:lang w:val="es-ES_tradnl"/>
              </w:rPr>
              <w:t xml:space="preserve"> (</w:t>
            </w:r>
            <w:proofErr w:type="spellStart"/>
            <w:r w:rsidRPr="00C90461">
              <w:rPr>
                <w:lang w:val="es-ES_tradnl"/>
              </w:rPr>
              <w:t>Lour</w:t>
            </w:r>
            <w:proofErr w:type="spellEnd"/>
            <w:r w:rsidRPr="00C90461">
              <w:rPr>
                <w:lang w:val="es-ES_tradnl"/>
              </w:rPr>
              <w:t xml:space="preserve">.) </w:t>
            </w:r>
            <w:proofErr w:type="spellStart"/>
            <w:r w:rsidRPr="00C90461">
              <w:rPr>
                <w:lang w:val="es-ES_tradnl"/>
              </w:rPr>
              <w:t>Rupr</w:t>
            </w:r>
            <w:proofErr w:type="spellEnd"/>
            <w:r w:rsidRPr="00C90461">
              <w:rPr>
                <w:lang w:val="es-ES_tradnl"/>
              </w:rPr>
              <w:t xml:space="preserve">., </w:t>
            </w:r>
            <w:proofErr w:type="spellStart"/>
            <w:r w:rsidRPr="00C90461">
              <w:rPr>
                <w:i/>
                <w:iCs/>
                <w:lang w:val="es-ES_tradnl"/>
              </w:rPr>
              <w:t>Allium</w:t>
            </w:r>
            <w:proofErr w:type="spellEnd"/>
            <w:r w:rsidRPr="00C90461">
              <w:rPr>
                <w:i/>
                <w:iCs/>
                <w:lang w:val="es-ES_tradnl"/>
              </w:rPr>
              <w:t xml:space="preserve"> cepa</w:t>
            </w:r>
            <w:r w:rsidRPr="00C90461">
              <w:rPr>
                <w:lang w:val="es-ES_tradnl"/>
              </w:rPr>
              <w:t xml:space="preserve"> L., </w:t>
            </w:r>
            <w:proofErr w:type="spellStart"/>
            <w:r w:rsidRPr="00C90461">
              <w:rPr>
                <w:i/>
                <w:iCs/>
                <w:lang w:val="es-ES_tradnl"/>
              </w:rPr>
              <w:t>Daucus</w:t>
            </w:r>
            <w:proofErr w:type="spellEnd"/>
            <w:r w:rsidRPr="00C90461">
              <w:rPr>
                <w:i/>
                <w:iCs/>
                <w:lang w:val="es-ES_tradnl"/>
              </w:rPr>
              <w:t xml:space="preserve"> carota</w:t>
            </w:r>
            <w:r w:rsidRPr="00C90461">
              <w:rPr>
                <w:lang w:val="es-ES_tradnl"/>
              </w:rPr>
              <w:t xml:space="preserve"> L., </w:t>
            </w:r>
            <w:proofErr w:type="spellStart"/>
            <w:r w:rsidRPr="00C90461">
              <w:rPr>
                <w:i/>
                <w:iCs/>
                <w:lang w:val="es-ES_tradnl"/>
              </w:rPr>
              <w:t>Capsicum</w:t>
            </w:r>
            <w:proofErr w:type="spellEnd"/>
            <w:r w:rsidRPr="00C90461">
              <w:rPr>
                <w:i/>
                <w:iCs/>
                <w:lang w:val="es-ES_tradnl"/>
              </w:rPr>
              <w:t xml:space="preserve"> </w:t>
            </w:r>
            <w:proofErr w:type="spellStart"/>
            <w:r w:rsidRPr="00C90461">
              <w:rPr>
                <w:i/>
                <w:iCs/>
                <w:lang w:val="es-ES_tradnl"/>
              </w:rPr>
              <w:t>annuum</w:t>
            </w:r>
            <w:proofErr w:type="spellEnd"/>
            <w:r w:rsidRPr="00C90461">
              <w:rPr>
                <w:lang w:val="es-ES_tradnl"/>
              </w:rPr>
              <w:t xml:space="preserve"> L., </w:t>
            </w:r>
            <w:proofErr w:type="spellStart"/>
            <w:r w:rsidRPr="00C90461">
              <w:rPr>
                <w:i/>
                <w:iCs/>
                <w:lang w:val="es-ES_tradnl"/>
              </w:rPr>
              <w:t>Petroselinum</w:t>
            </w:r>
            <w:proofErr w:type="spellEnd"/>
            <w:r w:rsidRPr="00C90461">
              <w:rPr>
                <w:i/>
                <w:iCs/>
                <w:lang w:val="es-ES_tradnl"/>
              </w:rPr>
              <w:t xml:space="preserve"> </w:t>
            </w:r>
            <w:proofErr w:type="spellStart"/>
            <w:r w:rsidRPr="00C90461">
              <w:rPr>
                <w:i/>
                <w:iCs/>
                <w:lang w:val="es-ES_tradnl"/>
              </w:rPr>
              <w:t>crispum</w:t>
            </w:r>
            <w:proofErr w:type="spellEnd"/>
            <w:r w:rsidRPr="00C90461">
              <w:rPr>
                <w:lang w:val="es-ES_tradnl"/>
              </w:rPr>
              <w:t xml:space="preserve"> (Mill.) </w:t>
            </w:r>
            <w:proofErr w:type="spellStart"/>
            <w:r w:rsidRPr="00C90461">
              <w:rPr>
                <w:lang w:val="es-ES_tradnl"/>
              </w:rPr>
              <w:t>Nyman</w:t>
            </w:r>
            <w:proofErr w:type="spellEnd"/>
            <w:r w:rsidRPr="00C90461">
              <w:rPr>
                <w:lang w:val="es-ES_tradnl"/>
              </w:rPr>
              <w:t xml:space="preserve"> ex A. W. Hill, </w:t>
            </w:r>
            <w:proofErr w:type="spellStart"/>
            <w:r w:rsidRPr="00C90461">
              <w:rPr>
                <w:i/>
                <w:iCs/>
                <w:lang w:val="es-ES_tradnl"/>
              </w:rPr>
              <w:t>Raphanus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rapa</w:t>
            </w:r>
            <w:r w:rsidRPr="00C90461">
              <w:rPr>
                <w:lang w:val="es-ES_tradnl"/>
              </w:rPr>
              <w:t xml:space="preserve"> L., </w:t>
            </w:r>
            <w:r w:rsidRPr="00C90461">
              <w:rPr>
                <w:i/>
                <w:iCs/>
                <w:lang w:val="es-ES_tradnl"/>
              </w:rPr>
              <w:t>Lactuca sativa</w:t>
            </w:r>
            <w:r w:rsidRPr="00C90461">
              <w:rPr>
                <w:lang w:val="es-ES_tradnl"/>
              </w:rPr>
              <w:t xml:space="preserve"> L.,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conditiva</w:t>
            </w:r>
            <w:proofErr w:type="spellEnd"/>
            <w:r w:rsidRPr="00C90461">
              <w:rPr>
                <w:lang w:val="es-ES_tradnl"/>
              </w:rPr>
              <w:t xml:space="preserve"> </w:t>
            </w:r>
            <w:proofErr w:type="spellStart"/>
            <w:r w:rsidRPr="00C90461">
              <w:rPr>
                <w:lang w:val="es-ES_tradnl"/>
              </w:rPr>
              <w:t>Alef</w:t>
            </w:r>
            <w:proofErr w:type="spellEnd"/>
            <w:r w:rsidRPr="00C90461">
              <w:rPr>
                <w:lang w:val="es-ES_tradnl"/>
              </w:rPr>
              <w:t xml:space="preserve">.,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lycopеrsicum</w:t>
            </w:r>
            <w:proofErr w:type="spellEnd"/>
            <w:r w:rsidRPr="00C90461">
              <w:rPr>
                <w:lang w:val="es-ES_tradnl"/>
              </w:rPr>
              <w:t xml:space="preserve"> L., </w:t>
            </w:r>
            <w:proofErr w:type="spellStart"/>
            <w:r w:rsidRPr="00C90461">
              <w:rPr>
                <w:i/>
                <w:iCs/>
                <w:lang w:val="es-ES_tradnl"/>
              </w:rPr>
              <w:t>Cucurbita</w:t>
            </w:r>
            <w:proofErr w:type="spellEnd"/>
            <w:r w:rsidRPr="00C90461">
              <w:rPr>
                <w:i/>
                <w:iCs/>
                <w:lang w:val="es-ES_tradnl"/>
              </w:rPr>
              <w:t xml:space="preserve"> pepo</w:t>
            </w:r>
            <w:r w:rsidRPr="00C90461">
              <w:rPr>
                <w:lang w:val="es-ES_tradnl"/>
              </w:rPr>
              <w:t xml:space="preserve"> L., </w:t>
            </w:r>
            <w:proofErr w:type="spellStart"/>
            <w:r w:rsidRPr="00C90461">
              <w:rPr>
                <w:i/>
                <w:iCs/>
                <w:lang w:val="es-ES_tradnl"/>
              </w:rPr>
              <w:t>Anethum</w:t>
            </w:r>
            <w:proofErr w:type="spellEnd"/>
            <w:r w:rsidRPr="00C90461">
              <w:rPr>
                <w:i/>
                <w:iCs/>
                <w:lang w:val="es-ES_tradnl"/>
              </w:rPr>
              <w:t xml:space="preserve"> </w:t>
            </w:r>
            <w:proofErr w:type="spellStart"/>
            <w:r w:rsidRPr="00C90461">
              <w:rPr>
                <w:i/>
                <w:iCs/>
                <w:lang w:val="es-ES_tradnl"/>
              </w:rPr>
              <w:t>graveolens</w:t>
            </w:r>
            <w:proofErr w:type="spellEnd"/>
            <w:r w:rsidRPr="00C90461">
              <w:rPr>
                <w:lang w:val="es-ES_tradnl"/>
              </w:rPr>
              <w:t xml:space="preserve"> L., </w:t>
            </w:r>
            <w:proofErr w:type="spellStart"/>
            <w:r w:rsidRPr="00C90461">
              <w:rPr>
                <w:i/>
                <w:iCs/>
                <w:lang w:val="es-ES_tradnl"/>
              </w:rPr>
              <w:t>Phaseolus</w:t>
            </w:r>
            <w:proofErr w:type="spellEnd"/>
            <w:r w:rsidRPr="00C90461">
              <w:rPr>
                <w:lang w:val="es-ES_tradnl"/>
              </w:rPr>
              <w:t xml:space="preserve"> L., </w:t>
            </w:r>
            <w:proofErr w:type="spellStart"/>
            <w:r w:rsidRPr="00C90461">
              <w:rPr>
                <w:i/>
                <w:iCs/>
                <w:lang w:val="es-ES_tradnl"/>
              </w:rPr>
              <w:t>Allium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tuberosum</w:t>
            </w:r>
            <w:proofErr w:type="spellEnd"/>
            <w:r w:rsidRPr="00C90461">
              <w:rPr>
                <w:lang w:val="es-ES_tradnl"/>
              </w:rPr>
              <w:t xml:space="preserve"> L. en sentido amplio,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alba DC., </w:t>
            </w:r>
            <w:proofErr w:type="spellStart"/>
            <w:r w:rsidRPr="00C90461">
              <w:rPr>
                <w:i/>
                <w:iCs/>
                <w:lang w:val="es-ES_tradnl"/>
              </w:rPr>
              <w:t>Linum</w:t>
            </w:r>
            <w:proofErr w:type="spellEnd"/>
            <w:r w:rsidRPr="00C90461">
              <w:rPr>
                <w:i/>
                <w:iCs/>
                <w:lang w:val="es-ES_tradnl"/>
              </w:rPr>
              <w:t xml:space="preserve"> </w:t>
            </w:r>
            <w:proofErr w:type="spellStart"/>
            <w:r w:rsidRPr="00C90461">
              <w:rPr>
                <w:i/>
                <w:iCs/>
                <w:lang w:val="es-ES_tradnl"/>
              </w:rPr>
              <w:t>usitatissimum</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napus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oleifera</w:t>
            </w:r>
            <w:proofErr w:type="spellEnd"/>
            <w:r w:rsidRPr="00C90461">
              <w:rPr>
                <w:lang w:val="es-ES_tradnl"/>
              </w:rPr>
              <w:t xml:space="preserve"> (</w:t>
            </w:r>
            <w:proofErr w:type="spellStart"/>
            <w:r w:rsidRPr="00C90461">
              <w:rPr>
                <w:lang w:val="es-ES_tradnl"/>
              </w:rPr>
              <w:t>Metzg</w:t>
            </w:r>
            <w:proofErr w:type="spellEnd"/>
            <w:r w:rsidRPr="00C90461">
              <w:rPr>
                <w:lang w:val="es-ES_tradnl"/>
              </w:rPr>
              <w:t xml:space="preserve">.) </w:t>
            </w:r>
            <w:proofErr w:type="spellStart"/>
            <w:r w:rsidRPr="00C90461">
              <w:rPr>
                <w:lang w:val="es-ES_tradnl"/>
              </w:rPr>
              <w:t>Sinsk</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campestris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campestris</w:t>
            </w:r>
            <w:proofErr w:type="spellEnd"/>
            <w:r w:rsidRPr="00C90461">
              <w:rPr>
                <w:i/>
                <w:iCs/>
                <w:lang w:val="es-ES_tradnl"/>
              </w:rPr>
              <w:t>,</w:t>
            </w:r>
            <w:r w:rsidRPr="00C90461">
              <w:rPr>
                <w:lang w:val="es-ES_tradnl"/>
              </w:rPr>
              <w:t xml:space="preserve"> </w:t>
            </w:r>
            <w:r w:rsidRPr="00C90461">
              <w:rPr>
                <w:i/>
                <w:iCs/>
                <w:lang w:val="es-ES_tradnl"/>
              </w:rPr>
              <w:t>Fragaria</w:t>
            </w:r>
            <w:r w:rsidRPr="00C90461">
              <w:rPr>
                <w:lang w:val="es-ES_tradnl"/>
              </w:rPr>
              <w:t xml:space="preserve"> L., </w:t>
            </w:r>
            <w:r w:rsidRPr="00C90461">
              <w:rPr>
                <w:i/>
                <w:iCs/>
                <w:lang w:val="es-ES_tradnl"/>
              </w:rPr>
              <w:t xml:space="preserve">Ribes </w:t>
            </w:r>
            <w:proofErr w:type="spellStart"/>
            <w:r w:rsidRPr="00C90461">
              <w:rPr>
                <w:i/>
                <w:iCs/>
                <w:lang w:val="es-ES_tradnl"/>
              </w:rPr>
              <w:t>rubrum</w:t>
            </w:r>
            <w:proofErr w:type="spellEnd"/>
            <w:r w:rsidRPr="00C90461">
              <w:rPr>
                <w:lang w:val="es-ES_tradnl"/>
              </w:rPr>
              <w:t xml:space="preserve"> L., </w:t>
            </w:r>
            <w:r w:rsidRPr="00C90461">
              <w:rPr>
                <w:i/>
                <w:iCs/>
                <w:lang w:val="es-ES_tradnl"/>
              </w:rPr>
              <w:t xml:space="preserve">Ribes </w:t>
            </w:r>
            <w:proofErr w:type="spellStart"/>
            <w:r w:rsidRPr="00C90461">
              <w:rPr>
                <w:i/>
                <w:iCs/>
                <w:lang w:val="es-ES_tradnl"/>
              </w:rPr>
              <w:t>nigrum</w:t>
            </w:r>
            <w:proofErr w:type="spellEnd"/>
            <w:r w:rsidRPr="00C90461">
              <w:rPr>
                <w:lang w:val="es-ES_tradnl"/>
              </w:rPr>
              <w:t xml:space="preserve"> L. </w:t>
            </w:r>
          </w:p>
        </w:tc>
      </w:tr>
      <w:tr w:rsidR="008F5DD0" w:rsidRPr="00C90461" w14:paraId="7368A605" w14:textId="77777777" w:rsidTr="005A1C08">
        <w:tc>
          <w:tcPr>
            <w:tcW w:w="9393" w:type="dxa"/>
          </w:tcPr>
          <w:p w14:paraId="057EFAD0" w14:textId="458E0AEE" w:rsidR="008F5DD0" w:rsidRPr="00C90461" w:rsidRDefault="008F5DD0" w:rsidP="00C20CA5">
            <w:pPr>
              <w:spacing w:after="120" w:line="240" w:lineRule="auto"/>
              <w:jc w:val="left"/>
              <w:rPr>
                <w:lang w:val="es-ES_tradnl"/>
              </w:rPr>
            </w:pPr>
            <w:r w:rsidRPr="00C90461">
              <w:rPr>
                <w:lang w:val="es-ES_tradnl"/>
              </w:rPr>
              <w:t xml:space="preserve">Se realiza </w:t>
            </w:r>
            <w:proofErr w:type="gramStart"/>
            <w:r w:rsidRPr="00C90461">
              <w:rPr>
                <w:lang w:val="es-ES_tradnl"/>
              </w:rPr>
              <w:t>un consulta</w:t>
            </w:r>
            <w:proofErr w:type="gramEnd"/>
            <w:r w:rsidRPr="00C90461">
              <w:rPr>
                <w:lang w:val="es-ES_tradnl"/>
              </w:rPr>
              <w:t xml:space="preserve"> al proveedor del informe para entender los motivos por los que no ha seguido las directrices de examen de la UPOV. La decisión se basa en el resultado de dicha consulta. </w:t>
            </w:r>
          </w:p>
        </w:tc>
      </w:tr>
      <w:tr w:rsidR="008F5DD0" w:rsidRPr="00C90461" w14:paraId="33C321E0" w14:textId="77777777" w:rsidTr="005A1C08">
        <w:tc>
          <w:tcPr>
            <w:tcW w:w="9393" w:type="dxa"/>
          </w:tcPr>
          <w:p w14:paraId="10B61152" w14:textId="77777777" w:rsidR="008F5DD0" w:rsidRPr="00C90461" w:rsidRDefault="008F5DD0" w:rsidP="00C20CA5">
            <w:pPr>
              <w:spacing w:after="120" w:line="240" w:lineRule="auto"/>
              <w:jc w:val="left"/>
              <w:rPr>
                <w:lang w:val="es-ES_tradnl"/>
              </w:rPr>
            </w:pPr>
            <w:r w:rsidRPr="00C90461">
              <w:rPr>
                <w:lang w:val="es-ES_tradnl"/>
              </w:rPr>
              <w:t xml:space="preserve">En primer lugar, deben usarse los protocolos de examen disponibles de la OCVV; si no los hay, deben emplearse las directrices de examen de la UPOV. </w:t>
            </w:r>
          </w:p>
        </w:tc>
      </w:tr>
      <w:tr w:rsidR="008F5DD0" w:rsidRPr="00C90461" w14:paraId="2E329C83" w14:textId="77777777" w:rsidTr="005A1C08">
        <w:tc>
          <w:tcPr>
            <w:tcW w:w="9393" w:type="dxa"/>
          </w:tcPr>
          <w:p w14:paraId="5FF752DC" w14:textId="5CF12FC8" w:rsidR="008F5DD0" w:rsidRPr="00C90461" w:rsidRDefault="008F5DD0" w:rsidP="00C20CA5">
            <w:pPr>
              <w:spacing w:after="120" w:line="240" w:lineRule="auto"/>
              <w:jc w:val="left"/>
              <w:rPr>
                <w:lang w:val="es-ES_tradnl"/>
              </w:rPr>
            </w:pPr>
            <w:r w:rsidRPr="00C90461">
              <w:rPr>
                <w:lang w:val="es-ES_tradnl"/>
              </w:rPr>
              <w:t xml:space="preserve">En este caso lo que se hace es repetir el examen en los centros de investigación sujetos a la supervisión del comité autorizado para realizar los exámenes de la UPOV y luego el equipo técnico autorizado por el comité expide el informe técnico. </w:t>
            </w:r>
          </w:p>
        </w:tc>
      </w:tr>
      <w:tr w:rsidR="008F5DD0" w:rsidRPr="00C90461" w14:paraId="4CCCF2E3" w14:textId="77777777" w:rsidTr="005A1C08">
        <w:tc>
          <w:tcPr>
            <w:tcW w:w="9393" w:type="dxa"/>
          </w:tcPr>
          <w:p w14:paraId="66AB1837" w14:textId="77777777" w:rsidR="008F5DD0" w:rsidRPr="00C90461" w:rsidRDefault="008F5DD0" w:rsidP="00C20CA5">
            <w:pPr>
              <w:spacing w:after="120" w:line="240" w:lineRule="auto"/>
              <w:jc w:val="left"/>
              <w:rPr>
                <w:lang w:val="es-ES_tradnl"/>
              </w:rPr>
            </w:pPr>
            <w:r w:rsidRPr="00C90461">
              <w:rPr>
                <w:lang w:val="es-ES_tradnl"/>
              </w:rPr>
              <w:t xml:space="preserve">todavía no hemos tenido ninguna solicitud de este tipo </w:t>
            </w:r>
          </w:p>
        </w:tc>
      </w:tr>
      <w:tr w:rsidR="008F5DD0" w:rsidRPr="00C90461" w14:paraId="18795797" w14:textId="77777777" w:rsidTr="005A1C08">
        <w:tc>
          <w:tcPr>
            <w:tcW w:w="9393" w:type="dxa"/>
          </w:tcPr>
          <w:p w14:paraId="6D8EC06F" w14:textId="77777777" w:rsidR="008F5DD0" w:rsidRPr="00C90461" w:rsidRDefault="008F5DD0" w:rsidP="00C20CA5">
            <w:pPr>
              <w:spacing w:after="120" w:line="240" w:lineRule="auto"/>
              <w:jc w:val="left"/>
              <w:rPr>
                <w:lang w:val="es-ES_tradnl"/>
              </w:rPr>
            </w:pPr>
            <w:r w:rsidRPr="00C90461">
              <w:rPr>
                <w:lang w:val="es-ES_tradnl"/>
              </w:rPr>
              <w:t xml:space="preserve">No se ha presentado ningún caso de este tipo en la práctica. </w:t>
            </w:r>
          </w:p>
        </w:tc>
      </w:tr>
      <w:tr w:rsidR="008F5DD0" w:rsidRPr="00C90461" w14:paraId="6C740FB4" w14:textId="77777777" w:rsidTr="005A1C08">
        <w:tc>
          <w:tcPr>
            <w:tcW w:w="9393" w:type="dxa"/>
          </w:tcPr>
          <w:p w14:paraId="0221F9AD" w14:textId="366A066B" w:rsidR="008F5DD0" w:rsidRPr="00C90461" w:rsidRDefault="008F5DD0" w:rsidP="00C20CA5">
            <w:pPr>
              <w:spacing w:after="120" w:line="240" w:lineRule="auto"/>
              <w:jc w:val="left"/>
              <w:rPr>
                <w:lang w:val="es-ES_tradnl"/>
              </w:rPr>
            </w:pPr>
            <w:r w:rsidRPr="00C90461">
              <w:rPr>
                <w:lang w:val="es-ES_tradnl"/>
              </w:rPr>
              <w:t xml:space="preserve">El Ministerio puede utilizar los resultados del examen técnico (examen DHE) de una variedad obtenida en otro miembro de la UPOV. Solo si no existen directrices de examen de la UPOV para determinada especie vegetal, aceptamos un examen DHE y la descripción de la variedad basada en otras directrices de examen. </w:t>
            </w:r>
          </w:p>
        </w:tc>
      </w:tr>
      <w:tr w:rsidR="008F5DD0" w:rsidRPr="00C90461" w14:paraId="6A03A33E" w14:textId="77777777" w:rsidTr="005A1C08">
        <w:tc>
          <w:tcPr>
            <w:tcW w:w="9393" w:type="dxa"/>
          </w:tcPr>
          <w:p w14:paraId="3B8B4C87" w14:textId="2BC2E2E0" w:rsidR="008F5DD0" w:rsidRPr="00C90461" w:rsidRDefault="008F5DD0" w:rsidP="00C20CA5">
            <w:pPr>
              <w:spacing w:after="120" w:line="240" w:lineRule="auto"/>
              <w:jc w:val="left"/>
              <w:rPr>
                <w:lang w:val="es-ES_tradnl"/>
              </w:rPr>
            </w:pPr>
            <w:r w:rsidRPr="00C90461">
              <w:rPr>
                <w:lang w:val="es-ES_tradnl"/>
              </w:rPr>
              <w:t xml:space="preserve">Sí, pero solo cuando hay motivos justificados para no observar determinados caracteres; aunque los caracteres con asterisco deben concordar siempre. </w:t>
            </w:r>
          </w:p>
        </w:tc>
      </w:tr>
      <w:tr w:rsidR="008F5DD0" w:rsidRPr="00C90461" w14:paraId="48E00038" w14:textId="77777777" w:rsidTr="005A1C08">
        <w:tc>
          <w:tcPr>
            <w:tcW w:w="9393" w:type="dxa"/>
          </w:tcPr>
          <w:p w14:paraId="289A7750" w14:textId="77777777" w:rsidR="008F5DD0" w:rsidRPr="00C90461" w:rsidRDefault="008F5DD0" w:rsidP="00C20CA5">
            <w:pPr>
              <w:spacing w:after="120" w:line="240" w:lineRule="auto"/>
              <w:jc w:val="left"/>
              <w:rPr>
                <w:lang w:val="es-ES_tradnl"/>
              </w:rPr>
            </w:pPr>
            <w:r w:rsidRPr="00C90461">
              <w:rPr>
                <w:lang w:val="es-ES_tradnl"/>
              </w:rPr>
              <w:t xml:space="preserve">Sudáfrica realiza exámenes DHE con las directrices de examen de la UPOV y también solo acepta descripciones de variedades que se ajustan a las directrices de examen de la UPOV. </w:t>
            </w:r>
          </w:p>
        </w:tc>
      </w:tr>
      <w:tr w:rsidR="008F5DD0" w:rsidRPr="00C90461" w14:paraId="3069880D" w14:textId="77777777" w:rsidTr="005A1C08">
        <w:tc>
          <w:tcPr>
            <w:tcW w:w="9393" w:type="dxa"/>
          </w:tcPr>
          <w:p w14:paraId="54753B1C" w14:textId="77777777" w:rsidR="008F5DD0" w:rsidRPr="00C90461" w:rsidRDefault="008F5DD0" w:rsidP="00C20CA5">
            <w:pPr>
              <w:spacing w:after="120" w:line="240" w:lineRule="auto"/>
              <w:jc w:val="left"/>
              <w:rPr>
                <w:lang w:val="es-ES_tradnl"/>
              </w:rPr>
            </w:pPr>
            <w:r w:rsidRPr="00C90461">
              <w:rPr>
                <w:lang w:val="es-ES_tradnl"/>
              </w:rPr>
              <w:t xml:space="preserve">Encargamos informes de los exámenes DHE a autoridades competentes; de esta manera nos aseguramos de que el informe de examen se prepare correctamente. </w:t>
            </w:r>
          </w:p>
        </w:tc>
      </w:tr>
      <w:tr w:rsidR="008F5DD0" w:rsidRPr="00C90461" w14:paraId="02905235" w14:textId="77777777" w:rsidTr="005A1C08">
        <w:tc>
          <w:tcPr>
            <w:tcW w:w="9393" w:type="dxa"/>
          </w:tcPr>
          <w:p w14:paraId="5B951D42" w14:textId="77777777" w:rsidR="008F5DD0" w:rsidRPr="00C90461" w:rsidRDefault="008F5DD0" w:rsidP="00C20CA5">
            <w:pPr>
              <w:spacing w:after="120" w:line="240" w:lineRule="auto"/>
              <w:jc w:val="left"/>
              <w:rPr>
                <w:lang w:val="es-ES_tradnl"/>
              </w:rPr>
            </w:pPr>
            <w:r w:rsidRPr="00C90461">
              <w:rPr>
                <w:lang w:val="es-ES_tradnl"/>
              </w:rPr>
              <w:t xml:space="preserve">Suponemos que las directrices de examen de la OCVV son acordes a las directrices de examen de la UPOV. </w:t>
            </w:r>
          </w:p>
        </w:tc>
      </w:tr>
    </w:tbl>
    <w:p w14:paraId="75AE7DF0" w14:textId="00AF976B" w:rsidR="008F5DD0" w:rsidRPr="00C90461" w:rsidRDefault="008F5DD0" w:rsidP="008F5DD0">
      <w:pPr>
        <w:spacing w:after="160" w:line="259" w:lineRule="auto"/>
        <w:jc w:val="left"/>
        <w:rPr>
          <w:rFonts w:eastAsia="Arial Unicode MS" w:cs="Arial"/>
          <w:b/>
          <w:bCs/>
          <w:lang w:val="es-ES_tradnl"/>
        </w:rPr>
      </w:pPr>
      <w:bookmarkStart w:id="26" w:name="_Toc25"/>
    </w:p>
    <w:p w14:paraId="4222535B" w14:textId="77777777" w:rsidR="008F5DD0" w:rsidRPr="00C90461" w:rsidRDefault="008F5DD0" w:rsidP="00C20CA5">
      <w:pPr>
        <w:keepNext/>
        <w:spacing w:after="160" w:line="259" w:lineRule="auto"/>
        <w:jc w:val="left"/>
        <w:rPr>
          <w:rFonts w:eastAsia="Arial Unicode MS" w:cs="Arial"/>
          <w:b/>
          <w:bCs/>
          <w:lang w:val="es-ES_tradnl"/>
        </w:rPr>
      </w:pPr>
      <w:r w:rsidRPr="00C90461">
        <w:rPr>
          <w:b/>
          <w:lang w:val="es-ES_tradnl"/>
        </w:rPr>
        <w:lastRenderedPageBreak/>
        <w:t>5. ¿Acepta su país/</w:t>
      </w:r>
      <w:proofErr w:type="gramStart"/>
      <w:r w:rsidRPr="00C90461">
        <w:rPr>
          <w:b/>
          <w:lang w:val="es-ES_tradnl"/>
        </w:rPr>
        <w:t>organización informes</w:t>
      </w:r>
      <w:proofErr w:type="gramEnd"/>
      <w:r w:rsidRPr="00C90461">
        <w:rPr>
          <w:b/>
          <w:lang w:val="es-ES_tradnl"/>
        </w:rPr>
        <w:t xml:space="preserve"> de examen DHE cuando las descripciones de las variedades no se ajustan a los caracteres de las directrices de examen de su país/organización?</w:t>
      </w:r>
      <w:bookmarkEnd w:id="26"/>
    </w:p>
    <w:p w14:paraId="39E49B82" w14:textId="77777777" w:rsidR="008F5DD0" w:rsidRPr="00C90461" w:rsidRDefault="008F5DD0" w:rsidP="004F78EA">
      <w:pPr>
        <w:spacing w:after="120"/>
        <w:jc w:val="left"/>
        <w:rPr>
          <w:rFonts w:eastAsia="Arial" w:cs="Arial"/>
          <w:sz w:val="12"/>
          <w:szCs w:val="12"/>
          <w:lang w:val="es-ES_tradnl"/>
        </w:rPr>
      </w:pPr>
      <w:r w:rsidRPr="00C90461">
        <w:rPr>
          <w:lang w:val="es-ES_tradnl" w:eastAsia="es-ES"/>
        </w:rPr>
        <w:drawing>
          <wp:inline distT="0" distB="0" distL="0" distR="0" wp14:anchorId="7035FAAC" wp14:editId="5119E4FD">
            <wp:extent cx="5499735" cy="1860698"/>
            <wp:effectExtent l="0" t="0" r="5715"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7B516E24" w14:textId="77777777" w:rsidTr="000759D0">
        <w:tc>
          <w:tcPr>
            <w:tcW w:w="3120" w:type="dxa"/>
          </w:tcPr>
          <w:p w14:paraId="122E8EB7" w14:textId="77777777" w:rsidR="008F5DD0" w:rsidRPr="00C90461" w:rsidRDefault="008F5DD0" w:rsidP="004F78EA">
            <w:pPr>
              <w:spacing w:after="120" w:line="240" w:lineRule="auto"/>
              <w:jc w:val="left"/>
              <w:rPr>
                <w:lang w:val="es-ES_tradnl"/>
              </w:rPr>
            </w:pPr>
            <w:r w:rsidRPr="00C90461">
              <w:rPr>
                <w:lang w:val="es-ES_tradnl"/>
              </w:rPr>
              <w:t xml:space="preserve">Valor </w:t>
            </w:r>
          </w:p>
        </w:tc>
        <w:tc>
          <w:tcPr>
            <w:tcW w:w="3120" w:type="dxa"/>
          </w:tcPr>
          <w:p w14:paraId="1F25B6B5" w14:textId="77777777" w:rsidR="008F5DD0" w:rsidRPr="00C90461" w:rsidRDefault="008F5DD0" w:rsidP="004F78EA">
            <w:pPr>
              <w:spacing w:after="120" w:line="240" w:lineRule="auto"/>
              <w:jc w:val="left"/>
              <w:rPr>
                <w:lang w:val="es-ES_tradnl"/>
              </w:rPr>
            </w:pPr>
            <w:r w:rsidRPr="00C90461">
              <w:rPr>
                <w:lang w:val="es-ES_tradnl"/>
              </w:rPr>
              <w:t xml:space="preserve">Porcentaje </w:t>
            </w:r>
          </w:p>
        </w:tc>
        <w:tc>
          <w:tcPr>
            <w:tcW w:w="3120" w:type="dxa"/>
          </w:tcPr>
          <w:p w14:paraId="04DF0863" w14:textId="77777777" w:rsidR="008F5DD0" w:rsidRPr="00C90461" w:rsidRDefault="008F5DD0" w:rsidP="004F78EA">
            <w:pPr>
              <w:spacing w:after="120" w:line="240" w:lineRule="auto"/>
              <w:jc w:val="left"/>
              <w:rPr>
                <w:lang w:val="es-ES_tradnl"/>
              </w:rPr>
            </w:pPr>
            <w:r w:rsidRPr="00C90461">
              <w:rPr>
                <w:lang w:val="es-ES_tradnl"/>
              </w:rPr>
              <w:t xml:space="preserve">Número </w:t>
            </w:r>
          </w:p>
        </w:tc>
      </w:tr>
      <w:tr w:rsidR="008F5DD0" w:rsidRPr="00C90461" w14:paraId="4A01125E" w14:textId="77777777" w:rsidTr="000759D0">
        <w:tc>
          <w:tcPr>
            <w:tcW w:w="3120" w:type="dxa"/>
          </w:tcPr>
          <w:p w14:paraId="7DFB5369" w14:textId="77777777" w:rsidR="008F5DD0" w:rsidRPr="00C90461" w:rsidRDefault="008F5DD0" w:rsidP="004F78EA">
            <w:pPr>
              <w:spacing w:after="120" w:line="240" w:lineRule="auto"/>
              <w:jc w:val="left"/>
              <w:rPr>
                <w:lang w:val="es-ES_tradnl"/>
              </w:rPr>
            </w:pPr>
            <w:r w:rsidRPr="00C90461">
              <w:rPr>
                <w:lang w:val="es-ES_tradnl"/>
              </w:rPr>
              <w:t xml:space="preserve">Sí </w:t>
            </w:r>
          </w:p>
        </w:tc>
        <w:tc>
          <w:tcPr>
            <w:tcW w:w="3120" w:type="dxa"/>
          </w:tcPr>
          <w:p w14:paraId="2DBBD88F" w14:textId="77777777" w:rsidR="008F5DD0" w:rsidRPr="00C90461" w:rsidRDefault="008F5DD0" w:rsidP="004F78EA">
            <w:pPr>
              <w:spacing w:after="120" w:line="240" w:lineRule="auto"/>
              <w:jc w:val="left"/>
              <w:rPr>
                <w:lang w:val="es-ES_tradnl"/>
              </w:rPr>
            </w:pPr>
            <w:r w:rsidRPr="00C90461">
              <w:rPr>
                <w:lang w:val="es-ES_tradnl"/>
              </w:rPr>
              <w:t xml:space="preserve">47 % </w:t>
            </w:r>
          </w:p>
        </w:tc>
        <w:tc>
          <w:tcPr>
            <w:tcW w:w="3120" w:type="dxa"/>
          </w:tcPr>
          <w:p w14:paraId="1A6FB1B4" w14:textId="77777777" w:rsidR="008F5DD0" w:rsidRPr="00C90461" w:rsidRDefault="008F5DD0" w:rsidP="004F78EA">
            <w:pPr>
              <w:spacing w:after="120" w:line="240" w:lineRule="auto"/>
              <w:jc w:val="left"/>
              <w:rPr>
                <w:lang w:val="es-ES_tradnl"/>
              </w:rPr>
            </w:pPr>
            <w:r w:rsidRPr="00C90461">
              <w:rPr>
                <w:lang w:val="es-ES_tradnl"/>
              </w:rPr>
              <w:t xml:space="preserve">20 </w:t>
            </w:r>
          </w:p>
        </w:tc>
      </w:tr>
      <w:tr w:rsidR="008F5DD0" w:rsidRPr="00C90461" w14:paraId="61DBB89A" w14:textId="77777777" w:rsidTr="000759D0">
        <w:tc>
          <w:tcPr>
            <w:tcW w:w="3120" w:type="dxa"/>
          </w:tcPr>
          <w:p w14:paraId="262A8108" w14:textId="77777777" w:rsidR="008F5DD0" w:rsidRPr="00C90461" w:rsidRDefault="008F5DD0" w:rsidP="004F78EA">
            <w:pPr>
              <w:spacing w:after="120" w:line="240" w:lineRule="auto"/>
              <w:jc w:val="left"/>
              <w:rPr>
                <w:lang w:val="es-ES_tradnl"/>
              </w:rPr>
            </w:pPr>
            <w:r w:rsidRPr="00C90461">
              <w:rPr>
                <w:lang w:val="es-ES_tradnl"/>
              </w:rPr>
              <w:t xml:space="preserve">No </w:t>
            </w:r>
          </w:p>
        </w:tc>
        <w:tc>
          <w:tcPr>
            <w:tcW w:w="3120" w:type="dxa"/>
          </w:tcPr>
          <w:p w14:paraId="47A4E46D" w14:textId="77777777" w:rsidR="008F5DD0" w:rsidRPr="00C90461" w:rsidRDefault="008F5DD0" w:rsidP="004F78EA">
            <w:pPr>
              <w:spacing w:after="120" w:line="240" w:lineRule="auto"/>
              <w:jc w:val="left"/>
              <w:rPr>
                <w:lang w:val="es-ES_tradnl"/>
              </w:rPr>
            </w:pPr>
            <w:r w:rsidRPr="00C90461">
              <w:rPr>
                <w:lang w:val="es-ES_tradnl"/>
              </w:rPr>
              <w:t xml:space="preserve">53 % </w:t>
            </w:r>
          </w:p>
        </w:tc>
        <w:tc>
          <w:tcPr>
            <w:tcW w:w="3120" w:type="dxa"/>
          </w:tcPr>
          <w:p w14:paraId="1BDBFF3E" w14:textId="77777777" w:rsidR="008F5DD0" w:rsidRPr="00C90461" w:rsidRDefault="008F5DD0" w:rsidP="004F78EA">
            <w:pPr>
              <w:spacing w:after="120" w:line="240" w:lineRule="auto"/>
              <w:jc w:val="left"/>
              <w:rPr>
                <w:lang w:val="es-ES_tradnl"/>
              </w:rPr>
            </w:pPr>
            <w:r w:rsidRPr="00C90461">
              <w:rPr>
                <w:lang w:val="es-ES_tradnl"/>
              </w:rPr>
              <w:t xml:space="preserve">23 </w:t>
            </w:r>
          </w:p>
        </w:tc>
      </w:tr>
      <w:tr w:rsidR="008F5DD0" w:rsidRPr="00C90461" w14:paraId="2A52C0EF" w14:textId="77777777" w:rsidTr="000759D0">
        <w:tc>
          <w:tcPr>
            <w:tcW w:w="3120" w:type="dxa"/>
          </w:tcPr>
          <w:p w14:paraId="4545C5EF" w14:textId="77777777" w:rsidR="008F5DD0" w:rsidRPr="00C90461" w:rsidRDefault="008F5DD0" w:rsidP="004F78EA">
            <w:pPr>
              <w:spacing w:after="120" w:line="240" w:lineRule="auto"/>
              <w:jc w:val="left"/>
              <w:rPr>
                <w:lang w:val="es-ES_tradnl"/>
              </w:rPr>
            </w:pPr>
            <w:r w:rsidRPr="00C90461">
              <w:rPr>
                <w:lang w:val="es-ES_tradnl"/>
              </w:rPr>
              <w:t xml:space="preserve"> </w:t>
            </w:r>
          </w:p>
        </w:tc>
        <w:tc>
          <w:tcPr>
            <w:tcW w:w="3120" w:type="dxa"/>
          </w:tcPr>
          <w:p w14:paraId="20C7416F" w14:textId="77777777" w:rsidR="008F5DD0" w:rsidRPr="00C90461" w:rsidRDefault="008F5DD0" w:rsidP="004F78EA">
            <w:pPr>
              <w:spacing w:after="120" w:line="240" w:lineRule="auto"/>
              <w:jc w:val="left"/>
              <w:rPr>
                <w:lang w:val="es-ES_tradnl"/>
              </w:rPr>
            </w:pPr>
            <w:r w:rsidRPr="00C90461">
              <w:rPr>
                <w:lang w:val="es-ES_tradnl"/>
              </w:rPr>
              <w:t xml:space="preserve">Totales </w:t>
            </w:r>
          </w:p>
        </w:tc>
        <w:tc>
          <w:tcPr>
            <w:tcW w:w="3120" w:type="dxa"/>
          </w:tcPr>
          <w:p w14:paraId="17261079" w14:textId="77777777" w:rsidR="008F5DD0" w:rsidRPr="00C90461" w:rsidRDefault="008F5DD0" w:rsidP="004F78EA">
            <w:pPr>
              <w:spacing w:after="120" w:line="240" w:lineRule="auto"/>
              <w:jc w:val="left"/>
              <w:rPr>
                <w:lang w:val="es-ES_tradnl"/>
              </w:rPr>
            </w:pPr>
            <w:r w:rsidRPr="00C90461">
              <w:rPr>
                <w:lang w:val="es-ES_tradnl"/>
              </w:rPr>
              <w:t xml:space="preserve">43 </w:t>
            </w:r>
          </w:p>
        </w:tc>
      </w:tr>
    </w:tbl>
    <w:p w14:paraId="43C05589" w14:textId="77777777" w:rsidR="008F5DD0" w:rsidRPr="00C90461" w:rsidRDefault="008F5DD0" w:rsidP="004F78EA">
      <w:pPr>
        <w:spacing w:after="120"/>
        <w:jc w:val="left"/>
        <w:rPr>
          <w:rFonts w:eastAsia="Arial Unicode MS" w:cs="Arial"/>
          <w:b/>
          <w:bCs/>
          <w:sz w:val="12"/>
          <w:szCs w:val="12"/>
          <w:lang w:val="es-ES_tradnl"/>
        </w:rPr>
      </w:pPr>
      <w:bookmarkStart w:id="27" w:name="_Toc26"/>
    </w:p>
    <w:p w14:paraId="449E31E6"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Comentarios:</w:t>
      </w:r>
      <w:bookmarkEnd w:id="27"/>
    </w:p>
    <w:tbl>
      <w:tblPr>
        <w:tblStyle w:val="table"/>
        <w:tblW w:w="9393" w:type="dxa"/>
        <w:tblInd w:w="80" w:type="dxa"/>
        <w:tblLook w:val="04A0" w:firstRow="1" w:lastRow="0" w:firstColumn="1" w:lastColumn="0" w:noHBand="0" w:noVBand="1"/>
      </w:tblPr>
      <w:tblGrid>
        <w:gridCol w:w="9393"/>
      </w:tblGrid>
      <w:tr w:rsidR="008F5DD0" w:rsidRPr="00C90461" w14:paraId="3C51C7BE" w14:textId="77777777" w:rsidTr="005A1C08">
        <w:tc>
          <w:tcPr>
            <w:tcW w:w="9393" w:type="dxa"/>
          </w:tcPr>
          <w:p w14:paraId="03ED2930" w14:textId="77777777" w:rsidR="008F5DD0" w:rsidRPr="00C90461" w:rsidRDefault="008F5DD0" w:rsidP="004F78EA">
            <w:pPr>
              <w:spacing w:after="120" w:line="240" w:lineRule="auto"/>
              <w:jc w:val="left"/>
              <w:rPr>
                <w:lang w:val="es-ES_tradnl"/>
              </w:rPr>
            </w:pPr>
            <w:r w:rsidRPr="00C90461">
              <w:rPr>
                <w:lang w:val="es-ES_tradnl"/>
              </w:rPr>
              <w:t xml:space="preserve">Respuesta </w:t>
            </w:r>
          </w:p>
        </w:tc>
      </w:tr>
      <w:tr w:rsidR="008F5DD0" w:rsidRPr="00C90461" w14:paraId="4DB9D8C5" w14:textId="77777777" w:rsidTr="005A1C08">
        <w:tc>
          <w:tcPr>
            <w:tcW w:w="9393" w:type="dxa"/>
          </w:tcPr>
          <w:p w14:paraId="28688B6F" w14:textId="149BAE3C" w:rsidR="008F5DD0" w:rsidRPr="00C90461" w:rsidRDefault="008F5DD0" w:rsidP="004F78EA">
            <w:pPr>
              <w:spacing w:after="120" w:line="240" w:lineRule="auto"/>
              <w:jc w:val="left"/>
              <w:rPr>
                <w:lang w:val="es-ES_tradnl"/>
              </w:rPr>
            </w:pPr>
            <w:r w:rsidRPr="00C90461">
              <w:rPr>
                <w:lang w:val="es-ES_tradnl"/>
              </w:rPr>
              <w:t xml:space="preserve">La Oficina de Protección de las Obtenciones Vegetales de los Estados Unidos no acepta informes de los exámenes DHE que no se ajusten a los caracteres de las directrices de examen de la UPOV en el caso de las 27 principales especies de semilla ni de ninguna otra especie si los caracteres no se ajustan a las directrices de examen de la UPOV. Los cultivos que se indican a continuación son los que la Oficina de Protección de las Obtenciones Vegetales de los Estados Unidos no puede aceptar en este momento mientras no se ajusten a las directrices de examen de la UPOV: alfalfa, cebada, </w:t>
            </w:r>
            <w:proofErr w:type="spellStart"/>
            <w:r w:rsidRPr="00C90461">
              <w:rPr>
                <w:lang w:val="es-ES_tradnl"/>
              </w:rPr>
              <w:t>agrostis</w:t>
            </w:r>
            <w:proofErr w:type="spellEnd"/>
            <w:r w:rsidRPr="00C90461">
              <w:rPr>
                <w:lang w:val="es-ES_tradnl"/>
              </w:rPr>
              <w:t>, grama de Bermuda, poa de los prados, coliflor, maíz, algodón, haba caballar/haba/</w:t>
            </w:r>
            <w:proofErr w:type="spellStart"/>
            <w:r w:rsidRPr="00C90461">
              <w:rPr>
                <w:lang w:val="es-ES_tradnl"/>
              </w:rPr>
              <w:t>haboncillo</w:t>
            </w:r>
            <w:proofErr w:type="spellEnd"/>
            <w:r w:rsidRPr="00C90461">
              <w:rPr>
                <w:lang w:val="es-ES_tradnl"/>
              </w:rPr>
              <w:t xml:space="preserve">, </w:t>
            </w:r>
            <w:proofErr w:type="spellStart"/>
            <w:r w:rsidRPr="00C90461">
              <w:rPr>
                <w:lang w:val="es-ES_tradnl"/>
              </w:rPr>
              <w:t>festuca</w:t>
            </w:r>
            <w:proofErr w:type="spellEnd"/>
            <w:r w:rsidRPr="00C90461">
              <w:rPr>
                <w:lang w:val="es-ES_tradnl"/>
              </w:rPr>
              <w:t>, judía común/alubia, clavel de las Indias/clavelón/</w:t>
            </w:r>
            <w:proofErr w:type="spellStart"/>
            <w:r w:rsidRPr="00C90461">
              <w:rPr>
                <w:lang w:val="es-ES_tradnl"/>
              </w:rPr>
              <w:t>cempoalxóchitl</w:t>
            </w:r>
            <w:proofErr w:type="spellEnd"/>
            <w:r w:rsidRPr="00C90461">
              <w:rPr>
                <w:lang w:val="es-ES_tradnl"/>
              </w:rPr>
              <w:t xml:space="preserve">, melón, avena, cebolla, guisante/arveja, cacahuete/maní, zapallo/calabaza, arroz, </w:t>
            </w:r>
            <w:proofErr w:type="spellStart"/>
            <w:r w:rsidRPr="00C90461">
              <w:rPr>
                <w:lang w:val="es-ES_tradnl"/>
              </w:rPr>
              <w:t>raygrás</w:t>
            </w:r>
            <w:proofErr w:type="spellEnd"/>
            <w:r w:rsidRPr="00C90461">
              <w:rPr>
                <w:lang w:val="es-ES_tradnl"/>
              </w:rPr>
              <w:t xml:space="preserve">, cártamo, sorgo, </w:t>
            </w:r>
            <w:proofErr w:type="spellStart"/>
            <w:r w:rsidRPr="00C90461">
              <w:rPr>
                <w:lang w:val="es-ES_tradnl"/>
              </w:rPr>
              <w:t>triticale</w:t>
            </w:r>
            <w:proofErr w:type="spellEnd"/>
            <w:r w:rsidRPr="00C90461">
              <w:rPr>
                <w:lang w:val="es-ES_tradnl"/>
              </w:rPr>
              <w:t xml:space="preserve">, vinca pervinca, sandía, trigo y zinnia. </w:t>
            </w:r>
          </w:p>
        </w:tc>
      </w:tr>
      <w:tr w:rsidR="008F5DD0" w:rsidRPr="00C90461" w14:paraId="295EE70A" w14:textId="77777777" w:rsidTr="005A1C08">
        <w:tc>
          <w:tcPr>
            <w:tcW w:w="9393" w:type="dxa"/>
          </w:tcPr>
          <w:p w14:paraId="6DBDE74A" w14:textId="1BAAE630" w:rsidR="008F5DD0" w:rsidRPr="00C90461" w:rsidRDefault="008F5DD0" w:rsidP="004F78EA">
            <w:pPr>
              <w:spacing w:after="120" w:line="240" w:lineRule="auto"/>
              <w:jc w:val="left"/>
              <w:rPr>
                <w:lang w:val="es-ES_tradnl"/>
              </w:rPr>
            </w:pPr>
            <w:r w:rsidRPr="00C90461">
              <w:rPr>
                <w:lang w:val="es-ES_tradnl"/>
              </w:rPr>
              <w:t xml:space="preserve">Los mismos comentarios que para la pregunta 6. </w:t>
            </w:r>
          </w:p>
        </w:tc>
      </w:tr>
      <w:tr w:rsidR="008F5DD0" w:rsidRPr="00C90461" w14:paraId="711BDB5B" w14:textId="77777777" w:rsidTr="005A1C08">
        <w:tc>
          <w:tcPr>
            <w:tcW w:w="9393" w:type="dxa"/>
          </w:tcPr>
          <w:p w14:paraId="38D22680" w14:textId="77777777" w:rsidR="008F5DD0" w:rsidRPr="00C90461" w:rsidRDefault="008F5DD0" w:rsidP="004F78EA">
            <w:pPr>
              <w:spacing w:after="120" w:line="240" w:lineRule="auto"/>
              <w:jc w:val="left"/>
              <w:rPr>
                <w:lang w:val="es-ES_tradnl"/>
              </w:rPr>
            </w:pPr>
            <w:r w:rsidRPr="00C90461">
              <w:rPr>
                <w:lang w:val="es-ES_tradnl"/>
              </w:rPr>
              <w:t xml:space="preserve">Se aceptan las directrices de examen de la OCVV; en caso de que no haya directrices de examen de la OCVV, se aceptan las directrices de examen de la UPOV. </w:t>
            </w:r>
          </w:p>
        </w:tc>
      </w:tr>
      <w:tr w:rsidR="008F5DD0" w:rsidRPr="00C90461" w14:paraId="2C44C8EF" w14:textId="77777777" w:rsidTr="005A1C08">
        <w:tc>
          <w:tcPr>
            <w:tcW w:w="9393" w:type="dxa"/>
          </w:tcPr>
          <w:p w14:paraId="54BB309D" w14:textId="66CDAF31" w:rsidR="008F5DD0" w:rsidRPr="00C90461" w:rsidRDefault="008F5DD0" w:rsidP="004F78EA">
            <w:pPr>
              <w:spacing w:after="120" w:line="240" w:lineRule="auto"/>
              <w:jc w:val="left"/>
              <w:rPr>
                <w:lang w:val="es-ES_tradnl"/>
              </w:rPr>
            </w:pPr>
            <w:r w:rsidRPr="00C90461">
              <w:rPr>
                <w:lang w:val="es-ES_tradnl"/>
              </w:rPr>
              <w:t xml:space="preserve">Si se han valorado todos los caracteres señalados con asterisco. </w:t>
            </w:r>
          </w:p>
        </w:tc>
      </w:tr>
      <w:tr w:rsidR="008F5DD0" w:rsidRPr="00C90461" w14:paraId="740A1456" w14:textId="77777777" w:rsidTr="005A1C08">
        <w:tc>
          <w:tcPr>
            <w:tcW w:w="9393" w:type="dxa"/>
          </w:tcPr>
          <w:p w14:paraId="65DD40C1" w14:textId="77777777" w:rsidR="008F5DD0" w:rsidRPr="00C90461" w:rsidRDefault="008F5DD0" w:rsidP="004F78EA">
            <w:pPr>
              <w:spacing w:after="120" w:line="240" w:lineRule="auto"/>
              <w:jc w:val="left"/>
              <w:rPr>
                <w:lang w:val="es-ES_tradnl"/>
              </w:rPr>
            </w:pPr>
            <w:r w:rsidRPr="00C90461">
              <w:rPr>
                <w:lang w:val="es-ES_tradnl"/>
              </w:rPr>
              <w:t xml:space="preserve">no tenemos directrices de examen propias </w:t>
            </w:r>
          </w:p>
        </w:tc>
      </w:tr>
      <w:tr w:rsidR="008F5DD0" w:rsidRPr="00C90461" w14:paraId="41F3C89C" w14:textId="77777777" w:rsidTr="005A1C08">
        <w:tc>
          <w:tcPr>
            <w:tcW w:w="9393" w:type="dxa"/>
          </w:tcPr>
          <w:p w14:paraId="41BB1A7B" w14:textId="77777777" w:rsidR="008F5DD0" w:rsidRPr="00C90461" w:rsidRDefault="008F5DD0" w:rsidP="004F78EA">
            <w:pPr>
              <w:keepLines/>
              <w:spacing w:after="120" w:line="240" w:lineRule="auto"/>
              <w:jc w:val="left"/>
              <w:rPr>
                <w:lang w:val="es-ES_tradnl"/>
              </w:rPr>
            </w:pPr>
            <w:r w:rsidRPr="00C90461">
              <w:rPr>
                <w:lang w:val="es-ES_tradnl"/>
              </w:rPr>
              <w:lastRenderedPageBreak/>
              <w:t xml:space="preserve">para los géneros o especies del cuadro </w:t>
            </w:r>
            <w:r w:rsidRPr="00C90461">
              <w:rPr>
                <w:i/>
                <w:iCs/>
                <w:lang w:val="es-ES_tradnl"/>
              </w:rPr>
              <w:t xml:space="preserve">Triticum </w:t>
            </w:r>
            <w:proofErr w:type="spellStart"/>
            <w:r w:rsidRPr="00C90461">
              <w:rPr>
                <w:i/>
                <w:iCs/>
                <w:lang w:val="es-ES_tradnl"/>
              </w:rPr>
              <w:t>aestivum</w:t>
            </w:r>
            <w:proofErr w:type="spellEnd"/>
            <w:r w:rsidRPr="00C90461">
              <w:rPr>
                <w:lang w:val="es-ES_tradnl"/>
              </w:rPr>
              <w:t xml:space="preserve"> L. </w:t>
            </w:r>
            <w:proofErr w:type="spellStart"/>
            <w:r w:rsidRPr="00C90461">
              <w:rPr>
                <w:lang w:val="es-ES_tradnl"/>
              </w:rPr>
              <w:t>emend</w:t>
            </w:r>
            <w:proofErr w:type="spellEnd"/>
            <w:r w:rsidRPr="00C90461">
              <w:rPr>
                <w:lang w:val="es-ES_tradnl"/>
              </w:rPr>
              <w:t xml:space="preserve"> Fiori et </w:t>
            </w:r>
            <w:proofErr w:type="spellStart"/>
            <w:r w:rsidRPr="00C90461">
              <w:rPr>
                <w:lang w:val="es-ES_tradnl"/>
              </w:rPr>
              <w:t>Paol</w:t>
            </w:r>
            <w:proofErr w:type="spellEnd"/>
            <w:r w:rsidRPr="00C90461">
              <w:rPr>
                <w:lang w:val="es-ES_tradnl"/>
              </w:rPr>
              <w:t xml:space="preserve">. </w:t>
            </w:r>
            <w:r w:rsidRPr="00C90461">
              <w:rPr>
                <w:i/>
                <w:iCs/>
                <w:lang w:val="es-ES_tradnl"/>
              </w:rPr>
              <w:t xml:space="preserve">Triticum </w:t>
            </w:r>
            <w:proofErr w:type="spellStart"/>
            <w:r w:rsidRPr="00C90461">
              <w:rPr>
                <w:i/>
                <w:iCs/>
                <w:lang w:val="es-ES_tradnl"/>
              </w:rPr>
              <w:t>durum</w:t>
            </w:r>
            <w:proofErr w:type="spellEnd"/>
            <w:r w:rsidRPr="00C90461">
              <w:rPr>
                <w:lang w:val="es-ES_tradnl"/>
              </w:rPr>
              <w:t xml:space="preserve"> </w:t>
            </w:r>
            <w:proofErr w:type="spellStart"/>
            <w:r w:rsidRPr="00C90461">
              <w:rPr>
                <w:lang w:val="es-ES_tradnl"/>
              </w:rPr>
              <w:t>Desf</w:t>
            </w:r>
            <w:proofErr w:type="spellEnd"/>
            <w:r w:rsidRPr="00C90461">
              <w:rPr>
                <w:lang w:val="es-ES_tradnl"/>
              </w:rPr>
              <w:t xml:space="preserve">., </w:t>
            </w:r>
            <w:proofErr w:type="spellStart"/>
            <w:r w:rsidRPr="00C90461">
              <w:rPr>
                <w:i/>
                <w:iCs/>
                <w:lang w:val="es-ES_tradnl"/>
              </w:rPr>
              <w:t>Secale</w:t>
            </w:r>
            <w:proofErr w:type="spellEnd"/>
            <w:r w:rsidRPr="00C90461">
              <w:rPr>
                <w:i/>
                <w:iCs/>
                <w:lang w:val="es-ES_tradnl"/>
              </w:rPr>
              <w:t xml:space="preserve"> </w:t>
            </w:r>
            <w:proofErr w:type="spellStart"/>
            <w:r w:rsidRPr="00C90461">
              <w:rPr>
                <w:i/>
                <w:iCs/>
                <w:lang w:val="es-ES_tradnl"/>
              </w:rPr>
              <w:t>cereale</w:t>
            </w:r>
            <w:proofErr w:type="spellEnd"/>
            <w:r w:rsidRPr="00C90461">
              <w:rPr>
                <w:lang w:val="es-ES_tradnl"/>
              </w:rPr>
              <w:t xml:space="preserve"> L. ×</w:t>
            </w:r>
            <w:proofErr w:type="spellStart"/>
            <w:r w:rsidRPr="00C90461">
              <w:rPr>
                <w:i/>
                <w:iCs/>
                <w:lang w:val="es-ES_tradnl"/>
              </w:rPr>
              <w:t>Triticosecale</w:t>
            </w:r>
            <w:proofErr w:type="spellEnd"/>
            <w:r w:rsidRPr="00C90461">
              <w:rPr>
                <w:lang w:val="es-ES_tradnl"/>
              </w:rPr>
              <w:t xml:space="preserve"> </w:t>
            </w:r>
            <w:proofErr w:type="spellStart"/>
            <w:r w:rsidRPr="00C90461">
              <w:rPr>
                <w:lang w:val="es-ES_tradnl"/>
              </w:rPr>
              <w:t>Wittm</w:t>
            </w:r>
            <w:proofErr w:type="spellEnd"/>
            <w:r w:rsidRPr="00C90461">
              <w:rPr>
                <w:lang w:val="es-ES_tradnl"/>
              </w:rPr>
              <w:t xml:space="preserve">., </w:t>
            </w:r>
            <w:proofErr w:type="spellStart"/>
            <w:r w:rsidRPr="00C90461">
              <w:rPr>
                <w:i/>
                <w:iCs/>
                <w:lang w:val="es-ES_tradnl"/>
              </w:rPr>
              <w:t>Hordeum</w:t>
            </w:r>
            <w:proofErr w:type="spellEnd"/>
            <w:r w:rsidRPr="00C90461">
              <w:rPr>
                <w:i/>
                <w:iCs/>
                <w:lang w:val="es-ES_tradnl"/>
              </w:rPr>
              <w:t xml:space="preserve"> </w:t>
            </w:r>
            <w:proofErr w:type="spellStart"/>
            <w:r w:rsidRPr="00C90461">
              <w:rPr>
                <w:i/>
                <w:iCs/>
                <w:lang w:val="es-ES_tradnl"/>
              </w:rPr>
              <w:t>vulgare</w:t>
            </w:r>
            <w:proofErr w:type="spellEnd"/>
            <w:r w:rsidRPr="00C90461">
              <w:rPr>
                <w:lang w:val="es-ES_tradnl"/>
              </w:rPr>
              <w:t xml:space="preserve"> L. en sentido amplio, </w:t>
            </w:r>
            <w:proofErr w:type="spellStart"/>
            <w:r w:rsidRPr="00C90461">
              <w:rPr>
                <w:i/>
                <w:iCs/>
                <w:lang w:val="es-ES_tradnl"/>
              </w:rPr>
              <w:t>Fagopyrum</w:t>
            </w:r>
            <w:proofErr w:type="spellEnd"/>
            <w:r w:rsidRPr="00C90461">
              <w:rPr>
                <w:i/>
                <w:iCs/>
                <w:lang w:val="es-ES_tradnl"/>
              </w:rPr>
              <w:t xml:space="preserve"> </w:t>
            </w:r>
            <w:proofErr w:type="spellStart"/>
            <w:r w:rsidRPr="00C90461">
              <w:rPr>
                <w:i/>
                <w:iCs/>
                <w:lang w:val="es-ES_tradnl"/>
              </w:rPr>
              <w:t>esculentum</w:t>
            </w:r>
            <w:proofErr w:type="spellEnd"/>
            <w:r w:rsidRPr="00C90461">
              <w:rPr>
                <w:lang w:val="es-ES_tradnl"/>
              </w:rPr>
              <w:t xml:space="preserve"> Moench, </w:t>
            </w:r>
            <w:r w:rsidRPr="00C90461">
              <w:rPr>
                <w:i/>
                <w:iCs/>
                <w:lang w:val="es-ES_tradnl"/>
              </w:rPr>
              <w:t xml:space="preserve">Zea </w:t>
            </w:r>
            <w:proofErr w:type="spellStart"/>
            <w:r w:rsidRPr="00C90461">
              <w:rPr>
                <w:i/>
                <w:iCs/>
                <w:lang w:val="es-ES_tradnl"/>
              </w:rPr>
              <w:t>mays</w:t>
            </w:r>
            <w:proofErr w:type="spellEnd"/>
            <w:r w:rsidRPr="00C90461">
              <w:rPr>
                <w:lang w:val="es-ES_tradnl"/>
              </w:rPr>
              <w:t xml:space="preserve"> L., </w:t>
            </w:r>
            <w:r w:rsidRPr="00C90461">
              <w:rPr>
                <w:i/>
                <w:iCs/>
                <w:lang w:val="es-ES_tradnl"/>
              </w:rPr>
              <w:t>Avena nuda</w:t>
            </w:r>
            <w:r w:rsidRPr="00C90461">
              <w:rPr>
                <w:lang w:val="es-ES_tradnl"/>
              </w:rPr>
              <w:t xml:space="preserve"> L., </w:t>
            </w:r>
            <w:r w:rsidRPr="00C90461">
              <w:rPr>
                <w:i/>
                <w:iCs/>
                <w:lang w:val="es-ES_tradnl"/>
              </w:rPr>
              <w:t>Avena sativa</w:t>
            </w:r>
            <w:r w:rsidRPr="00C90461">
              <w:rPr>
                <w:lang w:val="es-ES_tradnl"/>
              </w:rPr>
              <w:t xml:space="preserve"> L. </w:t>
            </w:r>
            <w:proofErr w:type="spellStart"/>
            <w:r w:rsidRPr="00C90461">
              <w:rPr>
                <w:i/>
                <w:iCs/>
                <w:lang w:val="es-ES_tradnl"/>
              </w:rPr>
              <w:t>Pisum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en sentido amplio,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luteus</w:t>
            </w:r>
            <w:proofErr w:type="spellEnd"/>
            <w:r w:rsidRPr="00C90461">
              <w:rPr>
                <w:lang w:val="es-ES_tradnl"/>
              </w:rPr>
              <w:t xml:space="preserve"> L.,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angustifolius</w:t>
            </w:r>
            <w:proofErr w:type="spellEnd"/>
            <w:r w:rsidRPr="00C90461">
              <w:rPr>
                <w:lang w:val="es-ES_tradnl"/>
              </w:rPr>
              <w:t xml:space="preserve"> L., </w:t>
            </w:r>
            <w:proofErr w:type="spellStart"/>
            <w:r w:rsidRPr="00C90461">
              <w:rPr>
                <w:i/>
                <w:iCs/>
                <w:lang w:val="es-ES_tradnl"/>
              </w:rPr>
              <w:t>Glycine</w:t>
            </w:r>
            <w:proofErr w:type="spellEnd"/>
            <w:r w:rsidRPr="00C90461">
              <w:rPr>
                <w:i/>
                <w:iCs/>
                <w:lang w:val="es-ES_tradnl"/>
              </w:rPr>
              <w:t xml:space="preserve"> </w:t>
            </w:r>
            <w:proofErr w:type="spellStart"/>
            <w:r w:rsidRPr="00C90461">
              <w:rPr>
                <w:i/>
                <w:iCs/>
                <w:lang w:val="es-ES_tradnl"/>
              </w:rPr>
              <w:t>max</w:t>
            </w:r>
            <w:proofErr w:type="spellEnd"/>
            <w:r w:rsidRPr="00C90461">
              <w:rPr>
                <w:lang w:val="es-ES_tradnl"/>
              </w:rPr>
              <w:t xml:space="preserve"> (L.) </w:t>
            </w:r>
            <w:proofErr w:type="spellStart"/>
            <w:r w:rsidRPr="00C90461">
              <w:rPr>
                <w:lang w:val="es-ES_tradnl"/>
              </w:rPr>
              <w:t>Merr</w:t>
            </w:r>
            <w:proofErr w:type="spellEnd"/>
            <w:r w:rsidRPr="00C90461">
              <w:rPr>
                <w:lang w:val="es-ES_tradnl"/>
              </w:rPr>
              <w:t xml:space="preserve">., </w:t>
            </w:r>
            <w:proofErr w:type="spellStart"/>
            <w:r w:rsidRPr="00C90461">
              <w:rPr>
                <w:i/>
                <w:iCs/>
                <w:lang w:val="es-ES_tradnl"/>
              </w:rPr>
              <w:t>Cucumis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L. f. </w:t>
            </w:r>
            <w:r w:rsidRPr="00C90461">
              <w:rPr>
                <w:i/>
                <w:iCs/>
                <w:lang w:val="es-ES_tradnl"/>
              </w:rPr>
              <w:t>alba</w:t>
            </w:r>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w:t>
            </w:r>
            <w:proofErr w:type="spellStart"/>
            <w:r w:rsidRPr="00C90461">
              <w:rPr>
                <w:lang w:val="es-ES_tradnl"/>
              </w:rPr>
              <w:t>L.f</w:t>
            </w:r>
            <w:proofErr w:type="spellEnd"/>
            <w:r w:rsidRPr="00C90461">
              <w:rPr>
                <w:lang w:val="es-ES_tradnl"/>
              </w:rPr>
              <w:t xml:space="preserve">. </w:t>
            </w:r>
            <w:r w:rsidRPr="00C90461">
              <w:rPr>
                <w:i/>
                <w:iCs/>
                <w:lang w:val="es-ES_tradnl"/>
              </w:rPr>
              <w:t>rubra</w:t>
            </w:r>
            <w:r w:rsidRPr="00C90461">
              <w:rPr>
                <w:lang w:val="es-ES_tradnl"/>
              </w:rPr>
              <w:t xml:space="preserve"> (L.) </w:t>
            </w:r>
            <w:proofErr w:type="spellStart"/>
            <w:r w:rsidRPr="00C90461">
              <w:rPr>
                <w:lang w:val="es-ES_tradnl"/>
              </w:rPr>
              <w:t>Thell</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sabauda</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convar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(L.) </w:t>
            </w:r>
            <w:proofErr w:type="spellStart"/>
            <w:r w:rsidRPr="00C90461">
              <w:rPr>
                <w:lang w:val="es-ES_tradnl"/>
              </w:rPr>
              <w:t>Alef</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cymosa</w:t>
            </w:r>
            <w:proofErr w:type="spellEnd"/>
            <w:r w:rsidRPr="00C90461">
              <w:rPr>
                <w:lang w:val="es-ES_tradnl"/>
              </w:rPr>
              <w:t xml:space="preserve"> </w:t>
            </w:r>
            <w:proofErr w:type="spellStart"/>
            <w:r w:rsidRPr="00C90461">
              <w:rPr>
                <w:lang w:val="es-ES_tradnl"/>
              </w:rPr>
              <w:t>Duch</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gemmifera</w:t>
            </w:r>
            <w:proofErr w:type="spellEnd"/>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gongylodes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pekinensis</w:t>
            </w:r>
            <w:proofErr w:type="spellEnd"/>
            <w:r w:rsidRPr="00C90461">
              <w:rPr>
                <w:lang w:val="es-ES_tradnl"/>
              </w:rPr>
              <w:t xml:space="preserve"> (</w:t>
            </w:r>
            <w:proofErr w:type="spellStart"/>
            <w:r w:rsidRPr="00C90461">
              <w:rPr>
                <w:lang w:val="es-ES_tradnl"/>
              </w:rPr>
              <w:t>Lour</w:t>
            </w:r>
            <w:proofErr w:type="spellEnd"/>
            <w:r w:rsidRPr="00C90461">
              <w:rPr>
                <w:lang w:val="es-ES_tradnl"/>
              </w:rPr>
              <w:t xml:space="preserve">.) </w:t>
            </w:r>
            <w:proofErr w:type="spellStart"/>
            <w:r w:rsidRPr="00C90461">
              <w:rPr>
                <w:lang w:val="es-ES_tradnl"/>
              </w:rPr>
              <w:t>Rupr</w:t>
            </w:r>
            <w:proofErr w:type="spellEnd"/>
            <w:r w:rsidRPr="00C90461">
              <w:rPr>
                <w:lang w:val="es-ES_tradnl"/>
              </w:rPr>
              <w:t xml:space="preserve">., </w:t>
            </w:r>
            <w:proofErr w:type="spellStart"/>
            <w:r w:rsidRPr="00C90461">
              <w:rPr>
                <w:i/>
                <w:iCs/>
                <w:lang w:val="es-ES_tradnl"/>
              </w:rPr>
              <w:t>Allium</w:t>
            </w:r>
            <w:proofErr w:type="spellEnd"/>
            <w:r w:rsidRPr="00C90461">
              <w:rPr>
                <w:i/>
                <w:iCs/>
                <w:lang w:val="es-ES_tradnl"/>
              </w:rPr>
              <w:t xml:space="preserve"> cepa</w:t>
            </w:r>
            <w:r w:rsidRPr="00C90461">
              <w:rPr>
                <w:lang w:val="es-ES_tradnl"/>
              </w:rPr>
              <w:t xml:space="preserve"> L., </w:t>
            </w:r>
            <w:proofErr w:type="spellStart"/>
            <w:r w:rsidRPr="00C90461">
              <w:rPr>
                <w:i/>
                <w:iCs/>
                <w:lang w:val="es-ES_tradnl"/>
              </w:rPr>
              <w:t>Daucus</w:t>
            </w:r>
            <w:proofErr w:type="spellEnd"/>
            <w:r w:rsidRPr="00C90461">
              <w:rPr>
                <w:i/>
                <w:iCs/>
                <w:lang w:val="es-ES_tradnl"/>
              </w:rPr>
              <w:t xml:space="preserve"> carota</w:t>
            </w:r>
            <w:r w:rsidRPr="00C90461">
              <w:rPr>
                <w:lang w:val="es-ES_tradnl"/>
              </w:rPr>
              <w:t xml:space="preserve"> L., </w:t>
            </w:r>
            <w:proofErr w:type="spellStart"/>
            <w:r w:rsidRPr="00C90461">
              <w:rPr>
                <w:i/>
                <w:iCs/>
                <w:lang w:val="es-ES_tradnl"/>
              </w:rPr>
              <w:t>Capsicum</w:t>
            </w:r>
            <w:proofErr w:type="spellEnd"/>
            <w:r w:rsidRPr="00C90461">
              <w:rPr>
                <w:i/>
                <w:iCs/>
                <w:lang w:val="es-ES_tradnl"/>
              </w:rPr>
              <w:t xml:space="preserve"> </w:t>
            </w:r>
            <w:proofErr w:type="spellStart"/>
            <w:r w:rsidRPr="00C90461">
              <w:rPr>
                <w:i/>
                <w:iCs/>
                <w:lang w:val="es-ES_tradnl"/>
              </w:rPr>
              <w:t>annuum</w:t>
            </w:r>
            <w:proofErr w:type="spellEnd"/>
            <w:r w:rsidRPr="00C90461">
              <w:rPr>
                <w:lang w:val="es-ES_tradnl"/>
              </w:rPr>
              <w:t xml:space="preserve"> L., </w:t>
            </w:r>
            <w:proofErr w:type="spellStart"/>
            <w:r w:rsidRPr="00C90461">
              <w:rPr>
                <w:i/>
                <w:iCs/>
                <w:lang w:val="es-ES_tradnl"/>
              </w:rPr>
              <w:t>Petroselinum</w:t>
            </w:r>
            <w:proofErr w:type="spellEnd"/>
            <w:r w:rsidRPr="00C90461">
              <w:rPr>
                <w:i/>
                <w:iCs/>
                <w:lang w:val="es-ES_tradnl"/>
              </w:rPr>
              <w:t xml:space="preserve"> </w:t>
            </w:r>
            <w:proofErr w:type="spellStart"/>
            <w:r w:rsidRPr="00C90461">
              <w:rPr>
                <w:i/>
                <w:iCs/>
                <w:lang w:val="es-ES_tradnl"/>
              </w:rPr>
              <w:t>crispum</w:t>
            </w:r>
            <w:proofErr w:type="spellEnd"/>
            <w:r w:rsidRPr="00C90461">
              <w:rPr>
                <w:lang w:val="es-ES_tradnl"/>
              </w:rPr>
              <w:t xml:space="preserve"> (Mill.) </w:t>
            </w:r>
            <w:proofErr w:type="spellStart"/>
            <w:r w:rsidRPr="00C90461">
              <w:rPr>
                <w:lang w:val="es-ES_tradnl"/>
              </w:rPr>
              <w:t>Nyman</w:t>
            </w:r>
            <w:proofErr w:type="spellEnd"/>
            <w:r w:rsidRPr="00C90461">
              <w:rPr>
                <w:lang w:val="es-ES_tradnl"/>
              </w:rPr>
              <w:t xml:space="preserve"> ex A. W. Hill, </w:t>
            </w:r>
            <w:proofErr w:type="spellStart"/>
            <w:r w:rsidRPr="00C90461">
              <w:rPr>
                <w:i/>
                <w:iCs/>
                <w:lang w:val="es-ES_tradnl"/>
              </w:rPr>
              <w:t>Raphanus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rapa</w:t>
            </w:r>
            <w:r w:rsidRPr="00C90461">
              <w:rPr>
                <w:lang w:val="es-ES_tradnl"/>
              </w:rPr>
              <w:t xml:space="preserve"> L., </w:t>
            </w:r>
            <w:r w:rsidRPr="00C90461">
              <w:rPr>
                <w:i/>
                <w:iCs/>
                <w:lang w:val="es-ES_tradnl"/>
              </w:rPr>
              <w:t>Lactuca sativa</w:t>
            </w:r>
            <w:r w:rsidRPr="00C90461">
              <w:rPr>
                <w:lang w:val="es-ES_tradnl"/>
              </w:rPr>
              <w:t xml:space="preserve"> L.,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conditiva</w:t>
            </w:r>
            <w:proofErr w:type="spellEnd"/>
            <w:r w:rsidRPr="00C90461">
              <w:rPr>
                <w:lang w:val="es-ES_tradnl"/>
              </w:rPr>
              <w:t xml:space="preserve"> </w:t>
            </w:r>
            <w:proofErr w:type="spellStart"/>
            <w:r w:rsidRPr="00C90461">
              <w:rPr>
                <w:lang w:val="es-ES_tradnl"/>
              </w:rPr>
              <w:t>Alef</w:t>
            </w:r>
            <w:proofErr w:type="spellEnd"/>
            <w:r w:rsidRPr="00C90461">
              <w:rPr>
                <w:lang w:val="es-ES_tradnl"/>
              </w:rPr>
              <w:t xml:space="preserve">.,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lycopеrsicum</w:t>
            </w:r>
            <w:proofErr w:type="spellEnd"/>
            <w:r w:rsidRPr="00C90461">
              <w:rPr>
                <w:lang w:val="es-ES_tradnl"/>
              </w:rPr>
              <w:t xml:space="preserve"> L., </w:t>
            </w:r>
            <w:proofErr w:type="spellStart"/>
            <w:r w:rsidRPr="00C90461">
              <w:rPr>
                <w:i/>
                <w:iCs/>
                <w:lang w:val="es-ES_tradnl"/>
              </w:rPr>
              <w:t>Cucurbita</w:t>
            </w:r>
            <w:proofErr w:type="spellEnd"/>
            <w:r w:rsidRPr="00C90461">
              <w:rPr>
                <w:i/>
                <w:iCs/>
                <w:lang w:val="es-ES_tradnl"/>
              </w:rPr>
              <w:t xml:space="preserve"> pepo</w:t>
            </w:r>
            <w:r w:rsidRPr="00C90461">
              <w:rPr>
                <w:lang w:val="es-ES_tradnl"/>
              </w:rPr>
              <w:t xml:space="preserve"> L., </w:t>
            </w:r>
            <w:proofErr w:type="spellStart"/>
            <w:r w:rsidRPr="00C90461">
              <w:rPr>
                <w:i/>
                <w:iCs/>
                <w:lang w:val="es-ES_tradnl"/>
              </w:rPr>
              <w:t>Anethum</w:t>
            </w:r>
            <w:proofErr w:type="spellEnd"/>
            <w:r w:rsidRPr="00C90461">
              <w:rPr>
                <w:i/>
                <w:iCs/>
                <w:lang w:val="es-ES_tradnl"/>
              </w:rPr>
              <w:t xml:space="preserve"> </w:t>
            </w:r>
            <w:proofErr w:type="spellStart"/>
            <w:r w:rsidRPr="00C90461">
              <w:rPr>
                <w:i/>
                <w:iCs/>
                <w:lang w:val="es-ES_tradnl"/>
              </w:rPr>
              <w:t>graveolens</w:t>
            </w:r>
            <w:proofErr w:type="spellEnd"/>
            <w:r w:rsidRPr="00C90461">
              <w:rPr>
                <w:lang w:val="es-ES_tradnl"/>
              </w:rPr>
              <w:t xml:space="preserve"> L., </w:t>
            </w:r>
            <w:proofErr w:type="spellStart"/>
            <w:r w:rsidRPr="00C90461">
              <w:rPr>
                <w:i/>
                <w:iCs/>
                <w:lang w:val="es-ES_tradnl"/>
              </w:rPr>
              <w:t>Phaseolus</w:t>
            </w:r>
            <w:proofErr w:type="spellEnd"/>
            <w:r w:rsidRPr="00C90461">
              <w:rPr>
                <w:lang w:val="es-ES_tradnl"/>
              </w:rPr>
              <w:t xml:space="preserve"> L., </w:t>
            </w:r>
            <w:proofErr w:type="spellStart"/>
            <w:r w:rsidRPr="00C90461">
              <w:rPr>
                <w:i/>
                <w:iCs/>
                <w:lang w:val="es-ES_tradnl"/>
              </w:rPr>
              <w:t>Allium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tuberosum</w:t>
            </w:r>
            <w:proofErr w:type="spellEnd"/>
            <w:r w:rsidRPr="00C90461">
              <w:rPr>
                <w:lang w:val="es-ES_tradnl"/>
              </w:rPr>
              <w:t xml:space="preserve"> L. en sentido amplio,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alba DC., </w:t>
            </w:r>
            <w:proofErr w:type="spellStart"/>
            <w:r w:rsidRPr="00C90461">
              <w:rPr>
                <w:i/>
                <w:iCs/>
                <w:lang w:val="es-ES_tradnl"/>
              </w:rPr>
              <w:t>Linum</w:t>
            </w:r>
            <w:proofErr w:type="spellEnd"/>
            <w:r w:rsidRPr="00C90461">
              <w:rPr>
                <w:i/>
                <w:iCs/>
                <w:lang w:val="es-ES_tradnl"/>
              </w:rPr>
              <w:t xml:space="preserve"> </w:t>
            </w:r>
            <w:proofErr w:type="spellStart"/>
            <w:r w:rsidRPr="00C90461">
              <w:rPr>
                <w:i/>
                <w:iCs/>
                <w:lang w:val="es-ES_tradnl"/>
              </w:rPr>
              <w:t>usitatissimum</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napus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oleifera</w:t>
            </w:r>
            <w:proofErr w:type="spellEnd"/>
            <w:r w:rsidRPr="00C90461">
              <w:rPr>
                <w:lang w:val="es-ES_tradnl"/>
              </w:rPr>
              <w:t xml:space="preserve"> (</w:t>
            </w:r>
            <w:proofErr w:type="spellStart"/>
            <w:r w:rsidRPr="00C90461">
              <w:rPr>
                <w:lang w:val="es-ES_tradnl"/>
              </w:rPr>
              <w:t>Metzg</w:t>
            </w:r>
            <w:proofErr w:type="spellEnd"/>
            <w:r w:rsidRPr="00C90461">
              <w:rPr>
                <w:lang w:val="es-ES_tradnl"/>
              </w:rPr>
              <w:t xml:space="preserve">.) </w:t>
            </w:r>
            <w:proofErr w:type="spellStart"/>
            <w:r w:rsidRPr="00C90461">
              <w:rPr>
                <w:lang w:val="es-ES_tradnl"/>
              </w:rPr>
              <w:t>Sinsk</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campestris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campestris</w:t>
            </w:r>
            <w:proofErr w:type="spellEnd"/>
            <w:r w:rsidRPr="00C90461">
              <w:rPr>
                <w:i/>
                <w:iCs/>
                <w:lang w:val="es-ES_tradnl"/>
              </w:rPr>
              <w:t>,</w:t>
            </w:r>
            <w:r w:rsidRPr="00C90461">
              <w:rPr>
                <w:lang w:val="es-ES_tradnl"/>
              </w:rPr>
              <w:t xml:space="preserve"> </w:t>
            </w:r>
            <w:r w:rsidRPr="00C90461">
              <w:rPr>
                <w:i/>
                <w:iCs/>
                <w:lang w:val="es-ES_tradnl"/>
              </w:rPr>
              <w:t>Fragaria</w:t>
            </w:r>
            <w:r w:rsidRPr="00C90461">
              <w:rPr>
                <w:lang w:val="es-ES_tradnl"/>
              </w:rPr>
              <w:t xml:space="preserve"> L., </w:t>
            </w:r>
            <w:r w:rsidRPr="00C90461">
              <w:rPr>
                <w:i/>
                <w:iCs/>
                <w:lang w:val="es-ES_tradnl"/>
              </w:rPr>
              <w:t xml:space="preserve">Ribes </w:t>
            </w:r>
            <w:proofErr w:type="spellStart"/>
            <w:r w:rsidRPr="00C90461">
              <w:rPr>
                <w:i/>
                <w:iCs/>
                <w:lang w:val="es-ES_tradnl"/>
              </w:rPr>
              <w:t>rubrum</w:t>
            </w:r>
            <w:proofErr w:type="spellEnd"/>
            <w:r w:rsidRPr="00C90461">
              <w:rPr>
                <w:lang w:val="es-ES_tradnl"/>
              </w:rPr>
              <w:t xml:space="preserve"> L., </w:t>
            </w:r>
            <w:r w:rsidRPr="00C90461">
              <w:rPr>
                <w:i/>
                <w:iCs/>
                <w:lang w:val="es-ES_tradnl"/>
              </w:rPr>
              <w:t xml:space="preserve">Ribes </w:t>
            </w:r>
            <w:proofErr w:type="spellStart"/>
            <w:r w:rsidRPr="00C90461">
              <w:rPr>
                <w:i/>
                <w:iCs/>
                <w:lang w:val="es-ES_tradnl"/>
              </w:rPr>
              <w:t>nigrum</w:t>
            </w:r>
            <w:proofErr w:type="spellEnd"/>
            <w:r w:rsidRPr="00C90461">
              <w:rPr>
                <w:lang w:val="es-ES_tradnl"/>
              </w:rPr>
              <w:t xml:space="preserve"> L. </w:t>
            </w:r>
          </w:p>
        </w:tc>
      </w:tr>
      <w:tr w:rsidR="008F5DD0" w:rsidRPr="00C90461" w14:paraId="5296B187" w14:textId="77777777" w:rsidTr="005A1C08">
        <w:tc>
          <w:tcPr>
            <w:tcW w:w="9393" w:type="dxa"/>
          </w:tcPr>
          <w:p w14:paraId="4063E00A" w14:textId="77777777" w:rsidR="008F5DD0" w:rsidRPr="00C90461" w:rsidRDefault="008F5DD0" w:rsidP="004F78EA">
            <w:pPr>
              <w:spacing w:after="120" w:line="240" w:lineRule="auto"/>
              <w:jc w:val="left"/>
              <w:rPr>
                <w:lang w:val="es-ES_tradnl"/>
              </w:rPr>
            </w:pPr>
            <w:r w:rsidRPr="00C90461">
              <w:rPr>
                <w:lang w:val="es-ES_tradnl"/>
              </w:rPr>
              <w:t xml:space="preserve">Se suele usar un informe de examen extranjero para especies de las que no hay directrices de examen nacionales. </w:t>
            </w:r>
          </w:p>
        </w:tc>
      </w:tr>
      <w:tr w:rsidR="008F5DD0" w:rsidRPr="00C90461" w14:paraId="0A39A979" w14:textId="77777777" w:rsidTr="005A1C08">
        <w:tc>
          <w:tcPr>
            <w:tcW w:w="9393" w:type="dxa"/>
          </w:tcPr>
          <w:p w14:paraId="7A257656" w14:textId="77777777" w:rsidR="008F5DD0" w:rsidRPr="00C90461" w:rsidRDefault="008F5DD0" w:rsidP="004F78EA">
            <w:pPr>
              <w:spacing w:after="120" w:line="240" w:lineRule="auto"/>
              <w:jc w:val="left"/>
              <w:rPr>
                <w:lang w:val="es-ES_tradnl"/>
              </w:rPr>
            </w:pPr>
            <w:r w:rsidRPr="00C90461">
              <w:rPr>
                <w:lang w:val="es-ES_tradnl"/>
              </w:rPr>
              <w:t xml:space="preserve">En Omán, el informe de los exámenes de la UPOV solo se realiza por medio del Comité Ejecutivo para el Registro y la Autorización de Obtenciones Vegetales. </w:t>
            </w:r>
          </w:p>
        </w:tc>
      </w:tr>
      <w:tr w:rsidR="008F5DD0" w:rsidRPr="00C90461" w14:paraId="370B1C3E" w14:textId="77777777" w:rsidTr="005A1C08">
        <w:tc>
          <w:tcPr>
            <w:tcW w:w="9393" w:type="dxa"/>
          </w:tcPr>
          <w:p w14:paraId="61272D8B" w14:textId="77777777" w:rsidR="008F5DD0" w:rsidRPr="00C90461" w:rsidRDefault="008F5DD0" w:rsidP="004F78EA">
            <w:pPr>
              <w:spacing w:after="120" w:line="240" w:lineRule="auto"/>
              <w:jc w:val="left"/>
              <w:rPr>
                <w:lang w:val="es-ES_tradnl"/>
              </w:rPr>
            </w:pPr>
            <w:r w:rsidRPr="00C90461">
              <w:rPr>
                <w:lang w:val="es-ES_tradnl"/>
              </w:rPr>
              <w:t xml:space="preserve">Este informe es una valoración concreta de desviaciones específicas </w:t>
            </w:r>
          </w:p>
        </w:tc>
      </w:tr>
      <w:tr w:rsidR="008F5DD0" w:rsidRPr="00C90461" w14:paraId="07CF34E5" w14:textId="77777777" w:rsidTr="005A1C08">
        <w:tc>
          <w:tcPr>
            <w:tcW w:w="9393" w:type="dxa"/>
          </w:tcPr>
          <w:p w14:paraId="40473BD5" w14:textId="77777777" w:rsidR="008F5DD0" w:rsidRPr="00C90461" w:rsidRDefault="008F5DD0" w:rsidP="004F78EA">
            <w:pPr>
              <w:spacing w:after="120" w:line="240" w:lineRule="auto"/>
              <w:jc w:val="left"/>
              <w:rPr>
                <w:lang w:val="es-ES_tradnl"/>
              </w:rPr>
            </w:pPr>
            <w:r w:rsidRPr="00C90461">
              <w:rPr>
                <w:lang w:val="es-ES_tradnl"/>
              </w:rPr>
              <w:t xml:space="preserve">Todavía no hemos tenido ninguna solicitud de este tipo </w:t>
            </w:r>
          </w:p>
        </w:tc>
      </w:tr>
      <w:tr w:rsidR="008F5DD0" w:rsidRPr="00C90461" w14:paraId="5F539DDB" w14:textId="77777777" w:rsidTr="005A1C08">
        <w:tc>
          <w:tcPr>
            <w:tcW w:w="9393" w:type="dxa"/>
          </w:tcPr>
          <w:p w14:paraId="332CF8DA" w14:textId="1236DD58" w:rsidR="008F5DD0" w:rsidRPr="00C90461" w:rsidRDefault="008F5DD0" w:rsidP="004F78EA">
            <w:pPr>
              <w:spacing w:after="120" w:line="240" w:lineRule="auto"/>
              <w:jc w:val="left"/>
              <w:rPr>
                <w:lang w:val="es-ES_tradnl"/>
              </w:rPr>
            </w:pPr>
            <w:r w:rsidRPr="00C90461">
              <w:rPr>
                <w:lang w:val="es-ES_tradnl"/>
              </w:rPr>
              <w:t xml:space="preserve">TODOS SE BASAN EN LAS </w:t>
            </w:r>
            <w:r w:rsidR="002A57CA" w:rsidRPr="00C90461">
              <w:rPr>
                <w:lang w:val="es-ES_tradnl"/>
              </w:rPr>
              <w:t>DIRECTRICES</w:t>
            </w:r>
            <w:r w:rsidRPr="00C90461">
              <w:rPr>
                <w:lang w:val="es-ES_tradnl"/>
              </w:rPr>
              <w:t xml:space="preserve"> DE EXAMEN DE LA UPOV </w:t>
            </w:r>
          </w:p>
        </w:tc>
      </w:tr>
      <w:tr w:rsidR="008F5DD0" w:rsidRPr="00C90461" w14:paraId="7D280ABC" w14:textId="77777777" w:rsidTr="005A1C08">
        <w:tc>
          <w:tcPr>
            <w:tcW w:w="9393" w:type="dxa"/>
          </w:tcPr>
          <w:p w14:paraId="25DBD285" w14:textId="77777777" w:rsidR="008F5DD0" w:rsidRPr="00C90461" w:rsidRDefault="008F5DD0" w:rsidP="004F78EA">
            <w:pPr>
              <w:spacing w:after="120" w:line="240" w:lineRule="auto"/>
              <w:jc w:val="left"/>
              <w:rPr>
                <w:lang w:val="es-ES_tradnl"/>
              </w:rPr>
            </w:pPr>
            <w:r w:rsidRPr="00C90461">
              <w:rPr>
                <w:lang w:val="es-ES_tradnl"/>
              </w:rPr>
              <w:t xml:space="preserve">No se ha presentado ningún caso de este tipo en la práctica. </w:t>
            </w:r>
          </w:p>
        </w:tc>
      </w:tr>
      <w:tr w:rsidR="008F5DD0" w:rsidRPr="00C90461" w14:paraId="5E4F632E" w14:textId="77777777" w:rsidTr="005A1C08">
        <w:tc>
          <w:tcPr>
            <w:tcW w:w="9393" w:type="dxa"/>
          </w:tcPr>
          <w:p w14:paraId="0430C703" w14:textId="77777777" w:rsidR="008F5DD0" w:rsidRPr="00C90461" w:rsidRDefault="008F5DD0" w:rsidP="004F78EA">
            <w:pPr>
              <w:spacing w:after="120" w:line="240" w:lineRule="auto"/>
              <w:jc w:val="left"/>
              <w:rPr>
                <w:lang w:val="es-ES_tradnl"/>
              </w:rPr>
            </w:pPr>
            <w:r w:rsidRPr="00C90461">
              <w:rPr>
                <w:lang w:val="es-ES_tradnl"/>
              </w:rPr>
              <w:t xml:space="preserve">El Ministerio puede utilizar los resultados del examen técnico (examen DHE) de una variedad obtenida en otro miembro de la UPOV. Solo si no existen directrices de examen de la UPOV para determinada especie vegetal, aceptamos un examen DHE y la descripción de la variedad basada en otras directrices de examen. </w:t>
            </w:r>
          </w:p>
        </w:tc>
      </w:tr>
      <w:tr w:rsidR="008F5DD0" w:rsidRPr="00C90461" w14:paraId="646C59B6" w14:textId="77777777" w:rsidTr="005A1C08">
        <w:tc>
          <w:tcPr>
            <w:tcW w:w="9393" w:type="dxa"/>
          </w:tcPr>
          <w:p w14:paraId="269CB22E" w14:textId="77777777" w:rsidR="008F5DD0" w:rsidRPr="00C90461" w:rsidRDefault="008F5DD0" w:rsidP="004F78EA">
            <w:pPr>
              <w:spacing w:after="120" w:line="240" w:lineRule="auto"/>
              <w:jc w:val="left"/>
              <w:rPr>
                <w:lang w:val="es-ES_tradnl"/>
              </w:rPr>
            </w:pPr>
            <w:r w:rsidRPr="00C90461">
              <w:rPr>
                <w:lang w:val="es-ES_tradnl"/>
              </w:rPr>
              <w:t xml:space="preserve">Sí, pero solo cuando hay motivos justificados para no observar determinados caracteres; aunque los caracteres de la UPOV con asterisco deben concordar siempre </w:t>
            </w:r>
          </w:p>
        </w:tc>
      </w:tr>
      <w:tr w:rsidR="008F5DD0" w:rsidRPr="00C90461" w14:paraId="2FDFD63B" w14:textId="77777777" w:rsidTr="005A1C08">
        <w:tc>
          <w:tcPr>
            <w:tcW w:w="9393" w:type="dxa"/>
          </w:tcPr>
          <w:p w14:paraId="2BBA9481" w14:textId="77777777" w:rsidR="008F5DD0" w:rsidRPr="00C90461" w:rsidRDefault="008F5DD0" w:rsidP="004F78EA">
            <w:pPr>
              <w:spacing w:after="120" w:line="240" w:lineRule="auto"/>
              <w:jc w:val="left"/>
              <w:rPr>
                <w:lang w:val="es-ES_tradnl"/>
              </w:rPr>
            </w:pPr>
            <w:r w:rsidRPr="00C90461">
              <w:rPr>
                <w:lang w:val="es-ES_tradnl"/>
              </w:rPr>
              <w:t xml:space="preserve">Sudáfrica solo acepta un informe de examen DHE cuando la descripción de la variedad se ajusta a las directrices de examen de la UPOV. </w:t>
            </w:r>
          </w:p>
        </w:tc>
      </w:tr>
      <w:tr w:rsidR="008F5DD0" w:rsidRPr="00C90461" w14:paraId="2A9FD1C0" w14:textId="77777777" w:rsidTr="005A1C08">
        <w:tc>
          <w:tcPr>
            <w:tcW w:w="9393" w:type="dxa"/>
          </w:tcPr>
          <w:p w14:paraId="392A6635" w14:textId="77777777" w:rsidR="008F5DD0" w:rsidRPr="00C90461" w:rsidRDefault="008F5DD0" w:rsidP="004F78EA">
            <w:pPr>
              <w:spacing w:after="120" w:line="240" w:lineRule="auto"/>
              <w:jc w:val="left"/>
              <w:rPr>
                <w:lang w:val="es-ES_tradnl"/>
              </w:rPr>
            </w:pPr>
            <w:r w:rsidRPr="00C90461">
              <w:rPr>
                <w:lang w:val="es-ES_tradnl"/>
              </w:rPr>
              <w:t xml:space="preserve">Encargamos informes de los exámenes DHE a autoridades competentes; de esta manera nos aseguramos de que el informe de examen se prepare correctamente. </w:t>
            </w:r>
          </w:p>
        </w:tc>
      </w:tr>
      <w:tr w:rsidR="008F5DD0" w:rsidRPr="00C90461" w14:paraId="0A902F70" w14:textId="77777777" w:rsidTr="005A1C08">
        <w:tc>
          <w:tcPr>
            <w:tcW w:w="9393" w:type="dxa"/>
          </w:tcPr>
          <w:p w14:paraId="503E8C10" w14:textId="164CB867" w:rsidR="008F5DD0" w:rsidRPr="00C90461" w:rsidRDefault="008F5DD0" w:rsidP="004F78EA">
            <w:pPr>
              <w:spacing w:after="120" w:line="240" w:lineRule="auto"/>
              <w:jc w:val="left"/>
              <w:rPr>
                <w:lang w:val="es-ES_tradnl"/>
              </w:rPr>
            </w:pPr>
            <w:r w:rsidRPr="00C90461">
              <w:rPr>
                <w:lang w:val="es-ES_tradnl"/>
              </w:rPr>
              <w:t xml:space="preserve">No tenemos directrices nacionales de examen DHE. </w:t>
            </w:r>
          </w:p>
        </w:tc>
      </w:tr>
    </w:tbl>
    <w:p w14:paraId="4B64C888" w14:textId="77777777" w:rsidR="008F5DD0" w:rsidRPr="00C90461" w:rsidRDefault="008F5DD0" w:rsidP="008F5DD0">
      <w:pPr>
        <w:jc w:val="left"/>
        <w:rPr>
          <w:rFonts w:eastAsia="Arial" w:cs="Arial"/>
          <w:lang w:val="es-ES_tradnl"/>
        </w:rPr>
      </w:pPr>
      <w:bookmarkStart w:id="28" w:name="_Toc27"/>
      <w:r w:rsidRPr="00C90461">
        <w:rPr>
          <w:lang w:val="es-ES_tradnl"/>
        </w:rPr>
        <w:br w:type="page"/>
      </w:r>
    </w:p>
    <w:p w14:paraId="229AC122"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6. ¿Acepta su país/</w:t>
      </w:r>
      <w:proofErr w:type="gramStart"/>
      <w:r w:rsidRPr="00C90461">
        <w:rPr>
          <w:b/>
          <w:lang w:val="es-ES_tradnl"/>
        </w:rPr>
        <w:t>organización informes</w:t>
      </w:r>
      <w:proofErr w:type="gramEnd"/>
      <w:r w:rsidRPr="00C90461">
        <w:rPr>
          <w:b/>
          <w:lang w:val="es-ES_tradnl"/>
        </w:rPr>
        <w:t xml:space="preserve"> de los exámenes DHE efectuados dentro del territorio de su país/organización en las instalaciones de los obtentores?</w:t>
      </w:r>
    </w:p>
    <w:p w14:paraId="25EFF365" w14:textId="77777777" w:rsidR="008F5DD0" w:rsidRPr="00C90461" w:rsidRDefault="008F5DD0" w:rsidP="004F78EA">
      <w:pPr>
        <w:spacing w:after="120"/>
        <w:jc w:val="left"/>
        <w:rPr>
          <w:rFonts w:eastAsia="Arial" w:cs="Arial"/>
          <w:sz w:val="12"/>
          <w:szCs w:val="12"/>
          <w:lang w:val="es-ES_tradnl"/>
        </w:rPr>
      </w:pPr>
      <w:r w:rsidRPr="00C90461">
        <w:rPr>
          <w:lang w:val="es-ES_tradnl" w:eastAsia="es-ES"/>
        </w:rPr>
        <w:drawing>
          <wp:inline distT="0" distB="0" distL="0" distR="0" wp14:anchorId="345AC0B0" wp14:editId="189EE985">
            <wp:extent cx="5741581" cy="2466340"/>
            <wp:effectExtent l="0" t="0" r="0" b="0"/>
            <wp:docPr id="14"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bl>
      <w:tblPr>
        <w:tblStyle w:val="table"/>
        <w:tblW w:w="0" w:type="auto"/>
        <w:tblInd w:w="80" w:type="dxa"/>
        <w:tblLook w:val="04A0" w:firstRow="1" w:lastRow="0" w:firstColumn="1" w:lastColumn="0" w:noHBand="0" w:noVBand="1"/>
      </w:tblPr>
      <w:tblGrid>
        <w:gridCol w:w="3439"/>
        <w:gridCol w:w="2504"/>
        <w:gridCol w:w="2952"/>
      </w:tblGrid>
      <w:tr w:rsidR="008F5DD0" w:rsidRPr="00C90461" w14:paraId="2AF55A45" w14:textId="77777777" w:rsidTr="000759D0">
        <w:tc>
          <w:tcPr>
            <w:tcW w:w="3439" w:type="dxa"/>
          </w:tcPr>
          <w:p w14:paraId="01592C75"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Valor </w:t>
            </w:r>
          </w:p>
        </w:tc>
        <w:tc>
          <w:tcPr>
            <w:tcW w:w="2504" w:type="dxa"/>
          </w:tcPr>
          <w:p w14:paraId="550B31E9"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Porcentaje </w:t>
            </w:r>
          </w:p>
        </w:tc>
        <w:tc>
          <w:tcPr>
            <w:tcW w:w="2952" w:type="dxa"/>
          </w:tcPr>
          <w:p w14:paraId="29869455"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Número </w:t>
            </w:r>
          </w:p>
        </w:tc>
      </w:tr>
      <w:tr w:rsidR="008F5DD0" w:rsidRPr="00C90461" w14:paraId="355E5AB4" w14:textId="77777777" w:rsidTr="000759D0">
        <w:tc>
          <w:tcPr>
            <w:tcW w:w="3439" w:type="dxa"/>
          </w:tcPr>
          <w:p w14:paraId="2194D74B"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Sí, siempre </w:t>
            </w:r>
          </w:p>
        </w:tc>
        <w:tc>
          <w:tcPr>
            <w:tcW w:w="2504" w:type="dxa"/>
          </w:tcPr>
          <w:p w14:paraId="661423FF"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26 % </w:t>
            </w:r>
          </w:p>
        </w:tc>
        <w:tc>
          <w:tcPr>
            <w:tcW w:w="2952" w:type="dxa"/>
          </w:tcPr>
          <w:p w14:paraId="2DB5DFFB"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11 </w:t>
            </w:r>
          </w:p>
        </w:tc>
      </w:tr>
      <w:tr w:rsidR="008F5DD0" w:rsidRPr="00C90461" w14:paraId="36B18F3A" w14:textId="77777777" w:rsidTr="000759D0">
        <w:tc>
          <w:tcPr>
            <w:tcW w:w="3439" w:type="dxa"/>
          </w:tcPr>
          <w:p w14:paraId="7FCA7FE8"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Sí, en determinadas condiciones </w:t>
            </w:r>
          </w:p>
        </w:tc>
        <w:tc>
          <w:tcPr>
            <w:tcW w:w="2504" w:type="dxa"/>
          </w:tcPr>
          <w:p w14:paraId="1699E34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42 % </w:t>
            </w:r>
          </w:p>
        </w:tc>
        <w:tc>
          <w:tcPr>
            <w:tcW w:w="2952" w:type="dxa"/>
          </w:tcPr>
          <w:p w14:paraId="28B1590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18 </w:t>
            </w:r>
          </w:p>
        </w:tc>
      </w:tr>
      <w:tr w:rsidR="008F5DD0" w:rsidRPr="00C90461" w14:paraId="5C379D9C" w14:textId="77777777" w:rsidTr="000759D0">
        <w:tc>
          <w:tcPr>
            <w:tcW w:w="3439" w:type="dxa"/>
          </w:tcPr>
          <w:p w14:paraId="54D07F8F"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No </w:t>
            </w:r>
          </w:p>
        </w:tc>
        <w:tc>
          <w:tcPr>
            <w:tcW w:w="2504" w:type="dxa"/>
          </w:tcPr>
          <w:p w14:paraId="5DBA6278"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33 % </w:t>
            </w:r>
          </w:p>
        </w:tc>
        <w:tc>
          <w:tcPr>
            <w:tcW w:w="2952" w:type="dxa"/>
          </w:tcPr>
          <w:p w14:paraId="52608769"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14 </w:t>
            </w:r>
          </w:p>
        </w:tc>
      </w:tr>
      <w:tr w:rsidR="008F5DD0" w:rsidRPr="00C90461" w14:paraId="5EBE44E7" w14:textId="77777777" w:rsidTr="000759D0">
        <w:tc>
          <w:tcPr>
            <w:tcW w:w="3439" w:type="dxa"/>
          </w:tcPr>
          <w:p w14:paraId="5CA65B09"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 </w:t>
            </w:r>
          </w:p>
        </w:tc>
        <w:tc>
          <w:tcPr>
            <w:tcW w:w="2504" w:type="dxa"/>
          </w:tcPr>
          <w:p w14:paraId="74FF61A7"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Totales </w:t>
            </w:r>
          </w:p>
        </w:tc>
        <w:tc>
          <w:tcPr>
            <w:tcW w:w="2952" w:type="dxa"/>
          </w:tcPr>
          <w:p w14:paraId="04522767"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43 </w:t>
            </w:r>
          </w:p>
        </w:tc>
      </w:tr>
    </w:tbl>
    <w:p w14:paraId="44662B62" w14:textId="77777777" w:rsidR="008F5DD0" w:rsidRPr="00C90461" w:rsidRDefault="008F5DD0" w:rsidP="008F5DD0">
      <w:pPr>
        <w:spacing w:after="160" w:line="259" w:lineRule="auto"/>
        <w:jc w:val="left"/>
        <w:rPr>
          <w:rFonts w:eastAsia="Arial Unicode MS" w:cs="Arial"/>
          <w:b/>
          <w:bCs/>
          <w:lang w:val="es-ES_tradnl"/>
        </w:rPr>
      </w:pPr>
      <w:bookmarkStart w:id="29" w:name="_Toc14"/>
    </w:p>
    <w:p w14:paraId="2A591BE3" w14:textId="77777777" w:rsidR="004F78EA" w:rsidRPr="00C90461" w:rsidRDefault="004F78EA">
      <w:pPr>
        <w:jc w:val="left"/>
        <w:rPr>
          <w:rFonts w:eastAsia="Arial Unicode MS" w:cs="Arial"/>
          <w:b/>
          <w:bCs/>
          <w:lang w:val="es-ES_tradnl"/>
        </w:rPr>
      </w:pPr>
      <w:r w:rsidRPr="00C90461">
        <w:rPr>
          <w:lang w:val="es-ES_tradnl"/>
        </w:rPr>
        <w:br w:type="page"/>
      </w:r>
    </w:p>
    <w:p w14:paraId="1E9B23CC" w14:textId="113B4880"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6.1. Enumere las condiciones para la aceptación de informes de exámenes DHE efectuados dentro del territorio de su país/organización en las instalaciones de los obtentores:</w:t>
      </w:r>
      <w:bookmarkEnd w:id="29"/>
    </w:p>
    <w:tbl>
      <w:tblPr>
        <w:tblStyle w:val="table"/>
        <w:tblW w:w="9393" w:type="dxa"/>
        <w:tblInd w:w="80" w:type="dxa"/>
        <w:tblLook w:val="04A0" w:firstRow="1" w:lastRow="0" w:firstColumn="1" w:lastColumn="0" w:noHBand="0" w:noVBand="1"/>
      </w:tblPr>
      <w:tblGrid>
        <w:gridCol w:w="9393"/>
      </w:tblGrid>
      <w:tr w:rsidR="008F5DD0" w:rsidRPr="00C90461" w14:paraId="16C41561" w14:textId="77777777" w:rsidTr="005A1C08">
        <w:tc>
          <w:tcPr>
            <w:tcW w:w="9393" w:type="dxa"/>
          </w:tcPr>
          <w:p w14:paraId="40B910BE" w14:textId="1392C64F" w:rsidR="008F5DD0" w:rsidRPr="00C90461" w:rsidRDefault="008F5DD0" w:rsidP="00C91F15">
            <w:pPr>
              <w:spacing w:after="120" w:line="240" w:lineRule="auto"/>
              <w:jc w:val="left"/>
              <w:rPr>
                <w:rFonts w:eastAsia="Arial Unicode MS"/>
                <w:lang w:val="es-ES_tradnl"/>
              </w:rPr>
            </w:pPr>
            <w:r w:rsidRPr="00C90461">
              <w:rPr>
                <w:lang w:val="es-ES_tradnl"/>
              </w:rPr>
              <w:t>En la Ley Australiana de Derechos de Obtentor se dispone que para cada solicitud se designe a una persona autorizada que cuente con el reconocimiento oficial de la oficina (también conocida como “persona calificada”), la cual: - supervisa los ensayos australianos en cultivo exigidos de la variedad, y</w:t>
            </w:r>
            <w:r w:rsidRPr="00C90461">
              <w:rPr>
                <w:lang w:val="es-ES_tradnl"/>
              </w:rPr>
              <w:br/>
              <w:t xml:space="preserve">- elabora y presenta una descripción detallada de la variedad (basada en datos australianos o extranjeros de un ensayo en cultivo). Cuando un ensayo está listo para el examen, la persona calificada o el solicitante deben notificarlo a la oficina la cual entonces determina si enviar una persona al ensayo para verificar algún dato tomado. </w:t>
            </w:r>
          </w:p>
        </w:tc>
      </w:tr>
      <w:tr w:rsidR="008F5DD0" w:rsidRPr="00C90461" w14:paraId="4DF1A113" w14:textId="77777777" w:rsidTr="005A1C08">
        <w:tc>
          <w:tcPr>
            <w:tcW w:w="9393" w:type="dxa"/>
          </w:tcPr>
          <w:p w14:paraId="7B74E13B" w14:textId="0DB6D312" w:rsidR="008F5DD0" w:rsidRPr="00C90461" w:rsidRDefault="008F5DD0" w:rsidP="004F78EA">
            <w:pPr>
              <w:spacing w:after="120" w:line="240" w:lineRule="auto"/>
              <w:jc w:val="left"/>
              <w:rPr>
                <w:rFonts w:eastAsia="Arial Unicode MS"/>
                <w:lang w:val="es-ES_tradnl"/>
              </w:rPr>
            </w:pPr>
            <w:r w:rsidRPr="00C90461">
              <w:rPr>
                <w:lang w:val="es-ES_tradnl"/>
              </w:rPr>
              <w:t xml:space="preserve">Los exámenes DHE en las instalaciones de los obtentores, son mayormente para árboles y plantas ornamentales, pero la autoridad recopila los datos y analiza los informes. </w:t>
            </w:r>
          </w:p>
        </w:tc>
      </w:tr>
      <w:tr w:rsidR="008F5DD0" w:rsidRPr="00C90461" w14:paraId="79872192" w14:textId="77777777" w:rsidTr="005A1C08">
        <w:tc>
          <w:tcPr>
            <w:tcW w:w="9393" w:type="dxa"/>
          </w:tcPr>
          <w:p w14:paraId="76677337" w14:textId="77777777" w:rsidR="008E1106" w:rsidRPr="00C90461" w:rsidRDefault="008F5DD0" w:rsidP="00C91F15">
            <w:pPr>
              <w:keepLines/>
              <w:spacing w:after="0" w:line="240" w:lineRule="auto"/>
              <w:jc w:val="left"/>
              <w:rPr>
                <w:rFonts w:eastAsia="Arial Unicode MS"/>
                <w:lang w:val="es-ES_tradnl"/>
              </w:rPr>
            </w:pPr>
            <w:r w:rsidRPr="00C90461">
              <w:rPr>
                <w:lang w:val="es-ES_tradnl"/>
              </w:rPr>
              <w:t xml:space="preserve">1. La Inspección acepta informes de los exámenes DHE realizados en las instalaciones de los obtentores dentro de su país/organización para géneros y especies diferentes de los que figuran en el cuadro siguiente </w:t>
            </w:r>
            <w:r w:rsidRPr="00C90461">
              <w:rPr>
                <w:i/>
                <w:iCs/>
                <w:lang w:val="es-ES_tradnl"/>
              </w:rPr>
              <w:t xml:space="preserve">Triticum </w:t>
            </w:r>
            <w:proofErr w:type="spellStart"/>
            <w:r w:rsidRPr="00C90461">
              <w:rPr>
                <w:i/>
                <w:iCs/>
                <w:lang w:val="es-ES_tradnl"/>
              </w:rPr>
              <w:t>aestivum</w:t>
            </w:r>
            <w:proofErr w:type="spellEnd"/>
            <w:r w:rsidRPr="00C90461">
              <w:rPr>
                <w:lang w:val="es-ES_tradnl"/>
              </w:rPr>
              <w:t xml:space="preserve"> L. </w:t>
            </w:r>
            <w:proofErr w:type="spellStart"/>
            <w:r w:rsidRPr="00C90461">
              <w:rPr>
                <w:lang w:val="es-ES_tradnl"/>
              </w:rPr>
              <w:t>emend</w:t>
            </w:r>
            <w:proofErr w:type="spellEnd"/>
            <w:r w:rsidRPr="00C90461">
              <w:rPr>
                <w:lang w:val="es-ES_tradnl"/>
              </w:rPr>
              <w:t xml:space="preserve"> Fiori et </w:t>
            </w:r>
            <w:proofErr w:type="spellStart"/>
            <w:r w:rsidRPr="00C90461">
              <w:rPr>
                <w:lang w:val="es-ES_tradnl"/>
              </w:rPr>
              <w:t>Paol</w:t>
            </w:r>
            <w:proofErr w:type="spellEnd"/>
            <w:r w:rsidRPr="00C90461">
              <w:rPr>
                <w:lang w:val="es-ES_tradnl"/>
              </w:rPr>
              <w:t xml:space="preserve">. </w:t>
            </w:r>
            <w:r w:rsidRPr="00C90461">
              <w:rPr>
                <w:i/>
                <w:iCs/>
                <w:lang w:val="es-ES_tradnl"/>
              </w:rPr>
              <w:t xml:space="preserve">Triticum </w:t>
            </w:r>
            <w:proofErr w:type="spellStart"/>
            <w:r w:rsidRPr="00C90461">
              <w:rPr>
                <w:i/>
                <w:iCs/>
                <w:lang w:val="es-ES_tradnl"/>
              </w:rPr>
              <w:t>durum</w:t>
            </w:r>
            <w:proofErr w:type="spellEnd"/>
            <w:r w:rsidRPr="00C90461">
              <w:rPr>
                <w:lang w:val="es-ES_tradnl"/>
              </w:rPr>
              <w:t xml:space="preserve"> </w:t>
            </w:r>
            <w:proofErr w:type="spellStart"/>
            <w:r w:rsidRPr="00C90461">
              <w:rPr>
                <w:lang w:val="es-ES_tradnl"/>
              </w:rPr>
              <w:t>Desf</w:t>
            </w:r>
            <w:proofErr w:type="spellEnd"/>
            <w:r w:rsidRPr="00C90461">
              <w:rPr>
                <w:lang w:val="es-ES_tradnl"/>
              </w:rPr>
              <w:t xml:space="preserve">., </w:t>
            </w:r>
            <w:proofErr w:type="spellStart"/>
            <w:r w:rsidRPr="00C90461">
              <w:rPr>
                <w:i/>
                <w:iCs/>
                <w:lang w:val="es-ES_tradnl"/>
              </w:rPr>
              <w:t>Secale</w:t>
            </w:r>
            <w:proofErr w:type="spellEnd"/>
            <w:r w:rsidRPr="00C90461">
              <w:rPr>
                <w:i/>
                <w:iCs/>
                <w:lang w:val="es-ES_tradnl"/>
              </w:rPr>
              <w:t xml:space="preserve"> </w:t>
            </w:r>
            <w:proofErr w:type="spellStart"/>
            <w:r w:rsidRPr="00C90461">
              <w:rPr>
                <w:i/>
                <w:iCs/>
                <w:lang w:val="es-ES_tradnl"/>
              </w:rPr>
              <w:t>cereale</w:t>
            </w:r>
            <w:proofErr w:type="spellEnd"/>
            <w:r w:rsidRPr="00C90461">
              <w:rPr>
                <w:lang w:val="es-ES_tradnl"/>
              </w:rPr>
              <w:t xml:space="preserve"> L. ×</w:t>
            </w:r>
            <w:proofErr w:type="spellStart"/>
            <w:r w:rsidRPr="00C90461">
              <w:rPr>
                <w:i/>
                <w:iCs/>
                <w:lang w:val="es-ES_tradnl"/>
              </w:rPr>
              <w:t>Triticosecale</w:t>
            </w:r>
            <w:proofErr w:type="spellEnd"/>
            <w:r w:rsidRPr="00C90461">
              <w:rPr>
                <w:lang w:val="es-ES_tradnl"/>
              </w:rPr>
              <w:t xml:space="preserve"> </w:t>
            </w:r>
            <w:proofErr w:type="spellStart"/>
            <w:r w:rsidRPr="00C90461">
              <w:rPr>
                <w:lang w:val="es-ES_tradnl"/>
              </w:rPr>
              <w:t>Wittm</w:t>
            </w:r>
            <w:proofErr w:type="spellEnd"/>
            <w:r w:rsidRPr="00C90461">
              <w:rPr>
                <w:lang w:val="es-ES_tradnl"/>
              </w:rPr>
              <w:t xml:space="preserve">., </w:t>
            </w:r>
            <w:proofErr w:type="spellStart"/>
            <w:r w:rsidRPr="00C90461">
              <w:rPr>
                <w:i/>
                <w:iCs/>
                <w:lang w:val="es-ES_tradnl"/>
              </w:rPr>
              <w:t>Hordeum</w:t>
            </w:r>
            <w:proofErr w:type="spellEnd"/>
            <w:r w:rsidRPr="00C90461">
              <w:rPr>
                <w:i/>
                <w:iCs/>
                <w:lang w:val="es-ES_tradnl"/>
              </w:rPr>
              <w:t xml:space="preserve"> </w:t>
            </w:r>
            <w:proofErr w:type="spellStart"/>
            <w:r w:rsidRPr="00C90461">
              <w:rPr>
                <w:i/>
                <w:iCs/>
                <w:lang w:val="es-ES_tradnl"/>
              </w:rPr>
              <w:t>vulgare</w:t>
            </w:r>
            <w:proofErr w:type="spellEnd"/>
            <w:r w:rsidRPr="00C90461">
              <w:rPr>
                <w:lang w:val="es-ES_tradnl"/>
              </w:rPr>
              <w:t xml:space="preserve"> L. en sentido amplio, </w:t>
            </w:r>
            <w:proofErr w:type="spellStart"/>
            <w:r w:rsidRPr="00C90461">
              <w:rPr>
                <w:i/>
                <w:iCs/>
                <w:lang w:val="es-ES_tradnl"/>
              </w:rPr>
              <w:t>Fagopyrum</w:t>
            </w:r>
            <w:proofErr w:type="spellEnd"/>
            <w:r w:rsidRPr="00C90461">
              <w:rPr>
                <w:i/>
                <w:iCs/>
                <w:lang w:val="es-ES_tradnl"/>
              </w:rPr>
              <w:t xml:space="preserve"> </w:t>
            </w:r>
            <w:proofErr w:type="spellStart"/>
            <w:r w:rsidRPr="00C90461">
              <w:rPr>
                <w:i/>
                <w:iCs/>
                <w:lang w:val="es-ES_tradnl"/>
              </w:rPr>
              <w:t>esculentum</w:t>
            </w:r>
            <w:proofErr w:type="spellEnd"/>
            <w:r w:rsidRPr="00C90461">
              <w:rPr>
                <w:lang w:val="es-ES_tradnl"/>
              </w:rPr>
              <w:t xml:space="preserve"> Moench, </w:t>
            </w:r>
            <w:r w:rsidRPr="00C90461">
              <w:rPr>
                <w:i/>
                <w:iCs/>
                <w:lang w:val="es-ES_tradnl"/>
              </w:rPr>
              <w:t xml:space="preserve">Zea </w:t>
            </w:r>
            <w:proofErr w:type="spellStart"/>
            <w:r w:rsidRPr="00C90461">
              <w:rPr>
                <w:i/>
                <w:iCs/>
                <w:lang w:val="es-ES_tradnl"/>
              </w:rPr>
              <w:t>mays</w:t>
            </w:r>
            <w:proofErr w:type="spellEnd"/>
            <w:r w:rsidRPr="00C90461">
              <w:rPr>
                <w:lang w:val="es-ES_tradnl"/>
              </w:rPr>
              <w:t xml:space="preserve"> L., </w:t>
            </w:r>
            <w:r w:rsidRPr="00C90461">
              <w:rPr>
                <w:i/>
                <w:iCs/>
                <w:lang w:val="es-ES_tradnl"/>
              </w:rPr>
              <w:t>Avena nuda</w:t>
            </w:r>
            <w:r w:rsidRPr="00C90461">
              <w:rPr>
                <w:lang w:val="es-ES_tradnl"/>
              </w:rPr>
              <w:t xml:space="preserve"> L., </w:t>
            </w:r>
            <w:r w:rsidRPr="00C90461">
              <w:rPr>
                <w:i/>
                <w:iCs/>
                <w:lang w:val="es-ES_tradnl"/>
              </w:rPr>
              <w:t>Avena sativa</w:t>
            </w:r>
            <w:r w:rsidRPr="00C90461">
              <w:rPr>
                <w:lang w:val="es-ES_tradnl"/>
              </w:rPr>
              <w:t xml:space="preserve"> L. </w:t>
            </w:r>
            <w:proofErr w:type="spellStart"/>
            <w:r w:rsidRPr="00C90461">
              <w:rPr>
                <w:i/>
                <w:iCs/>
                <w:lang w:val="es-ES_tradnl"/>
              </w:rPr>
              <w:t>Pisum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en sentido amplio,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luteus</w:t>
            </w:r>
            <w:proofErr w:type="spellEnd"/>
            <w:r w:rsidRPr="00C90461">
              <w:rPr>
                <w:lang w:val="es-ES_tradnl"/>
              </w:rPr>
              <w:t xml:space="preserve"> L.,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angustifolius</w:t>
            </w:r>
            <w:proofErr w:type="spellEnd"/>
            <w:r w:rsidRPr="00C90461">
              <w:rPr>
                <w:lang w:val="es-ES_tradnl"/>
              </w:rPr>
              <w:t xml:space="preserve"> L., </w:t>
            </w:r>
            <w:proofErr w:type="spellStart"/>
            <w:r w:rsidRPr="00C90461">
              <w:rPr>
                <w:i/>
                <w:iCs/>
                <w:lang w:val="es-ES_tradnl"/>
              </w:rPr>
              <w:t>Glycine</w:t>
            </w:r>
            <w:proofErr w:type="spellEnd"/>
            <w:r w:rsidRPr="00C90461">
              <w:rPr>
                <w:i/>
                <w:iCs/>
                <w:lang w:val="es-ES_tradnl"/>
              </w:rPr>
              <w:t xml:space="preserve"> </w:t>
            </w:r>
            <w:proofErr w:type="spellStart"/>
            <w:r w:rsidRPr="00C90461">
              <w:rPr>
                <w:i/>
                <w:iCs/>
                <w:lang w:val="es-ES_tradnl"/>
              </w:rPr>
              <w:t>max</w:t>
            </w:r>
            <w:proofErr w:type="spellEnd"/>
            <w:r w:rsidRPr="00C90461">
              <w:rPr>
                <w:lang w:val="es-ES_tradnl"/>
              </w:rPr>
              <w:t xml:space="preserve"> (L.) </w:t>
            </w:r>
            <w:proofErr w:type="spellStart"/>
            <w:r w:rsidRPr="00C90461">
              <w:rPr>
                <w:lang w:val="es-ES_tradnl"/>
              </w:rPr>
              <w:t>Merr</w:t>
            </w:r>
            <w:proofErr w:type="spellEnd"/>
            <w:r w:rsidRPr="00C90461">
              <w:rPr>
                <w:lang w:val="es-ES_tradnl"/>
              </w:rPr>
              <w:t xml:space="preserve">., </w:t>
            </w:r>
            <w:proofErr w:type="spellStart"/>
            <w:r w:rsidRPr="00C90461">
              <w:rPr>
                <w:i/>
                <w:iCs/>
                <w:lang w:val="es-ES_tradnl"/>
              </w:rPr>
              <w:t>Cucumis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L. f. </w:t>
            </w:r>
            <w:r w:rsidRPr="00C90461">
              <w:rPr>
                <w:i/>
                <w:iCs/>
                <w:lang w:val="es-ES_tradnl"/>
              </w:rPr>
              <w:t>alba</w:t>
            </w:r>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w:t>
            </w:r>
            <w:proofErr w:type="spellStart"/>
            <w:r w:rsidRPr="00C90461">
              <w:rPr>
                <w:lang w:val="es-ES_tradnl"/>
              </w:rPr>
              <w:t>L.f</w:t>
            </w:r>
            <w:proofErr w:type="spellEnd"/>
            <w:r w:rsidRPr="00C90461">
              <w:rPr>
                <w:lang w:val="es-ES_tradnl"/>
              </w:rPr>
              <w:t xml:space="preserve">. </w:t>
            </w:r>
            <w:r w:rsidRPr="00C90461">
              <w:rPr>
                <w:i/>
                <w:iCs/>
                <w:lang w:val="es-ES_tradnl"/>
              </w:rPr>
              <w:t>rubra</w:t>
            </w:r>
            <w:r w:rsidRPr="00C90461">
              <w:rPr>
                <w:lang w:val="es-ES_tradnl"/>
              </w:rPr>
              <w:t xml:space="preserve"> (L.) </w:t>
            </w:r>
            <w:proofErr w:type="spellStart"/>
            <w:r w:rsidRPr="00C90461">
              <w:rPr>
                <w:lang w:val="es-ES_tradnl"/>
              </w:rPr>
              <w:t>Thell</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sabauda</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convar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(L.) </w:t>
            </w:r>
            <w:proofErr w:type="spellStart"/>
            <w:r w:rsidRPr="00C90461">
              <w:rPr>
                <w:lang w:val="es-ES_tradnl"/>
              </w:rPr>
              <w:t>Alef</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cymosa</w:t>
            </w:r>
            <w:proofErr w:type="spellEnd"/>
            <w:r w:rsidRPr="00C90461">
              <w:rPr>
                <w:lang w:val="es-ES_tradnl"/>
              </w:rPr>
              <w:t xml:space="preserve"> </w:t>
            </w:r>
            <w:proofErr w:type="spellStart"/>
            <w:r w:rsidRPr="00C90461">
              <w:rPr>
                <w:lang w:val="es-ES_tradnl"/>
              </w:rPr>
              <w:t>Duch</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gemmifera</w:t>
            </w:r>
            <w:proofErr w:type="spellEnd"/>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gongylodes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pekinensis</w:t>
            </w:r>
            <w:proofErr w:type="spellEnd"/>
            <w:r w:rsidRPr="00C90461">
              <w:rPr>
                <w:lang w:val="es-ES_tradnl"/>
              </w:rPr>
              <w:t xml:space="preserve"> (</w:t>
            </w:r>
            <w:proofErr w:type="spellStart"/>
            <w:r w:rsidRPr="00C90461">
              <w:rPr>
                <w:lang w:val="es-ES_tradnl"/>
              </w:rPr>
              <w:t>Lour</w:t>
            </w:r>
            <w:proofErr w:type="spellEnd"/>
            <w:r w:rsidRPr="00C90461">
              <w:rPr>
                <w:lang w:val="es-ES_tradnl"/>
              </w:rPr>
              <w:t xml:space="preserve">.) </w:t>
            </w:r>
            <w:proofErr w:type="spellStart"/>
            <w:r w:rsidRPr="00C90461">
              <w:rPr>
                <w:lang w:val="es-ES_tradnl"/>
              </w:rPr>
              <w:t>Rupr</w:t>
            </w:r>
            <w:proofErr w:type="spellEnd"/>
            <w:r w:rsidRPr="00C90461">
              <w:rPr>
                <w:lang w:val="es-ES_tradnl"/>
              </w:rPr>
              <w:t xml:space="preserve">., </w:t>
            </w:r>
            <w:proofErr w:type="spellStart"/>
            <w:r w:rsidRPr="00C90461">
              <w:rPr>
                <w:i/>
                <w:iCs/>
                <w:lang w:val="es-ES_tradnl"/>
              </w:rPr>
              <w:t>Allium</w:t>
            </w:r>
            <w:proofErr w:type="spellEnd"/>
            <w:r w:rsidRPr="00C90461">
              <w:rPr>
                <w:i/>
                <w:iCs/>
                <w:lang w:val="es-ES_tradnl"/>
              </w:rPr>
              <w:t xml:space="preserve"> cepa</w:t>
            </w:r>
            <w:r w:rsidRPr="00C90461">
              <w:rPr>
                <w:lang w:val="es-ES_tradnl"/>
              </w:rPr>
              <w:t xml:space="preserve"> L., </w:t>
            </w:r>
            <w:proofErr w:type="spellStart"/>
            <w:r w:rsidRPr="00C90461">
              <w:rPr>
                <w:i/>
                <w:iCs/>
                <w:lang w:val="es-ES_tradnl"/>
              </w:rPr>
              <w:t>Daucus</w:t>
            </w:r>
            <w:proofErr w:type="spellEnd"/>
            <w:r w:rsidRPr="00C90461">
              <w:rPr>
                <w:i/>
                <w:iCs/>
                <w:lang w:val="es-ES_tradnl"/>
              </w:rPr>
              <w:t xml:space="preserve"> carota</w:t>
            </w:r>
            <w:r w:rsidRPr="00C90461">
              <w:rPr>
                <w:lang w:val="es-ES_tradnl"/>
              </w:rPr>
              <w:t xml:space="preserve"> L., </w:t>
            </w:r>
            <w:proofErr w:type="spellStart"/>
            <w:r w:rsidRPr="00C90461">
              <w:rPr>
                <w:i/>
                <w:iCs/>
                <w:lang w:val="es-ES_tradnl"/>
              </w:rPr>
              <w:t>Capsicum</w:t>
            </w:r>
            <w:proofErr w:type="spellEnd"/>
            <w:r w:rsidRPr="00C90461">
              <w:rPr>
                <w:i/>
                <w:iCs/>
                <w:lang w:val="es-ES_tradnl"/>
              </w:rPr>
              <w:t xml:space="preserve"> </w:t>
            </w:r>
            <w:proofErr w:type="spellStart"/>
            <w:r w:rsidRPr="00C90461">
              <w:rPr>
                <w:i/>
                <w:iCs/>
                <w:lang w:val="es-ES_tradnl"/>
              </w:rPr>
              <w:t>annuum</w:t>
            </w:r>
            <w:proofErr w:type="spellEnd"/>
            <w:r w:rsidRPr="00C90461">
              <w:rPr>
                <w:lang w:val="es-ES_tradnl"/>
              </w:rPr>
              <w:t xml:space="preserve"> L., </w:t>
            </w:r>
            <w:proofErr w:type="spellStart"/>
            <w:r w:rsidRPr="00C90461">
              <w:rPr>
                <w:i/>
                <w:iCs/>
                <w:lang w:val="es-ES_tradnl"/>
              </w:rPr>
              <w:t>Petroselinum</w:t>
            </w:r>
            <w:proofErr w:type="spellEnd"/>
            <w:r w:rsidRPr="00C90461">
              <w:rPr>
                <w:i/>
                <w:iCs/>
                <w:lang w:val="es-ES_tradnl"/>
              </w:rPr>
              <w:t xml:space="preserve"> </w:t>
            </w:r>
            <w:proofErr w:type="spellStart"/>
            <w:r w:rsidRPr="00C90461">
              <w:rPr>
                <w:i/>
                <w:iCs/>
                <w:lang w:val="es-ES_tradnl"/>
              </w:rPr>
              <w:t>crispum</w:t>
            </w:r>
            <w:proofErr w:type="spellEnd"/>
            <w:r w:rsidRPr="00C90461">
              <w:rPr>
                <w:lang w:val="es-ES_tradnl"/>
              </w:rPr>
              <w:t xml:space="preserve"> (Mill.) </w:t>
            </w:r>
            <w:proofErr w:type="spellStart"/>
            <w:r w:rsidRPr="00C90461">
              <w:rPr>
                <w:lang w:val="es-ES_tradnl"/>
              </w:rPr>
              <w:t>Nyman</w:t>
            </w:r>
            <w:proofErr w:type="spellEnd"/>
            <w:r w:rsidRPr="00C90461">
              <w:rPr>
                <w:lang w:val="es-ES_tradnl"/>
              </w:rPr>
              <w:t xml:space="preserve"> ex A. W. Hill, </w:t>
            </w:r>
            <w:proofErr w:type="spellStart"/>
            <w:r w:rsidRPr="00C90461">
              <w:rPr>
                <w:i/>
                <w:iCs/>
                <w:lang w:val="es-ES_tradnl"/>
              </w:rPr>
              <w:t>Raphanus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rapa</w:t>
            </w:r>
            <w:r w:rsidRPr="00C90461">
              <w:rPr>
                <w:lang w:val="es-ES_tradnl"/>
              </w:rPr>
              <w:t xml:space="preserve"> L., </w:t>
            </w:r>
            <w:r w:rsidRPr="00C90461">
              <w:rPr>
                <w:i/>
                <w:iCs/>
                <w:lang w:val="es-ES_tradnl"/>
              </w:rPr>
              <w:t>Lactuca sativa</w:t>
            </w:r>
            <w:r w:rsidRPr="00C90461">
              <w:rPr>
                <w:lang w:val="es-ES_tradnl"/>
              </w:rPr>
              <w:t xml:space="preserve"> L.,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conditiva</w:t>
            </w:r>
            <w:proofErr w:type="spellEnd"/>
            <w:r w:rsidRPr="00C90461">
              <w:rPr>
                <w:lang w:val="es-ES_tradnl"/>
              </w:rPr>
              <w:t xml:space="preserve"> </w:t>
            </w:r>
            <w:proofErr w:type="spellStart"/>
            <w:r w:rsidRPr="00C90461">
              <w:rPr>
                <w:lang w:val="es-ES_tradnl"/>
              </w:rPr>
              <w:t>Alef</w:t>
            </w:r>
            <w:proofErr w:type="spellEnd"/>
            <w:r w:rsidRPr="00C90461">
              <w:rPr>
                <w:lang w:val="es-ES_tradnl"/>
              </w:rPr>
              <w:t xml:space="preserve">.,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lycopеrsicum</w:t>
            </w:r>
            <w:proofErr w:type="spellEnd"/>
            <w:r w:rsidRPr="00C90461">
              <w:rPr>
                <w:lang w:val="es-ES_tradnl"/>
              </w:rPr>
              <w:t xml:space="preserve"> L., </w:t>
            </w:r>
            <w:proofErr w:type="spellStart"/>
            <w:r w:rsidRPr="00C90461">
              <w:rPr>
                <w:i/>
                <w:iCs/>
                <w:lang w:val="es-ES_tradnl"/>
              </w:rPr>
              <w:t>Cucurbita</w:t>
            </w:r>
            <w:proofErr w:type="spellEnd"/>
            <w:r w:rsidRPr="00C90461">
              <w:rPr>
                <w:i/>
                <w:iCs/>
                <w:lang w:val="es-ES_tradnl"/>
              </w:rPr>
              <w:t xml:space="preserve"> pepo</w:t>
            </w:r>
            <w:r w:rsidRPr="00C90461">
              <w:rPr>
                <w:lang w:val="es-ES_tradnl"/>
              </w:rPr>
              <w:t xml:space="preserve"> L., </w:t>
            </w:r>
            <w:proofErr w:type="spellStart"/>
            <w:r w:rsidRPr="00C90461">
              <w:rPr>
                <w:i/>
                <w:iCs/>
                <w:lang w:val="es-ES_tradnl"/>
              </w:rPr>
              <w:t>Anethum</w:t>
            </w:r>
            <w:proofErr w:type="spellEnd"/>
            <w:r w:rsidRPr="00C90461">
              <w:rPr>
                <w:i/>
                <w:iCs/>
                <w:lang w:val="es-ES_tradnl"/>
              </w:rPr>
              <w:t xml:space="preserve"> </w:t>
            </w:r>
            <w:proofErr w:type="spellStart"/>
            <w:r w:rsidRPr="00C90461">
              <w:rPr>
                <w:i/>
                <w:iCs/>
                <w:lang w:val="es-ES_tradnl"/>
              </w:rPr>
              <w:t>graveolens</w:t>
            </w:r>
            <w:proofErr w:type="spellEnd"/>
            <w:r w:rsidRPr="00C90461">
              <w:rPr>
                <w:lang w:val="es-ES_tradnl"/>
              </w:rPr>
              <w:t xml:space="preserve"> L., </w:t>
            </w:r>
            <w:proofErr w:type="spellStart"/>
            <w:r w:rsidRPr="00C90461">
              <w:rPr>
                <w:i/>
                <w:iCs/>
                <w:lang w:val="es-ES_tradnl"/>
              </w:rPr>
              <w:t>Phaseolus</w:t>
            </w:r>
            <w:proofErr w:type="spellEnd"/>
            <w:r w:rsidRPr="00C90461">
              <w:rPr>
                <w:lang w:val="es-ES_tradnl"/>
              </w:rPr>
              <w:t xml:space="preserve"> L., </w:t>
            </w:r>
            <w:proofErr w:type="spellStart"/>
            <w:r w:rsidRPr="00C90461">
              <w:rPr>
                <w:i/>
                <w:iCs/>
                <w:lang w:val="es-ES_tradnl"/>
              </w:rPr>
              <w:t>Allium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tuberosum</w:t>
            </w:r>
            <w:proofErr w:type="spellEnd"/>
            <w:r w:rsidRPr="00C90461">
              <w:rPr>
                <w:lang w:val="es-ES_tradnl"/>
              </w:rPr>
              <w:t xml:space="preserve"> L. en sentido amplio,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alba DC., </w:t>
            </w:r>
            <w:proofErr w:type="spellStart"/>
            <w:r w:rsidRPr="00C90461">
              <w:rPr>
                <w:i/>
                <w:iCs/>
                <w:lang w:val="es-ES_tradnl"/>
              </w:rPr>
              <w:t>Linum</w:t>
            </w:r>
            <w:proofErr w:type="spellEnd"/>
            <w:r w:rsidRPr="00C90461">
              <w:rPr>
                <w:i/>
                <w:iCs/>
                <w:lang w:val="es-ES_tradnl"/>
              </w:rPr>
              <w:t xml:space="preserve"> </w:t>
            </w:r>
            <w:proofErr w:type="spellStart"/>
            <w:r w:rsidRPr="00C90461">
              <w:rPr>
                <w:i/>
                <w:iCs/>
                <w:lang w:val="es-ES_tradnl"/>
              </w:rPr>
              <w:t>usitatissimum</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napus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oleifera</w:t>
            </w:r>
            <w:proofErr w:type="spellEnd"/>
            <w:r w:rsidRPr="00C90461">
              <w:rPr>
                <w:lang w:val="es-ES_tradnl"/>
              </w:rPr>
              <w:t xml:space="preserve"> (</w:t>
            </w:r>
            <w:proofErr w:type="spellStart"/>
            <w:r w:rsidRPr="00C90461">
              <w:rPr>
                <w:lang w:val="es-ES_tradnl"/>
              </w:rPr>
              <w:t>Metzg</w:t>
            </w:r>
            <w:proofErr w:type="spellEnd"/>
            <w:r w:rsidRPr="00C90461">
              <w:rPr>
                <w:lang w:val="es-ES_tradnl"/>
              </w:rPr>
              <w:t xml:space="preserve">.) </w:t>
            </w:r>
            <w:proofErr w:type="spellStart"/>
            <w:r w:rsidRPr="00C90461">
              <w:rPr>
                <w:lang w:val="es-ES_tradnl"/>
              </w:rPr>
              <w:t>Sinsk</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campestris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campestris</w:t>
            </w:r>
            <w:proofErr w:type="spellEnd"/>
            <w:r w:rsidRPr="00C90461">
              <w:rPr>
                <w:i/>
                <w:iCs/>
                <w:lang w:val="es-ES_tradnl"/>
              </w:rPr>
              <w:t>,</w:t>
            </w:r>
            <w:r w:rsidRPr="00C90461">
              <w:rPr>
                <w:lang w:val="es-ES_tradnl"/>
              </w:rPr>
              <w:t xml:space="preserve"> </w:t>
            </w:r>
            <w:r w:rsidRPr="00C90461">
              <w:rPr>
                <w:i/>
                <w:iCs/>
                <w:lang w:val="es-ES_tradnl"/>
              </w:rPr>
              <w:t>Fragaria</w:t>
            </w:r>
            <w:r w:rsidRPr="00C90461">
              <w:rPr>
                <w:lang w:val="es-ES_tradnl"/>
              </w:rPr>
              <w:t xml:space="preserve"> L., </w:t>
            </w:r>
            <w:r w:rsidRPr="00C90461">
              <w:rPr>
                <w:i/>
                <w:iCs/>
                <w:lang w:val="es-ES_tradnl"/>
              </w:rPr>
              <w:t xml:space="preserve">Ribes </w:t>
            </w:r>
            <w:proofErr w:type="spellStart"/>
            <w:r w:rsidRPr="00C90461">
              <w:rPr>
                <w:i/>
                <w:iCs/>
                <w:lang w:val="es-ES_tradnl"/>
              </w:rPr>
              <w:t>rubrum</w:t>
            </w:r>
            <w:proofErr w:type="spellEnd"/>
            <w:r w:rsidRPr="00C90461">
              <w:rPr>
                <w:lang w:val="es-ES_tradnl"/>
              </w:rPr>
              <w:t xml:space="preserve"> L., </w:t>
            </w:r>
            <w:r w:rsidRPr="00C90461">
              <w:rPr>
                <w:i/>
                <w:iCs/>
                <w:lang w:val="es-ES_tradnl"/>
              </w:rPr>
              <w:t xml:space="preserve">Ribes </w:t>
            </w:r>
            <w:proofErr w:type="spellStart"/>
            <w:r w:rsidRPr="00C90461">
              <w:rPr>
                <w:i/>
                <w:iCs/>
                <w:lang w:val="es-ES_tradnl"/>
              </w:rPr>
              <w:t>nigrum</w:t>
            </w:r>
            <w:proofErr w:type="spellEnd"/>
            <w:r w:rsidRPr="00C90461">
              <w:rPr>
                <w:lang w:val="es-ES_tradnl"/>
              </w:rPr>
              <w:t xml:space="preserve"> L.</w:t>
            </w:r>
          </w:p>
          <w:p w14:paraId="3D61CAEC" w14:textId="77777777" w:rsidR="008E1106" w:rsidRPr="00C90461" w:rsidRDefault="008F5DD0" w:rsidP="00234F63">
            <w:pPr>
              <w:keepLines/>
              <w:spacing w:after="0"/>
              <w:jc w:val="left"/>
              <w:rPr>
                <w:rFonts w:eastAsia="Arial Unicode MS"/>
                <w:lang w:val="es-ES_tradnl"/>
              </w:rPr>
            </w:pPr>
            <w:r w:rsidRPr="00C90461">
              <w:rPr>
                <w:lang w:val="es-ES_tradnl"/>
              </w:rPr>
              <w:t xml:space="preserve">2. El obtentor debe usar las directrices de examen y las variedades de referencia que la Inspección le facilite. </w:t>
            </w:r>
          </w:p>
          <w:p w14:paraId="3D0DF5D6" w14:textId="77777777" w:rsidR="008E1106" w:rsidRPr="00C90461" w:rsidRDefault="008F5DD0" w:rsidP="00234F63">
            <w:pPr>
              <w:keepLines/>
              <w:spacing w:after="0"/>
              <w:jc w:val="left"/>
              <w:rPr>
                <w:rFonts w:eastAsia="Arial Unicode MS"/>
                <w:lang w:val="es-ES_tradnl"/>
              </w:rPr>
            </w:pPr>
            <w:r w:rsidRPr="00C90461">
              <w:rPr>
                <w:lang w:val="es-ES_tradnl"/>
              </w:rPr>
              <w:t xml:space="preserve">3. Los expertos en DHE de la Inspección deben inspeccionar una o más veces la realización del examen DHE. </w:t>
            </w:r>
          </w:p>
          <w:p w14:paraId="49BD2D7E" w14:textId="677A88D4" w:rsidR="008F5DD0" w:rsidRPr="00C90461" w:rsidRDefault="008F5DD0" w:rsidP="00234F63">
            <w:pPr>
              <w:keepLines/>
              <w:spacing w:after="0" w:line="240" w:lineRule="auto"/>
              <w:jc w:val="left"/>
              <w:rPr>
                <w:rFonts w:eastAsia="Arial Unicode MS"/>
                <w:lang w:val="es-ES_tradnl"/>
              </w:rPr>
            </w:pPr>
            <w:r w:rsidRPr="00C90461">
              <w:rPr>
                <w:lang w:val="es-ES_tradnl"/>
              </w:rPr>
              <w:t xml:space="preserve">4. Si se abonan las tasas. </w:t>
            </w:r>
          </w:p>
        </w:tc>
      </w:tr>
      <w:tr w:rsidR="008F5DD0" w:rsidRPr="00C90461" w14:paraId="72D4344D" w14:textId="77777777" w:rsidTr="005A1C08">
        <w:tc>
          <w:tcPr>
            <w:tcW w:w="9393" w:type="dxa"/>
          </w:tcPr>
          <w:p w14:paraId="501FE655"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El examinador establece las condiciones conforme al protocolo de examen de la especie y también es quien determina si se han cumplido estas condiciones. Una especie </w:t>
            </w:r>
          </w:p>
        </w:tc>
      </w:tr>
      <w:tr w:rsidR="008F5DD0" w:rsidRPr="00C90461" w14:paraId="33FF42C0" w14:textId="77777777" w:rsidTr="005A1C08">
        <w:tc>
          <w:tcPr>
            <w:tcW w:w="9393" w:type="dxa"/>
          </w:tcPr>
          <w:p w14:paraId="51E75D9D"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Según el cultivo. </w:t>
            </w:r>
          </w:p>
        </w:tc>
      </w:tr>
      <w:tr w:rsidR="008F5DD0" w:rsidRPr="00C90461" w14:paraId="2C882173" w14:textId="77777777" w:rsidTr="005A1C08">
        <w:tc>
          <w:tcPr>
            <w:tcW w:w="9393" w:type="dxa"/>
          </w:tcPr>
          <w:p w14:paraId="2AF1070C" w14:textId="4845A7CA" w:rsidR="008E1106" w:rsidRPr="00C90461" w:rsidRDefault="008F5DD0" w:rsidP="00234F63">
            <w:pPr>
              <w:spacing w:after="0"/>
              <w:jc w:val="left"/>
              <w:rPr>
                <w:rFonts w:eastAsia="Arial Unicode MS"/>
                <w:lang w:val="es-ES_tradnl"/>
              </w:rPr>
            </w:pPr>
            <w:r w:rsidRPr="00C90461">
              <w:rPr>
                <w:lang w:val="es-ES_tradnl"/>
              </w:rPr>
              <w:t xml:space="preserve">1. Se aplica cuando no hay una oficina de examen competente en Europa, </w:t>
            </w:r>
          </w:p>
          <w:p w14:paraId="62B09D1C" w14:textId="7EA469DD" w:rsidR="008F5DD0" w:rsidRPr="00C90461" w:rsidRDefault="008F5DD0" w:rsidP="00C91F15">
            <w:pPr>
              <w:spacing w:after="0" w:line="240" w:lineRule="auto"/>
              <w:jc w:val="left"/>
              <w:rPr>
                <w:rFonts w:eastAsia="Arial Unicode MS"/>
                <w:lang w:val="es-ES_tradnl"/>
              </w:rPr>
            </w:pPr>
            <w:r w:rsidRPr="00C90461">
              <w:rPr>
                <w:lang w:val="es-ES_tradnl"/>
              </w:rPr>
              <w:t>2. El territorio francés es muy peculiar debido a sus islas (Nueva Caledonia, ...). No es fácil enviar material vegetal a Europa; no es fácil encontrar una oficina de examen competente para una especie concreta de estas islas. Los costos de viaje de un examinador oficial a estas islas puede</w:t>
            </w:r>
            <w:r w:rsidR="002A57CA" w:rsidRPr="00C90461">
              <w:rPr>
                <w:lang w:val="es-ES_tradnl"/>
              </w:rPr>
              <w:t>n</w:t>
            </w:r>
            <w:r w:rsidRPr="00C90461">
              <w:rPr>
                <w:lang w:val="es-ES_tradnl"/>
              </w:rPr>
              <w:t xml:space="preserve"> ser problemático</w:t>
            </w:r>
            <w:r w:rsidR="002A57CA" w:rsidRPr="00C90461">
              <w:rPr>
                <w:lang w:val="es-ES_tradnl"/>
              </w:rPr>
              <w:t>s</w:t>
            </w:r>
            <w:r w:rsidRPr="00C90461">
              <w:rPr>
                <w:lang w:val="es-ES_tradnl"/>
              </w:rPr>
              <w:t xml:space="preserve">. </w:t>
            </w:r>
          </w:p>
        </w:tc>
      </w:tr>
      <w:tr w:rsidR="008F5DD0" w:rsidRPr="00C90461" w14:paraId="0215ED15" w14:textId="77777777" w:rsidTr="005A1C08">
        <w:tc>
          <w:tcPr>
            <w:tcW w:w="9393" w:type="dxa"/>
          </w:tcPr>
          <w:p w14:paraId="7D78104A"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En el caso de variedades vegetales para las que no se cumplen las condiciones de realización del examen DHE en la NÉBIH (Oficina Nacional de Seguridad de la Cadena Alimentaria de Hungría), puede realizar el examen DHE —con la cooperación y la supervisión de dicha oficina en las instalaciones del obtentor— una persona física o jurídica que cuenta con el reconocimiento oficial de la OCVV o una organización sin personería jurídica. </w:t>
            </w:r>
          </w:p>
        </w:tc>
      </w:tr>
      <w:tr w:rsidR="008F5DD0" w:rsidRPr="00C90461" w14:paraId="72103245" w14:textId="77777777" w:rsidTr="005A1C08">
        <w:tc>
          <w:tcPr>
            <w:tcW w:w="9393" w:type="dxa"/>
          </w:tcPr>
          <w:p w14:paraId="1E34FE65"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Solo para variedades de fruto y de vid; nuestros expertos hacen las observaciones </w:t>
            </w:r>
          </w:p>
        </w:tc>
      </w:tr>
      <w:tr w:rsidR="008F5DD0" w:rsidRPr="00C90461" w14:paraId="3AF1E7AE" w14:textId="77777777" w:rsidTr="005A1C08">
        <w:tc>
          <w:tcPr>
            <w:tcW w:w="9393" w:type="dxa"/>
          </w:tcPr>
          <w:p w14:paraId="72658024"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Un acuerdo con el obtentor </w:t>
            </w:r>
          </w:p>
        </w:tc>
      </w:tr>
      <w:tr w:rsidR="008F5DD0" w:rsidRPr="00C90461" w14:paraId="758FD6C6" w14:textId="77777777" w:rsidTr="005A1C08">
        <w:tc>
          <w:tcPr>
            <w:tcW w:w="9393" w:type="dxa"/>
          </w:tcPr>
          <w:p w14:paraId="6D51C8C3"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solo algunas solicitudes y ningún subcentro de examen DHE tiene capacidad de llevar a cabo exámenes DHE </w:t>
            </w:r>
          </w:p>
        </w:tc>
      </w:tr>
      <w:tr w:rsidR="008F5DD0" w:rsidRPr="00C90461" w14:paraId="777D724E" w14:textId="77777777" w:rsidTr="005A1C08">
        <w:tc>
          <w:tcPr>
            <w:tcW w:w="9393" w:type="dxa"/>
          </w:tcPr>
          <w:p w14:paraId="7E07081C" w14:textId="54CE35EC" w:rsidR="008E1106" w:rsidRPr="00C90461" w:rsidRDefault="008F5DD0" w:rsidP="00234F63">
            <w:pPr>
              <w:spacing w:after="0"/>
              <w:jc w:val="left"/>
              <w:rPr>
                <w:rFonts w:eastAsia="Arial Unicode MS"/>
                <w:lang w:val="es-ES_tradnl"/>
              </w:rPr>
            </w:pPr>
            <w:r w:rsidRPr="00C90461">
              <w:rPr>
                <w:lang w:val="es-ES_tradnl"/>
              </w:rPr>
              <w:lastRenderedPageBreak/>
              <w:t>1)</w:t>
            </w:r>
            <w:r w:rsidRPr="00C90461">
              <w:rPr>
                <w:lang w:val="es-ES_tradnl"/>
              </w:rPr>
              <w:tab/>
              <w:t xml:space="preserve">El examen debe realizarse conforme a las directrices de la UPOV; </w:t>
            </w:r>
          </w:p>
          <w:p w14:paraId="1A9B21F8" w14:textId="0066A1C3" w:rsidR="008E1106" w:rsidRPr="00C90461" w:rsidRDefault="008F5DD0" w:rsidP="00234F63">
            <w:pPr>
              <w:spacing w:after="0"/>
              <w:jc w:val="left"/>
              <w:rPr>
                <w:rFonts w:eastAsia="Arial Unicode MS"/>
                <w:lang w:val="es-ES_tradnl"/>
              </w:rPr>
            </w:pPr>
            <w:r w:rsidRPr="00C90461">
              <w:rPr>
                <w:lang w:val="es-ES_tradnl"/>
              </w:rPr>
              <w:t>2)</w:t>
            </w:r>
            <w:r w:rsidRPr="00C90461">
              <w:rPr>
                <w:lang w:val="es-ES_tradnl"/>
              </w:rPr>
              <w:tab/>
              <w:t xml:space="preserve">El examen debe efectuarse con la supervisión de un examinador oficial; </w:t>
            </w:r>
          </w:p>
          <w:p w14:paraId="6EF85089" w14:textId="65EA0450" w:rsidR="008E1106" w:rsidRPr="00C90461" w:rsidRDefault="008F5DD0" w:rsidP="00234F63">
            <w:pPr>
              <w:spacing w:after="0"/>
              <w:jc w:val="left"/>
              <w:rPr>
                <w:rFonts w:eastAsia="Arial Unicode MS"/>
                <w:lang w:val="es-ES_tradnl"/>
              </w:rPr>
            </w:pPr>
            <w:r w:rsidRPr="00C90461">
              <w:rPr>
                <w:lang w:val="es-ES_tradnl"/>
              </w:rPr>
              <w:t>3)</w:t>
            </w:r>
            <w:r w:rsidRPr="00C90461">
              <w:rPr>
                <w:lang w:val="es-ES_tradnl"/>
              </w:rPr>
              <w:tab/>
              <w:t xml:space="preserve">El obtentor debe garantizar el acceso al ensayo de personal autorizado; </w:t>
            </w:r>
          </w:p>
          <w:p w14:paraId="2A2F6689" w14:textId="6D8F9934" w:rsidR="008F5DD0" w:rsidRPr="00C90461" w:rsidRDefault="008F5DD0" w:rsidP="00234F63">
            <w:pPr>
              <w:spacing w:after="0" w:line="240" w:lineRule="auto"/>
              <w:jc w:val="left"/>
              <w:rPr>
                <w:rFonts w:eastAsia="Arial Unicode MS"/>
                <w:lang w:val="es-ES_tradnl"/>
              </w:rPr>
            </w:pPr>
            <w:r w:rsidRPr="00C90461">
              <w:rPr>
                <w:lang w:val="es-ES_tradnl"/>
              </w:rPr>
              <w:t>4)</w:t>
            </w:r>
            <w:r w:rsidRPr="00C90461">
              <w:rPr>
                <w:lang w:val="es-ES_tradnl"/>
              </w:rPr>
              <w:tab/>
              <w:t xml:space="preserve">El ensayo debe mantenerse hasta que la oficina tome una decisión con respecto a la variedad. </w:t>
            </w:r>
          </w:p>
        </w:tc>
      </w:tr>
      <w:tr w:rsidR="008F5DD0" w:rsidRPr="00C90461" w14:paraId="16023E93" w14:textId="77777777" w:rsidTr="005A1C08">
        <w:tc>
          <w:tcPr>
            <w:tcW w:w="9393" w:type="dxa"/>
          </w:tcPr>
          <w:p w14:paraId="229700B1" w14:textId="6FC773F1" w:rsidR="008F5DD0" w:rsidRPr="00C90461" w:rsidRDefault="008F5DD0" w:rsidP="004F78EA">
            <w:pPr>
              <w:spacing w:after="120" w:line="240" w:lineRule="auto"/>
              <w:jc w:val="left"/>
              <w:rPr>
                <w:rFonts w:eastAsia="Arial Unicode MS"/>
                <w:lang w:val="es-ES_tradnl"/>
              </w:rPr>
            </w:pPr>
            <w:r w:rsidRPr="00C90461">
              <w:rPr>
                <w:lang w:val="es-ES_tradnl"/>
              </w:rPr>
              <w:t xml:space="preserve">En el proceso de examen de una solicitud de derechos de obtentor, el Ministerio examina la variedad. El Ministerio puede delegar actividades relativas al examen de la variedad a una entidad jurídica que, en lo que se refiere a personal, equipo y dispositivos, cumple los requisitos para realizar esos exámenes o bien puede aceptar los resultados de exámenes de la variedad realizados con anterioridad. Los exámenes DHE deben efectuarse bajo la supervisión del Ministerio. El Ministerio debe suscribir un contrato con una entidad jurídica a los fines del examen de variedades. </w:t>
            </w:r>
          </w:p>
        </w:tc>
      </w:tr>
      <w:tr w:rsidR="008F5DD0" w:rsidRPr="00C90461" w14:paraId="524F4E1F" w14:textId="77777777" w:rsidTr="005A1C08">
        <w:tc>
          <w:tcPr>
            <w:tcW w:w="9393" w:type="dxa"/>
          </w:tcPr>
          <w:p w14:paraId="10047029" w14:textId="6BA72AAE" w:rsidR="008E1106" w:rsidRPr="00C90461" w:rsidRDefault="008F5DD0" w:rsidP="00234F63">
            <w:pPr>
              <w:spacing w:after="0"/>
              <w:jc w:val="left"/>
              <w:rPr>
                <w:rFonts w:eastAsia="Arial Unicode MS"/>
                <w:lang w:val="es-ES_tradnl"/>
              </w:rPr>
            </w:pPr>
            <w:r w:rsidRPr="00C90461">
              <w:rPr>
                <w:lang w:val="es-ES_tradnl"/>
              </w:rPr>
              <w:t xml:space="preserve">1. Para los cultivos perennes o arbóreos </w:t>
            </w:r>
          </w:p>
          <w:p w14:paraId="2A06B577" w14:textId="77777777" w:rsidR="008E1106" w:rsidRPr="00C90461" w:rsidRDefault="008F5DD0" w:rsidP="00234F63">
            <w:pPr>
              <w:spacing w:after="0"/>
              <w:jc w:val="left"/>
              <w:rPr>
                <w:rFonts w:eastAsia="Arial Unicode MS"/>
                <w:lang w:val="es-ES_tradnl"/>
              </w:rPr>
            </w:pPr>
            <w:r w:rsidRPr="00C90461">
              <w:rPr>
                <w:lang w:val="es-ES_tradnl"/>
              </w:rPr>
              <w:t xml:space="preserve">2. Para un nuevo cultivo es preciso que se compartan los conocimientos especializados </w:t>
            </w:r>
          </w:p>
          <w:p w14:paraId="6F2750AF" w14:textId="071D42FC" w:rsidR="008F5DD0" w:rsidRPr="00C90461" w:rsidRDefault="008F5DD0" w:rsidP="00234F63">
            <w:pPr>
              <w:spacing w:after="0" w:line="240" w:lineRule="auto"/>
              <w:jc w:val="left"/>
              <w:rPr>
                <w:rFonts w:eastAsia="Arial Unicode MS"/>
                <w:lang w:val="es-ES_tradnl"/>
              </w:rPr>
            </w:pPr>
            <w:r w:rsidRPr="00C90461">
              <w:rPr>
                <w:lang w:val="es-ES_tradnl"/>
              </w:rPr>
              <w:t xml:space="preserve">3. Condiciones especiales </w:t>
            </w:r>
          </w:p>
        </w:tc>
      </w:tr>
      <w:tr w:rsidR="008F5DD0" w:rsidRPr="00C90461" w14:paraId="69FD42A6" w14:textId="77777777" w:rsidTr="005A1C08">
        <w:tc>
          <w:tcPr>
            <w:tcW w:w="9393" w:type="dxa"/>
          </w:tcPr>
          <w:p w14:paraId="4774E18A"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Aunque algunos exámenes DHE se realizan en las instalaciones de los obtentores, los llevan a cabo examinadores de la autoridad sudafricana de protección de las obtenciones vegetales. </w:t>
            </w:r>
          </w:p>
        </w:tc>
      </w:tr>
      <w:tr w:rsidR="008F5DD0" w:rsidRPr="00C90461" w14:paraId="01DBB6C5" w14:textId="77777777" w:rsidTr="005A1C08">
        <w:tc>
          <w:tcPr>
            <w:tcW w:w="9393" w:type="dxa"/>
          </w:tcPr>
          <w:p w14:paraId="33F2BA24"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 para las especies perennes, - presencia de la colección de referencia, - el obtentor cuenta con conocimientos especializados para la especie en cuestión </w:t>
            </w:r>
          </w:p>
        </w:tc>
      </w:tr>
      <w:tr w:rsidR="008F5DD0" w:rsidRPr="00C90461" w14:paraId="34FFB88C" w14:textId="77777777" w:rsidTr="005A1C08">
        <w:tc>
          <w:tcPr>
            <w:tcW w:w="9393" w:type="dxa"/>
          </w:tcPr>
          <w:p w14:paraId="64FF662D" w14:textId="7CADD510" w:rsidR="008F5DD0" w:rsidRPr="00C90461" w:rsidRDefault="008F5DD0" w:rsidP="004F78EA">
            <w:pPr>
              <w:spacing w:after="120" w:line="240" w:lineRule="auto"/>
              <w:jc w:val="left"/>
              <w:rPr>
                <w:rFonts w:eastAsia="Arial Unicode MS"/>
                <w:lang w:val="es-ES_tradnl"/>
              </w:rPr>
            </w:pPr>
            <w:r w:rsidRPr="00C90461">
              <w:rPr>
                <w:lang w:val="es-ES_tradnl"/>
              </w:rPr>
              <w:t xml:space="preserve">los exámenes deben estar sujetos a la supervisión de la entidad autorizada (administración de DHE) </w:t>
            </w:r>
          </w:p>
        </w:tc>
      </w:tr>
      <w:tr w:rsidR="008F5DD0" w:rsidRPr="00C90461" w14:paraId="2AE54813" w14:textId="77777777" w:rsidTr="005A1C08">
        <w:tc>
          <w:tcPr>
            <w:tcW w:w="9393" w:type="dxa"/>
          </w:tcPr>
          <w:p w14:paraId="7FFD60C0" w14:textId="77777777" w:rsidR="008E1106" w:rsidRPr="00C90461" w:rsidRDefault="008F5DD0" w:rsidP="00234F63">
            <w:pPr>
              <w:keepLines/>
              <w:spacing w:after="0"/>
              <w:jc w:val="left"/>
              <w:rPr>
                <w:rFonts w:eastAsia="Arial Unicode MS"/>
                <w:lang w:val="es-ES_tradnl"/>
              </w:rPr>
            </w:pPr>
            <w:r w:rsidRPr="00C90461">
              <w:rPr>
                <w:lang w:val="es-ES_tradnl"/>
              </w:rPr>
              <w:t xml:space="preserve">1. Uso de directrices de examen DHE de la UPOV o en casos excepcionales las directrices nacionales de un Estado miembro de la UPOV, si la UPOV no dispone de orientaciones para un determinado cultivo. </w:t>
            </w:r>
          </w:p>
          <w:p w14:paraId="5CC51848" w14:textId="77777777" w:rsidR="008E1106" w:rsidRPr="00C90461" w:rsidRDefault="008F5DD0" w:rsidP="00234F63">
            <w:pPr>
              <w:keepLines/>
              <w:spacing w:after="0"/>
              <w:jc w:val="left"/>
              <w:rPr>
                <w:rFonts w:eastAsia="Arial Unicode MS"/>
                <w:lang w:val="es-ES_tradnl"/>
              </w:rPr>
            </w:pPr>
            <w:r w:rsidRPr="00C90461">
              <w:rPr>
                <w:lang w:val="es-ES_tradnl"/>
              </w:rPr>
              <w:t xml:space="preserve">2. Examen DHE realizado conforme a las especificaciones del documento TGP/6, sección </w:t>
            </w:r>
          </w:p>
          <w:p w14:paraId="5157A86D" w14:textId="3675B59D" w:rsidR="008F5DD0" w:rsidRPr="00C90461" w:rsidRDefault="008F5DD0" w:rsidP="00234F63">
            <w:pPr>
              <w:keepLines/>
              <w:spacing w:after="0" w:line="240" w:lineRule="auto"/>
              <w:jc w:val="left"/>
              <w:rPr>
                <w:rFonts w:eastAsia="Arial Unicode MS"/>
                <w:lang w:val="es-ES_tradnl"/>
              </w:rPr>
            </w:pPr>
            <w:r w:rsidRPr="00C90461">
              <w:rPr>
                <w:lang w:val="es-ES_tradnl"/>
              </w:rPr>
              <w:t xml:space="preserve">3: Declaración relativa a las condiciones del examen de una variedad cuando este ha sido efectuado por el obtentor o en su nombre. </w:t>
            </w:r>
          </w:p>
        </w:tc>
      </w:tr>
      <w:tr w:rsidR="008F5DD0" w:rsidRPr="00C90461" w14:paraId="6B5A9789" w14:textId="77777777" w:rsidTr="005A1C08">
        <w:tc>
          <w:tcPr>
            <w:tcW w:w="9393" w:type="dxa"/>
          </w:tcPr>
          <w:p w14:paraId="398993BF" w14:textId="77777777" w:rsidR="008E1106" w:rsidRPr="00C90461" w:rsidRDefault="008F5DD0" w:rsidP="004F78EA">
            <w:pPr>
              <w:spacing w:after="120"/>
              <w:jc w:val="left"/>
              <w:rPr>
                <w:rFonts w:eastAsia="Arial Unicode MS"/>
                <w:lang w:val="es-ES_tradnl"/>
              </w:rPr>
            </w:pPr>
            <w:r w:rsidRPr="00C90461">
              <w:rPr>
                <w:lang w:val="es-ES_tradnl"/>
              </w:rPr>
              <w:t xml:space="preserve">Los exámenes pueden realizarse en las instalaciones de obtentores siempre que se elijan variedades similares adecuadas, se establezcan parcelas experimentales adecuadas de la variedad para la que se solicita protección y de la variedad similar y se las compare. </w:t>
            </w:r>
          </w:p>
          <w:p w14:paraId="390AB8A6" w14:textId="45060D11" w:rsidR="008F5DD0" w:rsidRPr="00C90461" w:rsidRDefault="008F5DD0" w:rsidP="00C91F15">
            <w:pPr>
              <w:spacing w:after="120" w:line="240" w:lineRule="auto"/>
              <w:jc w:val="left"/>
              <w:rPr>
                <w:rFonts w:eastAsia="Arial Unicode MS"/>
                <w:lang w:val="es-ES_tradnl"/>
              </w:rPr>
            </w:pPr>
            <w:r w:rsidRPr="00C90461">
              <w:rPr>
                <w:lang w:val="es-ES_tradnl"/>
              </w:rPr>
              <w:t>Los requisitos para aceptar exámenes de los obtentores realizados en nuestro territorio son los siguientes: a) se considera que el obtentor es capaz de realizar un cultivo fiable basándose en los criterios de examen para cada tipo de cultivo. b) se considera que el solicitante es capaz de llevar a cabo una evaluación de los caracteres necesarios para el examen por comparación de la variedad con la variedad similar que la autoridad ha especificado en su notificación, si el examen del obtentor se realiza en un momento oportuno. c)</w:t>
            </w:r>
            <w:r w:rsidRPr="00C90461">
              <w:rPr>
                <w:lang w:val="es-ES_tradnl"/>
              </w:rPr>
              <w:tab/>
              <w:t xml:space="preserve">se considera que el solicitante puede efectuar un envío fiable de datos fiables sobre aquellos caracteres que deben estudiarse en un momento diferente del momento en que debe realizarse el examen de los obtentores. </w:t>
            </w:r>
          </w:p>
        </w:tc>
      </w:tr>
    </w:tbl>
    <w:p w14:paraId="195DD009" w14:textId="77777777" w:rsidR="004F78EA" w:rsidRPr="00C90461" w:rsidRDefault="004F78EA" w:rsidP="00C21BD2">
      <w:pPr>
        <w:spacing w:before="360" w:after="160" w:line="259" w:lineRule="auto"/>
        <w:jc w:val="left"/>
        <w:rPr>
          <w:rFonts w:eastAsia="Arial Unicode MS" w:cs="Arial"/>
          <w:b/>
          <w:bCs/>
          <w:lang w:val="es-ES_tradnl"/>
        </w:rPr>
      </w:pPr>
      <w:bookmarkStart w:id="30" w:name="_Toc15"/>
    </w:p>
    <w:p w14:paraId="62721AFD" w14:textId="77777777" w:rsidR="004F78EA" w:rsidRPr="00C90461" w:rsidRDefault="004F78EA">
      <w:pPr>
        <w:jc w:val="left"/>
        <w:rPr>
          <w:rFonts w:eastAsia="Arial Unicode MS" w:cs="Arial"/>
          <w:b/>
          <w:bCs/>
          <w:lang w:val="es-ES_tradnl"/>
        </w:rPr>
      </w:pPr>
      <w:r w:rsidRPr="00C90461">
        <w:rPr>
          <w:lang w:val="es-ES_tradnl"/>
        </w:rPr>
        <w:br w:type="page"/>
      </w:r>
    </w:p>
    <w:p w14:paraId="443F6534" w14:textId="15D4E61C" w:rsidR="008F5DD0" w:rsidRPr="00C90461" w:rsidRDefault="008F5DD0" w:rsidP="00C21BD2">
      <w:pPr>
        <w:spacing w:before="360" w:after="160" w:line="259" w:lineRule="auto"/>
        <w:jc w:val="left"/>
        <w:rPr>
          <w:rFonts w:eastAsia="Arial Unicode MS" w:cs="Arial"/>
          <w:b/>
          <w:bCs/>
          <w:lang w:val="es-ES_tradnl"/>
        </w:rPr>
      </w:pPr>
      <w:r w:rsidRPr="00C90461">
        <w:rPr>
          <w:b/>
          <w:lang w:val="es-ES_tradnl"/>
        </w:rPr>
        <w:lastRenderedPageBreak/>
        <w:t>6.3. Sírvase aportar información sobre los motivos para no aceptar informes de los exámenes DHE efectuados dentro del territorio de su país/organización en las instalaciones de los obtentores:</w:t>
      </w:r>
      <w:bookmarkEnd w:id="30"/>
    </w:p>
    <w:tbl>
      <w:tblPr>
        <w:tblStyle w:val="table"/>
        <w:tblW w:w="9393" w:type="dxa"/>
        <w:tblInd w:w="80" w:type="dxa"/>
        <w:tblLook w:val="04A0" w:firstRow="1" w:lastRow="0" w:firstColumn="1" w:lastColumn="0" w:noHBand="0" w:noVBand="1"/>
      </w:tblPr>
      <w:tblGrid>
        <w:gridCol w:w="9393"/>
      </w:tblGrid>
      <w:tr w:rsidR="008F5DD0" w:rsidRPr="00C90461" w14:paraId="3EFBE841" w14:textId="77777777" w:rsidTr="005A1C08">
        <w:tc>
          <w:tcPr>
            <w:tcW w:w="9393" w:type="dxa"/>
          </w:tcPr>
          <w:p w14:paraId="4F1A4CAA" w14:textId="76CAE626" w:rsidR="008F5DD0" w:rsidRPr="00C90461" w:rsidRDefault="008F5DD0" w:rsidP="004F78EA">
            <w:pPr>
              <w:spacing w:after="120" w:line="240" w:lineRule="auto"/>
              <w:jc w:val="left"/>
              <w:rPr>
                <w:rFonts w:eastAsia="Arial Unicode MS"/>
                <w:lang w:val="es-ES_tradnl"/>
              </w:rPr>
            </w:pPr>
            <w:r w:rsidRPr="00C90461">
              <w:rPr>
                <w:lang w:val="es-ES_tradnl"/>
              </w:rPr>
              <w:t>En este momento, debido al reglamento, es</w:t>
            </w:r>
            <w:r w:rsidR="0099516F" w:rsidRPr="00C90461">
              <w:rPr>
                <w:lang w:val="es-ES_tradnl"/>
              </w:rPr>
              <w:t xml:space="preserve"> </w:t>
            </w:r>
            <w:r w:rsidRPr="00C90461">
              <w:rPr>
                <w:lang w:val="es-ES_tradnl"/>
              </w:rPr>
              <w:t xml:space="preserve">la autoridad nacional designada u otra autoridad nacional designada la que realiza los exámenes DHE. </w:t>
            </w:r>
          </w:p>
        </w:tc>
      </w:tr>
      <w:tr w:rsidR="008F5DD0" w:rsidRPr="00C90461" w14:paraId="52BA17B8" w14:textId="77777777" w:rsidTr="00C21BD2">
        <w:trPr>
          <w:trHeight w:val="548"/>
        </w:trPr>
        <w:tc>
          <w:tcPr>
            <w:tcW w:w="9393" w:type="dxa"/>
          </w:tcPr>
          <w:p w14:paraId="6109DEED"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No llevamos a cabo exámenes (DHE) de variedades. </w:t>
            </w:r>
          </w:p>
        </w:tc>
      </w:tr>
      <w:tr w:rsidR="008F5DD0" w:rsidRPr="00C90461" w14:paraId="77770771" w14:textId="77777777" w:rsidTr="005A1C08">
        <w:tc>
          <w:tcPr>
            <w:tcW w:w="9393" w:type="dxa"/>
          </w:tcPr>
          <w:p w14:paraId="482CBDB8"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Nuestra organización solo está autorizada a llevar a cabo exámenes DHE oficiales en el territorio de nuestro país. Por lo general, hacemos todos nuestros exámenes DHE en instalaciones de nuestra oficina y no utilizamos las de los obtentores para este fin. Sí, ha habido solicitudes muy aisladas para cultivos poco frecuentes que se examinaron en las instalaciones de obtentores, pero fueron nuestros expertos quienes efectuaron todas las observaciones. Desde el punto de vista jurídico, los obtentores no pueden expedir informes DHE oficiales en nuestro país. </w:t>
            </w:r>
          </w:p>
        </w:tc>
      </w:tr>
      <w:tr w:rsidR="008F5DD0" w:rsidRPr="00C90461" w14:paraId="4DA52F0D" w14:textId="77777777" w:rsidTr="005A1C08">
        <w:tc>
          <w:tcPr>
            <w:tcW w:w="9393" w:type="dxa"/>
          </w:tcPr>
          <w:p w14:paraId="2C6584D2"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La ley establece que es el SAG el encargado de realizar las pruebas de DHE </w:t>
            </w:r>
          </w:p>
        </w:tc>
      </w:tr>
      <w:tr w:rsidR="008F5DD0" w:rsidRPr="00C90461" w14:paraId="1C469376" w14:textId="77777777" w:rsidTr="005A1C08">
        <w:tc>
          <w:tcPr>
            <w:tcW w:w="9393" w:type="dxa"/>
          </w:tcPr>
          <w:p w14:paraId="550AD97E" w14:textId="145CEE0E" w:rsidR="008F5DD0" w:rsidRPr="00C90461" w:rsidRDefault="008F5DD0" w:rsidP="004F78EA">
            <w:pPr>
              <w:spacing w:after="120" w:line="240" w:lineRule="auto"/>
              <w:jc w:val="left"/>
              <w:rPr>
                <w:rFonts w:eastAsia="Arial Unicode MS"/>
                <w:lang w:val="es-ES_tradnl"/>
              </w:rPr>
            </w:pPr>
            <w:r w:rsidRPr="00C90461">
              <w:rPr>
                <w:lang w:val="es-ES_tradnl"/>
              </w:rPr>
              <w:t xml:space="preserve">No debe haber conflicto de intereses. Los exámenes DHE se realizan bajo la supervisión del Consejo de Agricultura y Alimentación </w:t>
            </w:r>
          </w:p>
        </w:tc>
      </w:tr>
      <w:tr w:rsidR="008F5DD0" w:rsidRPr="00C90461" w14:paraId="7696B8FC" w14:textId="77777777" w:rsidTr="005A1C08">
        <w:tc>
          <w:tcPr>
            <w:tcW w:w="9393" w:type="dxa"/>
          </w:tcPr>
          <w:p w14:paraId="5A93E3CB"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para conceder derechos de obtentor exigimos exámenes DHE oficiales efectuados por el instituto de examen del país correspondiente </w:t>
            </w:r>
          </w:p>
        </w:tc>
      </w:tr>
      <w:tr w:rsidR="008F5DD0" w:rsidRPr="00C90461" w14:paraId="301F820C" w14:textId="77777777" w:rsidTr="005A1C08">
        <w:tc>
          <w:tcPr>
            <w:tcW w:w="9393" w:type="dxa"/>
          </w:tcPr>
          <w:p w14:paraId="0F439E60"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Los exámenes DHE se efectúan en centros experimentales propios </w:t>
            </w:r>
          </w:p>
        </w:tc>
      </w:tr>
      <w:tr w:rsidR="008F5DD0" w:rsidRPr="00C90461" w14:paraId="2369113B" w14:textId="77777777" w:rsidTr="005A1C08">
        <w:tc>
          <w:tcPr>
            <w:tcW w:w="9393" w:type="dxa"/>
          </w:tcPr>
          <w:p w14:paraId="43CCD08A"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La legislación de la Unión Europea no lo permite. </w:t>
            </w:r>
          </w:p>
        </w:tc>
      </w:tr>
      <w:tr w:rsidR="008F5DD0" w:rsidRPr="00C90461" w14:paraId="3510FA38" w14:textId="77777777" w:rsidTr="005A1C08">
        <w:tc>
          <w:tcPr>
            <w:tcW w:w="9393" w:type="dxa"/>
          </w:tcPr>
          <w:p w14:paraId="10C6C8C5" w14:textId="062BCFE9" w:rsidR="008F5DD0" w:rsidRPr="00C90461" w:rsidRDefault="008F5DD0" w:rsidP="004F78EA">
            <w:pPr>
              <w:spacing w:after="120" w:line="240" w:lineRule="auto"/>
              <w:jc w:val="left"/>
              <w:rPr>
                <w:rFonts w:eastAsia="Arial Unicode MS"/>
                <w:lang w:val="es-ES_tradnl"/>
              </w:rPr>
            </w:pPr>
            <w:r w:rsidRPr="00C90461">
              <w:rPr>
                <w:lang w:val="es-ES_tradnl"/>
              </w:rPr>
              <w:t xml:space="preserve">Los exámenes DHE solo pueden aceptarse si los proporciona una oficina de examen que cuenta con reconocimiento oficial de la OCVV para hacerlos en su nombre. </w:t>
            </w:r>
          </w:p>
        </w:tc>
      </w:tr>
      <w:tr w:rsidR="008F5DD0" w:rsidRPr="00C90461" w14:paraId="50DA58C6" w14:textId="77777777" w:rsidTr="005A1C08">
        <w:tc>
          <w:tcPr>
            <w:tcW w:w="9393" w:type="dxa"/>
          </w:tcPr>
          <w:p w14:paraId="675C0936" w14:textId="476F5F1B" w:rsidR="008F5DD0" w:rsidRPr="00C90461" w:rsidRDefault="008F5DD0" w:rsidP="004F78EA">
            <w:pPr>
              <w:spacing w:after="120" w:line="240" w:lineRule="auto"/>
              <w:jc w:val="left"/>
              <w:rPr>
                <w:rFonts w:eastAsia="Arial Unicode MS"/>
                <w:lang w:val="es-ES_tradnl"/>
              </w:rPr>
            </w:pPr>
            <w:r w:rsidRPr="00C90461">
              <w:rPr>
                <w:lang w:val="es-ES_tradnl"/>
              </w:rPr>
              <w:t xml:space="preserve">En este momento, este no es el criterio del Reino Unido en materia de informes de examen DHE. El Reino Unido solo lleva a cabo exámenes DHE en centros homologados a fin de proporcionar exámenes con garantías de no que no sean sesgados. </w:t>
            </w:r>
          </w:p>
        </w:tc>
      </w:tr>
      <w:tr w:rsidR="008F5DD0" w:rsidRPr="00C90461" w14:paraId="1FA221AA" w14:textId="77777777" w:rsidTr="005A1C08">
        <w:tc>
          <w:tcPr>
            <w:tcW w:w="9393" w:type="dxa"/>
          </w:tcPr>
          <w:p w14:paraId="638C7CF1"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La legislación exige exámenes oficiales. </w:t>
            </w:r>
          </w:p>
        </w:tc>
      </w:tr>
      <w:tr w:rsidR="008F5DD0" w:rsidRPr="00C90461" w14:paraId="4B452638" w14:textId="77777777" w:rsidTr="005A1C08">
        <w:tc>
          <w:tcPr>
            <w:tcW w:w="9393" w:type="dxa"/>
          </w:tcPr>
          <w:p w14:paraId="29F230C1" w14:textId="213D8C9A" w:rsidR="008F5DD0" w:rsidRPr="00C90461" w:rsidRDefault="008F5DD0" w:rsidP="004F78EA">
            <w:pPr>
              <w:spacing w:after="120" w:line="240" w:lineRule="auto"/>
              <w:jc w:val="left"/>
              <w:rPr>
                <w:rFonts w:eastAsia="Arial Unicode MS"/>
                <w:lang w:val="es-ES_tradnl"/>
              </w:rPr>
            </w:pPr>
            <w:r w:rsidRPr="00C90461">
              <w:rPr>
                <w:lang w:val="es-ES_tradnl"/>
              </w:rPr>
              <w:t xml:space="preserve">existen dos instituciones encargadas de realizar el </w:t>
            </w:r>
            <w:proofErr w:type="gramStart"/>
            <w:r w:rsidRPr="00C90461">
              <w:rPr>
                <w:lang w:val="es-ES_tradnl"/>
              </w:rPr>
              <w:t>DHE,:</w:t>
            </w:r>
            <w:proofErr w:type="gramEnd"/>
            <w:r w:rsidRPr="00C90461">
              <w:rPr>
                <w:lang w:val="es-ES_tradnl"/>
              </w:rPr>
              <w:t xml:space="preserve"> el Instituto de Investigación Agropecuaria y la Universidad de Panamá en la Facultad de Ciencias Agropecuarias </w:t>
            </w:r>
          </w:p>
        </w:tc>
      </w:tr>
      <w:tr w:rsidR="008F5DD0" w:rsidRPr="00C90461" w14:paraId="174A306A" w14:textId="77777777" w:rsidTr="005A1C08">
        <w:tc>
          <w:tcPr>
            <w:tcW w:w="9393" w:type="dxa"/>
          </w:tcPr>
          <w:p w14:paraId="36D7FE79" w14:textId="4DB5F25B" w:rsidR="008F5DD0" w:rsidRPr="00C90461" w:rsidRDefault="008F5DD0" w:rsidP="004F78EA">
            <w:pPr>
              <w:spacing w:after="120" w:line="240" w:lineRule="auto"/>
              <w:jc w:val="left"/>
              <w:rPr>
                <w:rFonts w:eastAsia="Arial Unicode MS"/>
                <w:lang w:val="es-ES_tradnl"/>
              </w:rPr>
            </w:pPr>
            <w:r w:rsidRPr="00C90461">
              <w:rPr>
                <w:lang w:val="es-ES_tradnl"/>
              </w:rPr>
              <w:t xml:space="preserve">Estos requisitos para el examen DHE se especifican en la legislación. </w:t>
            </w:r>
          </w:p>
        </w:tc>
      </w:tr>
      <w:tr w:rsidR="008F5DD0" w:rsidRPr="00C90461" w14:paraId="1519DB6A" w14:textId="77777777" w:rsidTr="005A1C08">
        <w:tc>
          <w:tcPr>
            <w:tcW w:w="9393" w:type="dxa"/>
          </w:tcPr>
          <w:p w14:paraId="14301ECA" w14:textId="46F5D9A5" w:rsidR="008F5DD0" w:rsidRPr="00C90461" w:rsidRDefault="008F5DD0" w:rsidP="004F78EA">
            <w:pPr>
              <w:spacing w:after="120" w:line="240" w:lineRule="auto"/>
              <w:jc w:val="left"/>
              <w:rPr>
                <w:rFonts w:eastAsia="Arial Unicode MS"/>
                <w:lang w:val="es-ES_tradnl"/>
              </w:rPr>
            </w:pPr>
            <w:r w:rsidRPr="00C90461">
              <w:rPr>
                <w:lang w:val="es-ES_tradnl"/>
              </w:rPr>
              <w:t xml:space="preserve">Noruega no realiza exámenes DHE oficiales, de manera que no puede supervisar a los obtentores que los realizan. </w:t>
            </w:r>
          </w:p>
        </w:tc>
      </w:tr>
    </w:tbl>
    <w:p w14:paraId="4229ECA3" w14:textId="77777777" w:rsidR="008F5DD0" w:rsidRPr="00C90461" w:rsidRDefault="008F5DD0" w:rsidP="004F78EA">
      <w:pPr>
        <w:keepNext/>
        <w:spacing w:before="360" w:after="160" w:line="259" w:lineRule="auto"/>
        <w:jc w:val="left"/>
        <w:rPr>
          <w:rFonts w:eastAsia="Arial Unicode MS" w:cs="Arial"/>
          <w:b/>
          <w:bCs/>
          <w:spacing w:val="-2"/>
          <w:lang w:val="es-ES_tradnl"/>
        </w:rPr>
      </w:pPr>
      <w:bookmarkStart w:id="31" w:name="_Toc16"/>
      <w:r w:rsidRPr="00C90461">
        <w:rPr>
          <w:b/>
          <w:lang w:val="es-ES_tradnl"/>
        </w:rPr>
        <w:lastRenderedPageBreak/>
        <w:t>6.4. Indique si las condiciones para aceptar o el rechazo de informes de los exámenes DHE efectuados dentro del territorio de su país/organización en las instalaciones de los obtentores están entre los especificados a continuación:</w:t>
      </w:r>
      <w:bookmarkEnd w:id="31"/>
    </w:p>
    <w:p w14:paraId="5D680C91" w14:textId="77777777" w:rsidR="008F5DD0" w:rsidRPr="00C90461" w:rsidRDefault="008F5DD0" w:rsidP="00C21BD2">
      <w:pPr>
        <w:spacing w:line="259" w:lineRule="auto"/>
        <w:jc w:val="left"/>
        <w:rPr>
          <w:rFonts w:eastAsia="Arial" w:cs="Arial"/>
          <w:sz w:val="8"/>
          <w:szCs w:val="8"/>
          <w:lang w:val="es-ES_tradnl"/>
        </w:rPr>
      </w:pPr>
      <w:r w:rsidRPr="00C90461">
        <w:rPr>
          <w:lang w:val="es-ES_tradnl" w:eastAsia="es-ES"/>
        </w:rPr>
        <w:drawing>
          <wp:inline distT="0" distB="0" distL="0" distR="0" wp14:anchorId="23715508" wp14:editId="4DD7D2D8">
            <wp:extent cx="5500000" cy="3000000"/>
            <wp:effectExtent l="0" t="0" r="0" b="0"/>
            <wp:docPr id="15"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bl>
      <w:tblPr>
        <w:tblStyle w:val="table"/>
        <w:tblW w:w="0" w:type="auto"/>
        <w:tblInd w:w="80" w:type="dxa"/>
        <w:tblLook w:val="04A0" w:firstRow="1" w:lastRow="0" w:firstColumn="1" w:lastColumn="0" w:noHBand="0" w:noVBand="1"/>
      </w:tblPr>
      <w:tblGrid>
        <w:gridCol w:w="3439"/>
        <w:gridCol w:w="2801"/>
        <w:gridCol w:w="3120"/>
      </w:tblGrid>
      <w:tr w:rsidR="008F5DD0" w:rsidRPr="00C90461" w14:paraId="3E0446FE" w14:textId="77777777" w:rsidTr="00C91F15">
        <w:tc>
          <w:tcPr>
            <w:tcW w:w="3439" w:type="dxa"/>
          </w:tcPr>
          <w:p w14:paraId="7BB71154" w14:textId="77777777" w:rsidR="008F5DD0" w:rsidRPr="00C90461" w:rsidRDefault="008F5DD0" w:rsidP="004F78EA">
            <w:pPr>
              <w:spacing w:line="240" w:lineRule="auto"/>
              <w:jc w:val="left"/>
              <w:rPr>
                <w:lang w:val="es-ES_tradnl"/>
              </w:rPr>
            </w:pPr>
            <w:r w:rsidRPr="00C90461">
              <w:rPr>
                <w:rFonts w:ascii="Arial Unicode MS" w:hAnsi="Arial Unicode MS"/>
                <w:lang w:val="es-ES_tradnl"/>
              </w:rPr>
              <w:t xml:space="preserve">Valor </w:t>
            </w:r>
          </w:p>
        </w:tc>
        <w:tc>
          <w:tcPr>
            <w:tcW w:w="2801" w:type="dxa"/>
          </w:tcPr>
          <w:p w14:paraId="3920D0FB" w14:textId="77777777" w:rsidR="008F5DD0" w:rsidRPr="00C90461" w:rsidRDefault="008F5DD0" w:rsidP="004F78EA">
            <w:pPr>
              <w:spacing w:line="240" w:lineRule="auto"/>
              <w:jc w:val="left"/>
              <w:rPr>
                <w:lang w:val="es-ES_tradnl"/>
              </w:rPr>
            </w:pPr>
            <w:r w:rsidRPr="00C90461">
              <w:rPr>
                <w:rFonts w:ascii="Arial Unicode MS" w:hAnsi="Arial Unicode MS"/>
                <w:lang w:val="es-ES_tradnl"/>
              </w:rPr>
              <w:t xml:space="preserve">Porcentaje </w:t>
            </w:r>
          </w:p>
        </w:tc>
        <w:tc>
          <w:tcPr>
            <w:tcW w:w="3120" w:type="dxa"/>
          </w:tcPr>
          <w:p w14:paraId="3AFE04A0" w14:textId="77777777" w:rsidR="008F5DD0" w:rsidRPr="00C90461" w:rsidRDefault="008F5DD0" w:rsidP="004F78EA">
            <w:pPr>
              <w:spacing w:line="240" w:lineRule="auto"/>
              <w:jc w:val="left"/>
              <w:rPr>
                <w:lang w:val="es-ES_tradnl"/>
              </w:rPr>
            </w:pPr>
            <w:r w:rsidRPr="00C90461">
              <w:rPr>
                <w:rFonts w:ascii="Arial Unicode MS" w:hAnsi="Arial Unicode MS"/>
                <w:lang w:val="es-ES_tradnl"/>
              </w:rPr>
              <w:t xml:space="preserve">Número </w:t>
            </w:r>
          </w:p>
        </w:tc>
      </w:tr>
      <w:tr w:rsidR="008F5DD0" w:rsidRPr="00C90461" w14:paraId="46FC808E" w14:textId="77777777" w:rsidTr="00C91F15">
        <w:tc>
          <w:tcPr>
            <w:tcW w:w="3439" w:type="dxa"/>
          </w:tcPr>
          <w:p w14:paraId="45244215"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a. la legislación </w:t>
            </w:r>
          </w:p>
        </w:tc>
        <w:tc>
          <w:tcPr>
            <w:tcW w:w="2801" w:type="dxa"/>
          </w:tcPr>
          <w:p w14:paraId="1B08083B"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34 % </w:t>
            </w:r>
          </w:p>
        </w:tc>
        <w:tc>
          <w:tcPr>
            <w:tcW w:w="3120" w:type="dxa"/>
          </w:tcPr>
          <w:p w14:paraId="1E3088C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11 </w:t>
            </w:r>
          </w:p>
        </w:tc>
      </w:tr>
      <w:tr w:rsidR="008F5DD0" w:rsidRPr="00C90461" w14:paraId="3C9BC365" w14:textId="77777777" w:rsidTr="00C91F15">
        <w:tc>
          <w:tcPr>
            <w:tcW w:w="3439" w:type="dxa"/>
          </w:tcPr>
          <w:p w14:paraId="5FDC92E3"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b. los reglamentos </w:t>
            </w:r>
          </w:p>
        </w:tc>
        <w:tc>
          <w:tcPr>
            <w:tcW w:w="2801" w:type="dxa"/>
          </w:tcPr>
          <w:p w14:paraId="2BFBFD5C"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34 % </w:t>
            </w:r>
          </w:p>
        </w:tc>
        <w:tc>
          <w:tcPr>
            <w:tcW w:w="3120" w:type="dxa"/>
          </w:tcPr>
          <w:p w14:paraId="7D3385A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11 </w:t>
            </w:r>
          </w:p>
        </w:tc>
      </w:tr>
      <w:tr w:rsidR="008F5DD0" w:rsidRPr="00C90461" w14:paraId="1D11A3AC" w14:textId="77777777" w:rsidTr="00C91F15">
        <w:tc>
          <w:tcPr>
            <w:tcW w:w="3439" w:type="dxa"/>
          </w:tcPr>
          <w:p w14:paraId="3EA3BE40"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c. los procedimientos administrativos </w:t>
            </w:r>
          </w:p>
        </w:tc>
        <w:tc>
          <w:tcPr>
            <w:tcW w:w="2801" w:type="dxa"/>
          </w:tcPr>
          <w:p w14:paraId="2AC67ECF"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41 % </w:t>
            </w:r>
          </w:p>
        </w:tc>
        <w:tc>
          <w:tcPr>
            <w:tcW w:w="3120" w:type="dxa"/>
          </w:tcPr>
          <w:p w14:paraId="1BFB91B6"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13 </w:t>
            </w:r>
          </w:p>
        </w:tc>
      </w:tr>
      <w:tr w:rsidR="008F5DD0" w:rsidRPr="00C90461" w14:paraId="5243A966" w14:textId="77777777" w:rsidTr="00C91F15">
        <w:tc>
          <w:tcPr>
            <w:tcW w:w="3439" w:type="dxa"/>
          </w:tcPr>
          <w:p w14:paraId="48C0CBEF"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d. otro </w:t>
            </w:r>
          </w:p>
        </w:tc>
        <w:tc>
          <w:tcPr>
            <w:tcW w:w="2801" w:type="dxa"/>
          </w:tcPr>
          <w:p w14:paraId="275C707C"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19 % </w:t>
            </w:r>
          </w:p>
        </w:tc>
        <w:tc>
          <w:tcPr>
            <w:tcW w:w="3120" w:type="dxa"/>
          </w:tcPr>
          <w:p w14:paraId="205404A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6 </w:t>
            </w:r>
          </w:p>
        </w:tc>
      </w:tr>
    </w:tbl>
    <w:p w14:paraId="08C69E60" w14:textId="77777777" w:rsidR="008F5DD0" w:rsidRPr="00C90461" w:rsidRDefault="008F5DD0" w:rsidP="00C21BD2">
      <w:pPr>
        <w:spacing w:line="259" w:lineRule="auto"/>
        <w:jc w:val="left"/>
        <w:rPr>
          <w:rFonts w:eastAsia="Arial" w:cs="Arial"/>
          <w:sz w:val="12"/>
          <w:szCs w:val="12"/>
          <w:lang w:val="es-ES_tradnl"/>
        </w:rPr>
      </w:pPr>
    </w:p>
    <w:tbl>
      <w:tblPr>
        <w:tblStyle w:val="table"/>
        <w:tblW w:w="0" w:type="auto"/>
        <w:tblInd w:w="1055" w:type="dxa"/>
        <w:tblLook w:val="04A0" w:firstRow="1" w:lastRow="0" w:firstColumn="1" w:lastColumn="0" w:noHBand="0" w:noVBand="1"/>
      </w:tblPr>
      <w:tblGrid>
        <w:gridCol w:w="5220"/>
        <w:gridCol w:w="3165"/>
      </w:tblGrid>
      <w:tr w:rsidR="008F5DD0" w:rsidRPr="00C90461" w14:paraId="3765C7E7" w14:textId="77777777" w:rsidTr="00C21BD2">
        <w:tc>
          <w:tcPr>
            <w:tcW w:w="5220" w:type="dxa"/>
          </w:tcPr>
          <w:p w14:paraId="46B68711"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d. otro </w:t>
            </w:r>
          </w:p>
        </w:tc>
        <w:tc>
          <w:tcPr>
            <w:tcW w:w="3165" w:type="dxa"/>
          </w:tcPr>
          <w:p w14:paraId="636867DF"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Número </w:t>
            </w:r>
          </w:p>
        </w:tc>
      </w:tr>
      <w:tr w:rsidR="008F5DD0" w:rsidRPr="00C90461" w14:paraId="27EA8BF3" w14:textId="77777777" w:rsidTr="00C21BD2">
        <w:tc>
          <w:tcPr>
            <w:tcW w:w="5220" w:type="dxa"/>
          </w:tcPr>
          <w:p w14:paraId="56B2C65A"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Reglamento 2100/94 de la Unión Europea </w:t>
            </w:r>
          </w:p>
        </w:tc>
        <w:tc>
          <w:tcPr>
            <w:tcW w:w="3165" w:type="dxa"/>
          </w:tcPr>
          <w:p w14:paraId="237057F1"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1CE94631" w14:textId="77777777" w:rsidTr="00C21BD2">
        <w:tc>
          <w:tcPr>
            <w:tcW w:w="5220" w:type="dxa"/>
          </w:tcPr>
          <w:p w14:paraId="6C07A31F"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No aplicable </w:t>
            </w:r>
          </w:p>
        </w:tc>
        <w:tc>
          <w:tcPr>
            <w:tcW w:w="3165" w:type="dxa"/>
          </w:tcPr>
          <w:p w14:paraId="7C09BECA"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7F3AC0D1" w14:textId="77777777" w:rsidTr="00C21BD2">
        <w:tc>
          <w:tcPr>
            <w:tcW w:w="5220" w:type="dxa"/>
          </w:tcPr>
          <w:p w14:paraId="3C36948D"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costos/conocimiento </w:t>
            </w:r>
          </w:p>
        </w:tc>
        <w:tc>
          <w:tcPr>
            <w:tcW w:w="3165" w:type="dxa"/>
          </w:tcPr>
          <w:p w14:paraId="14EDBB65"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038381AF" w14:textId="77777777" w:rsidTr="00C21BD2">
        <w:tc>
          <w:tcPr>
            <w:tcW w:w="5220" w:type="dxa"/>
          </w:tcPr>
          <w:p w14:paraId="0C041BCC"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políticas internas </w:t>
            </w:r>
          </w:p>
        </w:tc>
        <w:tc>
          <w:tcPr>
            <w:tcW w:w="3165" w:type="dxa"/>
          </w:tcPr>
          <w:p w14:paraId="14AB1CFB"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2966B07D" w14:textId="77777777" w:rsidTr="00C21BD2">
        <w:tc>
          <w:tcPr>
            <w:tcW w:w="5220" w:type="dxa"/>
          </w:tcPr>
          <w:p w14:paraId="6712C866"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no especificado </w:t>
            </w:r>
          </w:p>
        </w:tc>
        <w:tc>
          <w:tcPr>
            <w:tcW w:w="3165" w:type="dxa"/>
          </w:tcPr>
          <w:p w14:paraId="569EE93D"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7F2ECF18" w14:textId="77777777" w:rsidTr="00C21BD2">
        <w:tc>
          <w:tcPr>
            <w:tcW w:w="5220" w:type="dxa"/>
          </w:tcPr>
          <w:p w14:paraId="638D7164"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práctica de la oficina </w:t>
            </w:r>
          </w:p>
        </w:tc>
        <w:tc>
          <w:tcPr>
            <w:tcW w:w="3165" w:type="dxa"/>
          </w:tcPr>
          <w:p w14:paraId="4443FC31"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1 </w:t>
            </w:r>
          </w:p>
        </w:tc>
      </w:tr>
      <w:tr w:rsidR="008F5DD0" w:rsidRPr="00C90461" w14:paraId="54E2EEEB" w14:textId="77777777" w:rsidTr="00C21BD2">
        <w:trPr>
          <w:trHeight w:val="260"/>
        </w:trPr>
        <w:tc>
          <w:tcPr>
            <w:tcW w:w="5220" w:type="dxa"/>
          </w:tcPr>
          <w:p w14:paraId="41CBD01E"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lastRenderedPageBreak/>
              <w:t xml:space="preserve">Totales </w:t>
            </w:r>
          </w:p>
        </w:tc>
        <w:tc>
          <w:tcPr>
            <w:tcW w:w="3165" w:type="dxa"/>
          </w:tcPr>
          <w:p w14:paraId="42FBE73D" w14:textId="77777777" w:rsidR="008F5DD0" w:rsidRPr="00C90461" w:rsidRDefault="008F5DD0" w:rsidP="00C21BD2">
            <w:pPr>
              <w:spacing w:after="100" w:line="240" w:lineRule="auto"/>
              <w:jc w:val="left"/>
              <w:rPr>
                <w:lang w:val="es-ES_tradnl"/>
              </w:rPr>
            </w:pPr>
            <w:r w:rsidRPr="00C90461">
              <w:rPr>
                <w:rFonts w:ascii="Arial Unicode MS" w:hAnsi="Arial Unicode MS"/>
                <w:lang w:val="es-ES_tradnl"/>
              </w:rPr>
              <w:t xml:space="preserve">6 </w:t>
            </w:r>
          </w:p>
        </w:tc>
      </w:tr>
    </w:tbl>
    <w:p w14:paraId="20F48C75" w14:textId="2D7EB024" w:rsidR="008F5DD0" w:rsidRPr="00C90461" w:rsidRDefault="008F5DD0" w:rsidP="00C21BD2">
      <w:pPr>
        <w:spacing w:before="240" w:after="160" w:line="259" w:lineRule="auto"/>
        <w:jc w:val="left"/>
        <w:rPr>
          <w:rFonts w:eastAsia="Arial Unicode MS" w:cs="Arial"/>
          <w:lang w:val="es-ES_tradnl"/>
        </w:rPr>
      </w:pPr>
      <w:bookmarkStart w:id="32" w:name="_Toc17"/>
      <w:r w:rsidRPr="00C90461">
        <w:rPr>
          <w:lang w:val="es-ES_tradnl"/>
        </w:rPr>
        <w:t>Comentarios:</w:t>
      </w:r>
      <w:bookmarkEnd w:id="32"/>
    </w:p>
    <w:tbl>
      <w:tblPr>
        <w:tblStyle w:val="table"/>
        <w:tblW w:w="9393" w:type="dxa"/>
        <w:tblInd w:w="80" w:type="dxa"/>
        <w:tblLook w:val="04A0" w:firstRow="1" w:lastRow="0" w:firstColumn="1" w:lastColumn="0" w:noHBand="0" w:noVBand="1"/>
      </w:tblPr>
      <w:tblGrid>
        <w:gridCol w:w="9393"/>
      </w:tblGrid>
      <w:tr w:rsidR="008F5DD0" w:rsidRPr="00C90461" w14:paraId="5430889E" w14:textId="77777777" w:rsidTr="005A1C08">
        <w:tc>
          <w:tcPr>
            <w:tcW w:w="9393" w:type="dxa"/>
          </w:tcPr>
          <w:p w14:paraId="60BD2B3C" w14:textId="6592B818" w:rsidR="008F5DD0" w:rsidRPr="00C90461" w:rsidRDefault="008F5DD0" w:rsidP="004F78EA">
            <w:pPr>
              <w:spacing w:after="120" w:line="240" w:lineRule="auto"/>
              <w:jc w:val="left"/>
              <w:rPr>
                <w:rFonts w:eastAsia="Arial Unicode MS"/>
                <w:lang w:val="es-ES_tradnl"/>
              </w:rPr>
            </w:pPr>
            <w:r w:rsidRPr="00C90461">
              <w:rPr>
                <w:lang w:val="es-ES_tradnl"/>
              </w:rPr>
              <w:t xml:space="preserve">La solicitud de derechos de obtentor se completa con material de reproducción para el examen, excepto si el funcionario especifica que es posible hacer dicho examen en las instalaciones de los obtentores por otros motivos. </w:t>
            </w:r>
          </w:p>
        </w:tc>
      </w:tr>
      <w:tr w:rsidR="008F5DD0" w:rsidRPr="00C90461" w14:paraId="4C184F9D" w14:textId="77777777" w:rsidTr="005A1C08">
        <w:tc>
          <w:tcPr>
            <w:tcW w:w="9393" w:type="dxa"/>
          </w:tcPr>
          <w:p w14:paraId="64F5FDD9" w14:textId="3E92F946" w:rsidR="008F5DD0" w:rsidRPr="00C90461" w:rsidRDefault="008F5DD0" w:rsidP="004F78EA">
            <w:pPr>
              <w:spacing w:after="120" w:line="240" w:lineRule="auto"/>
              <w:jc w:val="left"/>
              <w:rPr>
                <w:rFonts w:eastAsia="Arial Unicode MS"/>
                <w:lang w:val="es-ES_tradnl"/>
              </w:rPr>
            </w:pPr>
            <w:r w:rsidRPr="00C90461">
              <w:rPr>
                <w:lang w:val="es-ES_tradnl"/>
              </w:rPr>
              <w:t xml:space="preserve">El marco se establece en los reglamentos y los detalles se especifican mediante notas informativas sobre las prácticas. </w:t>
            </w:r>
          </w:p>
        </w:tc>
      </w:tr>
      <w:tr w:rsidR="008F5DD0" w:rsidRPr="00C90461" w14:paraId="004AA756" w14:textId="77777777" w:rsidTr="005A1C08">
        <w:tc>
          <w:tcPr>
            <w:tcW w:w="9393" w:type="dxa"/>
          </w:tcPr>
          <w:p w14:paraId="5BB31572"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Los exámenes en las instalaciones de los obtentores no son necesarios. </w:t>
            </w:r>
          </w:p>
        </w:tc>
      </w:tr>
      <w:tr w:rsidR="008F5DD0" w:rsidRPr="00C90461" w14:paraId="2F16333C" w14:textId="77777777" w:rsidTr="005A1C08">
        <w:tc>
          <w:tcPr>
            <w:tcW w:w="9393" w:type="dxa"/>
          </w:tcPr>
          <w:p w14:paraId="4B023774"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En el artículo 54 del reglamento se dispone que una variedad será objeto de un examen técnico realizado por la autoridad competente de un Estado miembro homologada para examinar esa especie en concreto. </w:t>
            </w:r>
          </w:p>
        </w:tc>
      </w:tr>
      <w:tr w:rsidR="008F5DD0" w:rsidRPr="00C90461" w14:paraId="19893F96" w14:textId="77777777" w:rsidTr="005A1C08">
        <w:tc>
          <w:tcPr>
            <w:tcW w:w="9393" w:type="dxa"/>
          </w:tcPr>
          <w:p w14:paraId="01B861B6" w14:textId="77777777" w:rsidR="008F5DD0" w:rsidRPr="00C90461" w:rsidRDefault="008F5DD0" w:rsidP="004F78EA">
            <w:pPr>
              <w:spacing w:after="120" w:line="240" w:lineRule="auto"/>
              <w:jc w:val="left"/>
              <w:rPr>
                <w:rFonts w:eastAsia="Arial Unicode MS"/>
                <w:lang w:val="es-ES_tradnl"/>
              </w:rPr>
            </w:pPr>
            <w:r w:rsidRPr="00C90461">
              <w:rPr>
                <w:lang w:val="es-ES_tradnl"/>
              </w:rPr>
              <w:t xml:space="preserve">El informe de examen DHE de un obtentor que proviene del extranjero se considera un descriptor de la variedad el cual debe verificarse </w:t>
            </w:r>
          </w:p>
        </w:tc>
      </w:tr>
      <w:tr w:rsidR="008F5DD0" w:rsidRPr="00C90461" w14:paraId="14485C1A" w14:textId="77777777" w:rsidTr="005A1C08">
        <w:tc>
          <w:tcPr>
            <w:tcW w:w="9393" w:type="dxa"/>
          </w:tcPr>
          <w:p w14:paraId="41592760" w14:textId="50AE27A8" w:rsidR="008F5DD0" w:rsidRPr="00C90461" w:rsidRDefault="008F5DD0" w:rsidP="004F78EA">
            <w:pPr>
              <w:spacing w:after="120" w:line="240" w:lineRule="auto"/>
              <w:jc w:val="left"/>
              <w:rPr>
                <w:rFonts w:eastAsia="Arial Unicode MS"/>
                <w:lang w:val="es-ES_tradnl"/>
              </w:rPr>
            </w:pPr>
            <w:r w:rsidRPr="00C90461">
              <w:rPr>
                <w:lang w:val="es-ES_tradnl"/>
              </w:rPr>
              <w:t xml:space="preserve">existe un consejo que aprueba lo establecido por las instituciones que realizan el DHE; emite nota par su resolución al Ministerio de Agricultura </w:t>
            </w:r>
          </w:p>
        </w:tc>
      </w:tr>
    </w:tbl>
    <w:p w14:paraId="37021D33" w14:textId="264767F0" w:rsidR="008F5DD0" w:rsidRPr="00C90461" w:rsidRDefault="008F5DD0" w:rsidP="008F5DD0">
      <w:pPr>
        <w:spacing w:after="160" w:line="259" w:lineRule="auto"/>
        <w:jc w:val="left"/>
        <w:rPr>
          <w:rFonts w:eastAsia="Arial Unicode MS" w:cs="Arial"/>
          <w:b/>
          <w:bCs/>
          <w:lang w:val="es-ES_tradnl"/>
        </w:rPr>
      </w:pPr>
      <w:bookmarkStart w:id="33" w:name="_Toc18"/>
    </w:p>
    <w:p w14:paraId="6726F981"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t>7. ¿Acepta su país/</w:t>
      </w:r>
      <w:proofErr w:type="gramStart"/>
      <w:r w:rsidRPr="00C90461">
        <w:rPr>
          <w:b/>
          <w:lang w:val="es-ES_tradnl"/>
        </w:rPr>
        <w:t>organización informes</w:t>
      </w:r>
      <w:proofErr w:type="gramEnd"/>
      <w:r w:rsidRPr="00C90461">
        <w:rPr>
          <w:b/>
          <w:lang w:val="es-ES_tradnl"/>
        </w:rPr>
        <w:t xml:space="preserve"> de los exámenes DHE efectuados </w:t>
      </w:r>
      <w:r w:rsidRPr="00C90461">
        <w:rPr>
          <w:b/>
          <w:u w:val="single"/>
          <w:lang w:val="es-ES_tradnl"/>
        </w:rPr>
        <w:t>fuera</w:t>
      </w:r>
      <w:r w:rsidRPr="00C90461">
        <w:rPr>
          <w:b/>
          <w:lang w:val="es-ES_tradnl"/>
        </w:rPr>
        <w:t xml:space="preserve"> del territorio de su país/organización en las instalaciones de los obtentores?</w:t>
      </w:r>
      <w:bookmarkEnd w:id="33"/>
    </w:p>
    <w:p w14:paraId="5D3EAABE" w14:textId="77777777" w:rsidR="008F5DD0" w:rsidRPr="00C90461" w:rsidRDefault="008F5DD0" w:rsidP="00C21BD2">
      <w:pPr>
        <w:spacing w:line="259" w:lineRule="auto"/>
        <w:jc w:val="left"/>
        <w:rPr>
          <w:rFonts w:eastAsia="Arial" w:cs="Arial"/>
          <w:sz w:val="12"/>
          <w:szCs w:val="12"/>
          <w:lang w:val="es-ES_tradnl"/>
        </w:rPr>
      </w:pPr>
      <w:r w:rsidRPr="00C90461">
        <w:rPr>
          <w:lang w:val="es-ES_tradnl" w:eastAsia="es-ES"/>
        </w:rPr>
        <w:drawing>
          <wp:inline distT="0" distB="0" distL="0" distR="0" wp14:anchorId="6BC0987C" wp14:editId="56A6BC17">
            <wp:extent cx="5773479" cy="2583180"/>
            <wp:effectExtent l="0" t="0" r="0" b="7620"/>
            <wp:docPr id="16"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bl>
      <w:tblPr>
        <w:tblStyle w:val="table"/>
        <w:tblW w:w="0" w:type="auto"/>
        <w:tblInd w:w="80" w:type="dxa"/>
        <w:tblLook w:val="04A0" w:firstRow="1" w:lastRow="0" w:firstColumn="1" w:lastColumn="0" w:noHBand="0" w:noVBand="1"/>
      </w:tblPr>
      <w:tblGrid>
        <w:gridCol w:w="2978"/>
        <w:gridCol w:w="2964"/>
        <w:gridCol w:w="2953"/>
      </w:tblGrid>
      <w:tr w:rsidR="008F5DD0" w:rsidRPr="00C90461" w14:paraId="13E4757D" w14:textId="77777777" w:rsidTr="008F5DD0">
        <w:tc>
          <w:tcPr>
            <w:tcW w:w="2978" w:type="dxa"/>
          </w:tcPr>
          <w:p w14:paraId="482935E8"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Valor </w:t>
            </w:r>
          </w:p>
        </w:tc>
        <w:tc>
          <w:tcPr>
            <w:tcW w:w="2964" w:type="dxa"/>
          </w:tcPr>
          <w:p w14:paraId="7005DAEC"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Porcentaje </w:t>
            </w:r>
          </w:p>
        </w:tc>
        <w:tc>
          <w:tcPr>
            <w:tcW w:w="2953" w:type="dxa"/>
          </w:tcPr>
          <w:p w14:paraId="2BAC812D"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Número </w:t>
            </w:r>
          </w:p>
        </w:tc>
      </w:tr>
      <w:tr w:rsidR="008F5DD0" w:rsidRPr="00C90461" w14:paraId="2181A85D" w14:textId="77777777" w:rsidTr="008F5DD0">
        <w:tc>
          <w:tcPr>
            <w:tcW w:w="2978" w:type="dxa"/>
          </w:tcPr>
          <w:p w14:paraId="3E7C0398"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a. Sí, siempre </w:t>
            </w:r>
          </w:p>
        </w:tc>
        <w:tc>
          <w:tcPr>
            <w:tcW w:w="2964" w:type="dxa"/>
          </w:tcPr>
          <w:p w14:paraId="36A2A720"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26 % </w:t>
            </w:r>
          </w:p>
        </w:tc>
        <w:tc>
          <w:tcPr>
            <w:tcW w:w="2953" w:type="dxa"/>
          </w:tcPr>
          <w:p w14:paraId="18F2465A"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11 </w:t>
            </w:r>
          </w:p>
        </w:tc>
      </w:tr>
      <w:tr w:rsidR="008F5DD0" w:rsidRPr="00C90461" w14:paraId="22BC8ECE" w14:textId="77777777" w:rsidTr="008F5DD0">
        <w:tc>
          <w:tcPr>
            <w:tcW w:w="2978" w:type="dxa"/>
          </w:tcPr>
          <w:p w14:paraId="0624BE12"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b. Sí, en determinadas condiciones </w:t>
            </w:r>
          </w:p>
        </w:tc>
        <w:tc>
          <w:tcPr>
            <w:tcW w:w="2964" w:type="dxa"/>
          </w:tcPr>
          <w:p w14:paraId="4A9C7A8D"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44 % </w:t>
            </w:r>
          </w:p>
        </w:tc>
        <w:tc>
          <w:tcPr>
            <w:tcW w:w="2953" w:type="dxa"/>
          </w:tcPr>
          <w:p w14:paraId="70164E08"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19 </w:t>
            </w:r>
          </w:p>
        </w:tc>
      </w:tr>
      <w:tr w:rsidR="008F5DD0" w:rsidRPr="00C90461" w14:paraId="23F6C2CE" w14:textId="77777777" w:rsidTr="008F5DD0">
        <w:tc>
          <w:tcPr>
            <w:tcW w:w="2978" w:type="dxa"/>
          </w:tcPr>
          <w:p w14:paraId="36BF3F17"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lastRenderedPageBreak/>
              <w:t xml:space="preserve">c. No </w:t>
            </w:r>
          </w:p>
        </w:tc>
        <w:tc>
          <w:tcPr>
            <w:tcW w:w="2964" w:type="dxa"/>
          </w:tcPr>
          <w:p w14:paraId="61E42F6B"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30 % </w:t>
            </w:r>
          </w:p>
        </w:tc>
        <w:tc>
          <w:tcPr>
            <w:tcW w:w="2953" w:type="dxa"/>
          </w:tcPr>
          <w:p w14:paraId="09FC0274"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13 </w:t>
            </w:r>
          </w:p>
        </w:tc>
      </w:tr>
      <w:tr w:rsidR="008F5DD0" w:rsidRPr="00C90461" w14:paraId="6FAC8497" w14:textId="77777777" w:rsidTr="008F5DD0">
        <w:tc>
          <w:tcPr>
            <w:tcW w:w="2978" w:type="dxa"/>
          </w:tcPr>
          <w:p w14:paraId="4C9C282F"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 </w:t>
            </w:r>
          </w:p>
        </w:tc>
        <w:tc>
          <w:tcPr>
            <w:tcW w:w="2964" w:type="dxa"/>
          </w:tcPr>
          <w:p w14:paraId="1DBE7AA1"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Totales </w:t>
            </w:r>
          </w:p>
        </w:tc>
        <w:tc>
          <w:tcPr>
            <w:tcW w:w="2953" w:type="dxa"/>
          </w:tcPr>
          <w:p w14:paraId="2F732704" w14:textId="77777777" w:rsidR="008F5DD0" w:rsidRPr="00C90461" w:rsidRDefault="008F5DD0" w:rsidP="004F78EA">
            <w:pPr>
              <w:spacing w:after="120" w:line="240" w:lineRule="auto"/>
              <w:jc w:val="left"/>
              <w:rPr>
                <w:lang w:val="es-ES_tradnl"/>
              </w:rPr>
            </w:pPr>
            <w:r w:rsidRPr="00C90461">
              <w:rPr>
                <w:rFonts w:ascii="Arial Unicode MS" w:hAnsi="Arial Unicode MS"/>
                <w:lang w:val="es-ES_tradnl"/>
              </w:rPr>
              <w:t xml:space="preserve">43 </w:t>
            </w:r>
          </w:p>
        </w:tc>
      </w:tr>
    </w:tbl>
    <w:p w14:paraId="45D75457" w14:textId="5CF88D44" w:rsidR="008F5DD0" w:rsidRPr="00C90461" w:rsidRDefault="008F5DD0" w:rsidP="004F78EA">
      <w:pPr>
        <w:keepNext/>
        <w:keepLines/>
        <w:spacing w:before="240" w:after="160" w:line="259" w:lineRule="auto"/>
        <w:jc w:val="left"/>
        <w:rPr>
          <w:rFonts w:eastAsia="Arial Unicode MS" w:cs="Arial"/>
          <w:b/>
          <w:bCs/>
          <w:lang w:val="es-ES_tradnl"/>
        </w:rPr>
      </w:pPr>
      <w:bookmarkStart w:id="34" w:name="_Toc19"/>
      <w:r w:rsidRPr="00C90461">
        <w:rPr>
          <w:b/>
          <w:lang w:val="es-ES_tradnl"/>
        </w:rPr>
        <w:t>7.1. Enumere las condiciones para la aceptación de informes de los exámenes DHE efectuados fuera del territorio de su país/organización en las instalaciones de los obtentores:</w:t>
      </w:r>
      <w:bookmarkEnd w:id="34"/>
    </w:p>
    <w:tbl>
      <w:tblPr>
        <w:tblStyle w:val="table"/>
        <w:tblW w:w="0" w:type="auto"/>
        <w:tblInd w:w="80" w:type="dxa"/>
        <w:tblLook w:val="04A0" w:firstRow="1" w:lastRow="0" w:firstColumn="1" w:lastColumn="0" w:noHBand="0" w:noVBand="1"/>
      </w:tblPr>
      <w:tblGrid>
        <w:gridCol w:w="9393"/>
      </w:tblGrid>
      <w:tr w:rsidR="008F5DD0" w:rsidRPr="00C90461" w14:paraId="43979141" w14:textId="77777777" w:rsidTr="008F5DD0">
        <w:tc>
          <w:tcPr>
            <w:tcW w:w="9393" w:type="dxa"/>
          </w:tcPr>
          <w:p w14:paraId="70CB5562"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La misma respuesta que para la pregunta anterior. </w:t>
            </w:r>
          </w:p>
        </w:tc>
      </w:tr>
      <w:tr w:rsidR="008F5DD0" w:rsidRPr="00C90461" w14:paraId="7318AFD4" w14:textId="77777777" w:rsidTr="008F5DD0">
        <w:tc>
          <w:tcPr>
            <w:tcW w:w="9393" w:type="dxa"/>
          </w:tcPr>
          <w:p w14:paraId="28AC3FCF"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Sí, si es de la Unión Europea y si es la autoridad nacional designada la que realiza la DHE en las instalaciones de los obtentores. </w:t>
            </w:r>
          </w:p>
        </w:tc>
      </w:tr>
      <w:tr w:rsidR="008F5DD0" w:rsidRPr="00C90461" w14:paraId="4625C55E" w14:textId="77777777" w:rsidTr="008F5DD0">
        <w:tc>
          <w:tcPr>
            <w:tcW w:w="9393" w:type="dxa"/>
          </w:tcPr>
          <w:p w14:paraId="151E4ABC"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Solo si la autoridad en cuestión ha participado en la obtención de datos y la elaboración del informe. </w:t>
            </w:r>
          </w:p>
        </w:tc>
      </w:tr>
      <w:tr w:rsidR="008F5DD0" w:rsidRPr="00C90461" w14:paraId="6776BA16" w14:textId="77777777" w:rsidTr="008F5DD0">
        <w:tc>
          <w:tcPr>
            <w:tcW w:w="9393" w:type="dxa"/>
          </w:tcPr>
          <w:p w14:paraId="32119465"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si la autoridad de ese país también acepta y dispone el examen DHE, aceptamos las respectivas condiciones del centro experimental </w:t>
            </w:r>
          </w:p>
        </w:tc>
      </w:tr>
      <w:tr w:rsidR="008F5DD0" w:rsidRPr="00C90461" w14:paraId="00068D10" w14:textId="77777777" w:rsidTr="008F5DD0">
        <w:tc>
          <w:tcPr>
            <w:tcW w:w="9393" w:type="dxa"/>
          </w:tcPr>
          <w:p w14:paraId="50CDBE33"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Podemos aceptar un informe DHE efectuado en las instalaciones de un obtentor únicamente si lo ha expedido una autoridad u oficina de examen oficial. </w:t>
            </w:r>
          </w:p>
        </w:tc>
      </w:tr>
      <w:tr w:rsidR="008F5DD0" w:rsidRPr="00C90461" w14:paraId="3AB5DBFF" w14:textId="77777777" w:rsidTr="008F5DD0">
        <w:tc>
          <w:tcPr>
            <w:tcW w:w="9393" w:type="dxa"/>
          </w:tcPr>
          <w:p w14:paraId="165E4CD2"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Las mismas condiciones especificadas en el punto 4. </w:t>
            </w:r>
          </w:p>
        </w:tc>
      </w:tr>
      <w:tr w:rsidR="008F5DD0" w:rsidRPr="00C90461" w14:paraId="5295A8A8" w14:textId="77777777" w:rsidTr="008F5DD0">
        <w:tc>
          <w:tcPr>
            <w:tcW w:w="9393" w:type="dxa"/>
          </w:tcPr>
          <w:p w14:paraId="6DC5A69C"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Se encontrarán las orientaciones en la dirección https://www.iponz.govt.nz/about-ip/pvr/technical-guidance/current/use-of-foreign-test-reports-for-dus-testing-in-new-zealand/ </w:t>
            </w:r>
          </w:p>
        </w:tc>
      </w:tr>
      <w:tr w:rsidR="008F5DD0" w:rsidRPr="00C90461" w14:paraId="47C1E5D3" w14:textId="77777777" w:rsidTr="008F5DD0">
        <w:tc>
          <w:tcPr>
            <w:tcW w:w="9393" w:type="dxa"/>
          </w:tcPr>
          <w:p w14:paraId="527403C8" w14:textId="5F162470" w:rsidR="008F5DD0" w:rsidRPr="00C90461" w:rsidRDefault="008F5DD0" w:rsidP="00FB3A3A">
            <w:pPr>
              <w:spacing w:after="120" w:line="240" w:lineRule="auto"/>
              <w:jc w:val="left"/>
              <w:rPr>
                <w:rFonts w:eastAsia="Arial Unicode MS"/>
                <w:lang w:val="es-ES_tradnl"/>
              </w:rPr>
            </w:pPr>
            <w:r w:rsidRPr="00C90461">
              <w:rPr>
                <w:lang w:val="es-ES_tradnl"/>
              </w:rPr>
              <w:t>Los caracteres examinados en el examen DHE deben coincidir con los de las directrices de examen nacionales.</w:t>
            </w:r>
            <w:r w:rsidR="0099516F" w:rsidRPr="00C90461">
              <w:rPr>
                <w:lang w:val="es-ES_tradnl"/>
              </w:rPr>
              <w:t xml:space="preserve"> </w:t>
            </w:r>
          </w:p>
        </w:tc>
      </w:tr>
      <w:tr w:rsidR="008F5DD0" w:rsidRPr="00C90461" w14:paraId="6BBE5FF2" w14:textId="77777777" w:rsidTr="008F5DD0">
        <w:tc>
          <w:tcPr>
            <w:tcW w:w="9393" w:type="dxa"/>
          </w:tcPr>
          <w:p w14:paraId="749AA525" w14:textId="215E8A34" w:rsidR="008F5DD0" w:rsidRPr="00C90461" w:rsidRDefault="008F5DD0" w:rsidP="00FB3A3A">
            <w:pPr>
              <w:spacing w:after="120" w:line="240" w:lineRule="auto"/>
              <w:jc w:val="left"/>
              <w:rPr>
                <w:rFonts w:eastAsia="Arial Unicode MS"/>
                <w:lang w:val="es-ES_tradnl"/>
              </w:rPr>
            </w:pPr>
            <w:r w:rsidRPr="00C90461">
              <w:rPr>
                <w:lang w:val="es-ES_tradnl"/>
              </w:rPr>
              <w:t xml:space="preserve">Si ha supervisado el examen una oficina de examen oficial. </w:t>
            </w:r>
          </w:p>
        </w:tc>
      </w:tr>
      <w:tr w:rsidR="008F5DD0" w:rsidRPr="00C90461" w14:paraId="4D2CCF60" w14:textId="77777777" w:rsidTr="008F5DD0">
        <w:tc>
          <w:tcPr>
            <w:tcW w:w="9393" w:type="dxa"/>
          </w:tcPr>
          <w:p w14:paraId="0173A926"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Deben cumplirse los requisitos de la OCVV </w:t>
            </w:r>
          </w:p>
        </w:tc>
      </w:tr>
      <w:tr w:rsidR="008F5DD0" w:rsidRPr="00C90461" w14:paraId="1DC2B370" w14:textId="77777777" w:rsidTr="008F5DD0">
        <w:tc>
          <w:tcPr>
            <w:tcW w:w="9393" w:type="dxa"/>
          </w:tcPr>
          <w:p w14:paraId="4B1C7509" w14:textId="4FD8990E" w:rsidR="008F5DD0" w:rsidRPr="00C90461" w:rsidRDefault="008F5DD0" w:rsidP="00FB3A3A">
            <w:pPr>
              <w:spacing w:after="120" w:line="240" w:lineRule="auto"/>
              <w:jc w:val="left"/>
              <w:rPr>
                <w:rFonts w:eastAsia="Arial Unicode MS"/>
                <w:lang w:val="es-ES_tradnl"/>
              </w:rPr>
            </w:pPr>
            <w:r w:rsidRPr="00C90461">
              <w:rPr>
                <w:lang w:val="es-ES_tradnl"/>
              </w:rPr>
              <w:t xml:space="preserve">Si los informes fueron expedidos por autoridades de Estados miembros de la Unión Europea. </w:t>
            </w:r>
          </w:p>
        </w:tc>
      </w:tr>
      <w:tr w:rsidR="008F5DD0" w:rsidRPr="00C90461" w14:paraId="7F16E9D7" w14:textId="77777777" w:rsidTr="008F5DD0">
        <w:tc>
          <w:tcPr>
            <w:tcW w:w="9393" w:type="dxa"/>
          </w:tcPr>
          <w:p w14:paraId="516A8902"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proporcionar los resultados de los exámenes realizados para determinar si la variedad cumple los requisitos de DHE </w:t>
            </w:r>
          </w:p>
        </w:tc>
      </w:tr>
      <w:tr w:rsidR="008F5DD0" w:rsidRPr="00C90461" w14:paraId="38990B50" w14:textId="77777777" w:rsidTr="008F5DD0">
        <w:tc>
          <w:tcPr>
            <w:tcW w:w="9393" w:type="dxa"/>
          </w:tcPr>
          <w:p w14:paraId="2D15CE53"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Un acuerdo con el obtentor </w:t>
            </w:r>
          </w:p>
        </w:tc>
      </w:tr>
      <w:tr w:rsidR="008F5DD0" w:rsidRPr="00C90461" w14:paraId="4345077B" w14:textId="77777777" w:rsidTr="008F5DD0">
        <w:tc>
          <w:tcPr>
            <w:tcW w:w="9393" w:type="dxa"/>
          </w:tcPr>
          <w:p w14:paraId="6253C8A3"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Para aceptar un examen en estas condiciones, la variedad ya debe estar protegida en el país en el que se realizó dicho examen; lo que implica que requerimos los resultados de examen directamente de la oficina que ha protegido la variedad por primera vez. </w:t>
            </w:r>
          </w:p>
        </w:tc>
      </w:tr>
      <w:tr w:rsidR="008F5DD0" w:rsidRPr="00C90461" w14:paraId="1A8E6D3A" w14:textId="77777777" w:rsidTr="008F5DD0">
        <w:tc>
          <w:tcPr>
            <w:tcW w:w="9393" w:type="dxa"/>
          </w:tcPr>
          <w:p w14:paraId="4A3CD399"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Sí, si la autoridad de DHE a la que se compra el informe considera que los resultados del examen DHE son adecuados para respaldar la protección de la obtención vegetal. </w:t>
            </w:r>
          </w:p>
        </w:tc>
      </w:tr>
      <w:tr w:rsidR="008F5DD0" w:rsidRPr="00C90461" w14:paraId="715C5D6B" w14:textId="77777777" w:rsidTr="008F5DD0">
        <w:tc>
          <w:tcPr>
            <w:tcW w:w="9393" w:type="dxa"/>
          </w:tcPr>
          <w:p w14:paraId="6500F8F9"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La autoridad oficial encargada de la protección de las obtenciones vegetales es la que debe expedir informes de examen DHE. </w:t>
            </w:r>
          </w:p>
        </w:tc>
      </w:tr>
      <w:tr w:rsidR="008F5DD0" w:rsidRPr="00C90461" w14:paraId="567C72F7" w14:textId="77777777" w:rsidTr="008F5DD0">
        <w:tc>
          <w:tcPr>
            <w:tcW w:w="9393" w:type="dxa"/>
          </w:tcPr>
          <w:p w14:paraId="7F78C076" w14:textId="77777777" w:rsidR="008F5DD0" w:rsidRPr="00C90461" w:rsidRDefault="008F5DD0" w:rsidP="00FB3A3A">
            <w:pPr>
              <w:spacing w:after="120" w:line="240" w:lineRule="auto"/>
              <w:jc w:val="left"/>
              <w:rPr>
                <w:rFonts w:eastAsia="Arial Unicode MS"/>
                <w:lang w:val="es-ES_tradnl"/>
              </w:rPr>
            </w:pPr>
            <w:r w:rsidRPr="00C90461">
              <w:rPr>
                <w:lang w:val="es-ES_tradnl"/>
              </w:rPr>
              <w:lastRenderedPageBreak/>
              <w:t xml:space="preserve">Sudáfrica los acepta; pero, como autoridad de protección de las obtenciones vegetales, no podemos hacer comentarios al respecto. Se aceptan determinados informes DHE de fuera del territorio sudafricano según los acuerdos de la industria. </w:t>
            </w:r>
          </w:p>
        </w:tc>
      </w:tr>
      <w:tr w:rsidR="008F5DD0" w:rsidRPr="00C90461" w14:paraId="3A466E31" w14:textId="77777777" w:rsidTr="008F5DD0">
        <w:tc>
          <w:tcPr>
            <w:tcW w:w="9393" w:type="dxa"/>
          </w:tcPr>
          <w:p w14:paraId="7F53508F"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el informe de examen DHE debe ser proporcionado por el servicio oficial homologado de un Estado miembro de la UPOV. </w:t>
            </w:r>
          </w:p>
        </w:tc>
      </w:tr>
      <w:tr w:rsidR="008F5DD0" w:rsidRPr="00C90461" w14:paraId="43D90986" w14:textId="77777777" w:rsidTr="008F5DD0">
        <w:tc>
          <w:tcPr>
            <w:tcW w:w="9393" w:type="dxa"/>
          </w:tcPr>
          <w:p w14:paraId="3AFE2B89" w14:textId="7623CBE5" w:rsidR="008F5DD0" w:rsidRPr="00C90461" w:rsidRDefault="008F5DD0" w:rsidP="00FB3A3A">
            <w:pPr>
              <w:spacing w:after="120" w:line="240" w:lineRule="auto"/>
              <w:jc w:val="left"/>
              <w:rPr>
                <w:rFonts w:eastAsia="Arial Unicode MS"/>
                <w:lang w:val="es-ES_tradnl"/>
              </w:rPr>
            </w:pPr>
            <w:r w:rsidRPr="00C90461">
              <w:rPr>
                <w:lang w:val="es-ES_tradnl"/>
              </w:rPr>
              <w:t xml:space="preserve">Los aceptamos si los exámenes DHE realizados en las instalaciones del obtentor son parte del sistema oficial de examen en el país en cuestión y cuentan con el permiso de las autoridades competentes. </w:t>
            </w:r>
          </w:p>
        </w:tc>
      </w:tr>
    </w:tbl>
    <w:p w14:paraId="21A2A831" w14:textId="77777777" w:rsidR="00C21BD2" w:rsidRPr="00C90461" w:rsidRDefault="00C21BD2" w:rsidP="008F5DD0">
      <w:pPr>
        <w:spacing w:after="160" w:line="259" w:lineRule="auto"/>
        <w:jc w:val="left"/>
        <w:rPr>
          <w:rFonts w:eastAsia="Arial Unicode MS" w:cs="Arial"/>
          <w:b/>
          <w:bCs/>
          <w:lang w:val="es-ES_tradnl"/>
        </w:rPr>
      </w:pPr>
      <w:bookmarkStart w:id="35" w:name="_Toc20"/>
    </w:p>
    <w:p w14:paraId="13C86C5A" w14:textId="421E5B55" w:rsidR="008F5DD0" w:rsidRPr="00C90461" w:rsidRDefault="008F5DD0" w:rsidP="004F78EA">
      <w:pPr>
        <w:keepNext/>
        <w:spacing w:after="160" w:line="259" w:lineRule="auto"/>
        <w:jc w:val="left"/>
        <w:rPr>
          <w:rFonts w:eastAsia="Arial Unicode MS" w:cs="Arial"/>
          <w:b/>
          <w:bCs/>
          <w:lang w:val="es-ES_tradnl"/>
        </w:rPr>
      </w:pPr>
      <w:r w:rsidRPr="00C90461">
        <w:rPr>
          <w:b/>
          <w:lang w:val="es-ES_tradnl"/>
        </w:rPr>
        <w:t>7.2. Sírvase aportar información sobre los motivos para rechazar informes de los exámenes DHE efectuados fuera del territorio de su país/organización en las instalaciones de los obtentores:</w:t>
      </w:r>
      <w:bookmarkEnd w:id="35"/>
    </w:p>
    <w:tbl>
      <w:tblPr>
        <w:tblStyle w:val="table"/>
        <w:tblW w:w="0" w:type="auto"/>
        <w:tblInd w:w="80" w:type="dxa"/>
        <w:tblLook w:val="04A0" w:firstRow="1" w:lastRow="0" w:firstColumn="1" w:lastColumn="0" w:noHBand="0" w:noVBand="1"/>
      </w:tblPr>
      <w:tblGrid>
        <w:gridCol w:w="9393"/>
      </w:tblGrid>
      <w:tr w:rsidR="008F5DD0" w:rsidRPr="00C90461" w14:paraId="6A00AEF7" w14:textId="77777777" w:rsidTr="008F5DD0">
        <w:tc>
          <w:tcPr>
            <w:tcW w:w="9393" w:type="dxa"/>
          </w:tcPr>
          <w:p w14:paraId="0AF166C8"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Por la legislación </w:t>
            </w:r>
          </w:p>
        </w:tc>
      </w:tr>
      <w:tr w:rsidR="008F5DD0" w:rsidRPr="00C90461" w14:paraId="743429DC" w14:textId="77777777" w:rsidTr="008F5DD0">
        <w:tc>
          <w:tcPr>
            <w:tcW w:w="9393" w:type="dxa"/>
          </w:tcPr>
          <w:p w14:paraId="37452F4B"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Si una variedad se ha registrado en otro país, el registrador tiene derecho a pedir a la autoridad competente de dicho país, a costa del solicitante, un informe sobre los resultados de los exámenes de registro de la variedad. </w:t>
            </w:r>
          </w:p>
        </w:tc>
      </w:tr>
      <w:tr w:rsidR="008F5DD0" w:rsidRPr="00C90461" w14:paraId="1F72988D" w14:textId="77777777" w:rsidTr="008F5DD0">
        <w:tc>
          <w:tcPr>
            <w:tcW w:w="9393" w:type="dxa"/>
          </w:tcPr>
          <w:p w14:paraId="1036C00E"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Para conceder derechos de obtentor exigimos exámenes DHE oficiales efectuados por el instituto de examen del correspondiente país. </w:t>
            </w:r>
          </w:p>
        </w:tc>
      </w:tr>
      <w:tr w:rsidR="008F5DD0" w:rsidRPr="00C90461" w14:paraId="33FD6872" w14:textId="77777777" w:rsidTr="008F5DD0">
        <w:tc>
          <w:tcPr>
            <w:tcW w:w="9393" w:type="dxa"/>
          </w:tcPr>
          <w:p w14:paraId="0A532D4C"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Debe haber realizado los exámenes DHE una oficina de examen que cuente con el reconocimiento oficial de la OCVV. </w:t>
            </w:r>
          </w:p>
        </w:tc>
      </w:tr>
      <w:tr w:rsidR="008F5DD0" w:rsidRPr="00C90461" w14:paraId="61ED9B4C" w14:textId="77777777" w:rsidTr="008F5DD0">
        <w:tc>
          <w:tcPr>
            <w:tcW w:w="9393" w:type="dxa"/>
          </w:tcPr>
          <w:p w14:paraId="1B9C9ADC" w14:textId="23409BFA" w:rsidR="008F5DD0" w:rsidRPr="00C90461" w:rsidRDefault="008F5DD0" w:rsidP="00FB3A3A">
            <w:pPr>
              <w:spacing w:after="120" w:line="240" w:lineRule="auto"/>
              <w:jc w:val="left"/>
              <w:rPr>
                <w:rFonts w:eastAsia="Arial Unicode MS"/>
                <w:lang w:val="es-ES_tradnl"/>
              </w:rPr>
            </w:pPr>
            <w:r w:rsidRPr="00C90461">
              <w:rPr>
                <w:lang w:val="es-ES_tradnl"/>
              </w:rPr>
              <w:t xml:space="preserve">Los exámenes DHE solo pueden aceptarse si los proporciona una oficina de examen que cuenta con reconocimiento oficial de la OCVV para hacerlos en su nombre. </w:t>
            </w:r>
          </w:p>
        </w:tc>
      </w:tr>
      <w:tr w:rsidR="008F5DD0" w:rsidRPr="00C90461" w14:paraId="03FFDB06" w14:textId="77777777" w:rsidTr="008F5DD0">
        <w:tc>
          <w:tcPr>
            <w:tcW w:w="9393" w:type="dxa"/>
          </w:tcPr>
          <w:p w14:paraId="736BA758" w14:textId="77DADA8F" w:rsidR="008F5DD0" w:rsidRPr="00C90461" w:rsidRDefault="008F5DD0" w:rsidP="00FB3A3A">
            <w:pPr>
              <w:spacing w:after="120" w:line="240" w:lineRule="auto"/>
              <w:jc w:val="left"/>
              <w:rPr>
                <w:rFonts w:eastAsia="Arial Unicode MS"/>
                <w:lang w:val="es-ES_tradnl"/>
              </w:rPr>
            </w:pPr>
            <w:r w:rsidRPr="00C90461">
              <w:rPr>
                <w:lang w:val="es-ES_tradnl"/>
              </w:rPr>
              <w:t xml:space="preserve">El Reino Unido solo acepta exámenes DHE de centros homologados por la OCVV a fin de proporcionar exámenes y tener garantías de que no sean sesgados. </w:t>
            </w:r>
          </w:p>
        </w:tc>
      </w:tr>
      <w:tr w:rsidR="008F5DD0" w:rsidRPr="00C90461" w14:paraId="63D12A82" w14:textId="77777777" w:rsidTr="008F5DD0">
        <w:tc>
          <w:tcPr>
            <w:tcW w:w="9393" w:type="dxa"/>
          </w:tcPr>
          <w:p w14:paraId="098238FE"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por el momento, no tenemos casos de este tipo. </w:t>
            </w:r>
          </w:p>
        </w:tc>
      </w:tr>
      <w:tr w:rsidR="008F5DD0" w:rsidRPr="00C90461" w14:paraId="66EF9315" w14:textId="77777777" w:rsidTr="008F5DD0">
        <w:tc>
          <w:tcPr>
            <w:tcW w:w="9393" w:type="dxa"/>
          </w:tcPr>
          <w:p w14:paraId="6A58ACF1"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El informe de examen DHE de un obtentor que proviene del extranjero se considera un descriptor que debe verificarse </w:t>
            </w:r>
          </w:p>
        </w:tc>
      </w:tr>
      <w:tr w:rsidR="008F5DD0" w:rsidRPr="00C90461" w14:paraId="31FBF224" w14:textId="77777777" w:rsidTr="008F5DD0">
        <w:tc>
          <w:tcPr>
            <w:tcW w:w="9393" w:type="dxa"/>
          </w:tcPr>
          <w:p w14:paraId="0FEA7E4C"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La legislación exige exámenes oficiales. </w:t>
            </w:r>
          </w:p>
        </w:tc>
      </w:tr>
      <w:tr w:rsidR="008F5DD0" w:rsidRPr="00C90461" w14:paraId="73829C6C" w14:textId="77777777" w:rsidTr="008F5DD0">
        <w:tc>
          <w:tcPr>
            <w:tcW w:w="9393" w:type="dxa"/>
          </w:tcPr>
          <w:p w14:paraId="29852253" w14:textId="62F2A071" w:rsidR="008F5DD0" w:rsidRPr="00C90461" w:rsidRDefault="008F5DD0" w:rsidP="00FB3A3A">
            <w:pPr>
              <w:spacing w:after="120" w:line="240" w:lineRule="auto"/>
              <w:jc w:val="left"/>
              <w:rPr>
                <w:rFonts w:eastAsia="Arial Unicode MS"/>
                <w:lang w:val="es-ES_tradnl"/>
              </w:rPr>
            </w:pPr>
            <w:r w:rsidRPr="00C90461">
              <w:rPr>
                <w:lang w:val="es-ES_tradnl"/>
              </w:rPr>
              <w:t xml:space="preserve">Debe llevarlos a cabo una autoridad oficial como la OCVV. </w:t>
            </w:r>
          </w:p>
        </w:tc>
      </w:tr>
      <w:tr w:rsidR="008F5DD0" w:rsidRPr="00C90461" w14:paraId="49340E6C" w14:textId="77777777" w:rsidTr="008F5DD0">
        <w:tc>
          <w:tcPr>
            <w:tcW w:w="9393" w:type="dxa"/>
          </w:tcPr>
          <w:p w14:paraId="74B7C601"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Estos requisitos para el examen DHE se especifican en la legislación. </w:t>
            </w:r>
          </w:p>
        </w:tc>
      </w:tr>
      <w:tr w:rsidR="008F5DD0" w:rsidRPr="00C90461" w14:paraId="1D8BB48F" w14:textId="77777777" w:rsidTr="008F5DD0">
        <w:tc>
          <w:tcPr>
            <w:tcW w:w="9393" w:type="dxa"/>
          </w:tcPr>
          <w:p w14:paraId="6D1A1B06" w14:textId="77777777" w:rsidR="008F5DD0" w:rsidRPr="00C90461" w:rsidRDefault="008F5DD0" w:rsidP="00FB3A3A">
            <w:pPr>
              <w:spacing w:after="120" w:line="240" w:lineRule="auto"/>
              <w:jc w:val="left"/>
              <w:rPr>
                <w:rFonts w:eastAsia="Arial Unicode MS"/>
                <w:lang w:val="es-ES_tradnl"/>
              </w:rPr>
            </w:pPr>
            <w:r w:rsidRPr="00C90461">
              <w:rPr>
                <w:lang w:val="es-ES_tradnl"/>
              </w:rPr>
              <w:t xml:space="preserve">1. Por motivos legales contemplados en nuestra legislación (reglamento). </w:t>
            </w:r>
          </w:p>
        </w:tc>
      </w:tr>
      <w:tr w:rsidR="008F5DD0" w:rsidRPr="00C90461" w14:paraId="2E86C406" w14:textId="77777777" w:rsidTr="008F5DD0">
        <w:tc>
          <w:tcPr>
            <w:tcW w:w="9393" w:type="dxa"/>
          </w:tcPr>
          <w:p w14:paraId="139AA3B3" w14:textId="15863401" w:rsidR="008F5DD0" w:rsidRPr="00C90461" w:rsidRDefault="008F5DD0" w:rsidP="00FB3A3A">
            <w:pPr>
              <w:spacing w:after="120" w:line="240" w:lineRule="auto"/>
              <w:jc w:val="left"/>
              <w:rPr>
                <w:rFonts w:eastAsia="Arial Unicode MS"/>
                <w:lang w:val="es-ES_tradnl"/>
              </w:rPr>
            </w:pPr>
            <w:r w:rsidRPr="00C90461">
              <w:rPr>
                <w:lang w:val="es-ES_tradnl"/>
              </w:rPr>
              <w:t xml:space="preserve">No significa que no contemplemos la aceptación, pero no hemos tenido ningún pedido de aceptación de informes de exámenes DHE realizados por obtentores. Podemos contemplarlo en el futuro. </w:t>
            </w:r>
          </w:p>
        </w:tc>
      </w:tr>
    </w:tbl>
    <w:p w14:paraId="031AE44A" w14:textId="76677491" w:rsidR="008F5DD0" w:rsidRPr="00C90461" w:rsidRDefault="008F5DD0" w:rsidP="008F5DD0">
      <w:pPr>
        <w:spacing w:after="160" w:line="259" w:lineRule="auto"/>
        <w:jc w:val="left"/>
        <w:rPr>
          <w:rFonts w:eastAsia="Arial Unicode MS" w:cs="Arial"/>
          <w:b/>
          <w:bCs/>
          <w:lang w:val="es-ES_tradnl"/>
        </w:rPr>
      </w:pPr>
      <w:bookmarkStart w:id="36" w:name="_Toc21"/>
    </w:p>
    <w:p w14:paraId="5CEDB8A6" w14:textId="77777777" w:rsidR="00264E69" w:rsidRPr="00C90461" w:rsidRDefault="00264E69">
      <w:pPr>
        <w:jc w:val="left"/>
        <w:rPr>
          <w:rFonts w:eastAsia="Arial Unicode MS" w:cs="Arial"/>
          <w:b/>
          <w:bCs/>
          <w:spacing w:val="-4"/>
          <w:lang w:val="es-ES_tradnl"/>
        </w:rPr>
      </w:pPr>
      <w:r w:rsidRPr="00C90461">
        <w:rPr>
          <w:lang w:val="es-ES_tradnl"/>
        </w:rPr>
        <w:br w:type="page"/>
      </w:r>
    </w:p>
    <w:p w14:paraId="39B490A6" w14:textId="4E924855" w:rsidR="008F5DD0" w:rsidRPr="00C90461" w:rsidRDefault="008F5DD0" w:rsidP="008F5DD0">
      <w:pPr>
        <w:spacing w:after="160" w:line="259" w:lineRule="auto"/>
        <w:jc w:val="left"/>
        <w:rPr>
          <w:rFonts w:eastAsia="Arial Unicode MS" w:cs="Arial"/>
          <w:b/>
          <w:bCs/>
          <w:spacing w:val="-4"/>
          <w:lang w:val="es-ES_tradnl"/>
        </w:rPr>
      </w:pPr>
      <w:r w:rsidRPr="00C90461">
        <w:rPr>
          <w:b/>
          <w:lang w:val="es-ES_tradnl"/>
        </w:rPr>
        <w:lastRenderedPageBreak/>
        <w:t xml:space="preserve">7.3. </w:t>
      </w:r>
      <w:bookmarkStart w:id="37" w:name="_Hlk143768909"/>
      <w:r w:rsidRPr="00C90461">
        <w:rPr>
          <w:b/>
          <w:lang w:val="es-ES_tradnl"/>
        </w:rPr>
        <w:t>Indique si las condiciones para aceptar o el rechazo de informes de los exámenes DHE efectuados fuera del territorio de su país/organización en las instalaciones de los obtentores están entre los especificados a continuación:</w:t>
      </w:r>
      <w:bookmarkEnd w:id="36"/>
      <w:bookmarkEnd w:id="37"/>
    </w:p>
    <w:p w14:paraId="5F1DF8C3" w14:textId="77777777" w:rsidR="008F5DD0" w:rsidRPr="00C90461" w:rsidRDefault="008F5DD0" w:rsidP="00264E69">
      <w:pPr>
        <w:jc w:val="left"/>
        <w:rPr>
          <w:rFonts w:eastAsia="Arial" w:cs="Arial"/>
          <w:sz w:val="12"/>
          <w:szCs w:val="12"/>
          <w:lang w:val="es-ES_tradnl"/>
        </w:rPr>
      </w:pPr>
      <w:r w:rsidRPr="00C90461">
        <w:rPr>
          <w:lang w:val="es-ES_tradnl" w:eastAsia="es-ES"/>
        </w:rPr>
        <w:drawing>
          <wp:inline distT="0" distB="0" distL="0" distR="0" wp14:anchorId="558A9FB0" wp14:editId="421CFAE7">
            <wp:extent cx="5499735" cy="2211572"/>
            <wp:effectExtent l="0" t="0" r="5715" b="0"/>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1FD07A8D" w14:textId="77777777" w:rsidTr="000759D0">
        <w:tc>
          <w:tcPr>
            <w:tcW w:w="3120" w:type="dxa"/>
          </w:tcPr>
          <w:p w14:paraId="1BDD341F"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Valor </w:t>
            </w:r>
          </w:p>
        </w:tc>
        <w:tc>
          <w:tcPr>
            <w:tcW w:w="3120" w:type="dxa"/>
          </w:tcPr>
          <w:p w14:paraId="10255697"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Porcentaje </w:t>
            </w:r>
          </w:p>
        </w:tc>
        <w:tc>
          <w:tcPr>
            <w:tcW w:w="3120" w:type="dxa"/>
          </w:tcPr>
          <w:p w14:paraId="0377A3B8"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Número </w:t>
            </w:r>
          </w:p>
        </w:tc>
      </w:tr>
      <w:tr w:rsidR="008F5DD0" w:rsidRPr="00C90461" w14:paraId="09F77BFE" w14:textId="77777777" w:rsidTr="000759D0">
        <w:tc>
          <w:tcPr>
            <w:tcW w:w="3120" w:type="dxa"/>
          </w:tcPr>
          <w:p w14:paraId="1BFA2940"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a. la legislación </w:t>
            </w:r>
          </w:p>
        </w:tc>
        <w:tc>
          <w:tcPr>
            <w:tcW w:w="3120" w:type="dxa"/>
          </w:tcPr>
          <w:p w14:paraId="670D2E4D"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47 % </w:t>
            </w:r>
          </w:p>
        </w:tc>
        <w:tc>
          <w:tcPr>
            <w:tcW w:w="3120" w:type="dxa"/>
          </w:tcPr>
          <w:p w14:paraId="7FB626B2"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15 </w:t>
            </w:r>
          </w:p>
        </w:tc>
      </w:tr>
      <w:tr w:rsidR="008F5DD0" w:rsidRPr="00C90461" w14:paraId="5A99EE9F" w14:textId="77777777" w:rsidTr="000759D0">
        <w:tc>
          <w:tcPr>
            <w:tcW w:w="3120" w:type="dxa"/>
          </w:tcPr>
          <w:p w14:paraId="765C8687"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b. los reglamentos </w:t>
            </w:r>
          </w:p>
        </w:tc>
        <w:tc>
          <w:tcPr>
            <w:tcW w:w="3120" w:type="dxa"/>
          </w:tcPr>
          <w:p w14:paraId="56A1DF47"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34 % </w:t>
            </w:r>
          </w:p>
        </w:tc>
        <w:tc>
          <w:tcPr>
            <w:tcW w:w="3120" w:type="dxa"/>
          </w:tcPr>
          <w:p w14:paraId="1AFF98E9"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11 </w:t>
            </w:r>
          </w:p>
        </w:tc>
      </w:tr>
      <w:tr w:rsidR="008F5DD0" w:rsidRPr="00C90461" w14:paraId="2FE5B0AB" w14:textId="77777777" w:rsidTr="000759D0">
        <w:tc>
          <w:tcPr>
            <w:tcW w:w="3120" w:type="dxa"/>
          </w:tcPr>
          <w:p w14:paraId="5E642AA4"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c. los procedimientos administrativos </w:t>
            </w:r>
          </w:p>
        </w:tc>
        <w:tc>
          <w:tcPr>
            <w:tcW w:w="3120" w:type="dxa"/>
          </w:tcPr>
          <w:p w14:paraId="43C4D076"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28 % </w:t>
            </w:r>
          </w:p>
        </w:tc>
        <w:tc>
          <w:tcPr>
            <w:tcW w:w="3120" w:type="dxa"/>
          </w:tcPr>
          <w:p w14:paraId="707E1482"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9 </w:t>
            </w:r>
          </w:p>
        </w:tc>
      </w:tr>
      <w:tr w:rsidR="008F5DD0" w:rsidRPr="00C90461" w14:paraId="0C7DBE38" w14:textId="77777777" w:rsidTr="000759D0">
        <w:tc>
          <w:tcPr>
            <w:tcW w:w="3120" w:type="dxa"/>
          </w:tcPr>
          <w:p w14:paraId="19B76A43"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d. otro </w:t>
            </w:r>
          </w:p>
        </w:tc>
        <w:tc>
          <w:tcPr>
            <w:tcW w:w="3120" w:type="dxa"/>
          </w:tcPr>
          <w:p w14:paraId="2C745386"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16 % </w:t>
            </w:r>
          </w:p>
        </w:tc>
        <w:tc>
          <w:tcPr>
            <w:tcW w:w="3120" w:type="dxa"/>
          </w:tcPr>
          <w:p w14:paraId="05B50497" w14:textId="77777777" w:rsidR="008F5DD0" w:rsidRPr="00C90461" w:rsidRDefault="008F5DD0" w:rsidP="00264E69">
            <w:pPr>
              <w:spacing w:after="120" w:line="240" w:lineRule="auto"/>
              <w:jc w:val="left"/>
              <w:rPr>
                <w:lang w:val="es-ES_tradnl"/>
              </w:rPr>
            </w:pPr>
            <w:r w:rsidRPr="00C90461">
              <w:rPr>
                <w:rFonts w:ascii="Arial Unicode MS" w:hAnsi="Arial Unicode MS"/>
                <w:lang w:val="es-ES_tradnl"/>
              </w:rPr>
              <w:t xml:space="preserve">5 </w:t>
            </w:r>
          </w:p>
        </w:tc>
      </w:tr>
    </w:tbl>
    <w:p w14:paraId="4EF72802" w14:textId="77777777" w:rsidR="008F5DD0" w:rsidRPr="00C90461" w:rsidRDefault="008F5DD0" w:rsidP="00264E69">
      <w:pPr>
        <w:spacing w:after="60"/>
        <w:jc w:val="left"/>
        <w:rPr>
          <w:rFonts w:eastAsia="Arial" w:cs="Arial"/>
          <w:lang w:val="es-ES_tradnl"/>
        </w:rPr>
      </w:pPr>
    </w:p>
    <w:tbl>
      <w:tblPr>
        <w:tblStyle w:val="table"/>
        <w:tblW w:w="0" w:type="auto"/>
        <w:tblInd w:w="1055" w:type="dxa"/>
        <w:tblLook w:val="04A0" w:firstRow="1" w:lastRow="0" w:firstColumn="1" w:lastColumn="0" w:noHBand="0" w:noVBand="1"/>
      </w:tblPr>
      <w:tblGrid>
        <w:gridCol w:w="5310"/>
        <w:gridCol w:w="3060"/>
      </w:tblGrid>
      <w:tr w:rsidR="008F5DD0" w:rsidRPr="00C90461" w14:paraId="1CED7C5B" w14:textId="77777777" w:rsidTr="00264E69">
        <w:tc>
          <w:tcPr>
            <w:tcW w:w="5310" w:type="dxa"/>
          </w:tcPr>
          <w:p w14:paraId="7AC6C15F"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d. otro </w:t>
            </w:r>
          </w:p>
        </w:tc>
        <w:tc>
          <w:tcPr>
            <w:tcW w:w="3060" w:type="dxa"/>
          </w:tcPr>
          <w:p w14:paraId="35F541E3"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Número </w:t>
            </w:r>
          </w:p>
        </w:tc>
      </w:tr>
      <w:tr w:rsidR="008F5DD0" w:rsidRPr="00C90461" w14:paraId="669BF6F6" w14:textId="77777777" w:rsidTr="00264E69">
        <w:tc>
          <w:tcPr>
            <w:tcW w:w="5310" w:type="dxa"/>
          </w:tcPr>
          <w:p w14:paraId="5DC86F32"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No procede. </w:t>
            </w:r>
          </w:p>
        </w:tc>
        <w:tc>
          <w:tcPr>
            <w:tcW w:w="3060" w:type="dxa"/>
          </w:tcPr>
          <w:p w14:paraId="6D5EBD95"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1 </w:t>
            </w:r>
          </w:p>
        </w:tc>
      </w:tr>
      <w:tr w:rsidR="008F5DD0" w:rsidRPr="00C90461" w14:paraId="4268C8CF" w14:textId="77777777" w:rsidTr="00264E69">
        <w:tc>
          <w:tcPr>
            <w:tcW w:w="5310" w:type="dxa"/>
          </w:tcPr>
          <w:p w14:paraId="085E22B2"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orientaciones o notas informativas sobre las prácticas </w:t>
            </w:r>
          </w:p>
        </w:tc>
        <w:tc>
          <w:tcPr>
            <w:tcW w:w="3060" w:type="dxa"/>
          </w:tcPr>
          <w:p w14:paraId="1E65CCA6"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1 </w:t>
            </w:r>
          </w:p>
        </w:tc>
      </w:tr>
      <w:tr w:rsidR="008F5DD0" w:rsidRPr="00C90461" w14:paraId="7AF58E3A" w14:textId="77777777" w:rsidTr="00264E69">
        <w:tc>
          <w:tcPr>
            <w:tcW w:w="5310" w:type="dxa"/>
          </w:tcPr>
          <w:p w14:paraId="48EC7222"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políticas internas </w:t>
            </w:r>
          </w:p>
        </w:tc>
        <w:tc>
          <w:tcPr>
            <w:tcW w:w="3060" w:type="dxa"/>
          </w:tcPr>
          <w:p w14:paraId="31E36063"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1 </w:t>
            </w:r>
          </w:p>
        </w:tc>
      </w:tr>
      <w:tr w:rsidR="008F5DD0" w:rsidRPr="00C90461" w14:paraId="7EDC463C" w14:textId="77777777" w:rsidTr="00264E69">
        <w:tc>
          <w:tcPr>
            <w:tcW w:w="5310" w:type="dxa"/>
          </w:tcPr>
          <w:p w14:paraId="395E4639"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ningún caso </w:t>
            </w:r>
          </w:p>
        </w:tc>
        <w:tc>
          <w:tcPr>
            <w:tcW w:w="3060" w:type="dxa"/>
          </w:tcPr>
          <w:p w14:paraId="70B8DBFC"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1 </w:t>
            </w:r>
          </w:p>
        </w:tc>
      </w:tr>
      <w:tr w:rsidR="008F5DD0" w:rsidRPr="00C90461" w14:paraId="7E9B675B" w14:textId="77777777" w:rsidTr="00264E69">
        <w:tc>
          <w:tcPr>
            <w:tcW w:w="5310" w:type="dxa"/>
          </w:tcPr>
          <w:p w14:paraId="637F5704"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ninguno </w:t>
            </w:r>
          </w:p>
        </w:tc>
        <w:tc>
          <w:tcPr>
            <w:tcW w:w="3060" w:type="dxa"/>
          </w:tcPr>
          <w:p w14:paraId="273A31F6"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1 </w:t>
            </w:r>
          </w:p>
        </w:tc>
      </w:tr>
      <w:tr w:rsidR="008F5DD0" w:rsidRPr="00C90461" w14:paraId="4C6D7A71" w14:textId="77777777" w:rsidTr="00264E69">
        <w:tc>
          <w:tcPr>
            <w:tcW w:w="5310" w:type="dxa"/>
          </w:tcPr>
          <w:p w14:paraId="2AD908B8"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Totales </w:t>
            </w:r>
          </w:p>
        </w:tc>
        <w:tc>
          <w:tcPr>
            <w:tcW w:w="3060" w:type="dxa"/>
          </w:tcPr>
          <w:p w14:paraId="63303BA8" w14:textId="77777777" w:rsidR="008F5DD0" w:rsidRPr="00C90461" w:rsidRDefault="008F5DD0" w:rsidP="00264E69">
            <w:pPr>
              <w:spacing w:after="60" w:line="240" w:lineRule="auto"/>
              <w:jc w:val="left"/>
              <w:rPr>
                <w:lang w:val="es-ES_tradnl"/>
              </w:rPr>
            </w:pPr>
            <w:r w:rsidRPr="00C90461">
              <w:rPr>
                <w:rFonts w:ascii="Arial Unicode MS" w:hAnsi="Arial Unicode MS"/>
                <w:lang w:val="es-ES_tradnl"/>
              </w:rPr>
              <w:t xml:space="preserve">5 </w:t>
            </w:r>
          </w:p>
        </w:tc>
      </w:tr>
    </w:tbl>
    <w:p w14:paraId="3AF3F74B" w14:textId="698D1583" w:rsidR="008F5DD0" w:rsidRPr="00C90461" w:rsidRDefault="008F5DD0" w:rsidP="00264E69">
      <w:pPr>
        <w:keepNext/>
        <w:spacing w:before="200" w:after="120"/>
        <w:jc w:val="left"/>
        <w:rPr>
          <w:rFonts w:eastAsia="Arial Unicode MS" w:cs="Arial"/>
          <w:b/>
          <w:bCs/>
          <w:lang w:val="es-ES_tradnl"/>
        </w:rPr>
      </w:pPr>
      <w:bookmarkStart w:id="38" w:name="_Toc22"/>
      <w:r w:rsidRPr="00C90461">
        <w:rPr>
          <w:b/>
          <w:lang w:val="es-ES_tradnl"/>
        </w:rPr>
        <w:lastRenderedPageBreak/>
        <w:t>Comentarios:</w:t>
      </w:r>
      <w:bookmarkEnd w:id="38"/>
    </w:p>
    <w:tbl>
      <w:tblPr>
        <w:tblStyle w:val="table"/>
        <w:tblW w:w="0" w:type="auto"/>
        <w:tblInd w:w="80" w:type="dxa"/>
        <w:tblLook w:val="04A0" w:firstRow="1" w:lastRow="0" w:firstColumn="1" w:lastColumn="0" w:noHBand="0" w:noVBand="1"/>
      </w:tblPr>
      <w:tblGrid>
        <w:gridCol w:w="8647"/>
      </w:tblGrid>
      <w:tr w:rsidR="008F5DD0" w:rsidRPr="00C90461" w14:paraId="37D19444" w14:textId="77777777" w:rsidTr="000759D0">
        <w:tc>
          <w:tcPr>
            <w:tcW w:w="8647" w:type="dxa"/>
          </w:tcPr>
          <w:p w14:paraId="3C62DD53" w14:textId="21DE6418" w:rsidR="008F5DD0" w:rsidRPr="00C90461" w:rsidRDefault="008F5DD0" w:rsidP="00264E69">
            <w:pPr>
              <w:keepNext/>
              <w:spacing w:after="60" w:line="240" w:lineRule="auto"/>
              <w:jc w:val="left"/>
              <w:rPr>
                <w:rFonts w:eastAsia="Arial Unicode MS"/>
                <w:lang w:val="es-ES_tradnl"/>
              </w:rPr>
            </w:pPr>
            <w:r w:rsidRPr="00C90461">
              <w:rPr>
                <w:lang w:val="es-ES_tradnl"/>
              </w:rPr>
              <w:t xml:space="preserve">La autoridad no acepta informes de obtentores. </w:t>
            </w:r>
          </w:p>
        </w:tc>
      </w:tr>
      <w:tr w:rsidR="008F5DD0" w:rsidRPr="00C90461" w14:paraId="57158472" w14:textId="77777777" w:rsidTr="000759D0">
        <w:tc>
          <w:tcPr>
            <w:tcW w:w="8647" w:type="dxa"/>
          </w:tcPr>
          <w:p w14:paraId="7E31C9BE" w14:textId="77777777" w:rsidR="008F5DD0" w:rsidRPr="00C90461" w:rsidRDefault="008F5DD0" w:rsidP="00264E69">
            <w:pPr>
              <w:spacing w:after="60" w:line="240" w:lineRule="auto"/>
              <w:jc w:val="left"/>
              <w:rPr>
                <w:rFonts w:eastAsia="Arial Unicode MS"/>
                <w:lang w:val="es-ES_tradnl"/>
              </w:rPr>
            </w:pPr>
            <w:r w:rsidRPr="00C90461">
              <w:rPr>
                <w:lang w:val="es-ES_tradnl"/>
              </w:rPr>
              <w:t xml:space="preserve">La legislación exige un ensayo en </w:t>
            </w:r>
            <w:proofErr w:type="gramStart"/>
            <w:r w:rsidRPr="00C90461">
              <w:rPr>
                <w:lang w:val="es-ES_tradnl"/>
              </w:rPr>
              <w:t>cultivo</w:t>
            </w:r>
            <w:proofErr w:type="gramEnd"/>
            <w:r w:rsidRPr="00C90461">
              <w:rPr>
                <w:lang w:val="es-ES_tradnl"/>
              </w:rPr>
              <w:t xml:space="preserve"> pero no excluye la posibilidad de usar informes de los exámenes extranjeros </w:t>
            </w:r>
          </w:p>
        </w:tc>
      </w:tr>
      <w:tr w:rsidR="008F5DD0" w:rsidRPr="00C90461" w14:paraId="24058F15" w14:textId="77777777" w:rsidTr="000759D0">
        <w:tc>
          <w:tcPr>
            <w:tcW w:w="8647" w:type="dxa"/>
          </w:tcPr>
          <w:p w14:paraId="6F86DE28" w14:textId="77777777" w:rsidR="008F5DD0" w:rsidRPr="00C90461" w:rsidRDefault="008F5DD0" w:rsidP="00264E69">
            <w:pPr>
              <w:spacing w:after="60" w:line="240" w:lineRule="auto"/>
              <w:jc w:val="left"/>
              <w:rPr>
                <w:rFonts w:eastAsia="Arial Unicode MS"/>
                <w:lang w:val="es-ES_tradnl"/>
              </w:rPr>
            </w:pPr>
            <w:r w:rsidRPr="00C90461">
              <w:rPr>
                <w:lang w:val="es-ES_tradnl"/>
              </w:rPr>
              <w:t xml:space="preserve">Sudáfrica los acepta; pero, como autoridad de protección de las obtenciones vegetales, no podemos hacer comentarios al respecto. </w:t>
            </w:r>
          </w:p>
        </w:tc>
      </w:tr>
    </w:tbl>
    <w:p w14:paraId="2D569C75" w14:textId="77777777" w:rsidR="008F5DD0" w:rsidRPr="00C90461" w:rsidRDefault="008F5DD0" w:rsidP="00264E69">
      <w:pPr>
        <w:spacing w:before="360" w:after="160" w:line="259" w:lineRule="auto"/>
        <w:jc w:val="left"/>
        <w:rPr>
          <w:rFonts w:eastAsia="Arial Unicode MS" w:cs="Arial"/>
          <w:b/>
          <w:bCs/>
          <w:lang w:val="es-ES_tradnl"/>
        </w:rPr>
      </w:pPr>
      <w:r w:rsidRPr="00C90461">
        <w:rPr>
          <w:b/>
          <w:lang w:val="es-ES_tradnl"/>
        </w:rPr>
        <w:t>8. ¿Acepta su país/</w:t>
      </w:r>
      <w:proofErr w:type="gramStart"/>
      <w:r w:rsidRPr="00C90461">
        <w:rPr>
          <w:b/>
          <w:lang w:val="es-ES_tradnl"/>
        </w:rPr>
        <w:t>organización informes</w:t>
      </w:r>
      <w:proofErr w:type="gramEnd"/>
      <w:r w:rsidRPr="00C90461">
        <w:rPr>
          <w:b/>
          <w:lang w:val="es-ES_tradnl"/>
        </w:rPr>
        <w:t xml:space="preserve"> de examen DHE cuando los solicitantes no puedan presentar material vegetal por motivos fitosanitarios u otras cuestiones conexas?</w:t>
      </w:r>
      <w:bookmarkEnd w:id="28"/>
    </w:p>
    <w:p w14:paraId="6EBCEEF2" w14:textId="77777777" w:rsidR="008F5DD0" w:rsidRPr="00C90461" w:rsidRDefault="008F5DD0" w:rsidP="00264E69">
      <w:pPr>
        <w:spacing w:after="120"/>
        <w:jc w:val="left"/>
        <w:rPr>
          <w:rFonts w:eastAsia="Arial" w:cs="Arial"/>
          <w:sz w:val="12"/>
          <w:szCs w:val="12"/>
          <w:lang w:val="es-ES_tradnl"/>
        </w:rPr>
      </w:pPr>
      <w:r w:rsidRPr="00C90461">
        <w:rPr>
          <w:lang w:val="es-ES_tradnl" w:eastAsia="es-ES"/>
        </w:rPr>
        <w:drawing>
          <wp:inline distT="0" distB="0" distL="0" distR="0" wp14:anchorId="6CD25332" wp14:editId="5BCE98DA">
            <wp:extent cx="5499735" cy="2200939"/>
            <wp:effectExtent l="0" t="0" r="5715" b="889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657856D2" w14:textId="77777777" w:rsidTr="000759D0">
        <w:tc>
          <w:tcPr>
            <w:tcW w:w="3120" w:type="dxa"/>
          </w:tcPr>
          <w:p w14:paraId="6127ADD4" w14:textId="77777777" w:rsidR="008F5DD0" w:rsidRPr="00C90461" w:rsidRDefault="008F5DD0" w:rsidP="00264E69">
            <w:pPr>
              <w:spacing w:after="120" w:line="240" w:lineRule="auto"/>
              <w:jc w:val="left"/>
              <w:rPr>
                <w:lang w:val="es-ES_tradnl"/>
              </w:rPr>
            </w:pPr>
            <w:r w:rsidRPr="00C90461">
              <w:rPr>
                <w:lang w:val="es-ES_tradnl"/>
              </w:rPr>
              <w:t xml:space="preserve">Valor </w:t>
            </w:r>
          </w:p>
        </w:tc>
        <w:tc>
          <w:tcPr>
            <w:tcW w:w="3120" w:type="dxa"/>
          </w:tcPr>
          <w:p w14:paraId="4A4477DB" w14:textId="77777777" w:rsidR="008F5DD0" w:rsidRPr="00C90461" w:rsidRDefault="008F5DD0" w:rsidP="00264E69">
            <w:pPr>
              <w:spacing w:after="120" w:line="240" w:lineRule="auto"/>
              <w:jc w:val="left"/>
              <w:rPr>
                <w:lang w:val="es-ES_tradnl"/>
              </w:rPr>
            </w:pPr>
            <w:r w:rsidRPr="00C90461">
              <w:rPr>
                <w:lang w:val="es-ES_tradnl"/>
              </w:rPr>
              <w:t xml:space="preserve">Porcentaje </w:t>
            </w:r>
          </w:p>
        </w:tc>
        <w:tc>
          <w:tcPr>
            <w:tcW w:w="3120" w:type="dxa"/>
          </w:tcPr>
          <w:p w14:paraId="3FB6DE3B" w14:textId="77777777" w:rsidR="008F5DD0" w:rsidRPr="00C90461" w:rsidRDefault="008F5DD0" w:rsidP="00264E69">
            <w:pPr>
              <w:spacing w:after="120" w:line="240" w:lineRule="auto"/>
              <w:jc w:val="left"/>
              <w:rPr>
                <w:lang w:val="es-ES_tradnl"/>
              </w:rPr>
            </w:pPr>
            <w:r w:rsidRPr="00C90461">
              <w:rPr>
                <w:lang w:val="es-ES_tradnl"/>
              </w:rPr>
              <w:t xml:space="preserve">Número </w:t>
            </w:r>
          </w:p>
        </w:tc>
      </w:tr>
      <w:tr w:rsidR="008F5DD0" w:rsidRPr="00C90461" w14:paraId="56ABACA2" w14:textId="77777777" w:rsidTr="000759D0">
        <w:tc>
          <w:tcPr>
            <w:tcW w:w="3120" w:type="dxa"/>
          </w:tcPr>
          <w:p w14:paraId="54A7AAE0" w14:textId="77777777" w:rsidR="008F5DD0" w:rsidRPr="00C90461" w:rsidRDefault="008F5DD0" w:rsidP="00264E69">
            <w:pPr>
              <w:spacing w:after="120" w:line="240" w:lineRule="auto"/>
              <w:jc w:val="left"/>
              <w:rPr>
                <w:lang w:val="es-ES_tradnl"/>
              </w:rPr>
            </w:pPr>
            <w:r w:rsidRPr="00C90461">
              <w:rPr>
                <w:lang w:val="es-ES_tradnl"/>
              </w:rPr>
              <w:t xml:space="preserve">a. Sí, siempre </w:t>
            </w:r>
          </w:p>
        </w:tc>
        <w:tc>
          <w:tcPr>
            <w:tcW w:w="3120" w:type="dxa"/>
          </w:tcPr>
          <w:p w14:paraId="3F53457E" w14:textId="77777777" w:rsidR="008F5DD0" w:rsidRPr="00C90461" w:rsidRDefault="008F5DD0" w:rsidP="00264E69">
            <w:pPr>
              <w:spacing w:after="120" w:line="240" w:lineRule="auto"/>
              <w:jc w:val="left"/>
              <w:rPr>
                <w:lang w:val="es-ES_tradnl"/>
              </w:rPr>
            </w:pPr>
            <w:r w:rsidRPr="00C90461">
              <w:rPr>
                <w:lang w:val="es-ES_tradnl"/>
              </w:rPr>
              <w:t xml:space="preserve">23 % </w:t>
            </w:r>
          </w:p>
        </w:tc>
        <w:tc>
          <w:tcPr>
            <w:tcW w:w="3120" w:type="dxa"/>
          </w:tcPr>
          <w:p w14:paraId="789DBEBF" w14:textId="77777777" w:rsidR="008F5DD0" w:rsidRPr="00C90461" w:rsidRDefault="008F5DD0" w:rsidP="00264E69">
            <w:pPr>
              <w:spacing w:after="120" w:line="240" w:lineRule="auto"/>
              <w:jc w:val="left"/>
              <w:rPr>
                <w:lang w:val="es-ES_tradnl"/>
              </w:rPr>
            </w:pPr>
            <w:r w:rsidRPr="00C90461">
              <w:rPr>
                <w:lang w:val="es-ES_tradnl"/>
              </w:rPr>
              <w:t xml:space="preserve">10 </w:t>
            </w:r>
          </w:p>
        </w:tc>
      </w:tr>
      <w:tr w:rsidR="008F5DD0" w:rsidRPr="00C90461" w14:paraId="0AD1A4DE" w14:textId="77777777" w:rsidTr="000759D0">
        <w:tc>
          <w:tcPr>
            <w:tcW w:w="3120" w:type="dxa"/>
          </w:tcPr>
          <w:p w14:paraId="130A9773" w14:textId="77777777" w:rsidR="008F5DD0" w:rsidRPr="00C90461" w:rsidRDefault="008F5DD0" w:rsidP="00264E69">
            <w:pPr>
              <w:spacing w:after="120" w:line="240" w:lineRule="auto"/>
              <w:jc w:val="left"/>
              <w:rPr>
                <w:lang w:val="es-ES_tradnl"/>
              </w:rPr>
            </w:pPr>
            <w:r w:rsidRPr="00C90461">
              <w:rPr>
                <w:lang w:val="es-ES_tradnl"/>
              </w:rPr>
              <w:t xml:space="preserve">b. Sí, en determinadas condiciones </w:t>
            </w:r>
          </w:p>
        </w:tc>
        <w:tc>
          <w:tcPr>
            <w:tcW w:w="3120" w:type="dxa"/>
          </w:tcPr>
          <w:p w14:paraId="1860CD07" w14:textId="77777777" w:rsidR="008F5DD0" w:rsidRPr="00C90461" w:rsidRDefault="008F5DD0" w:rsidP="00264E69">
            <w:pPr>
              <w:spacing w:after="120" w:line="240" w:lineRule="auto"/>
              <w:jc w:val="left"/>
              <w:rPr>
                <w:lang w:val="es-ES_tradnl"/>
              </w:rPr>
            </w:pPr>
            <w:r w:rsidRPr="00C90461">
              <w:rPr>
                <w:lang w:val="es-ES_tradnl"/>
              </w:rPr>
              <w:t xml:space="preserve">28 % </w:t>
            </w:r>
          </w:p>
        </w:tc>
        <w:tc>
          <w:tcPr>
            <w:tcW w:w="3120" w:type="dxa"/>
          </w:tcPr>
          <w:p w14:paraId="54A64C80" w14:textId="77777777" w:rsidR="008F5DD0" w:rsidRPr="00C90461" w:rsidRDefault="008F5DD0" w:rsidP="00264E69">
            <w:pPr>
              <w:spacing w:after="120" w:line="240" w:lineRule="auto"/>
              <w:jc w:val="left"/>
              <w:rPr>
                <w:lang w:val="es-ES_tradnl"/>
              </w:rPr>
            </w:pPr>
            <w:r w:rsidRPr="00C90461">
              <w:rPr>
                <w:lang w:val="es-ES_tradnl"/>
              </w:rPr>
              <w:t xml:space="preserve">12 </w:t>
            </w:r>
          </w:p>
        </w:tc>
      </w:tr>
      <w:tr w:rsidR="008F5DD0" w:rsidRPr="00C90461" w14:paraId="5B605E62" w14:textId="77777777" w:rsidTr="000759D0">
        <w:tc>
          <w:tcPr>
            <w:tcW w:w="3120" w:type="dxa"/>
          </w:tcPr>
          <w:p w14:paraId="27AE8E60" w14:textId="77777777" w:rsidR="008F5DD0" w:rsidRPr="00C90461" w:rsidRDefault="008F5DD0" w:rsidP="00264E69">
            <w:pPr>
              <w:spacing w:after="120" w:line="240" w:lineRule="auto"/>
              <w:jc w:val="left"/>
              <w:rPr>
                <w:lang w:val="es-ES_tradnl"/>
              </w:rPr>
            </w:pPr>
            <w:r w:rsidRPr="00C90461">
              <w:rPr>
                <w:lang w:val="es-ES_tradnl"/>
              </w:rPr>
              <w:t xml:space="preserve">c. No </w:t>
            </w:r>
          </w:p>
        </w:tc>
        <w:tc>
          <w:tcPr>
            <w:tcW w:w="3120" w:type="dxa"/>
          </w:tcPr>
          <w:p w14:paraId="6E98B56A" w14:textId="77777777" w:rsidR="008F5DD0" w:rsidRPr="00C90461" w:rsidRDefault="008F5DD0" w:rsidP="00264E69">
            <w:pPr>
              <w:spacing w:after="120" w:line="240" w:lineRule="auto"/>
              <w:jc w:val="left"/>
              <w:rPr>
                <w:lang w:val="es-ES_tradnl"/>
              </w:rPr>
            </w:pPr>
            <w:r w:rsidRPr="00C90461">
              <w:rPr>
                <w:lang w:val="es-ES_tradnl"/>
              </w:rPr>
              <w:t xml:space="preserve">49 % </w:t>
            </w:r>
          </w:p>
        </w:tc>
        <w:tc>
          <w:tcPr>
            <w:tcW w:w="3120" w:type="dxa"/>
          </w:tcPr>
          <w:p w14:paraId="73749AB7" w14:textId="77777777" w:rsidR="008F5DD0" w:rsidRPr="00C90461" w:rsidRDefault="008F5DD0" w:rsidP="00264E69">
            <w:pPr>
              <w:spacing w:after="120" w:line="240" w:lineRule="auto"/>
              <w:jc w:val="left"/>
              <w:rPr>
                <w:lang w:val="es-ES_tradnl"/>
              </w:rPr>
            </w:pPr>
            <w:r w:rsidRPr="00C90461">
              <w:rPr>
                <w:lang w:val="es-ES_tradnl"/>
              </w:rPr>
              <w:t xml:space="preserve">21 </w:t>
            </w:r>
          </w:p>
        </w:tc>
      </w:tr>
      <w:tr w:rsidR="008F5DD0" w:rsidRPr="00C90461" w14:paraId="7E42F74B" w14:textId="77777777" w:rsidTr="000759D0">
        <w:tc>
          <w:tcPr>
            <w:tcW w:w="3120" w:type="dxa"/>
          </w:tcPr>
          <w:p w14:paraId="1B11B1D7" w14:textId="77777777" w:rsidR="008F5DD0" w:rsidRPr="00C90461" w:rsidRDefault="008F5DD0" w:rsidP="00264E69">
            <w:pPr>
              <w:spacing w:after="120" w:line="240" w:lineRule="auto"/>
              <w:jc w:val="left"/>
              <w:rPr>
                <w:lang w:val="es-ES_tradnl"/>
              </w:rPr>
            </w:pPr>
            <w:r w:rsidRPr="00C90461">
              <w:rPr>
                <w:lang w:val="es-ES_tradnl"/>
              </w:rPr>
              <w:t xml:space="preserve"> </w:t>
            </w:r>
          </w:p>
        </w:tc>
        <w:tc>
          <w:tcPr>
            <w:tcW w:w="3120" w:type="dxa"/>
          </w:tcPr>
          <w:p w14:paraId="10E04F96" w14:textId="77777777" w:rsidR="008F5DD0" w:rsidRPr="00C90461" w:rsidRDefault="008F5DD0" w:rsidP="00264E69">
            <w:pPr>
              <w:spacing w:after="120" w:line="240" w:lineRule="auto"/>
              <w:jc w:val="left"/>
              <w:rPr>
                <w:lang w:val="es-ES_tradnl"/>
              </w:rPr>
            </w:pPr>
            <w:r w:rsidRPr="00C90461">
              <w:rPr>
                <w:lang w:val="es-ES_tradnl"/>
              </w:rPr>
              <w:t xml:space="preserve">Totales </w:t>
            </w:r>
          </w:p>
        </w:tc>
        <w:tc>
          <w:tcPr>
            <w:tcW w:w="3120" w:type="dxa"/>
          </w:tcPr>
          <w:p w14:paraId="0859F61A" w14:textId="77777777" w:rsidR="008F5DD0" w:rsidRPr="00C90461" w:rsidRDefault="008F5DD0" w:rsidP="00264E69">
            <w:pPr>
              <w:spacing w:after="120" w:line="240" w:lineRule="auto"/>
              <w:jc w:val="left"/>
              <w:rPr>
                <w:lang w:val="es-ES_tradnl"/>
              </w:rPr>
            </w:pPr>
            <w:r w:rsidRPr="00C90461">
              <w:rPr>
                <w:lang w:val="es-ES_tradnl"/>
              </w:rPr>
              <w:t xml:space="preserve">43 </w:t>
            </w:r>
          </w:p>
        </w:tc>
      </w:tr>
    </w:tbl>
    <w:p w14:paraId="6A15ECC2" w14:textId="77777777" w:rsidR="008F5DD0" w:rsidRPr="00C90461" w:rsidRDefault="008F5DD0" w:rsidP="008F5DD0">
      <w:pPr>
        <w:spacing w:after="160" w:line="259" w:lineRule="auto"/>
        <w:jc w:val="left"/>
        <w:rPr>
          <w:rFonts w:eastAsia="Arial Unicode MS" w:cs="Arial"/>
          <w:b/>
          <w:bCs/>
          <w:lang w:val="es-ES_tradnl"/>
        </w:rPr>
      </w:pPr>
      <w:bookmarkStart w:id="39" w:name="_Toc28"/>
    </w:p>
    <w:p w14:paraId="6628B9B2" w14:textId="77777777" w:rsidR="008F5DD0" w:rsidRPr="00C90461" w:rsidRDefault="008F5DD0" w:rsidP="00264E69">
      <w:pPr>
        <w:keepNext/>
        <w:spacing w:after="160" w:line="259" w:lineRule="auto"/>
        <w:jc w:val="left"/>
        <w:rPr>
          <w:rFonts w:eastAsia="Arial Unicode MS" w:cs="Arial"/>
          <w:b/>
          <w:bCs/>
          <w:lang w:val="es-ES_tradnl"/>
        </w:rPr>
      </w:pPr>
      <w:r w:rsidRPr="00C90461">
        <w:rPr>
          <w:b/>
          <w:lang w:val="es-ES_tradnl"/>
        </w:rPr>
        <w:t>8.1. Enumere las condiciones para aceptar informes de examen DHE cuando los solicitantes no puedan presentar material vegetal por motivos fitosanitarios u otras cuestiones conexas:</w:t>
      </w:r>
      <w:bookmarkEnd w:id="39"/>
    </w:p>
    <w:tbl>
      <w:tblPr>
        <w:tblStyle w:val="table"/>
        <w:tblW w:w="9251" w:type="dxa"/>
        <w:tblInd w:w="80" w:type="dxa"/>
        <w:tblLook w:val="04A0" w:firstRow="1" w:lastRow="0" w:firstColumn="1" w:lastColumn="0" w:noHBand="0" w:noVBand="1"/>
      </w:tblPr>
      <w:tblGrid>
        <w:gridCol w:w="9251"/>
      </w:tblGrid>
      <w:tr w:rsidR="008F5DD0" w:rsidRPr="00C90461" w14:paraId="2943781B" w14:textId="77777777" w:rsidTr="008F5DD0">
        <w:tc>
          <w:tcPr>
            <w:tcW w:w="9251" w:type="dxa"/>
          </w:tcPr>
          <w:p w14:paraId="4368DF18" w14:textId="77777777" w:rsidR="008F5DD0" w:rsidRPr="00C90461" w:rsidRDefault="008F5DD0" w:rsidP="00264E69">
            <w:pPr>
              <w:keepNext/>
              <w:spacing w:after="120" w:line="240" w:lineRule="auto"/>
              <w:jc w:val="left"/>
              <w:rPr>
                <w:rFonts w:eastAsia="Arial Unicode MS"/>
                <w:lang w:val="es-ES_tradnl"/>
              </w:rPr>
            </w:pPr>
            <w:r w:rsidRPr="00C90461">
              <w:rPr>
                <w:lang w:val="es-ES_tradnl"/>
              </w:rPr>
              <w:t xml:space="preserve">Si no es posible enviar el material vegetal, el solicitante debe firmar una exención de depósito y poner a disposición el germoplasma si se le requiere. </w:t>
            </w:r>
          </w:p>
        </w:tc>
      </w:tr>
      <w:tr w:rsidR="008F5DD0" w:rsidRPr="00C90461" w14:paraId="2FA17D6F" w14:textId="77777777" w:rsidTr="008F5DD0">
        <w:tc>
          <w:tcPr>
            <w:tcW w:w="9251" w:type="dxa"/>
          </w:tcPr>
          <w:p w14:paraId="1C637C3A" w14:textId="1965427D" w:rsidR="008F5DD0" w:rsidRPr="00C90461" w:rsidRDefault="008F5DD0" w:rsidP="00264E69">
            <w:pPr>
              <w:spacing w:after="120" w:line="240" w:lineRule="auto"/>
              <w:jc w:val="left"/>
              <w:rPr>
                <w:rFonts w:eastAsia="Arial Unicode MS"/>
                <w:lang w:val="es-ES_tradnl"/>
              </w:rPr>
            </w:pPr>
            <w:r w:rsidRPr="00C90461">
              <w:rPr>
                <w:lang w:val="es-ES_tradnl"/>
              </w:rPr>
              <w:t xml:space="preserve">La única condición para que la solicitud avance en el procedimiento de concesión del derecho es que el material esté alojado en un centro de recursos genéticos en Australia o Nueva Zelandia. Aun </w:t>
            </w:r>
            <w:proofErr w:type="gramStart"/>
            <w:r w:rsidRPr="00C90461">
              <w:rPr>
                <w:lang w:val="es-ES_tradnl"/>
              </w:rPr>
              <w:t>así</w:t>
            </w:r>
            <w:proofErr w:type="gramEnd"/>
            <w:r w:rsidRPr="00C90461">
              <w:rPr>
                <w:lang w:val="es-ES_tradnl"/>
              </w:rPr>
              <w:t xml:space="preserve"> podemos aceptar un informe DHE cuando el material todavía no ha llegado a Australia. </w:t>
            </w:r>
          </w:p>
        </w:tc>
      </w:tr>
      <w:tr w:rsidR="008F5DD0" w:rsidRPr="00C90461" w14:paraId="37706BFE" w14:textId="77777777" w:rsidTr="008F5DD0">
        <w:tc>
          <w:tcPr>
            <w:tcW w:w="9251" w:type="dxa"/>
          </w:tcPr>
          <w:p w14:paraId="6155E649" w14:textId="31F76513" w:rsidR="008F5DD0" w:rsidRPr="00C90461" w:rsidRDefault="008F5DD0" w:rsidP="00264E69">
            <w:pPr>
              <w:spacing w:after="120" w:line="240" w:lineRule="auto"/>
              <w:jc w:val="left"/>
              <w:rPr>
                <w:rFonts w:eastAsia="Arial Unicode MS"/>
                <w:lang w:val="es-ES_tradnl"/>
              </w:rPr>
            </w:pPr>
            <w:r w:rsidRPr="00C90461">
              <w:rPr>
                <w:lang w:val="es-ES_tradnl"/>
              </w:rPr>
              <w:t xml:space="preserve">Si no se prevé la producción local de la variedad. </w:t>
            </w:r>
          </w:p>
        </w:tc>
      </w:tr>
      <w:tr w:rsidR="008F5DD0" w:rsidRPr="00C90461" w14:paraId="62FA3876" w14:textId="77777777" w:rsidTr="008F5DD0">
        <w:tc>
          <w:tcPr>
            <w:tcW w:w="9251" w:type="dxa"/>
          </w:tcPr>
          <w:p w14:paraId="6EEBB135" w14:textId="77777777" w:rsidR="008F5DD0" w:rsidRPr="00C90461" w:rsidRDefault="008F5DD0" w:rsidP="00C91F15">
            <w:pPr>
              <w:spacing w:after="120" w:line="240" w:lineRule="auto"/>
              <w:jc w:val="left"/>
              <w:rPr>
                <w:rFonts w:eastAsia="Arial Unicode MS"/>
                <w:lang w:val="es-ES_tradnl"/>
              </w:rPr>
            </w:pPr>
            <w:r w:rsidRPr="00C90461">
              <w:rPr>
                <w:lang w:val="es-ES_tradnl"/>
              </w:rPr>
              <w:t xml:space="preserve">para los géneros o especies del cuadro </w:t>
            </w:r>
            <w:r w:rsidRPr="00C90461">
              <w:rPr>
                <w:i/>
                <w:iCs/>
                <w:lang w:val="es-ES_tradnl"/>
              </w:rPr>
              <w:t xml:space="preserve">Triticum </w:t>
            </w:r>
            <w:proofErr w:type="spellStart"/>
            <w:r w:rsidRPr="00C90461">
              <w:rPr>
                <w:i/>
                <w:iCs/>
                <w:lang w:val="es-ES_tradnl"/>
              </w:rPr>
              <w:t>aestivum</w:t>
            </w:r>
            <w:proofErr w:type="spellEnd"/>
            <w:r w:rsidRPr="00C90461">
              <w:rPr>
                <w:lang w:val="es-ES_tradnl"/>
              </w:rPr>
              <w:t xml:space="preserve"> L. </w:t>
            </w:r>
            <w:proofErr w:type="spellStart"/>
            <w:r w:rsidRPr="00C90461">
              <w:rPr>
                <w:lang w:val="es-ES_tradnl"/>
              </w:rPr>
              <w:t>emend</w:t>
            </w:r>
            <w:proofErr w:type="spellEnd"/>
            <w:r w:rsidRPr="00C90461">
              <w:rPr>
                <w:lang w:val="es-ES_tradnl"/>
              </w:rPr>
              <w:t xml:space="preserve"> Fiori et </w:t>
            </w:r>
            <w:proofErr w:type="spellStart"/>
            <w:r w:rsidRPr="00C90461">
              <w:rPr>
                <w:lang w:val="es-ES_tradnl"/>
              </w:rPr>
              <w:t>Paol</w:t>
            </w:r>
            <w:proofErr w:type="spellEnd"/>
            <w:r w:rsidRPr="00C90461">
              <w:rPr>
                <w:lang w:val="es-ES_tradnl"/>
              </w:rPr>
              <w:t xml:space="preserve">. </w:t>
            </w:r>
            <w:r w:rsidRPr="00C90461">
              <w:rPr>
                <w:i/>
                <w:iCs/>
                <w:lang w:val="es-ES_tradnl"/>
              </w:rPr>
              <w:t xml:space="preserve">Triticum </w:t>
            </w:r>
            <w:proofErr w:type="spellStart"/>
            <w:r w:rsidRPr="00C90461">
              <w:rPr>
                <w:i/>
                <w:iCs/>
                <w:lang w:val="es-ES_tradnl"/>
              </w:rPr>
              <w:t>durum</w:t>
            </w:r>
            <w:proofErr w:type="spellEnd"/>
            <w:r w:rsidRPr="00C90461">
              <w:rPr>
                <w:lang w:val="es-ES_tradnl"/>
              </w:rPr>
              <w:t xml:space="preserve"> </w:t>
            </w:r>
            <w:proofErr w:type="spellStart"/>
            <w:r w:rsidRPr="00C90461">
              <w:rPr>
                <w:lang w:val="es-ES_tradnl"/>
              </w:rPr>
              <w:t>Desf</w:t>
            </w:r>
            <w:proofErr w:type="spellEnd"/>
            <w:r w:rsidRPr="00C90461">
              <w:rPr>
                <w:lang w:val="es-ES_tradnl"/>
              </w:rPr>
              <w:t xml:space="preserve">., </w:t>
            </w:r>
            <w:proofErr w:type="spellStart"/>
            <w:r w:rsidRPr="00C90461">
              <w:rPr>
                <w:i/>
                <w:iCs/>
                <w:lang w:val="es-ES_tradnl"/>
              </w:rPr>
              <w:t>Secale</w:t>
            </w:r>
            <w:proofErr w:type="spellEnd"/>
            <w:r w:rsidRPr="00C90461">
              <w:rPr>
                <w:i/>
                <w:iCs/>
                <w:lang w:val="es-ES_tradnl"/>
              </w:rPr>
              <w:t xml:space="preserve"> </w:t>
            </w:r>
            <w:proofErr w:type="spellStart"/>
            <w:r w:rsidRPr="00C90461">
              <w:rPr>
                <w:i/>
                <w:iCs/>
                <w:lang w:val="es-ES_tradnl"/>
              </w:rPr>
              <w:t>cereale</w:t>
            </w:r>
            <w:proofErr w:type="spellEnd"/>
            <w:r w:rsidRPr="00C90461">
              <w:rPr>
                <w:lang w:val="es-ES_tradnl"/>
              </w:rPr>
              <w:t xml:space="preserve"> L. ×</w:t>
            </w:r>
            <w:proofErr w:type="spellStart"/>
            <w:r w:rsidRPr="00C90461">
              <w:rPr>
                <w:i/>
                <w:iCs/>
                <w:lang w:val="es-ES_tradnl"/>
              </w:rPr>
              <w:t>Triticosecale</w:t>
            </w:r>
            <w:proofErr w:type="spellEnd"/>
            <w:r w:rsidRPr="00C90461">
              <w:rPr>
                <w:lang w:val="es-ES_tradnl"/>
              </w:rPr>
              <w:t xml:space="preserve"> </w:t>
            </w:r>
            <w:proofErr w:type="spellStart"/>
            <w:r w:rsidRPr="00C90461">
              <w:rPr>
                <w:lang w:val="es-ES_tradnl"/>
              </w:rPr>
              <w:t>Wittm</w:t>
            </w:r>
            <w:proofErr w:type="spellEnd"/>
            <w:r w:rsidRPr="00C90461">
              <w:rPr>
                <w:lang w:val="es-ES_tradnl"/>
              </w:rPr>
              <w:t xml:space="preserve">., </w:t>
            </w:r>
            <w:proofErr w:type="spellStart"/>
            <w:r w:rsidRPr="00C90461">
              <w:rPr>
                <w:i/>
                <w:iCs/>
                <w:lang w:val="es-ES_tradnl"/>
              </w:rPr>
              <w:t>Hordeum</w:t>
            </w:r>
            <w:proofErr w:type="spellEnd"/>
            <w:r w:rsidRPr="00C90461">
              <w:rPr>
                <w:i/>
                <w:iCs/>
                <w:lang w:val="es-ES_tradnl"/>
              </w:rPr>
              <w:t xml:space="preserve"> </w:t>
            </w:r>
            <w:proofErr w:type="spellStart"/>
            <w:r w:rsidRPr="00C90461">
              <w:rPr>
                <w:i/>
                <w:iCs/>
                <w:lang w:val="es-ES_tradnl"/>
              </w:rPr>
              <w:t>vulgare</w:t>
            </w:r>
            <w:proofErr w:type="spellEnd"/>
            <w:r w:rsidRPr="00C90461">
              <w:rPr>
                <w:lang w:val="es-ES_tradnl"/>
              </w:rPr>
              <w:t xml:space="preserve"> L. en sentido amplio, </w:t>
            </w:r>
            <w:proofErr w:type="spellStart"/>
            <w:r w:rsidRPr="00C90461">
              <w:rPr>
                <w:i/>
                <w:iCs/>
                <w:lang w:val="es-ES_tradnl"/>
              </w:rPr>
              <w:t>Fagopyrum</w:t>
            </w:r>
            <w:proofErr w:type="spellEnd"/>
            <w:r w:rsidRPr="00C90461">
              <w:rPr>
                <w:i/>
                <w:iCs/>
                <w:lang w:val="es-ES_tradnl"/>
              </w:rPr>
              <w:t xml:space="preserve"> </w:t>
            </w:r>
            <w:proofErr w:type="spellStart"/>
            <w:r w:rsidRPr="00C90461">
              <w:rPr>
                <w:i/>
                <w:iCs/>
                <w:lang w:val="es-ES_tradnl"/>
              </w:rPr>
              <w:t>esculentum</w:t>
            </w:r>
            <w:proofErr w:type="spellEnd"/>
            <w:r w:rsidRPr="00C90461">
              <w:rPr>
                <w:lang w:val="es-ES_tradnl"/>
              </w:rPr>
              <w:t xml:space="preserve"> Moench, </w:t>
            </w:r>
            <w:r w:rsidRPr="00C90461">
              <w:rPr>
                <w:i/>
                <w:iCs/>
                <w:lang w:val="es-ES_tradnl"/>
              </w:rPr>
              <w:t xml:space="preserve">Zea </w:t>
            </w:r>
            <w:proofErr w:type="spellStart"/>
            <w:r w:rsidRPr="00C90461">
              <w:rPr>
                <w:i/>
                <w:iCs/>
                <w:lang w:val="es-ES_tradnl"/>
              </w:rPr>
              <w:t>mays</w:t>
            </w:r>
            <w:proofErr w:type="spellEnd"/>
            <w:r w:rsidRPr="00C90461">
              <w:rPr>
                <w:lang w:val="es-ES_tradnl"/>
              </w:rPr>
              <w:t xml:space="preserve"> L., </w:t>
            </w:r>
            <w:r w:rsidRPr="00C90461">
              <w:rPr>
                <w:i/>
                <w:iCs/>
                <w:lang w:val="es-ES_tradnl"/>
              </w:rPr>
              <w:t>Avena nuda</w:t>
            </w:r>
            <w:r w:rsidRPr="00C90461">
              <w:rPr>
                <w:lang w:val="es-ES_tradnl"/>
              </w:rPr>
              <w:t xml:space="preserve"> L., </w:t>
            </w:r>
            <w:r w:rsidRPr="00C90461">
              <w:rPr>
                <w:i/>
                <w:iCs/>
                <w:lang w:val="es-ES_tradnl"/>
              </w:rPr>
              <w:t>Avena sativa</w:t>
            </w:r>
            <w:r w:rsidRPr="00C90461">
              <w:rPr>
                <w:lang w:val="es-ES_tradnl"/>
              </w:rPr>
              <w:t xml:space="preserve"> L. </w:t>
            </w:r>
            <w:proofErr w:type="spellStart"/>
            <w:r w:rsidRPr="00C90461">
              <w:rPr>
                <w:i/>
                <w:iCs/>
                <w:lang w:val="es-ES_tradnl"/>
              </w:rPr>
              <w:t>Pisum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en sentido </w:t>
            </w:r>
            <w:r w:rsidRPr="00C90461">
              <w:rPr>
                <w:lang w:val="es-ES_tradnl"/>
              </w:rPr>
              <w:lastRenderedPageBreak/>
              <w:t xml:space="preserve">amplio,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luteus</w:t>
            </w:r>
            <w:proofErr w:type="spellEnd"/>
            <w:r w:rsidRPr="00C90461">
              <w:rPr>
                <w:lang w:val="es-ES_tradnl"/>
              </w:rPr>
              <w:t xml:space="preserve"> L., </w:t>
            </w:r>
            <w:proofErr w:type="spellStart"/>
            <w:r w:rsidRPr="00C90461">
              <w:rPr>
                <w:i/>
                <w:iCs/>
                <w:lang w:val="es-ES_tradnl"/>
              </w:rPr>
              <w:t>Lupinus</w:t>
            </w:r>
            <w:proofErr w:type="spellEnd"/>
            <w:r w:rsidRPr="00C90461">
              <w:rPr>
                <w:i/>
                <w:iCs/>
                <w:lang w:val="es-ES_tradnl"/>
              </w:rPr>
              <w:t xml:space="preserve"> </w:t>
            </w:r>
            <w:proofErr w:type="spellStart"/>
            <w:r w:rsidRPr="00C90461">
              <w:rPr>
                <w:i/>
                <w:iCs/>
                <w:lang w:val="es-ES_tradnl"/>
              </w:rPr>
              <w:t>angustifolius</w:t>
            </w:r>
            <w:proofErr w:type="spellEnd"/>
            <w:r w:rsidRPr="00C90461">
              <w:rPr>
                <w:lang w:val="es-ES_tradnl"/>
              </w:rPr>
              <w:t xml:space="preserve"> L., </w:t>
            </w:r>
            <w:proofErr w:type="spellStart"/>
            <w:r w:rsidRPr="00C90461">
              <w:rPr>
                <w:i/>
                <w:iCs/>
                <w:lang w:val="es-ES_tradnl"/>
              </w:rPr>
              <w:t>Glycine</w:t>
            </w:r>
            <w:proofErr w:type="spellEnd"/>
            <w:r w:rsidRPr="00C90461">
              <w:rPr>
                <w:i/>
                <w:iCs/>
                <w:lang w:val="es-ES_tradnl"/>
              </w:rPr>
              <w:t xml:space="preserve"> </w:t>
            </w:r>
            <w:proofErr w:type="spellStart"/>
            <w:r w:rsidRPr="00C90461">
              <w:rPr>
                <w:i/>
                <w:iCs/>
                <w:lang w:val="es-ES_tradnl"/>
              </w:rPr>
              <w:t>max</w:t>
            </w:r>
            <w:proofErr w:type="spellEnd"/>
            <w:r w:rsidRPr="00C90461">
              <w:rPr>
                <w:lang w:val="es-ES_tradnl"/>
              </w:rPr>
              <w:t xml:space="preserve"> (L.) </w:t>
            </w:r>
            <w:proofErr w:type="spellStart"/>
            <w:r w:rsidRPr="00C90461">
              <w:rPr>
                <w:lang w:val="es-ES_tradnl"/>
              </w:rPr>
              <w:t>Merr</w:t>
            </w:r>
            <w:proofErr w:type="spellEnd"/>
            <w:r w:rsidRPr="00C90461">
              <w:rPr>
                <w:lang w:val="es-ES_tradnl"/>
              </w:rPr>
              <w:t xml:space="preserve">., </w:t>
            </w:r>
            <w:proofErr w:type="spellStart"/>
            <w:r w:rsidRPr="00C90461">
              <w:rPr>
                <w:i/>
                <w:iCs/>
                <w:lang w:val="es-ES_tradnl"/>
              </w:rPr>
              <w:t>Cucumis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L. f. </w:t>
            </w:r>
            <w:r w:rsidRPr="00C90461">
              <w:rPr>
                <w:i/>
                <w:iCs/>
                <w:lang w:val="es-ES_tradnl"/>
              </w:rPr>
              <w:t>alba</w:t>
            </w:r>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capitata</w:t>
            </w:r>
            <w:proofErr w:type="spellEnd"/>
            <w:r w:rsidRPr="00C90461">
              <w:rPr>
                <w:lang w:val="es-ES_tradnl"/>
              </w:rPr>
              <w:t xml:space="preserve"> </w:t>
            </w:r>
            <w:proofErr w:type="spellStart"/>
            <w:r w:rsidRPr="00C90461">
              <w:rPr>
                <w:lang w:val="es-ES_tradnl"/>
              </w:rPr>
              <w:t>L.f</w:t>
            </w:r>
            <w:proofErr w:type="spellEnd"/>
            <w:r w:rsidRPr="00C90461">
              <w:rPr>
                <w:lang w:val="es-ES_tradnl"/>
              </w:rPr>
              <w:t xml:space="preserve">. </w:t>
            </w:r>
            <w:r w:rsidRPr="00C90461">
              <w:rPr>
                <w:i/>
                <w:iCs/>
                <w:lang w:val="es-ES_tradnl"/>
              </w:rPr>
              <w:t>rubra</w:t>
            </w:r>
            <w:r w:rsidRPr="00C90461">
              <w:rPr>
                <w:lang w:val="es-ES_tradnl"/>
              </w:rPr>
              <w:t xml:space="preserve"> (L.) </w:t>
            </w:r>
            <w:proofErr w:type="spellStart"/>
            <w:r w:rsidRPr="00C90461">
              <w:rPr>
                <w:lang w:val="es-ES_tradnl"/>
              </w:rPr>
              <w:t>Thell</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sabauda</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convar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(L.) </w:t>
            </w:r>
            <w:proofErr w:type="spellStart"/>
            <w:r w:rsidRPr="00C90461">
              <w:rPr>
                <w:lang w:val="es-ES_tradnl"/>
              </w:rPr>
              <w:t>Alef</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botrytis</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cymosa</w:t>
            </w:r>
            <w:proofErr w:type="spellEnd"/>
            <w:r w:rsidRPr="00C90461">
              <w:rPr>
                <w:lang w:val="es-ES_tradnl"/>
              </w:rPr>
              <w:t xml:space="preserve"> </w:t>
            </w:r>
            <w:proofErr w:type="spellStart"/>
            <w:r w:rsidRPr="00C90461">
              <w:rPr>
                <w:lang w:val="es-ES_tradnl"/>
              </w:rPr>
              <w:t>Duch</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gemmifera</w:t>
            </w:r>
            <w:proofErr w:type="spellEnd"/>
            <w:r w:rsidRPr="00C90461">
              <w:rPr>
                <w:lang w:val="es-ES_tradnl"/>
              </w:rPr>
              <w:t xml:space="preserve"> DC.,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oleracea</w:t>
            </w:r>
            <w:proofErr w:type="spellEnd"/>
            <w:r w:rsidRPr="00C90461">
              <w:rPr>
                <w:lang w:val="es-ES_tradnl"/>
              </w:rPr>
              <w:t xml:space="preserve"> L.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gongylodes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pekinensis</w:t>
            </w:r>
            <w:proofErr w:type="spellEnd"/>
            <w:r w:rsidRPr="00C90461">
              <w:rPr>
                <w:lang w:val="es-ES_tradnl"/>
              </w:rPr>
              <w:t xml:space="preserve"> (</w:t>
            </w:r>
            <w:proofErr w:type="spellStart"/>
            <w:r w:rsidRPr="00C90461">
              <w:rPr>
                <w:lang w:val="es-ES_tradnl"/>
              </w:rPr>
              <w:t>Lour</w:t>
            </w:r>
            <w:proofErr w:type="spellEnd"/>
            <w:r w:rsidRPr="00C90461">
              <w:rPr>
                <w:lang w:val="es-ES_tradnl"/>
              </w:rPr>
              <w:t xml:space="preserve">.) </w:t>
            </w:r>
            <w:proofErr w:type="spellStart"/>
            <w:r w:rsidRPr="00C90461">
              <w:rPr>
                <w:lang w:val="es-ES_tradnl"/>
              </w:rPr>
              <w:t>Rupr</w:t>
            </w:r>
            <w:proofErr w:type="spellEnd"/>
            <w:r w:rsidRPr="00C90461">
              <w:rPr>
                <w:lang w:val="es-ES_tradnl"/>
              </w:rPr>
              <w:t xml:space="preserve">., </w:t>
            </w:r>
            <w:proofErr w:type="spellStart"/>
            <w:r w:rsidRPr="00C90461">
              <w:rPr>
                <w:i/>
                <w:iCs/>
                <w:lang w:val="es-ES_tradnl"/>
              </w:rPr>
              <w:t>Allium</w:t>
            </w:r>
            <w:proofErr w:type="spellEnd"/>
            <w:r w:rsidRPr="00C90461">
              <w:rPr>
                <w:i/>
                <w:iCs/>
                <w:lang w:val="es-ES_tradnl"/>
              </w:rPr>
              <w:t xml:space="preserve"> cepa</w:t>
            </w:r>
            <w:r w:rsidRPr="00C90461">
              <w:rPr>
                <w:lang w:val="es-ES_tradnl"/>
              </w:rPr>
              <w:t xml:space="preserve"> L., </w:t>
            </w:r>
            <w:proofErr w:type="spellStart"/>
            <w:r w:rsidRPr="00C90461">
              <w:rPr>
                <w:i/>
                <w:iCs/>
                <w:lang w:val="es-ES_tradnl"/>
              </w:rPr>
              <w:t>Daucus</w:t>
            </w:r>
            <w:proofErr w:type="spellEnd"/>
            <w:r w:rsidRPr="00C90461">
              <w:rPr>
                <w:i/>
                <w:iCs/>
                <w:lang w:val="es-ES_tradnl"/>
              </w:rPr>
              <w:t xml:space="preserve"> carota</w:t>
            </w:r>
            <w:r w:rsidRPr="00C90461">
              <w:rPr>
                <w:lang w:val="es-ES_tradnl"/>
              </w:rPr>
              <w:t xml:space="preserve"> L., </w:t>
            </w:r>
            <w:proofErr w:type="spellStart"/>
            <w:r w:rsidRPr="00C90461">
              <w:rPr>
                <w:i/>
                <w:iCs/>
                <w:lang w:val="es-ES_tradnl"/>
              </w:rPr>
              <w:t>Capsicum</w:t>
            </w:r>
            <w:proofErr w:type="spellEnd"/>
            <w:r w:rsidRPr="00C90461">
              <w:rPr>
                <w:i/>
                <w:iCs/>
                <w:lang w:val="es-ES_tradnl"/>
              </w:rPr>
              <w:t xml:space="preserve"> </w:t>
            </w:r>
            <w:proofErr w:type="spellStart"/>
            <w:r w:rsidRPr="00C90461">
              <w:rPr>
                <w:i/>
                <w:iCs/>
                <w:lang w:val="es-ES_tradnl"/>
              </w:rPr>
              <w:t>annuum</w:t>
            </w:r>
            <w:proofErr w:type="spellEnd"/>
            <w:r w:rsidRPr="00C90461">
              <w:rPr>
                <w:lang w:val="es-ES_tradnl"/>
              </w:rPr>
              <w:t xml:space="preserve"> L., </w:t>
            </w:r>
            <w:proofErr w:type="spellStart"/>
            <w:r w:rsidRPr="00C90461">
              <w:rPr>
                <w:i/>
                <w:iCs/>
                <w:lang w:val="es-ES_tradnl"/>
              </w:rPr>
              <w:t>Petroselinum</w:t>
            </w:r>
            <w:proofErr w:type="spellEnd"/>
            <w:r w:rsidRPr="00C90461">
              <w:rPr>
                <w:i/>
                <w:iCs/>
                <w:lang w:val="es-ES_tradnl"/>
              </w:rPr>
              <w:t xml:space="preserve"> </w:t>
            </w:r>
            <w:proofErr w:type="spellStart"/>
            <w:r w:rsidRPr="00C90461">
              <w:rPr>
                <w:i/>
                <w:iCs/>
                <w:lang w:val="es-ES_tradnl"/>
              </w:rPr>
              <w:t>crispum</w:t>
            </w:r>
            <w:proofErr w:type="spellEnd"/>
            <w:r w:rsidRPr="00C90461">
              <w:rPr>
                <w:lang w:val="es-ES_tradnl"/>
              </w:rPr>
              <w:t xml:space="preserve"> (Mill.) </w:t>
            </w:r>
            <w:proofErr w:type="spellStart"/>
            <w:r w:rsidRPr="00C90461">
              <w:rPr>
                <w:lang w:val="es-ES_tradnl"/>
              </w:rPr>
              <w:t>Nyman</w:t>
            </w:r>
            <w:proofErr w:type="spellEnd"/>
            <w:r w:rsidRPr="00C90461">
              <w:rPr>
                <w:lang w:val="es-ES_tradnl"/>
              </w:rPr>
              <w:t xml:space="preserve"> ex A. W. Hill, </w:t>
            </w:r>
            <w:proofErr w:type="spellStart"/>
            <w:r w:rsidRPr="00C90461">
              <w:rPr>
                <w:i/>
                <w:iCs/>
                <w:lang w:val="es-ES_tradnl"/>
              </w:rPr>
              <w:t>Raphanus</w:t>
            </w:r>
            <w:proofErr w:type="spellEnd"/>
            <w:r w:rsidRPr="00C90461">
              <w:rPr>
                <w:i/>
                <w:iCs/>
                <w:lang w:val="es-ES_tradnl"/>
              </w:rPr>
              <w:t xml:space="preserve"> </w:t>
            </w:r>
            <w:proofErr w:type="spellStart"/>
            <w:r w:rsidRPr="00C90461">
              <w:rPr>
                <w:i/>
                <w:iCs/>
                <w:lang w:val="es-ES_tradnl"/>
              </w:rPr>
              <w:t>sativus</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rapa</w:t>
            </w:r>
            <w:r w:rsidRPr="00C90461">
              <w:rPr>
                <w:lang w:val="es-ES_tradnl"/>
              </w:rPr>
              <w:t xml:space="preserve"> L., </w:t>
            </w:r>
            <w:r w:rsidRPr="00C90461">
              <w:rPr>
                <w:i/>
                <w:iCs/>
                <w:lang w:val="es-ES_tradnl"/>
              </w:rPr>
              <w:t>Lactuca sativa</w:t>
            </w:r>
            <w:r w:rsidRPr="00C90461">
              <w:rPr>
                <w:lang w:val="es-ES_tradnl"/>
              </w:rPr>
              <w:t xml:space="preserve"> L.,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w:t>
            </w:r>
            <w:proofErr w:type="spellStart"/>
            <w:r w:rsidRPr="00C90461">
              <w:rPr>
                <w:i/>
                <w:iCs/>
                <w:lang w:val="es-ES_tradnl"/>
              </w:rPr>
              <w:t>conditiva</w:t>
            </w:r>
            <w:proofErr w:type="spellEnd"/>
            <w:r w:rsidRPr="00C90461">
              <w:rPr>
                <w:lang w:val="es-ES_tradnl"/>
              </w:rPr>
              <w:t xml:space="preserve"> </w:t>
            </w:r>
            <w:proofErr w:type="spellStart"/>
            <w:r w:rsidRPr="00C90461">
              <w:rPr>
                <w:lang w:val="es-ES_tradnl"/>
              </w:rPr>
              <w:t>Alef</w:t>
            </w:r>
            <w:proofErr w:type="spellEnd"/>
            <w:r w:rsidRPr="00C90461">
              <w:rPr>
                <w:lang w:val="es-ES_tradnl"/>
              </w:rPr>
              <w:t xml:space="preserve">.,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lycopеrsicum</w:t>
            </w:r>
            <w:proofErr w:type="spellEnd"/>
            <w:r w:rsidRPr="00C90461">
              <w:rPr>
                <w:lang w:val="es-ES_tradnl"/>
              </w:rPr>
              <w:t xml:space="preserve"> L., </w:t>
            </w:r>
            <w:proofErr w:type="spellStart"/>
            <w:r w:rsidRPr="00C90461">
              <w:rPr>
                <w:i/>
                <w:iCs/>
                <w:lang w:val="es-ES_tradnl"/>
              </w:rPr>
              <w:t>Cucurbita</w:t>
            </w:r>
            <w:proofErr w:type="spellEnd"/>
            <w:r w:rsidRPr="00C90461">
              <w:rPr>
                <w:i/>
                <w:iCs/>
                <w:lang w:val="es-ES_tradnl"/>
              </w:rPr>
              <w:t xml:space="preserve"> pepo</w:t>
            </w:r>
            <w:r w:rsidRPr="00C90461">
              <w:rPr>
                <w:lang w:val="es-ES_tradnl"/>
              </w:rPr>
              <w:t xml:space="preserve"> L., </w:t>
            </w:r>
            <w:proofErr w:type="spellStart"/>
            <w:r w:rsidRPr="00C90461">
              <w:rPr>
                <w:i/>
                <w:iCs/>
                <w:lang w:val="es-ES_tradnl"/>
              </w:rPr>
              <w:t>Anethum</w:t>
            </w:r>
            <w:proofErr w:type="spellEnd"/>
            <w:r w:rsidRPr="00C90461">
              <w:rPr>
                <w:i/>
                <w:iCs/>
                <w:lang w:val="es-ES_tradnl"/>
              </w:rPr>
              <w:t xml:space="preserve"> </w:t>
            </w:r>
            <w:proofErr w:type="spellStart"/>
            <w:r w:rsidRPr="00C90461">
              <w:rPr>
                <w:i/>
                <w:iCs/>
                <w:lang w:val="es-ES_tradnl"/>
              </w:rPr>
              <w:t>graveolens</w:t>
            </w:r>
            <w:proofErr w:type="spellEnd"/>
            <w:r w:rsidRPr="00C90461">
              <w:rPr>
                <w:lang w:val="es-ES_tradnl"/>
              </w:rPr>
              <w:t xml:space="preserve"> L., </w:t>
            </w:r>
            <w:proofErr w:type="spellStart"/>
            <w:r w:rsidRPr="00C90461">
              <w:rPr>
                <w:i/>
                <w:iCs/>
                <w:lang w:val="es-ES_tradnl"/>
              </w:rPr>
              <w:t>Phaseolus</w:t>
            </w:r>
            <w:proofErr w:type="spellEnd"/>
            <w:r w:rsidRPr="00C90461">
              <w:rPr>
                <w:lang w:val="es-ES_tradnl"/>
              </w:rPr>
              <w:t xml:space="preserve"> L., </w:t>
            </w:r>
            <w:proofErr w:type="spellStart"/>
            <w:r w:rsidRPr="00C90461">
              <w:rPr>
                <w:i/>
                <w:iCs/>
                <w:lang w:val="es-ES_tradnl"/>
              </w:rPr>
              <w:t>Allium</w:t>
            </w:r>
            <w:proofErr w:type="spellEnd"/>
            <w:r w:rsidRPr="00C90461">
              <w:rPr>
                <w:i/>
                <w:iCs/>
                <w:lang w:val="es-ES_tradnl"/>
              </w:rPr>
              <w:t xml:space="preserve"> </w:t>
            </w:r>
            <w:proofErr w:type="spellStart"/>
            <w:r w:rsidRPr="00C90461">
              <w:rPr>
                <w:i/>
                <w:iCs/>
                <w:lang w:val="es-ES_tradnl"/>
              </w:rPr>
              <w:t>sativum</w:t>
            </w:r>
            <w:proofErr w:type="spellEnd"/>
            <w:r w:rsidRPr="00C90461">
              <w:rPr>
                <w:lang w:val="es-ES_tradnl"/>
              </w:rPr>
              <w:t xml:space="preserve"> L., </w:t>
            </w:r>
            <w:proofErr w:type="spellStart"/>
            <w:r w:rsidRPr="00C90461">
              <w:rPr>
                <w:i/>
                <w:iCs/>
                <w:lang w:val="es-ES_tradnl"/>
              </w:rPr>
              <w:t>Solanum</w:t>
            </w:r>
            <w:proofErr w:type="spellEnd"/>
            <w:r w:rsidRPr="00C90461">
              <w:rPr>
                <w:i/>
                <w:iCs/>
                <w:lang w:val="es-ES_tradnl"/>
              </w:rPr>
              <w:t xml:space="preserve"> </w:t>
            </w:r>
            <w:proofErr w:type="spellStart"/>
            <w:r w:rsidRPr="00C90461">
              <w:rPr>
                <w:i/>
                <w:iCs/>
                <w:lang w:val="es-ES_tradnl"/>
              </w:rPr>
              <w:t>tuberosum</w:t>
            </w:r>
            <w:proofErr w:type="spellEnd"/>
            <w:r w:rsidRPr="00C90461">
              <w:rPr>
                <w:lang w:val="es-ES_tradnl"/>
              </w:rPr>
              <w:t xml:space="preserve"> L. en sentido amplio, </w:t>
            </w:r>
            <w:r w:rsidRPr="00C90461">
              <w:rPr>
                <w:i/>
                <w:iCs/>
                <w:lang w:val="es-ES_tradnl"/>
              </w:rPr>
              <w:t xml:space="preserve">Beta </w:t>
            </w:r>
            <w:proofErr w:type="spellStart"/>
            <w:r w:rsidRPr="00C90461">
              <w:rPr>
                <w:i/>
                <w:iCs/>
                <w:lang w:val="es-ES_tradnl"/>
              </w:rPr>
              <w:t>vulgaris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vulgaris</w:t>
            </w:r>
            <w:proofErr w:type="spellEnd"/>
            <w:r w:rsidRPr="00C90461">
              <w:rPr>
                <w:lang w:val="es-ES_tradnl"/>
              </w:rPr>
              <w:t xml:space="preserve"> </w:t>
            </w:r>
            <w:proofErr w:type="spellStart"/>
            <w:r w:rsidRPr="00C90461">
              <w:rPr>
                <w:lang w:val="es-ES_tradnl"/>
              </w:rPr>
              <w:t>var</w:t>
            </w:r>
            <w:proofErr w:type="spellEnd"/>
            <w:r w:rsidRPr="00C90461">
              <w:rPr>
                <w:lang w:val="es-ES_tradnl"/>
              </w:rPr>
              <w:t xml:space="preserve">. alba DC., </w:t>
            </w:r>
            <w:proofErr w:type="spellStart"/>
            <w:r w:rsidRPr="00C90461">
              <w:rPr>
                <w:i/>
                <w:iCs/>
                <w:lang w:val="es-ES_tradnl"/>
              </w:rPr>
              <w:t>Linum</w:t>
            </w:r>
            <w:proofErr w:type="spellEnd"/>
            <w:r w:rsidRPr="00C90461">
              <w:rPr>
                <w:i/>
                <w:iCs/>
                <w:lang w:val="es-ES_tradnl"/>
              </w:rPr>
              <w:t xml:space="preserve"> </w:t>
            </w:r>
            <w:proofErr w:type="spellStart"/>
            <w:r w:rsidRPr="00C90461">
              <w:rPr>
                <w:i/>
                <w:iCs/>
                <w:lang w:val="es-ES_tradnl"/>
              </w:rPr>
              <w:t>usitatissimum</w:t>
            </w:r>
            <w:proofErr w:type="spellEnd"/>
            <w:r w:rsidRPr="00C90461">
              <w:rPr>
                <w:lang w:val="es-ES_tradnl"/>
              </w:rPr>
              <w:t xml:space="preserve"> L.,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napus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oleifera</w:t>
            </w:r>
            <w:proofErr w:type="spellEnd"/>
            <w:r w:rsidRPr="00C90461">
              <w:rPr>
                <w:lang w:val="es-ES_tradnl"/>
              </w:rPr>
              <w:t xml:space="preserve"> (</w:t>
            </w:r>
            <w:proofErr w:type="spellStart"/>
            <w:r w:rsidRPr="00C90461">
              <w:rPr>
                <w:lang w:val="es-ES_tradnl"/>
              </w:rPr>
              <w:t>Metzg</w:t>
            </w:r>
            <w:proofErr w:type="spellEnd"/>
            <w:r w:rsidRPr="00C90461">
              <w:rPr>
                <w:lang w:val="es-ES_tradnl"/>
              </w:rPr>
              <w:t xml:space="preserve">.) </w:t>
            </w:r>
            <w:proofErr w:type="spellStart"/>
            <w:r w:rsidRPr="00C90461">
              <w:rPr>
                <w:lang w:val="es-ES_tradnl"/>
              </w:rPr>
              <w:t>Sinsk</w:t>
            </w:r>
            <w:proofErr w:type="spellEnd"/>
            <w:r w:rsidRPr="00C90461">
              <w:rPr>
                <w:lang w:val="es-ES_tradnl"/>
              </w:rPr>
              <w:t xml:space="preserve">, </w:t>
            </w:r>
            <w:proofErr w:type="spellStart"/>
            <w:r w:rsidRPr="00C90461">
              <w:rPr>
                <w:i/>
                <w:iCs/>
                <w:lang w:val="es-ES_tradnl"/>
              </w:rPr>
              <w:t>Brassica</w:t>
            </w:r>
            <w:proofErr w:type="spellEnd"/>
            <w:r w:rsidRPr="00C90461">
              <w:rPr>
                <w:i/>
                <w:iCs/>
                <w:lang w:val="es-ES_tradnl"/>
              </w:rPr>
              <w:t xml:space="preserve"> </w:t>
            </w:r>
            <w:proofErr w:type="spellStart"/>
            <w:r w:rsidRPr="00C90461">
              <w:rPr>
                <w:i/>
                <w:iCs/>
                <w:lang w:val="es-ES_tradnl"/>
              </w:rPr>
              <w:t>campestris</w:t>
            </w:r>
            <w:proofErr w:type="spellEnd"/>
            <w:r w:rsidRPr="00C90461">
              <w:rPr>
                <w:lang w:val="es-ES_tradnl"/>
              </w:rPr>
              <w:t xml:space="preserve"> L. </w:t>
            </w:r>
            <w:proofErr w:type="spellStart"/>
            <w:r w:rsidRPr="00C90461">
              <w:rPr>
                <w:lang w:val="es-ES_tradnl"/>
              </w:rPr>
              <w:t>ssp</w:t>
            </w:r>
            <w:proofErr w:type="spellEnd"/>
            <w:r w:rsidRPr="00C90461">
              <w:rPr>
                <w:lang w:val="es-ES_tradnl"/>
              </w:rPr>
              <w:t xml:space="preserve">. </w:t>
            </w:r>
            <w:proofErr w:type="spellStart"/>
            <w:r w:rsidRPr="00C90461">
              <w:rPr>
                <w:i/>
                <w:iCs/>
                <w:lang w:val="es-ES_tradnl"/>
              </w:rPr>
              <w:t>campestris</w:t>
            </w:r>
            <w:proofErr w:type="spellEnd"/>
            <w:r w:rsidRPr="00C90461">
              <w:rPr>
                <w:i/>
                <w:iCs/>
                <w:lang w:val="es-ES_tradnl"/>
              </w:rPr>
              <w:t>,</w:t>
            </w:r>
            <w:r w:rsidRPr="00C90461">
              <w:rPr>
                <w:lang w:val="es-ES_tradnl"/>
              </w:rPr>
              <w:t xml:space="preserve"> </w:t>
            </w:r>
            <w:r w:rsidRPr="00C90461">
              <w:rPr>
                <w:i/>
                <w:iCs/>
                <w:lang w:val="es-ES_tradnl"/>
              </w:rPr>
              <w:t>Fragaria</w:t>
            </w:r>
            <w:r w:rsidRPr="00C90461">
              <w:rPr>
                <w:lang w:val="es-ES_tradnl"/>
              </w:rPr>
              <w:t xml:space="preserve"> L., </w:t>
            </w:r>
            <w:r w:rsidRPr="00C90461">
              <w:rPr>
                <w:i/>
                <w:iCs/>
                <w:lang w:val="es-ES_tradnl"/>
              </w:rPr>
              <w:t xml:space="preserve">Ribes </w:t>
            </w:r>
            <w:proofErr w:type="spellStart"/>
            <w:r w:rsidRPr="00C90461">
              <w:rPr>
                <w:i/>
                <w:iCs/>
                <w:lang w:val="es-ES_tradnl"/>
              </w:rPr>
              <w:t>rubrum</w:t>
            </w:r>
            <w:proofErr w:type="spellEnd"/>
            <w:r w:rsidRPr="00C90461">
              <w:rPr>
                <w:lang w:val="es-ES_tradnl"/>
              </w:rPr>
              <w:t xml:space="preserve"> L., </w:t>
            </w:r>
            <w:r w:rsidRPr="00C90461">
              <w:rPr>
                <w:i/>
                <w:iCs/>
                <w:lang w:val="es-ES_tradnl"/>
              </w:rPr>
              <w:t xml:space="preserve">Ribes </w:t>
            </w:r>
            <w:proofErr w:type="spellStart"/>
            <w:r w:rsidRPr="00C90461">
              <w:rPr>
                <w:i/>
                <w:iCs/>
                <w:lang w:val="es-ES_tradnl"/>
              </w:rPr>
              <w:t>nigrum</w:t>
            </w:r>
            <w:proofErr w:type="spellEnd"/>
            <w:r w:rsidRPr="00C90461">
              <w:rPr>
                <w:lang w:val="es-ES_tradnl"/>
              </w:rPr>
              <w:t xml:space="preserve"> L. </w:t>
            </w:r>
          </w:p>
        </w:tc>
      </w:tr>
      <w:tr w:rsidR="008F5DD0" w:rsidRPr="00C90461" w14:paraId="38B8C05B" w14:textId="77777777" w:rsidTr="008F5DD0">
        <w:tc>
          <w:tcPr>
            <w:tcW w:w="9251" w:type="dxa"/>
          </w:tcPr>
          <w:p w14:paraId="3454EA99" w14:textId="4BA10149" w:rsidR="008F5DD0" w:rsidRPr="00C90461" w:rsidRDefault="008F5DD0" w:rsidP="00264E69">
            <w:pPr>
              <w:spacing w:after="120" w:line="240" w:lineRule="auto"/>
              <w:jc w:val="left"/>
              <w:rPr>
                <w:rFonts w:eastAsia="Arial Unicode MS"/>
                <w:lang w:val="es-ES_tradnl"/>
              </w:rPr>
            </w:pPr>
            <w:r w:rsidRPr="00C90461">
              <w:rPr>
                <w:lang w:val="es-ES_tradnl"/>
              </w:rPr>
              <w:lastRenderedPageBreak/>
              <w:t xml:space="preserve">Estas condiciones se determinan para cada variedad por separado. No es posible establecer condiciones para todas las situaciones. </w:t>
            </w:r>
          </w:p>
        </w:tc>
      </w:tr>
      <w:tr w:rsidR="008F5DD0" w:rsidRPr="00C90461" w14:paraId="0FEB61E7" w14:textId="77777777" w:rsidTr="008F5DD0">
        <w:tc>
          <w:tcPr>
            <w:tcW w:w="9251" w:type="dxa"/>
          </w:tcPr>
          <w:p w14:paraId="22B8358F" w14:textId="77777777" w:rsidR="008F5DD0" w:rsidRPr="00C90461" w:rsidRDefault="008F5DD0" w:rsidP="00264E69">
            <w:pPr>
              <w:spacing w:after="120" w:line="240" w:lineRule="auto"/>
              <w:jc w:val="left"/>
              <w:rPr>
                <w:rFonts w:eastAsia="Arial Unicode MS"/>
                <w:lang w:val="es-ES_tradnl"/>
              </w:rPr>
            </w:pPr>
            <w:r w:rsidRPr="00C90461">
              <w:rPr>
                <w:lang w:val="es-ES_tradnl"/>
              </w:rPr>
              <w:t xml:space="preserve">El cuestionario técnico debe ser acorde al cuestionario técnico de la UPOV. </w:t>
            </w:r>
          </w:p>
        </w:tc>
      </w:tr>
      <w:tr w:rsidR="008F5DD0" w:rsidRPr="00C90461" w14:paraId="29B56839" w14:textId="77777777" w:rsidTr="008F5DD0">
        <w:tc>
          <w:tcPr>
            <w:tcW w:w="9251" w:type="dxa"/>
          </w:tcPr>
          <w:p w14:paraId="5417A22D" w14:textId="77777777" w:rsidR="008F5DD0" w:rsidRPr="00C90461" w:rsidRDefault="008F5DD0" w:rsidP="00264E69">
            <w:pPr>
              <w:spacing w:after="120" w:line="240" w:lineRule="auto"/>
              <w:jc w:val="left"/>
              <w:rPr>
                <w:rFonts w:eastAsia="Arial Unicode MS"/>
                <w:lang w:val="es-ES_tradnl"/>
              </w:rPr>
            </w:pPr>
            <w:r w:rsidRPr="00C90461">
              <w:rPr>
                <w:lang w:val="es-ES_tradnl"/>
              </w:rPr>
              <w:t xml:space="preserve">Para aceptar un examen en estas condiciones, la variedad ya debe estar protegida en el país en el que se realizó dicho examen; lo que implica que requerimos los resultados de examen directamente de la oficina que ha protegido la variedad por primera vez. </w:t>
            </w:r>
          </w:p>
        </w:tc>
      </w:tr>
      <w:tr w:rsidR="008F5DD0" w:rsidRPr="00C90461" w14:paraId="61D3A11A" w14:textId="77777777" w:rsidTr="008F5DD0">
        <w:tc>
          <w:tcPr>
            <w:tcW w:w="9251" w:type="dxa"/>
          </w:tcPr>
          <w:p w14:paraId="2F6C1E50" w14:textId="77777777" w:rsidR="008F5DD0" w:rsidRPr="00C90461" w:rsidRDefault="008F5DD0" w:rsidP="00264E69">
            <w:pPr>
              <w:spacing w:after="120" w:line="240" w:lineRule="auto"/>
              <w:jc w:val="left"/>
              <w:rPr>
                <w:rFonts w:eastAsia="Arial Unicode MS"/>
                <w:lang w:val="es-ES_tradnl"/>
              </w:rPr>
            </w:pPr>
            <w:r w:rsidRPr="00C90461">
              <w:rPr>
                <w:lang w:val="es-ES_tradnl"/>
              </w:rPr>
              <w:t xml:space="preserve">No se necesita material vegetal para cultivos que no se reproducen por semilla (es decir, que se multiplican vegetativamente). </w:t>
            </w:r>
          </w:p>
        </w:tc>
      </w:tr>
      <w:tr w:rsidR="008F5DD0" w:rsidRPr="00C90461" w14:paraId="1AD7F3D0" w14:textId="77777777" w:rsidTr="008F5DD0">
        <w:tc>
          <w:tcPr>
            <w:tcW w:w="9251" w:type="dxa"/>
          </w:tcPr>
          <w:p w14:paraId="0ED84B93" w14:textId="77777777" w:rsidR="008F5DD0" w:rsidRPr="00C90461" w:rsidRDefault="008F5DD0" w:rsidP="00264E69">
            <w:pPr>
              <w:spacing w:after="120" w:line="240" w:lineRule="auto"/>
              <w:jc w:val="left"/>
              <w:rPr>
                <w:rFonts w:eastAsia="Arial Unicode MS"/>
                <w:lang w:val="es-ES_tradnl"/>
              </w:rPr>
            </w:pPr>
            <w:r w:rsidRPr="00C90461">
              <w:rPr>
                <w:lang w:val="es-ES_tradnl"/>
              </w:rPr>
              <w:t xml:space="preserve">El Ministerio únicamente puede utilizar resultados de examen técnico (examen DHE) de variedades obtenidas en otro miembro de la UPOV. </w:t>
            </w:r>
          </w:p>
        </w:tc>
      </w:tr>
      <w:tr w:rsidR="008F5DD0" w:rsidRPr="00C90461" w14:paraId="4C7A5A64" w14:textId="77777777" w:rsidTr="008F5DD0">
        <w:tc>
          <w:tcPr>
            <w:tcW w:w="9251" w:type="dxa"/>
          </w:tcPr>
          <w:p w14:paraId="69B128E2" w14:textId="7C349FCF" w:rsidR="008F5DD0" w:rsidRPr="00C90461" w:rsidRDefault="008F5DD0" w:rsidP="00264E69">
            <w:pPr>
              <w:spacing w:after="120" w:line="240" w:lineRule="auto"/>
              <w:jc w:val="left"/>
              <w:rPr>
                <w:rFonts w:eastAsia="Arial Unicode MS"/>
                <w:lang w:val="es-ES_tradnl"/>
              </w:rPr>
            </w:pPr>
            <w:r w:rsidRPr="00C90461">
              <w:rPr>
                <w:lang w:val="es-ES_tradnl"/>
              </w:rPr>
              <w:t xml:space="preserve">No aplicable a Sudáfrica. Puede ser aplicable si y cuando otro país u organización solicite a nuestro país que realice en su nombre un examen DHE para el que se necesita material o semilla. </w:t>
            </w:r>
          </w:p>
        </w:tc>
      </w:tr>
      <w:tr w:rsidR="008F5DD0" w:rsidRPr="00C90461" w14:paraId="1BECB181" w14:textId="77777777" w:rsidTr="008F5DD0">
        <w:tc>
          <w:tcPr>
            <w:tcW w:w="9251" w:type="dxa"/>
          </w:tcPr>
          <w:p w14:paraId="0CEA8493" w14:textId="77777777" w:rsidR="008F5DD0" w:rsidRPr="00C90461" w:rsidRDefault="008F5DD0" w:rsidP="00264E69">
            <w:pPr>
              <w:spacing w:after="120" w:line="240" w:lineRule="auto"/>
              <w:jc w:val="left"/>
              <w:rPr>
                <w:rFonts w:eastAsia="Arial Unicode MS"/>
                <w:lang w:val="es-ES_tradnl"/>
              </w:rPr>
            </w:pPr>
            <w:r w:rsidRPr="00C90461">
              <w:rPr>
                <w:lang w:val="es-ES_tradnl"/>
              </w:rPr>
              <w:t xml:space="preserve">El obtentor debe presentar un documento por el que se compromete a proporcionar el material vegetal en caso de que se necesite </w:t>
            </w:r>
          </w:p>
        </w:tc>
      </w:tr>
      <w:tr w:rsidR="008F5DD0" w:rsidRPr="00C90461" w14:paraId="724572B4" w14:textId="77777777" w:rsidTr="008F5DD0">
        <w:tc>
          <w:tcPr>
            <w:tcW w:w="9251" w:type="dxa"/>
          </w:tcPr>
          <w:p w14:paraId="62625AE2" w14:textId="352B5BC8" w:rsidR="008F5DD0" w:rsidRPr="00C90461" w:rsidRDefault="008F5DD0" w:rsidP="00264E69">
            <w:pPr>
              <w:spacing w:after="120" w:line="240" w:lineRule="auto"/>
              <w:jc w:val="left"/>
              <w:rPr>
                <w:rFonts w:eastAsia="Arial Unicode MS"/>
                <w:lang w:val="es-ES_tradnl"/>
              </w:rPr>
            </w:pPr>
            <w:r w:rsidRPr="00C90461">
              <w:rPr>
                <w:lang w:val="es-ES_tradnl"/>
              </w:rPr>
              <w:t xml:space="preserve">Cuando se solicita protección para una variedad de un género o una especie vegetal de los que también se hace fitomejoramiento en nuestro país, en principio, no se aceptan informes DHE extranjeros. Pero hay margen para que nuestro país considere aceptar un informe DHE de una variedad extranjera cuando hay problemas de importación del material vegetal si, como contrapartida, el país extranjero contempla aceptar el informe DHE de una variedad de nuestro país para la que se solicita protección en el suyo cuando haya problemas de importación del correspondiente material vegetal. En este caso, para decidir si acepta el informe DHE, nuestro país debe analizar si en el examen DHE de esta variedad en concreto se han evaluado los caracteres incluidos en nuestra directriz nacional de examen basada en la directriz de examen de la UPOV para la especie, el efecto que pueda tener en la expresión de los caracteres y en la colección de referencia la diferencia en las condiciones ambientales de cultivo entre nuestro país y el lugar en que se realizaron los ensayos en cultivo del informe y el grado de desarrollo de la variedad en nuestro país. </w:t>
            </w:r>
          </w:p>
        </w:tc>
      </w:tr>
    </w:tbl>
    <w:p w14:paraId="501FC4F1" w14:textId="6DD32F82" w:rsidR="0084636C" w:rsidRPr="00C90461" w:rsidRDefault="0084636C" w:rsidP="008F5DD0">
      <w:pPr>
        <w:spacing w:after="160" w:line="259" w:lineRule="auto"/>
        <w:jc w:val="left"/>
        <w:rPr>
          <w:rFonts w:eastAsia="Arial Unicode MS" w:cs="Arial"/>
          <w:b/>
          <w:bCs/>
          <w:lang w:val="es-ES_tradnl"/>
        </w:rPr>
      </w:pPr>
      <w:bookmarkStart w:id="40" w:name="_Toc29"/>
    </w:p>
    <w:p w14:paraId="73890D60" w14:textId="77FD1A5F" w:rsidR="008F5DD0" w:rsidRPr="00C90461" w:rsidRDefault="008F5DD0" w:rsidP="008F5DD0">
      <w:pPr>
        <w:spacing w:after="160" w:line="259" w:lineRule="auto"/>
        <w:jc w:val="left"/>
        <w:rPr>
          <w:rFonts w:eastAsia="Arial Unicode MS" w:cs="Arial"/>
          <w:b/>
          <w:bCs/>
          <w:lang w:val="es-ES_tradnl"/>
        </w:rPr>
      </w:pPr>
      <w:r w:rsidRPr="00C90461">
        <w:rPr>
          <w:b/>
          <w:lang w:val="es-ES_tradnl"/>
        </w:rPr>
        <w:t>8.2. Sírvase aportar información sobre los motivos para no aceptar informes de examen DHE cuando los solicitantes no puedan presentar material vegetal por motivos fitosanitarios u otras cuestiones conexas:</w:t>
      </w:r>
      <w:bookmarkEnd w:id="40"/>
    </w:p>
    <w:tbl>
      <w:tblPr>
        <w:tblStyle w:val="table"/>
        <w:tblW w:w="9109" w:type="dxa"/>
        <w:tblInd w:w="80" w:type="dxa"/>
        <w:tblLook w:val="04A0" w:firstRow="1" w:lastRow="0" w:firstColumn="1" w:lastColumn="0" w:noHBand="0" w:noVBand="1"/>
      </w:tblPr>
      <w:tblGrid>
        <w:gridCol w:w="9109"/>
      </w:tblGrid>
      <w:tr w:rsidR="008F5DD0" w:rsidRPr="00C90461" w14:paraId="1D0B7B77" w14:textId="77777777" w:rsidTr="008F5DD0">
        <w:tc>
          <w:tcPr>
            <w:tcW w:w="9109" w:type="dxa"/>
          </w:tcPr>
          <w:p w14:paraId="6BD31CF9" w14:textId="77777777" w:rsidR="008F5DD0" w:rsidRPr="00C90461" w:rsidRDefault="008F5DD0" w:rsidP="00264E69">
            <w:pPr>
              <w:spacing w:after="120" w:line="240" w:lineRule="auto"/>
              <w:jc w:val="left"/>
              <w:rPr>
                <w:lang w:val="es-ES_tradnl"/>
              </w:rPr>
            </w:pPr>
            <w:r w:rsidRPr="00C90461">
              <w:rPr>
                <w:lang w:val="es-ES_tradnl"/>
              </w:rPr>
              <w:t xml:space="preserve">Respuesta </w:t>
            </w:r>
          </w:p>
        </w:tc>
      </w:tr>
      <w:tr w:rsidR="008F5DD0" w:rsidRPr="00C90461" w14:paraId="09957430" w14:textId="77777777" w:rsidTr="008F5DD0">
        <w:tc>
          <w:tcPr>
            <w:tcW w:w="9109" w:type="dxa"/>
          </w:tcPr>
          <w:p w14:paraId="5C8C3336" w14:textId="77777777" w:rsidR="008F5DD0" w:rsidRPr="00C90461" w:rsidRDefault="008F5DD0" w:rsidP="00264E69">
            <w:pPr>
              <w:spacing w:after="120" w:line="240" w:lineRule="auto"/>
              <w:jc w:val="left"/>
              <w:rPr>
                <w:lang w:val="es-ES_tradnl"/>
              </w:rPr>
            </w:pPr>
            <w:r w:rsidRPr="00C90461">
              <w:rPr>
                <w:lang w:val="es-ES_tradnl"/>
              </w:rPr>
              <w:t xml:space="preserve">Porque la autoridad nacional no realiza el examen DHE </w:t>
            </w:r>
          </w:p>
        </w:tc>
      </w:tr>
      <w:tr w:rsidR="008F5DD0" w:rsidRPr="00C90461" w14:paraId="50BBEDF8" w14:textId="77777777" w:rsidTr="008F5DD0">
        <w:tc>
          <w:tcPr>
            <w:tcW w:w="9109" w:type="dxa"/>
          </w:tcPr>
          <w:p w14:paraId="4597198C" w14:textId="77777777" w:rsidR="008F5DD0" w:rsidRPr="00C90461" w:rsidRDefault="008F5DD0" w:rsidP="00264E69">
            <w:pPr>
              <w:spacing w:after="120" w:line="240" w:lineRule="auto"/>
              <w:jc w:val="left"/>
              <w:rPr>
                <w:lang w:val="es-ES_tradnl"/>
              </w:rPr>
            </w:pPr>
            <w:r w:rsidRPr="00C90461">
              <w:rPr>
                <w:lang w:val="es-ES_tradnl"/>
              </w:rPr>
              <w:lastRenderedPageBreak/>
              <w:t xml:space="preserve">si no puede enviarse material, la autoridad examinadora tampoco puede hacer el examen DHE </w:t>
            </w:r>
          </w:p>
        </w:tc>
      </w:tr>
      <w:tr w:rsidR="008F5DD0" w:rsidRPr="00C90461" w14:paraId="5E22C52F" w14:textId="77777777" w:rsidTr="008F5DD0">
        <w:tc>
          <w:tcPr>
            <w:tcW w:w="9109" w:type="dxa"/>
          </w:tcPr>
          <w:p w14:paraId="54A52254" w14:textId="77777777" w:rsidR="008F5DD0" w:rsidRPr="00C90461" w:rsidRDefault="008F5DD0" w:rsidP="00264E69">
            <w:pPr>
              <w:spacing w:after="120" w:line="240" w:lineRule="auto"/>
              <w:jc w:val="left"/>
              <w:rPr>
                <w:lang w:val="es-ES_tradnl"/>
              </w:rPr>
            </w:pPr>
            <w:r w:rsidRPr="00C90461">
              <w:rPr>
                <w:lang w:val="es-ES_tradnl"/>
              </w:rPr>
              <w:t xml:space="preserve">Hay una obligación legal de facilitar material vegetal para el examen DHE oficial. Si no es posible proporcionar material vegetal en la primera temporada, debido a problemas legales o fitosanitarios, es posible conceder una postergación del examen. </w:t>
            </w:r>
          </w:p>
        </w:tc>
      </w:tr>
      <w:tr w:rsidR="008F5DD0" w:rsidRPr="00C90461" w14:paraId="767512DD" w14:textId="77777777" w:rsidTr="008F5DD0">
        <w:tc>
          <w:tcPr>
            <w:tcW w:w="9109" w:type="dxa"/>
          </w:tcPr>
          <w:p w14:paraId="76F37FA7" w14:textId="7B2C415D" w:rsidR="008F5DD0" w:rsidRPr="00C90461" w:rsidRDefault="008F5DD0" w:rsidP="00264E69">
            <w:pPr>
              <w:spacing w:after="120" w:line="240" w:lineRule="auto"/>
              <w:jc w:val="left"/>
              <w:rPr>
                <w:lang w:val="es-ES_tradnl"/>
              </w:rPr>
            </w:pPr>
            <w:r w:rsidRPr="00C90461">
              <w:rPr>
                <w:lang w:val="es-ES_tradnl"/>
              </w:rPr>
              <w:t xml:space="preserve">La ley establece que la muestra de la variedad DEBE estar en el </w:t>
            </w:r>
            <w:r w:rsidR="002A57CA" w:rsidRPr="00C90461">
              <w:rPr>
                <w:lang w:val="es-ES_tradnl"/>
              </w:rPr>
              <w:t>país</w:t>
            </w:r>
            <w:r w:rsidRPr="00C90461">
              <w:rPr>
                <w:lang w:val="es-ES_tradnl"/>
              </w:rPr>
              <w:t xml:space="preserve"> </w:t>
            </w:r>
          </w:p>
        </w:tc>
      </w:tr>
      <w:tr w:rsidR="008F5DD0" w:rsidRPr="00C90461" w14:paraId="31AC139B" w14:textId="77777777" w:rsidTr="008F5DD0">
        <w:tc>
          <w:tcPr>
            <w:tcW w:w="9109" w:type="dxa"/>
          </w:tcPr>
          <w:p w14:paraId="0461A964" w14:textId="77777777" w:rsidR="008F5DD0" w:rsidRPr="00C90461" w:rsidRDefault="008F5DD0" w:rsidP="00264E69">
            <w:pPr>
              <w:spacing w:after="120" w:line="240" w:lineRule="auto"/>
              <w:jc w:val="left"/>
              <w:rPr>
                <w:lang w:val="es-ES_tradnl"/>
              </w:rPr>
            </w:pPr>
            <w:r w:rsidRPr="00C90461">
              <w:rPr>
                <w:lang w:val="es-ES_tradnl"/>
              </w:rPr>
              <w:t xml:space="preserve">Para facilitar la protección. </w:t>
            </w:r>
          </w:p>
        </w:tc>
      </w:tr>
      <w:tr w:rsidR="008F5DD0" w:rsidRPr="00C90461" w14:paraId="08985A5E" w14:textId="77777777" w:rsidTr="008F5DD0">
        <w:tc>
          <w:tcPr>
            <w:tcW w:w="9109" w:type="dxa"/>
          </w:tcPr>
          <w:p w14:paraId="3178F694" w14:textId="77777777" w:rsidR="008F5DD0" w:rsidRPr="00C90461" w:rsidRDefault="008F5DD0" w:rsidP="00264E69">
            <w:pPr>
              <w:spacing w:after="120" w:line="240" w:lineRule="auto"/>
              <w:jc w:val="left"/>
              <w:rPr>
                <w:lang w:val="es-ES_tradnl"/>
              </w:rPr>
            </w:pPr>
            <w:r w:rsidRPr="00C90461">
              <w:rPr>
                <w:lang w:val="es-ES_tradnl"/>
              </w:rPr>
              <w:t xml:space="preserve">El examen DHE no es posible. </w:t>
            </w:r>
          </w:p>
        </w:tc>
      </w:tr>
      <w:tr w:rsidR="008F5DD0" w:rsidRPr="00C90461" w14:paraId="50E2B6F9" w14:textId="77777777" w:rsidTr="008F5DD0">
        <w:tc>
          <w:tcPr>
            <w:tcW w:w="9109" w:type="dxa"/>
          </w:tcPr>
          <w:p w14:paraId="57CF9061" w14:textId="77777777" w:rsidR="008F5DD0" w:rsidRPr="00C90461" w:rsidRDefault="008F5DD0" w:rsidP="00264E69">
            <w:pPr>
              <w:spacing w:after="120" w:line="240" w:lineRule="auto"/>
              <w:jc w:val="left"/>
              <w:rPr>
                <w:lang w:val="es-ES_tradnl"/>
              </w:rPr>
            </w:pPr>
            <w:r w:rsidRPr="00C90461">
              <w:rPr>
                <w:lang w:val="es-ES_tradnl"/>
              </w:rPr>
              <w:t xml:space="preserve">No, hasta que se resuelva el problema de los certificados sanitarios y se obtengan muestras intactas de los experimentos; y lo hace el comité competente en el sultanato </w:t>
            </w:r>
          </w:p>
        </w:tc>
      </w:tr>
      <w:tr w:rsidR="008F5DD0" w:rsidRPr="00C90461" w14:paraId="1C426DE5" w14:textId="77777777" w:rsidTr="008F5DD0">
        <w:tc>
          <w:tcPr>
            <w:tcW w:w="9109" w:type="dxa"/>
          </w:tcPr>
          <w:p w14:paraId="24925137" w14:textId="77777777" w:rsidR="008F5DD0" w:rsidRPr="00C90461" w:rsidRDefault="008F5DD0" w:rsidP="00264E69">
            <w:pPr>
              <w:spacing w:after="120" w:line="240" w:lineRule="auto"/>
              <w:jc w:val="left"/>
              <w:rPr>
                <w:lang w:val="es-ES_tradnl"/>
              </w:rPr>
            </w:pPr>
            <w:r w:rsidRPr="00C90461">
              <w:rPr>
                <w:lang w:val="es-ES_tradnl"/>
              </w:rPr>
              <w:t xml:space="preserve">El solicitante está obligado a poner a disposición de la NÉBIH el material de reproducción o de multiplicación necesario para examinar las variedades candidatas, sin cargo, en el momento y el lugar que la NÉBIH especifique; si se trata de una variedad que proviene de un tercer país, tras pasar las aduanas. </w:t>
            </w:r>
          </w:p>
        </w:tc>
      </w:tr>
      <w:tr w:rsidR="008F5DD0" w:rsidRPr="00C90461" w14:paraId="04A14D38" w14:textId="77777777" w:rsidTr="008F5DD0">
        <w:tc>
          <w:tcPr>
            <w:tcW w:w="9109" w:type="dxa"/>
          </w:tcPr>
          <w:p w14:paraId="3B7EA589" w14:textId="77777777" w:rsidR="008F5DD0" w:rsidRPr="00C90461" w:rsidRDefault="008F5DD0" w:rsidP="00264E69">
            <w:pPr>
              <w:spacing w:after="120" w:line="240" w:lineRule="auto"/>
              <w:jc w:val="left"/>
              <w:rPr>
                <w:lang w:val="es-ES_tradnl"/>
              </w:rPr>
            </w:pPr>
            <w:r w:rsidRPr="00C90461">
              <w:rPr>
                <w:lang w:val="es-ES_tradnl"/>
              </w:rPr>
              <w:t xml:space="preserve">el solicitante debe presentar material vegetal adecuado </w:t>
            </w:r>
          </w:p>
        </w:tc>
      </w:tr>
      <w:tr w:rsidR="008F5DD0" w:rsidRPr="00C90461" w14:paraId="3D11CD3B" w14:textId="77777777" w:rsidTr="008F5DD0">
        <w:tc>
          <w:tcPr>
            <w:tcW w:w="9109" w:type="dxa"/>
          </w:tcPr>
          <w:p w14:paraId="3B1C05A8" w14:textId="77777777" w:rsidR="008F5DD0" w:rsidRPr="00C90461" w:rsidRDefault="008F5DD0" w:rsidP="00264E69">
            <w:pPr>
              <w:spacing w:after="120" w:line="240" w:lineRule="auto"/>
              <w:jc w:val="left"/>
              <w:rPr>
                <w:lang w:val="es-ES_tradnl"/>
              </w:rPr>
            </w:pPr>
            <w:r w:rsidRPr="00C90461">
              <w:rPr>
                <w:lang w:val="es-ES_tradnl"/>
              </w:rPr>
              <w:t xml:space="preserve">Conforme al artículo 8 del reglamento fitosanitario 2016/2031 de la Unión Europea, es posible importar material vegetal para exámenes oficiales, fines científicos o educativos, ensayos, selección varietal o fitomejoramiento. Se necesita la autorización de un centro de cuarentena, pero es posible presentar material vegetal. </w:t>
            </w:r>
          </w:p>
        </w:tc>
      </w:tr>
      <w:tr w:rsidR="008F5DD0" w:rsidRPr="00C90461" w14:paraId="3488F17E" w14:textId="77777777" w:rsidTr="008F5DD0">
        <w:tc>
          <w:tcPr>
            <w:tcW w:w="9109" w:type="dxa"/>
          </w:tcPr>
          <w:p w14:paraId="6EFB2A0C" w14:textId="51EC9E7D" w:rsidR="008F5DD0" w:rsidRPr="00C90461" w:rsidRDefault="008F5DD0" w:rsidP="00264E69">
            <w:pPr>
              <w:spacing w:after="120" w:line="240" w:lineRule="auto"/>
              <w:jc w:val="left"/>
              <w:rPr>
                <w:lang w:val="es-ES_tradnl"/>
              </w:rPr>
            </w:pPr>
            <w:r w:rsidRPr="00C90461">
              <w:rPr>
                <w:lang w:val="es-ES_tradnl"/>
              </w:rPr>
              <w:t xml:space="preserve">Cuestión jurídica. </w:t>
            </w:r>
          </w:p>
        </w:tc>
      </w:tr>
      <w:tr w:rsidR="008F5DD0" w:rsidRPr="00C90461" w14:paraId="4FEBAE3B" w14:textId="77777777" w:rsidTr="008F5DD0">
        <w:tc>
          <w:tcPr>
            <w:tcW w:w="9109" w:type="dxa"/>
          </w:tcPr>
          <w:p w14:paraId="04A52E3E" w14:textId="0D2F6000" w:rsidR="008F5DD0" w:rsidRPr="00C90461" w:rsidRDefault="008F5DD0" w:rsidP="00264E69">
            <w:pPr>
              <w:spacing w:after="120" w:line="240" w:lineRule="auto"/>
              <w:jc w:val="left"/>
              <w:rPr>
                <w:lang w:val="es-ES_tradnl"/>
              </w:rPr>
            </w:pPr>
            <w:r w:rsidRPr="00C90461">
              <w:rPr>
                <w:lang w:val="es-ES_tradnl"/>
              </w:rPr>
              <w:t xml:space="preserve">Todavía no es aplicable. </w:t>
            </w:r>
          </w:p>
        </w:tc>
      </w:tr>
      <w:tr w:rsidR="008F5DD0" w:rsidRPr="00C90461" w14:paraId="3A9B074B" w14:textId="77777777" w:rsidTr="008F5DD0">
        <w:tc>
          <w:tcPr>
            <w:tcW w:w="9109" w:type="dxa"/>
          </w:tcPr>
          <w:p w14:paraId="1F87DFA2" w14:textId="460CF93C" w:rsidR="008F5DD0" w:rsidRPr="00C90461" w:rsidRDefault="008F5DD0" w:rsidP="00264E69">
            <w:pPr>
              <w:spacing w:after="120" w:line="240" w:lineRule="auto"/>
              <w:jc w:val="left"/>
              <w:rPr>
                <w:lang w:val="es-ES_tradnl"/>
              </w:rPr>
            </w:pPr>
            <w:r w:rsidRPr="00C90461">
              <w:rPr>
                <w:lang w:val="es-ES_tradnl"/>
              </w:rPr>
              <w:t xml:space="preserve">Para realizar un examen DHE, debe facilitarse material vegetal adecuado (material en estado fitosanitario satisfactorio). </w:t>
            </w:r>
          </w:p>
        </w:tc>
      </w:tr>
      <w:tr w:rsidR="008F5DD0" w:rsidRPr="00C90461" w14:paraId="36CD7B49" w14:textId="77777777" w:rsidTr="008F5DD0">
        <w:tc>
          <w:tcPr>
            <w:tcW w:w="9109" w:type="dxa"/>
          </w:tcPr>
          <w:p w14:paraId="68739FFC" w14:textId="7D779FF4" w:rsidR="008F5DD0" w:rsidRPr="00C90461" w:rsidRDefault="008F5DD0" w:rsidP="00264E69">
            <w:pPr>
              <w:spacing w:after="120" w:line="240" w:lineRule="auto"/>
              <w:jc w:val="left"/>
              <w:rPr>
                <w:lang w:val="es-ES_tradnl"/>
              </w:rPr>
            </w:pPr>
            <w:r w:rsidRPr="00C90461">
              <w:rPr>
                <w:lang w:val="es-ES_tradnl"/>
              </w:rPr>
              <w:t xml:space="preserve">Las limitaciones relativas al material vegetal para el examen DHE no son, de por sí, una justificación para aceptar un informe DHE. </w:t>
            </w:r>
          </w:p>
        </w:tc>
      </w:tr>
      <w:tr w:rsidR="008F5DD0" w:rsidRPr="00C90461" w14:paraId="7AD9D059" w14:textId="77777777" w:rsidTr="008F5DD0">
        <w:tc>
          <w:tcPr>
            <w:tcW w:w="9109" w:type="dxa"/>
          </w:tcPr>
          <w:p w14:paraId="03FF7936" w14:textId="590E237B" w:rsidR="008F5DD0" w:rsidRPr="00C90461" w:rsidRDefault="008F5DD0" w:rsidP="00264E69">
            <w:pPr>
              <w:spacing w:after="120" w:line="240" w:lineRule="auto"/>
              <w:jc w:val="left"/>
              <w:rPr>
                <w:lang w:val="es-ES_tradnl"/>
              </w:rPr>
            </w:pPr>
            <w:r w:rsidRPr="00C90461">
              <w:rPr>
                <w:lang w:val="es-ES_tradnl"/>
              </w:rPr>
              <w:t xml:space="preserve">por el momento, no aceptamos informes DHE </w:t>
            </w:r>
          </w:p>
        </w:tc>
      </w:tr>
      <w:tr w:rsidR="008F5DD0" w:rsidRPr="00C90461" w14:paraId="5135DA11" w14:textId="77777777" w:rsidTr="008F5DD0">
        <w:tc>
          <w:tcPr>
            <w:tcW w:w="9109" w:type="dxa"/>
          </w:tcPr>
          <w:p w14:paraId="111AEE54" w14:textId="77777777" w:rsidR="008F5DD0" w:rsidRPr="00C90461" w:rsidRDefault="008F5DD0" w:rsidP="00264E69">
            <w:pPr>
              <w:spacing w:after="120" w:line="240" w:lineRule="auto"/>
              <w:jc w:val="left"/>
              <w:rPr>
                <w:lang w:val="es-ES_tradnl"/>
              </w:rPr>
            </w:pPr>
            <w:r w:rsidRPr="00C90461">
              <w:rPr>
                <w:lang w:val="es-ES_tradnl"/>
              </w:rPr>
              <w:t xml:space="preserve">CONFORME A NUESTROS REGLAMENTOS, NO ES POSIBLE INTRODUCIR SEMILLAS O MATERIAL VEGETAL SIN EL PERMISO DE LA AUTORIDAD COMPETENTE. </w:t>
            </w:r>
          </w:p>
        </w:tc>
      </w:tr>
      <w:tr w:rsidR="008F5DD0" w:rsidRPr="00C90461" w14:paraId="6400C341" w14:textId="77777777" w:rsidTr="008F5DD0">
        <w:tc>
          <w:tcPr>
            <w:tcW w:w="9109" w:type="dxa"/>
          </w:tcPr>
          <w:p w14:paraId="19FB97F1" w14:textId="77777777" w:rsidR="008F5DD0" w:rsidRPr="00C90461" w:rsidRDefault="008F5DD0" w:rsidP="00264E69">
            <w:pPr>
              <w:spacing w:after="120" w:line="240" w:lineRule="auto"/>
              <w:jc w:val="left"/>
              <w:rPr>
                <w:lang w:val="es-ES_tradnl"/>
              </w:rPr>
            </w:pPr>
            <w:r w:rsidRPr="00C90461">
              <w:rPr>
                <w:lang w:val="es-ES_tradnl"/>
              </w:rPr>
              <w:t xml:space="preserve">No se permite introducir material con problemas fitosanitarios en el país. </w:t>
            </w:r>
          </w:p>
        </w:tc>
      </w:tr>
      <w:tr w:rsidR="008F5DD0" w:rsidRPr="00C90461" w14:paraId="5EDA0379" w14:textId="77777777" w:rsidTr="008F5DD0">
        <w:tc>
          <w:tcPr>
            <w:tcW w:w="9109" w:type="dxa"/>
          </w:tcPr>
          <w:p w14:paraId="0C4F7221" w14:textId="77777777" w:rsidR="008F5DD0" w:rsidRPr="00C90461" w:rsidRDefault="008F5DD0" w:rsidP="00264E69">
            <w:pPr>
              <w:spacing w:after="120" w:line="240" w:lineRule="auto"/>
              <w:jc w:val="left"/>
              <w:rPr>
                <w:lang w:val="es-ES_tradnl"/>
              </w:rPr>
            </w:pPr>
            <w:r w:rsidRPr="00C90461">
              <w:rPr>
                <w:lang w:val="es-ES_tradnl"/>
              </w:rPr>
              <w:t xml:space="preserve">El suministro de material vegetal es responsabilidad exclusiva del solicitante </w:t>
            </w:r>
          </w:p>
        </w:tc>
      </w:tr>
      <w:tr w:rsidR="008F5DD0" w:rsidRPr="00C90461" w14:paraId="3D3C5DCD" w14:textId="77777777" w:rsidTr="008F5DD0">
        <w:tc>
          <w:tcPr>
            <w:tcW w:w="9109" w:type="dxa"/>
          </w:tcPr>
          <w:p w14:paraId="6CC42E98" w14:textId="77777777" w:rsidR="008F5DD0" w:rsidRPr="00C90461" w:rsidRDefault="008F5DD0" w:rsidP="00264E69">
            <w:pPr>
              <w:spacing w:after="120" w:line="240" w:lineRule="auto"/>
              <w:jc w:val="left"/>
              <w:rPr>
                <w:lang w:val="es-ES_tradnl"/>
              </w:rPr>
            </w:pPr>
            <w:r w:rsidRPr="00C90461">
              <w:rPr>
                <w:lang w:val="es-ES_tradnl"/>
              </w:rPr>
              <w:t xml:space="preserve">el instituto de Investigación Agropecuaria de Panamá es el encargado de la solicitud para la realización del DHE </w:t>
            </w:r>
          </w:p>
        </w:tc>
      </w:tr>
      <w:tr w:rsidR="008F5DD0" w:rsidRPr="00C90461" w14:paraId="7A7014AE" w14:textId="77777777" w:rsidTr="008F5DD0">
        <w:tc>
          <w:tcPr>
            <w:tcW w:w="9109" w:type="dxa"/>
          </w:tcPr>
          <w:p w14:paraId="4FE7608E" w14:textId="173A9A05" w:rsidR="008F5DD0" w:rsidRPr="00C90461" w:rsidRDefault="008F5DD0" w:rsidP="00264E69">
            <w:pPr>
              <w:spacing w:after="120" w:line="240" w:lineRule="auto"/>
              <w:jc w:val="left"/>
              <w:rPr>
                <w:lang w:val="es-ES_tradnl"/>
              </w:rPr>
            </w:pPr>
            <w:r w:rsidRPr="00C90461">
              <w:rPr>
                <w:lang w:val="es-ES_tradnl"/>
              </w:rPr>
              <w:t xml:space="preserve">la variedad debe estar exenta de plagas o enfermedades, como en todos los países. </w:t>
            </w:r>
          </w:p>
        </w:tc>
      </w:tr>
      <w:tr w:rsidR="008F5DD0" w:rsidRPr="00C90461" w14:paraId="0ED6726F" w14:textId="77777777" w:rsidTr="008F5DD0">
        <w:tc>
          <w:tcPr>
            <w:tcW w:w="9109" w:type="dxa"/>
          </w:tcPr>
          <w:p w14:paraId="38D64309" w14:textId="77777777" w:rsidR="008F5DD0" w:rsidRPr="00C90461" w:rsidRDefault="008F5DD0" w:rsidP="00264E69">
            <w:pPr>
              <w:spacing w:after="120" w:line="240" w:lineRule="auto"/>
              <w:jc w:val="left"/>
              <w:rPr>
                <w:lang w:val="es-ES_tradnl"/>
              </w:rPr>
            </w:pPr>
            <w:r w:rsidRPr="00C90461">
              <w:rPr>
                <w:lang w:val="es-ES_tradnl"/>
              </w:rPr>
              <w:t xml:space="preserve">Aceptamos informes de examen DHE cuando se presentan bajo la responsabilidad de una autoridad competente de un país miembro de la UPOV. </w:t>
            </w:r>
          </w:p>
        </w:tc>
      </w:tr>
    </w:tbl>
    <w:p w14:paraId="5836F368" w14:textId="42BC14C0" w:rsidR="008F5DD0" w:rsidRPr="00C90461" w:rsidRDefault="008F5DD0" w:rsidP="00264E69">
      <w:pPr>
        <w:spacing w:before="360" w:after="160" w:line="259" w:lineRule="auto"/>
        <w:rPr>
          <w:rFonts w:eastAsia="Arial Unicode MS" w:cs="Arial"/>
          <w:b/>
          <w:bCs/>
          <w:spacing w:val="-4"/>
          <w:lang w:val="es-ES_tradnl"/>
        </w:rPr>
      </w:pPr>
      <w:bookmarkStart w:id="41" w:name="_Toc30"/>
      <w:r w:rsidRPr="00C90461">
        <w:rPr>
          <w:b/>
          <w:lang w:val="es-ES_tradnl"/>
        </w:rPr>
        <w:lastRenderedPageBreak/>
        <w:t>8.3. Indique si las condiciones para aceptar o el rechazo de informes de examen DHE cuando los solicitantes no puedan presentar material vegetal por motivos fitosanitarios u otras cuestiones conexas se encuentran entre los especificados a continuación:</w:t>
      </w:r>
      <w:bookmarkEnd w:id="41"/>
    </w:p>
    <w:p w14:paraId="4F24CE12" w14:textId="77777777" w:rsidR="008F5DD0" w:rsidRPr="00C90461" w:rsidRDefault="008F5DD0" w:rsidP="00FB3A3A">
      <w:pPr>
        <w:spacing w:after="120"/>
        <w:jc w:val="left"/>
        <w:rPr>
          <w:rFonts w:eastAsia="Arial" w:cs="Arial"/>
          <w:sz w:val="12"/>
          <w:szCs w:val="12"/>
          <w:lang w:val="es-ES_tradnl"/>
        </w:rPr>
      </w:pPr>
      <w:r w:rsidRPr="00C90461">
        <w:rPr>
          <w:lang w:val="es-ES_tradnl" w:eastAsia="es-ES"/>
        </w:rPr>
        <w:drawing>
          <wp:inline distT="0" distB="0" distL="0" distR="0" wp14:anchorId="1FCACE6C" wp14:editId="425DB5F0">
            <wp:extent cx="5499735" cy="1903228"/>
            <wp:effectExtent l="0" t="0" r="5715" b="1905"/>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bl>
      <w:tblPr>
        <w:tblStyle w:val="table"/>
        <w:tblW w:w="0" w:type="auto"/>
        <w:tblInd w:w="80" w:type="dxa"/>
        <w:tblLook w:val="04A0" w:firstRow="1" w:lastRow="0" w:firstColumn="1" w:lastColumn="0" w:noHBand="0" w:noVBand="1"/>
      </w:tblPr>
      <w:tblGrid>
        <w:gridCol w:w="3120"/>
        <w:gridCol w:w="3120"/>
        <w:gridCol w:w="3120"/>
      </w:tblGrid>
      <w:tr w:rsidR="008F5DD0" w:rsidRPr="00C90461" w14:paraId="28CEB201" w14:textId="77777777" w:rsidTr="000759D0">
        <w:tc>
          <w:tcPr>
            <w:tcW w:w="3120" w:type="dxa"/>
          </w:tcPr>
          <w:p w14:paraId="52027AF4" w14:textId="77777777" w:rsidR="008F5DD0" w:rsidRPr="00C90461" w:rsidRDefault="008F5DD0" w:rsidP="00264E69">
            <w:pPr>
              <w:spacing w:after="120" w:line="240" w:lineRule="auto"/>
              <w:jc w:val="left"/>
              <w:rPr>
                <w:lang w:val="es-ES_tradnl"/>
              </w:rPr>
            </w:pPr>
            <w:r w:rsidRPr="00C90461">
              <w:rPr>
                <w:lang w:val="es-ES_tradnl"/>
              </w:rPr>
              <w:t xml:space="preserve">Valor </w:t>
            </w:r>
          </w:p>
        </w:tc>
        <w:tc>
          <w:tcPr>
            <w:tcW w:w="3120" w:type="dxa"/>
          </w:tcPr>
          <w:p w14:paraId="4433CA7E" w14:textId="77777777" w:rsidR="008F5DD0" w:rsidRPr="00C90461" w:rsidRDefault="008F5DD0" w:rsidP="00264E69">
            <w:pPr>
              <w:spacing w:after="120" w:line="240" w:lineRule="auto"/>
              <w:jc w:val="left"/>
              <w:rPr>
                <w:lang w:val="es-ES_tradnl"/>
              </w:rPr>
            </w:pPr>
            <w:r w:rsidRPr="00C90461">
              <w:rPr>
                <w:lang w:val="es-ES_tradnl"/>
              </w:rPr>
              <w:t xml:space="preserve">Porcentaje </w:t>
            </w:r>
          </w:p>
        </w:tc>
        <w:tc>
          <w:tcPr>
            <w:tcW w:w="3120" w:type="dxa"/>
          </w:tcPr>
          <w:p w14:paraId="11EC142D" w14:textId="77777777" w:rsidR="008F5DD0" w:rsidRPr="00C90461" w:rsidRDefault="008F5DD0" w:rsidP="00264E69">
            <w:pPr>
              <w:spacing w:after="120" w:line="240" w:lineRule="auto"/>
              <w:jc w:val="left"/>
              <w:rPr>
                <w:lang w:val="es-ES_tradnl"/>
              </w:rPr>
            </w:pPr>
            <w:r w:rsidRPr="00C90461">
              <w:rPr>
                <w:lang w:val="es-ES_tradnl"/>
              </w:rPr>
              <w:t xml:space="preserve">Número </w:t>
            </w:r>
          </w:p>
        </w:tc>
      </w:tr>
      <w:tr w:rsidR="008F5DD0" w:rsidRPr="00C90461" w14:paraId="3613BD24" w14:textId="77777777" w:rsidTr="000759D0">
        <w:tc>
          <w:tcPr>
            <w:tcW w:w="3120" w:type="dxa"/>
          </w:tcPr>
          <w:p w14:paraId="1C8F97EC" w14:textId="77777777" w:rsidR="008F5DD0" w:rsidRPr="00C90461" w:rsidRDefault="008F5DD0" w:rsidP="00264E69">
            <w:pPr>
              <w:spacing w:after="120" w:line="240" w:lineRule="auto"/>
              <w:jc w:val="left"/>
              <w:rPr>
                <w:lang w:val="es-ES_tradnl"/>
              </w:rPr>
            </w:pPr>
            <w:r w:rsidRPr="00C90461">
              <w:rPr>
                <w:lang w:val="es-ES_tradnl"/>
              </w:rPr>
              <w:t xml:space="preserve">a. la legislación </w:t>
            </w:r>
          </w:p>
        </w:tc>
        <w:tc>
          <w:tcPr>
            <w:tcW w:w="3120" w:type="dxa"/>
          </w:tcPr>
          <w:p w14:paraId="4BC3FE1E" w14:textId="77777777" w:rsidR="008F5DD0" w:rsidRPr="00C90461" w:rsidRDefault="008F5DD0" w:rsidP="00264E69">
            <w:pPr>
              <w:spacing w:after="120" w:line="240" w:lineRule="auto"/>
              <w:jc w:val="left"/>
              <w:rPr>
                <w:lang w:val="es-ES_tradnl"/>
              </w:rPr>
            </w:pPr>
            <w:r w:rsidRPr="00C90461">
              <w:rPr>
                <w:lang w:val="es-ES_tradnl"/>
              </w:rPr>
              <w:t xml:space="preserve">33 % </w:t>
            </w:r>
          </w:p>
        </w:tc>
        <w:tc>
          <w:tcPr>
            <w:tcW w:w="3120" w:type="dxa"/>
          </w:tcPr>
          <w:p w14:paraId="38F8A662" w14:textId="77777777" w:rsidR="008F5DD0" w:rsidRPr="00C90461" w:rsidRDefault="008F5DD0" w:rsidP="00264E69">
            <w:pPr>
              <w:spacing w:after="120" w:line="240" w:lineRule="auto"/>
              <w:jc w:val="left"/>
              <w:rPr>
                <w:lang w:val="es-ES_tradnl"/>
              </w:rPr>
            </w:pPr>
            <w:r w:rsidRPr="00C90461">
              <w:rPr>
                <w:lang w:val="es-ES_tradnl"/>
              </w:rPr>
              <w:t xml:space="preserve">11 </w:t>
            </w:r>
          </w:p>
        </w:tc>
      </w:tr>
      <w:tr w:rsidR="008F5DD0" w:rsidRPr="00C90461" w14:paraId="6A4E5E6F" w14:textId="77777777" w:rsidTr="000759D0">
        <w:tc>
          <w:tcPr>
            <w:tcW w:w="3120" w:type="dxa"/>
          </w:tcPr>
          <w:p w14:paraId="2E4BE91E" w14:textId="77777777" w:rsidR="008F5DD0" w:rsidRPr="00C90461" w:rsidRDefault="008F5DD0" w:rsidP="00264E69">
            <w:pPr>
              <w:spacing w:after="120" w:line="240" w:lineRule="auto"/>
              <w:jc w:val="left"/>
              <w:rPr>
                <w:lang w:val="es-ES_tradnl"/>
              </w:rPr>
            </w:pPr>
            <w:r w:rsidRPr="00C90461">
              <w:rPr>
                <w:lang w:val="es-ES_tradnl"/>
              </w:rPr>
              <w:t xml:space="preserve">b. los reglamentos </w:t>
            </w:r>
          </w:p>
        </w:tc>
        <w:tc>
          <w:tcPr>
            <w:tcW w:w="3120" w:type="dxa"/>
          </w:tcPr>
          <w:p w14:paraId="313AF1FA" w14:textId="77777777" w:rsidR="008F5DD0" w:rsidRPr="00C90461" w:rsidRDefault="008F5DD0" w:rsidP="00264E69">
            <w:pPr>
              <w:spacing w:after="120" w:line="240" w:lineRule="auto"/>
              <w:jc w:val="left"/>
              <w:rPr>
                <w:lang w:val="es-ES_tradnl"/>
              </w:rPr>
            </w:pPr>
            <w:r w:rsidRPr="00C90461">
              <w:rPr>
                <w:lang w:val="es-ES_tradnl"/>
              </w:rPr>
              <w:t xml:space="preserve">52 % </w:t>
            </w:r>
          </w:p>
        </w:tc>
        <w:tc>
          <w:tcPr>
            <w:tcW w:w="3120" w:type="dxa"/>
          </w:tcPr>
          <w:p w14:paraId="3D61C1A3" w14:textId="77777777" w:rsidR="008F5DD0" w:rsidRPr="00C90461" w:rsidRDefault="008F5DD0" w:rsidP="00264E69">
            <w:pPr>
              <w:spacing w:after="120" w:line="240" w:lineRule="auto"/>
              <w:jc w:val="left"/>
              <w:rPr>
                <w:lang w:val="es-ES_tradnl"/>
              </w:rPr>
            </w:pPr>
            <w:r w:rsidRPr="00C90461">
              <w:rPr>
                <w:lang w:val="es-ES_tradnl"/>
              </w:rPr>
              <w:t xml:space="preserve">17 </w:t>
            </w:r>
          </w:p>
        </w:tc>
      </w:tr>
      <w:tr w:rsidR="008F5DD0" w:rsidRPr="00C90461" w14:paraId="5C368774" w14:textId="77777777" w:rsidTr="000759D0">
        <w:tc>
          <w:tcPr>
            <w:tcW w:w="3120" w:type="dxa"/>
          </w:tcPr>
          <w:p w14:paraId="5B89A875" w14:textId="77777777" w:rsidR="008F5DD0" w:rsidRPr="00C90461" w:rsidRDefault="008F5DD0" w:rsidP="00264E69">
            <w:pPr>
              <w:spacing w:after="120" w:line="240" w:lineRule="auto"/>
              <w:jc w:val="left"/>
              <w:rPr>
                <w:lang w:val="es-ES_tradnl"/>
              </w:rPr>
            </w:pPr>
            <w:r w:rsidRPr="00C90461">
              <w:rPr>
                <w:lang w:val="es-ES_tradnl"/>
              </w:rPr>
              <w:t xml:space="preserve">c. los procedimientos administrativos </w:t>
            </w:r>
          </w:p>
        </w:tc>
        <w:tc>
          <w:tcPr>
            <w:tcW w:w="3120" w:type="dxa"/>
          </w:tcPr>
          <w:p w14:paraId="4B106C11" w14:textId="77777777" w:rsidR="008F5DD0" w:rsidRPr="00C90461" w:rsidRDefault="008F5DD0" w:rsidP="00264E69">
            <w:pPr>
              <w:spacing w:after="120" w:line="240" w:lineRule="auto"/>
              <w:jc w:val="left"/>
              <w:rPr>
                <w:lang w:val="es-ES_tradnl"/>
              </w:rPr>
            </w:pPr>
            <w:r w:rsidRPr="00C90461">
              <w:rPr>
                <w:lang w:val="es-ES_tradnl"/>
              </w:rPr>
              <w:t xml:space="preserve">27 % </w:t>
            </w:r>
          </w:p>
        </w:tc>
        <w:tc>
          <w:tcPr>
            <w:tcW w:w="3120" w:type="dxa"/>
          </w:tcPr>
          <w:p w14:paraId="500EA0AA" w14:textId="77777777" w:rsidR="008F5DD0" w:rsidRPr="00C90461" w:rsidRDefault="008F5DD0" w:rsidP="00264E69">
            <w:pPr>
              <w:spacing w:after="120" w:line="240" w:lineRule="auto"/>
              <w:jc w:val="left"/>
              <w:rPr>
                <w:lang w:val="es-ES_tradnl"/>
              </w:rPr>
            </w:pPr>
            <w:r w:rsidRPr="00C90461">
              <w:rPr>
                <w:lang w:val="es-ES_tradnl"/>
              </w:rPr>
              <w:t xml:space="preserve">9 </w:t>
            </w:r>
          </w:p>
        </w:tc>
      </w:tr>
      <w:tr w:rsidR="008F5DD0" w:rsidRPr="00C90461" w14:paraId="456A2E64" w14:textId="77777777" w:rsidTr="000759D0">
        <w:tc>
          <w:tcPr>
            <w:tcW w:w="3120" w:type="dxa"/>
          </w:tcPr>
          <w:p w14:paraId="32F743FC" w14:textId="77777777" w:rsidR="008F5DD0" w:rsidRPr="00C90461" w:rsidRDefault="008F5DD0" w:rsidP="00264E69">
            <w:pPr>
              <w:spacing w:after="120" w:line="240" w:lineRule="auto"/>
              <w:jc w:val="left"/>
              <w:rPr>
                <w:lang w:val="es-ES_tradnl"/>
              </w:rPr>
            </w:pPr>
            <w:r w:rsidRPr="00C90461">
              <w:rPr>
                <w:lang w:val="es-ES_tradnl"/>
              </w:rPr>
              <w:t xml:space="preserve">d. otro </w:t>
            </w:r>
          </w:p>
        </w:tc>
        <w:tc>
          <w:tcPr>
            <w:tcW w:w="3120" w:type="dxa"/>
          </w:tcPr>
          <w:p w14:paraId="52F7E207" w14:textId="77777777" w:rsidR="008F5DD0" w:rsidRPr="00C90461" w:rsidRDefault="008F5DD0" w:rsidP="00264E69">
            <w:pPr>
              <w:spacing w:after="120" w:line="240" w:lineRule="auto"/>
              <w:jc w:val="left"/>
              <w:rPr>
                <w:lang w:val="es-ES_tradnl"/>
              </w:rPr>
            </w:pPr>
            <w:r w:rsidRPr="00C90461">
              <w:rPr>
                <w:lang w:val="es-ES_tradnl"/>
              </w:rPr>
              <w:t xml:space="preserve">21 % </w:t>
            </w:r>
          </w:p>
        </w:tc>
        <w:tc>
          <w:tcPr>
            <w:tcW w:w="3120" w:type="dxa"/>
          </w:tcPr>
          <w:p w14:paraId="0AA70B53" w14:textId="77777777" w:rsidR="008F5DD0" w:rsidRPr="00C90461" w:rsidRDefault="008F5DD0" w:rsidP="00264E69">
            <w:pPr>
              <w:spacing w:after="120" w:line="240" w:lineRule="auto"/>
              <w:jc w:val="left"/>
              <w:rPr>
                <w:lang w:val="es-ES_tradnl"/>
              </w:rPr>
            </w:pPr>
            <w:r w:rsidRPr="00C90461">
              <w:rPr>
                <w:lang w:val="es-ES_tradnl"/>
              </w:rPr>
              <w:t xml:space="preserve">7 </w:t>
            </w:r>
          </w:p>
        </w:tc>
      </w:tr>
    </w:tbl>
    <w:p w14:paraId="158297DC" w14:textId="77777777" w:rsidR="008F5DD0" w:rsidRPr="00C90461" w:rsidRDefault="008F5DD0" w:rsidP="00FB3A3A">
      <w:pPr>
        <w:spacing w:after="120"/>
        <w:jc w:val="left"/>
        <w:rPr>
          <w:rFonts w:eastAsia="Arial" w:cs="Arial"/>
          <w:sz w:val="12"/>
          <w:szCs w:val="12"/>
          <w:lang w:val="es-ES_tradnl"/>
        </w:rPr>
      </w:pPr>
    </w:p>
    <w:tbl>
      <w:tblPr>
        <w:tblStyle w:val="table"/>
        <w:tblW w:w="0" w:type="auto"/>
        <w:tblInd w:w="965" w:type="dxa"/>
        <w:tblLook w:val="04A0" w:firstRow="1" w:lastRow="0" w:firstColumn="1" w:lastColumn="0" w:noHBand="0" w:noVBand="1"/>
      </w:tblPr>
      <w:tblGrid>
        <w:gridCol w:w="5400"/>
        <w:gridCol w:w="2966"/>
      </w:tblGrid>
      <w:tr w:rsidR="008F5DD0" w:rsidRPr="00C90461" w14:paraId="4D2D7012" w14:textId="77777777" w:rsidTr="00264E69">
        <w:tc>
          <w:tcPr>
            <w:tcW w:w="5400" w:type="dxa"/>
          </w:tcPr>
          <w:p w14:paraId="4E088B1E" w14:textId="77777777" w:rsidR="008F5DD0" w:rsidRPr="00C90461" w:rsidRDefault="008F5DD0" w:rsidP="00264E69">
            <w:pPr>
              <w:spacing w:after="120" w:line="240" w:lineRule="auto"/>
              <w:jc w:val="left"/>
              <w:rPr>
                <w:lang w:val="es-ES_tradnl"/>
              </w:rPr>
            </w:pPr>
            <w:r w:rsidRPr="00C90461">
              <w:rPr>
                <w:lang w:val="es-ES_tradnl"/>
              </w:rPr>
              <w:t xml:space="preserve">d. otro </w:t>
            </w:r>
          </w:p>
        </w:tc>
        <w:tc>
          <w:tcPr>
            <w:tcW w:w="2966" w:type="dxa"/>
          </w:tcPr>
          <w:p w14:paraId="38CDE094" w14:textId="77777777" w:rsidR="008F5DD0" w:rsidRPr="00C90461" w:rsidRDefault="008F5DD0" w:rsidP="00264E69">
            <w:pPr>
              <w:spacing w:after="120" w:line="240" w:lineRule="auto"/>
              <w:jc w:val="left"/>
              <w:rPr>
                <w:lang w:val="es-ES_tradnl"/>
              </w:rPr>
            </w:pPr>
            <w:r w:rsidRPr="00C90461">
              <w:rPr>
                <w:lang w:val="es-ES_tradnl"/>
              </w:rPr>
              <w:t xml:space="preserve">Número </w:t>
            </w:r>
          </w:p>
        </w:tc>
      </w:tr>
      <w:tr w:rsidR="008F5DD0" w:rsidRPr="00C90461" w14:paraId="6E71C08A" w14:textId="77777777" w:rsidTr="00264E69">
        <w:tc>
          <w:tcPr>
            <w:tcW w:w="5400" w:type="dxa"/>
          </w:tcPr>
          <w:p w14:paraId="6331485D" w14:textId="77777777" w:rsidR="008F5DD0" w:rsidRPr="00C90461" w:rsidRDefault="008F5DD0" w:rsidP="00264E69">
            <w:pPr>
              <w:spacing w:after="120" w:line="240" w:lineRule="auto"/>
              <w:jc w:val="left"/>
              <w:rPr>
                <w:lang w:val="es-ES_tradnl"/>
              </w:rPr>
            </w:pPr>
            <w:r w:rsidRPr="00C90461">
              <w:rPr>
                <w:lang w:val="es-ES_tradnl"/>
              </w:rPr>
              <w:t xml:space="preserve">NA </w:t>
            </w:r>
          </w:p>
        </w:tc>
        <w:tc>
          <w:tcPr>
            <w:tcW w:w="2966" w:type="dxa"/>
          </w:tcPr>
          <w:p w14:paraId="74B21237"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33693199" w14:textId="77777777" w:rsidTr="00264E69">
        <w:tc>
          <w:tcPr>
            <w:tcW w:w="5400" w:type="dxa"/>
          </w:tcPr>
          <w:p w14:paraId="1CF45204" w14:textId="77777777" w:rsidR="008F5DD0" w:rsidRPr="00C90461" w:rsidRDefault="008F5DD0" w:rsidP="00264E69">
            <w:pPr>
              <w:spacing w:after="120" w:line="240" w:lineRule="auto"/>
              <w:jc w:val="left"/>
              <w:rPr>
                <w:lang w:val="es-ES_tradnl"/>
              </w:rPr>
            </w:pPr>
            <w:r w:rsidRPr="00C90461">
              <w:rPr>
                <w:lang w:val="es-ES_tradnl"/>
              </w:rPr>
              <w:t xml:space="preserve">políticas internas </w:t>
            </w:r>
          </w:p>
        </w:tc>
        <w:tc>
          <w:tcPr>
            <w:tcW w:w="2966" w:type="dxa"/>
          </w:tcPr>
          <w:p w14:paraId="63FB1BDF"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20C34F5C" w14:textId="77777777" w:rsidTr="00264E69">
        <w:tc>
          <w:tcPr>
            <w:tcW w:w="5400" w:type="dxa"/>
          </w:tcPr>
          <w:p w14:paraId="65A09086" w14:textId="77777777" w:rsidR="008F5DD0" w:rsidRPr="00C90461" w:rsidRDefault="008F5DD0" w:rsidP="00264E69">
            <w:pPr>
              <w:spacing w:after="120" w:line="240" w:lineRule="auto"/>
              <w:jc w:val="left"/>
              <w:rPr>
                <w:lang w:val="es-ES_tradnl"/>
              </w:rPr>
            </w:pPr>
            <w:r w:rsidRPr="00C90461">
              <w:rPr>
                <w:lang w:val="es-ES_tradnl"/>
              </w:rPr>
              <w:t xml:space="preserve">ley que faculta a proceder para otorgar, pero no a aceptar un informe DHE </w:t>
            </w:r>
          </w:p>
        </w:tc>
        <w:tc>
          <w:tcPr>
            <w:tcW w:w="2966" w:type="dxa"/>
          </w:tcPr>
          <w:p w14:paraId="5BD54BA1"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78A715ED" w14:textId="77777777" w:rsidTr="00264E69">
        <w:tc>
          <w:tcPr>
            <w:tcW w:w="5400" w:type="dxa"/>
          </w:tcPr>
          <w:p w14:paraId="7FC83729" w14:textId="77777777" w:rsidR="008F5DD0" w:rsidRPr="00C90461" w:rsidRDefault="008F5DD0" w:rsidP="00264E69">
            <w:pPr>
              <w:spacing w:after="120" w:line="240" w:lineRule="auto"/>
              <w:jc w:val="left"/>
              <w:rPr>
                <w:lang w:val="es-ES_tradnl"/>
              </w:rPr>
            </w:pPr>
            <w:r w:rsidRPr="00C90461">
              <w:rPr>
                <w:lang w:val="es-ES_tradnl"/>
              </w:rPr>
              <w:t xml:space="preserve">ninguno </w:t>
            </w:r>
          </w:p>
        </w:tc>
        <w:tc>
          <w:tcPr>
            <w:tcW w:w="2966" w:type="dxa"/>
          </w:tcPr>
          <w:p w14:paraId="3EF92FAF"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13429ECE" w14:textId="77777777" w:rsidTr="00264E69">
        <w:tc>
          <w:tcPr>
            <w:tcW w:w="5400" w:type="dxa"/>
          </w:tcPr>
          <w:p w14:paraId="3D011EA2" w14:textId="23AD93D2" w:rsidR="008F5DD0" w:rsidRPr="00C90461" w:rsidRDefault="008F5DD0" w:rsidP="00264E69">
            <w:pPr>
              <w:spacing w:after="120" w:line="240" w:lineRule="auto"/>
              <w:jc w:val="left"/>
              <w:rPr>
                <w:lang w:val="es-ES_tradnl"/>
              </w:rPr>
            </w:pPr>
            <w:r w:rsidRPr="00C90461">
              <w:rPr>
                <w:lang w:val="es-ES_tradnl"/>
              </w:rPr>
              <w:t xml:space="preserve">por medio de homologación un país miembro </w:t>
            </w:r>
          </w:p>
        </w:tc>
        <w:tc>
          <w:tcPr>
            <w:tcW w:w="2966" w:type="dxa"/>
          </w:tcPr>
          <w:p w14:paraId="6F00F84D"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54674949" w14:textId="77777777" w:rsidTr="00264E69">
        <w:tc>
          <w:tcPr>
            <w:tcW w:w="5400" w:type="dxa"/>
          </w:tcPr>
          <w:p w14:paraId="7DD30FFC" w14:textId="77777777" w:rsidR="008F5DD0" w:rsidRPr="00C90461" w:rsidRDefault="008F5DD0" w:rsidP="00264E69">
            <w:pPr>
              <w:spacing w:after="120" w:line="240" w:lineRule="auto"/>
              <w:jc w:val="left"/>
              <w:rPr>
                <w:lang w:val="es-ES_tradnl"/>
              </w:rPr>
            </w:pPr>
            <w:r w:rsidRPr="00C90461">
              <w:rPr>
                <w:lang w:val="es-ES_tradnl"/>
              </w:rPr>
              <w:t xml:space="preserve">práctica y precedente </w:t>
            </w:r>
          </w:p>
        </w:tc>
        <w:tc>
          <w:tcPr>
            <w:tcW w:w="2966" w:type="dxa"/>
          </w:tcPr>
          <w:p w14:paraId="25193DDF"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4339CDE8" w14:textId="77777777" w:rsidTr="00264E69">
        <w:tc>
          <w:tcPr>
            <w:tcW w:w="5400" w:type="dxa"/>
          </w:tcPr>
          <w:p w14:paraId="197354FB" w14:textId="5EB7B741" w:rsidR="008F5DD0" w:rsidRPr="00C90461" w:rsidRDefault="008F5DD0" w:rsidP="00264E69">
            <w:pPr>
              <w:spacing w:after="120" w:line="240" w:lineRule="auto"/>
              <w:jc w:val="left"/>
              <w:rPr>
                <w:lang w:val="es-ES_tradnl"/>
              </w:rPr>
            </w:pPr>
            <w:r w:rsidRPr="00C90461">
              <w:rPr>
                <w:lang w:val="es-ES_tradnl"/>
              </w:rPr>
              <w:t xml:space="preserve">por el momento, no aceptamos informes DHE </w:t>
            </w:r>
          </w:p>
        </w:tc>
        <w:tc>
          <w:tcPr>
            <w:tcW w:w="2966" w:type="dxa"/>
          </w:tcPr>
          <w:p w14:paraId="788FE464" w14:textId="77777777" w:rsidR="008F5DD0" w:rsidRPr="00C90461" w:rsidRDefault="008F5DD0" w:rsidP="00264E69">
            <w:pPr>
              <w:spacing w:after="120" w:line="240" w:lineRule="auto"/>
              <w:jc w:val="left"/>
              <w:rPr>
                <w:lang w:val="es-ES_tradnl"/>
              </w:rPr>
            </w:pPr>
            <w:r w:rsidRPr="00C90461">
              <w:rPr>
                <w:lang w:val="es-ES_tradnl"/>
              </w:rPr>
              <w:t xml:space="preserve">1 </w:t>
            </w:r>
          </w:p>
        </w:tc>
      </w:tr>
      <w:tr w:rsidR="008F5DD0" w:rsidRPr="00C90461" w14:paraId="1DE19729" w14:textId="77777777" w:rsidTr="00264E69">
        <w:tc>
          <w:tcPr>
            <w:tcW w:w="5400" w:type="dxa"/>
          </w:tcPr>
          <w:p w14:paraId="1B9D279B" w14:textId="77777777" w:rsidR="008F5DD0" w:rsidRPr="00C90461" w:rsidRDefault="008F5DD0" w:rsidP="00264E69">
            <w:pPr>
              <w:spacing w:after="120" w:line="240" w:lineRule="auto"/>
              <w:jc w:val="left"/>
              <w:rPr>
                <w:lang w:val="es-ES_tradnl"/>
              </w:rPr>
            </w:pPr>
            <w:r w:rsidRPr="00C90461">
              <w:rPr>
                <w:lang w:val="es-ES_tradnl"/>
              </w:rPr>
              <w:t xml:space="preserve">Totales </w:t>
            </w:r>
          </w:p>
        </w:tc>
        <w:tc>
          <w:tcPr>
            <w:tcW w:w="2966" w:type="dxa"/>
          </w:tcPr>
          <w:p w14:paraId="7705357B" w14:textId="77777777" w:rsidR="008F5DD0" w:rsidRPr="00C90461" w:rsidRDefault="008F5DD0" w:rsidP="00264E69">
            <w:pPr>
              <w:spacing w:after="120" w:line="240" w:lineRule="auto"/>
              <w:jc w:val="left"/>
              <w:rPr>
                <w:lang w:val="es-ES_tradnl"/>
              </w:rPr>
            </w:pPr>
            <w:r w:rsidRPr="00C90461">
              <w:rPr>
                <w:lang w:val="es-ES_tradnl"/>
              </w:rPr>
              <w:t xml:space="preserve">7 </w:t>
            </w:r>
          </w:p>
        </w:tc>
      </w:tr>
    </w:tbl>
    <w:p w14:paraId="7270D3E3" w14:textId="2CBA1869" w:rsidR="00264E69" w:rsidRPr="00C90461" w:rsidRDefault="00264E69" w:rsidP="008F5DD0">
      <w:pPr>
        <w:spacing w:after="160" w:line="259" w:lineRule="auto"/>
        <w:jc w:val="left"/>
        <w:rPr>
          <w:rFonts w:eastAsia="Arial Unicode MS" w:cs="Arial"/>
          <w:b/>
          <w:bCs/>
          <w:lang w:val="es-ES_tradnl"/>
        </w:rPr>
      </w:pPr>
      <w:bookmarkStart w:id="42" w:name="_Toc31"/>
    </w:p>
    <w:p w14:paraId="7A472DD6" w14:textId="77777777" w:rsidR="00264E69" w:rsidRPr="00C90461" w:rsidRDefault="00264E69">
      <w:pPr>
        <w:jc w:val="left"/>
        <w:rPr>
          <w:rFonts w:eastAsia="Arial Unicode MS" w:cs="Arial"/>
          <w:b/>
          <w:bCs/>
          <w:lang w:val="es-ES_tradnl"/>
        </w:rPr>
      </w:pPr>
      <w:r w:rsidRPr="00C90461">
        <w:rPr>
          <w:lang w:val="es-ES_tradnl"/>
        </w:rPr>
        <w:br w:type="page"/>
      </w:r>
    </w:p>
    <w:p w14:paraId="6D7D9D0E" w14:textId="77777777" w:rsidR="008F5DD0" w:rsidRPr="00C90461" w:rsidRDefault="008F5DD0" w:rsidP="008F5DD0">
      <w:pPr>
        <w:spacing w:after="160" w:line="259" w:lineRule="auto"/>
        <w:jc w:val="left"/>
        <w:rPr>
          <w:rFonts w:eastAsia="Arial Unicode MS" w:cs="Arial"/>
          <w:b/>
          <w:bCs/>
          <w:lang w:val="es-ES_tradnl"/>
        </w:rPr>
      </w:pPr>
      <w:r w:rsidRPr="00C90461">
        <w:rPr>
          <w:b/>
          <w:lang w:val="es-ES_tradnl"/>
        </w:rPr>
        <w:lastRenderedPageBreak/>
        <w:t>Comentarios:</w:t>
      </w:r>
      <w:bookmarkEnd w:id="42"/>
    </w:p>
    <w:tbl>
      <w:tblPr>
        <w:tblStyle w:val="table"/>
        <w:tblW w:w="9393" w:type="dxa"/>
        <w:tblInd w:w="80" w:type="dxa"/>
        <w:tblLook w:val="04A0" w:firstRow="1" w:lastRow="0" w:firstColumn="1" w:lastColumn="0" w:noHBand="0" w:noVBand="1"/>
      </w:tblPr>
      <w:tblGrid>
        <w:gridCol w:w="9393"/>
      </w:tblGrid>
      <w:tr w:rsidR="008F5DD0" w:rsidRPr="00C90461" w14:paraId="012FEC89" w14:textId="77777777" w:rsidTr="008F5DD0">
        <w:tc>
          <w:tcPr>
            <w:tcW w:w="9393" w:type="dxa"/>
          </w:tcPr>
          <w:p w14:paraId="06FF0A04" w14:textId="77777777" w:rsidR="008F5DD0" w:rsidRPr="00C90461" w:rsidRDefault="008F5DD0" w:rsidP="00264E69">
            <w:pPr>
              <w:spacing w:after="120" w:line="240" w:lineRule="auto"/>
              <w:jc w:val="left"/>
              <w:rPr>
                <w:lang w:val="es-ES_tradnl"/>
              </w:rPr>
            </w:pPr>
            <w:r w:rsidRPr="00C90461">
              <w:rPr>
                <w:lang w:val="es-ES_tradnl"/>
              </w:rPr>
              <w:t xml:space="preserve">Respuesta </w:t>
            </w:r>
          </w:p>
        </w:tc>
      </w:tr>
      <w:tr w:rsidR="008F5DD0" w:rsidRPr="00C90461" w14:paraId="48A19F3E" w14:textId="77777777" w:rsidTr="008F5DD0">
        <w:tc>
          <w:tcPr>
            <w:tcW w:w="9393" w:type="dxa"/>
          </w:tcPr>
          <w:p w14:paraId="2691F646" w14:textId="77777777" w:rsidR="008F5DD0" w:rsidRPr="00C90461" w:rsidRDefault="008F5DD0" w:rsidP="00264E69">
            <w:pPr>
              <w:spacing w:after="120" w:line="240" w:lineRule="auto"/>
              <w:jc w:val="left"/>
              <w:rPr>
                <w:lang w:val="es-ES_tradnl"/>
              </w:rPr>
            </w:pPr>
            <w:r w:rsidRPr="00C90461">
              <w:rPr>
                <w:lang w:val="es-ES_tradnl"/>
              </w:rPr>
              <w:t xml:space="preserve">La ley y los reglamentos de protección de las obtenciones vegetales de los Estados Unidos. </w:t>
            </w:r>
          </w:p>
        </w:tc>
      </w:tr>
      <w:tr w:rsidR="008F5DD0" w:rsidRPr="00C90461" w14:paraId="33F6714F" w14:textId="77777777" w:rsidTr="008F5DD0">
        <w:tc>
          <w:tcPr>
            <w:tcW w:w="9393" w:type="dxa"/>
          </w:tcPr>
          <w:p w14:paraId="7B66DB42" w14:textId="55F9FF1B" w:rsidR="008F5DD0" w:rsidRPr="00C90461" w:rsidRDefault="008F5DD0" w:rsidP="00264E69">
            <w:pPr>
              <w:spacing w:after="120" w:line="240" w:lineRule="auto"/>
              <w:jc w:val="left"/>
              <w:rPr>
                <w:lang w:val="es-ES_tradnl"/>
              </w:rPr>
            </w:pPr>
            <w:r w:rsidRPr="00C90461">
              <w:rPr>
                <w:lang w:val="es-ES_tradnl"/>
              </w:rPr>
              <w:t xml:space="preserve">No es un requisito que antes se presente el material vegetal para que Australia pueda aceptar un informe DHE extranjero; pero la ley exige que el material vegetal se envíe antes a un centro de recursos genéticos de Australia o Nueva Zelandia para que la solicitud pueda avanzar en el procedimiento de concesión. </w:t>
            </w:r>
          </w:p>
        </w:tc>
      </w:tr>
      <w:tr w:rsidR="008F5DD0" w:rsidRPr="00C90461" w14:paraId="25D55A78" w14:textId="77777777" w:rsidTr="008F5DD0">
        <w:tc>
          <w:tcPr>
            <w:tcW w:w="9393" w:type="dxa"/>
          </w:tcPr>
          <w:p w14:paraId="1065A0C5" w14:textId="77777777" w:rsidR="008F5DD0" w:rsidRPr="00C90461" w:rsidRDefault="008F5DD0" w:rsidP="00264E69">
            <w:pPr>
              <w:spacing w:after="120" w:line="240" w:lineRule="auto"/>
              <w:jc w:val="left"/>
              <w:rPr>
                <w:lang w:val="es-ES_tradnl"/>
              </w:rPr>
            </w:pPr>
            <w:r w:rsidRPr="00C90461">
              <w:rPr>
                <w:lang w:val="es-ES_tradnl"/>
              </w:rPr>
              <w:t xml:space="preserve">No tengo conocimiento de que haya habido una situación de este tipo en nuestra oficina de examen en muchos años. </w:t>
            </w:r>
          </w:p>
        </w:tc>
      </w:tr>
      <w:tr w:rsidR="008F5DD0" w:rsidRPr="00C90461" w14:paraId="6283716E" w14:textId="77777777" w:rsidTr="008F5DD0">
        <w:tc>
          <w:tcPr>
            <w:tcW w:w="9393" w:type="dxa"/>
          </w:tcPr>
          <w:p w14:paraId="04FC6A37" w14:textId="30FF5D13" w:rsidR="008F5DD0" w:rsidRPr="00C90461" w:rsidRDefault="008F5DD0" w:rsidP="00264E69">
            <w:pPr>
              <w:spacing w:after="120" w:line="240" w:lineRule="auto"/>
              <w:jc w:val="left"/>
              <w:rPr>
                <w:lang w:val="es-ES_tradnl"/>
              </w:rPr>
            </w:pPr>
            <w:r w:rsidRPr="00C90461">
              <w:rPr>
                <w:lang w:val="es-ES_tradnl"/>
              </w:rPr>
              <w:t xml:space="preserve">La práctica se decide según los requisitos de la especie y debe ser coherente. Cada binomio solicitud-variedad se examina por separado y se sigue el procedimiento de examen DHE más adecuado. </w:t>
            </w:r>
          </w:p>
        </w:tc>
      </w:tr>
      <w:tr w:rsidR="008F5DD0" w:rsidRPr="00C90461" w14:paraId="072569B1" w14:textId="77777777" w:rsidTr="008F5DD0">
        <w:tc>
          <w:tcPr>
            <w:tcW w:w="9393" w:type="dxa"/>
          </w:tcPr>
          <w:p w14:paraId="67A384AA" w14:textId="77777777" w:rsidR="008F5DD0" w:rsidRPr="00C90461" w:rsidRDefault="008F5DD0" w:rsidP="00264E69">
            <w:pPr>
              <w:spacing w:after="120" w:line="240" w:lineRule="auto"/>
              <w:jc w:val="left"/>
              <w:rPr>
                <w:lang w:val="es-ES_tradnl"/>
              </w:rPr>
            </w:pPr>
            <w:r w:rsidRPr="00C90461">
              <w:rPr>
                <w:lang w:val="es-ES_tradnl"/>
              </w:rPr>
              <w:t xml:space="preserve">por órdenes y circulares </w:t>
            </w:r>
          </w:p>
        </w:tc>
      </w:tr>
      <w:tr w:rsidR="008F5DD0" w:rsidRPr="00C90461" w14:paraId="5F42ED41" w14:textId="77777777" w:rsidTr="008F5DD0">
        <w:tc>
          <w:tcPr>
            <w:tcW w:w="9393" w:type="dxa"/>
          </w:tcPr>
          <w:p w14:paraId="41546F69" w14:textId="77777777" w:rsidR="008F5DD0" w:rsidRPr="00C90461" w:rsidRDefault="008F5DD0" w:rsidP="00264E69">
            <w:pPr>
              <w:spacing w:after="120" w:line="240" w:lineRule="auto"/>
              <w:jc w:val="left"/>
              <w:rPr>
                <w:lang w:val="es-ES_tradnl"/>
              </w:rPr>
            </w:pPr>
            <w:r w:rsidRPr="00C90461">
              <w:rPr>
                <w:lang w:val="es-ES_tradnl"/>
              </w:rPr>
              <w:t xml:space="preserve">el hecho de que no se proporcione material para mantener la variedad motiva la cancelación, conforme a la sección 29 de la ley </w:t>
            </w:r>
          </w:p>
        </w:tc>
      </w:tr>
      <w:tr w:rsidR="008F5DD0" w:rsidRPr="00C90461" w14:paraId="55111A80" w14:textId="77777777" w:rsidTr="008F5DD0">
        <w:tc>
          <w:tcPr>
            <w:tcW w:w="9393" w:type="dxa"/>
          </w:tcPr>
          <w:p w14:paraId="2594B5D9" w14:textId="4A54F58F" w:rsidR="008F5DD0" w:rsidRPr="00C90461" w:rsidRDefault="008F5DD0" w:rsidP="00264E69">
            <w:pPr>
              <w:spacing w:after="120" w:line="240" w:lineRule="auto"/>
              <w:jc w:val="left"/>
              <w:rPr>
                <w:lang w:val="es-ES_tradnl"/>
              </w:rPr>
            </w:pPr>
            <w:r w:rsidRPr="00C90461">
              <w:rPr>
                <w:lang w:val="es-ES_tradnl"/>
              </w:rPr>
              <w:t xml:space="preserve">Los detalles relativos al material adecuado para el examen DHE se especifican en la gaceta S2 de la OCVV. “La publicación S2/S3 tiene por objeto ofrecer a los solicitantes una versión consolidada de las fechas límite para las solicitudes y los requisitos de presentación de material vegetal por especie y según las indicaciones de las oficinas de examen actualmente homologadas para llevar a cabo el examen técnico DHE en nombre de la OCVV” </w:t>
            </w:r>
          </w:p>
        </w:tc>
      </w:tr>
      <w:tr w:rsidR="008F5DD0" w:rsidRPr="00C90461" w14:paraId="0901DC78" w14:textId="77777777" w:rsidTr="008F5DD0">
        <w:tc>
          <w:tcPr>
            <w:tcW w:w="9393" w:type="dxa"/>
          </w:tcPr>
          <w:p w14:paraId="0C328415" w14:textId="77777777" w:rsidR="008F5DD0" w:rsidRPr="00C90461" w:rsidRDefault="008F5DD0" w:rsidP="00264E69">
            <w:pPr>
              <w:spacing w:after="120" w:line="240" w:lineRule="auto"/>
              <w:jc w:val="left"/>
              <w:rPr>
                <w:lang w:val="es-ES_tradnl"/>
              </w:rPr>
            </w:pPr>
            <w:r w:rsidRPr="00C90461">
              <w:rPr>
                <w:lang w:val="es-ES_tradnl"/>
              </w:rPr>
              <w:t xml:space="preserve">Hasta el momento en que se remite esta encuesta, el caso antes descrito no se ha presentado. </w:t>
            </w:r>
          </w:p>
        </w:tc>
      </w:tr>
      <w:tr w:rsidR="008F5DD0" w:rsidRPr="00C90461" w14:paraId="193351A9" w14:textId="77777777" w:rsidTr="008F5DD0">
        <w:tc>
          <w:tcPr>
            <w:tcW w:w="9393" w:type="dxa"/>
          </w:tcPr>
          <w:p w14:paraId="27739BF8" w14:textId="77777777" w:rsidR="008F5DD0" w:rsidRPr="00C90461" w:rsidRDefault="008F5DD0" w:rsidP="00264E69">
            <w:pPr>
              <w:spacing w:after="120" w:line="240" w:lineRule="auto"/>
              <w:jc w:val="left"/>
              <w:rPr>
                <w:lang w:val="es-ES_tradnl"/>
              </w:rPr>
            </w:pPr>
            <w:r w:rsidRPr="00C90461">
              <w:rPr>
                <w:lang w:val="es-ES_tradnl"/>
              </w:rPr>
              <w:t xml:space="preserve">Los requisitos fitosanitarios se disponen en otras leyes. </w:t>
            </w:r>
          </w:p>
        </w:tc>
      </w:tr>
      <w:tr w:rsidR="008F5DD0" w:rsidRPr="00C90461" w14:paraId="3BFF1563" w14:textId="77777777" w:rsidTr="008F5DD0">
        <w:tc>
          <w:tcPr>
            <w:tcW w:w="9393" w:type="dxa"/>
          </w:tcPr>
          <w:p w14:paraId="60D08EB1" w14:textId="77777777" w:rsidR="008F5DD0" w:rsidRPr="00C90461" w:rsidRDefault="008F5DD0" w:rsidP="00264E69">
            <w:pPr>
              <w:spacing w:after="120" w:line="240" w:lineRule="auto"/>
              <w:jc w:val="left"/>
              <w:rPr>
                <w:lang w:val="es-ES_tradnl"/>
              </w:rPr>
            </w:pPr>
            <w:r w:rsidRPr="00C90461">
              <w:rPr>
                <w:lang w:val="es-ES_tradnl"/>
              </w:rPr>
              <w:t xml:space="preserve">Requisitos para la ejecución del ensayo por parte de las entidades a realizar el DHE </w:t>
            </w:r>
          </w:p>
        </w:tc>
      </w:tr>
      <w:tr w:rsidR="008F5DD0" w:rsidRPr="00C90461" w14:paraId="264ADF8C" w14:textId="77777777" w:rsidTr="008F5DD0">
        <w:tc>
          <w:tcPr>
            <w:tcW w:w="9393" w:type="dxa"/>
          </w:tcPr>
          <w:p w14:paraId="43E43ED2" w14:textId="77777777" w:rsidR="008F5DD0" w:rsidRPr="00C90461" w:rsidRDefault="008F5DD0" w:rsidP="00264E69">
            <w:pPr>
              <w:spacing w:after="120" w:line="240" w:lineRule="auto"/>
              <w:jc w:val="left"/>
              <w:rPr>
                <w:lang w:val="es-ES_tradnl"/>
              </w:rPr>
            </w:pPr>
            <w:r w:rsidRPr="00C90461">
              <w:rPr>
                <w:lang w:val="es-ES_tradnl"/>
              </w:rPr>
              <w:t xml:space="preserve">Cuando hay obstáculos fitosanitarios para que el solicitante envíe material vegetal, en nuestra calidad de autoridad competente, autorizamos al solicitante a encargarse del examen DHE en sus instalaciones con las siguientes condiciones: 1. El uso de las directrices de examen DHE de la UPOV o en casos excepcionales las directrices nacionales de un Estado miembro de la UPOV, si la UPOV no dispone de orientaciones para un determinado cultivo. 2. El examen DHE se realiza conforme a las especificaciones del documento TGP/6, sección 3: Declaración relativa a las condiciones del examen de una variedad cuando este ha sido efectuado por el obtentor o en su nombre. </w:t>
            </w:r>
          </w:p>
        </w:tc>
      </w:tr>
    </w:tbl>
    <w:p w14:paraId="1E074F94" w14:textId="77777777" w:rsidR="0084636C" w:rsidRPr="00C90461" w:rsidRDefault="0084636C" w:rsidP="008F5DD0">
      <w:pPr>
        <w:spacing w:after="160" w:line="259" w:lineRule="auto"/>
        <w:jc w:val="left"/>
        <w:rPr>
          <w:rFonts w:eastAsia="Arial" w:cs="Arial"/>
          <w:b/>
          <w:bCs/>
          <w:lang w:val="es-ES_tradnl"/>
        </w:rPr>
      </w:pPr>
      <w:bookmarkStart w:id="43" w:name="_Toc32"/>
    </w:p>
    <w:p w14:paraId="33028EF6" w14:textId="7C673273" w:rsidR="008F5DD0" w:rsidRPr="00C90461" w:rsidRDefault="008F5DD0" w:rsidP="008F5DD0">
      <w:pPr>
        <w:spacing w:after="160" w:line="259" w:lineRule="auto"/>
        <w:jc w:val="left"/>
        <w:rPr>
          <w:rFonts w:eastAsia="Arial Unicode MS" w:cs="Arial"/>
          <w:b/>
          <w:bCs/>
          <w:lang w:val="es-ES_tradnl"/>
        </w:rPr>
      </w:pPr>
      <w:r w:rsidRPr="00C90461">
        <w:rPr>
          <w:b/>
          <w:lang w:val="es-ES_tradnl"/>
        </w:rPr>
        <w:t>Sírvase aportar información sobre otras cuestiones conexas, según proceda:</w:t>
      </w:r>
      <w:bookmarkEnd w:id="43"/>
    </w:p>
    <w:tbl>
      <w:tblPr>
        <w:tblStyle w:val="table"/>
        <w:tblW w:w="9393" w:type="dxa"/>
        <w:tblInd w:w="80" w:type="dxa"/>
        <w:tblLook w:val="04A0" w:firstRow="1" w:lastRow="0" w:firstColumn="1" w:lastColumn="0" w:noHBand="0" w:noVBand="1"/>
      </w:tblPr>
      <w:tblGrid>
        <w:gridCol w:w="9393"/>
      </w:tblGrid>
      <w:tr w:rsidR="008F5DD0" w:rsidRPr="00C90461" w14:paraId="3D37522C" w14:textId="77777777" w:rsidTr="008F5DD0">
        <w:tc>
          <w:tcPr>
            <w:tcW w:w="9393" w:type="dxa"/>
          </w:tcPr>
          <w:p w14:paraId="04334053" w14:textId="77777777" w:rsidR="008F5DD0" w:rsidRPr="00C90461" w:rsidRDefault="008F5DD0" w:rsidP="00264E69">
            <w:pPr>
              <w:spacing w:after="120" w:line="240" w:lineRule="auto"/>
              <w:jc w:val="left"/>
              <w:rPr>
                <w:lang w:val="es-ES_tradnl"/>
              </w:rPr>
            </w:pPr>
            <w:r w:rsidRPr="00C90461">
              <w:rPr>
                <w:lang w:val="es-ES_tradnl"/>
              </w:rPr>
              <w:t xml:space="preserve">Respuesta </w:t>
            </w:r>
          </w:p>
        </w:tc>
      </w:tr>
      <w:tr w:rsidR="008F5DD0" w:rsidRPr="00C90461" w14:paraId="66E842C2" w14:textId="77777777" w:rsidTr="008F5DD0">
        <w:tc>
          <w:tcPr>
            <w:tcW w:w="9393" w:type="dxa"/>
          </w:tcPr>
          <w:p w14:paraId="0E58274C" w14:textId="77777777" w:rsidR="008F5DD0" w:rsidRPr="00C90461" w:rsidRDefault="008F5DD0" w:rsidP="00264E69">
            <w:pPr>
              <w:spacing w:after="120" w:line="240" w:lineRule="auto"/>
              <w:jc w:val="left"/>
              <w:rPr>
                <w:lang w:val="es-ES_tradnl"/>
              </w:rPr>
            </w:pPr>
            <w:r w:rsidRPr="00C90461">
              <w:rPr>
                <w:lang w:val="es-ES_tradnl"/>
              </w:rPr>
              <w:t xml:space="preserve">Nueva Zelandia tiene requisitos de bioseguridad muy estrictos y la importación de material vegetal puede ser complicada y prolongada. Los protocolos nacionales de examen DHE deben permitir el uso de informes de examen extranjeros y sí contemplan este posible uso. </w:t>
            </w:r>
          </w:p>
        </w:tc>
      </w:tr>
      <w:tr w:rsidR="008F5DD0" w:rsidRPr="00C90461" w14:paraId="37DE672A" w14:textId="77777777" w:rsidTr="008F5DD0">
        <w:tc>
          <w:tcPr>
            <w:tcW w:w="9393" w:type="dxa"/>
          </w:tcPr>
          <w:p w14:paraId="7755F67F" w14:textId="77777777" w:rsidR="008F5DD0" w:rsidRPr="00C90461" w:rsidRDefault="008F5DD0" w:rsidP="00264E69">
            <w:pPr>
              <w:spacing w:after="120" w:line="240" w:lineRule="auto"/>
              <w:jc w:val="left"/>
              <w:rPr>
                <w:lang w:val="es-ES_tradnl"/>
              </w:rPr>
            </w:pPr>
            <w:r w:rsidRPr="00C90461">
              <w:rPr>
                <w:lang w:val="es-ES_tradnl"/>
              </w:rPr>
              <w:t xml:space="preserve">Si se solicita a Sudáfrica que realice exámenes DHE en nombre de otro país, se aplica el Protocolo de Nagoya. </w:t>
            </w:r>
          </w:p>
        </w:tc>
      </w:tr>
    </w:tbl>
    <w:p w14:paraId="6A288801" w14:textId="77777777" w:rsidR="008F5DD0" w:rsidRPr="00C90461" w:rsidRDefault="008F5DD0" w:rsidP="008F5DD0">
      <w:pPr>
        <w:spacing w:after="160" w:line="259" w:lineRule="auto"/>
        <w:jc w:val="left"/>
        <w:rPr>
          <w:rFonts w:eastAsia="Arial Unicode MS" w:cs="Arial"/>
          <w:b/>
          <w:bCs/>
          <w:lang w:val="es-ES_tradnl"/>
        </w:rPr>
      </w:pPr>
      <w:bookmarkStart w:id="44" w:name="_Toc33"/>
    </w:p>
    <w:p w14:paraId="2FF66EB9" w14:textId="77777777" w:rsidR="008F5DD0" w:rsidRPr="00C90461" w:rsidRDefault="008F5DD0" w:rsidP="00264E69">
      <w:pPr>
        <w:keepNext/>
        <w:spacing w:after="160" w:line="259" w:lineRule="auto"/>
        <w:jc w:val="left"/>
        <w:rPr>
          <w:rFonts w:eastAsia="Arial Unicode MS" w:cs="Arial"/>
          <w:b/>
          <w:bCs/>
          <w:lang w:val="es-ES_tradnl"/>
        </w:rPr>
      </w:pPr>
      <w:r w:rsidRPr="00C90461">
        <w:rPr>
          <w:b/>
          <w:lang w:val="es-ES_tradnl"/>
        </w:rPr>
        <w:lastRenderedPageBreak/>
        <w:t>9. ¿Alguna novedad puede aumentar su aceptación de los informes DHE en el futuro?</w:t>
      </w:r>
      <w:bookmarkEnd w:id="44"/>
    </w:p>
    <w:tbl>
      <w:tblPr>
        <w:tblStyle w:val="table"/>
        <w:tblW w:w="0" w:type="auto"/>
        <w:tblInd w:w="80" w:type="dxa"/>
        <w:tblLook w:val="04A0" w:firstRow="1" w:lastRow="0" w:firstColumn="1" w:lastColumn="0" w:noHBand="0" w:noVBand="1"/>
      </w:tblPr>
      <w:tblGrid>
        <w:gridCol w:w="9393"/>
      </w:tblGrid>
      <w:tr w:rsidR="008F5DD0" w:rsidRPr="00C90461" w14:paraId="25F4BE31" w14:textId="77777777" w:rsidTr="008F5DD0">
        <w:tc>
          <w:tcPr>
            <w:tcW w:w="9393" w:type="dxa"/>
          </w:tcPr>
          <w:p w14:paraId="1C027950" w14:textId="77777777" w:rsidR="008F5DD0" w:rsidRPr="00C90461" w:rsidRDefault="008F5DD0" w:rsidP="00264E69">
            <w:pPr>
              <w:spacing w:after="60" w:line="240" w:lineRule="auto"/>
              <w:jc w:val="left"/>
              <w:rPr>
                <w:lang w:val="es-ES_tradnl"/>
              </w:rPr>
            </w:pPr>
            <w:r w:rsidRPr="00C90461">
              <w:rPr>
                <w:lang w:val="es-ES_tradnl"/>
              </w:rPr>
              <w:t xml:space="preserve">Respuesta </w:t>
            </w:r>
          </w:p>
        </w:tc>
      </w:tr>
      <w:tr w:rsidR="008F5DD0" w:rsidRPr="00C90461" w14:paraId="2D957E41" w14:textId="77777777" w:rsidTr="008F5DD0">
        <w:tc>
          <w:tcPr>
            <w:tcW w:w="9393" w:type="dxa"/>
          </w:tcPr>
          <w:p w14:paraId="39312642" w14:textId="77777777" w:rsidR="008F5DD0" w:rsidRPr="00C90461" w:rsidRDefault="008F5DD0" w:rsidP="00264E69">
            <w:pPr>
              <w:spacing w:after="60" w:line="240" w:lineRule="auto"/>
              <w:jc w:val="left"/>
              <w:rPr>
                <w:lang w:val="es-ES_tradnl"/>
              </w:rPr>
            </w:pPr>
            <w:r w:rsidRPr="00C90461">
              <w:rPr>
                <w:lang w:val="es-ES_tradnl"/>
              </w:rPr>
              <w:t xml:space="preserve">Sí, el hecho de que los caracteres de las 27 especies de semilla restantes se ajusten a los caracteres de las directrices de examen de la UPOV harían posible que la Oficina de Protección de las Obtenciones Vegetales de los Estados Unidos aceptara informes DHE de todas las especies. </w:t>
            </w:r>
          </w:p>
        </w:tc>
      </w:tr>
      <w:tr w:rsidR="008F5DD0" w:rsidRPr="00C90461" w14:paraId="769EC2C2" w14:textId="77777777" w:rsidTr="008F5DD0">
        <w:tc>
          <w:tcPr>
            <w:tcW w:w="9393" w:type="dxa"/>
          </w:tcPr>
          <w:p w14:paraId="5B195A01" w14:textId="088A86CB" w:rsidR="008F5DD0" w:rsidRPr="00C90461" w:rsidRDefault="008F5DD0" w:rsidP="00264E69">
            <w:pPr>
              <w:spacing w:after="60" w:line="240" w:lineRule="auto"/>
              <w:jc w:val="left"/>
              <w:rPr>
                <w:lang w:val="es-ES_tradnl"/>
              </w:rPr>
            </w:pPr>
            <w:r w:rsidRPr="00C90461">
              <w:rPr>
                <w:lang w:val="es-ES_tradnl"/>
              </w:rPr>
              <w:t xml:space="preserve">Sí, es probable que México actualice su ley nacional, lo cual es posible que dé lugar a un aumento del uso de los exámenes DHE existentes. </w:t>
            </w:r>
          </w:p>
        </w:tc>
      </w:tr>
      <w:tr w:rsidR="008F5DD0" w:rsidRPr="00C90461" w14:paraId="4D94459D" w14:textId="77777777" w:rsidTr="008F5DD0">
        <w:tc>
          <w:tcPr>
            <w:tcW w:w="9393" w:type="dxa"/>
          </w:tcPr>
          <w:p w14:paraId="43A289FB" w14:textId="77777777" w:rsidR="008F5DD0" w:rsidRPr="00C90461" w:rsidRDefault="008F5DD0" w:rsidP="00264E69">
            <w:pPr>
              <w:spacing w:after="60" w:line="240" w:lineRule="auto"/>
              <w:jc w:val="left"/>
              <w:rPr>
                <w:lang w:val="es-ES_tradnl"/>
              </w:rPr>
            </w:pPr>
            <w:r w:rsidRPr="00C90461">
              <w:rPr>
                <w:lang w:val="es-ES_tradnl"/>
              </w:rPr>
              <w:t xml:space="preserve">En estos momentos Australia está ejecutando un programa de reforma de los derechos de obtentor; pero todavía no se han concretado recomendaciones. </w:t>
            </w:r>
          </w:p>
        </w:tc>
      </w:tr>
      <w:tr w:rsidR="008F5DD0" w:rsidRPr="00C90461" w14:paraId="39370D97" w14:textId="77777777" w:rsidTr="008F5DD0">
        <w:tc>
          <w:tcPr>
            <w:tcW w:w="9393" w:type="dxa"/>
          </w:tcPr>
          <w:p w14:paraId="4C3F734C" w14:textId="77777777" w:rsidR="008F5DD0" w:rsidRPr="00C90461" w:rsidRDefault="008F5DD0" w:rsidP="00264E69">
            <w:pPr>
              <w:spacing w:after="60" w:line="240" w:lineRule="auto"/>
              <w:jc w:val="left"/>
              <w:rPr>
                <w:lang w:val="es-ES_tradnl"/>
              </w:rPr>
            </w:pPr>
            <w:r w:rsidRPr="00C90461">
              <w:rPr>
                <w:lang w:val="es-ES_tradnl"/>
              </w:rPr>
              <w:t xml:space="preserve">Hasta ahora no hemos tenido problemas con la aceptación de informes, </w:t>
            </w:r>
          </w:p>
        </w:tc>
      </w:tr>
      <w:tr w:rsidR="008F5DD0" w:rsidRPr="00C90461" w14:paraId="7EAB68D3" w14:textId="77777777" w:rsidTr="008F5DD0">
        <w:tc>
          <w:tcPr>
            <w:tcW w:w="9393" w:type="dxa"/>
          </w:tcPr>
          <w:p w14:paraId="101131AD" w14:textId="552A4872" w:rsidR="008F5DD0" w:rsidRPr="00C90461" w:rsidRDefault="008F5DD0" w:rsidP="00264E69">
            <w:pPr>
              <w:spacing w:after="60" w:line="240" w:lineRule="auto"/>
              <w:jc w:val="left"/>
              <w:rPr>
                <w:lang w:val="es-ES_tradnl"/>
              </w:rPr>
            </w:pPr>
            <w:r w:rsidRPr="00C90461">
              <w:rPr>
                <w:lang w:val="es-ES_tradnl"/>
              </w:rPr>
              <w:t xml:space="preserve">Un aumento del uso de las directrices de examen de la UPOV por parte de los países miembros y la aceptación recíproca de los exámenes DHE. </w:t>
            </w:r>
          </w:p>
        </w:tc>
      </w:tr>
      <w:tr w:rsidR="008F5DD0" w:rsidRPr="00C90461" w14:paraId="318FD8C1" w14:textId="77777777" w:rsidTr="008F5DD0">
        <w:tc>
          <w:tcPr>
            <w:tcW w:w="9393" w:type="dxa"/>
          </w:tcPr>
          <w:p w14:paraId="10E16296" w14:textId="77777777" w:rsidR="008F5DD0" w:rsidRPr="00C90461" w:rsidRDefault="008F5DD0" w:rsidP="00264E69">
            <w:pPr>
              <w:spacing w:after="60" w:line="240" w:lineRule="auto"/>
              <w:jc w:val="left"/>
              <w:rPr>
                <w:lang w:val="es-ES_tradnl"/>
              </w:rPr>
            </w:pPr>
            <w:r w:rsidRPr="00C90461">
              <w:rPr>
                <w:lang w:val="es-ES_tradnl"/>
              </w:rPr>
              <w:t xml:space="preserve">Sí, un mejor planteamiento general (más transparente) que permita saber con exactitud qué centro experimental o autoridad es responsable de qué. </w:t>
            </w:r>
          </w:p>
        </w:tc>
      </w:tr>
      <w:tr w:rsidR="008F5DD0" w:rsidRPr="00C90461" w14:paraId="6DFF4E19" w14:textId="77777777" w:rsidTr="008F5DD0">
        <w:tc>
          <w:tcPr>
            <w:tcW w:w="9393" w:type="dxa"/>
          </w:tcPr>
          <w:p w14:paraId="767B29CB" w14:textId="77777777" w:rsidR="008F5DD0" w:rsidRPr="00C90461" w:rsidRDefault="008F5DD0" w:rsidP="00264E69">
            <w:pPr>
              <w:spacing w:after="60" w:line="240" w:lineRule="auto"/>
              <w:jc w:val="left"/>
              <w:rPr>
                <w:lang w:val="es-ES_tradnl"/>
              </w:rPr>
            </w:pPr>
            <w:r w:rsidRPr="00C90461">
              <w:rPr>
                <w:lang w:val="es-ES_tradnl"/>
              </w:rPr>
              <w:t xml:space="preserve">No, prevemos tener un nivel de aceptación de informes DHE bastante estable en el futuro. </w:t>
            </w:r>
          </w:p>
        </w:tc>
      </w:tr>
      <w:tr w:rsidR="008F5DD0" w:rsidRPr="00C90461" w14:paraId="77EAAAC4" w14:textId="77777777" w:rsidTr="008F5DD0">
        <w:tc>
          <w:tcPr>
            <w:tcW w:w="9393" w:type="dxa"/>
          </w:tcPr>
          <w:p w14:paraId="766410EF" w14:textId="77777777" w:rsidR="008F5DD0" w:rsidRPr="00C90461" w:rsidRDefault="008F5DD0" w:rsidP="00264E69">
            <w:pPr>
              <w:spacing w:after="60" w:line="240" w:lineRule="auto"/>
              <w:jc w:val="left"/>
              <w:rPr>
                <w:lang w:val="es-ES_tradnl"/>
              </w:rPr>
            </w:pPr>
            <w:r w:rsidRPr="00C90461">
              <w:rPr>
                <w:lang w:val="es-ES_tradnl"/>
              </w:rPr>
              <w:t xml:space="preserve">Estamos trabajando en la modificación de la ley vigente para adherir a UPOV 91, en el cual se considera la cooperación en materia de examen </w:t>
            </w:r>
          </w:p>
        </w:tc>
      </w:tr>
      <w:tr w:rsidR="008F5DD0" w:rsidRPr="00C90461" w14:paraId="7CECCC19" w14:textId="77777777" w:rsidTr="008F5DD0">
        <w:tc>
          <w:tcPr>
            <w:tcW w:w="9393" w:type="dxa"/>
          </w:tcPr>
          <w:p w14:paraId="00A60A7B" w14:textId="77777777" w:rsidR="008F5DD0" w:rsidRPr="00C90461" w:rsidRDefault="008F5DD0" w:rsidP="00264E69">
            <w:pPr>
              <w:spacing w:after="60" w:line="240" w:lineRule="auto"/>
              <w:jc w:val="left"/>
              <w:rPr>
                <w:lang w:val="es-ES_tradnl"/>
              </w:rPr>
            </w:pPr>
            <w:r w:rsidRPr="00C90461">
              <w:rPr>
                <w:lang w:val="es-ES_tradnl"/>
              </w:rPr>
              <w:t xml:space="preserve">Aceptamos todos los informes DHE elaborados por las autoridades competentes de un Estado miembro de la UPOV. </w:t>
            </w:r>
          </w:p>
        </w:tc>
      </w:tr>
      <w:tr w:rsidR="008F5DD0" w:rsidRPr="00C90461" w14:paraId="094BBA05" w14:textId="77777777" w:rsidTr="008F5DD0">
        <w:tc>
          <w:tcPr>
            <w:tcW w:w="9393" w:type="dxa"/>
          </w:tcPr>
          <w:p w14:paraId="235EDCDC" w14:textId="77777777" w:rsidR="008F5DD0" w:rsidRPr="00C90461" w:rsidRDefault="008F5DD0" w:rsidP="00264E69">
            <w:pPr>
              <w:spacing w:after="60" w:line="240" w:lineRule="auto"/>
              <w:jc w:val="left"/>
              <w:rPr>
                <w:lang w:val="es-ES_tradnl"/>
              </w:rPr>
            </w:pPr>
            <w:r w:rsidRPr="00C90461">
              <w:rPr>
                <w:lang w:val="es-ES_tradnl"/>
              </w:rPr>
              <w:t xml:space="preserve">Para aceptar en el futuro informes DHE elaborados conforme a la documentación de la UPOV, un problema grave —que abarca los de </w:t>
            </w:r>
            <w:proofErr w:type="spellStart"/>
            <w:r w:rsidRPr="00C90461">
              <w:rPr>
                <w:lang w:val="es-ES_tradnl"/>
              </w:rPr>
              <w:t>Belarús</w:t>
            </w:r>
            <w:proofErr w:type="spellEnd"/>
            <w:r w:rsidRPr="00C90461">
              <w:rPr>
                <w:lang w:val="es-ES_tradnl"/>
              </w:rPr>
              <w:t xml:space="preserve">— son los requisitos, que tienen otras organizaciones autorizadas de los Estados miembros de la UPOV, de llevar a cabo procedimientos obligatorios de equivalencia, usar las mismas variedades de referencia, etc. Por supuesto, la cuestión radica en el plano de la recepción de pagos por los informes DHE. </w:t>
            </w:r>
          </w:p>
        </w:tc>
      </w:tr>
      <w:tr w:rsidR="008F5DD0" w:rsidRPr="00C90461" w14:paraId="6721D372" w14:textId="77777777" w:rsidTr="008F5DD0">
        <w:tc>
          <w:tcPr>
            <w:tcW w:w="9393" w:type="dxa"/>
          </w:tcPr>
          <w:p w14:paraId="392BF9FB" w14:textId="1972F489" w:rsidR="008F5DD0" w:rsidRPr="00C90461" w:rsidRDefault="008F5DD0" w:rsidP="00264E69">
            <w:pPr>
              <w:spacing w:after="60" w:line="240" w:lineRule="auto"/>
              <w:jc w:val="left"/>
              <w:rPr>
                <w:lang w:val="es-ES_tradnl"/>
              </w:rPr>
            </w:pPr>
            <w:r w:rsidRPr="00C90461">
              <w:rPr>
                <w:lang w:val="es-ES_tradnl"/>
              </w:rPr>
              <w:t xml:space="preserve">Iniciativas como la tramitación electrónica de la protección de variedades vegetales (e-PVP) pueden facilitar la comprobación de la existencia de informes y ayudar al proceso de adquisición. Puede ser útil repasar el contenido del modelo de informe de examen del TGP 5 para procurar que en el informe se incluya toda la información fundamental. </w:t>
            </w:r>
          </w:p>
        </w:tc>
      </w:tr>
      <w:tr w:rsidR="008F5DD0" w:rsidRPr="00C90461" w14:paraId="46F99F72" w14:textId="77777777" w:rsidTr="008F5DD0">
        <w:tc>
          <w:tcPr>
            <w:tcW w:w="9393" w:type="dxa"/>
          </w:tcPr>
          <w:p w14:paraId="17B99E46" w14:textId="77777777" w:rsidR="008F5DD0" w:rsidRPr="00C90461" w:rsidRDefault="008F5DD0" w:rsidP="00264E69">
            <w:pPr>
              <w:spacing w:after="60" w:line="240" w:lineRule="auto"/>
              <w:jc w:val="left"/>
              <w:rPr>
                <w:lang w:val="es-ES_tradnl"/>
              </w:rPr>
            </w:pPr>
            <w:r w:rsidRPr="00C90461">
              <w:rPr>
                <w:lang w:val="es-ES_tradnl"/>
              </w:rPr>
              <w:t xml:space="preserve">Sí. </w:t>
            </w:r>
          </w:p>
        </w:tc>
      </w:tr>
      <w:tr w:rsidR="008F5DD0" w:rsidRPr="00C90461" w14:paraId="0EA87892" w14:textId="77777777" w:rsidTr="008F5DD0">
        <w:tc>
          <w:tcPr>
            <w:tcW w:w="9393" w:type="dxa"/>
          </w:tcPr>
          <w:p w14:paraId="7166C535" w14:textId="77777777" w:rsidR="008F5DD0" w:rsidRPr="00C90461" w:rsidRDefault="008F5DD0" w:rsidP="00264E69">
            <w:pPr>
              <w:spacing w:after="60" w:line="240" w:lineRule="auto"/>
              <w:jc w:val="left"/>
              <w:rPr>
                <w:lang w:val="es-ES_tradnl"/>
              </w:rPr>
            </w:pPr>
            <w:r w:rsidRPr="00C90461">
              <w:rPr>
                <w:lang w:val="es-ES_tradnl"/>
              </w:rPr>
              <w:t xml:space="preserve">Una base de datos en la que podamos comprobar si la variedad ya se ha examinado puede ayudar a mejorar la cooperación en el examen DHE. </w:t>
            </w:r>
          </w:p>
        </w:tc>
      </w:tr>
      <w:tr w:rsidR="008F5DD0" w:rsidRPr="00C90461" w14:paraId="0272A20B" w14:textId="77777777" w:rsidTr="008F5DD0">
        <w:tc>
          <w:tcPr>
            <w:tcW w:w="9393" w:type="dxa"/>
          </w:tcPr>
          <w:p w14:paraId="70262552" w14:textId="77777777" w:rsidR="008F5DD0" w:rsidRPr="00C90461" w:rsidRDefault="008F5DD0" w:rsidP="00264E69">
            <w:pPr>
              <w:spacing w:after="60" w:line="240" w:lineRule="auto"/>
              <w:jc w:val="left"/>
              <w:rPr>
                <w:lang w:val="es-ES_tradnl"/>
              </w:rPr>
            </w:pPr>
            <w:r w:rsidRPr="00C90461">
              <w:rPr>
                <w:lang w:val="es-ES_tradnl"/>
              </w:rPr>
              <w:t xml:space="preserve">En este momento no puedo especificar ninguno. </w:t>
            </w:r>
          </w:p>
        </w:tc>
      </w:tr>
      <w:tr w:rsidR="008F5DD0" w:rsidRPr="00C90461" w14:paraId="7DE6E674" w14:textId="77777777" w:rsidTr="008F5DD0">
        <w:tc>
          <w:tcPr>
            <w:tcW w:w="9393" w:type="dxa"/>
          </w:tcPr>
          <w:p w14:paraId="02BF3F2A" w14:textId="77777777" w:rsidR="008F5DD0" w:rsidRPr="00C90461" w:rsidRDefault="008F5DD0" w:rsidP="00264E69">
            <w:pPr>
              <w:spacing w:after="60" w:line="240" w:lineRule="auto"/>
              <w:jc w:val="left"/>
              <w:rPr>
                <w:lang w:val="es-ES_tradnl"/>
              </w:rPr>
            </w:pPr>
            <w:r w:rsidRPr="00C90461">
              <w:rPr>
                <w:lang w:val="es-ES_tradnl"/>
              </w:rPr>
              <w:t xml:space="preserve">En este momento no visualizamos ninguna novedad que pueda aumentar la aceptación de informes DHE en el futuro. </w:t>
            </w:r>
          </w:p>
        </w:tc>
      </w:tr>
      <w:tr w:rsidR="008F5DD0" w:rsidRPr="00C90461" w14:paraId="62CDEF09" w14:textId="77777777" w:rsidTr="008F5DD0">
        <w:tc>
          <w:tcPr>
            <w:tcW w:w="9393" w:type="dxa"/>
          </w:tcPr>
          <w:p w14:paraId="1E23E9D2" w14:textId="77777777" w:rsidR="008F5DD0" w:rsidRPr="00C90461" w:rsidRDefault="008F5DD0" w:rsidP="00264E69">
            <w:pPr>
              <w:spacing w:after="60" w:line="240" w:lineRule="auto"/>
              <w:jc w:val="left"/>
              <w:rPr>
                <w:lang w:val="es-ES_tradnl"/>
              </w:rPr>
            </w:pPr>
            <w:r w:rsidRPr="00C90461">
              <w:rPr>
                <w:lang w:val="es-ES_tradnl"/>
              </w:rPr>
              <w:t xml:space="preserve">Definir de manera más precisa las condiciones cuando el examen se realiza en las instalaciones de los obtentores. </w:t>
            </w:r>
          </w:p>
        </w:tc>
      </w:tr>
      <w:tr w:rsidR="008F5DD0" w:rsidRPr="00C90461" w14:paraId="79E94697" w14:textId="77777777" w:rsidTr="008F5DD0">
        <w:tc>
          <w:tcPr>
            <w:tcW w:w="9393" w:type="dxa"/>
          </w:tcPr>
          <w:p w14:paraId="11580CA1" w14:textId="77777777" w:rsidR="008F5DD0" w:rsidRPr="00C90461" w:rsidRDefault="008F5DD0" w:rsidP="00264E69">
            <w:pPr>
              <w:spacing w:after="60" w:line="240" w:lineRule="auto"/>
              <w:jc w:val="left"/>
              <w:rPr>
                <w:lang w:val="es-ES_tradnl"/>
              </w:rPr>
            </w:pPr>
            <w:r w:rsidRPr="00C90461">
              <w:rPr>
                <w:lang w:val="es-ES_tradnl"/>
              </w:rPr>
              <w:t xml:space="preserve">No </w:t>
            </w:r>
          </w:p>
        </w:tc>
      </w:tr>
      <w:tr w:rsidR="008F5DD0" w:rsidRPr="00C90461" w14:paraId="69AE7BC9" w14:textId="77777777" w:rsidTr="008F5DD0">
        <w:tc>
          <w:tcPr>
            <w:tcW w:w="9393" w:type="dxa"/>
          </w:tcPr>
          <w:p w14:paraId="0546015A" w14:textId="77777777" w:rsidR="008F5DD0" w:rsidRPr="00C90461" w:rsidRDefault="008F5DD0" w:rsidP="00264E69">
            <w:pPr>
              <w:spacing w:after="60" w:line="240" w:lineRule="auto"/>
              <w:jc w:val="left"/>
              <w:rPr>
                <w:lang w:val="es-ES_tradnl"/>
              </w:rPr>
            </w:pPr>
            <w:r w:rsidRPr="00C90461">
              <w:rPr>
                <w:lang w:val="es-ES_tradnl"/>
              </w:rPr>
              <w:t xml:space="preserve">Sí, activar la cooperación con la UPOV para las maneras de usar los exámenes y sus usos y fomentar que se utilicen correctamente. </w:t>
            </w:r>
          </w:p>
        </w:tc>
      </w:tr>
      <w:tr w:rsidR="008F5DD0" w:rsidRPr="00C90461" w14:paraId="6E1EE9C9" w14:textId="77777777" w:rsidTr="008F5DD0">
        <w:tc>
          <w:tcPr>
            <w:tcW w:w="9393" w:type="dxa"/>
          </w:tcPr>
          <w:p w14:paraId="65CFC0A8" w14:textId="77777777" w:rsidR="008F5DD0" w:rsidRPr="00C90461" w:rsidRDefault="008F5DD0" w:rsidP="00264E69">
            <w:pPr>
              <w:spacing w:after="60" w:line="240" w:lineRule="auto"/>
              <w:jc w:val="left"/>
              <w:rPr>
                <w:lang w:val="es-ES_tradnl"/>
              </w:rPr>
            </w:pPr>
            <w:r w:rsidRPr="00C90461">
              <w:rPr>
                <w:lang w:val="es-ES_tradnl"/>
              </w:rPr>
              <w:lastRenderedPageBreak/>
              <w:t xml:space="preserve">No se prevé ninguna novedad de este tipo. </w:t>
            </w:r>
          </w:p>
        </w:tc>
      </w:tr>
      <w:tr w:rsidR="008F5DD0" w:rsidRPr="00C90461" w14:paraId="7C5F1602" w14:textId="77777777" w:rsidTr="008F5DD0">
        <w:tc>
          <w:tcPr>
            <w:tcW w:w="9393" w:type="dxa"/>
          </w:tcPr>
          <w:p w14:paraId="32FBAE6B" w14:textId="77777777" w:rsidR="008F5DD0" w:rsidRPr="00C90461" w:rsidRDefault="008F5DD0" w:rsidP="00264E69">
            <w:pPr>
              <w:spacing w:after="60" w:line="240" w:lineRule="auto"/>
              <w:jc w:val="left"/>
              <w:rPr>
                <w:lang w:val="es-ES_tradnl"/>
              </w:rPr>
            </w:pPr>
            <w:r w:rsidRPr="00C90461">
              <w:rPr>
                <w:lang w:val="es-ES_tradnl"/>
              </w:rPr>
              <w:t xml:space="preserve">no </w:t>
            </w:r>
          </w:p>
        </w:tc>
      </w:tr>
      <w:tr w:rsidR="008F5DD0" w:rsidRPr="00C90461" w14:paraId="2DA06DDC" w14:textId="77777777" w:rsidTr="008F5DD0">
        <w:tc>
          <w:tcPr>
            <w:tcW w:w="9393" w:type="dxa"/>
          </w:tcPr>
          <w:p w14:paraId="66DC5471" w14:textId="77777777" w:rsidR="008F5DD0" w:rsidRPr="00C90461" w:rsidRDefault="008F5DD0" w:rsidP="00264E69">
            <w:pPr>
              <w:spacing w:after="60" w:line="240" w:lineRule="auto"/>
              <w:jc w:val="left"/>
              <w:rPr>
                <w:lang w:val="es-ES_tradnl"/>
              </w:rPr>
            </w:pPr>
            <w:r w:rsidRPr="00C90461">
              <w:rPr>
                <w:lang w:val="es-ES_tradnl"/>
              </w:rPr>
              <w:t xml:space="preserve">Depende de la legislación correspondiente de la Unión Europea. </w:t>
            </w:r>
          </w:p>
        </w:tc>
      </w:tr>
      <w:tr w:rsidR="008F5DD0" w:rsidRPr="00C90461" w14:paraId="5C973FC8" w14:textId="77777777" w:rsidTr="008F5DD0">
        <w:tc>
          <w:tcPr>
            <w:tcW w:w="9393" w:type="dxa"/>
          </w:tcPr>
          <w:p w14:paraId="7EA35F98" w14:textId="77777777" w:rsidR="008F5DD0" w:rsidRPr="00C90461" w:rsidRDefault="008F5DD0" w:rsidP="00264E69">
            <w:pPr>
              <w:spacing w:after="60" w:line="240" w:lineRule="auto"/>
              <w:jc w:val="left"/>
              <w:rPr>
                <w:lang w:val="es-ES_tradnl"/>
              </w:rPr>
            </w:pPr>
            <w:r w:rsidRPr="00C90461">
              <w:rPr>
                <w:lang w:val="es-ES_tradnl"/>
              </w:rPr>
              <w:t xml:space="preserve">No, ninguna </w:t>
            </w:r>
          </w:p>
        </w:tc>
      </w:tr>
      <w:tr w:rsidR="008F5DD0" w:rsidRPr="00C90461" w14:paraId="3217DB12" w14:textId="77777777" w:rsidTr="008F5DD0">
        <w:tc>
          <w:tcPr>
            <w:tcW w:w="9393" w:type="dxa"/>
          </w:tcPr>
          <w:p w14:paraId="3176B559" w14:textId="77777777" w:rsidR="008F5DD0" w:rsidRPr="00C90461" w:rsidRDefault="008F5DD0" w:rsidP="00264E69">
            <w:pPr>
              <w:spacing w:after="60" w:line="240" w:lineRule="auto"/>
              <w:jc w:val="left"/>
              <w:rPr>
                <w:lang w:val="es-ES_tradnl"/>
              </w:rPr>
            </w:pPr>
            <w:r w:rsidRPr="00C90461">
              <w:rPr>
                <w:lang w:val="es-ES_tradnl"/>
              </w:rPr>
              <w:t xml:space="preserve">Aceptamos el informe DHE conforme a la ley </w:t>
            </w:r>
          </w:p>
        </w:tc>
      </w:tr>
      <w:tr w:rsidR="008F5DD0" w:rsidRPr="00C90461" w14:paraId="105E5EAE" w14:textId="77777777" w:rsidTr="008F5DD0">
        <w:tc>
          <w:tcPr>
            <w:tcW w:w="9393" w:type="dxa"/>
          </w:tcPr>
          <w:p w14:paraId="583BFCCE" w14:textId="353519FE" w:rsidR="008F5DD0" w:rsidRPr="00C90461" w:rsidRDefault="008F5DD0" w:rsidP="00264E69">
            <w:pPr>
              <w:spacing w:after="60" w:line="240" w:lineRule="auto"/>
              <w:jc w:val="left"/>
              <w:rPr>
                <w:lang w:val="es-ES_tradnl"/>
              </w:rPr>
            </w:pPr>
            <w:r w:rsidRPr="00C90461">
              <w:rPr>
                <w:lang w:val="es-ES_tradnl"/>
              </w:rPr>
              <w:t xml:space="preserve">Se debe acordar un memorando de cooperación entre la OCVV y otro miembro de la UPOV. </w:t>
            </w:r>
          </w:p>
        </w:tc>
      </w:tr>
      <w:tr w:rsidR="008F5DD0" w:rsidRPr="00C90461" w14:paraId="6010B9C4" w14:textId="77777777" w:rsidTr="008F5DD0">
        <w:tc>
          <w:tcPr>
            <w:tcW w:w="9393" w:type="dxa"/>
          </w:tcPr>
          <w:p w14:paraId="0F62E5A6" w14:textId="6BCA158E" w:rsidR="008F5DD0" w:rsidRPr="00C90461" w:rsidRDefault="008F5DD0" w:rsidP="00264E69">
            <w:pPr>
              <w:spacing w:after="60" w:line="240" w:lineRule="auto"/>
              <w:jc w:val="left"/>
              <w:rPr>
                <w:lang w:val="es-ES_tradnl"/>
              </w:rPr>
            </w:pPr>
            <w:r w:rsidRPr="00C90461">
              <w:rPr>
                <w:lang w:val="es-ES_tradnl"/>
              </w:rPr>
              <w:t xml:space="preserve">El Reino Unido está en las etapas preliminares de la creación de una estrategia de cinco años para las variedades vegetales y las semillas. Se prevé que esta estrategia cubra varios aspectos y es probable que entre ellos se encuentre el planteamiento del Reino Unido para el examen DHE. En esta etapa preliminar, no sabemos si la estrategia tendrá algún efecto en el planteamiento del Reino Unido para el examen DHE. </w:t>
            </w:r>
          </w:p>
        </w:tc>
      </w:tr>
      <w:tr w:rsidR="008F5DD0" w:rsidRPr="00C90461" w14:paraId="0B0FE7FB" w14:textId="77777777" w:rsidTr="008F5DD0">
        <w:tc>
          <w:tcPr>
            <w:tcW w:w="9393" w:type="dxa"/>
          </w:tcPr>
          <w:p w14:paraId="7CB37156" w14:textId="77777777" w:rsidR="008F5DD0" w:rsidRPr="00C90461" w:rsidRDefault="008F5DD0" w:rsidP="00264E69">
            <w:pPr>
              <w:spacing w:after="60" w:line="240" w:lineRule="auto"/>
              <w:jc w:val="left"/>
              <w:rPr>
                <w:lang w:val="es-ES_tradnl"/>
              </w:rPr>
            </w:pPr>
            <w:r w:rsidRPr="00C90461">
              <w:rPr>
                <w:lang w:val="es-ES_tradnl"/>
              </w:rPr>
              <w:t xml:space="preserve">NO </w:t>
            </w:r>
          </w:p>
        </w:tc>
      </w:tr>
      <w:tr w:rsidR="008F5DD0" w:rsidRPr="00C90461" w14:paraId="3BDB827B" w14:textId="77777777" w:rsidTr="008F5DD0">
        <w:tc>
          <w:tcPr>
            <w:tcW w:w="9393" w:type="dxa"/>
          </w:tcPr>
          <w:p w14:paraId="7C4345D9" w14:textId="77777777" w:rsidR="008F5DD0" w:rsidRPr="00C90461" w:rsidRDefault="008F5DD0" w:rsidP="00264E69">
            <w:pPr>
              <w:spacing w:after="60" w:line="240" w:lineRule="auto"/>
              <w:jc w:val="left"/>
              <w:rPr>
                <w:lang w:val="es-ES_tradnl"/>
              </w:rPr>
            </w:pPr>
            <w:r w:rsidRPr="00C90461">
              <w:rPr>
                <w:lang w:val="es-ES_tradnl"/>
              </w:rPr>
              <w:t xml:space="preserve">POR EL MOMENTO, NO </w:t>
            </w:r>
          </w:p>
        </w:tc>
      </w:tr>
      <w:tr w:rsidR="008F5DD0" w:rsidRPr="00C90461" w14:paraId="22F4C938" w14:textId="77777777" w:rsidTr="008F5DD0">
        <w:tc>
          <w:tcPr>
            <w:tcW w:w="9393" w:type="dxa"/>
          </w:tcPr>
          <w:p w14:paraId="6F296AD8" w14:textId="77777777" w:rsidR="008F5DD0" w:rsidRPr="00C90461" w:rsidRDefault="008F5DD0" w:rsidP="00264E69">
            <w:pPr>
              <w:spacing w:after="60" w:line="240" w:lineRule="auto"/>
              <w:jc w:val="left"/>
              <w:rPr>
                <w:lang w:val="es-ES_tradnl"/>
              </w:rPr>
            </w:pPr>
            <w:r w:rsidRPr="00C90461">
              <w:rPr>
                <w:lang w:val="es-ES_tradnl"/>
              </w:rPr>
              <w:t xml:space="preserve">Nuestra ley permite aceptar cualquier informe DHE realizado según las normas de la UPOV. </w:t>
            </w:r>
          </w:p>
        </w:tc>
      </w:tr>
      <w:tr w:rsidR="008F5DD0" w:rsidRPr="00C90461" w14:paraId="3A3A37E3" w14:textId="77777777" w:rsidTr="008F5DD0">
        <w:tc>
          <w:tcPr>
            <w:tcW w:w="9393" w:type="dxa"/>
          </w:tcPr>
          <w:p w14:paraId="23D840CA" w14:textId="77777777" w:rsidR="008F5DD0" w:rsidRPr="00C90461" w:rsidRDefault="008F5DD0" w:rsidP="00264E69">
            <w:pPr>
              <w:spacing w:after="60" w:line="240" w:lineRule="auto"/>
              <w:jc w:val="left"/>
              <w:rPr>
                <w:lang w:val="es-ES_tradnl"/>
              </w:rPr>
            </w:pPr>
            <w:r w:rsidRPr="00C90461">
              <w:rPr>
                <w:lang w:val="es-ES_tradnl"/>
              </w:rPr>
              <w:t xml:space="preserve">Aumentar la aceptación y el uso de las directrices de examen de la UPOV al realizar los exámenes DHE. </w:t>
            </w:r>
          </w:p>
        </w:tc>
      </w:tr>
      <w:tr w:rsidR="008F5DD0" w:rsidRPr="00C90461" w14:paraId="28163D08" w14:textId="77777777" w:rsidTr="008F5DD0">
        <w:tc>
          <w:tcPr>
            <w:tcW w:w="9393" w:type="dxa"/>
          </w:tcPr>
          <w:p w14:paraId="667EC346" w14:textId="77777777" w:rsidR="008F5DD0" w:rsidRPr="00C90461" w:rsidRDefault="008F5DD0" w:rsidP="00264E69">
            <w:pPr>
              <w:spacing w:after="60" w:line="240" w:lineRule="auto"/>
              <w:jc w:val="left"/>
              <w:rPr>
                <w:lang w:val="es-ES_tradnl"/>
              </w:rPr>
            </w:pPr>
            <w:r w:rsidRPr="00C90461">
              <w:rPr>
                <w:lang w:val="es-ES_tradnl"/>
              </w:rPr>
              <w:t xml:space="preserve">Contar con directrices de examen de la UPOV para la mayor cantidad posible de especies vegetales. </w:t>
            </w:r>
          </w:p>
        </w:tc>
      </w:tr>
      <w:tr w:rsidR="008F5DD0" w:rsidRPr="00C90461" w14:paraId="6A124E82" w14:textId="77777777" w:rsidTr="008F5DD0">
        <w:tc>
          <w:tcPr>
            <w:tcW w:w="9393" w:type="dxa"/>
          </w:tcPr>
          <w:p w14:paraId="78302542" w14:textId="77777777" w:rsidR="008F5DD0" w:rsidRPr="00C90461" w:rsidRDefault="008F5DD0" w:rsidP="00264E69">
            <w:pPr>
              <w:spacing w:after="60" w:line="240" w:lineRule="auto"/>
              <w:jc w:val="left"/>
              <w:rPr>
                <w:lang w:val="es-ES_tradnl"/>
              </w:rPr>
            </w:pPr>
            <w:r w:rsidRPr="00C90461">
              <w:rPr>
                <w:lang w:val="es-ES_tradnl"/>
              </w:rPr>
              <w:t xml:space="preserve">En este momento, ninguna novedad adecuada </w:t>
            </w:r>
          </w:p>
        </w:tc>
      </w:tr>
      <w:tr w:rsidR="008F5DD0" w:rsidRPr="00C90461" w14:paraId="43F95377" w14:textId="77777777" w:rsidTr="008F5DD0">
        <w:tc>
          <w:tcPr>
            <w:tcW w:w="9393" w:type="dxa"/>
          </w:tcPr>
          <w:p w14:paraId="5B5AC30B" w14:textId="77777777" w:rsidR="008F5DD0" w:rsidRPr="00C90461" w:rsidRDefault="008F5DD0" w:rsidP="00264E69">
            <w:pPr>
              <w:spacing w:after="60" w:line="240" w:lineRule="auto"/>
              <w:jc w:val="left"/>
              <w:rPr>
                <w:lang w:val="es-ES_tradnl"/>
              </w:rPr>
            </w:pPr>
            <w:r w:rsidRPr="00C90461">
              <w:rPr>
                <w:lang w:val="es-ES_tradnl"/>
              </w:rPr>
              <w:t xml:space="preserve">No </w:t>
            </w:r>
          </w:p>
        </w:tc>
      </w:tr>
      <w:tr w:rsidR="008F5DD0" w:rsidRPr="00C90461" w14:paraId="5EFF1BD1" w14:textId="77777777" w:rsidTr="008F5DD0">
        <w:tc>
          <w:tcPr>
            <w:tcW w:w="9393" w:type="dxa"/>
          </w:tcPr>
          <w:p w14:paraId="4F03C73C" w14:textId="77777777" w:rsidR="008F5DD0" w:rsidRPr="00C90461" w:rsidRDefault="008F5DD0" w:rsidP="00264E69">
            <w:pPr>
              <w:spacing w:after="60" w:line="240" w:lineRule="auto"/>
              <w:jc w:val="left"/>
              <w:rPr>
                <w:lang w:val="es-ES_tradnl"/>
              </w:rPr>
            </w:pPr>
            <w:r w:rsidRPr="00C90461">
              <w:rPr>
                <w:lang w:val="es-ES_tradnl"/>
              </w:rPr>
              <w:t xml:space="preserve">1. El diálogo con las industrias locales puede aumentar nuestra aceptación de determinados informes DHE. 2. La cooperación y una mejora de la comunicación con otras autoridades de protección de las obtenciones vegetales. </w:t>
            </w:r>
          </w:p>
        </w:tc>
      </w:tr>
      <w:tr w:rsidR="008F5DD0" w:rsidRPr="00C90461" w14:paraId="1C4E71CE" w14:textId="77777777" w:rsidTr="008F5DD0">
        <w:tc>
          <w:tcPr>
            <w:tcW w:w="9393" w:type="dxa"/>
          </w:tcPr>
          <w:p w14:paraId="7BDB04A7" w14:textId="77777777" w:rsidR="008F5DD0" w:rsidRPr="00C90461" w:rsidRDefault="008F5DD0" w:rsidP="00264E69">
            <w:pPr>
              <w:spacing w:after="60" w:line="240" w:lineRule="auto"/>
              <w:jc w:val="left"/>
              <w:rPr>
                <w:lang w:val="es-ES_tradnl"/>
              </w:rPr>
            </w:pPr>
            <w:r w:rsidRPr="00C90461">
              <w:rPr>
                <w:lang w:val="es-ES_tradnl"/>
              </w:rPr>
              <w:t xml:space="preserve">puede ocurrir </w:t>
            </w:r>
          </w:p>
        </w:tc>
      </w:tr>
      <w:tr w:rsidR="008F5DD0" w:rsidRPr="00C90461" w14:paraId="68485BEF" w14:textId="77777777" w:rsidTr="008F5DD0">
        <w:tc>
          <w:tcPr>
            <w:tcW w:w="9393" w:type="dxa"/>
          </w:tcPr>
          <w:p w14:paraId="0870BE7C" w14:textId="77777777" w:rsidR="008F5DD0" w:rsidRPr="00C90461" w:rsidRDefault="008F5DD0" w:rsidP="00264E69">
            <w:pPr>
              <w:spacing w:after="60" w:line="240" w:lineRule="auto"/>
              <w:jc w:val="left"/>
              <w:rPr>
                <w:lang w:val="es-ES_tradnl"/>
              </w:rPr>
            </w:pPr>
            <w:r w:rsidRPr="00C90461">
              <w:rPr>
                <w:lang w:val="es-ES_tradnl"/>
              </w:rPr>
              <w:t xml:space="preserve">no </w:t>
            </w:r>
          </w:p>
        </w:tc>
      </w:tr>
      <w:tr w:rsidR="008F5DD0" w:rsidRPr="00C90461" w14:paraId="67C92C83" w14:textId="77777777" w:rsidTr="008F5DD0">
        <w:tc>
          <w:tcPr>
            <w:tcW w:w="9393" w:type="dxa"/>
          </w:tcPr>
          <w:p w14:paraId="3AFBC534" w14:textId="77777777" w:rsidR="008F5DD0" w:rsidRPr="00C90461" w:rsidRDefault="008F5DD0" w:rsidP="00264E69">
            <w:pPr>
              <w:spacing w:after="60" w:line="240" w:lineRule="auto"/>
              <w:jc w:val="left"/>
              <w:rPr>
                <w:lang w:val="es-ES_tradnl"/>
              </w:rPr>
            </w:pPr>
            <w:r w:rsidRPr="00C90461">
              <w:rPr>
                <w:lang w:val="es-ES_tradnl"/>
              </w:rPr>
              <w:t xml:space="preserve">Contar con una gran colección de referencia. Tener conocimientos técnicos sobre la especie en cuestión. </w:t>
            </w:r>
          </w:p>
        </w:tc>
      </w:tr>
      <w:tr w:rsidR="008F5DD0" w:rsidRPr="00C90461" w14:paraId="212AEB26" w14:textId="77777777" w:rsidTr="008F5DD0">
        <w:tc>
          <w:tcPr>
            <w:tcW w:w="9393" w:type="dxa"/>
          </w:tcPr>
          <w:p w14:paraId="2BBD8884" w14:textId="6CD3EE89" w:rsidR="008F5DD0" w:rsidRPr="00C90461" w:rsidRDefault="008F5DD0" w:rsidP="00264E69">
            <w:pPr>
              <w:spacing w:after="60" w:line="240" w:lineRule="auto"/>
              <w:jc w:val="left"/>
              <w:rPr>
                <w:lang w:val="es-ES_tradnl"/>
              </w:rPr>
            </w:pPr>
            <w:r w:rsidRPr="00C90461">
              <w:rPr>
                <w:lang w:val="es-ES_tradnl"/>
              </w:rPr>
              <w:t xml:space="preserve">En caso de reciprocidad en el trato entre países: es decir, la Oficina Egipcia de Protección acepta los informes de DHE de los Estados miembros de la UPOV, de manera que estos países deben tener en cuenta los resultados de la oficina egipcia de protección. </w:t>
            </w:r>
          </w:p>
        </w:tc>
      </w:tr>
      <w:tr w:rsidR="008F5DD0" w:rsidRPr="00C90461" w14:paraId="3DCFEEFB" w14:textId="77777777" w:rsidTr="008F5DD0">
        <w:tc>
          <w:tcPr>
            <w:tcW w:w="9393" w:type="dxa"/>
          </w:tcPr>
          <w:p w14:paraId="068BD751" w14:textId="77777777" w:rsidR="008F5DD0" w:rsidRPr="00C90461" w:rsidRDefault="008F5DD0" w:rsidP="00264E69">
            <w:pPr>
              <w:spacing w:after="60" w:line="240" w:lineRule="auto"/>
              <w:jc w:val="left"/>
              <w:rPr>
                <w:lang w:val="es-ES_tradnl"/>
              </w:rPr>
            </w:pPr>
            <w:r w:rsidRPr="00C90461">
              <w:rPr>
                <w:lang w:val="es-ES_tradnl"/>
              </w:rPr>
              <w:t xml:space="preserve">no hay ninguna </w:t>
            </w:r>
          </w:p>
        </w:tc>
      </w:tr>
      <w:tr w:rsidR="008F5DD0" w:rsidRPr="00C90461" w14:paraId="154FE483" w14:textId="77777777" w:rsidTr="008F5DD0">
        <w:tc>
          <w:tcPr>
            <w:tcW w:w="9393" w:type="dxa"/>
          </w:tcPr>
          <w:p w14:paraId="6D0FE1A2" w14:textId="77777777" w:rsidR="008F5DD0" w:rsidRPr="00C90461" w:rsidRDefault="008F5DD0" w:rsidP="00264E69">
            <w:pPr>
              <w:spacing w:after="60" w:line="240" w:lineRule="auto"/>
              <w:jc w:val="left"/>
              <w:rPr>
                <w:lang w:val="es-ES_tradnl"/>
              </w:rPr>
            </w:pPr>
            <w:r w:rsidRPr="00C90461">
              <w:rPr>
                <w:lang w:val="es-ES_tradnl"/>
              </w:rPr>
              <w:t xml:space="preserve">Puede depender de los reglamentos de la Unión Europea </w:t>
            </w:r>
          </w:p>
        </w:tc>
      </w:tr>
      <w:tr w:rsidR="008F5DD0" w:rsidRPr="00C90461" w14:paraId="1751ADA4" w14:textId="77777777" w:rsidTr="008F5DD0">
        <w:tc>
          <w:tcPr>
            <w:tcW w:w="9393" w:type="dxa"/>
          </w:tcPr>
          <w:p w14:paraId="34FE355B" w14:textId="77777777" w:rsidR="008F5DD0" w:rsidRPr="00C90461" w:rsidRDefault="008F5DD0" w:rsidP="00264E69">
            <w:pPr>
              <w:spacing w:after="60" w:line="240" w:lineRule="auto"/>
              <w:jc w:val="left"/>
              <w:rPr>
                <w:lang w:val="es-ES_tradnl"/>
              </w:rPr>
            </w:pPr>
            <w:r w:rsidRPr="00C90461">
              <w:rPr>
                <w:lang w:val="es-ES_tradnl"/>
              </w:rPr>
              <w:t xml:space="preserve">no recuerdo ninguna </w:t>
            </w:r>
          </w:p>
        </w:tc>
      </w:tr>
      <w:tr w:rsidR="008F5DD0" w:rsidRPr="00C90461" w14:paraId="311FB230" w14:textId="77777777" w:rsidTr="008F5DD0">
        <w:tc>
          <w:tcPr>
            <w:tcW w:w="9393" w:type="dxa"/>
          </w:tcPr>
          <w:p w14:paraId="337F2E4B" w14:textId="77777777" w:rsidR="008F5DD0" w:rsidRPr="00C90461" w:rsidRDefault="008F5DD0" w:rsidP="00264E69">
            <w:pPr>
              <w:spacing w:after="60" w:line="240" w:lineRule="auto"/>
              <w:jc w:val="left"/>
              <w:rPr>
                <w:lang w:val="es-ES_tradnl"/>
              </w:rPr>
            </w:pPr>
            <w:r w:rsidRPr="00C90461">
              <w:rPr>
                <w:lang w:val="es-ES_tradnl"/>
              </w:rPr>
              <w:t xml:space="preserve">Ninguna por el momento. </w:t>
            </w:r>
          </w:p>
        </w:tc>
      </w:tr>
      <w:tr w:rsidR="008F5DD0" w:rsidRPr="00C90461" w14:paraId="2EE15267" w14:textId="77777777" w:rsidTr="008F5DD0">
        <w:tc>
          <w:tcPr>
            <w:tcW w:w="9393" w:type="dxa"/>
          </w:tcPr>
          <w:p w14:paraId="2803A518" w14:textId="77777777" w:rsidR="008F5DD0" w:rsidRPr="00C90461" w:rsidRDefault="008F5DD0" w:rsidP="00C91F15">
            <w:pPr>
              <w:spacing w:after="60" w:line="240" w:lineRule="auto"/>
              <w:jc w:val="left"/>
              <w:rPr>
                <w:lang w:val="es-ES_tradnl"/>
              </w:rPr>
            </w:pPr>
            <w:r w:rsidRPr="00C90461">
              <w:rPr>
                <w:lang w:val="es-ES_tradnl"/>
              </w:rPr>
              <w:lastRenderedPageBreak/>
              <w:t xml:space="preserve">Comenzar a promover la cooperación en el examen de las variedades vegetales poco comunes, de las que se comercian pocas variedades nacionales. Para las especies vegetales obtenidas en nuestro país y que tienen un gran número de variedades, además de la coordinación técnica y la armonización, debemos insistir en mejorar la coherencia entre los caracteres de nuestro país y del extranjero y para ello utilizar las mismas variedades de referencia además de </w:t>
            </w:r>
            <w:r w:rsidRPr="00C90461">
              <w:rPr>
                <w:i/>
                <w:iCs/>
                <w:lang w:val="es-ES_tradnl"/>
              </w:rPr>
              <w:t xml:space="preserve">ring </w:t>
            </w:r>
            <w:proofErr w:type="spellStart"/>
            <w:r w:rsidRPr="00C90461">
              <w:rPr>
                <w:i/>
                <w:iCs/>
                <w:lang w:val="es-ES_tradnl"/>
              </w:rPr>
              <w:t>tests</w:t>
            </w:r>
            <w:proofErr w:type="spellEnd"/>
            <w:r w:rsidRPr="00C90461">
              <w:rPr>
                <w:lang w:val="es-ES_tradnl"/>
              </w:rPr>
              <w:t xml:space="preserve">. </w:t>
            </w:r>
          </w:p>
        </w:tc>
      </w:tr>
    </w:tbl>
    <w:p w14:paraId="3DB8D1F6" w14:textId="77777777" w:rsidR="00D9494F" w:rsidRPr="00C90461" w:rsidRDefault="00D9494F" w:rsidP="00D9494F">
      <w:pPr>
        <w:rPr>
          <w:lang w:val="es-ES_tradnl"/>
        </w:rPr>
      </w:pPr>
    </w:p>
    <w:p w14:paraId="317E5C0B" w14:textId="05A6C560" w:rsidR="00D9494F" w:rsidRPr="00C90461" w:rsidRDefault="00D9494F" w:rsidP="00D9494F">
      <w:pPr>
        <w:rPr>
          <w:lang w:val="es-ES_tradnl"/>
        </w:rPr>
      </w:pPr>
    </w:p>
    <w:p w14:paraId="69EEAB9F" w14:textId="77777777" w:rsidR="00264E69" w:rsidRPr="00C90461" w:rsidRDefault="00264E69" w:rsidP="00D9494F">
      <w:pPr>
        <w:rPr>
          <w:lang w:val="es-ES_tradnl"/>
        </w:rPr>
      </w:pPr>
    </w:p>
    <w:p w14:paraId="26773421" w14:textId="2217C167" w:rsidR="00DA310B" w:rsidRPr="00C90461" w:rsidRDefault="00DA310B" w:rsidP="008F5DD0">
      <w:pPr>
        <w:jc w:val="right"/>
        <w:rPr>
          <w:lang w:val="es-ES_tradnl"/>
        </w:rPr>
      </w:pPr>
      <w:r w:rsidRPr="00C90461">
        <w:rPr>
          <w:lang w:val="es-ES_tradnl"/>
        </w:rPr>
        <w:t>[Fin del Anexo II y del documento]</w:t>
      </w:r>
    </w:p>
    <w:p w14:paraId="46178C76" w14:textId="77777777" w:rsidR="00050E16" w:rsidRPr="00C90461" w:rsidRDefault="00050E16" w:rsidP="00DA310B">
      <w:pPr>
        <w:rPr>
          <w:sz w:val="12"/>
          <w:szCs w:val="12"/>
          <w:lang w:val="es-ES_tradnl"/>
        </w:rPr>
      </w:pPr>
    </w:p>
    <w:sectPr w:rsidR="00050E16" w:rsidRPr="00C90461" w:rsidSect="0004198B">
      <w:headerReference w:type="default" r:id="rId26"/>
      <w:headerReference w:type="first" r:id="rId2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B7387D" w14:textId="77777777" w:rsidR="006555F9" w:rsidRDefault="006555F9" w:rsidP="006655D3">
      <w:r>
        <w:separator/>
      </w:r>
    </w:p>
    <w:p w14:paraId="60FED977" w14:textId="77777777" w:rsidR="006555F9" w:rsidRDefault="006555F9" w:rsidP="006655D3"/>
    <w:p w14:paraId="2BE9A411" w14:textId="77777777" w:rsidR="006555F9" w:rsidRDefault="006555F9" w:rsidP="006655D3"/>
  </w:endnote>
  <w:endnote w:type="continuationSeparator" w:id="0">
    <w:p w14:paraId="098F2853" w14:textId="77777777" w:rsidR="006555F9" w:rsidRDefault="006555F9" w:rsidP="006655D3">
      <w:r>
        <w:separator/>
      </w:r>
    </w:p>
    <w:p w14:paraId="540AA688" w14:textId="77777777" w:rsidR="006555F9" w:rsidRPr="00294751" w:rsidRDefault="006555F9">
      <w:pPr>
        <w:pStyle w:val="Footer"/>
        <w:spacing w:after="60"/>
        <w:rPr>
          <w:sz w:val="18"/>
          <w:lang w:val="fr-FR"/>
        </w:rPr>
      </w:pPr>
      <w:r w:rsidRPr="00294751">
        <w:rPr>
          <w:sz w:val="18"/>
          <w:lang w:val="fr-FR"/>
        </w:rPr>
        <w:t>[Suite de la note de la page précédente]</w:t>
      </w:r>
    </w:p>
    <w:p w14:paraId="37A399F5" w14:textId="77777777" w:rsidR="006555F9" w:rsidRPr="00294751" w:rsidRDefault="006555F9" w:rsidP="006655D3">
      <w:pPr>
        <w:rPr>
          <w:lang w:val="fr-FR"/>
        </w:rPr>
      </w:pPr>
    </w:p>
    <w:p w14:paraId="1A560AB9" w14:textId="77777777" w:rsidR="006555F9" w:rsidRPr="00294751" w:rsidRDefault="006555F9" w:rsidP="006655D3">
      <w:pPr>
        <w:rPr>
          <w:lang w:val="fr-FR"/>
        </w:rPr>
      </w:pPr>
    </w:p>
  </w:endnote>
  <w:endnote w:type="continuationNotice" w:id="1">
    <w:p w14:paraId="21FEFF0D" w14:textId="77777777" w:rsidR="006555F9" w:rsidRPr="00294751" w:rsidRDefault="006555F9" w:rsidP="006655D3">
      <w:pPr>
        <w:rPr>
          <w:lang w:val="fr-FR"/>
        </w:rPr>
      </w:pPr>
      <w:r w:rsidRPr="00294751">
        <w:rPr>
          <w:lang w:val="fr-FR"/>
        </w:rPr>
        <w:t>[Suite de la note page suivante]</w:t>
      </w:r>
    </w:p>
    <w:p w14:paraId="4E8B4F7E" w14:textId="77777777" w:rsidR="006555F9" w:rsidRPr="00294751" w:rsidRDefault="006555F9" w:rsidP="006655D3">
      <w:pPr>
        <w:rPr>
          <w:lang w:val="fr-FR"/>
        </w:rPr>
      </w:pPr>
    </w:p>
    <w:p w14:paraId="51757056" w14:textId="77777777" w:rsidR="006555F9" w:rsidRPr="00294751" w:rsidRDefault="006555F9"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C5C880" w14:textId="77777777" w:rsidR="006555F9" w:rsidRDefault="006555F9" w:rsidP="006655D3">
      <w:r>
        <w:separator/>
      </w:r>
    </w:p>
  </w:footnote>
  <w:footnote w:type="continuationSeparator" w:id="0">
    <w:p w14:paraId="273A192D" w14:textId="77777777" w:rsidR="006555F9" w:rsidRDefault="006555F9" w:rsidP="006655D3">
      <w:r>
        <w:separator/>
      </w:r>
    </w:p>
  </w:footnote>
  <w:footnote w:type="continuationNotice" w:id="1">
    <w:p w14:paraId="2EE69DDD" w14:textId="77777777" w:rsidR="006555F9" w:rsidRPr="00AB530F" w:rsidRDefault="006555F9" w:rsidP="00AB530F">
      <w:pPr>
        <w:pStyle w:val="Footer"/>
      </w:pPr>
    </w:p>
  </w:footnote>
  <w:footnote w:id="2">
    <w:p w14:paraId="4BEA96C0" w14:textId="49FCC8C0" w:rsidR="006C3690" w:rsidRDefault="006C3690" w:rsidP="007D1BE6">
      <w:pPr>
        <w:pStyle w:val="FootnoteText"/>
      </w:pPr>
      <w:r>
        <w:rPr>
          <w:rStyle w:val="FootnoteReference"/>
        </w:rPr>
        <w:footnoteRef/>
      </w:r>
      <w:r w:rsidR="003B5311">
        <w:t xml:space="preserve"> </w:t>
      </w:r>
      <w:r>
        <w:t>Septuagésima séptima sesión del CAJ, celebrada por medios electrónicos el 28 de octubre de 2020.</w:t>
      </w:r>
    </w:p>
  </w:footnote>
  <w:footnote w:id="3">
    <w:p w14:paraId="39185877" w14:textId="168FD6EF" w:rsidR="00B33E7A" w:rsidRPr="008663AE" w:rsidRDefault="00B33E7A" w:rsidP="007D1BE6">
      <w:pPr>
        <w:pStyle w:val="FootnoteText"/>
      </w:pPr>
      <w:r>
        <w:rPr>
          <w:rStyle w:val="FootnoteReference"/>
        </w:rPr>
        <w:footnoteRef/>
      </w:r>
      <w:r w:rsidR="003B5311">
        <w:t xml:space="preserve"> </w:t>
      </w:r>
      <w:r>
        <w:t>Septuagésima novena sesión del CAJ celebrada en Ginebra el 26 de octubre de 2022.</w:t>
      </w:r>
    </w:p>
  </w:footnote>
  <w:footnote w:id="4">
    <w:p w14:paraId="7EE47758" w14:textId="442BAAE5" w:rsidR="00B33E7A" w:rsidRPr="00D778BB" w:rsidRDefault="00B33E7A" w:rsidP="007D1BE6">
      <w:pPr>
        <w:pStyle w:val="FootnoteText"/>
      </w:pPr>
      <w:r>
        <w:rPr>
          <w:rStyle w:val="FootnoteReference"/>
        </w:rPr>
        <w:footnoteRef/>
      </w:r>
      <w:r w:rsidR="003B5311">
        <w:t xml:space="preserve"> </w:t>
      </w:r>
      <w:r>
        <w:t>Quincuagésima quinta sesión del TC celebrada en Ginebra los días 28 y el 29 de octubre de 2019.</w:t>
      </w:r>
    </w:p>
  </w:footnote>
  <w:footnote w:id="5">
    <w:p w14:paraId="1DC356A5" w14:textId="12B97076" w:rsidR="00B33E7A" w:rsidRDefault="00B33E7A" w:rsidP="007D1BE6">
      <w:pPr>
        <w:pStyle w:val="FootnoteText"/>
      </w:pPr>
      <w:r>
        <w:rPr>
          <w:rStyle w:val="FootnoteReference"/>
        </w:rPr>
        <w:footnoteRef/>
      </w:r>
      <w:r w:rsidR="003B5311">
        <w:t xml:space="preserve"> </w:t>
      </w:r>
      <w:r>
        <w:t>Quincuagésima sexta sesión del TC celebrada por medios electrónicos los días 26 y 27 de octubre de 2020</w:t>
      </w:r>
    </w:p>
  </w:footnote>
  <w:footnote w:id="6">
    <w:p w14:paraId="69DFAC2A" w14:textId="26D55F28" w:rsidR="00B33E7A" w:rsidRDefault="00B33E7A" w:rsidP="007D1BE6">
      <w:pPr>
        <w:pStyle w:val="FootnoteText"/>
      </w:pPr>
      <w:r>
        <w:rPr>
          <w:rStyle w:val="FootnoteReference"/>
        </w:rPr>
        <w:footnoteRef/>
      </w:r>
      <w:r w:rsidR="003B5311">
        <w:t xml:space="preserve"> </w:t>
      </w:r>
      <w:r>
        <w:t>Septuagésima séptima sesión del CAJ celebrada por medios electrónicos el 28 de octubre de 2020.</w:t>
      </w:r>
    </w:p>
  </w:footnote>
  <w:footnote w:id="7">
    <w:p w14:paraId="3ACF88E6" w14:textId="2BEA8F7E" w:rsidR="00D743BE" w:rsidRDefault="00D743BE" w:rsidP="007D1BE6">
      <w:pPr>
        <w:pStyle w:val="FootnoteText"/>
      </w:pPr>
      <w:r>
        <w:rPr>
          <w:rStyle w:val="FootnoteReference"/>
        </w:rPr>
        <w:footnoteRef/>
      </w:r>
      <w:r>
        <w:t xml:space="preserve"> </w:t>
      </w:r>
      <w:bookmarkStart w:id="11" w:name="_Hlk145343163"/>
      <w:r>
        <w:t>Septuagésima octava sesión del CAJ celebrada en Ginebra el 26 de octubre de 2021.</w:t>
      </w:r>
      <w:bookmarkEnd w:id="11"/>
    </w:p>
  </w:footnote>
  <w:footnote w:id="8">
    <w:p w14:paraId="44DCB840" w14:textId="1D27DCD0" w:rsidR="00B33E7A" w:rsidRDefault="00B33E7A" w:rsidP="007D1BE6">
      <w:pPr>
        <w:pStyle w:val="FootnoteText"/>
      </w:pPr>
      <w:r>
        <w:rPr>
          <w:rStyle w:val="FootnoteReference"/>
        </w:rPr>
        <w:footnoteRef/>
      </w:r>
      <w:r w:rsidR="003B5311">
        <w:t xml:space="preserve"> </w:t>
      </w:r>
      <w:r>
        <w:t>Septuagésima octava sesión del CAJ celebrada en Ginebra el 27 de octubre de 2021.</w:t>
      </w:r>
    </w:p>
  </w:footnote>
  <w:footnote w:id="9">
    <w:p w14:paraId="629545CA" w14:textId="77A418B1" w:rsidR="00B33E7A" w:rsidRPr="008663AE" w:rsidRDefault="00B33E7A" w:rsidP="007D1BE6">
      <w:pPr>
        <w:pStyle w:val="FootnoteText"/>
      </w:pPr>
      <w:r>
        <w:rPr>
          <w:rStyle w:val="FootnoteReference"/>
        </w:rPr>
        <w:footnoteRef/>
      </w:r>
      <w:r w:rsidR="003B5311">
        <w:t xml:space="preserve"> </w:t>
      </w:r>
      <w:r>
        <w:t>Septuagésima novena sesión del CAJ celebrada en Ginebra el 26 de octubre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D9CEF" w14:textId="77777777" w:rsidR="00B33E7A" w:rsidRPr="00C5280D" w:rsidRDefault="00B33E7A" w:rsidP="00EB048E">
    <w:pPr>
      <w:pStyle w:val="Header"/>
      <w:rPr>
        <w:rStyle w:val="PageNumber"/>
      </w:rPr>
    </w:pPr>
    <w:r>
      <w:rPr>
        <w:rStyle w:val="PageNumber"/>
      </w:rPr>
      <w:t>SESSIONS/2023/4</w:t>
    </w:r>
  </w:p>
  <w:p w14:paraId="254A3998" w14:textId="31523F88" w:rsidR="00B33E7A" w:rsidRPr="00C5280D" w:rsidRDefault="00B33E7A" w:rsidP="00941AA9">
    <w:pPr>
      <w:pStyle w:val="Header"/>
      <w:tabs>
        <w:tab w:val="center" w:pos="4819"/>
        <w:tab w:val="left" w:pos="5918"/>
      </w:tabs>
    </w:pPr>
    <w:r>
      <w:t xml:space="preserve">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1F15">
      <w:rPr>
        <w:rStyle w:val="PageNumber"/>
        <w:noProof/>
      </w:rPr>
      <w:t>2</w:t>
    </w:r>
    <w:r w:rsidRPr="00C5280D">
      <w:rPr>
        <w:rStyle w:val="PageNumber"/>
      </w:rPr>
      <w:fldChar w:fldCharType="end"/>
    </w:r>
  </w:p>
  <w:p w14:paraId="2B903B9C" w14:textId="77777777" w:rsidR="00B33E7A" w:rsidRPr="00C5280D" w:rsidRDefault="00B33E7A"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8ABB" w14:textId="77777777" w:rsidR="00B33E7A" w:rsidRPr="00C5280D" w:rsidRDefault="00B33E7A" w:rsidP="00EB048E">
    <w:pPr>
      <w:pStyle w:val="Header"/>
      <w:rPr>
        <w:rStyle w:val="PageNumber"/>
      </w:rPr>
    </w:pPr>
    <w:r>
      <w:rPr>
        <w:rStyle w:val="PageNumber"/>
      </w:rPr>
      <w:t>SESSIONS/2023/4</w:t>
    </w:r>
  </w:p>
  <w:p w14:paraId="42C8E467" w14:textId="7DC135A6" w:rsidR="00B33E7A" w:rsidRPr="00C5280D" w:rsidRDefault="00B33E7A" w:rsidP="00941AA9">
    <w:pPr>
      <w:pStyle w:val="Header"/>
      <w:tabs>
        <w:tab w:val="center" w:pos="4819"/>
        <w:tab w:val="left" w:pos="5918"/>
      </w:tabs>
    </w:pPr>
    <w:r>
      <w:t xml:space="preserve">Anexo 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1F15">
      <w:rPr>
        <w:rStyle w:val="PageNumber"/>
        <w:noProof/>
      </w:rPr>
      <w:t>2</w:t>
    </w:r>
    <w:r w:rsidRPr="00C5280D">
      <w:rPr>
        <w:rStyle w:val="PageNumber"/>
      </w:rPr>
      <w:fldChar w:fldCharType="end"/>
    </w:r>
  </w:p>
  <w:p w14:paraId="2FEF0D4C" w14:textId="77777777" w:rsidR="00B33E7A" w:rsidRPr="00C5280D" w:rsidRDefault="00B33E7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B6816" w14:textId="77777777" w:rsidR="00B33E7A" w:rsidRPr="00C5280D" w:rsidRDefault="00B33E7A" w:rsidP="00EA6E43">
    <w:pPr>
      <w:pStyle w:val="Header"/>
      <w:rPr>
        <w:rStyle w:val="PageNumber"/>
      </w:rPr>
    </w:pPr>
    <w:r>
      <w:rPr>
        <w:rStyle w:val="PageNumber"/>
      </w:rPr>
      <w:t>SESSIONS/2023/4</w:t>
    </w:r>
  </w:p>
  <w:p w14:paraId="66BE2AC3" w14:textId="513DA12C" w:rsidR="00B33E7A" w:rsidRDefault="00B33E7A">
    <w:pPr>
      <w:pStyle w:val="Header"/>
      <w:rPr>
        <w:lang w:val="en-US"/>
      </w:rPr>
    </w:pPr>
  </w:p>
  <w:p w14:paraId="445CF784" w14:textId="7920948C" w:rsidR="00B33E7A" w:rsidRDefault="00B33E7A">
    <w:pPr>
      <w:pStyle w:val="Header"/>
    </w:pPr>
    <w:r>
      <w:t>ANEXO I</w:t>
    </w:r>
  </w:p>
  <w:p w14:paraId="71EFA655" w14:textId="77777777" w:rsidR="00B33E7A" w:rsidRDefault="00B33E7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556B7" w14:textId="45A42B89" w:rsidR="00B33E7A" w:rsidRPr="00C5280D" w:rsidRDefault="00B33E7A" w:rsidP="00EB048E">
    <w:pPr>
      <w:pStyle w:val="Header"/>
      <w:rPr>
        <w:rStyle w:val="PageNumber"/>
      </w:rPr>
    </w:pPr>
    <w:r>
      <w:rPr>
        <w:rStyle w:val="PageNumber"/>
      </w:rPr>
      <w:t>SESSIONS/2023/4</w:t>
    </w:r>
  </w:p>
  <w:p w14:paraId="6F6C526A" w14:textId="344A14F2" w:rsidR="00B33E7A" w:rsidRPr="00C5280D" w:rsidRDefault="00B33E7A" w:rsidP="00EB048E">
    <w:pPr>
      <w:pStyle w:val="Header"/>
    </w:pPr>
    <w:r>
      <w:t xml:space="preserve">Anexo II, página </w:t>
    </w:r>
    <w:r w:rsidRPr="00C5280D">
      <w:rPr>
        <w:rStyle w:val="PageNumber"/>
      </w:rPr>
      <w:fldChar w:fldCharType="begin"/>
    </w:r>
    <w:r w:rsidRPr="00C5280D">
      <w:rPr>
        <w:rStyle w:val="PageNumber"/>
      </w:rPr>
      <w:instrText xml:space="preserve"> PAGE </w:instrText>
    </w:r>
    <w:r w:rsidRPr="00C5280D">
      <w:rPr>
        <w:rStyle w:val="PageNumber"/>
      </w:rPr>
      <w:fldChar w:fldCharType="separate"/>
    </w:r>
    <w:r w:rsidR="00C91F15">
      <w:rPr>
        <w:rStyle w:val="PageNumber"/>
        <w:noProof/>
      </w:rPr>
      <w:t>29</w:t>
    </w:r>
    <w:r w:rsidRPr="00C5280D">
      <w:rPr>
        <w:rStyle w:val="PageNumber"/>
      </w:rPr>
      <w:fldChar w:fldCharType="end"/>
    </w:r>
  </w:p>
  <w:p w14:paraId="715DD6F3" w14:textId="77777777" w:rsidR="00B33E7A" w:rsidRDefault="00B33E7A"/>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93A29" w14:textId="1E34BE18" w:rsidR="00B33E7A" w:rsidRPr="00C5280D" w:rsidRDefault="00B33E7A" w:rsidP="00DA310B">
    <w:pPr>
      <w:pStyle w:val="Header"/>
      <w:rPr>
        <w:rStyle w:val="PageNumber"/>
      </w:rPr>
    </w:pPr>
    <w:r>
      <w:rPr>
        <w:rStyle w:val="PageNumber"/>
      </w:rPr>
      <w:t>SESSIONS/2023/4</w:t>
    </w:r>
  </w:p>
  <w:p w14:paraId="65F907E4" w14:textId="7E4BA4EA" w:rsidR="00B33E7A" w:rsidRDefault="00B33E7A" w:rsidP="0004198B">
    <w:pPr>
      <w:pStyle w:val="Header"/>
    </w:pPr>
    <w:r>
      <w:t>ANEXO II</w:t>
    </w:r>
  </w:p>
  <w:p w14:paraId="370293D4" w14:textId="77777777" w:rsidR="00B33E7A" w:rsidRPr="0004198B" w:rsidRDefault="00B33E7A"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91554"/>
    <w:multiLevelType w:val="hybridMultilevel"/>
    <w:tmpl w:val="E8FEFFB4"/>
    <w:lvl w:ilvl="0" w:tplc="E7BA855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1" w15:restartNumberingAfterBreak="0">
    <w:nsid w:val="02952A23"/>
    <w:multiLevelType w:val="hybridMultilevel"/>
    <w:tmpl w:val="700AD2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2D0263C"/>
    <w:multiLevelType w:val="hybridMultilevel"/>
    <w:tmpl w:val="A1FCB4EE"/>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4085192"/>
    <w:multiLevelType w:val="hybridMultilevel"/>
    <w:tmpl w:val="F8380A20"/>
    <w:lvl w:ilvl="0" w:tplc="FFFFFFFF">
      <w:start w:val="1"/>
      <w:numFmt w:val="bullet"/>
      <w:lvlText w:val=""/>
      <w:lvlJc w:val="left"/>
      <w:pPr>
        <w:ind w:left="720" w:hanging="360"/>
      </w:pPr>
      <w:rPr>
        <w:rFonts w:ascii="Symbol" w:hAnsi="Symbol" w:hint="default"/>
      </w:rPr>
    </w:lvl>
    <w:lvl w:ilvl="1" w:tplc="B686CD34">
      <w:start w:val="1"/>
      <w:numFmt w:val="lowerRoman"/>
      <w:lvlText w:val="(%2)"/>
      <w:lvlJc w:val="left"/>
      <w:pPr>
        <w:ind w:left="1134" w:hanging="774"/>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4CA7549"/>
    <w:multiLevelType w:val="hybridMultilevel"/>
    <w:tmpl w:val="527278E8"/>
    <w:lvl w:ilvl="0" w:tplc="5880959E">
      <w:start w:val="1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5900538"/>
    <w:multiLevelType w:val="hybridMultilevel"/>
    <w:tmpl w:val="CF9C3F42"/>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5B77B1F"/>
    <w:multiLevelType w:val="hybridMultilevel"/>
    <w:tmpl w:val="927293E8"/>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06DE338E"/>
    <w:multiLevelType w:val="multilevel"/>
    <w:tmpl w:val="0409001D"/>
    <w:lvl w:ilvl="0">
      <w:start w:val="1"/>
      <w:numFmt w:val="decimal"/>
      <w:lvlText w:val="%1)"/>
      <w:lvlJc w:val="left"/>
      <w:pPr>
        <w:ind w:left="927" w:hanging="360"/>
      </w:pPr>
    </w:lvl>
    <w:lvl w:ilvl="1">
      <w:start w:val="1"/>
      <w:numFmt w:val="lowerLetter"/>
      <w:lvlText w:val="%2)"/>
      <w:lvlJc w:val="left"/>
      <w:pPr>
        <w:ind w:left="1287" w:hanging="360"/>
      </w:pPr>
    </w:lvl>
    <w:lvl w:ilvl="2">
      <w:start w:val="1"/>
      <w:numFmt w:val="lowerRoman"/>
      <w:lvlText w:val="%3)"/>
      <w:lvlJc w:val="left"/>
      <w:pPr>
        <w:ind w:left="1647" w:hanging="360"/>
      </w:pPr>
    </w:lvl>
    <w:lvl w:ilvl="3">
      <w:start w:val="1"/>
      <w:numFmt w:val="decimal"/>
      <w:lvlText w:val="(%4)"/>
      <w:lvlJc w:val="left"/>
      <w:pPr>
        <w:ind w:left="2007" w:hanging="360"/>
      </w:pPr>
    </w:lvl>
    <w:lvl w:ilvl="4">
      <w:start w:val="1"/>
      <w:numFmt w:val="lowerLetter"/>
      <w:lvlText w:val="(%5)"/>
      <w:lvlJc w:val="left"/>
      <w:pPr>
        <w:ind w:left="2367" w:hanging="360"/>
      </w:pPr>
    </w:lvl>
    <w:lvl w:ilvl="5">
      <w:start w:val="1"/>
      <w:numFmt w:val="lowerRoman"/>
      <w:lvlText w:val="(%6)"/>
      <w:lvlJc w:val="left"/>
      <w:pPr>
        <w:ind w:left="2727" w:hanging="360"/>
      </w:pPr>
    </w:lvl>
    <w:lvl w:ilvl="6">
      <w:start w:val="1"/>
      <w:numFmt w:val="decimal"/>
      <w:lvlText w:val="%7."/>
      <w:lvlJc w:val="left"/>
      <w:pPr>
        <w:ind w:left="3087" w:hanging="360"/>
      </w:pPr>
    </w:lvl>
    <w:lvl w:ilvl="7">
      <w:start w:val="1"/>
      <w:numFmt w:val="lowerLetter"/>
      <w:lvlText w:val="%8."/>
      <w:lvlJc w:val="left"/>
      <w:pPr>
        <w:ind w:left="3447" w:hanging="360"/>
      </w:pPr>
    </w:lvl>
    <w:lvl w:ilvl="8">
      <w:start w:val="1"/>
      <w:numFmt w:val="lowerRoman"/>
      <w:lvlText w:val="%9."/>
      <w:lvlJc w:val="left"/>
      <w:pPr>
        <w:ind w:left="3807" w:hanging="360"/>
      </w:pPr>
    </w:lvl>
  </w:abstractNum>
  <w:abstractNum w:abstractNumId="8" w15:restartNumberingAfterBreak="0">
    <w:nsid w:val="082822DB"/>
    <w:multiLevelType w:val="hybridMultilevel"/>
    <w:tmpl w:val="F55EA1BC"/>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0B307155"/>
    <w:multiLevelType w:val="hybridMultilevel"/>
    <w:tmpl w:val="9AC4B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1833FF"/>
    <w:multiLevelType w:val="hybridMultilevel"/>
    <w:tmpl w:val="19EA7440"/>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1092660E"/>
    <w:multiLevelType w:val="hybridMultilevel"/>
    <w:tmpl w:val="6268BBA8"/>
    <w:lvl w:ilvl="0" w:tplc="1234A70E">
      <w:start w:val="5"/>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16873A4"/>
    <w:multiLevelType w:val="hybridMultilevel"/>
    <w:tmpl w:val="FC6C4B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9D0B6A"/>
    <w:multiLevelType w:val="hybridMultilevel"/>
    <w:tmpl w:val="C6F42906"/>
    <w:lvl w:ilvl="0" w:tplc="496C11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868C6"/>
    <w:multiLevelType w:val="hybridMultilevel"/>
    <w:tmpl w:val="C6F4290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D18286D"/>
    <w:multiLevelType w:val="hybridMultilevel"/>
    <w:tmpl w:val="3174B1C8"/>
    <w:lvl w:ilvl="0" w:tplc="04090001">
      <w:start w:val="1"/>
      <w:numFmt w:val="bullet"/>
      <w:lvlText w:val=""/>
      <w:lvlJc w:val="left"/>
      <w:pPr>
        <w:ind w:left="2106" w:hanging="360"/>
      </w:pPr>
      <w:rPr>
        <w:rFonts w:ascii="Symbol" w:hAnsi="Symbol" w:hint="default"/>
      </w:rPr>
    </w:lvl>
    <w:lvl w:ilvl="1" w:tplc="04090003" w:tentative="1">
      <w:start w:val="1"/>
      <w:numFmt w:val="bullet"/>
      <w:lvlText w:val="o"/>
      <w:lvlJc w:val="left"/>
      <w:pPr>
        <w:ind w:left="2826" w:hanging="360"/>
      </w:pPr>
      <w:rPr>
        <w:rFonts w:ascii="Courier New" w:hAnsi="Courier New" w:cs="Courier New" w:hint="default"/>
      </w:rPr>
    </w:lvl>
    <w:lvl w:ilvl="2" w:tplc="04090005" w:tentative="1">
      <w:start w:val="1"/>
      <w:numFmt w:val="bullet"/>
      <w:lvlText w:val=""/>
      <w:lvlJc w:val="left"/>
      <w:pPr>
        <w:ind w:left="3546" w:hanging="360"/>
      </w:pPr>
      <w:rPr>
        <w:rFonts w:ascii="Wingdings" w:hAnsi="Wingdings" w:hint="default"/>
      </w:rPr>
    </w:lvl>
    <w:lvl w:ilvl="3" w:tplc="04090001" w:tentative="1">
      <w:start w:val="1"/>
      <w:numFmt w:val="bullet"/>
      <w:lvlText w:val=""/>
      <w:lvlJc w:val="left"/>
      <w:pPr>
        <w:ind w:left="4266" w:hanging="360"/>
      </w:pPr>
      <w:rPr>
        <w:rFonts w:ascii="Symbol" w:hAnsi="Symbol" w:hint="default"/>
      </w:rPr>
    </w:lvl>
    <w:lvl w:ilvl="4" w:tplc="04090003" w:tentative="1">
      <w:start w:val="1"/>
      <w:numFmt w:val="bullet"/>
      <w:lvlText w:val="o"/>
      <w:lvlJc w:val="left"/>
      <w:pPr>
        <w:ind w:left="4986" w:hanging="360"/>
      </w:pPr>
      <w:rPr>
        <w:rFonts w:ascii="Courier New" w:hAnsi="Courier New" w:cs="Courier New" w:hint="default"/>
      </w:rPr>
    </w:lvl>
    <w:lvl w:ilvl="5" w:tplc="04090005" w:tentative="1">
      <w:start w:val="1"/>
      <w:numFmt w:val="bullet"/>
      <w:lvlText w:val=""/>
      <w:lvlJc w:val="left"/>
      <w:pPr>
        <w:ind w:left="5706" w:hanging="360"/>
      </w:pPr>
      <w:rPr>
        <w:rFonts w:ascii="Wingdings" w:hAnsi="Wingdings" w:hint="default"/>
      </w:rPr>
    </w:lvl>
    <w:lvl w:ilvl="6" w:tplc="04090001" w:tentative="1">
      <w:start w:val="1"/>
      <w:numFmt w:val="bullet"/>
      <w:lvlText w:val=""/>
      <w:lvlJc w:val="left"/>
      <w:pPr>
        <w:ind w:left="6426" w:hanging="360"/>
      </w:pPr>
      <w:rPr>
        <w:rFonts w:ascii="Symbol" w:hAnsi="Symbol" w:hint="default"/>
      </w:rPr>
    </w:lvl>
    <w:lvl w:ilvl="7" w:tplc="04090003" w:tentative="1">
      <w:start w:val="1"/>
      <w:numFmt w:val="bullet"/>
      <w:lvlText w:val="o"/>
      <w:lvlJc w:val="left"/>
      <w:pPr>
        <w:ind w:left="7146" w:hanging="360"/>
      </w:pPr>
      <w:rPr>
        <w:rFonts w:ascii="Courier New" w:hAnsi="Courier New" w:cs="Courier New" w:hint="default"/>
      </w:rPr>
    </w:lvl>
    <w:lvl w:ilvl="8" w:tplc="04090005" w:tentative="1">
      <w:start w:val="1"/>
      <w:numFmt w:val="bullet"/>
      <w:lvlText w:val=""/>
      <w:lvlJc w:val="left"/>
      <w:pPr>
        <w:ind w:left="7866" w:hanging="360"/>
      </w:pPr>
      <w:rPr>
        <w:rFonts w:ascii="Wingdings" w:hAnsi="Wingdings" w:hint="default"/>
      </w:rPr>
    </w:lvl>
  </w:abstractNum>
  <w:abstractNum w:abstractNumId="16" w15:restartNumberingAfterBreak="0">
    <w:nsid w:val="359711B8"/>
    <w:multiLevelType w:val="hybridMultilevel"/>
    <w:tmpl w:val="93ACD93C"/>
    <w:lvl w:ilvl="0" w:tplc="8AAA346C">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B5258D"/>
    <w:multiLevelType w:val="hybridMultilevel"/>
    <w:tmpl w:val="CC5EC086"/>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720"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3E61F7F"/>
    <w:multiLevelType w:val="hybridMultilevel"/>
    <w:tmpl w:val="36445724"/>
    <w:lvl w:ilvl="0" w:tplc="66D4612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81B7990"/>
    <w:multiLevelType w:val="hybridMultilevel"/>
    <w:tmpl w:val="0D18BFB8"/>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8DD009A"/>
    <w:multiLevelType w:val="hybridMultilevel"/>
    <w:tmpl w:val="2FC4BF6E"/>
    <w:lvl w:ilvl="0" w:tplc="6042281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F01EAE"/>
    <w:multiLevelType w:val="hybridMultilevel"/>
    <w:tmpl w:val="51B06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2F694B"/>
    <w:multiLevelType w:val="hybridMultilevel"/>
    <w:tmpl w:val="7204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BC86349"/>
    <w:multiLevelType w:val="hybridMultilevel"/>
    <w:tmpl w:val="F05EC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C8B7820"/>
    <w:multiLevelType w:val="hybridMultilevel"/>
    <w:tmpl w:val="32AE93FE"/>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F02219E"/>
    <w:multiLevelType w:val="hybridMultilevel"/>
    <w:tmpl w:val="1B2E3796"/>
    <w:lvl w:ilvl="0" w:tplc="928EFB8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006BBA"/>
    <w:multiLevelType w:val="hybridMultilevel"/>
    <w:tmpl w:val="7458B2CA"/>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69302C4F"/>
    <w:multiLevelType w:val="hybridMultilevel"/>
    <w:tmpl w:val="3080052E"/>
    <w:lvl w:ilvl="0" w:tplc="E7BA8558">
      <w:start w:val="1"/>
      <w:numFmt w:val="lowerRoman"/>
      <w:lvlText w:val="(%1)"/>
      <w:lvlJc w:val="left"/>
      <w:pPr>
        <w:ind w:left="2421" w:hanging="360"/>
      </w:pPr>
      <w:rPr>
        <w:rFonts w:hint="default"/>
      </w:rPr>
    </w:lvl>
    <w:lvl w:ilvl="1" w:tplc="04090019" w:tentative="1">
      <w:start w:val="1"/>
      <w:numFmt w:val="lowerLetter"/>
      <w:lvlText w:val="%2."/>
      <w:lvlJc w:val="left"/>
      <w:pPr>
        <w:ind w:left="3141" w:hanging="360"/>
      </w:pPr>
    </w:lvl>
    <w:lvl w:ilvl="2" w:tplc="0409001B" w:tentative="1">
      <w:start w:val="1"/>
      <w:numFmt w:val="lowerRoman"/>
      <w:lvlText w:val="%3."/>
      <w:lvlJc w:val="right"/>
      <w:pPr>
        <w:ind w:left="3861" w:hanging="180"/>
      </w:pPr>
    </w:lvl>
    <w:lvl w:ilvl="3" w:tplc="0409000F" w:tentative="1">
      <w:start w:val="1"/>
      <w:numFmt w:val="decimal"/>
      <w:lvlText w:val="%4."/>
      <w:lvlJc w:val="left"/>
      <w:pPr>
        <w:ind w:left="4581" w:hanging="360"/>
      </w:pPr>
    </w:lvl>
    <w:lvl w:ilvl="4" w:tplc="04090019" w:tentative="1">
      <w:start w:val="1"/>
      <w:numFmt w:val="lowerLetter"/>
      <w:lvlText w:val="%5."/>
      <w:lvlJc w:val="left"/>
      <w:pPr>
        <w:ind w:left="5301" w:hanging="360"/>
      </w:pPr>
    </w:lvl>
    <w:lvl w:ilvl="5" w:tplc="0409001B" w:tentative="1">
      <w:start w:val="1"/>
      <w:numFmt w:val="lowerRoman"/>
      <w:lvlText w:val="%6."/>
      <w:lvlJc w:val="right"/>
      <w:pPr>
        <w:ind w:left="6021" w:hanging="180"/>
      </w:pPr>
    </w:lvl>
    <w:lvl w:ilvl="6" w:tplc="0409000F" w:tentative="1">
      <w:start w:val="1"/>
      <w:numFmt w:val="decimal"/>
      <w:lvlText w:val="%7."/>
      <w:lvlJc w:val="left"/>
      <w:pPr>
        <w:ind w:left="6741" w:hanging="360"/>
      </w:pPr>
    </w:lvl>
    <w:lvl w:ilvl="7" w:tplc="04090019" w:tentative="1">
      <w:start w:val="1"/>
      <w:numFmt w:val="lowerLetter"/>
      <w:lvlText w:val="%8."/>
      <w:lvlJc w:val="left"/>
      <w:pPr>
        <w:ind w:left="7461" w:hanging="360"/>
      </w:pPr>
    </w:lvl>
    <w:lvl w:ilvl="8" w:tplc="0409001B" w:tentative="1">
      <w:start w:val="1"/>
      <w:numFmt w:val="lowerRoman"/>
      <w:lvlText w:val="%9."/>
      <w:lvlJc w:val="right"/>
      <w:pPr>
        <w:ind w:left="8181" w:hanging="180"/>
      </w:pPr>
    </w:lvl>
  </w:abstractNum>
  <w:abstractNum w:abstractNumId="28" w15:restartNumberingAfterBreak="0">
    <w:nsid w:val="6BDC1615"/>
    <w:multiLevelType w:val="hybridMultilevel"/>
    <w:tmpl w:val="B88C6A32"/>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6D505606"/>
    <w:multiLevelType w:val="hybridMultilevel"/>
    <w:tmpl w:val="1D0EEF58"/>
    <w:lvl w:ilvl="0" w:tplc="FFFFFFFF">
      <w:start w:val="1"/>
      <w:numFmt w:val="bullet"/>
      <w:lvlText w:val=""/>
      <w:lvlJc w:val="left"/>
      <w:pPr>
        <w:ind w:left="720" w:hanging="360"/>
      </w:pPr>
      <w:rPr>
        <w:rFonts w:ascii="Symbol" w:hAnsi="Symbol" w:hint="default"/>
      </w:rPr>
    </w:lvl>
    <w:lvl w:ilvl="1" w:tplc="E7BA8558">
      <w:start w:val="1"/>
      <w:numFmt w:val="lowerRoman"/>
      <w:lvlText w:val="(%2)"/>
      <w:lvlJc w:val="left"/>
      <w:pPr>
        <w:ind w:left="2421" w:hanging="360"/>
      </w:pPr>
      <w:rPr>
        <w:rFont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6EAC1EA7"/>
    <w:multiLevelType w:val="hybridMultilevel"/>
    <w:tmpl w:val="09E2837C"/>
    <w:lvl w:ilvl="0" w:tplc="9E7EEAB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B243AA"/>
    <w:multiLevelType w:val="hybridMultilevel"/>
    <w:tmpl w:val="34E6C4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7E6FD1"/>
    <w:multiLevelType w:val="hybridMultilevel"/>
    <w:tmpl w:val="14F2D1C0"/>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6044A70"/>
    <w:multiLevelType w:val="hybridMultilevel"/>
    <w:tmpl w:val="BC8E417E"/>
    <w:lvl w:ilvl="0" w:tplc="22AC8A6C">
      <w:start w:val="9"/>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F30967"/>
    <w:multiLevelType w:val="hybridMultilevel"/>
    <w:tmpl w:val="552E4444"/>
    <w:lvl w:ilvl="0" w:tplc="496C1172">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D9F116D"/>
    <w:multiLevelType w:val="hybridMultilevel"/>
    <w:tmpl w:val="5950A532"/>
    <w:lvl w:ilvl="0" w:tplc="0376148A">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num w:numId="1" w16cid:durableId="2090074454">
    <w:abstractNumId w:val="22"/>
  </w:num>
  <w:num w:numId="2" w16cid:durableId="991912031">
    <w:abstractNumId w:val="15"/>
  </w:num>
  <w:num w:numId="3" w16cid:durableId="1016615439">
    <w:abstractNumId w:val="35"/>
  </w:num>
  <w:num w:numId="4" w16cid:durableId="235478160">
    <w:abstractNumId w:val="25"/>
  </w:num>
  <w:num w:numId="5" w16cid:durableId="70590253">
    <w:abstractNumId w:val="11"/>
  </w:num>
  <w:num w:numId="6" w16cid:durableId="1011641096">
    <w:abstractNumId w:val="33"/>
  </w:num>
  <w:num w:numId="7" w16cid:durableId="241110523">
    <w:abstractNumId w:val="4"/>
  </w:num>
  <w:num w:numId="8" w16cid:durableId="835656481">
    <w:abstractNumId w:val="16"/>
  </w:num>
  <w:num w:numId="9" w16cid:durableId="323633284">
    <w:abstractNumId w:val="13"/>
  </w:num>
  <w:num w:numId="10" w16cid:durableId="2120566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05839363">
    <w:abstractNumId w:val="18"/>
  </w:num>
  <w:num w:numId="12" w16cid:durableId="407922500">
    <w:abstractNumId w:val="12"/>
  </w:num>
  <w:num w:numId="13" w16cid:durableId="1723208448">
    <w:abstractNumId w:val="31"/>
  </w:num>
  <w:num w:numId="14" w16cid:durableId="909316513">
    <w:abstractNumId w:val="14"/>
  </w:num>
  <w:num w:numId="15" w16cid:durableId="847256900">
    <w:abstractNumId w:val="32"/>
  </w:num>
  <w:num w:numId="16" w16cid:durableId="359866497">
    <w:abstractNumId w:val="17"/>
  </w:num>
  <w:num w:numId="17" w16cid:durableId="324629500">
    <w:abstractNumId w:val="1"/>
  </w:num>
  <w:num w:numId="18" w16cid:durableId="1311641203">
    <w:abstractNumId w:val="3"/>
  </w:num>
  <w:num w:numId="19" w16cid:durableId="1029985590">
    <w:abstractNumId w:val="0"/>
  </w:num>
  <w:num w:numId="20" w16cid:durableId="774910925">
    <w:abstractNumId w:val="8"/>
  </w:num>
  <w:num w:numId="21" w16cid:durableId="1538735483">
    <w:abstractNumId w:val="6"/>
  </w:num>
  <w:num w:numId="22" w16cid:durableId="403651332">
    <w:abstractNumId w:val="19"/>
  </w:num>
  <w:num w:numId="23" w16cid:durableId="1037461902">
    <w:abstractNumId w:val="10"/>
  </w:num>
  <w:num w:numId="24" w16cid:durableId="1419322928">
    <w:abstractNumId w:val="34"/>
  </w:num>
  <w:num w:numId="25" w16cid:durableId="1089543505">
    <w:abstractNumId w:val="29"/>
  </w:num>
  <w:num w:numId="26" w16cid:durableId="1488522058">
    <w:abstractNumId w:val="2"/>
  </w:num>
  <w:num w:numId="27" w16cid:durableId="1853564876">
    <w:abstractNumId w:val="24"/>
  </w:num>
  <w:num w:numId="28" w16cid:durableId="301932287">
    <w:abstractNumId w:val="26"/>
  </w:num>
  <w:num w:numId="29" w16cid:durableId="730352684">
    <w:abstractNumId w:val="28"/>
  </w:num>
  <w:num w:numId="30" w16cid:durableId="369845373">
    <w:abstractNumId w:val="5"/>
  </w:num>
  <w:num w:numId="31" w16cid:durableId="1603604717">
    <w:abstractNumId w:val="27"/>
  </w:num>
  <w:num w:numId="32" w16cid:durableId="573079455">
    <w:abstractNumId w:val="23"/>
  </w:num>
  <w:num w:numId="33" w16cid:durableId="1797522275">
    <w:abstractNumId w:val="21"/>
  </w:num>
  <w:num w:numId="34" w16cid:durableId="225334291">
    <w:abstractNumId w:val="9"/>
  </w:num>
  <w:num w:numId="35" w16cid:durableId="539442629">
    <w:abstractNumId w:val="20"/>
  </w:num>
  <w:num w:numId="36" w16cid:durableId="67141712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419" w:vendorID="64" w:dllVersion="6" w:nlCheck="1" w:checkStyle="0"/>
  <w:activeWritingStyle w:appName="MSWord" w:lang="en-US" w:vendorID="64" w:dllVersion="6" w:nlCheck="1" w:checkStyle="1"/>
  <w:activeWritingStyle w:appName="MSWord" w:lang="fr-FR" w:vendorID="64" w:dllVersion="6" w:nlCheck="1" w:checkStyle="0"/>
  <w:activeWritingStyle w:appName="MSWord" w:lang="en-US" w:vendorID="64" w:dllVersion="0" w:nlCheck="1" w:checkStyle="0"/>
  <w:activeWritingStyle w:appName="MSWord" w:lang="es-419" w:vendorID="64" w:dllVersion="0" w:nlCheck="1" w:checkStyle="0"/>
  <w:activeWritingStyle w:appName="MSWord" w:lang="fr-FR" w:vendorID="64" w:dllVersion="0" w:nlCheck="1" w:checkStyle="0"/>
  <w:activeWritingStyle w:appName="MSWord" w:lang="en-US" w:vendorID="64" w:dllVersion="4096" w:nlCheck="1" w:checkStyle="0"/>
  <w:activeWritingStyle w:appName="MSWord" w:lang="pt-BR" w:vendorID="64" w:dllVersion="4096" w:nlCheck="1" w:checkStyle="0"/>
  <w:activeWritingStyle w:appName="MSWord" w:lang="es-419" w:vendorID="64" w:dllVersion="4096" w:nlCheck="1" w:checkStyle="0"/>
  <w:activeWritingStyle w:appName="MSWord" w:lang="es-E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s-ES" w:vendorID="64" w:dllVersion="0" w:nlCheck="1" w:checkStyle="0"/>
  <w:activeWritingStyle w:appName="MSWord" w:lang="es-ES_tradnl"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B91"/>
    <w:rsid w:val="00010CF3"/>
    <w:rsid w:val="0001143F"/>
    <w:rsid w:val="00011A5B"/>
    <w:rsid w:val="00011E27"/>
    <w:rsid w:val="00012392"/>
    <w:rsid w:val="0001410E"/>
    <w:rsid w:val="00014281"/>
    <w:rsid w:val="000148BC"/>
    <w:rsid w:val="00016397"/>
    <w:rsid w:val="00023020"/>
    <w:rsid w:val="00024AB8"/>
    <w:rsid w:val="00024BBD"/>
    <w:rsid w:val="00027A3B"/>
    <w:rsid w:val="00030854"/>
    <w:rsid w:val="00033A12"/>
    <w:rsid w:val="00033AAE"/>
    <w:rsid w:val="000350F3"/>
    <w:rsid w:val="0003562A"/>
    <w:rsid w:val="00036028"/>
    <w:rsid w:val="0004198B"/>
    <w:rsid w:val="00044642"/>
    <w:rsid w:val="000446B9"/>
    <w:rsid w:val="00044756"/>
    <w:rsid w:val="00045A6A"/>
    <w:rsid w:val="00045FAC"/>
    <w:rsid w:val="00047706"/>
    <w:rsid w:val="00047E21"/>
    <w:rsid w:val="0005078E"/>
    <w:rsid w:val="00050E16"/>
    <w:rsid w:val="00050E2D"/>
    <w:rsid w:val="00052EB8"/>
    <w:rsid w:val="0005435D"/>
    <w:rsid w:val="00054BC7"/>
    <w:rsid w:val="00062549"/>
    <w:rsid w:val="000633E1"/>
    <w:rsid w:val="00063AD5"/>
    <w:rsid w:val="000663C4"/>
    <w:rsid w:val="0007218D"/>
    <w:rsid w:val="00072E05"/>
    <w:rsid w:val="000759D0"/>
    <w:rsid w:val="000777E0"/>
    <w:rsid w:val="00082C38"/>
    <w:rsid w:val="00083145"/>
    <w:rsid w:val="0008426F"/>
    <w:rsid w:val="000853D1"/>
    <w:rsid w:val="00085505"/>
    <w:rsid w:val="0008710C"/>
    <w:rsid w:val="0008780F"/>
    <w:rsid w:val="000924DC"/>
    <w:rsid w:val="00094D48"/>
    <w:rsid w:val="000A041D"/>
    <w:rsid w:val="000A0899"/>
    <w:rsid w:val="000A1DA2"/>
    <w:rsid w:val="000A7986"/>
    <w:rsid w:val="000B13BF"/>
    <w:rsid w:val="000B50DA"/>
    <w:rsid w:val="000C1954"/>
    <w:rsid w:val="000C446D"/>
    <w:rsid w:val="000C4E25"/>
    <w:rsid w:val="000C66BA"/>
    <w:rsid w:val="000C7021"/>
    <w:rsid w:val="000C721B"/>
    <w:rsid w:val="000D6BBC"/>
    <w:rsid w:val="000D7780"/>
    <w:rsid w:val="000E2615"/>
    <w:rsid w:val="000E2828"/>
    <w:rsid w:val="000E3EBF"/>
    <w:rsid w:val="000E636A"/>
    <w:rsid w:val="000E7747"/>
    <w:rsid w:val="000F0FB2"/>
    <w:rsid w:val="000F1253"/>
    <w:rsid w:val="000F2F11"/>
    <w:rsid w:val="000F6B75"/>
    <w:rsid w:val="00100A5F"/>
    <w:rsid w:val="00100BED"/>
    <w:rsid w:val="0010236A"/>
    <w:rsid w:val="001024DF"/>
    <w:rsid w:val="00103800"/>
    <w:rsid w:val="00105929"/>
    <w:rsid w:val="00106C48"/>
    <w:rsid w:val="00110433"/>
    <w:rsid w:val="00110BDE"/>
    <w:rsid w:val="00110BED"/>
    <w:rsid w:val="00110C36"/>
    <w:rsid w:val="0011285E"/>
    <w:rsid w:val="001131D5"/>
    <w:rsid w:val="00114547"/>
    <w:rsid w:val="00122C95"/>
    <w:rsid w:val="0012505F"/>
    <w:rsid w:val="00127DB5"/>
    <w:rsid w:val="001312E5"/>
    <w:rsid w:val="001324EC"/>
    <w:rsid w:val="001356D2"/>
    <w:rsid w:val="001404DA"/>
    <w:rsid w:val="00141DB8"/>
    <w:rsid w:val="00144D2E"/>
    <w:rsid w:val="00146E2B"/>
    <w:rsid w:val="00151332"/>
    <w:rsid w:val="00151F7C"/>
    <w:rsid w:val="001524C8"/>
    <w:rsid w:val="00154321"/>
    <w:rsid w:val="00155377"/>
    <w:rsid w:val="00156E48"/>
    <w:rsid w:val="00161074"/>
    <w:rsid w:val="00172084"/>
    <w:rsid w:val="0017474A"/>
    <w:rsid w:val="001758C6"/>
    <w:rsid w:val="001767B8"/>
    <w:rsid w:val="001775CF"/>
    <w:rsid w:val="00177C00"/>
    <w:rsid w:val="00182B99"/>
    <w:rsid w:val="00183691"/>
    <w:rsid w:val="00184086"/>
    <w:rsid w:val="00196330"/>
    <w:rsid w:val="001A3B74"/>
    <w:rsid w:val="001A7AC1"/>
    <w:rsid w:val="001B25D6"/>
    <w:rsid w:val="001B296B"/>
    <w:rsid w:val="001B3D3D"/>
    <w:rsid w:val="001C0EE4"/>
    <w:rsid w:val="001C1525"/>
    <w:rsid w:val="001C15F3"/>
    <w:rsid w:val="001C3EDF"/>
    <w:rsid w:val="001C4276"/>
    <w:rsid w:val="001C7DDD"/>
    <w:rsid w:val="001D08B4"/>
    <w:rsid w:val="001D1A22"/>
    <w:rsid w:val="001D736D"/>
    <w:rsid w:val="001E0622"/>
    <w:rsid w:val="001E17E0"/>
    <w:rsid w:val="001E3DE2"/>
    <w:rsid w:val="001E7409"/>
    <w:rsid w:val="001E783B"/>
    <w:rsid w:val="001F384B"/>
    <w:rsid w:val="001F67F3"/>
    <w:rsid w:val="00200C02"/>
    <w:rsid w:val="0020342C"/>
    <w:rsid w:val="0021332C"/>
    <w:rsid w:val="00213982"/>
    <w:rsid w:val="0021642A"/>
    <w:rsid w:val="002209FE"/>
    <w:rsid w:val="0022755A"/>
    <w:rsid w:val="00230394"/>
    <w:rsid w:val="00232734"/>
    <w:rsid w:val="002348DC"/>
    <w:rsid w:val="00234F63"/>
    <w:rsid w:val="00237834"/>
    <w:rsid w:val="0024416D"/>
    <w:rsid w:val="0024440C"/>
    <w:rsid w:val="00252D5E"/>
    <w:rsid w:val="0025403D"/>
    <w:rsid w:val="00264DEF"/>
    <w:rsid w:val="00264E69"/>
    <w:rsid w:val="002709B3"/>
    <w:rsid w:val="00270CD1"/>
    <w:rsid w:val="00271911"/>
    <w:rsid w:val="00272413"/>
    <w:rsid w:val="00273187"/>
    <w:rsid w:val="00274002"/>
    <w:rsid w:val="00274B73"/>
    <w:rsid w:val="00277F1D"/>
    <w:rsid w:val="002800A0"/>
    <w:rsid w:val="002801B3"/>
    <w:rsid w:val="00280887"/>
    <w:rsid w:val="00280B25"/>
    <w:rsid w:val="00281060"/>
    <w:rsid w:val="002818D4"/>
    <w:rsid w:val="00282EB2"/>
    <w:rsid w:val="0028352C"/>
    <w:rsid w:val="00285BD0"/>
    <w:rsid w:val="00292EE3"/>
    <w:rsid w:val="002940E8"/>
    <w:rsid w:val="00294751"/>
    <w:rsid w:val="002A1E4E"/>
    <w:rsid w:val="002A57CA"/>
    <w:rsid w:val="002A6E50"/>
    <w:rsid w:val="002A7736"/>
    <w:rsid w:val="002B3777"/>
    <w:rsid w:val="002B4298"/>
    <w:rsid w:val="002B7A36"/>
    <w:rsid w:val="002C11E6"/>
    <w:rsid w:val="002C256A"/>
    <w:rsid w:val="002C2899"/>
    <w:rsid w:val="002C47FA"/>
    <w:rsid w:val="002C4CEC"/>
    <w:rsid w:val="002D0658"/>
    <w:rsid w:val="002D0E42"/>
    <w:rsid w:val="002D29F6"/>
    <w:rsid w:val="002D339B"/>
    <w:rsid w:val="002D5226"/>
    <w:rsid w:val="002D7B4E"/>
    <w:rsid w:val="002E0E2D"/>
    <w:rsid w:val="002E4B20"/>
    <w:rsid w:val="002E4FE7"/>
    <w:rsid w:val="002F0231"/>
    <w:rsid w:val="002F0528"/>
    <w:rsid w:val="002F308D"/>
    <w:rsid w:val="00301144"/>
    <w:rsid w:val="003012EF"/>
    <w:rsid w:val="003037A3"/>
    <w:rsid w:val="00304D3A"/>
    <w:rsid w:val="00305A7F"/>
    <w:rsid w:val="00314C1D"/>
    <w:rsid w:val="003152FE"/>
    <w:rsid w:val="00317153"/>
    <w:rsid w:val="00320505"/>
    <w:rsid w:val="003209A5"/>
    <w:rsid w:val="00324877"/>
    <w:rsid w:val="00324B3B"/>
    <w:rsid w:val="00327225"/>
    <w:rsid w:val="00327436"/>
    <w:rsid w:val="00331420"/>
    <w:rsid w:val="00333E65"/>
    <w:rsid w:val="0034487B"/>
    <w:rsid w:val="00344BD6"/>
    <w:rsid w:val="00347D67"/>
    <w:rsid w:val="0035528D"/>
    <w:rsid w:val="00357C45"/>
    <w:rsid w:val="00360C02"/>
    <w:rsid w:val="00361821"/>
    <w:rsid w:val="00361E9E"/>
    <w:rsid w:val="00363344"/>
    <w:rsid w:val="00365A25"/>
    <w:rsid w:val="00373072"/>
    <w:rsid w:val="00373855"/>
    <w:rsid w:val="003753EE"/>
    <w:rsid w:val="00380410"/>
    <w:rsid w:val="00380985"/>
    <w:rsid w:val="00380B73"/>
    <w:rsid w:val="00383D15"/>
    <w:rsid w:val="00384D2C"/>
    <w:rsid w:val="00385B57"/>
    <w:rsid w:val="003919D2"/>
    <w:rsid w:val="00391F30"/>
    <w:rsid w:val="00393F6A"/>
    <w:rsid w:val="00394A23"/>
    <w:rsid w:val="00396CFE"/>
    <w:rsid w:val="003A0835"/>
    <w:rsid w:val="003A0FE3"/>
    <w:rsid w:val="003A1169"/>
    <w:rsid w:val="003A3590"/>
    <w:rsid w:val="003A40CB"/>
    <w:rsid w:val="003A45F6"/>
    <w:rsid w:val="003A4ADC"/>
    <w:rsid w:val="003A532B"/>
    <w:rsid w:val="003A5AAF"/>
    <w:rsid w:val="003B254E"/>
    <w:rsid w:val="003B5311"/>
    <w:rsid w:val="003B700A"/>
    <w:rsid w:val="003C13FA"/>
    <w:rsid w:val="003C1503"/>
    <w:rsid w:val="003C2253"/>
    <w:rsid w:val="003C2CE9"/>
    <w:rsid w:val="003C79C6"/>
    <w:rsid w:val="003C7FBE"/>
    <w:rsid w:val="003D227C"/>
    <w:rsid w:val="003D2B4D"/>
    <w:rsid w:val="003D2F73"/>
    <w:rsid w:val="003D3A0B"/>
    <w:rsid w:val="003D4A8D"/>
    <w:rsid w:val="003E1581"/>
    <w:rsid w:val="003E3266"/>
    <w:rsid w:val="003E529D"/>
    <w:rsid w:val="003E5A1D"/>
    <w:rsid w:val="003E6335"/>
    <w:rsid w:val="003E63DD"/>
    <w:rsid w:val="003F1DCF"/>
    <w:rsid w:val="003F37F5"/>
    <w:rsid w:val="003F3AF2"/>
    <w:rsid w:val="003F5893"/>
    <w:rsid w:val="003F6357"/>
    <w:rsid w:val="003F7EC6"/>
    <w:rsid w:val="004002B5"/>
    <w:rsid w:val="004018DC"/>
    <w:rsid w:val="00401BB3"/>
    <w:rsid w:val="0040782E"/>
    <w:rsid w:val="004100F1"/>
    <w:rsid w:val="004104C0"/>
    <w:rsid w:val="004139D1"/>
    <w:rsid w:val="004152BE"/>
    <w:rsid w:val="00416327"/>
    <w:rsid w:val="00420764"/>
    <w:rsid w:val="00426434"/>
    <w:rsid w:val="00430D54"/>
    <w:rsid w:val="004321D6"/>
    <w:rsid w:val="004322DA"/>
    <w:rsid w:val="0043311C"/>
    <w:rsid w:val="00434FE5"/>
    <w:rsid w:val="00435B91"/>
    <w:rsid w:val="00444A88"/>
    <w:rsid w:val="00450775"/>
    <w:rsid w:val="00451CC0"/>
    <w:rsid w:val="00456029"/>
    <w:rsid w:val="00456D95"/>
    <w:rsid w:val="00460E38"/>
    <w:rsid w:val="004616CF"/>
    <w:rsid w:val="004643F5"/>
    <w:rsid w:val="004655D8"/>
    <w:rsid w:val="00467ADE"/>
    <w:rsid w:val="00473332"/>
    <w:rsid w:val="00474DA4"/>
    <w:rsid w:val="004753F8"/>
    <w:rsid w:val="00476B4D"/>
    <w:rsid w:val="004805FA"/>
    <w:rsid w:val="00483C9D"/>
    <w:rsid w:val="00485008"/>
    <w:rsid w:val="004876CE"/>
    <w:rsid w:val="0049246F"/>
    <w:rsid w:val="0049350B"/>
    <w:rsid w:val="004935D2"/>
    <w:rsid w:val="00494F66"/>
    <w:rsid w:val="004B1215"/>
    <w:rsid w:val="004B492D"/>
    <w:rsid w:val="004B69C9"/>
    <w:rsid w:val="004B701E"/>
    <w:rsid w:val="004C2133"/>
    <w:rsid w:val="004C35D4"/>
    <w:rsid w:val="004D047D"/>
    <w:rsid w:val="004D2423"/>
    <w:rsid w:val="004D47D2"/>
    <w:rsid w:val="004E31FB"/>
    <w:rsid w:val="004F1A38"/>
    <w:rsid w:val="004F1E9E"/>
    <w:rsid w:val="004F2C43"/>
    <w:rsid w:val="004F305A"/>
    <w:rsid w:val="004F4350"/>
    <w:rsid w:val="004F76BE"/>
    <w:rsid w:val="004F78EA"/>
    <w:rsid w:val="00504EEE"/>
    <w:rsid w:val="00511A33"/>
    <w:rsid w:val="00512164"/>
    <w:rsid w:val="0051506A"/>
    <w:rsid w:val="00515B1B"/>
    <w:rsid w:val="00515CDA"/>
    <w:rsid w:val="00516C9F"/>
    <w:rsid w:val="00520297"/>
    <w:rsid w:val="0052045F"/>
    <w:rsid w:val="005208E7"/>
    <w:rsid w:val="00522D5B"/>
    <w:rsid w:val="005239D1"/>
    <w:rsid w:val="005241E8"/>
    <w:rsid w:val="0052538F"/>
    <w:rsid w:val="0052556A"/>
    <w:rsid w:val="005338F9"/>
    <w:rsid w:val="005344A6"/>
    <w:rsid w:val="00534F19"/>
    <w:rsid w:val="005361A9"/>
    <w:rsid w:val="0054281C"/>
    <w:rsid w:val="00544581"/>
    <w:rsid w:val="005474AD"/>
    <w:rsid w:val="005512C2"/>
    <w:rsid w:val="0055268D"/>
    <w:rsid w:val="00555420"/>
    <w:rsid w:val="005576F6"/>
    <w:rsid w:val="005622E5"/>
    <w:rsid w:val="0056526A"/>
    <w:rsid w:val="00566478"/>
    <w:rsid w:val="00575DE2"/>
    <w:rsid w:val="00576BE4"/>
    <w:rsid w:val="0057708B"/>
    <w:rsid w:val="005772E9"/>
    <w:rsid w:val="005779DB"/>
    <w:rsid w:val="00591CB2"/>
    <w:rsid w:val="005A0B20"/>
    <w:rsid w:val="005A1C08"/>
    <w:rsid w:val="005A2D83"/>
    <w:rsid w:val="005A3A52"/>
    <w:rsid w:val="005A400A"/>
    <w:rsid w:val="005A666D"/>
    <w:rsid w:val="005A6D76"/>
    <w:rsid w:val="005B269D"/>
    <w:rsid w:val="005C1866"/>
    <w:rsid w:val="005C266E"/>
    <w:rsid w:val="005C4650"/>
    <w:rsid w:val="005C5244"/>
    <w:rsid w:val="005D2B51"/>
    <w:rsid w:val="005E37C8"/>
    <w:rsid w:val="005E3BEF"/>
    <w:rsid w:val="005E788D"/>
    <w:rsid w:val="005E7AD2"/>
    <w:rsid w:val="005F00C0"/>
    <w:rsid w:val="005F2F0F"/>
    <w:rsid w:val="005F5962"/>
    <w:rsid w:val="005F7B92"/>
    <w:rsid w:val="00600E96"/>
    <w:rsid w:val="006017FE"/>
    <w:rsid w:val="00601C4D"/>
    <w:rsid w:val="00611614"/>
    <w:rsid w:val="00611DC8"/>
    <w:rsid w:val="00612379"/>
    <w:rsid w:val="006153B6"/>
    <w:rsid w:val="0061555F"/>
    <w:rsid w:val="006213EC"/>
    <w:rsid w:val="00621DE1"/>
    <w:rsid w:val="00622866"/>
    <w:rsid w:val="0062313F"/>
    <w:rsid w:val="006245ED"/>
    <w:rsid w:val="006249E5"/>
    <w:rsid w:val="00636CA6"/>
    <w:rsid w:val="00641200"/>
    <w:rsid w:val="00641D3E"/>
    <w:rsid w:val="00641FB2"/>
    <w:rsid w:val="00643902"/>
    <w:rsid w:val="00645CA8"/>
    <w:rsid w:val="00650152"/>
    <w:rsid w:val="00651283"/>
    <w:rsid w:val="00652EAC"/>
    <w:rsid w:val="00653B55"/>
    <w:rsid w:val="006555F9"/>
    <w:rsid w:val="006605F2"/>
    <w:rsid w:val="006655D3"/>
    <w:rsid w:val="00665ACE"/>
    <w:rsid w:val="00667404"/>
    <w:rsid w:val="0066782C"/>
    <w:rsid w:val="00667B7F"/>
    <w:rsid w:val="006718D9"/>
    <w:rsid w:val="00673503"/>
    <w:rsid w:val="006740B8"/>
    <w:rsid w:val="00674132"/>
    <w:rsid w:val="006750DA"/>
    <w:rsid w:val="00676EFE"/>
    <w:rsid w:val="00677017"/>
    <w:rsid w:val="006868F8"/>
    <w:rsid w:val="00687E5F"/>
    <w:rsid w:val="00687EB4"/>
    <w:rsid w:val="00687EDD"/>
    <w:rsid w:val="00687F79"/>
    <w:rsid w:val="0069216B"/>
    <w:rsid w:val="006948BB"/>
    <w:rsid w:val="0069538C"/>
    <w:rsid w:val="00695841"/>
    <w:rsid w:val="00695C56"/>
    <w:rsid w:val="00697F0C"/>
    <w:rsid w:val="006A5CDE"/>
    <w:rsid w:val="006A644A"/>
    <w:rsid w:val="006B17D2"/>
    <w:rsid w:val="006B192F"/>
    <w:rsid w:val="006C224E"/>
    <w:rsid w:val="006C3690"/>
    <w:rsid w:val="006C687E"/>
    <w:rsid w:val="006D04BC"/>
    <w:rsid w:val="006D07F3"/>
    <w:rsid w:val="006D780A"/>
    <w:rsid w:val="006E6822"/>
    <w:rsid w:val="00705FF8"/>
    <w:rsid w:val="0071271E"/>
    <w:rsid w:val="00713568"/>
    <w:rsid w:val="00713C33"/>
    <w:rsid w:val="0071493C"/>
    <w:rsid w:val="007154FD"/>
    <w:rsid w:val="0071676A"/>
    <w:rsid w:val="00723FC8"/>
    <w:rsid w:val="007243EF"/>
    <w:rsid w:val="00732DEC"/>
    <w:rsid w:val="00735BD5"/>
    <w:rsid w:val="0074214B"/>
    <w:rsid w:val="0074260D"/>
    <w:rsid w:val="007451EC"/>
    <w:rsid w:val="00745512"/>
    <w:rsid w:val="00750B29"/>
    <w:rsid w:val="00751554"/>
    <w:rsid w:val="00751613"/>
    <w:rsid w:val="00753EE9"/>
    <w:rsid w:val="0075452C"/>
    <w:rsid w:val="007546B2"/>
    <w:rsid w:val="007549A7"/>
    <w:rsid w:val="00754CA9"/>
    <w:rsid w:val="007556F6"/>
    <w:rsid w:val="007561F4"/>
    <w:rsid w:val="00760EEF"/>
    <w:rsid w:val="00761EF6"/>
    <w:rsid w:val="00764B81"/>
    <w:rsid w:val="007654C2"/>
    <w:rsid w:val="00766123"/>
    <w:rsid w:val="007669E0"/>
    <w:rsid w:val="007671DC"/>
    <w:rsid w:val="00775ED8"/>
    <w:rsid w:val="00777EE5"/>
    <w:rsid w:val="007815E9"/>
    <w:rsid w:val="00783843"/>
    <w:rsid w:val="00784836"/>
    <w:rsid w:val="00784F71"/>
    <w:rsid w:val="007853F1"/>
    <w:rsid w:val="0079023E"/>
    <w:rsid w:val="0079195F"/>
    <w:rsid w:val="007930ED"/>
    <w:rsid w:val="00795D51"/>
    <w:rsid w:val="00797F80"/>
    <w:rsid w:val="007A0C0E"/>
    <w:rsid w:val="007A2854"/>
    <w:rsid w:val="007A3A10"/>
    <w:rsid w:val="007A4702"/>
    <w:rsid w:val="007A49FC"/>
    <w:rsid w:val="007A6F66"/>
    <w:rsid w:val="007B2D2F"/>
    <w:rsid w:val="007B406B"/>
    <w:rsid w:val="007B6075"/>
    <w:rsid w:val="007B73A9"/>
    <w:rsid w:val="007C01EB"/>
    <w:rsid w:val="007C1D92"/>
    <w:rsid w:val="007C4CB9"/>
    <w:rsid w:val="007C6516"/>
    <w:rsid w:val="007C79A1"/>
    <w:rsid w:val="007D0B9D"/>
    <w:rsid w:val="007D19B0"/>
    <w:rsid w:val="007D1BE6"/>
    <w:rsid w:val="007D4CF4"/>
    <w:rsid w:val="007D75F0"/>
    <w:rsid w:val="007E0642"/>
    <w:rsid w:val="007E35DA"/>
    <w:rsid w:val="007E44E5"/>
    <w:rsid w:val="007E52D4"/>
    <w:rsid w:val="007F0436"/>
    <w:rsid w:val="007F498F"/>
    <w:rsid w:val="0080679D"/>
    <w:rsid w:val="00807CF7"/>
    <w:rsid w:val="00807D56"/>
    <w:rsid w:val="008108B0"/>
    <w:rsid w:val="00811B20"/>
    <w:rsid w:val="00812609"/>
    <w:rsid w:val="008148DA"/>
    <w:rsid w:val="008211B5"/>
    <w:rsid w:val="0082296E"/>
    <w:rsid w:val="00823B18"/>
    <w:rsid w:val="00824099"/>
    <w:rsid w:val="00830C44"/>
    <w:rsid w:val="00835682"/>
    <w:rsid w:val="008357B3"/>
    <w:rsid w:val="00835931"/>
    <w:rsid w:val="00836263"/>
    <w:rsid w:val="00836437"/>
    <w:rsid w:val="008417C9"/>
    <w:rsid w:val="00841D46"/>
    <w:rsid w:val="00842F5C"/>
    <w:rsid w:val="0084636C"/>
    <w:rsid w:val="00846D7C"/>
    <w:rsid w:val="00847B62"/>
    <w:rsid w:val="008559FC"/>
    <w:rsid w:val="00855A6C"/>
    <w:rsid w:val="00856DF7"/>
    <w:rsid w:val="00860419"/>
    <w:rsid w:val="00860BBE"/>
    <w:rsid w:val="00862A03"/>
    <w:rsid w:val="00863C76"/>
    <w:rsid w:val="00865EC8"/>
    <w:rsid w:val="008663AE"/>
    <w:rsid w:val="00867AC1"/>
    <w:rsid w:val="00867E88"/>
    <w:rsid w:val="008702FB"/>
    <w:rsid w:val="00872F2B"/>
    <w:rsid w:val="008733DB"/>
    <w:rsid w:val="008736DF"/>
    <w:rsid w:val="008751DE"/>
    <w:rsid w:val="00876E9E"/>
    <w:rsid w:val="0088068C"/>
    <w:rsid w:val="0088204E"/>
    <w:rsid w:val="00884CA6"/>
    <w:rsid w:val="00885D2D"/>
    <w:rsid w:val="008864EB"/>
    <w:rsid w:val="00887B91"/>
    <w:rsid w:val="00890DF8"/>
    <w:rsid w:val="00891076"/>
    <w:rsid w:val="00892544"/>
    <w:rsid w:val="008A0540"/>
    <w:rsid w:val="008A0ADE"/>
    <w:rsid w:val="008A21F3"/>
    <w:rsid w:val="008A26C3"/>
    <w:rsid w:val="008A2929"/>
    <w:rsid w:val="008A300B"/>
    <w:rsid w:val="008A45A6"/>
    <w:rsid w:val="008A614E"/>
    <w:rsid w:val="008A743F"/>
    <w:rsid w:val="008A7466"/>
    <w:rsid w:val="008B0E18"/>
    <w:rsid w:val="008C0970"/>
    <w:rsid w:val="008C15EF"/>
    <w:rsid w:val="008C7BB9"/>
    <w:rsid w:val="008D0BC5"/>
    <w:rsid w:val="008D2CF7"/>
    <w:rsid w:val="008D3301"/>
    <w:rsid w:val="008D4827"/>
    <w:rsid w:val="008E1106"/>
    <w:rsid w:val="008E3B04"/>
    <w:rsid w:val="008E502F"/>
    <w:rsid w:val="008F35C1"/>
    <w:rsid w:val="008F3DD3"/>
    <w:rsid w:val="008F5DD0"/>
    <w:rsid w:val="00900C26"/>
    <w:rsid w:val="0090173D"/>
    <w:rsid w:val="0090197F"/>
    <w:rsid w:val="00901BE0"/>
    <w:rsid w:val="00903264"/>
    <w:rsid w:val="00906DDC"/>
    <w:rsid w:val="00913C62"/>
    <w:rsid w:val="00915349"/>
    <w:rsid w:val="00915B9D"/>
    <w:rsid w:val="00916930"/>
    <w:rsid w:val="00917D23"/>
    <w:rsid w:val="0092225E"/>
    <w:rsid w:val="00925046"/>
    <w:rsid w:val="00933A3A"/>
    <w:rsid w:val="009340B3"/>
    <w:rsid w:val="0093434C"/>
    <w:rsid w:val="00934E09"/>
    <w:rsid w:val="0093530D"/>
    <w:rsid w:val="00936172"/>
    <w:rsid w:val="00936253"/>
    <w:rsid w:val="00940D46"/>
    <w:rsid w:val="009413F1"/>
    <w:rsid w:val="00941AA9"/>
    <w:rsid w:val="009432E0"/>
    <w:rsid w:val="00952DD4"/>
    <w:rsid w:val="00953B32"/>
    <w:rsid w:val="00954342"/>
    <w:rsid w:val="009561F4"/>
    <w:rsid w:val="00964AD4"/>
    <w:rsid w:val="00965AE7"/>
    <w:rsid w:val="00970FED"/>
    <w:rsid w:val="009725F2"/>
    <w:rsid w:val="00972A4C"/>
    <w:rsid w:val="00973A06"/>
    <w:rsid w:val="009800CC"/>
    <w:rsid w:val="00980B3C"/>
    <w:rsid w:val="00984248"/>
    <w:rsid w:val="00984628"/>
    <w:rsid w:val="009854F7"/>
    <w:rsid w:val="00991185"/>
    <w:rsid w:val="009917E6"/>
    <w:rsid w:val="00992D82"/>
    <w:rsid w:val="0099516F"/>
    <w:rsid w:val="00997029"/>
    <w:rsid w:val="009A1050"/>
    <w:rsid w:val="009A7339"/>
    <w:rsid w:val="009A7421"/>
    <w:rsid w:val="009B2303"/>
    <w:rsid w:val="009B440E"/>
    <w:rsid w:val="009C1DC9"/>
    <w:rsid w:val="009C518F"/>
    <w:rsid w:val="009D3AE3"/>
    <w:rsid w:val="009D4598"/>
    <w:rsid w:val="009D523B"/>
    <w:rsid w:val="009D690D"/>
    <w:rsid w:val="009E65B6"/>
    <w:rsid w:val="009E6B25"/>
    <w:rsid w:val="009F0A51"/>
    <w:rsid w:val="009F6386"/>
    <w:rsid w:val="009F77CF"/>
    <w:rsid w:val="00A04ED0"/>
    <w:rsid w:val="00A074E2"/>
    <w:rsid w:val="00A11E29"/>
    <w:rsid w:val="00A1544A"/>
    <w:rsid w:val="00A2186A"/>
    <w:rsid w:val="00A22A61"/>
    <w:rsid w:val="00A235FA"/>
    <w:rsid w:val="00A24C10"/>
    <w:rsid w:val="00A27B7B"/>
    <w:rsid w:val="00A368D1"/>
    <w:rsid w:val="00A375F1"/>
    <w:rsid w:val="00A41D2C"/>
    <w:rsid w:val="00A423CC"/>
    <w:rsid w:val="00A42AC3"/>
    <w:rsid w:val="00A430CF"/>
    <w:rsid w:val="00A54309"/>
    <w:rsid w:val="00A60EAA"/>
    <w:rsid w:val="00A610A9"/>
    <w:rsid w:val="00A63F7C"/>
    <w:rsid w:val="00A66400"/>
    <w:rsid w:val="00A6712E"/>
    <w:rsid w:val="00A73401"/>
    <w:rsid w:val="00A80F2A"/>
    <w:rsid w:val="00A83A48"/>
    <w:rsid w:val="00A848FB"/>
    <w:rsid w:val="00A86DE5"/>
    <w:rsid w:val="00A93ED2"/>
    <w:rsid w:val="00A96C33"/>
    <w:rsid w:val="00AA0F9E"/>
    <w:rsid w:val="00AA13A2"/>
    <w:rsid w:val="00AA178B"/>
    <w:rsid w:val="00AA419E"/>
    <w:rsid w:val="00AB2B93"/>
    <w:rsid w:val="00AB530F"/>
    <w:rsid w:val="00AB7286"/>
    <w:rsid w:val="00AB73CE"/>
    <w:rsid w:val="00AB7E5B"/>
    <w:rsid w:val="00AB7E81"/>
    <w:rsid w:val="00AC2883"/>
    <w:rsid w:val="00AC7664"/>
    <w:rsid w:val="00AC7F69"/>
    <w:rsid w:val="00AD0305"/>
    <w:rsid w:val="00AD1556"/>
    <w:rsid w:val="00AD30DB"/>
    <w:rsid w:val="00AD727F"/>
    <w:rsid w:val="00AE09A9"/>
    <w:rsid w:val="00AE0EF1"/>
    <w:rsid w:val="00AE2937"/>
    <w:rsid w:val="00AE29BB"/>
    <w:rsid w:val="00AE71F0"/>
    <w:rsid w:val="00AF3546"/>
    <w:rsid w:val="00AF74EB"/>
    <w:rsid w:val="00B00846"/>
    <w:rsid w:val="00B02D1D"/>
    <w:rsid w:val="00B03A55"/>
    <w:rsid w:val="00B03D7E"/>
    <w:rsid w:val="00B07301"/>
    <w:rsid w:val="00B11F3E"/>
    <w:rsid w:val="00B1363D"/>
    <w:rsid w:val="00B15B50"/>
    <w:rsid w:val="00B216F6"/>
    <w:rsid w:val="00B224DE"/>
    <w:rsid w:val="00B23136"/>
    <w:rsid w:val="00B23FED"/>
    <w:rsid w:val="00B30A61"/>
    <w:rsid w:val="00B324D4"/>
    <w:rsid w:val="00B33E7A"/>
    <w:rsid w:val="00B3593F"/>
    <w:rsid w:val="00B35D8B"/>
    <w:rsid w:val="00B40CB8"/>
    <w:rsid w:val="00B40E4E"/>
    <w:rsid w:val="00B42257"/>
    <w:rsid w:val="00B426D3"/>
    <w:rsid w:val="00B42CC2"/>
    <w:rsid w:val="00B45477"/>
    <w:rsid w:val="00B45561"/>
    <w:rsid w:val="00B46575"/>
    <w:rsid w:val="00B46D8B"/>
    <w:rsid w:val="00B52769"/>
    <w:rsid w:val="00B60B85"/>
    <w:rsid w:val="00B61777"/>
    <w:rsid w:val="00B617C3"/>
    <w:rsid w:val="00B61E87"/>
    <w:rsid w:val="00B622E6"/>
    <w:rsid w:val="00B714DC"/>
    <w:rsid w:val="00B83E82"/>
    <w:rsid w:val="00B848F8"/>
    <w:rsid w:val="00B84BBD"/>
    <w:rsid w:val="00B85B77"/>
    <w:rsid w:val="00B86321"/>
    <w:rsid w:val="00B9187E"/>
    <w:rsid w:val="00B91BD8"/>
    <w:rsid w:val="00B9314E"/>
    <w:rsid w:val="00B94819"/>
    <w:rsid w:val="00B96F23"/>
    <w:rsid w:val="00B97376"/>
    <w:rsid w:val="00BA2972"/>
    <w:rsid w:val="00BA3CE1"/>
    <w:rsid w:val="00BA43FB"/>
    <w:rsid w:val="00BA5C21"/>
    <w:rsid w:val="00BB1C3F"/>
    <w:rsid w:val="00BB2A6F"/>
    <w:rsid w:val="00BC127D"/>
    <w:rsid w:val="00BC1FE6"/>
    <w:rsid w:val="00BD0860"/>
    <w:rsid w:val="00BD221D"/>
    <w:rsid w:val="00BD256A"/>
    <w:rsid w:val="00BD3C38"/>
    <w:rsid w:val="00BE185D"/>
    <w:rsid w:val="00BE18F0"/>
    <w:rsid w:val="00BE2761"/>
    <w:rsid w:val="00BF073D"/>
    <w:rsid w:val="00BF38E3"/>
    <w:rsid w:val="00BF4FFA"/>
    <w:rsid w:val="00C02B55"/>
    <w:rsid w:val="00C061B6"/>
    <w:rsid w:val="00C06CF6"/>
    <w:rsid w:val="00C073E4"/>
    <w:rsid w:val="00C110ED"/>
    <w:rsid w:val="00C12AF8"/>
    <w:rsid w:val="00C1385D"/>
    <w:rsid w:val="00C1487A"/>
    <w:rsid w:val="00C16224"/>
    <w:rsid w:val="00C2059B"/>
    <w:rsid w:val="00C20CA5"/>
    <w:rsid w:val="00C21BD2"/>
    <w:rsid w:val="00C2446C"/>
    <w:rsid w:val="00C24FDA"/>
    <w:rsid w:val="00C25532"/>
    <w:rsid w:val="00C261E3"/>
    <w:rsid w:val="00C276C6"/>
    <w:rsid w:val="00C30780"/>
    <w:rsid w:val="00C3168E"/>
    <w:rsid w:val="00C3516A"/>
    <w:rsid w:val="00C3699B"/>
    <w:rsid w:val="00C36ABD"/>
    <w:rsid w:val="00C36AE5"/>
    <w:rsid w:val="00C36FC4"/>
    <w:rsid w:val="00C41F17"/>
    <w:rsid w:val="00C41FF3"/>
    <w:rsid w:val="00C447E6"/>
    <w:rsid w:val="00C527FA"/>
    <w:rsid w:val="00C5280D"/>
    <w:rsid w:val="00C53945"/>
    <w:rsid w:val="00C53DA7"/>
    <w:rsid w:val="00C53EB3"/>
    <w:rsid w:val="00C57004"/>
    <w:rsid w:val="00C57389"/>
    <w:rsid w:val="00C5791C"/>
    <w:rsid w:val="00C603E3"/>
    <w:rsid w:val="00C62EAB"/>
    <w:rsid w:val="00C633C3"/>
    <w:rsid w:val="00C65370"/>
    <w:rsid w:val="00C66290"/>
    <w:rsid w:val="00C70057"/>
    <w:rsid w:val="00C70B32"/>
    <w:rsid w:val="00C71E30"/>
    <w:rsid w:val="00C723C5"/>
    <w:rsid w:val="00C72744"/>
    <w:rsid w:val="00C72B7A"/>
    <w:rsid w:val="00C82BD3"/>
    <w:rsid w:val="00C90215"/>
    <w:rsid w:val="00C90461"/>
    <w:rsid w:val="00C91F15"/>
    <w:rsid w:val="00C93131"/>
    <w:rsid w:val="00C96231"/>
    <w:rsid w:val="00C973F2"/>
    <w:rsid w:val="00CA304C"/>
    <w:rsid w:val="00CA774A"/>
    <w:rsid w:val="00CB371A"/>
    <w:rsid w:val="00CB4921"/>
    <w:rsid w:val="00CB70AA"/>
    <w:rsid w:val="00CB741C"/>
    <w:rsid w:val="00CC11B0"/>
    <w:rsid w:val="00CC1741"/>
    <w:rsid w:val="00CC1A97"/>
    <w:rsid w:val="00CC2841"/>
    <w:rsid w:val="00CC326B"/>
    <w:rsid w:val="00CC37F5"/>
    <w:rsid w:val="00CC3A17"/>
    <w:rsid w:val="00CC3D76"/>
    <w:rsid w:val="00CC4E51"/>
    <w:rsid w:val="00CC7E8D"/>
    <w:rsid w:val="00CD59D2"/>
    <w:rsid w:val="00CE0673"/>
    <w:rsid w:val="00CE55FD"/>
    <w:rsid w:val="00CE70D4"/>
    <w:rsid w:val="00CF1330"/>
    <w:rsid w:val="00CF4179"/>
    <w:rsid w:val="00CF75C9"/>
    <w:rsid w:val="00CF7E36"/>
    <w:rsid w:val="00D0281A"/>
    <w:rsid w:val="00D0570D"/>
    <w:rsid w:val="00D14ADB"/>
    <w:rsid w:val="00D20944"/>
    <w:rsid w:val="00D25C56"/>
    <w:rsid w:val="00D34BF9"/>
    <w:rsid w:val="00D3708D"/>
    <w:rsid w:val="00D37F15"/>
    <w:rsid w:val="00D40426"/>
    <w:rsid w:val="00D41943"/>
    <w:rsid w:val="00D44247"/>
    <w:rsid w:val="00D50C5A"/>
    <w:rsid w:val="00D52F5C"/>
    <w:rsid w:val="00D56D94"/>
    <w:rsid w:val="00D57C96"/>
    <w:rsid w:val="00D57D18"/>
    <w:rsid w:val="00D623E8"/>
    <w:rsid w:val="00D659EA"/>
    <w:rsid w:val="00D65B8E"/>
    <w:rsid w:val="00D66E58"/>
    <w:rsid w:val="00D67E4D"/>
    <w:rsid w:val="00D70E65"/>
    <w:rsid w:val="00D72EBE"/>
    <w:rsid w:val="00D743BE"/>
    <w:rsid w:val="00D74ACB"/>
    <w:rsid w:val="00D82CA6"/>
    <w:rsid w:val="00D91203"/>
    <w:rsid w:val="00D9243E"/>
    <w:rsid w:val="00D9494F"/>
    <w:rsid w:val="00D95174"/>
    <w:rsid w:val="00DA23E6"/>
    <w:rsid w:val="00DA310B"/>
    <w:rsid w:val="00DA4973"/>
    <w:rsid w:val="00DA5944"/>
    <w:rsid w:val="00DA6F36"/>
    <w:rsid w:val="00DB388B"/>
    <w:rsid w:val="00DB596E"/>
    <w:rsid w:val="00DB7773"/>
    <w:rsid w:val="00DC00EA"/>
    <w:rsid w:val="00DC1BE6"/>
    <w:rsid w:val="00DC1BE7"/>
    <w:rsid w:val="00DC1E41"/>
    <w:rsid w:val="00DC3802"/>
    <w:rsid w:val="00DD0DAB"/>
    <w:rsid w:val="00DD286B"/>
    <w:rsid w:val="00DD2B58"/>
    <w:rsid w:val="00DD593C"/>
    <w:rsid w:val="00DD6208"/>
    <w:rsid w:val="00DD7FE5"/>
    <w:rsid w:val="00DE2979"/>
    <w:rsid w:val="00DE38FF"/>
    <w:rsid w:val="00DE4048"/>
    <w:rsid w:val="00DE55C1"/>
    <w:rsid w:val="00DE7039"/>
    <w:rsid w:val="00DF185E"/>
    <w:rsid w:val="00DF305E"/>
    <w:rsid w:val="00DF4F71"/>
    <w:rsid w:val="00DF54E0"/>
    <w:rsid w:val="00DF7E99"/>
    <w:rsid w:val="00E0300B"/>
    <w:rsid w:val="00E0628E"/>
    <w:rsid w:val="00E07D87"/>
    <w:rsid w:val="00E127C1"/>
    <w:rsid w:val="00E225A8"/>
    <w:rsid w:val="00E22B90"/>
    <w:rsid w:val="00E24568"/>
    <w:rsid w:val="00E249C8"/>
    <w:rsid w:val="00E3004E"/>
    <w:rsid w:val="00E30E2D"/>
    <w:rsid w:val="00E32F7E"/>
    <w:rsid w:val="00E341E4"/>
    <w:rsid w:val="00E35226"/>
    <w:rsid w:val="00E36323"/>
    <w:rsid w:val="00E37AA5"/>
    <w:rsid w:val="00E432A0"/>
    <w:rsid w:val="00E44AA7"/>
    <w:rsid w:val="00E5267B"/>
    <w:rsid w:val="00E559F0"/>
    <w:rsid w:val="00E60AD5"/>
    <w:rsid w:val="00E62D99"/>
    <w:rsid w:val="00E63C0E"/>
    <w:rsid w:val="00E64E05"/>
    <w:rsid w:val="00E67527"/>
    <w:rsid w:val="00E71613"/>
    <w:rsid w:val="00E72D49"/>
    <w:rsid w:val="00E73704"/>
    <w:rsid w:val="00E74B77"/>
    <w:rsid w:val="00E7593C"/>
    <w:rsid w:val="00E7678A"/>
    <w:rsid w:val="00E77C90"/>
    <w:rsid w:val="00E80E5F"/>
    <w:rsid w:val="00E8269A"/>
    <w:rsid w:val="00E84176"/>
    <w:rsid w:val="00E84182"/>
    <w:rsid w:val="00E8744A"/>
    <w:rsid w:val="00E912E0"/>
    <w:rsid w:val="00E935F1"/>
    <w:rsid w:val="00E94478"/>
    <w:rsid w:val="00E94A81"/>
    <w:rsid w:val="00E9619D"/>
    <w:rsid w:val="00E97728"/>
    <w:rsid w:val="00EA0E05"/>
    <w:rsid w:val="00EA19CF"/>
    <w:rsid w:val="00EA1FFB"/>
    <w:rsid w:val="00EA53AD"/>
    <w:rsid w:val="00EA6E43"/>
    <w:rsid w:val="00EB048E"/>
    <w:rsid w:val="00EB2234"/>
    <w:rsid w:val="00EB3083"/>
    <w:rsid w:val="00EB33BA"/>
    <w:rsid w:val="00EB4E9C"/>
    <w:rsid w:val="00EB5EB3"/>
    <w:rsid w:val="00EC55EE"/>
    <w:rsid w:val="00EC6D43"/>
    <w:rsid w:val="00EC746B"/>
    <w:rsid w:val="00ED0F6A"/>
    <w:rsid w:val="00EE2FE4"/>
    <w:rsid w:val="00EE34DF"/>
    <w:rsid w:val="00EE3CB1"/>
    <w:rsid w:val="00EE4D75"/>
    <w:rsid w:val="00EF28ED"/>
    <w:rsid w:val="00EF2F89"/>
    <w:rsid w:val="00EF5492"/>
    <w:rsid w:val="00EF6D30"/>
    <w:rsid w:val="00F03E98"/>
    <w:rsid w:val="00F10EFA"/>
    <w:rsid w:val="00F110FA"/>
    <w:rsid w:val="00F121CC"/>
    <w:rsid w:val="00F1237A"/>
    <w:rsid w:val="00F12979"/>
    <w:rsid w:val="00F13128"/>
    <w:rsid w:val="00F17DCF"/>
    <w:rsid w:val="00F21382"/>
    <w:rsid w:val="00F22CBD"/>
    <w:rsid w:val="00F238E7"/>
    <w:rsid w:val="00F23D35"/>
    <w:rsid w:val="00F24852"/>
    <w:rsid w:val="00F272F1"/>
    <w:rsid w:val="00F31412"/>
    <w:rsid w:val="00F3151E"/>
    <w:rsid w:val="00F31AC3"/>
    <w:rsid w:val="00F320CB"/>
    <w:rsid w:val="00F34AB5"/>
    <w:rsid w:val="00F37E90"/>
    <w:rsid w:val="00F40AB0"/>
    <w:rsid w:val="00F45372"/>
    <w:rsid w:val="00F46EE3"/>
    <w:rsid w:val="00F52984"/>
    <w:rsid w:val="00F560F7"/>
    <w:rsid w:val="00F60A7F"/>
    <w:rsid w:val="00F62120"/>
    <w:rsid w:val="00F6334D"/>
    <w:rsid w:val="00F63599"/>
    <w:rsid w:val="00F63DB3"/>
    <w:rsid w:val="00F66F68"/>
    <w:rsid w:val="00F6732E"/>
    <w:rsid w:val="00F70EA6"/>
    <w:rsid w:val="00F71781"/>
    <w:rsid w:val="00F81555"/>
    <w:rsid w:val="00F82D50"/>
    <w:rsid w:val="00F834E5"/>
    <w:rsid w:val="00F85F3E"/>
    <w:rsid w:val="00F94234"/>
    <w:rsid w:val="00F94FA5"/>
    <w:rsid w:val="00F96DA9"/>
    <w:rsid w:val="00F97F47"/>
    <w:rsid w:val="00FA097D"/>
    <w:rsid w:val="00FA49AB"/>
    <w:rsid w:val="00FA504A"/>
    <w:rsid w:val="00FA5073"/>
    <w:rsid w:val="00FA5159"/>
    <w:rsid w:val="00FA5681"/>
    <w:rsid w:val="00FA68F4"/>
    <w:rsid w:val="00FB2009"/>
    <w:rsid w:val="00FB31D3"/>
    <w:rsid w:val="00FB3A3A"/>
    <w:rsid w:val="00FB77CC"/>
    <w:rsid w:val="00FB7F70"/>
    <w:rsid w:val="00FC00FD"/>
    <w:rsid w:val="00FC5FD0"/>
    <w:rsid w:val="00FC655A"/>
    <w:rsid w:val="00FC6B3C"/>
    <w:rsid w:val="00FD0A81"/>
    <w:rsid w:val="00FD1D8A"/>
    <w:rsid w:val="00FD2510"/>
    <w:rsid w:val="00FE39C7"/>
    <w:rsid w:val="00FE3D57"/>
    <w:rsid w:val="00FE5B01"/>
    <w:rsid w:val="00FF013B"/>
    <w:rsid w:val="00FF0820"/>
    <w:rsid w:val="00FF3729"/>
    <w:rsid w:val="00FF4D07"/>
    <w:rsid w:val="00FF664B"/>
    <w:rsid w:val="00FF7E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08D821"/>
  <w15:docId w15:val="{01629195-15E7-4162-A7EC-A07E2A476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C90461"/>
    <w:pPr>
      <w:keepNext/>
      <w:ind w:left="567" w:hanging="567"/>
      <w:jc w:val="both"/>
      <w:outlineLvl w:val="0"/>
    </w:pPr>
    <w:rPr>
      <w:rFonts w:ascii="Arial" w:hAnsi="Arial"/>
      <w:caps/>
    </w:rPr>
  </w:style>
  <w:style w:type="paragraph" w:styleId="Heading2">
    <w:name w:val="heading 2"/>
    <w:next w:val="Normal"/>
    <w:autoRedefine/>
    <w:qFormat/>
    <w:rsid w:val="00426434"/>
    <w:pPr>
      <w:keepNext/>
      <w:jc w:val="both"/>
      <w:outlineLvl w:val="1"/>
    </w:pPr>
    <w:rPr>
      <w:rFonts w:ascii="Arial" w:hAnsi="Arial"/>
      <w:u w:val="single"/>
    </w:rPr>
  </w:style>
  <w:style w:type="paragraph" w:styleId="Heading3">
    <w:name w:val="heading 3"/>
    <w:aliases w:val="Heading 3 Scientific Name"/>
    <w:next w:val="Normal"/>
    <w:link w:val="Heading3Char"/>
    <w:autoRedefine/>
    <w:qFormat/>
    <w:rsid w:val="00FA5159"/>
    <w:pPr>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7D1BE6"/>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s-E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es-ES"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es-ES" w:eastAsia="en-US" w:bidi="ar-SA"/>
    </w:rPr>
  </w:style>
  <w:style w:type="paragraph" w:styleId="TOC2">
    <w:name w:val="toc 2"/>
    <w:next w:val="Normal"/>
    <w:autoRedefine/>
    <w:uiPriority w:val="39"/>
    <w:rsid w:val="00C90461"/>
    <w:pPr>
      <w:tabs>
        <w:tab w:val="right" w:leader="dot" w:pos="9639"/>
      </w:tabs>
      <w:spacing w:before="60" w:after="60"/>
      <w:ind w:left="851" w:right="720"/>
    </w:pPr>
    <w:rPr>
      <w:rFonts w:ascii="Arial" w:hAnsi="Arial"/>
    </w:rPr>
  </w:style>
  <w:style w:type="paragraph" w:styleId="TOC3">
    <w:name w:val="toc 3"/>
    <w:next w:val="Normal"/>
    <w:autoRedefine/>
    <w:rsid w:val="00753EE9"/>
    <w:pPr>
      <w:tabs>
        <w:tab w:val="right" w:leader="dot" w:pos="9639"/>
      </w:tabs>
      <w:spacing w:after="120"/>
      <w:ind w:left="568" w:right="851" w:hanging="284"/>
    </w:pPr>
    <w:rPr>
      <w:rFonts w:ascii="Arial" w:hAnsi="Arial"/>
      <w:sz w:val="18"/>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rPr>
  </w:style>
  <w:style w:type="paragraph" w:styleId="TOC1">
    <w:name w:val="toc 1"/>
    <w:next w:val="Normal"/>
    <w:autoRedefine/>
    <w:uiPriority w:val="39"/>
    <w:rsid w:val="00C90461"/>
    <w:pPr>
      <w:tabs>
        <w:tab w:val="left" w:pos="426"/>
        <w:tab w:val="right" w:leader="dot" w:pos="9639"/>
      </w:tabs>
      <w:ind w:left="426" w:right="720" w:hanging="426"/>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paragraph" w:styleId="ListParagraph">
    <w:name w:val="List Paragraph"/>
    <w:aliases w:val="auto_list_(i),List Paragraph1"/>
    <w:basedOn w:val="Normal"/>
    <w:link w:val="ListParagraphChar"/>
    <w:uiPriority w:val="34"/>
    <w:qFormat/>
    <w:rsid w:val="00DA310B"/>
    <w:pPr>
      <w:spacing w:after="200" w:line="276" w:lineRule="auto"/>
      <w:ind w:left="720"/>
      <w:contextualSpacing/>
      <w:jc w:val="left"/>
    </w:pPr>
    <w:rPr>
      <w:rFonts w:eastAsiaTheme="minorEastAsia" w:cstheme="minorBidi"/>
      <w:szCs w:val="22"/>
    </w:rPr>
  </w:style>
  <w:style w:type="character" w:customStyle="1" w:styleId="ListParagraphChar">
    <w:name w:val="List Paragraph Char"/>
    <w:aliases w:val="auto_list_(i) Char,List Paragraph1 Char"/>
    <w:basedOn w:val="DefaultParagraphFont"/>
    <w:link w:val="ListParagraph"/>
    <w:uiPriority w:val="34"/>
    <w:locked/>
    <w:rsid w:val="00DA310B"/>
    <w:rPr>
      <w:rFonts w:ascii="Arial" w:eastAsiaTheme="minorEastAsia" w:hAnsi="Arial" w:cstheme="minorBidi"/>
      <w:szCs w:val="22"/>
    </w:rPr>
  </w:style>
  <w:style w:type="character" w:customStyle="1" w:styleId="Heading3Char">
    <w:name w:val="Heading 3 Char"/>
    <w:aliases w:val="Heading 3 Scientific Name Char"/>
    <w:basedOn w:val="DefaultParagraphFont"/>
    <w:link w:val="Heading3"/>
    <w:rsid w:val="00FA5159"/>
    <w:rPr>
      <w:rFonts w:ascii="Arial" w:hAnsi="Arial"/>
      <w:i/>
    </w:rPr>
  </w:style>
  <w:style w:type="character" w:customStyle="1" w:styleId="FootnoteTextChar">
    <w:name w:val="Footnote Text Char"/>
    <w:basedOn w:val="DefaultParagraphFont"/>
    <w:link w:val="FootnoteText"/>
    <w:rsid w:val="007D1BE6"/>
    <w:rPr>
      <w:rFonts w:ascii="Arial" w:hAnsi="Arial"/>
      <w:sz w:val="16"/>
    </w:rPr>
  </w:style>
  <w:style w:type="character" w:customStyle="1" w:styleId="Heading1Char">
    <w:name w:val="Heading 1 Char"/>
    <w:basedOn w:val="DefaultParagraphFont"/>
    <w:link w:val="Heading1"/>
    <w:rsid w:val="00C90461"/>
    <w:rPr>
      <w:rFonts w:ascii="Arial" w:hAnsi="Arial"/>
      <w:caps/>
    </w:rPr>
  </w:style>
  <w:style w:type="character" w:styleId="FollowedHyperlink">
    <w:name w:val="FollowedHyperlink"/>
    <w:basedOn w:val="DefaultParagraphFont"/>
    <w:semiHidden/>
    <w:unhideWhenUsed/>
    <w:rsid w:val="008663AE"/>
    <w:rPr>
      <w:color w:val="800080" w:themeColor="followedHyperlink"/>
      <w:u w:val="single"/>
    </w:rPr>
  </w:style>
  <w:style w:type="paragraph" w:styleId="Revision">
    <w:name w:val="Revision"/>
    <w:hidden/>
    <w:uiPriority w:val="99"/>
    <w:semiHidden/>
    <w:rsid w:val="00F46EE3"/>
    <w:rPr>
      <w:rFonts w:ascii="Arial" w:hAnsi="Arial"/>
    </w:rPr>
  </w:style>
  <w:style w:type="character" w:customStyle="1" w:styleId="text">
    <w:name w:val="text"/>
    <w:rsid w:val="0092225E"/>
    <w:rPr>
      <w:rFonts w:ascii="Arial Unicode MS" w:eastAsia="Arial Unicode MS" w:hAnsi="Arial Unicode MS" w:cs="Arial Unicode MS"/>
      <w:sz w:val="20"/>
      <w:szCs w:val="20"/>
    </w:rPr>
  </w:style>
  <w:style w:type="table" w:customStyle="1" w:styleId="table">
    <w:name w:val="table"/>
    <w:uiPriority w:val="99"/>
    <w:rsid w:val="003E63DD"/>
    <w:pPr>
      <w:spacing w:after="160" w:line="259" w:lineRule="auto"/>
    </w:pPr>
    <w:rPr>
      <w:rFonts w:ascii="Arial" w:eastAsia="Arial" w:hAnsi="Arial" w:cs="Arial"/>
    </w:rPr>
    <w:tblPr>
      <w:tblBorders>
        <w:top w:val="single" w:sz="20" w:space="0" w:color="DEDEDE"/>
        <w:left w:val="single" w:sz="20" w:space="0" w:color="DEDEDE"/>
        <w:bottom w:val="single" w:sz="20" w:space="0" w:color="DEDEDE"/>
        <w:right w:val="single" w:sz="20" w:space="0" w:color="DEDEDE"/>
        <w:insideH w:val="single" w:sz="20" w:space="0" w:color="DEDEDE"/>
        <w:insideV w:val="single" w:sz="20" w:space="0" w:color="DEDEDE"/>
      </w:tblBorders>
      <w:tblCellMar>
        <w:top w:w="80" w:type="dxa"/>
        <w:left w:w="80" w:type="dxa"/>
        <w:bottom w:w="80" w:type="dxa"/>
        <w:right w:w="80" w:type="dxa"/>
      </w:tblCellMar>
    </w:tblPr>
  </w:style>
  <w:style w:type="character" w:customStyle="1" w:styleId="UnresolvedMention1">
    <w:name w:val="Unresolved Mention1"/>
    <w:basedOn w:val="DefaultParagraphFont"/>
    <w:uiPriority w:val="99"/>
    <w:semiHidden/>
    <w:unhideWhenUsed/>
    <w:rsid w:val="004018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78949">
      <w:bodyDiv w:val="1"/>
      <w:marLeft w:val="0"/>
      <w:marRight w:val="0"/>
      <w:marTop w:val="0"/>
      <w:marBottom w:val="0"/>
      <w:divBdr>
        <w:top w:val="none" w:sz="0" w:space="0" w:color="auto"/>
        <w:left w:val="none" w:sz="0" w:space="0" w:color="auto"/>
        <w:bottom w:val="none" w:sz="0" w:space="0" w:color="auto"/>
        <w:right w:val="none" w:sz="0" w:space="0" w:color="auto"/>
      </w:divBdr>
    </w:div>
    <w:div w:id="1214195406">
      <w:bodyDiv w:val="1"/>
      <w:marLeft w:val="0"/>
      <w:marRight w:val="0"/>
      <w:marTop w:val="0"/>
      <w:marBottom w:val="0"/>
      <w:divBdr>
        <w:top w:val="none" w:sz="0" w:space="0" w:color="auto"/>
        <w:left w:val="none" w:sz="0" w:space="0" w:color="auto"/>
        <w:bottom w:val="none" w:sz="0" w:space="0" w:color="auto"/>
        <w:right w:val="none" w:sz="0" w:space="0" w:color="auto"/>
      </w:divBdr>
    </w:div>
    <w:div w:id="1378815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2.xml"/><Relationship Id="rId18" Type="http://schemas.openxmlformats.org/officeDocument/2006/relationships/chart" Target="charts/chart7.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5" Type="http://schemas.openxmlformats.org/officeDocument/2006/relationships/chart" Target="charts/chart14.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chart" Target="charts/chart13.xml"/><Relationship Id="rId5" Type="http://schemas.openxmlformats.org/officeDocument/2006/relationships/webSettings" Target="webSettings.xml"/><Relationship Id="rId15" Type="http://schemas.openxmlformats.org/officeDocument/2006/relationships/chart" Target="charts/chart4.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hart" Target="charts/chart8.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hart" Target="charts/chart3.xml"/><Relationship Id="rId22" Type="http://schemas.openxmlformats.org/officeDocument/2006/relationships/chart" Target="charts/chart11.xml"/><Relationship Id="rId27" Type="http://schemas.openxmlformats.org/officeDocument/2006/relationships/header" Target="header5.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1" Type="http://schemas.openxmlformats.org/officeDocument/2006/relationships/themeOverride" Target="../theme/themeOverride14.xm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758D-4229-BCE8-02855A935576}"/>
              </c:ext>
            </c:extLst>
          </c:dPt>
          <c:dPt>
            <c:idx val="1"/>
            <c:bubble3D val="0"/>
            <c:spPr>
              <a:solidFill>
                <a:srgbClr val="FEE08B"/>
              </a:solidFill>
            </c:spPr>
            <c:extLst>
              <c:ext xmlns:c16="http://schemas.microsoft.com/office/drawing/2014/chart" uri="{C3380CC4-5D6E-409C-BE32-E72D297353CC}">
                <c16:uniqueId val="{00000003-758D-4229-BCE8-02855A935576}"/>
              </c:ext>
            </c:extLst>
          </c:dPt>
          <c:dLbls>
            <c:dLbl>
              <c:idx val="0"/>
              <c:tx>
                <c:rich>
                  <a:bodyPr/>
                  <a:lstStyle/>
                  <a:p>
                    <a:fld id="{73DFE05F-6A40-4A36-8123-E249AE232AFB}" type="CATEGORYNAME">
                      <a:rPr lang="en-US">
                        <a:solidFill>
                          <a:schemeClr val="bg1"/>
                        </a:solidFill>
                      </a:rPr>
                      <a:pPr/>
                      <a:t>[CATEGORY NAME]</a:t>
                    </a:fld>
                    <a:r>
                      <a:rPr lang="en-US" baseline="0">
                        <a:solidFill>
                          <a:schemeClr val="bg1"/>
                        </a:solidFill>
                      </a:rPr>
                      <a:t>
</a:t>
                    </a:r>
                    <a:fld id="{097A5E7D-0159-4BFF-A724-2AB58EC4933D}" type="PERCENTAGE">
                      <a:rPr lang="en-US" baseline="0">
                        <a:solidFill>
                          <a:schemeClr val="bg1"/>
                        </a:solidFill>
                      </a:rPr>
                      <a:pPr/>
                      <a:t>[PERCENTAGE]</a:t>
                    </a:fld>
                    <a:endParaRPr lang="en-US" baseline="0">
                      <a:solidFill>
                        <a:schemeClr val="bg1"/>
                      </a:solidFill>
                    </a:endParaRPr>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58D-4229-BCE8-02855A935576}"/>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42</c:v>
              </c:pt>
              <c:pt idx="1">
                <c:v>58</c:v>
              </c:pt>
            </c:numLit>
          </c:val>
          <c:extLst>
            <c:ext xmlns:c16="http://schemas.microsoft.com/office/drawing/2014/chart" uri="{C3380CC4-5D6E-409C-BE32-E72D297353CC}">
              <c16:uniqueId val="{00000004-758D-4229-BCE8-02855A935576}"/>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B8F2-46C3-B22C-BA8203FFA7E3}"/>
              </c:ext>
            </c:extLst>
          </c:dPt>
          <c:dPt>
            <c:idx val="1"/>
            <c:invertIfNegative val="1"/>
            <c:bubble3D val="0"/>
            <c:spPr>
              <a:solidFill>
                <a:srgbClr val="FEE08B"/>
              </a:solidFill>
            </c:spPr>
            <c:extLst>
              <c:ext xmlns:c16="http://schemas.microsoft.com/office/drawing/2014/chart" uri="{C3380CC4-5D6E-409C-BE32-E72D297353CC}">
                <c16:uniqueId val="{00000003-B8F2-46C3-B22C-BA8203FFA7E3}"/>
              </c:ext>
            </c:extLst>
          </c:dPt>
          <c:dPt>
            <c:idx val="2"/>
            <c:invertIfNegative val="1"/>
            <c:bubble3D val="0"/>
            <c:spPr>
              <a:solidFill>
                <a:srgbClr val="F46D43"/>
              </a:solidFill>
            </c:spPr>
            <c:extLst>
              <c:ext xmlns:c16="http://schemas.microsoft.com/office/drawing/2014/chart" uri="{C3380CC4-5D6E-409C-BE32-E72D297353CC}">
                <c16:uniqueId val="{00000005-B8F2-46C3-B22C-BA8203FFA7E3}"/>
              </c:ext>
            </c:extLst>
          </c:dPt>
          <c:dPt>
            <c:idx val="3"/>
            <c:invertIfNegative val="1"/>
            <c:bubble3D val="0"/>
            <c:spPr>
              <a:solidFill>
                <a:srgbClr val="A50026"/>
              </a:solidFill>
            </c:spPr>
            <c:extLst>
              <c:ext xmlns:c16="http://schemas.microsoft.com/office/drawing/2014/chart" uri="{C3380CC4-5D6E-409C-BE32-E72D297353CC}">
                <c16:uniqueId val="{00000007-B8F2-46C3-B22C-BA8203FFA7E3}"/>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34</c:v>
              </c:pt>
              <c:pt idx="1">
                <c:v>34</c:v>
              </c:pt>
              <c:pt idx="2">
                <c:v>41</c:v>
              </c:pt>
              <c:pt idx="3">
                <c:v>19</c:v>
              </c:pt>
            </c:numLit>
          </c:val>
          <c:extLst>
            <c:ext xmlns:c16="http://schemas.microsoft.com/office/drawing/2014/chart" uri="{C3380CC4-5D6E-409C-BE32-E72D297353CC}">
              <c16:uniqueId val="{00000008-B8F2-46C3-B22C-BA8203FFA7E3}"/>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29D6-4BD9-9324-C2F863345732}"/>
              </c:ext>
            </c:extLst>
          </c:dPt>
          <c:dPt>
            <c:idx val="1"/>
            <c:bubble3D val="0"/>
            <c:spPr>
              <a:solidFill>
                <a:srgbClr val="FEE08B"/>
              </a:solidFill>
            </c:spPr>
            <c:extLst>
              <c:ext xmlns:c16="http://schemas.microsoft.com/office/drawing/2014/chart" uri="{C3380CC4-5D6E-409C-BE32-E72D297353CC}">
                <c16:uniqueId val="{00000003-29D6-4BD9-9324-C2F863345732}"/>
              </c:ext>
            </c:extLst>
          </c:dPt>
          <c:dPt>
            <c:idx val="2"/>
            <c:bubble3D val="0"/>
            <c:spPr>
              <a:solidFill>
                <a:srgbClr val="F46D43"/>
              </a:solidFill>
            </c:spPr>
            <c:extLst>
              <c:ext xmlns:c16="http://schemas.microsoft.com/office/drawing/2014/chart" uri="{C3380CC4-5D6E-409C-BE32-E72D297353CC}">
                <c16:uniqueId val="{00000005-29D6-4BD9-9324-C2F863345732}"/>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29D6-4BD9-9324-C2F86334573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26</c:v>
              </c:pt>
              <c:pt idx="1">
                <c:v>44</c:v>
              </c:pt>
              <c:pt idx="2">
                <c:v>30</c:v>
              </c:pt>
            </c:numLit>
          </c:val>
          <c:extLst>
            <c:ext xmlns:c16="http://schemas.microsoft.com/office/drawing/2014/chart" uri="{C3380CC4-5D6E-409C-BE32-E72D297353CC}">
              <c16:uniqueId val="{00000006-29D6-4BD9-9324-C2F86334573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FF1D-416A-9098-EEEB31BE3E66}"/>
              </c:ext>
            </c:extLst>
          </c:dPt>
          <c:dPt>
            <c:idx val="1"/>
            <c:invertIfNegative val="1"/>
            <c:bubble3D val="0"/>
            <c:spPr>
              <a:solidFill>
                <a:srgbClr val="FEE08B"/>
              </a:solidFill>
            </c:spPr>
            <c:extLst>
              <c:ext xmlns:c16="http://schemas.microsoft.com/office/drawing/2014/chart" uri="{C3380CC4-5D6E-409C-BE32-E72D297353CC}">
                <c16:uniqueId val="{00000003-FF1D-416A-9098-EEEB31BE3E66}"/>
              </c:ext>
            </c:extLst>
          </c:dPt>
          <c:dPt>
            <c:idx val="2"/>
            <c:invertIfNegative val="1"/>
            <c:bubble3D val="0"/>
            <c:spPr>
              <a:solidFill>
                <a:srgbClr val="F46D43"/>
              </a:solidFill>
            </c:spPr>
            <c:extLst>
              <c:ext xmlns:c16="http://schemas.microsoft.com/office/drawing/2014/chart" uri="{C3380CC4-5D6E-409C-BE32-E72D297353CC}">
                <c16:uniqueId val="{00000005-FF1D-416A-9098-EEEB31BE3E66}"/>
              </c:ext>
            </c:extLst>
          </c:dPt>
          <c:dPt>
            <c:idx val="3"/>
            <c:invertIfNegative val="1"/>
            <c:bubble3D val="0"/>
            <c:spPr>
              <a:solidFill>
                <a:srgbClr val="A50026"/>
              </a:solidFill>
            </c:spPr>
            <c:extLst>
              <c:ext xmlns:c16="http://schemas.microsoft.com/office/drawing/2014/chart" uri="{C3380CC4-5D6E-409C-BE32-E72D297353CC}">
                <c16:uniqueId val="{00000007-FF1D-416A-9098-EEEB31BE3E66}"/>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47</c:v>
              </c:pt>
              <c:pt idx="1">
                <c:v>34</c:v>
              </c:pt>
              <c:pt idx="2">
                <c:v>28</c:v>
              </c:pt>
              <c:pt idx="3">
                <c:v>16</c:v>
              </c:pt>
            </c:numLit>
          </c:val>
          <c:extLst>
            <c:ext xmlns:c16="http://schemas.microsoft.com/office/drawing/2014/chart" uri="{C3380CC4-5D6E-409C-BE32-E72D297353CC}">
              <c16:uniqueId val="{00000008-FF1D-416A-9098-EEEB31BE3E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958E-4800-B6FC-87856321EF7C}"/>
              </c:ext>
            </c:extLst>
          </c:dPt>
          <c:dPt>
            <c:idx val="1"/>
            <c:bubble3D val="0"/>
            <c:spPr>
              <a:solidFill>
                <a:srgbClr val="FEE08B"/>
              </a:solidFill>
            </c:spPr>
            <c:extLst>
              <c:ext xmlns:c16="http://schemas.microsoft.com/office/drawing/2014/chart" uri="{C3380CC4-5D6E-409C-BE32-E72D297353CC}">
                <c16:uniqueId val="{00000003-958E-4800-B6FC-87856321EF7C}"/>
              </c:ext>
            </c:extLst>
          </c:dPt>
          <c:dPt>
            <c:idx val="2"/>
            <c:bubble3D val="0"/>
            <c:spPr>
              <a:solidFill>
                <a:srgbClr val="F46D43"/>
              </a:solidFill>
            </c:spPr>
            <c:extLst>
              <c:ext xmlns:c16="http://schemas.microsoft.com/office/drawing/2014/chart" uri="{C3380CC4-5D6E-409C-BE32-E72D297353CC}">
                <c16:uniqueId val="{00000005-958E-4800-B6FC-87856321EF7C}"/>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958E-4800-B6FC-87856321EF7C}"/>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3"/>
              <c:pt idx="0">
                <c:v>a. Yes, always </c:v>
              </c:pt>
              <c:pt idx="1">
                <c:v>b. Yes, on certain conditions </c:v>
              </c:pt>
              <c:pt idx="2">
                <c:v>c. No </c:v>
              </c:pt>
            </c:strLit>
          </c:cat>
          <c:val>
            <c:numLit>
              <c:formatCode>General</c:formatCode>
              <c:ptCount val="3"/>
              <c:pt idx="0">
                <c:v>23</c:v>
              </c:pt>
              <c:pt idx="1">
                <c:v>28</c:v>
              </c:pt>
              <c:pt idx="2">
                <c:v>49</c:v>
              </c:pt>
            </c:numLit>
          </c:val>
          <c:extLst>
            <c:ext xmlns:c16="http://schemas.microsoft.com/office/drawing/2014/chart" uri="{C3380CC4-5D6E-409C-BE32-E72D297353CC}">
              <c16:uniqueId val="{00000006-958E-4800-B6FC-87856321EF7C}"/>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6844-4F1E-9840-CB4244E3BB50}"/>
              </c:ext>
            </c:extLst>
          </c:dPt>
          <c:dPt>
            <c:idx val="1"/>
            <c:invertIfNegative val="1"/>
            <c:bubble3D val="0"/>
            <c:spPr>
              <a:solidFill>
                <a:srgbClr val="FEE08B"/>
              </a:solidFill>
            </c:spPr>
            <c:extLst>
              <c:ext xmlns:c16="http://schemas.microsoft.com/office/drawing/2014/chart" uri="{C3380CC4-5D6E-409C-BE32-E72D297353CC}">
                <c16:uniqueId val="{00000003-6844-4F1E-9840-CB4244E3BB50}"/>
              </c:ext>
            </c:extLst>
          </c:dPt>
          <c:dPt>
            <c:idx val="2"/>
            <c:invertIfNegative val="1"/>
            <c:bubble3D val="0"/>
            <c:spPr>
              <a:solidFill>
                <a:srgbClr val="F46D43"/>
              </a:solidFill>
            </c:spPr>
            <c:extLst>
              <c:ext xmlns:c16="http://schemas.microsoft.com/office/drawing/2014/chart" uri="{C3380CC4-5D6E-409C-BE32-E72D297353CC}">
                <c16:uniqueId val="{00000005-6844-4F1E-9840-CB4244E3BB50}"/>
              </c:ext>
            </c:extLst>
          </c:dPt>
          <c:dPt>
            <c:idx val="3"/>
            <c:invertIfNegative val="1"/>
            <c:bubble3D val="0"/>
            <c:spPr>
              <a:solidFill>
                <a:srgbClr val="A50026"/>
              </a:solidFill>
            </c:spPr>
            <c:extLst>
              <c:ext xmlns:c16="http://schemas.microsoft.com/office/drawing/2014/chart" uri="{C3380CC4-5D6E-409C-BE32-E72D297353CC}">
                <c16:uniqueId val="{00000007-6844-4F1E-9840-CB4244E3BB50}"/>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33</c:v>
              </c:pt>
              <c:pt idx="1">
                <c:v>52</c:v>
              </c:pt>
              <c:pt idx="2">
                <c:v>27</c:v>
              </c:pt>
              <c:pt idx="3">
                <c:v>21</c:v>
              </c:pt>
            </c:numLit>
          </c:val>
          <c:extLst>
            <c:ext xmlns:c16="http://schemas.microsoft.com/office/drawing/2014/chart" uri="{C3380CC4-5D6E-409C-BE32-E72D297353CC}">
              <c16:uniqueId val="{00000008-6844-4F1E-9840-CB4244E3BB50}"/>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688-4642-9048-9A3C46DF629D}"/>
              </c:ext>
            </c:extLst>
          </c:dPt>
          <c:dPt>
            <c:idx val="1"/>
            <c:invertIfNegative val="1"/>
            <c:bubble3D val="0"/>
            <c:spPr>
              <a:solidFill>
                <a:srgbClr val="FEE08B"/>
              </a:solidFill>
            </c:spPr>
            <c:extLst>
              <c:ext xmlns:c16="http://schemas.microsoft.com/office/drawing/2014/chart" uri="{C3380CC4-5D6E-409C-BE32-E72D297353CC}">
                <c16:uniqueId val="{00000003-1688-4642-9048-9A3C46DF629D}"/>
              </c:ext>
            </c:extLst>
          </c:dPt>
          <c:dPt>
            <c:idx val="2"/>
            <c:invertIfNegative val="1"/>
            <c:bubble3D val="0"/>
            <c:spPr>
              <a:solidFill>
                <a:srgbClr val="F46D43"/>
              </a:solidFill>
            </c:spPr>
            <c:extLst>
              <c:ext xmlns:c16="http://schemas.microsoft.com/office/drawing/2014/chart" uri="{C3380CC4-5D6E-409C-BE32-E72D297353CC}">
                <c16:uniqueId val="{00000005-1688-4642-9048-9A3C46DF629D}"/>
              </c:ext>
            </c:extLst>
          </c:dPt>
          <c:dPt>
            <c:idx val="3"/>
            <c:invertIfNegative val="1"/>
            <c:bubble3D val="0"/>
            <c:spPr>
              <a:solidFill>
                <a:srgbClr val="A50026"/>
              </a:solidFill>
            </c:spPr>
            <c:extLst>
              <c:ext xmlns:c16="http://schemas.microsoft.com/office/drawing/2014/chart" uri="{C3380CC4-5D6E-409C-BE32-E72D297353CC}">
                <c16:uniqueId val="{00000007-1688-4642-9048-9A3C46DF629D}"/>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72</c:v>
              </c:pt>
              <c:pt idx="1">
                <c:v>56</c:v>
              </c:pt>
              <c:pt idx="2">
                <c:v>11</c:v>
              </c:pt>
              <c:pt idx="3">
                <c:v>0</c:v>
              </c:pt>
            </c:numLit>
          </c:val>
          <c:extLst>
            <c:ext xmlns:c16="http://schemas.microsoft.com/office/drawing/2014/chart" uri="{C3380CC4-5D6E-409C-BE32-E72D297353CC}">
              <c16:uniqueId val="{00000008-1688-4642-9048-9A3C46DF629D}"/>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C944-458B-A791-FAB130FA7E7E}"/>
              </c:ext>
            </c:extLst>
          </c:dPt>
          <c:dPt>
            <c:idx val="1"/>
            <c:bubble3D val="0"/>
            <c:spPr>
              <a:solidFill>
                <a:srgbClr val="FEE08B"/>
              </a:solidFill>
            </c:spPr>
            <c:extLst>
              <c:ext xmlns:c16="http://schemas.microsoft.com/office/drawing/2014/chart" uri="{C3380CC4-5D6E-409C-BE32-E72D297353CC}">
                <c16:uniqueId val="{00000003-C944-458B-A791-FAB130FA7E7E}"/>
              </c:ext>
            </c:extLst>
          </c:dPt>
          <c:dLbls>
            <c:dLbl>
              <c:idx val="0"/>
              <c:spPr>
                <a:noFill/>
                <a:ln>
                  <a:noFill/>
                </a:ln>
                <a:effectLst/>
              </c:spPr>
              <c:txPr>
                <a:bodyPr wrap="square" lIns="38100" tIns="19050" rIns="38100" bIns="19050" anchor="ctr">
                  <a:spAutoFit/>
                </a:bodyPr>
                <a:lstStyle/>
                <a:p>
                  <a:pPr>
                    <a:defRPr baseline="0">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C944-458B-A791-FAB130FA7E7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21</c:v>
              </c:pt>
              <c:pt idx="1">
                <c:v>79</c:v>
              </c:pt>
            </c:numLit>
          </c:val>
          <c:extLst>
            <c:ext xmlns:c16="http://schemas.microsoft.com/office/drawing/2014/chart" uri="{C3380CC4-5D6E-409C-BE32-E72D297353CC}">
              <c16:uniqueId val="{00000004-C944-458B-A791-FAB130FA7E7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1FFC-455F-B73B-3C473F938766}"/>
              </c:ext>
            </c:extLst>
          </c:dPt>
          <c:dPt>
            <c:idx val="1"/>
            <c:invertIfNegative val="1"/>
            <c:bubble3D val="0"/>
            <c:spPr>
              <a:solidFill>
                <a:srgbClr val="A50026"/>
              </a:solidFill>
            </c:spPr>
            <c:extLst>
              <c:ext xmlns:c16="http://schemas.microsoft.com/office/drawing/2014/chart" uri="{C3380CC4-5D6E-409C-BE32-E72D297353CC}">
                <c16:uniqueId val="{00000003-1FFC-455F-B73B-3C473F938766}"/>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2"/>
              <c:pt idx="0">
                <c:v>a. law </c:v>
              </c:pt>
              <c:pt idx="1">
                <c:v>c. administrative procedures </c:v>
              </c:pt>
            </c:strLit>
          </c:cat>
          <c:val>
            <c:numLit>
              <c:formatCode>General</c:formatCode>
              <c:ptCount val="2"/>
              <c:pt idx="0">
                <c:v>44</c:v>
              </c:pt>
              <c:pt idx="1">
                <c:v>78</c:v>
              </c:pt>
            </c:numLit>
          </c:val>
          <c:extLst>
            <c:ext xmlns:c16="http://schemas.microsoft.com/office/drawing/2014/chart" uri="{C3380CC4-5D6E-409C-BE32-E72D297353CC}">
              <c16:uniqueId val="{00000004-1FFC-455F-B73B-3C473F938766}"/>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3496-4913-A6EB-A0EA4C831D19}"/>
              </c:ext>
            </c:extLst>
          </c:dPt>
          <c:dPt>
            <c:idx val="1"/>
            <c:bubble3D val="0"/>
            <c:spPr>
              <a:solidFill>
                <a:srgbClr val="FEE08B"/>
              </a:solidFill>
            </c:spPr>
            <c:extLst>
              <c:ext xmlns:c16="http://schemas.microsoft.com/office/drawing/2014/chart" uri="{C3380CC4-5D6E-409C-BE32-E72D297353CC}">
                <c16:uniqueId val="{00000003-3496-4913-A6EB-A0EA4C831D19}"/>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3496-4913-A6EB-A0EA4C831D19}"/>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58</c:v>
              </c:pt>
              <c:pt idx="1">
                <c:v>42</c:v>
              </c:pt>
            </c:numLit>
          </c:val>
          <c:extLst>
            <c:ext xmlns:c16="http://schemas.microsoft.com/office/drawing/2014/chart" uri="{C3380CC4-5D6E-409C-BE32-E72D297353CC}">
              <c16:uniqueId val="{00000004-3496-4913-A6EB-A0EA4C831D19}"/>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invertIfNegative val="1"/>
          <c:dPt>
            <c:idx val="0"/>
            <c:invertIfNegative val="1"/>
            <c:bubble3D val="0"/>
            <c:spPr>
              <a:solidFill>
                <a:srgbClr val="006837"/>
              </a:solidFill>
            </c:spPr>
            <c:extLst>
              <c:ext xmlns:c16="http://schemas.microsoft.com/office/drawing/2014/chart" uri="{C3380CC4-5D6E-409C-BE32-E72D297353CC}">
                <c16:uniqueId val="{00000001-A79A-4FEB-9ECB-C9BDCB04F3EE}"/>
              </c:ext>
            </c:extLst>
          </c:dPt>
          <c:dPt>
            <c:idx val="1"/>
            <c:invertIfNegative val="1"/>
            <c:bubble3D val="0"/>
            <c:spPr>
              <a:solidFill>
                <a:srgbClr val="FEE08B"/>
              </a:solidFill>
            </c:spPr>
            <c:extLst>
              <c:ext xmlns:c16="http://schemas.microsoft.com/office/drawing/2014/chart" uri="{C3380CC4-5D6E-409C-BE32-E72D297353CC}">
                <c16:uniqueId val="{00000003-A79A-4FEB-9ECB-C9BDCB04F3EE}"/>
              </c:ext>
            </c:extLst>
          </c:dPt>
          <c:dPt>
            <c:idx val="2"/>
            <c:invertIfNegative val="1"/>
            <c:bubble3D val="0"/>
            <c:spPr>
              <a:solidFill>
                <a:srgbClr val="F46D43"/>
              </a:solidFill>
            </c:spPr>
            <c:extLst>
              <c:ext xmlns:c16="http://schemas.microsoft.com/office/drawing/2014/chart" uri="{C3380CC4-5D6E-409C-BE32-E72D297353CC}">
                <c16:uniqueId val="{00000005-A79A-4FEB-9ECB-C9BDCB04F3EE}"/>
              </c:ext>
            </c:extLst>
          </c:dPt>
          <c:dPt>
            <c:idx val="3"/>
            <c:invertIfNegative val="1"/>
            <c:bubble3D val="0"/>
            <c:spPr>
              <a:solidFill>
                <a:srgbClr val="A50026"/>
              </a:solidFill>
            </c:spPr>
            <c:extLst>
              <c:ext xmlns:c16="http://schemas.microsoft.com/office/drawing/2014/chart" uri="{C3380CC4-5D6E-409C-BE32-E72D297353CC}">
                <c16:uniqueId val="{00000007-A79A-4FEB-9ECB-C9BDCB04F3EE}"/>
              </c:ext>
            </c:extLst>
          </c:dPt>
          <c:dLbls>
            <c:spPr>
              <a:noFill/>
              <a:ln>
                <a:noFill/>
              </a:ln>
              <a:effectLst/>
            </c:spPr>
            <c:showLegendKey val="0"/>
            <c:showVal val="1"/>
            <c:showCatName val="1"/>
            <c:showSerName val="0"/>
            <c:showPercent val="1"/>
            <c:showBubbleSize val="0"/>
            <c:showLeaderLines val="0"/>
            <c:extLst>
              <c:ext xmlns:c15="http://schemas.microsoft.com/office/drawing/2012/chart" uri="{CE6537A1-D6FC-4f65-9D91-7224C49458BB}">
                <c15:showLeaderLines val="0"/>
              </c:ext>
            </c:extLst>
          </c:dLbls>
          <c:cat>
            <c:strLit>
              <c:ptCount val="4"/>
              <c:pt idx="0">
                <c:v>a. law </c:v>
              </c:pt>
              <c:pt idx="1">
                <c:v>b. regulations </c:v>
              </c:pt>
              <c:pt idx="2">
                <c:v>c. administrative procedures </c:v>
              </c:pt>
              <c:pt idx="3">
                <c:v>d. other </c:v>
              </c:pt>
            </c:strLit>
          </c:cat>
          <c:val>
            <c:numLit>
              <c:formatCode>General</c:formatCode>
              <c:ptCount val="4"/>
              <c:pt idx="0">
                <c:v>48</c:v>
              </c:pt>
              <c:pt idx="1">
                <c:v>32</c:v>
              </c:pt>
              <c:pt idx="2">
                <c:v>40</c:v>
              </c:pt>
              <c:pt idx="3">
                <c:v>12</c:v>
              </c:pt>
            </c:numLit>
          </c:val>
          <c:extLst>
            <c:ext xmlns:c16="http://schemas.microsoft.com/office/drawing/2014/chart" uri="{C3380CC4-5D6E-409C-BE32-E72D297353CC}">
              <c16:uniqueId val="{00000008-A79A-4FEB-9ECB-C9BDCB04F3EE}"/>
            </c:ext>
          </c:extLst>
        </c:ser>
        <c:dLbls>
          <c:showLegendKey val="0"/>
          <c:showVal val="0"/>
          <c:showCatName val="0"/>
          <c:showSerName val="0"/>
          <c:showPercent val="0"/>
          <c:showBubbleSize val="0"/>
        </c:dLbls>
        <c:gapWidth val="150"/>
        <c:overlap val="100"/>
        <c:axId val="1"/>
        <c:axId val="2"/>
      </c:barChart>
      <c:catAx>
        <c:axId val="1"/>
        <c:scaling>
          <c:orientation val="minMax"/>
        </c:scaling>
        <c:delete val="0"/>
        <c:axPos val="b"/>
        <c:numFmt formatCode="General" sourceLinked="0"/>
        <c:majorTickMark val="in"/>
        <c:minorTickMark val="none"/>
        <c:tickLblPos val="nextTo"/>
        <c:spPr>
          <a:ln>
            <a:solidFill/>
          </a:ln>
        </c:spPr>
        <c:crossAx val="2"/>
        <c:crosses val="autoZero"/>
        <c:auto val="1"/>
        <c:lblAlgn val="ctr"/>
        <c:lblOffset val="100"/>
        <c:noMultiLvlLbl val="1"/>
      </c:catAx>
      <c:valAx>
        <c:axId val="2"/>
        <c:scaling>
          <c:orientation val="minMax"/>
        </c:scaling>
        <c:delete val="0"/>
        <c:axPos val="l"/>
        <c:title>
          <c:tx>
            <c:rich>
              <a:bodyPr/>
              <a:lstStyle/>
              <a:p>
                <a:pPr>
                  <a:defRPr/>
                </a:pPr>
                <a:r>
                  <a:rPr lang="es-ES"/>
                  <a:t>Porcentaje</a:t>
                </a:r>
              </a:p>
            </c:rich>
          </c:tx>
          <c:overlay val="0"/>
        </c:title>
        <c:numFmt formatCode="General" sourceLinked="1"/>
        <c:majorTickMark val="in"/>
        <c:minorTickMark val="none"/>
        <c:tickLblPos val="nextTo"/>
        <c:spPr>
          <a:ln>
            <a:solidFill/>
          </a:ln>
        </c:spPr>
        <c:crossAx val="1"/>
        <c:crosses val="autoZero"/>
        <c:crossBetween val="between"/>
      </c:valAx>
    </c:plotArea>
    <c:plotVisOnly val="1"/>
    <c:dispBlanksAs val="zero"/>
    <c:showDLblsOverMax val="1"/>
  </c:chart>
  <c:spPr>
    <a:ln>
      <a:noFill/>
    </a:ln>
  </c:sp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5357-4E32-BD0A-C16150FB5A12}"/>
              </c:ext>
            </c:extLst>
          </c:dPt>
          <c:dPt>
            <c:idx val="1"/>
            <c:bubble3D val="0"/>
            <c:spPr>
              <a:solidFill>
                <a:srgbClr val="FEE08B"/>
              </a:solidFill>
            </c:spPr>
            <c:extLst>
              <c:ext xmlns:c16="http://schemas.microsoft.com/office/drawing/2014/chart" uri="{C3380CC4-5D6E-409C-BE32-E72D297353CC}">
                <c16:uniqueId val="{00000003-5357-4E32-BD0A-C16150FB5A12}"/>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5357-4E32-BD0A-C16150FB5A12}"/>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30</c:v>
              </c:pt>
              <c:pt idx="1">
                <c:v>70</c:v>
              </c:pt>
            </c:numLit>
          </c:val>
          <c:extLst>
            <c:ext xmlns:c16="http://schemas.microsoft.com/office/drawing/2014/chart" uri="{C3380CC4-5D6E-409C-BE32-E72D297353CC}">
              <c16:uniqueId val="{00000004-5357-4E32-BD0A-C16150FB5A12}"/>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268-4536-AF10-D0FDF3B9EC8E}"/>
              </c:ext>
            </c:extLst>
          </c:dPt>
          <c:dPt>
            <c:idx val="1"/>
            <c:bubble3D val="0"/>
            <c:spPr>
              <a:solidFill>
                <a:srgbClr val="FEE08B"/>
              </a:solidFill>
            </c:spPr>
            <c:extLst>
              <c:ext xmlns:c16="http://schemas.microsoft.com/office/drawing/2014/chart" uri="{C3380CC4-5D6E-409C-BE32-E72D297353CC}">
                <c16:uniqueId val="{00000003-B268-4536-AF10-D0FDF3B9EC8E}"/>
              </c:ext>
            </c:extLst>
          </c:dPt>
          <c:dLbls>
            <c:dLbl>
              <c:idx val="0"/>
              <c:spPr>
                <a:noFill/>
                <a:ln>
                  <a:noFill/>
                </a:ln>
                <a:effectLst/>
              </c:spPr>
              <c:txPr>
                <a:bodyPr wrap="square" lIns="38100" tIns="19050" rIns="38100" bIns="19050" anchor="ctr">
                  <a:spAutoFit/>
                </a:bodyPr>
                <a:lstStyle/>
                <a:p>
                  <a:pPr>
                    <a:defRPr>
                      <a:solidFill>
                        <a:schemeClr val="bg1"/>
                      </a:solidFill>
                    </a:defRPr>
                  </a:pPr>
                  <a:endParaRPr lang="en-US"/>
                </a:p>
              </c:txPr>
              <c:showLegendKey val="0"/>
              <c:showVal val="0"/>
              <c:showCatName val="1"/>
              <c:showSerName val="0"/>
              <c:showPercent val="1"/>
              <c:showBubbleSize val="0"/>
              <c:extLst>
                <c:ext xmlns:c16="http://schemas.microsoft.com/office/drawing/2014/chart" uri="{C3380CC4-5D6E-409C-BE32-E72D297353CC}">
                  <c16:uniqueId val="{00000001-B268-4536-AF10-D0FDF3B9EC8E}"/>
                </c:ext>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Lit>
              <c:ptCount val="2"/>
              <c:pt idx="0">
                <c:v>Yes </c:v>
              </c:pt>
              <c:pt idx="1">
                <c:v>No </c:v>
              </c:pt>
            </c:strLit>
          </c:cat>
          <c:val>
            <c:numLit>
              <c:formatCode>General</c:formatCode>
              <c:ptCount val="2"/>
              <c:pt idx="0">
                <c:v>47</c:v>
              </c:pt>
              <c:pt idx="1">
                <c:v>53</c:v>
              </c:pt>
            </c:numLit>
          </c:val>
          <c:extLst>
            <c:ext xmlns:c16="http://schemas.microsoft.com/office/drawing/2014/chart" uri="{C3380CC4-5D6E-409C-BE32-E72D297353CC}">
              <c16:uniqueId val="{00000004-B268-4536-AF10-D0FDF3B9EC8E}"/>
            </c:ext>
          </c:extLst>
        </c:ser>
        <c:dLbls>
          <c:showLegendKey val="0"/>
          <c:showVal val="0"/>
          <c:showCatName val="0"/>
          <c:showSerName val="0"/>
          <c:showPercent val="0"/>
          <c:showBubbleSize val="0"/>
          <c:showLeaderLines val="1"/>
        </c:dLbls>
        <c:firstSliceAng val="0"/>
      </c:pieChart>
    </c:plotArea>
    <c:plotVisOnly val="1"/>
    <c:dispBlanksAs val="zero"/>
    <c:showDLblsOverMax val="1"/>
  </c:chart>
  <c:spPr>
    <a:ln>
      <a:noFill/>
    </a:ln>
  </c:sp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pieChart>
        <c:varyColors val="1"/>
        <c:ser>
          <c:idx val="0"/>
          <c:order val="0"/>
          <c:dPt>
            <c:idx val="0"/>
            <c:bubble3D val="0"/>
            <c:spPr>
              <a:solidFill>
                <a:srgbClr val="006837"/>
              </a:solidFill>
            </c:spPr>
            <c:extLst>
              <c:ext xmlns:c16="http://schemas.microsoft.com/office/drawing/2014/chart" uri="{C3380CC4-5D6E-409C-BE32-E72D297353CC}">
                <c16:uniqueId val="{00000001-B0DF-4F00-8A3C-2A94BF51B0C2}"/>
              </c:ext>
            </c:extLst>
          </c:dPt>
          <c:dPt>
            <c:idx val="1"/>
            <c:bubble3D val="0"/>
            <c:spPr>
              <a:solidFill>
                <a:srgbClr val="FEE08B"/>
              </a:solidFill>
            </c:spPr>
            <c:extLst>
              <c:ext xmlns:c16="http://schemas.microsoft.com/office/drawing/2014/chart" uri="{C3380CC4-5D6E-409C-BE32-E72D297353CC}">
                <c16:uniqueId val="{00000003-B0DF-4F00-8A3C-2A94BF51B0C2}"/>
              </c:ext>
            </c:extLst>
          </c:dPt>
          <c:dPt>
            <c:idx val="2"/>
            <c:bubble3D val="0"/>
            <c:spPr>
              <a:solidFill>
                <a:srgbClr val="F46D43"/>
              </a:solidFill>
            </c:spPr>
            <c:extLst>
              <c:ext xmlns:c16="http://schemas.microsoft.com/office/drawing/2014/chart" uri="{C3380CC4-5D6E-409C-BE32-E72D297353CC}">
                <c16:uniqueId val="{00000005-B0DF-4F00-8A3C-2A94BF51B0C2}"/>
              </c:ext>
            </c:extLst>
          </c:dPt>
          <c:dLbls>
            <c:dLbl>
              <c:idx val="0"/>
              <c:spPr>
                <a:noFill/>
                <a:ln>
                  <a:noFill/>
                </a:ln>
                <a:effectLst/>
              </c:spPr>
              <c:txPr>
                <a:bodyPr wrap="square" lIns="38100" tIns="19050" rIns="38100" bIns="19050" anchor="ctr">
                  <a:noAutofit/>
                </a:bodyPr>
                <a:lstStyle/>
                <a:p>
                  <a:pPr>
                    <a:defRPr>
                      <a:solidFill>
                        <a:schemeClr val="bg1"/>
                      </a:solidFill>
                    </a:defRPr>
                  </a:pPr>
                  <a:endParaRPr lang="en-US"/>
                </a:p>
              </c:tx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B0DF-4F00-8A3C-2A94BF51B0C2}"/>
                </c:ext>
              </c:extLst>
            </c:dLbl>
            <c:dLbl>
              <c:idx val="1"/>
              <c:layout>
                <c:manualLayout>
                  <c:x val="-8.3183607137040635E-2"/>
                  <c:y val="-0.11918916288913936"/>
                </c:manualLayout>
              </c:layout>
              <c:spPr>
                <a:noFill/>
                <a:ln>
                  <a:noFill/>
                </a:ln>
                <a:effectLst/>
              </c:spPr>
              <c:txPr>
                <a:bodyPr wrap="square" lIns="38100" tIns="19050" rIns="38100" bIns="19050" anchor="ctr">
                  <a:noAutofit/>
                </a:bodyPr>
                <a:lstStyle/>
                <a:p>
                  <a:pPr>
                    <a:defRPr/>
                  </a:pPr>
                  <a:endParaRPr lang="en-US"/>
                </a:p>
              </c:txPr>
              <c:dLblPos val="bestFit"/>
              <c:showLegendKey val="0"/>
              <c:showVal val="1"/>
              <c:showCatName val="1"/>
              <c:showSerName val="0"/>
              <c:showPercent val="0"/>
              <c:showBubbleSize val="0"/>
              <c:extLst>
                <c:ext xmlns:c15="http://schemas.microsoft.com/office/drawing/2012/chart" uri="{CE6537A1-D6FC-4f65-9D91-7224C49458BB}">
                  <c15:layout>
                    <c:manualLayout>
                      <c:w val="0.23194336909633886"/>
                      <c:h val="0.31833161688980433"/>
                    </c:manualLayout>
                  </c15:layout>
                </c:ext>
                <c:ext xmlns:c16="http://schemas.microsoft.com/office/drawing/2014/chart" uri="{C3380CC4-5D6E-409C-BE32-E72D297353CC}">
                  <c16:uniqueId val="{00000003-B0DF-4F00-8A3C-2A94BF51B0C2}"/>
                </c:ext>
              </c:extLst>
            </c:dLbl>
            <c:dLbl>
              <c:idx val="2"/>
              <c:spPr>
                <a:noFill/>
                <a:ln>
                  <a:noFill/>
                </a:ln>
                <a:effectLst/>
              </c:spPr>
              <c:txPr>
                <a:bodyPr wrap="square" lIns="38100" tIns="19050" rIns="38100" bIns="19050" anchor="ctr">
                  <a:noAutofit/>
                </a:bodyPr>
                <a:lstStyle/>
                <a:p>
                  <a:pPr>
                    <a:defRPr/>
                  </a:pPr>
                  <a:endParaRPr lang="en-US"/>
                </a:p>
              </c:txPr>
              <c:dLblPos val="inEnd"/>
              <c:showLegendKey val="0"/>
              <c:showVal val="1"/>
              <c:showCatName val="1"/>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B0DF-4F00-8A3C-2A94BF51B0C2}"/>
                </c:ext>
              </c:extLst>
            </c:dLbl>
            <c:spPr>
              <a:noFill/>
              <a:ln>
                <a:noFill/>
              </a:ln>
              <a:effectLst/>
            </c:spPr>
            <c:dLblPos val="inEnd"/>
            <c:showLegendKey val="0"/>
            <c:showVal val="1"/>
            <c:showCatName val="1"/>
            <c:showSerName val="0"/>
            <c:showPercent val="0"/>
            <c:showBubbleSize val="0"/>
            <c:showLeaderLines val="0"/>
            <c:extLst>
              <c:ext xmlns:c15="http://schemas.microsoft.com/office/drawing/2012/chart" uri="{CE6537A1-D6FC-4f65-9D91-7224C49458BB}"/>
            </c:extLst>
          </c:dLbls>
          <c:cat>
            <c:strRef>
              <c:f>Sheet1!$A$1:$A$3</c:f>
              <c:strCache>
                <c:ptCount val="3"/>
                <c:pt idx="0">
                  <c:v>a.	Yes, always </c:v>
                </c:pt>
                <c:pt idx="1">
                  <c:v>b.	Yes, on certain conditions </c:v>
                </c:pt>
                <c:pt idx="2">
                  <c:v>c.	No </c:v>
                </c:pt>
              </c:strCache>
            </c:strRef>
          </c:cat>
          <c:val>
            <c:numRef>
              <c:f>Sheet1!$B$1:$B$3</c:f>
              <c:numCache>
                <c:formatCode>General</c:formatCode>
                <c:ptCount val="3"/>
                <c:pt idx="0">
                  <c:v>26</c:v>
                </c:pt>
                <c:pt idx="1">
                  <c:v>42</c:v>
                </c:pt>
                <c:pt idx="2">
                  <c:v>33</c:v>
                </c:pt>
              </c:numCache>
            </c:numRef>
          </c:val>
          <c:extLst>
            <c:ext xmlns:c15="http://schemas.microsoft.com/office/drawing/2012/chart" uri="{02D57815-91ED-43cb-92C2-25804820EDAC}">
              <c15:filteredSeriesTitle>
                <c15:tx>
                  <c:strRef>
                    <c:extLst>
                      <c:ext uri="{02D57815-91ED-43cb-92C2-25804820EDAC}">
                        <c15:formulaRef>
                          <c15:sqref>Sheet1!$B$1:$B$0</c15:sqref>
                        </c15:formulaRef>
                      </c:ext>
                    </c:extLst>
                  </c:strRef>
                </c15:tx>
              </c15:filteredSeriesTitle>
            </c:ext>
            <c:ext xmlns:c16="http://schemas.microsoft.com/office/drawing/2014/chart" uri="{C3380CC4-5D6E-409C-BE32-E72D297353CC}">
              <c16:uniqueId val="{00000006-B0DF-4F00-8A3C-2A94BF51B0C2}"/>
            </c:ext>
          </c:extLst>
        </c:ser>
        <c:dLbls>
          <c:dLblPos val="inEnd"/>
          <c:showLegendKey val="0"/>
          <c:showVal val="1"/>
          <c:showCatName val="0"/>
          <c:showSerName val="0"/>
          <c:showPercent val="0"/>
          <c:showBubbleSize val="0"/>
          <c:showLeaderLines val="0"/>
        </c:dLbls>
        <c:firstSliceAng val="0"/>
      </c:pieChart>
    </c:plotArea>
    <c:plotVisOnly val="1"/>
    <c:dispBlanksAs val="zero"/>
    <c:showDLblsOverMax val="1"/>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84B089-27B6-4FC9-9337-2B4E423E0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36</Pages>
  <Words>11863</Words>
  <Characters>63159</Characters>
  <Application>Microsoft Office Word</Application>
  <DocSecurity>0</DocSecurity>
  <Lines>1435</Lines>
  <Paragraphs>833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SESSIONS/2023/4</vt:lpstr>
      <vt:lpstr>SESSIONS/2023/4</vt:lpstr>
    </vt:vector>
  </TitlesOfParts>
  <Company>UPOV</Company>
  <LinksUpToDate>false</LinksUpToDate>
  <CharactersWithSpaces>74189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SESSIONS/2023/4</dc:title>
  <dc:subject/>
  <dc:creator>SANCHEZ VIZCAINO GOMEZ Rosa Maria</dc:creator>
  <cp:keywords/>
  <dc:description/>
  <cp:lastModifiedBy>SANCHEZ VIZCAINO GOMEZ Rosa Maria</cp:lastModifiedBy>
  <cp:revision>5</cp:revision>
  <cp:lastPrinted>2016-11-22T15:41:00Z</cp:lastPrinted>
  <dcterms:created xsi:type="dcterms:W3CDTF">2023-10-13T12:33:00Z</dcterms:created>
  <dcterms:modified xsi:type="dcterms:W3CDTF">2023-10-13T16:04:00Z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c084f7-b690-4c43-8ee6-d475b6d3461d_Enabled">
    <vt:lpwstr>true</vt:lpwstr>
  </property>
  <property fmtid="{D5CDD505-2E9C-101B-9397-08002B2CF9AE}" pid="3" name="MSIP_Label_bfc084f7-b690-4c43-8ee6-d475b6d3461d_SetDate">
    <vt:lpwstr>2023-09-20T14:00:11Z</vt:lpwstr>
  </property>
  <property fmtid="{D5CDD505-2E9C-101B-9397-08002B2CF9AE}" pid="4" name="MSIP_Label_bfc084f7-b690-4c43-8ee6-d475b6d3461d_Method">
    <vt:lpwstr>Standard</vt:lpwstr>
  </property>
  <property fmtid="{D5CDD505-2E9C-101B-9397-08002B2CF9AE}" pid="5" name="MSIP_Label_bfc084f7-b690-4c43-8ee6-d475b6d3461d_Name">
    <vt:lpwstr>FOR OFFICIAL USE ONLY</vt:lpwstr>
  </property>
  <property fmtid="{D5CDD505-2E9C-101B-9397-08002B2CF9AE}" pid="6" name="MSIP_Label_bfc084f7-b690-4c43-8ee6-d475b6d3461d_SiteId">
    <vt:lpwstr>faa31b06-8ccc-48c9-867f-f7510dd11c02</vt:lpwstr>
  </property>
  <property fmtid="{D5CDD505-2E9C-101B-9397-08002B2CF9AE}" pid="7" name="MSIP_Label_bfc084f7-b690-4c43-8ee6-d475b6d3461d_ActionId">
    <vt:lpwstr>305380f1-b386-4ece-af6b-ab839ebb26b2</vt:lpwstr>
  </property>
  <property fmtid="{D5CDD505-2E9C-101B-9397-08002B2CF9AE}" pid="8" name="MSIP_Label_bfc084f7-b690-4c43-8ee6-d475b6d3461d_ContentBits">
    <vt:lpwstr>2</vt:lpwstr>
  </property>
</Properties>
</file>