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6049C" w14:paraId="0EBD7AF0" w14:textId="77777777" w:rsidTr="00EB4E9C">
        <w:tc>
          <w:tcPr>
            <w:tcW w:w="6522" w:type="dxa"/>
          </w:tcPr>
          <w:p w14:paraId="4F5ABB3F" w14:textId="77777777" w:rsidR="00DC3802" w:rsidRPr="0066049C" w:rsidRDefault="00DC3802" w:rsidP="00AC2883">
            <w:pPr>
              <w:rPr>
                <w:lang w:val="es-419"/>
              </w:rPr>
            </w:pPr>
            <w:r w:rsidRPr="0066049C">
              <w:rPr>
                <w:noProof/>
                <w:lang w:val="en-US"/>
              </w:rPr>
              <w:drawing>
                <wp:inline distT="0" distB="0" distL="0" distR="0" wp14:anchorId="02082BE6" wp14:editId="0E88D80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6CE2DBC" w14:textId="77777777" w:rsidR="00DC3802" w:rsidRPr="0066049C" w:rsidRDefault="00DC3802" w:rsidP="00AC2883">
            <w:pPr>
              <w:pStyle w:val="Lettrine"/>
              <w:rPr>
                <w:lang w:val="es-419"/>
              </w:rPr>
            </w:pPr>
            <w:r w:rsidRPr="0066049C">
              <w:rPr>
                <w:lang w:val="es-419"/>
              </w:rPr>
              <w:t>S</w:t>
            </w:r>
          </w:p>
        </w:tc>
      </w:tr>
      <w:tr w:rsidR="00DC3802" w:rsidRPr="0066049C" w14:paraId="67A4AA82" w14:textId="77777777" w:rsidTr="00645CA8">
        <w:trPr>
          <w:trHeight w:val="219"/>
        </w:trPr>
        <w:tc>
          <w:tcPr>
            <w:tcW w:w="6522" w:type="dxa"/>
          </w:tcPr>
          <w:p w14:paraId="16220369" w14:textId="77777777" w:rsidR="00DC3802" w:rsidRPr="0066049C" w:rsidRDefault="00DC3802" w:rsidP="00AC2883">
            <w:pPr>
              <w:pStyle w:val="upove"/>
              <w:rPr>
                <w:lang w:val="es-419"/>
              </w:rPr>
            </w:pPr>
            <w:r w:rsidRPr="0066049C">
              <w:rPr>
                <w:lang w:val="es-419"/>
              </w:rPr>
              <w:t>Unión Internacional para la Protección de las Obtenciones Vegetales</w:t>
            </w:r>
          </w:p>
        </w:tc>
        <w:tc>
          <w:tcPr>
            <w:tcW w:w="3117" w:type="dxa"/>
          </w:tcPr>
          <w:p w14:paraId="31E98BCB" w14:textId="77777777" w:rsidR="00DC3802" w:rsidRPr="0066049C" w:rsidRDefault="00DC3802" w:rsidP="00DA4973">
            <w:pPr>
              <w:rPr>
                <w:lang w:val="es-419"/>
              </w:rPr>
            </w:pPr>
          </w:p>
        </w:tc>
      </w:tr>
    </w:tbl>
    <w:p w14:paraId="332E2D2C" w14:textId="77777777" w:rsidR="00DC3802" w:rsidRPr="0066049C" w:rsidRDefault="00DC3802" w:rsidP="00DC3802">
      <w:pPr>
        <w:rPr>
          <w:lang w:val="es-419"/>
        </w:rPr>
      </w:pPr>
    </w:p>
    <w:p w14:paraId="0D87B2B3" w14:textId="77777777" w:rsidR="008D0F14" w:rsidRPr="0066049C" w:rsidRDefault="008D0F14" w:rsidP="008D0F14">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66049C" w14:paraId="2F0C0CF5" w14:textId="77777777" w:rsidTr="002A2525">
        <w:tc>
          <w:tcPr>
            <w:tcW w:w="6512" w:type="dxa"/>
          </w:tcPr>
          <w:p w14:paraId="29DF3BF8" w14:textId="77777777" w:rsidR="008D0F14" w:rsidRPr="0066049C" w:rsidRDefault="008D0F14" w:rsidP="002A2525">
            <w:pPr>
              <w:pStyle w:val="Sessiontc"/>
              <w:spacing w:line="240" w:lineRule="auto"/>
              <w:rPr>
                <w:lang w:val="es-419"/>
              </w:rPr>
            </w:pPr>
            <w:r w:rsidRPr="0066049C">
              <w:rPr>
                <w:lang w:val="es-419"/>
              </w:rPr>
              <w:t>Comité Administrativo y Jurídico</w:t>
            </w:r>
          </w:p>
          <w:p w14:paraId="740C62BF" w14:textId="77777777" w:rsidR="008D0F14" w:rsidRPr="0066049C" w:rsidRDefault="008D0F14" w:rsidP="002A2525">
            <w:pPr>
              <w:pStyle w:val="Sessiontcplacedate"/>
              <w:rPr>
                <w:lang w:val="es-419"/>
              </w:rPr>
            </w:pPr>
            <w:r w:rsidRPr="0066049C">
              <w:rPr>
                <w:lang w:val="es-419"/>
              </w:rPr>
              <w:t>Septuagésima novena sesión</w:t>
            </w:r>
          </w:p>
          <w:p w14:paraId="1A35286F" w14:textId="77777777" w:rsidR="008D0F14" w:rsidRPr="0066049C" w:rsidRDefault="008D0F14" w:rsidP="002A2525">
            <w:pPr>
              <w:pStyle w:val="Sessiontcplacedate"/>
              <w:rPr>
                <w:sz w:val="22"/>
                <w:lang w:val="es-419"/>
              </w:rPr>
            </w:pPr>
            <w:r w:rsidRPr="0066049C">
              <w:rPr>
                <w:lang w:val="es-419"/>
              </w:rPr>
              <w:t>Ginebra, 26 de octubre de 2022</w:t>
            </w:r>
          </w:p>
        </w:tc>
        <w:tc>
          <w:tcPr>
            <w:tcW w:w="3127" w:type="dxa"/>
          </w:tcPr>
          <w:p w14:paraId="045CE54C" w14:textId="77777777" w:rsidR="008D0F14" w:rsidRPr="0066049C" w:rsidRDefault="002A0B9E" w:rsidP="002A2525">
            <w:pPr>
              <w:pStyle w:val="Doccode"/>
              <w:rPr>
                <w:lang w:val="es-419"/>
              </w:rPr>
            </w:pPr>
            <w:r w:rsidRPr="0066049C">
              <w:rPr>
                <w:lang w:val="es-419"/>
              </w:rPr>
              <w:t>CAJ/79/8</w:t>
            </w:r>
          </w:p>
          <w:p w14:paraId="7AD54635" w14:textId="1DACEDDB" w:rsidR="008D0F14" w:rsidRPr="0066049C" w:rsidRDefault="008D0F14" w:rsidP="002A2525">
            <w:pPr>
              <w:pStyle w:val="Docoriginal"/>
              <w:rPr>
                <w:lang w:val="es-419"/>
              </w:rPr>
            </w:pPr>
            <w:r w:rsidRPr="0066049C">
              <w:rPr>
                <w:lang w:val="es-419"/>
              </w:rPr>
              <w:t>Original:</w:t>
            </w:r>
            <w:r w:rsidRPr="0066049C">
              <w:rPr>
                <w:b w:val="0"/>
                <w:lang w:val="es-419"/>
              </w:rPr>
              <w:t xml:space="preserve"> Inglés</w:t>
            </w:r>
          </w:p>
          <w:p w14:paraId="62F368E5" w14:textId="0E2D9978" w:rsidR="008D0F14" w:rsidRPr="0066049C" w:rsidRDefault="008D0F14" w:rsidP="00A75AD7">
            <w:pPr>
              <w:pStyle w:val="Docoriginal"/>
              <w:rPr>
                <w:lang w:val="es-419"/>
              </w:rPr>
            </w:pPr>
            <w:r w:rsidRPr="002B3B2F">
              <w:rPr>
                <w:lang w:val="es-419"/>
              </w:rPr>
              <w:t>Fecha:</w:t>
            </w:r>
            <w:r w:rsidRPr="002B3B2F">
              <w:rPr>
                <w:b w:val="0"/>
                <w:lang w:val="es-419"/>
              </w:rPr>
              <w:t xml:space="preserve"> 3 de octubre de 2022</w:t>
            </w:r>
          </w:p>
        </w:tc>
      </w:tr>
    </w:tbl>
    <w:p w14:paraId="7C59DED4" w14:textId="3D5D55E1" w:rsidR="008D0F14" w:rsidRPr="0066049C" w:rsidRDefault="002A0B9E" w:rsidP="002B3B2F">
      <w:pPr>
        <w:pStyle w:val="Titleofdoc0"/>
        <w:jc w:val="both"/>
        <w:rPr>
          <w:lang w:val="es-419"/>
        </w:rPr>
      </w:pPr>
      <w:r w:rsidRPr="0066049C">
        <w:rPr>
          <w:lang w:val="es-419"/>
        </w:rPr>
        <w:t>Informe sobre el Grupo de trabajo sobre el producto de la cosecha y la utilización no autorizada de material de repro</w:t>
      </w:r>
      <w:r w:rsidR="002B3B2F">
        <w:rPr>
          <w:lang w:val="es-419"/>
        </w:rPr>
        <w:t>ducción o de multiplicación (WG</w:t>
      </w:r>
      <w:r w:rsidR="002B3B2F">
        <w:rPr>
          <w:lang w:val="es-419"/>
        </w:rPr>
        <w:noBreakHyphen/>
        <w:t>HRV)</w:t>
      </w:r>
    </w:p>
    <w:p w14:paraId="1EC66454" w14:textId="2D83071D" w:rsidR="008D0F14" w:rsidRPr="0066049C" w:rsidRDefault="002E1A43" w:rsidP="008D0F14">
      <w:pPr>
        <w:pStyle w:val="preparedby1"/>
        <w:jc w:val="left"/>
        <w:rPr>
          <w:lang w:val="es-419"/>
        </w:rPr>
      </w:pPr>
      <w:r w:rsidRPr="0066049C">
        <w:rPr>
          <w:lang w:val="es-419"/>
        </w:rPr>
        <w:t>Documento preparado por la Oficina de la</w:t>
      </w:r>
      <w:r w:rsidR="005A31DC" w:rsidRPr="0066049C">
        <w:rPr>
          <w:lang w:val="es-419"/>
        </w:rPr>
        <w:t> </w:t>
      </w:r>
      <w:r w:rsidRPr="0066049C">
        <w:rPr>
          <w:lang w:val="es-419"/>
        </w:rPr>
        <w:t>Unión</w:t>
      </w:r>
    </w:p>
    <w:p w14:paraId="3C03A0FD" w14:textId="066538D6" w:rsidR="008D0F14" w:rsidRPr="0066049C" w:rsidRDefault="008D0F14" w:rsidP="008D0F14">
      <w:pPr>
        <w:pStyle w:val="Disclaimer"/>
        <w:rPr>
          <w:lang w:val="es-419"/>
        </w:rPr>
      </w:pPr>
      <w:r w:rsidRPr="0066049C">
        <w:rPr>
          <w:lang w:val="es-419"/>
        </w:rPr>
        <w:t>Descargo de responsabilidad: el presente documento no constituye un documento de política u orientación de la UPOV</w:t>
      </w:r>
    </w:p>
    <w:p w14:paraId="7243E5C5" w14:textId="77777777" w:rsidR="008D0F14" w:rsidRPr="0066049C" w:rsidRDefault="002A0B9E" w:rsidP="002A0B9E">
      <w:pPr>
        <w:pStyle w:val="Heading1"/>
        <w:rPr>
          <w:rFonts w:cs="Arial"/>
          <w:lang w:val="es-419"/>
        </w:rPr>
      </w:pPr>
      <w:bookmarkStart w:id="0" w:name="_Toc116035517"/>
      <w:r w:rsidRPr="0066049C">
        <w:rPr>
          <w:snapToGrid w:val="0"/>
          <w:lang w:val="es-419"/>
        </w:rPr>
        <w:t>RESUMEN</w:t>
      </w:r>
      <w:bookmarkEnd w:id="0"/>
      <w:r w:rsidRPr="0066049C">
        <w:rPr>
          <w:snapToGrid w:val="0"/>
          <w:lang w:val="es-419"/>
        </w:rPr>
        <w:t xml:space="preserve"> </w:t>
      </w:r>
    </w:p>
    <w:p w14:paraId="31D2AAEE" w14:textId="77777777" w:rsidR="0004198B" w:rsidRPr="0066049C" w:rsidRDefault="0004198B">
      <w:pPr>
        <w:jc w:val="left"/>
        <w:rPr>
          <w:rFonts w:cs="Arial"/>
          <w:lang w:val="es-419"/>
        </w:rPr>
      </w:pPr>
    </w:p>
    <w:p w14:paraId="79F449BE" w14:textId="77777777" w:rsidR="002A0B9E" w:rsidRPr="0066049C" w:rsidRDefault="002A0B9E" w:rsidP="001C238A">
      <w:pPr>
        <w:rPr>
          <w:rFonts w:cs="Arial"/>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 xml:space="preserve">Se invita al Comité Administrativo y Jurídico (CAJ) a tomar nota de las novedades relativas a la labor realizada por el Grupo de trabajo sobre el producto de la cosecha y la utilización no autorizada de material de reproducción o de multiplicación (WG-HRV), según se expone en el presente documento. </w:t>
      </w:r>
    </w:p>
    <w:p w14:paraId="2BBE03B2" w14:textId="77777777" w:rsidR="002A0B9E" w:rsidRPr="0066049C" w:rsidRDefault="002A0B9E" w:rsidP="002A0B9E">
      <w:pPr>
        <w:rPr>
          <w:rFonts w:cs="Arial"/>
          <w:highlight w:val="yellow"/>
          <w:lang w:val="es-419"/>
        </w:rPr>
      </w:pPr>
    </w:p>
    <w:p w14:paraId="33A09F4D" w14:textId="77777777" w:rsidR="002A0B9E" w:rsidRPr="0066049C" w:rsidRDefault="002A0B9E" w:rsidP="002A0B9E">
      <w:pPr>
        <w:rPr>
          <w:rFonts w:cs="Arial"/>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El presente documento se estructura del siguiente modo:</w:t>
      </w:r>
    </w:p>
    <w:sdt>
      <w:sdtPr>
        <w:rPr>
          <w:rFonts w:cs="Arial"/>
          <w:caps w:val="0"/>
          <w:lang w:val="es-419"/>
        </w:rPr>
        <w:id w:val="-454788501"/>
        <w:docPartObj>
          <w:docPartGallery w:val="Table of Contents"/>
          <w:docPartUnique/>
        </w:docPartObj>
      </w:sdtPr>
      <w:sdtEndPr>
        <w:rPr>
          <w:noProof/>
        </w:rPr>
      </w:sdtEndPr>
      <w:sdtContent>
        <w:p w14:paraId="340C2C6F" w14:textId="6A002CFC" w:rsidR="005A31DC" w:rsidRPr="0066049C" w:rsidRDefault="000148C8">
          <w:pPr>
            <w:pStyle w:val="TOC1"/>
            <w:rPr>
              <w:rFonts w:asciiTheme="minorHAnsi" w:eastAsiaTheme="minorEastAsia" w:hAnsiTheme="minorHAnsi" w:cstheme="minorBidi"/>
              <w:caps w:val="0"/>
              <w:noProof/>
              <w:sz w:val="22"/>
              <w:szCs w:val="22"/>
              <w:lang w:val="es-419" w:eastAsia="es-ES"/>
            </w:rPr>
          </w:pPr>
          <w:r w:rsidRPr="0066049C">
            <w:rPr>
              <w:rFonts w:cs="Arial"/>
              <w:lang w:val="es-419"/>
            </w:rPr>
            <w:fldChar w:fldCharType="begin"/>
          </w:r>
          <w:r w:rsidRPr="0066049C">
            <w:rPr>
              <w:rFonts w:cs="Arial"/>
              <w:lang w:val="es-419"/>
            </w:rPr>
            <w:instrText xml:space="preserve"> TOC \o "1-3" \h \z \u </w:instrText>
          </w:r>
          <w:r w:rsidRPr="0066049C">
            <w:rPr>
              <w:rFonts w:cs="Arial"/>
              <w:lang w:val="es-419"/>
            </w:rPr>
            <w:fldChar w:fldCharType="separate"/>
          </w:r>
          <w:hyperlink w:anchor="_Toc116035517" w:history="1">
            <w:r w:rsidR="005A31DC" w:rsidRPr="0066049C">
              <w:rPr>
                <w:rStyle w:val="Hyperlink"/>
                <w:noProof/>
                <w:snapToGrid w:val="0"/>
                <w:lang w:val="es-419"/>
              </w:rPr>
              <w:t>RESUMEN</w:t>
            </w:r>
            <w:r w:rsidR="005A31DC" w:rsidRPr="0066049C">
              <w:rPr>
                <w:noProof/>
                <w:webHidden/>
                <w:lang w:val="es-419"/>
              </w:rPr>
              <w:tab/>
            </w:r>
            <w:r w:rsidR="005A31DC" w:rsidRPr="0066049C">
              <w:rPr>
                <w:noProof/>
                <w:webHidden/>
                <w:lang w:val="es-419"/>
              </w:rPr>
              <w:fldChar w:fldCharType="begin"/>
            </w:r>
            <w:r w:rsidR="005A31DC" w:rsidRPr="0066049C">
              <w:rPr>
                <w:noProof/>
                <w:webHidden/>
                <w:lang w:val="es-419"/>
              </w:rPr>
              <w:instrText xml:space="preserve"> PAGEREF _Toc116035517 \h </w:instrText>
            </w:r>
            <w:r w:rsidR="005A31DC" w:rsidRPr="0066049C">
              <w:rPr>
                <w:noProof/>
                <w:webHidden/>
                <w:lang w:val="es-419"/>
              </w:rPr>
            </w:r>
            <w:r w:rsidR="005A31DC" w:rsidRPr="0066049C">
              <w:rPr>
                <w:noProof/>
                <w:webHidden/>
                <w:lang w:val="es-419"/>
              </w:rPr>
              <w:fldChar w:fldCharType="separate"/>
            </w:r>
            <w:r w:rsidR="00B547E3">
              <w:rPr>
                <w:noProof/>
                <w:webHidden/>
                <w:lang w:val="es-419"/>
              </w:rPr>
              <w:t>1</w:t>
            </w:r>
            <w:r w:rsidR="005A31DC" w:rsidRPr="0066049C">
              <w:rPr>
                <w:noProof/>
                <w:webHidden/>
                <w:lang w:val="es-419"/>
              </w:rPr>
              <w:fldChar w:fldCharType="end"/>
            </w:r>
          </w:hyperlink>
        </w:p>
        <w:p w14:paraId="52116189" w14:textId="4B175BE0" w:rsidR="005A31DC" w:rsidRPr="0066049C" w:rsidRDefault="002B3B2F">
          <w:pPr>
            <w:pStyle w:val="TOC1"/>
            <w:rPr>
              <w:rFonts w:asciiTheme="minorHAnsi" w:eastAsiaTheme="minorEastAsia" w:hAnsiTheme="minorHAnsi" w:cstheme="minorBidi"/>
              <w:caps w:val="0"/>
              <w:noProof/>
              <w:sz w:val="22"/>
              <w:szCs w:val="22"/>
              <w:lang w:val="es-419" w:eastAsia="es-ES"/>
            </w:rPr>
          </w:pPr>
          <w:hyperlink w:anchor="_Toc116035518" w:history="1">
            <w:r w:rsidR="005A31DC" w:rsidRPr="0066049C">
              <w:rPr>
                <w:rStyle w:val="Hyperlink"/>
                <w:noProof/>
                <w:lang w:val="es-419"/>
              </w:rPr>
              <w:t>ANTECEDENTES</w:t>
            </w:r>
            <w:r w:rsidR="005A31DC" w:rsidRPr="0066049C">
              <w:rPr>
                <w:noProof/>
                <w:webHidden/>
                <w:lang w:val="es-419"/>
              </w:rPr>
              <w:tab/>
            </w:r>
            <w:r w:rsidR="005A31DC" w:rsidRPr="0066049C">
              <w:rPr>
                <w:noProof/>
                <w:webHidden/>
                <w:lang w:val="es-419"/>
              </w:rPr>
              <w:fldChar w:fldCharType="begin"/>
            </w:r>
            <w:r w:rsidR="005A31DC" w:rsidRPr="0066049C">
              <w:rPr>
                <w:noProof/>
                <w:webHidden/>
                <w:lang w:val="es-419"/>
              </w:rPr>
              <w:instrText xml:space="preserve"> PAGEREF _Toc116035518 \h </w:instrText>
            </w:r>
            <w:r w:rsidR="005A31DC" w:rsidRPr="0066049C">
              <w:rPr>
                <w:noProof/>
                <w:webHidden/>
                <w:lang w:val="es-419"/>
              </w:rPr>
            </w:r>
            <w:r w:rsidR="005A31DC" w:rsidRPr="0066049C">
              <w:rPr>
                <w:noProof/>
                <w:webHidden/>
                <w:lang w:val="es-419"/>
              </w:rPr>
              <w:fldChar w:fldCharType="separate"/>
            </w:r>
            <w:r w:rsidR="00B547E3">
              <w:rPr>
                <w:noProof/>
                <w:webHidden/>
                <w:lang w:val="es-419"/>
              </w:rPr>
              <w:t>1</w:t>
            </w:r>
            <w:r w:rsidR="005A31DC" w:rsidRPr="0066049C">
              <w:rPr>
                <w:noProof/>
                <w:webHidden/>
                <w:lang w:val="es-419"/>
              </w:rPr>
              <w:fldChar w:fldCharType="end"/>
            </w:r>
          </w:hyperlink>
        </w:p>
        <w:p w14:paraId="7FD79BFC" w14:textId="71F8A657" w:rsidR="005A31DC" w:rsidRPr="0066049C" w:rsidRDefault="002B3B2F">
          <w:pPr>
            <w:pStyle w:val="TOC1"/>
            <w:rPr>
              <w:rFonts w:asciiTheme="minorHAnsi" w:eastAsiaTheme="minorEastAsia" w:hAnsiTheme="minorHAnsi" w:cstheme="minorBidi"/>
              <w:caps w:val="0"/>
              <w:noProof/>
              <w:sz w:val="22"/>
              <w:szCs w:val="22"/>
              <w:lang w:val="es-419" w:eastAsia="es-ES"/>
            </w:rPr>
          </w:pPr>
          <w:hyperlink w:anchor="_Toc116035519" w:history="1">
            <w:r w:rsidR="005A31DC" w:rsidRPr="0066049C">
              <w:rPr>
                <w:rStyle w:val="Hyperlink"/>
                <w:noProof/>
                <w:lang w:val="es-419"/>
              </w:rPr>
              <w:t>Primera reunión del WG-HRV (15 de marzo de 2022)</w:t>
            </w:r>
            <w:r w:rsidR="005A31DC" w:rsidRPr="0066049C">
              <w:rPr>
                <w:noProof/>
                <w:webHidden/>
                <w:lang w:val="es-419"/>
              </w:rPr>
              <w:tab/>
            </w:r>
            <w:r w:rsidR="005A31DC" w:rsidRPr="0066049C">
              <w:rPr>
                <w:noProof/>
                <w:webHidden/>
                <w:lang w:val="es-419"/>
              </w:rPr>
              <w:fldChar w:fldCharType="begin"/>
            </w:r>
            <w:r w:rsidR="005A31DC" w:rsidRPr="0066049C">
              <w:rPr>
                <w:noProof/>
                <w:webHidden/>
                <w:lang w:val="es-419"/>
              </w:rPr>
              <w:instrText xml:space="preserve"> PAGEREF _Toc116035519 \h </w:instrText>
            </w:r>
            <w:r w:rsidR="005A31DC" w:rsidRPr="0066049C">
              <w:rPr>
                <w:noProof/>
                <w:webHidden/>
                <w:lang w:val="es-419"/>
              </w:rPr>
            </w:r>
            <w:r w:rsidR="005A31DC" w:rsidRPr="0066049C">
              <w:rPr>
                <w:noProof/>
                <w:webHidden/>
                <w:lang w:val="es-419"/>
              </w:rPr>
              <w:fldChar w:fldCharType="separate"/>
            </w:r>
            <w:r w:rsidR="00B547E3">
              <w:rPr>
                <w:noProof/>
                <w:webHidden/>
                <w:lang w:val="es-419"/>
              </w:rPr>
              <w:t>2</w:t>
            </w:r>
            <w:r w:rsidR="005A31DC" w:rsidRPr="0066049C">
              <w:rPr>
                <w:noProof/>
                <w:webHidden/>
                <w:lang w:val="es-419"/>
              </w:rPr>
              <w:fldChar w:fldCharType="end"/>
            </w:r>
          </w:hyperlink>
        </w:p>
        <w:p w14:paraId="0D87FCE0" w14:textId="301A6497" w:rsidR="005A31DC" w:rsidRPr="0066049C" w:rsidRDefault="002B3B2F">
          <w:pPr>
            <w:pStyle w:val="TOC1"/>
            <w:rPr>
              <w:rFonts w:asciiTheme="minorHAnsi" w:eastAsiaTheme="minorEastAsia" w:hAnsiTheme="minorHAnsi" w:cstheme="minorBidi"/>
              <w:caps w:val="0"/>
              <w:noProof/>
              <w:sz w:val="22"/>
              <w:szCs w:val="22"/>
              <w:lang w:val="es-419" w:eastAsia="es-ES"/>
            </w:rPr>
          </w:pPr>
          <w:hyperlink w:anchor="_Toc116035520" w:history="1">
            <w:r w:rsidR="005A31DC" w:rsidRPr="0066049C">
              <w:rPr>
                <w:rStyle w:val="Hyperlink"/>
                <w:noProof/>
                <w:lang w:val="es-419"/>
              </w:rPr>
              <w:t>Segunda reunión del WG-HRV (6 de septiembre de 2022)</w:t>
            </w:r>
            <w:r w:rsidR="005A31DC" w:rsidRPr="0066049C">
              <w:rPr>
                <w:noProof/>
                <w:webHidden/>
                <w:lang w:val="es-419"/>
              </w:rPr>
              <w:tab/>
            </w:r>
            <w:r w:rsidR="005A31DC" w:rsidRPr="0066049C">
              <w:rPr>
                <w:noProof/>
                <w:webHidden/>
                <w:lang w:val="es-419"/>
              </w:rPr>
              <w:fldChar w:fldCharType="begin"/>
            </w:r>
            <w:r w:rsidR="005A31DC" w:rsidRPr="0066049C">
              <w:rPr>
                <w:noProof/>
                <w:webHidden/>
                <w:lang w:val="es-419"/>
              </w:rPr>
              <w:instrText xml:space="preserve"> PAGEREF _Toc116035520 \h </w:instrText>
            </w:r>
            <w:r w:rsidR="005A31DC" w:rsidRPr="0066049C">
              <w:rPr>
                <w:noProof/>
                <w:webHidden/>
                <w:lang w:val="es-419"/>
              </w:rPr>
            </w:r>
            <w:r w:rsidR="005A31DC" w:rsidRPr="0066049C">
              <w:rPr>
                <w:noProof/>
                <w:webHidden/>
                <w:lang w:val="es-419"/>
              </w:rPr>
              <w:fldChar w:fldCharType="separate"/>
            </w:r>
            <w:r w:rsidR="00B547E3">
              <w:rPr>
                <w:noProof/>
                <w:webHidden/>
                <w:lang w:val="es-419"/>
              </w:rPr>
              <w:t>2</w:t>
            </w:r>
            <w:r w:rsidR="005A31DC" w:rsidRPr="0066049C">
              <w:rPr>
                <w:noProof/>
                <w:webHidden/>
                <w:lang w:val="es-419"/>
              </w:rPr>
              <w:fldChar w:fldCharType="end"/>
            </w:r>
          </w:hyperlink>
        </w:p>
        <w:p w14:paraId="34FCC743" w14:textId="77246BC0" w:rsidR="005A31DC" w:rsidRPr="0066049C" w:rsidRDefault="002B3B2F">
          <w:pPr>
            <w:pStyle w:val="TOC1"/>
            <w:rPr>
              <w:rFonts w:asciiTheme="minorHAnsi" w:eastAsiaTheme="minorEastAsia" w:hAnsiTheme="minorHAnsi" w:cstheme="minorBidi"/>
              <w:caps w:val="0"/>
              <w:noProof/>
              <w:sz w:val="22"/>
              <w:szCs w:val="22"/>
              <w:lang w:val="es-419" w:eastAsia="es-ES"/>
            </w:rPr>
          </w:pPr>
          <w:hyperlink w:anchor="_Toc116035521" w:history="1">
            <w:r w:rsidR="005A31DC" w:rsidRPr="0066049C">
              <w:rPr>
                <w:rStyle w:val="Hyperlink"/>
                <w:noProof/>
                <w:lang w:val="es-419"/>
              </w:rPr>
              <w:t>Tercera reunión del WG-HRV (14 de marzo de 2023)</w:t>
            </w:r>
            <w:r w:rsidR="005A31DC" w:rsidRPr="0066049C">
              <w:rPr>
                <w:noProof/>
                <w:webHidden/>
                <w:lang w:val="es-419"/>
              </w:rPr>
              <w:tab/>
            </w:r>
            <w:r w:rsidR="005A31DC" w:rsidRPr="0066049C">
              <w:rPr>
                <w:noProof/>
                <w:webHidden/>
                <w:lang w:val="es-419"/>
              </w:rPr>
              <w:fldChar w:fldCharType="begin"/>
            </w:r>
            <w:r w:rsidR="005A31DC" w:rsidRPr="0066049C">
              <w:rPr>
                <w:noProof/>
                <w:webHidden/>
                <w:lang w:val="es-419"/>
              </w:rPr>
              <w:instrText xml:space="preserve"> PAGEREF _Toc116035521 \h </w:instrText>
            </w:r>
            <w:r w:rsidR="005A31DC" w:rsidRPr="0066049C">
              <w:rPr>
                <w:noProof/>
                <w:webHidden/>
                <w:lang w:val="es-419"/>
              </w:rPr>
            </w:r>
            <w:r w:rsidR="005A31DC" w:rsidRPr="0066049C">
              <w:rPr>
                <w:noProof/>
                <w:webHidden/>
                <w:lang w:val="es-419"/>
              </w:rPr>
              <w:fldChar w:fldCharType="separate"/>
            </w:r>
            <w:r w:rsidR="00B547E3">
              <w:rPr>
                <w:noProof/>
                <w:webHidden/>
                <w:lang w:val="es-419"/>
              </w:rPr>
              <w:t>3</w:t>
            </w:r>
            <w:r w:rsidR="005A31DC" w:rsidRPr="0066049C">
              <w:rPr>
                <w:noProof/>
                <w:webHidden/>
                <w:lang w:val="es-419"/>
              </w:rPr>
              <w:fldChar w:fldCharType="end"/>
            </w:r>
          </w:hyperlink>
        </w:p>
        <w:p w14:paraId="24C43D69" w14:textId="77777777" w:rsidR="005A31DC" w:rsidRPr="0066049C" w:rsidRDefault="000148C8" w:rsidP="00862669">
          <w:pPr>
            <w:keepNext/>
            <w:tabs>
              <w:tab w:val="left" w:pos="990"/>
              <w:tab w:val="right" w:leader="dot" w:pos="9639"/>
            </w:tabs>
            <w:ind w:left="990" w:hanging="990"/>
            <w:jc w:val="left"/>
            <w:rPr>
              <w:rFonts w:cs="Arial"/>
              <w:caps/>
              <w:lang w:val="es-419"/>
            </w:rPr>
          </w:pPr>
          <w:r w:rsidRPr="0066049C">
            <w:rPr>
              <w:rFonts w:cs="Arial"/>
              <w:caps/>
              <w:lang w:val="es-419"/>
            </w:rPr>
            <w:fldChar w:fldCharType="end"/>
          </w:r>
        </w:p>
        <w:p w14:paraId="60751D6B" w14:textId="5DAAED54" w:rsidR="001C238A" w:rsidRPr="0066049C" w:rsidRDefault="000148C8" w:rsidP="002B3B2F">
          <w:pPr>
            <w:keepNext/>
            <w:tabs>
              <w:tab w:val="left" w:pos="990"/>
              <w:tab w:val="right" w:leader="dot" w:pos="9639"/>
            </w:tabs>
            <w:ind w:left="990" w:hanging="990"/>
            <w:rPr>
              <w:rFonts w:cs="Arial"/>
              <w:caps/>
              <w:lang w:val="es-419"/>
            </w:rPr>
          </w:pPr>
          <w:r w:rsidRPr="0066049C">
            <w:rPr>
              <w:lang w:val="es-419"/>
            </w:rPr>
            <w:t>ANEXO</w:t>
          </w:r>
          <w:r w:rsidRPr="0066049C">
            <w:rPr>
              <w:lang w:val="es-419"/>
            </w:rPr>
            <w:tab/>
            <w:t>MANDATO DEL GRUPO DE TRABAJO SOBRE EL PRODUCTO DE LA COSECHA Y LA UTILIZACIÓN NO AUTORIZADA DEL MATERIAL DE REPRODUCCIÓN O DE MULTIPLICACIÓN (WG-HRV)</w:t>
          </w:r>
        </w:p>
      </w:sdtContent>
    </w:sdt>
    <w:p w14:paraId="07F68809" w14:textId="77777777" w:rsidR="000148C8" w:rsidRPr="0066049C" w:rsidRDefault="000148C8" w:rsidP="001C238A">
      <w:pPr>
        <w:rPr>
          <w:rFonts w:cs="Arial"/>
          <w:lang w:val="es-419"/>
        </w:rPr>
      </w:pPr>
    </w:p>
    <w:p w14:paraId="17CD85E8" w14:textId="77777777" w:rsidR="00B00A6A" w:rsidRPr="0066049C" w:rsidRDefault="00B00A6A" w:rsidP="001C238A">
      <w:pPr>
        <w:rPr>
          <w:rFonts w:cs="Arial"/>
          <w:lang w:val="es-419"/>
        </w:rPr>
      </w:pPr>
    </w:p>
    <w:p w14:paraId="4296D771" w14:textId="77777777" w:rsidR="00862669" w:rsidRPr="0066049C" w:rsidRDefault="00862669" w:rsidP="001C238A">
      <w:pPr>
        <w:rPr>
          <w:rFonts w:cs="Arial"/>
          <w:lang w:val="es-419"/>
        </w:rPr>
      </w:pPr>
    </w:p>
    <w:p w14:paraId="2FD3F2CD" w14:textId="77777777" w:rsidR="003C6823" w:rsidRPr="0066049C" w:rsidRDefault="003C6823" w:rsidP="003C6823">
      <w:pPr>
        <w:pStyle w:val="Heading1"/>
        <w:rPr>
          <w:rFonts w:cs="Arial"/>
          <w:lang w:val="es-419"/>
        </w:rPr>
      </w:pPr>
      <w:bookmarkStart w:id="1" w:name="_Toc116035518"/>
      <w:r w:rsidRPr="0066049C">
        <w:rPr>
          <w:lang w:val="es-419"/>
        </w:rPr>
        <w:t>ANTECEDENTES</w:t>
      </w:r>
      <w:bookmarkEnd w:id="1"/>
    </w:p>
    <w:p w14:paraId="711679C3" w14:textId="77777777" w:rsidR="003C6823" w:rsidRPr="0066049C" w:rsidRDefault="003C6823" w:rsidP="002A0B9E">
      <w:pPr>
        <w:rPr>
          <w:rFonts w:cs="Arial"/>
          <w:lang w:val="es-419"/>
        </w:rPr>
      </w:pPr>
    </w:p>
    <w:p w14:paraId="064A1F23" w14:textId="19FEBA70" w:rsidR="00D221FB" w:rsidRPr="0066049C" w:rsidRDefault="00274DE4" w:rsidP="00B00A6A">
      <w:pPr>
        <w:rPr>
          <w:rFonts w:cs="Arial"/>
          <w:snapToGrid w:val="0"/>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El</w:t>
      </w:r>
      <w:r w:rsidR="005A31DC" w:rsidRPr="0066049C">
        <w:rPr>
          <w:lang w:val="es-419"/>
        </w:rPr>
        <w:t> </w:t>
      </w:r>
      <w:r w:rsidRPr="0066049C">
        <w:rPr>
          <w:lang w:val="es-419"/>
        </w:rPr>
        <w:t>CAJ, en su septuagésima octava sesión, celebrada por medios electrónicos el 27 de octubre de 2021, tomó nota de la aprobación por correspondencia, el</w:t>
      </w:r>
      <w:r w:rsidR="005A31DC" w:rsidRPr="0066049C">
        <w:rPr>
          <w:lang w:val="es-419"/>
        </w:rPr>
        <w:t> </w:t>
      </w:r>
      <w:r w:rsidRPr="0066049C">
        <w:rPr>
          <w:lang w:val="es-419"/>
        </w:rPr>
        <w:t>21 de septiembre de</w:t>
      </w:r>
      <w:r w:rsidR="005A31DC" w:rsidRPr="0066049C">
        <w:rPr>
          <w:lang w:val="es-419"/>
        </w:rPr>
        <w:t> </w:t>
      </w:r>
      <w:r w:rsidRPr="0066049C">
        <w:rPr>
          <w:lang w:val="es-419"/>
        </w:rPr>
        <w:t>2021, de las decisiones recogidas en el documento CAJ/78/5, según se expone en el párrafo 31 del documento CAJ/78/12, que se reproduce a continuación. El CAJ:</w:t>
      </w:r>
    </w:p>
    <w:p w14:paraId="64992767" w14:textId="77777777" w:rsidR="00D221FB" w:rsidRPr="0066049C" w:rsidRDefault="00D221FB" w:rsidP="00D221FB">
      <w:pPr>
        <w:keepNext/>
        <w:keepLines/>
        <w:ind w:left="567" w:right="549"/>
        <w:rPr>
          <w:rFonts w:cs="Arial"/>
          <w:snapToGrid w:val="0"/>
          <w:lang w:val="es-419"/>
        </w:rPr>
      </w:pPr>
    </w:p>
    <w:p w14:paraId="62898244" w14:textId="05E3825A" w:rsidR="00D221FB" w:rsidRPr="0066049C" w:rsidRDefault="00D221FB" w:rsidP="007546E6">
      <w:pPr>
        <w:keepLines/>
        <w:ind w:right="9" w:firstLine="567"/>
        <w:rPr>
          <w:rFonts w:cs="Arial"/>
          <w:snapToGrid w:val="0"/>
          <w:lang w:val="es-419"/>
        </w:rPr>
      </w:pPr>
      <w:r w:rsidRPr="0066049C">
        <w:rPr>
          <w:snapToGrid w:val="0"/>
          <w:lang w:val="es-419"/>
        </w:rPr>
        <w:t xml:space="preserve">i) </w:t>
      </w:r>
      <w:r w:rsidRPr="0066049C">
        <w:rPr>
          <w:snapToGrid w:val="0"/>
          <w:lang w:val="es-419"/>
        </w:rPr>
        <w:tab/>
        <w:t>convino en iniciar una revisión de las “Notas explicativas sobre los actos respecto del producto de la cosecha con arreglo al Acta de</w:t>
      </w:r>
      <w:r w:rsidR="005A31DC" w:rsidRPr="0066049C">
        <w:rPr>
          <w:snapToGrid w:val="0"/>
          <w:lang w:val="es-419"/>
        </w:rPr>
        <w:t> </w:t>
      </w:r>
      <w:r w:rsidRPr="0066049C">
        <w:rPr>
          <w:snapToGrid w:val="0"/>
          <w:lang w:val="es-419"/>
        </w:rPr>
        <w:t>1991 del Convenio de la</w:t>
      </w:r>
      <w:r w:rsidR="005A31DC" w:rsidRPr="0066049C">
        <w:rPr>
          <w:snapToGrid w:val="0"/>
          <w:lang w:val="es-419"/>
        </w:rPr>
        <w:t> </w:t>
      </w:r>
      <w:r w:rsidRPr="0066049C">
        <w:rPr>
          <w:snapToGrid w:val="0"/>
          <w:lang w:val="es-419"/>
        </w:rPr>
        <w:t>UPOV” (documento</w:t>
      </w:r>
      <w:r w:rsidR="005A31DC" w:rsidRPr="0066049C">
        <w:rPr>
          <w:snapToGrid w:val="0"/>
          <w:lang w:val="es-419"/>
        </w:rPr>
        <w:t> </w:t>
      </w:r>
      <w:r w:rsidRPr="0066049C">
        <w:rPr>
          <w:snapToGrid w:val="0"/>
          <w:lang w:val="es-419"/>
        </w:rPr>
        <w:t>UPOV/EXN/HRV/1), las “Notas explicativas sobre el material de reproducción o de multiplicación con arreglo al Convenio de la</w:t>
      </w:r>
      <w:r w:rsidR="005A31DC" w:rsidRPr="0066049C">
        <w:rPr>
          <w:snapToGrid w:val="0"/>
          <w:lang w:val="es-419"/>
        </w:rPr>
        <w:t> </w:t>
      </w:r>
      <w:r w:rsidRPr="0066049C">
        <w:rPr>
          <w:snapToGrid w:val="0"/>
          <w:lang w:val="es-419"/>
        </w:rPr>
        <w:t>UPOV” (UPOV/EXN/PPM/1) y las “Notas explicativas sobre la protección provisional con arreglo al Convenio de la</w:t>
      </w:r>
      <w:r w:rsidR="005A31DC" w:rsidRPr="0066049C">
        <w:rPr>
          <w:snapToGrid w:val="0"/>
          <w:lang w:val="es-419"/>
        </w:rPr>
        <w:t> </w:t>
      </w:r>
      <w:r w:rsidRPr="0066049C">
        <w:rPr>
          <w:snapToGrid w:val="0"/>
          <w:lang w:val="es-419"/>
        </w:rPr>
        <w:t>UPOV” (UPOV/EXN/PRP/2);</w:t>
      </w:r>
    </w:p>
    <w:p w14:paraId="50576177" w14:textId="77777777" w:rsidR="00D221FB" w:rsidRPr="0066049C" w:rsidRDefault="00D221FB" w:rsidP="007546E6">
      <w:pPr>
        <w:ind w:right="9"/>
        <w:rPr>
          <w:rFonts w:cs="Arial"/>
          <w:snapToGrid w:val="0"/>
          <w:lang w:val="es-419"/>
        </w:rPr>
      </w:pPr>
    </w:p>
    <w:p w14:paraId="4342E840" w14:textId="6B5A8B44" w:rsidR="00D221FB" w:rsidRPr="0066049C" w:rsidRDefault="00D221FB" w:rsidP="007546E6">
      <w:pPr>
        <w:ind w:right="9" w:firstLine="567"/>
        <w:rPr>
          <w:rFonts w:cs="Arial"/>
          <w:snapToGrid w:val="0"/>
          <w:lang w:val="es-419"/>
        </w:rPr>
      </w:pPr>
      <w:r w:rsidRPr="0066049C">
        <w:rPr>
          <w:snapToGrid w:val="0"/>
          <w:lang w:val="es-419"/>
        </w:rPr>
        <w:t xml:space="preserve">ii) </w:t>
      </w:r>
      <w:r w:rsidRPr="0066049C">
        <w:rPr>
          <w:snapToGrid w:val="0"/>
          <w:lang w:val="es-419"/>
        </w:rPr>
        <w:tab/>
        <w:t>convino en crear un grupo de trabajo sobre el producto de la cosecha y la utilización no autorizada de material de reproducción o de multiplicación (WG</w:t>
      </w:r>
      <w:r w:rsidR="005A31DC" w:rsidRPr="0066049C">
        <w:rPr>
          <w:snapToGrid w:val="0"/>
          <w:lang w:val="es-419"/>
        </w:rPr>
        <w:noBreakHyphen/>
      </w:r>
      <w:r w:rsidRPr="0066049C">
        <w:rPr>
          <w:snapToGrid w:val="0"/>
          <w:lang w:val="es-419"/>
        </w:rPr>
        <w:t>HRV);</w:t>
      </w:r>
    </w:p>
    <w:p w14:paraId="78D4A6CE" w14:textId="77777777" w:rsidR="00D221FB" w:rsidRPr="0066049C" w:rsidRDefault="00D221FB" w:rsidP="007546E6">
      <w:pPr>
        <w:ind w:right="9"/>
        <w:rPr>
          <w:rFonts w:cs="Arial"/>
          <w:snapToGrid w:val="0"/>
          <w:lang w:val="es-419"/>
        </w:rPr>
      </w:pPr>
    </w:p>
    <w:p w14:paraId="11101896" w14:textId="69ED5875" w:rsidR="00D221FB" w:rsidRPr="0066049C" w:rsidRDefault="00D221FB" w:rsidP="007546E6">
      <w:pPr>
        <w:ind w:right="9" w:firstLine="567"/>
        <w:rPr>
          <w:rFonts w:cs="Arial"/>
          <w:snapToGrid w:val="0"/>
          <w:lang w:val="es-419"/>
        </w:rPr>
      </w:pPr>
      <w:r w:rsidRPr="0066049C">
        <w:rPr>
          <w:snapToGrid w:val="0"/>
          <w:lang w:val="es-419"/>
        </w:rPr>
        <w:t xml:space="preserve">iii) </w:t>
      </w:r>
      <w:r w:rsidRPr="0066049C">
        <w:rPr>
          <w:snapToGrid w:val="0"/>
          <w:lang w:val="es-419"/>
        </w:rPr>
        <w:tab/>
        <w:t>aprobó el mandato del WG</w:t>
      </w:r>
      <w:r w:rsidR="005A31DC" w:rsidRPr="0066049C">
        <w:rPr>
          <w:snapToGrid w:val="0"/>
          <w:lang w:val="es-419"/>
        </w:rPr>
        <w:noBreakHyphen/>
      </w:r>
      <w:r w:rsidRPr="0066049C">
        <w:rPr>
          <w:snapToGrid w:val="0"/>
          <w:lang w:val="es-419"/>
        </w:rPr>
        <w:t>HRV, expuesto en el Anexo del documento</w:t>
      </w:r>
      <w:r w:rsidR="005A31DC" w:rsidRPr="0066049C">
        <w:rPr>
          <w:snapToGrid w:val="0"/>
          <w:lang w:val="es-419"/>
        </w:rPr>
        <w:t> </w:t>
      </w:r>
      <w:r w:rsidRPr="0066049C">
        <w:rPr>
          <w:snapToGrid w:val="0"/>
          <w:lang w:val="es-419"/>
        </w:rPr>
        <w:t xml:space="preserve">CAJ/78/12; </w:t>
      </w:r>
    </w:p>
    <w:p w14:paraId="318BEDC3" w14:textId="77777777" w:rsidR="00D221FB" w:rsidRPr="0066049C" w:rsidRDefault="00D221FB" w:rsidP="007546E6">
      <w:pPr>
        <w:ind w:right="9"/>
        <w:rPr>
          <w:rFonts w:cs="Arial"/>
          <w:snapToGrid w:val="0"/>
          <w:lang w:val="es-419"/>
        </w:rPr>
      </w:pPr>
    </w:p>
    <w:p w14:paraId="602D1F50" w14:textId="72FC01C9" w:rsidR="00D221FB" w:rsidRPr="0066049C" w:rsidRDefault="00D221FB" w:rsidP="007546E6">
      <w:pPr>
        <w:ind w:right="9" w:firstLine="567"/>
        <w:rPr>
          <w:rFonts w:cs="Arial"/>
          <w:snapToGrid w:val="0"/>
          <w:lang w:val="es-419"/>
        </w:rPr>
      </w:pPr>
      <w:r w:rsidRPr="0066049C">
        <w:rPr>
          <w:snapToGrid w:val="0"/>
          <w:lang w:val="es-419"/>
        </w:rPr>
        <w:t xml:space="preserve">iv) </w:t>
      </w:r>
      <w:r w:rsidRPr="0066049C">
        <w:rPr>
          <w:snapToGrid w:val="0"/>
          <w:lang w:val="es-419"/>
        </w:rPr>
        <w:tab/>
        <w:t>solicitó a la Oficina de la</w:t>
      </w:r>
      <w:r w:rsidR="005A31DC" w:rsidRPr="0066049C">
        <w:rPr>
          <w:snapToGrid w:val="0"/>
          <w:lang w:val="es-419"/>
        </w:rPr>
        <w:t> </w:t>
      </w:r>
      <w:r w:rsidRPr="0066049C">
        <w:rPr>
          <w:snapToGrid w:val="0"/>
          <w:lang w:val="es-419"/>
        </w:rPr>
        <w:t>Unión el envío de una circular en la que se invite a los miembros de la Unión y los observadores ante el</w:t>
      </w:r>
      <w:r w:rsidR="005A31DC" w:rsidRPr="0066049C">
        <w:rPr>
          <w:snapToGrid w:val="0"/>
          <w:lang w:val="es-419"/>
        </w:rPr>
        <w:t> </w:t>
      </w:r>
      <w:r w:rsidRPr="0066049C">
        <w:rPr>
          <w:snapToGrid w:val="0"/>
          <w:lang w:val="es-419"/>
        </w:rPr>
        <w:t>CAJ a pronunciarse acerca de su interés en ser miembros del WG HRV; y</w:t>
      </w:r>
    </w:p>
    <w:p w14:paraId="3E173939" w14:textId="77777777" w:rsidR="00D221FB" w:rsidRPr="0066049C" w:rsidRDefault="00D221FB" w:rsidP="007546E6">
      <w:pPr>
        <w:ind w:right="9"/>
        <w:rPr>
          <w:rFonts w:cs="Arial"/>
          <w:snapToGrid w:val="0"/>
          <w:lang w:val="es-419"/>
        </w:rPr>
      </w:pPr>
    </w:p>
    <w:p w14:paraId="1BFB0E89" w14:textId="741BA6A4" w:rsidR="00D221FB" w:rsidRPr="0066049C" w:rsidRDefault="00D221FB" w:rsidP="007546E6">
      <w:pPr>
        <w:ind w:right="9" w:firstLine="567"/>
        <w:rPr>
          <w:rFonts w:cs="Arial"/>
          <w:snapToGrid w:val="0"/>
          <w:lang w:val="es-419"/>
        </w:rPr>
      </w:pPr>
      <w:r w:rsidRPr="0066049C">
        <w:rPr>
          <w:snapToGrid w:val="0"/>
          <w:lang w:val="es-419"/>
        </w:rPr>
        <w:t xml:space="preserve">v) </w:t>
      </w:r>
      <w:r w:rsidRPr="0066049C">
        <w:rPr>
          <w:snapToGrid w:val="0"/>
          <w:lang w:val="es-419"/>
        </w:rPr>
        <w:tab/>
        <w:t>tomó nota de que, en su septuagésima octava sesión, el</w:t>
      </w:r>
      <w:r w:rsidR="005A31DC" w:rsidRPr="0066049C">
        <w:rPr>
          <w:snapToGrid w:val="0"/>
          <w:lang w:val="es-419"/>
        </w:rPr>
        <w:t> </w:t>
      </w:r>
      <w:r w:rsidRPr="0066049C">
        <w:rPr>
          <w:snapToGrid w:val="0"/>
          <w:lang w:val="es-419"/>
        </w:rPr>
        <w:t>CAJ recibirá un informe sobre las respuestas a la circular en las que se manifieste interés en ser miembro del WG-HRV, junto con una solicitud de que acuerde la composición de este grupo de trabajo y la fecha de su primera reunión.</w:t>
      </w:r>
    </w:p>
    <w:p w14:paraId="0969548C" w14:textId="15D9BF9B" w:rsidR="00D221FB" w:rsidRPr="0066049C" w:rsidRDefault="007546E6" w:rsidP="00B00A6A">
      <w:pPr>
        <w:spacing w:before="240"/>
        <w:ind w:right="14"/>
        <w:rPr>
          <w:rFonts w:cs="Arial"/>
          <w:snapToGrid w:val="0"/>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El</w:t>
      </w:r>
      <w:r w:rsidR="005A31DC" w:rsidRPr="0066049C">
        <w:rPr>
          <w:lang w:val="es-419"/>
        </w:rPr>
        <w:t> </w:t>
      </w:r>
      <w:r w:rsidRPr="0066049C">
        <w:rPr>
          <w:lang w:val="es-419"/>
        </w:rPr>
        <w:t xml:space="preserve">CAJ examinó el documento CAJ/78/5 Add. y </w:t>
      </w:r>
      <w:r w:rsidRPr="0066049C">
        <w:rPr>
          <w:snapToGrid w:val="0"/>
          <w:lang w:val="es-419"/>
        </w:rPr>
        <w:t>aprobó la siguiente composición del WG-HRV:</w:t>
      </w:r>
    </w:p>
    <w:p w14:paraId="28DD29DF" w14:textId="77777777" w:rsidR="00D221FB" w:rsidRPr="0066049C" w:rsidRDefault="00D221FB" w:rsidP="007546E6">
      <w:pPr>
        <w:ind w:right="9"/>
        <w:rPr>
          <w:rFonts w:cs="Arial"/>
          <w:snapToGrid w:val="0"/>
          <w:lang w:val="es-419"/>
        </w:rPr>
      </w:pPr>
    </w:p>
    <w:p w14:paraId="479C0D87" w14:textId="3A90EA3A" w:rsidR="00D221FB" w:rsidRPr="002B3B2F" w:rsidRDefault="007546E6" w:rsidP="007546E6">
      <w:pPr>
        <w:ind w:left="567" w:right="549"/>
        <w:rPr>
          <w:rFonts w:cs="Arial"/>
          <w:spacing w:val="-2"/>
          <w:sz w:val="18"/>
          <w:szCs w:val="18"/>
          <w:highlight w:val="lightGray"/>
          <w:lang w:val="es-419"/>
        </w:rPr>
      </w:pPr>
      <w:r w:rsidRPr="002B3B2F">
        <w:rPr>
          <w:snapToGrid w:val="0"/>
          <w:spacing w:val="-2"/>
          <w:sz w:val="18"/>
          <w:szCs w:val="18"/>
          <w:lang w:val="es-419"/>
        </w:rPr>
        <w:t>“3.</w:t>
      </w:r>
      <w:r w:rsidRPr="002B3B2F">
        <w:rPr>
          <w:snapToGrid w:val="0"/>
          <w:spacing w:val="-2"/>
          <w:sz w:val="18"/>
          <w:szCs w:val="18"/>
          <w:lang w:val="es-419"/>
        </w:rPr>
        <w:tab/>
      </w:r>
      <w:r w:rsidR="002B3B2F" w:rsidRPr="002B3B2F">
        <w:rPr>
          <w:spacing w:val="-2"/>
          <w:sz w:val="18"/>
          <w:szCs w:val="18"/>
        </w:rPr>
        <w:t xml:space="preserve">En respuesta a la </w:t>
      </w:r>
      <w:r w:rsidR="002B3B2F" w:rsidRPr="002B3B2F">
        <w:rPr>
          <w:snapToGrid w:val="0"/>
          <w:spacing w:val="-2"/>
          <w:sz w:val="18"/>
          <w:szCs w:val="18"/>
        </w:rPr>
        <w:t>Circular E-21/157 de 23 de septiembre de 2021</w:t>
      </w:r>
      <w:r w:rsidR="002B3B2F" w:rsidRPr="002B3B2F">
        <w:rPr>
          <w:spacing w:val="-2"/>
          <w:sz w:val="18"/>
          <w:szCs w:val="18"/>
        </w:rPr>
        <w:t>, los siguientes miembros de la UPOV y observadores ante el CAJ han manifestado interés en formar parte del WG-HRV: Argentina, Australia, Chile, China, España, Estados Unidos de América, Francia, Japón, Noruega, Nueva Zelandia, Países Bajos, Reino Unido, República Checa, República de Corea, Rep</w:t>
      </w:r>
      <w:r w:rsidR="002B3B2F" w:rsidRPr="002B3B2F">
        <w:rPr>
          <w:spacing w:val="-2"/>
          <w:sz w:val="18"/>
          <w:szCs w:val="18"/>
        </w:rPr>
        <w:t>ública Unida de Tanzanía, Unión </w:t>
      </w:r>
      <w:r w:rsidR="002B3B2F" w:rsidRPr="002B3B2F">
        <w:rPr>
          <w:spacing w:val="-2"/>
          <w:sz w:val="18"/>
          <w:szCs w:val="18"/>
        </w:rPr>
        <w:t xml:space="preserve">Europea, Asociación Internacional de Productores Hortícolas (AIPH), Asociación de Semillas de las Américas (SAA), </w:t>
      </w:r>
      <w:r w:rsidR="002B3B2F" w:rsidRPr="002B3B2F">
        <w:rPr>
          <w:i/>
          <w:iCs/>
          <w:spacing w:val="-2"/>
          <w:sz w:val="18"/>
          <w:szCs w:val="18"/>
        </w:rPr>
        <w:t>Association for Plant Breeding for the Benefit of Society</w:t>
      </w:r>
      <w:r w:rsidR="002B3B2F" w:rsidRPr="002B3B2F">
        <w:rPr>
          <w:spacing w:val="-2"/>
          <w:sz w:val="18"/>
          <w:szCs w:val="18"/>
        </w:rPr>
        <w:t xml:space="preserve"> (APBREBES), C</w:t>
      </w:r>
      <w:r w:rsidR="002B3B2F" w:rsidRPr="002B3B2F">
        <w:rPr>
          <w:spacing w:val="-2"/>
          <w:sz w:val="18"/>
          <w:szCs w:val="18"/>
        </w:rPr>
        <w:t>omunidad </w:t>
      </w:r>
      <w:r w:rsidR="002B3B2F" w:rsidRPr="002B3B2F">
        <w:rPr>
          <w:spacing w:val="-2"/>
          <w:sz w:val="18"/>
          <w:szCs w:val="18"/>
        </w:rPr>
        <w:t xml:space="preserve">Internacional de Fitomejoradores de Plantas Hortícolas de Reproducción Asexuada (CIOPORA), </w:t>
      </w:r>
      <w:r w:rsidR="002B3B2F" w:rsidRPr="002B3B2F">
        <w:rPr>
          <w:i/>
          <w:iCs/>
          <w:spacing w:val="-2"/>
          <w:sz w:val="18"/>
          <w:szCs w:val="18"/>
        </w:rPr>
        <w:t>CropLife International,</w:t>
      </w:r>
      <w:r w:rsidR="002B3B2F" w:rsidRPr="002B3B2F">
        <w:rPr>
          <w:spacing w:val="-2"/>
          <w:sz w:val="18"/>
          <w:szCs w:val="18"/>
        </w:rPr>
        <w:t xml:space="preserve"> </w:t>
      </w:r>
      <w:r w:rsidR="002B3B2F" w:rsidRPr="002B3B2F">
        <w:rPr>
          <w:rFonts w:cs="Arial"/>
          <w:spacing w:val="-2"/>
          <w:sz w:val="18"/>
          <w:szCs w:val="18"/>
        </w:rPr>
        <w:t>Euroseeds</w:t>
      </w:r>
      <w:r w:rsidR="002B3B2F" w:rsidRPr="002B3B2F">
        <w:rPr>
          <w:spacing w:val="-2"/>
          <w:sz w:val="18"/>
          <w:szCs w:val="18"/>
        </w:rPr>
        <w:t xml:space="preserve"> e </w:t>
      </w:r>
      <w:r w:rsidR="002B3B2F" w:rsidRPr="002B3B2F">
        <w:rPr>
          <w:i/>
          <w:iCs/>
          <w:spacing w:val="-2"/>
          <w:sz w:val="18"/>
          <w:szCs w:val="18"/>
        </w:rPr>
        <w:t>International Seed Federation</w:t>
      </w:r>
      <w:r w:rsidR="002B3B2F" w:rsidRPr="002B3B2F">
        <w:rPr>
          <w:spacing w:val="-2"/>
          <w:sz w:val="18"/>
          <w:szCs w:val="18"/>
        </w:rPr>
        <w:t xml:space="preserve"> (ISF).</w:t>
      </w:r>
      <w:r w:rsidRPr="002B3B2F">
        <w:rPr>
          <w:snapToGrid w:val="0"/>
          <w:spacing w:val="-2"/>
          <w:sz w:val="18"/>
          <w:szCs w:val="18"/>
          <w:lang w:val="es-419"/>
        </w:rPr>
        <w:t>”</w:t>
      </w:r>
    </w:p>
    <w:p w14:paraId="48BFD2C1" w14:textId="77777777" w:rsidR="00D221FB" w:rsidRPr="0066049C" w:rsidRDefault="00D221FB" w:rsidP="007546E6">
      <w:pPr>
        <w:ind w:right="9"/>
        <w:rPr>
          <w:rFonts w:cs="Arial"/>
          <w:snapToGrid w:val="0"/>
          <w:lang w:val="es-419"/>
        </w:rPr>
      </w:pPr>
    </w:p>
    <w:p w14:paraId="0205005F" w14:textId="039BBFD6" w:rsidR="007546E6" w:rsidRPr="0066049C" w:rsidRDefault="007546E6" w:rsidP="002B3B2F">
      <w:pPr>
        <w:ind w:right="9"/>
        <w:rPr>
          <w:rFonts w:cs="Arial"/>
          <w:snapToGrid w:val="0"/>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El</w:t>
      </w:r>
      <w:r w:rsidR="005A31DC" w:rsidRPr="0066049C">
        <w:rPr>
          <w:lang w:val="es-419"/>
        </w:rPr>
        <w:t> </w:t>
      </w:r>
      <w:r w:rsidRPr="0066049C">
        <w:rPr>
          <w:lang w:val="es-419"/>
        </w:rPr>
        <w:t>CAJ</w:t>
      </w:r>
      <w:r w:rsidRPr="0066049C">
        <w:rPr>
          <w:snapToGrid w:val="0"/>
          <w:lang w:val="es-419"/>
        </w:rPr>
        <w:t xml:space="preserve"> aprobó la fecha de</w:t>
      </w:r>
      <w:r w:rsidR="005A31DC" w:rsidRPr="0066049C">
        <w:rPr>
          <w:snapToGrid w:val="0"/>
          <w:lang w:val="es-419"/>
        </w:rPr>
        <w:t> </w:t>
      </w:r>
      <w:r w:rsidRPr="0066049C">
        <w:rPr>
          <w:snapToGrid w:val="0"/>
          <w:lang w:val="es-419"/>
        </w:rPr>
        <w:t>15 de marzo de</w:t>
      </w:r>
      <w:r w:rsidR="005A31DC" w:rsidRPr="0066049C">
        <w:rPr>
          <w:snapToGrid w:val="0"/>
          <w:lang w:val="es-419"/>
        </w:rPr>
        <w:t> </w:t>
      </w:r>
      <w:r w:rsidRPr="0066049C">
        <w:rPr>
          <w:snapToGrid w:val="0"/>
          <w:lang w:val="es-419"/>
        </w:rPr>
        <w:t>2022 para la primera reunión del WG-HRV, que se celebrar</w:t>
      </w:r>
      <w:r w:rsidR="0060297F" w:rsidRPr="0066049C">
        <w:rPr>
          <w:snapToGrid w:val="0"/>
          <w:lang w:val="es-419"/>
        </w:rPr>
        <w:t>ía</w:t>
      </w:r>
      <w:r w:rsidRPr="0066049C">
        <w:rPr>
          <w:snapToGrid w:val="0"/>
          <w:lang w:val="es-419"/>
        </w:rPr>
        <w:t xml:space="preserve"> por medios electrónicos </w:t>
      </w:r>
      <w:r w:rsidRPr="0066049C">
        <w:rPr>
          <w:lang w:val="es-419"/>
        </w:rPr>
        <w:t>(véanse los párrafos</w:t>
      </w:r>
      <w:r w:rsidR="005A31DC" w:rsidRPr="0066049C">
        <w:rPr>
          <w:lang w:val="es-419"/>
        </w:rPr>
        <w:t> </w:t>
      </w:r>
      <w:r w:rsidRPr="0066049C">
        <w:rPr>
          <w:lang w:val="es-419"/>
        </w:rPr>
        <w:t>23 a</w:t>
      </w:r>
      <w:r w:rsidR="005A31DC" w:rsidRPr="0066049C">
        <w:rPr>
          <w:lang w:val="es-419"/>
        </w:rPr>
        <w:t> </w:t>
      </w:r>
      <w:r w:rsidRPr="0066049C">
        <w:rPr>
          <w:lang w:val="es-419"/>
        </w:rPr>
        <w:t>28 del documento CAJ/78/13 “Informe”).</w:t>
      </w:r>
    </w:p>
    <w:p w14:paraId="14EBF037" w14:textId="77777777" w:rsidR="007546E6" w:rsidRPr="0066049C" w:rsidRDefault="007546E6" w:rsidP="002B3B2F">
      <w:pPr>
        <w:rPr>
          <w:rFonts w:cs="Arial"/>
          <w:lang w:val="es-419"/>
        </w:rPr>
      </w:pPr>
    </w:p>
    <w:p w14:paraId="3A6B2E32" w14:textId="33CF79C1" w:rsidR="003C77AC" w:rsidRPr="0066049C" w:rsidRDefault="00C05E15" w:rsidP="002B3B2F">
      <w:pPr>
        <w:rPr>
          <w:rFonts w:cs="Arial"/>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Además de los miembros del</w:t>
      </w:r>
      <w:r w:rsidR="005A31DC" w:rsidRPr="0066049C">
        <w:rPr>
          <w:lang w:val="es-419"/>
        </w:rPr>
        <w:t> </w:t>
      </w:r>
      <w:r w:rsidRPr="0066049C">
        <w:rPr>
          <w:lang w:val="es-419"/>
        </w:rPr>
        <w:t>WG-HRV, los siguientes miembros de la</w:t>
      </w:r>
      <w:r w:rsidR="005A31DC" w:rsidRPr="0066049C">
        <w:rPr>
          <w:lang w:val="es-419"/>
        </w:rPr>
        <w:t> </w:t>
      </w:r>
      <w:r w:rsidRPr="0066049C">
        <w:rPr>
          <w:lang w:val="es-419"/>
        </w:rPr>
        <w:t>Unión han participado o han manifestado su interés por participar en las reuniones del WG-HRV: Canadá, Kenya, Rumanía y Sudáfrica. De conformidad con el mandato del</w:t>
      </w:r>
      <w:r w:rsidR="005A31DC" w:rsidRPr="0066049C">
        <w:rPr>
          <w:lang w:val="es-419"/>
        </w:rPr>
        <w:t> </w:t>
      </w:r>
      <w:r w:rsidRPr="0066049C">
        <w:rPr>
          <w:lang w:val="es-419"/>
        </w:rPr>
        <w:t>WG-HRV, también se invitó a estos miembros de la Unión a participar en las reuniones del</w:t>
      </w:r>
      <w:r w:rsidR="005A31DC" w:rsidRPr="0066049C">
        <w:rPr>
          <w:lang w:val="es-419"/>
        </w:rPr>
        <w:t> </w:t>
      </w:r>
      <w:r w:rsidRPr="0066049C">
        <w:rPr>
          <w:lang w:val="es-419"/>
        </w:rPr>
        <w:t>WG-HRV.</w:t>
      </w:r>
    </w:p>
    <w:p w14:paraId="3CD81832" w14:textId="77777777" w:rsidR="003737E9" w:rsidRPr="0066049C" w:rsidRDefault="003737E9" w:rsidP="002B3B2F">
      <w:pPr>
        <w:rPr>
          <w:rFonts w:cs="Arial"/>
          <w:lang w:val="es-419"/>
        </w:rPr>
      </w:pPr>
    </w:p>
    <w:p w14:paraId="4924FC72" w14:textId="77777777" w:rsidR="003C6823" w:rsidRPr="0066049C" w:rsidRDefault="003C6823" w:rsidP="002B3B2F">
      <w:pPr>
        <w:rPr>
          <w:rFonts w:cs="Arial"/>
          <w:lang w:val="es-419"/>
        </w:rPr>
      </w:pPr>
    </w:p>
    <w:p w14:paraId="2AF589CA" w14:textId="77777777" w:rsidR="003C6823" w:rsidRPr="0066049C" w:rsidRDefault="003C6823" w:rsidP="002B3B2F">
      <w:pPr>
        <w:keepNext/>
        <w:rPr>
          <w:rFonts w:cs="Arial"/>
          <w:lang w:val="es-419"/>
        </w:rPr>
      </w:pPr>
    </w:p>
    <w:p w14:paraId="28B3E533" w14:textId="75B80253" w:rsidR="00E47E71" w:rsidRPr="0066049C" w:rsidRDefault="00E47E71" w:rsidP="002B3B2F">
      <w:pPr>
        <w:pStyle w:val="Heading1"/>
        <w:rPr>
          <w:rFonts w:cs="Arial"/>
          <w:lang w:val="es-419"/>
        </w:rPr>
      </w:pPr>
      <w:bookmarkStart w:id="2" w:name="_Toc116035519"/>
      <w:r w:rsidRPr="0066049C">
        <w:rPr>
          <w:lang w:val="es-419"/>
        </w:rPr>
        <w:t>Primera reunión del WG-HRV (15</w:t>
      </w:r>
      <w:r w:rsidR="005A31DC" w:rsidRPr="0066049C">
        <w:rPr>
          <w:lang w:val="es-419"/>
        </w:rPr>
        <w:t> </w:t>
      </w:r>
      <w:r w:rsidRPr="0066049C">
        <w:rPr>
          <w:lang w:val="es-419"/>
        </w:rPr>
        <w:t>de marzo de</w:t>
      </w:r>
      <w:r w:rsidR="005A31DC" w:rsidRPr="0066049C">
        <w:rPr>
          <w:lang w:val="es-419"/>
        </w:rPr>
        <w:t> </w:t>
      </w:r>
      <w:r w:rsidRPr="0066049C">
        <w:rPr>
          <w:lang w:val="es-419"/>
        </w:rPr>
        <w:t>2022)</w:t>
      </w:r>
      <w:bookmarkEnd w:id="2"/>
    </w:p>
    <w:p w14:paraId="186C8EB3" w14:textId="77777777" w:rsidR="002A0B9E" w:rsidRPr="0066049C" w:rsidRDefault="002A0B9E" w:rsidP="002B3B2F">
      <w:pPr>
        <w:keepNext/>
        <w:rPr>
          <w:rFonts w:cs="Arial"/>
          <w:lang w:val="es-419"/>
        </w:rPr>
      </w:pPr>
    </w:p>
    <w:p w14:paraId="17AB3336" w14:textId="55DE179E" w:rsidR="00A34DE6" w:rsidRPr="0066049C" w:rsidRDefault="00A34DE6" w:rsidP="002B3B2F">
      <w:pPr>
        <w:keepLines/>
        <w:rPr>
          <w:rFonts w:cs="Arial"/>
          <w:lang w:val="es-419"/>
        </w:rPr>
      </w:pPr>
      <w:r w:rsidRPr="0066049C">
        <w:rPr>
          <w:rFonts w:cs="Arial"/>
          <w:snapToGrid w:val="0"/>
          <w:lang w:val="es-419"/>
        </w:rPr>
        <w:fldChar w:fldCharType="begin"/>
      </w:r>
      <w:r w:rsidRPr="0066049C">
        <w:rPr>
          <w:rFonts w:cs="Arial"/>
          <w:snapToGrid w:val="0"/>
          <w:lang w:val="es-419"/>
        </w:rPr>
        <w:instrText xml:space="preserve"> AUTONUM  </w:instrText>
      </w:r>
      <w:r w:rsidRPr="0066049C">
        <w:rPr>
          <w:rFonts w:cs="Arial"/>
          <w:snapToGrid w:val="0"/>
          <w:lang w:val="es-419"/>
        </w:rPr>
        <w:fldChar w:fldCharType="end"/>
      </w:r>
      <w:r w:rsidRPr="0066049C">
        <w:rPr>
          <w:snapToGrid w:val="0"/>
          <w:lang w:val="es-419"/>
        </w:rPr>
        <w:tab/>
      </w:r>
      <w:r w:rsidRPr="0066049C">
        <w:rPr>
          <w:lang w:val="es-419"/>
        </w:rPr>
        <w:t>En su primera reunión, celebrada por medios electrónicos el</w:t>
      </w:r>
      <w:r w:rsidR="005A31DC" w:rsidRPr="0066049C">
        <w:rPr>
          <w:lang w:val="es-419"/>
        </w:rPr>
        <w:t> </w:t>
      </w:r>
      <w:r w:rsidRPr="0066049C">
        <w:rPr>
          <w:lang w:val="es-419"/>
        </w:rPr>
        <w:t>15 de marzo de</w:t>
      </w:r>
      <w:r w:rsidR="005A31DC" w:rsidRPr="0066049C">
        <w:rPr>
          <w:lang w:val="es-419"/>
        </w:rPr>
        <w:t> </w:t>
      </w:r>
      <w:r w:rsidRPr="0066049C">
        <w:rPr>
          <w:lang w:val="es-419"/>
        </w:rPr>
        <w:t>2022, el</w:t>
      </w:r>
      <w:r w:rsidR="005A31DC" w:rsidRPr="0066049C">
        <w:rPr>
          <w:lang w:val="es-419"/>
        </w:rPr>
        <w:t> </w:t>
      </w:r>
      <w:r w:rsidRPr="0066049C">
        <w:rPr>
          <w:lang w:val="es-419"/>
        </w:rPr>
        <w:t>WG-HRV examinó los comentarios y propuestas recibidas en respuesta a la Circular</w:t>
      </w:r>
      <w:r w:rsidR="005A31DC" w:rsidRPr="0066049C">
        <w:rPr>
          <w:lang w:val="es-419"/>
        </w:rPr>
        <w:t> </w:t>
      </w:r>
      <w:r w:rsidRPr="0066049C">
        <w:rPr>
          <w:lang w:val="es-419"/>
        </w:rPr>
        <w:t>E-21/228, de</w:t>
      </w:r>
      <w:r w:rsidR="005A31DC" w:rsidRPr="0066049C">
        <w:rPr>
          <w:lang w:val="es-419"/>
        </w:rPr>
        <w:t> </w:t>
      </w:r>
      <w:r w:rsidRPr="0066049C">
        <w:rPr>
          <w:lang w:val="es-419"/>
        </w:rPr>
        <w:t>18 de noviembre de</w:t>
      </w:r>
      <w:r w:rsidR="005A31DC" w:rsidRPr="0066049C">
        <w:rPr>
          <w:lang w:val="es-419"/>
        </w:rPr>
        <w:t> </w:t>
      </w:r>
      <w:r w:rsidRPr="0066049C">
        <w:rPr>
          <w:lang w:val="es-419"/>
        </w:rPr>
        <w:t>2021, que se presentaron en los documentos WG-HRV/1/2, WG‑HRV/1/3 (con propuestas relativas al documento</w:t>
      </w:r>
      <w:r w:rsidR="005A31DC" w:rsidRPr="0066049C">
        <w:rPr>
          <w:lang w:val="es-419"/>
        </w:rPr>
        <w:t> </w:t>
      </w:r>
      <w:r w:rsidRPr="0066049C">
        <w:rPr>
          <w:lang w:val="es-419"/>
        </w:rPr>
        <w:t>UPOV/EXN/PPM/1), WG-HRV/1/4 (con propuestas relativas a</w:t>
      </w:r>
      <w:r w:rsidR="005A31DC" w:rsidRPr="0066049C">
        <w:rPr>
          <w:lang w:val="es-419"/>
        </w:rPr>
        <w:t> </w:t>
      </w:r>
      <w:r w:rsidRPr="0066049C">
        <w:rPr>
          <w:lang w:val="es-419"/>
        </w:rPr>
        <w:t>UPOV/EXN/HRV/1) y</w:t>
      </w:r>
      <w:r w:rsidR="005A31DC" w:rsidRPr="0066049C">
        <w:rPr>
          <w:lang w:val="es-419"/>
        </w:rPr>
        <w:t> </w:t>
      </w:r>
      <w:r w:rsidRPr="0066049C">
        <w:rPr>
          <w:lang w:val="es-419"/>
        </w:rPr>
        <w:t>WG-HRV/1/5 (con propuestas relativas a</w:t>
      </w:r>
      <w:r w:rsidR="005A31DC" w:rsidRPr="0066049C">
        <w:rPr>
          <w:lang w:val="es-419"/>
        </w:rPr>
        <w:t> </w:t>
      </w:r>
      <w:r w:rsidRPr="0066049C">
        <w:rPr>
          <w:lang w:val="es-419"/>
        </w:rPr>
        <w:t>UPOV/EXN/PRP/2).</w:t>
      </w:r>
    </w:p>
    <w:p w14:paraId="1DD84B5A" w14:textId="77777777" w:rsidR="00130E0D" w:rsidRPr="0066049C" w:rsidRDefault="00130E0D" w:rsidP="002B3B2F">
      <w:pPr>
        <w:ind w:right="567"/>
        <w:rPr>
          <w:rFonts w:cs="Arial"/>
          <w:lang w:val="es-419"/>
        </w:rPr>
      </w:pPr>
    </w:p>
    <w:p w14:paraId="0DCF8009" w14:textId="443CDE1E" w:rsidR="00D04D31" w:rsidRPr="0066049C" w:rsidRDefault="00D04D31" w:rsidP="002B3B2F">
      <w:pPr>
        <w:rPr>
          <w:rFonts w:cs="Arial"/>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 xml:space="preserve">Los documentos y el informe de la primera reunión del WG-HRV están disponibles en: </w:t>
      </w:r>
      <w:hyperlink r:id="rId9" w:history="1">
        <w:r w:rsidRPr="0066049C">
          <w:rPr>
            <w:rStyle w:val="Hyperlink"/>
            <w:lang w:val="es-419"/>
          </w:rPr>
          <w:t>https://www.upov.int/meetings/en/details.jsp?meeting_id=67773</w:t>
        </w:r>
      </w:hyperlink>
      <w:r w:rsidRPr="0066049C">
        <w:rPr>
          <w:lang w:val="es-419"/>
        </w:rPr>
        <w:t xml:space="preserve">. </w:t>
      </w:r>
    </w:p>
    <w:p w14:paraId="6C6F7F8E" w14:textId="77777777" w:rsidR="00130E0D" w:rsidRPr="0066049C" w:rsidRDefault="00130E0D" w:rsidP="002B3B2F">
      <w:pPr>
        <w:ind w:right="567"/>
        <w:rPr>
          <w:rFonts w:cs="Arial"/>
          <w:lang w:val="es-419"/>
        </w:rPr>
      </w:pPr>
    </w:p>
    <w:p w14:paraId="0C7D63D3" w14:textId="77777777" w:rsidR="007546E6" w:rsidRPr="0066049C" w:rsidRDefault="007546E6" w:rsidP="002B3B2F">
      <w:pPr>
        <w:ind w:right="567"/>
        <w:rPr>
          <w:rFonts w:cs="Arial"/>
          <w:lang w:val="es-419"/>
        </w:rPr>
      </w:pPr>
    </w:p>
    <w:p w14:paraId="416B453B" w14:textId="77777777" w:rsidR="00B00A6A" w:rsidRPr="0066049C" w:rsidRDefault="00B00A6A" w:rsidP="002B3B2F">
      <w:pPr>
        <w:ind w:right="567"/>
        <w:rPr>
          <w:rFonts w:cs="Arial"/>
          <w:lang w:val="es-419"/>
        </w:rPr>
      </w:pPr>
    </w:p>
    <w:p w14:paraId="4B4BCF62" w14:textId="77777777" w:rsidR="00130E0D" w:rsidRPr="0066049C" w:rsidRDefault="00130E0D" w:rsidP="002B3B2F">
      <w:pPr>
        <w:pStyle w:val="Heading1"/>
        <w:rPr>
          <w:rFonts w:cs="Arial"/>
          <w:lang w:val="es-419"/>
        </w:rPr>
      </w:pPr>
      <w:bookmarkStart w:id="3" w:name="_Toc116035520"/>
      <w:r w:rsidRPr="0066049C">
        <w:rPr>
          <w:lang w:val="es-419"/>
        </w:rPr>
        <w:t>Segunda reunión del WG-HRV (6 de septiembre de 2022)</w:t>
      </w:r>
      <w:bookmarkEnd w:id="3"/>
    </w:p>
    <w:p w14:paraId="365FD278" w14:textId="77777777" w:rsidR="002A0B9E" w:rsidRPr="0066049C" w:rsidRDefault="002A0B9E" w:rsidP="002B3B2F">
      <w:pPr>
        <w:keepNext/>
        <w:rPr>
          <w:rFonts w:cs="Arial"/>
          <w:lang w:val="es-419"/>
        </w:rPr>
      </w:pPr>
    </w:p>
    <w:p w14:paraId="151A26B4" w14:textId="1887B21A" w:rsidR="00A34DE6" w:rsidRPr="0066049C" w:rsidRDefault="00A34DE6" w:rsidP="002B3B2F">
      <w:pPr>
        <w:rPr>
          <w:rFonts w:cs="Arial"/>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En su segunda reunión, celebrada por medios electrónicos el</w:t>
      </w:r>
      <w:r w:rsidR="005A31DC" w:rsidRPr="0066049C">
        <w:rPr>
          <w:lang w:val="es-419"/>
        </w:rPr>
        <w:t> </w:t>
      </w:r>
      <w:r w:rsidRPr="0066049C">
        <w:rPr>
          <w:lang w:val="es-419"/>
        </w:rPr>
        <w:t>6 de septiembre de</w:t>
      </w:r>
      <w:r w:rsidR="005A31DC" w:rsidRPr="0066049C">
        <w:rPr>
          <w:lang w:val="es-419"/>
        </w:rPr>
        <w:t> </w:t>
      </w:r>
      <w:r w:rsidRPr="0066049C">
        <w:rPr>
          <w:lang w:val="es-419"/>
        </w:rPr>
        <w:t>2022, el</w:t>
      </w:r>
      <w:r w:rsidR="005A31DC" w:rsidRPr="0066049C">
        <w:rPr>
          <w:lang w:val="es-419"/>
        </w:rPr>
        <w:t> </w:t>
      </w:r>
      <w:r w:rsidRPr="0066049C">
        <w:rPr>
          <w:lang w:val="es-419"/>
        </w:rPr>
        <w:t>WG-HRV examinó el documento</w:t>
      </w:r>
      <w:r w:rsidR="005A31DC" w:rsidRPr="0066049C">
        <w:rPr>
          <w:lang w:val="es-419"/>
        </w:rPr>
        <w:t> </w:t>
      </w:r>
      <w:r w:rsidRPr="0066049C">
        <w:rPr>
          <w:lang w:val="es-419"/>
        </w:rPr>
        <w:t>WG-HRV/2/2 “Información relativa al material de reproducción o de multiplicación, los actos respecto del producto de la cosecha y la protección provisional con arreglo al</w:t>
      </w:r>
      <w:r w:rsidR="005A31DC" w:rsidRPr="0066049C">
        <w:rPr>
          <w:lang w:val="es-419"/>
        </w:rPr>
        <w:t> </w:t>
      </w:r>
      <w:r w:rsidRPr="0066049C">
        <w:rPr>
          <w:lang w:val="es-419"/>
        </w:rPr>
        <w:t>Convenio de la</w:t>
      </w:r>
      <w:r w:rsidR="005A31DC" w:rsidRPr="0066049C">
        <w:rPr>
          <w:lang w:val="es-419"/>
        </w:rPr>
        <w:t> </w:t>
      </w:r>
      <w:r w:rsidRPr="0066049C">
        <w:rPr>
          <w:lang w:val="es-419"/>
        </w:rPr>
        <w:t>UPOV”.  En el</w:t>
      </w:r>
      <w:r w:rsidR="005A31DC" w:rsidRPr="0066049C">
        <w:rPr>
          <w:lang w:val="es-419"/>
        </w:rPr>
        <w:t> </w:t>
      </w:r>
      <w:r w:rsidRPr="0066049C">
        <w:rPr>
          <w:lang w:val="es-419"/>
        </w:rPr>
        <w:t>Anexo del documento WG-HRV/2/2 se incluyen los resultados de una investigación realizada con los documentos históricos por orden cronológico del principio de la protección en cascada en relación a las disposiciones sobre material de reproducción o de multiplicación, el producto de la cosecha y el agotamiento del derecho.</w:t>
      </w:r>
    </w:p>
    <w:p w14:paraId="274B8A74" w14:textId="77777777" w:rsidR="00A34DE6" w:rsidRPr="0066049C" w:rsidRDefault="00A34DE6" w:rsidP="002B3B2F">
      <w:pPr>
        <w:rPr>
          <w:rFonts w:cs="Arial"/>
          <w:lang w:val="es-419"/>
        </w:rPr>
      </w:pPr>
    </w:p>
    <w:p w14:paraId="180B4D6C" w14:textId="0E763968" w:rsidR="00A34DE6" w:rsidRPr="0066049C" w:rsidRDefault="00A34DE6" w:rsidP="002B3B2F">
      <w:pPr>
        <w:rPr>
          <w:rFonts w:cs="Arial"/>
          <w:lang w:val="es-419"/>
        </w:rPr>
      </w:pPr>
      <w:r w:rsidRPr="0066049C">
        <w:rPr>
          <w:lang w:val="es-419"/>
        </w:rPr>
        <w:t>6.</w:t>
      </w:r>
      <w:r w:rsidRPr="0066049C">
        <w:rPr>
          <w:lang w:val="es-419"/>
        </w:rPr>
        <w:tab/>
        <w:t>El WG</w:t>
      </w:r>
      <w:r w:rsidR="005A31DC" w:rsidRPr="0066049C">
        <w:rPr>
          <w:lang w:val="es-419"/>
        </w:rPr>
        <w:noBreakHyphen/>
      </w:r>
      <w:r w:rsidRPr="0066049C">
        <w:rPr>
          <w:lang w:val="es-419"/>
        </w:rPr>
        <w:t>HRV examinó las conclusiones de su primera reunión, así como las propuestas y comentarios recibidos en respuesta a la Circular</w:t>
      </w:r>
      <w:r w:rsidR="005A31DC" w:rsidRPr="0066049C">
        <w:rPr>
          <w:lang w:val="es-419"/>
        </w:rPr>
        <w:t> </w:t>
      </w:r>
      <w:r w:rsidRPr="0066049C">
        <w:rPr>
          <w:lang w:val="es-419"/>
        </w:rPr>
        <w:t>E-22/058 de</w:t>
      </w:r>
      <w:r w:rsidR="005A31DC" w:rsidRPr="0066049C">
        <w:rPr>
          <w:lang w:val="es-419"/>
        </w:rPr>
        <w:t> </w:t>
      </w:r>
      <w:r w:rsidRPr="0066049C">
        <w:rPr>
          <w:lang w:val="es-419"/>
        </w:rPr>
        <w:t>12 de abril de</w:t>
      </w:r>
      <w:r w:rsidR="005A31DC" w:rsidRPr="0066049C">
        <w:rPr>
          <w:lang w:val="es-419"/>
        </w:rPr>
        <w:t> </w:t>
      </w:r>
      <w:r w:rsidRPr="0066049C">
        <w:rPr>
          <w:lang w:val="es-419"/>
        </w:rPr>
        <w:t>2022, que se incluyen en los documentos</w:t>
      </w:r>
      <w:r w:rsidR="005A31DC" w:rsidRPr="0066049C">
        <w:rPr>
          <w:lang w:val="es-419"/>
        </w:rPr>
        <w:t> </w:t>
      </w:r>
      <w:r w:rsidRPr="0066049C">
        <w:rPr>
          <w:lang w:val="es-419"/>
        </w:rPr>
        <w:t>WG HRV/2/3 (con propuestas relativas al documento</w:t>
      </w:r>
      <w:r w:rsidR="005A31DC" w:rsidRPr="0066049C">
        <w:rPr>
          <w:lang w:val="es-419"/>
        </w:rPr>
        <w:t> </w:t>
      </w:r>
      <w:r w:rsidRPr="0066049C">
        <w:rPr>
          <w:lang w:val="es-419"/>
        </w:rPr>
        <w:t>UPOV/EXN/PPM/1), WG HRV/2/4 (con propuestas relativas a</w:t>
      </w:r>
      <w:r w:rsidR="005A31DC" w:rsidRPr="0066049C">
        <w:rPr>
          <w:lang w:val="es-419"/>
        </w:rPr>
        <w:t> </w:t>
      </w:r>
      <w:r w:rsidRPr="0066049C">
        <w:rPr>
          <w:lang w:val="es-419"/>
        </w:rPr>
        <w:t>UPOV/EXN/HRV/1) y</w:t>
      </w:r>
      <w:r w:rsidR="005A31DC" w:rsidRPr="0066049C">
        <w:rPr>
          <w:lang w:val="es-419"/>
        </w:rPr>
        <w:t> </w:t>
      </w:r>
      <w:r w:rsidRPr="0066049C">
        <w:rPr>
          <w:lang w:val="es-419"/>
        </w:rPr>
        <w:t>WG HRV/2/5 (con propuestas relativas a</w:t>
      </w:r>
      <w:r w:rsidR="005A31DC" w:rsidRPr="0066049C">
        <w:rPr>
          <w:lang w:val="es-419"/>
        </w:rPr>
        <w:t> </w:t>
      </w:r>
      <w:r w:rsidRPr="0066049C">
        <w:rPr>
          <w:lang w:val="es-419"/>
        </w:rPr>
        <w:t>UPOV/EXN/PRP/2).</w:t>
      </w:r>
    </w:p>
    <w:p w14:paraId="04A5F471" w14:textId="77777777" w:rsidR="00A34DE6" w:rsidRPr="0066049C" w:rsidRDefault="00A34DE6" w:rsidP="002B3B2F">
      <w:pPr>
        <w:rPr>
          <w:rFonts w:cs="Arial"/>
          <w:lang w:val="es-419"/>
        </w:rPr>
      </w:pPr>
    </w:p>
    <w:p w14:paraId="6D9F3C1C" w14:textId="6884FC75" w:rsidR="00A2796A" w:rsidRPr="0066049C" w:rsidRDefault="00A2796A" w:rsidP="002B3B2F">
      <w:pPr>
        <w:rPr>
          <w:rStyle w:val="Hyperlink"/>
          <w:rFonts w:cs="Arial"/>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 xml:space="preserve">Los documentos de la segunda reunión del WG-HRV están disponibles en: </w:t>
      </w:r>
      <w:hyperlink r:id="rId10" w:history="1">
        <w:r w:rsidRPr="0066049C">
          <w:rPr>
            <w:rStyle w:val="Hyperlink"/>
            <w:lang w:val="es-419"/>
          </w:rPr>
          <w:t>https://www.upov.int/meetings/en/details.jsp?meeting_id=70188</w:t>
        </w:r>
      </w:hyperlink>
    </w:p>
    <w:p w14:paraId="10D1ECB2" w14:textId="77777777" w:rsidR="00A2796A" w:rsidRPr="0066049C" w:rsidRDefault="00A2796A" w:rsidP="002B3B2F">
      <w:pPr>
        <w:rPr>
          <w:rFonts w:cs="Arial"/>
          <w:lang w:val="es-419"/>
        </w:rPr>
      </w:pPr>
    </w:p>
    <w:p w14:paraId="60721924" w14:textId="50D5FEC0" w:rsidR="00A34DE6" w:rsidRPr="0066049C" w:rsidRDefault="00A34DE6" w:rsidP="002B3B2F">
      <w:pPr>
        <w:rPr>
          <w:rFonts w:cs="Arial"/>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El informe de la segunda reunión del WG-HRV estará disponible en</w:t>
      </w:r>
      <w:r w:rsidR="005A31DC" w:rsidRPr="0066049C">
        <w:rPr>
          <w:lang w:val="es-419"/>
        </w:rPr>
        <w:t>:</w:t>
      </w:r>
      <w:r w:rsidRPr="0066049C">
        <w:rPr>
          <w:lang w:val="es-419"/>
        </w:rPr>
        <w:t xml:space="preserve"> </w:t>
      </w:r>
      <w:hyperlink r:id="rId11" w:history="1">
        <w:r w:rsidRPr="0066049C">
          <w:rPr>
            <w:rStyle w:val="Hyperlink"/>
            <w:lang w:val="es-419"/>
          </w:rPr>
          <w:t>https://www.upov.int/meetings/en/details.jsp?meeting_id=70188</w:t>
        </w:r>
      </w:hyperlink>
      <w:r w:rsidRPr="0066049C">
        <w:rPr>
          <w:lang w:val="es-419"/>
        </w:rPr>
        <w:t>.</w:t>
      </w:r>
    </w:p>
    <w:p w14:paraId="143B67ED" w14:textId="77777777" w:rsidR="00A34DE6" w:rsidRPr="0066049C" w:rsidRDefault="00A34DE6" w:rsidP="002B3B2F">
      <w:pPr>
        <w:rPr>
          <w:rFonts w:cs="Arial"/>
          <w:lang w:val="es-419"/>
        </w:rPr>
      </w:pPr>
    </w:p>
    <w:p w14:paraId="460EAD83" w14:textId="77777777" w:rsidR="00B00A6A" w:rsidRPr="0066049C" w:rsidRDefault="00B00A6A" w:rsidP="00A34DE6">
      <w:pPr>
        <w:rPr>
          <w:rFonts w:cs="Arial"/>
          <w:lang w:val="es-419"/>
        </w:rPr>
      </w:pPr>
    </w:p>
    <w:p w14:paraId="3C236031" w14:textId="77777777" w:rsidR="00D04D31" w:rsidRPr="0066049C" w:rsidRDefault="00D04D31" w:rsidP="002A0B9E">
      <w:pPr>
        <w:rPr>
          <w:rFonts w:cs="Arial"/>
          <w:lang w:val="es-419"/>
        </w:rPr>
      </w:pPr>
    </w:p>
    <w:p w14:paraId="342E1D54" w14:textId="77777777" w:rsidR="00D04D31" w:rsidRPr="0066049C" w:rsidRDefault="00FF5A0E" w:rsidP="00B00A6A">
      <w:pPr>
        <w:pStyle w:val="Heading1"/>
        <w:rPr>
          <w:rFonts w:eastAsiaTheme="minorEastAsia"/>
          <w:lang w:val="es-419"/>
        </w:rPr>
      </w:pPr>
      <w:bookmarkStart w:id="4" w:name="_Toc82174231"/>
      <w:bookmarkStart w:id="5" w:name="_Toc116035521"/>
      <w:r w:rsidRPr="0066049C">
        <w:rPr>
          <w:lang w:val="es-419"/>
        </w:rPr>
        <w:lastRenderedPageBreak/>
        <w:t>Tercera reunión del WG-HRV (14 de marzo de 2023)</w:t>
      </w:r>
      <w:bookmarkEnd w:id="4"/>
      <w:bookmarkEnd w:id="5"/>
    </w:p>
    <w:p w14:paraId="6827FE13" w14:textId="77777777" w:rsidR="00D04D31" w:rsidRPr="0066049C" w:rsidRDefault="00D04D31" w:rsidP="00D04D31">
      <w:pPr>
        <w:keepNext/>
        <w:rPr>
          <w:rFonts w:cs="Arial"/>
          <w:lang w:val="es-419"/>
        </w:rPr>
      </w:pPr>
    </w:p>
    <w:p w14:paraId="614B0195" w14:textId="14798A5B" w:rsidR="00D04D31" w:rsidRPr="0066049C" w:rsidRDefault="00D04D31" w:rsidP="00D04D31">
      <w:pPr>
        <w:rPr>
          <w:rFonts w:cs="Arial"/>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La tercera reunión del WG-HRV se celebrará por medios electrónicos el</w:t>
      </w:r>
      <w:r w:rsidR="005A31DC" w:rsidRPr="0066049C">
        <w:rPr>
          <w:lang w:val="es-419"/>
        </w:rPr>
        <w:t> </w:t>
      </w:r>
      <w:r w:rsidRPr="0066049C">
        <w:rPr>
          <w:lang w:val="es-419"/>
        </w:rPr>
        <w:t>14 de marzo de</w:t>
      </w:r>
      <w:r w:rsidR="005A31DC" w:rsidRPr="0066049C">
        <w:rPr>
          <w:lang w:val="es-419"/>
        </w:rPr>
        <w:t> </w:t>
      </w:r>
      <w:r w:rsidRPr="0066049C">
        <w:rPr>
          <w:lang w:val="es-419"/>
        </w:rPr>
        <w:t xml:space="preserve">2023.  </w:t>
      </w:r>
    </w:p>
    <w:p w14:paraId="15889370" w14:textId="77777777" w:rsidR="00D04D31" w:rsidRPr="0066049C" w:rsidRDefault="00D04D31" w:rsidP="002A0B9E">
      <w:pPr>
        <w:rPr>
          <w:rFonts w:cs="Arial"/>
          <w:lang w:val="es-419"/>
        </w:rPr>
      </w:pPr>
    </w:p>
    <w:p w14:paraId="338CEF27" w14:textId="77777777" w:rsidR="00FF5A0E" w:rsidRPr="0066049C" w:rsidRDefault="00EE6A58" w:rsidP="00FF5A0E">
      <w:pPr>
        <w:pStyle w:val="DecisionParagraphs"/>
        <w:rPr>
          <w:rFonts w:cs="Arial"/>
          <w:highlight w:val="yellow"/>
          <w:lang w:val="es-419"/>
        </w:rPr>
      </w:pPr>
      <w:r w:rsidRPr="0066049C">
        <w:rPr>
          <w:rFonts w:cs="Arial"/>
          <w:lang w:val="es-419"/>
        </w:rPr>
        <w:fldChar w:fldCharType="begin"/>
      </w:r>
      <w:r w:rsidRPr="0066049C">
        <w:rPr>
          <w:rFonts w:cs="Arial"/>
          <w:lang w:val="es-419"/>
        </w:rPr>
        <w:instrText xml:space="preserve"> AUTONUM  </w:instrText>
      </w:r>
      <w:r w:rsidRPr="0066049C">
        <w:rPr>
          <w:rFonts w:cs="Arial"/>
          <w:lang w:val="es-419"/>
        </w:rPr>
        <w:fldChar w:fldCharType="end"/>
      </w:r>
      <w:r w:rsidRPr="0066049C">
        <w:rPr>
          <w:lang w:val="es-419"/>
        </w:rPr>
        <w:tab/>
        <w:t>Se invita al CAJ a tomar nota de las novedades relativas a la labor realizada por el WG-HRV, según se expone en el presente documento.</w:t>
      </w:r>
    </w:p>
    <w:p w14:paraId="40BF7F3D" w14:textId="77777777" w:rsidR="00FF5A0E" w:rsidRPr="0066049C" w:rsidRDefault="00FF5A0E" w:rsidP="00FF5A0E">
      <w:pPr>
        <w:rPr>
          <w:sz w:val="16"/>
          <w:lang w:val="es-419"/>
        </w:rPr>
      </w:pPr>
    </w:p>
    <w:p w14:paraId="0D81195C" w14:textId="77777777" w:rsidR="00B00A6A" w:rsidRPr="0066049C" w:rsidRDefault="00B00A6A" w:rsidP="00FF5A0E">
      <w:pPr>
        <w:rPr>
          <w:sz w:val="16"/>
          <w:lang w:val="es-419"/>
        </w:rPr>
      </w:pPr>
    </w:p>
    <w:p w14:paraId="2CB69BDD" w14:textId="77777777" w:rsidR="001321CA" w:rsidRPr="0066049C" w:rsidRDefault="001321CA" w:rsidP="00B00A6A">
      <w:pPr>
        <w:jc w:val="right"/>
        <w:rPr>
          <w:spacing w:val="-2"/>
          <w:lang w:val="es-419"/>
        </w:rPr>
      </w:pPr>
      <w:r w:rsidRPr="0066049C">
        <w:rPr>
          <w:lang w:val="es-419"/>
        </w:rPr>
        <w:t>[Sigue el Anexo]</w:t>
      </w:r>
    </w:p>
    <w:p w14:paraId="74864506" w14:textId="77777777" w:rsidR="001321CA" w:rsidRPr="0066049C" w:rsidRDefault="001321CA" w:rsidP="00050E16">
      <w:pPr>
        <w:jc w:val="right"/>
        <w:rPr>
          <w:lang w:val="es-419"/>
        </w:rPr>
        <w:sectPr w:rsidR="001321CA" w:rsidRPr="0066049C" w:rsidSect="0004198B">
          <w:headerReference w:type="default" r:id="rId12"/>
          <w:pgSz w:w="11907" w:h="16840" w:code="9"/>
          <w:pgMar w:top="510" w:right="1134" w:bottom="1134" w:left="1134" w:header="510" w:footer="680" w:gutter="0"/>
          <w:pgNumType w:start="1"/>
          <w:cols w:space="720"/>
          <w:titlePg/>
        </w:sectPr>
      </w:pPr>
    </w:p>
    <w:p w14:paraId="5E12EBEB" w14:textId="77777777" w:rsidR="001321CA" w:rsidRPr="002B3B2F" w:rsidRDefault="001321CA" w:rsidP="001321CA">
      <w:pPr>
        <w:jc w:val="center"/>
        <w:rPr>
          <w:sz w:val="18"/>
          <w:lang w:val="es-419"/>
        </w:rPr>
      </w:pPr>
    </w:p>
    <w:p w14:paraId="6B5DF8FE" w14:textId="77777777" w:rsidR="005A31DC" w:rsidRPr="0066049C" w:rsidRDefault="005A31DC" w:rsidP="005A31DC">
      <w:pPr>
        <w:jc w:val="center"/>
        <w:rPr>
          <w:rFonts w:cs="Arial"/>
          <w:lang w:val="es-419"/>
        </w:rPr>
      </w:pPr>
      <w:r w:rsidRPr="0066049C">
        <w:rPr>
          <w:rFonts w:cs="Arial"/>
          <w:lang w:val="es-419"/>
        </w:rPr>
        <w:t xml:space="preserve">MANDATO DEL GRUPO DE TRABAJO SOBRE EL PRODUCTO DE LA COSECHA Y LA UTILIZACIÓN NO AUTORIZADA DE MATERIAL DE REPRODUCCIÓN O DE MULTIPLICACIÓN </w:t>
      </w:r>
    </w:p>
    <w:p w14:paraId="0F261AC4" w14:textId="77777777" w:rsidR="005A31DC" w:rsidRPr="0066049C" w:rsidRDefault="005A31DC" w:rsidP="005A31DC">
      <w:pPr>
        <w:jc w:val="center"/>
        <w:rPr>
          <w:lang w:val="es-419"/>
        </w:rPr>
      </w:pPr>
      <w:r w:rsidRPr="0066049C">
        <w:rPr>
          <w:rFonts w:cs="Arial"/>
          <w:lang w:val="es-419"/>
        </w:rPr>
        <w:t>(WG-HRV)</w:t>
      </w:r>
    </w:p>
    <w:p w14:paraId="43DD99A9" w14:textId="37A201AB" w:rsidR="005A31DC" w:rsidRPr="0066049C" w:rsidRDefault="005A31DC" w:rsidP="002B3B2F">
      <w:pPr>
        <w:tabs>
          <w:tab w:val="left" w:pos="284"/>
          <w:tab w:val="left" w:pos="851"/>
        </w:tabs>
        <w:autoSpaceDE w:val="0"/>
        <w:autoSpaceDN w:val="0"/>
        <w:adjustRightInd w:val="0"/>
        <w:spacing w:before="60"/>
        <w:jc w:val="center"/>
        <w:rPr>
          <w:i/>
          <w:lang w:val="es-419"/>
        </w:rPr>
      </w:pPr>
      <w:r w:rsidRPr="0066049C">
        <w:rPr>
          <w:i/>
          <w:lang w:val="es-419"/>
        </w:rPr>
        <w:t>aprobado por el Comité Administrativ</w:t>
      </w:r>
      <w:bookmarkStart w:id="6" w:name="_GoBack"/>
      <w:r w:rsidRPr="0066049C">
        <w:rPr>
          <w:i/>
          <w:lang w:val="es-419"/>
        </w:rPr>
        <w:t>o y</w:t>
      </w:r>
      <w:bookmarkEnd w:id="6"/>
      <w:r w:rsidRPr="0066049C">
        <w:rPr>
          <w:i/>
          <w:lang w:val="es-419"/>
        </w:rPr>
        <w:t xml:space="preserve"> Jurídico el</w:t>
      </w:r>
      <w:r w:rsidR="003E584F" w:rsidRPr="0066049C">
        <w:rPr>
          <w:i/>
          <w:lang w:val="es-419"/>
        </w:rPr>
        <w:t> </w:t>
      </w:r>
      <w:r w:rsidRPr="0066049C">
        <w:rPr>
          <w:i/>
          <w:lang w:val="es-419"/>
        </w:rPr>
        <w:t>21 de septiembre de</w:t>
      </w:r>
      <w:r w:rsidR="003E584F" w:rsidRPr="0066049C">
        <w:rPr>
          <w:i/>
          <w:lang w:val="es-419"/>
        </w:rPr>
        <w:t> </w:t>
      </w:r>
      <w:r w:rsidRPr="0066049C">
        <w:rPr>
          <w:i/>
          <w:lang w:val="es-419"/>
        </w:rPr>
        <w:t>2021</w:t>
      </w:r>
    </w:p>
    <w:p w14:paraId="275CB4AC" w14:textId="77777777" w:rsidR="005A31DC" w:rsidRPr="002B3B2F" w:rsidRDefault="005A31DC" w:rsidP="005A31DC">
      <w:pPr>
        <w:rPr>
          <w:sz w:val="18"/>
          <w:lang w:val="es-419"/>
        </w:rPr>
      </w:pPr>
    </w:p>
    <w:p w14:paraId="2A8C00E1" w14:textId="77777777" w:rsidR="005A31DC" w:rsidRPr="002B3B2F" w:rsidRDefault="005A31DC" w:rsidP="005A31DC">
      <w:pPr>
        <w:rPr>
          <w:sz w:val="18"/>
          <w:lang w:val="es-419"/>
        </w:rPr>
      </w:pPr>
    </w:p>
    <w:p w14:paraId="580A7BC6" w14:textId="77777777" w:rsidR="005A31DC" w:rsidRPr="0066049C" w:rsidRDefault="005A31DC" w:rsidP="005A31DC">
      <w:pPr>
        <w:rPr>
          <w:lang w:val="es-419"/>
        </w:rPr>
      </w:pPr>
      <w:bookmarkStart w:id="7" w:name="_Toc47557368"/>
      <w:bookmarkStart w:id="8" w:name="_Toc48316464"/>
      <w:r w:rsidRPr="0066049C">
        <w:rPr>
          <w:lang w:val="es-419"/>
        </w:rPr>
        <w:t>FINALIDAD:</w:t>
      </w:r>
      <w:bookmarkEnd w:id="7"/>
      <w:bookmarkEnd w:id="8"/>
      <w:r w:rsidRPr="0066049C">
        <w:rPr>
          <w:lang w:val="es-419"/>
        </w:rPr>
        <w:t xml:space="preserve"> </w:t>
      </w:r>
    </w:p>
    <w:p w14:paraId="253B3213" w14:textId="77777777" w:rsidR="005A31DC" w:rsidRPr="0066049C" w:rsidRDefault="005A31DC" w:rsidP="005A31DC">
      <w:pPr>
        <w:contextualSpacing/>
        <w:rPr>
          <w:rFonts w:cs="Arial"/>
          <w:spacing w:val="-4"/>
          <w:sz w:val="18"/>
          <w:lang w:val="es-419"/>
        </w:rPr>
      </w:pPr>
    </w:p>
    <w:p w14:paraId="6AFCBFE4" w14:textId="3650AA32" w:rsidR="005A31DC" w:rsidRPr="0066049C" w:rsidRDefault="005A31DC" w:rsidP="005A31DC">
      <w:pPr>
        <w:contextualSpacing/>
        <w:rPr>
          <w:rFonts w:cs="Arial"/>
          <w:spacing w:val="-4"/>
          <w:lang w:val="es-419"/>
        </w:rPr>
      </w:pPr>
      <w:r w:rsidRPr="0066049C">
        <w:rPr>
          <w:rFonts w:cs="Arial"/>
          <w:spacing w:val="-4"/>
          <w:lang w:val="es-419"/>
        </w:rPr>
        <w:t>La finalidad del WG-HRV es elaborar un proyecto de revisión de las “Notas explicativas sobre los actos respecto del producto de la cosecha con arreglo al Acta de</w:t>
      </w:r>
      <w:r w:rsidR="003E584F" w:rsidRPr="0066049C">
        <w:rPr>
          <w:rFonts w:cs="Arial"/>
          <w:spacing w:val="-4"/>
          <w:lang w:val="es-419"/>
        </w:rPr>
        <w:t> </w:t>
      </w:r>
      <w:r w:rsidRPr="0066049C">
        <w:rPr>
          <w:rFonts w:cs="Arial"/>
          <w:spacing w:val="-4"/>
          <w:lang w:val="es-419"/>
        </w:rPr>
        <w:t>1991 del Convenio de la UPOV” (documento UPOV/EXN/HRV/1), las “Notas explicativas sobre el material de reproducción o de multiplicación con arreglo al Convenio de la UPOV” (UPOV/EXN/PPM/1) y las “Notas explicativas sobre la protección provisional con arreglo al Convenio de la UPOV” (UPOV/EXN/PRP/2), para someterlo al examen del Comité Administrativo y Jurídico (CAJ).</w:t>
      </w:r>
    </w:p>
    <w:p w14:paraId="7D5A887B" w14:textId="77777777" w:rsidR="005A31DC" w:rsidRPr="002B3B2F" w:rsidRDefault="005A31DC" w:rsidP="005A31DC">
      <w:pPr>
        <w:rPr>
          <w:sz w:val="16"/>
          <w:szCs w:val="18"/>
          <w:lang w:val="es-419"/>
        </w:rPr>
      </w:pPr>
    </w:p>
    <w:p w14:paraId="1532E43A" w14:textId="77777777" w:rsidR="005A31DC" w:rsidRPr="002B3B2F" w:rsidRDefault="005A31DC" w:rsidP="005A31DC">
      <w:pPr>
        <w:rPr>
          <w:sz w:val="16"/>
          <w:szCs w:val="18"/>
          <w:lang w:val="es-419"/>
        </w:rPr>
      </w:pPr>
    </w:p>
    <w:p w14:paraId="5C6A3D31" w14:textId="77777777" w:rsidR="005A31DC" w:rsidRPr="002B3B2F" w:rsidRDefault="005A31DC" w:rsidP="005A31DC">
      <w:pPr>
        <w:rPr>
          <w:sz w:val="16"/>
          <w:szCs w:val="18"/>
          <w:lang w:val="es-419"/>
        </w:rPr>
      </w:pPr>
    </w:p>
    <w:p w14:paraId="72BA5C83" w14:textId="77777777" w:rsidR="005A31DC" w:rsidRPr="0066049C" w:rsidRDefault="005A31DC" w:rsidP="005A31DC">
      <w:pPr>
        <w:rPr>
          <w:lang w:val="es-419"/>
        </w:rPr>
      </w:pPr>
      <w:bookmarkStart w:id="9" w:name="_Toc47557369"/>
      <w:bookmarkStart w:id="10" w:name="_Toc48316465"/>
      <w:r w:rsidRPr="0066049C">
        <w:rPr>
          <w:lang w:val="es-419"/>
        </w:rPr>
        <w:t>COMPOSICIÓN:</w:t>
      </w:r>
      <w:bookmarkEnd w:id="9"/>
      <w:bookmarkEnd w:id="10"/>
    </w:p>
    <w:p w14:paraId="727BF404" w14:textId="77777777" w:rsidR="005A31DC" w:rsidRPr="0066049C" w:rsidRDefault="005A31DC" w:rsidP="005A31DC">
      <w:pPr>
        <w:rPr>
          <w:rFonts w:cs="Arial"/>
          <w:sz w:val="18"/>
          <w:szCs w:val="18"/>
          <w:lang w:val="es-419"/>
        </w:rPr>
      </w:pPr>
    </w:p>
    <w:p w14:paraId="184D22FC" w14:textId="77777777" w:rsidR="005A31DC" w:rsidRPr="0066049C" w:rsidRDefault="005A31DC" w:rsidP="005A31DC">
      <w:pPr>
        <w:ind w:firstLine="567"/>
        <w:rPr>
          <w:rFonts w:cs="Arial"/>
          <w:color w:val="000000"/>
          <w:lang w:val="es-419"/>
        </w:rPr>
      </w:pPr>
      <w:r w:rsidRPr="0066049C">
        <w:rPr>
          <w:rFonts w:cs="Arial"/>
          <w:lang w:val="es-419"/>
        </w:rPr>
        <w:t>a)</w:t>
      </w:r>
      <w:r w:rsidRPr="0066049C">
        <w:rPr>
          <w:rFonts w:cs="Arial"/>
          <w:lang w:val="es-419"/>
        </w:rPr>
        <w:tab/>
      </w:r>
      <w:r w:rsidRPr="0066049C">
        <w:rPr>
          <w:lang w:val="es-419"/>
        </w:rPr>
        <w:t>se compondrá de los miembros de la Unión y los observadores que acuerde el CAJ</w:t>
      </w:r>
      <w:r w:rsidRPr="0066049C">
        <w:rPr>
          <w:rFonts w:cs="Arial"/>
          <w:color w:val="000000"/>
          <w:lang w:val="es-419"/>
        </w:rPr>
        <w:t xml:space="preserve">; </w:t>
      </w:r>
    </w:p>
    <w:p w14:paraId="6243D5D1" w14:textId="77777777" w:rsidR="005A31DC" w:rsidRPr="0066049C" w:rsidRDefault="005A31DC" w:rsidP="005A31DC">
      <w:pPr>
        <w:rPr>
          <w:rFonts w:cs="Arial"/>
          <w:sz w:val="18"/>
          <w:szCs w:val="18"/>
          <w:lang w:val="es-419"/>
        </w:rPr>
      </w:pPr>
    </w:p>
    <w:p w14:paraId="5F6E9C93" w14:textId="77777777" w:rsidR="005A31DC" w:rsidRPr="0066049C" w:rsidRDefault="005A31DC" w:rsidP="005A31DC">
      <w:pPr>
        <w:ind w:firstLine="567"/>
        <w:rPr>
          <w:rFonts w:cs="Arial"/>
          <w:lang w:val="es-419"/>
        </w:rPr>
      </w:pPr>
      <w:r w:rsidRPr="0066049C">
        <w:rPr>
          <w:rFonts w:cs="Arial"/>
          <w:lang w:val="es-419"/>
        </w:rPr>
        <w:t>b)</w:t>
      </w:r>
      <w:r w:rsidRPr="0066049C">
        <w:rPr>
          <w:rFonts w:cs="Arial"/>
          <w:lang w:val="es-419"/>
        </w:rPr>
        <w:tab/>
      </w:r>
      <w:r w:rsidRPr="0066049C">
        <w:rPr>
          <w:lang w:val="es-419"/>
        </w:rPr>
        <w:t>cuando lo deseen, los demás miembros de la Unión tendrán la facultad de participar en las reuniones del WG-HRV y formular comentarios</w:t>
      </w:r>
      <w:r w:rsidRPr="0066049C">
        <w:rPr>
          <w:rFonts w:cs="Arial"/>
          <w:lang w:val="es-419"/>
        </w:rPr>
        <w:t>;</w:t>
      </w:r>
    </w:p>
    <w:p w14:paraId="31799197" w14:textId="77777777" w:rsidR="005A31DC" w:rsidRPr="0066049C" w:rsidRDefault="005A31DC" w:rsidP="005A31DC">
      <w:pPr>
        <w:rPr>
          <w:rFonts w:cs="Arial"/>
          <w:sz w:val="18"/>
          <w:szCs w:val="18"/>
          <w:lang w:val="es-419"/>
        </w:rPr>
      </w:pPr>
    </w:p>
    <w:p w14:paraId="1FD30DB2" w14:textId="77777777" w:rsidR="005A31DC" w:rsidRPr="0066049C" w:rsidRDefault="005A31DC" w:rsidP="005A31DC">
      <w:pPr>
        <w:ind w:firstLine="567"/>
        <w:rPr>
          <w:rFonts w:cs="Arial"/>
          <w:lang w:val="es-419"/>
        </w:rPr>
      </w:pPr>
      <w:r w:rsidRPr="0066049C">
        <w:rPr>
          <w:rFonts w:cs="Arial"/>
          <w:lang w:val="es-419"/>
        </w:rPr>
        <w:t>c)</w:t>
      </w:r>
      <w:r w:rsidRPr="0066049C">
        <w:rPr>
          <w:rFonts w:cs="Arial"/>
          <w:lang w:val="es-419"/>
        </w:rPr>
        <w:tab/>
      </w:r>
      <w:r w:rsidRPr="0066049C">
        <w:rPr>
          <w:lang w:val="es-419"/>
        </w:rPr>
        <w:t>si recomienda que se invite a otros observadores o expertos a alguna de sus reuniones, el WG</w:t>
      </w:r>
      <w:r w:rsidRPr="0066049C">
        <w:rPr>
          <w:lang w:val="es-419"/>
        </w:rPr>
        <w:noBreakHyphen/>
        <w:t>HRV se remitirá al CAJ; y</w:t>
      </w:r>
      <w:r w:rsidRPr="0066049C">
        <w:rPr>
          <w:rFonts w:cs="Arial"/>
          <w:lang w:val="es-419"/>
        </w:rPr>
        <w:t xml:space="preserve"> </w:t>
      </w:r>
    </w:p>
    <w:p w14:paraId="7EC13635" w14:textId="77777777" w:rsidR="005A31DC" w:rsidRPr="0066049C" w:rsidRDefault="005A31DC" w:rsidP="005A31DC">
      <w:pPr>
        <w:rPr>
          <w:rFonts w:cs="Arial"/>
          <w:sz w:val="18"/>
          <w:szCs w:val="18"/>
          <w:lang w:val="es-419"/>
        </w:rPr>
      </w:pPr>
    </w:p>
    <w:p w14:paraId="55499992" w14:textId="77777777" w:rsidR="005A31DC" w:rsidRPr="0066049C" w:rsidRDefault="005A31DC" w:rsidP="005A31DC">
      <w:pPr>
        <w:tabs>
          <w:tab w:val="left" w:pos="1134"/>
        </w:tabs>
        <w:ind w:firstLine="567"/>
        <w:rPr>
          <w:rFonts w:cs="Arial"/>
          <w:lang w:val="es-419"/>
        </w:rPr>
      </w:pPr>
      <w:r w:rsidRPr="0066049C">
        <w:rPr>
          <w:rFonts w:cs="Arial"/>
          <w:lang w:val="es-419"/>
        </w:rPr>
        <w:t>d)</w:t>
      </w:r>
      <w:r w:rsidRPr="0066049C">
        <w:rPr>
          <w:rFonts w:cs="Arial"/>
          <w:lang w:val="es-419"/>
        </w:rPr>
        <w:tab/>
      </w:r>
      <w:r w:rsidRPr="0066049C">
        <w:rPr>
          <w:lang w:val="es-419"/>
        </w:rPr>
        <w:t>las reuniones serán presididas por el secretario general adjunto</w:t>
      </w:r>
      <w:r w:rsidRPr="0066049C">
        <w:rPr>
          <w:rFonts w:cs="Arial"/>
          <w:lang w:val="es-419"/>
        </w:rPr>
        <w:t>.</w:t>
      </w:r>
    </w:p>
    <w:p w14:paraId="03955BDF" w14:textId="77777777" w:rsidR="005A31DC" w:rsidRPr="002B3B2F" w:rsidRDefault="005A31DC" w:rsidP="005A31DC">
      <w:pPr>
        <w:rPr>
          <w:sz w:val="16"/>
          <w:lang w:val="es-419"/>
        </w:rPr>
      </w:pPr>
    </w:p>
    <w:p w14:paraId="13F227B9" w14:textId="77777777" w:rsidR="005A31DC" w:rsidRPr="002B3B2F" w:rsidRDefault="005A31DC" w:rsidP="005A31DC">
      <w:pPr>
        <w:rPr>
          <w:sz w:val="16"/>
          <w:lang w:val="es-419"/>
        </w:rPr>
      </w:pPr>
    </w:p>
    <w:p w14:paraId="4BEA900A" w14:textId="77777777" w:rsidR="005A31DC" w:rsidRPr="002B3B2F" w:rsidRDefault="005A31DC" w:rsidP="005A31DC">
      <w:pPr>
        <w:rPr>
          <w:sz w:val="16"/>
          <w:lang w:val="es-419"/>
        </w:rPr>
      </w:pPr>
    </w:p>
    <w:p w14:paraId="00A4B371" w14:textId="77777777" w:rsidR="005A31DC" w:rsidRPr="0066049C" w:rsidRDefault="005A31DC" w:rsidP="005A31DC">
      <w:pPr>
        <w:rPr>
          <w:lang w:val="es-419"/>
        </w:rPr>
      </w:pPr>
      <w:bookmarkStart w:id="11" w:name="_Toc47557370"/>
      <w:bookmarkStart w:id="12" w:name="_Toc48316466"/>
      <w:r w:rsidRPr="0066049C">
        <w:rPr>
          <w:i/>
          <w:lang w:val="es-419"/>
        </w:rPr>
        <w:t>MODUS OPERANDI</w:t>
      </w:r>
      <w:r w:rsidRPr="0066049C">
        <w:rPr>
          <w:lang w:val="es-419"/>
        </w:rPr>
        <w:t>:</w:t>
      </w:r>
      <w:bookmarkEnd w:id="11"/>
      <w:bookmarkEnd w:id="12"/>
    </w:p>
    <w:p w14:paraId="4984A76E" w14:textId="77777777" w:rsidR="005A31DC" w:rsidRPr="0066049C" w:rsidRDefault="005A31DC" w:rsidP="005A31DC">
      <w:pPr>
        <w:rPr>
          <w:rFonts w:cs="Arial"/>
          <w:sz w:val="18"/>
          <w:szCs w:val="18"/>
          <w:u w:val="single"/>
          <w:lang w:val="es-419"/>
        </w:rPr>
      </w:pPr>
    </w:p>
    <w:p w14:paraId="0117F557" w14:textId="77777777" w:rsidR="005A31DC" w:rsidRPr="0066049C" w:rsidRDefault="005A31DC" w:rsidP="005A31DC">
      <w:pPr>
        <w:ind w:firstLine="360"/>
        <w:rPr>
          <w:rFonts w:cs="Arial"/>
          <w:spacing w:val="-2"/>
          <w:lang w:val="es-419"/>
        </w:rPr>
      </w:pPr>
      <w:r w:rsidRPr="0066049C">
        <w:rPr>
          <w:rFonts w:cs="Arial"/>
          <w:spacing w:val="-2"/>
          <w:lang w:val="es-419"/>
        </w:rPr>
        <w:t xml:space="preserve">a) </w:t>
      </w:r>
      <w:r w:rsidRPr="0066049C">
        <w:rPr>
          <w:rFonts w:cs="Arial"/>
          <w:spacing w:val="-2"/>
          <w:lang w:val="es-419"/>
        </w:rPr>
        <w:tab/>
      </w:r>
      <w:r w:rsidRPr="0066049C">
        <w:rPr>
          <w:lang w:val="es-419"/>
        </w:rPr>
        <w:t>para elaborar un proyecto de revisión de los documentos UPOV/EXN/HRV/1, UPOV/EXN/PPM/1 y UPOV/EXN/PRP/2, el WG-HRV ha de tener en cuenta las cuestiones señaladas en las respuestas a la Circular E-19/232 de la UPOV y, en especial, las observaciones finales realizadas en el seminario de 2021 sobre el derecho de obtentor en relación con el producto de la cosecha</w:t>
      </w:r>
      <w:r w:rsidRPr="0066049C">
        <w:rPr>
          <w:rFonts w:cs="Arial"/>
          <w:spacing w:val="-2"/>
          <w:lang w:val="es-419"/>
        </w:rPr>
        <w:t>:</w:t>
      </w:r>
    </w:p>
    <w:p w14:paraId="0F2BC966" w14:textId="77777777" w:rsidR="005A31DC" w:rsidRPr="0066049C" w:rsidRDefault="005A31DC" w:rsidP="005A31DC">
      <w:pPr>
        <w:ind w:left="927"/>
        <w:rPr>
          <w:rFonts w:cs="Arial"/>
          <w:sz w:val="18"/>
          <w:lang w:val="es-419"/>
        </w:rPr>
      </w:pPr>
    </w:p>
    <w:p w14:paraId="1DDA09C7" w14:textId="77777777" w:rsidR="005A31DC" w:rsidRPr="0066049C" w:rsidRDefault="005A31DC" w:rsidP="005A31DC">
      <w:pPr>
        <w:pStyle w:val="ListParagraph"/>
        <w:numPr>
          <w:ilvl w:val="0"/>
          <w:numId w:val="2"/>
        </w:numPr>
        <w:ind w:left="1494" w:right="639"/>
        <w:rPr>
          <w:rFonts w:cs="Arial"/>
          <w:i/>
          <w:sz w:val="18"/>
          <w:lang w:val="es-419"/>
        </w:rPr>
      </w:pPr>
      <w:r w:rsidRPr="0066049C">
        <w:rPr>
          <w:i/>
          <w:sz w:val="18"/>
          <w:lang w:val="es-419"/>
        </w:rPr>
        <w:t>“¿Cómo afecta la falta de una protección eficaz del producto de la cosecha a los productores y los consumidores?</w:t>
      </w:r>
    </w:p>
    <w:p w14:paraId="50B5CD5A" w14:textId="77777777" w:rsidR="005A31DC" w:rsidRPr="0066049C" w:rsidRDefault="005A31DC" w:rsidP="005A31DC">
      <w:pPr>
        <w:pStyle w:val="ListParagraph"/>
        <w:ind w:left="1494" w:right="639"/>
        <w:rPr>
          <w:rFonts w:cs="Arial"/>
          <w:sz w:val="18"/>
          <w:lang w:val="es-419"/>
        </w:rPr>
      </w:pPr>
    </w:p>
    <w:p w14:paraId="6993E4C6" w14:textId="77777777" w:rsidR="005A31DC" w:rsidRPr="0066049C" w:rsidRDefault="005A31DC" w:rsidP="005A31DC">
      <w:pPr>
        <w:pStyle w:val="ListParagraph"/>
        <w:ind w:left="1908" w:right="639"/>
        <w:rPr>
          <w:rFonts w:cs="Arial"/>
          <w:sz w:val="18"/>
          <w:lang w:val="es-419"/>
        </w:rPr>
      </w:pPr>
      <w:r w:rsidRPr="0066049C">
        <w:rPr>
          <w:sz w:val="18"/>
          <w:lang w:val="es-419"/>
        </w:rPr>
        <w:t>En el seminario se presentaron pruebas de que la falta de una protección eficaz de las nuevas variedades de árboles frutales, antes de la concesión de los derechos de obtentor, puede inhibir la introducción inmediata de variedades nuevas y mejoradas y reducir así las ventajas que estas ofrecen a los productores y los consumidores y, en consecuencia, al conjunto de la sociedad. Además, si los obtentores no cuentan con una protección eficaz para recuperar su inversión en fitomejoramiento, es posible que dejen de obtenerse variedades mejoradas.</w:t>
      </w:r>
    </w:p>
    <w:p w14:paraId="69BC77D0" w14:textId="77777777" w:rsidR="005A31DC" w:rsidRPr="0066049C" w:rsidRDefault="005A31DC" w:rsidP="005A31DC">
      <w:pPr>
        <w:pStyle w:val="ListParagraph"/>
        <w:ind w:left="1494" w:right="639"/>
        <w:rPr>
          <w:rFonts w:cs="Arial"/>
          <w:sz w:val="18"/>
          <w:lang w:val="es-419"/>
        </w:rPr>
      </w:pPr>
    </w:p>
    <w:p w14:paraId="7E4D5860" w14:textId="77777777" w:rsidR="005A31DC" w:rsidRPr="0066049C" w:rsidRDefault="005A31DC" w:rsidP="005A31DC">
      <w:pPr>
        <w:pStyle w:val="ListParagraph"/>
        <w:numPr>
          <w:ilvl w:val="0"/>
          <w:numId w:val="2"/>
        </w:numPr>
        <w:ind w:left="1494" w:right="639"/>
        <w:rPr>
          <w:rFonts w:cs="Arial"/>
          <w:i/>
          <w:spacing w:val="-2"/>
          <w:sz w:val="18"/>
          <w:lang w:val="es-419"/>
        </w:rPr>
      </w:pPr>
      <w:r w:rsidRPr="0066049C">
        <w:rPr>
          <w:i/>
          <w:sz w:val="18"/>
          <w:lang w:val="es-419"/>
        </w:rPr>
        <w:t>¿Cuáles son los principales problemas del ejercicio del derecho de obtentor en lo que se refiere al producto de la cosecha?</w:t>
      </w:r>
    </w:p>
    <w:p w14:paraId="784457B4" w14:textId="77777777" w:rsidR="005A31DC" w:rsidRPr="0066049C" w:rsidRDefault="005A31DC" w:rsidP="005A31DC">
      <w:pPr>
        <w:pStyle w:val="ListParagraph"/>
        <w:ind w:left="1494" w:right="639"/>
        <w:rPr>
          <w:rFonts w:cs="Arial"/>
          <w:sz w:val="18"/>
          <w:lang w:val="es-419"/>
        </w:rPr>
      </w:pPr>
    </w:p>
    <w:p w14:paraId="70E585E8" w14:textId="77777777" w:rsidR="005A31DC" w:rsidRPr="0066049C" w:rsidRDefault="005A31DC" w:rsidP="005A31DC">
      <w:pPr>
        <w:pStyle w:val="ListParagraph"/>
        <w:ind w:left="1908" w:right="639"/>
        <w:rPr>
          <w:rFonts w:cs="Arial"/>
          <w:sz w:val="18"/>
          <w:lang w:val="es-419"/>
        </w:rPr>
      </w:pPr>
      <w:r w:rsidRPr="0066049C">
        <w:rPr>
          <w:sz w:val="18"/>
          <w:lang w:val="es-419"/>
        </w:rPr>
        <w:t>Una esfera habitual de preocupación es la falta de previsibilidad del derecho de obtentor respecto del producto de la cosecha.</w:t>
      </w:r>
      <w:r w:rsidRPr="0066049C">
        <w:rPr>
          <w:rFonts w:cs="Arial"/>
          <w:sz w:val="18"/>
          <w:lang w:val="es-419"/>
        </w:rPr>
        <w:t xml:space="preserve"> </w:t>
      </w:r>
    </w:p>
    <w:p w14:paraId="304EF651" w14:textId="77777777" w:rsidR="005A31DC" w:rsidRPr="0066049C" w:rsidRDefault="005A31DC" w:rsidP="005A31DC">
      <w:pPr>
        <w:pStyle w:val="ListParagraph"/>
        <w:ind w:left="1908" w:right="639"/>
        <w:rPr>
          <w:rFonts w:cs="Arial"/>
          <w:sz w:val="18"/>
          <w:lang w:val="es-419"/>
        </w:rPr>
      </w:pPr>
    </w:p>
    <w:p w14:paraId="604C3D97" w14:textId="77777777" w:rsidR="005A31DC" w:rsidRPr="0066049C" w:rsidRDefault="005A31DC" w:rsidP="005A31DC">
      <w:pPr>
        <w:pStyle w:val="ListParagraph"/>
        <w:ind w:left="1908" w:right="639"/>
        <w:rPr>
          <w:rFonts w:cs="Arial"/>
          <w:sz w:val="18"/>
          <w:lang w:val="es-419"/>
        </w:rPr>
      </w:pPr>
      <w:r w:rsidRPr="0066049C">
        <w:rPr>
          <w:sz w:val="18"/>
          <w:lang w:val="es-419"/>
        </w:rPr>
        <w:t>Los árboles de determinadas especies, una vez plantados, pueden producir frutos durante muchos años. En consecuencia, es posible que un alcance mínimo de la protección provisional o una interpretación restrictiva de la ‘utilización no autorizada de material de reproducción o de multiplicación’ no proporcionen los medios para que el obtentor ejerza y defienda su derecho respecto del cultivo de las plantas y la producción y venta del fruto.</w:t>
      </w:r>
    </w:p>
    <w:p w14:paraId="67E3C496" w14:textId="77777777" w:rsidR="005A31DC" w:rsidRPr="0066049C" w:rsidRDefault="005A31DC" w:rsidP="005A31DC">
      <w:pPr>
        <w:pStyle w:val="ListParagraph"/>
        <w:ind w:left="1494" w:right="639"/>
        <w:rPr>
          <w:rFonts w:cs="Arial"/>
          <w:sz w:val="18"/>
          <w:lang w:val="es-419"/>
        </w:rPr>
      </w:pPr>
    </w:p>
    <w:p w14:paraId="27F99C90" w14:textId="77777777" w:rsidR="005A31DC" w:rsidRPr="0066049C" w:rsidRDefault="005A31DC" w:rsidP="005A31DC">
      <w:pPr>
        <w:pStyle w:val="ListParagraph"/>
        <w:numPr>
          <w:ilvl w:val="0"/>
          <w:numId w:val="2"/>
        </w:numPr>
        <w:ind w:left="1494" w:right="639"/>
        <w:rPr>
          <w:rFonts w:cs="Arial"/>
          <w:sz w:val="18"/>
          <w:lang w:val="es-419"/>
        </w:rPr>
      </w:pPr>
      <w:r w:rsidRPr="0066049C">
        <w:rPr>
          <w:i/>
          <w:iCs/>
          <w:sz w:val="18"/>
          <w:lang w:val="es-419"/>
        </w:rPr>
        <w:t>En el ámbito de la UPOV,</w:t>
      </w:r>
      <w:r w:rsidRPr="0066049C">
        <w:rPr>
          <w:i/>
          <w:sz w:val="18"/>
          <w:lang w:val="es-419"/>
        </w:rPr>
        <w:t xml:space="preserve"> ¿qué soluciones contempla para estos problemas del ejercicio del derecho de obtentor en lo que se refiere al producto de la cosecha?</w:t>
      </w:r>
    </w:p>
    <w:p w14:paraId="2DF813A2" w14:textId="77777777" w:rsidR="005A31DC" w:rsidRPr="0066049C" w:rsidRDefault="005A31DC" w:rsidP="005A31DC">
      <w:pPr>
        <w:pStyle w:val="ListParagraph"/>
        <w:ind w:left="1494" w:right="639"/>
        <w:rPr>
          <w:rFonts w:cs="Arial"/>
          <w:sz w:val="18"/>
          <w:lang w:val="es-419"/>
        </w:rPr>
      </w:pPr>
    </w:p>
    <w:p w14:paraId="21160718" w14:textId="77777777" w:rsidR="005A31DC" w:rsidRPr="0066049C" w:rsidRDefault="005A31DC" w:rsidP="005A31DC">
      <w:pPr>
        <w:pStyle w:val="ListParagraph"/>
        <w:ind w:left="1908" w:right="639"/>
        <w:rPr>
          <w:rFonts w:cs="Arial"/>
          <w:sz w:val="18"/>
          <w:lang w:val="es-419"/>
        </w:rPr>
      </w:pPr>
      <w:r w:rsidRPr="0066049C">
        <w:rPr>
          <w:sz w:val="18"/>
          <w:lang w:val="es-419"/>
        </w:rPr>
        <w:t>Las ponencias y los debates han puesto de manifiesto la conveniencia de aclarar mejor la orientación proporcionada en las notas explicativas sobre el producto de la cosecha.</w:t>
      </w:r>
      <w:r w:rsidRPr="0066049C">
        <w:rPr>
          <w:rFonts w:cs="Arial"/>
          <w:sz w:val="18"/>
          <w:lang w:val="es-419"/>
        </w:rPr>
        <w:t xml:space="preserve"> </w:t>
      </w:r>
    </w:p>
    <w:p w14:paraId="651AE401" w14:textId="77777777" w:rsidR="005A31DC" w:rsidRPr="002B3B2F" w:rsidRDefault="005A31DC" w:rsidP="005A31DC">
      <w:pPr>
        <w:pStyle w:val="ListParagraph"/>
        <w:ind w:left="1908" w:right="639"/>
        <w:rPr>
          <w:rFonts w:cs="Arial"/>
          <w:sz w:val="14"/>
          <w:lang w:val="es-419"/>
        </w:rPr>
      </w:pPr>
    </w:p>
    <w:p w14:paraId="53A9F4B8" w14:textId="77777777" w:rsidR="005A31DC" w:rsidRPr="0066049C" w:rsidRDefault="005A31DC" w:rsidP="005A31DC">
      <w:pPr>
        <w:pStyle w:val="ListParagraph"/>
        <w:ind w:left="1908" w:right="639"/>
        <w:rPr>
          <w:rFonts w:cs="Arial"/>
          <w:sz w:val="18"/>
          <w:lang w:val="es-419"/>
        </w:rPr>
      </w:pPr>
      <w:r w:rsidRPr="0066049C">
        <w:rPr>
          <w:sz w:val="18"/>
          <w:lang w:val="es-419"/>
        </w:rPr>
        <w:lastRenderedPageBreak/>
        <w:t>Para contribuir a fomentar el desarrollo de nuevas variedades de plantas, sería útil disponer de más orientaciones acerca de:</w:t>
      </w:r>
    </w:p>
    <w:p w14:paraId="3A1E2870" w14:textId="77777777" w:rsidR="005A31DC" w:rsidRPr="0066049C" w:rsidRDefault="005A31DC" w:rsidP="005A31DC">
      <w:pPr>
        <w:pStyle w:val="ListParagraph"/>
        <w:numPr>
          <w:ilvl w:val="2"/>
          <w:numId w:val="2"/>
        </w:numPr>
        <w:spacing w:before="120"/>
        <w:ind w:left="3352" w:right="639"/>
        <w:contextualSpacing w:val="0"/>
        <w:rPr>
          <w:rFonts w:cs="Arial"/>
          <w:sz w:val="18"/>
          <w:lang w:val="es-419"/>
        </w:rPr>
      </w:pPr>
      <w:r w:rsidRPr="0066049C">
        <w:rPr>
          <w:sz w:val="18"/>
          <w:lang w:val="es-419"/>
        </w:rPr>
        <w:t>el material de reproducción o de multiplicación vegetativa;</w:t>
      </w:r>
    </w:p>
    <w:p w14:paraId="32021240" w14:textId="77777777" w:rsidR="005A31DC" w:rsidRPr="0066049C" w:rsidRDefault="005A31DC" w:rsidP="005A31DC">
      <w:pPr>
        <w:pStyle w:val="ListParagraph"/>
        <w:numPr>
          <w:ilvl w:val="2"/>
          <w:numId w:val="2"/>
        </w:numPr>
        <w:spacing w:before="120"/>
        <w:ind w:left="3352" w:right="639"/>
        <w:contextualSpacing w:val="0"/>
        <w:rPr>
          <w:rFonts w:cs="Arial"/>
          <w:sz w:val="18"/>
          <w:lang w:val="es-419"/>
        </w:rPr>
      </w:pPr>
      <w:r w:rsidRPr="0066049C">
        <w:rPr>
          <w:sz w:val="18"/>
          <w:lang w:val="es-419"/>
        </w:rPr>
        <w:t>el producto de la cosecha;</w:t>
      </w:r>
    </w:p>
    <w:p w14:paraId="1482F89F" w14:textId="77777777" w:rsidR="005A31DC" w:rsidRPr="0066049C" w:rsidRDefault="005A31DC" w:rsidP="005A31DC">
      <w:pPr>
        <w:pStyle w:val="ListParagraph"/>
        <w:numPr>
          <w:ilvl w:val="2"/>
          <w:numId w:val="2"/>
        </w:numPr>
        <w:spacing w:before="120"/>
        <w:ind w:left="3352" w:right="639"/>
        <w:contextualSpacing w:val="0"/>
        <w:rPr>
          <w:rFonts w:cs="Arial"/>
          <w:sz w:val="18"/>
          <w:lang w:val="es-419"/>
        </w:rPr>
      </w:pPr>
      <w:r w:rsidRPr="0066049C">
        <w:rPr>
          <w:sz w:val="18"/>
          <w:lang w:val="es-419"/>
        </w:rPr>
        <w:t>la protección provisional eficaz;</w:t>
      </w:r>
    </w:p>
    <w:p w14:paraId="7F88974B" w14:textId="77777777" w:rsidR="005A31DC" w:rsidRPr="0066049C" w:rsidRDefault="005A31DC" w:rsidP="005A31DC">
      <w:pPr>
        <w:pStyle w:val="ListParagraph"/>
        <w:numPr>
          <w:ilvl w:val="2"/>
          <w:numId w:val="2"/>
        </w:numPr>
        <w:spacing w:before="120"/>
        <w:ind w:left="3352" w:right="639"/>
        <w:contextualSpacing w:val="0"/>
        <w:rPr>
          <w:rFonts w:cs="Arial"/>
          <w:sz w:val="18"/>
          <w:lang w:val="es-419"/>
        </w:rPr>
      </w:pPr>
      <w:r w:rsidRPr="0066049C">
        <w:rPr>
          <w:sz w:val="18"/>
          <w:lang w:val="es-419"/>
        </w:rPr>
        <w:t>la noción de ‘utilización no autorizada de material de reproducción o de multiplicación’;</w:t>
      </w:r>
    </w:p>
    <w:p w14:paraId="3621068B" w14:textId="77777777" w:rsidR="005A31DC" w:rsidRPr="0066049C" w:rsidRDefault="005A31DC" w:rsidP="005A31DC">
      <w:pPr>
        <w:pStyle w:val="ListParagraph"/>
        <w:numPr>
          <w:ilvl w:val="2"/>
          <w:numId w:val="2"/>
        </w:numPr>
        <w:spacing w:before="120"/>
        <w:ind w:left="3352" w:right="639"/>
        <w:contextualSpacing w:val="0"/>
        <w:rPr>
          <w:rFonts w:cs="Arial"/>
          <w:sz w:val="18"/>
          <w:lang w:val="es-419"/>
        </w:rPr>
      </w:pPr>
      <w:r w:rsidRPr="0066049C">
        <w:rPr>
          <w:sz w:val="18"/>
          <w:szCs w:val="18"/>
          <w:lang w:val="es-419"/>
        </w:rPr>
        <w:t>el concepto de agotamiento del derecho en relación con la inversión de la carga de la prueba.”</w:t>
      </w:r>
    </w:p>
    <w:p w14:paraId="2C04C45C" w14:textId="77777777" w:rsidR="005A31DC" w:rsidRPr="0066049C" w:rsidRDefault="005A31DC" w:rsidP="005A31DC">
      <w:pPr>
        <w:rPr>
          <w:rFonts w:cs="Arial"/>
          <w:sz w:val="18"/>
          <w:u w:val="single"/>
          <w:lang w:val="es-419"/>
        </w:rPr>
      </w:pPr>
    </w:p>
    <w:p w14:paraId="4DEDCA4C" w14:textId="77777777" w:rsidR="005A31DC" w:rsidRPr="0066049C" w:rsidRDefault="005A31DC" w:rsidP="005A31DC">
      <w:pPr>
        <w:tabs>
          <w:tab w:val="left" w:pos="1134"/>
        </w:tabs>
        <w:ind w:firstLine="567"/>
        <w:rPr>
          <w:rFonts w:cs="Arial"/>
          <w:u w:val="single"/>
          <w:lang w:val="es-419"/>
        </w:rPr>
      </w:pPr>
      <w:r w:rsidRPr="0066049C">
        <w:rPr>
          <w:rFonts w:cs="Arial"/>
          <w:lang w:val="es-419"/>
        </w:rPr>
        <w:t xml:space="preserve">b) </w:t>
      </w:r>
      <w:r w:rsidRPr="0066049C">
        <w:rPr>
          <w:rFonts w:cs="Arial"/>
          <w:lang w:val="es-419"/>
        </w:rPr>
        <w:tab/>
      </w:r>
      <w:r w:rsidRPr="0066049C">
        <w:rPr>
          <w:lang w:val="es-419"/>
        </w:rPr>
        <w:t>el WG-HRV celebrará reuniones, presenciales o electrónicas, en el período y con la frecuencia necesarios para cumplir con su mandato conforme a lo que acuerde el WG-HRV;</w:t>
      </w:r>
    </w:p>
    <w:p w14:paraId="3676AD63" w14:textId="77777777" w:rsidR="005A31DC" w:rsidRPr="0066049C" w:rsidRDefault="005A31DC" w:rsidP="005A31DC">
      <w:pPr>
        <w:tabs>
          <w:tab w:val="left" w:pos="1134"/>
        </w:tabs>
        <w:rPr>
          <w:rFonts w:cs="Arial"/>
          <w:sz w:val="18"/>
          <w:u w:val="single"/>
          <w:lang w:val="es-419"/>
        </w:rPr>
      </w:pPr>
    </w:p>
    <w:p w14:paraId="01E67866" w14:textId="77777777" w:rsidR="005A31DC" w:rsidRPr="0066049C" w:rsidRDefault="005A31DC" w:rsidP="005A31DC">
      <w:pPr>
        <w:tabs>
          <w:tab w:val="left" w:pos="1134"/>
        </w:tabs>
        <w:ind w:firstLine="567"/>
        <w:rPr>
          <w:rFonts w:cs="Arial"/>
          <w:lang w:val="es-419"/>
        </w:rPr>
      </w:pPr>
      <w:r w:rsidRPr="0066049C">
        <w:rPr>
          <w:rFonts w:cs="Arial"/>
          <w:lang w:val="es-419"/>
        </w:rPr>
        <w:t xml:space="preserve">c) </w:t>
      </w:r>
      <w:r w:rsidRPr="0066049C">
        <w:rPr>
          <w:rFonts w:cs="Arial"/>
          <w:lang w:val="es-419"/>
        </w:rPr>
        <w:tab/>
      </w:r>
      <w:r w:rsidRPr="0066049C">
        <w:rPr>
          <w:lang w:val="es-419"/>
        </w:rPr>
        <w:t>el WG-HRV informará al CAJ de la marcha de su labor y solicitará orientación adicional al CAJ, según proceda;</w:t>
      </w:r>
    </w:p>
    <w:p w14:paraId="01A594D6" w14:textId="77777777" w:rsidR="005A31DC" w:rsidRPr="0066049C" w:rsidRDefault="005A31DC" w:rsidP="005A31DC">
      <w:pPr>
        <w:tabs>
          <w:tab w:val="left" w:pos="1134"/>
        </w:tabs>
        <w:rPr>
          <w:rFonts w:cs="Arial"/>
          <w:sz w:val="18"/>
          <w:lang w:val="es-419"/>
        </w:rPr>
      </w:pPr>
    </w:p>
    <w:p w14:paraId="484B7690" w14:textId="77777777" w:rsidR="005A31DC" w:rsidRPr="0066049C" w:rsidRDefault="005A31DC" w:rsidP="005A31DC">
      <w:pPr>
        <w:tabs>
          <w:tab w:val="left" w:pos="1134"/>
        </w:tabs>
        <w:ind w:firstLine="567"/>
        <w:rPr>
          <w:rFonts w:cs="Arial"/>
          <w:u w:val="single"/>
          <w:lang w:val="es-419"/>
        </w:rPr>
      </w:pPr>
      <w:r w:rsidRPr="0066049C">
        <w:rPr>
          <w:rFonts w:cs="Arial"/>
          <w:lang w:val="es-419"/>
        </w:rPr>
        <w:t>d)</w:t>
      </w:r>
      <w:r w:rsidRPr="0066049C">
        <w:rPr>
          <w:rFonts w:cs="Arial"/>
          <w:lang w:val="es-419"/>
        </w:rPr>
        <w:tab/>
      </w:r>
      <w:r w:rsidRPr="0066049C">
        <w:rPr>
          <w:lang w:val="es-419"/>
        </w:rPr>
        <w:t>los documentos del WG-HRV se pondrán a disposición del CAJ.</w:t>
      </w:r>
    </w:p>
    <w:p w14:paraId="12105238" w14:textId="77777777" w:rsidR="005A31DC" w:rsidRPr="0066049C" w:rsidRDefault="005A31DC" w:rsidP="005A31DC">
      <w:pPr>
        <w:jc w:val="left"/>
        <w:rPr>
          <w:lang w:val="es-419"/>
        </w:rPr>
      </w:pPr>
    </w:p>
    <w:p w14:paraId="786B2836" w14:textId="3859D3A9" w:rsidR="001321CA" w:rsidRPr="0066049C" w:rsidRDefault="001321CA" w:rsidP="001321CA">
      <w:pPr>
        <w:rPr>
          <w:lang w:val="es-419"/>
        </w:rPr>
      </w:pPr>
    </w:p>
    <w:p w14:paraId="6919BC54" w14:textId="77777777" w:rsidR="005A31DC" w:rsidRPr="0066049C" w:rsidRDefault="005A31DC" w:rsidP="001321CA">
      <w:pPr>
        <w:rPr>
          <w:lang w:val="es-419"/>
        </w:rPr>
      </w:pPr>
    </w:p>
    <w:p w14:paraId="552831B7" w14:textId="3F3F75F1" w:rsidR="00B7546C" w:rsidRPr="0066049C" w:rsidRDefault="001321CA" w:rsidP="00483928">
      <w:pPr>
        <w:tabs>
          <w:tab w:val="left" w:pos="284"/>
          <w:tab w:val="left" w:pos="851"/>
        </w:tabs>
        <w:autoSpaceDE w:val="0"/>
        <w:autoSpaceDN w:val="0"/>
        <w:adjustRightInd w:val="0"/>
        <w:jc w:val="right"/>
        <w:rPr>
          <w:lang w:val="es-419"/>
        </w:rPr>
      </w:pPr>
      <w:r w:rsidRPr="0066049C">
        <w:rPr>
          <w:lang w:val="es-419"/>
        </w:rPr>
        <w:t>[</w:t>
      </w:r>
      <w:r w:rsidR="005A31DC" w:rsidRPr="0066049C">
        <w:rPr>
          <w:lang w:val="es-419"/>
        </w:rPr>
        <w:t>Fin del Anexo y del documento</w:t>
      </w:r>
      <w:r w:rsidRPr="0066049C">
        <w:rPr>
          <w:lang w:val="es-419"/>
        </w:rPr>
        <w:t>]</w:t>
      </w:r>
    </w:p>
    <w:sectPr w:rsidR="00B7546C" w:rsidRPr="0066049C" w:rsidSect="0043467F">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7BD09" w14:textId="77777777" w:rsidR="00BA05AD" w:rsidRDefault="00BA05AD" w:rsidP="006655D3">
      <w:r>
        <w:separator/>
      </w:r>
    </w:p>
    <w:p w14:paraId="59CBD8A9" w14:textId="77777777" w:rsidR="00BA05AD" w:rsidRDefault="00BA05AD" w:rsidP="006655D3"/>
    <w:p w14:paraId="7C43B5CA" w14:textId="77777777" w:rsidR="00BA05AD" w:rsidRDefault="00BA05AD" w:rsidP="006655D3"/>
  </w:endnote>
  <w:endnote w:type="continuationSeparator" w:id="0">
    <w:p w14:paraId="7E7BFEE4" w14:textId="77777777" w:rsidR="00BA05AD" w:rsidRDefault="00BA05AD" w:rsidP="006655D3">
      <w:r>
        <w:separator/>
      </w:r>
    </w:p>
    <w:p w14:paraId="75EE7273" w14:textId="77777777" w:rsidR="00BA05AD" w:rsidRPr="00294751" w:rsidRDefault="00BA05AD">
      <w:pPr>
        <w:pStyle w:val="Footer"/>
        <w:spacing w:after="60"/>
        <w:rPr>
          <w:sz w:val="18"/>
          <w:lang w:val="fr-FR"/>
        </w:rPr>
      </w:pPr>
      <w:r w:rsidRPr="00294751">
        <w:rPr>
          <w:sz w:val="18"/>
          <w:lang w:val="fr-FR"/>
        </w:rPr>
        <w:t>[Suite de la note de la page précédente]</w:t>
      </w:r>
    </w:p>
    <w:p w14:paraId="57A9AF45" w14:textId="77777777" w:rsidR="00BA05AD" w:rsidRPr="00294751" w:rsidRDefault="00BA05AD" w:rsidP="006655D3">
      <w:pPr>
        <w:rPr>
          <w:lang w:val="fr-FR"/>
        </w:rPr>
      </w:pPr>
    </w:p>
    <w:p w14:paraId="23B5CFE5" w14:textId="77777777" w:rsidR="00BA05AD" w:rsidRPr="00294751" w:rsidRDefault="00BA05AD" w:rsidP="006655D3">
      <w:pPr>
        <w:rPr>
          <w:lang w:val="fr-FR"/>
        </w:rPr>
      </w:pPr>
    </w:p>
  </w:endnote>
  <w:endnote w:type="continuationNotice" w:id="1">
    <w:p w14:paraId="2F47D48A" w14:textId="77777777" w:rsidR="00BA05AD" w:rsidRPr="00294751" w:rsidRDefault="00BA05AD" w:rsidP="006655D3">
      <w:pPr>
        <w:rPr>
          <w:lang w:val="fr-FR"/>
        </w:rPr>
      </w:pPr>
      <w:r w:rsidRPr="00294751">
        <w:rPr>
          <w:lang w:val="fr-FR"/>
        </w:rPr>
        <w:t>[Suite de la note page suivante]</w:t>
      </w:r>
    </w:p>
    <w:p w14:paraId="71B16F92" w14:textId="77777777" w:rsidR="00BA05AD" w:rsidRPr="00294751" w:rsidRDefault="00BA05AD" w:rsidP="006655D3">
      <w:pPr>
        <w:rPr>
          <w:lang w:val="fr-FR"/>
        </w:rPr>
      </w:pPr>
    </w:p>
    <w:p w14:paraId="3F123225" w14:textId="77777777" w:rsidR="00BA05AD" w:rsidRPr="00294751" w:rsidRDefault="00BA05A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FD531" w14:textId="77777777" w:rsidR="00BA05AD" w:rsidRDefault="00BA05AD" w:rsidP="006655D3">
      <w:r>
        <w:separator/>
      </w:r>
    </w:p>
  </w:footnote>
  <w:footnote w:type="continuationSeparator" w:id="0">
    <w:p w14:paraId="3369BB01" w14:textId="77777777" w:rsidR="00BA05AD" w:rsidRDefault="00BA05AD" w:rsidP="006655D3">
      <w:r>
        <w:separator/>
      </w:r>
    </w:p>
  </w:footnote>
  <w:footnote w:type="continuationNotice" w:id="1">
    <w:p w14:paraId="4C84CAB8" w14:textId="77777777" w:rsidR="00BA05AD" w:rsidRPr="00AB530F" w:rsidRDefault="00BA05A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E368" w14:textId="77777777" w:rsidR="0004198B" w:rsidRPr="00C5280D" w:rsidRDefault="002A0B9E" w:rsidP="00EB048E">
    <w:pPr>
      <w:pStyle w:val="Header"/>
      <w:rPr>
        <w:rStyle w:val="PageNumber"/>
      </w:rPr>
    </w:pPr>
    <w:r>
      <w:rPr>
        <w:rStyle w:val="PageNumber"/>
      </w:rPr>
      <w:t>CAJ/79/8</w:t>
    </w:r>
  </w:p>
  <w:p w14:paraId="25F4E81F" w14:textId="510924EF" w:rsidR="0004198B" w:rsidRPr="00C5280D" w:rsidRDefault="0004198B"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B3B2F">
      <w:rPr>
        <w:rStyle w:val="PageNumber"/>
        <w:noProof/>
      </w:rPr>
      <w:t>2</w:t>
    </w:r>
    <w:r w:rsidRPr="00C5280D">
      <w:rPr>
        <w:rStyle w:val="PageNumber"/>
      </w:rPr>
      <w:fldChar w:fldCharType="end"/>
    </w:r>
  </w:p>
  <w:p w14:paraId="3F79B0D9"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38C3" w14:textId="77777777" w:rsidR="0068387F" w:rsidRPr="00C5280D" w:rsidRDefault="001321CA" w:rsidP="0043467F">
    <w:pPr>
      <w:pStyle w:val="Header"/>
      <w:rPr>
        <w:rStyle w:val="PageNumber"/>
      </w:rPr>
    </w:pPr>
    <w:r>
      <w:rPr>
        <w:rStyle w:val="PageNumber"/>
      </w:rPr>
      <w:t>CAJ/79/8</w:t>
    </w:r>
  </w:p>
  <w:p w14:paraId="35FF62E3" w14:textId="3C0A751F" w:rsidR="0068387F" w:rsidRPr="00C5280D" w:rsidRDefault="001321CA" w:rsidP="0043467F">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B3B2F">
      <w:rPr>
        <w:rStyle w:val="PageNumber"/>
        <w:noProof/>
      </w:rPr>
      <w:t>2</w:t>
    </w:r>
    <w:r w:rsidRPr="00C5280D">
      <w:rPr>
        <w:rStyle w:val="PageNumber"/>
      </w:rPr>
      <w:fldChar w:fldCharType="end"/>
    </w:r>
  </w:p>
  <w:p w14:paraId="21817456" w14:textId="77777777" w:rsidR="0068387F" w:rsidRDefault="002B3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ABEA" w14:textId="77777777" w:rsidR="0068387F" w:rsidRPr="00C5280D" w:rsidRDefault="001321CA" w:rsidP="0068387F">
    <w:pPr>
      <w:pStyle w:val="Header"/>
      <w:rPr>
        <w:rStyle w:val="PageNumber"/>
      </w:rPr>
    </w:pPr>
    <w:r>
      <w:rPr>
        <w:rStyle w:val="PageNumber"/>
      </w:rPr>
      <w:t>CAJ/79/8</w:t>
    </w:r>
  </w:p>
  <w:p w14:paraId="452EEA61" w14:textId="77777777" w:rsidR="0068387F" w:rsidRDefault="002B3B2F" w:rsidP="0068387F">
    <w:pPr>
      <w:pStyle w:val="Header"/>
    </w:pPr>
  </w:p>
  <w:p w14:paraId="33E251D2" w14:textId="77777777" w:rsidR="0068387F" w:rsidRDefault="001321CA">
    <w:pPr>
      <w:pStyle w:val="Header"/>
    </w:pPr>
    <w:r>
      <w:t>ANEXO</w:t>
    </w:r>
  </w:p>
  <w:p w14:paraId="0C69C32D" w14:textId="77777777" w:rsidR="0068387F" w:rsidRDefault="002B3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10CF3"/>
    <w:rsid w:val="00011E27"/>
    <w:rsid w:val="00012ED9"/>
    <w:rsid w:val="000148BC"/>
    <w:rsid w:val="000148C8"/>
    <w:rsid w:val="00022620"/>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2308"/>
    <w:rsid w:val="001131D5"/>
    <w:rsid w:val="00114547"/>
    <w:rsid w:val="00130E0D"/>
    <w:rsid w:val="001321CA"/>
    <w:rsid w:val="00141DB8"/>
    <w:rsid w:val="00172084"/>
    <w:rsid w:val="001726C8"/>
    <w:rsid w:val="0017474A"/>
    <w:rsid w:val="001758C6"/>
    <w:rsid w:val="00182B99"/>
    <w:rsid w:val="001C1525"/>
    <w:rsid w:val="001C238A"/>
    <w:rsid w:val="001C751F"/>
    <w:rsid w:val="0021332C"/>
    <w:rsid w:val="00213982"/>
    <w:rsid w:val="0024416D"/>
    <w:rsid w:val="00271911"/>
    <w:rsid w:val="00273187"/>
    <w:rsid w:val="00274DE4"/>
    <w:rsid w:val="002800A0"/>
    <w:rsid w:val="002801B3"/>
    <w:rsid w:val="00281060"/>
    <w:rsid w:val="00284050"/>
    <w:rsid w:val="00285BD0"/>
    <w:rsid w:val="002940E8"/>
    <w:rsid w:val="00294751"/>
    <w:rsid w:val="002A0B9E"/>
    <w:rsid w:val="002A6E50"/>
    <w:rsid w:val="002B3B2F"/>
    <w:rsid w:val="002B4298"/>
    <w:rsid w:val="002B7A36"/>
    <w:rsid w:val="002C256A"/>
    <w:rsid w:val="002D5226"/>
    <w:rsid w:val="002E1A43"/>
    <w:rsid w:val="00305A7F"/>
    <w:rsid w:val="003152FE"/>
    <w:rsid w:val="00327436"/>
    <w:rsid w:val="00344BD6"/>
    <w:rsid w:val="0035528D"/>
    <w:rsid w:val="00361821"/>
    <w:rsid w:val="00361E9E"/>
    <w:rsid w:val="003737E9"/>
    <w:rsid w:val="003753EE"/>
    <w:rsid w:val="003954D4"/>
    <w:rsid w:val="003A0835"/>
    <w:rsid w:val="003A5AAF"/>
    <w:rsid w:val="003B700A"/>
    <w:rsid w:val="003C6823"/>
    <w:rsid w:val="003C77AC"/>
    <w:rsid w:val="003C7FBE"/>
    <w:rsid w:val="003D227C"/>
    <w:rsid w:val="003D2B4D"/>
    <w:rsid w:val="003E584F"/>
    <w:rsid w:val="003F37F5"/>
    <w:rsid w:val="00444A88"/>
    <w:rsid w:val="004721A9"/>
    <w:rsid w:val="00474DA4"/>
    <w:rsid w:val="00476B4D"/>
    <w:rsid w:val="00477609"/>
    <w:rsid w:val="004805FA"/>
    <w:rsid w:val="00483928"/>
    <w:rsid w:val="004935D2"/>
    <w:rsid w:val="004B1215"/>
    <w:rsid w:val="004D047D"/>
    <w:rsid w:val="004F1E9E"/>
    <w:rsid w:val="004F305A"/>
    <w:rsid w:val="00512164"/>
    <w:rsid w:val="00520297"/>
    <w:rsid w:val="00532395"/>
    <w:rsid w:val="005338F9"/>
    <w:rsid w:val="0054281C"/>
    <w:rsid w:val="00544581"/>
    <w:rsid w:val="0055268D"/>
    <w:rsid w:val="00575DE2"/>
    <w:rsid w:val="00576BE4"/>
    <w:rsid w:val="005779DB"/>
    <w:rsid w:val="00595B67"/>
    <w:rsid w:val="005A2A67"/>
    <w:rsid w:val="005A31DC"/>
    <w:rsid w:val="005A400A"/>
    <w:rsid w:val="005B269D"/>
    <w:rsid w:val="005E3EBB"/>
    <w:rsid w:val="005F7B92"/>
    <w:rsid w:val="0060297F"/>
    <w:rsid w:val="00612379"/>
    <w:rsid w:val="006153B6"/>
    <w:rsid w:val="0061555F"/>
    <w:rsid w:val="006245ED"/>
    <w:rsid w:val="00636CA6"/>
    <w:rsid w:val="00641200"/>
    <w:rsid w:val="00645CA8"/>
    <w:rsid w:val="0066049C"/>
    <w:rsid w:val="006655D3"/>
    <w:rsid w:val="00667404"/>
    <w:rsid w:val="00687EB4"/>
    <w:rsid w:val="00695C56"/>
    <w:rsid w:val="00696BC1"/>
    <w:rsid w:val="006A5CDE"/>
    <w:rsid w:val="006A644A"/>
    <w:rsid w:val="006B17D2"/>
    <w:rsid w:val="006C224E"/>
    <w:rsid w:val="006D780A"/>
    <w:rsid w:val="0071271E"/>
    <w:rsid w:val="00732DEC"/>
    <w:rsid w:val="00735BD5"/>
    <w:rsid w:val="007451EC"/>
    <w:rsid w:val="00751613"/>
    <w:rsid w:val="00753EE9"/>
    <w:rsid w:val="007546E6"/>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0BD4"/>
    <w:rsid w:val="008211B5"/>
    <w:rsid w:val="0082296E"/>
    <w:rsid w:val="00824099"/>
    <w:rsid w:val="00846D7C"/>
    <w:rsid w:val="00862669"/>
    <w:rsid w:val="00867AC1"/>
    <w:rsid w:val="008751DE"/>
    <w:rsid w:val="008861A4"/>
    <w:rsid w:val="00890DF8"/>
    <w:rsid w:val="008A0ADE"/>
    <w:rsid w:val="008A743F"/>
    <w:rsid w:val="008C0970"/>
    <w:rsid w:val="008D0BC5"/>
    <w:rsid w:val="008D0F14"/>
    <w:rsid w:val="008D2B1F"/>
    <w:rsid w:val="008D2CF7"/>
    <w:rsid w:val="008D689F"/>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2796A"/>
    <w:rsid w:val="00A34DE6"/>
    <w:rsid w:val="00A42AC3"/>
    <w:rsid w:val="00A430CF"/>
    <w:rsid w:val="00A54309"/>
    <w:rsid w:val="00A610A9"/>
    <w:rsid w:val="00A75AD7"/>
    <w:rsid w:val="00A80F2A"/>
    <w:rsid w:val="00A96C33"/>
    <w:rsid w:val="00AB2B93"/>
    <w:rsid w:val="00AB530F"/>
    <w:rsid w:val="00AB7E5B"/>
    <w:rsid w:val="00AC2883"/>
    <w:rsid w:val="00AE0EF1"/>
    <w:rsid w:val="00AE2937"/>
    <w:rsid w:val="00B00A6A"/>
    <w:rsid w:val="00B07301"/>
    <w:rsid w:val="00B11F3E"/>
    <w:rsid w:val="00B224DE"/>
    <w:rsid w:val="00B324D4"/>
    <w:rsid w:val="00B46575"/>
    <w:rsid w:val="00B547E3"/>
    <w:rsid w:val="00B61777"/>
    <w:rsid w:val="00B622E6"/>
    <w:rsid w:val="00B748DF"/>
    <w:rsid w:val="00B7546C"/>
    <w:rsid w:val="00B83E82"/>
    <w:rsid w:val="00B84BBD"/>
    <w:rsid w:val="00BA05AD"/>
    <w:rsid w:val="00BA43FB"/>
    <w:rsid w:val="00BA4A7A"/>
    <w:rsid w:val="00BC127D"/>
    <w:rsid w:val="00BC1FE6"/>
    <w:rsid w:val="00BC4537"/>
    <w:rsid w:val="00C02EBD"/>
    <w:rsid w:val="00C05E15"/>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4D31"/>
    <w:rsid w:val="00D221FB"/>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47E71"/>
    <w:rsid w:val="00E5267B"/>
    <w:rsid w:val="00E559F0"/>
    <w:rsid w:val="00E63C0E"/>
    <w:rsid w:val="00E72D49"/>
    <w:rsid w:val="00E7593C"/>
    <w:rsid w:val="00E7678A"/>
    <w:rsid w:val="00E935F1"/>
    <w:rsid w:val="00E94A81"/>
    <w:rsid w:val="00EA1FFB"/>
    <w:rsid w:val="00EB048E"/>
    <w:rsid w:val="00EB4E9C"/>
    <w:rsid w:val="00EE34DF"/>
    <w:rsid w:val="00EE6A58"/>
    <w:rsid w:val="00EF2F89"/>
    <w:rsid w:val="00EF30F3"/>
    <w:rsid w:val="00F03E98"/>
    <w:rsid w:val="00F1237A"/>
    <w:rsid w:val="00F22CBD"/>
    <w:rsid w:val="00F272F1"/>
    <w:rsid w:val="00F31412"/>
    <w:rsid w:val="00F45372"/>
    <w:rsid w:val="00F560F7"/>
    <w:rsid w:val="00F6334D"/>
    <w:rsid w:val="00F63599"/>
    <w:rsid w:val="00F71781"/>
    <w:rsid w:val="00FA49AB"/>
    <w:rsid w:val="00FA711B"/>
    <w:rsid w:val="00FC5FD0"/>
    <w:rsid w:val="00FC758E"/>
    <w:rsid w:val="00FE39C7"/>
    <w:rsid w:val="00FF4D07"/>
    <w:rsid w:val="00FF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D0D91"/>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3C6823"/>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0148C8"/>
    <w:pPr>
      <w:tabs>
        <w:tab w:val="right" w:leader="dot" w:pos="9639"/>
      </w:tabs>
      <w:spacing w:before="60"/>
      <w:ind w:left="720"/>
      <w:jc w:val="both"/>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0148C8"/>
    <w:pPr>
      <w:tabs>
        <w:tab w:val="right" w:leader="dot" w:pos="9639"/>
      </w:tabs>
      <w:spacing w:before="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2A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1C238A"/>
    <w:pPr>
      <w:ind w:left="720"/>
      <w:contextualSpacing/>
    </w:pPr>
  </w:style>
  <w:style w:type="character" w:customStyle="1" w:styleId="Heading2Char">
    <w:name w:val="Heading 2 Char"/>
    <w:aliases w:val="VARIETY Char,variety Char"/>
    <w:basedOn w:val="DefaultParagraphFont"/>
    <w:link w:val="Heading2"/>
    <w:rsid w:val="00D04D31"/>
    <w:rPr>
      <w:rFonts w:ascii="Arial" w:hAnsi="Arial"/>
      <w:u w:val="single"/>
    </w:rPr>
  </w:style>
  <w:style w:type="character" w:styleId="FollowedHyperlink">
    <w:name w:val="FollowedHyperlink"/>
    <w:basedOn w:val="DefaultParagraphFont"/>
    <w:semiHidden/>
    <w:unhideWhenUsed/>
    <w:rsid w:val="00A34DE6"/>
    <w:rPr>
      <w:color w:val="800080" w:themeColor="followedHyperlink"/>
      <w:u w:val="single"/>
    </w:rPr>
  </w:style>
  <w:style w:type="character" w:customStyle="1" w:styleId="ListParagraphChar">
    <w:name w:val="List Paragraph Char"/>
    <w:aliases w:val="auto_list_(i) Char,List Paragraph1 Char"/>
    <w:basedOn w:val="DefaultParagraphFont"/>
    <w:link w:val="ListParagraph"/>
    <w:uiPriority w:val="34"/>
    <w:rsid w:val="001321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701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en/details.jsp?meeting_id=70188" TargetMode="External"/><Relationship Id="rId4" Type="http://schemas.openxmlformats.org/officeDocument/2006/relationships/settings" Target="settings.xml"/><Relationship Id="rId9" Type="http://schemas.openxmlformats.org/officeDocument/2006/relationships/hyperlink" Target="https://www.upov.int/meetings/en/details.jsp?meeting_id=6777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556A-7534-42C7-89C0-BB3F3DD3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1664</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CAJ/79/8</vt:lpstr>
    </vt:vector>
  </TitlesOfParts>
  <Company>UPOV</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CAJ/79/8</dc:title>
  <dc:creator>SANCHEZ VIZCAINO GOMEZ Rosa Maria</dc:creator>
  <cp:lastModifiedBy>SANTOS Carla Marina</cp:lastModifiedBy>
  <cp:revision>3</cp:revision>
  <cp:lastPrinted>2016-11-22T15:41:00Z</cp:lastPrinted>
  <dcterms:created xsi:type="dcterms:W3CDTF">2022-10-07T12:04:00Z</dcterms:created>
  <dcterms:modified xsi:type="dcterms:W3CDTF">2022-10-13T11:26:00Z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3e79a11a-15fb-489f-a38c-fe7b46abf0b1</vt:lpwstr>
  </property>
</Properties>
</file>