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S</w:t>
            </w:r>
          </w:p>
        </w:tc>
      </w:tr>
      <w:tr w:rsidR="00DC3802" w:rsidRPr="00DA4973" w:rsidTr="00645CA8">
        <w:trPr>
          <w:trHeight w:val="219"/>
        </w:trPr>
        <w:tc>
          <w:tcPr>
            <w:tcW w:w="6522" w:type="dxa"/>
          </w:tcPr>
          <w:p w:rsidR="00DC3802" w:rsidRPr="00AC2883" w:rsidRDefault="00DC3802" w:rsidP="00AC2883">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rsidTr="002A2525">
        <w:tc>
          <w:tcPr>
            <w:tcW w:w="6512" w:type="dxa"/>
          </w:tcPr>
          <w:p w:rsidR="008D0F14" w:rsidRPr="00AC2883" w:rsidRDefault="008D0F14" w:rsidP="002A2525">
            <w:pPr>
              <w:pStyle w:val="Sessiontc"/>
              <w:spacing w:line="240" w:lineRule="auto"/>
            </w:pPr>
            <w:r>
              <w:t>Comité Administrativo y Jurídico</w:t>
            </w:r>
          </w:p>
          <w:p w:rsidR="008D0F14" w:rsidRDefault="008D0F14" w:rsidP="002A2525">
            <w:pPr>
              <w:pStyle w:val="Sessiontcplacedate"/>
            </w:pPr>
            <w:r>
              <w:t>Septuagésima novena sesión</w:t>
            </w:r>
          </w:p>
          <w:p w:rsidR="008D0F14" w:rsidRPr="00DC3802" w:rsidRDefault="008D0F14" w:rsidP="002A2525">
            <w:pPr>
              <w:pStyle w:val="Sessiontcplacedate"/>
              <w:rPr>
                <w:sz w:val="22"/>
              </w:rPr>
            </w:pPr>
            <w:r>
              <w:t>Ginebra, 26 de octubre de 2022</w:t>
            </w:r>
          </w:p>
        </w:tc>
        <w:tc>
          <w:tcPr>
            <w:tcW w:w="3127" w:type="dxa"/>
          </w:tcPr>
          <w:p w:rsidR="008D0F14" w:rsidRPr="003C7FBE" w:rsidRDefault="00930992" w:rsidP="002A2525">
            <w:pPr>
              <w:pStyle w:val="Doccode"/>
            </w:pPr>
            <w:r>
              <w:t>CAJ/79/3</w:t>
            </w:r>
          </w:p>
          <w:p w:rsidR="008D0F14" w:rsidRPr="003C7FBE" w:rsidRDefault="008D0F14" w:rsidP="002A2525">
            <w:pPr>
              <w:pStyle w:val="Docoriginal"/>
            </w:pPr>
            <w:r>
              <w:t>Original:</w:t>
            </w:r>
            <w:r w:rsidR="006C1D0C">
              <w:rPr>
                <w:b w:val="0"/>
              </w:rPr>
              <w:t xml:space="preserve"> </w:t>
            </w:r>
            <w:r>
              <w:rPr>
                <w:b w:val="0"/>
              </w:rPr>
              <w:t>inglés</w:t>
            </w:r>
          </w:p>
          <w:p w:rsidR="008D0F14" w:rsidRPr="007C1D92" w:rsidRDefault="008D0F14" w:rsidP="004A0FA7">
            <w:pPr>
              <w:pStyle w:val="Docoriginal"/>
            </w:pPr>
            <w:r>
              <w:t>Fecha:</w:t>
            </w:r>
            <w:r>
              <w:rPr>
                <w:b w:val="0"/>
              </w:rPr>
              <w:t xml:space="preserve"> </w:t>
            </w:r>
            <w:r w:rsidR="004A0FA7" w:rsidRPr="007B687D">
              <w:rPr>
                <w:b w:val="0"/>
              </w:rPr>
              <w:t>17</w:t>
            </w:r>
            <w:r w:rsidRPr="007B687D">
              <w:rPr>
                <w:b w:val="0"/>
              </w:rPr>
              <w:t xml:space="preserve"> de julio de 2022</w:t>
            </w:r>
          </w:p>
        </w:tc>
      </w:tr>
    </w:tbl>
    <w:p w:rsidR="008D0F14" w:rsidRPr="006A644A" w:rsidRDefault="004C7CD6" w:rsidP="008D0F14">
      <w:pPr>
        <w:pStyle w:val="Titleofdoc0"/>
      </w:pPr>
      <w:r>
        <w:t>ELABORACIÓN DE ORIENTACIONES Y MATERIAL DE INFORMACIÓN</w:t>
      </w:r>
    </w:p>
    <w:p w:rsidR="008D0F14" w:rsidRPr="006A644A" w:rsidRDefault="006E2336" w:rsidP="008D0F14">
      <w:pPr>
        <w:pStyle w:val="preparedby1"/>
        <w:jc w:val="left"/>
      </w:pPr>
      <w:r>
        <w:t>Documento preparado por la Oficina de la Unión</w:t>
      </w:r>
    </w:p>
    <w:p w:rsidR="008D0F14" w:rsidRPr="006A644A" w:rsidRDefault="008D0F14" w:rsidP="008D0F14">
      <w:pPr>
        <w:pStyle w:val="Disclaimer"/>
      </w:pPr>
      <w:r>
        <w:t>Descargo de responsabilidad:  el presente documento no constituye un documento de política u orientación de la UPOV</w:t>
      </w:r>
    </w:p>
    <w:p w:rsidR="004C7CD6" w:rsidRDefault="004C7CD6" w:rsidP="006C1D0C">
      <w:pPr>
        <w:pStyle w:val="Heading1"/>
      </w:pPr>
      <w:bookmarkStart w:id="1" w:name="_Toc109224250"/>
      <w:r>
        <w:t>RESUMEN</w:t>
      </w:r>
      <w:bookmarkEnd w:id="1"/>
      <w:r>
        <w:t xml:space="preserve"> </w:t>
      </w:r>
    </w:p>
    <w:p w:rsidR="004C7CD6" w:rsidRDefault="004C7CD6" w:rsidP="008D0F14"/>
    <w:p w:rsidR="004C7CD6" w:rsidRDefault="0077169A" w:rsidP="006E2336">
      <w:r>
        <w:fldChar w:fldCharType="begin"/>
      </w:r>
      <w:r>
        <w:instrText xml:space="preserve"> AUTONUM  </w:instrText>
      </w:r>
      <w:r>
        <w:fldChar w:fldCharType="end"/>
      </w:r>
      <w:r>
        <w:tab/>
        <w:t xml:space="preserve">El presente documento tiene por objeto informar de las novedades acontecidas en relación con la elaboración de orientaciones y material de información y exponer las propuestas que se someterán al examen del Comité Administrativo y Jurídico (CAJ). </w:t>
      </w:r>
    </w:p>
    <w:p w:rsidR="004C7CD6" w:rsidRDefault="004C7CD6" w:rsidP="004C7CD6">
      <w:pPr>
        <w:pStyle w:val="ListParagraph"/>
        <w:ind w:left="360"/>
      </w:pPr>
    </w:p>
    <w:p w:rsidR="008D0F14" w:rsidRDefault="0077169A" w:rsidP="006E2336">
      <w:r>
        <w:fldChar w:fldCharType="begin"/>
      </w:r>
      <w:r>
        <w:instrText xml:space="preserve"> AUTONUM  </w:instrText>
      </w:r>
      <w:r>
        <w:fldChar w:fldCharType="end"/>
      </w:r>
      <w:r>
        <w:tab/>
        <w:t>Se invita al CAJ a:</w:t>
      </w:r>
    </w:p>
    <w:p w:rsidR="004C7CD6" w:rsidRDefault="004C7CD6" w:rsidP="0077169A"/>
    <w:p w:rsidR="0077169A" w:rsidRPr="00631871" w:rsidRDefault="0077169A" w:rsidP="0077169A">
      <w:r>
        <w:tab/>
        <w:t>a)</w:t>
      </w:r>
      <w:r>
        <w:tab/>
        <w:t>aprobar la propuesta de revisión del documento UPOV/INF/16 “Programas informáticos para intercambio” sobre la base del documento UPOV/INF/16/11 Draft 1;</w:t>
      </w:r>
    </w:p>
    <w:p w:rsidR="0077169A" w:rsidRPr="00631871" w:rsidRDefault="0077169A" w:rsidP="0077169A"/>
    <w:p w:rsidR="0077169A" w:rsidRPr="00631871" w:rsidRDefault="0077169A" w:rsidP="0077169A">
      <w:r>
        <w:tab/>
        <w:t>b)</w:t>
      </w:r>
      <w:r>
        <w:tab/>
        <w:t>tomar nota de que, previo acuerdo del TC y del CAJ, en 2022 se someterá a la aprobación del Consejo un proyecto acordado del documento UPOV/INF/16;</w:t>
      </w:r>
    </w:p>
    <w:p w:rsidR="0077169A" w:rsidRPr="00631871" w:rsidRDefault="0077169A" w:rsidP="0077169A"/>
    <w:p w:rsidR="0077169A" w:rsidRPr="00631871" w:rsidRDefault="0077169A" w:rsidP="0077169A">
      <w:r>
        <w:tab/>
        <w:t>c)</w:t>
      </w:r>
      <w:r>
        <w:tab/>
        <w:t>aprobar la propuesta de revisión del documento UPOV/INF/22, “Programas informáticos y equipos utilizados por los miembros de la Unión”, sobre la base del documento UPOV/INF/22/9 Draft 1;</w:t>
      </w:r>
    </w:p>
    <w:p w:rsidR="0077169A" w:rsidRPr="00631871" w:rsidRDefault="0077169A" w:rsidP="0077169A"/>
    <w:p w:rsidR="0077169A" w:rsidRPr="00631871" w:rsidRDefault="0077169A" w:rsidP="0077169A">
      <w:r>
        <w:tab/>
        <w:t>d)</w:t>
      </w:r>
      <w:r>
        <w:tab/>
        <w:t>tomar nota de que, previo acuerdo del TC y el CAJ, en 2022 se someterá al Consejo, para que considere su aprobación, un proyecto acordado del documento UPOV/INF/22;</w:t>
      </w:r>
    </w:p>
    <w:p w:rsidR="002843B4" w:rsidRDefault="002843B4" w:rsidP="00181A3C"/>
    <w:p w:rsidR="002843B4" w:rsidRDefault="00181A3C" w:rsidP="00171305">
      <w:pPr>
        <w:ind w:firstLine="567"/>
      </w:pPr>
      <w:r>
        <w:t>e</w:t>
      </w:r>
      <w:r w:rsidR="00171305">
        <w:t>)</w:t>
      </w:r>
      <w:r w:rsidR="00171305">
        <w:tab/>
        <w:t xml:space="preserve">aprobar la propuesta de revisión del documento UPOV/EXN/DEN, “Notas explicativas sobre las denominaciones de variedades con arreglo al Convenio de la UPOV”, que se expone en el Anexo I del presente documento;  </w:t>
      </w:r>
    </w:p>
    <w:p w:rsidR="002843B4" w:rsidRDefault="002843B4" w:rsidP="002843B4">
      <w:pPr>
        <w:ind w:firstLine="567"/>
      </w:pPr>
    </w:p>
    <w:p w:rsidR="002843B4" w:rsidRDefault="00181A3C" w:rsidP="002843B4">
      <w:pPr>
        <w:ind w:firstLine="567"/>
      </w:pPr>
      <w:r>
        <w:t>f</w:t>
      </w:r>
      <w:r w:rsidR="002843B4">
        <w:t>)</w:t>
      </w:r>
      <w:r w:rsidR="002843B4">
        <w:tab/>
        <w:t>tomar nota de que, previo acuerdo del CAJ, en 2022 se someterá al Consejo, para que considere su aprobación, la propuesta de revisión del documento UPOV/EXN/DEN/1, que figura en el Anexo I del presente documento;</w:t>
      </w:r>
    </w:p>
    <w:p w:rsidR="002843B4" w:rsidRPr="00631871" w:rsidRDefault="002843B4" w:rsidP="002843B4">
      <w:pPr>
        <w:ind w:firstLine="567"/>
      </w:pPr>
    </w:p>
    <w:p w:rsidR="00F82B40" w:rsidRDefault="00181A3C" w:rsidP="00F82B40">
      <w:r>
        <w:tab/>
        <w:t>g</w:t>
      </w:r>
      <w:r w:rsidR="00AE4AD4">
        <w:t>)</w:t>
      </w:r>
      <w:r w:rsidR="00AE4AD4">
        <w:tab/>
        <w:t>tomar nota de que las cuestiones relativas a la elaboración de las “Notas explicativas sobre el examen de la solicitud con arreglo al Convenio de la UPOV” se examinan en el documento CAJ/79/7, “Medidas para mejorar la cooperación en materia de examen”;</w:t>
      </w:r>
    </w:p>
    <w:p w:rsidR="00F82B40" w:rsidRDefault="00F82B40" w:rsidP="00F82B40"/>
    <w:p w:rsidR="006105AC" w:rsidRDefault="00181A3C" w:rsidP="00F82B40">
      <w:pPr>
        <w:ind w:firstLine="567"/>
      </w:pPr>
      <w:r>
        <w:t>h</w:t>
      </w:r>
      <w:r w:rsidR="00F82B40">
        <w:t>)</w:t>
      </w:r>
      <w:r w:rsidR="00F82B40">
        <w:tab/>
        <w:t>aprobar la propuesta de revisión de la sección 6/3, “Informe de la UPOV sobre el examen técnico y sobre la descripción de variedades”, del documento TGP/5, “Experiencia y Cooperación en el examen DHE”, sobre la base del documento TGP/5: Section 6/4 Draft 1;</w:t>
      </w:r>
    </w:p>
    <w:p w:rsidR="00F82B40" w:rsidRDefault="00F82B40" w:rsidP="00F82B40">
      <w:pPr>
        <w:rPr>
          <w:lang w:eastAsia="zh-CN"/>
        </w:rPr>
      </w:pPr>
    </w:p>
    <w:p w:rsidR="00F82B40" w:rsidRPr="00F82B40" w:rsidRDefault="00181A3C" w:rsidP="00F82B40">
      <w:pPr>
        <w:ind w:firstLine="567"/>
      </w:pPr>
      <w:r>
        <w:t>i</w:t>
      </w:r>
      <w:r w:rsidR="00F82B40">
        <w:t>) tomar nota de que, previo acuerdo del CAJ, en 2022 se someterá al Consejo, para que considere su aprobación, un proyecto de documento TGP/5: Section 6;</w:t>
      </w:r>
    </w:p>
    <w:p w:rsidR="006105AC" w:rsidRDefault="006105AC" w:rsidP="0077169A">
      <w:pPr>
        <w:rPr>
          <w:lang w:eastAsia="zh-CN"/>
        </w:rPr>
      </w:pPr>
    </w:p>
    <w:p w:rsidR="006105AC" w:rsidRPr="00F82B40" w:rsidRDefault="00181A3C" w:rsidP="0077169A">
      <w:r>
        <w:tab/>
        <w:t>j</w:t>
      </w:r>
      <w:r w:rsidR="00F82B40">
        <w:t>)</w:t>
      </w:r>
      <w:r w:rsidR="00F82B40">
        <w:tab/>
        <w:t xml:space="preserve">aprobar la propuesta de revisión del documento TGP/8/4, “Diseño de ensayos y técnicas utilizados en el examen de la distinción, la homogeneidad y la estabilidad”, que se expone en el Anexo II del presente documento; </w:t>
      </w:r>
    </w:p>
    <w:p w:rsidR="00F82B40" w:rsidRPr="00F82B40" w:rsidRDefault="00F82B40" w:rsidP="0077169A"/>
    <w:p w:rsidR="00F82B40" w:rsidRPr="00F82B40" w:rsidRDefault="00181A3C" w:rsidP="00F82B40">
      <w:pPr>
        <w:ind w:firstLine="567"/>
      </w:pPr>
      <w:r>
        <w:lastRenderedPageBreak/>
        <w:t>k</w:t>
      </w:r>
      <w:r w:rsidR="00F82B40">
        <w:t>)</w:t>
      </w:r>
      <w:r w:rsidR="00F82B40">
        <w:tab/>
        <w:t>tomar nota de que, previo acuerdo del CAJ, en 2022 se someterá al Consejo, para que considere su aprobación, la propuesta de revisión del documento TGP/8/4, que figura en el Anexo II del presente documento;</w:t>
      </w:r>
    </w:p>
    <w:p w:rsidR="006105AC" w:rsidRPr="00F82B40" w:rsidRDefault="006105AC" w:rsidP="0077169A"/>
    <w:p w:rsidR="006105AC" w:rsidRPr="00F82B40" w:rsidRDefault="00181A3C" w:rsidP="0077169A">
      <w:r>
        <w:tab/>
        <w:t>l</w:t>
      </w:r>
      <w:r w:rsidR="00F82B40">
        <w:t>)</w:t>
      </w:r>
      <w:r w:rsidR="00F82B40">
        <w:tab/>
        <w:t>aprobar la propuesta de revisión del documento TGP/12/2, “Orientación sobre ciertos caracteres fisiológicos”, que figura en el Anexo III del presente documento; y</w:t>
      </w:r>
    </w:p>
    <w:p w:rsidR="00F82B40" w:rsidRPr="00F82B40" w:rsidRDefault="00F82B40" w:rsidP="0077169A"/>
    <w:p w:rsidR="00F82B40" w:rsidRDefault="00181A3C" w:rsidP="00F82B40">
      <w:pPr>
        <w:ind w:firstLine="567"/>
      </w:pPr>
      <w:r>
        <w:t>m</w:t>
      </w:r>
      <w:r w:rsidR="00F82B40">
        <w:t>)</w:t>
      </w:r>
      <w:r w:rsidR="00F82B40">
        <w:tab/>
        <w:t>tomar nota de que, previo acuerdo del CAJ, en 2022 se someterá al Consejo, para que considere su aprobación, la propuesta de revisión del documento TGP/12/2, que figura en el Anexo III del presente documento.</w:t>
      </w:r>
    </w:p>
    <w:p w:rsidR="00F82B40" w:rsidRDefault="00F82B40" w:rsidP="0077169A"/>
    <w:p w:rsidR="00F82B40" w:rsidRDefault="00F82B40" w:rsidP="0077169A"/>
    <w:p w:rsidR="0077169A" w:rsidRDefault="0077169A" w:rsidP="0077169A"/>
    <w:p w:rsidR="00AE4AD4" w:rsidRDefault="0077169A" w:rsidP="00D21051">
      <w:pPr>
        <w:keepNext/>
      </w:pPr>
      <w:r>
        <w:fldChar w:fldCharType="begin"/>
      </w:r>
      <w:r>
        <w:instrText xml:space="preserve"> AUTONUM  </w:instrText>
      </w:r>
      <w:r>
        <w:fldChar w:fldCharType="end"/>
      </w:r>
      <w:r>
        <w:tab/>
        <w:t>El presente documento se estructura del modo siguiente:</w:t>
      </w:r>
    </w:p>
    <w:p w:rsidR="00631871" w:rsidRDefault="00631871" w:rsidP="003F5CA0"/>
    <w:sdt>
      <w:sdtPr>
        <w:rPr>
          <w:caps w:val="0"/>
        </w:rPr>
        <w:id w:val="-561723093"/>
        <w:docPartObj>
          <w:docPartGallery w:val="Table of Contents"/>
          <w:docPartUnique/>
        </w:docPartObj>
      </w:sdtPr>
      <w:sdtEndPr>
        <w:rPr>
          <w:rStyle w:val="Hyperlink"/>
          <w:color w:val="0000FF"/>
          <w:u w:val="single"/>
        </w:rPr>
      </w:sdtEndPr>
      <w:sdtContent>
        <w:p w:rsidR="006C1D0C" w:rsidRPr="00C756D0" w:rsidRDefault="003F5CA0">
          <w:pPr>
            <w:pStyle w:val="TOC1"/>
            <w:rPr>
              <w:caps w:val="0"/>
            </w:rPr>
          </w:pPr>
          <w:r>
            <w:fldChar w:fldCharType="begin"/>
          </w:r>
          <w:r>
            <w:instrText xml:space="preserve"> TOC \o "1-3" \h \z \u </w:instrText>
          </w:r>
          <w:r>
            <w:fldChar w:fldCharType="separate"/>
          </w:r>
          <w:hyperlink w:anchor="_Toc109224250" w:history="1">
            <w:r w:rsidR="006C1D0C" w:rsidRPr="00C756D0">
              <w:rPr>
                <w:caps w:val="0"/>
              </w:rPr>
              <w:t>RESUMEN</w:t>
            </w:r>
            <w:r w:rsidR="006C1D0C" w:rsidRPr="00C756D0">
              <w:rPr>
                <w:caps w:val="0"/>
                <w:webHidden/>
              </w:rPr>
              <w:tab/>
            </w:r>
            <w:r w:rsidR="006C1D0C" w:rsidRPr="00C756D0">
              <w:rPr>
                <w:caps w:val="0"/>
                <w:webHidden/>
              </w:rPr>
              <w:fldChar w:fldCharType="begin"/>
            </w:r>
            <w:r w:rsidR="006C1D0C" w:rsidRPr="00C756D0">
              <w:rPr>
                <w:caps w:val="0"/>
                <w:webHidden/>
              </w:rPr>
              <w:instrText xml:space="preserve"> PAGEREF _Toc109224250 \h </w:instrText>
            </w:r>
            <w:r w:rsidR="006C1D0C" w:rsidRPr="00C756D0">
              <w:rPr>
                <w:caps w:val="0"/>
                <w:webHidden/>
              </w:rPr>
            </w:r>
            <w:r w:rsidR="006C1D0C" w:rsidRPr="00C756D0">
              <w:rPr>
                <w:caps w:val="0"/>
                <w:webHidden/>
              </w:rPr>
              <w:fldChar w:fldCharType="separate"/>
            </w:r>
            <w:r w:rsidR="006C1D0C" w:rsidRPr="00C756D0">
              <w:rPr>
                <w:caps w:val="0"/>
                <w:webHidden/>
              </w:rPr>
              <w:t>1</w:t>
            </w:r>
            <w:r w:rsidR="006C1D0C" w:rsidRPr="00C756D0">
              <w:rPr>
                <w:caps w:val="0"/>
                <w:webHidden/>
              </w:rPr>
              <w:fldChar w:fldCharType="end"/>
            </w:r>
          </w:hyperlink>
        </w:p>
        <w:p w:rsidR="006C1D0C" w:rsidRPr="00C756D0" w:rsidRDefault="00FE133A">
          <w:pPr>
            <w:pStyle w:val="TOC1"/>
            <w:rPr>
              <w:caps w:val="0"/>
            </w:rPr>
          </w:pPr>
          <w:hyperlink w:anchor="_Toc109224251" w:history="1">
            <w:r w:rsidR="006C1D0C" w:rsidRPr="00C756D0">
              <w:rPr>
                <w:caps w:val="0"/>
              </w:rPr>
              <w:t>ANTECEDENTES</w:t>
            </w:r>
            <w:r w:rsidR="006C1D0C" w:rsidRPr="00C756D0">
              <w:rPr>
                <w:caps w:val="0"/>
                <w:webHidden/>
              </w:rPr>
              <w:tab/>
            </w:r>
            <w:r w:rsidR="006C1D0C" w:rsidRPr="00C756D0">
              <w:rPr>
                <w:caps w:val="0"/>
                <w:webHidden/>
              </w:rPr>
              <w:fldChar w:fldCharType="begin"/>
            </w:r>
            <w:r w:rsidR="006C1D0C" w:rsidRPr="00C756D0">
              <w:rPr>
                <w:caps w:val="0"/>
                <w:webHidden/>
              </w:rPr>
              <w:instrText xml:space="preserve"> PAGEREF _Toc109224251 \h </w:instrText>
            </w:r>
            <w:r w:rsidR="006C1D0C" w:rsidRPr="00C756D0">
              <w:rPr>
                <w:caps w:val="0"/>
                <w:webHidden/>
              </w:rPr>
            </w:r>
            <w:r w:rsidR="006C1D0C" w:rsidRPr="00C756D0">
              <w:rPr>
                <w:caps w:val="0"/>
                <w:webHidden/>
              </w:rPr>
              <w:fldChar w:fldCharType="separate"/>
            </w:r>
            <w:r w:rsidR="006C1D0C" w:rsidRPr="00C756D0">
              <w:rPr>
                <w:caps w:val="0"/>
                <w:webHidden/>
              </w:rPr>
              <w:t>2</w:t>
            </w:r>
            <w:r w:rsidR="006C1D0C" w:rsidRPr="00C756D0">
              <w:rPr>
                <w:caps w:val="0"/>
                <w:webHidden/>
              </w:rPr>
              <w:fldChar w:fldCharType="end"/>
            </w:r>
          </w:hyperlink>
        </w:p>
        <w:p w:rsidR="006C1D0C" w:rsidRPr="00C756D0" w:rsidRDefault="00FE133A">
          <w:pPr>
            <w:pStyle w:val="TOC1"/>
            <w:rPr>
              <w:caps w:val="0"/>
            </w:rPr>
          </w:pPr>
          <w:hyperlink w:anchor="_Toc109224252" w:history="1">
            <w:r w:rsidR="006C1D0C" w:rsidRPr="00C756D0">
              <w:rPr>
                <w:caps w:val="0"/>
              </w:rPr>
              <w:t>CUESTIONES QUE SE PROPONEN PARA SU APROBACIÓN POR EL CONSEJO EN 2022</w:t>
            </w:r>
            <w:r w:rsidR="006C1D0C" w:rsidRPr="00C756D0">
              <w:rPr>
                <w:caps w:val="0"/>
                <w:webHidden/>
              </w:rPr>
              <w:tab/>
            </w:r>
            <w:r w:rsidR="006C1D0C" w:rsidRPr="00C756D0">
              <w:rPr>
                <w:caps w:val="0"/>
                <w:webHidden/>
              </w:rPr>
              <w:fldChar w:fldCharType="begin"/>
            </w:r>
            <w:r w:rsidR="006C1D0C" w:rsidRPr="00C756D0">
              <w:rPr>
                <w:caps w:val="0"/>
                <w:webHidden/>
              </w:rPr>
              <w:instrText xml:space="preserve"> PAGEREF _Toc109224252 \h </w:instrText>
            </w:r>
            <w:r w:rsidR="006C1D0C" w:rsidRPr="00C756D0">
              <w:rPr>
                <w:caps w:val="0"/>
                <w:webHidden/>
              </w:rPr>
            </w:r>
            <w:r w:rsidR="006C1D0C" w:rsidRPr="00C756D0">
              <w:rPr>
                <w:caps w:val="0"/>
                <w:webHidden/>
              </w:rPr>
              <w:fldChar w:fldCharType="separate"/>
            </w:r>
            <w:r w:rsidR="006C1D0C" w:rsidRPr="00C756D0">
              <w:rPr>
                <w:caps w:val="0"/>
                <w:webHidden/>
              </w:rPr>
              <w:t>4</w:t>
            </w:r>
            <w:r w:rsidR="006C1D0C" w:rsidRPr="00C756D0">
              <w:rPr>
                <w:caps w:val="0"/>
                <w:webHidden/>
              </w:rPr>
              <w:fldChar w:fldCharType="end"/>
            </w:r>
          </w:hyperlink>
        </w:p>
        <w:p w:rsidR="006C1D0C" w:rsidRPr="00C756D0" w:rsidRDefault="00FE133A">
          <w:pPr>
            <w:pStyle w:val="TOC1"/>
            <w:rPr>
              <w:caps w:val="0"/>
            </w:rPr>
          </w:pPr>
          <w:hyperlink w:anchor="_Toc109224253" w:history="1">
            <w:r w:rsidR="006C1D0C" w:rsidRPr="00C756D0">
              <w:rPr>
                <w:caps w:val="0"/>
              </w:rPr>
              <w:t>MATERIAL DE INFORMACIÓN</w:t>
            </w:r>
            <w:r w:rsidR="006C1D0C" w:rsidRPr="00C756D0">
              <w:rPr>
                <w:caps w:val="0"/>
                <w:webHidden/>
              </w:rPr>
              <w:tab/>
            </w:r>
            <w:r w:rsidR="006C1D0C" w:rsidRPr="00C756D0">
              <w:rPr>
                <w:caps w:val="0"/>
                <w:webHidden/>
              </w:rPr>
              <w:fldChar w:fldCharType="begin"/>
            </w:r>
            <w:r w:rsidR="006C1D0C" w:rsidRPr="00C756D0">
              <w:rPr>
                <w:caps w:val="0"/>
                <w:webHidden/>
              </w:rPr>
              <w:instrText xml:space="preserve"> PAGEREF _Toc109224253 \h </w:instrText>
            </w:r>
            <w:r w:rsidR="006C1D0C" w:rsidRPr="00C756D0">
              <w:rPr>
                <w:caps w:val="0"/>
                <w:webHidden/>
              </w:rPr>
            </w:r>
            <w:r w:rsidR="006C1D0C" w:rsidRPr="00C756D0">
              <w:rPr>
                <w:caps w:val="0"/>
                <w:webHidden/>
              </w:rPr>
              <w:fldChar w:fldCharType="separate"/>
            </w:r>
            <w:r w:rsidR="006C1D0C" w:rsidRPr="00C756D0">
              <w:rPr>
                <w:caps w:val="0"/>
                <w:webHidden/>
              </w:rPr>
              <w:t>4</w:t>
            </w:r>
            <w:r w:rsidR="006C1D0C" w:rsidRPr="00C756D0">
              <w:rPr>
                <w:caps w:val="0"/>
                <w:webHidden/>
              </w:rPr>
              <w:fldChar w:fldCharType="end"/>
            </w:r>
          </w:hyperlink>
        </w:p>
        <w:p w:rsidR="006C1D0C" w:rsidRPr="00C756D0" w:rsidRDefault="00FE133A">
          <w:pPr>
            <w:pStyle w:val="TOC2"/>
            <w:rPr>
              <w:smallCaps w:val="0"/>
            </w:rPr>
          </w:pPr>
          <w:hyperlink w:anchor="_Toc109224254" w:history="1">
            <w:r w:rsidR="006C1D0C" w:rsidRPr="00C756D0">
              <w:rPr>
                <w:smallCaps w:val="0"/>
              </w:rPr>
              <w:t>Revisión del documento UPOV/INF/16 “Programas informáticos para intercambio” (documento UPOV/INF/16/11 Draft 1)</w:t>
            </w:r>
            <w:r w:rsidR="006C1D0C" w:rsidRPr="00C756D0">
              <w:rPr>
                <w:smallCaps w:val="0"/>
                <w:webHidden/>
              </w:rPr>
              <w:tab/>
            </w:r>
            <w:r w:rsidR="006C1D0C" w:rsidRPr="00C756D0">
              <w:rPr>
                <w:smallCaps w:val="0"/>
                <w:webHidden/>
              </w:rPr>
              <w:fldChar w:fldCharType="begin"/>
            </w:r>
            <w:r w:rsidR="006C1D0C" w:rsidRPr="00C756D0">
              <w:rPr>
                <w:smallCaps w:val="0"/>
                <w:webHidden/>
              </w:rPr>
              <w:instrText xml:space="preserve"> PAGEREF _Toc109224254 \h </w:instrText>
            </w:r>
            <w:r w:rsidR="006C1D0C" w:rsidRPr="00C756D0">
              <w:rPr>
                <w:smallCaps w:val="0"/>
                <w:webHidden/>
              </w:rPr>
            </w:r>
            <w:r w:rsidR="006C1D0C" w:rsidRPr="00C756D0">
              <w:rPr>
                <w:smallCaps w:val="0"/>
                <w:webHidden/>
              </w:rPr>
              <w:fldChar w:fldCharType="separate"/>
            </w:r>
            <w:r w:rsidR="006C1D0C" w:rsidRPr="00C756D0">
              <w:rPr>
                <w:smallCaps w:val="0"/>
                <w:webHidden/>
              </w:rPr>
              <w:t>4</w:t>
            </w:r>
            <w:r w:rsidR="006C1D0C" w:rsidRPr="00C756D0">
              <w:rPr>
                <w:smallCaps w:val="0"/>
                <w:webHidden/>
              </w:rPr>
              <w:fldChar w:fldCharType="end"/>
            </w:r>
          </w:hyperlink>
        </w:p>
        <w:p w:rsidR="006C1D0C" w:rsidRPr="00C756D0" w:rsidRDefault="00FE133A">
          <w:pPr>
            <w:pStyle w:val="TOC2"/>
            <w:rPr>
              <w:smallCaps w:val="0"/>
            </w:rPr>
          </w:pPr>
          <w:hyperlink w:anchor="_Toc109224255" w:history="1">
            <w:r w:rsidR="006C1D0C" w:rsidRPr="00C756D0">
              <w:rPr>
                <w:smallCaps w:val="0"/>
              </w:rPr>
              <w:t>Revisión del documento UPOV/INF/22, “Programas informáticos y equipos utilizados por los miembros de la Unión” (documento UPOV/INF/22/9 Draft 1)</w:t>
            </w:r>
            <w:r w:rsidR="006C1D0C" w:rsidRPr="00C756D0">
              <w:rPr>
                <w:smallCaps w:val="0"/>
                <w:webHidden/>
              </w:rPr>
              <w:tab/>
            </w:r>
            <w:r w:rsidR="006C1D0C" w:rsidRPr="00C756D0">
              <w:rPr>
                <w:smallCaps w:val="0"/>
                <w:webHidden/>
              </w:rPr>
              <w:fldChar w:fldCharType="begin"/>
            </w:r>
            <w:r w:rsidR="006C1D0C" w:rsidRPr="00C756D0">
              <w:rPr>
                <w:smallCaps w:val="0"/>
                <w:webHidden/>
              </w:rPr>
              <w:instrText xml:space="preserve"> PAGEREF _Toc109224255 \h </w:instrText>
            </w:r>
            <w:r w:rsidR="006C1D0C" w:rsidRPr="00C756D0">
              <w:rPr>
                <w:smallCaps w:val="0"/>
                <w:webHidden/>
              </w:rPr>
            </w:r>
            <w:r w:rsidR="006C1D0C" w:rsidRPr="00C756D0">
              <w:rPr>
                <w:smallCaps w:val="0"/>
                <w:webHidden/>
              </w:rPr>
              <w:fldChar w:fldCharType="separate"/>
            </w:r>
            <w:r w:rsidR="006C1D0C" w:rsidRPr="00C756D0">
              <w:rPr>
                <w:smallCaps w:val="0"/>
                <w:webHidden/>
              </w:rPr>
              <w:t>4</w:t>
            </w:r>
            <w:r w:rsidR="006C1D0C" w:rsidRPr="00C756D0">
              <w:rPr>
                <w:smallCaps w:val="0"/>
                <w:webHidden/>
              </w:rPr>
              <w:fldChar w:fldCharType="end"/>
            </w:r>
          </w:hyperlink>
        </w:p>
        <w:p w:rsidR="006C1D0C" w:rsidRPr="00C756D0" w:rsidRDefault="00FE133A">
          <w:pPr>
            <w:pStyle w:val="TOC1"/>
            <w:rPr>
              <w:caps w:val="0"/>
            </w:rPr>
          </w:pPr>
          <w:hyperlink w:anchor="_Toc109224256" w:history="1">
            <w:r w:rsidR="006C1D0C" w:rsidRPr="00C756D0">
              <w:rPr>
                <w:caps w:val="0"/>
              </w:rPr>
              <w:t>NOTAS EXPLICATIVAS</w:t>
            </w:r>
            <w:r w:rsidR="006C1D0C" w:rsidRPr="00C756D0">
              <w:rPr>
                <w:caps w:val="0"/>
                <w:webHidden/>
              </w:rPr>
              <w:tab/>
            </w:r>
            <w:r w:rsidR="006C1D0C" w:rsidRPr="00C756D0">
              <w:rPr>
                <w:caps w:val="0"/>
                <w:webHidden/>
              </w:rPr>
              <w:fldChar w:fldCharType="begin"/>
            </w:r>
            <w:r w:rsidR="006C1D0C" w:rsidRPr="00C756D0">
              <w:rPr>
                <w:caps w:val="0"/>
                <w:webHidden/>
              </w:rPr>
              <w:instrText xml:space="preserve"> PAGEREF _Toc109224256 \h </w:instrText>
            </w:r>
            <w:r w:rsidR="006C1D0C" w:rsidRPr="00C756D0">
              <w:rPr>
                <w:caps w:val="0"/>
                <w:webHidden/>
              </w:rPr>
            </w:r>
            <w:r w:rsidR="006C1D0C" w:rsidRPr="00C756D0">
              <w:rPr>
                <w:caps w:val="0"/>
                <w:webHidden/>
              </w:rPr>
              <w:fldChar w:fldCharType="separate"/>
            </w:r>
            <w:r w:rsidR="006C1D0C" w:rsidRPr="00C756D0">
              <w:rPr>
                <w:caps w:val="0"/>
                <w:webHidden/>
              </w:rPr>
              <w:t>4</w:t>
            </w:r>
            <w:r w:rsidR="006C1D0C" w:rsidRPr="00C756D0">
              <w:rPr>
                <w:caps w:val="0"/>
                <w:webHidden/>
              </w:rPr>
              <w:fldChar w:fldCharType="end"/>
            </w:r>
          </w:hyperlink>
        </w:p>
        <w:p w:rsidR="006C1D0C" w:rsidRPr="00C756D0" w:rsidRDefault="00FE133A">
          <w:pPr>
            <w:pStyle w:val="TOC2"/>
            <w:rPr>
              <w:smallCaps w:val="0"/>
            </w:rPr>
          </w:pPr>
          <w:hyperlink w:anchor="_Toc109224257" w:history="1">
            <w:r w:rsidR="006C1D0C" w:rsidRPr="00C756D0">
              <w:rPr>
                <w:smallCaps w:val="0"/>
              </w:rPr>
              <w:t>Notas explicativas sobre las denominaciones de variedades con arreglo al Convenio de la UPOV (documento UPOV/EXN/DEN)</w:t>
            </w:r>
            <w:r w:rsidR="006C1D0C" w:rsidRPr="00C756D0">
              <w:rPr>
                <w:smallCaps w:val="0"/>
                <w:webHidden/>
              </w:rPr>
              <w:tab/>
            </w:r>
            <w:r w:rsidR="006C1D0C" w:rsidRPr="00C756D0">
              <w:rPr>
                <w:smallCaps w:val="0"/>
                <w:webHidden/>
              </w:rPr>
              <w:fldChar w:fldCharType="begin"/>
            </w:r>
            <w:r w:rsidR="006C1D0C" w:rsidRPr="00C756D0">
              <w:rPr>
                <w:smallCaps w:val="0"/>
                <w:webHidden/>
              </w:rPr>
              <w:instrText xml:space="preserve"> PAGEREF _Toc109224257 \h </w:instrText>
            </w:r>
            <w:r w:rsidR="006C1D0C" w:rsidRPr="00C756D0">
              <w:rPr>
                <w:smallCaps w:val="0"/>
                <w:webHidden/>
              </w:rPr>
            </w:r>
            <w:r w:rsidR="006C1D0C" w:rsidRPr="00C756D0">
              <w:rPr>
                <w:smallCaps w:val="0"/>
                <w:webHidden/>
              </w:rPr>
              <w:fldChar w:fldCharType="separate"/>
            </w:r>
            <w:r w:rsidR="006C1D0C" w:rsidRPr="00C756D0">
              <w:rPr>
                <w:smallCaps w:val="0"/>
                <w:webHidden/>
              </w:rPr>
              <w:t>5</w:t>
            </w:r>
            <w:r w:rsidR="006C1D0C" w:rsidRPr="00C756D0">
              <w:rPr>
                <w:smallCaps w:val="0"/>
                <w:webHidden/>
              </w:rPr>
              <w:fldChar w:fldCharType="end"/>
            </w:r>
          </w:hyperlink>
        </w:p>
        <w:p w:rsidR="006C1D0C" w:rsidRPr="00C756D0" w:rsidRDefault="00FE133A">
          <w:pPr>
            <w:pStyle w:val="TOC2"/>
            <w:rPr>
              <w:smallCaps w:val="0"/>
            </w:rPr>
          </w:pPr>
          <w:hyperlink w:anchor="_Toc109224258" w:history="1">
            <w:r w:rsidR="006C1D0C" w:rsidRPr="00C756D0">
              <w:rPr>
                <w:smallCaps w:val="0"/>
              </w:rPr>
              <w:t>Notas explicativas sobre el examen de la solicitud con arreglo al Convenio de la UPOV</w:t>
            </w:r>
            <w:r w:rsidR="006C1D0C" w:rsidRPr="00C756D0">
              <w:rPr>
                <w:smallCaps w:val="0"/>
                <w:webHidden/>
              </w:rPr>
              <w:tab/>
            </w:r>
            <w:r w:rsidR="006C1D0C" w:rsidRPr="00C756D0">
              <w:rPr>
                <w:smallCaps w:val="0"/>
                <w:webHidden/>
              </w:rPr>
              <w:fldChar w:fldCharType="begin"/>
            </w:r>
            <w:r w:rsidR="006C1D0C" w:rsidRPr="00C756D0">
              <w:rPr>
                <w:smallCaps w:val="0"/>
                <w:webHidden/>
              </w:rPr>
              <w:instrText xml:space="preserve"> PAGEREF _Toc109224258 \h </w:instrText>
            </w:r>
            <w:r w:rsidR="006C1D0C" w:rsidRPr="00C756D0">
              <w:rPr>
                <w:smallCaps w:val="0"/>
                <w:webHidden/>
              </w:rPr>
            </w:r>
            <w:r w:rsidR="006C1D0C" w:rsidRPr="00C756D0">
              <w:rPr>
                <w:smallCaps w:val="0"/>
                <w:webHidden/>
              </w:rPr>
              <w:fldChar w:fldCharType="separate"/>
            </w:r>
            <w:r w:rsidR="006C1D0C" w:rsidRPr="00C756D0">
              <w:rPr>
                <w:smallCaps w:val="0"/>
                <w:webHidden/>
              </w:rPr>
              <w:t>5</w:t>
            </w:r>
            <w:r w:rsidR="006C1D0C" w:rsidRPr="00C756D0">
              <w:rPr>
                <w:smallCaps w:val="0"/>
                <w:webHidden/>
              </w:rPr>
              <w:fldChar w:fldCharType="end"/>
            </w:r>
          </w:hyperlink>
        </w:p>
        <w:p w:rsidR="006C1D0C" w:rsidRPr="00C756D0" w:rsidRDefault="00FE133A">
          <w:pPr>
            <w:pStyle w:val="TOC1"/>
            <w:rPr>
              <w:caps w:val="0"/>
            </w:rPr>
          </w:pPr>
          <w:hyperlink w:anchor="_Toc109224259" w:history="1">
            <w:r w:rsidR="006C1D0C" w:rsidRPr="00C756D0">
              <w:rPr>
                <w:caps w:val="0"/>
              </w:rPr>
              <w:t>DOCUMENTOS TGP</w:t>
            </w:r>
            <w:r w:rsidR="006C1D0C" w:rsidRPr="00C756D0">
              <w:rPr>
                <w:caps w:val="0"/>
                <w:webHidden/>
              </w:rPr>
              <w:tab/>
            </w:r>
            <w:r w:rsidR="006C1D0C" w:rsidRPr="00C756D0">
              <w:rPr>
                <w:caps w:val="0"/>
                <w:webHidden/>
              </w:rPr>
              <w:fldChar w:fldCharType="begin"/>
            </w:r>
            <w:r w:rsidR="006C1D0C" w:rsidRPr="00C756D0">
              <w:rPr>
                <w:caps w:val="0"/>
                <w:webHidden/>
              </w:rPr>
              <w:instrText xml:space="preserve"> PAGEREF _Toc109224259 \h </w:instrText>
            </w:r>
            <w:r w:rsidR="006C1D0C" w:rsidRPr="00C756D0">
              <w:rPr>
                <w:caps w:val="0"/>
                <w:webHidden/>
              </w:rPr>
            </w:r>
            <w:r w:rsidR="006C1D0C" w:rsidRPr="00C756D0">
              <w:rPr>
                <w:caps w:val="0"/>
                <w:webHidden/>
              </w:rPr>
              <w:fldChar w:fldCharType="separate"/>
            </w:r>
            <w:r w:rsidR="006C1D0C" w:rsidRPr="00C756D0">
              <w:rPr>
                <w:caps w:val="0"/>
                <w:webHidden/>
              </w:rPr>
              <w:t>5</w:t>
            </w:r>
            <w:r w:rsidR="006C1D0C" w:rsidRPr="00C756D0">
              <w:rPr>
                <w:caps w:val="0"/>
                <w:webHidden/>
              </w:rPr>
              <w:fldChar w:fldCharType="end"/>
            </w:r>
          </w:hyperlink>
        </w:p>
        <w:p w:rsidR="006C1D0C" w:rsidRPr="00C756D0" w:rsidRDefault="00FE133A">
          <w:pPr>
            <w:pStyle w:val="TOC2"/>
            <w:rPr>
              <w:smallCaps w:val="0"/>
            </w:rPr>
          </w:pPr>
          <w:hyperlink w:anchor="_Toc109224260" w:history="1">
            <w:r w:rsidR="006C1D0C" w:rsidRPr="00C756D0">
              <w:rPr>
                <w:smallCaps w:val="0"/>
              </w:rPr>
              <w:t>TGP/5:  Experiencia y Cooperación en el examen DHE, Sección 6: Informe de la UPOV sobre el examen técnico y sobre la descripción de variedades (revisión) (documento TGP/5: Section 6/4 Draft 1)</w:t>
            </w:r>
            <w:r w:rsidR="006C1D0C" w:rsidRPr="00C756D0">
              <w:rPr>
                <w:smallCaps w:val="0"/>
                <w:webHidden/>
              </w:rPr>
              <w:tab/>
            </w:r>
            <w:r w:rsidR="006C1D0C" w:rsidRPr="00C756D0">
              <w:rPr>
                <w:smallCaps w:val="0"/>
                <w:webHidden/>
              </w:rPr>
              <w:fldChar w:fldCharType="begin"/>
            </w:r>
            <w:r w:rsidR="006C1D0C" w:rsidRPr="00C756D0">
              <w:rPr>
                <w:smallCaps w:val="0"/>
                <w:webHidden/>
              </w:rPr>
              <w:instrText xml:space="preserve"> PAGEREF _Toc109224260 \h </w:instrText>
            </w:r>
            <w:r w:rsidR="006C1D0C" w:rsidRPr="00C756D0">
              <w:rPr>
                <w:smallCaps w:val="0"/>
                <w:webHidden/>
              </w:rPr>
            </w:r>
            <w:r w:rsidR="006C1D0C" w:rsidRPr="00C756D0">
              <w:rPr>
                <w:smallCaps w:val="0"/>
                <w:webHidden/>
              </w:rPr>
              <w:fldChar w:fldCharType="separate"/>
            </w:r>
            <w:r w:rsidR="006C1D0C" w:rsidRPr="00C756D0">
              <w:rPr>
                <w:smallCaps w:val="0"/>
                <w:webHidden/>
              </w:rPr>
              <w:t>5</w:t>
            </w:r>
            <w:r w:rsidR="006C1D0C" w:rsidRPr="00C756D0">
              <w:rPr>
                <w:smallCaps w:val="0"/>
                <w:webHidden/>
              </w:rPr>
              <w:fldChar w:fldCharType="end"/>
            </w:r>
          </w:hyperlink>
        </w:p>
        <w:p w:rsidR="006C1D0C" w:rsidRPr="00C756D0" w:rsidRDefault="00FE133A">
          <w:pPr>
            <w:pStyle w:val="TOC2"/>
            <w:rPr>
              <w:smallCaps w:val="0"/>
            </w:rPr>
          </w:pPr>
          <w:hyperlink w:anchor="_Toc109224261" w:history="1">
            <w:r w:rsidR="006C1D0C" w:rsidRPr="00C756D0">
              <w:rPr>
                <w:smallCaps w:val="0"/>
              </w:rPr>
              <w:t>TGP/8:  Diseño de ensayos y técnicas utilizados en el examen de la distinción, la homogeneidad y la estabilidad (revisión) (Anexo II)</w:t>
            </w:r>
            <w:r w:rsidR="006C1D0C" w:rsidRPr="00C756D0">
              <w:rPr>
                <w:smallCaps w:val="0"/>
                <w:webHidden/>
              </w:rPr>
              <w:tab/>
            </w:r>
            <w:r w:rsidR="006C1D0C" w:rsidRPr="00C756D0">
              <w:rPr>
                <w:smallCaps w:val="0"/>
                <w:webHidden/>
              </w:rPr>
              <w:fldChar w:fldCharType="begin"/>
            </w:r>
            <w:r w:rsidR="006C1D0C" w:rsidRPr="00C756D0">
              <w:rPr>
                <w:smallCaps w:val="0"/>
                <w:webHidden/>
              </w:rPr>
              <w:instrText xml:space="preserve"> PAGEREF _Toc109224261 \h </w:instrText>
            </w:r>
            <w:r w:rsidR="006C1D0C" w:rsidRPr="00C756D0">
              <w:rPr>
                <w:smallCaps w:val="0"/>
                <w:webHidden/>
              </w:rPr>
            </w:r>
            <w:r w:rsidR="006C1D0C" w:rsidRPr="00C756D0">
              <w:rPr>
                <w:smallCaps w:val="0"/>
                <w:webHidden/>
              </w:rPr>
              <w:fldChar w:fldCharType="separate"/>
            </w:r>
            <w:r w:rsidR="006C1D0C" w:rsidRPr="00C756D0">
              <w:rPr>
                <w:smallCaps w:val="0"/>
                <w:webHidden/>
              </w:rPr>
              <w:t>5</w:t>
            </w:r>
            <w:r w:rsidR="006C1D0C" w:rsidRPr="00C756D0">
              <w:rPr>
                <w:smallCaps w:val="0"/>
                <w:webHidden/>
              </w:rPr>
              <w:fldChar w:fldCharType="end"/>
            </w:r>
          </w:hyperlink>
        </w:p>
        <w:p w:rsidR="006C1D0C" w:rsidRDefault="00FE133A">
          <w:pPr>
            <w:pStyle w:val="TOC2"/>
            <w:rPr>
              <w:rFonts w:asciiTheme="minorHAnsi" w:eastAsiaTheme="minorEastAsia" w:hAnsiTheme="minorHAnsi" w:cstheme="minorBidi"/>
              <w:smallCaps w:val="0"/>
              <w:noProof/>
              <w:sz w:val="22"/>
              <w:szCs w:val="22"/>
              <w:lang w:eastAsia="es-ES"/>
            </w:rPr>
          </w:pPr>
          <w:hyperlink w:anchor="_Toc109224262" w:history="1">
            <w:r w:rsidR="006C1D0C" w:rsidRPr="00C756D0">
              <w:rPr>
                <w:smallCaps w:val="0"/>
              </w:rPr>
              <w:t>TGP/12:  Orientación sobre ciertos caracteres fisiológicos (revisión) (Anexo III)</w:t>
            </w:r>
            <w:r w:rsidR="006C1D0C" w:rsidRPr="00C756D0">
              <w:rPr>
                <w:smallCaps w:val="0"/>
                <w:webHidden/>
              </w:rPr>
              <w:tab/>
            </w:r>
            <w:r w:rsidR="006C1D0C" w:rsidRPr="00C756D0">
              <w:rPr>
                <w:smallCaps w:val="0"/>
                <w:webHidden/>
              </w:rPr>
              <w:fldChar w:fldCharType="begin"/>
            </w:r>
            <w:r w:rsidR="006C1D0C" w:rsidRPr="00C756D0">
              <w:rPr>
                <w:smallCaps w:val="0"/>
                <w:webHidden/>
              </w:rPr>
              <w:instrText xml:space="preserve"> PAGEREF _Toc109224262 \h </w:instrText>
            </w:r>
            <w:r w:rsidR="006C1D0C" w:rsidRPr="00C756D0">
              <w:rPr>
                <w:smallCaps w:val="0"/>
                <w:webHidden/>
              </w:rPr>
            </w:r>
            <w:r w:rsidR="006C1D0C" w:rsidRPr="00C756D0">
              <w:rPr>
                <w:smallCaps w:val="0"/>
                <w:webHidden/>
              </w:rPr>
              <w:fldChar w:fldCharType="separate"/>
            </w:r>
            <w:r w:rsidR="006C1D0C" w:rsidRPr="00C756D0">
              <w:rPr>
                <w:smallCaps w:val="0"/>
                <w:webHidden/>
              </w:rPr>
              <w:t>6</w:t>
            </w:r>
            <w:r w:rsidR="006C1D0C" w:rsidRPr="00C756D0">
              <w:rPr>
                <w:smallCaps w:val="0"/>
                <w:webHidden/>
              </w:rPr>
              <w:fldChar w:fldCharType="end"/>
            </w:r>
          </w:hyperlink>
        </w:p>
        <w:p w:rsidR="003A0E68" w:rsidRDefault="003F5CA0" w:rsidP="003A0E68">
          <w:pPr>
            <w:jc w:val="left"/>
          </w:pPr>
          <w:r>
            <w:rPr>
              <w:b/>
            </w:rPr>
            <w:fldChar w:fldCharType="end"/>
          </w:r>
          <w:r>
            <w:t>ANEXO I. Documento UPOV/EXN/DEN: Notas explicativas sobre las denominaciones de variedades con arreglo al Convenio de la UPOV (revisión)</w:t>
          </w:r>
          <w:r>
            <w:br/>
          </w:r>
          <w:r>
            <w:br/>
            <w:t>ANEXO II. Documento TGP/8:  Diseño de ensayos y técnicas utilizados en el examen de la distinción, la homogeneidad y la estabilidad (revisión)</w:t>
          </w:r>
          <w:r>
            <w:br/>
          </w:r>
        </w:p>
        <w:p w:rsidR="004C7CD6" w:rsidRPr="00171305" w:rsidRDefault="003A0E68" w:rsidP="00171305">
          <w:pPr>
            <w:rPr>
              <w:rStyle w:val="Hyperlink"/>
              <w:color w:val="auto"/>
              <w:u w:val="none"/>
            </w:rPr>
          </w:pPr>
          <w:r>
            <w:t>ANEXO III. Documento TGP/12:  Orientación sobre ciertos caracteres fisiológicos (revisión)</w:t>
          </w:r>
        </w:p>
      </w:sdtContent>
    </w:sdt>
    <w:p w:rsidR="006105AC" w:rsidRDefault="006105AC" w:rsidP="00823C3A">
      <w:pPr>
        <w:keepNext/>
        <w:keepLines/>
      </w:pPr>
    </w:p>
    <w:p w:rsidR="004C7CD6" w:rsidRDefault="0077169A" w:rsidP="00823C3A">
      <w:pPr>
        <w:keepNext/>
        <w:keepLines/>
      </w:pPr>
      <w:r>
        <w:fldChar w:fldCharType="begin"/>
      </w:r>
      <w:r>
        <w:instrText xml:space="preserve"> AUTONUM  </w:instrText>
      </w:r>
      <w:r>
        <w:fldChar w:fldCharType="end"/>
      </w:r>
      <w:r>
        <w:tab/>
        <w:t xml:space="preserve">En el presente documento se utilizan las abreviaturas siguientes: </w:t>
      </w:r>
    </w:p>
    <w:p w:rsidR="004C7CD6" w:rsidRDefault="004C7CD6" w:rsidP="00823C3A">
      <w:pPr>
        <w:pStyle w:val="ListParagraph"/>
        <w:keepNext/>
      </w:pPr>
    </w:p>
    <w:p w:rsidR="004C7CD6" w:rsidRDefault="004C7CD6" w:rsidP="00823C3A">
      <w:pPr>
        <w:pStyle w:val="ListParagraph"/>
        <w:keepNext/>
        <w:ind w:left="567"/>
      </w:pPr>
      <w:r>
        <w:t xml:space="preserve">CAJ: </w:t>
      </w:r>
      <w:r>
        <w:tab/>
      </w:r>
      <w:r>
        <w:tab/>
        <w:t xml:space="preserve">Comité Administrativo y Jurídico </w:t>
      </w:r>
    </w:p>
    <w:p w:rsidR="008D0F14" w:rsidRPr="004B1215" w:rsidRDefault="004C7CD6" w:rsidP="00322D5A">
      <w:pPr>
        <w:pStyle w:val="ListParagraph"/>
        <w:keepNext/>
        <w:ind w:left="567"/>
      </w:pPr>
      <w:r>
        <w:t xml:space="preserve">TC: </w:t>
      </w:r>
      <w:r>
        <w:tab/>
      </w:r>
      <w:r>
        <w:tab/>
        <w:t xml:space="preserve">Comité Técnico TWP: Grupos de Trabajo Técnico </w:t>
      </w:r>
    </w:p>
    <w:p w:rsidR="0004198B" w:rsidRDefault="0004198B">
      <w:pPr>
        <w:jc w:val="left"/>
      </w:pPr>
    </w:p>
    <w:p w:rsidR="00544581" w:rsidRDefault="00544581" w:rsidP="006C1D0C">
      <w:pPr>
        <w:pStyle w:val="Heading1"/>
      </w:pPr>
    </w:p>
    <w:p w:rsidR="00050E16" w:rsidRPr="00C651CE" w:rsidRDefault="004C7CD6" w:rsidP="006C1D0C">
      <w:pPr>
        <w:pStyle w:val="Heading1"/>
      </w:pPr>
      <w:bookmarkStart w:id="2" w:name="_Toc109224251"/>
      <w:r>
        <w:t>ANTECEDENTES</w:t>
      </w:r>
      <w:bookmarkEnd w:id="2"/>
    </w:p>
    <w:p w:rsidR="003B4BB6" w:rsidRDefault="003B4BB6" w:rsidP="003B4BB6"/>
    <w:p w:rsidR="004C7CD6" w:rsidRDefault="003B4BB6" w:rsidP="003B4BB6">
      <w:pPr>
        <w:rPr>
          <w:rFonts w:cs="Arial"/>
        </w:rPr>
      </w:pPr>
      <w:r>
        <w:rPr>
          <w:rFonts w:cs="Arial"/>
        </w:rPr>
        <w:fldChar w:fldCharType="begin"/>
      </w:r>
      <w:r>
        <w:rPr>
          <w:rFonts w:cs="Arial"/>
        </w:rPr>
        <w:instrText xml:space="preserve"> AUTONUM  </w:instrText>
      </w:r>
      <w:r>
        <w:rPr>
          <w:rFonts w:cs="Arial"/>
        </w:rPr>
        <w:fldChar w:fldCharType="end"/>
      </w:r>
      <w:r>
        <w:tab/>
        <w:t xml:space="preserve">Las orientaciones y el material de información aprobados están publicados en la siguiente dirección del sitio web de la UPOV: </w:t>
      </w:r>
      <w:hyperlink r:id="rId9" w:history="1">
        <w:r>
          <w:rPr>
            <w:color w:val="0000FF"/>
            <w:u w:val="single"/>
          </w:rPr>
          <w:t>http://www.upov.int/upov_collection/es/</w:t>
        </w:r>
      </w:hyperlink>
      <w:r>
        <w:t xml:space="preserve">.  </w:t>
      </w:r>
    </w:p>
    <w:p w:rsidR="003B4BB6" w:rsidRDefault="003B4BB6" w:rsidP="003B4BB6"/>
    <w:p w:rsidR="00181A3C" w:rsidRDefault="00181A3C" w:rsidP="003B4BB6"/>
    <w:p w:rsidR="00181A3C" w:rsidRDefault="00181A3C" w:rsidP="003B4BB6"/>
    <w:p w:rsidR="00181A3C" w:rsidRDefault="00181A3C" w:rsidP="003B4BB6"/>
    <w:p w:rsidR="003B4BB6" w:rsidRDefault="003B4BB6" w:rsidP="003B4BB6"/>
    <w:p w:rsidR="003B4BB6" w:rsidRPr="00D015E1" w:rsidRDefault="003B4BB6" w:rsidP="006C1D0C">
      <w:pPr>
        <w:pStyle w:val="Heading1"/>
      </w:pPr>
      <w:bookmarkStart w:id="3" w:name="_Toc109224252"/>
      <w:r>
        <w:lastRenderedPageBreak/>
        <w:t>CUESTIONES QUE SE PROPONEN PARA SU APROBACIÓN POR EL CONSEJO EN 2022</w:t>
      </w:r>
      <w:bookmarkEnd w:id="3"/>
    </w:p>
    <w:p w:rsidR="004C7CD6" w:rsidRDefault="004C7CD6" w:rsidP="004C7CD6">
      <w:pPr>
        <w:jc w:val="left"/>
      </w:pPr>
    </w:p>
    <w:p w:rsidR="004C7CD6" w:rsidRDefault="004C7CD6" w:rsidP="006C1D0C">
      <w:pPr>
        <w:pStyle w:val="Heading1"/>
      </w:pPr>
      <w:bookmarkStart w:id="4" w:name="_Toc109224253"/>
      <w:r>
        <w:t>MATERIAL DE INFORMACIÓN</w:t>
      </w:r>
      <w:bookmarkEnd w:id="4"/>
    </w:p>
    <w:p w:rsidR="003859A6" w:rsidRPr="003859A6" w:rsidRDefault="003859A6" w:rsidP="003859A6"/>
    <w:p w:rsidR="003859A6" w:rsidRPr="000A132D" w:rsidRDefault="003859A6" w:rsidP="006C1D0C">
      <w:pPr>
        <w:pStyle w:val="Heading2"/>
      </w:pPr>
      <w:bookmarkStart w:id="5" w:name="_Toc107846183"/>
      <w:bookmarkStart w:id="6" w:name="_Toc107949442"/>
      <w:bookmarkStart w:id="7" w:name="_Toc109224254"/>
      <w:r>
        <w:t>Revisión del documento UPOV/INF/16 “Programas informáticos para intercambio” (documento UPOV/INF/16/11 Draft 1)</w:t>
      </w:r>
      <w:bookmarkEnd w:id="5"/>
      <w:bookmarkEnd w:id="6"/>
      <w:bookmarkEnd w:id="7"/>
    </w:p>
    <w:p w:rsidR="003859A6" w:rsidRDefault="003859A6" w:rsidP="006C1D0C">
      <w:pPr>
        <w:pStyle w:val="Heading2"/>
      </w:pPr>
    </w:p>
    <w:p w:rsidR="00823C3A" w:rsidRDefault="00823C3A" w:rsidP="00823C3A">
      <w:pPr>
        <w:keepNext/>
        <w:rPr>
          <w:spacing w:val="-2"/>
        </w:rPr>
      </w:pPr>
      <w:r>
        <w:fldChar w:fldCharType="begin"/>
      </w:r>
      <w:r>
        <w:instrText xml:space="preserve"> AUTONUM  </w:instrText>
      </w:r>
      <w:r>
        <w:fldChar w:fldCharType="end"/>
      </w:r>
      <w:r>
        <w:tab/>
        <w:t>Se invitará al TC y al CAJ a acordar las propuestas de revisión del documento UPOV/INF/16/10, “Programas informáticos para intercambio”, que figuran en el documento UPOV/INF/16/11 Draft 1.</w:t>
      </w:r>
    </w:p>
    <w:p w:rsidR="003E1732" w:rsidRDefault="003E1732" w:rsidP="00823C3A">
      <w:pPr>
        <w:keepNext/>
        <w:rPr>
          <w:spacing w:val="-2"/>
        </w:rPr>
      </w:pPr>
    </w:p>
    <w:p w:rsidR="003E1732" w:rsidRPr="00B7460E" w:rsidRDefault="003E1732" w:rsidP="003E1732">
      <w:pPr>
        <w:keepNext/>
      </w:pPr>
      <w:r>
        <w:rPr>
          <w:snapToGrid w:val="0"/>
        </w:rPr>
        <w:fldChar w:fldCharType="begin"/>
      </w:r>
      <w:r>
        <w:rPr>
          <w:snapToGrid w:val="0"/>
        </w:rPr>
        <w:instrText xml:space="preserve"> AUTONUM  </w:instrText>
      </w:r>
      <w:r>
        <w:rPr>
          <w:snapToGrid w:val="0"/>
        </w:rPr>
        <w:fldChar w:fldCharType="end"/>
      </w:r>
      <w:r>
        <w:rPr>
          <w:snapToGrid w:val="0"/>
        </w:rPr>
        <w:tab/>
        <w:t>En la sección 4 del documento UPOV/INF/16, “Programas informáticos para intercambio”, se dispone lo siguiente:</w:t>
      </w:r>
    </w:p>
    <w:p w:rsidR="003E1732" w:rsidRPr="00B7460E" w:rsidRDefault="003E1732" w:rsidP="003E1732">
      <w:pPr>
        <w:keepNext/>
      </w:pPr>
    </w:p>
    <w:p w:rsidR="003E1732" w:rsidRPr="009B7FC6" w:rsidRDefault="003E1732" w:rsidP="003E1732">
      <w:pPr>
        <w:keepNext/>
        <w:ind w:left="567" w:right="566"/>
        <w:rPr>
          <w:snapToGrid w:val="0"/>
          <w:sz w:val="18"/>
          <w:szCs w:val="18"/>
          <w:u w:val="single"/>
        </w:rPr>
      </w:pPr>
      <w:r>
        <w:rPr>
          <w:snapToGrid w:val="0"/>
          <w:sz w:val="18"/>
        </w:rPr>
        <w:t>“4.</w:t>
      </w:r>
      <w:r>
        <w:rPr>
          <w:snapToGrid w:val="0"/>
          <w:sz w:val="18"/>
        </w:rPr>
        <w:tab/>
      </w:r>
      <w:r>
        <w:rPr>
          <w:snapToGrid w:val="0"/>
          <w:sz w:val="18"/>
          <w:u w:val="single"/>
        </w:rPr>
        <w:t>Información sobre el uso por los miembros de la Unión</w:t>
      </w:r>
    </w:p>
    <w:p w:rsidR="003E1732" w:rsidRPr="009B7FC6" w:rsidRDefault="003E1732" w:rsidP="003E1732">
      <w:pPr>
        <w:keepNext/>
        <w:ind w:left="567" w:right="566"/>
        <w:rPr>
          <w:snapToGrid w:val="0"/>
          <w:sz w:val="16"/>
          <w:szCs w:val="18"/>
        </w:rPr>
      </w:pPr>
    </w:p>
    <w:p w:rsidR="003E1732" w:rsidRPr="009B7FC6" w:rsidRDefault="003E1732" w:rsidP="003E1732">
      <w:pPr>
        <w:ind w:left="567" w:right="566"/>
        <w:rPr>
          <w:snapToGrid w:val="0"/>
          <w:sz w:val="18"/>
          <w:szCs w:val="18"/>
        </w:rPr>
      </w:pPr>
      <w:r>
        <w:rPr>
          <w:snapToGrid w:val="0"/>
          <w:sz w:val="18"/>
        </w:rPr>
        <w:t>‏“‎4.1</w:t>
      </w:r>
      <w:r>
        <w:rPr>
          <w:snapToGrid w:val="0"/>
          <w:sz w:val="18"/>
        </w:rPr>
        <w:tab/>
        <w:t>Cada año se envía una circular a los miembros de la Unión, invitándolos a proporcionar información sobre el uso que hacen de los programas informáticos enumerados en el documento UPOV/INF/16.</w:t>
      </w:r>
    </w:p>
    <w:p w:rsidR="003E1732" w:rsidRPr="008F010B" w:rsidRDefault="003E1732" w:rsidP="003E1732">
      <w:pPr>
        <w:ind w:left="567" w:right="566"/>
        <w:rPr>
          <w:snapToGrid w:val="0"/>
          <w:sz w:val="14"/>
          <w:szCs w:val="18"/>
          <w:lang w:eastAsia="ja-JP"/>
        </w:rPr>
      </w:pPr>
    </w:p>
    <w:p w:rsidR="003E1732" w:rsidRDefault="003E1732" w:rsidP="003E1732">
      <w:pPr>
        <w:ind w:left="567" w:right="566"/>
        <w:rPr>
          <w:snapToGrid w:val="0"/>
          <w:spacing w:val="-2"/>
          <w:sz w:val="18"/>
          <w:szCs w:val="18"/>
        </w:rPr>
      </w:pPr>
      <w:r>
        <w:rPr>
          <w:snapToGrid w:val="0"/>
          <w:sz w:val="18"/>
        </w:rPr>
        <w:t xml:space="preserve">“4.2 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  </w:t>
      </w:r>
    </w:p>
    <w:p w:rsidR="00823C3A" w:rsidRPr="002C4A30" w:rsidRDefault="00823C3A" w:rsidP="00823C3A"/>
    <w:p w:rsidR="003E1732" w:rsidRDefault="00823C3A" w:rsidP="003E1732">
      <w:pPr>
        <w:keepNext/>
        <w:tabs>
          <w:tab w:val="left" w:pos="5387"/>
          <w:tab w:val="left" w:pos="5954"/>
        </w:tabs>
        <w:ind w:left="4820"/>
        <w:rPr>
          <w:i/>
        </w:rPr>
      </w:pPr>
      <w:r w:rsidRPr="003E1732">
        <w:rPr>
          <w:i/>
        </w:rPr>
        <w:fldChar w:fldCharType="begin"/>
      </w:r>
      <w:r w:rsidRPr="003E1732">
        <w:rPr>
          <w:i/>
        </w:rPr>
        <w:instrText xml:space="preserve"> AUTONUM  </w:instrText>
      </w:r>
      <w:r w:rsidRPr="003E1732">
        <w:rPr>
          <w:i/>
        </w:rPr>
        <w:fldChar w:fldCharType="end"/>
      </w:r>
      <w:r>
        <w:rPr>
          <w:i/>
        </w:rPr>
        <w:tab/>
        <w:t>Se invita al CAJ a:</w:t>
      </w:r>
    </w:p>
    <w:p w:rsidR="003E1732" w:rsidRPr="00B7460E" w:rsidRDefault="003E1732" w:rsidP="003E1732">
      <w:pPr>
        <w:keepNext/>
        <w:tabs>
          <w:tab w:val="left" w:pos="5387"/>
          <w:tab w:val="left" w:pos="5954"/>
        </w:tabs>
        <w:ind w:left="4820"/>
        <w:rPr>
          <w:i/>
        </w:rPr>
      </w:pPr>
    </w:p>
    <w:p w:rsidR="003E1732" w:rsidRPr="003E1732" w:rsidRDefault="003E1732" w:rsidP="003E1732">
      <w:pPr>
        <w:pStyle w:val="DecisionParagraphs"/>
      </w:pPr>
      <w:r>
        <w:tab/>
        <w:t>a) aprobar la propuesta de revisión del documento UPOV/INF/16, “Programas informáticos para intercambio”, sobre la base del documento UPOV/INF/16/11 Draft 1; y</w:t>
      </w:r>
    </w:p>
    <w:p w:rsidR="003E1732" w:rsidRPr="003E1732" w:rsidRDefault="003E1732" w:rsidP="003E1732">
      <w:pPr>
        <w:pStyle w:val="DecisionParagraphs"/>
      </w:pPr>
    </w:p>
    <w:p w:rsidR="003E1732" w:rsidRDefault="003E1732" w:rsidP="003E1732">
      <w:pPr>
        <w:pStyle w:val="DecisionParagraphs"/>
      </w:pPr>
      <w:r>
        <w:tab/>
        <w:t>b) tomar nota de que, previo acuerdo del TC y del CAJ, en 2022 se someterá a la aprobación del Consejo un proyecto acordado del documento UPOV/INF/16.</w:t>
      </w:r>
    </w:p>
    <w:p w:rsidR="00F82B40" w:rsidRPr="003E1732" w:rsidRDefault="00F82B40" w:rsidP="003E1732">
      <w:pPr>
        <w:pStyle w:val="DecisionParagraphs"/>
      </w:pPr>
    </w:p>
    <w:p w:rsidR="00823C3A" w:rsidRPr="00823C3A" w:rsidRDefault="00823C3A" w:rsidP="00823C3A"/>
    <w:p w:rsidR="003859A6" w:rsidRPr="000A132D" w:rsidRDefault="003859A6" w:rsidP="006C1D0C">
      <w:pPr>
        <w:pStyle w:val="Heading2"/>
      </w:pPr>
      <w:bookmarkStart w:id="8" w:name="_Toc107846184"/>
      <w:bookmarkStart w:id="9" w:name="_Toc107949443"/>
      <w:bookmarkStart w:id="10" w:name="_Toc109224255"/>
      <w:r>
        <w:t>Revisión del documento UPOV/INF/22, “Programas informáticos y equipos utilizados por los miembros de la Unión” (documento UPOV/INF/22/9 Draft 1)</w:t>
      </w:r>
      <w:bookmarkEnd w:id="8"/>
      <w:bookmarkEnd w:id="9"/>
      <w:bookmarkEnd w:id="10"/>
    </w:p>
    <w:p w:rsidR="004C7CD6" w:rsidRDefault="004C7CD6" w:rsidP="004C7CD6"/>
    <w:p w:rsidR="00823C3A" w:rsidRPr="002C4A30" w:rsidRDefault="00823C3A" w:rsidP="00823C3A">
      <w:pPr>
        <w:keepNext/>
      </w:pPr>
      <w:r>
        <w:fldChar w:fldCharType="begin"/>
      </w:r>
      <w:r>
        <w:instrText xml:space="preserve"> AUTONUM  </w:instrText>
      </w:r>
      <w:r>
        <w:fldChar w:fldCharType="end"/>
      </w:r>
      <w:r>
        <w:tab/>
        <w:t>Se invitará al TC y al CAJ a acordar las propuestas de revisión del documento UPOV/INF/22/8, “Programas informáticos y equipos utilizados por los miembros de la Unión”, que figuran en el documento UPOV/INF/22/9 Draft 1.</w:t>
      </w:r>
    </w:p>
    <w:p w:rsidR="00823C3A" w:rsidRPr="002C4A30" w:rsidRDefault="00823C3A" w:rsidP="00823C3A">
      <w:pPr>
        <w:keepNext/>
      </w:pPr>
    </w:p>
    <w:p w:rsidR="003E1732" w:rsidRDefault="00823C3A" w:rsidP="003E1732">
      <w:pPr>
        <w:pStyle w:val="DecisionParagraphs"/>
      </w:pPr>
      <w:r w:rsidRPr="003E1732">
        <w:fldChar w:fldCharType="begin"/>
      </w:r>
      <w:r w:rsidRPr="003E1732">
        <w:instrText xml:space="preserve"> AUTONUM  </w:instrText>
      </w:r>
      <w:r w:rsidRPr="003E1732">
        <w:fldChar w:fldCharType="end"/>
      </w:r>
      <w:r>
        <w:tab/>
        <w:t>Se invita al CAJ a:</w:t>
      </w:r>
    </w:p>
    <w:p w:rsidR="003E1732" w:rsidRPr="003E1732" w:rsidRDefault="003E1732" w:rsidP="003E1732">
      <w:pPr>
        <w:pStyle w:val="DecisionParagraphs"/>
      </w:pPr>
    </w:p>
    <w:p w:rsidR="003E1732" w:rsidRPr="003E1732" w:rsidRDefault="003E1732" w:rsidP="003E1732">
      <w:pPr>
        <w:pStyle w:val="DecisionParagraphs"/>
      </w:pPr>
      <w:r>
        <w:tab/>
        <w:t>a) aprobar la propuesta de revisión del documento UPOV/INF/22/7 “Programas informáticos y equipos utilizados por los miembros de la Unión” sobre la base del documento UPOV/INF/22/9 Draft 1; y</w:t>
      </w:r>
    </w:p>
    <w:p w:rsidR="003E1732" w:rsidRPr="003E1732" w:rsidRDefault="003E1732" w:rsidP="003E1732">
      <w:pPr>
        <w:pStyle w:val="DecisionParagraphs"/>
      </w:pPr>
    </w:p>
    <w:p w:rsidR="00823C3A" w:rsidRPr="003E1732" w:rsidRDefault="003E1732" w:rsidP="003E1732">
      <w:pPr>
        <w:pStyle w:val="DecisionParagraphs"/>
      </w:pPr>
      <w:r>
        <w:tab/>
        <w:t>b) tomar nota de que, previo acuerdo del TC y del CAJ, en 2022 se someterá a la aprobación del Consejo un proyecto acordado del documento UPOV/INF/22.</w:t>
      </w:r>
    </w:p>
    <w:p w:rsidR="00823C3A" w:rsidRDefault="00823C3A" w:rsidP="004C7CD6"/>
    <w:p w:rsidR="004C7CD6" w:rsidRDefault="004C7CD6" w:rsidP="004C7CD6"/>
    <w:p w:rsidR="004C7CD6" w:rsidRDefault="004C7CD6" w:rsidP="006C1D0C">
      <w:pPr>
        <w:pStyle w:val="Heading1"/>
        <w:keepNext/>
      </w:pPr>
      <w:bookmarkStart w:id="11" w:name="_Toc109224256"/>
      <w:r>
        <w:lastRenderedPageBreak/>
        <w:t>NOTAS EXPLICATIVAS</w:t>
      </w:r>
      <w:bookmarkEnd w:id="11"/>
    </w:p>
    <w:p w:rsidR="003859A6" w:rsidRPr="003859A6" w:rsidRDefault="003859A6" w:rsidP="006C1D0C">
      <w:pPr>
        <w:keepNext/>
      </w:pPr>
    </w:p>
    <w:p w:rsidR="003859A6" w:rsidRPr="000A132D" w:rsidRDefault="003859A6" w:rsidP="006C1D0C">
      <w:pPr>
        <w:pStyle w:val="Heading2"/>
        <w:keepNext/>
      </w:pPr>
      <w:bookmarkStart w:id="12" w:name="_Toc107846186"/>
      <w:bookmarkStart w:id="13" w:name="_Toc107949445"/>
      <w:bookmarkStart w:id="14" w:name="_Toc109224257"/>
      <w:r>
        <w:t>Notas explicativas sobre las denominaciones de variedades con arreglo al Convenio de la UPOV (documento UPOV/EXN/DEN)</w:t>
      </w:r>
      <w:bookmarkEnd w:id="12"/>
      <w:bookmarkEnd w:id="13"/>
      <w:bookmarkEnd w:id="14"/>
    </w:p>
    <w:p w:rsidR="00C22D85" w:rsidRDefault="00C22D85" w:rsidP="006C1D0C">
      <w:pPr>
        <w:keepNext/>
      </w:pPr>
    </w:p>
    <w:p w:rsidR="00C22D85" w:rsidRPr="002C4A30" w:rsidRDefault="00472F22" w:rsidP="006C1D0C">
      <w:pPr>
        <w:keepNext/>
      </w:pPr>
      <w:r>
        <w:fldChar w:fldCharType="begin"/>
      </w:r>
      <w:r>
        <w:instrText xml:space="preserve"> AUTONUM  </w:instrText>
      </w:r>
      <w:r>
        <w:fldChar w:fldCharType="end"/>
      </w:r>
      <w:r>
        <w:tab/>
        <w:t>Se invitará al CAJ a acordar las propuestas de revisión del documento UPOV/EXN/DEN/1 “Notas explicativas sobre las denominaciones de variedades con arreglo al Convenio de la UPOV”, que se expone en el Anexo I del presente documento.</w:t>
      </w:r>
    </w:p>
    <w:p w:rsidR="00C22D85" w:rsidRPr="002C4A30" w:rsidRDefault="00C22D85" w:rsidP="00C22D85">
      <w:pPr>
        <w:keepNext/>
      </w:pPr>
    </w:p>
    <w:p w:rsidR="002843B4" w:rsidRDefault="00C22D85" w:rsidP="00472F22">
      <w:pPr>
        <w:pStyle w:val="DecisionParagraphs"/>
      </w:pPr>
      <w:r w:rsidRPr="00C22D85">
        <w:fldChar w:fldCharType="begin"/>
      </w:r>
      <w:r w:rsidRPr="00C22D85">
        <w:instrText xml:space="preserve"> AUTONUM  </w:instrText>
      </w:r>
      <w:r w:rsidRPr="00C22D85">
        <w:fldChar w:fldCharType="end"/>
      </w:r>
      <w:r>
        <w:tab/>
        <w:t>Se invita al CAJ a:</w:t>
      </w:r>
    </w:p>
    <w:p w:rsidR="002843B4" w:rsidRDefault="002843B4" w:rsidP="00472F22">
      <w:pPr>
        <w:pStyle w:val="DecisionParagraphs"/>
        <w:rPr>
          <w:lang w:eastAsia="zh-CN"/>
        </w:rPr>
      </w:pPr>
    </w:p>
    <w:p w:rsidR="002843B4" w:rsidRPr="002843B4" w:rsidRDefault="002843B4" w:rsidP="00B55DBA">
      <w:pPr>
        <w:pStyle w:val="DecisionParagraphs"/>
        <w:numPr>
          <w:ilvl w:val="0"/>
          <w:numId w:val="10"/>
        </w:numPr>
      </w:pPr>
      <w:r>
        <w:t xml:space="preserve"> aprobar la propuesta de revisión del documento</w:t>
      </w:r>
    </w:p>
    <w:p w:rsidR="002843B4" w:rsidRDefault="00C22D85" w:rsidP="002843B4">
      <w:pPr>
        <w:pStyle w:val="DecisionParagraphs"/>
      </w:pPr>
      <w:r>
        <w:t xml:space="preserve">UPOV/EXN/DEN “Notas explicativas sobre las denominaciones de variedades con arreglo al Convenio de la UPOV”, que se expone en el Anexo I al presente documento; y </w:t>
      </w:r>
    </w:p>
    <w:p w:rsidR="002843B4" w:rsidRDefault="002843B4" w:rsidP="002843B4">
      <w:pPr>
        <w:pStyle w:val="DecisionParagraphs"/>
      </w:pPr>
    </w:p>
    <w:p w:rsidR="002843B4" w:rsidRDefault="002843B4" w:rsidP="002843B4">
      <w:pPr>
        <w:pStyle w:val="DecisionParagraphs"/>
      </w:pPr>
      <w:r>
        <w:t>b)</w:t>
      </w:r>
      <w:r>
        <w:tab/>
        <w:t>tomar nota de que, previo acuerdo del CAJ, en 2022 se someterá al Consejo, para que considere su aprobación, la propuesta de revisión del documento UPOV/EXN/DEN/1, que figura en el Anexo I del presente documento.</w:t>
      </w:r>
    </w:p>
    <w:p w:rsidR="003859A6" w:rsidRDefault="003859A6" w:rsidP="003859A6">
      <w:pPr>
        <w:jc w:val="left"/>
      </w:pPr>
    </w:p>
    <w:p w:rsidR="004C7CD6" w:rsidRPr="004C7CD6" w:rsidRDefault="00823C3A" w:rsidP="006C1D0C">
      <w:pPr>
        <w:pStyle w:val="Heading2"/>
      </w:pPr>
      <w:bookmarkStart w:id="15" w:name="_Toc107949446"/>
      <w:bookmarkStart w:id="16" w:name="_Toc109224258"/>
      <w:bookmarkStart w:id="17" w:name="_Toc107846187"/>
      <w:r>
        <w:t>Notas explicativas sobre el examen de la solicitud con arreglo al Convenio de la UPOV</w:t>
      </w:r>
      <w:bookmarkEnd w:id="15"/>
      <w:bookmarkEnd w:id="16"/>
      <w:r>
        <w:t xml:space="preserve"> </w:t>
      </w:r>
      <w:bookmarkEnd w:id="17"/>
    </w:p>
    <w:p w:rsidR="004C7CD6" w:rsidRDefault="004C7CD6" w:rsidP="00823C3A"/>
    <w:p w:rsidR="00C82D79" w:rsidRDefault="00002D93" w:rsidP="00002D93">
      <w:pPr>
        <w:keepNext/>
      </w:pPr>
      <w:r>
        <w:fldChar w:fldCharType="begin"/>
      </w:r>
      <w:r>
        <w:instrText xml:space="preserve"> AUTONUM  </w:instrText>
      </w:r>
      <w:r>
        <w:fldChar w:fldCharType="end"/>
      </w:r>
      <w:r>
        <w:tab/>
        <w:t xml:space="preserve">Las cuestiones relativas a la elaboración de las “Notas explicativas sobre el examen de la solicitud con arreglo al Convenio de la UPOV” se examinan en el documento CAJ/79/7, “Medidas para mejorar la cooperación en materia de examen”. </w:t>
      </w:r>
    </w:p>
    <w:p w:rsidR="00C82D79" w:rsidRPr="002C4A30" w:rsidRDefault="00C82D79" w:rsidP="00002D93">
      <w:pPr>
        <w:keepNext/>
      </w:pPr>
    </w:p>
    <w:p w:rsidR="00823C3A" w:rsidRDefault="00002D93" w:rsidP="00472F22">
      <w:pPr>
        <w:pStyle w:val="DecisionParagraphs"/>
      </w:pPr>
      <w:r w:rsidRPr="003E1732">
        <w:fldChar w:fldCharType="begin"/>
      </w:r>
      <w:r w:rsidRPr="003E1732">
        <w:instrText xml:space="preserve"> AUTONUM  </w:instrText>
      </w:r>
      <w:r w:rsidRPr="003E1732">
        <w:fldChar w:fldCharType="end"/>
      </w:r>
      <w:r>
        <w:tab/>
        <w:t>Se invita al CAJ a tomar nota de que las cuestiones relativas a la elaboración de las “Notas explicativas sobre el examen de la solicitud con arreglo al Convenio de la UPOV” se examinan en el documento CAJ/79/7, “Medidas para mejorar la cooperación en materia de examen”.</w:t>
      </w:r>
    </w:p>
    <w:p w:rsidR="00823C3A" w:rsidRDefault="00823C3A" w:rsidP="00823C3A"/>
    <w:p w:rsidR="00823C3A" w:rsidRDefault="00823C3A" w:rsidP="00050E16">
      <w:pPr>
        <w:jc w:val="right"/>
      </w:pPr>
    </w:p>
    <w:p w:rsidR="00002258" w:rsidRDefault="00002258" w:rsidP="006C1D0C">
      <w:pPr>
        <w:pStyle w:val="Heading1"/>
      </w:pPr>
      <w:bookmarkStart w:id="18" w:name="_Toc109224259"/>
      <w:r>
        <w:t>DOCUMENTOS TGP</w:t>
      </w:r>
      <w:bookmarkEnd w:id="18"/>
    </w:p>
    <w:p w:rsidR="00002258" w:rsidRDefault="00002258" w:rsidP="00002258"/>
    <w:p w:rsidR="00002258" w:rsidRPr="006A1DA5" w:rsidRDefault="00002258" w:rsidP="006C1D0C">
      <w:pPr>
        <w:pStyle w:val="Heading2"/>
      </w:pPr>
      <w:bookmarkStart w:id="19" w:name="_Toc107949448"/>
      <w:bookmarkStart w:id="20" w:name="_Toc109224260"/>
      <w:r>
        <w:rPr>
          <w:snapToGrid w:val="0"/>
        </w:rPr>
        <w:t>TGP/5:  Experiencia y Cooperación en el examen DHE, Sección 6: Informe de la UPOV sobre el examen técnico y sobre la descripción de variedades (revisión) (documento TGP/5: Section 6/4 Draft 1)</w:t>
      </w:r>
      <w:bookmarkEnd w:id="19"/>
      <w:bookmarkEnd w:id="20"/>
      <w:r>
        <w:t xml:space="preserve"> </w:t>
      </w:r>
    </w:p>
    <w:p w:rsidR="00002258" w:rsidRPr="00596DE2" w:rsidRDefault="00002258" w:rsidP="00002258"/>
    <w:p w:rsidR="00002258" w:rsidRPr="002C4A30" w:rsidRDefault="00002258" w:rsidP="00002258">
      <w:pPr>
        <w:keepNext/>
      </w:pPr>
      <w:r>
        <w:fldChar w:fldCharType="begin"/>
      </w:r>
      <w:r>
        <w:instrText xml:space="preserve"> AUTONUM  </w:instrText>
      </w:r>
      <w:r>
        <w:fldChar w:fldCharType="end"/>
      </w:r>
      <w:r>
        <w:tab/>
        <w:t>Se invitará al TC y al CAJ a acordar las propuestas de revisión de la sección 6, “Informe de la UPOV sobre el examen técnico y sobre la descripción de variedades”, del documento TGP/5, “Experiencia y cooperación en el examen DHE”, que se expone en el documento TGP/5: Section 6/4 Draft 1.</w:t>
      </w:r>
    </w:p>
    <w:p w:rsidR="00002258" w:rsidRPr="002C4A30" w:rsidRDefault="00002258" w:rsidP="00002258">
      <w:pPr>
        <w:keepNext/>
      </w:pPr>
    </w:p>
    <w:p w:rsidR="00680983" w:rsidRDefault="00002258" w:rsidP="00171305">
      <w:pPr>
        <w:pStyle w:val="DecisionParagraphs"/>
      </w:pPr>
      <w:r>
        <w:fldChar w:fldCharType="begin"/>
      </w:r>
      <w:r>
        <w:instrText xml:space="preserve"> AUTONUM  </w:instrText>
      </w:r>
      <w:r>
        <w:fldChar w:fldCharType="end"/>
      </w:r>
      <w:r>
        <w:tab/>
        <w:t>Se invita al CAJ a:</w:t>
      </w:r>
    </w:p>
    <w:p w:rsidR="00680983" w:rsidRDefault="00680983" w:rsidP="00171305">
      <w:pPr>
        <w:pStyle w:val="DecisionParagraphs"/>
        <w:rPr>
          <w:lang w:eastAsia="zh-CN"/>
        </w:rPr>
      </w:pPr>
    </w:p>
    <w:p w:rsidR="00002258" w:rsidRDefault="00002258" w:rsidP="00B55DBA">
      <w:pPr>
        <w:pStyle w:val="DecisionParagraphs"/>
        <w:numPr>
          <w:ilvl w:val="0"/>
          <w:numId w:val="11"/>
        </w:numPr>
      </w:pPr>
      <w:r>
        <w:t xml:space="preserve"> aprobar la propuesta de revisión de la sección 6/3, “Informe de la UPOV sobre el examen técnico y sobre la descripción de variedades”, del documento TGP/5, “Experiencia y cooperación en el examen DHE”, sobre la base del documento TGP/5: Section 6/4 Draft 1; y</w:t>
      </w:r>
    </w:p>
    <w:p w:rsidR="00680983" w:rsidRDefault="00680983" w:rsidP="00680983">
      <w:pPr>
        <w:pStyle w:val="DecisionParagraphs"/>
        <w:ind w:left="5180"/>
      </w:pPr>
    </w:p>
    <w:p w:rsidR="00680983" w:rsidRPr="00596DE2" w:rsidRDefault="00F82B40" w:rsidP="00B55DBA">
      <w:pPr>
        <w:pStyle w:val="DecisionParagraphs"/>
        <w:numPr>
          <w:ilvl w:val="0"/>
          <w:numId w:val="11"/>
        </w:numPr>
      </w:pPr>
      <w:r>
        <w:t>tomar nota de que, previo acuerdo del CAJ, en 2022 se someterá al Consejo, para que considere su aprobación, un proyecto acordado del documento TGP/5: Section 6.</w:t>
      </w:r>
    </w:p>
    <w:p w:rsidR="00002258" w:rsidRPr="00596DE2" w:rsidRDefault="00002258" w:rsidP="00002258"/>
    <w:p w:rsidR="00002258" w:rsidRPr="00171305" w:rsidRDefault="00002258" w:rsidP="006C1D0C">
      <w:pPr>
        <w:pStyle w:val="Heading2"/>
        <w:keepNext/>
        <w:rPr>
          <w:rFonts w:cs="Arial"/>
        </w:rPr>
      </w:pPr>
      <w:bookmarkStart w:id="21" w:name="_Toc107949449"/>
      <w:bookmarkStart w:id="22" w:name="_Toc109224261"/>
      <w:r>
        <w:lastRenderedPageBreak/>
        <w:t>TGP/8:  Diseño de ensayos y técnicas utilizados en el examen de la distinción, la homogeneidad y la estabilidad (revisión) (</w:t>
      </w:r>
      <w:r>
        <w:rPr>
          <w:snapToGrid w:val="0"/>
        </w:rPr>
        <w:t>Anexo II)</w:t>
      </w:r>
      <w:bookmarkEnd w:id="21"/>
      <w:bookmarkEnd w:id="22"/>
    </w:p>
    <w:p w:rsidR="00002258" w:rsidRPr="00171305" w:rsidRDefault="00002258" w:rsidP="006C1D0C">
      <w:pPr>
        <w:keepNext/>
        <w:rPr>
          <w:rFonts w:cs="Arial"/>
        </w:rPr>
      </w:pPr>
    </w:p>
    <w:p w:rsidR="00002258" w:rsidRPr="00171305" w:rsidRDefault="00002258" w:rsidP="006C1D0C">
      <w:pPr>
        <w:keepNext/>
      </w:pPr>
      <w:r w:rsidRPr="00171305">
        <w:rPr>
          <w:rFonts w:cs="Arial"/>
        </w:rPr>
        <w:fldChar w:fldCharType="begin"/>
      </w:r>
      <w:r w:rsidRPr="00171305">
        <w:rPr>
          <w:rFonts w:cs="Arial"/>
        </w:rPr>
        <w:instrText xml:space="preserve"> AUTONUM  </w:instrText>
      </w:r>
      <w:r w:rsidRPr="00171305">
        <w:rPr>
          <w:rFonts w:cs="Arial"/>
        </w:rPr>
        <w:fldChar w:fldCharType="end"/>
      </w:r>
      <w:r>
        <w:tab/>
        <w:t xml:space="preserve">Se invitará al CAJ a acordar la propuesta del TC de modificar el documento TGP/8/4, “Diseño de ensayos y técnicas utilizados en el examen de la distinción, la homogeneidad y la estabilidad”, que se expone en el Anexo II del presente documento. </w:t>
      </w:r>
    </w:p>
    <w:p w:rsidR="00002258" w:rsidRPr="00171305" w:rsidRDefault="00002258" w:rsidP="00002258"/>
    <w:p w:rsidR="00680983" w:rsidRDefault="00002258" w:rsidP="00680983">
      <w:pPr>
        <w:pStyle w:val="DecisionParagraphs"/>
      </w:pPr>
      <w:r w:rsidRPr="00171305">
        <w:fldChar w:fldCharType="begin"/>
      </w:r>
      <w:r w:rsidRPr="00171305">
        <w:instrText xml:space="preserve"> AUTONUM  </w:instrText>
      </w:r>
      <w:r w:rsidRPr="00171305">
        <w:fldChar w:fldCharType="end"/>
      </w:r>
      <w:r>
        <w:tab/>
        <w:t>Se invita al CAJ a:</w:t>
      </w:r>
    </w:p>
    <w:p w:rsidR="00680983" w:rsidRDefault="00680983" w:rsidP="00680983">
      <w:pPr>
        <w:pStyle w:val="DecisionParagraphs"/>
      </w:pPr>
    </w:p>
    <w:p w:rsidR="00680983" w:rsidRDefault="00002258" w:rsidP="00B55DBA">
      <w:pPr>
        <w:pStyle w:val="DecisionParagraphs"/>
        <w:numPr>
          <w:ilvl w:val="0"/>
          <w:numId w:val="12"/>
        </w:numPr>
      </w:pPr>
      <w:r>
        <w:t>aprobar la propuesta de revisión del documento TGP/8/4, “Diseño de ensayos y técnicas utilizados en el examen de la distinción, la homogeneidad y la estabilidad”, que se expone en el Anexo II del presente documento; y</w:t>
      </w:r>
    </w:p>
    <w:p w:rsidR="00680983" w:rsidRDefault="00680983" w:rsidP="00680983">
      <w:pPr>
        <w:pStyle w:val="DecisionParagraphs"/>
        <w:ind w:left="5230"/>
      </w:pPr>
    </w:p>
    <w:p w:rsidR="00680983" w:rsidRDefault="00F82B40" w:rsidP="00B55DBA">
      <w:pPr>
        <w:pStyle w:val="DecisionParagraphs"/>
        <w:numPr>
          <w:ilvl w:val="0"/>
          <w:numId w:val="12"/>
        </w:numPr>
      </w:pPr>
      <w:r>
        <w:t>tomar nota de que, previo acuerdo del CAJ, en 2022 se someterá al Consejo, para que considere su aprobación, la propuesta de revisión del documento TGP/8/4, que figura en el Anexo II del presente documento.</w:t>
      </w:r>
    </w:p>
    <w:p w:rsidR="00680983" w:rsidRPr="00596DE2" w:rsidRDefault="00680983" w:rsidP="00680983">
      <w:pPr>
        <w:pStyle w:val="DecisionParagraphs"/>
        <w:ind w:left="5230"/>
      </w:pPr>
    </w:p>
    <w:p w:rsidR="00680983" w:rsidRPr="00171305" w:rsidRDefault="00680983" w:rsidP="00680983">
      <w:pPr>
        <w:pStyle w:val="DecisionParagraphs"/>
        <w:ind w:left="5230"/>
      </w:pPr>
    </w:p>
    <w:p w:rsidR="00171305" w:rsidRPr="00171305" w:rsidRDefault="00171305" w:rsidP="00171305">
      <w:pPr>
        <w:pStyle w:val="DecisionParagraphs"/>
      </w:pPr>
    </w:p>
    <w:p w:rsidR="00002258" w:rsidRPr="00171305" w:rsidRDefault="00002258" w:rsidP="006C1D0C">
      <w:pPr>
        <w:pStyle w:val="Heading2"/>
      </w:pPr>
      <w:bookmarkStart w:id="23" w:name="_Toc107949450"/>
      <w:bookmarkStart w:id="24" w:name="_Toc109224262"/>
      <w:r>
        <w:t>TGP/12:  Orientación sobre ciertos caracteres fisiológicos (revisión) (Anexo III)</w:t>
      </w:r>
      <w:bookmarkEnd w:id="23"/>
      <w:bookmarkEnd w:id="24"/>
    </w:p>
    <w:p w:rsidR="00002258" w:rsidRPr="00171305" w:rsidRDefault="00002258" w:rsidP="006C1D0C">
      <w:pPr>
        <w:pStyle w:val="Heading2"/>
        <w:rPr>
          <w:snapToGrid w:val="0"/>
        </w:rPr>
      </w:pPr>
    </w:p>
    <w:p w:rsidR="00002258" w:rsidRPr="00171305" w:rsidRDefault="00002258" w:rsidP="00002258">
      <w:pPr>
        <w:keepNext/>
      </w:pPr>
      <w:r w:rsidRPr="00171305">
        <w:fldChar w:fldCharType="begin"/>
      </w:r>
      <w:r w:rsidRPr="00171305">
        <w:instrText xml:space="preserve"> AUTONUM  </w:instrText>
      </w:r>
      <w:r w:rsidRPr="00171305">
        <w:fldChar w:fldCharType="end"/>
      </w:r>
      <w:r>
        <w:tab/>
        <w:t xml:space="preserve">Se invitará al CAJ a acordar la propuesta del TC de modificar el documento TGP/12/2, “Orientación sobre ciertos caracteres fisiológicos”, que se expone en el Anexo III del presente documento. </w:t>
      </w:r>
    </w:p>
    <w:p w:rsidR="00002258" w:rsidRPr="00171305" w:rsidRDefault="00002258" w:rsidP="00002258">
      <w:pPr>
        <w:keepNext/>
      </w:pPr>
    </w:p>
    <w:p w:rsidR="00680983" w:rsidRDefault="00002258" w:rsidP="00002258">
      <w:pPr>
        <w:pStyle w:val="DecisionParagraphs"/>
      </w:pPr>
      <w:r w:rsidRPr="00171305">
        <w:fldChar w:fldCharType="begin"/>
      </w:r>
      <w:r w:rsidRPr="00171305">
        <w:instrText xml:space="preserve"> AUTONUM  </w:instrText>
      </w:r>
      <w:r w:rsidRPr="00171305">
        <w:fldChar w:fldCharType="end"/>
      </w:r>
      <w:r>
        <w:tab/>
        <w:t>Se invita al CAJ a:</w:t>
      </w:r>
    </w:p>
    <w:p w:rsidR="00680983" w:rsidRDefault="00680983" w:rsidP="00002258">
      <w:pPr>
        <w:pStyle w:val="DecisionParagraphs"/>
      </w:pPr>
    </w:p>
    <w:p w:rsidR="00002258" w:rsidRDefault="00002258" w:rsidP="00680983">
      <w:pPr>
        <w:pStyle w:val="DecisionParagraphs"/>
        <w:numPr>
          <w:ilvl w:val="0"/>
          <w:numId w:val="7"/>
        </w:numPr>
      </w:pPr>
      <w:r>
        <w:t>aprobar la propuesta de revisión del documento TGP/12/2 “Orientación sobre ciertos caracteres fisiológicos”, que se expone en el Anexo III; y</w:t>
      </w:r>
    </w:p>
    <w:p w:rsidR="00F82B40" w:rsidRDefault="00F82B40" w:rsidP="00F82B40">
      <w:pPr>
        <w:pStyle w:val="DecisionParagraphs"/>
        <w:ind w:left="5180"/>
      </w:pPr>
    </w:p>
    <w:p w:rsidR="00002258" w:rsidRDefault="00F82B40" w:rsidP="00002258">
      <w:pPr>
        <w:pStyle w:val="DecisionParagraphs"/>
        <w:numPr>
          <w:ilvl w:val="0"/>
          <w:numId w:val="7"/>
        </w:numPr>
      </w:pPr>
      <w:r>
        <w:t xml:space="preserve">tomar nota de </w:t>
      </w:r>
      <w:r w:rsidR="006C1D0C">
        <w:t>que, previo acuerdo del CAJ, en </w:t>
      </w:r>
      <w:r>
        <w:t xml:space="preserve">2022 se someterá al Consejo, para que considere su aprobación, la propuesta de revisión del documento TGP/12/2, que figura en el Anexo </w:t>
      </w:r>
      <w:r w:rsidR="00B55DBA">
        <w:t> </w:t>
      </w:r>
      <w:r>
        <w:t>III del presente documento.</w:t>
      </w:r>
    </w:p>
    <w:p w:rsidR="00002258" w:rsidRDefault="00002258" w:rsidP="00002258"/>
    <w:p w:rsidR="00002258" w:rsidRDefault="00002258" w:rsidP="00002258">
      <w:pPr>
        <w:jc w:val="right"/>
      </w:pPr>
    </w:p>
    <w:p w:rsidR="00002258" w:rsidRDefault="00002258" w:rsidP="00002258">
      <w:pPr>
        <w:jc w:val="right"/>
      </w:pPr>
      <w:r>
        <w:t>[Siguen los anexos]</w:t>
      </w:r>
    </w:p>
    <w:p w:rsidR="00903264" w:rsidRDefault="00903264">
      <w:pPr>
        <w:jc w:val="left"/>
      </w:pPr>
    </w:p>
    <w:p w:rsidR="004A0FA7" w:rsidRDefault="004A0FA7" w:rsidP="00B16054">
      <w:pPr>
        <w:sectPr w:rsidR="004A0FA7" w:rsidSect="0004198B">
          <w:headerReference w:type="default" r:id="rId10"/>
          <w:pgSz w:w="11907" w:h="16840" w:code="9"/>
          <w:pgMar w:top="510" w:right="1134" w:bottom="1134" w:left="1134" w:header="510" w:footer="680" w:gutter="0"/>
          <w:pgNumType w:start="1"/>
          <w:cols w:space="720"/>
          <w:titlePg/>
        </w:sectPr>
      </w:pPr>
    </w:p>
    <w:p w:rsidR="004A0FA7" w:rsidRPr="006A629A" w:rsidRDefault="004A0FA7" w:rsidP="004A0FA7">
      <w:pPr>
        <w:jc w:val="center"/>
        <w:rPr>
          <w:lang w:val="es-419"/>
        </w:rPr>
      </w:pPr>
      <w:r>
        <w:rPr>
          <w:lang w:val="es-419"/>
        </w:rPr>
        <w:lastRenderedPageBreak/>
        <w:t>CAJ/79/3</w:t>
      </w:r>
    </w:p>
    <w:p w:rsidR="004A0FA7" w:rsidRPr="006A629A" w:rsidRDefault="004A0FA7" w:rsidP="004A0FA7">
      <w:pPr>
        <w:jc w:val="center"/>
        <w:rPr>
          <w:lang w:val="es-419"/>
        </w:rPr>
      </w:pPr>
    </w:p>
    <w:p w:rsidR="004A0FA7" w:rsidRPr="006A629A" w:rsidRDefault="004A0FA7" w:rsidP="004A0FA7">
      <w:pPr>
        <w:jc w:val="center"/>
        <w:rPr>
          <w:lang w:val="es-419"/>
        </w:rPr>
      </w:pPr>
      <w:r w:rsidRPr="006A629A">
        <w:rPr>
          <w:lang w:val="es-419"/>
        </w:rPr>
        <w:t>ANEXO I</w:t>
      </w:r>
    </w:p>
    <w:p w:rsidR="004A0FA7" w:rsidRPr="006A629A" w:rsidRDefault="004A0FA7" w:rsidP="004A0FA7">
      <w:pPr>
        <w:rPr>
          <w:lang w:val="es-419"/>
        </w:rPr>
      </w:pPr>
    </w:p>
    <w:p w:rsidR="004A0FA7" w:rsidRPr="006A629A" w:rsidRDefault="004A0FA7" w:rsidP="004A0FA7">
      <w:pPr>
        <w:rPr>
          <w:lang w:val="es-419"/>
        </w:rPr>
      </w:pPr>
    </w:p>
    <w:p w:rsidR="004A0FA7" w:rsidRPr="006A629A" w:rsidRDefault="004A0FA7" w:rsidP="004A0FA7">
      <w:pPr>
        <w:rPr>
          <w:u w:val="single"/>
          <w:lang w:val="es-419"/>
        </w:rPr>
      </w:pPr>
      <w:r w:rsidRPr="006A629A">
        <w:rPr>
          <w:u w:val="single"/>
          <w:lang w:val="es-419"/>
        </w:rPr>
        <w:t>UPOV/EXN/DEN: Notas explicativas sobre las denominaciones de variedades con arreglo al Convenio de la UPOV (revisión)</w:t>
      </w:r>
    </w:p>
    <w:p w:rsidR="004A0FA7" w:rsidRPr="006A629A" w:rsidRDefault="004A0FA7" w:rsidP="004A0FA7">
      <w:pPr>
        <w:rPr>
          <w:lang w:val="es-419"/>
        </w:rPr>
      </w:pPr>
    </w:p>
    <w:p w:rsidR="004A0FA7" w:rsidRPr="006A629A" w:rsidRDefault="004A0FA7" w:rsidP="004A0FA7">
      <w:pPr>
        <w:rPr>
          <w:i/>
          <w:lang w:val="es-419"/>
        </w:rPr>
      </w:pPr>
      <w:r w:rsidRPr="006A629A">
        <w:rPr>
          <w:i/>
          <w:lang w:val="es-419"/>
        </w:rPr>
        <w:t xml:space="preserve">Revisión de la clase de denominación 201 </w:t>
      </w:r>
    </w:p>
    <w:p w:rsidR="004A0FA7" w:rsidRPr="006A629A" w:rsidRDefault="004A0FA7" w:rsidP="004A0FA7">
      <w:pPr>
        <w:rPr>
          <w:lang w:val="es-419"/>
        </w:rPr>
      </w:pPr>
    </w:p>
    <w:p w:rsidR="004A0FA7" w:rsidRPr="006A629A" w:rsidRDefault="004A0FA7" w:rsidP="004A0FA7">
      <w:pPr>
        <w:rPr>
          <w:lang w:val="es-419"/>
        </w:rPr>
      </w:pPr>
      <w:r w:rsidRPr="006A629A">
        <w:rPr>
          <w:lang w:val="es-419"/>
        </w:rPr>
        <w:t>En su quincuagésima séptima sesión, celebrada por medios electrónicos los días 25 y 26 de octubre de 2021, el TC examinó una propuesta de revisión del Anexo I del documento UPOV/EXN/DEN/1, parte II: “Clases que comprenden más de un género”, y convino en proponer la inclusión del género “× </w:t>
      </w:r>
      <w:r w:rsidRPr="006A629A">
        <w:rPr>
          <w:i/>
          <w:iCs/>
          <w:lang w:val="es-419"/>
        </w:rPr>
        <w:t>Trititrigia”</w:t>
      </w:r>
      <w:r w:rsidRPr="006A629A">
        <w:rPr>
          <w:lang w:val="es-419"/>
        </w:rPr>
        <w:t xml:space="preserve"> en la clase de denominación de variedades 201, como se indica a continuación (véase el párrafo 34 del documento TC/57/25 “Informe”).</w:t>
      </w:r>
    </w:p>
    <w:p w:rsidR="004A0FA7" w:rsidRPr="006A629A" w:rsidRDefault="004A0FA7" w:rsidP="004A0FA7">
      <w:pPr>
        <w:rPr>
          <w:rFonts w:cs="Arial"/>
          <w:lang w:val="es-419"/>
        </w:rPr>
      </w:pPr>
    </w:p>
    <w:p w:rsidR="004A0FA7" w:rsidRPr="006A629A" w:rsidRDefault="004A0FA7" w:rsidP="004A0FA7">
      <w:pPr>
        <w:jc w:val="center"/>
        <w:rPr>
          <w:lang w:val="es-419"/>
        </w:rPr>
      </w:pPr>
      <w:r w:rsidRPr="006A629A">
        <w:rPr>
          <w:lang w:val="es-419"/>
        </w:rPr>
        <w:t>LISTA DE CLASES (parte II)</w:t>
      </w:r>
    </w:p>
    <w:p w:rsidR="004A0FA7" w:rsidRPr="006A629A" w:rsidRDefault="004A0FA7" w:rsidP="004A0FA7">
      <w:pPr>
        <w:rPr>
          <w:lang w:val="es-419"/>
        </w:rPr>
      </w:pPr>
    </w:p>
    <w:p w:rsidR="004A0FA7" w:rsidRPr="006A629A" w:rsidRDefault="004A0FA7" w:rsidP="004A0FA7">
      <w:pPr>
        <w:jc w:val="center"/>
        <w:rPr>
          <w:i/>
          <w:lang w:val="es-419"/>
        </w:rPr>
      </w:pPr>
      <w:r w:rsidRPr="006A629A">
        <w:rPr>
          <w:i/>
          <w:lang w:val="es-419"/>
        </w:rPr>
        <w:t>Clases que comprenden más de un género</w:t>
      </w:r>
    </w:p>
    <w:p w:rsidR="004A0FA7" w:rsidRPr="006A629A" w:rsidRDefault="004A0FA7" w:rsidP="004A0FA7">
      <w:pPr>
        <w:jc w:val="center"/>
        <w:rPr>
          <w:i/>
          <w:lang w:val="es-419"/>
        </w:rPr>
      </w:pP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4A0FA7" w:rsidRPr="006A629A" w:rsidTr="00BC78D5">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A0FA7" w:rsidRPr="006A629A" w:rsidRDefault="004A0FA7" w:rsidP="00BC78D5">
            <w:pPr>
              <w:spacing w:before="40" w:after="40"/>
              <w:jc w:val="left"/>
              <w:rPr>
                <w:sz w:val="18"/>
                <w:szCs w:val="18"/>
                <w:u w:val="single"/>
                <w:lang w:val="es-419"/>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0FA7" w:rsidRPr="006A629A" w:rsidRDefault="004A0FA7" w:rsidP="00BC78D5">
            <w:pPr>
              <w:spacing w:before="40" w:after="40"/>
              <w:jc w:val="center"/>
              <w:rPr>
                <w:sz w:val="18"/>
                <w:szCs w:val="18"/>
                <w:lang w:val="es-419"/>
              </w:rPr>
            </w:pPr>
            <w:r w:rsidRPr="006A629A">
              <w:rPr>
                <w:sz w:val="18"/>
                <w:lang w:val="es-419"/>
              </w:rPr>
              <w:t>Nombre botánico</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0FA7" w:rsidRPr="006A629A" w:rsidRDefault="004A0FA7" w:rsidP="00BC78D5">
            <w:pPr>
              <w:spacing w:before="40" w:after="40"/>
              <w:jc w:val="center"/>
              <w:rPr>
                <w:sz w:val="18"/>
                <w:szCs w:val="18"/>
                <w:lang w:val="es-419"/>
              </w:rPr>
            </w:pPr>
            <w:r w:rsidRPr="006A629A">
              <w:rPr>
                <w:sz w:val="18"/>
                <w:lang w:val="es-419"/>
              </w:rPr>
              <w:t>Código UPOV</w:t>
            </w:r>
          </w:p>
        </w:tc>
      </w:tr>
      <w:tr w:rsidR="004A0FA7" w:rsidRPr="006A629A" w:rsidTr="00BC78D5">
        <w:trPr>
          <w:cantSplit/>
          <w:tblHeader/>
        </w:trPr>
        <w:tc>
          <w:tcPr>
            <w:tcW w:w="1277" w:type="dxa"/>
            <w:tcBorders>
              <w:top w:val="nil"/>
              <w:left w:val="nil"/>
              <w:bottom w:val="nil"/>
              <w:right w:val="nil"/>
            </w:tcBorders>
          </w:tcPr>
          <w:p w:rsidR="004A0FA7" w:rsidRPr="006A629A" w:rsidRDefault="004A0FA7" w:rsidP="00BC78D5">
            <w:pPr>
              <w:keepNext/>
              <w:spacing w:before="40" w:after="40"/>
              <w:jc w:val="left"/>
              <w:rPr>
                <w:sz w:val="10"/>
                <w:szCs w:val="18"/>
                <w:lang w:val="es-419"/>
              </w:rPr>
            </w:pPr>
          </w:p>
        </w:tc>
        <w:tc>
          <w:tcPr>
            <w:tcW w:w="4473" w:type="dxa"/>
            <w:tcBorders>
              <w:top w:val="nil"/>
              <w:left w:val="nil"/>
              <w:bottom w:val="nil"/>
              <w:right w:val="nil"/>
            </w:tcBorders>
          </w:tcPr>
          <w:p w:rsidR="004A0FA7" w:rsidRPr="006A629A" w:rsidRDefault="004A0FA7" w:rsidP="00BC78D5">
            <w:pPr>
              <w:keepNext/>
              <w:spacing w:before="40" w:after="40"/>
              <w:jc w:val="left"/>
              <w:rPr>
                <w:sz w:val="10"/>
                <w:szCs w:val="18"/>
                <w:lang w:val="es-419"/>
              </w:rPr>
            </w:pPr>
          </w:p>
        </w:tc>
        <w:tc>
          <w:tcPr>
            <w:tcW w:w="4034" w:type="dxa"/>
            <w:tcBorders>
              <w:top w:val="nil"/>
              <w:left w:val="nil"/>
              <w:bottom w:val="nil"/>
              <w:right w:val="nil"/>
            </w:tcBorders>
          </w:tcPr>
          <w:p w:rsidR="004A0FA7" w:rsidRPr="006A629A" w:rsidRDefault="004A0FA7" w:rsidP="00BC78D5">
            <w:pPr>
              <w:keepNext/>
              <w:spacing w:before="40" w:after="40"/>
              <w:jc w:val="left"/>
              <w:rPr>
                <w:sz w:val="10"/>
                <w:szCs w:val="18"/>
                <w:lang w:val="es-419"/>
              </w:rPr>
            </w:pPr>
          </w:p>
        </w:tc>
      </w:tr>
      <w:tr w:rsidR="004A0FA7" w:rsidRPr="006A629A" w:rsidTr="00BC78D5">
        <w:trPr>
          <w:cantSplit/>
        </w:trPr>
        <w:tc>
          <w:tcPr>
            <w:tcW w:w="1277"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spacing w:before="40" w:after="40"/>
              <w:jc w:val="left"/>
              <w:rPr>
                <w:sz w:val="18"/>
                <w:szCs w:val="18"/>
                <w:lang w:val="es-419"/>
              </w:rPr>
            </w:pPr>
            <w:r w:rsidRPr="006A629A">
              <w:rPr>
                <w:sz w:val="18"/>
                <w:lang w:val="es-419"/>
              </w:rPr>
              <w:t>Clase 201</w:t>
            </w:r>
          </w:p>
        </w:tc>
        <w:tc>
          <w:tcPr>
            <w:tcW w:w="4473"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keepNext/>
              <w:spacing w:before="40" w:after="40"/>
              <w:jc w:val="left"/>
              <w:rPr>
                <w:sz w:val="18"/>
                <w:szCs w:val="18"/>
                <w:lang w:val="es-419"/>
              </w:rPr>
            </w:pPr>
            <w:r w:rsidRPr="006A629A">
              <w:rPr>
                <w:i/>
                <w:sz w:val="18"/>
                <w:lang w:val="es-419"/>
              </w:rPr>
              <w:t>Secale</w:t>
            </w:r>
            <w:r w:rsidRPr="006A629A">
              <w:rPr>
                <w:sz w:val="18"/>
                <w:lang w:val="es-419"/>
              </w:rPr>
              <w:t xml:space="preserve">, </w:t>
            </w:r>
            <w:r w:rsidRPr="006A629A">
              <w:rPr>
                <w:i/>
                <w:sz w:val="18"/>
                <w:lang w:val="es-419"/>
              </w:rPr>
              <w:t>Triticale</w:t>
            </w:r>
            <w:r w:rsidRPr="006A629A">
              <w:rPr>
                <w:sz w:val="18"/>
                <w:lang w:val="es-419"/>
              </w:rPr>
              <w:t xml:space="preserve">, </w:t>
            </w:r>
            <w:r w:rsidRPr="006A629A">
              <w:rPr>
                <w:i/>
                <w:sz w:val="18"/>
                <w:lang w:val="es-419"/>
              </w:rPr>
              <w:t xml:space="preserve">Triticum, </w:t>
            </w:r>
            <w:r w:rsidRPr="00B55DBA">
              <w:rPr>
                <w:sz w:val="18"/>
                <w:highlight w:val="lightGray"/>
                <w:u w:val="single"/>
                <w:lang w:val="es-419"/>
              </w:rPr>
              <w:t>×</w:t>
            </w:r>
            <w:r w:rsidRPr="00B55DBA">
              <w:rPr>
                <w:i/>
                <w:sz w:val="18"/>
                <w:highlight w:val="lightGray"/>
                <w:u w:val="single"/>
                <w:lang w:val="es-419"/>
              </w:rPr>
              <w:t>Trititrigia</w:t>
            </w:r>
          </w:p>
        </w:tc>
        <w:tc>
          <w:tcPr>
            <w:tcW w:w="4034"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keepNext/>
              <w:spacing w:before="40" w:after="40"/>
              <w:jc w:val="left"/>
              <w:rPr>
                <w:sz w:val="18"/>
                <w:szCs w:val="18"/>
                <w:lang w:val="es-419"/>
              </w:rPr>
            </w:pPr>
            <w:r w:rsidRPr="006A629A">
              <w:rPr>
                <w:sz w:val="18"/>
                <w:lang w:val="es-419"/>
              </w:rPr>
              <w:t xml:space="preserve">SECAL; TRITL; TRITI; </w:t>
            </w:r>
            <w:r w:rsidRPr="00B55DBA">
              <w:rPr>
                <w:sz w:val="18"/>
                <w:highlight w:val="lightGray"/>
                <w:u w:val="single"/>
                <w:lang w:val="es-419"/>
              </w:rPr>
              <w:t>TRITT</w:t>
            </w:r>
          </w:p>
        </w:tc>
      </w:tr>
    </w:tbl>
    <w:p w:rsidR="004A0FA7" w:rsidRPr="006A629A" w:rsidRDefault="004A0FA7" w:rsidP="004A0FA7">
      <w:pPr>
        <w:ind w:left="1134" w:hanging="567"/>
        <w:rPr>
          <w:lang w:val="es-419"/>
        </w:rPr>
      </w:pPr>
    </w:p>
    <w:p w:rsidR="004A0FA7" w:rsidRPr="006A629A" w:rsidRDefault="004A0FA7" w:rsidP="004A0FA7">
      <w:pPr>
        <w:ind w:left="-142" w:right="312"/>
        <w:jc w:val="right"/>
        <w:rPr>
          <w:lang w:val="es-419"/>
        </w:rPr>
      </w:pPr>
    </w:p>
    <w:p w:rsidR="004A0FA7" w:rsidRPr="006A629A" w:rsidRDefault="004A0FA7" w:rsidP="004A0FA7">
      <w:pPr>
        <w:jc w:val="left"/>
        <w:rPr>
          <w:lang w:val="es-419"/>
        </w:rPr>
      </w:pPr>
    </w:p>
    <w:p w:rsidR="004A0FA7" w:rsidRPr="006A629A" w:rsidRDefault="004A0FA7" w:rsidP="004A0FA7">
      <w:pPr>
        <w:jc w:val="left"/>
        <w:rPr>
          <w:lang w:val="es-419"/>
        </w:rPr>
      </w:pPr>
    </w:p>
    <w:p w:rsidR="004A0FA7" w:rsidRPr="006A629A" w:rsidRDefault="004A0FA7" w:rsidP="004A0FA7">
      <w:pPr>
        <w:jc w:val="left"/>
        <w:rPr>
          <w:lang w:val="es-419"/>
        </w:rPr>
      </w:pPr>
    </w:p>
    <w:p w:rsidR="004A0FA7" w:rsidRPr="006A629A" w:rsidRDefault="004A0FA7" w:rsidP="004A0FA7">
      <w:pPr>
        <w:jc w:val="left"/>
        <w:rPr>
          <w:lang w:val="es-419"/>
        </w:rPr>
      </w:pPr>
    </w:p>
    <w:p w:rsidR="004A0FA7" w:rsidRPr="006A629A" w:rsidRDefault="004A0FA7" w:rsidP="004A0FA7">
      <w:pPr>
        <w:jc w:val="right"/>
        <w:rPr>
          <w:lang w:val="es-419"/>
        </w:rPr>
      </w:pPr>
      <w:r w:rsidRPr="006A629A">
        <w:rPr>
          <w:lang w:val="es-419"/>
        </w:rPr>
        <w:t>[Sigue el Anexo II]</w:t>
      </w:r>
    </w:p>
    <w:p w:rsidR="004A0FA7" w:rsidRPr="006A629A" w:rsidRDefault="004A0FA7" w:rsidP="004A0FA7">
      <w:pPr>
        <w:rPr>
          <w:lang w:val="es-419"/>
        </w:rPr>
        <w:sectPr w:rsidR="004A0FA7" w:rsidRPr="006A629A" w:rsidSect="0004198B">
          <w:pgSz w:w="11907" w:h="16840" w:code="9"/>
          <w:pgMar w:top="510" w:right="1134" w:bottom="1134" w:left="1134" w:header="510" w:footer="680" w:gutter="0"/>
          <w:pgNumType w:start="1"/>
          <w:cols w:space="720"/>
          <w:titlePg/>
        </w:sectPr>
      </w:pPr>
    </w:p>
    <w:p w:rsidR="004A0FA7" w:rsidRPr="006A629A" w:rsidRDefault="004A0FA7" w:rsidP="004A0FA7">
      <w:pPr>
        <w:jc w:val="center"/>
        <w:rPr>
          <w:lang w:val="es-419"/>
        </w:rPr>
      </w:pPr>
      <w:r>
        <w:rPr>
          <w:lang w:val="es-419"/>
        </w:rPr>
        <w:lastRenderedPageBreak/>
        <w:t>CAJ/79/3</w:t>
      </w:r>
    </w:p>
    <w:p w:rsidR="004A0FA7" w:rsidRPr="006A629A" w:rsidRDefault="004A0FA7" w:rsidP="004A0FA7">
      <w:pPr>
        <w:jc w:val="center"/>
        <w:rPr>
          <w:lang w:val="es-419"/>
        </w:rPr>
      </w:pPr>
    </w:p>
    <w:p w:rsidR="004A0FA7" w:rsidRPr="006A629A" w:rsidRDefault="004A0FA7" w:rsidP="004A0FA7">
      <w:pPr>
        <w:jc w:val="center"/>
        <w:rPr>
          <w:lang w:val="es-419"/>
        </w:rPr>
      </w:pPr>
      <w:r w:rsidRPr="006A629A">
        <w:rPr>
          <w:lang w:val="es-419"/>
        </w:rPr>
        <w:t>ANEXO II</w:t>
      </w:r>
    </w:p>
    <w:p w:rsidR="004A0FA7" w:rsidRPr="006A629A" w:rsidRDefault="004A0FA7" w:rsidP="004A0FA7">
      <w:pPr>
        <w:rPr>
          <w:lang w:val="es-419"/>
        </w:rPr>
      </w:pPr>
    </w:p>
    <w:p w:rsidR="004A0FA7" w:rsidRPr="006A629A" w:rsidRDefault="004A0FA7" w:rsidP="004A0FA7">
      <w:pPr>
        <w:rPr>
          <w:sz w:val="18"/>
          <w:szCs w:val="18"/>
          <w:lang w:val="es-419"/>
        </w:rPr>
      </w:pPr>
    </w:p>
    <w:p w:rsidR="004A0FA7" w:rsidRPr="00B55DBA" w:rsidRDefault="004A0FA7" w:rsidP="004A0FA7">
      <w:pPr>
        <w:rPr>
          <w:u w:val="single"/>
          <w:lang w:val="es-419"/>
        </w:rPr>
      </w:pPr>
      <w:r w:rsidRPr="00B55DBA">
        <w:rPr>
          <w:u w:val="single"/>
          <w:lang w:val="es-419"/>
        </w:rPr>
        <w:t>Documento TGP/8: Diseño de ensayos y técnicas utilizados en el examen de la distinción, la homogeneidad y la estabilidad (revisión)</w:t>
      </w:r>
    </w:p>
    <w:p w:rsidR="004A0FA7" w:rsidRPr="006A629A" w:rsidRDefault="004A0FA7" w:rsidP="004A0FA7">
      <w:pPr>
        <w:keepNext/>
        <w:rPr>
          <w:lang w:val="es-419"/>
        </w:rPr>
      </w:pPr>
    </w:p>
    <w:p w:rsidR="004A0FA7" w:rsidRPr="006A629A" w:rsidRDefault="004A0FA7" w:rsidP="004A0FA7">
      <w:pPr>
        <w:rPr>
          <w:rFonts w:eastAsia="MS Mincho"/>
          <w:i/>
          <w:lang w:val="es-419"/>
        </w:rPr>
      </w:pPr>
      <w:r w:rsidRPr="006A629A">
        <w:rPr>
          <w:i/>
          <w:lang w:val="es-419"/>
        </w:rPr>
        <w:t xml:space="preserve">Tratamiento de datos para la elaboración de descripciones de variedades en el caso de los caracteres cuantitativos medidos </w:t>
      </w:r>
    </w:p>
    <w:p w:rsidR="004A0FA7" w:rsidRPr="006A629A" w:rsidRDefault="004A0FA7" w:rsidP="004A0FA7">
      <w:pPr>
        <w:rPr>
          <w:lang w:val="es-419"/>
        </w:rPr>
      </w:pPr>
    </w:p>
    <w:p w:rsidR="004A0FA7" w:rsidRPr="006A629A" w:rsidRDefault="004A0FA7" w:rsidP="004A0FA7">
      <w:pPr>
        <w:rPr>
          <w:lang w:val="es-419"/>
        </w:rPr>
      </w:pPr>
      <w:r w:rsidRPr="006A629A">
        <w:rPr>
          <w:lang w:val="es-419"/>
        </w:rPr>
        <w:t>En su quincuagésima séptima sesión, celebrada por medios electrónicos los días 25 y 26 de octubre de 2021, el TC convino en que la orientación sobre “Diferentes formas que pueden adoptar las descripciones de variedades y la importancia de los niveles de escala” se incluya en el documento TGP/8, parte I, sección 2 “Datos que han de registrarse”, como una nueva sección 2.5, según se expone a continuación (véase el párrafo 27 del documento TC/57/25 “Informe”).</w:t>
      </w:r>
    </w:p>
    <w:p w:rsidR="004A0FA7" w:rsidRPr="006A629A" w:rsidRDefault="004A0FA7" w:rsidP="004A0FA7">
      <w:pPr>
        <w:rPr>
          <w:lang w:val="es-419"/>
        </w:rPr>
      </w:pPr>
    </w:p>
    <w:p w:rsidR="004A0FA7" w:rsidRPr="006A629A" w:rsidRDefault="004A0FA7" w:rsidP="004A0FA7">
      <w:pPr>
        <w:jc w:val="center"/>
        <w:rPr>
          <w:lang w:val="es-419"/>
        </w:rPr>
      </w:pPr>
    </w:p>
    <w:p w:rsidR="004A0FA7" w:rsidRPr="006A629A" w:rsidRDefault="004A0FA7" w:rsidP="004A0FA7">
      <w:pPr>
        <w:jc w:val="center"/>
        <w:rPr>
          <w:sz w:val="18"/>
          <w:lang w:val="es-419"/>
        </w:rPr>
      </w:pPr>
      <w:r w:rsidRPr="006A629A">
        <w:rPr>
          <w:sz w:val="18"/>
          <w:lang w:val="es-419"/>
        </w:rPr>
        <w:t xml:space="preserve">DIFERENTES FORMAS QUE PUEDEN ADOPTAR LAS DESCRIPCIONES DE VARIEDADES </w:t>
      </w:r>
    </w:p>
    <w:p w:rsidR="004A0FA7" w:rsidRPr="006A629A" w:rsidRDefault="004A0FA7" w:rsidP="004A0FA7">
      <w:pPr>
        <w:jc w:val="center"/>
        <w:rPr>
          <w:sz w:val="18"/>
          <w:lang w:val="es-419"/>
        </w:rPr>
      </w:pPr>
      <w:r w:rsidRPr="006A629A">
        <w:rPr>
          <w:sz w:val="18"/>
          <w:lang w:val="es-419"/>
        </w:rPr>
        <w:t>Y LA IMPORTANCIA DE LOS NIVELES DE ESCALA</w:t>
      </w:r>
    </w:p>
    <w:p w:rsidR="004A0FA7" w:rsidRPr="006A629A" w:rsidRDefault="004A0FA7" w:rsidP="004A0FA7">
      <w:pPr>
        <w:rPr>
          <w:sz w:val="18"/>
          <w:lang w:val="es-419"/>
        </w:rPr>
      </w:pPr>
    </w:p>
    <w:p w:rsidR="004A0FA7" w:rsidRPr="006A629A" w:rsidRDefault="004A0FA7" w:rsidP="004A0FA7">
      <w:pPr>
        <w:ind w:left="709" w:right="567"/>
        <w:rPr>
          <w:rFonts w:cs="Arial"/>
          <w:sz w:val="18"/>
          <w:lang w:val="es-419"/>
        </w:rPr>
      </w:pPr>
      <w:r w:rsidRPr="006A629A">
        <w:rPr>
          <w:sz w:val="18"/>
          <w:lang w:val="es-419"/>
        </w:rPr>
        <w:t>Las descripciones de variedades se pueden basar en diferentes datos, según la finalidad de la descripción.  Las descripciones de variedades pueden ser diferentes si se las utiliza para evaluar la distinción o en el documento oficial en que se fundamenta la concesión de la protección. Cuando las descripciones de variedades se emplean para evaluar la distinción, es importante tener en cuenta en qué datos se basan las descripciones de las diferentes variedades. Se debe prestar una atención especial a la posible influencia de los años y los lugares de cultivo.</w:t>
      </w:r>
    </w:p>
    <w:p w:rsidR="004A0FA7" w:rsidRPr="006A629A" w:rsidRDefault="004A0FA7" w:rsidP="004A0FA7">
      <w:pPr>
        <w:ind w:left="709" w:right="567"/>
        <w:rPr>
          <w:rFonts w:cs="Arial"/>
          <w:sz w:val="18"/>
          <w:lang w:val="es-419"/>
        </w:rPr>
      </w:pPr>
    </w:p>
    <w:p w:rsidR="004A0FA7" w:rsidRPr="006A629A" w:rsidRDefault="004A0FA7" w:rsidP="004A0FA7">
      <w:pPr>
        <w:ind w:left="709" w:right="567"/>
        <w:rPr>
          <w:rFonts w:cs="Arial"/>
          <w:sz w:val="18"/>
          <w:lang w:val="es-419"/>
        </w:rPr>
      </w:pPr>
      <w:r w:rsidRPr="006A629A">
        <w:rPr>
          <w:sz w:val="18"/>
          <w:lang w:val="es-419"/>
        </w:rPr>
        <w:t>Las diferentes formas que adoptan las descripciones de variedades y su importancia en la evaluación de la distinción se pueden clasificar según los distintos niveles del proceso de examen de un carácter. Los niveles del proceso se definen en el documento TGP/8: Parte I “Diseño de ensayos DHE y análisis de datos” sección 2 “Datos que han de registrarse” de la siguiente manera:</w:t>
      </w:r>
    </w:p>
    <w:p w:rsidR="004A0FA7" w:rsidRPr="006A629A" w:rsidRDefault="004A0FA7" w:rsidP="004A0FA7">
      <w:pPr>
        <w:rPr>
          <w:rFonts w:cs="Arial"/>
          <w:lang w:val="es-419"/>
        </w:rPr>
      </w:pPr>
    </w:p>
    <w:p w:rsidR="004A0FA7" w:rsidRPr="006A629A" w:rsidRDefault="004A0FA7" w:rsidP="004A0FA7">
      <w:pPr>
        <w:tabs>
          <w:tab w:val="left" w:pos="9072"/>
        </w:tabs>
        <w:autoSpaceDE w:val="0"/>
        <w:autoSpaceDN w:val="0"/>
        <w:adjustRightInd w:val="0"/>
        <w:spacing w:line="271" w:lineRule="exact"/>
        <w:ind w:left="567"/>
        <w:rPr>
          <w:rFonts w:cs="Arial"/>
          <w:sz w:val="18"/>
          <w:lang w:val="es-419"/>
        </w:rPr>
      </w:pPr>
      <w:r w:rsidRPr="006A629A">
        <w:rPr>
          <w:i/>
          <w:sz w:val="18"/>
          <w:lang w:val="es-419"/>
        </w:rPr>
        <w:t>Cuadro 5: Definición de los distintos niveles del proceso de examen de los caracteres</w:t>
      </w:r>
    </w:p>
    <w:p w:rsidR="004A0FA7" w:rsidRPr="006A629A" w:rsidRDefault="004A0FA7" w:rsidP="004A0FA7">
      <w:pPr>
        <w:autoSpaceDE w:val="0"/>
        <w:autoSpaceDN w:val="0"/>
        <w:adjustRightInd w:val="0"/>
        <w:spacing w:before="2" w:line="280" w:lineRule="exact"/>
        <w:rPr>
          <w:rFonts w:cs="Arial"/>
          <w:sz w:val="10"/>
          <w:szCs w:val="12"/>
          <w:lang w:val="es-419"/>
        </w:rPr>
      </w:pPr>
    </w:p>
    <w:tbl>
      <w:tblPr>
        <w:tblW w:w="0" w:type="auto"/>
        <w:tblInd w:w="572" w:type="dxa"/>
        <w:tblLayout w:type="fixed"/>
        <w:tblCellMar>
          <w:left w:w="0" w:type="dxa"/>
          <w:right w:w="0" w:type="dxa"/>
        </w:tblCellMar>
        <w:tblLook w:val="04A0" w:firstRow="1" w:lastRow="0" w:firstColumn="1" w:lastColumn="0" w:noHBand="0" w:noVBand="1"/>
      </w:tblPr>
      <w:tblGrid>
        <w:gridCol w:w="1680"/>
        <w:gridCol w:w="5245"/>
      </w:tblGrid>
      <w:tr w:rsidR="004A0FA7" w:rsidRPr="006A629A" w:rsidTr="00BC78D5">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hideMark/>
          </w:tcPr>
          <w:p w:rsidR="004A0FA7" w:rsidRPr="006A629A" w:rsidRDefault="004A0FA7" w:rsidP="00BC78D5">
            <w:pPr>
              <w:autoSpaceDE w:val="0"/>
              <w:autoSpaceDN w:val="0"/>
              <w:adjustRightInd w:val="0"/>
              <w:spacing w:before="37"/>
              <w:ind w:left="35"/>
              <w:jc w:val="center"/>
              <w:rPr>
                <w:rFonts w:cs="Arial"/>
                <w:sz w:val="18"/>
                <w:lang w:val="es-419"/>
              </w:rPr>
            </w:pPr>
            <w:r w:rsidRPr="006A629A">
              <w:rPr>
                <w:sz w:val="18"/>
                <w:lang w:val="es-419"/>
              </w:rPr>
              <w:t>Nivel del proceso</w:t>
            </w:r>
          </w:p>
        </w:tc>
        <w:tc>
          <w:tcPr>
            <w:tcW w:w="5245" w:type="dxa"/>
            <w:tcBorders>
              <w:top w:val="single" w:sz="4" w:space="0" w:color="auto"/>
              <w:left w:val="single" w:sz="4" w:space="0" w:color="auto"/>
              <w:bottom w:val="single" w:sz="4" w:space="0" w:color="auto"/>
              <w:right w:val="single" w:sz="4" w:space="0" w:color="auto"/>
            </w:tcBorders>
            <w:shd w:val="clear" w:color="auto" w:fill="DFDFDF"/>
            <w:hideMark/>
          </w:tcPr>
          <w:p w:rsidR="004A0FA7" w:rsidRPr="006A629A" w:rsidRDefault="004A0FA7" w:rsidP="00BC78D5">
            <w:pPr>
              <w:autoSpaceDE w:val="0"/>
              <w:autoSpaceDN w:val="0"/>
              <w:adjustRightInd w:val="0"/>
              <w:spacing w:before="37"/>
              <w:ind w:left="231"/>
              <w:rPr>
                <w:rFonts w:cs="Arial"/>
                <w:sz w:val="18"/>
                <w:lang w:val="es-419"/>
              </w:rPr>
            </w:pPr>
            <w:r w:rsidRPr="006A629A">
              <w:rPr>
                <w:sz w:val="18"/>
                <w:lang w:val="es-419"/>
              </w:rPr>
              <w:t>Descripción del nivel del proceso</w:t>
            </w:r>
          </w:p>
        </w:tc>
      </w:tr>
      <w:tr w:rsidR="004A0FA7" w:rsidRPr="006A629A" w:rsidTr="00BC78D5">
        <w:trPr>
          <w:trHeight w:hRule="exact" w:val="342"/>
        </w:trPr>
        <w:tc>
          <w:tcPr>
            <w:tcW w:w="1680"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autoSpaceDE w:val="0"/>
              <w:autoSpaceDN w:val="0"/>
              <w:adjustRightInd w:val="0"/>
              <w:spacing w:before="37"/>
              <w:ind w:left="60"/>
              <w:jc w:val="center"/>
              <w:rPr>
                <w:rFonts w:cs="Arial"/>
                <w:sz w:val="18"/>
                <w:lang w:val="es-419"/>
              </w:rPr>
            </w:pPr>
            <w:r w:rsidRPr="006A629A">
              <w:rPr>
                <w:sz w:val="18"/>
                <w:lang w:val="es-419"/>
              </w:rPr>
              <w:t>1</w:t>
            </w:r>
          </w:p>
        </w:tc>
        <w:tc>
          <w:tcPr>
            <w:tcW w:w="5245"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autoSpaceDE w:val="0"/>
              <w:autoSpaceDN w:val="0"/>
              <w:adjustRightInd w:val="0"/>
              <w:spacing w:before="37"/>
              <w:ind w:left="231"/>
              <w:rPr>
                <w:rFonts w:cs="Arial"/>
                <w:sz w:val="18"/>
                <w:lang w:val="es-419"/>
              </w:rPr>
            </w:pPr>
            <w:r w:rsidRPr="006A629A">
              <w:rPr>
                <w:sz w:val="18"/>
                <w:lang w:val="es-419"/>
              </w:rPr>
              <w:t>caracteres expresados en el ensayo</w:t>
            </w:r>
          </w:p>
        </w:tc>
      </w:tr>
      <w:tr w:rsidR="004A0FA7" w:rsidRPr="006A629A" w:rsidTr="00BC78D5">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autoSpaceDE w:val="0"/>
              <w:autoSpaceDN w:val="0"/>
              <w:adjustRightInd w:val="0"/>
              <w:spacing w:before="37"/>
              <w:ind w:left="60"/>
              <w:jc w:val="center"/>
              <w:rPr>
                <w:rFonts w:cs="Arial"/>
                <w:sz w:val="18"/>
                <w:lang w:val="es-419"/>
              </w:rPr>
            </w:pPr>
            <w:r w:rsidRPr="006A629A">
              <w:rPr>
                <w:sz w:val="18"/>
                <w:lang w:val="es-419"/>
              </w:rPr>
              <w:t>2</w:t>
            </w:r>
          </w:p>
        </w:tc>
        <w:tc>
          <w:tcPr>
            <w:tcW w:w="5245"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autoSpaceDE w:val="0"/>
              <w:autoSpaceDN w:val="0"/>
              <w:adjustRightInd w:val="0"/>
              <w:spacing w:before="37"/>
              <w:ind w:left="231"/>
              <w:rPr>
                <w:rFonts w:cs="Arial"/>
                <w:sz w:val="18"/>
                <w:lang w:val="es-419"/>
              </w:rPr>
            </w:pPr>
            <w:r w:rsidRPr="006A629A">
              <w:rPr>
                <w:sz w:val="18"/>
                <w:lang w:val="es-419"/>
              </w:rPr>
              <w:t>datos para la evaluación de los caracteres</w:t>
            </w:r>
          </w:p>
        </w:tc>
      </w:tr>
      <w:tr w:rsidR="004A0FA7" w:rsidRPr="006A629A" w:rsidTr="00BC78D5">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autoSpaceDE w:val="0"/>
              <w:autoSpaceDN w:val="0"/>
              <w:adjustRightInd w:val="0"/>
              <w:spacing w:before="37"/>
              <w:ind w:left="60"/>
              <w:jc w:val="center"/>
              <w:rPr>
                <w:rFonts w:cs="Arial"/>
                <w:sz w:val="18"/>
                <w:lang w:val="es-419"/>
              </w:rPr>
            </w:pPr>
            <w:r w:rsidRPr="006A629A">
              <w:rPr>
                <w:sz w:val="18"/>
                <w:lang w:val="es-419"/>
              </w:rPr>
              <w:t>3</w:t>
            </w:r>
          </w:p>
        </w:tc>
        <w:tc>
          <w:tcPr>
            <w:tcW w:w="5245"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autoSpaceDE w:val="0"/>
              <w:autoSpaceDN w:val="0"/>
              <w:adjustRightInd w:val="0"/>
              <w:spacing w:before="37"/>
              <w:ind w:left="231"/>
              <w:rPr>
                <w:rFonts w:cs="Arial"/>
                <w:sz w:val="18"/>
                <w:lang w:val="es-419"/>
              </w:rPr>
            </w:pPr>
            <w:r w:rsidRPr="006A629A">
              <w:rPr>
                <w:sz w:val="18"/>
                <w:lang w:val="es-419"/>
              </w:rPr>
              <w:t>descripción de la variedad</w:t>
            </w:r>
          </w:p>
        </w:tc>
      </w:tr>
    </w:tbl>
    <w:p w:rsidR="004A0FA7" w:rsidRPr="006A629A" w:rsidRDefault="004A0FA7" w:rsidP="004A0FA7">
      <w:pPr>
        <w:autoSpaceDE w:val="0"/>
        <w:autoSpaceDN w:val="0"/>
        <w:adjustRightInd w:val="0"/>
        <w:spacing w:before="18" w:line="220" w:lineRule="exact"/>
        <w:rPr>
          <w:rFonts w:cs="Arial"/>
          <w:lang w:val="es-419"/>
        </w:rPr>
      </w:pPr>
    </w:p>
    <w:p w:rsidR="004A0FA7" w:rsidRPr="006A629A" w:rsidRDefault="004A0FA7" w:rsidP="004A0FA7">
      <w:pPr>
        <w:ind w:left="567" w:right="567"/>
        <w:rPr>
          <w:rFonts w:cs="Arial"/>
          <w:sz w:val="18"/>
          <w:lang w:val="es-419"/>
        </w:rPr>
      </w:pPr>
      <w:r w:rsidRPr="006A629A">
        <w:rPr>
          <w:sz w:val="18"/>
          <w:lang w:val="es-419"/>
        </w:rPr>
        <w:t>Los niveles del proceso que tienen importancia para la evaluación de la distinción son el nivel 2 y el nivel 3. Cualquier comparación entre variedades en un mismo ensayo [mismo(s) año(s), mismo lugar] se lleva a cabo con los datos reales registrados en el ensayo. Este planteamiento es el que corresponde al nivel 2 del proceso. Si las variedades no se cultivan en el mismo ensayo, se las debe comparar a partir de las descripciones de variedades, planteamiento que se aplica al nivel 3 del proceso. En general, la identificación de las variedades similares que se han de incluir en el ensayo en cultivo (“Gestión de las colecciones de variedades”) concierne al nivel 3 del proceso; mientras que la evaluación de datos en el ensayo en cultivo atañe al nivel 2 del proceso.</w:t>
      </w:r>
    </w:p>
    <w:p w:rsidR="004A0FA7" w:rsidRPr="006A629A" w:rsidRDefault="004A0FA7" w:rsidP="004A0FA7">
      <w:pPr>
        <w:rPr>
          <w:rFonts w:cs="Arial"/>
          <w:lang w:val="es-419"/>
        </w:rPr>
      </w:pPr>
    </w:p>
    <w:tbl>
      <w:tblPr>
        <w:tblStyle w:val="TableGrid"/>
        <w:tblpPr w:leftFromText="141" w:rightFromText="141" w:vertAnchor="text" w:tblpX="108" w:tblpY="1"/>
        <w:tblOverlap w:val="never"/>
        <w:tblW w:w="0" w:type="auto"/>
        <w:tblInd w:w="0" w:type="dxa"/>
        <w:tblLook w:val="04A0" w:firstRow="1" w:lastRow="0" w:firstColumn="1" w:lastColumn="0" w:noHBand="0" w:noVBand="1"/>
      </w:tblPr>
      <w:tblGrid>
        <w:gridCol w:w="1101"/>
        <w:gridCol w:w="2268"/>
        <w:gridCol w:w="2976"/>
        <w:gridCol w:w="2867"/>
      </w:tblGrid>
      <w:tr w:rsidR="004A0FA7" w:rsidRPr="006A629A" w:rsidTr="00BC78D5">
        <w:tc>
          <w:tcPr>
            <w:tcW w:w="1101"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jc w:val="center"/>
              <w:rPr>
                <w:rFonts w:cs="Arial"/>
                <w:sz w:val="18"/>
                <w:lang w:val="es-419"/>
              </w:rPr>
            </w:pPr>
            <w:r w:rsidRPr="006A629A">
              <w:rPr>
                <w:sz w:val="18"/>
                <w:lang w:val="es-419"/>
              </w:rPr>
              <w:t>Nivel del proceso</w:t>
            </w:r>
          </w:p>
        </w:tc>
        <w:tc>
          <w:tcPr>
            <w:tcW w:w="2268"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jc w:val="center"/>
              <w:rPr>
                <w:rFonts w:cs="Arial"/>
                <w:sz w:val="18"/>
                <w:lang w:val="es-419"/>
              </w:rPr>
            </w:pPr>
            <w:r w:rsidRPr="006A629A">
              <w:rPr>
                <w:sz w:val="18"/>
                <w:lang w:val="es-419"/>
              </w:rPr>
              <w:t>Mediciones</w:t>
            </w:r>
          </w:p>
          <w:p w:rsidR="004A0FA7" w:rsidRPr="006A629A" w:rsidRDefault="004A0FA7" w:rsidP="00BC78D5">
            <w:pPr>
              <w:jc w:val="center"/>
              <w:rPr>
                <w:rFonts w:cs="Arial"/>
                <w:sz w:val="18"/>
                <w:lang w:val="es-419"/>
              </w:rPr>
            </w:pPr>
            <w:r w:rsidRPr="006A629A">
              <w:rPr>
                <w:sz w:val="18"/>
                <w:lang w:val="es-419"/>
              </w:rPr>
              <w:t>QN</w:t>
            </w:r>
          </w:p>
        </w:tc>
        <w:tc>
          <w:tcPr>
            <w:tcW w:w="2976"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jc w:val="center"/>
              <w:rPr>
                <w:rFonts w:cs="Arial"/>
                <w:sz w:val="18"/>
                <w:lang w:val="es-419"/>
              </w:rPr>
            </w:pPr>
            <w:r w:rsidRPr="006A629A">
              <w:rPr>
                <w:sz w:val="18"/>
                <w:lang w:val="es-419"/>
              </w:rPr>
              <w:t>Evaluación visual</w:t>
            </w:r>
          </w:p>
          <w:p w:rsidR="004A0FA7" w:rsidRPr="006A629A" w:rsidRDefault="004A0FA7" w:rsidP="00BC78D5">
            <w:pPr>
              <w:jc w:val="center"/>
              <w:rPr>
                <w:rFonts w:cs="Arial"/>
                <w:sz w:val="18"/>
                <w:lang w:val="es-419"/>
              </w:rPr>
            </w:pPr>
            <w:r w:rsidRPr="006A629A">
              <w:rPr>
                <w:sz w:val="18"/>
                <w:lang w:val="es-419"/>
              </w:rPr>
              <w:t>(QN/QL/PQ)</w:t>
            </w:r>
          </w:p>
        </w:tc>
        <w:tc>
          <w:tcPr>
            <w:tcW w:w="2867"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rPr>
                <w:rFonts w:cs="Arial"/>
                <w:sz w:val="18"/>
                <w:lang w:val="es-419"/>
              </w:rPr>
            </w:pPr>
            <w:r w:rsidRPr="006A629A">
              <w:rPr>
                <w:sz w:val="18"/>
                <w:lang w:val="es-419"/>
              </w:rPr>
              <w:t>Observaciones</w:t>
            </w:r>
          </w:p>
        </w:tc>
      </w:tr>
      <w:tr w:rsidR="004A0FA7" w:rsidRPr="006A629A" w:rsidTr="00BC78D5">
        <w:tc>
          <w:tcPr>
            <w:tcW w:w="1101"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spacing w:before="240"/>
              <w:jc w:val="center"/>
              <w:rPr>
                <w:rFonts w:cs="Arial"/>
                <w:sz w:val="18"/>
                <w:lang w:val="es-419"/>
              </w:rPr>
            </w:pPr>
            <w:r w:rsidRPr="006A629A">
              <w:rPr>
                <w:sz w:val="18"/>
                <w:lang w:val="es-419"/>
              </w:rPr>
              <w:t>2</w:t>
            </w:r>
          </w:p>
        </w:tc>
        <w:tc>
          <w:tcPr>
            <w:tcW w:w="2268"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rPr>
                <w:rFonts w:cs="Arial"/>
                <w:sz w:val="18"/>
                <w:lang w:val="es-419"/>
              </w:rPr>
            </w:pPr>
            <w:r w:rsidRPr="006A629A">
              <w:rPr>
                <w:noProof/>
                <w:lang w:val="en-US"/>
              </w:rPr>
              <mc:AlternateContent>
                <mc:Choice Requires="wps">
                  <w:drawing>
                    <wp:anchor distT="0" distB="0" distL="114300" distR="114300" simplePos="0" relativeHeight="251659264" behindDoc="0" locked="0" layoutInCell="1" allowOverlap="1" wp14:anchorId="37B9A074" wp14:editId="674D5203">
                      <wp:simplePos x="0" y="0"/>
                      <wp:positionH relativeFrom="column">
                        <wp:posOffset>118110</wp:posOffset>
                      </wp:positionH>
                      <wp:positionV relativeFrom="paragraph">
                        <wp:posOffset>461991</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4A0FA7" w:rsidRDefault="004A0FA7" w:rsidP="004A0F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9A0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left:0;text-align:left;margin-left:9.3pt;margin-top:36.4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" adj="19562" fillcolor="#4f81bd" strokecolor="#385d8a" strokeweight="2pt">
                      <v:textbox>
                        <w:txbxContent>
                          <w:p w:rsidR="004A0FA7" w:rsidRDefault="004A0FA7" w:rsidP="004A0FA7">
                            <w:pPr>
                              <w:jc w:val="center"/>
                            </w:pPr>
                          </w:p>
                        </w:txbxContent>
                      </v:textbox>
                    </v:shape>
                  </w:pict>
                </mc:Fallback>
              </mc:AlternateContent>
            </w:r>
            <w:r w:rsidRPr="006A629A">
              <w:rPr>
                <w:sz w:val="18"/>
                <w:lang w:val="es-419"/>
              </w:rPr>
              <w:t>[</w:t>
            </w:r>
            <w:r w:rsidRPr="006A629A">
              <w:rPr>
                <w:b/>
                <w:bCs/>
                <w:sz w:val="18"/>
                <w:lang w:val="es-419"/>
              </w:rPr>
              <w:t>Valores</w:t>
            </w:r>
            <w:r w:rsidRPr="006A629A">
              <w:rPr>
                <w:sz w:val="18"/>
                <w:lang w:val="es-419"/>
              </w:rPr>
              <w:t>]</w:t>
            </w:r>
          </w:p>
        </w:tc>
        <w:tc>
          <w:tcPr>
            <w:tcW w:w="2976" w:type="dxa"/>
            <w:tcBorders>
              <w:top w:val="single" w:sz="4" w:space="0" w:color="auto"/>
              <w:left w:val="single" w:sz="4" w:space="0" w:color="auto"/>
              <w:bottom w:val="single" w:sz="4" w:space="0" w:color="auto"/>
              <w:right w:val="single" w:sz="4" w:space="0" w:color="auto"/>
            </w:tcBorders>
            <w:hideMark/>
          </w:tcPr>
          <w:p w:rsidR="004A0FA7" w:rsidRPr="006A629A" w:rsidRDefault="004A0FA7" w:rsidP="00BC78D5">
            <w:pPr>
              <w:rPr>
                <w:rFonts w:cs="Arial"/>
                <w:sz w:val="18"/>
                <w:lang w:val="es-419"/>
              </w:rPr>
            </w:pPr>
            <w:r w:rsidRPr="006A629A">
              <w:rPr>
                <w:noProof/>
                <w:lang w:val="en-US"/>
              </w:rPr>
              <mc:AlternateContent>
                <mc:Choice Requires="wps">
                  <w:drawing>
                    <wp:anchor distT="0" distB="0" distL="114300" distR="114300" simplePos="0" relativeHeight="251660288" behindDoc="0" locked="0" layoutInCell="1" allowOverlap="1" wp14:anchorId="1C502F0F" wp14:editId="4B2A107D">
                      <wp:simplePos x="0" y="0"/>
                      <wp:positionH relativeFrom="column">
                        <wp:posOffset>122555</wp:posOffset>
                      </wp:positionH>
                      <wp:positionV relativeFrom="paragraph">
                        <wp:posOffset>461991</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4A0FA7" w:rsidRDefault="004A0FA7" w:rsidP="004A0F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02F0F" id="Down Arrow 19" o:spid="_x0000_s1027" type="#_x0000_t67" style="position:absolute;left:0;text-align:left;margin-left:9.65pt;margin-top:36.4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" adj="19562" fillcolor="#4f81bd" strokecolor="#385d8a" strokeweight="2pt">
                      <v:textbox>
                        <w:txbxContent>
                          <w:p w:rsidR="004A0FA7" w:rsidRDefault="004A0FA7" w:rsidP="004A0FA7">
                            <w:pPr>
                              <w:jc w:val="center"/>
                            </w:pPr>
                          </w:p>
                        </w:txbxContent>
                      </v:textbox>
                    </v:shape>
                  </w:pict>
                </mc:Fallback>
              </mc:AlternateContent>
            </w:r>
            <w:r w:rsidRPr="006A629A">
              <w:rPr>
                <w:sz w:val="18"/>
                <w:lang w:val="es-419"/>
              </w:rPr>
              <w:t>Notas</w:t>
            </w:r>
          </w:p>
        </w:tc>
        <w:tc>
          <w:tcPr>
            <w:tcW w:w="2867" w:type="dxa"/>
            <w:tcBorders>
              <w:top w:val="single" w:sz="4" w:space="0" w:color="auto"/>
              <w:left w:val="single" w:sz="4" w:space="0" w:color="auto"/>
              <w:bottom w:val="single" w:sz="4" w:space="0" w:color="auto"/>
              <w:right w:val="single" w:sz="4" w:space="0" w:color="auto"/>
            </w:tcBorders>
          </w:tcPr>
          <w:p w:rsidR="004A0FA7" w:rsidRPr="006A629A" w:rsidRDefault="004A0FA7" w:rsidP="00BC78D5">
            <w:pPr>
              <w:spacing w:before="240"/>
              <w:rPr>
                <w:sz w:val="18"/>
                <w:lang w:val="es-419"/>
              </w:rPr>
            </w:pPr>
            <w:r w:rsidRPr="006A629A">
              <w:rPr>
                <w:sz w:val="18"/>
                <w:lang w:val="es-419"/>
              </w:rPr>
              <w:t>Elemento en que se basa la comparación en el mismo ensayo</w:t>
            </w:r>
          </w:p>
          <w:p w:rsidR="004A0FA7" w:rsidRPr="006A629A" w:rsidRDefault="004A0FA7" w:rsidP="00BC78D5">
            <w:pPr>
              <w:spacing w:before="240"/>
              <w:rPr>
                <w:rFonts w:cs="Arial"/>
                <w:sz w:val="18"/>
                <w:lang w:val="es-419"/>
              </w:rPr>
            </w:pPr>
          </w:p>
        </w:tc>
      </w:tr>
      <w:tr w:rsidR="004A0FA7" w:rsidRPr="006A629A" w:rsidTr="00BC78D5">
        <w:tc>
          <w:tcPr>
            <w:tcW w:w="1101" w:type="dxa"/>
            <w:tcBorders>
              <w:top w:val="single" w:sz="4" w:space="0" w:color="auto"/>
              <w:left w:val="single" w:sz="4" w:space="0" w:color="auto"/>
              <w:bottom w:val="nil"/>
              <w:right w:val="single" w:sz="4" w:space="0" w:color="auto"/>
            </w:tcBorders>
            <w:hideMark/>
          </w:tcPr>
          <w:p w:rsidR="004A0FA7" w:rsidRPr="006A629A" w:rsidRDefault="004A0FA7" w:rsidP="00BC78D5">
            <w:pPr>
              <w:spacing w:before="240"/>
              <w:jc w:val="center"/>
              <w:rPr>
                <w:rFonts w:cs="Arial"/>
                <w:sz w:val="18"/>
                <w:lang w:val="es-419"/>
              </w:rPr>
            </w:pPr>
            <w:r w:rsidRPr="006A629A">
              <w:rPr>
                <w:sz w:val="18"/>
                <w:lang w:val="es-419"/>
              </w:rPr>
              <w:t>3</w:t>
            </w:r>
          </w:p>
        </w:tc>
        <w:tc>
          <w:tcPr>
            <w:tcW w:w="2268" w:type="dxa"/>
            <w:tcBorders>
              <w:top w:val="single" w:sz="4" w:space="0" w:color="auto"/>
              <w:left w:val="single" w:sz="4" w:space="0" w:color="auto"/>
              <w:bottom w:val="nil"/>
              <w:right w:val="single" w:sz="4" w:space="0" w:color="auto"/>
            </w:tcBorders>
            <w:hideMark/>
          </w:tcPr>
          <w:p w:rsidR="004A0FA7" w:rsidRPr="006A629A" w:rsidRDefault="004A0FA7" w:rsidP="00BC78D5">
            <w:pPr>
              <w:spacing w:before="120"/>
              <w:ind w:left="600"/>
              <w:rPr>
                <w:rFonts w:cs="Arial"/>
                <w:sz w:val="18"/>
                <w:lang w:val="es-419"/>
              </w:rPr>
            </w:pPr>
            <w:r w:rsidRPr="006A629A">
              <w:rPr>
                <w:sz w:val="18"/>
                <w:lang w:val="es-419"/>
              </w:rPr>
              <w:t xml:space="preserve">Transformación en notas </w:t>
            </w:r>
          </w:p>
          <w:p w:rsidR="004A0FA7" w:rsidRPr="006A629A" w:rsidRDefault="004A0FA7" w:rsidP="00BC78D5">
            <w:pPr>
              <w:spacing w:before="120"/>
              <w:rPr>
                <w:rFonts w:cs="Arial"/>
                <w:sz w:val="18"/>
                <w:lang w:val="es-419"/>
              </w:rPr>
            </w:pPr>
            <w:r w:rsidRPr="006A629A">
              <w:rPr>
                <w:sz w:val="18"/>
                <w:lang w:val="es-419"/>
              </w:rPr>
              <w:t>Notas</w:t>
            </w:r>
          </w:p>
        </w:tc>
        <w:tc>
          <w:tcPr>
            <w:tcW w:w="2976" w:type="dxa"/>
            <w:tcBorders>
              <w:top w:val="single" w:sz="4" w:space="0" w:color="auto"/>
              <w:left w:val="single" w:sz="4" w:space="0" w:color="auto"/>
              <w:bottom w:val="nil"/>
              <w:right w:val="single" w:sz="4" w:space="0" w:color="auto"/>
            </w:tcBorders>
          </w:tcPr>
          <w:p w:rsidR="004A0FA7" w:rsidRPr="006A629A" w:rsidRDefault="004A0FA7" w:rsidP="00BC78D5">
            <w:pPr>
              <w:spacing w:before="120"/>
              <w:ind w:left="459"/>
              <w:rPr>
                <w:rFonts w:cs="Arial"/>
                <w:sz w:val="18"/>
                <w:lang w:val="es-419"/>
              </w:rPr>
            </w:pPr>
            <w:r w:rsidRPr="006A629A">
              <w:rPr>
                <w:sz w:val="18"/>
                <w:lang w:val="es-419"/>
              </w:rPr>
              <w:t>Mismas notas que en el nivel 1 del proceso</w:t>
            </w:r>
          </w:p>
          <w:p w:rsidR="004A0FA7" w:rsidRPr="006A629A" w:rsidRDefault="004A0FA7" w:rsidP="00BC78D5">
            <w:pPr>
              <w:spacing w:before="120"/>
              <w:ind w:left="34"/>
              <w:rPr>
                <w:rFonts w:cs="Arial"/>
                <w:sz w:val="2"/>
                <w:szCs w:val="2"/>
                <w:lang w:val="es-419"/>
              </w:rPr>
            </w:pPr>
          </w:p>
          <w:p w:rsidR="004A0FA7" w:rsidRPr="006A629A" w:rsidRDefault="004A0FA7" w:rsidP="00BC78D5">
            <w:pPr>
              <w:ind w:left="34"/>
              <w:rPr>
                <w:rFonts w:cs="Arial"/>
                <w:sz w:val="18"/>
                <w:lang w:val="es-419"/>
              </w:rPr>
            </w:pPr>
            <w:r w:rsidRPr="006A629A">
              <w:rPr>
                <w:sz w:val="18"/>
                <w:lang w:val="es-419"/>
              </w:rPr>
              <w:t>Notas</w:t>
            </w:r>
          </w:p>
        </w:tc>
        <w:tc>
          <w:tcPr>
            <w:tcW w:w="2867" w:type="dxa"/>
            <w:tcBorders>
              <w:top w:val="single" w:sz="4" w:space="0" w:color="auto"/>
              <w:left w:val="single" w:sz="4" w:space="0" w:color="auto"/>
              <w:bottom w:val="nil"/>
              <w:right w:val="single" w:sz="4" w:space="0" w:color="auto"/>
            </w:tcBorders>
            <w:hideMark/>
          </w:tcPr>
          <w:p w:rsidR="004A0FA7" w:rsidRPr="006A629A" w:rsidRDefault="004A0FA7" w:rsidP="00BC78D5">
            <w:pPr>
              <w:spacing w:before="240"/>
              <w:rPr>
                <w:rFonts w:cs="Arial"/>
                <w:sz w:val="18"/>
                <w:lang w:val="es-419"/>
              </w:rPr>
            </w:pPr>
            <w:r w:rsidRPr="006A629A">
              <w:rPr>
                <w:sz w:val="18"/>
                <w:lang w:val="es-419"/>
              </w:rPr>
              <w:t>Notas resultantes de un año y un lugar</w:t>
            </w:r>
          </w:p>
        </w:tc>
      </w:tr>
      <w:tr w:rsidR="004A0FA7" w:rsidRPr="006A629A" w:rsidTr="00BC78D5">
        <w:tc>
          <w:tcPr>
            <w:tcW w:w="1101" w:type="dxa"/>
            <w:tcBorders>
              <w:top w:val="nil"/>
              <w:left w:val="single" w:sz="4" w:space="0" w:color="auto"/>
              <w:bottom w:val="single" w:sz="4" w:space="0" w:color="auto"/>
              <w:right w:val="single" w:sz="4" w:space="0" w:color="auto"/>
            </w:tcBorders>
          </w:tcPr>
          <w:p w:rsidR="004A0FA7" w:rsidRPr="006A629A" w:rsidRDefault="004A0FA7" w:rsidP="00BC78D5">
            <w:pPr>
              <w:jc w:val="center"/>
              <w:rPr>
                <w:rFonts w:cs="Arial"/>
                <w:sz w:val="18"/>
                <w:lang w:val="es-419"/>
              </w:rPr>
            </w:pPr>
          </w:p>
        </w:tc>
        <w:tc>
          <w:tcPr>
            <w:tcW w:w="5244" w:type="dxa"/>
            <w:gridSpan w:val="2"/>
            <w:tcBorders>
              <w:top w:val="nil"/>
              <w:left w:val="single" w:sz="4" w:space="0" w:color="auto"/>
              <w:bottom w:val="single" w:sz="4" w:space="0" w:color="auto"/>
              <w:right w:val="single" w:sz="4" w:space="0" w:color="auto"/>
            </w:tcBorders>
            <w:hideMark/>
          </w:tcPr>
          <w:p w:rsidR="004A0FA7" w:rsidRPr="006A629A" w:rsidRDefault="004A0FA7" w:rsidP="00BC78D5">
            <w:pPr>
              <w:jc w:val="center"/>
              <w:rPr>
                <w:rFonts w:cs="Arial"/>
                <w:sz w:val="18"/>
                <w:lang w:val="es-419"/>
              </w:rPr>
            </w:pPr>
            <w:r w:rsidRPr="006A629A">
              <w:rPr>
                <w:noProof/>
                <w:lang w:val="en-US"/>
              </w:rPr>
              <mc:AlternateContent>
                <mc:Choice Requires="wps">
                  <w:drawing>
                    <wp:anchor distT="0" distB="0" distL="114300" distR="114300" simplePos="0" relativeHeight="251661312" behindDoc="0" locked="0" layoutInCell="1" allowOverlap="1" wp14:anchorId="27C77489" wp14:editId="29CE7F8B">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txbx>
                              <w:txbxContent>
                                <w:p w:rsidR="004A0FA7" w:rsidRDefault="004A0FA7" w:rsidP="004A0F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77489" id="Down Arrow 20" o:spid="_x0000_s1028" type="#_x0000_t67" style="position:absolute;left:0;text-align:left;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" adj="17585" fillcolor="#4f81bd" strokecolor="#385d8a" strokeweight="2pt">
                      <v:textbox>
                        <w:txbxContent>
                          <w:p w:rsidR="004A0FA7" w:rsidRDefault="004A0FA7" w:rsidP="004A0FA7">
                            <w:pPr>
                              <w:jc w:val="center"/>
                            </w:pPr>
                          </w:p>
                        </w:txbxContent>
                      </v:textbox>
                    </v:shape>
                  </w:pict>
                </mc:Fallback>
              </mc:AlternateContent>
            </w:r>
          </w:p>
          <w:p w:rsidR="004A0FA7" w:rsidRPr="006A629A" w:rsidRDefault="004A0FA7" w:rsidP="00BC78D5">
            <w:pPr>
              <w:spacing w:before="240"/>
              <w:jc w:val="center"/>
              <w:rPr>
                <w:rFonts w:cs="Arial"/>
                <w:sz w:val="18"/>
                <w:lang w:val="es-419"/>
              </w:rPr>
            </w:pPr>
            <w:r w:rsidRPr="006A629A">
              <w:rPr>
                <w:sz w:val="18"/>
                <w:lang w:val="es-419"/>
              </w:rPr>
              <w:t>“</w:t>
            </w:r>
            <w:r w:rsidRPr="006A629A">
              <w:rPr>
                <w:b/>
                <w:sz w:val="18"/>
                <w:lang w:val="es-419"/>
              </w:rPr>
              <w:t>Descripción media de la variedad</w:t>
            </w:r>
            <w:r w:rsidRPr="006A629A">
              <w:rPr>
                <w:sz w:val="18"/>
                <w:lang w:val="es-419"/>
              </w:rPr>
              <w:t xml:space="preserve">” </w:t>
            </w:r>
          </w:p>
          <w:p w:rsidR="004A0FA7" w:rsidRPr="006A629A" w:rsidRDefault="004A0FA7" w:rsidP="00BC78D5">
            <w:pPr>
              <w:spacing w:before="120"/>
              <w:jc w:val="center"/>
              <w:rPr>
                <w:rFonts w:cs="Arial"/>
                <w:sz w:val="18"/>
                <w:lang w:val="es-419"/>
              </w:rPr>
            </w:pPr>
            <w:r w:rsidRPr="006A629A">
              <w:rPr>
                <w:sz w:val="18"/>
                <w:lang w:val="es-419"/>
              </w:rPr>
              <w:t>Si las variedades se evalúan en varios ensayos/años/lugares, es posible establecer descripciones medias.</w:t>
            </w:r>
          </w:p>
        </w:tc>
        <w:tc>
          <w:tcPr>
            <w:tcW w:w="2867" w:type="dxa"/>
            <w:tcBorders>
              <w:top w:val="nil"/>
              <w:left w:val="single" w:sz="4" w:space="0" w:color="auto"/>
              <w:bottom w:val="single" w:sz="4" w:space="0" w:color="auto"/>
              <w:right w:val="single" w:sz="4" w:space="0" w:color="auto"/>
            </w:tcBorders>
          </w:tcPr>
          <w:p w:rsidR="004A0FA7" w:rsidRPr="006A629A" w:rsidRDefault="004A0FA7" w:rsidP="00BC78D5">
            <w:pPr>
              <w:spacing w:before="240"/>
              <w:rPr>
                <w:rFonts w:cs="Arial"/>
                <w:sz w:val="18"/>
                <w:lang w:val="es-419"/>
              </w:rPr>
            </w:pPr>
            <w:r w:rsidRPr="006A629A">
              <w:rPr>
                <w:sz w:val="18"/>
                <w:lang w:val="es-419"/>
              </w:rPr>
              <w:t>Elemento en que se basa la gestión de la colección de variedades</w:t>
            </w:r>
          </w:p>
        </w:tc>
      </w:tr>
    </w:tbl>
    <w:p w:rsidR="004A0FA7" w:rsidRPr="006A629A" w:rsidRDefault="004A0FA7" w:rsidP="004A0FA7">
      <w:pPr>
        <w:rPr>
          <w:rFonts w:cs="Arial"/>
          <w:sz w:val="18"/>
          <w:lang w:val="es-419"/>
        </w:rPr>
      </w:pPr>
    </w:p>
    <w:p w:rsidR="004A0FA7" w:rsidRPr="006A629A" w:rsidRDefault="004A0FA7" w:rsidP="004A0FA7">
      <w:pPr>
        <w:ind w:left="567" w:right="567"/>
        <w:rPr>
          <w:rFonts w:cs="Arial"/>
          <w:sz w:val="18"/>
          <w:lang w:val="es-419"/>
        </w:rPr>
      </w:pPr>
      <w:r w:rsidRPr="006A629A">
        <w:rPr>
          <w:sz w:val="18"/>
          <w:lang w:val="es-419"/>
        </w:rPr>
        <w:t>En general, los caracteres cuantitativos están sujetos a la influencia del medio ambiente. Una manera eficiente de reducir la influencia medioambiental es transformar las mediciones reales en notas. Las notas representan una descripción normalizada de las variedades en relación con las variedades ejemplo (véase TGP/7). Además, si se calcula una descripción media de varios ciclos de cultivo, es posible mejorar la comparabilidad de las descripciones de variedades de aquellas variedades que no se examinen en el mismo ensayo. En especial, la descripción media de varios ciclos de cultivo en un mismo lugar puede brindar una descripción representativa asociada al lugar. El cálculo de una descripción media en diferentes lugares solo se debe considerar si se conocen muy bien los efectos de estos lugares y es posible excluir las interacciones entre variedad y lugar para ese carácter. El cálculo de las descripciones medias de varios lugares debe limitarse a los casos en que se cumplan estas condiciones.</w:t>
      </w:r>
    </w:p>
    <w:p w:rsidR="004A0FA7" w:rsidRPr="006A629A" w:rsidRDefault="004A0FA7" w:rsidP="004A0FA7">
      <w:pPr>
        <w:ind w:left="567" w:right="567"/>
        <w:rPr>
          <w:rFonts w:cs="Arial"/>
          <w:sz w:val="18"/>
          <w:lang w:val="es-419"/>
        </w:rPr>
      </w:pPr>
    </w:p>
    <w:p w:rsidR="004A0FA7" w:rsidRPr="006A629A" w:rsidRDefault="004A0FA7" w:rsidP="004A0FA7">
      <w:pPr>
        <w:ind w:left="567" w:right="567"/>
        <w:rPr>
          <w:rFonts w:cs="Arial"/>
          <w:sz w:val="18"/>
          <w:lang w:val="es-419"/>
        </w:rPr>
      </w:pPr>
      <w:r w:rsidRPr="006A629A">
        <w:rPr>
          <w:sz w:val="18"/>
          <w:lang w:val="es-419"/>
        </w:rPr>
        <w:t>Si las descripciones de diferentes ensayos en cultivo se utilizan para evaluar la distinción —es decir, para la gestión de las colecciones de variedades— es importante tener en cuenta el origen de las diferentes descripciones de variedades de la variedad candidata y las variedades notoriamente conocidas. La comparabilidad de las descripciones de variedades depende de muchos factores, como por ejemplo:</w:t>
      </w:r>
    </w:p>
    <w:p w:rsidR="004A0FA7" w:rsidRPr="006A629A" w:rsidRDefault="004A0FA7" w:rsidP="004A0FA7">
      <w:pPr>
        <w:ind w:left="567" w:right="567"/>
        <w:rPr>
          <w:rFonts w:cs="Arial"/>
          <w:sz w:val="18"/>
          <w:lang w:val="es-419"/>
        </w:rPr>
      </w:pPr>
    </w:p>
    <w:p w:rsidR="004A0FA7" w:rsidRPr="006A629A" w:rsidRDefault="004A0FA7" w:rsidP="004A0FA7">
      <w:pPr>
        <w:numPr>
          <w:ilvl w:val="0"/>
          <w:numId w:val="4"/>
        </w:numPr>
        <w:ind w:left="567" w:right="567"/>
        <w:rPr>
          <w:rFonts w:cs="Arial"/>
          <w:sz w:val="18"/>
          <w:lang w:val="es-419"/>
        </w:rPr>
      </w:pPr>
      <w:r w:rsidRPr="006A629A">
        <w:rPr>
          <w:sz w:val="18"/>
          <w:lang w:val="es-419"/>
        </w:rPr>
        <w:t>La descripción, ¿se basa en un solo año o es la media de varios años?</w:t>
      </w:r>
    </w:p>
    <w:p w:rsidR="004A0FA7" w:rsidRPr="006A629A" w:rsidRDefault="004A0FA7" w:rsidP="004A0FA7">
      <w:pPr>
        <w:numPr>
          <w:ilvl w:val="0"/>
          <w:numId w:val="4"/>
        </w:numPr>
        <w:ind w:left="567" w:right="567"/>
        <w:rPr>
          <w:rFonts w:cs="Arial"/>
          <w:sz w:val="18"/>
          <w:lang w:val="es-419"/>
        </w:rPr>
      </w:pPr>
      <w:r w:rsidRPr="006A629A">
        <w:rPr>
          <w:sz w:val="18"/>
          <w:lang w:val="es-419"/>
        </w:rPr>
        <w:t>La descripción, ¿se basa en un mismo lugar o en diferentes lugares?</w:t>
      </w:r>
    </w:p>
    <w:p w:rsidR="004A0FA7" w:rsidRPr="006A629A" w:rsidRDefault="004A0FA7" w:rsidP="004A0FA7">
      <w:pPr>
        <w:numPr>
          <w:ilvl w:val="0"/>
          <w:numId w:val="4"/>
        </w:numPr>
        <w:ind w:left="567" w:right="567"/>
        <w:rPr>
          <w:rFonts w:cs="Arial"/>
          <w:sz w:val="18"/>
          <w:lang w:val="es-419"/>
        </w:rPr>
      </w:pPr>
      <w:r w:rsidRPr="006A629A">
        <w:rPr>
          <w:sz w:val="18"/>
          <w:lang w:val="es-419"/>
        </w:rPr>
        <w:t>Se conocen los efectos de los diferentes lugares?</w:t>
      </w:r>
    </w:p>
    <w:p w:rsidR="004A0FA7" w:rsidRPr="006A629A" w:rsidRDefault="004A0FA7" w:rsidP="004A0FA7">
      <w:pPr>
        <w:numPr>
          <w:ilvl w:val="0"/>
          <w:numId w:val="4"/>
        </w:numPr>
        <w:ind w:left="567" w:right="567"/>
        <w:rPr>
          <w:rFonts w:cs="Arial"/>
          <w:sz w:val="18"/>
          <w:lang w:val="es-419"/>
        </w:rPr>
      </w:pPr>
      <w:r w:rsidRPr="006A629A">
        <w:rPr>
          <w:sz w:val="18"/>
          <w:lang w:val="es-419"/>
        </w:rPr>
        <w:t>Las variedades, ¿se describen en relación con una misma colección de variedades o con una colección de variedades que podría abarcar una gama diferente de variación?</w:t>
      </w:r>
    </w:p>
    <w:p w:rsidR="004A0FA7" w:rsidRPr="006A629A" w:rsidRDefault="004A0FA7" w:rsidP="004A0FA7">
      <w:pPr>
        <w:ind w:left="567" w:right="567"/>
        <w:rPr>
          <w:rFonts w:cs="Arial"/>
          <w:sz w:val="18"/>
          <w:lang w:val="es-419"/>
        </w:rPr>
      </w:pPr>
    </w:p>
    <w:p w:rsidR="004A0FA7" w:rsidRPr="006A629A" w:rsidRDefault="004A0FA7" w:rsidP="004A0FA7">
      <w:pPr>
        <w:ind w:left="567" w:right="567"/>
        <w:rPr>
          <w:rFonts w:cs="Arial"/>
          <w:sz w:val="18"/>
          <w:lang w:val="es-419"/>
        </w:rPr>
      </w:pPr>
      <w:r w:rsidRPr="006A629A">
        <w:rPr>
          <w:sz w:val="18"/>
          <w:lang w:val="es-419"/>
        </w:rPr>
        <w:t>El posible sesgo en las descripciones de variedades debido a efectos ambientales diferentes entre las variedades candidatas y las variedades de la colección de variedades se debe tener en cuenta en el proceso del examen de la distinción y, en concreto, para identificar las variedades notoriamente conocidas que se han de incluir en el ensayo en cultivo.</w:t>
      </w:r>
    </w:p>
    <w:p w:rsidR="004A0FA7" w:rsidRPr="006A629A" w:rsidRDefault="004A0FA7" w:rsidP="004A0FA7">
      <w:pPr>
        <w:ind w:left="567" w:right="567"/>
        <w:rPr>
          <w:rFonts w:cs="Arial"/>
          <w:sz w:val="18"/>
          <w:lang w:val="es-419"/>
        </w:rPr>
      </w:pPr>
    </w:p>
    <w:p w:rsidR="004A0FA7" w:rsidRPr="006A629A" w:rsidRDefault="004A0FA7" w:rsidP="004A0FA7">
      <w:pPr>
        <w:ind w:left="567" w:right="567"/>
        <w:rPr>
          <w:rFonts w:cs="Arial"/>
          <w:sz w:val="18"/>
          <w:lang w:val="es-419"/>
        </w:rPr>
      </w:pPr>
    </w:p>
    <w:p w:rsidR="004A0FA7" w:rsidRPr="006A629A" w:rsidRDefault="004A0FA7" w:rsidP="004A0FA7">
      <w:pPr>
        <w:ind w:left="567" w:right="567"/>
        <w:rPr>
          <w:rFonts w:cs="Arial"/>
          <w:sz w:val="18"/>
          <w:lang w:val="es-419"/>
        </w:rPr>
      </w:pPr>
    </w:p>
    <w:p w:rsidR="004A0FA7" w:rsidRPr="006A629A" w:rsidRDefault="004A0FA7" w:rsidP="004A0FA7">
      <w:pPr>
        <w:jc w:val="right"/>
        <w:rPr>
          <w:lang w:val="es-419"/>
        </w:rPr>
      </w:pPr>
      <w:r w:rsidRPr="006A629A">
        <w:rPr>
          <w:lang w:val="es-419"/>
        </w:rPr>
        <w:t>[Sigue el Anexo III]</w:t>
      </w:r>
    </w:p>
    <w:p w:rsidR="004A0FA7" w:rsidRPr="006A629A" w:rsidRDefault="004A0FA7" w:rsidP="004A0FA7">
      <w:pPr>
        <w:jc w:val="right"/>
        <w:rPr>
          <w:lang w:val="es-419"/>
        </w:rPr>
        <w:sectPr w:rsidR="004A0FA7" w:rsidRPr="006A629A" w:rsidSect="0004198B">
          <w:headerReference w:type="default" r:id="rId11"/>
          <w:headerReference w:type="first" r:id="rId12"/>
          <w:pgSz w:w="11907" w:h="16840" w:code="9"/>
          <w:pgMar w:top="510" w:right="1134" w:bottom="1134" w:left="1134" w:header="510" w:footer="680" w:gutter="0"/>
          <w:pgNumType w:start="1"/>
          <w:cols w:space="720"/>
          <w:titlePg/>
        </w:sectPr>
      </w:pPr>
    </w:p>
    <w:p w:rsidR="004A0FA7" w:rsidRPr="006A629A" w:rsidRDefault="004A0FA7" w:rsidP="004A0FA7">
      <w:pPr>
        <w:jc w:val="right"/>
        <w:rPr>
          <w:lang w:val="es-419"/>
        </w:rPr>
      </w:pPr>
    </w:p>
    <w:p w:rsidR="004A0FA7" w:rsidRPr="006A629A" w:rsidRDefault="004A0FA7" w:rsidP="004A0FA7">
      <w:pPr>
        <w:jc w:val="center"/>
        <w:rPr>
          <w:lang w:val="es-419"/>
        </w:rPr>
      </w:pPr>
      <w:r>
        <w:rPr>
          <w:lang w:val="es-419"/>
        </w:rPr>
        <w:t>CAJ/79/3</w:t>
      </w:r>
    </w:p>
    <w:p w:rsidR="004A0FA7" w:rsidRPr="006A629A" w:rsidRDefault="004A0FA7" w:rsidP="004A0FA7">
      <w:pPr>
        <w:jc w:val="center"/>
        <w:rPr>
          <w:lang w:val="es-419"/>
        </w:rPr>
      </w:pPr>
    </w:p>
    <w:p w:rsidR="004A0FA7" w:rsidRPr="006A629A" w:rsidRDefault="004A0FA7" w:rsidP="004A0FA7">
      <w:pPr>
        <w:jc w:val="center"/>
        <w:rPr>
          <w:lang w:val="es-419"/>
        </w:rPr>
      </w:pPr>
      <w:r w:rsidRPr="006A629A">
        <w:rPr>
          <w:lang w:val="es-419"/>
        </w:rPr>
        <w:t>ANEXO III</w:t>
      </w:r>
    </w:p>
    <w:p w:rsidR="004A0FA7" w:rsidRPr="006A629A" w:rsidRDefault="004A0FA7" w:rsidP="004A0FA7">
      <w:pPr>
        <w:rPr>
          <w:lang w:val="es-419"/>
        </w:rPr>
      </w:pPr>
    </w:p>
    <w:p w:rsidR="004A0FA7" w:rsidRPr="006A629A" w:rsidRDefault="004A0FA7" w:rsidP="004A0FA7">
      <w:pPr>
        <w:rPr>
          <w:lang w:val="es-419"/>
        </w:rPr>
      </w:pPr>
    </w:p>
    <w:p w:rsidR="004A0FA7" w:rsidRPr="006A629A" w:rsidRDefault="004A0FA7" w:rsidP="004A0FA7">
      <w:pPr>
        <w:rPr>
          <w:u w:val="single"/>
          <w:lang w:val="es-419"/>
        </w:rPr>
      </w:pPr>
      <w:r w:rsidRPr="006A629A">
        <w:rPr>
          <w:u w:val="single"/>
          <w:lang w:val="es-419"/>
        </w:rPr>
        <w:t>Documento TGP/12: Orientación sobre ciertos caracteres fisiológicos (revisión)</w:t>
      </w:r>
    </w:p>
    <w:p w:rsidR="004A0FA7" w:rsidRPr="006A629A" w:rsidRDefault="004A0FA7" w:rsidP="004A0FA7">
      <w:pPr>
        <w:rPr>
          <w:u w:val="single"/>
          <w:lang w:val="es-419"/>
        </w:rPr>
      </w:pPr>
    </w:p>
    <w:p w:rsidR="004A0FA7" w:rsidRPr="006A629A" w:rsidRDefault="004A0FA7" w:rsidP="004A0FA7">
      <w:pPr>
        <w:rPr>
          <w:lang w:val="es-419"/>
        </w:rPr>
      </w:pPr>
    </w:p>
    <w:p w:rsidR="004A0FA7" w:rsidRPr="006A629A" w:rsidRDefault="004A0FA7" w:rsidP="004A0FA7">
      <w:pPr>
        <w:rPr>
          <w:snapToGrid w:val="0"/>
          <w:lang w:val="es-419"/>
        </w:rPr>
      </w:pPr>
      <w:r w:rsidRPr="006A629A">
        <w:rPr>
          <w:lang w:val="es-419"/>
        </w:rPr>
        <w:t xml:space="preserve">En su quincuagésima séptima sesión, celebrada por medios electrónicos los días 25 y 26 de octubre de 2021, el TC convino en modificar el apartado 2.3.2 del documento TGP/12/2, </w:t>
      </w:r>
      <w:r w:rsidRPr="006A629A">
        <w:rPr>
          <w:snapToGrid w:val="0"/>
          <w:lang w:val="es-419"/>
        </w:rPr>
        <w:t>a fin de sustituir el nivel de expresión “moderadamente resistente” por “intermedia” en el ejemplo de carácter de resistencia a una enfermedad con escala de ‘1 a 3’, de manera que el texto fuera el siguiente (véanse los párrafos 44 y 45 del documento TC/57/25 “Informe”):</w:t>
      </w:r>
    </w:p>
    <w:p w:rsidR="004A0FA7" w:rsidRPr="006A629A" w:rsidRDefault="004A0FA7" w:rsidP="004A0FA7">
      <w:pPr>
        <w:rPr>
          <w:snapToGrid w:val="0"/>
          <w:lang w:val="es-419"/>
        </w:rPr>
      </w:pPr>
    </w:p>
    <w:p w:rsidR="004A0FA7" w:rsidRPr="006A629A" w:rsidRDefault="004A0FA7" w:rsidP="004A0FA7">
      <w:pPr>
        <w:keepNext/>
        <w:keepLines/>
        <w:ind w:left="567"/>
        <w:jc w:val="left"/>
        <w:rPr>
          <w:lang w:val="es-419"/>
        </w:rPr>
      </w:pPr>
      <w:r w:rsidRPr="006A629A">
        <w:rPr>
          <w:u w:val="single"/>
          <w:lang w:val="es-419"/>
        </w:rPr>
        <w:t>Ejemplo con escala de ‘1 a 3’</w:t>
      </w:r>
      <w:r w:rsidRPr="006A629A">
        <w:rPr>
          <w:lang w:val="es-419"/>
        </w:rPr>
        <w:t xml:space="preserve">: Resistencia a </w:t>
      </w:r>
      <w:r w:rsidRPr="006A629A">
        <w:rPr>
          <w:i/>
          <w:lang w:val="es-419"/>
        </w:rPr>
        <w:t>Sphaerotheca fuliginea</w:t>
      </w:r>
      <w:r w:rsidRPr="006A629A">
        <w:rPr>
          <w:lang w:val="es-419"/>
        </w:rPr>
        <w:t xml:space="preserve"> (</w:t>
      </w:r>
      <w:r w:rsidRPr="006A629A">
        <w:rPr>
          <w:i/>
          <w:lang w:val="es-419"/>
        </w:rPr>
        <w:t>Podosphaera xanthii</w:t>
      </w:r>
      <w:r w:rsidRPr="006A629A">
        <w:rPr>
          <w:lang w:val="es-419"/>
        </w:rPr>
        <w:t>) (oídio) en el melón (directrices de examen de la UPOV: TG/104/5)</w:t>
      </w:r>
    </w:p>
    <w:p w:rsidR="004A0FA7" w:rsidRPr="006A629A" w:rsidRDefault="004A0FA7" w:rsidP="004A0FA7">
      <w:pPr>
        <w:keepNext/>
        <w:keepLines/>
        <w:rPr>
          <w:sz w:val="18"/>
          <w:lang w:val="es-419"/>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734"/>
        <w:gridCol w:w="851"/>
        <w:gridCol w:w="567"/>
      </w:tblGrid>
      <w:tr w:rsidR="004A0FA7" w:rsidRPr="006A629A" w:rsidTr="00BC78D5">
        <w:trPr>
          <w:cantSplit/>
          <w:tblHeader/>
          <w:jc w:val="center"/>
        </w:trPr>
        <w:tc>
          <w:tcPr>
            <w:tcW w:w="578" w:type="dxa"/>
            <w:tcBorders>
              <w:top w:val="single" w:sz="6" w:space="0" w:color="auto"/>
              <w:left w:val="nil"/>
              <w:bottom w:val="single" w:sz="4" w:space="0" w:color="auto"/>
              <w:right w:val="nil"/>
            </w:tcBorders>
            <w:vAlign w:val="center"/>
          </w:tcPr>
          <w:p w:rsidR="004A0FA7" w:rsidRPr="006A629A" w:rsidRDefault="004A0FA7" w:rsidP="00BC78D5">
            <w:pPr>
              <w:keepNext/>
              <w:keepLines/>
              <w:spacing w:before="120" w:after="120"/>
              <w:jc w:val="left"/>
              <w:rPr>
                <w:sz w:val="16"/>
                <w:lang w:val="es-419"/>
              </w:rPr>
            </w:pPr>
          </w:p>
        </w:tc>
        <w:tc>
          <w:tcPr>
            <w:tcW w:w="425" w:type="dxa"/>
            <w:tcBorders>
              <w:top w:val="single" w:sz="6" w:space="0" w:color="auto"/>
              <w:left w:val="nil"/>
              <w:bottom w:val="single" w:sz="4" w:space="0" w:color="auto"/>
              <w:right w:val="nil"/>
            </w:tcBorders>
            <w:vAlign w:val="center"/>
          </w:tcPr>
          <w:p w:rsidR="004A0FA7" w:rsidRPr="006A629A" w:rsidRDefault="004A0FA7" w:rsidP="00BC78D5">
            <w:pPr>
              <w:keepNext/>
              <w:keepLines/>
              <w:spacing w:before="120" w:after="120"/>
              <w:jc w:val="left"/>
              <w:rPr>
                <w:sz w:val="16"/>
                <w:lang w:val="es-419"/>
              </w:rPr>
            </w:pPr>
          </w:p>
        </w:tc>
        <w:tc>
          <w:tcPr>
            <w:tcW w:w="1733" w:type="dxa"/>
            <w:tcBorders>
              <w:top w:val="single" w:sz="6" w:space="0" w:color="auto"/>
              <w:left w:val="nil"/>
              <w:bottom w:val="single" w:sz="4" w:space="0" w:color="auto"/>
              <w:right w:val="nil"/>
            </w:tcBorders>
            <w:vAlign w:val="center"/>
            <w:hideMark/>
          </w:tcPr>
          <w:p w:rsidR="004A0FA7" w:rsidRPr="006A629A" w:rsidRDefault="004A0FA7" w:rsidP="00BC78D5">
            <w:pPr>
              <w:keepNext/>
              <w:keepLines/>
              <w:spacing w:before="120" w:after="120"/>
              <w:jc w:val="left"/>
              <w:rPr>
                <w:sz w:val="16"/>
                <w:lang w:val="es-419"/>
              </w:rPr>
            </w:pPr>
            <w:r w:rsidRPr="006A629A">
              <w:rPr>
                <w:sz w:val="16"/>
                <w:lang w:val="es-419"/>
              </w:rPr>
              <w:t>Inglés</w:t>
            </w:r>
          </w:p>
        </w:tc>
        <w:tc>
          <w:tcPr>
            <w:tcW w:w="1734" w:type="dxa"/>
            <w:tcBorders>
              <w:top w:val="single" w:sz="6" w:space="0" w:color="auto"/>
              <w:left w:val="nil"/>
              <w:bottom w:val="single" w:sz="4" w:space="0" w:color="auto"/>
              <w:right w:val="nil"/>
            </w:tcBorders>
            <w:vAlign w:val="center"/>
          </w:tcPr>
          <w:p w:rsidR="004A0FA7" w:rsidRPr="006A629A" w:rsidRDefault="004A0FA7" w:rsidP="00BC78D5">
            <w:pPr>
              <w:keepNext/>
              <w:keepLines/>
              <w:spacing w:before="120" w:after="120"/>
              <w:jc w:val="left"/>
              <w:rPr>
                <w:sz w:val="16"/>
                <w:lang w:val="es-419"/>
              </w:rPr>
            </w:pPr>
          </w:p>
        </w:tc>
        <w:tc>
          <w:tcPr>
            <w:tcW w:w="1734" w:type="dxa"/>
            <w:tcBorders>
              <w:top w:val="single" w:sz="6" w:space="0" w:color="auto"/>
              <w:left w:val="nil"/>
              <w:bottom w:val="single" w:sz="4" w:space="0" w:color="auto"/>
              <w:right w:val="nil"/>
            </w:tcBorders>
            <w:vAlign w:val="center"/>
          </w:tcPr>
          <w:p w:rsidR="004A0FA7" w:rsidRPr="006A629A" w:rsidRDefault="004A0FA7" w:rsidP="00BC78D5">
            <w:pPr>
              <w:keepNext/>
              <w:keepLines/>
              <w:spacing w:before="120" w:after="120"/>
              <w:jc w:val="left"/>
              <w:rPr>
                <w:sz w:val="16"/>
                <w:lang w:val="es-419"/>
              </w:rPr>
            </w:pPr>
          </w:p>
        </w:tc>
        <w:tc>
          <w:tcPr>
            <w:tcW w:w="851" w:type="dxa"/>
            <w:tcBorders>
              <w:top w:val="single" w:sz="6" w:space="0" w:color="auto"/>
              <w:left w:val="nil"/>
              <w:bottom w:val="single" w:sz="4" w:space="0" w:color="auto"/>
              <w:right w:val="nil"/>
            </w:tcBorders>
            <w:vAlign w:val="center"/>
            <w:hideMark/>
          </w:tcPr>
          <w:p w:rsidR="004A0FA7" w:rsidRPr="006A629A" w:rsidRDefault="004A0FA7" w:rsidP="00BC78D5">
            <w:pPr>
              <w:keepNext/>
              <w:keepLines/>
              <w:spacing w:before="120" w:after="120"/>
              <w:jc w:val="left"/>
              <w:rPr>
                <w:sz w:val="16"/>
                <w:lang w:val="es-419"/>
              </w:rPr>
            </w:pPr>
            <w:r w:rsidRPr="006A629A">
              <w:rPr>
                <w:sz w:val="16"/>
                <w:lang w:val="es-419"/>
              </w:rPr>
              <w:t>Variedades ejemplo</w:t>
            </w:r>
          </w:p>
        </w:tc>
        <w:tc>
          <w:tcPr>
            <w:tcW w:w="567" w:type="dxa"/>
            <w:tcBorders>
              <w:top w:val="single" w:sz="6" w:space="0" w:color="auto"/>
              <w:left w:val="nil"/>
              <w:bottom w:val="single" w:sz="4" w:space="0" w:color="auto"/>
              <w:right w:val="nil"/>
            </w:tcBorders>
            <w:vAlign w:val="center"/>
            <w:hideMark/>
          </w:tcPr>
          <w:p w:rsidR="004A0FA7" w:rsidRPr="006A629A" w:rsidRDefault="004A0FA7" w:rsidP="00BC78D5">
            <w:pPr>
              <w:keepNext/>
              <w:keepLines/>
              <w:spacing w:before="120" w:after="120"/>
              <w:jc w:val="left"/>
              <w:rPr>
                <w:sz w:val="16"/>
                <w:lang w:val="es-419"/>
              </w:rPr>
            </w:pPr>
            <w:r w:rsidRPr="006A629A">
              <w:rPr>
                <w:sz w:val="16"/>
                <w:lang w:val="es-419"/>
              </w:rPr>
              <w:t>Nota</w:t>
            </w:r>
          </w:p>
        </w:tc>
      </w:tr>
      <w:tr w:rsidR="004A0FA7" w:rsidRPr="006A629A" w:rsidTr="00BC78D5">
        <w:trPr>
          <w:cantSplit/>
          <w:jc w:val="center"/>
        </w:trPr>
        <w:tc>
          <w:tcPr>
            <w:tcW w:w="578" w:type="dxa"/>
            <w:tcBorders>
              <w:top w:val="single" w:sz="4" w:space="0" w:color="auto"/>
              <w:left w:val="nil"/>
              <w:bottom w:val="nil"/>
              <w:right w:val="nil"/>
            </w:tcBorders>
            <w:hideMark/>
          </w:tcPr>
          <w:p w:rsidR="004A0FA7" w:rsidRPr="006A629A" w:rsidRDefault="004A0FA7" w:rsidP="00BC78D5">
            <w:pPr>
              <w:keepNext/>
              <w:keepLines/>
              <w:spacing w:before="120" w:after="120"/>
              <w:jc w:val="left"/>
              <w:rPr>
                <w:b/>
                <w:bCs/>
                <w:sz w:val="16"/>
                <w:lang w:val="es-419"/>
              </w:rPr>
            </w:pPr>
            <w:r w:rsidRPr="006A629A">
              <w:rPr>
                <w:b/>
                <w:sz w:val="16"/>
                <w:lang w:val="es-419"/>
              </w:rPr>
              <w:t>70.</w:t>
            </w:r>
            <w:r w:rsidRPr="006A629A">
              <w:rPr>
                <w:b/>
                <w:sz w:val="16"/>
                <w:lang w:val="es-419"/>
              </w:rPr>
              <w:br/>
            </w:r>
            <w:r w:rsidRPr="006A629A">
              <w:rPr>
                <w:b/>
                <w:sz w:val="16"/>
                <w:lang w:val="es-419"/>
              </w:rPr>
              <w:br/>
              <w:t>(+)</w:t>
            </w:r>
          </w:p>
        </w:tc>
        <w:tc>
          <w:tcPr>
            <w:tcW w:w="425" w:type="dxa"/>
            <w:tcBorders>
              <w:top w:val="single" w:sz="4" w:space="0" w:color="auto"/>
              <w:left w:val="nil"/>
              <w:bottom w:val="nil"/>
              <w:right w:val="nil"/>
            </w:tcBorders>
            <w:hideMark/>
          </w:tcPr>
          <w:p w:rsidR="004A0FA7" w:rsidRPr="006A629A" w:rsidRDefault="004A0FA7" w:rsidP="00BC78D5">
            <w:pPr>
              <w:keepNext/>
              <w:keepLines/>
              <w:spacing w:before="120" w:after="120"/>
              <w:jc w:val="left"/>
              <w:rPr>
                <w:b/>
                <w:bCs/>
                <w:sz w:val="16"/>
                <w:lang w:val="es-419"/>
              </w:rPr>
            </w:pPr>
            <w:r w:rsidRPr="006A629A">
              <w:rPr>
                <w:b/>
                <w:sz w:val="16"/>
                <w:lang w:val="es-419"/>
              </w:rPr>
              <w:t>VG</w:t>
            </w:r>
          </w:p>
        </w:tc>
        <w:tc>
          <w:tcPr>
            <w:tcW w:w="1733" w:type="dxa"/>
            <w:tcBorders>
              <w:top w:val="single" w:sz="4" w:space="0" w:color="auto"/>
              <w:left w:val="nil"/>
              <w:bottom w:val="nil"/>
              <w:right w:val="nil"/>
            </w:tcBorders>
            <w:hideMark/>
          </w:tcPr>
          <w:p w:rsidR="004A0FA7" w:rsidRPr="006A629A" w:rsidRDefault="004A0FA7" w:rsidP="00BC78D5">
            <w:pPr>
              <w:keepNext/>
              <w:keepLines/>
              <w:spacing w:before="120" w:after="120"/>
              <w:jc w:val="left"/>
              <w:rPr>
                <w:b/>
                <w:bCs/>
                <w:sz w:val="16"/>
                <w:lang w:val="es-419"/>
              </w:rPr>
            </w:pPr>
            <w:r w:rsidRPr="006A629A">
              <w:rPr>
                <w:b/>
                <w:sz w:val="16"/>
                <w:lang w:val="es-419"/>
              </w:rPr>
              <w:t xml:space="preserve">Resistencia a </w:t>
            </w:r>
            <w:r w:rsidRPr="006A629A">
              <w:rPr>
                <w:b/>
                <w:i/>
                <w:sz w:val="16"/>
                <w:lang w:val="es-419"/>
              </w:rPr>
              <w:t>Sphaerotheca fuliginea</w:t>
            </w:r>
            <w:r w:rsidRPr="006A629A">
              <w:rPr>
                <w:b/>
                <w:sz w:val="16"/>
                <w:lang w:val="es-419"/>
              </w:rPr>
              <w:t xml:space="preserve"> (</w:t>
            </w:r>
            <w:r w:rsidRPr="006A629A">
              <w:rPr>
                <w:b/>
                <w:i/>
                <w:sz w:val="16"/>
                <w:lang w:val="es-419"/>
              </w:rPr>
              <w:t>Podosphaera xanthii</w:t>
            </w:r>
            <w:r w:rsidRPr="006A629A">
              <w:rPr>
                <w:b/>
                <w:sz w:val="16"/>
                <w:lang w:val="es-419"/>
              </w:rPr>
              <w:t>)</w:t>
            </w:r>
            <w:r w:rsidRPr="006A629A">
              <w:rPr>
                <w:sz w:val="16"/>
                <w:lang w:val="es-419"/>
              </w:rPr>
              <w:t xml:space="preserve"> </w:t>
            </w:r>
            <w:r w:rsidRPr="006A629A">
              <w:rPr>
                <w:b/>
                <w:sz w:val="16"/>
                <w:lang w:val="es-419"/>
              </w:rPr>
              <w:t>(Oídio)</w:t>
            </w:r>
          </w:p>
        </w:tc>
        <w:tc>
          <w:tcPr>
            <w:tcW w:w="1734" w:type="dxa"/>
            <w:tcBorders>
              <w:top w:val="single" w:sz="4" w:space="0" w:color="auto"/>
              <w:left w:val="nil"/>
              <w:bottom w:val="nil"/>
              <w:right w:val="nil"/>
            </w:tcBorders>
          </w:tcPr>
          <w:p w:rsidR="004A0FA7" w:rsidRPr="006A629A" w:rsidRDefault="004A0FA7" w:rsidP="00BC78D5">
            <w:pPr>
              <w:keepNext/>
              <w:keepLines/>
              <w:spacing w:before="120" w:after="120"/>
              <w:jc w:val="left"/>
              <w:rPr>
                <w:b/>
                <w:bCs/>
                <w:sz w:val="16"/>
                <w:lang w:val="es-419"/>
              </w:rPr>
            </w:pPr>
          </w:p>
        </w:tc>
        <w:tc>
          <w:tcPr>
            <w:tcW w:w="1734" w:type="dxa"/>
            <w:tcBorders>
              <w:top w:val="single" w:sz="4" w:space="0" w:color="auto"/>
              <w:left w:val="nil"/>
              <w:bottom w:val="nil"/>
              <w:right w:val="nil"/>
            </w:tcBorders>
          </w:tcPr>
          <w:p w:rsidR="004A0FA7" w:rsidRPr="006A629A" w:rsidRDefault="004A0FA7" w:rsidP="00BC78D5">
            <w:pPr>
              <w:keepNext/>
              <w:keepLines/>
              <w:spacing w:before="120" w:after="120"/>
              <w:jc w:val="left"/>
              <w:rPr>
                <w:b/>
                <w:bCs/>
                <w:sz w:val="16"/>
                <w:lang w:val="es-419"/>
              </w:rPr>
            </w:pPr>
          </w:p>
        </w:tc>
        <w:tc>
          <w:tcPr>
            <w:tcW w:w="851" w:type="dxa"/>
            <w:tcBorders>
              <w:top w:val="single" w:sz="4" w:space="0" w:color="auto"/>
              <w:left w:val="nil"/>
              <w:bottom w:val="nil"/>
              <w:right w:val="nil"/>
            </w:tcBorders>
          </w:tcPr>
          <w:p w:rsidR="004A0FA7" w:rsidRPr="006A629A" w:rsidRDefault="004A0FA7" w:rsidP="00BC78D5">
            <w:pPr>
              <w:keepNext/>
              <w:keepLines/>
              <w:spacing w:before="120" w:after="120"/>
              <w:jc w:val="left"/>
              <w:rPr>
                <w:b/>
                <w:bCs/>
                <w:sz w:val="16"/>
                <w:lang w:val="es-419"/>
              </w:rPr>
            </w:pPr>
          </w:p>
        </w:tc>
        <w:tc>
          <w:tcPr>
            <w:tcW w:w="567" w:type="dxa"/>
            <w:tcBorders>
              <w:top w:val="single" w:sz="4" w:space="0" w:color="auto"/>
              <w:left w:val="nil"/>
              <w:bottom w:val="nil"/>
              <w:right w:val="nil"/>
            </w:tcBorders>
          </w:tcPr>
          <w:p w:rsidR="004A0FA7" w:rsidRPr="006A629A" w:rsidRDefault="004A0FA7" w:rsidP="00BC78D5">
            <w:pPr>
              <w:keepNext/>
              <w:keepLines/>
              <w:spacing w:before="120" w:after="120"/>
              <w:jc w:val="left"/>
              <w:rPr>
                <w:b/>
                <w:bCs/>
                <w:sz w:val="16"/>
                <w:lang w:val="es-419"/>
              </w:rPr>
            </w:pPr>
          </w:p>
        </w:tc>
      </w:tr>
      <w:tr w:rsidR="004A0FA7" w:rsidRPr="006A629A" w:rsidTr="00BC78D5">
        <w:trPr>
          <w:cantSplit/>
          <w:jc w:val="center"/>
        </w:trPr>
        <w:tc>
          <w:tcPr>
            <w:tcW w:w="578" w:type="dxa"/>
            <w:tcBorders>
              <w:top w:val="nil"/>
              <w:left w:val="nil"/>
              <w:bottom w:val="nil"/>
              <w:right w:val="nil"/>
            </w:tcBorders>
            <w:hideMark/>
          </w:tcPr>
          <w:p w:rsidR="004A0FA7" w:rsidRPr="006A629A" w:rsidRDefault="004A0FA7" w:rsidP="00BC78D5">
            <w:pPr>
              <w:keepNext/>
              <w:keepLines/>
              <w:spacing w:before="120" w:after="120"/>
              <w:jc w:val="left"/>
              <w:rPr>
                <w:b/>
                <w:sz w:val="16"/>
                <w:lang w:val="es-419"/>
              </w:rPr>
            </w:pPr>
            <w:r w:rsidRPr="006A629A">
              <w:rPr>
                <w:b/>
                <w:sz w:val="16"/>
                <w:lang w:val="es-419"/>
              </w:rPr>
              <w:t>70.1</w:t>
            </w:r>
          </w:p>
        </w:tc>
        <w:tc>
          <w:tcPr>
            <w:tcW w:w="425" w:type="dxa"/>
            <w:tcBorders>
              <w:top w:val="nil"/>
              <w:left w:val="nil"/>
              <w:bottom w:val="nil"/>
              <w:right w:val="nil"/>
            </w:tcBorders>
          </w:tcPr>
          <w:p w:rsidR="004A0FA7" w:rsidRPr="006A629A" w:rsidRDefault="004A0FA7" w:rsidP="00BC78D5">
            <w:pPr>
              <w:keepNext/>
              <w:keepLines/>
              <w:spacing w:before="120" w:after="120"/>
              <w:jc w:val="left"/>
              <w:rPr>
                <w:b/>
                <w:sz w:val="16"/>
                <w:lang w:val="es-419"/>
              </w:rPr>
            </w:pPr>
          </w:p>
        </w:tc>
        <w:tc>
          <w:tcPr>
            <w:tcW w:w="1733" w:type="dxa"/>
            <w:tcBorders>
              <w:top w:val="nil"/>
              <w:left w:val="nil"/>
              <w:bottom w:val="nil"/>
              <w:right w:val="nil"/>
            </w:tcBorders>
            <w:hideMark/>
          </w:tcPr>
          <w:p w:rsidR="004A0FA7" w:rsidRPr="006A629A" w:rsidRDefault="004A0FA7" w:rsidP="00BC78D5">
            <w:pPr>
              <w:keepNext/>
              <w:keepLines/>
              <w:spacing w:before="120" w:after="120"/>
              <w:jc w:val="left"/>
              <w:rPr>
                <w:b/>
                <w:sz w:val="16"/>
                <w:lang w:val="es-419"/>
              </w:rPr>
            </w:pPr>
            <w:r w:rsidRPr="006A629A">
              <w:rPr>
                <w:b/>
                <w:sz w:val="16"/>
                <w:lang w:val="es-419"/>
              </w:rPr>
              <w:t>Raza 1</w:t>
            </w:r>
          </w:p>
        </w:tc>
        <w:tc>
          <w:tcPr>
            <w:tcW w:w="1734" w:type="dxa"/>
            <w:tcBorders>
              <w:top w:val="nil"/>
              <w:left w:val="nil"/>
              <w:bottom w:val="nil"/>
              <w:right w:val="nil"/>
            </w:tcBorders>
          </w:tcPr>
          <w:p w:rsidR="004A0FA7" w:rsidRPr="006A629A" w:rsidRDefault="004A0FA7" w:rsidP="00BC78D5">
            <w:pPr>
              <w:keepNext/>
              <w:keepLines/>
              <w:spacing w:before="120" w:after="120"/>
              <w:jc w:val="left"/>
              <w:rPr>
                <w:b/>
                <w:sz w:val="16"/>
                <w:lang w:val="es-419"/>
              </w:rPr>
            </w:pPr>
          </w:p>
        </w:tc>
        <w:tc>
          <w:tcPr>
            <w:tcW w:w="1734" w:type="dxa"/>
            <w:tcBorders>
              <w:top w:val="nil"/>
              <w:left w:val="nil"/>
              <w:bottom w:val="nil"/>
              <w:right w:val="nil"/>
            </w:tcBorders>
          </w:tcPr>
          <w:p w:rsidR="004A0FA7" w:rsidRPr="006A629A" w:rsidRDefault="004A0FA7" w:rsidP="00BC78D5">
            <w:pPr>
              <w:keepNext/>
              <w:keepLines/>
              <w:spacing w:before="120" w:after="120"/>
              <w:jc w:val="left"/>
              <w:rPr>
                <w:b/>
                <w:sz w:val="16"/>
                <w:lang w:val="es-419"/>
              </w:rPr>
            </w:pPr>
          </w:p>
        </w:tc>
        <w:tc>
          <w:tcPr>
            <w:tcW w:w="851" w:type="dxa"/>
            <w:tcBorders>
              <w:top w:val="nil"/>
              <w:left w:val="nil"/>
              <w:bottom w:val="nil"/>
              <w:right w:val="nil"/>
            </w:tcBorders>
          </w:tcPr>
          <w:p w:rsidR="004A0FA7" w:rsidRPr="006A629A" w:rsidRDefault="004A0FA7" w:rsidP="00BC78D5">
            <w:pPr>
              <w:keepNext/>
              <w:keepLines/>
              <w:spacing w:before="120" w:after="120"/>
              <w:jc w:val="left"/>
              <w:rPr>
                <w:sz w:val="16"/>
                <w:lang w:val="es-419"/>
              </w:rPr>
            </w:pPr>
          </w:p>
        </w:tc>
        <w:tc>
          <w:tcPr>
            <w:tcW w:w="567" w:type="dxa"/>
            <w:tcBorders>
              <w:top w:val="nil"/>
              <w:left w:val="nil"/>
              <w:bottom w:val="nil"/>
              <w:right w:val="nil"/>
            </w:tcBorders>
          </w:tcPr>
          <w:p w:rsidR="004A0FA7" w:rsidRPr="006A629A" w:rsidRDefault="004A0FA7" w:rsidP="00BC78D5">
            <w:pPr>
              <w:keepNext/>
              <w:keepLines/>
              <w:spacing w:before="120" w:after="120"/>
              <w:jc w:val="left"/>
              <w:rPr>
                <w:sz w:val="16"/>
                <w:lang w:val="es-419"/>
              </w:rPr>
            </w:pPr>
          </w:p>
        </w:tc>
      </w:tr>
      <w:tr w:rsidR="004A0FA7" w:rsidRPr="006A629A" w:rsidTr="00BC78D5">
        <w:trPr>
          <w:cantSplit/>
          <w:jc w:val="center"/>
        </w:trPr>
        <w:tc>
          <w:tcPr>
            <w:tcW w:w="578" w:type="dxa"/>
            <w:tcBorders>
              <w:top w:val="nil"/>
              <w:left w:val="nil"/>
              <w:bottom w:val="nil"/>
              <w:right w:val="nil"/>
            </w:tcBorders>
            <w:hideMark/>
          </w:tcPr>
          <w:p w:rsidR="004A0FA7" w:rsidRPr="006A629A" w:rsidRDefault="004A0FA7" w:rsidP="00BC78D5">
            <w:pPr>
              <w:keepNext/>
              <w:keepLines/>
              <w:spacing w:before="120" w:after="120"/>
              <w:jc w:val="left"/>
              <w:rPr>
                <w:sz w:val="16"/>
                <w:lang w:val="es-419"/>
              </w:rPr>
            </w:pPr>
            <w:r w:rsidRPr="006A629A">
              <w:rPr>
                <w:sz w:val="16"/>
                <w:lang w:val="es-419"/>
              </w:rPr>
              <w:t>QN</w:t>
            </w:r>
          </w:p>
        </w:tc>
        <w:tc>
          <w:tcPr>
            <w:tcW w:w="425" w:type="dxa"/>
            <w:tcBorders>
              <w:top w:val="nil"/>
              <w:left w:val="nil"/>
              <w:bottom w:val="nil"/>
              <w:right w:val="nil"/>
            </w:tcBorders>
          </w:tcPr>
          <w:p w:rsidR="004A0FA7" w:rsidRPr="006A629A" w:rsidRDefault="004A0FA7" w:rsidP="00BC78D5">
            <w:pPr>
              <w:keepNext/>
              <w:keepLines/>
              <w:spacing w:before="120" w:after="120"/>
              <w:jc w:val="left"/>
              <w:rPr>
                <w:sz w:val="16"/>
                <w:lang w:val="es-419"/>
              </w:rPr>
            </w:pPr>
          </w:p>
        </w:tc>
        <w:tc>
          <w:tcPr>
            <w:tcW w:w="1733" w:type="dxa"/>
            <w:tcBorders>
              <w:top w:val="nil"/>
              <w:left w:val="nil"/>
              <w:bottom w:val="nil"/>
              <w:right w:val="nil"/>
            </w:tcBorders>
            <w:hideMark/>
          </w:tcPr>
          <w:p w:rsidR="004A0FA7" w:rsidRPr="006A629A" w:rsidRDefault="004A0FA7" w:rsidP="00BC78D5">
            <w:pPr>
              <w:keepNext/>
              <w:keepLines/>
              <w:spacing w:before="120" w:after="120"/>
              <w:jc w:val="left"/>
              <w:rPr>
                <w:sz w:val="16"/>
                <w:lang w:val="es-419"/>
              </w:rPr>
            </w:pPr>
            <w:r w:rsidRPr="006A629A">
              <w:rPr>
                <w:sz w:val="16"/>
                <w:lang w:val="es-419"/>
              </w:rPr>
              <w:t>susceptible</w:t>
            </w:r>
          </w:p>
        </w:tc>
        <w:tc>
          <w:tcPr>
            <w:tcW w:w="1734" w:type="dxa"/>
            <w:tcBorders>
              <w:top w:val="nil"/>
              <w:left w:val="nil"/>
              <w:bottom w:val="nil"/>
              <w:right w:val="nil"/>
            </w:tcBorders>
          </w:tcPr>
          <w:p w:rsidR="004A0FA7" w:rsidRPr="006A629A" w:rsidRDefault="004A0FA7" w:rsidP="00BC78D5">
            <w:pPr>
              <w:keepNext/>
              <w:keepLines/>
              <w:spacing w:before="120" w:after="120"/>
              <w:jc w:val="left"/>
              <w:rPr>
                <w:sz w:val="16"/>
                <w:lang w:val="es-419"/>
              </w:rPr>
            </w:pPr>
          </w:p>
        </w:tc>
        <w:tc>
          <w:tcPr>
            <w:tcW w:w="1734" w:type="dxa"/>
            <w:tcBorders>
              <w:top w:val="nil"/>
              <w:left w:val="nil"/>
              <w:bottom w:val="nil"/>
              <w:right w:val="nil"/>
            </w:tcBorders>
          </w:tcPr>
          <w:p w:rsidR="004A0FA7" w:rsidRPr="006A629A" w:rsidRDefault="004A0FA7" w:rsidP="00BC78D5">
            <w:pPr>
              <w:keepNext/>
              <w:keepLines/>
              <w:spacing w:before="120" w:after="120"/>
              <w:jc w:val="left"/>
              <w:rPr>
                <w:sz w:val="16"/>
                <w:lang w:val="es-419"/>
              </w:rPr>
            </w:pPr>
          </w:p>
        </w:tc>
        <w:tc>
          <w:tcPr>
            <w:tcW w:w="851" w:type="dxa"/>
            <w:tcBorders>
              <w:top w:val="nil"/>
              <w:left w:val="nil"/>
              <w:bottom w:val="nil"/>
              <w:right w:val="nil"/>
            </w:tcBorders>
            <w:hideMark/>
          </w:tcPr>
          <w:p w:rsidR="004A0FA7" w:rsidRPr="006A629A" w:rsidRDefault="004A0FA7" w:rsidP="00BC78D5">
            <w:pPr>
              <w:keepNext/>
              <w:keepLines/>
              <w:spacing w:before="120" w:after="120"/>
              <w:jc w:val="left"/>
              <w:rPr>
                <w:sz w:val="16"/>
                <w:lang w:val="es-419"/>
              </w:rPr>
            </w:pPr>
            <w:r w:rsidRPr="006A629A">
              <w:rPr>
                <w:sz w:val="16"/>
                <w:lang w:val="es-419"/>
              </w:rPr>
              <w:t>[…]</w:t>
            </w:r>
          </w:p>
        </w:tc>
        <w:tc>
          <w:tcPr>
            <w:tcW w:w="567" w:type="dxa"/>
            <w:tcBorders>
              <w:top w:val="nil"/>
              <w:left w:val="nil"/>
              <w:bottom w:val="nil"/>
              <w:right w:val="nil"/>
            </w:tcBorders>
            <w:hideMark/>
          </w:tcPr>
          <w:p w:rsidR="004A0FA7" w:rsidRPr="006A629A" w:rsidRDefault="004A0FA7" w:rsidP="00BC78D5">
            <w:pPr>
              <w:keepNext/>
              <w:keepLines/>
              <w:spacing w:before="120" w:after="120"/>
              <w:jc w:val="left"/>
              <w:rPr>
                <w:sz w:val="16"/>
                <w:lang w:val="es-419"/>
              </w:rPr>
            </w:pPr>
            <w:r w:rsidRPr="006A629A">
              <w:rPr>
                <w:sz w:val="16"/>
                <w:lang w:val="es-419"/>
              </w:rPr>
              <w:t>1</w:t>
            </w:r>
          </w:p>
        </w:tc>
      </w:tr>
      <w:tr w:rsidR="004A0FA7" w:rsidRPr="006A629A" w:rsidTr="00BC78D5">
        <w:trPr>
          <w:cantSplit/>
          <w:jc w:val="center"/>
        </w:trPr>
        <w:tc>
          <w:tcPr>
            <w:tcW w:w="578" w:type="dxa"/>
            <w:tcBorders>
              <w:top w:val="nil"/>
              <w:left w:val="nil"/>
              <w:bottom w:val="nil"/>
              <w:right w:val="nil"/>
            </w:tcBorders>
          </w:tcPr>
          <w:p w:rsidR="004A0FA7" w:rsidRPr="006A629A" w:rsidRDefault="004A0FA7" w:rsidP="00BC78D5">
            <w:pPr>
              <w:keepNext/>
              <w:keepLines/>
              <w:spacing w:before="120" w:after="120"/>
              <w:jc w:val="left"/>
              <w:rPr>
                <w:sz w:val="16"/>
                <w:lang w:val="es-419"/>
              </w:rPr>
            </w:pPr>
          </w:p>
        </w:tc>
        <w:tc>
          <w:tcPr>
            <w:tcW w:w="425" w:type="dxa"/>
            <w:tcBorders>
              <w:top w:val="nil"/>
              <w:left w:val="nil"/>
              <w:bottom w:val="nil"/>
              <w:right w:val="nil"/>
            </w:tcBorders>
          </w:tcPr>
          <w:p w:rsidR="004A0FA7" w:rsidRPr="006A629A" w:rsidRDefault="004A0FA7" w:rsidP="00BC78D5">
            <w:pPr>
              <w:keepNext/>
              <w:keepLines/>
              <w:spacing w:before="120" w:after="120"/>
              <w:jc w:val="left"/>
              <w:rPr>
                <w:sz w:val="16"/>
                <w:lang w:val="es-419"/>
              </w:rPr>
            </w:pPr>
          </w:p>
        </w:tc>
        <w:tc>
          <w:tcPr>
            <w:tcW w:w="3467" w:type="dxa"/>
            <w:gridSpan w:val="2"/>
            <w:tcBorders>
              <w:top w:val="nil"/>
              <w:left w:val="nil"/>
              <w:bottom w:val="nil"/>
              <w:right w:val="nil"/>
            </w:tcBorders>
            <w:hideMark/>
          </w:tcPr>
          <w:p w:rsidR="004A0FA7" w:rsidRPr="006A629A" w:rsidRDefault="004A0FA7" w:rsidP="00BC78D5">
            <w:pPr>
              <w:keepNext/>
              <w:keepLines/>
              <w:spacing w:before="120" w:after="120"/>
              <w:jc w:val="left"/>
              <w:rPr>
                <w:sz w:val="16"/>
                <w:lang w:val="es-419"/>
              </w:rPr>
            </w:pPr>
            <w:r w:rsidRPr="00B55DBA">
              <w:rPr>
                <w:strike/>
                <w:sz w:val="16"/>
                <w:highlight w:val="lightGray"/>
                <w:lang w:val="es-419"/>
              </w:rPr>
              <w:t xml:space="preserve">moderadamente </w:t>
            </w:r>
            <w:r w:rsidRPr="00B55DBA">
              <w:rPr>
                <w:sz w:val="16"/>
                <w:highlight w:val="lightGray"/>
                <w:u w:val="single"/>
                <w:lang w:val="es-419"/>
              </w:rPr>
              <w:t>resistencia intermedia</w:t>
            </w:r>
            <w:r w:rsidRPr="006A629A">
              <w:rPr>
                <w:rStyle w:val="FootnoteReference"/>
                <w:sz w:val="16"/>
                <w:lang w:val="es-419"/>
              </w:rPr>
              <w:footnoteReference w:id="2"/>
            </w:r>
            <w:r w:rsidRPr="006A629A">
              <w:rPr>
                <w:sz w:val="16"/>
                <w:lang w:val="es-419"/>
              </w:rPr>
              <w:t xml:space="preserve"> </w:t>
            </w:r>
          </w:p>
        </w:tc>
        <w:tc>
          <w:tcPr>
            <w:tcW w:w="1734" w:type="dxa"/>
            <w:tcBorders>
              <w:top w:val="nil"/>
              <w:left w:val="nil"/>
              <w:bottom w:val="nil"/>
              <w:right w:val="nil"/>
            </w:tcBorders>
          </w:tcPr>
          <w:p w:rsidR="004A0FA7" w:rsidRPr="006A629A" w:rsidRDefault="004A0FA7" w:rsidP="00BC78D5">
            <w:pPr>
              <w:keepNext/>
              <w:keepLines/>
              <w:spacing w:before="120" w:after="120"/>
              <w:jc w:val="left"/>
              <w:rPr>
                <w:sz w:val="16"/>
                <w:lang w:val="es-419"/>
              </w:rPr>
            </w:pPr>
          </w:p>
        </w:tc>
        <w:tc>
          <w:tcPr>
            <w:tcW w:w="851" w:type="dxa"/>
            <w:tcBorders>
              <w:top w:val="nil"/>
              <w:left w:val="nil"/>
              <w:bottom w:val="nil"/>
              <w:right w:val="nil"/>
            </w:tcBorders>
            <w:hideMark/>
          </w:tcPr>
          <w:p w:rsidR="004A0FA7" w:rsidRPr="006A629A" w:rsidRDefault="004A0FA7" w:rsidP="00BC78D5">
            <w:pPr>
              <w:keepNext/>
              <w:keepLines/>
              <w:spacing w:before="120" w:after="120"/>
              <w:jc w:val="left"/>
              <w:rPr>
                <w:sz w:val="16"/>
                <w:lang w:val="es-419"/>
              </w:rPr>
            </w:pPr>
            <w:r w:rsidRPr="006A629A">
              <w:rPr>
                <w:sz w:val="16"/>
                <w:lang w:val="es-419"/>
              </w:rPr>
              <w:t>[…]</w:t>
            </w:r>
          </w:p>
        </w:tc>
        <w:tc>
          <w:tcPr>
            <w:tcW w:w="567" w:type="dxa"/>
            <w:tcBorders>
              <w:top w:val="nil"/>
              <w:left w:val="nil"/>
              <w:bottom w:val="nil"/>
              <w:right w:val="nil"/>
            </w:tcBorders>
            <w:hideMark/>
          </w:tcPr>
          <w:p w:rsidR="004A0FA7" w:rsidRPr="006A629A" w:rsidRDefault="004A0FA7" w:rsidP="00BC78D5">
            <w:pPr>
              <w:keepNext/>
              <w:keepLines/>
              <w:spacing w:before="120" w:after="120"/>
              <w:jc w:val="left"/>
              <w:rPr>
                <w:sz w:val="16"/>
                <w:lang w:val="es-419"/>
              </w:rPr>
            </w:pPr>
            <w:r w:rsidRPr="006A629A">
              <w:rPr>
                <w:sz w:val="16"/>
                <w:lang w:val="es-419"/>
              </w:rPr>
              <w:t>2</w:t>
            </w:r>
          </w:p>
        </w:tc>
      </w:tr>
      <w:tr w:rsidR="004A0FA7" w:rsidRPr="006A629A" w:rsidTr="00BC78D5">
        <w:trPr>
          <w:cantSplit/>
          <w:jc w:val="center"/>
        </w:trPr>
        <w:tc>
          <w:tcPr>
            <w:tcW w:w="578" w:type="dxa"/>
            <w:tcBorders>
              <w:top w:val="nil"/>
              <w:left w:val="nil"/>
              <w:bottom w:val="single" w:sz="4" w:space="0" w:color="auto"/>
              <w:right w:val="nil"/>
            </w:tcBorders>
          </w:tcPr>
          <w:p w:rsidR="004A0FA7" w:rsidRPr="006A629A" w:rsidRDefault="004A0FA7" w:rsidP="00BC78D5">
            <w:pPr>
              <w:keepNext/>
              <w:keepLines/>
              <w:spacing w:before="120" w:after="120"/>
              <w:jc w:val="left"/>
              <w:rPr>
                <w:sz w:val="16"/>
                <w:lang w:val="es-419"/>
              </w:rPr>
            </w:pPr>
          </w:p>
        </w:tc>
        <w:tc>
          <w:tcPr>
            <w:tcW w:w="425" w:type="dxa"/>
            <w:tcBorders>
              <w:top w:val="nil"/>
              <w:left w:val="nil"/>
              <w:bottom w:val="single" w:sz="4" w:space="0" w:color="auto"/>
              <w:right w:val="nil"/>
            </w:tcBorders>
          </w:tcPr>
          <w:p w:rsidR="004A0FA7" w:rsidRPr="006A629A" w:rsidRDefault="004A0FA7" w:rsidP="00BC78D5">
            <w:pPr>
              <w:keepNext/>
              <w:keepLines/>
              <w:spacing w:before="120" w:after="120"/>
              <w:jc w:val="left"/>
              <w:rPr>
                <w:sz w:val="16"/>
                <w:lang w:val="es-419"/>
              </w:rPr>
            </w:pPr>
          </w:p>
        </w:tc>
        <w:tc>
          <w:tcPr>
            <w:tcW w:w="1733" w:type="dxa"/>
            <w:tcBorders>
              <w:top w:val="nil"/>
              <w:left w:val="nil"/>
              <w:bottom w:val="single" w:sz="4" w:space="0" w:color="auto"/>
              <w:right w:val="nil"/>
            </w:tcBorders>
            <w:hideMark/>
          </w:tcPr>
          <w:p w:rsidR="004A0FA7" w:rsidRPr="006A629A" w:rsidRDefault="004A0FA7" w:rsidP="00BC78D5">
            <w:pPr>
              <w:keepNext/>
              <w:keepLines/>
              <w:spacing w:before="120" w:after="120"/>
              <w:jc w:val="left"/>
              <w:rPr>
                <w:sz w:val="16"/>
                <w:lang w:val="es-419"/>
              </w:rPr>
            </w:pPr>
            <w:r w:rsidRPr="006A629A">
              <w:rPr>
                <w:sz w:val="16"/>
                <w:lang w:val="es-419"/>
              </w:rPr>
              <w:t>altamente resistente</w:t>
            </w:r>
          </w:p>
        </w:tc>
        <w:tc>
          <w:tcPr>
            <w:tcW w:w="1734" w:type="dxa"/>
            <w:tcBorders>
              <w:top w:val="nil"/>
              <w:left w:val="nil"/>
              <w:bottom w:val="single" w:sz="4" w:space="0" w:color="auto"/>
              <w:right w:val="nil"/>
            </w:tcBorders>
          </w:tcPr>
          <w:p w:rsidR="004A0FA7" w:rsidRPr="006A629A" w:rsidRDefault="004A0FA7" w:rsidP="00BC78D5">
            <w:pPr>
              <w:keepNext/>
              <w:keepLines/>
              <w:spacing w:before="120" w:after="120"/>
              <w:jc w:val="left"/>
              <w:rPr>
                <w:sz w:val="16"/>
                <w:lang w:val="es-419"/>
              </w:rPr>
            </w:pPr>
          </w:p>
        </w:tc>
        <w:tc>
          <w:tcPr>
            <w:tcW w:w="1734" w:type="dxa"/>
            <w:tcBorders>
              <w:top w:val="nil"/>
              <w:left w:val="nil"/>
              <w:bottom w:val="single" w:sz="4" w:space="0" w:color="auto"/>
              <w:right w:val="nil"/>
            </w:tcBorders>
          </w:tcPr>
          <w:p w:rsidR="004A0FA7" w:rsidRPr="006A629A" w:rsidRDefault="004A0FA7" w:rsidP="00BC78D5">
            <w:pPr>
              <w:keepNext/>
              <w:keepLines/>
              <w:spacing w:before="120" w:after="120"/>
              <w:jc w:val="left"/>
              <w:rPr>
                <w:sz w:val="16"/>
                <w:lang w:val="es-419"/>
              </w:rPr>
            </w:pPr>
          </w:p>
        </w:tc>
        <w:tc>
          <w:tcPr>
            <w:tcW w:w="851" w:type="dxa"/>
            <w:tcBorders>
              <w:top w:val="nil"/>
              <w:left w:val="nil"/>
              <w:bottom w:val="single" w:sz="4" w:space="0" w:color="auto"/>
              <w:right w:val="nil"/>
            </w:tcBorders>
            <w:hideMark/>
          </w:tcPr>
          <w:p w:rsidR="004A0FA7" w:rsidRPr="006A629A" w:rsidRDefault="004A0FA7" w:rsidP="00BC78D5">
            <w:pPr>
              <w:keepNext/>
              <w:keepLines/>
              <w:spacing w:before="120" w:after="120"/>
              <w:jc w:val="left"/>
              <w:rPr>
                <w:sz w:val="16"/>
                <w:lang w:val="es-419"/>
              </w:rPr>
            </w:pPr>
            <w:r w:rsidRPr="006A629A">
              <w:rPr>
                <w:sz w:val="16"/>
                <w:lang w:val="es-419"/>
              </w:rPr>
              <w:t>[…]</w:t>
            </w:r>
          </w:p>
        </w:tc>
        <w:tc>
          <w:tcPr>
            <w:tcW w:w="567" w:type="dxa"/>
            <w:tcBorders>
              <w:top w:val="nil"/>
              <w:left w:val="nil"/>
              <w:bottom w:val="single" w:sz="4" w:space="0" w:color="auto"/>
              <w:right w:val="nil"/>
            </w:tcBorders>
            <w:hideMark/>
          </w:tcPr>
          <w:p w:rsidR="004A0FA7" w:rsidRPr="006A629A" w:rsidRDefault="004A0FA7" w:rsidP="00BC78D5">
            <w:pPr>
              <w:keepNext/>
              <w:keepLines/>
              <w:spacing w:before="120" w:after="120"/>
              <w:jc w:val="left"/>
              <w:rPr>
                <w:sz w:val="16"/>
                <w:lang w:val="es-419"/>
              </w:rPr>
            </w:pPr>
            <w:r w:rsidRPr="006A629A">
              <w:rPr>
                <w:sz w:val="16"/>
                <w:lang w:val="es-419"/>
              </w:rPr>
              <w:t>3</w:t>
            </w:r>
          </w:p>
        </w:tc>
      </w:tr>
    </w:tbl>
    <w:p w:rsidR="004A0FA7" w:rsidRPr="006A629A" w:rsidRDefault="004A0FA7" w:rsidP="004A0FA7">
      <w:pPr>
        <w:ind w:left="1134" w:hanging="567"/>
        <w:rPr>
          <w:lang w:val="es-419"/>
        </w:rPr>
      </w:pPr>
    </w:p>
    <w:p w:rsidR="004A0FA7" w:rsidRPr="006A629A" w:rsidRDefault="004A0FA7" w:rsidP="004A0FA7">
      <w:pPr>
        <w:rPr>
          <w:lang w:val="es-419"/>
        </w:rPr>
      </w:pPr>
    </w:p>
    <w:p w:rsidR="004A0FA7" w:rsidRPr="006A629A" w:rsidRDefault="004A0FA7" w:rsidP="004A0FA7">
      <w:pPr>
        <w:rPr>
          <w:lang w:val="es-419"/>
        </w:rPr>
      </w:pPr>
    </w:p>
    <w:p w:rsidR="004A0FA7" w:rsidRPr="006A629A" w:rsidRDefault="004A0FA7" w:rsidP="004A0FA7">
      <w:pPr>
        <w:rPr>
          <w:lang w:val="es-419"/>
        </w:rPr>
      </w:pPr>
    </w:p>
    <w:p w:rsidR="004A0FA7" w:rsidRPr="006A629A" w:rsidRDefault="004A0FA7" w:rsidP="004A0FA7">
      <w:pPr>
        <w:rPr>
          <w:lang w:val="es-419"/>
        </w:rPr>
      </w:pPr>
    </w:p>
    <w:p w:rsidR="004A0FA7" w:rsidRPr="006A629A" w:rsidRDefault="004A0FA7" w:rsidP="004A0FA7">
      <w:pPr>
        <w:jc w:val="right"/>
        <w:rPr>
          <w:lang w:val="es-419"/>
        </w:rPr>
      </w:pPr>
      <w:r w:rsidRPr="006A629A">
        <w:rPr>
          <w:lang w:val="es-419"/>
        </w:rPr>
        <w:t>[Fin del Anexo III y del documento]</w:t>
      </w:r>
    </w:p>
    <w:p w:rsidR="00002258" w:rsidRPr="004A0FA7" w:rsidRDefault="00002258" w:rsidP="00B16054">
      <w:pPr>
        <w:rPr>
          <w:lang w:val="es-419"/>
        </w:rPr>
      </w:pPr>
    </w:p>
    <w:sectPr w:rsidR="00002258" w:rsidRPr="004A0FA7"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A4" w:rsidRDefault="008861A4" w:rsidP="006655D3">
      <w:r>
        <w:separator/>
      </w:r>
    </w:p>
    <w:p w:rsidR="008861A4" w:rsidRDefault="008861A4" w:rsidP="006655D3"/>
    <w:p w:rsidR="008861A4" w:rsidRDefault="008861A4" w:rsidP="006655D3"/>
  </w:endnote>
  <w:endnote w:type="continuationSeparator" w:id="0">
    <w:p w:rsidR="008861A4" w:rsidRDefault="008861A4" w:rsidP="006655D3">
      <w:r>
        <w:separator/>
      </w:r>
    </w:p>
    <w:p w:rsidR="008861A4" w:rsidRPr="00294751" w:rsidRDefault="008861A4">
      <w:pPr>
        <w:pStyle w:val="Footer"/>
        <w:spacing w:after="60"/>
        <w:rPr>
          <w:sz w:val="18"/>
          <w:lang w:val="fr-FR"/>
        </w:rPr>
      </w:pPr>
      <w:r w:rsidRPr="00294751">
        <w:rPr>
          <w:sz w:val="18"/>
          <w:lang w:val="fr-FR"/>
        </w:rPr>
        <w:t>[Suite de la note de la page précédente]</w:t>
      </w:r>
    </w:p>
    <w:p w:rsidR="008861A4" w:rsidRPr="00294751" w:rsidRDefault="008861A4" w:rsidP="006655D3">
      <w:pPr>
        <w:rPr>
          <w:lang w:val="fr-FR"/>
        </w:rPr>
      </w:pPr>
    </w:p>
    <w:p w:rsidR="008861A4" w:rsidRPr="00294751" w:rsidRDefault="008861A4" w:rsidP="006655D3">
      <w:pPr>
        <w:rPr>
          <w:lang w:val="fr-FR"/>
        </w:rPr>
      </w:pPr>
    </w:p>
  </w:endnote>
  <w:endnote w:type="continuationNotice" w:id="1">
    <w:p w:rsidR="008861A4" w:rsidRPr="00294751" w:rsidRDefault="008861A4" w:rsidP="006655D3">
      <w:pPr>
        <w:rPr>
          <w:lang w:val="fr-FR"/>
        </w:rPr>
      </w:pPr>
      <w:r w:rsidRPr="00294751">
        <w:rPr>
          <w:lang w:val="fr-FR"/>
        </w:rPr>
        <w:t>[Suite de la note page suivante]</w:t>
      </w:r>
    </w:p>
    <w:p w:rsidR="008861A4" w:rsidRPr="00294751" w:rsidRDefault="008861A4" w:rsidP="006655D3">
      <w:pPr>
        <w:rPr>
          <w:lang w:val="fr-FR"/>
        </w:rPr>
      </w:pPr>
    </w:p>
    <w:p w:rsidR="008861A4" w:rsidRPr="00294751" w:rsidRDefault="008861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A4" w:rsidRDefault="008861A4" w:rsidP="006655D3">
      <w:r>
        <w:separator/>
      </w:r>
    </w:p>
  </w:footnote>
  <w:footnote w:type="continuationSeparator" w:id="0">
    <w:p w:rsidR="008861A4" w:rsidRDefault="008861A4" w:rsidP="006655D3">
      <w:r>
        <w:separator/>
      </w:r>
    </w:p>
  </w:footnote>
  <w:footnote w:type="continuationNotice" w:id="1">
    <w:p w:rsidR="008861A4" w:rsidRPr="00AB530F" w:rsidRDefault="008861A4" w:rsidP="00AB530F">
      <w:pPr>
        <w:pStyle w:val="Footer"/>
      </w:pPr>
    </w:p>
  </w:footnote>
  <w:footnote w:id="2">
    <w:p w:rsidR="004A0FA7" w:rsidRPr="0045127B" w:rsidRDefault="004A0FA7" w:rsidP="004A0FA7">
      <w:pPr>
        <w:pStyle w:val="FootnoteText"/>
      </w:pPr>
      <w:r>
        <w:rPr>
          <w:rStyle w:val="FootnoteReference"/>
        </w:rPr>
        <w:footnoteRef/>
      </w:r>
      <w:r>
        <w:t xml:space="preserve"> </w:t>
      </w:r>
      <w:r>
        <w:tab/>
        <w:t>En su quincuagésima sexta sesión, celebrada por medios electrónicos del 18 al 22 de abril de 2022, el TWV convino en que el nivel de expresión “intermedia” del ejemplo del párrafo 28 del documento TWP/6/1, debe sustituirse por “resistencia intermedia” (véase el párrafo 20 del documento TWV/56/22 “</w:t>
      </w:r>
      <w:r>
        <w:rPr>
          <w:i/>
          <w:iCs/>
        </w:rPr>
        <w:t>Report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258" w:rsidRDefault="006C1D0C" w:rsidP="00002258">
    <w:pPr>
      <w:jc w:val="center"/>
    </w:pPr>
    <w:r>
      <w:t>CAJ/79/3</w:t>
    </w:r>
  </w:p>
  <w:p w:rsidR="006C1D0C" w:rsidRDefault="006C1D0C" w:rsidP="00002258">
    <w:pPr>
      <w:jc w:val="center"/>
    </w:pPr>
    <w:r>
      <w:t xml:space="preserve">página </w:t>
    </w:r>
    <w:r>
      <w:fldChar w:fldCharType="begin"/>
    </w:r>
    <w:r>
      <w:instrText>PAGE   \* MERGEFORMAT</w:instrText>
    </w:r>
    <w:r>
      <w:fldChar w:fldCharType="separate"/>
    </w:r>
    <w:r w:rsidR="00FE133A">
      <w:rPr>
        <w:noProof/>
      </w:rPr>
      <w:t>5</w:t>
    </w:r>
    <w:r>
      <w:fldChar w:fldCharType="end"/>
    </w:r>
  </w:p>
  <w:p w:rsidR="006C1D0C" w:rsidRDefault="006C1D0C" w:rsidP="00002258">
    <w:pPr>
      <w:jc w:val="center"/>
    </w:pPr>
  </w:p>
  <w:p w:rsidR="006C1D0C" w:rsidRPr="00C5280D" w:rsidRDefault="006C1D0C" w:rsidP="00002258">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A7" w:rsidRPr="006B5EBA" w:rsidRDefault="004A0FA7" w:rsidP="00980145">
    <w:pPr>
      <w:pStyle w:val="Header"/>
      <w:rPr>
        <w:rStyle w:val="PageNumber"/>
      </w:rPr>
    </w:pPr>
    <w:r>
      <w:rPr>
        <w:rStyle w:val="PageNumber"/>
      </w:rPr>
      <w:t>CAJ/79/3</w:t>
    </w:r>
  </w:p>
  <w:p w:rsidR="004A0FA7" w:rsidRPr="006B5EBA" w:rsidRDefault="004A0FA7" w:rsidP="00980145">
    <w:pPr>
      <w:pStyle w:val="Header"/>
    </w:pPr>
    <w:r>
      <w:t xml:space="preserve">anexo II, página </w:t>
    </w:r>
    <w:r w:rsidRPr="006B5EBA">
      <w:rPr>
        <w:rStyle w:val="PageNumber"/>
      </w:rPr>
      <w:fldChar w:fldCharType="begin"/>
    </w:r>
    <w:r w:rsidRPr="006B5EBA">
      <w:rPr>
        <w:rStyle w:val="PageNumber"/>
      </w:rPr>
      <w:instrText xml:space="preserve"> PAGE </w:instrText>
    </w:r>
    <w:r w:rsidRPr="006B5EBA">
      <w:rPr>
        <w:rStyle w:val="PageNumber"/>
      </w:rPr>
      <w:fldChar w:fldCharType="separate"/>
    </w:r>
    <w:r w:rsidR="00FE133A">
      <w:rPr>
        <w:rStyle w:val="PageNumber"/>
        <w:noProof/>
      </w:rPr>
      <w:t>2</w:t>
    </w:r>
    <w:r w:rsidRPr="006B5EBA">
      <w:rPr>
        <w:rStyle w:val="PageNumber"/>
      </w:rPr>
      <w:fldChar w:fldCharType="end"/>
    </w:r>
  </w:p>
  <w:p w:rsidR="004A0FA7" w:rsidRPr="006B5EBA" w:rsidRDefault="004A0FA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A7" w:rsidRPr="0004198B" w:rsidRDefault="004A0FA7"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38B"/>
    <w:multiLevelType w:val="hybridMultilevel"/>
    <w:tmpl w:val="5DA01D2A"/>
    <w:lvl w:ilvl="0" w:tplc="DC1240E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0D203E60"/>
    <w:multiLevelType w:val="hybridMultilevel"/>
    <w:tmpl w:val="A388192C"/>
    <w:lvl w:ilvl="0" w:tplc="3964112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15:restartNumberingAfterBreak="0">
    <w:nsid w:val="1495469A"/>
    <w:multiLevelType w:val="hybridMultilevel"/>
    <w:tmpl w:val="AD8202BC"/>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B7D5924"/>
    <w:multiLevelType w:val="hybridMultilevel"/>
    <w:tmpl w:val="415CF122"/>
    <w:lvl w:ilvl="0" w:tplc="536256B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416F0014"/>
    <w:multiLevelType w:val="hybridMultilevel"/>
    <w:tmpl w:val="CFCA1952"/>
    <w:lvl w:ilvl="0" w:tplc="00F41076">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6" w15:restartNumberingAfterBreak="0">
    <w:nsid w:val="4423287E"/>
    <w:multiLevelType w:val="hybridMultilevel"/>
    <w:tmpl w:val="EF08B7E2"/>
    <w:lvl w:ilvl="0" w:tplc="5CBAC548">
      <w:start w:val="1"/>
      <w:numFmt w:val="lowerLetter"/>
      <w:lvlText w:val="(%1)"/>
      <w:lvlJc w:val="left"/>
      <w:pPr>
        <w:ind w:left="5450" w:hanging="63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15:restartNumberingAfterBreak="0">
    <w:nsid w:val="535A5E14"/>
    <w:multiLevelType w:val="hybridMultilevel"/>
    <w:tmpl w:val="C9123F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726F6B"/>
    <w:multiLevelType w:val="hybridMultilevel"/>
    <w:tmpl w:val="22129942"/>
    <w:lvl w:ilvl="0" w:tplc="B07036D6">
      <w:start w:val="1"/>
      <w:numFmt w:val="lowerLetter"/>
      <w:lvlText w:val="(%1)"/>
      <w:lvlJc w:val="left"/>
      <w:pPr>
        <w:ind w:left="5230" w:hanging="41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15:restartNumberingAfterBreak="0">
    <w:nsid w:val="75BC10BC"/>
    <w:multiLevelType w:val="hybridMultilevel"/>
    <w:tmpl w:val="DB3E9458"/>
    <w:lvl w:ilvl="0" w:tplc="1292DEC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7A36483F"/>
    <w:multiLevelType w:val="hybridMultilevel"/>
    <w:tmpl w:val="68842D6C"/>
    <w:lvl w:ilvl="0" w:tplc="72547ED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15:restartNumberingAfterBreak="0">
    <w:nsid w:val="7E18236C"/>
    <w:multiLevelType w:val="hybridMultilevel"/>
    <w:tmpl w:val="B406F316"/>
    <w:lvl w:ilvl="0" w:tplc="538C86D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7"/>
  </w:num>
  <w:num w:numId="2">
    <w:abstractNumId w:val="6"/>
  </w:num>
  <w:num w:numId="3">
    <w:abstractNumId w:val="10"/>
  </w:num>
  <w:num w:numId="4">
    <w:abstractNumId w:val="3"/>
  </w:num>
  <w:num w:numId="5">
    <w:abstractNumId w:val="5"/>
  </w:num>
  <w:num w:numId="6">
    <w:abstractNumId w:val="8"/>
  </w:num>
  <w:num w:numId="7">
    <w:abstractNumId w:val="2"/>
  </w:num>
  <w:num w:numId="8">
    <w:abstractNumId w:val="4"/>
  </w:num>
  <w:num w:numId="9">
    <w:abstractNumId w:val="9"/>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02258"/>
    <w:rsid w:val="00002D93"/>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041"/>
    <w:rsid w:val="00105929"/>
    <w:rsid w:val="00110BED"/>
    <w:rsid w:val="00110C36"/>
    <w:rsid w:val="001131D5"/>
    <w:rsid w:val="00114547"/>
    <w:rsid w:val="00141DB8"/>
    <w:rsid w:val="00171305"/>
    <w:rsid w:val="00172084"/>
    <w:rsid w:val="0017474A"/>
    <w:rsid w:val="001758C6"/>
    <w:rsid w:val="00181A3C"/>
    <w:rsid w:val="00182B99"/>
    <w:rsid w:val="001C1525"/>
    <w:rsid w:val="0021332C"/>
    <w:rsid w:val="00213982"/>
    <w:rsid w:val="0024416D"/>
    <w:rsid w:val="00271911"/>
    <w:rsid w:val="00273187"/>
    <w:rsid w:val="002800A0"/>
    <w:rsid w:val="002801B3"/>
    <w:rsid w:val="00281060"/>
    <w:rsid w:val="00284050"/>
    <w:rsid w:val="002843B4"/>
    <w:rsid w:val="00285BD0"/>
    <w:rsid w:val="002940E8"/>
    <w:rsid w:val="00294751"/>
    <w:rsid w:val="002A6E50"/>
    <w:rsid w:val="002B4298"/>
    <w:rsid w:val="002B7A36"/>
    <w:rsid w:val="002C256A"/>
    <w:rsid w:val="002D5226"/>
    <w:rsid w:val="00305A7F"/>
    <w:rsid w:val="003152FE"/>
    <w:rsid w:val="00322D5A"/>
    <w:rsid w:val="003248FC"/>
    <w:rsid w:val="00327436"/>
    <w:rsid w:val="00344BD6"/>
    <w:rsid w:val="0035528D"/>
    <w:rsid w:val="00361821"/>
    <w:rsid w:val="00361E9E"/>
    <w:rsid w:val="003753EE"/>
    <w:rsid w:val="003859A6"/>
    <w:rsid w:val="003A0835"/>
    <w:rsid w:val="003A0E68"/>
    <w:rsid w:val="003A5AAF"/>
    <w:rsid w:val="003B4BB6"/>
    <w:rsid w:val="003B700A"/>
    <w:rsid w:val="003C7FBE"/>
    <w:rsid w:val="003D227C"/>
    <w:rsid w:val="003D2B4D"/>
    <w:rsid w:val="003E1732"/>
    <w:rsid w:val="003F37F5"/>
    <w:rsid w:val="003F5CA0"/>
    <w:rsid w:val="00444A88"/>
    <w:rsid w:val="00445D99"/>
    <w:rsid w:val="00472F22"/>
    <w:rsid w:val="00474DA4"/>
    <w:rsid w:val="00476B4D"/>
    <w:rsid w:val="004805FA"/>
    <w:rsid w:val="004935D2"/>
    <w:rsid w:val="004A0FA7"/>
    <w:rsid w:val="004B1215"/>
    <w:rsid w:val="004C7CD6"/>
    <w:rsid w:val="004D047D"/>
    <w:rsid w:val="004F1E9E"/>
    <w:rsid w:val="004F305A"/>
    <w:rsid w:val="00512164"/>
    <w:rsid w:val="00520297"/>
    <w:rsid w:val="00532395"/>
    <w:rsid w:val="005338F9"/>
    <w:rsid w:val="0054281C"/>
    <w:rsid w:val="00544581"/>
    <w:rsid w:val="0055268D"/>
    <w:rsid w:val="00575DE2"/>
    <w:rsid w:val="00576BE4"/>
    <w:rsid w:val="005779DB"/>
    <w:rsid w:val="005A2A67"/>
    <w:rsid w:val="005A400A"/>
    <w:rsid w:val="005B269D"/>
    <w:rsid w:val="005F7B92"/>
    <w:rsid w:val="006105AC"/>
    <w:rsid w:val="00612379"/>
    <w:rsid w:val="006153B6"/>
    <w:rsid w:val="0061555F"/>
    <w:rsid w:val="006245ED"/>
    <w:rsid w:val="00631871"/>
    <w:rsid w:val="00636CA6"/>
    <w:rsid w:val="00641200"/>
    <w:rsid w:val="00645CA8"/>
    <w:rsid w:val="00654434"/>
    <w:rsid w:val="006655D3"/>
    <w:rsid w:val="00667404"/>
    <w:rsid w:val="00680983"/>
    <w:rsid w:val="00687EB4"/>
    <w:rsid w:val="00695C56"/>
    <w:rsid w:val="006A5CDE"/>
    <w:rsid w:val="006A644A"/>
    <w:rsid w:val="006B17D2"/>
    <w:rsid w:val="006C1D0C"/>
    <w:rsid w:val="006C224E"/>
    <w:rsid w:val="006D780A"/>
    <w:rsid w:val="006E2336"/>
    <w:rsid w:val="0071271E"/>
    <w:rsid w:val="0073187D"/>
    <w:rsid w:val="00732DEC"/>
    <w:rsid w:val="00735BD5"/>
    <w:rsid w:val="007451EC"/>
    <w:rsid w:val="00751613"/>
    <w:rsid w:val="00753EE9"/>
    <w:rsid w:val="007556F6"/>
    <w:rsid w:val="00760EEF"/>
    <w:rsid w:val="0077169A"/>
    <w:rsid w:val="00777EE5"/>
    <w:rsid w:val="00784836"/>
    <w:rsid w:val="0079023E"/>
    <w:rsid w:val="007A2854"/>
    <w:rsid w:val="007B687D"/>
    <w:rsid w:val="007C1D92"/>
    <w:rsid w:val="007C47CF"/>
    <w:rsid w:val="007C4CB9"/>
    <w:rsid w:val="007D0B9D"/>
    <w:rsid w:val="007D19B0"/>
    <w:rsid w:val="007F498F"/>
    <w:rsid w:val="0080679D"/>
    <w:rsid w:val="008108B0"/>
    <w:rsid w:val="00811B20"/>
    <w:rsid w:val="00812609"/>
    <w:rsid w:val="008211B5"/>
    <w:rsid w:val="0082296E"/>
    <w:rsid w:val="00823C3A"/>
    <w:rsid w:val="00824099"/>
    <w:rsid w:val="00846D7C"/>
    <w:rsid w:val="00867AC1"/>
    <w:rsid w:val="008751DE"/>
    <w:rsid w:val="008861A4"/>
    <w:rsid w:val="00890DF8"/>
    <w:rsid w:val="008A0ADE"/>
    <w:rsid w:val="008A743F"/>
    <w:rsid w:val="008C0970"/>
    <w:rsid w:val="008D0BC5"/>
    <w:rsid w:val="008D0F14"/>
    <w:rsid w:val="008D2CF7"/>
    <w:rsid w:val="00900C26"/>
    <w:rsid w:val="0090197F"/>
    <w:rsid w:val="00903264"/>
    <w:rsid w:val="00906DDC"/>
    <w:rsid w:val="00930992"/>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E0EF1"/>
    <w:rsid w:val="00AE2937"/>
    <w:rsid w:val="00AE4AD4"/>
    <w:rsid w:val="00B07301"/>
    <w:rsid w:val="00B11F3E"/>
    <w:rsid w:val="00B16054"/>
    <w:rsid w:val="00B224DE"/>
    <w:rsid w:val="00B324D4"/>
    <w:rsid w:val="00B46575"/>
    <w:rsid w:val="00B55DBA"/>
    <w:rsid w:val="00B61777"/>
    <w:rsid w:val="00B622E6"/>
    <w:rsid w:val="00B748DF"/>
    <w:rsid w:val="00B83E82"/>
    <w:rsid w:val="00B84BBD"/>
    <w:rsid w:val="00BA43FB"/>
    <w:rsid w:val="00BC127D"/>
    <w:rsid w:val="00BC1FE6"/>
    <w:rsid w:val="00C061B6"/>
    <w:rsid w:val="00C22D85"/>
    <w:rsid w:val="00C2446C"/>
    <w:rsid w:val="00C36AE5"/>
    <w:rsid w:val="00C41F17"/>
    <w:rsid w:val="00C527FA"/>
    <w:rsid w:val="00C5280D"/>
    <w:rsid w:val="00C53EB3"/>
    <w:rsid w:val="00C5791C"/>
    <w:rsid w:val="00C66290"/>
    <w:rsid w:val="00C72B7A"/>
    <w:rsid w:val="00C756D0"/>
    <w:rsid w:val="00C82D79"/>
    <w:rsid w:val="00C973F2"/>
    <w:rsid w:val="00CA304C"/>
    <w:rsid w:val="00CA774A"/>
    <w:rsid w:val="00CB4921"/>
    <w:rsid w:val="00CC11B0"/>
    <w:rsid w:val="00CC2841"/>
    <w:rsid w:val="00CF1330"/>
    <w:rsid w:val="00CF7E36"/>
    <w:rsid w:val="00D21051"/>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82B40"/>
    <w:rsid w:val="00FA04BF"/>
    <w:rsid w:val="00FA49AB"/>
    <w:rsid w:val="00FC5FD0"/>
    <w:rsid w:val="00FE133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6C1D0C"/>
    <w:pPr>
      <w:jc w:val="both"/>
      <w:outlineLvl w:val="0"/>
    </w:pPr>
    <w:rPr>
      <w:rFonts w:ascii="Arial" w:hAnsi="Arial"/>
      <w:caps/>
    </w:rPr>
  </w:style>
  <w:style w:type="paragraph" w:styleId="Heading2">
    <w:name w:val="heading 2"/>
    <w:next w:val="Normal"/>
    <w:autoRedefine/>
    <w:qFormat/>
    <w:rsid w:val="006C1D0C"/>
    <w:pPr>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3F5CA0"/>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C7CD6"/>
    <w:pPr>
      <w:ind w:left="720"/>
      <w:contextualSpacing/>
    </w:pPr>
  </w:style>
  <w:style w:type="paragraph" w:styleId="TOCHeading">
    <w:name w:val="TOC Heading"/>
    <w:basedOn w:val="Heading1"/>
    <w:next w:val="Normal"/>
    <w:uiPriority w:val="39"/>
    <w:unhideWhenUsed/>
    <w:qFormat/>
    <w:rsid w:val="003F5CA0"/>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DecisionParagraphsChar">
    <w:name w:val="DecisionParagraphs Char"/>
    <w:basedOn w:val="DefaultParagraphFont"/>
    <w:link w:val="DecisionParagraphs"/>
    <w:rsid w:val="003E1732"/>
    <w:rPr>
      <w:rFonts w:ascii="Arial" w:hAnsi="Arial"/>
      <w:i/>
    </w:rPr>
  </w:style>
  <w:style w:type="character" w:customStyle="1" w:styleId="FootnoteTextChar">
    <w:name w:val="Footnote Text Char"/>
    <w:basedOn w:val="DefaultParagraphFont"/>
    <w:link w:val="FootnoteText"/>
    <w:rsid w:val="003B4BB6"/>
    <w:rPr>
      <w:rFonts w:ascii="Arial" w:hAnsi="Arial"/>
      <w:sz w:val="16"/>
    </w:rPr>
  </w:style>
  <w:style w:type="character" w:customStyle="1" w:styleId="Heading1Char">
    <w:name w:val="Heading 1 Char"/>
    <w:aliases w:val="COMMON NAME Char,common Char"/>
    <w:basedOn w:val="DefaultParagraphFont"/>
    <w:link w:val="Heading1"/>
    <w:rsid w:val="006C1D0C"/>
    <w:rPr>
      <w:rFonts w:ascii="Arial" w:hAnsi="Arial"/>
      <w:caps/>
    </w:rPr>
  </w:style>
  <w:style w:type="table" w:styleId="TableGrid">
    <w:name w:val="Table Grid"/>
    <w:basedOn w:val="TableNormal"/>
    <w:uiPriority w:val="59"/>
    <w:rsid w:val="0000225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A0F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_collectio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67BCA-349A-4975-836C-B6D5E5EC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2940</Words>
  <Characters>16744</Characters>
  <Application>Microsoft Office Word</Application>
  <DocSecurity>0</DocSecurity>
  <Lines>558</Lines>
  <Paragraphs>223</Paragraphs>
  <ScaleCrop>false</ScaleCrop>
  <HeadingPairs>
    <vt:vector size="2" baseType="variant">
      <vt:variant>
        <vt:lpstr>Title</vt:lpstr>
      </vt:variant>
      <vt:variant>
        <vt:i4>1</vt:i4>
      </vt:variant>
    </vt:vector>
  </HeadingPairs>
  <TitlesOfParts>
    <vt:vector size="1" baseType="lpstr">
      <vt:lpstr>CAJ/79/1</vt:lpstr>
    </vt:vector>
  </TitlesOfParts>
  <Company>UPOV</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CAJ/79/3</dc:title>
  <dc:creator>SANCHEZ VIZCAINO GOMEZ Rosa Maria</dc:creator>
  <cp:lastModifiedBy>NICOLO Laurianne</cp:lastModifiedBy>
  <cp:revision>8</cp:revision>
  <cp:lastPrinted>2016-11-22T15:41:00Z</cp:lastPrinted>
  <dcterms:created xsi:type="dcterms:W3CDTF">2022-07-20T13:43:00Z</dcterms:created>
  <dcterms:modified xsi:type="dcterms:W3CDTF">2022-07-29T16:26:00Z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d52df5c2-acd2-450d-a8e2-f0c8e9c3c1ea</vt:lpwstr>
  </property>
</Properties>
</file>