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B462A" w:rsidTr="00EB4E9C">
        <w:tc>
          <w:tcPr>
            <w:tcW w:w="6522" w:type="dxa"/>
          </w:tcPr>
          <w:p w:rsidR="00DC3802" w:rsidRPr="003B462A" w:rsidRDefault="00B85DC9" w:rsidP="004E4F71">
            <w:pPr>
              <w:rPr>
                <w:dstrike/>
                <w:lang w:val="es-ES_tradnl"/>
              </w:rPr>
            </w:pPr>
            <w:r>
              <w:rPr>
                <w:noProof/>
              </w:rPr>
              <mc:AlternateContent>
                <mc:Choice Requires="wps">
                  <w:drawing>
                    <wp:anchor distT="0" distB="0" distL="114300" distR="114300" simplePos="0" relativeHeight="251667456" behindDoc="0" locked="0" layoutInCell="1" allowOverlap="1">
                      <wp:simplePos x="0" y="0"/>
                      <wp:positionH relativeFrom="column">
                        <wp:posOffset>2218690</wp:posOffset>
                      </wp:positionH>
                      <wp:positionV relativeFrom="paragraph">
                        <wp:posOffset>-489585</wp:posOffset>
                      </wp:positionV>
                      <wp:extent cx="448310" cy="0"/>
                      <wp:effectExtent l="5080" t="5715" r="13335" b="1333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F03CF"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pt,-38.55pt" to="210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JtEQIAACc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" strokeweight=".48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2212340</wp:posOffset>
                      </wp:positionH>
                      <wp:positionV relativeFrom="paragraph">
                        <wp:posOffset>-492760</wp:posOffset>
                      </wp:positionV>
                      <wp:extent cx="6350" cy="6350"/>
                      <wp:effectExtent l="0" t="2540" r="4445"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87184" id="Rectangle 6" o:spid="_x0000_s1026" style="position:absolute;margin-left:174.2pt;margin-top:-38.8pt;width:.5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" fillcolor="black" stroked="f"/>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636270</wp:posOffset>
                      </wp:positionH>
                      <wp:positionV relativeFrom="paragraph">
                        <wp:posOffset>-489585</wp:posOffset>
                      </wp:positionV>
                      <wp:extent cx="1585595" cy="0"/>
                      <wp:effectExtent l="13335" t="5715" r="1079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55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7B258"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38.55pt" to="174.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9T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" strokeweight=".48pt"/>
                  </w:pict>
                </mc:Fallback>
              </mc:AlternateContent>
            </w:r>
            <w:r w:rsidR="00DC3802" w:rsidRPr="004E4F71">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E4F71" w:rsidRDefault="00445119" w:rsidP="00445119">
            <w:pPr>
              <w:pStyle w:val="Lettrine"/>
              <w:rPr>
                <w:lang w:val="es-ES_tradnl"/>
              </w:rPr>
            </w:pPr>
            <w:r w:rsidRPr="004E4F71">
              <w:rPr>
                <w:lang w:val="es-ES_tradnl"/>
              </w:rPr>
              <w:t>S</w:t>
            </w:r>
          </w:p>
        </w:tc>
      </w:tr>
      <w:tr w:rsidR="00DC3802" w:rsidRPr="00C77D91" w:rsidTr="00645CA8">
        <w:trPr>
          <w:trHeight w:val="219"/>
        </w:trPr>
        <w:tc>
          <w:tcPr>
            <w:tcW w:w="6522" w:type="dxa"/>
          </w:tcPr>
          <w:p w:rsidR="00DC3802" w:rsidRPr="003B462A" w:rsidRDefault="00445119" w:rsidP="00445119">
            <w:pPr>
              <w:pStyle w:val="upove"/>
              <w:rPr>
                <w:dstrike/>
                <w:lang w:val="es-ES_tradnl"/>
              </w:rPr>
            </w:pPr>
            <w:r w:rsidRPr="004E4F71">
              <w:rPr>
                <w:lang w:val="es-ES_tradnl"/>
              </w:rPr>
              <w:t>Unión Internacional para la Protección de las Obtenciones Vegetales</w:t>
            </w:r>
          </w:p>
        </w:tc>
        <w:tc>
          <w:tcPr>
            <w:tcW w:w="3117" w:type="dxa"/>
          </w:tcPr>
          <w:p w:rsidR="00DC3802" w:rsidRPr="004E4F71" w:rsidRDefault="00DC3802" w:rsidP="00DA4973">
            <w:pPr>
              <w:rPr>
                <w:lang w:val="es-ES_tradnl"/>
              </w:rPr>
            </w:pPr>
          </w:p>
        </w:tc>
      </w:tr>
    </w:tbl>
    <w:p w:rsidR="008B171B" w:rsidRPr="008B171B" w:rsidRDefault="008B171B" w:rsidP="00DC3802">
      <w:pPr>
        <w:rPr>
          <w:lang w:val="es-ES_tradnl"/>
        </w:rPr>
      </w:pPr>
    </w:p>
    <w:p w:rsidR="00D70E65" w:rsidRPr="004E4F71" w:rsidRDefault="00D70E65"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77D91" w:rsidTr="00EB4E9C">
        <w:tc>
          <w:tcPr>
            <w:tcW w:w="6512" w:type="dxa"/>
          </w:tcPr>
          <w:p w:rsidR="008B171B" w:rsidRPr="008B171B" w:rsidRDefault="00445119" w:rsidP="00445119">
            <w:pPr>
              <w:pStyle w:val="Sessiontc"/>
              <w:spacing w:line="240" w:lineRule="auto"/>
              <w:rPr>
                <w:lang w:val="es-ES_tradnl"/>
              </w:rPr>
            </w:pPr>
            <w:r w:rsidRPr="004E4F71">
              <w:rPr>
                <w:lang w:val="es-ES_tradnl"/>
              </w:rPr>
              <w:t>Comité Administrativo y Jurídico</w:t>
            </w:r>
          </w:p>
          <w:p w:rsidR="008B171B" w:rsidRPr="008B171B" w:rsidRDefault="00445119" w:rsidP="00445119">
            <w:pPr>
              <w:pStyle w:val="Sessiontcplacedate"/>
              <w:rPr>
                <w:lang w:val="es-ES_tradnl"/>
              </w:rPr>
            </w:pPr>
            <w:r w:rsidRPr="004E4F71">
              <w:rPr>
                <w:lang w:val="es-ES_tradnl"/>
              </w:rPr>
              <w:t>Septuagésima octava sesión</w:t>
            </w:r>
          </w:p>
          <w:p w:rsidR="00EB4E9C" w:rsidRPr="003B462A" w:rsidRDefault="00445119" w:rsidP="00445119">
            <w:pPr>
              <w:pStyle w:val="Sessiontcplacedate"/>
              <w:rPr>
                <w:dstrike/>
                <w:lang w:val="es-ES_tradnl"/>
              </w:rPr>
            </w:pPr>
            <w:r w:rsidRPr="004E4F71">
              <w:rPr>
                <w:lang w:val="es-ES_tradnl"/>
              </w:rPr>
              <w:t>Ginebra, 27 de octubre de 2021</w:t>
            </w:r>
          </w:p>
        </w:tc>
        <w:tc>
          <w:tcPr>
            <w:tcW w:w="3127" w:type="dxa"/>
          </w:tcPr>
          <w:p w:rsidR="008B171B" w:rsidRPr="008B171B" w:rsidRDefault="00474145" w:rsidP="003C7FBE">
            <w:pPr>
              <w:pStyle w:val="Doccode"/>
              <w:rPr>
                <w:lang w:val="es-ES_tradnl"/>
              </w:rPr>
            </w:pPr>
            <w:r w:rsidRPr="004E4F71">
              <w:rPr>
                <w:lang w:val="es-ES_tradnl"/>
              </w:rPr>
              <w:t>CAJ/78/</w:t>
            </w:r>
            <w:r w:rsidR="00046874" w:rsidRPr="004E4F71">
              <w:rPr>
                <w:lang w:val="es-ES_tradnl"/>
              </w:rPr>
              <w:t>INF/5</w:t>
            </w:r>
          </w:p>
          <w:p w:rsidR="008B171B" w:rsidRPr="008B171B" w:rsidRDefault="00445119" w:rsidP="00445119">
            <w:pPr>
              <w:pStyle w:val="Docoriginal"/>
              <w:rPr>
                <w:lang w:val="es-ES_tradnl"/>
              </w:rPr>
            </w:pPr>
            <w:r w:rsidRPr="004E4F71">
              <w:rPr>
                <w:lang w:val="es-ES_tradnl"/>
              </w:rPr>
              <w:t xml:space="preserve">Original: </w:t>
            </w:r>
            <w:r w:rsidRPr="004E4F71">
              <w:rPr>
                <w:b w:val="0"/>
                <w:spacing w:val="0"/>
                <w:lang w:val="es-ES_tradnl"/>
              </w:rPr>
              <w:t>Inglés</w:t>
            </w:r>
          </w:p>
          <w:p w:rsidR="00EB4E9C" w:rsidRPr="004E4F71" w:rsidRDefault="00445119" w:rsidP="00046874">
            <w:pPr>
              <w:pStyle w:val="Docoriginal"/>
              <w:rPr>
                <w:lang w:val="es-ES_tradnl"/>
              </w:rPr>
            </w:pPr>
            <w:r w:rsidRPr="004E4F71">
              <w:rPr>
                <w:lang w:val="es-ES_tradnl"/>
              </w:rPr>
              <w:t xml:space="preserve">Fecha: </w:t>
            </w:r>
            <w:r w:rsidR="00046874" w:rsidRPr="004E4F71">
              <w:rPr>
                <w:b w:val="0"/>
                <w:lang w:val="es-ES_tradnl"/>
              </w:rPr>
              <w:t>19 de octubre</w:t>
            </w:r>
            <w:r w:rsidRPr="004E4F71">
              <w:rPr>
                <w:b w:val="0"/>
                <w:spacing w:val="0"/>
                <w:lang w:val="es-ES_tradnl"/>
              </w:rPr>
              <w:t xml:space="preserve"> de 2021</w:t>
            </w:r>
          </w:p>
        </w:tc>
      </w:tr>
    </w:tbl>
    <w:p w:rsidR="008B171B" w:rsidRPr="008B171B" w:rsidRDefault="00616FA3" w:rsidP="004E4F71">
      <w:pPr>
        <w:pStyle w:val="Titleofdoc0"/>
        <w:rPr>
          <w:lang w:val="es-ES_tradnl"/>
        </w:rPr>
      </w:pPr>
      <w:r w:rsidRPr="003760EC">
        <w:rPr>
          <w:lang w:val="es-ES_tradnl"/>
        </w:rPr>
        <w:t>TÉCNICAS MOLECULARES</w:t>
      </w:r>
    </w:p>
    <w:p w:rsidR="008B171B" w:rsidRPr="008B171B" w:rsidRDefault="00466A36" w:rsidP="00445119">
      <w:pPr>
        <w:pStyle w:val="preparedby1"/>
        <w:jc w:val="left"/>
        <w:rPr>
          <w:lang w:val="es-ES_tradnl"/>
        </w:rPr>
      </w:pPr>
      <w:r>
        <w:rPr>
          <w:lang w:val="es-ES_tradnl"/>
        </w:rPr>
        <w:t xml:space="preserve">Documento </w:t>
      </w:r>
      <w:r w:rsidR="00445119" w:rsidRPr="004E4F71">
        <w:rPr>
          <w:lang w:val="es-ES_tradnl"/>
        </w:rPr>
        <w:t>preparado por la Oficina de la Unión</w:t>
      </w:r>
    </w:p>
    <w:p w:rsidR="008B171B" w:rsidRPr="008B171B" w:rsidRDefault="00445119" w:rsidP="00445119">
      <w:pPr>
        <w:pStyle w:val="Disclaimer"/>
        <w:rPr>
          <w:lang w:val="es-ES_tradnl"/>
        </w:rPr>
      </w:pPr>
      <w:r w:rsidRPr="004E4F71">
        <w:rPr>
          <w:rFonts w:cs="Arial"/>
          <w:rtl/>
          <w:lang w:val="es-ES_tradnl"/>
        </w:rPr>
        <w:t>‏</w:t>
      </w:r>
      <w:r w:rsidRPr="004E4F71">
        <w:rPr>
          <w:lang w:val="es-ES_tradnl"/>
        </w:rPr>
        <w:t>Descargo de responsabilidad: el presente documento no constituye un documento de política u orientación de la UPOV</w:t>
      </w:r>
    </w:p>
    <w:p w:rsidR="008B171B" w:rsidRPr="008B171B" w:rsidRDefault="00616FA3" w:rsidP="004E4F71">
      <w:pPr>
        <w:keepNext/>
        <w:outlineLvl w:val="0"/>
        <w:rPr>
          <w:caps/>
          <w:spacing w:val="-4"/>
          <w:lang w:val="es-ES_tradnl" w:eastAsia="ja-JP"/>
        </w:rPr>
      </w:pPr>
      <w:bookmarkStart w:id="0" w:name="_Toc86408605"/>
      <w:r w:rsidRPr="003760EC">
        <w:rPr>
          <w:caps/>
          <w:spacing w:val="-4"/>
          <w:lang w:val="es-ES_tradnl" w:eastAsia="ja-JP"/>
        </w:rPr>
        <w:t>RESUMEN</w:t>
      </w:r>
      <w:bookmarkEnd w:id="0"/>
    </w:p>
    <w:p w:rsidR="008B171B" w:rsidRPr="008B171B" w:rsidRDefault="008B171B" w:rsidP="00046874">
      <w:pPr>
        <w:rPr>
          <w:rFonts w:eastAsiaTheme="minorEastAsia"/>
          <w:lang w:val="es-ES_tradnl" w:eastAsia="ja-JP"/>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616FA3" w:rsidRPr="003760EC">
        <w:rPr>
          <w:lang w:val="es-ES_tradnl"/>
        </w:rPr>
        <w:t>El presente documento tiene por finalidad informar de las novedades que se han producido en el ámbito de las técnicas moleculares desde la septuagésima séptima sesión del Comité Administrativo y Jurídico (CAJ).</w:t>
      </w:r>
    </w:p>
    <w:p w:rsidR="008B171B" w:rsidRPr="008B171B" w:rsidRDefault="008B171B" w:rsidP="00046874">
      <w:pPr>
        <w:rPr>
          <w:lang w:val="es-ES_tradnl" w:eastAsia="ja-JP"/>
        </w:rPr>
      </w:pPr>
    </w:p>
    <w:p w:rsidR="008B171B" w:rsidRPr="008B171B" w:rsidRDefault="00A379E4" w:rsidP="004E4F71">
      <w:pPr>
        <w:keepNext/>
        <w:keepLines/>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950F79" w:rsidRPr="003760EC">
        <w:rPr>
          <w:lang w:val="es-ES_tradnl"/>
        </w:rPr>
        <w:t>En el presente documento se utilizan las abreviaturas siguientes:</w:t>
      </w:r>
    </w:p>
    <w:p w:rsidR="008B171B" w:rsidRPr="008B171B" w:rsidRDefault="008B171B" w:rsidP="00046874">
      <w:pPr>
        <w:keepNext/>
        <w:keepLines/>
        <w:rPr>
          <w:sz w:val="16"/>
          <w:lang w:val="es-ES_tradnl"/>
        </w:rPr>
      </w:pPr>
    </w:p>
    <w:p w:rsidR="008B171B" w:rsidRPr="008B171B" w:rsidRDefault="00950F79" w:rsidP="004E4F71">
      <w:pPr>
        <w:keepNext/>
        <w:keepLines/>
        <w:tabs>
          <w:tab w:val="left" w:pos="567"/>
        </w:tabs>
        <w:ind w:left="1701" w:hanging="1134"/>
        <w:rPr>
          <w:sz w:val="18"/>
          <w:lang w:val="es-ES_tradnl"/>
        </w:rPr>
      </w:pPr>
      <w:r w:rsidRPr="003760EC">
        <w:rPr>
          <w:sz w:val="18"/>
          <w:lang w:val="es-ES_tradnl"/>
        </w:rPr>
        <w:t>BMT:</w:t>
      </w:r>
      <w:r w:rsidR="00046874" w:rsidRPr="00046874">
        <w:rPr>
          <w:sz w:val="18"/>
          <w:lang w:val="es-ES_tradnl"/>
        </w:rPr>
        <w:tab/>
      </w:r>
      <w:r w:rsidRPr="003760EC">
        <w:rPr>
          <w:sz w:val="18"/>
          <w:lang w:val="es-ES_tradnl"/>
        </w:rPr>
        <w:t>Grupo de Trabajo sobre Técnicas Bioquímicas y Moleculares, y Perfiles de ADN en particular</w:t>
      </w:r>
    </w:p>
    <w:p w:rsidR="008B171B" w:rsidRPr="008B171B" w:rsidRDefault="00950F79" w:rsidP="004E4F71">
      <w:pPr>
        <w:keepNext/>
        <w:keepLines/>
        <w:tabs>
          <w:tab w:val="left" w:pos="567"/>
        </w:tabs>
        <w:ind w:left="1701" w:hanging="1134"/>
        <w:rPr>
          <w:b/>
          <w:bCs/>
          <w:sz w:val="18"/>
          <w:lang w:val="es-ES_tradnl"/>
        </w:rPr>
      </w:pPr>
      <w:r w:rsidRPr="003760EC">
        <w:rPr>
          <w:sz w:val="18"/>
          <w:lang w:val="es-ES_tradnl"/>
        </w:rPr>
        <w:t>CAJ:</w:t>
      </w:r>
      <w:r w:rsidR="00046874" w:rsidRPr="00046874">
        <w:rPr>
          <w:sz w:val="18"/>
          <w:lang w:val="es-ES_tradnl"/>
        </w:rPr>
        <w:tab/>
      </w:r>
      <w:r w:rsidRPr="003760EC">
        <w:rPr>
          <w:bCs/>
          <w:sz w:val="18"/>
          <w:lang w:val="es-ES_tradnl"/>
        </w:rPr>
        <w:t>Comité Administrativo y Jurídico</w:t>
      </w:r>
    </w:p>
    <w:p w:rsidR="008B171B" w:rsidRPr="008B171B" w:rsidRDefault="00950F79" w:rsidP="004E4F71">
      <w:pPr>
        <w:keepNext/>
        <w:keepLines/>
        <w:tabs>
          <w:tab w:val="left" w:pos="567"/>
        </w:tabs>
        <w:ind w:left="1701" w:hanging="1134"/>
        <w:rPr>
          <w:sz w:val="18"/>
          <w:lang w:val="es-ES_tradnl"/>
        </w:rPr>
      </w:pPr>
      <w:r w:rsidRPr="003760EC">
        <w:rPr>
          <w:sz w:val="18"/>
          <w:lang w:val="es-ES_tradnl"/>
        </w:rPr>
        <w:t>TC:</w:t>
      </w:r>
      <w:r w:rsidR="00046874" w:rsidRPr="00046874">
        <w:rPr>
          <w:sz w:val="18"/>
          <w:lang w:val="es-ES_tradnl"/>
        </w:rPr>
        <w:tab/>
      </w:r>
      <w:r w:rsidRPr="003760EC">
        <w:rPr>
          <w:sz w:val="18"/>
          <w:lang w:val="es-ES_tradnl"/>
        </w:rPr>
        <w:t>Comité Técnico</w:t>
      </w:r>
    </w:p>
    <w:p w:rsidR="008B171B" w:rsidRPr="008B171B" w:rsidRDefault="00950F79" w:rsidP="004E4F71">
      <w:pPr>
        <w:ind w:left="1701" w:hanging="1134"/>
        <w:rPr>
          <w:rFonts w:eastAsia="PMingLiU" w:cs="Arial"/>
          <w:sz w:val="18"/>
          <w:szCs w:val="24"/>
          <w:lang w:val="es-ES_tradnl"/>
        </w:rPr>
      </w:pPr>
      <w:r w:rsidRPr="003760EC">
        <w:rPr>
          <w:rFonts w:eastAsia="PMingLiU" w:cs="Arial"/>
          <w:sz w:val="18"/>
          <w:szCs w:val="24"/>
          <w:lang w:val="es-ES_tradnl"/>
        </w:rPr>
        <w:t>TWA:</w:t>
      </w:r>
      <w:r w:rsidR="00046874" w:rsidRPr="00046874">
        <w:rPr>
          <w:rFonts w:eastAsia="PMingLiU" w:cs="Arial"/>
          <w:sz w:val="18"/>
          <w:szCs w:val="24"/>
          <w:lang w:val="es-ES_tradnl"/>
        </w:rPr>
        <w:tab/>
      </w:r>
      <w:r w:rsidRPr="003760EC">
        <w:rPr>
          <w:rFonts w:eastAsia="PMingLiU" w:cs="Arial"/>
          <w:sz w:val="18"/>
          <w:szCs w:val="24"/>
          <w:lang w:val="es-ES_tradnl"/>
        </w:rPr>
        <w:t>Grupo de Trabajo Técnico sobre Plantas Agrícolas</w:t>
      </w:r>
    </w:p>
    <w:p w:rsidR="008B171B" w:rsidRPr="008B171B" w:rsidRDefault="00950F79" w:rsidP="004E4F71">
      <w:pPr>
        <w:ind w:left="1701" w:hanging="1134"/>
        <w:rPr>
          <w:rFonts w:eastAsia="PMingLiU" w:cs="Arial"/>
          <w:sz w:val="18"/>
          <w:szCs w:val="24"/>
          <w:lang w:val="es-ES_tradnl"/>
        </w:rPr>
      </w:pPr>
      <w:r w:rsidRPr="003760EC">
        <w:rPr>
          <w:rFonts w:eastAsia="PMingLiU" w:cs="Arial"/>
          <w:sz w:val="18"/>
          <w:szCs w:val="24"/>
          <w:lang w:val="es-ES_tradnl"/>
        </w:rPr>
        <w:t>TWC:</w:t>
      </w:r>
      <w:r w:rsidR="00046874" w:rsidRPr="00046874">
        <w:rPr>
          <w:rFonts w:eastAsia="PMingLiU" w:cs="Arial"/>
          <w:sz w:val="18"/>
          <w:szCs w:val="24"/>
          <w:lang w:val="es-ES_tradnl"/>
        </w:rPr>
        <w:tab/>
      </w:r>
      <w:r w:rsidRPr="003760EC">
        <w:rPr>
          <w:rFonts w:eastAsia="PMingLiU" w:cs="Arial"/>
          <w:sz w:val="18"/>
          <w:szCs w:val="24"/>
          <w:lang w:val="es-ES_tradnl"/>
        </w:rPr>
        <w:t>Grupo de Trabajo Técnico sobre Automatización y Programas Informáticos</w:t>
      </w:r>
    </w:p>
    <w:p w:rsidR="008B171B" w:rsidRPr="008B171B" w:rsidRDefault="00950F79" w:rsidP="004E4F71">
      <w:pPr>
        <w:ind w:left="1701" w:hanging="1134"/>
        <w:rPr>
          <w:rFonts w:eastAsia="PMingLiU" w:cs="Arial"/>
          <w:sz w:val="18"/>
          <w:szCs w:val="24"/>
          <w:lang w:val="es-ES_tradnl"/>
        </w:rPr>
      </w:pPr>
      <w:r w:rsidRPr="003760EC">
        <w:rPr>
          <w:rFonts w:eastAsia="PMingLiU" w:cs="Arial"/>
          <w:sz w:val="18"/>
          <w:szCs w:val="24"/>
          <w:lang w:val="es-ES_tradnl"/>
        </w:rPr>
        <w:t>TWF:</w:t>
      </w:r>
      <w:r w:rsidR="00046874" w:rsidRPr="00046874">
        <w:rPr>
          <w:rFonts w:eastAsia="PMingLiU" w:cs="Arial"/>
          <w:sz w:val="18"/>
          <w:szCs w:val="24"/>
          <w:lang w:val="es-ES_tradnl"/>
        </w:rPr>
        <w:t xml:space="preserve"> </w:t>
      </w:r>
      <w:r w:rsidR="00046874" w:rsidRPr="00046874">
        <w:rPr>
          <w:rFonts w:eastAsia="PMingLiU" w:cs="Arial"/>
          <w:sz w:val="18"/>
          <w:szCs w:val="24"/>
          <w:lang w:val="es-ES_tradnl"/>
        </w:rPr>
        <w:tab/>
      </w:r>
      <w:r w:rsidRPr="003760EC">
        <w:rPr>
          <w:rFonts w:eastAsia="PMingLiU" w:cs="Arial"/>
          <w:sz w:val="18"/>
          <w:szCs w:val="24"/>
          <w:lang w:val="es-ES_tradnl"/>
        </w:rPr>
        <w:t>Grupo de Trabajo Técnico sobre Plantas Frutales</w:t>
      </w:r>
    </w:p>
    <w:p w:rsidR="008B171B" w:rsidRPr="008B171B" w:rsidRDefault="00950F79" w:rsidP="004E4F71">
      <w:pPr>
        <w:ind w:left="1701" w:hanging="1134"/>
        <w:rPr>
          <w:rFonts w:eastAsia="PMingLiU" w:cs="Arial"/>
          <w:sz w:val="18"/>
          <w:szCs w:val="24"/>
          <w:lang w:val="es-ES_tradnl"/>
        </w:rPr>
      </w:pPr>
      <w:r w:rsidRPr="003760EC">
        <w:rPr>
          <w:rFonts w:eastAsia="PMingLiU" w:cs="Arial"/>
          <w:sz w:val="18"/>
          <w:szCs w:val="24"/>
          <w:lang w:val="es-ES_tradnl"/>
        </w:rPr>
        <w:t>TWO:</w:t>
      </w:r>
      <w:r w:rsidR="00046874" w:rsidRPr="00046874">
        <w:rPr>
          <w:rFonts w:eastAsia="PMingLiU" w:cs="Arial"/>
          <w:sz w:val="18"/>
          <w:szCs w:val="24"/>
          <w:lang w:val="es-ES_tradnl"/>
        </w:rPr>
        <w:tab/>
      </w:r>
      <w:r w:rsidRPr="003760EC">
        <w:rPr>
          <w:rFonts w:eastAsia="PMingLiU" w:cs="Arial"/>
          <w:sz w:val="18"/>
          <w:szCs w:val="24"/>
          <w:lang w:val="es-ES_tradnl"/>
        </w:rPr>
        <w:t>Grupo de Trabajo Técnico sobre Plantas Ornamentales y Árboles Forestales</w:t>
      </w:r>
    </w:p>
    <w:p w:rsidR="008B171B" w:rsidRPr="008B171B" w:rsidRDefault="00950F79" w:rsidP="004E4F71">
      <w:pPr>
        <w:keepNext/>
        <w:keepLines/>
        <w:ind w:left="1701" w:hanging="1134"/>
        <w:rPr>
          <w:rFonts w:eastAsia="PMingLiU" w:cs="Arial"/>
          <w:sz w:val="18"/>
          <w:szCs w:val="24"/>
          <w:lang w:val="es-ES_tradnl"/>
        </w:rPr>
      </w:pPr>
      <w:r w:rsidRPr="003760EC">
        <w:rPr>
          <w:rFonts w:eastAsia="PMingLiU" w:cs="Arial"/>
          <w:sz w:val="18"/>
          <w:szCs w:val="24"/>
          <w:lang w:val="es-ES_tradnl"/>
        </w:rPr>
        <w:t>TWP:</w:t>
      </w:r>
      <w:r w:rsidR="00046874" w:rsidRPr="00046874">
        <w:rPr>
          <w:rFonts w:eastAsia="PMingLiU" w:cs="Arial"/>
          <w:sz w:val="18"/>
          <w:szCs w:val="24"/>
          <w:lang w:val="es-ES_tradnl"/>
        </w:rPr>
        <w:tab/>
      </w:r>
      <w:r w:rsidRPr="003760EC">
        <w:rPr>
          <w:rFonts w:eastAsia="PMingLiU" w:cs="Arial"/>
          <w:sz w:val="18"/>
          <w:szCs w:val="24"/>
          <w:lang w:val="es-ES_tradnl"/>
        </w:rPr>
        <w:t>Grupos de Trabajo Técnico</w:t>
      </w:r>
    </w:p>
    <w:p w:rsidR="008B171B" w:rsidRPr="008B171B" w:rsidRDefault="00950F79" w:rsidP="004E4F71">
      <w:pPr>
        <w:keepNext/>
        <w:keepLines/>
        <w:ind w:left="1701" w:hanging="1134"/>
        <w:rPr>
          <w:rFonts w:eastAsia="PMingLiU" w:cs="Arial"/>
          <w:sz w:val="18"/>
          <w:szCs w:val="24"/>
          <w:lang w:val="es-ES_tradnl"/>
        </w:rPr>
      </w:pPr>
      <w:r w:rsidRPr="003760EC">
        <w:rPr>
          <w:rFonts w:eastAsia="PMingLiU" w:cs="Arial"/>
          <w:sz w:val="18"/>
          <w:szCs w:val="24"/>
          <w:lang w:val="es-ES_tradnl"/>
        </w:rPr>
        <w:t>TWV:</w:t>
      </w:r>
      <w:r w:rsidR="00046874" w:rsidRPr="00046874">
        <w:rPr>
          <w:rFonts w:eastAsia="PMingLiU" w:cs="Arial"/>
          <w:sz w:val="18"/>
          <w:szCs w:val="24"/>
          <w:lang w:val="es-ES_tradnl"/>
        </w:rPr>
        <w:tab/>
      </w:r>
      <w:r w:rsidRPr="003760EC">
        <w:rPr>
          <w:rFonts w:eastAsia="PMingLiU" w:cs="Arial"/>
          <w:sz w:val="18"/>
          <w:szCs w:val="24"/>
          <w:lang w:val="es-ES_tradnl"/>
        </w:rPr>
        <w:t>Grupo de Trabajo Técnico sobre Hortalizas</w:t>
      </w:r>
    </w:p>
    <w:p w:rsidR="008B171B" w:rsidRPr="008B171B" w:rsidRDefault="00950F79" w:rsidP="004E4F71">
      <w:pPr>
        <w:keepNext/>
        <w:keepLines/>
        <w:ind w:left="1701" w:hanging="1134"/>
        <w:rPr>
          <w:rFonts w:eastAsia="PMingLiU" w:cs="Arial"/>
          <w:snapToGrid w:val="0"/>
          <w:sz w:val="18"/>
          <w:szCs w:val="24"/>
          <w:lang w:val="es-ES_tradnl"/>
        </w:rPr>
      </w:pPr>
      <w:r w:rsidRPr="003760EC">
        <w:rPr>
          <w:rFonts w:eastAsia="PMingLiU" w:cs="Arial"/>
          <w:sz w:val="18"/>
          <w:szCs w:val="24"/>
          <w:lang w:val="es-ES_tradnl"/>
        </w:rPr>
        <w:t>OCDE:</w:t>
      </w:r>
      <w:r w:rsidR="00046874" w:rsidRPr="00046874">
        <w:rPr>
          <w:rFonts w:eastAsia="PMingLiU" w:cs="Arial"/>
          <w:sz w:val="18"/>
          <w:szCs w:val="24"/>
          <w:lang w:val="es-ES_tradnl"/>
        </w:rPr>
        <w:tab/>
      </w:r>
      <w:r w:rsidRPr="003760EC">
        <w:rPr>
          <w:rFonts w:eastAsia="PMingLiU" w:cs="Arial"/>
          <w:snapToGrid w:val="0"/>
          <w:sz w:val="18"/>
          <w:szCs w:val="24"/>
          <w:lang w:val="es-ES_tradnl"/>
        </w:rPr>
        <w:t>Organización de Cooperación y Desarrollo Económicos</w:t>
      </w:r>
    </w:p>
    <w:p w:rsidR="008B171B" w:rsidRPr="008B171B" w:rsidRDefault="00950F79" w:rsidP="004E4F71">
      <w:pPr>
        <w:ind w:left="1701" w:hanging="1134"/>
        <w:rPr>
          <w:rFonts w:cs="Arial"/>
          <w:snapToGrid w:val="0"/>
          <w:sz w:val="18"/>
          <w:szCs w:val="24"/>
          <w:lang w:val="es-ES_tradnl" w:eastAsia="ja-JP"/>
        </w:rPr>
      </w:pPr>
      <w:r w:rsidRPr="003760EC">
        <w:rPr>
          <w:rFonts w:eastAsia="PMingLiU" w:cs="Arial"/>
          <w:snapToGrid w:val="0"/>
          <w:sz w:val="18"/>
          <w:szCs w:val="24"/>
          <w:lang w:val="es-ES_tradnl" w:eastAsia="fr-FR"/>
        </w:rPr>
        <w:t>ISTA:</w:t>
      </w:r>
      <w:r w:rsidR="00046874" w:rsidRPr="00046874">
        <w:rPr>
          <w:rFonts w:eastAsia="PMingLiU" w:cs="Arial"/>
          <w:snapToGrid w:val="0"/>
          <w:sz w:val="18"/>
          <w:szCs w:val="24"/>
          <w:lang w:val="es-ES_tradnl" w:eastAsia="fr-FR"/>
        </w:rPr>
        <w:t xml:space="preserve"> </w:t>
      </w:r>
      <w:r w:rsidR="00046874" w:rsidRPr="00046874">
        <w:rPr>
          <w:rFonts w:eastAsia="PMingLiU" w:cs="Arial"/>
          <w:snapToGrid w:val="0"/>
          <w:sz w:val="18"/>
          <w:szCs w:val="24"/>
          <w:lang w:val="es-ES_tradnl" w:eastAsia="fr-FR"/>
        </w:rPr>
        <w:tab/>
      </w:r>
      <w:r w:rsidRPr="00B85DC9">
        <w:rPr>
          <w:rFonts w:eastAsia="PMingLiU" w:cs="Arial"/>
          <w:i/>
          <w:iCs/>
          <w:snapToGrid w:val="0"/>
          <w:sz w:val="18"/>
          <w:szCs w:val="24"/>
          <w:lang w:val="es-ES" w:eastAsia="fr-FR"/>
        </w:rPr>
        <w:t>International Seed Testing Association</w:t>
      </w:r>
      <w:r w:rsidRPr="003760EC">
        <w:rPr>
          <w:rFonts w:eastAsia="PMingLiU" w:cs="Arial"/>
          <w:snapToGrid w:val="0"/>
          <w:sz w:val="18"/>
          <w:szCs w:val="24"/>
          <w:lang w:val="es-ES_tradnl" w:eastAsia="fr-FR"/>
        </w:rPr>
        <w:t xml:space="preserve"> (Asociación Internacional para el Ensayo de Semillas)</w:t>
      </w:r>
    </w:p>
    <w:p w:rsidR="008B171B" w:rsidRPr="008B171B" w:rsidRDefault="008B171B" w:rsidP="00046874">
      <w:pPr>
        <w:ind w:left="1701" w:hanging="1134"/>
        <w:rPr>
          <w:rFonts w:cs="Arial"/>
          <w:snapToGrid w:val="0"/>
          <w:sz w:val="18"/>
          <w:szCs w:val="24"/>
          <w:lang w:val="es-ES_tradnl" w:eastAsia="ja-JP"/>
        </w:rPr>
      </w:pPr>
    </w:p>
    <w:p w:rsidR="008B171B" w:rsidRPr="008B171B" w:rsidRDefault="00A379E4" w:rsidP="004E4F71">
      <w:pPr>
        <w:keepNext/>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950F79" w:rsidRPr="003760EC">
        <w:rPr>
          <w:lang w:val="es-ES_tradnl"/>
        </w:rPr>
        <w:t>El presente documento se estructura del modo siguiente:</w:t>
      </w:r>
    </w:p>
    <w:bookmarkStart w:id="1" w:name="_Toc460313637"/>
    <w:bookmarkStart w:id="2" w:name="_Toc410822402"/>
    <w:bookmarkStart w:id="3" w:name="_Toc410822806"/>
    <w:bookmarkStart w:id="4" w:name="_Toc410823313"/>
    <w:bookmarkStart w:id="5" w:name="_Toc410899581"/>
    <w:p w:rsidR="00466A36" w:rsidRPr="00466A36" w:rsidRDefault="00A379E4" w:rsidP="00466A36">
      <w:pPr>
        <w:pStyle w:val="TOC1"/>
        <w:rPr>
          <w:rFonts w:asciiTheme="minorHAnsi" w:eastAsiaTheme="minorEastAsia" w:hAnsiTheme="minorHAnsi" w:cstheme="minorBidi"/>
          <w:noProof/>
          <w:sz w:val="22"/>
          <w:szCs w:val="22"/>
          <w:lang w:val="es-ES"/>
        </w:rPr>
      </w:pPr>
      <w:r w:rsidRPr="00046874">
        <w:rPr>
          <w:rFonts w:eastAsiaTheme="minorEastAsia" w:cs="Arial"/>
          <w:bCs/>
          <w:noProof/>
          <w:sz w:val="18"/>
          <w:lang w:val="es-ES_tradnl" w:eastAsia="ja-JP"/>
        </w:rPr>
        <w:fldChar w:fldCharType="begin"/>
      </w:r>
      <w:r w:rsidR="00046874" w:rsidRPr="00046874">
        <w:rPr>
          <w:rFonts w:eastAsiaTheme="minorEastAsia" w:cs="Arial"/>
          <w:bCs/>
          <w:noProof/>
          <w:sz w:val="18"/>
          <w:lang w:val="es-ES_tradnl" w:eastAsia="ja-JP"/>
        </w:rPr>
        <w:instrText xml:space="preserve"> TOC \o "1-2" \u </w:instrText>
      </w:r>
      <w:r w:rsidRPr="00046874">
        <w:rPr>
          <w:rFonts w:eastAsiaTheme="minorEastAsia" w:cs="Arial"/>
          <w:bCs/>
          <w:noProof/>
          <w:sz w:val="18"/>
          <w:lang w:val="es-ES_tradnl" w:eastAsia="ja-JP"/>
        </w:rPr>
        <w:fldChar w:fldCharType="separate"/>
      </w:r>
      <w:r w:rsidR="00466A36" w:rsidRPr="004A6828">
        <w:rPr>
          <w:noProof/>
          <w:spacing w:val="-4"/>
          <w:lang w:val="es-ES_tradnl" w:eastAsia="ja-JP"/>
        </w:rPr>
        <w:t>RESUMEN</w:t>
      </w:r>
      <w:r w:rsidR="00466A36" w:rsidRPr="00466A36">
        <w:rPr>
          <w:noProof/>
          <w:lang w:val="es-ES"/>
        </w:rPr>
        <w:tab/>
      </w:r>
      <w:r w:rsidR="00466A36">
        <w:rPr>
          <w:noProof/>
        </w:rPr>
        <w:fldChar w:fldCharType="begin"/>
      </w:r>
      <w:r w:rsidR="00466A36" w:rsidRPr="00466A36">
        <w:rPr>
          <w:noProof/>
          <w:lang w:val="es-ES"/>
        </w:rPr>
        <w:instrText xml:space="preserve"> PAGEREF _Toc86408605 \h </w:instrText>
      </w:r>
      <w:r w:rsidR="00466A36">
        <w:rPr>
          <w:noProof/>
        </w:rPr>
      </w:r>
      <w:r w:rsidR="00466A36">
        <w:rPr>
          <w:noProof/>
        </w:rPr>
        <w:fldChar w:fldCharType="separate"/>
      </w:r>
      <w:r w:rsidR="00C77D91">
        <w:rPr>
          <w:noProof/>
          <w:lang w:val="es-ES"/>
        </w:rPr>
        <w:t>1</w:t>
      </w:r>
      <w:r w:rsidR="00466A36">
        <w:rPr>
          <w:noProof/>
        </w:rPr>
        <w:fldChar w:fldCharType="end"/>
      </w:r>
    </w:p>
    <w:p w:rsidR="00466A36" w:rsidRPr="00466A36" w:rsidRDefault="00466A36" w:rsidP="00466A36">
      <w:pPr>
        <w:pStyle w:val="TOC1"/>
        <w:rPr>
          <w:rFonts w:asciiTheme="minorHAnsi" w:eastAsiaTheme="minorEastAsia" w:hAnsiTheme="minorHAnsi" w:cstheme="minorBidi"/>
          <w:noProof/>
          <w:sz w:val="22"/>
          <w:szCs w:val="22"/>
          <w:lang w:val="es-ES"/>
        </w:rPr>
      </w:pPr>
      <w:r w:rsidRPr="004A6828">
        <w:rPr>
          <w:noProof/>
          <w:spacing w:val="-4"/>
          <w:lang w:val="es-ES_tradnl" w:eastAsia="ja-JP"/>
        </w:rPr>
        <w:t>ANTECEDENTES</w:t>
      </w:r>
      <w:r w:rsidRPr="00466A36">
        <w:rPr>
          <w:noProof/>
          <w:lang w:val="es-ES"/>
        </w:rPr>
        <w:tab/>
      </w:r>
      <w:r>
        <w:rPr>
          <w:noProof/>
        </w:rPr>
        <w:fldChar w:fldCharType="begin"/>
      </w:r>
      <w:r w:rsidRPr="00466A36">
        <w:rPr>
          <w:noProof/>
          <w:lang w:val="es-ES"/>
        </w:rPr>
        <w:instrText xml:space="preserve"> PAGEREF _Toc86408606 \h </w:instrText>
      </w:r>
      <w:r>
        <w:rPr>
          <w:noProof/>
        </w:rPr>
      </w:r>
      <w:r>
        <w:rPr>
          <w:noProof/>
        </w:rPr>
        <w:fldChar w:fldCharType="separate"/>
      </w:r>
      <w:r w:rsidR="00C77D91">
        <w:rPr>
          <w:noProof/>
          <w:lang w:val="es-ES"/>
        </w:rPr>
        <w:t>2</w:t>
      </w:r>
      <w:r>
        <w:rPr>
          <w:noProof/>
        </w:rPr>
        <w:fldChar w:fldCharType="end"/>
      </w:r>
    </w:p>
    <w:p w:rsidR="00466A36" w:rsidRPr="00466A36" w:rsidRDefault="00466A36" w:rsidP="00466A36">
      <w:pPr>
        <w:pStyle w:val="TOC1"/>
        <w:rPr>
          <w:rFonts w:asciiTheme="minorHAnsi" w:eastAsiaTheme="minorEastAsia" w:hAnsiTheme="minorHAnsi" w:cstheme="minorBidi"/>
          <w:noProof/>
          <w:sz w:val="22"/>
          <w:szCs w:val="22"/>
          <w:lang w:val="es-ES"/>
        </w:rPr>
      </w:pPr>
      <w:r w:rsidRPr="004A6828">
        <w:rPr>
          <w:noProof/>
          <w:lang w:val="es-ES_tradnl" w:eastAsia="ja-JP"/>
        </w:rPr>
        <w:t>REVISIÓN DEL DOCUMENTO UPOV/INF/17 “DIRECTRICES PARA LOS PERFILES DE ADN: SELECCIÓN DE MARCADORES MOLECULARES Y CREACIÓN DE UNA BASE DE DATOS (“DIRECTRICES BMT”)”</w:t>
      </w:r>
      <w:r w:rsidRPr="00466A36">
        <w:rPr>
          <w:noProof/>
          <w:lang w:val="es-ES"/>
        </w:rPr>
        <w:tab/>
      </w:r>
      <w:r>
        <w:rPr>
          <w:noProof/>
        </w:rPr>
        <w:fldChar w:fldCharType="begin"/>
      </w:r>
      <w:r w:rsidRPr="00466A36">
        <w:rPr>
          <w:noProof/>
          <w:lang w:val="es-ES"/>
        </w:rPr>
        <w:instrText xml:space="preserve"> PAGEREF _Toc86408607 \h </w:instrText>
      </w:r>
      <w:r>
        <w:rPr>
          <w:noProof/>
        </w:rPr>
      </w:r>
      <w:r>
        <w:rPr>
          <w:noProof/>
        </w:rPr>
        <w:fldChar w:fldCharType="separate"/>
      </w:r>
      <w:r w:rsidR="00C77D91">
        <w:rPr>
          <w:noProof/>
          <w:lang w:val="es-ES"/>
        </w:rPr>
        <w:t>2</w:t>
      </w:r>
      <w:r>
        <w:rPr>
          <w:noProof/>
        </w:rPr>
        <w:fldChar w:fldCharType="end"/>
      </w:r>
    </w:p>
    <w:p w:rsidR="00466A36" w:rsidRPr="00466A36" w:rsidRDefault="00466A36" w:rsidP="00466A36">
      <w:pPr>
        <w:pStyle w:val="TOC1"/>
        <w:rPr>
          <w:rFonts w:asciiTheme="minorHAnsi" w:eastAsiaTheme="minorEastAsia" w:hAnsiTheme="minorHAnsi" w:cstheme="minorBidi"/>
          <w:noProof/>
          <w:sz w:val="22"/>
          <w:szCs w:val="22"/>
          <w:lang w:val="es-ES"/>
        </w:rPr>
      </w:pPr>
      <w:r w:rsidRPr="004A6828">
        <w:rPr>
          <w:noProof/>
          <w:lang w:val="es-ES_tradnl" w:eastAsia="ja-JP"/>
        </w:rPr>
        <w:t>COOPERACIÓN ENTRE LAS ORGANIZACIONES INTERNACIONALES</w:t>
      </w:r>
      <w:r w:rsidRPr="00466A36">
        <w:rPr>
          <w:noProof/>
          <w:lang w:val="es-ES"/>
        </w:rPr>
        <w:tab/>
      </w:r>
      <w:r>
        <w:rPr>
          <w:noProof/>
        </w:rPr>
        <w:fldChar w:fldCharType="begin"/>
      </w:r>
      <w:r w:rsidRPr="00466A36">
        <w:rPr>
          <w:noProof/>
          <w:lang w:val="es-ES"/>
        </w:rPr>
        <w:instrText xml:space="preserve"> PAGEREF _Toc86408608 \h </w:instrText>
      </w:r>
      <w:r>
        <w:rPr>
          <w:noProof/>
        </w:rPr>
      </w:r>
      <w:r>
        <w:rPr>
          <w:noProof/>
        </w:rPr>
        <w:fldChar w:fldCharType="separate"/>
      </w:r>
      <w:r w:rsidR="00C77D91">
        <w:rPr>
          <w:noProof/>
          <w:lang w:val="es-ES"/>
        </w:rPr>
        <w:t>2</w:t>
      </w:r>
      <w:r>
        <w:rPr>
          <w:noProof/>
        </w:rPr>
        <w:fldChar w:fldCharType="end"/>
      </w:r>
    </w:p>
    <w:p w:rsidR="00466A36" w:rsidRPr="00466A36" w:rsidRDefault="00466A36">
      <w:pPr>
        <w:pStyle w:val="TOC2"/>
        <w:rPr>
          <w:rFonts w:asciiTheme="minorHAnsi" w:eastAsiaTheme="minorEastAsia" w:hAnsiTheme="minorHAnsi" w:cstheme="minorBidi"/>
          <w:noProof/>
          <w:sz w:val="22"/>
          <w:szCs w:val="22"/>
          <w:lang w:val="es-ES"/>
        </w:rPr>
      </w:pPr>
      <w:r w:rsidRPr="004A6828">
        <w:rPr>
          <w:rFonts w:eastAsiaTheme="minorEastAsia"/>
          <w:noProof/>
          <w:lang w:val="es-ES_tradnl"/>
        </w:rPr>
        <w:t>Documento conjunto en el que se expliquen las características principales de los sistemas de la OCDE, la UPOV y l</w:t>
      </w:r>
      <w:bookmarkStart w:id="6" w:name="_GoBack"/>
      <w:bookmarkEnd w:id="6"/>
      <w:r w:rsidRPr="004A6828">
        <w:rPr>
          <w:rFonts w:eastAsiaTheme="minorEastAsia"/>
          <w:noProof/>
          <w:lang w:val="es-ES_tradnl"/>
        </w:rPr>
        <w:t>a ISTA</w:t>
      </w:r>
      <w:r w:rsidRPr="00466A36">
        <w:rPr>
          <w:noProof/>
          <w:lang w:val="es-ES"/>
        </w:rPr>
        <w:tab/>
      </w:r>
      <w:r>
        <w:rPr>
          <w:noProof/>
        </w:rPr>
        <w:fldChar w:fldCharType="begin"/>
      </w:r>
      <w:r w:rsidRPr="00466A36">
        <w:rPr>
          <w:noProof/>
          <w:lang w:val="es-ES"/>
        </w:rPr>
        <w:instrText xml:space="preserve"> PAGEREF _Toc86408609 \h </w:instrText>
      </w:r>
      <w:r>
        <w:rPr>
          <w:noProof/>
        </w:rPr>
      </w:r>
      <w:r>
        <w:rPr>
          <w:noProof/>
        </w:rPr>
        <w:fldChar w:fldCharType="separate"/>
      </w:r>
      <w:r w:rsidR="00C77D91">
        <w:rPr>
          <w:noProof/>
          <w:lang w:val="es-ES"/>
        </w:rPr>
        <w:t>3</w:t>
      </w:r>
      <w:r>
        <w:rPr>
          <w:noProof/>
        </w:rPr>
        <w:fldChar w:fldCharType="end"/>
      </w:r>
    </w:p>
    <w:p w:rsidR="00466A36" w:rsidRPr="00466A36" w:rsidRDefault="00466A36">
      <w:pPr>
        <w:pStyle w:val="TOC2"/>
        <w:rPr>
          <w:rFonts w:asciiTheme="minorHAnsi" w:eastAsiaTheme="minorEastAsia" w:hAnsiTheme="minorHAnsi" w:cstheme="minorBidi"/>
          <w:noProof/>
          <w:sz w:val="22"/>
          <w:szCs w:val="22"/>
          <w:lang w:val="es-ES"/>
        </w:rPr>
      </w:pPr>
      <w:r w:rsidRPr="004A6828">
        <w:rPr>
          <w:rFonts w:eastAsiaTheme="minorEastAsia"/>
          <w:noProof/>
          <w:lang w:val="es-ES_tradnl"/>
        </w:rPr>
        <w:t>Inventario sobre la utilización de técnicas basadas en marcadores moleculares, por cultivos</w:t>
      </w:r>
      <w:r w:rsidRPr="00466A36">
        <w:rPr>
          <w:noProof/>
          <w:lang w:val="es-ES"/>
        </w:rPr>
        <w:tab/>
      </w:r>
      <w:r>
        <w:rPr>
          <w:noProof/>
        </w:rPr>
        <w:fldChar w:fldCharType="begin"/>
      </w:r>
      <w:r w:rsidRPr="00466A36">
        <w:rPr>
          <w:noProof/>
          <w:lang w:val="es-ES"/>
        </w:rPr>
        <w:instrText xml:space="preserve"> PAGEREF _Toc86408610 \h </w:instrText>
      </w:r>
      <w:r>
        <w:rPr>
          <w:noProof/>
        </w:rPr>
      </w:r>
      <w:r>
        <w:rPr>
          <w:noProof/>
        </w:rPr>
        <w:fldChar w:fldCharType="separate"/>
      </w:r>
      <w:r w:rsidR="00C77D91">
        <w:rPr>
          <w:noProof/>
          <w:lang w:val="es-ES"/>
        </w:rPr>
        <w:t>3</w:t>
      </w:r>
      <w:r>
        <w:rPr>
          <w:noProof/>
        </w:rPr>
        <w:fldChar w:fldCharType="end"/>
      </w:r>
    </w:p>
    <w:p w:rsidR="00466A36" w:rsidRPr="00466A36" w:rsidRDefault="00466A36">
      <w:pPr>
        <w:pStyle w:val="TOC2"/>
        <w:rPr>
          <w:rFonts w:asciiTheme="minorHAnsi" w:eastAsiaTheme="minorEastAsia" w:hAnsiTheme="minorHAnsi" w:cstheme="minorBidi"/>
          <w:noProof/>
          <w:sz w:val="22"/>
          <w:szCs w:val="22"/>
          <w:lang w:val="es-ES"/>
        </w:rPr>
      </w:pPr>
      <w:r w:rsidRPr="004A6828">
        <w:rPr>
          <w:rFonts w:eastAsiaTheme="minorEastAsia"/>
          <w:noProof/>
          <w:lang w:val="es-ES_tradnl"/>
        </w:rPr>
        <w:t>Listas de posibles iniciativas conjuntas con la OCDE y la ISTA relacionadas con las técnicas moleculares</w:t>
      </w:r>
      <w:r w:rsidRPr="00466A36">
        <w:rPr>
          <w:noProof/>
          <w:lang w:val="es-ES"/>
        </w:rPr>
        <w:tab/>
      </w:r>
      <w:r>
        <w:rPr>
          <w:noProof/>
        </w:rPr>
        <w:fldChar w:fldCharType="begin"/>
      </w:r>
      <w:r w:rsidRPr="00466A36">
        <w:rPr>
          <w:noProof/>
          <w:lang w:val="es-ES"/>
        </w:rPr>
        <w:instrText xml:space="preserve"> PAGEREF _Toc86408611 \h </w:instrText>
      </w:r>
      <w:r>
        <w:rPr>
          <w:noProof/>
        </w:rPr>
      </w:r>
      <w:r>
        <w:rPr>
          <w:noProof/>
        </w:rPr>
        <w:fldChar w:fldCharType="separate"/>
      </w:r>
      <w:r w:rsidR="00C77D91">
        <w:rPr>
          <w:noProof/>
          <w:lang w:val="es-ES"/>
        </w:rPr>
        <w:t>4</w:t>
      </w:r>
      <w:r>
        <w:rPr>
          <w:noProof/>
        </w:rPr>
        <w:fldChar w:fldCharType="end"/>
      </w:r>
    </w:p>
    <w:p w:rsidR="00466A36" w:rsidRPr="00466A36" w:rsidRDefault="00466A36" w:rsidP="00466A36">
      <w:pPr>
        <w:pStyle w:val="TOC1"/>
        <w:rPr>
          <w:rFonts w:asciiTheme="minorHAnsi" w:eastAsiaTheme="minorEastAsia" w:hAnsiTheme="minorHAnsi" w:cstheme="minorBidi"/>
          <w:noProof/>
          <w:sz w:val="22"/>
          <w:szCs w:val="22"/>
          <w:lang w:val="es-ES"/>
        </w:rPr>
      </w:pPr>
      <w:r w:rsidRPr="004A6828">
        <w:rPr>
          <w:noProof/>
          <w:snapToGrid w:val="0"/>
          <w:lang w:val="es-ES_tradnl"/>
        </w:rPr>
        <w:t>SESIÓN PARA FACILITAR LA COOPERACIÓN EN EL USO DE TÉCNICAS MOLECULARES</w:t>
      </w:r>
      <w:r w:rsidRPr="00466A36">
        <w:rPr>
          <w:noProof/>
          <w:lang w:val="es-ES"/>
        </w:rPr>
        <w:tab/>
      </w:r>
      <w:r>
        <w:rPr>
          <w:noProof/>
        </w:rPr>
        <w:fldChar w:fldCharType="begin"/>
      </w:r>
      <w:r w:rsidRPr="00466A36">
        <w:rPr>
          <w:noProof/>
          <w:lang w:val="es-ES"/>
        </w:rPr>
        <w:instrText xml:space="preserve"> PAGEREF _Toc86408612 \h </w:instrText>
      </w:r>
      <w:r>
        <w:rPr>
          <w:noProof/>
        </w:rPr>
      </w:r>
      <w:r>
        <w:rPr>
          <w:noProof/>
        </w:rPr>
        <w:fldChar w:fldCharType="separate"/>
      </w:r>
      <w:r w:rsidR="00C77D91">
        <w:rPr>
          <w:noProof/>
          <w:lang w:val="es-ES"/>
        </w:rPr>
        <w:t>5</w:t>
      </w:r>
      <w:r>
        <w:rPr>
          <w:noProof/>
        </w:rPr>
        <w:fldChar w:fldCharType="end"/>
      </w:r>
    </w:p>
    <w:p w:rsidR="00466A36" w:rsidRPr="00466A36" w:rsidRDefault="00466A36">
      <w:pPr>
        <w:pStyle w:val="TOC2"/>
        <w:rPr>
          <w:rFonts w:asciiTheme="minorHAnsi" w:eastAsiaTheme="minorEastAsia" w:hAnsiTheme="minorHAnsi" w:cstheme="minorBidi"/>
          <w:noProof/>
          <w:sz w:val="22"/>
          <w:szCs w:val="22"/>
          <w:lang w:val="es-ES"/>
        </w:rPr>
      </w:pPr>
      <w:r w:rsidRPr="004A6828">
        <w:rPr>
          <w:noProof/>
          <w:lang w:val="es-ES_tradnl"/>
        </w:rPr>
        <w:t>Novedades acaecidas en los TWP y el BMT en sus sesiones de 2021</w:t>
      </w:r>
      <w:r w:rsidRPr="00466A36">
        <w:rPr>
          <w:noProof/>
          <w:lang w:val="es-ES"/>
        </w:rPr>
        <w:tab/>
      </w:r>
      <w:r>
        <w:rPr>
          <w:noProof/>
        </w:rPr>
        <w:fldChar w:fldCharType="begin"/>
      </w:r>
      <w:r w:rsidRPr="00466A36">
        <w:rPr>
          <w:noProof/>
          <w:lang w:val="es-ES"/>
        </w:rPr>
        <w:instrText xml:space="preserve"> PAGEREF _Toc86408613 \h </w:instrText>
      </w:r>
      <w:r>
        <w:rPr>
          <w:noProof/>
        </w:rPr>
      </w:r>
      <w:r>
        <w:rPr>
          <w:noProof/>
        </w:rPr>
        <w:fldChar w:fldCharType="separate"/>
      </w:r>
      <w:r w:rsidR="00C77D91">
        <w:rPr>
          <w:noProof/>
          <w:lang w:val="es-ES"/>
        </w:rPr>
        <w:t>5</w:t>
      </w:r>
      <w:r>
        <w:rPr>
          <w:noProof/>
        </w:rPr>
        <w:fldChar w:fldCharType="end"/>
      </w:r>
    </w:p>
    <w:p w:rsidR="00466A36" w:rsidRPr="00466A36" w:rsidRDefault="00466A36" w:rsidP="00466A36">
      <w:pPr>
        <w:pStyle w:val="TOC1"/>
        <w:rPr>
          <w:rFonts w:asciiTheme="minorHAnsi" w:eastAsiaTheme="minorEastAsia" w:hAnsiTheme="minorHAnsi" w:cstheme="minorBidi"/>
          <w:noProof/>
          <w:sz w:val="22"/>
          <w:szCs w:val="22"/>
          <w:lang w:val="es-ES"/>
        </w:rPr>
      </w:pPr>
      <w:r w:rsidRPr="004A6828">
        <w:rPr>
          <w:noProof/>
          <w:lang w:val="es-ES_tradnl"/>
        </w:rPr>
        <w:t>CONFIDENCIALIDAD Y TITULARIDAD DE LA INFORMACIÓN MOLECULAR</w:t>
      </w:r>
      <w:r w:rsidRPr="00466A36">
        <w:rPr>
          <w:noProof/>
          <w:lang w:val="es-ES"/>
        </w:rPr>
        <w:tab/>
      </w:r>
      <w:r>
        <w:rPr>
          <w:noProof/>
        </w:rPr>
        <w:fldChar w:fldCharType="begin"/>
      </w:r>
      <w:r w:rsidRPr="00466A36">
        <w:rPr>
          <w:noProof/>
          <w:lang w:val="es-ES"/>
        </w:rPr>
        <w:instrText xml:space="preserve"> PAGEREF _Toc86408614 \h </w:instrText>
      </w:r>
      <w:r>
        <w:rPr>
          <w:noProof/>
        </w:rPr>
      </w:r>
      <w:r>
        <w:rPr>
          <w:noProof/>
        </w:rPr>
        <w:fldChar w:fldCharType="separate"/>
      </w:r>
      <w:r w:rsidR="00C77D91">
        <w:rPr>
          <w:noProof/>
          <w:lang w:val="es-ES"/>
        </w:rPr>
        <w:t>6</w:t>
      </w:r>
      <w:r>
        <w:rPr>
          <w:noProof/>
        </w:rPr>
        <w:fldChar w:fldCharType="end"/>
      </w:r>
    </w:p>
    <w:p w:rsidR="008B171B" w:rsidRPr="008B171B" w:rsidRDefault="00A379E4" w:rsidP="004E4F71">
      <w:pPr>
        <w:spacing w:before="120"/>
        <w:ind w:left="1123" w:hanging="1123"/>
        <w:rPr>
          <w:snapToGrid w:val="0"/>
          <w:szCs w:val="18"/>
          <w:lang w:val="es-ES_tradnl" w:eastAsia="ja-JP"/>
        </w:rPr>
      </w:pPr>
      <w:r w:rsidRPr="00046874">
        <w:rPr>
          <w:lang w:val="es-ES_tradnl"/>
        </w:rPr>
        <w:fldChar w:fldCharType="end"/>
      </w:r>
      <w:bookmarkEnd w:id="1"/>
      <w:r w:rsidR="00950F79" w:rsidRPr="003760EC">
        <w:rPr>
          <w:snapToGrid w:val="0"/>
          <w:szCs w:val="18"/>
          <w:lang w:val="es-ES_tradnl" w:eastAsia="ja-JP"/>
        </w:rPr>
        <w:t>ANEXO I</w:t>
      </w:r>
      <w:r w:rsidR="00046874" w:rsidRPr="00046874">
        <w:rPr>
          <w:snapToGrid w:val="0"/>
          <w:szCs w:val="18"/>
          <w:lang w:val="es-ES_tradnl" w:eastAsia="ja-JP"/>
        </w:rPr>
        <w:tab/>
      </w:r>
      <w:r w:rsidR="00950F79" w:rsidRPr="003760EC">
        <w:rPr>
          <w:snapToGrid w:val="0"/>
          <w:szCs w:val="18"/>
          <w:lang w:val="es-ES_tradnl" w:eastAsia="ja-JP"/>
        </w:rPr>
        <w:t>ELEMENTOS DEL PROYECTO DE DOCUMENTO CONJUNTO EN EL QUE SE EXPLIQUEN LAS CARACTERÍSTICAS PRINCIPALES DE LOS SISTEMAS DE LA OCDE, LA UPOV Y LA ISTA</w:t>
      </w:r>
    </w:p>
    <w:p w:rsidR="008B171B" w:rsidRPr="008B171B" w:rsidRDefault="00950F79" w:rsidP="00466A36">
      <w:pPr>
        <w:spacing w:before="120" w:after="600"/>
        <w:ind w:left="1123" w:hanging="1123"/>
        <w:rPr>
          <w:snapToGrid w:val="0"/>
          <w:szCs w:val="18"/>
          <w:lang w:val="es-ES_tradnl" w:eastAsia="ja-JP"/>
        </w:rPr>
      </w:pPr>
      <w:r w:rsidRPr="003760EC">
        <w:rPr>
          <w:snapToGrid w:val="0"/>
          <w:szCs w:val="18"/>
          <w:lang w:val="es-ES_tradnl" w:eastAsia="ja-JP"/>
        </w:rPr>
        <w:t>ANEXO II</w:t>
      </w:r>
      <w:r w:rsidR="00046874" w:rsidRPr="00046874">
        <w:rPr>
          <w:snapToGrid w:val="0"/>
          <w:szCs w:val="18"/>
          <w:lang w:val="es-ES_tradnl" w:eastAsia="ja-JP"/>
        </w:rPr>
        <w:tab/>
      </w:r>
      <w:r w:rsidRPr="003760EC">
        <w:rPr>
          <w:snapToGrid w:val="0"/>
          <w:szCs w:val="18"/>
          <w:lang w:val="es-ES_tradnl" w:eastAsia="ja-JP"/>
        </w:rPr>
        <w:t>ENCUESTA SOBRE EL USO DE TÉCNICAS BASADAS EN MARCADORES MOLECULARES, POR CULTIVOS</w:t>
      </w:r>
    </w:p>
    <w:p w:rsidR="008B171B" w:rsidRPr="008B171B" w:rsidRDefault="00950F79" w:rsidP="004E4F71">
      <w:pPr>
        <w:keepNext/>
        <w:outlineLvl w:val="0"/>
        <w:rPr>
          <w:caps/>
          <w:spacing w:val="-4"/>
          <w:lang w:val="es-ES_tradnl" w:eastAsia="ja-JP"/>
        </w:rPr>
      </w:pPr>
      <w:bookmarkStart w:id="7" w:name="_Toc86408606"/>
      <w:r w:rsidRPr="003760EC">
        <w:rPr>
          <w:caps/>
          <w:spacing w:val="-4"/>
          <w:lang w:val="es-ES_tradnl" w:eastAsia="ja-JP"/>
        </w:rPr>
        <w:lastRenderedPageBreak/>
        <w:t>ANTECEDENTES</w:t>
      </w:r>
      <w:bookmarkEnd w:id="7"/>
    </w:p>
    <w:p w:rsidR="008B171B" w:rsidRPr="008B171B" w:rsidRDefault="008B171B" w:rsidP="00046874">
      <w:pPr>
        <w:keepNext/>
        <w:rPr>
          <w:lang w:val="es-ES_tradnl" w:eastAsia="ja-JP"/>
        </w:rPr>
      </w:pPr>
    </w:p>
    <w:p w:rsidR="008B171B" w:rsidRPr="008B171B" w:rsidRDefault="00A379E4" w:rsidP="004E4F71">
      <w:pPr>
        <w:rPr>
          <w:rFonts w:cs="Arial"/>
          <w:lang w:val="es-ES_tradnl"/>
        </w:rPr>
      </w:pPr>
      <w:r w:rsidRPr="00046874">
        <w:rPr>
          <w:rFonts w:cs="Arial"/>
          <w:lang w:val="es-ES_tradnl"/>
        </w:rPr>
        <w:fldChar w:fldCharType="begin"/>
      </w:r>
      <w:r w:rsidR="00046874" w:rsidRPr="00046874">
        <w:rPr>
          <w:rFonts w:cs="Arial"/>
          <w:lang w:val="es-ES_tradnl"/>
        </w:rPr>
        <w:instrText xml:space="preserve"> AUTONUM  </w:instrText>
      </w:r>
      <w:r w:rsidRPr="00046874">
        <w:rPr>
          <w:rFonts w:cs="Arial"/>
          <w:lang w:val="es-ES_tradnl"/>
        </w:rPr>
        <w:fldChar w:fldCharType="end"/>
      </w:r>
      <w:r w:rsidR="00046874" w:rsidRPr="00046874">
        <w:rPr>
          <w:rFonts w:cs="Arial"/>
          <w:lang w:val="es-ES_tradnl"/>
        </w:rPr>
        <w:tab/>
      </w:r>
      <w:r w:rsidR="00950F79" w:rsidRPr="003760EC">
        <w:rPr>
          <w:rFonts w:cs="Arial"/>
          <w:lang w:val="es-ES_tradnl"/>
        </w:rPr>
        <w:t>Las novedades que se produzcan en la quincuagésima séptima sesión del</w:t>
      </w:r>
      <w:r w:rsidR="003760EC" w:rsidRPr="003760EC">
        <w:rPr>
          <w:rFonts w:cs="Arial"/>
          <w:lang w:val="es-ES_tradnl"/>
        </w:rPr>
        <w:t> </w:t>
      </w:r>
      <w:r w:rsidR="00950F79" w:rsidRPr="003760EC">
        <w:rPr>
          <w:rFonts w:cs="Arial"/>
          <w:lang w:val="es-ES_tradnl"/>
        </w:rPr>
        <w:t>TC en relación con las cuestiones expuestas en el presente documento se comunicarán al</w:t>
      </w:r>
      <w:r w:rsidR="003760EC" w:rsidRPr="003760EC">
        <w:rPr>
          <w:rFonts w:cs="Arial"/>
          <w:lang w:val="es-ES_tradnl"/>
        </w:rPr>
        <w:t> </w:t>
      </w:r>
      <w:r w:rsidR="00950F79" w:rsidRPr="003760EC">
        <w:rPr>
          <w:rFonts w:cs="Arial"/>
          <w:lang w:val="es-ES_tradnl"/>
        </w:rPr>
        <w:t>CAJ en el documento CAJ/78/2 “Informe sobre las novedades acaecidas en el Comité Técnico”.</w:t>
      </w:r>
    </w:p>
    <w:p w:rsidR="008B171B" w:rsidRPr="008B171B" w:rsidRDefault="008B171B" w:rsidP="00046874">
      <w:pPr>
        <w:rPr>
          <w:rFonts w:cs="Arial"/>
          <w:lang w:val="es-ES_tradnl"/>
        </w:rPr>
      </w:pPr>
    </w:p>
    <w:p w:rsidR="008B171B" w:rsidRPr="008B171B" w:rsidRDefault="008B171B" w:rsidP="00046874">
      <w:pPr>
        <w:rPr>
          <w:rFonts w:cs="Arial"/>
          <w:lang w:val="es-ES_tradnl"/>
        </w:rPr>
      </w:pPr>
    </w:p>
    <w:p w:rsidR="008B171B" w:rsidRPr="008B171B" w:rsidRDefault="008B171B" w:rsidP="00046874">
      <w:pPr>
        <w:rPr>
          <w:rFonts w:cs="Arial"/>
          <w:lang w:val="es-ES_tradnl"/>
        </w:rPr>
      </w:pPr>
    </w:p>
    <w:p w:rsidR="008B171B" w:rsidRPr="008B171B" w:rsidRDefault="00950F79" w:rsidP="004E4F71">
      <w:pPr>
        <w:keepNext/>
        <w:outlineLvl w:val="0"/>
        <w:rPr>
          <w:caps/>
          <w:spacing w:val="-4"/>
          <w:lang w:val="es-ES_tradnl" w:eastAsia="ja-JP"/>
        </w:rPr>
      </w:pPr>
      <w:bookmarkStart w:id="8" w:name="_Toc527366638"/>
      <w:bookmarkStart w:id="9" w:name="_Toc86408607"/>
      <w:r w:rsidRPr="003760EC">
        <w:rPr>
          <w:caps/>
          <w:spacing w:val="-4"/>
          <w:lang w:val="es-ES_tradnl" w:eastAsia="ja-JP"/>
        </w:rPr>
        <w:t>REVISIÓN DEL DOCUMENTO UPOV/INF/17 “DIRECTRICES PARA LOS PERFILES DE ADN:</w:t>
      </w:r>
      <w:r w:rsidR="00046874" w:rsidRPr="00046874">
        <w:rPr>
          <w:caps/>
          <w:spacing w:val="-4"/>
          <w:lang w:val="es-ES_tradnl" w:eastAsia="ja-JP"/>
        </w:rPr>
        <w:t xml:space="preserve"> </w:t>
      </w:r>
      <w:bookmarkEnd w:id="8"/>
      <w:r w:rsidRPr="003760EC">
        <w:rPr>
          <w:caps/>
          <w:spacing w:val="-4"/>
          <w:lang w:val="es-ES_tradnl" w:eastAsia="ja-JP"/>
        </w:rPr>
        <w:t>SELECCIÓN DE MARCADORES MOLECULARES Y CREACIÓN DE UNA BASE DE DATOS (“DIRECTRICES BMT”)”</w:t>
      </w:r>
      <w:bookmarkEnd w:id="9"/>
    </w:p>
    <w:p w:rsidR="008B171B" w:rsidRPr="008B171B" w:rsidRDefault="008B171B" w:rsidP="00046874">
      <w:pPr>
        <w:keepNext/>
        <w:rPr>
          <w:lang w:val="es-ES_tradnl" w:eastAsia="ja-JP"/>
        </w:rPr>
      </w:pPr>
    </w:p>
    <w:p w:rsidR="008B171B" w:rsidRPr="008B171B" w:rsidRDefault="00A379E4" w:rsidP="004E4F71">
      <w:pPr>
        <w:keepNext/>
        <w:rPr>
          <w:rFonts w:eastAsiaTheme="minorEastAsia"/>
          <w:lang w:val="es-ES_tradnl" w:eastAsia="ja-JP"/>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950F79" w:rsidRPr="003760EC">
        <w:rPr>
          <w:rFonts w:eastAsiaTheme="minorEastAsia"/>
          <w:lang w:val="es-ES_tradnl" w:eastAsia="ja-JP"/>
        </w:rPr>
        <w:t>Los antecedentes de este asunto figuran en los párrafos 31 a 34 del documento CAJ/75/11 “Técnicas moleculares”.</w:t>
      </w:r>
    </w:p>
    <w:p w:rsidR="008B171B" w:rsidRPr="008B171B" w:rsidRDefault="008B171B" w:rsidP="00046874">
      <w:pPr>
        <w:keepNext/>
        <w:rPr>
          <w:rFonts w:eastAsiaTheme="minorEastAsia"/>
          <w:lang w:val="es-ES_tradnl" w:eastAsia="ja-JP"/>
        </w:rPr>
      </w:pPr>
    </w:p>
    <w:p w:rsidR="008B171B" w:rsidRPr="008B171B" w:rsidRDefault="00A379E4" w:rsidP="004E4F71">
      <w:pPr>
        <w:rPr>
          <w:rFonts w:eastAsia="MS Mincho"/>
          <w:lang w:val="es-ES_tradnl"/>
        </w:rPr>
      </w:pPr>
      <w:r w:rsidRPr="00046874">
        <w:rPr>
          <w:rFonts w:eastAsia="MS Mincho"/>
          <w:lang w:val="es-ES_tradnl"/>
        </w:rPr>
        <w:fldChar w:fldCharType="begin"/>
      </w:r>
      <w:r w:rsidR="00046874" w:rsidRPr="00046874">
        <w:rPr>
          <w:rFonts w:eastAsia="MS Mincho"/>
          <w:lang w:val="es-ES_tradnl"/>
        </w:rPr>
        <w:instrText xml:space="preserve"> AUTONUM  </w:instrText>
      </w:r>
      <w:r w:rsidRPr="00046874">
        <w:rPr>
          <w:rFonts w:eastAsia="MS Mincho"/>
          <w:lang w:val="es-ES_tradnl"/>
        </w:rPr>
        <w:fldChar w:fldCharType="end"/>
      </w:r>
      <w:r w:rsidR="00046874" w:rsidRPr="00046874">
        <w:rPr>
          <w:rFonts w:eastAsia="MS Mincho"/>
          <w:lang w:val="es-ES_tradnl"/>
        </w:rPr>
        <w:tab/>
      </w:r>
      <w:r w:rsidR="00950F79" w:rsidRPr="00D10F0B">
        <w:rPr>
          <w:rFonts w:eastAsia="MS Mincho"/>
          <w:lang w:val="es-ES_tradnl"/>
        </w:rPr>
        <w:t xml:space="preserve">Las cuestiones relativas a la aprobación por el CAJ del documento UPOV/INF/17/1 “Directrices para los perfiles de ADN: selección de marcadores moleculares y creación de </w:t>
      </w:r>
      <w:r w:rsidR="00466A36">
        <w:rPr>
          <w:rFonts w:eastAsia="MS Mincho"/>
          <w:lang w:val="es-ES_tradnl"/>
        </w:rPr>
        <w:t>una base de datos (”Directrices </w:t>
      </w:r>
      <w:r w:rsidR="00950F79" w:rsidRPr="00D10F0B">
        <w:rPr>
          <w:rFonts w:eastAsia="MS Mincho"/>
          <w:lang w:val="es-ES_tradnl"/>
        </w:rPr>
        <w:t xml:space="preserve">BMT“)”, conforme al texto del documento UPOV/INF/17/1 Draft 6, </w:t>
      </w:r>
      <w:r w:rsidR="00787C47" w:rsidRPr="00D10F0B">
        <w:rPr>
          <w:rFonts w:eastAsia="MS Mincho"/>
          <w:lang w:val="es-ES_tradnl"/>
        </w:rPr>
        <w:t xml:space="preserve">se </w:t>
      </w:r>
      <w:r w:rsidR="00F27F63" w:rsidRPr="00D10F0B">
        <w:rPr>
          <w:rFonts w:eastAsia="MS Mincho"/>
          <w:lang w:val="es-ES_tradnl"/>
        </w:rPr>
        <w:t>tratan</w:t>
      </w:r>
      <w:r w:rsidR="00950F79" w:rsidRPr="00D10F0B">
        <w:rPr>
          <w:rFonts w:eastAsia="MS Mincho"/>
          <w:lang w:val="es-ES_tradnl"/>
        </w:rPr>
        <w:t xml:space="preserve"> en </w:t>
      </w:r>
      <w:r w:rsidR="00787C47" w:rsidRPr="00D10F0B">
        <w:rPr>
          <w:rFonts w:eastAsia="MS Mincho"/>
          <w:lang w:val="es-ES_tradnl"/>
        </w:rPr>
        <w:t xml:space="preserve">el </w:t>
      </w:r>
      <w:r w:rsidR="00950F79" w:rsidRPr="00D10F0B">
        <w:rPr>
          <w:rFonts w:eastAsia="MS Mincho"/>
          <w:lang w:val="es-ES_tradnl"/>
        </w:rPr>
        <w:t>documento</w:t>
      </w:r>
      <w:r w:rsidR="00F27F63" w:rsidRPr="00D10F0B">
        <w:rPr>
          <w:rFonts w:eastAsia="MS Mincho"/>
          <w:lang w:val="es-ES_tradnl"/>
        </w:rPr>
        <w:t xml:space="preserve"> CAJ/78/3 </w:t>
      </w:r>
      <w:r w:rsidR="00950F79" w:rsidRPr="00D10F0B">
        <w:rPr>
          <w:rFonts w:eastAsia="MS Mincho"/>
          <w:lang w:val="es-ES_tradnl"/>
        </w:rPr>
        <w:t xml:space="preserve">Rev. “Elaboración de orientaciones y material de información” </w:t>
      </w:r>
      <w:r w:rsidR="00950F79" w:rsidRPr="00D10F0B">
        <w:rPr>
          <w:lang w:val="es-ES_tradnl"/>
        </w:rPr>
        <w:t>(</w:t>
      </w:r>
      <w:r w:rsidR="00F27F63" w:rsidRPr="00D10F0B">
        <w:rPr>
          <w:lang w:val="es-ES_tradnl"/>
        </w:rPr>
        <w:t>véanse los párrafos </w:t>
      </w:r>
      <w:r w:rsidR="00950F79" w:rsidRPr="00D10F0B">
        <w:rPr>
          <w:lang w:val="es-ES_tradnl"/>
        </w:rPr>
        <w:t xml:space="preserve">12 </w:t>
      </w:r>
      <w:r w:rsidR="003760EC" w:rsidRPr="00D10F0B">
        <w:rPr>
          <w:lang w:val="es-ES_tradnl"/>
        </w:rPr>
        <w:t>y</w:t>
      </w:r>
      <w:r w:rsidR="00F27F63" w:rsidRPr="00D10F0B">
        <w:rPr>
          <w:lang w:val="es-ES_tradnl"/>
        </w:rPr>
        <w:t> </w:t>
      </w:r>
      <w:r w:rsidR="00950F79" w:rsidRPr="00D10F0B">
        <w:rPr>
          <w:lang w:val="es-ES_tradnl"/>
        </w:rPr>
        <w:t xml:space="preserve">13) </w:t>
      </w:r>
      <w:r w:rsidR="00950F79" w:rsidRPr="00D10F0B">
        <w:rPr>
          <w:rFonts w:eastAsia="MS Mincho"/>
          <w:lang w:val="es-ES_tradnl"/>
        </w:rPr>
        <w:t xml:space="preserve">y </w:t>
      </w:r>
      <w:r w:rsidR="00F27F63" w:rsidRPr="00D10F0B">
        <w:rPr>
          <w:rFonts w:eastAsia="MS Mincho"/>
          <w:lang w:val="es-ES_tradnl"/>
        </w:rPr>
        <w:t xml:space="preserve">en el </w:t>
      </w:r>
      <w:r w:rsidR="00950F79" w:rsidRPr="00D10F0B">
        <w:rPr>
          <w:rFonts w:eastAsia="MS Mincho"/>
          <w:lang w:val="es-ES_tradnl"/>
        </w:rPr>
        <w:t xml:space="preserve">documento </w:t>
      </w:r>
      <w:r w:rsidR="00950F79" w:rsidRPr="00D10F0B">
        <w:rPr>
          <w:lang w:val="es-ES_tradnl"/>
        </w:rPr>
        <w:t>CAJ/78/12 “</w:t>
      </w:r>
      <w:r w:rsidR="00F27F63" w:rsidRPr="00D10F0B">
        <w:rPr>
          <w:rFonts w:eastAsia="MS Mincho"/>
          <w:lang w:val="es-ES_tradnl"/>
        </w:rPr>
        <w:t>Resultado del examen de los documentos por correspondencia</w:t>
      </w:r>
      <w:r w:rsidR="00950F79" w:rsidRPr="00D10F0B">
        <w:rPr>
          <w:lang w:val="es-ES_tradnl"/>
        </w:rPr>
        <w:t>” (</w:t>
      </w:r>
      <w:r w:rsidR="00F27F63" w:rsidRPr="00D10F0B">
        <w:rPr>
          <w:lang w:val="es-ES_tradnl"/>
        </w:rPr>
        <w:t>véanse los párrafos </w:t>
      </w:r>
      <w:r w:rsidR="00950F79" w:rsidRPr="00D10F0B">
        <w:rPr>
          <w:lang w:val="es-ES_tradnl"/>
        </w:rPr>
        <w:t>14 y</w:t>
      </w:r>
      <w:r w:rsidR="00F27F63" w:rsidRPr="00D10F0B">
        <w:rPr>
          <w:lang w:val="es-ES_tradnl"/>
        </w:rPr>
        <w:t> </w:t>
      </w:r>
      <w:r w:rsidR="00950F79" w:rsidRPr="00D10F0B">
        <w:rPr>
          <w:lang w:val="es-ES_tradnl"/>
        </w:rPr>
        <w:t>35)</w:t>
      </w:r>
      <w:r w:rsidR="00950F79" w:rsidRPr="00D10F0B">
        <w:rPr>
          <w:rFonts w:eastAsia="MS Mincho"/>
          <w:lang w:val="es-ES_tradnl"/>
        </w:rPr>
        <w:t>.</w:t>
      </w:r>
    </w:p>
    <w:p w:rsidR="008B171B" w:rsidRPr="008B171B" w:rsidRDefault="008B171B" w:rsidP="00046874">
      <w:pPr>
        <w:rPr>
          <w:rFonts w:eastAsia="MS Mincho"/>
          <w:lang w:val="es-ES_tradnl"/>
        </w:rPr>
      </w:pPr>
    </w:p>
    <w:p w:rsidR="008B171B" w:rsidRPr="008B171B" w:rsidRDefault="00A379E4" w:rsidP="004E4F71">
      <w:pPr>
        <w:rPr>
          <w:rFonts w:eastAsia="MS Mincho"/>
          <w:lang w:val="es-ES_tradnl"/>
        </w:rPr>
      </w:pPr>
      <w:r w:rsidRPr="00046874">
        <w:rPr>
          <w:rFonts w:eastAsia="MS Mincho"/>
          <w:lang w:val="es-ES_tradnl"/>
        </w:rPr>
        <w:fldChar w:fldCharType="begin"/>
      </w:r>
      <w:r w:rsidR="00046874" w:rsidRPr="00046874">
        <w:rPr>
          <w:rFonts w:eastAsia="MS Mincho"/>
          <w:lang w:val="es-ES_tradnl"/>
        </w:rPr>
        <w:instrText xml:space="preserve"> AUTONUM  </w:instrText>
      </w:r>
      <w:r w:rsidRPr="00046874">
        <w:rPr>
          <w:rFonts w:eastAsia="MS Mincho"/>
          <w:lang w:val="es-ES_tradnl"/>
        </w:rPr>
        <w:fldChar w:fldCharType="end"/>
      </w:r>
      <w:r w:rsidR="00046874" w:rsidRPr="00046874">
        <w:rPr>
          <w:rFonts w:eastAsia="MS Mincho"/>
          <w:lang w:val="es-ES_tradnl"/>
        </w:rPr>
        <w:tab/>
      </w:r>
      <w:r w:rsidR="00FD0836" w:rsidRPr="00D10F0B">
        <w:rPr>
          <w:rFonts w:eastAsia="MS Mincho"/>
          <w:lang w:val="es-ES_tradnl"/>
        </w:rPr>
        <w:t>Se invita al CAJ a tomar nota de que, el 21 de septiembre de 2021,</w:t>
      </w:r>
      <w:r w:rsidR="00FD0836" w:rsidRPr="00D10F0B">
        <w:rPr>
          <w:lang w:val="es-ES_tradnl"/>
        </w:rPr>
        <w:t xml:space="preserve"> </w:t>
      </w:r>
      <w:r w:rsidR="00FD0836" w:rsidRPr="00D10F0B">
        <w:rPr>
          <w:rFonts w:eastAsia="MS Mincho"/>
          <w:lang w:val="es-ES_tradnl"/>
        </w:rPr>
        <w:t xml:space="preserve">el Consejo aprobó por correspondencia </w:t>
      </w:r>
      <w:r w:rsidR="00FD0836" w:rsidRPr="00D10F0B">
        <w:rPr>
          <w:lang w:val="es-ES_tradnl"/>
        </w:rPr>
        <w:t xml:space="preserve">el documento </w:t>
      </w:r>
      <w:r w:rsidR="00FD0836" w:rsidRPr="00D10F0B">
        <w:rPr>
          <w:rFonts w:eastAsia="SimSun" w:cs="Arial"/>
          <w:snapToGrid w:val="0"/>
          <w:lang w:val="es-ES_tradnl" w:eastAsia="ja-JP"/>
        </w:rPr>
        <w:t>UPOV/INF/17/1 “</w:t>
      </w:r>
      <w:r w:rsidR="00541767" w:rsidRPr="00D10F0B">
        <w:rPr>
          <w:rFonts w:eastAsia="MS Mincho"/>
          <w:lang w:val="es-ES_tradnl"/>
        </w:rPr>
        <w:t>Directrices para los perfiles de ADN: selección de marcadores moleculares y creación de una base de datos (”Directrices BMT“)” conforme al texto del documento UPOV/INF/17/1 Draft 6</w:t>
      </w:r>
      <w:r w:rsidR="00FD0836" w:rsidRPr="00D10F0B">
        <w:rPr>
          <w:rFonts w:eastAsia="MS Mincho"/>
          <w:lang w:val="es-ES_tradnl"/>
        </w:rPr>
        <w:t xml:space="preserve"> (</w:t>
      </w:r>
      <w:r w:rsidR="00541767" w:rsidRPr="00D10F0B">
        <w:rPr>
          <w:rFonts w:eastAsia="MS Mincho"/>
          <w:lang w:val="es-ES_tradnl"/>
        </w:rPr>
        <w:t>véanse los párrafos 18 y 32 d</w:t>
      </w:r>
      <w:r w:rsidR="00FD0836" w:rsidRPr="00D10F0B">
        <w:rPr>
          <w:rFonts w:eastAsia="MS Mincho"/>
          <w:lang w:val="es-ES_tradnl"/>
        </w:rPr>
        <w:t>el documento C/55/12 “</w:t>
      </w:r>
      <w:r w:rsidR="00541767" w:rsidRPr="00D10F0B">
        <w:rPr>
          <w:rFonts w:eastAsia="MS Mincho"/>
          <w:lang w:val="es-ES_tradnl"/>
        </w:rPr>
        <w:t>Resultado del examen de los documentos por correspondencia</w:t>
      </w:r>
      <w:r w:rsidR="00FD0836" w:rsidRPr="00D10F0B">
        <w:rPr>
          <w:rFonts w:eastAsia="MS Mincho"/>
          <w:lang w:val="es-ES_tradnl"/>
        </w:rPr>
        <w:t>”).</w:t>
      </w:r>
    </w:p>
    <w:bookmarkEnd w:id="2"/>
    <w:bookmarkEnd w:id="3"/>
    <w:bookmarkEnd w:id="4"/>
    <w:bookmarkEnd w:id="5"/>
    <w:p w:rsidR="008B171B" w:rsidRPr="008B171B" w:rsidRDefault="008B171B" w:rsidP="00046874">
      <w:pPr>
        <w:rPr>
          <w:lang w:val="es-ES_tradnl"/>
        </w:rPr>
      </w:pPr>
    </w:p>
    <w:p w:rsidR="008B171B" w:rsidRPr="008B171B" w:rsidRDefault="008B171B" w:rsidP="00046874">
      <w:pPr>
        <w:rPr>
          <w:lang w:val="es-ES_tradnl"/>
        </w:rPr>
      </w:pPr>
    </w:p>
    <w:p w:rsidR="008B171B" w:rsidRPr="008B171B" w:rsidRDefault="008B171B" w:rsidP="00046874">
      <w:pPr>
        <w:rPr>
          <w:lang w:val="es-ES_tradnl"/>
        </w:rPr>
      </w:pPr>
    </w:p>
    <w:p w:rsidR="008B171B" w:rsidRPr="008B171B" w:rsidRDefault="00326629" w:rsidP="004E4F71">
      <w:pPr>
        <w:keepNext/>
        <w:outlineLvl w:val="0"/>
        <w:rPr>
          <w:caps/>
          <w:spacing w:val="-4"/>
          <w:lang w:val="es-ES_tradnl" w:eastAsia="ja-JP"/>
        </w:rPr>
      </w:pPr>
      <w:bookmarkStart w:id="10" w:name="_Toc86408608"/>
      <w:r w:rsidRPr="00D10F0B">
        <w:rPr>
          <w:caps/>
          <w:spacing w:val="-4"/>
          <w:lang w:val="es-ES_tradnl" w:eastAsia="ja-JP"/>
        </w:rPr>
        <w:t>COOPERACIÓN ENTRE LAS ORGANIZACIONES INTERNACIONALES</w:t>
      </w:r>
      <w:bookmarkEnd w:id="10"/>
    </w:p>
    <w:p w:rsidR="008B171B" w:rsidRPr="008B171B" w:rsidRDefault="008B171B" w:rsidP="00046874">
      <w:pPr>
        <w:keepNext/>
        <w:rPr>
          <w:lang w:val="es-ES_tradnl" w:eastAsia="ja-JP"/>
        </w:rPr>
      </w:pPr>
    </w:p>
    <w:p w:rsidR="008B171B" w:rsidRPr="008B171B" w:rsidRDefault="00A379E4" w:rsidP="004E4F71">
      <w:pPr>
        <w:keepNext/>
        <w:rPr>
          <w:rFonts w:eastAsiaTheme="minorEastAsia"/>
          <w:lang w:val="es-ES_tradnl" w:eastAsia="ja-JP"/>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26629" w:rsidRPr="00D10F0B">
        <w:rPr>
          <w:rFonts w:eastAsiaTheme="minorEastAsia"/>
          <w:lang w:val="es-ES_tradnl" w:eastAsia="ja-JP"/>
        </w:rPr>
        <w:t>Los antecedentes de este asunto figuran en el documento CAJ/76/INF/3 “Técnicas moleculares”.</w:t>
      </w:r>
    </w:p>
    <w:p w:rsidR="008B171B" w:rsidRPr="008B171B" w:rsidRDefault="008B171B" w:rsidP="00046874">
      <w:pPr>
        <w:rPr>
          <w:rFonts w:eastAsiaTheme="minorEastAsia"/>
          <w:lang w:val="es-ES_tradnl" w:eastAsia="ja-JP"/>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2E0FF7" w:rsidRPr="003863AD">
        <w:rPr>
          <w:lang w:val="es-ES_tradnl"/>
        </w:rPr>
        <w:t xml:space="preserve">En su septuagésima quinta sesión, el CAJ tomó nota de que el TC había </w:t>
      </w:r>
      <w:r w:rsidR="00404556" w:rsidRPr="003863AD">
        <w:rPr>
          <w:lang w:val="es-ES_tradnl"/>
        </w:rPr>
        <w:t>acordado</w:t>
      </w:r>
      <w:r w:rsidR="002E0FF7" w:rsidRPr="003863AD">
        <w:rPr>
          <w:lang w:val="es-ES_tradnl"/>
        </w:rPr>
        <w:t xml:space="preserve"> que la UPOV y la OCDE avancen en los siguientes asuntos convenidos con anterioridad por el TC, </w:t>
      </w:r>
      <w:r w:rsidR="009C479D" w:rsidRPr="003863AD">
        <w:rPr>
          <w:lang w:val="es-ES_tradnl"/>
        </w:rPr>
        <w:t xml:space="preserve">que </w:t>
      </w:r>
      <w:r w:rsidR="002E0FF7" w:rsidRPr="003863AD">
        <w:rPr>
          <w:lang w:val="es-ES_tradnl"/>
        </w:rPr>
        <w:t>se expone</w:t>
      </w:r>
      <w:r w:rsidR="009C479D" w:rsidRPr="003863AD">
        <w:rPr>
          <w:lang w:val="es-ES_tradnl"/>
        </w:rPr>
        <w:t>n</w:t>
      </w:r>
      <w:r w:rsidR="002E0FF7" w:rsidRPr="003863AD">
        <w:rPr>
          <w:lang w:val="es-ES_tradnl"/>
        </w:rPr>
        <w:t xml:space="preserve"> en el párrafo 46 del Anexo del documento CAJ/75/13:</w:t>
      </w:r>
      <w:r w:rsidR="002E0FF7" w:rsidRPr="003863AD">
        <w:rPr>
          <w:vertAlign w:val="superscript"/>
          <w:lang w:val="es-ES_tradnl"/>
        </w:rPr>
        <w:footnoteReference w:id="2"/>
      </w:r>
    </w:p>
    <w:p w:rsidR="008B171B" w:rsidRPr="008B171B" w:rsidRDefault="008B171B" w:rsidP="00046874">
      <w:pPr>
        <w:rPr>
          <w:rFonts w:eastAsiaTheme="minorEastAsia"/>
          <w:lang w:val="es-ES_tradnl" w:eastAsia="ja-JP"/>
        </w:rPr>
      </w:pPr>
    </w:p>
    <w:p w:rsidR="008B171B" w:rsidRPr="008B171B" w:rsidRDefault="00046874" w:rsidP="004E4F71">
      <w:pPr>
        <w:ind w:firstLine="567"/>
        <w:rPr>
          <w:rFonts w:eastAsiaTheme="minorEastAsia"/>
          <w:lang w:val="es-ES_tradnl" w:eastAsia="ja-JP"/>
        </w:rPr>
      </w:pPr>
      <w:r w:rsidRPr="004E4F71">
        <w:rPr>
          <w:rFonts w:eastAsiaTheme="minorEastAsia"/>
          <w:lang w:val="es-ES_tradnl" w:eastAsia="ja-JP"/>
        </w:rPr>
        <w:t>a)</w:t>
      </w:r>
      <w:r w:rsidRPr="004E4F71">
        <w:rPr>
          <w:rFonts w:eastAsiaTheme="minorEastAsia"/>
          <w:lang w:val="es-ES_tradnl" w:eastAsia="ja-JP"/>
        </w:rPr>
        <w:tab/>
      </w:r>
      <w:r w:rsidRPr="00046874">
        <w:rPr>
          <w:rFonts w:eastAsiaTheme="minorEastAsia"/>
          <w:lang w:val="es-ES_tradnl" w:eastAsia="ja-JP"/>
        </w:rPr>
        <w:t xml:space="preserve"> </w:t>
      </w:r>
      <w:r w:rsidR="000B598D" w:rsidRPr="00E2042B">
        <w:rPr>
          <w:rFonts w:eastAsiaTheme="minorEastAsia"/>
          <w:lang w:val="es-ES_tradnl" w:eastAsia="ja-JP"/>
        </w:rPr>
        <w:t>elaborar un documento conjunto en el que se expliquen las características principales de los sistemas de la OCDE, la UPOV y la ISTA;</w:t>
      </w:r>
    </w:p>
    <w:p w:rsidR="008B171B" w:rsidRPr="008B171B" w:rsidRDefault="008B171B" w:rsidP="00046874">
      <w:pPr>
        <w:ind w:firstLine="567"/>
        <w:rPr>
          <w:rFonts w:eastAsiaTheme="minorEastAsia"/>
          <w:lang w:val="es-ES_tradnl" w:eastAsia="ja-JP"/>
        </w:rPr>
      </w:pPr>
    </w:p>
    <w:p w:rsidR="008B171B" w:rsidRPr="008B171B" w:rsidRDefault="00046874" w:rsidP="004E4F71">
      <w:pPr>
        <w:ind w:firstLine="567"/>
        <w:rPr>
          <w:rFonts w:eastAsiaTheme="minorEastAsia"/>
          <w:lang w:val="es-ES_tradnl" w:eastAsia="ja-JP"/>
        </w:rPr>
      </w:pPr>
      <w:r w:rsidRPr="004E4F71">
        <w:rPr>
          <w:rFonts w:eastAsiaTheme="minorEastAsia"/>
          <w:lang w:val="es-ES_tradnl" w:eastAsia="ja-JP"/>
        </w:rPr>
        <w:t>b)</w:t>
      </w:r>
      <w:r w:rsidRPr="004E4F71">
        <w:rPr>
          <w:rFonts w:eastAsiaTheme="minorEastAsia"/>
          <w:lang w:val="es-ES_tradnl" w:eastAsia="ja-JP"/>
        </w:rPr>
        <w:tab/>
      </w:r>
      <w:r w:rsidR="000B598D" w:rsidRPr="00E2042B">
        <w:rPr>
          <w:rFonts w:eastAsiaTheme="minorEastAsia"/>
          <w:lang w:val="es-ES_tradnl" w:eastAsia="ja-JP"/>
        </w:rPr>
        <w:t>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por el Consejo y en coordinación con la OCDE y la ISTA; y</w:t>
      </w:r>
    </w:p>
    <w:p w:rsidR="008B171B" w:rsidRPr="008B171B" w:rsidRDefault="008B171B" w:rsidP="00046874">
      <w:pPr>
        <w:ind w:firstLine="567"/>
        <w:rPr>
          <w:rFonts w:eastAsiaTheme="minorEastAsia"/>
          <w:lang w:val="es-ES_tradnl" w:eastAsia="ja-JP"/>
        </w:rPr>
      </w:pPr>
    </w:p>
    <w:p w:rsidR="008B171B" w:rsidRPr="008B171B" w:rsidRDefault="00046874" w:rsidP="004E4F71">
      <w:pPr>
        <w:ind w:firstLine="567"/>
        <w:rPr>
          <w:rFonts w:eastAsiaTheme="minorEastAsia"/>
          <w:lang w:val="es-ES_tradnl" w:eastAsia="ja-JP"/>
        </w:rPr>
      </w:pPr>
      <w:r w:rsidRPr="004E4F71">
        <w:rPr>
          <w:rFonts w:eastAsiaTheme="minorEastAsia"/>
          <w:lang w:val="es-ES_tradnl" w:eastAsia="ja-JP"/>
        </w:rPr>
        <w:t>c)</w:t>
      </w:r>
      <w:r w:rsidRPr="004E4F71">
        <w:rPr>
          <w:rFonts w:eastAsiaTheme="minorEastAsia"/>
          <w:lang w:val="es-ES_tradnl" w:eastAsia="ja-JP"/>
        </w:rPr>
        <w:tab/>
      </w:r>
      <w:r w:rsidR="000B598D" w:rsidRPr="00E2042B">
        <w:rPr>
          <w:rFonts w:eastAsiaTheme="minorEastAsia"/>
          <w:lang w:val="es-ES_tradnl" w:eastAsia="ja-JP"/>
        </w:rPr>
        <w:t>aprobar la propuesta de que el BMT elabore listas de posibles iniciativas conjuntas con la OCDE y la ISTA relacionadas con las técnicas moleculares a fin de que las examine el TC.</w:t>
      </w:r>
    </w:p>
    <w:p w:rsidR="008B171B" w:rsidRPr="008B171B" w:rsidRDefault="008B171B" w:rsidP="00046874">
      <w:pPr>
        <w:rPr>
          <w:rFonts w:eastAsiaTheme="minorEastAsia"/>
          <w:lang w:val="es-ES_tradnl" w:eastAsia="ja-JP"/>
        </w:rPr>
      </w:pPr>
    </w:p>
    <w:p w:rsidR="008B171B" w:rsidRPr="008B171B" w:rsidRDefault="00A379E4" w:rsidP="004E4F71">
      <w:pPr>
        <w:rPr>
          <w:rFonts w:eastAsiaTheme="minorEastAsia"/>
          <w:lang w:val="es-ES_tradnl" w:eastAsia="ja-JP"/>
        </w:rPr>
      </w:pPr>
      <w:r w:rsidRPr="00046874">
        <w:rPr>
          <w:rFonts w:eastAsiaTheme="minorEastAsia"/>
          <w:lang w:val="es-ES_tradnl" w:eastAsia="ja-JP"/>
        </w:rPr>
        <w:fldChar w:fldCharType="begin"/>
      </w:r>
      <w:r w:rsidR="00046874" w:rsidRPr="00046874">
        <w:rPr>
          <w:rFonts w:eastAsiaTheme="minorEastAsia"/>
          <w:lang w:val="es-ES_tradnl" w:eastAsia="ja-JP"/>
        </w:rPr>
        <w:instrText xml:space="preserve"> AUTONUM  </w:instrText>
      </w:r>
      <w:r w:rsidRPr="00046874">
        <w:rPr>
          <w:rFonts w:eastAsiaTheme="minorEastAsia"/>
          <w:lang w:val="es-ES_tradnl" w:eastAsia="ja-JP"/>
        </w:rPr>
        <w:fldChar w:fldCharType="end"/>
      </w:r>
      <w:r w:rsidR="00046874" w:rsidRPr="00046874">
        <w:rPr>
          <w:rFonts w:eastAsiaTheme="minorEastAsia"/>
          <w:lang w:val="es-ES_tradnl" w:eastAsia="ja-JP"/>
        </w:rPr>
        <w:tab/>
      </w:r>
      <w:r w:rsidR="000B598D" w:rsidRPr="00E2042B">
        <w:rPr>
          <w:rFonts w:eastAsiaTheme="minorEastAsia"/>
          <w:lang w:val="es-ES_tradnl" w:eastAsia="ja-JP"/>
        </w:rPr>
        <w:t>En su quincuagésima cuarta sesión, el TC convino en invitar a la ISTA a sumarse a las iniciativas en el momento en que lo disponga.</w:t>
      </w:r>
    </w:p>
    <w:p w:rsidR="008B171B" w:rsidRPr="008B171B" w:rsidRDefault="008B171B" w:rsidP="00046874">
      <w:pPr>
        <w:rPr>
          <w:rFonts w:eastAsiaTheme="minorEastAsia"/>
          <w:lang w:val="es-ES_tradnl" w:eastAsia="ja-JP"/>
        </w:rPr>
      </w:pPr>
    </w:p>
    <w:p w:rsidR="008B171B" w:rsidRPr="008B171B" w:rsidRDefault="00A379E4" w:rsidP="004E4F71">
      <w:pPr>
        <w:rPr>
          <w:rFonts w:eastAsiaTheme="minorEastAsia"/>
          <w:lang w:val="es-ES_tradnl"/>
        </w:rPr>
      </w:pPr>
      <w:r w:rsidRPr="00046874">
        <w:rPr>
          <w:rFonts w:eastAsiaTheme="minorEastAsia"/>
          <w:lang w:val="es-ES_tradnl" w:eastAsia="ja-JP"/>
        </w:rPr>
        <w:fldChar w:fldCharType="begin"/>
      </w:r>
      <w:r w:rsidR="00046874" w:rsidRPr="00046874">
        <w:rPr>
          <w:rFonts w:eastAsiaTheme="minorEastAsia"/>
          <w:lang w:val="es-ES_tradnl" w:eastAsia="ja-JP"/>
        </w:rPr>
        <w:instrText xml:space="preserve"> AUTONUM  </w:instrText>
      </w:r>
      <w:r w:rsidRPr="00046874">
        <w:rPr>
          <w:rFonts w:eastAsiaTheme="minorEastAsia"/>
          <w:lang w:val="es-ES_tradnl" w:eastAsia="ja-JP"/>
        </w:rPr>
        <w:fldChar w:fldCharType="end"/>
      </w:r>
      <w:r w:rsidR="00046874" w:rsidRPr="00046874">
        <w:rPr>
          <w:rFonts w:eastAsiaTheme="minorEastAsia"/>
          <w:lang w:val="es-ES_tradnl" w:eastAsia="ja-JP"/>
        </w:rPr>
        <w:tab/>
      </w:r>
      <w:r w:rsidR="000B598D" w:rsidRPr="00726F2F">
        <w:rPr>
          <w:rFonts w:eastAsiaTheme="minorEastAsia"/>
          <w:lang w:val="es-ES_tradnl" w:eastAsia="ja-JP"/>
        </w:rPr>
        <w:t xml:space="preserve">En los párrafos siguientes se informa de las novedades acaecidas en relación con </w:t>
      </w:r>
      <w:r w:rsidR="00E2042B" w:rsidRPr="00726F2F">
        <w:rPr>
          <w:rFonts w:eastAsiaTheme="minorEastAsia"/>
          <w:lang w:val="es-ES_tradnl" w:eastAsia="ja-JP"/>
        </w:rPr>
        <w:t>este</w:t>
      </w:r>
      <w:r w:rsidR="000B598D" w:rsidRPr="00726F2F">
        <w:rPr>
          <w:rFonts w:eastAsiaTheme="minorEastAsia"/>
          <w:lang w:val="es-ES_tradnl" w:eastAsia="ja-JP"/>
        </w:rPr>
        <w:t xml:space="preserve"> </w:t>
      </w:r>
      <w:r w:rsidR="00E2042B" w:rsidRPr="00726F2F">
        <w:rPr>
          <w:rFonts w:eastAsiaTheme="minorEastAsia"/>
          <w:lang w:val="es-ES_tradnl" w:eastAsia="ja-JP"/>
        </w:rPr>
        <w:t>asunto</w:t>
      </w:r>
      <w:r w:rsidR="000B598D" w:rsidRPr="00726F2F">
        <w:rPr>
          <w:rFonts w:eastAsiaTheme="minorEastAsia"/>
          <w:lang w:val="es-ES_tradnl" w:eastAsia="ja-JP"/>
        </w:rPr>
        <w:t>.</w:t>
      </w:r>
    </w:p>
    <w:p w:rsidR="008B171B" w:rsidRPr="008B171B" w:rsidRDefault="008B171B" w:rsidP="00046874">
      <w:pPr>
        <w:rPr>
          <w:rFonts w:eastAsiaTheme="minorEastAsia"/>
          <w:lang w:val="es-ES_tradnl"/>
        </w:rPr>
      </w:pPr>
    </w:p>
    <w:p w:rsidR="008B171B" w:rsidRPr="008B171B" w:rsidRDefault="008B171B" w:rsidP="00046874">
      <w:pPr>
        <w:rPr>
          <w:rFonts w:eastAsiaTheme="minorEastAsia"/>
          <w:lang w:val="es-ES_tradnl"/>
        </w:rPr>
      </w:pPr>
    </w:p>
    <w:p w:rsidR="008B171B" w:rsidRPr="008B171B" w:rsidRDefault="000B598D" w:rsidP="00466A36">
      <w:pPr>
        <w:pStyle w:val="Heading2"/>
        <w:keepLines/>
        <w:rPr>
          <w:rFonts w:eastAsiaTheme="minorEastAsia"/>
          <w:lang w:val="es-ES_tradnl"/>
        </w:rPr>
      </w:pPr>
      <w:bookmarkStart w:id="11" w:name="_Toc86408609"/>
      <w:r w:rsidRPr="00726F2F">
        <w:rPr>
          <w:rFonts w:eastAsiaTheme="minorEastAsia"/>
          <w:lang w:val="es-ES_tradnl"/>
        </w:rPr>
        <w:lastRenderedPageBreak/>
        <w:t>Documento conjunto en el que se expliquen las características principales de los sistemas de la OCDE, la UPOV y la ISTA</w:t>
      </w:r>
      <w:bookmarkEnd w:id="11"/>
    </w:p>
    <w:p w:rsidR="008B171B" w:rsidRPr="008B171B" w:rsidRDefault="008B171B" w:rsidP="00466A36">
      <w:pPr>
        <w:keepNext/>
        <w:keepLines/>
        <w:rPr>
          <w:lang w:val="es-ES_tradnl"/>
        </w:rPr>
      </w:pPr>
    </w:p>
    <w:p w:rsidR="008B171B" w:rsidRPr="008B171B" w:rsidRDefault="000B598D" w:rsidP="00466A36">
      <w:pPr>
        <w:pStyle w:val="Heading3"/>
        <w:keepLines/>
        <w:rPr>
          <w:lang w:val="es-ES_tradnl"/>
        </w:rPr>
      </w:pPr>
      <w:r w:rsidRPr="00726F2F">
        <w:rPr>
          <w:lang w:val="es-ES_tradnl"/>
        </w:rPr>
        <w:t>Antecedentes</w:t>
      </w:r>
    </w:p>
    <w:p w:rsidR="008B171B" w:rsidRPr="008B171B" w:rsidRDefault="008B171B" w:rsidP="00466A36">
      <w:pPr>
        <w:keepNext/>
        <w:keepLines/>
        <w:rPr>
          <w:lang w:val="es-ES_tradnl"/>
        </w:rPr>
      </w:pPr>
    </w:p>
    <w:p w:rsidR="008B171B" w:rsidRPr="008B171B" w:rsidRDefault="00A379E4" w:rsidP="00466A36">
      <w:pPr>
        <w:keepLines/>
        <w:rPr>
          <w:rFonts w:eastAsiaTheme="minorEastAsia"/>
          <w:iCs/>
          <w:lang w:val="es-ES_tradnl"/>
        </w:rPr>
      </w:pPr>
      <w:r w:rsidRPr="00046874">
        <w:rPr>
          <w:rFonts w:eastAsiaTheme="minorEastAsia"/>
          <w:lang w:val="es-ES_tradnl"/>
        </w:rPr>
        <w:fldChar w:fldCharType="begin"/>
      </w:r>
      <w:r w:rsidR="00046874" w:rsidRPr="00046874">
        <w:rPr>
          <w:rFonts w:eastAsiaTheme="minorEastAsia"/>
          <w:lang w:val="es-ES_tradnl"/>
        </w:rPr>
        <w:instrText xml:space="preserve"> AUTONUM  </w:instrText>
      </w:r>
      <w:r w:rsidRPr="00046874">
        <w:rPr>
          <w:rFonts w:eastAsiaTheme="minorEastAsia"/>
          <w:lang w:val="es-ES_tradnl"/>
        </w:rPr>
        <w:fldChar w:fldCharType="end"/>
      </w:r>
      <w:r w:rsidR="00046874" w:rsidRPr="00046874">
        <w:rPr>
          <w:rFonts w:eastAsiaTheme="minorEastAsia"/>
          <w:lang w:val="es-ES_tradnl"/>
        </w:rPr>
        <w:tab/>
      </w:r>
      <w:r w:rsidR="00D76C98" w:rsidRPr="00726F2F">
        <w:rPr>
          <w:rFonts w:eastAsiaTheme="minorEastAsia"/>
          <w:lang w:val="es-ES_tradnl"/>
        </w:rPr>
        <w:t>En su quincuagésima quinta sesión</w:t>
      </w:r>
      <w:r w:rsidR="002E0D95" w:rsidRPr="00726F2F">
        <w:rPr>
          <w:rFonts w:eastAsiaTheme="minorEastAsia"/>
          <w:lang w:val="es-ES_tradnl"/>
        </w:rPr>
        <w:t>,</w:t>
      </w:r>
      <w:r w:rsidR="00D76C98" w:rsidRPr="00726F2F">
        <w:rPr>
          <w:rFonts w:eastAsiaTheme="minorEastAsia"/>
          <w:lang w:val="es-ES_tradnl"/>
        </w:rPr>
        <w:t xml:space="preserve"> el </w:t>
      </w:r>
      <w:r w:rsidR="004607C2" w:rsidRPr="00726F2F">
        <w:rPr>
          <w:rFonts w:eastAsiaTheme="minorEastAsia"/>
          <w:lang w:val="es-ES_tradnl"/>
        </w:rPr>
        <w:t>TC convino con el</w:t>
      </w:r>
      <w:r w:rsidR="00F26A00" w:rsidRPr="00726F2F">
        <w:rPr>
          <w:rFonts w:eastAsiaTheme="minorEastAsia"/>
          <w:lang w:val="es-ES_tradnl"/>
        </w:rPr>
        <w:t> </w:t>
      </w:r>
      <w:r w:rsidR="004607C2" w:rsidRPr="00726F2F">
        <w:rPr>
          <w:rFonts w:eastAsiaTheme="minorEastAsia"/>
          <w:lang w:val="es-ES_tradnl"/>
        </w:rPr>
        <w:t>BMT, en su decimoctava sesión, que los elementos pertinentes de la Alianza Mundial por las Semillas y la pregunta frecuente sobre la utilización de técnicas moleculares en el examen DHE constituyen una base adecuada para que la</w:t>
      </w:r>
      <w:r w:rsidR="00F26A00" w:rsidRPr="00726F2F">
        <w:rPr>
          <w:rFonts w:eastAsiaTheme="minorEastAsia"/>
          <w:lang w:val="es-ES_tradnl"/>
        </w:rPr>
        <w:t> Oficina de la </w:t>
      </w:r>
      <w:r w:rsidR="004607C2" w:rsidRPr="00726F2F">
        <w:rPr>
          <w:rFonts w:eastAsiaTheme="minorEastAsia"/>
          <w:lang w:val="es-ES_tradnl"/>
        </w:rPr>
        <w:t>Unión elabore, previa consulta con la</w:t>
      </w:r>
      <w:r w:rsidR="00224242" w:rsidRPr="00726F2F">
        <w:rPr>
          <w:rFonts w:eastAsiaTheme="minorEastAsia"/>
          <w:lang w:val="es-ES_tradnl"/>
        </w:rPr>
        <w:t> </w:t>
      </w:r>
      <w:r w:rsidR="004607C2" w:rsidRPr="00726F2F">
        <w:rPr>
          <w:rFonts w:eastAsiaTheme="minorEastAsia"/>
          <w:lang w:val="es-ES_tradnl"/>
        </w:rPr>
        <w:t>OCDE, un proyecto de documento conjunto en el que se expliquen las características principales de los sistemas de la</w:t>
      </w:r>
      <w:r w:rsidR="00224242" w:rsidRPr="00726F2F">
        <w:rPr>
          <w:rFonts w:eastAsiaTheme="minorEastAsia"/>
          <w:lang w:val="es-ES_tradnl"/>
        </w:rPr>
        <w:t> OCDE, la </w:t>
      </w:r>
      <w:r w:rsidR="004607C2" w:rsidRPr="00726F2F">
        <w:rPr>
          <w:rFonts w:eastAsiaTheme="minorEastAsia"/>
          <w:lang w:val="es-ES_tradnl"/>
        </w:rPr>
        <w:t>UPOV</w:t>
      </w:r>
      <w:r w:rsidR="00224242" w:rsidRPr="00726F2F">
        <w:rPr>
          <w:rFonts w:eastAsiaTheme="minorEastAsia"/>
          <w:lang w:val="es-ES_tradnl"/>
        </w:rPr>
        <w:t xml:space="preserve"> y la </w:t>
      </w:r>
      <w:r w:rsidR="004607C2" w:rsidRPr="00726F2F">
        <w:rPr>
          <w:rFonts w:eastAsiaTheme="minorEastAsia"/>
          <w:lang w:val="es-ES_tradnl"/>
        </w:rPr>
        <w:t>ISTA</w:t>
      </w:r>
      <w:r w:rsidR="004607C2" w:rsidRPr="00726F2F">
        <w:rPr>
          <w:lang w:val="es-ES_tradnl" w:eastAsia="ja-JP"/>
        </w:rPr>
        <w:t xml:space="preserve"> (véase el párrafo</w:t>
      </w:r>
      <w:r w:rsidR="00726F2F" w:rsidRPr="00726F2F">
        <w:rPr>
          <w:lang w:val="es-ES_tradnl" w:eastAsia="ja-JP"/>
        </w:rPr>
        <w:t> </w:t>
      </w:r>
      <w:r w:rsidR="004607C2" w:rsidRPr="00726F2F">
        <w:rPr>
          <w:lang w:val="es-ES_tradnl" w:eastAsia="ja-JP"/>
        </w:rPr>
        <w:t>182 del documento TC/55/25 “Informe”)</w:t>
      </w:r>
      <w:r w:rsidR="004607C2" w:rsidRPr="00726F2F">
        <w:rPr>
          <w:rFonts w:eastAsiaTheme="minorEastAsia"/>
          <w:lang w:val="es-ES_tradnl"/>
        </w:rPr>
        <w:t>.</w:t>
      </w:r>
    </w:p>
    <w:p w:rsidR="008B171B" w:rsidRPr="008B171B" w:rsidRDefault="008B171B" w:rsidP="00046874">
      <w:pPr>
        <w:rPr>
          <w:rFonts w:eastAsiaTheme="minorEastAsia"/>
          <w:lang w:val="es-ES_tradnl"/>
        </w:rPr>
      </w:pPr>
    </w:p>
    <w:p w:rsidR="008B171B" w:rsidRPr="008B171B" w:rsidRDefault="008A56E2" w:rsidP="004E4F71">
      <w:pPr>
        <w:pStyle w:val="Heading3"/>
        <w:rPr>
          <w:rFonts w:eastAsiaTheme="minorEastAsia"/>
          <w:lang w:val="es-ES_tradnl"/>
        </w:rPr>
      </w:pPr>
      <w:r w:rsidRPr="00726F2F">
        <w:rPr>
          <w:rFonts w:eastAsiaTheme="minorEastAsia"/>
          <w:lang w:val="es-ES_tradnl"/>
        </w:rPr>
        <w:t>Proyecto de documento conjunto</w:t>
      </w:r>
    </w:p>
    <w:p w:rsidR="008B171B" w:rsidRPr="008B171B" w:rsidRDefault="008B171B" w:rsidP="00046874">
      <w:pPr>
        <w:keepNext/>
        <w:rPr>
          <w:rFonts w:eastAsiaTheme="minorEastAsia"/>
          <w:lang w:val="es-ES_tradnl"/>
        </w:rPr>
      </w:pPr>
    </w:p>
    <w:p w:rsidR="008B171B" w:rsidRPr="008B171B" w:rsidRDefault="00A379E4" w:rsidP="004E4F71">
      <w:pPr>
        <w:keepNext/>
        <w:rPr>
          <w:rFonts w:eastAsiaTheme="minorEastAsia"/>
          <w:lang w:val="es-ES_tradnl"/>
        </w:rPr>
      </w:pPr>
      <w:r w:rsidRPr="00046874">
        <w:rPr>
          <w:rFonts w:eastAsiaTheme="minorEastAsia"/>
          <w:lang w:val="es-ES_tradnl"/>
        </w:rPr>
        <w:fldChar w:fldCharType="begin"/>
      </w:r>
      <w:r w:rsidR="00046874" w:rsidRPr="00046874">
        <w:rPr>
          <w:rFonts w:eastAsiaTheme="minorEastAsia"/>
          <w:lang w:val="es-ES_tradnl"/>
        </w:rPr>
        <w:instrText xml:space="preserve"> AUTONUM  </w:instrText>
      </w:r>
      <w:r w:rsidRPr="00046874">
        <w:rPr>
          <w:rFonts w:eastAsiaTheme="minorEastAsia"/>
          <w:lang w:val="es-ES_tradnl"/>
        </w:rPr>
        <w:fldChar w:fldCharType="end"/>
      </w:r>
      <w:r w:rsidR="00046874" w:rsidRPr="00046874">
        <w:rPr>
          <w:rFonts w:eastAsiaTheme="minorEastAsia"/>
          <w:lang w:val="es-ES_tradnl"/>
        </w:rPr>
        <w:tab/>
      </w:r>
      <w:r w:rsidR="00C0525A" w:rsidRPr="00726F2F">
        <w:rPr>
          <w:lang w:val="es-ES_tradnl"/>
        </w:rPr>
        <w:t>En su quincuagésima sexta sesión, el</w:t>
      </w:r>
      <w:r w:rsidR="00A6049D" w:rsidRPr="00726F2F">
        <w:rPr>
          <w:lang w:val="es-ES_tradnl"/>
        </w:rPr>
        <w:t> </w:t>
      </w:r>
      <w:r w:rsidR="00C0525A" w:rsidRPr="00726F2F">
        <w:rPr>
          <w:lang w:val="es-ES_tradnl"/>
        </w:rPr>
        <w:t>TC tomó nota de las novedades relativas a un documento conjunto en el que se expliquen las características principales de los sistemas de la OCDE, la UPOV y la ISTA, con miras a proponer un proyecto del mencionado documento conjunto que se someterá al examen de este Comité en su quincuagésima séptima sesión (véanse los párrafos</w:t>
      </w:r>
      <w:r w:rsidR="00A6049D" w:rsidRPr="00726F2F">
        <w:rPr>
          <w:lang w:val="es-ES_tradnl"/>
        </w:rPr>
        <w:t> 50 y </w:t>
      </w:r>
      <w:r w:rsidR="00C0525A" w:rsidRPr="00726F2F">
        <w:rPr>
          <w:lang w:val="es-ES_tradnl"/>
        </w:rPr>
        <w:t>51 del documento TC/56/23 “Informe”).</w:t>
      </w:r>
    </w:p>
    <w:p w:rsidR="008B171B" w:rsidRPr="008B171B" w:rsidRDefault="008B171B" w:rsidP="00046874">
      <w:pPr>
        <w:rPr>
          <w:rFonts w:eastAsiaTheme="minorEastAsia"/>
          <w:lang w:val="es-ES_tradnl"/>
        </w:rPr>
      </w:pPr>
    </w:p>
    <w:p w:rsidR="008B171B" w:rsidRPr="008B171B" w:rsidRDefault="00A379E4" w:rsidP="004E4F71">
      <w:pPr>
        <w:rPr>
          <w:rFonts w:eastAsiaTheme="minorEastAsia"/>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A6049D" w:rsidRPr="00563255">
        <w:rPr>
          <w:lang w:val="es-ES_tradnl"/>
        </w:rPr>
        <w:t>El TC tomó nota de que en el documento conjunto se ofrecería información sobre la situación de las técnicas moleculares a los fines de cada organización.</w:t>
      </w:r>
      <w:r w:rsidR="00046874" w:rsidRPr="00046874">
        <w:rPr>
          <w:lang w:val="es-ES_tradnl"/>
        </w:rPr>
        <w:t xml:space="preserve"> </w:t>
      </w:r>
      <w:r w:rsidR="00A6049D" w:rsidRPr="00563255">
        <w:rPr>
          <w:rFonts w:eastAsiaTheme="minorEastAsia"/>
          <w:lang w:val="es-ES_tradnl"/>
        </w:rPr>
        <w:t>En el Anexo I del presente documento se recogen los elementos del proyecto de documento conjunto.</w:t>
      </w:r>
    </w:p>
    <w:p w:rsidR="008B171B" w:rsidRPr="008B171B" w:rsidRDefault="008B171B" w:rsidP="00046874">
      <w:pPr>
        <w:rPr>
          <w:rFonts w:eastAsiaTheme="minorEastAsia"/>
          <w:lang w:val="es-ES_tradnl"/>
        </w:rPr>
      </w:pPr>
    </w:p>
    <w:p w:rsidR="008B171B" w:rsidRPr="008B171B" w:rsidRDefault="00A379E4" w:rsidP="004E4F71">
      <w:pPr>
        <w:keepNext/>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563255" w:rsidRPr="0085131C">
        <w:rPr>
          <w:lang w:val="es-ES_tradnl"/>
        </w:rPr>
        <w:t xml:space="preserve">Un proyecto de documento conjunto en el que se expliquen las características principales de los sistemas de la OCDE, la UPOV y la ISTA se someterá a la aprobación del TC en su </w:t>
      </w:r>
      <w:r w:rsidR="00967E38" w:rsidRPr="0085131C">
        <w:rPr>
          <w:lang w:val="es-ES_tradnl"/>
        </w:rPr>
        <w:t>quincuagésima séptima sesión.</w:t>
      </w:r>
      <w:r w:rsidR="00A6049D">
        <w:rPr>
          <w:lang w:val="es-ES_tradnl"/>
        </w:rPr>
        <w:t xml:space="preserve"> </w:t>
      </w:r>
      <w:r w:rsidR="00967E38" w:rsidRPr="0085131C">
        <w:rPr>
          <w:lang w:val="es-ES_tradnl"/>
        </w:rPr>
        <w:t>Si el TC aprueba el proyecto de documento conjunto, se invitará al TC a pedir a la Oficina de la Unión que informe a la OCDE y a la ISTA al respecto.</w:t>
      </w:r>
    </w:p>
    <w:p w:rsidR="008B171B" w:rsidRPr="008B171B" w:rsidRDefault="008B171B" w:rsidP="00046874">
      <w:pPr>
        <w:rPr>
          <w:rFonts w:eastAsiaTheme="minorEastAsia"/>
          <w:lang w:val="es-ES_tradnl"/>
        </w:rPr>
      </w:pPr>
    </w:p>
    <w:p w:rsidR="008B171B" w:rsidRPr="008B171B" w:rsidRDefault="008B171B" w:rsidP="00046874">
      <w:pPr>
        <w:rPr>
          <w:rFonts w:eastAsiaTheme="minorEastAsia"/>
          <w:lang w:val="es-ES_tradnl"/>
        </w:rPr>
      </w:pPr>
    </w:p>
    <w:p w:rsidR="008B171B" w:rsidRPr="008B171B" w:rsidRDefault="00967E38" w:rsidP="004E4F71">
      <w:pPr>
        <w:pStyle w:val="Heading2"/>
        <w:rPr>
          <w:rFonts w:eastAsiaTheme="minorEastAsia"/>
          <w:lang w:val="es-ES_tradnl"/>
        </w:rPr>
      </w:pPr>
      <w:bookmarkStart w:id="12" w:name="_Toc86408610"/>
      <w:r w:rsidRPr="0085131C">
        <w:rPr>
          <w:rFonts w:eastAsiaTheme="minorEastAsia"/>
          <w:lang w:val="es-ES_tradnl"/>
        </w:rPr>
        <w:t>Inventario sobre la utilización de técnicas basadas en marcadores moleculares, por cultivos</w:t>
      </w:r>
      <w:bookmarkEnd w:id="12"/>
    </w:p>
    <w:p w:rsidR="008B171B" w:rsidRPr="008B171B" w:rsidRDefault="008B171B" w:rsidP="00046874">
      <w:pPr>
        <w:rPr>
          <w:rFonts w:eastAsiaTheme="minorEastAsia"/>
          <w:lang w:val="es-ES_tradnl"/>
        </w:rPr>
      </w:pPr>
      <w:bookmarkStart w:id="13" w:name="_Toc15295342"/>
      <w:bookmarkStart w:id="14" w:name="_Toc22564625"/>
      <w:bookmarkStart w:id="15" w:name="_Toc27663379"/>
    </w:p>
    <w:p w:rsidR="008B171B" w:rsidRPr="008B171B" w:rsidRDefault="00967E38" w:rsidP="004E4F71">
      <w:pPr>
        <w:pStyle w:val="Heading3"/>
        <w:rPr>
          <w:lang w:val="es-ES_tradnl"/>
        </w:rPr>
      </w:pPr>
      <w:r w:rsidRPr="0085131C">
        <w:rPr>
          <w:lang w:val="es-ES_tradnl"/>
        </w:rPr>
        <w:t>Antecedentes</w:t>
      </w:r>
    </w:p>
    <w:p w:rsidR="008B171B" w:rsidRPr="008B171B" w:rsidRDefault="008B171B" w:rsidP="00046874">
      <w:pPr>
        <w:rPr>
          <w:lang w:val="es-ES_tradnl"/>
        </w:rPr>
      </w:pPr>
    </w:p>
    <w:p w:rsidR="008B171B" w:rsidRPr="008B171B" w:rsidRDefault="00A379E4" w:rsidP="004E4F71">
      <w:pPr>
        <w:keepLines/>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7A23" w:rsidRPr="00070FF6">
        <w:rPr>
          <w:lang w:val="es-ES_tradnl"/>
        </w:rPr>
        <w:t>El</w:t>
      </w:r>
      <w:r w:rsidR="00D767CB" w:rsidRPr="00070FF6">
        <w:rPr>
          <w:lang w:val="es-ES_tradnl"/>
        </w:rPr>
        <w:t> </w:t>
      </w:r>
      <w:r w:rsidR="00367A23" w:rsidRPr="00070FF6">
        <w:rPr>
          <w:lang w:val="es-ES_tradnl"/>
        </w:rPr>
        <w:t xml:space="preserve">TC convino en que se </w:t>
      </w:r>
      <w:r w:rsidR="00D767CB" w:rsidRPr="00070FF6">
        <w:rPr>
          <w:lang w:val="es-ES_tradnl"/>
        </w:rPr>
        <w:t>envíe</w:t>
      </w:r>
      <w:r w:rsidR="00367A23" w:rsidRPr="00070FF6">
        <w:rPr>
          <w:lang w:val="es-ES_tradnl"/>
        </w:rPr>
        <w:t xml:space="preserve"> una circular para solicitar a los miembros de la Unión que respondan una encuesta como punto de partida de la elaboración de un inventario sobre la utilización de técnicas basadas en marcadores moleculares, por cultivos, en coordinación con la OCDE.</w:t>
      </w:r>
    </w:p>
    <w:p w:rsidR="008B171B" w:rsidRPr="008B171B" w:rsidRDefault="008B171B" w:rsidP="00046874">
      <w:pPr>
        <w:keepLines/>
        <w:rPr>
          <w:lang w:val="es-ES_tradnl"/>
        </w:rPr>
      </w:pPr>
    </w:p>
    <w:p w:rsidR="008B171B" w:rsidRPr="008B171B" w:rsidRDefault="00D767CB" w:rsidP="004E4F71">
      <w:pPr>
        <w:pStyle w:val="Heading3"/>
        <w:rPr>
          <w:lang w:val="es-ES_tradnl"/>
        </w:rPr>
      </w:pPr>
      <w:r w:rsidRPr="00070FF6">
        <w:rPr>
          <w:lang w:val="es-ES_tradnl"/>
        </w:rPr>
        <w:t>Resultados de la encuesta</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FC17C7" w:rsidRPr="00070FF6">
        <w:rPr>
          <w:lang w:val="es-ES_tradnl"/>
        </w:rPr>
        <w:t>La </w:t>
      </w:r>
      <w:r w:rsidR="00D767CB" w:rsidRPr="00070FF6">
        <w:rPr>
          <w:lang w:val="es-ES_tradnl"/>
        </w:rPr>
        <w:t>Oficina de la </w:t>
      </w:r>
      <w:r w:rsidR="00F615CC" w:rsidRPr="00070FF6">
        <w:rPr>
          <w:lang w:val="es-ES_tradnl"/>
        </w:rPr>
        <w:t xml:space="preserve">UPOV </w:t>
      </w:r>
      <w:r w:rsidR="00D767CB" w:rsidRPr="00070FF6">
        <w:rPr>
          <w:lang w:val="es-ES_tradnl"/>
        </w:rPr>
        <w:t>consultó a los Sistemas de Semillas de la OCDE acerca de la organización de la encuesta y de los pasos que pueden darse a continuación.</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D767CB" w:rsidRPr="00070FF6">
        <w:rPr>
          <w:lang w:val="es-ES_tradnl"/>
        </w:rPr>
        <w:t>Tras la consulta a la OCDE, la Oficina de la </w:t>
      </w:r>
      <w:r w:rsidR="00F615CC" w:rsidRPr="00070FF6">
        <w:rPr>
          <w:lang w:val="es-ES_tradnl"/>
        </w:rPr>
        <w:t xml:space="preserve">UPOV </w:t>
      </w:r>
      <w:r w:rsidR="00D767CB" w:rsidRPr="00070FF6">
        <w:rPr>
          <w:lang w:val="es-ES_tradnl"/>
        </w:rPr>
        <w:t xml:space="preserve">envió la circular E-20/189 el 16 de octubre de 2020, </w:t>
      </w:r>
      <w:r w:rsidR="00070FF6" w:rsidRPr="00070FF6">
        <w:rPr>
          <w:lang w:val="es-ES_tradnl"/>
        </w:rPr>
        <w:t xml:space="preserve">en la que se invitaba </w:t>
      </w:r>
      <w:r w:rsidR="00D767CB" w:rsidRPr="00070FF6">
        <w:rPr>
          <w:lang w:val="es-ES_tradnl"/>
        </w:rPr>
        <w:t xml:space="preserve">a los </w:t>
      </w:r>
      <w:r w:rsidR="00FC17C7" w:rsidRPr="00070FF6">
        <w:rPr>
          <w:lang w:val="es-ES_tradnl"/>
        </w:rPr>
        <w:t xml:space="preserve">miembros de la Unión </w:t>
      </w:r>
      <w:r w:rsidR="00D767CB" w:rsidRPr="00070FF6">
        <w:rPr>
          <w:lang w:val="es-ES_tradnl"/>
        </w:rPr>
        <w:t>a responder a una encuesta sobre el uso de técnicas basadas en marcadores moleculares, antes del</w:t>
      </w:r>
      <w:r w:rsidR="00F615CC" w:rsidRPr="00070FF6">
        <w:rPr>
          <w:lang w:val="es-ES_tradnl"/>
        </w:rPr>
        <w:t> 15 de diciembre de </w:t>
      </w:r>
      <w:r w:rsidR="00D767CB" w:rsidRPr="00070FF6">
        <w:rPr>
          <w:lang w:val="es-ES_tradnl"/>
        </w:rPr>
        <w:t>2020.</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F615CC" w:rsidRPr="00070FF6">
        <w:rPr>
          <w:lang w:val="es-ES_tradnl"/>
        </w:rPr>
        <w:t>En respuesta a la circular E-20/189, los siguientes 23 miembros de la Unión remitieron información sobre la utilización de técnicas basadas en marcadores moleculares:</w:t>
      </w:r>
    </w:p>
    <w:p w:rsidR="00046874" w:rsidRPr="00046874" w:rsidRDefault="00046874" w:rsidP="00046874">
      <w:pPr>
        <w:rPr>
          <w:lang w:val="es-ES_tradnl"/>
        </w:rPr>
      </w:pPr>
    </w:p>
    <w:tbl>
      <w:tblPr>
        <w:tblStyle w:val="TableGrid"/>
        <w:tblW w:w="9629" w:type="dxa"/>
        <w:tblLook w:val="04A0" w:firstRow="1" w:lastRow="0" w:firstColumn="1" w:lastColumn="0" w:noHBand="0" w:noVBand="1"/>
      </w:tblPr>
      <w:tblGrid>
        <w:gridCol w:w="4814"/>
        <w:gridCol w:w="4815"/>
      </w:tblGrid>
      <w:tr w:rsidR="00F615CC" w:rsidRPr="00F615CC" w:rsidTr="00EA2DD2">
        <w:tc>
          <w:tcPr>
            <w:tcW w:w="4814" w:type="dxa"/>
          </w:tcPr>
          <w:p w:rsidR="00F615CC" w:rsidRPr="00F615CC" w:rsidRDefault="00F615CC" w:rsidP="00EA2DD2">
            <w:pPr>
              <w:rPr>
                <w:dstrike/>
                <w:sz w:val="20"/>
                <w:szCs w:val="20"/>
              </w:rPr>
            </w:pPr>
            <w:r w:rsidRPr="004E4F71">
              <w:rPr>
                <w:sz w:val="20"/>
                <w:szCs w:val="20"/>
              </w:rPr>
              <w:t>Alemania</w:t>
            </w:r>
          </w:p>
        </w:tc>
        <w:tc>
          <w:tcPr>
            <w:tcW w:w="4815" w:type="dxa"/>
          </w:tcPr>
          <w:p w:rsidR="00F615CC" w:rsidRPr="004E4F71" w:rsidRDefault="00F615CC" w:rsidP="00EA2DD2">
            <w:pPr>
              <w:rPr>
                <w:sz w:val="20"/>
                <w:szCs w:val="20"/>
              </w:rPr>
            </w:pPr>
            <w:r w:rsidRPr="004E4F71">
              <w:rPr>
                <w:sz w:val="20"/>
                <w:szCs w:val="20"/>
              </w:rPr>
              <w:t xml:space="preserve">Jordania </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Australia</w:t>
            </w:r>
          </w:p>
        </w:tc>
        <w:tc>
          <w:tcPr>
            <w:tcW w:w="4815" w:type="dxa"/>
          </w:tcPr>
          <w:p w:rsidR="00F615CC" w:rsidRPr="004E4F71" w:rsidRDefault="00F615CC" w:rsidP="00EA2DD2">
            <w:pPr>
              <w:rPr>
                <w:sz w:val="20"/>
                <w:szCs w:val="20"/>
              </w:rPr>
            </w:pPr>
            <w:r w:rsidRPr="004E4F71">
              <w:rPr>
                <w:sz w:val="20"/>
                <w:szCs w:val="20"/>
              </w:rPr>
              <w:t xml:space="preserve">Lituania </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Bélgica</w:t>
            </w:r>
          </w:p>
        </w:tc>
        <w:tc>
          <w:tcPr>
            <w:tcW w:w="4815" w:type="dxa"/>
          </w:tcPr>
          <w:p w:rsidR="00F615CC" w:rsidRPr="004E4F71" w:rsidRDefault="00F615CC" w:rsidP="00EA2DD2">
            <w:pPr>
              <w:rPr>
                <w:sz w:val="20"/>
                <w:szCs w:val="20"/>
              </w:rPr>
            </w:pPr>
            <w:r w:rsidRPr="004E4F71">
              <w:rPr>
                <w:sz w:val="20"/>
                <w:szCs w:val="20"/>
              </w:rPr>
              <w:t xml:space="preserve">México </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 xml:space="preserve">Brasil </w:t>
            </w:r>
          </w:p>
        </w:tc>
        <w:tc>
          <w:tcPr>
            <w:tcW w:w="4815" w:type="dxa"/>
          </w:tcPr>
          <w:p w:rsidR="00F615CC" w:rsidRPr="004E4F71" w:rsidRDefault="00F615CC" w:rsidP="00EA2DD2">
            <w:pPr>
              <w:rPr>
                <w:sz w:val="20"/>
                <w:szCs w:val="20"/>
              </w:rPr>
            </w:pPr>
            <w:r w:rsidRPr="004E4F71">
              <w:rPr>
                <w:sz w:val="20"/>
                <w:szCs w:val="20"/>
              </w:rPr>
              <w:t xml:space="preserve">Noruega </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China</w:t>
            </w:r>
          </w:p>
        </w:tc>
        <w:tc>
          <w:tcPr>
            <w:tcW w:w="4815" w:type="dxa"/>
          </w:tcPr>
          <w:p w:rsidR="00F615CC" w:rsidRPr="004E4F71" w:rsidRDefault="00F615CC" w:rsidP="00EA2DD2">
            <w:pPr>
              <w:rPr>
                <w:sz w:val="20"/>
                <w:szCs w:val="20"/>
              </w:rPr>
            </w:pPr>
            <w:r w:rsidRPr="004E4F71">
              <w:rPr>
                <w:sz w:val="20"/>
                <w:szCs w:val="20"/>
              </w:rPr>
              <w:t>Países Bajos</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Eslovaquia</w:t>
            </w:r>
          </w:p>
        </w:tc>
        <w:tc>
          <w:tcPr>
            <w:tcW w:w="4815" w:type="dxa"/>
          </w:tcPr>
          <w:p w:rsidR="00F615CC" w:rsidRPr="004E4F71" w:rsidRDefault="00F615CC" w:rsidP="00EA2DD2">
            <w:pPr>
              <w:rPr>
                <w:sz w:val="20"/>
                <w:szCs w:val="20"/>
              </w:rPr>
            </w:pPr>
            <w:r w:rsidRPr="004E4F71">
              <w:rPr>
                <w:sz w:val="20"/>
                <w:szCs w:val="20"/>
              </w:rPr>
              <w:t xml:space="preserve">Panamá </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 xml:space="preserve">España </w:t>
            </w:r>
          </w:p>
        </w:tc>
        <w:tc>
          <w:tcPr>
            <w:tcW w:w="4815" w:type="dxa"/>
          </w:tcPr>
          <w:p w:rsidR="00F615CC" w:rsidRPr="004E4F71" w:rsidRDefault="00F615CC" w:rsidP="00EA2DD2">
            <w:pPr>
              <w:rPr>
                <w:sz w:val="20"/>
                <w:szCs w:val="20"/>
              </w:rPr>
            </w:pPr>
            <w:r w:rsidRPr="004E4F71">
              <w:rPr>
                <w:sz w:val="20"/>
                <w:szCs w:val="20"/>
              </w:rPr>
              <w:t>Reino Unido</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 xml:space="preserve">Estados Unidos de América </w:t>
            </w:r>
          </w:p>
        </w:tc>
        <w:tc>
          <w:tcPr>
            <w:tcW w:w="4815" w:type="dxa"/>
          </w:tcPr>
          <w:p w:rsidR="00F615CC" w:rsidRPr="004E4F71" w:rsidRDefault="00F615CC" w:rsidP="00EA2DD2">
            <w:pPr>
              <w:rPr>
                <w:sz w:val="20"/>
                <w:szCs w:val="20"/>
              </w:rPr>
            </w:pPr>
            <w:r w:rsidRPr="004E4F71">
              <w:rPr>
                <w:sz w:val="20"/>
                <w:szCs w:val="20"/>
              </w:rPr>
              <w:t xml:space="preserve">República Checa </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Estonia</w:t>
            </w:r>
          </w:p>
        </w:tc>
        <w:tc>
          <w:tcPr>
            <w:tcW w:w="4815" w:type="dxa"/>
          </w:tcPr>
          <w:p w:rsidR="00F615CC" w:rsidRPr="004E4F71" w:rsidRDefault="00F615CC" w:rsidP="00EA2DD2">
            <w:pPr>
              <w:rPr>
                <w:sz w:val="20"/>
                <w:szCs w:val="20"/>
              </w:rPr>
            </w:pPr>
            <w:r w:rsidRPr="004E4F71">
              <w:rPr>
                <w:sz w:val="20"/>
                <w:szCs w:val="20"/>
              </w:rPr>
              <w:t xml:space="preserve">Rumania </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Francia</w:t>
            </w:r>
          </w:p>
        </w:tc>
        <w:tc>
          <w:tcPr>
            <w:tcW w:w="4815" w:type="dxa"/>
          </w:tcPr>
          <w:p w:rsidR="00F615CC" w:rsidRPr="004E4F71" w:rsidRDefault="00F615CC" w:rsidP="00EA2DD2">
            <w:pPr>
              <w:rPr>
                <w:sz w:val="20"/>
                <w:szCs w:val="20"/>
              </w:rPr>
            </w:pPr>
            <w:r w:rsidRPr="004E4F71">
              <w:rPr>
                <w:sz w:val="20"/>
                <w:szCs w:val="20"/>
              </w:rPr>
              <w:t>Ucrania</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 xml:space="preserve">Israel </w:t>
            </w:r>
          </w:p>
        </w:tc>
        <w:tc>
          <w:tcPr>
            <w:tcW w:w="4815" w:type="dxa"/>
          </w:tcPr>
          <w:p w:rsidR="00F615CC" w:rsidRPr="004E4F71" w:rsidRDefault="00F615CC" w:rsidP="00EA2DD2">
            <w:pPr>
              <w:rPr>
                <w:sz w:val="20"/>
                <w:szCs w:val="20"/>
              </w:rPr>
            </w:pPr>
            <w:r w:rsidRPr="004E4F71">
              <w:rPr>
                <w:sz w:val="20"/>
                <w:szCs w:val="20"/>
              </w:rPr>
              <w:t>Unión Europea</w:t>
            </w:r>
          </w:p>
        </w:tc>
      </w:tr>
      <w:tr w:rsidR="00F615CC" w:rsidRPr="00F615CC" w:rsidTr="00EA2DD2">
        <w:tc>
          <w:tcPr>
            <w:tcW w:w="4814" w:type="dxa"/>
          </w:tcPr>
          <w:p w:rsidR="00F615CC" w:rsidRPr="00F615CC" w:rsidRDefault="00F615CC" w:rsidP="00EA2DD2">
            <w:pPr>
              <w:rPr>
                <w:dstrike/>
                <w:sz w:val="20"/>
                <w:szCs w:val="20"/>
              </w:rPr>
            </w:pPr>
            <w:r w:rsidRPr="004E4F71">
              <w:rPr>
                <w:sz w:val="20"/>
                <w:szCs w:val="20"/>
              </w:rPr>
              <w:t xml:space="preserve">Japón </w:t>
            </w:r>
          </w:p>
        </w:tc>
        <w:tc>
          <w:tcPr>
            <w:tcW w:w="4815" w:type="dxa"/>
          </w:tcPr>
          <w:p w:rsidR="00F615CC" w:rsidRPr="004E4F71" w:rsidRDefault="00F615CC" w:rsidP="00EA2DD2">
            <w:pPr>
              <w:rPr>
                <w:sz w:val="20"/>
                <w:szCs w:val="20"/>
              </w:rPr>
            </w:pPr>
          </w:p>
        </w:tc>
      </w:tr>
    </w:tbl>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lastRenderedPageBreak/>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F615CC" w:rsidRPr="00070FF6">
        <w:rPr>
          <w:lang w:val="es-ES_tradnl"/>
        </w:rPr>
        <w:t>Los resultados de la encuesta se recogen en el Anexo I del documento TC/57/8 y se reproducen en el Anexo II del presente documento.</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1B649D" w:rsidRPr="00EC288B">
        <w:rPr>
          <w:lang w:val="es-ES_tradnl"/>
        </w:rPr>
        <w:t xml:space="preserve">En su quincuagésima séptima sesión, que se celebrará en 2021, se invitará al TC a solicitar a la Oficina de la Unión que comunique a la OCDE los resultados de la encuesta </w:t>
      </w:r>
      <w:r w:rsidR="00BA6956" w:rsidRPr="00EC288B">
        <w:rPr>
          <w:lang w:val="es-ES_tradnl"/>
        </w:rPr>
        <w:t>e</w:t>
      </w:r>
      <w:r w:rsidR="00EA2DD2" w:rsidRPr="00EC288B">
        <w:rPr>
          <w:lang w:val="es-ES_tradnl"/>
        </w:rPr>
        <w:t xml:space="preserve"> informe al TC,</w:t>
      </w:r>
      <w:r w:rsidR="001B649D" w:rsidRPr="00EC288B">
        <w:rPr>
          <w:lang w:val="es-ES_tradnl"/>
        </w:rPr>
        <w:t xml:space="preserve"> </w:t>
      </w:r>
      <w:r w:rsidR="00EA2DD2" w:rsidRPr="00EC288B">
        <w:rPr>
          <w:lang w:val="es-ES_tradnl"/>
        </w:rPr>
        <w:t>en su quincuagésima octava sesión</w:t>
      </w:r>
      <w:r w:rsidR="00BA6956" w:rsidRPr="00EC288B">
        <w:rPr>
          <w:lang w:val="es-ES_tradnl"/>
        </w:rPr>
        <w:t>,</w:t>
      </w:r>
      <w:r w:rsidR="00EA2DD2" w:rsidRPr="00EC288B">
        <w:rPr>
          <w:lang w:val="es-ES_tradnl"/>
        </w:rPr>
        <w:t xml:space="preserve"> </w:t>
      </w:r>
      <w:r w:rsidR="001B649D" w:rsidRPr="00EC288B">
        <w:rPr>
          <w:lang w:val="es-ES_tradnl"/>
        </w:rPr>
        <w:t>de las novedades que se produzcan.</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BA6956" w:rsidRPr="00183AFB">
        <w:rPr>
          <w:lang w:val="es-ES_tradnl"/>
        </w:rPr>
        <w:t>Se invitará al TC a tomar nota de los comentarios recibidos sobre el documento TC/57/8 “Técnicas moleculares” en respuesta a la circular E-21/122, de</w:t>
      </w:r>
      <w:r w:rsidR="00EC288B" w:rsidRPr="00183AFB">
        <w:rPr>
          <w:lang w:val="es-ES_tradnl"/>
        </w:rPr>
        <w:t> </w:t>
      </w:r>
      <w:r w:rsidR="00BA6956" w:rsidRPr="00183AFB">
        <w:rPr>
          <w:lang w:val="es-ES_tradnl"/>
        </w:rPr>
        <w:t>23 de agosto de 2021, que no han dado lugar a una revisión de</w:t>
      </w:r>
      <w:r w:rsidR="0030754C" w:rsidRPr="00183AFB">
        <w:rPr>
          <w:lang w:val="es-ES_tradnl"/>
        </w:rPr>
        <w:t>l</w:t>
      </w:r>
      <w:r w:rsidR="00BA6956" w:rsidRPr="00183AFB">
        <w:rPr>
          <w:lang w:val="es-ES_tradnl"/>
        </w:rPr>
        <w:t xml:space="preserve"> </w:t>
      </w:r>
      <w:r w:rsidR="0030754C" w:rsidRPr="00183AFB">
        <w:rPr>
          <w:lang w:val="es-ES_tradnl"/>
        </w:rPr>
        <w:t>documento</w:t>
      </w:r>
      <w:r w:rsidR="00BA6956" w:rsidRPr="00183AFB">
        <w:rPr>
          <w:lang w:val="es-ES_tradnl"/>
        </w:rPr>
        <w:t xml:space="preserve"> (véase el párrafo 25 del documento TC/57/14 “Resultado del examen de los documentos por correspondencia”).</w:t>
      </w:r>
    </w:p>
    <w:p w:rsidR="008B171B" w:rsidRPr="008B171B" w:rsidRDefault="008B171B" w:rsidP="00046874">
      <w:pPr>
        <w:rPr>
          <w:lang w:val="es-ES_tradnl"/>
        </w:rPr>
      </w:pPr>
    </w:p>
    <w:p w:rsidR="008B171B" w:rsidRPr="008B171B" w:rsidRDefault="0030754C" w:rsidP="004E4F71">
      <w:pPr>
        <w:pStyle w:val="Heading2"/>
        <w:rPr>
          <w:rFonts w:eastAsiaTheme="minorEastAsia"/>
          <w:lang w:val="es-ES_tradnl"/>
        </w:rPr>
      </w:pPr>
      <w:bookmarkStart w:id="16" w:name="_Toc86408611"/>
      <w:r w:rsidRPr="00183AFB">
        <w:rPr>
          <w:rFonts w:eastAsiaTheme="minorEastAsia"/>
          <w:lang w:val="es-ES_tradnl"/>
        </w:rPr>
        <w:t>Listas de posibles iniciativas conjuntas con la OCDE y la ISTA relacionadas con las técnicas moleculares</w:t>
      </w:r>
      <w:bookmarkEnd w:id="16"/>
    </w:p>
    <w:p w:rsidR="008B171B" w:rsidRPr="008B171B" w:rsidRDefault="008B171B" w:rsidP="00046874">
      <w:pPr>
        <w:keepNext/>
        <w:rPr>
          <w:lang w:val="es-ES_tradnl"/>
        </w:rPr>
      </w:pPr>
    </w:p>
    <w:p w:rsidR="008B171B" w:rsidRPr="008B171B" w:rsidRDefault="0030754C" w:rsidP="004E4F71">
      <w:pPr>
        <w:pStyle w:val="Heading3"/>
        <w:rPr>
          <w:lang w:val="es-ES_tradnl"/>
        </w:rPr>
      </w:pPr>
      <w:r w:rsidRPr="00183AFB">
        <w:rPr>
          <w:lang w:val="es-ES_tradnl"/>
        </w:rPr>
        <w:t>Antecedentes</w:t>
      </w:r>
    </w:p>
    <w:p w:rsidR="008B171B" w:rsidRPr="008B171B" w:rsidRDefault="008B171B" w:rsidP="00046874">
      <w:pPr>
        <w:keepNext/>
        <w:rPr>
          <w:lang w:val="es-ES_tradnl"/>
        </w:rPr>
      </w:pPr>
    </w:p>
    <w:p w:rsidR="008B171B" w:rsidRPr="00466A36" w:rsidRDefault="00A379E4" w:rsidP="004E4F71">
      <w:pPr>
        <w:keepNext/>
        <w:rPr>
          <w:spacing w:val="-2"/>
          <w:lang w:val="es-ES_tradnl"/>
        </w:rPr>
      </w:pPr>
      <w:r w:rsidRPr="00466A36">
        <w:rPr>
          <w:spacing w:val="-2"/>
          <w:lang w:val="es-ES_tradnl"/>
        </w:rPr>
        <w:fldChar w:fldCharType="begin"/>
      </w:r>
      <w:r w:rsidR="00046874" w:rsidRPr="00466A36">
        <w:rPr>
          <w:spacing w:val="-2"/>
          <w:lang w:val="es-ES_tradnl"/>
        </w:rPr>
        <w:instrText xml:space="preserve"> AUTONUM  </w:instrText>
      </w:r>
      <w:r w:rsidRPr="00466A36">
        <w:rPr>
          <w:spacing w:val="-2"/>
          <w:lang w:val="es-ES_tradnl"/>
        </w:rPr>
        <w:fldChar w:fldCharType="end"/>
      </w:r>
      <w:r w:rsidR="00046874" w:rsidRPr="00466A36">
        <w:rPr>
          <w:spacing w:val="-2"/>
          <w:lang w:val="es-ES_tradnl"/>
        </w:rPr>
        <w:tab/>
      </w:r>
      <w:r w:rsidR="0030754C" w:rsidRPr="00466A36">
        <w:rPr>
          <w:rFonts w:eastAsiaTheme="minorEastAsia"/>
          <w:spacing w:val="-2"/>
          <w:lang w:val="es-ES_tradnl"/>
        </w:rPr>
        <w:t>En su decimoctava sesión,</w:t>
      </w:r>
      <w:r w:rsidR="0030754C" w:rsidRPr="00466A36">
        <w:rPr>
          <w:rStyle w:val="FootnoteReference"/>
          <w:rFonts w:eastAsiaTheme="minorEastAsia"/>
          <w:spacing w:val="-2"/>
          <w:lang w:val="es-ES_tradnl"/>
        </w:rPr>
        <w:footnoteReference w:id="3"/>
      </w:r>
      <w:r w:rsidR="0030754C" w:rsidRPr="00466A36">
        <w:rPr>
          <w:rFonts w:eastAsiaTheme="minorEastAsia"/>
          <w:spacing w:val="-2"/>
          <w:lang w:val="es-ES_tradnl"/>
        </w:rPr>
        <w:t xml:space="preserve"> el</w:t>
      </w:r>
      <w:r w:rsidR="0030754C" w:rsidRPr="00466A36">
        <w:rPr>
          <w:spacing w:val="-2"/>
          <w:lang w:val="es-ES_tradnl"/>
        </w:rPr>
        <w:t> BMT</w:t>
      </w:r>
      <w:r w:rsidR="00183AFB" w:rsidRPr="00466A36">
        <w:rPr>
          <w:spacing w:val="-2"/>
          <w:lang w:val="es-ES_tradnl"/>
        </w:rPr>
        <w:t xml:space="preserve"> </w:t>
      </w:r>
      <w:r w:rsidR="0030754C" w:rsidRPr="00466A36">
        <w:rPr>
          <w:rFonts w:eastAsiaTheme="minorEastAsia"/>
          <w:spacing w:val="-2"/>
          <w:lang w:val="es-ES_tradnl" w:eastAsia="ja-JP"/>
        </w:rPr>
        <w:t>examinó el documento BMT/18/4 “</w:t>
      </w:r>
      <w:r w:rsidR="00D37F97" w:rsidRPr="00466A36">
        <w:rPr>
          <w:rFonts w:eastAsiaTheme="minorEastAsia"/>
          <w:i/>
          <w:iCs/>
          <w:spacing w:val="-2"/>
          <w:lang w:val="es-ES" w:eastAsia="ja-JP"/>
        </w:rPr>
        <w:t xml:space="preserve">Cooperation between </w:t>
      </w:r>
      <w:r w:rsidR="00743FD7" w:rsidRPr="00466A36">
        <w:rPr>
          <w:rFonts w:eastAsiaTheme="minorEastAsia"/>
          <w:i/>
          <w:iCs/>
          <w:spacing w:val="-2"/>
          <w:lang w:val="es-ES" w:eastAsia="ja-JP"/>
        </w:rPr>
        <w:t>International Organizations</w:t>
      </w:r>
      <w:r w:rsidR="0030754C" w:rsidRPr="00466A36">
        <w:rPr>
          <w:rFonts w:eastAsiaTheme="minorEastAsia"/>
          <w:spacing w:val="-2"/>
          <w:lang w:val="es-ES_tradnl" w:eastAsia="ja-JP"/>
        </w:rPr>
        <w:t xml:space="preserve">” </w:t>
      </w:r>
      <w:r w:rsidR="00D37F97" w:rsidRPr="00466A36">
        <w:rPr>
          <w:rFonts w:eastAsiaTheme="minorEastAsia"/>
          <w:spacing w:val="-2"/>
          <w:lang w:val="es-ES_tradnl" w:eastAsia="ja-JP"/>
        </w:rPr>
        <w:t>(</w:t>
      </w:r>
      <w:r w:rsidR="00D37F97" w:rsidRPr="00466A36">
        <w:rPr>
          <w:spacing w:val="-2"/>
          <w:lang w:val="es-ES_tradnl"/>
        </w:rPr>
        <w:t>Cooperación entre las organizaciones internacionales)</w:t>
      </w:r>
      <w:r w:rsidR="00AC6938" w:rsidRPr="00466A36">
        <w:rPr>
          <w:spacing w:val="-2"/>
          <w:lang w:val="es-ES_tradnl"/>
        </w:rPr>
        <w:t>,</w:t>
      </w:r>
      <w:r w:rsidR="00D37F97" w:rsidRPr="00466A36">
        <w:rPr>
          <w:spacing w:val="-2"/>
          <w:lang w:val="es-ES_tradnl"/>
        </w:rPr>
        <w:t xml:space="preserve"> </w:t>
      </w:r>
      <w:r w:rsidR="00AC6938" w:rsidRPr="00466A36">
        <w:rPr>
          <w:rFonts w:eastAsiaTheme="minorEastAsia"/>
          <w:spacing w:val="-2"/>
          <w:lang w:val="es-ES_tradnl" w:eastAsia="ja-JP"/>
        </w:rPr>
        <w:t>así como la petición de elaborar listas de posibles iniciativas conjuntas con la OCDE y la ISTA relacionadas con las técnicas moleculares</w:t>
      </w:r>
      <w:r w:rsidR="0030754C" w:rsidRPr="00466A36">
        <w:rPr>
          <w:spacing w:val="-2"/>
          <w:lang w:val="es-ES_tradnl"/>
        </w:rPr>
        <w:t>.</w:t>
      </w:r>
      <w:r w:rsidR="00A6049D" w:rsidRPr="00466A36">
        <w:rPr>
          <w:spacing w:val="-2"/>
          <w:lang w:val="es-ES_tradnl"/>
        </w:rPr>
        <w:t xml:space="preserve"> </w:t>
      </w:r>
      <w:r w:rsidR="003F3108" w:rsidRPr="00466A36">
        <w:rPr>
          <w:spacing w:val="-2"/>
          <w:lang w:val="es-ES_tradnl"/>
        </w:rPr>
        <w:t>El BMT acordó proponer que en el futuro se repitan los talleres conjuntos con la ISTA y la OCDE.</w:t>
      </w:r>
      <w:r w:rsidR="00046874" w:rsidRPr="00466A36">
        <w:rPr>
          <w:spacing w:val="-2"/>
          <w:lang w:val="es-ES_tradnl"/>
        </w:rPr>
        <w:t xml:space="preserve"> </w:t>
      </w:r>
      <w:r w:rsidR="003F3108" w:rsidRPr="00466A36">
        <w:rPr>
          <w:spacing w:val="-2"/>
          <w:lang w:val="es-ES_tradnl"/>
        </w:rPr>
        <w:t xml:space="preserve">Acordó asimismo proponer una iniciativa conjunta a fin de que cada organización informe a las demás sobre el uso de marcadores moleculares en su labor (véase el párrafo 34 del documento BMT/18/21 </w:t>
      </w:r>
      <w:r w:rsidR="003F3108" w:rsidRPr="00466A36">
        <w:rPr>
          <w:rFonts w:eastAsia="MS Mincho" w:cs="Arial"/>
          <w:spacing w:val="-2"/>
          <w:lang w:val="es-ES_tradnl" w:eastAsia="ja-JP"/>
        </w:rPr>
        <w:t>“</w:t>
      </w:r>
      <w:r w:rsidR="003F3108" w:rsidRPr="00466A36">
        <w:rPr>
          <w:rFonts w:eastAsia="MS Mincho" w:cs="Arial"/>
          <w:i/>
          <w:spacing w:val="-2"/>
          <w:lang w:val="es-ES_tradnl" w:eastAsia="ja-JP"/>
        </w:rPr>
        <w:t>Report</w:t>
      </w:r>
      <w:r w:rsidR="003F3108" w:rsidRPr="00466A36">
        <w:rPr>
          <w:rFonts w:eastAsia="MS Mincho" w:cs="Arial"/>
          <w:spacing w:val="-2"/>
          <w:lang w:val="es-ES_tradnl" w:eastAsia="ja-JP"/>
        </w:rPr>
        <w:t>” (Informe)</w:t>
      </w:r>
      <w:r w:rsidR="003F3108" w:rsidRPr="00466A36">
        <w:rPr>
          <w:spacing w:val="-2"/>
          <w:lang w:val="es-ES_tradnl"/>
        </w:rPr>
        <w:t>).</w:t>
      </w:r>
    </w:p>
    <w:p w:rsidR="008B171B" w:rsidRPr="008B171B" w:rsidRDefault="008B171B" w:rsidP="00046874">
      <w:pPr>
        <w:pStyle w:val="Heading3"/>
        <w:rPr>
          <w:rFonts w:eastAsiaTheme="minorEastAsia"/>
          <w:i w:val="0"/>
          <w:lang w:val="es-ES_tradnl"/>
        </w:rPr>
      </w:pPr>
    </w:p>
    <w:p w:rsidR="008B171B" w:rsidRPr="008B171B" w:rsidRDefault="00A379E4" w:rsidP="004E4F71">
      <w:pPr>
        <w:keepNext/>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F5596A" w:rsidRPr="00AE4BE5">
        <w:rPr>
          <w:rFonts w:eastAsiaTheme="minorEastAsia"/>
          <w:lang w:val="es-ES_tradnl"/>
        </w:rPr>
        <w:t>En su quincuagésima quinta sesión,</w:t>
      </w:r>
      <w:r w:rsidR="00F5596A" w:rsidRPr="00AE4BE5">
        <w:rPr>
          <w:rStyle w:val="FootnoteReference"/>
          <w:rFonts w:eastAsiaTheme="minorEastAsia"/>
          <w:lang w:val="es-ES_tradnl"/>
        </w:rPr>
        <w:footnoteReference w:id="4"/>
      </w:r>
      <w:r w:rsidR="00F5596A" w:rsidRPr="00AE4BE5">
        <w:rPr>
          <w:rFonts w:eastAsiaTheme="minorEastAsia"/>
          <w:lang w:val="es-ES_tradnl"/>
        </w:rPr>
        <w:t xml:space="preserve"> </w:t>
      </w:r>
      <w:r w:rsidR="00F5596A" w:rsidRPr="00AE4BE5">
        <w:rPr>
          <w:lang w:val="es-ES_tradnl"/>
        </w:rPr>
        <w:t>el TC</w:t>
      </w:r>
      <w:r w:rsidR="00F5596A" w:rsidRPr="00AE4BE5">
        <w:rPr>
          <w:rFonts w:eastAsiaTheme="minorEastAsia"/>
          <w:lang w:val="es-ES_tradnl"/>
        </w:rPr>
        <w:t xml:space="preserve"> </w:t>
      </w:r>
      <w:r w:rsidR="00F5596A" w:rsidRPr="00AE4BE5">
        <w:rPr>
          <w:lang w:val="es-ES_tradnl"/>
        </w:rPr>
        <w:t>examinó posibles iniciativas conjuntas con la OCDE y la ISTA relacionadas con las técnicas moleculares y suscribió la propuesta formulada por el BMT, en su decimoctava sesión, de que se repitan los talleres conjuntos en el futuro (véanse los párrafos 189 a 191 del documento TC/55/25 “Informe”).</w:t>
      </w:r>
    </w:p>
    <w:p w:rsidR="008B171B" w:rsidRPr="008B171B" w:rsidRDefault="008B171B" w:rsidP="00046874">
      <w:pPr>
        <w:keepNext/>
        <w:rPr>
          <w:lang w:val="es-ES_tradnl"/>
        </w:rPr>
      </w:pPr>
    </w:p>
    <w:p w:rsidR="008B171B" w:rsidRPr="008B171B" w:rsidRDefault="00A379E4" w:rsidP="004E4F71">
      <w:pPr>
        <w:keepNext/>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040526" w:rsidRPr="00AE4BE5">
        <w:rPr>
          <w:lang w:val="es-ES_tradnl"/>
        </w:rPr>
        <w:t>El TC convino con el BMT en proponer una iniciativa conjunta a fin de que cada organización informe a las demás sobre el uso de marcadores moleculares en su labor.</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4617FC" w:rsidRPr="00AE4BE5">
        <w:rPr>
          <w:lang w:val="es-ES_tradnl"/>
        </w:rPr>
        <w:t>El TC tomó nota de que no existen definiciones sobre técnicas bioquímicas y moleculares en la UPOV.</w:t>
      </w:r>
      <w:r w:rsidR="00A6049D">
        <w:rPr>
          <w:lang w:val="es-ES_tradnl"/>
        </w:rPr>
        <w:t xml:space="preserve"> </w:t>
      </w:r>
      <w:r w:rsidR="00AE4BE5" w:rsidRPr="00AE4BE5">
        <w:rPr>
          <w:lang w:val="es-ES_tradnl"/>
        </w:rPr>
        <w:t xml:space="preserve">Asimismo, convino en que </w:t>
      </w:r>
      <w:r w:rsidR="00E13162" w:rsidRPr="00AE4BE5">
        <w:rPr>
          <w:lang w:val="es-ES_tradnl"/>
        </w:rPr>
        <w:t>la información de la encuesta sobre las técnicas puede contribuir a aclarar las que se consideran bioquímicas o moleculares</w:t>
      </w:r>
      <w:r w:rsidR="004617FC" w:rsidRPr="00AE4BE5">
        <w:rPr>
          <w:lang w:val="es-ES_tradnl"/>
        </w:rPr>
        <w:t>.</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E13162" w:rsidRPr="00AE4BE5">
        <w:rPr>
          <w:lang w:val="es-ES_tradnl"/>
        </w:rPr>
        <w:t>Se han organizado los siguientes talleres conjuntos de la OCDE, la UPOV y la ISTA sobre técnicas moleculares:</w:t>
      </w:r>
    </w:p>
    <w:p w:rsidR="008B171B" w:rsidRPr="008B171B" w:rsidRDefault="008B171B" w:rsidP="00046874">
      <w:pPr>
        <w:rPr>
          <w:lang w:val="es-ES_tradnl"/>
        </w:rPr>
      </w:pPr>
    </w:p>
    <w:p w:rsidR="008B171B" w:rsidRPr="008B171B" w:rsidRDefault="00E8132E" w:rsidP="004E4F71">
      <w:pPr>
        <w:tabs>
          <w:tab w:val="left" w:pos="1134"/>
        </w:tabs>
        <w:ind w:left="1134" w:hanging="567"/>
        <w:rPr>
          <w:lang w:val="es-ES_tradnl"/>
        </w:rPr>
      </w:pPr>
      <w:r w:rsidRPr="004E4F71">
        <w:rPr>
          <w:lang w:val="es-ES_tradnl"/>
        </w:rPr>
        <w:t>a)</w:t>
      </w:r>
      <w:r w:rsidRPr="004E4F71">
        <w:rPr>
          <w:lang w:val="es-ES_tradnl"/>
        </w:rPr>
        <w:tab/>
      </w:r>
      <w:r w:rsidR="00996153" w:rsidRPr="00AE4BE5">
        <w:rPr>
          <w:lang w:val="es-ES_tradnl"/>
        </w:rPr>
        <w:t>un taller organizado por la UPOV y celebra</w:t>
      </w:r>
      <w:r w:rsidR="00F050FB" w:rsidRPr="00AE4BE5">
        <w:rPr>
          <w:lang w:val="es-ES_tradnl"/>
        </w:rPr>
        <w:t>do en Seúl (República de Corea)</w:t>
      </w:r>
      <w:r w:rsidR="00996153" w:rsidRPr="00AE4BE5">
        <w:rPr>
          <w:lang w:val="es-ES_tradnl"/>
        </w:rPr>
        <w:t xml:space="preserve"> el 12 de noviembre de 2014, en paralelo a la decimocuarta sesión del BMT;</w:t>
      </w:r>
    </w:p>
    <w:p w:rsidR="008B171B" w:rsidRPr="008B171B" w:rsidRDefault="00E8132E" w:rsidP="004E4F71">
      <w:pPr>
        <w:tabs>
          <w:tab w:val="left" w:pos="1134"/>
        </w:tabs>
        <w:ind w:left="1134" w:hanging="567"/>
        <w:rPr>
          <w:lang w:val="es-ES_tradnl"/>
        </w:rPr>
      </w:pPr>
      <w:r w:rsidRPr="004E4F71">
        <w:rPr>
          <w:lang w:val="es-ES_tradnl"/>
        </w:rPr>
        <w:t>b)</w:t>
      </w:r>
      <w:r w:rsidRPr="004E4F71">
        <w:rPr>
          <w:lang w:val="es-ES_tradnl"/>
        </w:rPr>
        <w:tab/>
      </w:r>
      <w:r w:rsidR="00F050FB" w:rsidRPr="00AE4BE5">
        <w:rPr>
          <w:lang w:val="es-ES_tradnl"/>
        </w:rPr>
        <w:t>un taller organizado por la OCDE y celebrado en Paris (Francia) el 8 de junio de 2016, antes de la reunión anual del Sistema de Semillas de la OCDE;</w:t>
      </w:r>
      <w:r w:rsidR="00677D06">
        <w:rPr>
          <w:lang w:val="es-ES_tradnl"/>
        </w:rPr>
        <w:t xml:space="preserve"> </w:t>
      </w:r>
      <w:r w:rsidR="0008551D" w:rsidRPr="004E4F71">
        <w:rPr>
          <w:lang w:val="es-ES_tradnl"/>
        </w:rPr>
        <w:t>y</w:t>
      </w:r>
    </w:p>
    <w:p w:rsidR="008B171B" w:rsidRPr="008B171B" w:rsidRDefault="00E8132E" w:rsidP="004E4F71">
      <w:pPr>
        <w:tabs>
          <w:tab w:val="left" w:pos="1134"/>
        </w:tabs>
        <w:ind w:left="1134" w:hanging="567"/>
        <w:rPr>
          <w:lang w:val="es-ES_tradnl"/>
        </w:rPr>
      </w:pPr>
      <w:r w:rsidRPr="004E4F71">
        <w:rPr>
          <w:lang w:val="es-ES_tradnl"/>
        </w:rPr>
        <w:t>c)</w:t>
      </w:r>
      <w:r w:rsidRPr="004E4F71">
        <w:rPr>
          <w:lang w:val="es-ES_tradnl"/>
        </w:rPr>
        <w:tab/>
      </w:r>
      <w:r w:rsidR="0008551D" w:rsidRPr="00AE4BE5">
        <w:rPr>
          <w:lang w:val="es-ES_tradnl"/>
        </w:rPr>
        <w:t>un taller organizado por la ISTA y celebrado en Hyderabad (India) el 29 de junio de 2019, en paralelo al congreso de la ISTA de 2019.</w:t>
      </w:r>
    </w:p>
    <w:p w:rsidR="008B171B" w:rsidRPr="008B171B" w:rsidRDefault="008B171B" w:rsidP="00046874">
      <w:pPr>
        <w:pStyle w:val="Heading3"/>
        <w:rPr>
          <w:highlight w:val="cyan"/>
          <w:lang w:val="es-ES_tradnl"/>
        </w:rPr>
      </w:pPr>
    </w:p>
    <w:p w:rsidR="008B171B" w:rsidRPr="008B171B" w:rsidRDefault="0008551D" w:rsidP="004E4F71">
      <w:pPr>
        <w:pStyle w:val="Heading3"/>
        <w:rPr>
          <w:highlight w:val="cyan"/>
          <w:lang w:val="es-ES_tradnl"/>
        </w:rPr>
      </w:pPr>
      <w:r w:rsidRPr="00AE4BE5">
        <w:rPr>
          <w:lang w:val="es-ES_tradnl"/>
        </w:rPr>
        <w:t>Posibles temas para un futuro taller conjunto de la UPOV, la OCDE y la ISTA</w:t>
      </w:r>
    </w:p>
    <w:p w:rsidR="008B171B" w:rsidRPr="008B171B" w:rsidRDefault="008B171B" w:rsidP="00046874">
      <w:pPr>
        <w:rPr>
          <w:highlight w:val="cyan"/>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B82D08" w:rsidRPr="00AE4BE5">
        <w:rPr>
          <w:lang w:val="es-ES_tradnl"/>
        </w:rPr>
        <w:t xml:space="preserve">En su quincuagésima sexta sesión, </w:t>
      </w:r>
      <w:r w:rsidR="0008551D" w:rsidRPr="00AE4BE5">
        <w:rPr>
          <w:lang w:val="es-ES_tradnl"/>
        </w:rPr>
        <w:t xml:space="preserve">el TC </w:t>
      </w:r>
      <w:r w:rsidR="00B82D08" w:rsidRPr="00AE4BE5">
        <w:rPr>
          <w:lang w:val="es-ES_tradnl"/>
        </w:rPr>
        <w:t xml:space="preserve">convino en que </w:t>
      </w:r>
      <w:r w:rsidR="0008551D" w:rsidRPr="00AE4BE5">
        <w:rPr>
          <w:lang w:val="es-ES_tradnl"/>
        </w:rPr>
        <w:t>se organice otro taller conjunto de la OCDE, la UPOV y la ISTA sobre técnicas moleculares en un futuro próximo.</w:t>
      </w:r>
      <w:r w:rsidR="00046874" w:rsidRPr="00046874">
        <w:rPr>
          <w:lang w:val="es-ES_tradnl"/>
        </w:rPr>
        <w:t xml:space="preserve"> </w:t>
      </w:r>
      <w:r w:rsidR="00D51AC7" w:rsidRPr="00AE4BE5">
        <w:rPr>
          <w:lang w:val="es-ES_tradnl"/>
        </w:rPr>
        <w:t>El TC convino asimismo en que un taller conjunto de la OCDE, la UPOV y la ISTA sobre técnicas moleculares brindará la oportunidad de debatir las definiciones utilizadas en las técnicas moleculares con miras a su armonización</w:t>
      </w:r>
      <w:r w:rsidR="00704433" w:rsidRPr="00AE4BE5">
        <w:rPr>
          <w:lang w:val="es-ES_tradnl"/>
        </w:rPr>
        <w:t>.</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364F9" w:rsidRPr="00AE4BE5">
        <w:rPr>
          <w:lang w:val="es-ES_tradnl"/>
        </w:rPr>
        <w:t>En su vigésima sesión,</w:t>
      </w:r>
      <w:r w:rsidR="003364F9" w:rsidRPr="00AE4BE5">
        <w:rPr>
          <w:rStyle w:val="FootnoteReference"/>
          <w:lang w:val="es-ES_tradnl"/>
        </w:rPr>
        <w:footnoteReference w:id="5"/>
      </w:r>
      <w:r w:rsidR="003364F9" w:rsidRPr="00AE4BE5">
        <w:rPr>
          <w:lang w:val="es-ES_tradnl"/>
        </w:rPr>
        <w:t xml:space="preserve"> el </w:t>
      </w:r>
      <w:r w:rsidR="00623853" w:rsidRPr="00AE4BE5">
        <w:rPr>
          <w:lang w:val="es-ES_tradnl"/>
        </w:rPr>
        <w:t>BMT</w:t>
      </w:r>
      <w:r w:rsidR="003364F9" w:rsidRPr="00AE4BE5">
        <w:rPr>
          <w:lang w:val="es-ES_tradnl"/>
        </w:rPr>
        <w:t xml:space="preserve"> tomó nota de que, durante esa sesión</w:t>
      </w:r>
      <w:r w:rsidR="00623853" w:rsidRPr="00AE4BE5">
        <w:rPr>
          <w:lang w:val="es-ES_tradnl"/>
        </w:rPr>
        <w:t xml:space="preserve">, </w:t>
      </w:r>
      <w:r w:rsidR="003364F9" w:rsidRPr="00AE4BE5">
        <w:rPr>
          <w:lang w:val="es-ES_tradnl"/>
        </w:rPr>
        <w:t xml:space="preserve">se </w:t>
      </w:r>
      <w:r w:rsidR="00497689" w:rsidRPr="00AE4BE5">
        <w:rPr>
          <w:lang w:val="es-ES_tradnl"/>
        </w:rPr>
        <w:t xml:space="preserve">realizó </w:t>
      </w:r>
      <w:r w:rsidR="00126C41" w:rsidRPr="00AE4BE5">
        <w:rPr>
          <w:lang w:val="es-ES_tradnl"/>
        </w:rPr>
        <w:t xml:space="preserve">una encuesta </w:t>
      </w:r>
      <w:r w:rsidR="00497689" w:rsidRPr="00AE4BE5">
        <w:rPr>
          <w:lang w:val="es-ES_tradnl"/>
        </w:rPr>
        <w:t>para obtener la siguiente información de los participantes</w:t>
      </w:r>
      <w:r w:rsidR="00623853" w:rsidRPr="00AE4BE5">
        <w:rPr>
          <w:lang w:val="es-ES_tradnl"/>
        </w:rPr>
        <w:t>:</w:t>
      </w:r>
    </w:p>
    <w:p w:rsidR="008B171B" w:rsidRPr="008B171B" w:rsidRDefault="008B171B" w:rsidP="00046874">
      <w:pPr>
        <w:rPr>
          <w:lang w:val="es-ES_tradnl"/>
        </w:rPr>
      </w:pPr>
    </w:p>
    <w:p w:rsidR="008B171B" w:rsidRPr="008B171B" w:rsidRDefault="00497689" w:rsidP="004E4F71">
      <w:pPr>
        <w:pStyle w:val="ListParagraph"/>
        <w:numPr>
          <w:ilvl w:val="0"/>
          <w:numId w:val="6"/>
        </w:numPr>
        <w:ind w:left="851" w:hanging="284"/>
        <w:rPr>
          <w:lang w:val="es-ES_tradnl"/>
        </w:rPr>
      </w:pPr>
      <w:r w:rsidRPr="00AE4BE5">
        <w:rPr>
          <w:lang w:val="es-ES_tradnl"/>
        </w:rPr>
        <w:t>¿Cuáles son los ámbitos de interés común entre la UPOV, la OCDE y la ISTA en relación con el uso de técnicas bioquímicas y moleculares</w:t>
      </w:r>
      <w:r w:rsidR="005E7866" w:rsidRPr="00AE4BE5">
        <w:rPr>
          <w:lang w:val="es-ES_tradnl"/>
        </w:rPr>
        <w:t>?</w:t>
      </w:r>
    </w:p>
    <w:p w:rsidR="008B171B" w:rsidRPr="008B171B" w:rsidRDefault="00126C41" w:rsidP="004E4F71">
      <w:pPr>
        <w:pStyle w:val="ListParagraph"/>
        <w:numPr>
          <w:ilvl w:val="0"/>
          <w:numId w:val="6"/>
        </w:numPr>
        <w:ind w:left="851" w:hanging="284"/>
        <w:rPr>
          <w:lang w:val="es-ES_tradnl"/>
        </w:rPr>
      </w:pPr>
      <w:r w:rsidRPr="00AE4BE5">
        <w:rPr>
          <w:lang w:val="es-ES_tradnl"/>
        </w:rPr>
        <w:lastRenderedPageBreak/>
        <w:t xml:space="preserve">¿Qué temas sería adecuado tratar en un taller conjunto </w:t>
      </w:r>
      <w:r w:rsidR="00C53788" w:rsidRPr="00AE4BE5">
        <w:rPr>
          <w:lang w:val="es-ES_tradnl"/>
        </w:rPr>
        <w:t>UPOV-OCDE-ISTA sobre técnicas moleculares</w:t>
      </w:r>
      <w:r w:rsidRPr="00AE4BE5">
        <w:rPr>
          <w:lang w:val="es-ES_tradnl"/>
        </w:rPr>
        <w:t>?</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BF3691" w:rsidRPr="00AE4BE5">
        <w:rPr>
          <w:lang w:val="es-ES_tradnl"/>
        </w:rPr>
        <w:t>El BMT examinó las respuestas de la encuesta y convino en proponer los posibles temas para un futuro taller conjunto UPOV-OCDE-ISTA.</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586238" w:rsidRPr="00AE4BE5">
        <w:rPr>
          <w:lang w:val="es-ES_tradnl"/>
        </w:rPr>
        <w:t>Sobre la base de las propuestas formuladas por el BMT en su vigésima sesión,⁴ se invitará al TC a que, en su quincuagésima séptima sesión, considere los siguientes posibles temas para un futuro taller conjunto de la UPOV, la OCDE y la ISTA:</w:t>
      </w:r>
    </w:p>
    <w:p w:rsidR="008B171B" w:rsidRPr="008B171B" w:rsidRDefault="008B171B" w:rsidP="00046874">
      <w:pPr>
        <w:rPr>
          <w:lang w:val="es-ES_tradnl"/>
        </w:rPr>
      </w:pPr>
    </w:p>
    <w:p w:rsidR="008B171B" w:rsidRPr="008B171B" w:rsidRDefault="00046874" w:rsidP="004E4F71">
      <w:pPr>
        <w:rPr>
          <w:lang w:val="es-ES_tradnl"/>
        </w:rPr>
      </w:pPr>
      <w:r w:rsidRPr="00046874">
        <w:rPr>
          <w:lang w:val="es-ES_tradnl"/>
        </w:rPr>
        <w:tab/>
      </w:r>
      <w:r w:rsidR="00E8132E" w:rsidRPr="004E4F71">
        <w:rPr>
          <w:lang w:val="es-ES_tradnl"/>
        </w:rPr>
        <w:t>i)</w:t>
      </w:r>
      <w:r w:rsidR="00E8132E" w:rsidRPr="004E4F71">
        <w:rPr>
          <w:lang w:val="es-ES_tradnl"/>
        </w:rPr>
        <w:tab/>
      </w:r>
      <w:r w:rsidR="005E69AD" w:rsidRPr="00AE4BE5">
        <w:rPr>
          <w:lang w:val="es-ES_tradnl"/>
        </w:rPr>
        <w:t>Presentación de información acerca del uso de técnicas moleculares en cada organización;</w:t>
      </w:r>
    </w:p>
    <w:p w:rsidR="008B171B" w:rsidRPr="008B171B" w:rsidRDefault="00046874" w:rsidP="004E4F71">
      <w:pPr>
        <w:rPr>
          <w:lang w:val="es-ES_tradnl"/>
        </w:rPr>
      </w:pPr>
      <w:r w:rsidRPr="00046874">
        <w:rPr>
          <w:lang w:val="es-ES_tradnl"/>
        </w:rPr>
        <w:tab/>
      </w:r>
      <w:r w:rsidR="00E8132E" w:rsidRPr="004E4F71">
        <w:rPr>
          <w:lang w:val="es-ES_tradnl"/>
        </w:rPr>
        <w:t>ii)</w:t>
      </w:r>
      <w:r w:rsidR="00E8132E" w:rsidRPr="004E4F71">
        <w:rPr>
          <w:lang w:val="es-ES_tradnl"/>
        </w:rPr>
        <w:tab/>
      </w:r>
      <w:r w:rsidR="005E69AD" w:rsidRPr="00AE4BE5">
        <w:rPr>
          <w:lang w:val="es-ES_tradnl"/>
        </w:rPr>
        <w:t>Procedimiento para la aprobación de métodos bioquímicos y moleculares en cada organización; y</w:t>
      </w:r>
    </w:p>
    <w:p w:rsidR="008B171B" w:rsidRPr="008B171B" w:rsidRDefault="00046874" w:rsidP="004E4F71">
      <w:pPr>
        <w:rPr>
          <w:lang w:val="es-ES_tradnl"/>
        </w:rPr>
      </w:pPr>
      <w:r w:rsidRPr="00046874">
        <w:rPr>
          <w:lang w:val="es-ES_tradnl"/>
        </w:rPr>
        <w:tab/>
      </w:r>
      <w:r w:rsidR="00E8132E" w:rsidRPr="004E4F71">
        <w:rPr>
          <w:lang w:val="es-ES_tradnl"/>
        </w:rPr>
        <w:t>iii)</w:t>
      </w:r>
      <w:r w:rsidR="00E8132E" w:rsidRPr="004E4F71">
        <w:rPr>
          <w:lang w:val="es-ES_tradnl"/>
        </w:rPr>
        <w:tab/>
      </w:r>
      <w:r w:rsidR="005E69AD" w:rsidRPr="00AE4BE5">
        <w:rPr>
          <w:lang w:val="es-ES_tradnl"/>
        </w:rPr>
        <w:t xml:space="preserve">Posibilidades de armonización de los métodos </w:t>
      </w:r>
      <w:r w:rsidR="00AE4BE5" w:rsidRPr="00AE4BE5">
        <w:rPr>
          <w:lang w:val="es-ES_tradnl"/>
        </w:rPr>
        <w:t>de</w:t>
      </w:r>
      <w:r w:rsidR="005E69AD" w:rsidRPr="00AE4BE5">
        <w:rPr>
          <w:lang w:val="es-ES_tradnl"/>
        </w:rPr>
        <w:t xml:space="preserve"> la UPOV, la OCDE y la ISTA.</w:t>
      </w:r>
    </w:p>
    <w:p w:rsidR="008B171B" w:rsidRPr="008B171B" w:rsidRDefault="008B171B" w:rsidP="00046874">
      <w:pPr>
        <w:rPr>
          <w:lang w:val="es-ES_tradnl"/>
        </w:rPr>
      </w:pPr>
    </w:p>
    <w:p w:rsidR="008B171B" w:rsidRPr="008B171B" w:rsidRDefault="008B171B" w:rsidP="00046874">
      <w:pPr>
        <w:rPr>
          <w:lang w:val="es-ES_tradnl"/>
        </w:rPr>
      </w:pPr>
      <w:bookmarkStart w:id="17" w:name="_Toc53597268"/>
      <w:bookmarkEnd w:id="13"/>
      <w:bookmarkEnd w:id="14"/>
      <w:bookmarkEnd w:id="15"/>
    </w:p>
    <w:p w:rsidR="008B171B" w:rsidRPr="008B171B" w:rsidRDefault="008B171B" w:rsidP="00046874">
      <w:pPr>
        <w:rPr>
          <w:lang w:val="es-ES_tradnl"/>
        </w:rPr>
      </w:pPr>
    </w:p>
    <w:p w:rsidR="008B171B" w:rsidRPr="008B171B" w:rsidRDefault="005E69AD" w:rsidP="004E4F71">
      <w:pPr>
        <w:pStyle w:val="Heading1"/>
        <w:rPr>
          <w:snapToGrid w:val="0"/>
          <w:lang w:val="es-ES_tradnl"/>
        </w:rPr>
      </w:pPr>
      <w:bookmarkStart w:id="18" w:name="_Toc86408612"/>
      <w:bookmarkEnd w:id="17"/>
      <w:r w:rsidRPr="00AE4BE5">
        <w:rPr>
          <w:snapToGrid w:val="0"/>
          <w:lang w:val="es-ES_tradnl"/>
        </w:rPr>
        <w:t>SESIÓN PARA FACILITAR LA COOPERACIÓN EN EL USO DE TÉCNICAS MOLECULARES</w:t>
      </w:r>
      <w:bookmarkEnd w:id="18"/>
    </w:p>
    <w:p w:rsidR="008B171B" w:rsidRPr="008B171B" w:rsidRDefault="008B171B" w:rsidP="00046874">
      <w:pPr>
        <w:keepNext/>
        <w:rPr>
          <w:rFonts w:cs="Arial"/>
          <w:iCs/>
          <w:lang w:val="es-ES_tradnl"/>
        </w:rPr>
      </w:pPr>
    </w:p>
    <w:p w:rsidR="008B171B" w:rsidRPr="008B171B" w:rsidRDefault="00A379E4" w:rsidP="004E4F71">
      <w:pPr>
        <w:keepNext/>
        <w:rPr>
          <w:rFonts w:eastAsiaTheme="minorEastAsia"/>
          <w:lang w:val="es-ES_tradnl" w:eastAsia="ja-JP"/>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5E69AD" w:rsidRPr="00AE4BE5">
        <w:rPr>
          <w:rFonts w:eastAsiaTheme="minorEastAsia"/>
          <w:lang w:val="es-ES_tradnl" w:eastAsia="ja-JP"/>
        </w:rPr>
        <w:t>Los antecedentes de este asunto figuran en el documento CAJ/76/INF/3 “Técnicas moleculares”.</w:t>
      </w:r>
    </w:p>
    <w:p w:rsidR="008B171B" w:rsidRPr="008B171B" w:rsidRDefault="008B171B" w:rsidP="00046874">
      <w:pPr>
        <w:rPr>
          <w:lang w:val="es-ES_tradnl"/>
        </w:rPr>
      </w:pPr>
    </w:p>
    <w:p w:rsidR="008B171B" w:rsidRPr="008B171B" w:rsidRDefault="008B171B" w:rsidP="00046874">
      <w:pPr>
        <w:rPr>
          <w:lang w:val="es-ES_tradnl"/>
        </w:rPr>
      </w:pPr>
    </w:p>
    <w:p w:rsidR="008B171B" w:rsidRPr="008B171B" w:rsidRDefault="005E69AD" w:rsidP="004E4F71">
      <w:pPr>
        <w:pStyle w:val="Heading2"/>
        <w:rPr>
          <w:lang w:val="es-ES_tradnl"/>
        </w:rPr>
      </w:pPr>
      <w:bookmarkStart w:id="19" w:name="_Toc86408613"/>
      <w:r w:rsidRPr="00AE4BE5">
        <w:rPr>
          <w:lang w:val="es-ES_tradnl"/>
        </w:rPr>
        <w:t>Novedades acaecidas en los TWP y el BMT en sus sesiones de 2021</w:t>
      </w:r>
      <w:bookmarkEnd w:id="19"/>
    </w:p>
    <w:p w:rsidR="008B171B" w:rsidRPr="008B171B" w:rsidRDefault="008B171B" w:rsidP="00046874">
      <w:pPr>
        <w:rPr>
          <w:lang w:val="es-ES_tradnl"/>
        </w:rPr>
      </w:pPr>
    </w:p>
    <w:p w:rsidR="008B171B" w:rsidRPr="008B171B" w:rsidRDefault="00E9528E" w:rsidP="004E4F71">
      <w:pPr>
        <w:pStyle w:val="Heading3"/>
        <w:rPr>
          <w:lang w:val="es-ES_tradnl"/>
        </w:rPr>
      </w:pPr>
      <w:r w:rsidRPr="00AE4BE5">
        <w:rPr>
          <w:lang w:val="es-ES_tradnl"/>
        </w:rPr>
        <w:t>Grupos de Trabajo Técnico (TWP)</w:t>
      </w:r>
    </w:p>
    <w:p w:rsidR="008B171B" w:rsidRPr="008B171B" w:rsidRDefault="008B171B" w:rsidP="00046874">
      <w:pPr>
        <w:keepNext/>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B73D0F" w:rsidRPr="00AE4BE5">
        <w:rPr>
          <w:lang w:val="es-ES_tradnl"/>
        </w:rPr>
        <w:t>En sus sesiones de 2021, los TWP tomaron nota de la información aportada por los participantes en la decimonovena sesión del BMT sobre su labor en materia de técnicas bioquímicas y moleculares y ámbitos de cooperación, que se reproduce en el Anexo I del documento TWP/5/7 (véanse los documentos TWV/55/16 “</w:t>
      </w:r>
      <w:r w:rsidR="00B73D0F" w:rsidRPr="00AE4BE5">
        <w:rPr>
          <w:i/>
          <w:iCs/>
          <w:lang w:val="es-ES_tradnl"/>
        </w:rPr>
        <w:t xml:space="preserve">Report”, </w:t>
      </w:r>
      <w:r w:rsidR="00B73D0F" w:rsidRPr="00AE4BE5">
        <w:rPr>
          <w:lang w:val="es-ES_tradnl"/>
        </w:rPr>
        <w:t>párrafos 48 y 49; TWO/53/10 “</w:t>
      </w:r>
      <w:r w:rsidR="00B73D0F" w:rsidRPr="00AE4BE5">
        <w:rPr>
          <w:i/>
          <w:iCs/>
          <w:lang w:val="es-ES_tradnl"/>
        </w:rPr>
        <w:t xml:space="preserve">Report”, </w:t>
      </w:r>
      <w:r w:rsidR="00B73D0F" w:rsidRPr="00AE4BE5">
        <w:rPr>
          <w:lang w:val="es-ES_tradnl"/>
        </w:rPr>
        <w:t>párrafo 57; TWA/50/9 “</w:t>
      </w:r>
      <w:r w:rsidR="00B73D0F" w:rsidRPr="00AE4BE5">
        <w:rPr>
          <w:i/>
          <w:iCs/>
          <w:lang w:val="es-ES_tradnl"/>
        </w:rPr>
        <w:t xml:space="preserve">Report”, </w:t>
      </w:r>
      <w:r w:rsidR="00B73D0F" w:rsidRPr="00AE4BE5">
        <w:rPr>
          <w:lang w:val="es-ES_tradnl"/>
        </w:rPr>
        <w:t>párrafos 85 y 86; TWF/52/10 “</w:t>
      </w:r>
      <w:r w:rsidR="00B73D0F" w:rsidRPr="00AE4BE5">
        <w:rPr>
          <w:i/>
          <w:iCs/>
          <w:lang w:val="es-ES_tradnl"/>
        </w:rPr>
        <w:t xml:space="preserve">Report”, </w:t>
      </w:r>
      <w:r w:rsidR="00B73D0F" w:rsidRPr="00AE4BE5">
        <w:rPr>
          <w:lang w:val="es-ES_tradnl"/>
        </w:rPr>
        <w:t>párrafos 10 y 11; y TWC/39/9 “</w:t>
      </w:r>
      <w:r w:rsidR="00B73D0F" w:rsidRPr="00AE4BE5">
        <w:rPr>
          <w:i/>
          <w:iCs/>
          <w:lang w:val="es-ES_tradnl"/>
        </w:rPr>
        <w:t xml:space="preserve">Report”, </w:t>
      </w:r>
      <w:r w:rsidR="00B73D0F" w:rsidRPr="00AE4BE5">
        <w:rPr>
          <w:lang w:val="es-ES_tradnl"/>
        </w:rPr>
        <w:t>párrafo 70)</w:t>
      </w:r>
      <w:r w:rsidR="00022946" w:rsidRPr="00AE4BE5">
        <w:rPr>
          <w:lang w:val="es-ES_tradnl"/>
        </w:rPr>
        <w:t>.</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AE4BE5">
        <w:rPr>
          <w:lang w:val="es-ES_tradnl"/>
        </w:rPr>
        <w:t>En su quincuagésima quinta sesión, el TWV formó un grupo de debate para que los participantes puedan intercambiar información sobre su labor en materia de técnicas bioquímicas y moleculares y definir posibles ámbitos de cooperación</w:t>
      </w:r>
      <w:r w:rsidR="008C4502" w:rsidRPr="00AE4BE5">
        <w:rPr>
          <w:lang w:val="es-ES_tradnl"/>
        </w:rPr>
        <w:t>.</w:t>
      </w:r>
      <w:r w:rsidR="00A6049D">
        <w:rPr>
          <w:lang w:val="es-ES_tradnl"/>
        </w:rPr>
        <w:t xml:space="preserve"> </w:t>
      </w:r>
      <w:r w:rsidR="00E86C7F" w:rsidRPr="00AE4BE5">
        <w:rPr>
          <w:lang w:val="es-ES_tradnl"/>
        </w:rPr>
        <w:t>En el grupo de debate se habló del tomate, la lechuga y el pimiento.</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AE4BE5">
        <w:rPr>
          <w:lang w:val="es-ES_tradnl"/>
        </w:rPr>
        <w:t>En su quincuagésima sesión, el TWA celebró una sesión de debate para que los participantes pudieran intercambiar información sobre su labor en materia de técnicas bioquímicas y moleculares y definir ámbitos de cooperación para la soja, la papa/patata, la colza</w:t>
      </w:r>
      <w:r w:rsidR="00AE4BE5" w:rsidRPr="00AE4BE5">
        <w:rPr>
          <w:lang w:val="es-ES_tradnl"/>
        </w:rPr>
        <w:t xml:space="preserve"> oleaginosa</w:t>
      </w:r>
      <w:r w:rsidR="003619D0" w:rsidRPr="00AE4BE5">
        <w:rPr>
          <w:lang w:val="es-ES_tradnl"/>
        </w:rPr>
        <w:t>, el cáñamo, el haba y el trigo</w:t>
      </w:r>
      <w:r w:rsidR="006A4467" w:rsidRPr="00AE4BE5">
        <w:rPr>
          <w:lang w:val="es-ES_tradnl"/>
        </w:rPr>
        <w:t>.</w:t>
      </w:r>
      <w:r w:rsidR="00A6049D">
        <w:rPr>
          <w:lang w:val="es-ES_tradnl"/>
        </w:rPr>
        <w:t xml:space="preserve"> </w:t>
      </w:r>
      <w:r w:rsidR="003619D0" w:rsidRPr="00AE4BE5">
        <w:rPr>
          <w:lang w:val="es-ES_tradnl"/>
        </w:rPr>
        <w:t>El TWA convino en invitar a presentar ponencias sobre técnicas bioquímicas y moleculares en los diferentes cultivos considerados, en su quincuagésima primera sesión, que se celebrará en 2022</w:t>
      </w:r>
      <w:r w:rsidR="0030557D" w:rsidRPr="00AE4BE5">
        <w:rPr>
          <w:lang w:val="es-ES_tradnl"/>
        </w:rPr>
        <w:t>.</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AE4BE5">
        <w:rPr>
          <w:lang w:val="es-ES_tradnl"/>
        </w:rPr>
        <w:t>En su quincuagésima tercera sesión, el TWF celebró una sesión de debate para que los participantes pudieran intercambiar información sobre su labor en materia de técnicas bioquímicas y moleculares y definir posibles ámbitos de cooperación para el manzano, la fresa/frutilla y el durazno/melocotonero</w:t>
      </w:r>
      <w:r w:rsidR="000B16DC" w:rsidRPr="00AE4BE5">
        <w:rPr>
          <w:lang w:val="es-ES_tradnl"/>
        </w:rPr>
        <w:t>.</w:t>
      </w:r>
      <w:r w:rsidR="00046874" w:rsidRPr="00046874">
        <w:rPr>
          <w:lang w:val="es-ES_tradnl"/>
        </w:rPr>
        <w:t xml:space="preserve"> </w:t>
      </w:r>
      <w:r w:rsidR="003619D0" w:rsidRPr="008B5B97">
        <w:rPr>
          <w:lang w:val="es-ES_tradnl"/>
        </w:rPr>
        <w:t>El TWF convino en invitar a los expertos de la Unión Europea y Francia a presentar ponencias sobre el uso de técnicas moleculares en el examen DHE de variedades de manzano, en su quincuagésima tercera sesión</w:t>
      </w:r>
      <w:r w:rsidR="00827422" w:rsidRPr="008B5B97">
        <w:rPr>
          <w:lang w:val="es-ES_tradnl"/>
        </w:rPr>
        <w:t>.</w:t>
      </w:r>
    </w:p>
    <w:p w:rsidR="008B171B" w:rsidRPr="008B171B" w:rsidRDefault="008B171B" w:rsidP="00046874">
      <w:pPr>
        <w:rPr>
          <w:lang w:val="es-ES_tradnl"/>
        </w:rPr>
      </w:pPr>
    </w:p>
    <w:p w:rsidR="008B171B" w:rsidRPr="008B171B" w:rsidRDefault="003619D0" w:rsidP="004E4F71">
      <w:pPr>
        <w:pStyle w:val="Heading3"/>
        <w:rPr>
          <w:lang w:val="es-ES_tradnl"/>
        </w:rPr>
      </w:pPr>
      <w:r w:rsidRPr="008B5B97">
        <w:rPr>
          <w:lang w:val="es-ES_tradnl"/>
        </w:rPr>
        <w:t>Grupo de Trabajo sobre Técnicas Bioquímicas y Moleculares, y Perfiles de ADN en particular (BMT)</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8B5B97">
        <w:rPr>
          <w:lang w:val="es-ES_tradnl"/>
        </w:rPr>
        <w:t>En su vigésima sesión, el BMT examinó el documento BMT/20/6 “</w:t>
      </w:r>
      <w:r w:rsidR="003619D0" w:rsidRPr="00B85DC9">
        <w:rPr>
          <w:i/>
          <w:iCs/>
          <w:lang w:val="es-ES"/>
        </w:rPr>
        <w:t>Session to facilitate cooperation</w:t>
      </w:r>
      <w:r w:rsidR="003619D0" w:rsidRPr="008B5B97">
        <w:rPr>
          <w:lang w:val="es-ES_tradnl"/>
        </w:rPr>
        <w:t>” (Sesión para facilitar la cooperación) (véanse los párrafos 28 a 35 del documento</w:t>
      </w:r>
      <w:r w:rsidR="008B5B97" w:rsidRPr="008B5B97">
        <w:rPr>
          <w:lang w:val="es-ES_tradnl"/>
        </w:rPr>
        <w:t xml:space="preserve"> </w:t>
      </w:r>
      <w:r w:rsidR="003619D0" w:rsidRPr="008B5B97">
        <w:rPr>
          <w:lang w:val="es-ES_tradnl"/>
        </w:rPr>
        <w:t>BMT/20/12 “</w:t>
      </w:r>
      <w:r w:rsidR="003619D0" w:rsidRPr="008B5B97">
        <w:rPr>
          <w:i/>
          <w:iCs/>
          <w:lang w:val="es-ES_tradnl"/>
        </w:rPr>
        <w:t>Report</w:t>
      </w:r>
      <w:r w:rsidR="003619D0" w:rsidRPr="008B5B97">
        <w:rPr>
          <w:lang w:val="es-ES_tradnl"/>
        </w:rPr>
        <w:t>”).</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8B5B97">
        <w:rPr>
          <w:lang w:val="es-ES_tradnl"/>
        </w:rPr>
        <w:t>El BMT recordó la información aportada por los participantes en la decimonovena sesión del BMT sobre su labor en materia de técnicas bioquímicas y moleculares y ámbitos de cooperación, que se reproduce en el Anexo del documento</w:t>
      </w:r>
      <w:r w:rsidR="008B5B97" w:rsidRPr="008B5B97">
        <w:rPr>
          <w:lang w:val="es-ES_tradnl"/>
        </w:rPr>
        <w:t xml:space="preserve"> </w:t>
      </w:r>
      <w:r w:rsidR="003619D0" w:rsidRPr="008B5B97">
        <w:rPr>
          <w:lang w:val="es-ES_tradnl"/>
        </w:rPr>
        <w:t>BMT/20/6.</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097983">
        <w:rPr>
          <w:lang w:val="es-ES_tradnl"/>
        </w:rPr>
        <w:t>El BMT tomó nota de la información acerca de los grupos de debate que se formaron en las sesiones de 2021 de los Grupos de Trabajo Técnico para que los participantes pudieran intercambiar información sobre su labor en materia de técnicas bioquímicas y moleculares y definir ámbitos de cooperación.</w:t>
      </w:r>
    </w:p>
    <w:p w:rsidR="008B171B" w:rsidRPr="008B171B" w:rsidRDefault="008B171B" w:rsidP="00046874">
      <w:pPr>
        <w:rPr>
          <w:lang w:val="es-ES_tradnl"/>
        </w:rPr>
      </w:pPr>
    </w:p>
    <w:p w:rsidR="008B171B" w:rsidRPr="008B171B" w:rsidRDefault="00A379E4" w:rsidP="00466A36">
      <w:pPr>
        <w:spacing w:after="160"/>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097983">
        <w:rPr>
          <w:lang w:val="es-ES_tradnl"/>
        </w:rPr>
        <w:t>El BMT celebró una sesión de debate para que los participantes pudieran intercambiar información sobre su labor en materia de técnicas bioquímicas y moleculares y definir posibles ámbitos de cooperación.</w:t>
      </w:r>
    </w:p>
    <w:p w:rsidR="008B171B" w:rsidRPr="008B171B" w:rsidRDefault="00A379E4" w:rsidP="004E4F71">
      <w:pPr>
        <w:rPr>
          <w:lang w:val="es-ES_tradnl"/>
        </w:rPr>
      </w:pPr>
      <w:r w:rsidRPr="00046874">
        <w:rPr>
          <w:lang w:val="es-ES_tradnl"/>
        </w:rPr>
        <w:lastRenderedPageBreak/>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097983">
        <w:rPr>
          <w:lang w:val="es-ES_tradnl"/>
        </w:rPr>
        <w:t>El BMT consideró si la UPOV podría apoyar la armonización y la cooperación entre los miembros que ya utilizan marcadores moleculares en el examen DHE o poner a disposición de otros miembros de la UPOV información o servicios relacionados con las técnicas bioquímicas y moleculares.</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097983">
        <w:rPr>
          <w:lang w:val="es-ES_tradnl"/>
        </w:rPr>
        <w:t>El BMT convino en que la información acerca del uso de marcadores moleculares por cultivos era importante para promover la cooperación entre los miembros de la UPOV y acordó proponer que se mantuviera la encuesta sobre la utilización de técnicas basadas en marcadores moleculares para obtener información de un mayor número de miembros de la UPOV.</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097983">
        <w:rPr>
          <w:lang w:val="es-ES_tradnl"/>
        </w:rPr>
        <w:t>El BMT convino en que sería útil confirmar las razones para no contestar a la primera encuesta.</w:t>
      </w:r>
      <w:r w:rsidR="00A6049D">
        <w:rPr>
          <w:lang w:val="es-ES_tradnl"/>
        </w:rPr>
        <w:t xml:space="preserve"> </w:t>
      </w:r>
      <w:r w:rsidR="003619D0" w:rsidRPr="00097983">
        <w:rPr>
          <w:lang w:val="es-ES_tradnl"/>
        </w:rPr>
        <w:t>En su quincuagésima séptima sesión, se invitará al TC a:</w:t>
      </w:r>
    </w:p>
    <w:p w:rsidR="008B171B" w:rsidRPr="008B171B" w:rsidRDefault="008B171B" w:rsidP="00046874">
      <w:pPr>
        <w:rPr>
          <w:lang w:val="es-ES_tradnl"/>
        </w:rPr>
      </w:pPr>
    </w:p>
    <w:p w:rsidR="008B171B" w:rsidRPr="008B171B" w:rsidRDefault="00E8132E" w:rsidP="004E4F71">
      <w:pPr>
        <w:ind w:left="567"/>
        <w:rPr>
          <w:lang w:val="es-ES_tradnl"/>
        </w:rPr>
      </w:pPr>
      <w:r w:rsidRPr="004E4F71">
        <w:rPr>
          <w:lang w:val="es-ES_tradnl"/>
        </w:rPr>
        <w:t>a)</w:t>
      </w:r>
      <w:r w:rsidRPr="004E4F71">
        <w:rPr>
          <w:lang w:val="es-ES_tradnl"/>
        </w:rPr>
        <w:tab/>
      </w:r>
      <w:r w:rsidR="003619D0" w:rsidRPr="00097983">
        <w:rPr>
          <w:lang w:val="es-ES_tradnl"/>
        </w:rPr>
        <w:t>considerar si mantener la encuesta sobre la utilización de técnicas basadas en marcadores moleculares para obtener información de un mayor número de miembros de la UPOV; y</w:t>
      </w:r>
    </w:p>
    <w:p w:rsidR="008B171B" w:rsidRPr="008B171B" w:rsidRDefault="008B171B" w:rsidP="00046874">
      <w:pPr>
        <w:ind w:left="567"/>
        <w:rPr>
          <w:lang w:val="es-ES_tradnl"/>
        </w:rPr>
      </w:pPr>
    </w:p>
    <w:p w:rsidR="008B171B" w:rsidRPr="008B171B" w:rsidRDefault="00E8132E" w:rsidP="004E4F71">
      <w:pPr>
        <w:ind w:left="567"/>
        <w:rPr>
          <w:lang w:val="es-ES_tradnl"/>
        </w:rPr>
      </w:pPr>
      <w:r w:rsidRPr="004E4F71">
        <w:rPr>
          <w:lang w:val="es-ES_tradnl"/>
        </w:rPr>
        <w:t>b)</w:t>
      </w:r>
      <w:r w:rsidRPr="004E4F71">
        <w:rPr>
          <w:lang w:val="es-ES_tradnl"/>
        </w:rPr>
        <w:tab/>
      </w:r>
      <w:r w:rsidR="003619D0" w:rsidRPr="00097983">
        <w:rPr>
          <w:lang w:val="es-ES_tradnl"/>
        </w:rPr>
        <w:t>investigar las razones de algunos miembros de la Unión para no responder a la primera encuesta.</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3619D0" w:rsidRPr="00097983">
        <w:rPr>
          <w:lang w:val="es-ES_tradnl"/>
        </w:rPr>
        <w:t>El BMT convino en que debe mantenerse la posibilidad de formar grupos de debate durante las sesiones.</w:t>
      </w:r>
    </w:p>
    <w:p w:rsidR="008B171B" w:rsidRPr="008B171B" w:rsidRDefault="008B171B" w:rsidP="00046874">
      <w:pPr>
        <w:rPr>
          <w:lang w:val="es-ES_tradnl"/>
        </w:rPr>
      </w:pPr>
    </w:p>
    <w:p w:rsidR="008B171B" w:rsidRPr="008B171B" w:rsidRDefault="008B171B" w:rsidP="00046874">
      <w:pPr>
        <w:rPr>
          <w:lang w:val="es-ES_tradnl"/>
        </w:rPr>
      </w:pPr>
    </w:p>
    <w:p w:rsidR="008B171B" w:rsidRPr="008B171B" w:rsidRDefault="008B171B" w:rsidP="00046874">
      <w:pPr>
        <w:rPr>
          <w:lang w:val="es-ES_tradnl"/>
        </w:rPr>
      </w:pPr>
    </w:p>
    <w:p w:rsidR="008B171B" w:rsidRPr="008B171B" w:rsidRDefault="002B23ED" w:rsidP="004E4F71">
      <w:pPr>
        <w:pStyle w:val="Heading1"/>
        <w:rPr>
          <w:lang w:val="es-ES_tradnl"/>
        </w:rPr>
      </w:pPr>
      <w:bookmarkStart w:id="20" w:name="_Toc86408614"/>
      <w:r w:rsidRPr="00097983">
        <w:rPr>
          <w:caps w:val="0"/>
          <w:lang w:val="es-ES_tradnl"/>
        </w:rPr>
        <w:t>CONFIDENCIALIDAD Y TITULARIDAD DE LA INFORMACIÓN MOLECULAR</w:t>
      </w:r>
      <w:bookmarkEnd w:id="20"/>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4165F7" w:rsidRPr="00097983">
        <w:rPr>
          <w:lang w:val="es-ES_tradnl"/>
        </w:rPr>
        <w:t>Los TWP y el BMT, en sus sesiones de 2021, escucharon una ponencia sobre “Confidencialidad y titularidad de la información molecular” a cargo de un experto en nombre de la </w:t>
      </w:r>
      <w:r w:rsidR="004165F7" w:rsidRPr="00B85DC9">
        <w:rPr>
          <w:i/>
          <w:iCs/>
          <w:lang w:val="es-ES"/>
        </w:rPr>
        <w:t>African Seed Trade Association</w:t>
      </w:r>
      <w:r w:rsidR="004165F7" w:rsidRPr="00097983">
        <w:rPr>
          <w:i/>
          <w:iCs/>
          <w:lang w:val="es-ES_tradnl"/>
        </w:rPr>
        <w:t xml:space="preserve"> </w:t>
      </w:r>
      <w:r w:rsidR="004165F7" w:rsidRPr="00097983">
        <w:rPr>
          <w:lang w:val="es-ES_tradnl"/>
        </w:rPr>
        <w:t>(AFSTA), la </w:t>
      </w:r>
      <w:r w:rsidR="004165F7" w:rsidRPr="00B85DC9">
        <w:rPr>
          <w:i/>
          <w:iCs/>
          <w:lang w:val="es-ES"/>
        </w:rPr>
        <w:t>Asia and Pacific Seed Association</w:t>
      </w:r>
      <w:r w:rsidR="004165F7" w:rsidRPr="00097983">
        <w:rPr>
          <w:i/>
          <w:iCs/>
          <w:lang w:val="es-ES_tradnl"/>
        </w:rPr>
        <w:t xml:space="preserve"> </w:t>
      </w:r>
      <w:r w:rsidR="004165F7" w:rsidRPr="00097983">
        <w:rPr>
          <w:lang w:val="es-ES_tradnl"/>
        </w:rPr>
        <w:t xml:space="preserve">(APSA), la Comunidad Internacional de Fitomejoradores de Plantas Hortícolas de Reproducción Asexuada (CIOPORA), </w:t>
      </w:r>
      <w:r w:rsidR="00097983" w:rsidRPr="00097983">
        <w:rPr>
          <w:lang w:val="es-ES_tradnl"/>
        </w:rPr>
        <w:t>CropLife </w:t>
      </w:r>
      <w:r w:rsidR="004165F7" w:rsidRPr="00097983">
        <w:rPr>
          <w:lang w:val="es-ES_tradnl"/>
        </w:rPr>
        <w:t>International</w:t>
      </w:r>
      <w:r w:rsidR="004165F7" w:rsidRPr="00097983">
        <w:rPr>
          <w:i/>
          <w:iCs/>
          <w:lang w:val="es-ES_tradnl"/>
        </w:rPr>
        <w:t xml:space="preserve">, </w:t>
      </w:r>
      <w:r w:rsidR="004165F7" w:rsidRPr="00097983">
        <w:rPr>
          <w:lang w:val="es-ES_tradnl"/>
        </w:rPr>
        <w:t>Euroseeds, la </w:t>
      </w:r>
      <w:r w:rsidR="004165F7" w:rsidRPr="00B85DC9">
        <w:rPr>
          <w:i/>
          <w:iCs/>
          <w:lang w:val="es-ES"/>
        </w:rPr>
        <w:t>International Seed Federation</w:t>
      </w:r>
      <w:r w:rsidR="004165F7" w:rsidRPr="00097983">
        <w:rPr>
          <w:i/>
          <w:iCs/>
          <w:lang w:val="es-ES_tradnl"/>
        </w:rPr>
        <w:t xml:space="preserve"> </w:t>
      </w:r>
      <w:r w:rsidR="004165F7" w:rsidRPr="00097983">
        <w:rPr>
          <w:lang w:val="es-ES_tradnl"/>
        </w:rPr>
        <w:t>(ISF) y la </w:t>
      </w:r>
      <w:r w:rsidR="004165F7" w:rsidRPr="00B85DC9">
        <w:rPr>
          <w:i/>
          <w:iCs/>
          <w:lang w:val="es-ES"/>
        </w:rPr>
        <w:t>Seed Association of the Americas</w:t>
      </w:r>
      <w:r w:rsidR="004165F7" w:rsidRPr="00097983">
        <w:rPr>
          <w:lang w:val="es-ES_tradnl"/>
        </w:rPr>
        <w:t xml:space="preserve"> (SAA).</w:t>
      </w:r>
      <w:r w:rsidR="00A6049D">
        <w:rPr>
          <w:lang w:val="es-ES_tradnl"/>
        </w:rPr>
        <w:t xml:space="preserve"> </w:t>
      </w:r>
      <w:r w:rsidR="009E735E" w:rsidRPr="00AF2CA4">
        <w:rPr>
          <w:lang w:val="es-ES_tradnl"/>
        </w:rPr>
        <w:t>Se facilita una copia de la ponencia en el documento TWV/55/4 (véanse los documentos TWV/55/16 “</w:t>
      </w:r>
      <w:r w:rsidR="009E735E" w:rsidRPr="00AF2CA4">
        <w:rPr>
          <w:i/>
          <w:iCs/>
          <w:lang w:val="es-ES_tradnl"/>
        </w:rPr>
        <w:t>Report</w:t>
      </w:r>
      <w:r w:rsidR="009E735E" w:rsidRPr="00AF2CA4">
        <w:rPr>
          <w:lang w:val="es-ES_tradnl"/>
        </w:rPr>
        <w:t>”, párrafos 56 a 61; TWO/53/10 “</w:t>
      </w:r>
      <w:r w:rsidR="009E735E" w:rsidRPr="00AF2CA4">
        <w:rPr>
          <w:i/>
          <w:iCs/>
          <w:lang w:val="es-ES_tradnl"/>
        </w:rPr>
        <w:t>Report</w:t>
      </w:r>
      <w:r w:rsidR="009E735E" w:rsidRPr="00AF2CA4">
        <w:rPr>
          <w:lang w:val="es-ES_tradnl"/>
        </w:rPr>
        <w:t>”, párrafos 62 a 64; TWA/50/9 “</w:t>
      </w:r>
      <w:r w:rsidR="009E735E" w:rsidRPr="00AF2CA4">
        <w:rPr>
          <w:i/>
          <w:iCs/>
          <w:lang w:val="es-ES_tradnl"/>
        </w:rPr>
        <w:t>Report</w:t>
      </w:r>
      <w:r w:rsidR="009E735E" w:rsidRPr="00AF2CA4">
        <w:rPr>
          <w:lang w:val="es-ES_tradnl"/>
        </w:rPr>
        <w:t>”, párrafos 91 a 93; TWF/52/10 “</w:t>
      </w:r>
      <w:r w:rsidR="009E735E" w:rsidRPr="00AF2CA4">
        <w:rPr>
          <w:i/>
          <w:iCs/>
          <w:lang w:val="es-ES_tradnl"/>
        </w:rPr>
        <w:t>Report</w:t>
      </w:r>
      <w:r w:rsidR="009E735E" w:rsidRPr="00AF2CA4">
        <w:rPr>
          <w:lang w:val="es-ES_tradnl"/>
        </w:rPr>
        <w:t>”, párrafos 16 y 17; y BMT/20/12 “</w:t>
      </w:r>
      <w:r w:rsidR="009E735E" w:rsidRPr="00AF2CA4">
        <w:rPr>
          <w:i/>
          <w:iCs/>
          <w:lang w:val="es-ES_tradnl"/>
        </w:rPr>
        <w:t>Report</w:t>
      </w:r>
      <w:r w:rsidR="009E735E" w:rsidRPr="00AF2CA4">
        <w:rPr>
          <w:lang w:val="es-ES_tradnl"/>
        </w:rPr>
        <w:t>”, párrafos 25 a 27).</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8237F5" w:rsidRPr="00AF2CA4">
        <w:rPr>
          <w:lang w:val="es-ES_tradnl"/>
        </w:rPr>
        <w:t>El TWV, el TWO y el TWA examinaron la propuesta de revisar el documento TGP/5, sección 3: Formulario tipo de solicitud, a fin de incluir la siguiente petición de confidencialidad de la información molecular de las variedades candidatas:</w:t>
      </w:r>
    </w:p>
    <w:p w:rsidR="008B171B" w:rsidRPr="008B171B" w:rsidRDefault="008B171B" w:rsidP="00046874">
      <w:pPr>
        <w:ind w:left="567" w:right="567"/>
        <w:rPr>
          <w:lang w:val="es-ES_tradnl"/>
        </w:rPr>
      </w:pPr>
    </w:p>
    <w:p w:rsidR="008B171B" w:rsidRPr="008B171B" w:rsidRDefault="008237F5" w:rsidP="004E4F71">
      <w:pPr>
        <w:ind w:left="567" w:right="567"/>
        <w:rPr>
          <w:i/>
          <w:lang w:val="es-ES_tradnl"/>
        </w:rPr>
      </w:pPr>
      <w:r w:rsidRPr="00AF2CA4">
        <w:rPr>
          <w:i/>
          <w:lang w:val="es-ES_tradnl"/>
        </w:rPr>
        <w:t>“</w:t>
      </w:r>
      <w:r w:rsidRPr="00AF2CA4">
        <w:rPr>
          <w:i/>
          <w:iCs/>
          <w:lang w:val="es-ES_tradnl"/>
        </w:rPr>
        <w:t>Solicito/solicitamos que se mantenga el carácter confidencial de la información molecular referida a la variedad y que el intercambio con otro miembro de la UPOV u oficina de examen esté sujeto al consentimiento del solicitante</w:t>
      </w:r>
      <w:r w:rsidRPr="00AF2CA4">
        <w:rPr>
          <w:i/>
          <w:lang w:val="es-ES_tradnl"/>
        </w:rPr>
        <w:t>.”</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E25B8C" w:rsidRPr="00AF2CA4">
        <w:rPr>
          <w:lang w:val="es-ES_tradnl"/>
        </w:rPr>
        <w:t>El TWV tomó nota de que algunas autoridades crean bases de datos con información molecular y utilizan esta información para seleccionar variedades similares y organizar el ensayo en cultivo</w:t>
      </w:r>
      <w:r w:rsidR="008237F5" w:rsidRPr="00AF2CA4">
        <w:rPr>
          <w:lang w:val="es-ES_tradnl"/>
        </w:rPr>
        <w:t>.</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E25B8C" w:rsidRPr="00AF2CA4">
        <w:rPr>
          <w:lang w:val="es-ES_tradnl"/>
        </w:rPr>
        <w:t>El TWV convino en solicitar información sobre si la propuesta puede impedir que una autoridad receptora de una solicitud obtenga información molecular sobre la variedad candidata a los fines del examen DHE y si la propuesta solo tiene por objeto evitar que la autoridad receptora transmita información molecular sobre la variedad a otras autoridades sin el consentimiento del solicitante.</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E25B8C" w:rsidRPr="00AF2CA4">
        <w:rPr>
          <w:lang w:val="es-ES_tradnl"/>
        </w:rPr>
        <w:t>El TWV tomó nota de que es necesario seguir manteniendo debates con los obtentores para encontrar una solución pragmática que permita abordar las preocupaciones de los obtentores, sin imponer una carga administrativa innecesaria a las autoridades.</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E25B8C" w:rsidRPr="00AF2CA4">
        <w:rPr>
          <w:lang w:val="es-ES_tradnl"/>
        </w:rPr>
        <w:t>El TWV tomó nota de que la misma ponencia se programará para otros TWP en sus sesiones de 2021, de manera que se pueda seguir examinando la propuesta.</w:t>
      </w:r>
    </w:p>
    <w:p w:rsidR="008B171B" w:rsidRPr="008B171B" w:rsidRDefault="008B171B" w:rsidP="00046874">
      <w:pPr>
        <w:rPr>
          <w:lang w:val="es-ES_tradnl"/>
        </w:rPr>
      </w:pPr>
    </w:p>
    <w:p w:rsidR="008B171B" w:rsidRPr="008B171B" w:rsidRDefault="00A379E4" w:rsidP="004E4F71">
      <w:pPr>
        <w:rPr>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E25B8C" w:rsidRPr="00AF2CA4">
        <w:rPr>
          <w:lang w:val="es-ES_tradnl"/>
        </w:rPr>
        <w:t>El TWO convino en que es necesario seguir manteniendo debates con los obtentores para encontrar una solución adecuada que permita abordar las preocupaciones de los obtentores y, al mismo tiempo, evitar que se imponga una carga administrativa innecesaria a las autoridades.</w:t>
      </w:r>
    </w:p>
    <w:p w:rsidR="008B171B" w:rsidRPr="008B171B" w:rsidRDefault="008B171B" w:rsidP="00046874">
      <w:pPr>
        <w:jc w:val="left"/>
        <w:rPr>
          <w:lang w:val="es-ES_tradnl"/>
        </w:rPr>
      </w:pPr>
    </w:p>
    <w:p w:rsidR="008B171B" w:rsidRPr="008B171B" w:rsidRDefault="00A379E4" w:rsidP="00466A36">
      <w:pPr>
        <w:keepLines/>
        <w:rPr>
          <w:lang w:val="es-ES_tradnl"/>
        </w:rPr>
      </w:pPr>
      <w:r w:rsidRPr="00046874">
        <w:rPr>
          <w:lang w:val="es-ES_tradnl"/>
        </w:rPr>
        <w:lastRenderedPageBreak/>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E25B8C" w:rsidRPr="00C34BDE">
        <w:rPr>
          <w:lang w:val="es-ES_tradnl"/>
        </w:rPr>
        <w:t>El TWA tomó nota de la importancia que reviste para los obtentores el carácter confidencial de la información molecular y convino en que será necesario seguir manteniendo debates sobre este asunto.</w:t>
      </w:r>
      <w:r w:rsidR="00A6049D">
        <w:rPr>
          <w:lang w:val="es-ES_tradnl"/>
        </w:rPr>
        <w:t xml:space="preserve"> </w:t>
      </w:r>
      <w:r w:rsidR="00E25B8C" w:rsidRPr="00C34BDE">
        <w:rPr>
          <w:lang w:val="es-ES_tradnl"/>
        </w:rPr>
        <w:t>El TWA tomó nota de que el carácter confidencial de la información molecular puede estar sujeto a la legislación de los diferentes miembros de la UPOV y convino en invitar a presentar ponencias en su quincuagésima primera sesión.</w:t>
      </w:r>
      <w:r w:rsidR="00A6049D">
        <w:rPr>
          <w:lang w:val="es-ES_tradnl"/>
        </w:rPr>
        <w:t xml:space="preserve"> </w:t>
      </w:r>
      <w:r w:rsidR="00E25B8C" w:rsidRPr="00C34BDE">
        <w:rPr>
          <w:lang w:val="es-ES_tradnl"/>
        </w:rPr>
        <w:t>El TWA tomó nota de que la Argentina manifestó interés en presentar una ponencia sobre la cuestión en la quincuagésima primera sesión del TWA.</w:t>
      </w:r>
    </w:p>
    <w:p w:rsidR="008B171B" w:rsidRPr="008B171B" w:rsidRDefault="008B171B" w:rsidP="00046874">
      <w:pPr>
        <w:rPr>
          <w:lang w:val="es-ES_tradnl"/>
        </w:rPr>
      </w:pPr>
    </w:p>
    <w:p w:rsidR="008B171B" w:rsidRPr="008B171B" w:rsidRDefault="00A379E4" w:rsidP="004E4F71">
      <w:pPr>
        <w:rPr>
          <w:rFonts w:cs="Arial"/>
          <w:i/>
          <w:snapToGrid w:val="0"/>
          <w:lang w:val="es-ES_tradnl"/>
        </w:rPr>
      </w:pPr>
      <w:r w:rsidRPr="00046874">
        <w:rPr>
          <w:lang w:val="es-ES_tradnl"/>
        </w:rPr>
        <w:fldChar w:fldCharType="begin"/>
      </w:r>
      <w:r w:rsidR="00046874" w:rsidRPr="00046874">
        <w:rPr>
          <w:lang w:val="es-ES_tradnl"/>
        </w:rPr>
        <w:instrText xml:space="preserve"> AUTONUM  </w:instrText>
      </w:r>
      <w:r w:rsidRPr="00046874">
        <w:rPr>
          <w:lang w:val="es-ES_tradnl"/>
        </w:rPr>
        <w:fldChar w:fldCharType="end"/>
      </w:r>
      <w:r w:rsidR="00046874" w:rsidRPr="00046874">
        <w:rPr>
          <w:lang w:val="es-ES_tradnl"/>
        </w:rPr>
        <w:tab/>
      </w:r>
      <w:r w:rsidR="00E25B8C" w:rsidRPr="00C34BDE">
        <w:rPr>
          <w:lang w:val="es-ES_tradnl"/>
        </w:rPr>
        <w:t>El TWF tomó nota de que la cuestión de la confidencialidad y la titularidad de la información molecular no se ha examinado en detalle en el sector de las plantas frutales y convino en que es necesario continuar con el debate.</w:t>
      </w:r>
      <w:r w:rsidR="00046874" w:rsidRPr="00046874">
        <w:rPr>
          <w:lang w:val="es-ES_tradnl"/>
        </w:rPr>
        <w:t xml:space="preserve"> </w:t>
      </w:r>
      <w:r w:rsidR="00E25B8C" w:rsidRPr="00C34BDE">
        <w:rPr>
          <w:lang w:val="es-ES_tradnl"/>
        </w:rPr>
        <w:t>El TWF convino en invitar a presentar ponencias a los miembros y observadores sobre esta materia en el punto del orden del día “Ponencia sobre la utilización de técnicas moleculares en el examen DHE”, en su quincuagésima tercera sesión.</w:t>
      </w:r>
    </w:p>
    <w:p w:rsidR="008B171B" w:rsidRPr="008B171B" w:rsidRDefault="008B171B" w:rsidP="00046874">
      <w:pPr>
        <w:jc w:val="left"/>
        <w:rPr>
          <w:lang w:val="es-ES_tradnl"/>
        </w:rPr>
      </w:pPr>
    </w:p>
    <w:p w:rsidR="008B171B" w:rsidRPr="008B171B" w:rsidRDefault="00A379E4" w:rsidP="004E4F71">
      <w:pPr>
        <w:rPr>
          <w:rFonts w:cs="Arial"/>
          <w:iCs/>
          <w:lang w:val="es-ES_tradnl"/>
        </w:rPr>
      </w:pPr>
      <w:r w:rsidRPr="00046874">
        <w:rPr>
          <w:rFonts w:cs="Arial"/>
          <w:iCs/>
          <w:lang w:val="es-ES_tradnl"/>
        </w:rPr>
        <w:fldChar w:fldCharType="begin"/>
      </w:r>
      <w:r w:rsidR="00046874" w:rsidRPr="00046874">
        <w:rPr>
          <w:rFonts w:cs="Arial"/>
          <w:iCs/>
          <w:lang w:val="es-ES_tradnl"/>
        </w:rPr>
        <w:instrText xml:space="preserve"> AUTONUM  </w:instrText>
      </w:r>
      <w:r w:rsidRPr="00046874">
        <w:rPr>
          <w:rFonts w:cs="Arial"/>
          <w:iCs/>
          <w:lang w:val="es-ES_tradnl"/>
        </w:rPr>
        <w:fldChar w:fldCharType="end"/>
      </w:r>
      <w:r w:rsidR="00046874" w:rsidRPr="00046874">
        <w:rPr>
          <w:rFonts w:cs="Arial"/>
          <w:iCs/>
          <w:lang w:val="es-ES_tradnl"/>
        </w:rPr>
        <w:tab/>
      </w:r>
      <w:r w:rsidR="00E25B8C" w:rsidRPr="00C34BDE">
        <w:rPr>
          <w:rFonts w:cs="Arial"/>
          <w:iCs/>
          <w:lang w:val="es-ES_tradnl"/>
        </w:rPr>
        <w:t>El BMT tomó nota de que se han mantenido debates sobre confidencialidad, titularidad y acceso a datos moleculares en los Grupos de Trabajo Técnico, en sus sesiones de 2021.</w:t>
      </w:r>
      <w:r w:rsidR="00A6049D">
        <w:rPr>
          <w:rFonts w:cs="Arial"/>
          <w:iCs/>
          <w:lang w:val="es-ES_tradnl"/>
        </w:rPr>
        <w:t xml:space="preserve"> </w:t>
      </w:r>
      <w:r w:rsidR="00E25B8C" w:rsidRPr="00C34BDE">
        <w:rPr>
          <w:rFonts w:cs="Arial"/>
          <w:iCs/>
          <w:lang w:val="es-ES_tradnl"/>
        </w:rPr>
        <w:t>El BMT tomó nota de que los TWP han invitado a mantener más debates sobre este asunto en sus próximas sesiones.</w:t>
      </w:r>
    </w:p>
    <w:p w:rsidR="008B171B" w:rsidRPr="008B171B" w:rsidRDefault="008B171B" w:rsidP="00046874">
      <w:pPr>
        <w:rPr>
          <w:rFonts w:cs="Arial"/>
          <w:iCs/>
          <w:lang w:val="es-ES_tradnl"/>
        </w:rPr>
      </w:pPr>
    </w:p>
    <w:p w:rsidR="008B171B" w:rsidRPr="008B171B" w:rsidRDefault="00A379E4" w:rsidP="004E4F71">
      <w:pPr>
        <w:rPr>
          <w:rFonts w:cs="Arial"/>
          <w:iCs/>
          <w:lang w:val="es-ES_tradnl"/>
        </w:rPr>
      </w:pPr>
      <w:r w:rsidRPr="00046874">
        <w:rPr>
          <w:rFonts w:cs="Arial"/>
          <w:iCs/>
          <w:lang w:val="es-ES_tradnl"/>
        </w:rPr>
        <w:fldChar w:fldCharType="begin"/>
      </w:r>
      <w:r w:rsidR="00046874" w:rsidRPr="00046874">
        <w:rPr>
          <w:rFonts w:cs="Arial"/>
          <w:iCs/>
          <w:lang w:val="es-ES_tradnl"/>
        </w:rPr>
        <w:instrText xml:space="preserve"> AUTONUM  </w:instrText>
      </w:r>
      <w:r w:rsidRPr="00046874">
        <w:rPr>
          <w:rFonts w:cs="Arial"/>
          <w:iCs/>
          <w:lang w:val="es-ES_tradnl"/>
        </w:rPr>
        <w:fldChar w:fldCharType="end"/>
      </w:r>
      <w:r w:rsidR="00046874" w:rsidRPr="00046874">
        <w:rPr>
          <w:rFonts w:cs="Arial"/>
          <w:iCs/>
          <w:lang w:val="es-ES_tradnl"/>
        </w:rPr>
        <w:tab/>
      </w:r>
      <w:r w:rsidR="00E25B8C" w:rsidRPr="00C34BDE">
        <w:rPr>
          <w:rFonts w:cs="Arial"/>
          <w:iCs/>
          <w:lang w:val="es-ES_tradnl"/>
        </w:rPr>
        <w:t>El BMT acordó invitar a que en la primera sesión del TWM se presenten ponencias sobre las prácticas actuales en materia de confidencialidad y acceso a los datos moleculares.</w:t>
      </w:r>
      <w:r w:rsidR="00A6049D">
        <w:rPr>
          <w:rFonts w:cs="Arial"/>
          <w:iCs/>
          <w:lang w:val="es-ES_tradnl"/>
        </w:rPr>
        <w:t xml:space="preserve"> </w:t>
      </w:r>
      <w:r w:rsidR="00E25B8C" w:rsidRPr="00C34BDE">
        <w:rPr>
          <w:rFonts w:cs="Arial"/>
          <w:iCs/>
          <w:lang w:val="es-ES_tradnl"/>
        </w:rPr>
        <w:t>El BMT convino en que las prácticas actuales de los miembros de la UPOV y observadores pueden constituir un buen punto de partida para deliberar sobre el tema.</w:t>
      </w:r>
    </w:p>
    <w:p w:rsidR="008B171B" w:rsidRPr="008B171B" w:rsidRDefault="008B171B" w:rsidP="00046874">
      <w:pPr>
        <w:rPr>
          <w:lang w:val="es-ES_tradnl"/>
        </w:rPr>
      </w:pPr>
    </w:p>
    <w:p w:rsidR="008B171B" w:rsidRPr="008B171B" w:rsidRDefault="008B171B" w:rsidP="00046874">
      <w:pPr>
        <w:rPr>
          <w:lang w:val="es-ES_tradnl"/>
        </w:rPr>
      </w:pPr>
    </w:p>
    <w:p w:rsidR="008B171B" w:rsidRPr="008B171B" w:rsidRDefault="00E25B8C" w:rsidP="004E4F71">
      <w:pPr>
        <w:jc w:val="right"/>
        <w:rPr>
          <w:lang w:val="es-ES_tradnl"/>
        </w:rPr>
      </w:pPr>
      <w:r w:rsidRPr="00C34BDE">
        <w:rPr>
          <w:lang w:val="es-ES_tradnl"/>
        </w:rPr>
        <w:t>[Siguen los Anexos]</w:t>
      </w:r>
    </w:p>
    <w:p w:rsidR="00046874" w:rsidRPr="00046874" w:rsidRDefault="00046874" w:rsidP="00046874">
      <w:pPr>
        <w:ind w:right="500"/>
        <w:rPr>
          <w:lang w:val="es-ES_tradnl"/>
        </w:rPr>
        <w:sectPr w:rsidR="00046874" w:rsidRPr="00046874" w:rsidSect="00046874">
          <w:headerReference w:type="default" r:id="rId9"/>
          <w:pgSz w:w="11907" w:h="16840" w:code="9"/>
          <w:pgMar w:top="510" w:right="1134" w:bottom="1134" w:left="1134" w:header="510" w:footer="680" w:gutter="0"/>
          <w:pgNumType w:start="1"/>
          <w:cols w:space="720"/>
          <w:titlePg/>
          <w:docGrid w:linePitch="272"/>
        </w:sectPr>
      </w:pPr>
    </w:p>
    <w:p w:rsidR="008B171B" w:rsidRPr="008B171B" w:rsidRDefault="00AE0C7B" w:rsidP="004E4F71">
      <w:pPr>
        <w:rPr>
          <w:lang w:val="es-ES_tradnl"/>
        </w:rPr>
      </w:pPr>
      <w:r w:rsidRPr="00BD7D2C">
        <w:rPr>
          <w:lang w:val="es-ES_tradnl"/>
        </w:rPr>
        <w:lastRenderedPageBreak/>
        <w:t>ELEMENTOS DEL PROYECTO DE DOCUMENTO CONJUNTO EN EL QUE SE EXPLIQUEN LAS CARACTERÍSTICAS PRINCIPALES DE LOS SISTEMAS DE LA OCDE, LA UPOV Y LA ISTA</w:t>
      </w:r>
    </w:p>
    <w:p w:rsidR="008B171B" w:rsidRPr="008B171B" w:rsidRDefault="008B171B" w:rsidP="00046874">
      <w:pPr>
        <w:rPr>
          <w:lang w:val="es-ES_tradnl"/>
        </w:rPr>
      </w:pPr>
    </w:p>
    <w:p w:rsidR="008B171B" w:rsidRPr="008B171B" w:rsidRDefault="00AE0C7B" w:rsidP="004E4F71">
      <w:pPr>
        <w:rPr>
          <w:bCs/>
          <w:u w:val="single"/>
          <w:lang w:val="es-ES_tradnl"/>
        </w:rPr>
      </w:pPr>
      <w:r w:rsidRPr="00261FCA">
        <w:rPr>
          <w:bCs/>
          <w:u w:val="single"/>
          <w:lang w:val="es-ES_tradnl"/>
        </w:rPr>
        <w:t>Organización para la Cooperación y el Desarrollo Económicos (OCDE)</w:t>
      </w:r>
    </w:p>
    <w:p w:rsidR="008B171B" w:rsidRPr="008B171B" w:rsidRDefault="008B171B" w:rsidP="00046874">
      <w:pPr>
        <w:rPr>
          <w:lang w:val="es-ES_tradnl"/>
        </w:rPr>
      </w:pPr>
    </w:p>
    <w:p w:rsidR="008B171B" w:rsidRPr="008B171B" w:rsidRDefault="00AE0C7B" w:rsidP="004E4F71">
      <w:pPr>
        <w:spacing w:before="100"/>
        <w:rPr>
          <w:i/>
          <w:lang w:val="es-ES_tradnl"/>
        </w:rPr>
      </w:pPr>
      <w:r w:rsidRPr="00261FCA">
        <w:rPr>
          <w:i/>
          <w:lang w:val="es-ES_tradnl"/>
        </w:rPr>
        <w:t>¿Qué son los Sistemas de semillas de la OCDE?</w:t>
      </w:r>
    </w:p>
    <w:p w:rsidR="008B171B" w:rsidRPr="008B171B" w:rsidRDefault="008B171B" w:rsidP="00046874">
      <w:pPr>
        <w:spacing w:before="4"/>
        <w:rPr>
          <w:b/>
          <w:lang w:val="es-ES_tradnl"/>
        </w:rPr>
      </w:pPr>
    </w:p>
    <w:p w:rsidR="008B171B" w:rsidRPr="008B171B" w:rsidRDefault="00AE0C7B" w:rsidP="004E4F71">
      <w:pPr>
        <w:widowControl w:val="0"/>
        <w:tabs>
          <w:tab w:val="left" w:pos="1125"/>
          <w:tab w:val="left" w:pos="1126"/>
        </w:tabs>
        <w:autoSpaceDE w:val="0"/>
        <w:autoSpaceDN w:val="0"/>
        <w:spacing w:before="1"/>
        <w:ind w:right="214"/>
        <w:rPr>
          <w:rFonts w:cs="Arial"/>
          <w:lang w:val="es-ES_tradnl" w:eastAsia="en-GB" w:bidi="en-GB"/>
        </w:rPr>
      </w:pPr>
      <w:r w:rsidRPr="00261FCA">
        <w:rPr>
          <w:rFonts w:cs="Arial"/>
          <w:lang w:val="es-ES_tradnl" w:eastAsia="en-GB" w:bidi="en-GB"/>
        </w:rPr>
        <w:t>Los Sistemas de semillas de la OCDE proporcionan un marco internacional para la certificación varietal de las semillas agrícolas destinadas al comercio internacional.</w:t>
      </w:r>
      <w:r w:rsidR="00046874" w:rsidRPr="00046874">
        <w:rPr>
          <w:rFonts w:cs="Arial"/>
          <w:lang w:val="es-ES_tradnl" w:eastAsia="en-GB" w:bidi="en-GB"/>
        </w:rPr>
        <w:t xml:space="preserve"> </w:t>
      </w:r>
      <w:r w:rsidRPr="00EB5E0F">
        <w:rPr>
          <w:rFonts w:cs="Arial"/>
          <w:lang w:val="es-ES_tradnl" w:eastAsia="en-GB" w:bidi="en-GB"/>
        </w:rPr>
        <w:t>Los Sistemas de semillas se crearon en 1958 impulsados por una combinación de factores, entre ellos el rápido crecimiento del comercio de semillas, la armonización de las normas en Europa, el desarrollo de la producción fuera de temporada, el potencial de producción y fitomejoramiento de semillas de los grandes países exportadores de Europa y América (del Norte y del Sur) y el apoyo de la industria privada.</w:t>
      </w:r>
      <w:r w:rsidR="00046874" w:rsidRPr="00046874">
        <w:rPr>
          <w:rFonts w:cs="Arial"/>
          <w:lang w:val="es-ES_tradnl" w:eastAsia="en-GB" w:bidi="en-GB"/>
        </w:rPr>
        <w:t xml:space="preserve"> </w:t>
      </w:r>
      <w:r w:rsidRPr="00EB5E0F">
        <w:rPr>
          <w:rFonts w:cs="Arial"/>
          <w:lang w:val="es-ES_tradnl" w:eastAsia="en-GB" w:bidi="en-GB"/>
        </w:rPr>
        <w:t>La adhesión a los Sistemas de semillas es voluntaria y el grado de participación es variable.</w:t>
      </w:r>
      <w:r w:rsidR="00046874" w:rsidRPr="00046874">
        <w:rPr>
          <w:rFonts w:cs="Arial"/>
          <w:lang w:val="es-ES_tradnl" w:eastAsia="en-GB" w:bidi="en-GB"/>
        </w:rPr>
        <w:t xml:space="preserve"> </w:t>
      </w:r>
      <w:r w:rsidRPr="00EB5E0F">
        <w:rPr>
          <w:rFonts w:cs="Arial"/>
          <w:lang w:val="es-ES_tradnl" w:eastAsia="en-GB" w:bidi="en-GB"/>
        </w:rPr>
        <w:t>Existen siete Sistemas de semillas agrícolas.</w:t>
      </w:r>
    </w:p>
    <w:p w:rsidR="008B171B" w:rsidRPr="008B171B" w:rsidRDefault="008B171B" w:rsidP="00046874">
      <w:pPr>
        <w:spacing w:before="3"/>
        <w:rPr>
          <w:rFonts w:cs="Arial"/>
          <w:lang w:val="es-ES_tradnl"/>
        </w:rPr>
      </w:pPr>
    </w:p>
    <w:p w:rsidR="008B171B" w:rsidRPr="008B171B" w:rsidRDefault="00AE0C7B" w:rsidP="004E4F71">
      <w:pPr>
        <w:rPr>
          <w:i/>
          <w:lang w:val="es-ES_tradnl"/>
        </w:rPr>
      </w:pPr>
      <w:bookmarkStart w:id="21" w:name="Participating_countries"/>
      <w:bookmarkEnd w:id="21"/>
      <w:r w:rsidRPr="00EB5E0F">
        <w:rPr>
          <w:i/>
          <w:lang w:val="es-ES_tradnl"/>
        </w:rPr>
        <w:t>Países participantes</w:t>
      </w:r>
    </w:p>
    <w:p w:rsidR="008B171B" w:rsidRPr="008B171B" w:rsidRDefault="008B171B" w:rsidP="00046874">
      <w:pPr>
        <w:spacing w:before="4"/>
        <w:rPr>
          <w:rFonts w:cs="Arial"/>
          <w:b/>
          <w:lang w:val="es-ES_tradnl"/>
        </w:rPr>
      </w:pPr>
    </w:p>
    <w:p w:rsidR="008B171B" w:rsidRPr="008B171B" w:rsidRDefault="00AE0C7B" w:rsidP="004E4F71">
      <w:pPr>
        <w:widowControl w:val="0"/>
        <w:tabs>
          <w:tab w:val="left" w:pos="567"/>
        </w:tabs>
        <w:autoSpaceDE w:val="0"/>
        <w:autoSpaceDN w:val="0"/>
        <w:spacing w:before="1"/>
        <w:ind w:right="216"/>
        <w:rPr>
          <w:rFonts w:cs="Arial"/>
          <w:lang w:val="es-ES_tradnl" w:eastAsia="en-GB" w:bidi="en-GB"/>
        </w:rPr>
      </w:pPr>
      <w:r w:rsidRPr="00EB5E0F">
        <w:rPr>
          <w:rFonts w:cs="Arial"/>
          <w:lang w:val="es-ES_tradnl" w:eastAsia="en-GB" w:bidi="en-GB"/>
        </w:rPr>
        <w:t>En la actualidad, participan en los Sistemas de semillas de la OCDE 59 países de Europa, América del Norte y del Sur, África, Oriente Medio, Asia y Oceanía:</w:t>
      </w:r>
    </w:p>
    <w:p w:rsidR="00046874" w:rsidRPr="00046874" w:rsidRDefault="00046874" w:rsidP="00046874">
      <w:pPr>
        <w:spacing w:before="5"/>
        <w:rPr>
          <w:sz w:val="21"/>
          <w:lang w:val="es-ES_tradnl"/>
        </w:rPr>
      </w:pPr>
    </w:p>
    <w:tbl>
      <w:tblPr>
        <w:tblW w:w="0" w:type="auto"/>
        <w:jc w:val="center"/>
        <w:tblLayout w:type="fixed"/>
        <w:tblCellMar>
          <w:left w:w="0" w:type="dxa"/>
          <w:right w:w="0" w:type="dxa"/>
        </w:tblCellMar>
        <w:tblLook w:val="01E0" w:firstRow="1" w:lastRow="1" w:firstColumn="1" w:lastColumn="1" w:noHBand="0" w:noVBand="0"/>
      </w:tblPr>
      <w:tblGrid>
        <w:gridCol w:w="2696"/>
        <w:gridCol w:w="992"/>
        <w:gridCol w:w="2552"/>
        <w:gridCol w:w="561"/>
      </w:tblGrid>
      <w:tr w:rsidR="00323747" w:rsidRPr="00046874" w:rsidTr="00301A3E">
        <w:trPr>
          <w:trHeight w:val="257"/>
          <w:jc w:val="center"/>
        </w:trPr>
        <w:tc>
          <w:tcPr>
            <w:tcW w:w="2696" w:type="dxa"/>
            <w:tcBorders>
              <w:top w:val="single" w:sz="4" w:space="0" w:color="auto"/>
            </w:tcBorders>
            <w:shd w:val="clear" w:color="auto" w:fill="DBE5F1"/>
          </w:tcPr>
          <w:p w:rsidR="00323747" w:rsidRPr="00046874" w:rsidRDefault="00323747" w:rsidP="004E4F71">
            <w:pPr>
              <w:widowControl w:val="0"/>
              <w:autoSpaceDE w:val="0"/>
              <w:autoSpaceDN w:val="0"/>
              <w:spacing w:before="34" w:line="208" w:lineRule="exact"/>
              <w:jc w:val="left"/>
              <w:rPr>
                <w:rFonts w:ascii="Trebuchet MS" w:eastAsia="Trebuchet MS" w:hAnsi="Trebuchet MS" w:cs="Trebuchet MS"/>
                <w:sz w:val="18"/>
                <w:szCs w:val="22"/>
                <w:lang w:val="es-ES_tradnl" w:eastAsia="en-GB" w:bidi="en-GB"/>
              </w:rPr>
            </w:pPr>
            <w:r w:rsidRPr="00EB5E0F">
              <w:rPr>
                <w:rFonts w:ascii="Trebuchet MS" w:eastAsia="Trebuchet MS" w:hAnsi="Trebuchet MS" w:cs="Trebuchet MS"/>
                <w:sz w:val="18"/>
                <w:szCs w:val="22"/>
                <w:lang w:val="es-ES_tradnl" w:eastAsia="en-GB" w:bidi="en-GB"/>
              </w:rPr>
              <w:t>ALBANIA</w:t>
            </w:r>
          </w:p>
        </w:tc>
        <w:tc>
          <w:tcPr>
            <w:tcW w:w="992" w:type="dxa"/>
            <w:tcBorders>
              <w:top w:val="single" w:sz="4" w:space="0" w:color="auto"/>
            </w:tcBorders>
          </w:tcPr>
          <w:p w:rsidR="00323747" w:rsidRPr="00046874" w:rsidRDefault="00323747" w:rsidP="00EA2DD2">
            <w:pPr>
              <w:widowControl w:val="0"/>
              <w:autoSpaceDE w:val="0"/>
              <w:autoSpaceDN w:val="0"/>
              <w:spacing w:before="34" w:line="208" w:lineRule="exact"/>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c>
          <w:tcPr>
            <w:tcW w:w="2552" w:type="dxa"/>
            <w:tcBorders>
              <w:top w:val="single" w:sz="4" w:space="0" w:color="auto"/>
            </w:tcBorders>
            <w:shd w:val="clear" w:color="auto" w:fill="DBE5F1" w:themeFill="accent1" w:themeFillTint="33"/>
          </w:tcPr>
          <w:p w:rsidR="00323747" w:rsidRPr="00046874" w:rsidRDefault="00323747" w:rsidP="00FF1DFE">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JAPÓN</w:t>
            </w:r>
          </w:p>
        </w:tc>
        <w:tc>
          <w:tcPr>
            <w:tcW w:w="561" w:type="dxa"/>
            <w:tcBorders>
              <w:top w:val="single" w:sz="4" w:space="0" w:color="auto"/>
            </w:tcBorders>
          </w:tcPr>
          <w:p w:rsidR="00323747" w:rsidRPr="00046874" w:rsidRDefault="00323747" w:rsidP="00FF1DFE">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r>
      <w:tr w:rsidR="00323747" w:rsidRPr="00046874" w:rsidTr="00301A3E">
        <w:trPr>
          <w:trHeight w:val="265"/>
          <w:jc w:val="center"/>
        </w:trPr>
        <w:tc>
          <w:tcPr>
            <w:tcW w:w="2696" w:type="dxa"/>
            <w:shd w:val="clear" w:color="auto" w:fill="DBE5F1"/>
          </w:tcPr>
          <w:p w:rsidR="00323747" w:rsidRPr="00046874" w:rsidRDefault="00323747" w:rsidP="004E4F71">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ALEMANIA</w:t>
            </w:r>
          </w:p>
        </w:tc>
        <w:tc>
          <w:tcPr>
            <w:tcW w:w="992" w:type="dxa"/>
          </w:tcPr>
          <w:p w:rsidR="00323747" w:rsidRPr="00046874" w:rsidRDefault="00323747" w:rsidP="00EA2DD2">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KENYA</w:t>
            </w:r>
          </w:p>
        </w:tc>
        <w:tc>
          <w:tcPr>
            <w:tcW w:w="561" w:type="dxa"/>
          </w:tcPr>
          <w:p w:rsidR="00323747" w:rsidRPr="00046874" w:rsidRDefault="00323747" w:rsidP="00FF1DFE">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r>
      <w:tr w:rsidR="00323747" w:rsidRPr="00046874" w:rsidTr="00301A3E">
        <w:trPr>
          <w:trHeight w:val="248"/>
          <w:jc w:val="center"/>
        </w:trPr>
        <w:tc>
          <w:tcPr>
            <w:tcW w:w="2696" w:type="dxa"/>
            <w:shd w:val="clear" w:color="auto" w:fill="DBE5F1"/>
          </w:tcPr>
          <w:p w:rsidR="00323747" w:rsidRPr="00046874" w:rsidRDefault="00323747" w:rsidP="004E4F71">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ARGENTINA</w:t>
            </w:r>
          </w:p>
        </w:tc>
        <w:tc>
          <w:tcPr>
            <w:tcW w:w="992" w:type="dxa"/>
          </w:tcPr>
          <w:p w:rsidR="00323747" w:rsidRPr="00046874" w:rsidRDefault="00323747" w:rsidP="00EA2DD2">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c>
          <w:tcPr>
            <w:tcW w:w="2552" w:type="dxa"/>
            <w:shd w:val="clear" w:color="auto" w:fill="DBE5F1" w:themeFill="accent1" w:themeFillTint="33"/>
          </w:tcPr>
          <w:p w:rsidR="00323747" w:rsidRPr="00046874" w:rsidRDefault="00323747" w:rsidP="00FF1DFE">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KIRGUISTÁN</w:t>
            </w:r>
          </w:p>
        </w:tc>
        <w:tc>
          <w:tcPr>
            <w:tcW w:w="561" w:type="dxa"/>
          </w:tcPr>
          <w:p w:rsidR="00323747" w:rsidRPr="00046874" w:rsidRDefault="00323747" w:rsidP="00FF1DFE">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r>
      <w:tr w:rsidR="00323747" w:rsidRPr="00046874" w:rsidTr="00301A3E">
        <w:trPr>
          <w:trHeight w:val="249"/>
          <w:jc w:val="center"/>
        </w:trPr>
        <w:tc>
          <w:tcPr>
            <w:tcW w:w="2696" w:type="dxa"/>
            <w:shd w:val="clear" w:color="auto" w:fill="DBE5F1"/>
          </w:tcPr>
          <w:p w:rsidR="00323747" w:rsidRPr="00046874" w:rsidRDefault="00323747" w:rsidP="004E4F71">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AUSTRALIA</w:t>
            </w:r>
          </w:p>
        </w:tc>
        <w:tc>
          <w:tcPr>
            <w:tcW w:w="992" w:type="dxa"/>
          </w:tcPr>
          <w:p w:rsidR="00323747" w:rsidRPr="00046874" w:rsidRDefault="00323747" w:rsidP="00EA2DD2">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E54E30">
              <w:rPr>
                <w:rFonts w:ascii="Trebuchet MS" w:eastAsia="Trebuchet MS" w:hAnsi="Trebuchet MS" w:cs="Trebuchet MS"/>
                <w:sz w:val="18"/>
                <w:szCs w:val="22"/>
                <w:lang w:val="es-ES_tradnl" w:eastAsia="en-GB" w:bidi="en-GB"/>
              </w:rPr>
              <w:t>LETONIA</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r>
      <w:tr w:rsidR="00323747" w:rsidRPr="00046874" w:rsidTr="00301A3E">
        <w:trPr>
          <w:trHeight w:val="249"/>
          <w:jc w:val="center"/>
        </w:trPr>
        <w:tc>
          <w:tcPr>
            <w:tcW w:w="2696" w:type="dxa"/>
            <w:shd w:val="clear" w:color="auto" w:fill="DBE5F1"/>
          </w:tcPr>
          <w:p w:rsidR="00323747" w:rsidRPr="00046874" w:rsidRDefault="00323747" w:rsidP="004E4F71">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AUSTRIA</w:t>
            </w:r>
          </w:p>
        </w:tc>
        <w:tc>
          <w:tcPr>
            <w:tcW w:w="992" w:type="dxa"/>
          </w:tcPr>
          <w:p w:rsidR="00323747" w:rsidRPr="00046874" w:rsidRDefault="00323747" w:rsidP="00EA2DD2">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LITUANIA</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r>
      <w:tr w:rsidR="00323747" w:rsidRPr="00046874" w:rsidTr="00301A3E">
        <w:trPr>
          <w:trHeight w:val="248"/>
          <w:jc w:val="center"/>
        </w:trPr>
        <w:tc>
          <w:tcPr>
            <w:tcW w:w="2696" w:type="dxa"/>
            <w:shd w:val="clear" w:color="auto" w:fill="DBE5F1"/>
          </w:tcPr>
          <w:p w:rsidR="00323747" w:rsidRPr="00046874" w:rsidRDefault="00323747" w:rsidP="004E4F71">
            <w:pPr>
              <w:widowControl w:val="0"/>
              <w:autoSpaceDE w:val="0"/>
              <w:autoSpaceDN w:val="0"/>
              <w:spacing w:before="20" w:line="208" w:lineRule="exact"/>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BÉLGICA</w:t>
            </w:r>
          </w:p>
        </w:tc>
        <w:tc>
          <w:tcPr>
            <w:tcW w:w="992" w:type="dxa"/>
          </w:tcPr>
          <w:p w:rsidR="00323747" w:rsidRPr="00046874" w:rsidRDefault="00323747" w:rsidP="00EA2DD2">
            <w:pPr>
              <w:widowControl w:val="0"/>
              <w:autoSpaceDE w:val="0"/>
              <w:autoSpaceDN w:val="0"/>
              <w:spacing w:before="20" w:line="208" w:lineRule="exact"/>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LUXEMBURGO</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r>
      <w:tr w:rsidR="00323747" w:rsidRPr="00046874" w:rsidTr="00301A3E">
        <w:trPr>
          <w:trHeight w:val="248"/>
          <w:jc w:val="center"/>
        </w:trPr>
        <w:tc>
          <w:tcPr>
            <w:tcW w:w="2696" w:type="dxa"/>
            <w:shd w:val="clear" w:color="auto" w:fill="DBE5F1"/>
          </w:tcPr>
          <w:p w:rsidR="00323747" w:rsidRPr="00046874" w:rsidRDefault="00323747" w:rsidP="004E4F71">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BOLIVIA</w:t>
            </w:r>
          </w:p>
        </w:tc>
        <w:tc>
          <w:tcPr>
            <w:tcW w:w="992" w:type="dxa"/>
          </w:tcPr>
          <w:p w:rsidR="00323747" w:rsidRPr="00046874" w:rsidRDefault="00323747" w:rsidP="00EA2DD2">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MARRUECOS</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r>
      <w:tr w:rsidR="00323747" w:rsidRPr="00046874" w:rsidTr="00301A3E">
        <w:trPr>
          <w:trHeight w:val="249"/>
          <w:jc w:val="center"/>
        </w:trPr>
        <w:tc>
          <w:tcPr>
            <w:tcW w:w="2696" w:type="dxa"/>
            <w:shd w:val="clear" w:color="auto" w:fill="DBE5F1"/>
          </w:tcPr>
          <w:p w:rsidR="00323747" w:rsidRPr="00046874" w:rsidRDefault="00323747" w:rsidP="004E4F71">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BRASIL</w:t>
            </w:r>
          </w:p>
        </w:tc>
        <w:tc>
          <w:tcPr>
            <w:tcW w:w="992" w:type="dxa"/>
          </w:tcPr>
          <w:p w:rsidR="00323747" w:rsidRPr="00046874" w:rsidRDefault="00323747" w:rsidP="00EA2DD2">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MÉXICO</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r>
      <w:tr w:rsidR="00323747" w:rsidRPr="00046874" w:rsidTr="00301A3E">
        <w:trPr>
          <w:trHeight w:val="249"/>
          <w:jc w:val="center"/>
        </w:trPr>
        <w:tc>
          <w:tcPr>
            <w:tcW w:w="2696" w:type="dxa"/>
            <w:shd w:val="clear" w:color="auto" w:fill="DBE5F1"/>
          </w:tcPr>
          <w:p w:rsidR="00323747" w:rsidRPr="00046874" w:rsidRDefault="00323747" w:rsidP="004E4F71">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BULGARIA</w:t>
            </w:r>
          </w:p>
        </w:tc>
        <w:tc>
          <w:tcPr>
            <w:tcW w:w="992" w:type="dxa"/>
          </w:tcPr>
          <w:p w:rsidR="00323747" w:rsidRPr="00046874" w:rsidRDefault="00323747" w:rsidP="00EA2DD2">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NORUEGA</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r>
      <w:tr w:rsidR="00323747" w:rsidRPr="00046874" w:rsidTr="00301A3E">
        <w:trPr>
          <w:trHeight w:val="248"/>
          <w:jc w:val="center"/>
        </w:trPr>
        <w:tc>
          <w:tcPr>
            <w:tcW w:w="2696" w:type="dxa"/>
            <w:shd w:val="clear" w:color="auto" w:fill="DBE5F1"/>
          </w:tcPr>
          <w:p w:rsidR="00323747" w:rsidRPr="00046874" w:rsidRDefault="00323747" w:rsidP="004E4F71">
            <w:pPr>
              <w:widowControl w:val="0"/>
              <w:autoSpaceDE w:val="0"/>
              <w:autoSpaceDN w:val="0"/>
              <w:spacing w:before="20" w:line="208" w:lineRule="exact"/>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CANADÁ</w:t>
            </w:r>
          </w:p>
        </w:tc>
        <w:tc>
          <w:tcPr>
            <w:tcW w:w="992" w:type="dxa"/>
          </w:tcPr>
          <w:p w:rsidR="00323747" w:rsidRPr="00046874" w:rsidRDefault="00323747" w:rsidP="00EA2DD2">
            <w:pPr>
              <w:widowControl w:val="0"/>
              <w:autoSpaceDE w:val="0"/>
              <w:autoSpaceDN w:val="0"/>
              <w:spacing w:before="20" w:line="208" w:lineRule="exact"/>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NUEVA ZELANDIA</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r>
      <w:tr w:rsidR="00323747" w:rsidRPr="00046874" w:rsidTr="00301A3E">
        <w:trPr>
          <w:trHeight w:val="260"/>
          <w:jc w:val="center"/>
        </w:trPr>
        <w:tc>
          <w:tcPr>
            <w:tcW w:w="2696" w:type="dxa"/>
            <w:shd w:val="clear" w:color="auto" w:fill="DBE5F1"/>
          </w:tcPr>
          <w:p w:rsidR="00323747" w:rsidRPr="00046874" w:rsidRDefault="00323747" w:rsidP="004E4F71">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CHILE</w:t>
            </w:r>
          </w:p>
        </w:tc>
        <w:tc>
          <w:tcPr>
            <w:tcW w:w="992" w:type="dxa"/>
          </w:tcPr>
          <w:p w:rsidR="00323747" w:rsidRPr="00046874" w:rsidRDefault="00323747" w:rsidP="00EA2DD2">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PAÍSES BAJOS</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r>
      <w:tr w:rsidR="00323747" w:rsidRPr="00046874" w:rsidTr="00301A3E">
        <w:trPr>
          <w:trHeight w:val="283"/>
          <w:jc w:val="center"/>
        </w:trPr>
        <w:tc>
          <w:tcPr>
            <w:tcW w:w="2696" w:type="dxa"/>
            <w:shd w:val="clear" w:color="auto" w:fill="DBE5F1"/>
          </w:tcPr>
          <w:p w:rsidR="00323747" w:rsidRPr="00046874" w:rsidRDefault="00323747" w:rsidP="004E4F71">
            <w:pPr>
              <w:widowControl w:val="0"/>
              <w:autoSpaceDE w:val="0"/>
              <w:autoSpaceDN w:val="0"/>
              <w:spacing w:before="3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CHIPRE</w:t>
            </w:r>
            <w:r w:rsidRPr="004E4F71">
              <w:rPr>
                <w:rFonts w:ascii="Trebuchet MS" w:eastAsia="Trebuchet MS" w:hAnsi="Trebuchet MS" w:cs="Trebuchet MS"/>
                <w:sz w:val="18"/>
                <w:szCs w:val="22"/>
                <w:vertAlign w:val="superscript"/>
                <w:lang w:val="es-ES_tradnl" w:eastAsia="en-GB" w:bidi="en-GB"/>
              </w:rPr>
              <w:t>1</w:t>
            </w:r>
          </w:p>
        </w:tc>
        <w:tc>
          <w:tcPr>
            <w:tcW w:w="992" w:type="dxa"/>
          </w:tcPr>
          <w:p w:rsidR="00323747" w:rsidRPr="00046874" w:rsidRDefault="00323747" w:rsidP="00EA2DD2">
            <w:pPr>
              <w:widowControl w:val="0"/>
              <w:autoSpaceDE w:val="0"/>
              <w:autoSpaceDN w:val="0"/>
              <w:spacing w:before="3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POLONIA</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r>
      <w:tr w:rsidR="00323747" w:rsidRPr="00046874" w:rsidTr="00301A3E">
        <w:trPr>
          <w:trHeight w:val="272"/>
          <w:jc w:val="center"/>
        </w:trPr>
        <w:tc>
          <w:tcPr>
            <w:tcW w:w="2696" w:type="dxa"/>
            <w:shd w:val="clear" w:color="auto" w:fill="DBE5F1"/>
          </w:tcPr>
          <w:p w:rsidR="00323747" w:rsidRPr="00046874" w:rsidRDefault="00323747" w:rsidP="004E4F71">
            <w:pPr>
              <w:widowControl w:val="0"/>
              <w:autoSpaceDE w:val="0"/>
              <w:autoSpaceDN w:val="0"/>
              <w:spacing w:before="32"/>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CROACIA</w:t>
            </w:r>
          </w:p>
        </w:tc>
        <w:tc>
          <w:tcPr>
            <w:tcW w:w="992" w:type="dxa"/>
          </w:tcPr>
          <w:p w:rsidR="00323747" w:rsidRPr="00046874" w:rsidRDefault="00323747" w:rsidP="00EA2DD2">
            <w:pPr>
              <w:widowControl w:val="0"/>
              <w:autoSpaceDE w:val="0"/>
              <w:autoSpaceDN w:val="0"/>
              <w:spacing w:before="32"/>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PORTUGAL</w:t>
            </w:r>
          </w:p>
        </w:tc>
        <w:tc>
          <w:tcPr>
            <w:tcW w:w="561" w:type="dxa"/>
          </w:tcPr>
          <w:p w:rsidR="00323747" w:rsidRPr="00323747"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(1)</w:t>
            </w:r>
          </w:p>
        </w:tc>
      </w:tr>
      <w:tr w:rsidR="00323747" w:rsidRPr="00046874" w:rsidTr="00301A3E">
        <w:trPr>
          <w:trHeight w:val="272"/>
          <w:jc w:val="center"/>
        </w:trPr>
        <w:tc>
          <w:tcPr>
            <w:tcW w:w="2696" w:type="dxa"/>
            <w:shd w:val="clear" w:color="auto" w:fill="DBE5F1"/>
          </w:tcPr>
          <w:p w:rsidR="00323747" w:rsidRPr="00046874" w:rsidRDefault="00323747" w:rsidP="004E4F71">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DINAMARCA</w:t>
            </w:r>
          </w:p>
        </w:tc>
        <w:tc>
          <w:tcPr>
            <w:tcW w:w="992" w:type="dxa"/>
          </w:tcPr>
          <w:p w:rsidR="00323747" w:rsidRPr="00046874" w:rsidRDefault="00323747" w:rsidP="00EA2DD2">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REINO UNIDO</w:t>
            </w:r>
          </w:p>
        </w:tc>
        <w:tc>
          <w:tcPr>
            <w:tcW w:w="561" w:type="dxa"/>
          </w:tcPr>
          <w:p w:rsidR="00323747" w:rsidRPr="00323747"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(1)</w:t>
            </w:r>
          </w:p>
        </w:tc>
      </w:tr>
      <w:tr w:rsidR="00323747" w:rsidRPr="00046874" w:rsidTr="00301A3E">
        <w:trPr>
          <w:trHeight w:val="272"/>
          <w:jc w:val="center"/>
        </w:trPr>
        <w:tc>
          <w:tcPr>
            <w:tcW w:w="2696" w:type="dxa"/>
            <w:shd w:val="clear" w:color="auto" w:fill="DBE5F1"/>
          </w:tcPr>
          <w:p w:rsidR="00323747" w:rsidRPr="00046874" w:rsidRDefault="00323747" w:rsidP="004E4F71">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EGIPTO</w:t>
            </w:r>
          </w:p>
        </w:tc>
        <w:tc>
          <w:tcPr>
            <w:tcW w:w="992" w:type="dxa"/>
          </w:tcPr>
          <w:p w:rsidR="00323747" w:rsidRPr="00046874" w:rsidRDefault="00323747" w:rsidP="00EA2DD2">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REPÚBLICA CHECA</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r>
      <w:tr w:rsidR="00323747" w:rsidRPr="00046874" w:rsidTr="00301A3E">
        <w:trPr>
          <w:trHeight w:val="249"/>
          <w:jc w:val="center"/>
        </w:trPr>
        <w:tc>
          <w:tcPr>
            <w:tcW w:w="2696" w:type="dxa"/>
            <w:shd w:val="clear" w:color="auto" w:fill="DBE5F1"/>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ESLOVAQUIA</w:t>
            </w:r>
          </w:p>
        </w:tc>
        <w:tc>
          <w:tcPr>
            <w:tcW w:w="992" w:type="dxa"/>
          </w:tcPr>
          <w:p w:rsidR="00323747" w:rsidRPr="00323747" w:rsidRDefault="00323747" w:rsidP="00323747">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REPÚBLICA DE MOLDOVA</w:t>
            </w:r>
          </w:p>
        </w:tc>
        <w:tc>
          <w:tcPr>
            <w:tcW w:w="561" w:type="dxa"/>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r>
      <w:tr w:rsidR="00323747" w:rsidRPr="00046874" w:rsidTr="00301A3E">
        <w:trPr>
          <w:trHeight w:val="249"/>
          <w:jc w:val="center"/>
        </w:trPr>
        <w:tc>
          <w:tcPr>
            <w:tcW w:w="2696" w:type="dxa"/>
            <w:shd w:val="clear" w:color="auto" w:fill="DBE5F1"/>
          </w:tcPr>
          <w:p w:rsidR="00323747" w:rsidRPr="00046874" w:rsidRDefault="00323747" w:rsidP="00323747">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ESLOVENIA</w:t>
            </w:r>
          </w:p>
        </w:tc>
        <w:tc>
          <w:tcPr>
            <w:tcW w:w="992" w:type="dxa"/>
          </w:tcPr>
          <w:p w:rsidR="00323747" w:rsidRPr="00323747" w:rsidRDefault="00323747" w:rsidP="00323747">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RUMANIA</w:t>
            </w:r>
          </w:p>
        </w:tc>
        <w:tc>
          <w:tcPr>
            <w:tcW w:w="561" w:type="dxa"/>
          </w:tcPr>
          <w:p w:rsidR="00323747" w:rsidRPr="00323747"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(2)</w:t>
            </w:r>
          </w:p>
        </w:tc>
      </w:tr>
      <w:tr w:rsidR="00323747" w:rsidRPr="00046874" w:rsidTr="00301A3E">
        <w:trPr>
          <w:trHeight w:val="249"/>
          <w:jc w:val="center"/>
        </w:trPr>
        <w:tc>
          <w:tcPr>
            <w:tcW w:w="2696" w:type="dxa"/>
            <w:shd w:val="clear" w:color="auto" w:fill="DBE5F1"/>
          </w:tcPr>
          <w:p w:rsidR="00323747" w:rsidRPr="00046874" w:rsidRDefault="00323747" w:rsidP="00323747">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ESPAÑA</w:t>
            </w:r>
          </w:p>
        </w:tc>
        <w:tc>
          <w:tcPr>
            <w:tcW w:w="992" w:type="dxa"/>
          </w:tcPr>
          <w:p w:rsidR="00323747" w:rsidRPr="00323747" w:rsidRDefault="00323747" w:rsidP="00323747">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SENEGAL</w:t>
            </w:r>
          </w:p>
        </w:tc>
        <w:tc>
          <w:tcPr>
            <w:tcW w:w="561" w:type="dxa"/>
          </w:tcPr>
          <w:p w:rsidR="00323747" w:rsidRPr="00323747"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(2)</w:t>
            </w:r>
          </w:p>
        </w:tc>
      </w:tr>
      <w:tr w:rsidR="00323747" w:rsidRPr="00046874" w:rsidTr="00301A3E">
        <w:trPr>
          <w:trHeight w:val="249"/>
          <w:jc w:val="center"/>
        </w:trPr>
        <w:tc>
          <w:tcPr>
            <w:tcW w:w="2696" w:type="dxa"/>
            <w:shd w:val="clear" w:color="auto" w:fill="DBE5F1"/>
          </w:tcPr>
          <w:p w:rsidR="00323747" w:rsidRPr="00046874" w:rsidRDefault="00323747" w:rsidP="00323747">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ESTADOS UNIDOS DE AMÉRICA</w:t>
            </w:r>
          </w:p>
        </w:tc>
        <w:tc>
          <w:tcPr>
            <w:tcW w:w="992" w:type="dxa"/>
          </w:tcPr>
          <w:p w:rsidR="00323747" w:rsidRPr="00323747" w:rsidRDefault="00323747" w:rsidP="00323747">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SERBIA</w:t>
            </w:r>
          </w:p>
        </w:tc>
        <w:tc>
          <w:tcPr>
            <w:tcW w:w="561" w:type="dxa"/>
          </w:tcPr>
          <w:p w:rsidR="00323747" w:rsidRPr="00323747"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(2)</w:t>
            </w:r>
          </w:p>
        </w:tc>
      </w:tr>
      <w:tr w:rsidR="00323747" w:rsidRPr="00046874" w:rsidTr="00301A3E">
        <w:trPr>
          <w:trHeight w:val="271"/>
          <w:jc w:val="center"/>
        </w:trPr>
        <w:tc>
          <w:tcPr>
            <w:tcW w:w="2696" w:type="dxa"/>
            <w:shd w:val="clear" w:color="auto" w:fill="DBE5F1"/>
          </w:tcPr>
          <w:p w:rsidR="00323747" w:rsidRPr="00046874" w:rsidRDefault="00323747" w:rsidP="004E4F71">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ESTONIA</w:t>
            </w:r>
          </w:p>
        </w:tc>
        <w:tc>
          <w:tcPr>
            <w:tcW w:w="992" w:type="dxa"/>
          </w:tcPr>
          <w:p w:rsidR="00323747" w:rsidRPr="00046874" w:rsidRDefault="00323747" w:rsidP="00EA2DD2">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SUDÁFRICA</w:t>
            </w:r>
          </w:p>
        </w:tc>
        <w:tc>
          <w:tcPr>
            <w:tcW w:w="561" w:type="dxa"/>
          </w:tcPr>
          <w:p w:rsidR="00323747" w:rsidRPr="00323747"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(2)</w:t>
            </w:r>
          </w:p>
        </w:tc>
      </w:tr>
      <w:tr w:rsidR="00323747" w:rsidRPr="00046874" w:rsidTr="00301A3E">
        <w:trPr>
          <w:trHeight w:val="249"/>
          <w:jc w:val="center"/>
        </w:trPr>
        <w:tc>
          <w:tcPr>
            <w:tcW w:w="2696" w:type="dxa"/>
            <w:shd w:val="clear" w:color="auto" w:fill="DBE5F1"/>
          </w:tcPr>
          <w:p w:rsidR="00323747" w:rsidRPr="00046874" w:rsidRDefault="00323747" w:rsidP="00323747">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FEDERACIÓN DE RUSIA</w:t>
            </w:r>
          </w:p>
        </w:tc>
        <w:tc>
          <w:tcPr>
            <w:tcW w:w="992" w:type="dxa"/>
          </w:tcPr>
          <w:p w:rsidR="00323747" w:rsidRPr="00323747" w:rsidRDefault="00323747" w:rsidP="00323747">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(2)</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SUECIA</w:t>
            </w:r>
          </w:p>
        </w:tc>
        <w:tc>
          <w:tcPr>
            <w:tcW w:w="561" w:type="dxa"/>
          </w:tcPr>
          <w:p w:rsidR="00323747" w:rsidRPr="00323747"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(1)</w:t>
            </w:r>
          </w:p>
        </w:tc>
      </w:tr>
      <w:tr w:rsidR="00323747" w:rsidRPr="00046874" w:rsidTr="00301A3E">
        <w:trPr>
          <w:trHeight w:val="272"/>
          <w:jc w:val="center"/>
        </w:trPr>
        <w:tc>
          <w:tcPr>
            <w:tcW w:w="2696" w:type="dxa"/>
            <w:shd w:val="clear" w:color="auto" w:fill="DBE5F1"/>
          </w:tcPr>
          <w:p w:rsidR="00323747" w:rsidRPr="00046874" w:rsidRDefault="00323747" w:rsidP="004E4F71">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FINLANDIA</w:t>
            </w:r>
          </w:p>
        </w:tc>
        <w:tc>
          <w:tcPr>
            <w:tcW w:w="992" w:type="dxa"/>
          </w:tcPr>
          <w:p w:rsidR="00323747" w:rsidRPr="00046874" w:rsidRDefault="00323747" w:rsidP="00EA2DD2">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SUIZA</w:t>
            </w:r>
          </w:p>
        </w:tc>
        <w:tc>
          <w:tcPr>
            <w:tcW w:w="561" w:type="dxa"/>
          </w:tcPr>
          <w:p w:rsidR="00323747" w:rsidRPr="00323747"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(1)</w:t>
            </w:r>
          </w:p>
        </w:tc>
      </w:tr>
      <w:tr w:rsidR="00323747" w:rsidRPr="00046874" w:rsidTr="00301A3E">
        <w:trPr>
          <w:trHeight w:val="272"/>
          <w:jc w:val="center"/>
        </w:trPr>
        <w:tc>
          <w:tcPr>
            <w:tcW w:w="2696" w:type="dxa"/>
            <w:shd w:val="clear" w:color="auto" w:fill="DBE5F1"/>
          </w:tcPr>
          <w:p w:rsidR="00323747" w:rsidRPr="00046874" w:rsidRDefault="00323747" w:rsidP="004E4F71">
            <w:pPr>
              <w:widowControl w:val="0"/>
              <w:autoSpaceDE w:val="0"/>
              <w:autoSpaceDN w:val="0"/>
              <w:spacing w:before="21"/>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FRANCIA</w:t>
            </w:r>
          </w:p>
        </w:tc>
        <w:tc>
          <w:tcPr>
            <w:tcW w:w="992" w:type="dxa"/>
          </w:tcPr>
          <w:p w:rsidR="00323747" w:rsidRPr="00046874" w:rsidRDefault="00323747" w:rsidP="00EA2DD2">
            <w:pPr>
              <w:widowControl w:val="0"/>
              <w:autoSpaceDE w:val="0"/>
              <w:autoSpaceDN w:val="0"/>
              <w:spacing w:before="21"/>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23747" w:rsidRPr="00046874"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TÚNEZ</w:t>
            </w:r>
          </w:p>
        </w:tc>
        <w:tc>
          <w:tcPr>
            <w:tcW w:w="561" w:type="dxa"/>
          </w:tcPr>
          <w:p w:rsidR="00323747" w:rsidRPr="00323747" w:rsidRDefault="00323747" w:rsidP="00FF1DFE">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(2)</w:t>
            </w:r>
          </w:p>
        </w:tc>
      </w:tr>
    </w:tbl>
    <w:p w:rsidR="00301A3E" w:rsidRDefault="00301A3E" w:rsidP="00046874">
      <w:pPr>
        <w:spacing w:before="2"/>
        <w:rPr>
          <w:sz w:val="15"/>
          <w:lang w:val="es-ES_tradnl"/>
        </w:rPr>
      </w:pPr>
    </w:p>
    <w:p w:rsidR="00301A3E" w:rsidRDefault="00301A3E" w:rsidP="00046874">
      <w:pPr>
        <w:spacing w:before="2"/>
        <w:rPr>
          <w:sz w:val="15"/>
          <w:lang w:val="es-ES_tradnl"/>
        </w:rPr>
      </w:pPr>
    </w:p>
    <w:p w:rsidR="00301A3E" w:rsidRDefault="00301A3E" w:rsidP="00046874">
      <w:pPr>
        <w:spacing w:before="2"/>
        <w:rPr>
          <w:sz w:val="15"/>
          <w:lang w:val="es-ES_tradnl"/>
        </w:rPr>
      </w:pPr>
    </w:p>
    <w:p w:rsidR="00301A3E" w:rsidRDefault="00301A3E" w:rsidP="00046874">
      <w:pPr>
        <w:spacing w:before="2"/>
        <w:rPr>
          <w:sz w:val="15"/>
          <w:lang w:val="es-ES_tradnl"/>
        </w:rPr>
      </w:pPr>
    </w:p>
    <w:p w:rsidR="008B171B" w:rsidRPr="008B171B" w:rsidRDefault="00B85DC9" w:rsidP="00046874">
      <w:pPr>
        <w:spacing w:before="2"/>
        <w:rPr>
          <w:sz w:val="15"/>
          <w:lang w:val="es-ES_tradnl"/>
        </w:rPr>
      </w:pPr>
      <w:r>
        <w:rPr>
          <w:noProof/>
          <w:sz w:val="22"/>
        </w:rPr>
        <mc:AlternateContent>
          <mc:Choice Requires="wps">
            <w:drawing>
              <wp:anchor distT="0" distB="0" distL="0" distR="0" simplePos="0" relativeHeight="251661312" behindDoc="1" locked="0" layoutInCell="1" allowOverlap="1">
                <wp:simplePos x="0" y="0"/>
                <wp:positionH relativeFrom="page">
                  <wp:posOffset>457200</wp:posOffset>
                </wp:positionH>
                <wp:positionV relativeFrom="paragraph">
                  <wp:posOffset>139700</wp:posOffset>
                </wp:positionV>
                <wp:extent cx="1829435"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A4545"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rsidR="008B171B" w:rsidRPr="008B171B" w:rsidRDefault="00046874" w:rsidP="004E4F71">
      <w:pPr>
        <w:spacing w:before="35"/>
        <w:rPr>
          <w:rFonts w:ascii="Trebuchet MS"/>
          <w:sz w:val="18"/>
          <w:lang w:val="es-ES_tradnl"/>
        </w:rPr>
      </w:pPr>
      <w:r w:rsidRPr="004E4F71">
        <w:rPr>
          <w:rFonts w:ascii="Trebuchet MS"/>
          <w:position w:val="9"/>
          <w:sz w:val="13"/>
          <w:lang w:val="es-ES_tradnl"/>
        </w:rPr>
        <w:t xml:space="preserve">1 </w:t>
      </w:r>
      <w:r w:rsidR="00301A3E">
        <w:rPr>
          <w:rFonts w:ascii="Trebuchet MS"/>
          <w:position w:val="9"/>
          <w:sz w:val="13"/>
          <w:lang w:val="es-ES_tradnl"/>
        </w:rPr>
        <w:tab/>
      </w:r>
      <w:r w:rsidR="00AE0C7B" w:rsidRPr="00AE0C7B">
        <w:rPr>
          <w:rFonts w:ascii="Trebuchet MS"/>
          <w:sz w:val="18"/>
          <w:lang w:val="es-ES_tradnl"/>
        </w:rPr>
        <w:t>Fuente: OCDE. Nota de Turqu</w:t>
      </w:r>
      <w:r w:rsidR="00AE0C7B" w:rsidRPr="00AE0C7B">
        <w:rPr>
          <w:rFonts w:ascii="Trebuchet MS"/>
          <w:sz w:val="18"/>
          <w:lang w:val="es-ES_tradnl"/>
        </w:rPr>
        <w:t>í</w:t>
      </w:r>
      <w:r w:rsidR="00AE0C7B" w:rsidRPr="00AE0C7B">
        <w:rPr>
          <w:rFonts w:ascii="Trebuchet MS"/>
          <w:sz w:val="18"/>
          <w:lang w:val="es-ES_tradnl"/>
        </w:rPr>
        <w:t>a:</w:t>
      </w:r>
    </w:p>
    <w:p w:rsidR="008B171B" w:rsidRPr="008B171B" w:rsidRDefault="00AE0C7B" w:rsidP="004E4F71">
      <w:pPr>
        <w:spacing w:before="120"/>
        <w:ind w:right="216"/>
        <w:rPr>
          <w:rFonts w:ascii="Trebuchet MS" w:hAnsi="Trebuchet MS"/>
          <w:sz w:val="18"/>
          <w:lang w:val="es-ES_tradnl"/>
        </w:rPr>
      </w:pPr>
      <w:r w:rsidRPr="00AE0C7B">
        <w:rPr>
          <w:rFonts w:ascii="Trebuchet MS" w:hAnsi="Trebuchet MS"/>
          <w:sz w:val="18"/>
          <w:lang w:val="es-ES_tradnl"/>
        </w:rPr>
        <w:t>La información contenida en este documento sobre “Chipre” hace referencia a la parte meridional de la isla.</w:t>
      </w:r>
      <w:r w:rsidR="00046874" w:rsidRPr="00046874">
        <w:rPr>
          <w:rFonts w:ascii="Trebuchet MS" w:hAnsi="Trebuchet MS"/>
          <w:sz w:val="18"/>
          <w:lang w:val="es-ES_tradnl"/>
        </w:rPr>
        <w:t xml:space="preserve"> </w:t>
      </w:r>
      <w:r w:rsidRPr="00AE0C7B">
        <w:rPr>
          <w:rFonts w:ascii="Trebuchet MS" w:hAnsi="Trebuchet MS"/>
          <w:sz w:val="18"/>
          <w:lang w:val="es-ES_tradnl"/>
        </w:rPr>
        <w:t>No existe una única autoridad que represente a la población turco-chipriota y a la población greco-chipriota de la isla.</w:t>
      </w:r>
      <w:r w:rsidR="00046874" w:rsidRPr="00046874">
        <w:rPr>
          <w:rFonts w:ascii="Trebuchet MS" w:hAnsi="Trebuchet MS"/>
          <w:sz w:val="18"/>
          <w:lang w:val="es-ES_tradnl"/>
        </w:rPr>
        <w:t xml:space="preserve"> </w:t>
      </w:r>
      <w:r w:rsidRPr="00AE0C7B">
        <w:rPr>
          <w:rFonts w:ascii="Trebuchet MS" w:hAnsi="Trebuchet MS"/>
          <w:sz w:val="18"/>
          <w:lang w:val="es-ES_tradnl"/>
        </w:rPr>
        <w:t>Turquía reconoce la República Turca del Norte de Chipre (RTNC).</w:t>
      </w:r>
      <w:r w:rsidR="00046874" w:rsidRPr="00046874">
        <w:rPr>
          <w:rFonts w:ascii="Trebuchet MS" w:hAnsi="Trebuchet MS"/>
          <w:sz w:val="18"/>
          <w:lang w:val="es-ES_tradnl"/>
        </w:rPr>
        <w:t xml:space="preserve"> </w:t>
      </w:r>
      <w:r w:rsidRPr="00AE0C7B">
        <w:rPr>
          <w:rFonts w:ascii="Trebuchet MS" w:hAnsi="Trebuchet MS"/>
          <w:sz w:val="18"/>
          <w:lang w:val="es-ES_tradnl"/>
        </w:rPr>
        <w:t>Hasta encontrar una solución definitiva y equitativa en el contexto de las Naciones Unidas, Turquía preservará su postura en lo concerniente a la “cuestión chipriota”.</w:t>
      </w:r>
    </w:p>
    <w:p w:rsidR="008B171B" w:rsidRPr="008B171B" w:rsidRDefault="00AE0C7B" w:rsidP="004E4F71">
      <w:pPr>
        <w:spacing w:before="120"/>
        <w:rPr>
          <w:rFonts w:ascii="Trebuchet MS"/>
          <w:sz w:val="18"/>
          <w:lang w:val="es-ES_tradnl"/>
        </w:rPr>
      </w:pPr>
      <w:r w:rsidRPr="00AE0C7B">
        <w:rPr>
          <w:rFonts w:ascii="Trebuchet MS"/>
          <w:sz w:val="18"/>
          <w:lang w:val="es-ES_tradnl"/>
        </w:rPr>
        <w:t>Nota de todos los Estados miembros de la Uni</w:t>
      </w:r>
      <w:r w:rsidRPr="00AE0C7B">
        <w:rPr>
          <w:rFonts w:ascii="Trebuchet MS"/>
          <w:sz w:val="18"/>
          <w:lang w:val="es-ES_tradnl"/>
        </w:rPr>
        <w:t>ó</w:t>
      </w:r>
      <w:r w:rsidRPr="00AE0C7B">
        <w:rPr>
          <w:rFonts w:ascii="Trebuchet MS"/>
          <w:sz w:val="18"/>
          <w:lang w:val="es-ES_tradnl"/>
        </w:rPr>
        <w:t>n</w:t>
      </w:r>
      <w:r w:rsidRPr="00AE0C7B">
        <w:rPr>
          <w:rFonts w:ascii="Trebuchet MS"/>
          <w:sz w:val="18"/>
          <w:lang w:val="es-ES_tradnl"/>
        </w:rPr>
        <w:t> </w:t>
      </w:r>
      <w:r w:rsidRPr="00AE0C7B">
        <w:rPr>
          <w:rFonts w:ascii="Trebuchet MS"/>
          <w:sz w:val="18"/>
          <w:lang w:val="es-ES_tradnl"/>
        </w:rPr>
        <w:t>Europea que son pa</w:t>
      </w:r>
      <w:r w:rsidRPr="00AE0C7B">
        <w:rPr>
          <w:rFonts w:ascii="Trebuchet MS"/>
          <w:sz w:val="18"/>
          <w:lang w:val="es-ES_tradnl"/>
        </w:rPr>
        <w:t>í</w:t>
      </w:r>
      <w:r w:rsidRPr="00AE0C7B">
        <w:rPr>
          <w:rFonts w:ascii="Trebuchet MS"/>
          <w:sz w:val="18"/>
          <w:lang w:val="es-ES_tradnl"/>
        </w:rPr>
        <w:t>ses de la</w:t>
      </w:r>
      <w:r w:rsidRPr="00AE0C7B">
        <w:rPr>
          <w:rFonts w:ascii="Trebuchet MS"/>
          <w:sz w:val="18"/>
          <w:lang w:val="es-ES_tradnl"/>
        </w:rPr>
        <w:t> </w:t>
      </w:r>
      <w:r w:rsidRPr="00AE0C7B">
        <w:rPr>
          <w:rFonts w:ascii="Trebuchet MS"/>
          <w:sz w:val="18"/>
          <w:lang w:val="es-ES_tradnl"/>
        </w:rPr>
        <w:t>OCDE y de la Uni</w:t>
      </w:r>
      <w:r w:rsidRPr="00AE0C7B">
        <w:rPr>
          <w:rFonts w:ascii="Trebuchet MS"/>
          <w:sz w:val="18"/>
          <w:lang w:val="es-ES_tradnl"/>
        </w:rPr>
        <w:t>ó</w:t>
      </w:r>
      <w:r w:rsidRPr="00AE0C7B">
        <w:rPr>
          <w:rFonts w:ascii="Trebuchet MS"/>
          <w:sz w:val="18"/>
          <w:lang w:val="es-ES_tradnl"/>
        </w:rPr>
        <w:t>n</w:t>
      </w:r>
      <w:r w:rsidRPr="00AE0C7B">
        <w:rPr>
          <w:rFonts w:ascii="Trebuchet MS"/>
          <w:sz w:val="18"/>
          <w:lang w:val="es-ES_tradnl"/>
        </w:rPr>
        <w:t> </w:t>
      </w:r>
      <w:r w:rsidRPr="00AE0C7B">
        <w:rPr>
          <w:rFonts w:ascii="Trebuchet MS"/>
          <w:sz w:val="18"/>
          <w:lang w:val="es-ES_tradnl"/>
        </w:rPr>
        <w:t>Europea:</w:t>
      </w:r>
    </w:p>
    <w:p w:rsidR="008B171B" w:rsidRDefault="00AE0C7B" w:rsidP="004E4F71">
      <w:pPr>
        <w:spacing w:before="120"/>
        <w:ind w:right="216"/>
        <w:rPr>
          <w:rFonts w:ascii="Trebuchet MS"/>
          <w:sz w:val="18"/>
          <w:lang w:val="es-ES_tradnl"/>
        </w:rPr>
      </w:pPr>
      <w:r w:rsidRPr="00AE0C7B">
        <w:rPr>
          <w:rFonts w:ascii="Trebuchet MS"/>
          <w:sz w:val="18"/>
          <w:lang w:val="es-ES_tradnl"/>
        </w:rPr>
        <w:t>La Rep</w:t>
      </w:r>
      <w:r w:rsidRPr="00AE0C7B">
        <w:rPr>
          <w:rFonts w:ascii="Trebuchet MS"/>
          <w:sz w:val="18"/>
          <w:lang w:val="es-ES_tradnl"/>
        </w:rPr>
        <w:t>ú</w:t>
      </w:r>
      <w:r w:rsidRPr="00AE0C7B">
        <w:rPr>
          <w:rFonts w:ascii="Trebuchet MS"/>
          <w:sz w:val="18"/>
          <w:lang w:val="es-ES_tradnl"/>
        </w:rPr>
        <w:t>blica de Chipre ha sido reconocida por todos los miembros de las Naciones</w:t>
      </w:r>
      <w:r w:rsidRPr="00AE0C7B">
        <w:rPr>
          <w:rFonts w:ascii="Trebuchet MS"/>
          <w:sz w:val="18"/>
          <w:lang w:val="es-ES_tradnl"/>
        </w:rPr>
        <w:t> </w:t>
      </w:r>
      <w:r w:rsidRPr="00AE0C7B">
        <w:rPr>
          <w:rFonts w:ascii="Trebuchet MS"/>
          <w:sz w:val="18"/>
          <w:lang w:val="es-ES_tradnl"/>
        </w:rPr>
        <w:t>Unidas, a excepci</w:t>
      </w:r>
      <w:r w:rsidRPr="00AE0C7B">
        <w:rPr>
          <w:rFonts w:ascii="Trebuchet MS"/>
          <w:sz w:val="18"/>
          <w:lang w:val="es-ES_tradnl"/>
        </w:rPr>
        <w:t>ó</w:t>
      </w:r>
      <w:r w:rsidRPr="00AE0C7B">
        <w:rPr>
          <w:rFonts w:ascii="Trebuchet MS"/>
          <w:sz w:val="18"/>
          <w:lang w:val="es-ES_tradnl"/>
        </w:rPr>
        <w:t>n de Turqu</w:t>
      </w:r>
      <w:r w:rsidRPr="00AE0C7B">
        <w:rPr>
          <w:rFonts w:ascii="Trebuchet MS"/>
          <w:sz w:val="18"/>
          <w:lang w:val="es-ES_tradnl"/>
        </w:rPr>
        <w:t>í</w:t>
      </w:r>
      <w:r w:rsidRPr="00AE0C7B">
        <w:rPr>
          <w:rFonts w:ascii="Trebuchet MS"/>
          <w:sz w:val="18"/>
          <w:lang w:val="es-ES_tradnl"/>
        </w:rPr>
        <w:t>a.</w:t>
      </w:r>
      <w:r w:rsidR="00046874" w:rsidRPr="00046874">
        <w:rPr>
          <w:rFonts w:ascii="Trebuchet MS"/>
          <w:sz w:val="18"/>
          <w:lang w:val="es-ES_tradnl"/>
        </w:rPr>
        <w:t xml:space="preserve"> </w:t>
      </w:r>
      <w:r w:rsidRPr="00AE0C7B">
        <w:rPr>
          <w:rFonts w:ascii="Trebuchet MS"/>
          <w:sz w:val="18"/>
          <w:lang w:val="es-ES_tradnl"/>
        </w:rPr>
        <w:t>La informaci</w:t>
      </w:r>
      <w:r w:rsidRPr="00AE0C7B">
        <w:rPr>
          <w:rFonts w:ascii="Trebuchet MS"/>
          <w:sz w:val="18"/>
          <w:lang w:val="es-ES_tradnl"/>
        </w:rPr>
        <w:t>ó</w:t>
      </w:r>
      <w:r w:rsidRPr="00AE0C7B">
        <w:rPr>
          <w:rFonts w:ascii="Trebuchet MS"/>
          <w:sz w:val="18"/>
          <w:lang w:val="es-ES_tradnl"/>
        </w:rPr>
        <w:t xml:space="preserve">n contenida en este documento se refiere al </w:t>
      </w:r>
      <w:r w:rsidRPr="00AE0C7B">
        <w:rPr>
          <w:rFonts w:ascii="Trebuchet MS"/>
          <w:sz w:val="18"/>
          <w:lang w:val="es-ES_tradnl"/>
        </w:rPr>
        <w:t>á</w:t>
      </w:r>
      <w:r w:rsidRPr="00AE0C7B">
        <w:rPr>
          <w:rFonts w:ascii="Trebuchet MS"/>
          <w:sz w:val="18"/>
          <w:lang w:val="es-ES_tradnl"/>
        </w:rPr>
        <w:t>rea sometida al control efectivo del Gobierno de la Rep</w:t>
      </w:r>
      <w:r w:rsidRPr="00AE0C7B">
        <w:rPr>
          <w:rFonts w:ascii="Trebuchet MS"/>
          <w:sz w:val="18"/>
          <w:lang w:val="es-ES_tradnl"/>
        </w:rPr>
        <w:t>ú</w:t>
      </w:r>
      <w:r w:rsidRPr="00AE0C7B">
        <w:rPr>
          <w:rFonts w:ascii="Trebuchet MS"/>
          <w:sz w:val="18"/>
          <w:lang w:val="es-ES_tradnl"/>
        </w:rPr>
        <w:t>blica de Chipre.</w:t>
      </w:r>
    </w:p>
    <w:p w:rsidR="00301A3E" w:rsidRPr="008B171B" w:rsidRDefault="00301A3E" w:rsidP="004E4F71">
      <w:pPr>
        <w:spacing w:before="120"/>
        <w:ind w:right="216"/>
        <w:rPr>
          <w:rFonts w:ascii="Trebuchet MS"/>
          <w:sz w:val="18"/>
          <w:lang w:val="es-ES_tradnl"/>
        </w:rPr>
      </w:pPr>
    </w:p>
    <w:tbl>
      <w:tblPr>
        <w:tblW w:w="0" w:type="auto"/>
        <w:jc w:val="center"/>
        <w:tblLayout w:type="fixed"/>
        <w:tblCellMar>
          <w:left w:w="0" w:type="dxa"/>
          <w:right w:w="0" w:type="dxa"/>
        </w:tblCellMar>
        <w:tblLook w:val="01E0" w:firstRow="1" w:lastRow="1" w:firstColumn="1" w:lastColumn="1" w:noHBand="0" w:noVBand="0"/>
      </w:tblPr>
      <w:tblGrid>
        <w:gridCol w:w="2696"/>
        <w:gridCol w:w="992"/>
        <w:gridCol w:w="2552"/>
        <w:gridCol w:w="561"/>
      </w:tblGrid>
      <w:tr w:rsidR="00301A3E" w:rsidRPr="00046874" w:rsidTr="00301A3E">
        <w:trPr>
          <w:trHeight w:val="265"/>
          <w:jc w:val="center"/>
        </w:trPr>
        <w:tc>
          <w:tcPr>
            <w:tcW w:w="2696" w:type="dxa"/>
            <w:shd w:val="clear" w:color="auto" w:fill="DBE5F1"/>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GRECIA</w:t>
            </w:r>
          </w:p>
        </w:tc>
        <w:tc>
          <w:tcPr>
            <w:tcW w:w="992" w:type="dxa"/>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01A3E" w:rsidRPr="00046874"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TURQUÍA</w:t>
            </w:r>
          </w:p>
        </w:tc>
        <w:tc>
          <w:tcPr>
            <w:tcW w:w="561" w:type="dxa"/>
          </w:tcPr>
          <w:p w:rsidR="00301A3E" w:rsidRPr="00323747"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(1)</w:t>
            </w:r>
          </w:p>
        </w:tc>
      </w:tr>
      <w:tr w:rsidR="00301A3E" w:rsidRPr="00046874" w:rsidTr="00301A3E">
        <w:trPr>
          <w:trHeight w:val="265"/>
          <w:jc w:val="center"/>
        </w:trPr>
        <w:tc>
          <w:tcPr>
            <w:tcW w:w="2696" w:type="dxa"/>
            <w:shd w:val="clear" w:color="auto" w:fill="DBE5F1"/>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HUNGRÍA</w:t>
            </w:r>
          </w:p>
        </w:tc>
        <w:tc>
          <w:tcPr>
            <w:tcW w:w="992" w:type="dxa"/>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01A3E" w:rsidRPr="00046874"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UCRANIA</w:t>
            </w:r>
          </w:p>
        </w:tc>
        <w:tc>
          <w:tcPr>
            <w:tcW w:w="561" w:type="dxa"/>
          </w:tcPr>
          <w:p w:rsidR="00301A3E" w:rsidRPr="00323747"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(2)</w:t>
            </w:r>
          </w:p>
        </w:tc>
      </w:tr>
      <w:tr w:rsidR="00301A3E" w:rsidRPr="00046874" w:rsidTr="00301A3E">
        <w:trPr>
          <w:trHeight w:val="265"/>
          <w:jc w:val="center"/>
        </w:trPr>
        <w:tc>
          <w:tcPr>
            <w:tcW w:w="2696" w:type="dxa"/>
            <w:shd w:val="clear" w:color="auto" w:fill="DBE5F1"/>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INDIA</w:t>
            </w:r>
          </w:p>
        </w:tc>
        <w:tc>
          <w:tcPr>
            <w:tcW w:w="992" w:type="dxa"/>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c>
          <w:tcPr>
            <w:tcW w:w="2552" w:type="dxa"/>
            <w:shd w:val="clear" w:color="auto" w:fill="DBE5F1" w:themeFill="accent1" w:themeFillTint="33"/>
          </w:tcPr>
          <w:p w:rsidR="00301A3E" w:rsidRPr="00046874"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UGANDA</w:t>
            </w:r>
          </w:p>
        </w:tc>
        <w:tc>
          <w:tcPr>
            <w:tcW w:w="561" w:type="dxa"/>
          </w:tcPr>
          <w:p w:rsidR="00301A3E" w:rsidRPr="00323747"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(2)</w:t>
            </w:r>
          </w:p>
        </w:tc>
      </w:tr>
      <w:tr w:rsidR="00301A3E" w:rsidRPr="00046874" w:rsidTr="00301A3E">
        <w:trPr>
          <w:trHeight w:val="265"/>
          <w:jc w:val="center"/>
        </w:trPr>
        <w:tc>
          <w:tcPr>
            <w:tcW w:w="2696" w:type="dxa"/>
            <w:shd w:val="clear" w:color="auto" w:fill="DBE5F1"/>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IRÁN</w:t>
            </w:r>
          </w:p>
        </w:tc>
        <w:tc>
          <w:tcPr>
            <w:tcW w:w="992" w:type="dxa"/>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(2)</w:t>
            </w:r>
          </w:p>
        </w:tc>
        <w:tc>
          <w:tcPr>
            <w:tcW w:w="2552" w:type="dxa"/>
            <w:shd w:val="clear" w:color="auto" w:fill="DBE5F1" w:themeFill="accent1" w:themeFillTint="33"/>
          </w:tcPr>
          <w:p w:rsidR="00301A3E" w:rsidRPr="00046874"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URUGUAY</w:t>
            </w:r>
          </w:p>
        </w:tc>
        <w:tc>
          <w:tcPr>
            <w:tcW w:w="561" w:type="dxa"/>
          </w:tcPr>
          <w:p w:rsidR="00301A3E" w:rsidRPr="00323747"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(2)</w:t>
            </w:r>
          </w:p>
        </w:tc>
      </w:tr>
      <w:tr w:rsidR="00301A3E" w:rsidRPr="00046874" w:rsidTr="00301A3E">
        <w:trPr>
          <w:trHeight w:val="265"/>
          <w:jc w:val="center"/>
        </w:trPr>
        <w:tc>
          <w:tcPr>
            <w:tcW w:w="2696" w:type="dxa"/>
            <w:shd w:val="clear" w:color="auto" w:fill="DBE5F1"/>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IRLANDA</w:t>
            </w:r>
          </w:p>
        </w:tc>
        <w:tc>
          <w:tcPr>
            <w:tcW w:w="992" w:type="dxa"/>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shd w:val="clear" w:color="auto" w:fill="DBE5F1" w:themeFill="accent1" w:themeFillTint="33"/>
          </w:tcPr>
          <w:p w:rsidR="00301A3E" w:rsidRPr="00046874"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ZIMBABWE</w:t>
            </w:r>
          </w:p>
        </w:tc>
        <w:tc>
          <w:tcPr>
            <w:tcW w:w="561" w:type="dxa"/>
          </w:tcPr>
          <w:p w:rsidR="00301A3E" w:rsidRPr="00323747"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323747">
              <w:rPr>
                <w:rFonts w:ascii="Trebuchet MS" w:eastAsia="Trebuchet MS" w:hAnsi="Trebuchet MS" w:cs="Trebuchet MS"/>
                <w:sz w:val="18"/>
                <w:szCs w:val="22"/>
                <w:lang w:val="es-ES_tradnl" w:eastAsia="en-GB" w:bidi="en-GB"/>
              </w:rPr>
              <w:t>(2)</w:t>
            </w:r>
          </w:p>
        </w:tc>
      </w:tr>
      <w:tr w:rsidR="00301A3E" w:rsidRPr="00046874" w:rsidTr="00301A3E">
        <w:trPr>
          <w:trHeight w:val="265"/>
          <w:jc w:val="center"/>
        </w:trPr>
        <w:tc>
          <w:tcPr>
            <w:tcW w:w="2696" w:type="dxa"/>
            <w:shd w:val="clear" w:color="auto" w:fill="DBE5F1"/>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ISLANDIA</w:t>
            </w:r>
          </w:p>
        </w:tc>
        <w:tc>
          <w:tcPr>
            <w:tcW w:w="992" w:type="dxa"/>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2552" w:type="dxa"/>
          </w:tcPr>
          <w:p w:rsidR="00301A3E" w:rsidRPr="008B2259"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p>
        </w:tc>
        <w:tc>
          <w:tcPr>
            <w:tcW w:w="561" w:type="dxa"/>
          </w:tcPr>
          <w:p w:rsidR="00301A3E" w:rsidRPr="00323747"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p>
        </w:tc>
      </w:tr>
      <w:tr w:rsidR="00301A3E" w:rsidRPr="00C77D91" w:rsidTr="00301A3E">
        <w:trPr>
          <w:trHeight w:val="265"/>
          <w:jc w:val="center"/>
        </w:trPr>
        <w:tc>
          <w:tcPr>
            <w:tcW w:w="2696" w:type="dxa"/>
            <w:shd w:val="clear" w:color="auto" w:fill="DBE5F1"/>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ISRAEL</w:t>
            </w:r>
          </w:p>
        </w:tc>
        <w:tc>
          <w:tcPr>
            <w:tcW w:w="992" w:type="dxa"/>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3113" w:type="dxa"/>
            <w:gridSpan w:val="2"/>
          </w:tcPr>
          <w:p w:rsidR="00301A3E" w:rsidRPr="00323747"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4E4F71">
              <w:rPr>
                <w:rFonts w:ascii="Trebuchet MS" w:eastAsia="Trebuchet MS" w:hAnsi="Trebuchet MS" w:cs="Trebuchet MS"/>
                <w:sz w:val="18"/>
                <w:szCs w:val="22"/>
                <w:lang w:val="es-ES_tradnl" w:eastAsia="en-GB" w:bidi="en-GB"/>
              </w:rPr>
              <w:t>(1)</w:t>
            </w:r>
            <w:r w:rsidRPr="00AE0C7B">
              <w:rPr>
                <w:rFonts w:ascii="Trebuchet MS" w:eastAsia="Trebuchet MS" w:hAnsi="Trebuchet MS" w:cs="Trebuchet MS"/>
                <w:sz w:val="18"/>
                <w:szCs w:val="22"/>
                <w:lang w:val="es-ES_tradnl" w:eastAsia="en-GB" w:bidi="en-GB"/>
              </w:rPr>
              <w:t xml:space="preserve"> País miembro de la OCDE</w:t>
            </w:r>
          </w:p>
        </w:tc>
      </w:tr>
      <w:tr w:rsidR="00301A3E" w:rsidRPr="00C77D91" w:rsidTr="00AA59E6">
        <w:trPr>
          <w:trHeight w:val="265"/>
          <w:jc w:val="center"/>
        </w:trPr>
        <w:tc>
          <w:tcPr>
            <w:tcW w:w="2696" w:type="dxa"/>
            <w:shd w:val="clear" w:color="auto" w:fill="DBE5F1"/>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AE0C7B">
              <w:rPr>
                <w:rFonts w:ascii="Trebuchet MS" w:eastAsia="Trebuchet MS" w:hAnsi="Trebuchet MS" w:cs="Trebuchet MS"/>
                <w:sz w:val="18"/>
                <w:szCs w:val="22"/>
                <w:lang w:val="es-ES_tradnl" w:eastAsia="en-GB" w:bidi="en-GB"/>
              </w:rPr>
              <w:t>ITALIA</w:t>
            </w:r>
          </w:p>
        </w:tc>
        <w:tc>
          <w:tcPr>
            <w:tcW w:w="992" w:type="dxa"/>
          </w:tcPr>
          <w:p w:rsidR="00301A3E" w:rsidRPr="00046874" w:rsidRDefault="00301A3E" w:rsidP="00AA59E6">
            <w:pPr>
              <w:widowControl w:val="0"/>
              <w:autoSpaceDE w:val="0"/>
              <w:autoSpaceDN w:val="0"/>
              <w:spacing w:before="19"/>
              <w:jc w:val="left"/>
              <w:rPr>
                <w:rFonts w:ascii="Trebuchet MS" w:eastAsia="Trebuchet MS" w:hAnsi="Trebuchet MS" w:cs="Trebuchet MS"/>
                <w:sz w:val="18"/>
                <w:szCs w:val="22"/>
                <w:lang w:val="es-ES_tradnl" w:eastAsia="en-GB" w:bidi="en-GB"/>
              </w:rPr>
            </w:pPr>
            <w:r w:rsidRPr="00046874">
              <w:rPr>
                <w:rFonts w:ascii="Trebuchet MS" w:eastAsia="Trebuchet MS" w:hAnsi="Trebuchet MS" w:cs="Trebuchet MS"/>
                <w:sz w:val="18"/>
                <w:szCs w:val="22"/>
                <w:lang w:val="es-ES_tradnl" w:eastAsia="en-GB" w:bidi="en-GB"/>
              </w:rPr>
              <w:t>(1)</w:t>
            </w:r>
          </w:p>
        </w:tc>
        <w:tc>
          <w:tcPr>
            <w:tcW w:w="3113" w:type="dxa"/>
            <w:gridSpan w:val="2"/>
          </w:tcPr>
          <w:p w:rsidR="00301A3E" w:rsidRPr="00046874" w:rsidRDefault="00301A3E" w:rsidP="00AA59E6">
            <w:pPr>
              <w:widowControl w:val="0"/>
              <w:autoSpaceDE w:val="0"/>
              <w:autoSpaceDN w:val="0"/>
              <w:spacing w:before="20"/>
              <w:jc w:val="left"/>
              <w:rPr>
                <w:rFonts w:ascii="Trebuchet MS" w:eastAsia="Trebuchet MS" w:hAnsi="Trebuchet MS" w:cs="Trebuchet MS"/>
                <w:sz w:val="18"/>
                <w:szCs w:val="22"/>
                <w:lang w:val="es-ES_tradnl" w:eastAsia="en-GB" w:bidi="en-GB"/>
              </w:rPr>
            </w:pPr>
            <w:r w:rsidRPr="004E4F71">
              <w:rPr>
                <w:rFonts w:ascii="Trebuchet MS" w:eastAsia="Trebuchet MS" w:hAnsi="Trebuchet MS" w:cs="Trebuchet MS"/>
                <w:sz w:val="18"/>
                <w:szCs w:val="22"/>
                <w:lang w:val="es-ES_tradnl" w:eastAsia="en-GB" w:bidi="en-GB"/>
              </w:rPr>
              <w:t>(2)</w:t>
            </w:r>
            <w:r w:rsidRPr="00046874">
              <w:rPr>
                <w:rFonts w:ascii="Trebuchet MS" w:eastAsia="Trebuchet MS" w:hAnsi="Trebuchet MS" w:cs="Trebuchet MS"/>
                <w:sz w:val="18"/>
                <w:szCs w:val="22"/>
                <w:lang w:val="es-ES_tradnl" w:eastAsia="en-GB" w:bidi="en-GB"/>
              </w:rPr>
              <w:t xml:space="preserve"> </w:t>
            </w:r>
            <w:r w:rsidRPr="00E54E30">
              <w:rPr>
                <w:rFonts w:ascii="Trebuchet MS" w:eastAsia="Trebuchet MS" w:hAnsi="Trebuchet MS" w:cs="Trebuchet MS"/>
                <w:sz w:val="18"/>
                <w:szCs w:val="22"/>
                <w:lang w:val="es-ES_tradnl" w:eastAsia="en-GB" w:bidi="en-GB"/>
              </w:rPr>
              <w:t>País no miembro de la OCDE</w:t>
            </w:r>
          </w:p>
        </w:tc>
      </w:tr>
    </w:tbl>
    <w:p w:rsidR="008B171B" w:rsidRDefault="008B171B" w:rsidP="00046874">
      <w:pPr>
        <w:spacing w:before="5"/>
        <w:rPr>
          <w:rFonts w:ascii="Trebuchet MS"/>
          <w:lang w:val="es-ES_tradnl"/>
        </w:rPr>
      </w:pPr>
    </w:p>
    <w:p w:rsidR="00301A3E" w:rsidRPr="008B171B" w:rsidRDefault="00301A3E" w:rsidP="00046874">
      <w:pPr>
        <w:spacing w:before="5"/>
        <w:rPr>
          <w:rFonts w:ascii="Trebuchet MS"/>
          <w:lang w:val="es-ES_tradnl"/>
        </w:rPr>
      </w:pPr>
    </w:p>
    <w:p w:rsidR="008B171B" w:rsidRPr="008B171B" w:rsidRDefault="00E54E30" w:rsidP="004E4F71">
      <w:pPr>
        <w:rPr>
          <w:lang w:val="es-ES_tradnl"/>
        </w:rPr>
      </w:pPr>
      <w:r w:rsidRPr="00E54E30">
        <w:rPr>
          <w:lang w:val="es-ES_tradnl"/>
        </w:rPr>
        <w:t>Gráfico 1.</w:t>
      </w:r>
      <w:r w:rsidR="00046874" w:rsidRPr="00E54E30">
        <w:rPr>
          <w:lang w:val="es-ES_tradnl"/>
        </w:rPr>
        <w:t xml:space="preserve"> </w:t>
      </w:r>
      <w:r w:rsidRPr="00E54E30">
        <w:rPr>
          <w:lang w:val="es-ES_tradnl"/>
        </w:rPr>
        <w:t>Mapa de los países participantes en los Sistemas de semillas de la OCDE (2016)</w:t>
      </w:r>
    </w:p>
    <w:p w:rsidR="008B171B" w:rsidRPr="008B171B" w:rsidRDefault="008B171B" w:rsidP="00046874">
      <w:pPr>
        <w:rPr>
          <w:b/>
          <w:lang w:val="es-ES_tradnl"/>
        </w:rPr>
      </w:pPr>
    </w:p>
    <w:p w:rsidR="008B171B" w:rsidRPr="008B171B" w:rsidRDefault="00046874" w:rsidP="00046874">
      <w:pPr>
        <w:spacing w:before="5"/>
        <w:rPr>
          <w:b/>
          <w:sz w:val="15"/>
          <w:lang w:val="es-ES_tradnl"/>
        </w:rPr>
      </w:pPr>
      <w:r w:rsidRPr="00046874">
        <w:rPr>
          <w:noProof/>
        </w:rPr>
        <w:drawing>
          <wp:anchor distT="0" distB="0" distL="0" distR="0" simplePos="0" relativeHeight="251660288" behindDoc="0" locked="0" layoutInCell="1" allowOverlap="1">
            <wp:simplePos x="0" y="0"/>
            <wp:positionH relativeFrom="page">
              <wp:posOffset>676909</wp:posOffset>
            </wp:positionH>
            <wp:positionV relativeFrom="paragraph">
              <wp:posOffset>137582</wp:posOffset>
            </wp:positionV>
            <wp:extent cx="6348250" cy="2987040"/>
            <wp:effectExtent l="0" t="0" r="0" b="0"/>
            <wp:wrapTopAndBottom/>
            <wp:docPr id="1"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348250" cy="2987040"/>
                    </a:xfrm>
                    <a:prstGeom prst="rect">
                      <a:avLst/>
                    </a:prstGeom>
                  </pic:spPr>
                </pic:pic>
              </a:graphicData>
            </a:graphic>
          </wp:anchor>
        </w:drawing>
      </w:r>
    </w:p>
    <w:p w:rsidR="008B171B" w:rsidRPr="008B171B" w:rsidRDefault="008B171B" w:rsidP="00046874">
      <w:pPr>
        <w:spacing w:before="11"/>
        <w:rPr>
          <w:b/>
          <w:sz w:val="23"/>
          <w:lang w:val="es-ES_tradnl"/>
        </w:rPr>
      </w:pPr>
    </w:p>
    <w:p w:rsidR="008B171B" w:rsidRPr="008B171B" w:rsidRDefault="00E54E30" w:rsidP="004E4F71">
      <w:pPr>
        <w:rPr>
          <w:i/>
          <w:lang w:val="es-ES_tradnl"/>
        </w:rPr>
      </w:pPr>
      <w:bookmarkStart w:id="22" w:name="Objectives"/>
      <w:bookmarkEnd w:id="22"/>
      <w:r w:rsidRPr="00E54E30">
        <w:rPr>
          <w:i/>
          <w:lang w:val="es-ES_tradnl"/>
        </w:rPr>
        <w:t>Objetivos</w:t>
      </w:r>
    </w:p>
    <w:p w:rsidR="008B171B" w:rsidRPr="008B171B" w:rsidRDefault="008B171B" w:rsidP="00046874">
      <w:pPr>
        <w:spacing w:before="4"/>
        <w:rPr>
          <w:rFonts w:cs="Arial"/>
          <w:b/>
          <w:lang w:val="es-ES_tradnl"/>
        </w:rPr>
      </w:pPr>
    </w:p>
    <w:p w:rsidR="008B171B" w:rsidRPr="008B171B" w:rsidRDefault="00E54E30" w:rsidP="004E4F71">
      <w:pPr>
        <w:widowControl w:val="0"/>
        <w:tabs>
          <w:tab w:val="left" w:pos="1069"/>
          <w:tab w:val="left" w:pos="1071"/>
        </w:tabs>
        <w:autoSpaceDE w:val="0"/>
        <w:autoSpaceDN w:val="0"/>
        <w:ind w:right="213"/>
        <w:rPr>
          <w:rFonts w:cs="Arial"/>
          <w:lang w:val="es-ES_tradnl" w:eastAsia="en-GB" w:bidi="en-GB"/>
        </w:rPr>
      </w:pPr>
      <w:r w:rsidRPr="00E54E30">
        <w:rPr>
          <w:rFonts w:cs="Arial"/>
          <w:lang w:val="es-ES_tradnl" w:eastAsia="en-GB" w:bidi="en-GB"/>
        </w:rPr>
        <w:t>Los Sistemas de semillas tienen por objetivo fomentar la producción y utilización de semillas de “calidad garantizada” en los países participantes.</w:t>
      </w:r>
      <w:r w:rsidR="00046874" w:rsidRPr="00046874">
        <w:rPr>
          <w:rFonts w:cs="Arial"/>
          <w:lang w:val="es-ES_tradnl" w:eastAsia="en-GB" w:bidi="en-GB"/>
        </w:rPr>
        <w:t xml:space="preserve"> </w:t>
      </w:r>
      <w:r w:rsidRPr="00E54E30">
        <w:rPr>
          <w:rFonts w:cs="Arial"/>
          <w:lang w:val="es-ES_tradnl" w:eastAsia="en-GB" w:bidi="en-GB"/>
        </w:rPr>
        <w:t>Los Sistemas permiten la utilización de etiquetas y certificados en las semillas producidas y procesadas para el comercio internacional conforme a unos principios acordados que garantizan la identidad y la pureza varietal.</w:t>
      </w:r>
    </w:p>
    <w:p w:rsidR="008B171B" w:rsidRPr="008B171B" w:rsidRDefault="008B171B" w:rsidP="00046874">
      <w:pPr>
        <w:rPr>
          <w:rFonts w:cs="Arial"/>
          <w:lang w:val="es-ES_tradnl"/>
        </w:rPr>
      </w:pPr>
    </w:p>
    <w:p w:rsidR="008B171B" w:rsidRPr="008B171B" w:rsidRDefault="00E54E30" w:rsidP="004E4F71">
      <w:pPr>
        <w:widowControl w:val="0"/>
        <w:tabs>
          <w:tab w:val="left" w:pos="1069"/>
          <w:tab w:val="left" w:pos="1071"/>
        </w:tabs>
        <w:autoSpaceDE w:val="0"/>
        <w:autoSpaceDN w:val="0"/>
        <w:spacing w:before="1"/>
        <w:ind w:right="212"/>
        <w:rPr>
          <w:rFonts w:cs="Arial"/>
          <w:lang w:val="es-ES_tradnl" w:eastAsia="en-GB" w:bidi="en-GB"/>
        </w:rPr>
      </w:pPr>
      <w:r w:rsidRPr="00E54E30">
        <w:rPr>
          <w:rFonts w:cs="Arial"/>
          <w:lang w:val="es-ES_tradnl" w:eastAsia="en-GB" w:bidi="en-GB"/>
        </w:rPr>
        <w:t>Los Sistemas facilitan la importación y exportación de semillas eliminando las barreras técnicas al comercio, ya que su identidad y su origen se garantizan mediante unas etiquetas para la comercialización (“pasaportes”) que están reconocidas internacionalmente.</w:t>
      </w:r>
      <w:r w:rsidR="00046874" w:rsidRPr="00046874">
        <w:rPr>
          <w:rFonts w:cs="Arial"/>
          <w:lang w:val="es-ES_tradnl" w:eastAsia="en-GB" w:bidi="en-GB"/>
        </w:rPr>
        <w:t xml:space="preserve"> </w:t>
      </w:r>
      <w:r w:rsidRPr="00E54E30">
        <w:rPr>
          <w:rFonts w:cs="Arial"/>
          <w:lang w:val="es-ES_tradnl" w:eastAsia="en-GB" w:bidi="en-GB"/>
        </w:rPr>
        <w:t>Los Sistemas también establecen directrices para la multiplicación de semillas en el extranjero, así como para delegar en el sector privado algunas de las actividades de control (“autorización”).</w:t>
      </w:r>
      <w:r w:rsidR="00046874" w:rsidRPr="00046874">
        <w:rPr>
          <w:rFonts w:cs="Arial"/>
          <w:lang w:val="es-ES_tradnl" w:eastAsia="en-GB" w:bidi="en-GB"/>
        </w:rPr>
        <w:t xml:space="preserve"> </w:t>
      </w:r>
      <w:r w:rsidRPr="00E54E30">
        <w:rPr>
          <w:rFonts w:cs="Arial"/>
          <w:lang w:val="es-ES_tradnl" w:eastAsia="en-GB" w:bidi="en-GB"/>
        </w:rPr>
        <w:t>La cantidad de semillas certificadas por los Sistemas de la OCDE ha aumentado rápidamente en los últimos años y en la actualidad supera el millón de toneladas.</w:t>
      </w:r>
    </w:p>
    <w:p w:rsidR="008B171B" w:rsidRPr="008B171B" w:rsidRDefault="008B171B" w:rsidP="00046874">
      <w:pPr>
        <w:spacing w:before="5"/>
        <w:rPr>
          <w:sz w:val="14"/>
          <w:lang w:val="es-ES_tradnl"/>
        </w:rPr>
      </w:pPr>
    </w:p>
    <w:p w:rsidR="008B171B" w:rsidRPr="008B171B" w:rsidRDefault="00E54E30" w:rsidP="004E4F71">
      <w:pPr>
        <w:rPr>
          <w:i/>
          <w:lang w:val="es-ES_tradnl"/>
        </w:rPr>
      </w:pPr>
      <w:bookmarkStart w:id="23" w:name="How_do_the_Seed_Schemes_operate"/>
      <w:bookmarkEnd w:id="23"/>
      <w:r w:rsidRPr="00E54E30">
        <w:rPr>
          <w:i/>
          <w:lang w:val="es-ES_tradnl"/>
        </w:rPr>
        <w:t>Funcionamiento de los Sistemas de semillas</w:t>
      </w:r>
    </w:p>
    <w:p w:rsidR="008B171B" w:rsidRPr="008B171B" w:rsidRDefault="008B171B" w:rsidP="00046874">
      <w:pPr>
        <w:spacing w:before="4"/>
        <w:rPr>
          <w:rFonts w:cs="Arial"/>
          <w:b/>
          <w:lang w:val="es-ES_tradnl"/>
        </w:rPr>
      </w:pPr>
    </w:p>
    <w:p w:rsidR="008B171B" w:rsidRPr="008B171B" w:rsidRDefault="00E54E30" w:rsidP="004E4F71">
      <w:pPr>
        <w:widowControl w:val="0"/>
        <w:tabs>
          <w:tab w:val="left" w:pos="1069"/>
          <w:tab w:val="left" w:pos="1071"/>
        </w:tabs>
        <w:autoSpaceDE w:val="0"/>
        <w:autoSpaceDN w:val="0"/>
        <w:ind w:right="216"/>
        <w:rPr>
          <w:rFonts w:cs="Arial"/>
          <w:lang w:val="es-ES_tradnl" w:eastAsia="en-GB" w:bidi="en-GB"/>
        </w:rPr>
      </w:pPr>
      <w:r w:rsidRPr="00E54E30">
        <w:rPr>
          <w:rFonts w:cs="Arial"/>
          <w:lang w:val="es-ES_tradnl" w:eastAsia="en-GB" w:bidi="en-GB"/>
        </w:rPr>
        <w:t>El éxito de la certificación internacional de semillas depende de la estrecha cooperación entre los mantenedores, los productores de semillas, los comerciantes y la autoridad designada (nombrada por el gobierno) en cada país participante.</w:t>
      </w:r>
      <w:r w:rsidR="00046874" w:rsidRPr="00046874">
        <w:rPr>
          <w:rFonts w:cs="Arial"/>
          <w:lang w:val="es-ES_tradnl" w:eastAsia="en-GB" w:bidi="en-GB"/>
        </w:rPr>
        <w:t xml:space="preserve"> </w:t>
      </w:r>
      <w:r w:rsidRPr="00E54E30">
        <w:rPr>
          <w:rFonts w:cs="Arial"/>
          <w:lang w:val="es-ES_tradnl" w:eastAsia="en-GB" w:bidi="en-GB"/>
        </w:rPr>
        <w:t>Las frecuentes reuniones favorecen el diálogo entre las diversas partes interesadas para intercambiar información, analizar casos prácticos, revisar las normas y actualizar los Sistemas.</w:t>
      </w:r>
      <w:r w:rsidR="00046874" w:rsidRPr="00046874">
        <w:rPr>
          <w:rFonts w:cs="Arial"/>
          <w:lang w:val="es-ES_tradnl" w:eastAsia="en-GB" w:bidi="en-GB"/>
        </w:rPr>
        <w:t xml:space="preserve"> </w:t>
      </w:r>
      <w:r w:rsidRPr="00E54E30">
        <w:rPr>
          <w:rFonts w:cs="Arial"/>
          <w:lang w:val="es-ES_tradnl" w:eastAsia="en-GB" w:bidi="en-GB"/>
        </w:rPr>
        <w:t>Una amplia variedad de organizaciones internacionales y no gubernamentales, así como redes de la industria de las semillas, participan activamente en los Sistemas.</w:t>
      </w:r>
    </w:p>
    <w:p w:rsidR="008B171B" w:rsidRPr="008B171B" w:rsidRDefault="008B171B" w:rsidP="00046874">
      <w:pPr>
        <w:spacing w:before="3"/>
        <w:rPr>
          <w:rFonts w:cs="Arial"/>
          <w:lang w:val="es-ES_tradnl"/>
        </w:rPr>
      </w:pPr>
    </w:p>
    <w:p w:rsidR="008B171B" w:rsidRPr="008B171B" w:rsidRDefault="00E54E30" w:rsidP="004E4F71">
      <w:pPr>
        <w:keepNext/>
        <w:rPr>
          <w:i/>
          <w:lang w:val="es-ES_tradnl"/>
        </w:rPr>
      </w:pPr>
      <w:bookmarkStart w:id="24" w:name="Benefits_of_the_Schemes"/>
      <w:bookmarkEnd w:id="24"/>
      <w:r w:rsidRPr="00E54E30">
        <w:rPr>
          <w:i/>
          <w:lang w:val="es-ES_tradnl"/>
        </w:rPr>
        <w:lastRenderedPageBreak/>
        <w:t>Ventajas de los Sistemas de semillas</w:t>
      </w:r>
    </w:p>
    <w:p w:rsidR="008B171B" w:rsidRPr="008B171B" w:rsidRDefault="008B171B" w:rsidP="008B2259">
      <w:pPr>
        <w:keepNext/>
        <w:spacing w:before="5"/>
        <w:rPr>
          <w:rFonts w:cs="Arial"/>
          <w:b/>
          <w:lang w:val="es-ES_tradnl"/>
        </w:rPr>
      </w:pPr>
    </w:p>
    <w:p w:rsidR="008B171B" w:rsidRPr="008B171B" w:rsidRDefault="00E54E30" w:rsidP="008B2259">
      <w:pPr>
        <w:keepLines/>
        <w:widowControl w:val="0"/>
        <w:numPr>
          <w:ilvl w:val="1"/>
          <w:numId w:val="10"/>
        </w:numPr>
        <w:tabs>
          <w:tab w:val="left" w:pos="1071"/>
        </w:tabs>
        <w:autoSpaceDE w:val="0"/>
        <w:autoSpaceDN w:val="0"/>
        <w:ind w:left="1071" w:right="221" w:hanging="408"/>
        <w:rPr>
          <w:rFonts w:cs="Arial"/>
          <w:lang w:val="es-ES_tradnl" w:eastAsia="en-GB" w:bidi="en-GB"/>
        </w:rPr>
      </w:pPr>
      <w:r w:rsidRPr="00000BCE">
        <w:rPr>
          <w:rFonts w:cs="Arial"/>
          <w:lang w:val="es-ES_tradnl" w:eastAsia="en-GB" w:bidi="en-GB"/>
        </w:rPr>
        <w:t>Facilitar el comercio internacional mediante el empleo de procedimientos armonizados de certificación, técnicas de inspección de cultivos y parcelas de control.</w:t>
      </w:r>
      <w:r w:rsidR="00046874" w:rsidRPr="00046874">
        <w:rPr>
          <w:rFonts w:cs="Arial"/>
          <w:lang w:val="es-ES_tradnl" w:eastAsia="en-GB" w:bidi="en-GB"/>
        </w:rPr>
        <w:t xml:space="preserve"> </w:t>
      </w:r>
      <w:r w:rsidR="00000BCE" w:rsidRPr="00000BCE">
        <w:rPr>
          <w:rFonts w:cs="Arial"/>
          <w:lang w:val="es-ES_tradnl" w:eastAsia="en-GB" w:bidi="en-GB"/>
        </w:rPr>
        <w:t>Los estándares de pureza varietal de las especies de interés también se acuerdan y armonizan entre todos los Estados miembros.</w:t>
      </w:r>
    </w:p>
    <w:p w:rsidR="008B171B" w:rsidRPr="008B171B" w:rsidRDefault="00000BCE" w:rsidP="004E4F71">
      <w:pPr>
        <w:widowControl w:val="0"/>
        <w:numPr>
          <w:ilvl w:val="1"/>
          <w:numId w:val="10"/>
        </w:numPr>
        <w:tabs>
          <w:tab w:val="left" w:pos="1069"/>
          <w:tab w:val="left" w:pos="1071"/>
        </w:tabs>
        <w:autoSpaceDE w:val="0"/>
        <w:autoSpaceDN w:val="0"/>
        <w:ind w:hanging="410"/>
        <w:jc w:val="left"/>
        <w:rPr>
          <w:rFonts w:cs="Arial"/>
          <w:lang w:val="es-ES_tradnl" w:eastAsia="en-GB" w:bidi="en-GB"/>
        </w:rPr>
      </w:pPr>
      <w:r w:rsidRPr="00000BCE">
        <w:rPr>
          <w:rFonts w:cs="Arial"/>
          <w:lang w:val="es-ES_tradnl" w:eastAsia="en-GB" w:bidi="en-GB"/>
        </w:rPr>
        <w:t>Disponer de un marco para desarrollar la producción de semillas con otros países o empresas.</w:t>
      </w:r>
    </w:p>
    <w:p w:rsidR="008B171B" w:rsidRPr="008B171B" w:rsidRDefault="00000BCE" w:rsidP="004E4F71">
      <w:pPr>
        <w:widowControl w:val="0"/>
        <w:numPr>
          <w:ilvl w:val="1"/>
          <w:numId w:val="10"/>
        </w:numPr>
        <w:tabs>
          <w:tab w:val="left" w:pos="1069"/>
          <w:tab w:val="left" w:pos="1071"/>
        </w:tabs>
        <w:autoSpaceDE w:val="0"/>
        <w:autoSpaceDN w:val="0"/>
        <w:ind w:hanging="410"/>
        <w:jc w:val="left"/>
        <w:rPr>
          <w:rFonts w:cs="Arial"/>
          <w:lang w:val="es-ES_tradnl" w:eastAsia="en-GB" w:bidi="en-GB"/>
        </w:rPr>
      </w:pPr>
      <w:r w:rsidRPr="00000BCE">
        <w:rPr>
          <w:rFonts w:cs="Arial"/>
          <w:lang w:val="es-ES_tradnl" w:eastAsia="en-GB" w:bidi="en-GB"/>
        </w:rPr>
        <w:t>Participar en la elaboración de las normas internacionales para la certificación de semillas.</w:t>
      </w:r>
    </w:p>
    <w:p w:rsidR="008B171B" w:rsidRPr="008B171B" w:rsidRDefault="00000BCE" w:rsidP="004E4F71">
      <w:pPr>
        <w:widowControl w:val="0"/>
        <w:numPr>
          <w:ilvl w:val="1"/>
          <w:numId w:val="10"/>
        </w:numPr>
        <w:tabs>
          <w:tab w:val="left" w:pos="1069"/>
          <w:tab w:val="left" w:pos="1071"/>
        </w:tabs>
        <w:autoSpaceDE w:val="0"/>
        <w:autoSpaceDN w:val="0"/>
        <w:ind w:hanging="410"/>
        <w:jc w:val="left"/>
        <w:rPr>
          <w:rFonts w:cs="Arial"/>
          <w:lang w:val="es-ES_tradnl" w:eastAsia="en-GB" w:bidi="en-GB"/>
        </w:rPr>
      </w:pPr>
      <w:r w:rsidRPr="00000BCE">
        <w:rPr>
          <w:rFonts w:cs="Arial"/>
          <w:lang w:val="es-ES_tradnl" w:eastAsia="en-GB" w:bidi="en-GB"/>
        </w:rPr>
        <w:t>Desarrollar la colaboración entre los sectores público y privado.</w:t>
      </w:r>
    </w:p>
    <w:p w:rsidR="008B171B" w:rsidRPr="008B171B" w:rsidRDefault="00000BCE" w:rsidP="004E4F71">
      <w:pPr>
        <w:widowControl w:val="0"/>
        <w:numPr>
          <w:ilvl w:val="1"/>
          <w:numId w:val="10"/>
        </w:numPr>
        <w:tabs>
          <w:tab w:val="left" w:pos="1071"/>
        </w:tabs>
        <w:autoSpaceDE w:val="0"/>
        <w:autoSpaceDN w:val="0"/>
        <w:ind w:right="225"/>
        <w:rPr>
          <w:rFonts w:cs="Arial"/>
          <w:lang w:val="es-ES_tradnl" w:eastAsia="en-GB" w:bidi="en-GB"/>
        </w:rPr>
      </w:pPr>
      <w:r w:rsidRPr="00000BCE">
        <w:rPr>
          <w:rFonts w:cs="Arial"/>
          <w:lang w:val="es-ES_tradnl" w:eastAsia="en-GB" w:bidi="en-GB"/>
        </w:rPr>
        <w:t>Beneficiarse de intercambios periódicos de información con otros organismos nacionales de certificación y organizaciones observadoras.</w:t>
      </w:r>
    </w:p>
    <w:p w:rsidR="008B171B" w:rsidRPr="008B171B" w:rsidRDefault="008B171B" w:rsidP="00046874">
      <w:pPr>
        <w:spacing w:before="5"/>
        <w:rPr>
          <w:rFonts w:cs="Arial"/>
          <w:lang w:val="es-ES_tradnl"/>
        </w:rPr>
      </w:pPr>
    </w:p>
    <w:p w:rsidR="008B171B" w:rsidRPr="008B171B" w:rsidRDefault="00000BCE" w:rsidP="004E4F71">
      <w:pPr>
        <w:rPr>
          <w:i/>
          <w:lang w:val="es-ES_tradnl"/>
        </w:rPr>
      </w:pPr>
      <w:bookmarkStart w:id="25" w:name="Annual_List_of_Varieties"/>
      <w:bookmarkEnd w:id="25"/>
      <w:r w:rsidRPr="00000BCE">
        <w:rPr>
          <w:i/>
          <w:lang w:val="es-ES_tradnl"/>
        </w:rPr>
        <w:t>Lista anual de variedades</w:t>
      </w:r>
    </w:p>
    <w:p w:rsidR="008B171B" w:rsidRPr="008B171B" w:rsidRDefault="008B171B" w:rsidP="00046874">
      <w:pPr>
        <w:spacing w:before="4"/>
        <w:rPr>
          <w:rFonts w:cs="Arial"/>
          <w:b/>
          <w:lang w:val="es-ES_tradnl"/>
        </w:rPr>
      </w:pPr>
    </w:p>
    <w:p w:rsidR="008B171B" w:rsidRPr="008B171B" w:rsidRDefault="00000BCE" w:rsidP="004E4F71">
      <w:pPr>
        <w:widowControl w:val="0"/>
        <w:tabs>
          <w:tab w:val="left" w:pos="1127"/>
          <w:tab w:val="left" w:pos="1128"/>
        </w:tabs>
        <w:autoSpaceDE w:val="0"/>
        <w:autoSpaceDN w:val="0"/>
        <w:ind w:right="216"/>
        <w:rPr>
          <w:rFonts w:cs="Arial"/>
          <w:lang w:val="es-ES_tradnl" w:eastAsia="en-GB" w:bidi="en-GB"/>
        </w:rPr>
      </w:pPr>
      <w:r w:rsidRPr="00000BCE">
        <w:rPr>
          <w:rFonts w:cs="Arial"/>
          <w:w w:val="105"/>
          <w:lang w:val="es-ES_tradnl" w:eastAsia="en-GB" w:bidi="en-GB"/>
        </w:rPr>
        <w:t>En la lista anual de variedades aptas para obtener la certificación de la OCDE figuran aquellas que están reconocidas oficialmente como distintas, homogéneas y estables y poseen un valor aceptable en uno o más países participantes.</w:t>
      </w:r>
      <w:r w:rsidR="00046874" w:rsidRPr="00046874">
        <w:rPr>
          <w:rFonts w:cs="Arial"/>
          <w:w w:val="105"/>
          <w:lang w:val="es-ES_tradnl" w:eastAsia="en-GB" w:bidi="en-GB"/>
        </w:rPr>
        <w:t xml:space="preserve"> </w:t>
      </w:r>
      <w:r w:rsidRPr="00000BCE">
        <w:rPr>
          <w:rFonts w:cs="Arial"/>
          <w:w w:val="105"/>
          <w:lang w:val="es-ES_tradnl" w:eastAsia="en-GB" w:bidi="en-GB"/>
        </w:rPr>
        <w:t>La Lista contiene las variedades de semilla comercializadas a escala internacional a través de los Sistemas de semillas de la OCDE.</w:t>
      </w:r>
      <w:r w:rsidR="00046874" w:rsidRPr="00046874">
        <w:rPr>
          <w:rFonts w:cs="Arial"/>
          <w:w w:val="105"/>
          <w:lang w:val="es-ES_tradnl" w:eastAsia="en-GB" w:bidi="en-GB"/>
        </w:rPr>
        <w:t xml:space="preserve"> </w:t>
      </w:r>
      <w:r w:rsidRPr="00000BCE">
        <w:rPr>
          <w:rFonts w:cs="Arial"/>
          <w:w w:val="105"/>
          <w:lang w:val="es-ES_tradnl" w:eastAsia="en-GB" w:bidi="en-GB"/>
        </w:rPr>
        <w:t>El número de variedades incluidas ha aumentado constantemente en los últimos treinta años.</w:t>
      </w:r>
      <w:r w:rsidR="00046874" w:rsidRPr="00046874">
        <w:rPr>
          <w:rFonts w:cs="Arial"/>
          <w:w w:val="105"/>
          <w:lang w:val="es-ES_tradnl" w:eastAsia="en-GB" w:bidi="en-GB"/>
        </w:rPr>
        <w:t xml:space="preserve"> </w:t>
      </w:r>
      <w:r w:rsidRPr="00000BCE">
        <w:rPr>
          <w:rFonts w:cs="Arial"/>
          <w:w w:val="105"/>
          <w:lang w:val="es-ES_tradnl" w:eastAsia="en-GB" w:bidi="en-GB"/>
        </w:rPr>
        <w:t>En la actualidad, el número de variedades incluidas en la lista supera las 62.000, correspondientes a 200 especies.</w:t>
      </w:r>
      <w:r w:rsidR="00046874" w:rsidRPr="00046874">
        <w:rPr>
          <w:rFonts w:cs="Arial"/>
          <w:w w:val="105"/>
          <w:lang w:val="es-ES_tradnl" w:eastAsia="en-GB" w:bidi="en-GB"/>
        </w:rPr>
        <w:t xml:space="preserve"> </w:t>
      </w:r>
      <w:r w:rsidRPr="00000BCE">
        <w:rPr>
          <w:rFonts w:cs="Arial"/>
          <w:w w:val="105"/>
          <w:lang w:val="es-ES_tradnl" w:eastAsia="en-GB" w:bidi="en-GB"/>
        </w:rPr>
        <w:t>La lista puede consultarse en Internet y se actualiza con frecuencia.</w:t>
      </w:r>
    </w:p>
    <w:p w:rsidR="008B171B" w:rsidRPr="008B171B" w:rsidRDefault="008B171B" w:rsidP="00046874">
      <w:pPr>
        <w:spacing w:before="4"/>
        <w:rPr>
          <w:rFonts w:cs="Arial"/>
          <w:lang w:val="es-ES_tradnl"/>
        </w:rPr>
      </w:pPr>
    </w:p>
    <w:p w:rsidR="008B171B" w:rsidRPr="008B171B" w:rsidRDefault="00000BCE" w:rsidP="004E4F71">
      <w:pPr>
        <w:rPr>
          <w:i/>
          <w:lang w:val="es-ES_tradnl"/>
        </w:rPr>
      </w:pPr>
      <w:bookmarkStart w:id="26" w:name="Outlook"/>
      <w:bookmarkEnd w:id="26"/>
      <w:r w:rsidRPr="00000BCE">
        <w:rPr>
          <w:i/>
          <w:lang w:val="es-ES_tradnl"/>
        </w:rPr>
        <w:t>Perspectivas</w:t>
      </w:r>
    </w:p>
    <w:p w:rsidR="008B171B" w:rsidRPr="008B171B" w:rsidRDefault="008B171B" w:rsidP="00046874">
      <w:pPr>
        <w:spacing w:before="6"/>
        <w:rPr>
          <w:rFonts w:cs="Arial"/>
          <w:b/>
          <w:lang w:val="es-ES_tradnl"/>
        </w:rPr>
      </w:pPr>
    </w:p>
    <w:p w:rsidR="008B171B" w:rsidRPr="008B171B" w:rsidRDefault="00000BCE" w:rsidP="004E4F71">
      <w:pPr>
        <w:widowControl w:val="0"/>
        <w:tabs>
          <w:tab w:val="left" w:pos="1069"/>
          <w:tab w:val="left" w:pos="1071"/>
        </w:tabs>
        <w:autoSpaceDE w:val="0"/>
        <w:autoSpaceDN w:val="0"/>
        <w:spacing w:before="1"/>
        <w:ind w:right="223"/>
        <w:rPr>
          <w:rFonts w:cs="Arial"/>
          <w:lang w:val="es-ES_tradnl" w:eastAsia="en-GB" w:bidi="en-GB"/>
        </w:rPr>
      </w:pPr>
      <w:r w:rsidRPr="009D2DBA">
        <w:rPr>
          <w:rFonts w:cs="Arial"/>
          <w:lang w:val="es-ES_tradnl" w:eastAsia="en-GB" w:bidi="en-GB"/>
        </w:rPr>
        <w:t>Cuanto mayor es el grado de exigencia de los usuarios de las semillas, mayor es la necesidad de que estas se rijan por normas uniformes, si bien los recursos financieros públicos para la regulación y el control de la calidad son limitados.</w:t>
      </w:r>
    </w:p>
    <w:p w:rsidR="008B171B" w:rsidRPr="008B171B" w:rsidRDefault="008B171B" w:rsidP="00046874">
      <w:pPr>
        <w:spacing w:before="8"/>
        <w:rPr>
          <w:rFonts w:cs="Arial"/>
          <w:lang w:val="es-ES_tradnl"/>
        </w:rPr>
      </w:pPr>
    </w:p>
    <w:p w:rsidR="008B171B" w:rsidRPr="008B171B" w:rsidRDefault="009D2DBA" w:rsidP="004E4F71">
      <w:pPr>
        <w:widowControl w:val="0"/>
        <w:tabs>
          <w:tab w:val="left" w:pos="1069"/>
          <w:tab w:val="left" w:pos="1071"/>
        </w:tabs>
        <w:autoSpaceDE w:val="0"/>
        <w:autoSpaceDN w:val="0"/>
        <w:ind w:right="214"/>
        <w:rPr>
          <w:rFonts w:cs="Arial"/>
          <w:lang w:val="es-ES_tradnl" w:eastAsia="en-GB" w:bidi="en-GB"/>
        </w:rPr>
      </w:pPr>
      <w:r w:rsidRPr="009D2DBA">
        <w:rPr>
          <w:rFonts w:cs="Arial"/>
          <w:lang w:val="es-ES_tradnl" w:eastAsia="en-GB" w:bidi="en-GB"/>
        </w:rPr>
        <w:t>La cooperación entre los países y las partes interesadas en el marco de los Sistemas es una respuesta a la demanda de un enfoque normativo que sea sensible a las condiciones del mercado.</w:t>
      </w:r>
      <w:r w:rsidR="00046874" w:rsidRPr="00046874">
        <w:rPr>
          <w:rFonts w:cs="Arial"/>
          <w:i/>
          <w:lang w:val="es-ES_tradnl" w:eastAsia="en-GB" w:bidi="en-GB"/>
        </w:rPr>
        <w:t xml:space="preserve"> </w:t>
      </w:r>
      <w:r w:rsidRPr="009D2DBA">
        <w:rPr>
          <w:rFonts w:cs="Arial"/>
          <w:lang w:val="es-ES_tradnl" w:eastAsia="en-GB" w:bidi="en-GB"/>
        </w:rPr>
        <w:t>Aunque el marco jurídico, las barreras institucionales y las relaciones comerciales varían de un país a otro, los enfoques de los países que acceden a los mercados internacionales como importadores o exportadores de semillas deben ser homogéneos.</w:t>
      </w:r>
    </w:p>
    <w:p w:rsidR="008B171B" w:rsidRPr="008B171B" w:rsidRDefault="008B171B" w:rsidP="00046874">
      <w:pPr>
        <w:spacing w:before="10"/>
        <w:rPr>
          <w:rFonts w:cs="Arial"/>
          <w:lang w:val="es-ES_tradnl"/>
        </w:rPr>
      </w:pPr>
    </w:p>
    <w:p w:rsidR="008B171B" w:rsidRPr="008B171B" w:rsidRDefault="009D2DBA" w:rsidP="004E4F71">
      <w:pPr>
        <w:widowControl w:val="0"/>
        <w:tabs>
          <w:tab w:val="left" w:pos="1069"/>
          <w:tab w:val="left" w:pos="1071"/>
        </w:tabs>
        <w:autoSpaceDE w:val="0"/>
        <w:autoSpaceDN w:val="0"/>
        <w:spacing w:before="1"/>
        <w:ind w:right="217"/>
        <w:rPr>
          <w:rFonts w:cs="Arial"/>
          <w:lang w:val="es-ES_tradnl" w:eastAsia="en-GB" w:bidi="en-GB"/>
        </w:rPr>
      </w:pPr>
      <w:r w:rsidRPr="009D2DBA">
        <w:rPr>
          <w:rFonts w:cs="Arial"/>
          <w:lang w:val="es-ES_tradnl" w:eastAsia="en-GB" w:bidi="en-GB"/>
        </w:rPr>
        <w:t>Incumbe a los mantenedores y a las empresas de semillas conservar la pureza de sus variedades y la conformidad de estas con su descripción y con la muestra definitiva (que constituye la “descripción viva” de la variedad), tanto en el ámbito nacional como en el transfronterizo.</w:t>
      </w:r>
      <w:r w:rsidR="00046874" w:rsidRPr="00046874">
        <w:rPr>
          <w:rFonts w:cs="Arial"/>
          <w:lang w:val="es-ES_tradnl" w:eastAsia="en-GB" w:bidi="en-GB"/>
        </w:rPr>
        <w:t xml:space="preserve"> </w:t>
      </w:r>
      <w:r w:rsidRPr="009D2DBA">
        <w:rPr>
          <w:rFonts w:cs="Arial"/>
          <w:lang w:val="es-ES_tradnl" w:eastAsia="en-GB" w:bidi="en-GB"/>
        </w:rPr>
        <w:t>No obstante, para la multiplicación a gran escala de las semillas destinadas al comercio, es necesario definir, aprobar y aplicar unos criterios mínimos comunes.</w:t>
      </w:r>
      <w:r w:rsidR="00046874" w:rsidRPr="00046874">
        <w:rPr>
          <w:rFonts w:cs="Arial"/>
          <w:lang w:val="es-ES_tradnl" w:eastAsia="en-GB" w:bidi="en-GB"/>
        </w:rPr>
        <w:t xml:space="preserve"> </w:t>
      </w:r>
      <w:r w:rsidRPr="009D2DBA">
        <w:rPr>
          <w:rFonts w:cs="Arial"/>
          <w:lang w:val="es-ES_tradnl" w:eastAsia="en-GB" w:bidi="en-GB"/>
        </w:rPr>
        <w:t>Los Sistemas de semillas de la OCDE proporcionan a tal fin un marco jurídico de alcance internacional.</w:t>
      </w:r>
    </w:p>
    <w:p w:rsidR="008B171B" w:rsidRPr="008B171B" w:rsidRDefault="008B171B" w:rsidP="00046874">
      <w:pPr>
        <w:widowControl w:val="0"/>
        <w:tabs>
          <w:tab w:val="left" w:pos="1069"/>
          <w:tab w:val="left" w:pos="1071"/>
        </w:tabs>
        <w:autoSpaceDE w:val="0"/>
        <w:autoSpaceDN w:val="0"/>
        <w:spacing w:before="1"/>
        <w:ind w:left="220" w:right="217"/>
        <w:rPr>
          <w:rFonts w:cs="Arial"/>
          <w:lang w:val="es-ES_tradnl" w:eastAsia="en-GB" w:bidi="en-GB"/>
        </w:rPr>
      </w:pPr>
    </w:p>
    <w:p w:rsidR="008B171B" w:rsidRPr="008B171B" w:rsidRDefault="009D2DBA" w:rsidP="004E4F71">
      <w:pPr>
        <w:rPr>
          <w:i/>
          <w:lang w:val="es-ES_tradnl"/>
        </w:rPr>
      </w:pPr>
      <w:r w:rsidRPr="009D2DBA">
        <w:rPr>
          <w:i/>
          <w:lang w:val="es-ES_tradnl"/>
        </w:rPr>
        <w:t>Situación de las técnicas bioquímicas y moleculares en los Sistemas de semillas de la OCDE</w:t>
      </w:r>
    </w:p>
    <w:p w:rsidR="008B171B" w:rsidRPr="008B171B" w:rsidRDefault="008B171B" w:rsidP="00046874">
      <w:pPr>
        <w:ind w:right="556"/>
        <w:rPr>
          <w:lang w:val="es-ES_tradnl"/>
        </w:rPr>
      </w:pPr>
    </w:p>
    <w:p w:rsidR="008B171B" w:rsidRPr="008B171B" w:rsidRDefault="009D2DBA" w:rsidP="004E4F71">
      <w:pPr>
        <w:spacing w:line="240" w:lineRule="exact"/>
        <w:rPr>
          <w:lang w:val="es-ES_tradnl"/>
        </w:rPr>
      </w:pPr>
      <w:r w:rsidRPr="009D2DBA">
        <w:rPr>
          <w:lang w:val="es-ES_tradnl"/>
        </w:rPr>
        <w:t>Los Sistemas de semillas de la OCDE no avalan específicamente ningún método de laboratorio para determinar la identidad o la pureza varietal.</w:t>
      </w:r>
      <w:r w:rsidR="00046874" w:rsidRPr="00046874">
        <w:rPr>
          <w:lang w:val="es-ES_tradnl"/>
        </w:rPr>
        <w:t xml:space="preserve"> </w:t>
      </w:r>
      <w:r w:rsidRPr="009D2DBA">
        <w:rPr>
          <w:lang w:val="es-ES_tradnl"/>
        </w:rPr>
        <w:t>Los métodos establecidos para ese fin son los métodos tradicionales de la OCDE, es decir, la inspección sobre el terreno y las parcelas de precontrol y poscontrol.</w:t>
      </w:r>
    </w:p>
    <w:p w:rsidR="008B171B" w:rsidRPr="008B171B" w:rsidRDefault="008B171B" w:rsidP="00046874">
      <w:pPr>
        <w:spacing w:line="247" w:lineRule="exact"/>
        <w:rPr>
          <w:lang w:val="es-ES_tradnl"/>
        </w:rPr>
      </w:pPr>
    </w:p>
    <w:p w:rsidR="008B171B" w:rsidRPr="008B171B" w:rsidRDefault="009D2DBA" w:rsidP="004E4F71">
      <w:pPr>
        <w:ind w:right="102"/>
        <w:rPr>
          <w:lang w:val="es-ES_tradnl"/>
        </w:rPr>
      </w:pPr>
      <w:r w:rsidRPr="009D2DBA">
        <w:rPr>
          <w:lang w:val="es-ES_tradnl"/>
        </w:rPr>
        <w:t>No obstante, los Sistemas de semillas de la OCDE reconocen que, en ocasiones, esos métodos tradicionales limitan la fiabilidad de la determinación varietal y, en ciertos casos, no permiten identificar con certeza las variedades de algunas especies.</w:t>
      </w:r>
      <w:r w:rsidR="00046874" w:rsidRPr="00046874">
        <w:rPr>
          <w:lang w:val="es-ES_tradnl"/>
        </w:rPr>
        <w:t xml:space="preserve"> </w:t>
      </w:r>
      <w:r w:rsidRPr="009D2DBA">
        <w:rPr>
          <w:lang w:val="es-ES_tradnl"/>
        </w:rPr>
        <w:t>En esas circunstancias concretas, podrían resultar útiles técnicas que no se apliquen sobre el terreno, como las técnicas bioquímicas y moleculares, que deben considerarse complementarias y no sustitutivas de los métodos tradicionales.</w:t>
      </w:r>
    </w:p>
    <w:p w:rsidR="008B171B" w:rsidRPr="008B171B" w:rsidRDefault="008B171B" w:rsidP="00046874">
      <w:pPr>
        <w:spacing w:before="8"/>
        <w:rPr>
          <w:lang w:val="es-ES_tradnl"/>
        </w:rPr>
      </w:pPr>
    </w:p>
    <w:p w:rsidR="008B171B" w:rsidRPr="008B171B" w:rsidRDefault="009D2DBA" w:rsidP="004E4F71">
      <w:pPr>
        <w:spacing w:before="1"/>
        <w:rPr>
          <w:b/>
          <w:lang w:val="es-ES_tradnl"/>
        </w:rPr>
      </w:pPr>
      <w:r w:rsidRPr="009D2DBA">
        <w:rPr>
          <w:lang w:val="es-ES_tradnl"/>
        </w:rPr>
        <w:t>Puede encontrarse más información acerca de los Sistemas de semillas de la OCDE en la siguiente dirección:</w:t>
      </w:r>
      <w:r w:rsidR="00046874" w:rsidRPr="004E4F71">
        <w:rPr>
          <w:lang w:val="es-ES_tradnl"/>
        </w:rPr>
        <w:t xml:space="preserve"> </w:t>
      </w:r>
      <w:hyperlink r:id="rId11">
        <w:r w:rsidR="00046874" w:rsidRPr="004E4F71">
          <w:rPr>
            <w:b/>
            <w:lang w:val="es-ES_tradnl"/>
          </w:rPr>
          <w:t>www.oecd.org/tad</w:t>
        </w:r>
        <w:r w:rsidR="00046874" w:rsidRPr="004E4F71">
          <w:rPr>
            <w:lang w:val="es-ES_tradnl"/>
          </w:rPr>
          <w:t>/</w:t>
        </w:r>
        <w:r w:rsidR="00046874" w:rsidRPr="004E4F71">
          <w:rPr>
            <w:b/>
            <w:lang w:val="es-ES_tradnl"/>
          </w:rPr>
          <w:t>seed</w:t>
        </w:r>
      </w:hyperlink>
    </w:p>
    <w:p w:rsidR="008B171B" w:rsidRPr="008B171B" w:rsidRDefault="008B171B" w:rsidP="00046874">
      <w:pPr>
        <w:rPr>
          <w:lang w:val="es-ES_tradnl"/>
        </w:rPr>
      </w:pPr>
    </w:p>
    <w:p w:rsidR="008B171B" w:rsidRPr="008B171B" w:rsidRDefault="008B171B" w:rsidP="00046874">
      <w:pPr>
        <w:rPr>
          <w:lang w:val="es-ES_tradnl"/>
        </w:rPr>
      </w:pPr>
    </w:p>
    <w:p w:rsidR="00B21FD3" w:rsidRDefault="00B21FD3">
      <w:pPr>
        <w:jc w:val="left"/>
        <w:rPr>
          <w:bCs/>
          <w:u w:val="single"/>
          <w:lang w:val="es-ES_tradnl"/>
        </w:rPr>
      </w:pPr>
      <w:r>
        <w:rPr>
          <w:bCs/>
          <w:u w:val="single"/>
          <w:lang w:val="es-ES_tradnl"/>
        </w:rPr>
        <w:br w:type="page"/>
      </w:r>
    </w:p>
    <w:p w:rsidR="008B171B" w:rsidRPr="008B171B" w:rsidRDefault="009D2DBA" w:rsidP="004E4F71">
      <w:pPr>
        <w:rPr>
          <w:bCs/>
          <w:u w:val="single"/>
          <w:lang w:val="es-ES_tradnl"/>
        </w:rPr>
      </w:pPr>
      <w:r w:rsidRPr="009D2DBA">
        <w:rPr>
          <w:bCs/>
          <w:u w:val="single"/>
          <w:lang w:val="es-ES_tradnl"/>
        </w:rPr>
        <w:lastRenderedPageBreak/>
        <w:t>Unión Internacional para la Protección de las Obtenciones Vegetales (UPOV)</w:t>
      </w:r>
    </w:p>
    <w:p w:rsidR="008B171B" w:rsidRPr="008B171B" w:rsidRDefault="008B171B" w:rsidP="00046874">
      <w:pPr>
        <w:rPr>
          <w:lang w:val="es-ES_tradnl"/>
        </w:rPr>
      </w:pPr>
    </w:p>
    <w:p w:rsidR="008B171B" w:rsidRPr="008B171B" w:rsidRDefault="009D2DBA" w:rsidP="004E4F71">
      <w:pPr>
        <w:rPr>
          <w:lang w:val="es-ES_tradnl"/>
        </w:rPr>
      </w:pPr>
      <w:r w:rsidRPr="009D2DBA">
        <w:rPr>
          <w:bCs/>
          <w:lang w:val="es-ES_tradnl"/>
        </w:rPr>
        <w:t>Tipo de organización:</w:t>
      </w:r>
      <w:r w:rsidR="00046874" w:rsidRPr="00046874">
        <w:rPr>
          <w:bCs/>
          <w:lang w:val="es-ES_tradnl"/>
        </w:rPr>
        <w:t xml:space="preserve"> </w:t>
      </w:r>
      <w:r w:rsidRPr="009D2DBA">
        <w:rPr>
          <w:lang w:val="es-ES_tradnl"/>
        </w:rPr>
        <w:t>intergubernamental.</w:t>
      </w:r>
    </w:p>
    <w:p w:rsidR="008B171B" w:rsidRPr="008B171B" w:rsidRDefault="008B171B" w:rsidP="00046874">
      <w:pPr>
        <w:rPr>
          <w:lang w:val="es-ES_tradnl"/>
        </w:rPr>
      </w:pPr>
    </w:p>
    <w:p w:rsidR="008B171B" w:rsidRPr="008B171B" w:rsidRDefault="009D2DBA" w:rsidP="004E4F71">
      <w:pPr>
        <w:rPr>
          <w:bCs/>
          <w:lang w:val="es-ES_tradnl"/>
        </w:rPr>
      </w:pPr>
      <w:r w:rsidRPr="009D2DBA">
        <w:rPr>
          <w:bCs/>
          <w:lang w:val="es-ES_tradnl"/>
        </w:rPr>
        <w:t>Miembros</w:t>
      </w:r>
    </w:p>
    <w:p w:rsidR="008B171B" w:rsidRPr="008B171B" w:rsidRDefault="00C77D91" w:rsidP="00046874">
      <w:pPr>
        <w:rPr>
          <w:lang w:val="es-ES_tradnl"/>
        </w:rPr>
      </w:pPr>
      <w:hyperlink r:id="rId12" w:history="1">
        <w:r w:rsidR="009D2DBA" w:rsidRPr="004E4F71">
          <w:rPr>
            <w:color w:val="0000FF"/>
            <w:u w:val="single"/>
            <w:lang w:val="es-ES_tradnl"/>
          </w:rPr>
          <w:t>Lista de miembros de la UPOV</w:t>
        </w:r>
      </w:hyperlink>
      <w:r w:rsidR="009D2DBA" w:rsidRPr="004E4F71">
        <w:rPr>
          <w:u w:val="single"/>
          <w:lang w:val="es-ES_tradnl"/>
        </w:rPr>
        <w:t xml:space="preserve"> </w:t>
      </w:r>
      <w:r w:rsidR="009D2DBA" w:rsidRPr="004E4F71">
        <w:rPr>
          <w:lang w:val="es-ES_tradnl"/>
        </w:rPr>
        <w:t xml:space="preserve">/ </w:t>
      </w:r>
      <w:hyperlink r:id="rId13" w:history="1">
        <w:r w:rsidR="009D2DBA" w:rsidRPr="004E4F71">
          <w:rPr>
            <w:color w:val="0000FF"/>
            <w:u w:val="single"/>
            <w:lang w:val="es-ES_tradnl"/>
          </w:rPr>
          <w:t>Situación en relación con la UPOV</w:t>
        </w:r>
      </w:hyperlink>
    </w:p>
    <w:p w:rsidR="008B171B" w:rsidRPr="008B171B" w:rsidRDefault="008B171B" w:rsidP="00046874">
      <w:pPr>
        <w:rPr>
          <w:lang w:val="es-ES_tradnl"/>
        </w:rPr>
      </w:pPr>
    </w:p>
    <w:p w:rsidR="008B171B" w:rsidRPr="008B171B" w:rsidRDefault="009D2DBA" w:rsidP="004E4F71">
      <w:pPr>
        <w:keepNext/>
        <w:rPr>
          <w:bCs/>
          <w:i/>
          <w:lang w:val="es-ES_tradnl"/>
        </w:rPr>
      </w:pPr>
      <w:r w:rsidRPr="009D2DBA">
        <w:rPr>
          <w:bCs/>
          <w:i/>
          <w:lang w:val="es-ES_tradnl"/>
        </w:rPr>
        <w:t>¿Qué es la UPOV?</w:t>
      </w:r>
    </w:p>
    <w:p w:rsidR="008B171B" w:rsidRPr="008B171B" w:rsidRDefault="008B171B" w:rsidP="00046874">
      <w:pPr>
        <w:keepNext/>
        <w:rPr>
          <w:bCs/>
          <w:lang w:val="es-ES_tradnl"/>
        </w:rPr>
      </w:pPr>
    </w:p>
    <w:p w:rsidR="008B171B" w:rsidRPr="008B171B" w:rsidRDefault="009D2DBA" w:rsidP="004E4F71">
      <w:pPr>
        <w:rPr>
          <w:lang w:val="es-ES_tradnl"/>
        </w:rPr>
      </w:pPr>
      <w:r w:rsidRPr="009D2DBA">
        <w:rPr>
          <w:lang w:val="es-ES_tradnl"/>
        </w:rPr>
        <w:t>La Unión Internacional para la Protección de las Obtenciones Vegetales (UPOV) es una organización intergubernamental con sede en Ginebra (Suiza).</w:t>
      </w:r>
      <w:r w:rsidR="00046874" w:rsidRPr="00046874">
        <w:rPr>
          <w:lang w:val="es-ES_tradnl"/>
        </w:rPr>
        <w:t xml:space="preserve"> </w:t>
      </w:r>
      <w:r w:rsidRPr="009D2DBA">
        <w:rPr>
          <w:lang w:val="es-ES_tradnl"/>
        </w:rPr>
        <w:t>La UPOV fue constituida en 1961 por el Convenio Internacional para la Protección de las Obtenciones Vegetales (“Convenio de la UPOV”).</w:t>
      </w:r>
    </w:p>
    <w:p w:rsidR="008B171B" w:rsidRPr="008B171B" w:rsidRDefault="009D2DBA" w:rsidP="004E4F71">
      <w:pPr>
        <w:rPr>
          <w:lang w:val="es-ES_tradnl"/>
        </w:rPr>
      </w:pPr>
      <w:r w:rsidRPr="009D2DBA">
        <w:rPr>
          <w:lang w:val="es-ES_tradnl"/>
        </w:rPr>
        <w:t>La misión de la UPOV es proporcionar y fomentar un sistema eficaz para la protección de las variedades vegetales con miras al desarrollo de obtenciones vegetales en beneficio de la sociedad.</w:t>
      </w:r>
    </w:p>
    <w:p w:rsidR="008B171B" w:rsidRPr="008B171B" w:rsidRDefault="009D2DBA" w:rsidP="004E4F71">
      <w:pPr>
        <w:rPr>
          <w:lang w:val="es-ES_tradnl"/>
        </w:rPr>
      </w:pPr>
      <w:r w:rsidRPr="009D2DBA">
        <w:rPr>
          <w:lang w:val="es-ES_tradnl"/>
        </w:rPr>
        <w:t>El Convenio de la UPOV es el fundamento en que se apoyan los miembros para fomentar el fitomejoramiento mediante la concesión, a los obtentores de variedades vegetales, de un derecho de propiedad intelectual:</w:t>
      </w:r>
      <w:r w:rsidR="00046874" w:rsidRPr="00046874">
        <w:rPr>
          <w:lang w:val="es-ES_tradnl"/>
        </w:rPr>
        <w:t xml:space="preserve"> </w:t>
      </w:r>
      <w:r w:rsidRPr="009D2DBA">
        <w:rPr>
          <w:lang w:val="es-ES_tradnl"/>
        </w:rPr>
        <w:t>el derecho de obtentor.</w:t>
      </w:r>
    </w:p>
    <w:p w:rsidR="008B171B" w:rsidRPr="008B171B" w:rsidRDefault="008B171B" w:rsidP="00046874">
      <w:pPr>
        <w:rPr>
          <w:lang w:val="es-ES_tradnl"/>
        </w:rPr>
      </w:pPr>
    </w:p>
    <w:p w:rsidR="008B171B" w:rsidRPr="008B171B" w:rsidRDefault="009D2DBA" w:rsidP="004E4F71">
      <w:pPr>
        <w:rPr>
          <w:bCs/>
          <w:i/>
          <w:lang w:val="es-ES_tradnl"/>
        </w:rPr>
      </w:pPr>
      <w:r w:rsidRPr="009D2DBA">
        <w:rPr>
          <w:bCs/>
          <w:i/>
          <w:lang w:val="es-ES_tradnl"/>
        </w:rPr>
        <w:t>¿Qué hace la UPOV?</w:t>
      </w:r>
    </w:p>
    <w:p w:rsidR="008B171B" w:rsidRPr="008B171B" w:rsidRDefault="008B171B" w:rsidP="00046874">
      <w:pPr>
        <w:rPr>
          <w:bCs/>
          <w:lang w:val="es-ES_tradnl"/>
        </w:rPr>
      </w:pPr>
    </w:p>
    <w:p w:rsidR="008B171B" w:rsidRPr="008B171B" w:rsidRDefault="009D2DBA" w:rsidP="004E4F71">
      <w:pPr>
        <w:rPr>
          <w:lang w:val="es-ES_tradnl"/>
        </w:rPr>
      </w:pPr>
      <w:r w:rsidRPr="009D2DBA">
        <w:rPr>
          <w:lang w:val="es-ES_tradnl"/>
        </w:rPr>
        <w:t>La misión de la UPOV es proporcionar y fomentar un sistema eficaz para la protección de las variedades vegetales con miras al desarrollo de obtenciones vegetales en beneficio de la sociedad.</w:t>
      </w:r>
      <w:r w:rsidR="00046874" w:rsidRPr="00046874">
        <w:rPr>
          <w:lang w:val="es-ES_tradnl"/>
        </w:rPr>
        <w:t xml:space="preserve"> </w:t>
      </w:r>
      <w:r w:rsidRPr="009D2DBA">
        <w:rPr>
          <w:lang w:val="es-ES_tradnl"/>
        </w:rPr>
        <w:t>Los principales objetivos de la Unión, de conformidad con el Convenio de la UPOV, son los siguientes:</w:t>
      </w:r>
    </w:p>
    <w:p w:rsidR="008B171B" w:rsidRPr="008B171B" w:rsidRDefault="009D2DBA" w:rsidP="004E4F71">
      <w:pPr>
        <w:numPr>
          <w:ilvl w:val="0"/>
          <w:numId w:val="7"/>
        </w:numPr>
        <w:rPr>
          <w:lang w:val="es-ES_tradnl"/>
        </w:rPr>
      </w:pPr>
      <w:r w:rsidRPr="009D2DBA">
        <w:rPr>
          <w:lang w:val="es-ES_tradnl"/>
        </w:rPr>
        <w:t>proporcionar y desarrollar las bases jurídicas, administrativas y técnicas para la cooperación internacional en materia de protección de las variedades vegetales;</w:t>
      </w:r>
    </w:p>
    <w:p w:rsidR="008B171B" w:rsidRPr="008B171B" w:rsidRDefault="009D2DBA" w:rsidP="004E4F71">
      <w:pPr>
        <w:numPr>
          <w:ilvl w:val="0"/>
          <w:numId w:val="7"/>
        </w:numPr>
        <w:rPr>
          <w:lang w:val="es-ES_tradnl"/>
        </w:rPr>
      </w:pPr>
      <w:r w:rsidRPr="009D2DBA">
        <w:rPr>
          <w:lang w:val="es-ES_tradnl"/>
        </w:rPr>
        <w:t>prestar asistencia a los Estados y las organizaciones en la elaboración de legislación y en la aplicación de un sistema eficaz de protección de las obtenciones vegetales; y</w:t>
      </w:r>
    </w:p>
    <w:p w:rsidR="008B171B" w:rsidRPr="008B171B" w:rsidRDefault="009D2DBA" w:rsidP="004E4F71">
      <w:pPr>
        <w:numPr>
          <w:ilvl w:val="0"/>
          <w:numId w:val="7"/>
        </w:numPr>
        <w:rPr>
          <w:lang w:val="es-ES_tradnl"/>
        </w:rPr>
      </w:pPr>
      <w:r w:rsidRPr="009D2DBA">
        <w:rPr>
          <w:lang w:val="es-ES_tradnl"/>
        </w:rPr>
        <w:t>mejorar la comprensión del público en general y sensibilizarlo en relación con el sistema de la UPOV de protección de las variedades vegetales.</w:t>
      </w:r>
    </w:p>
    <w:p w:rsidR="008B171B" w:rsidRPr="008B171B" w:rsidRDefault="008B171B" w:rsidP="00046874">
      <w:pPr>
        <w:rPr>
          <w:bCs/>
          <w:lang w:val="es-ES_tradnl"/>
        </w:rPr>
      </w:pPr>
    </w:p>
    <w:p w:rsidR="008B171B" w:rsidRPr="008B171B" w:rsidRDefault="009D2DBA" w:rsidP="004E4F71">
      <w:pPr>
        <w:rPr>
          <w:bCs/>
          <w:i/>
          <w:lang w:val="es-ES_tradnl"/>
        </w:rPr>
      </w:pPr>
      <w:r w:rsidRPr="009D2DBA">
        <w:rPr>
          <w:bCs/>
          <w:i/>
          <w:lang w:val="es-ES_tradnl"/>
        </w:rPr>
        <w:t>¿Qué beneficios ofrece la protección de las obtenciones vegetales y la pertenencia a la UPOV?</w:t>
      </w:r>
    </w:p>
    <w:p w:rsidR="008B171B" w:rsidRPr="008B171B" w:rsidRDefault="008B171B" w:rsidP="00046874">
      <w:pPr>
        <w:rPr>
          <w:bCs/>
          <w:lang w:val="es-ES_tradnl"/>
        </w:rPr>
      </w:pPr>
    </w:p>
    <w:p w:rsidR="008B171B" w:rsidRPr="008B171B" w:rsidRDefault="009D2DBA" w:rsidP="004E4F71">
      <w:pPr>
        <w:rPr>
          <w:lang w:val="es-ES_tradnl"/>
        </w:rPr>
      </w:pPr>
      <w:r w:rsidRPr="009D2DBA">
        <w:rPr>
          <w:lang w:val="es-ES_tradnl"/>
        </w:rPr>
        <w:t>El Informe de la UPOV sobre el impacto de la protección de las obtenciones vegetales puso de manifiesto que, para poder disfrutar de todos los beneficios que es capaz de generar la protección de las obtenciones vegetales, son importantes tanto la aplicación del Convenio de la UPOV como la pertenencia a la UPOV.</w:t>
      </w:r>
      <w:r w:rsidR="00046874" w:rsidRPr="00046874">
        <w:rPr>
          <w:lang w:val="es-ES_tradnl"/>
        </w:rPr>
        <w:t xml:space="preserve"> </w:t>
      </w:r>
      <w:r w:rsidRPr="009D2DBA">
        <w:rPr>
          <w:lang w:val="es-ES_tradnl"/>
        </w:rPr>
        <w:t>Se constató que la adopción del sistema de la UPOV de protección de las obtenciones vegetales y la pertenencia a la UPOV están asociadas a:</w:t>
      </w:r>
    </w:p>
    <w:p w:rsidR="008B171B" w:rsidRPr="008B171B" w:rsidRDefault="008B171B" w:rsidP="00046874">
      <w:pPr>
        <w:rPr>
          <w:lang w:val="es-ES_tradnl"/>
        </w:rPr>
      </w:pPr>
    </w:p>
    <w:p w:rsidR="008B171B" w:rsidRPr="008B171B" w:rsidRDefault="00046874" w:rsidP="004E4F71">
      <w:pPr>
        <w:rPr>
          <w:lang w:val="es-ES_tradnl"/>
        </w:rPr>
      </w:pPr>
      <w:r w:rsidRPr="004E4F71">
        <w:rPr>
          <w:lang w:val="es-ES_tradnl"/>
        </w:rPr>
        <w:t>a)</w:t>
      </w:r>
      <w:r w:rsidRPr="009D2DBA">
        <w:rPr>
          <w:lang w:val="es-ES_tradnl"/>
        </w:rPr>
        <w:t xml:space="preserve"> </w:t>
      </w:r>
      <w:r w:rsidR="009D2DBA" w:rsidRPr="009D2DBA">
        <w:rPr>
          <w:lang w:val="es-ES_tradnl"/>
        </w:rPr>
        <w:t>un aumento de las actividades de fitomejoramiento,</w:t>
      </w:r>
    </w:p>
    <w:p w:rsidR="008B171B" w:rsidRPr="008B171B" w:rsidRDefault="00046874" w:rsidP="004E4F71">
      <w:pPr>
        <w:rPr>
          <w:lang w:val="es-ES_tradnl"/>
        </w:rPr>
      </w:pPr>
      <w:r w:rsidRPr="004E4F71">
        <w:rPr>
          <w:lang w:val="es-ES_tradnl"/>
        </w:rPr>
        <w:t>b)</w:t>
      </w:r>
      <w:r w:rsidRPr="00046874">
        <w:rPr>
          <w:lang w:val="es-ES_tradnl"/>
        </w:rPr>
        <w:t xml:space="preserve"> </w:t>
      </w:r>
      <w:r w:rsidR="009D2DBA" w:rsidRPr="009D2DBA">
        <w:rPr>
          <w:lang w:val="es-ES_tradnl"/>
        </w:rPr>
        <w:t>una mayor disponibilidad de variedades mejoradas,</w:t>
      </w:r>
    </w:p>
    <w:p w:rsidR="008B171B" w:rsidRPr="008B171B" w:rsidRDefault="00046874" w:rsidP="004E4F71">
      <w:pPr>
        <w:rPr>
          <w:lang w:val="es-ES_tradnl"/>
        </w:rPr>
      </w:pPr>
      <w:r w:rsidRPr="004E4F71">
        <w:rPr>
          <w:lang w:val="es-ES_tradnl"/>
        </w:rPr>
        <w:t>c)</w:t>
      </w:r>
      <w:r w:rsidRPr="00046874">
        <w:rPr>
          <w:lang w:val="es-ES_tradnl"/>
        </w:rPr>
        <w:t xml:space="preserve"> </w:t>
      </w:r>
      <w:r w:rsidR="009D2DBA" w:rsidRPr="009D2DBA">
        <w:rPr>
          <w:lang w:val="es-ES_tradnl"/>
        </w:rPr>
        <w:t>un aumento del número de variedades nuevas,</w:t>
      </w:r>
    </w:p>
    <w:p w:rsidR="008B171B" w:rsidRPr="008B171B" w:rsidRDefault="00046874" w:rsidP="004E4F71">
      <w:pPr>
        <w:rPr>
          <w:lang w:val="es-ES_tradnl"/>
        </w:rPr>
      </w:pPr>
      <w:r w:rsidRPr="004E4F71">
        <w:rPr>
          <w:lang w:val="es-ES_tradnl"/>
        </w:rPr>
        <w:t>d)</w:t>
      </w:r>
      <w:r w:rsidRPr="00046874">
        <w:rPr>
          <w:lang w:val="es-ES_tradnl"/>
        </w:rPr>
        <w:t xml:space="preserve"> </w:t>
      </w:r>
      <w:r w:rsidR="009D2DBA" w:rsidRPr="009D2DBA">
        <w:rPr>
          <w:lang w:val="es-ES_tradnl"/>
        </w:rPr>
        <w:t>la diversificación de los tipos de obtentores (por ejemplo, obtentores privados, investigadores),</w:t>
      </w:r>
    </w:p>
    <w:p w:rsidR="008B171B" w:rsidRPr="008B171B" w:rsidRDefault="00046874" w:rsidP="004E4F71">
      <w:pPr>
        <w:rPr>
          <w:lang w:val="es-ES_tradnl"/>
        </w:rPr>
      </w:pPr>
      <w:r w:rsidRPr="004E4F71">
        <w:rPr>
          <w:lang w:val="es-ES_tradnl"/>
        </w:rPr>
        <w:t>e)</w:t>
      </w:r>
      <w:r w:rsidRPr="00046874">
        <w:rPr>
          <w:lang w:val="es-ES_tradnl"/>
        </w:rPr>
        <w:t xml:space="preserve"> </w:t>
      </w:r>
      <w:r w:rsidR="009D2DBA" w:rsidRPr="009D2DBA">
        <w:rPr>
          <w:lang w:val="es-ES_tradnl"/>
        </w:rPr>
        <w:t>un aumento del número de variedades nuevas extranjeras,</w:t>
      </w:r>
    </w:p>
    <w:p w:rsidR="008B171B" w:rsidRPr="008B171B" w:rsidRDefault="00046874" w:rsidP="004E4F71">
      <w:pPr>
        <w:rPr>
          <w:lang w:val="es-ES_tradnl"/>
        </w:rPr>
      </w:pPr>
      <w:r w:rsidRPr="004E4F71">
        <w:rPr>
          <w:lang w:val="es-ES_tradnl"/>
        </w:rPr>
        <w:t>f)</w:t>
      </w:r>
      <w:r w:rsidRPr="00046874">
        <w:rPr>
          <w:lang w:val="es-ES_tradnl"/>
        </w:rPr>
        <w:t xml:space="preserve"> </w:t>
      </w:r>
      <w:r w:rsidR="009D2DBA" w:rsidRPr="009D2DBA">
        <w:rPr>
          <w:lang w:val="es-ES_tradnl"/>
        </w:rPr>
        <w:t>el fomento del desarrollo de la competitividad de nuevas industrias en los mercados exteriores, y</w:t>
      </w:r>
    </w:p>
    <w:p w:rsidR="008B171B" w:rsidRPr="008B171B" w:rsidRDefault="00046874" w:rsidP="004E4F71">
      <w:pPr>
        <w:rPr>
          <w:lang w:val="es-ES_tradnl"/>
        </w:rPr>
      </w:pPr>
      <w:r w:rsidRPr="004E4F71">
        <w:rPr>
          <w:lang w:val="es-ES_tradnl"/>
        </w:rPr>
        <w:t>g)</w:t>
      </w:r>
      <w:r w:rsidRPr="00046874">
        <w:rPr>
          <w:lang w:val="es-ES_tradnl"/>
        </w:rPr>
        <w:t xml:space="preserve"> </w:t>
      </w:r>
      <w:r w:rsidR="009D2DBA" w:rsidRPr="009D2DBA">
        <w:rPr>
          <w:lang w:val="es-ES_tradnl"/>
        </w:rPr>
        <w:t>un mejor acceso a obtenciones vegetales extranjeras y una mejora de los programas de mejoramiento nacionales.</w:t>
      </w:r>
    </w:p>
    <w:p w:rsidR="008B171B" w:rsidRPr="008B171B" w:rsidRDefault="009D2DBA" w:rsidP="004E4F71">
      <w:pPr>
        <w:rPr>
          <w:lang w:val="es-ES_tradnl"/>
        </w:rPr>
      </w:pPr>
      <w:r w:rsidRPr="009D2DBA">
        <w:rPr>
          <w:lang w:val="es-ES_tradnl"/>
        </w:rPr>
        <w:t>Para llegar a ser miembro de la UPOV, es preciso que el Consejo de la UPOV compruebe que la legislación del futuro miembro es conforme con las disposiciones del Convenio de la UPOV.</w:t>
      </w:r>
      <w:r w:rsidR="00046874" w:rsidRPr="00046874">
        <w:rPr>
          <w:lang w:val="es-ES_tradnl"/>
        </w:rPr>
        <w:t xml:space="preserve"> </w:t>
      </w:r>
      <w:r w:rsidRPr="009D2DBA">
        <w:rPr>
          <w:lang w:val="es-ES_tradnl"/>
        </w:rPr>
        <w:t>Este procedimiento da lugar, por sí mismo, a un alto grado de armonía en esas leyes, lo que facilita la cooperación entre los miembros en la aplicación del sistema.</w:t>
      </w:r>
    </w:p>
    <w:p w:rsidR="008B171B" w:rsidRPr="008B171B" w:rsidRDefault="008B171B" w:rsidP="00046874">
      <w:pPr>
        <w:keepNext/>
        <w:rPr>
          <w:i/>
          <w:lang w:val="es-ES_tradnl"/>
        </w:rPr>
      </w:pPr>
    </w:p>
    <w:p w:rsidR="008B171B" w:rsidRPr="008B171B" w:rsidRDefault="009D2DBA" w:rsidP="004E4F71">
      <w:pPr>
        <w:keepNext/>
        <w:rPr>
          <w:i/>
          <w:lang w:val="es-ES_tradnl"/>
        </w:rPr>
      </w:pPr>
      <w:r w:rsidRPr="009D2DBA">
        <w:rPr>
          <w:i/>
          <w:lang w:val="es-ES_tradnl"/>
        </w:rPr>
        <w:t>¿Permite la UPOV el uso de datos bioquímicos o moleculares en el examen DHE?</w:t>
      </w:r>
    </w:p>
    <w:p w:rsidR="008B171B" w:rsidRPr="008B171B" w:rsidRDefault="008B171B" w:rsidP="00046874">
      <w:pPr>
        <w:keepNext/>
        <w:rPr>
          <w:lang w:val="es-ES_tradnl"/>
        </w:rPr>
      </w:pPr>
    </w:p>
    <w:p w:rsidR="008B171B" w:rsidRPr="008B171B" w:rsidRDefault="009D2DBA" w:rsidP="004E4F71">
      <w:pPr>
        <w:keepNext/>
        <w:rPr>
          <w:lang w:val="es-ES_tradnl"/>
        </w:rPr>
      </w:pPr>
      <w:r w:rsidRPr="009D2DBA">
        <w:rPr>
          <w:lang w:val="es-ES_tradnl"/>
        </w:rPr>
        <w:t>Es importante señalar que, en algunos casos, variedades con un perfil de ADN diferente pueden ser fenotípicamente idénticas; mientras que en otros casos, variedades que presentan una gran diferencia fenotípica pueden tener el mismo perfil de ADN para un conjunto concreto de marcadores moleculares (p. ej., ciertas mutaciones).</w:t>
      </w:r>
    </w:p>
    <w:p w:rsidR="008B171B" w:rsidRPr="008B171B" w:rsidRDefault="008B171B" w:rsidP="00046874">
      <w:pPr>
        <w:rPr>
          <w:lang w:val="es-ES_tradnl"/>
        </w:rPr>
      </w:pPr>
    </w:p>
    <w:p w:rsidR="008B171B" w:rsidRPr="008B171B" w:rsidRDefault="009D2DBA" w:rsidP="004E4F71">
      <w:pPr>
        <w:rPr>
          <w:lang w:val="es-ES_tradnl"/>
        </w:rPr>
      </w:pPr>
      <w:r w:rsidRPr="009D2DBA">
        <w:rPr>
          <w:lang w:val="es-ES_tradnl"/>
        </w:rPr>
        <w:t>En relación con el uso de marcadores moleculares que no están ligados a diferencias fenotípicas, se ha expresado la preocupación por el posible uso de un número ilimitado de marcadores para encontrar diferencias entre variedades en el plano genético que no se reflejen en caracteres fenotípicos.</w:t>
      </w:r>
    </w:p>
    <w:p w:rsidR="008B171B" w:rsidRPr="008B171B" w:rsidRDefault="008B171B" w:rsidP="00046874">
      <w:pPr>
        <w:rPr>
          <w:lang w:val="es-ES_tradnl"/>
        </w:rPr>
      </w:pPr>
    </w:p>
    <w:p w:rsidR="008B171B" w:rsidRPr="008B171B" w:rsidRDefault="009D2DBA" w:rsidP="004E4F71">
      <w:pPr>
        <w:rPr>
          <w:lang w:val="es-ES_tradnl"/>
        </w:rPr>
      </w:pPr>
      <w:r w:rsidRPr="00A37B10">
        <w:rPr>
          <w:lang w:val="es-ES_tradnl"/>
        </w:rPr>
        <w:lastRenderedPageBreak/>
        <w:t>Teniéndolo en cuenta, la UPOV ha acordado los siguientes usos de los marcadores moleculares en el examen DHE:</w:t>
      </w:r>
    </w:p>
    <w:p w:rsidR="008B171B" w:rsidRPr="008B171B" w:rsidRDefault="008B171B" w:rsidP="00046874">
      <w:pPr>
        <w:rPr>
          <w:lang w:val="es-ES_tradnl"/>
        </w:rPr>
      </w:pPr>
    </w:p>
    <w:p w:rsidR="008B171B" w:rsidRPr="008B171B" w:rsidRDefault="00046874" w:rsidP="004E4F71">
      <w:pPr>
        <w:rPr>
          <w:lang w:val="es-ES_tradnl"/>
        </w:rPr>
      </w:pPr>
      <w:r w:rsidRPr="004E4F71">
        <w:rPr>
          <w:lang w:val="es-ES_tradnl"/>
        </w:rPr>
        <w:t xml:space="preserve">a) </w:t>
      </w:r>
      <w:r w:rsidRPr="004E4F71">
        <w:rPr>
          <w:lang w:val="es-ES_tradnl"/>
        </w:rPr>
        <w:tab/>
      </w:r>
      <w:r w:rsidR="00A37B10" w:rsidRPr="00A37B10">
        <w:rPr>
          <w:lang w:val="es-ES_tradnl"/>
        </w:rPr>
        <w:t>Los marcadores moleculares se pueden utilizar, a efectos del examen DHE, como método de examen de los caracteres que cumplen los criterios que figuran en la Introducción General si se comprueba la fiabilidad de la vinculación entre el marcador y el carácter.</w:t>
      </w:r>
    </w:p>
    <w:p w:rsidR="008B171B" w:rsidRPr="008B171B" w:rsidRDefault="008B171B" w:rsidP="00046874">
      <w:pPr>
        <w:rPr>
          <w:lang w:val="es-ES_tradnl"/>
        </w:rPr>
      </w:pPr>
    </w:p>
    <w:p w:rsidR="008B171B" w:rsidRPr="008B171B" w:rsidRDefault="00046874" w:rsidP="004E4F71">
      <w:pPr>
        <w:rPr>
          <w:lang w:val="es-ES_tradnl"/>
        </w:rPr>
      </w:pPr>
      <w:r w:rsidRPr="004E4F71">
        <w:rPr>
          <w:lang w:val="es-ES_tradnl"/>
        </w:rPr>
        <w:t xml:space="preserve">b) </w:t>
      </w:r>
      <w:r w:rsidRPr="004E4F71">
        <w:rPr>
          <w:lang w:val="es-ES_tradnl"/>
        </w:rPr>
        <w:tab/>
      </w:r>
      <w:r w:rsidR="00A37B10" w:rsidRPr="00A37B10">
        <w:rPr>
          <w:lang w:val="es-ES_tradnl"/>
        </w:rPr>
        <w:t>Puede utilizarse una combinación de diferencias fenotípicas y distancias moleculares para mejorar la selección de variedades que han de compararse en el ensayo en cultivo si las distancias moleculares están suficientemente relacionadas con las diferencias fenotípicas y el método no aumenta el riesgo de no seleccionar una variedad de la colección de variedades que sea necesario comparar con las variedades candidatas en el ensayo DHE en cultivo.</w:t>
      </w:r>
    </w:p>
    <w:p w:rsidR="008B171B" w:rsidRPr="008B171B" w:rsidRDefault="008B171B" w:rsidP="00046874">
      <w:pPr>
        <w:rPr>
          <w:lang w:val="es-ES_tradnl"/>
        </w:rPr>
      </w:pPr>
    </w:p>
    <w:p w:rsidR="008B171B" w:rsidRPr="008B171B" w:rsidRDefault="00A37B10" w:rsidP="004E4F71">
      <w:pPr>
        <w:rPr>
          <w:lang w:val="es-ES_tradnl"/>
        </w:rPr>
      </w:pPr>
      <w:r w:rsidRPr="00A37B10">
        <w:rPr>
          <w:lang w:val="es-ES_tradnl"/>
        </w:rPr>
        <w:t>La situación en la UPOV se explica en los documentos TGP/15 “Orientación sobre el uso de marcadores bioquímicos y moleculares en el examen de la distinción, la homogeneidad y la estabilidad (DHE)” y UPOV/INF/18 “Posibilidad de utilizar marcadores moleculares en el examen de la distinción, homogeneidad y estabilidad (DUS)”.</w:t>
      </w:r>
    </w:p>
    <w:p w:rsidR="008B171B" w:rsidRPr="008B171B" w:rsidRDefault="008B171B" w:rsidP="00046874">
      <w:pPr>
        <w:rPr>
          <w:lang w:val="es-ES_tradnl"/>
        </w:rPr>
      </w:pPr>
    </w:p>
    <w:p w:rsidR="008B171B" w:rsidRPr="008B171B" w:rsidRDefault="00C77D91" w:rsidP="00046874">
      <w:pPr>
        <w:rPr>
          <w:lang w:val="es-ES_tradnl"/>
        </w:rPr>
      </w:pPr>
      <w:hyperlink r:id="rId14" w:anchor="QB80" w:history="1">
        <w:r w:rsidR="00A37B10" w:rsidRPr="00B85DC9">
          <w:rPr>
            <w:color w:val="0000FF"/>
            <w:u w:val="single"/>
            <w:lang w:val="es-ES_tradnl"/>
          </w:rPr>
          <w:t>https://www.upov.int/about/es/faq.html#QB80</w:t>
        </w:r>
      </w:hyperlink>
    </w:p>
    <w:p w:rsidR="008B171B" w:rsidRPr="008B171B" w:rsidRDefault="008B171B" w:rsidP="00046874">
      <w:pPr>
        <w:rPr>
          <w:lang w:val="es-ES_tradnl"/>
        </w:rPr>
      </w:pPr>
    </w:p>
    <w:p w:rsidR="008B171B" w:rsidRPr="008B171B" w:rsidRDefault="008B171B" w:rsidP="00046874">
      <w:pPr>
        <w:rPr>
          <w:lang w:val="es-ES_tradnl"/>
        </w:rPr>
      </w:pPr>
    </w:p>
    <w:p w:rsidR="008B171B" w:rsidRPr="008B171B" w:rsidRDefault="00A37B10" w:rsidP="004E4F71">
      <w:pPr>
        <w:rPr>
          <w:bCs/>
          <w:u w:val="single"/>
          <w:lang w:val="es-ES_tradnl"/>
        </w:rPr>
      </w:pPr>
      <w:r w:rsidRPr="00A37B10">
        <w:rPr>
          <w:bCs/>
          <w:u w:val="single"/>
          <w:lang w:val="es-ES_tradnl"/>
        </w:rPr>
        <w:t>Asociación Internacional para el Ensayo de Semillas (ISTA)</w:t>
      </w:r>
    </w:p>
    <w:p w:rsidR="008B171B" w:rsidRPr="008B171B" w:rsidRDefault="008B171B" w:rsidP="00046874">
      <w:pPr>
        <w:rPr>
          <w:lang w:val="es-ES_tradnl"/>
        </w:rPr>
      </w:pPr>
    </w:p>
    <w:p w:rsidR="008B171B" w:rsidRPr="008B171B" w:rsidRDefault="00A37B10" w:rsidP="004E4F71">
      <w:pPr>
        <w:rPr>
          <w:rFonts w:eastAsia="Calibri"/>
          <w:lang w:val="es-ES_tradnl"/>
        </w:rPr>
      </w:pPr>
      <w:r w:rsidRPr="00A37B10">
        <w:rPr>
          <w:rFonts w:eastAsia="Calibri"/>
          <w:lang w:val="es-ES_tradnl"/>
        </w:rPr>
        <w:t>LA ASPIRACIÓN DE LA ISTA:</w:t>
      </w:r>
      <w:r w:rsidR="00046874" w:rsidRPr="00A37B10">
        <w:rPr>
          <w:rFonts w:eastAsia="Calibri"/>
          <w:lang w:val="es-ES_tradnl"/>
        </w:rPr>
        <w:t xml:space="preserve"> </w:t>
      </w:r>
      <w:r w:rsidRPr="00A37B10">
        <w:rPr>
          <w:rFonts w:eastAsia="Calibri"/>
          <w:lang w:val="es-ES_tradnl"/>
        </w:rPr>
        <w:t>LA UNIFORMIDAD EN EL ENSAYO DE SEMILLAS</w:t>
      </w:r>
    </w:p>
    <w:p w:rsidR="008B171B" w:rsidRPr="008B171B" w:rsidRDefault="008B171B" w:rsidP="00046874">
      <w:pPr>
        <w:rPr>
          <w:rFonts w:eastAsia="Calibri"/>
          <w:lang w:val="es-ES_tradnl"/>
        </w:rPr>
      </w:pPr>
    </w:p>
    <w:p w:rsidR="008B171B" w:rsidRPr="008B171B" w:rsidRDefault="00A37B10" w:rsidP="004E4F71">
      <w:pPr>
        <w:spacing w:after="160" w:line="260" w:lineRule="auto"/>
        <w:rPr>
          <w:rFonts w:eastAsia="Calibri" w:cs="Arial"/>
          <w:color w:val="000000"/>
          <w:shd w:val="clear" w:color="auto" w:fill="FFFFFF"/>
          <w:lang w:val="es-ES_tradnl"/>
        </w:rPr>
      </w:pPr>
      <w:r w:rsidRPr="00A37B10">
        <w:rPr>
          <w:rFonts w:eastAsia="Calibri" w:cs="Arial"/>
          <w:color w:val="000000"/>
          <w:shd w:val="clear" w:color="auto" w:fill="FFFFFF"/>
          <w:lang w:val="es-ES_tradnl"/>
        </w:rPr>
        <w:t>La ISTA está ligada indisolublemente a la historia del ensayo de semillas, ya que se fundó en 1924 con el objetivo de desarrollar y publicar procedimientos normalizados para tal fin.</w:t>
      </w:r>
      <w:r w:rsidR="00046874" w:rsidRPr="00046874">
        <w:rPr>
          <w:rFonts w:eastAsia="Calibri" w:cs="Arial"/>
          <w:color w:val="000000"/>
          <w:shd w:val="clear" w:color="auto" w:fill="FFFFFF"/>
          <w:lang w:val="es-ES_tradnl"/>
        </w:rPr>
        <w:t xml:space="preserve"> </w:t>
      </w:r>
      <w:r w:rsidRPr="00A32B5E">
        <w:rPr>
          <w:rFonts w:eastAsia="Calibri" w:cs="Arial"/>
          <w:color w:val="000000"/>
          <w:shd w:val="clear" w:color="auto" w:fill="FFFFFF"/>
          <w:lang w:val="es-ES_tradnl"/>
        </w:rPr>
        <w:t>Los miembros de la ISTA conforman una red de ámbito internacional, ya que cuenta con laboratorios adheridos en más de 80 países o economías distintivas de todo el mundo.</w:t>
      </w:r>
    </w:p>
    <w:p w:rsidR="008B171B" w:rsidRPr="008B171B" w:rsidRDefault="00A32B5E" w:rsidP="004E4F71">
      <w:pPr>
        <w:spacing w:after="160" w:line="260" w:lineRule="auto"/>
        <w:rPr>
          <w:rFonts w:eastAsia="Calibri" w:cs="Arial"/>
          <w:color w:val="000000"/>
          <w:shd w:val="clear" w:color="auto" w:fill="FFFFFF"/>
          <w:lang w:val="es-ES_tradnl"/>
        </w:rPr>
      </w:pPr>
      <w:r w:rsidRPr="00D17076">
        <w:rPr>
          <w:rFonts w:eastAsia="Calibri" w:cs="Arial"/>
          <w:color w:val="000000"/>
          <w:shd w:val="clear" w:color="auto" w:fill="FFFFFF"/>
          <w:lang w:val="es-ES_tradnl"/>
        </w:rPr>
        <w:t>La ISTA elabora normas acordadas a escala internacional para el muestreo y ensayo de semillas, acredita laboratorios, promueve la investigación, proporciona certificados internacionales de análisis de semillas y formación en ese campo, y difunde información sobre ciencia y tecnología de las semillas en nombre de sus miembros y bajo la dirección de los países y economías distintivas que integran la asociación.</w:t>
      </w:r>
      <w:r w:rsidR="00046874" w:rsidRPr="00046874">
        <w:rPr>
          <w:rFonts w:eastAsia="Calibri" w:cs="Arial"/>
          <w:color w:val="000000"/>
          <w:shd w:val="clear" w:color="auto" w:fill="FFFFFF"/>
          <w:lang w:val="es-ES_tradnl"/>
        </w:rPr>
        <w:t xml:space="preserve"> </w:t>
      </w:r>
      <w:r w:rsidR="00D17076" w:rsidRPr="00D17076">
        <w:rPr>
          <w:rFonts w:eastAsia="Calibri" w:cs="Arial"/>
          <w:color w:val="000000"/>
          <w:shd w:val="clear" w:color="auto" w:fill="FFFFFF"/>
          <w:lang w:val="es-ES_tradnl"/>
        </w:rPr>
        <w:t>De ese modo, la ISTA facilita el comercio nacional e internacional de semillas y contribuye a la seguridad alimentaria.</w:t>
      </w:r>
    </w:p>
    <w:p w:rsidR="008B171B" w:rsidRPr="008B171B" w:rsidRDefault="00D17076" w:rsidP="004E4F71">
      <w:pPr>
        <w:spacing w:after="160" w:line="260" w:lineRule="auto"/>
        <w:jc w:val="left"/>
        <w:rPr>
          <w:rFonts w:eastAsia="Calibri" w:cs="Arial"/>
          <w:bCs/>
          <w:lang w:val="es-ES_tradnl"/>
        </w:rPr>
      </w:pPr>
      <w:r w:rsidRPr="00D17076">
        <w:rPr>
          <w:rFonts w:eastAsia="Calibri" w:cs="Arial"/>
          <w:bCs/>
          <w:lang w:val="es-ES_tradnl"/>
        </w:rPr>
        <w:t>MIEMBROS DE LA ISTA (2019)</w:t>
      </w:r>
    </w:p>
    <w:p w:rsidR="008B171B" w:rsidRPr="008B171B" w:rsidRDefault="00D17076" w:rsidP="004E4F71">
      <w:pPr>
        <w:spacing w:after="160" w:line="260" w:lineRule="auto"/>
        <w:rPr>
          <w:rFonts w:eastAsia="Calibri" w:cs="Arial"/>
          <w:lang w:val="es-ES_tradnl"/>
        </w:rPr>
      </w:pPr>
      <w:r w:rsidRPr="00E7254A">
        <w:rPr>
          <w:rFonts w:eastAsia="Calibri" w:cs="Arial"/>
          <w:lang w:val="es-ES_tradnl"/>
        </w:rPr>
        <w:t>Los miembros de la ISTA conforman una red de ámbito internacional, ya que cuenta con laboratorios adheridos en 82 países o economías distintivas de todo el mundo.</w:t>
      </w:r>
      <w:r w:rsidR="00046874" w:rsidRPr="00046874">
        <w:rPr>
          <w:rFonts w:eastAsia="Calibri" w:cs="Arial"/>
          <w:lang w:val="es-ES_tradnl"/>
        </w:rPr>
        <w:t xml:space="preserve"> </w:t>
      </w:r>
      <w:r w:rsidR="00E7254A" w:rsidRPr="00E7254A">
        <w:rPr>
          <w:rFonts w:eastAsia="Calibri" w:cs="Arial"/>
          <w:lang w:val="es-ES_tradnl"/>
        </w:rPr>
        <w:t>En la actualidad, integran la ISTA los siguientes miembros:</w:t>
      </w:r>
    </w:p>
    <w:p w:rsidR="008B171B" w:rsidRPr="008B171B" w:rsidRDefault="00E7254A" w:rsidP="004E4F71">
      <w:pPr>
        <w:numPr>
          <w:ilvl w:val="0"/>
          <w:numId w:val="9"/>
        </w:numPr>
        <w:autoSpaceDE w:val="0"/>
        <w:autoSpaceDN w:val="0"/>
        <w:adjustRightInd w:val="0"/>
        <w:spacing w:after="280" w:line="260" w:lineRule="auto"/>
        <w:jc w:val="left"/>
        <w:rPr>
          <w:rFonts w:eastAsia="Calibri" w:cs="Arial"/>
          <w:color w:val="000000"/>
          <w:lang w:val="es-ES_tradnl"/>
        </w:rPr>
      </w:pPr>
      <w:r w:rsidRPr="00E7254A">
        <w:rPr>
          <w:rFonts w:eastAsia="Calibri" w:cs="Arial"/>
          <w:color w:val="000000"/>
          <w:lang w:val="es-ES_tradnl"/>
        </w:rPr>
        <w:t>235 laboratorios adheridos, de los que 136 están acreditados por la ISTA;</w:t>
      </w:r>
    </w:p>
    <w:p w:rsidR="008B171B" w:rsidRPr="008B171B" w:rsidRDefault="00E7254A" w:rsidP="004E4F71">
      <w:pPr>
        <w:numPr>
          <w:ilvl w:val="0"/>
          <w:numId w:val="9"/>
        </w:numPr>
        <w:autoSpaceDE w:val="0"/>
        <w:autoSpaceDN w:val="0"/>
        <w:adjustRightInd w:val="0"/>
        <w:spacing w:after="280" w:line="260" w:lineRule="auto"/>
        <w:jc w:val="left"/>
        <w:rPr>
          <w:rFonts w:eastAsia="Calibri" w:cs="Arial"/>
          <w:color w:val="000000"/>
          <w:lang w:val="es-ES_tradnl"/>
        </w:rPr>
      </w:pPr>
      <w:r w:rsidRPr="00E7254A">
        <w:rPr>
          <w:rFonts w:eastAsia="Calibri" w:cs="Arial"/>
          <w:color w:val="000000"/>
          <w:lang w:val="es-ES_tradnl"/>
        </w:rPr>
        <w:t>63 miembros asociados;</w:t>
      </w:r>
    </w:p>
    <w:p w:rsidR="008B171B" w:rsidRPr="008B171B" w:rsidRDefault="00E7254A" w:rsidP="004E4F71">
      <w:pPr>
        <w:numPr>
          <w:ilvl w:val="0"/>
          <w:numId w:val="9"/>
        </w:numPr>
        <w:autoSpaceDE w:val="0"/>
        <w:autoSpaceDN w:val="0"/>
        <w:adjustRightInd w:val="0"/>
        <w:spacing w:after="280" w:line="260" w:lineRule="auto"/>
        <w:jc w:val="left"/>
        <w:rPr>
          <w:rFonts w:eastAsia="Calibri" w:cs="Arial"/>
          <w:color w:val="000000"/>
          <w:lang w:val="es-ES_tradnl"/>
        </w:rPr>
      </w:pPr>
      <w:r w:rsidRPr="00E7254A">
        <w:rPr>
          <w:rFonts w:eastAsia="Calibri" w:cs="Arial"/>
          <w:color w:val="000000"/>
          <w:lang w:val="es-ES_tradnl"/>
        </w:rPr>
        <w:t>39 miembros personales.</w:t>
      </w:r>
    </w:p>
    <w:p w:rsidR="008B171B" w:rsidRPr="008B171B" w:rsidRDefault="00E7254A" w:rsidP="004E4F71">
      <w:pPr>
        <w:autoSpaceDE w:val="0"/>
        <w:autoSpaceDN w:val="0"/>
        <w:adjustRightInd w:val="0"/>
        <w:jc w:val="left"/>
        <w:rPr>
          <w:rFonts w:eastAsia="Calibri" w:cs="Arial"/>
          <w:bCs/>
          <w:lang w:val="es-ES_tradnl"/>
        </w:rPr>
      </w:pPr>
      <w:r w:rsidRPr="00E7254A">
        <w:rPr>
          <w:rFonts w:eastAsia="Calibri" w:cs="Arial"/>
          <w:bCs/>
          <w:lang w:val="es-ES_tradnl"/>
        </w:rPr>
        <w:t>LABOR TÉCNICA DE LA ISTA</w:t>
      </w:r>
    </w:p>
    <w:p w:rsidR="008B171B" w:rsidRPr="008B171B" w:rsidRDefault="008B171B" w:rsidP="00046874">
      <w:pPr>
        <w:autoSpaceDE w:val="0"/>
        <w:autoSpaceDN w:val="0"/>
        <w:adjustRightInd w:val="0"/>
        <w:jc w:val="left"/>
        <w:rPr>
          <w:rFonts w:eastAsia="Calibri" w:cs="Arial"/>
          <w:b/>
          <w:bCs/>
          <w:lang w:val="es-ES_tradnl"/>
        </w:rPr>
      </w:pPr>
    </w:p>
    <w:p w:rsidR="008B171B" w:rsidRPr="008B171B" w:rsidRDefault="00E7254A" w:rsidP="004E4F71">
      <w:pPr>
        <w:autoSpaceDE w:val="0"/>
        <w:autoSpaceDN w:val="0"/>
        <w:adjustRightInd w:val="0"/>
        <w:rPr>
          <w:rFonts w:eastAsia="Calibri" w:cs="Arial"/>
          <w:color w:val="000000"/>
          <w:lang w:val="es-ES_tradnl"/>
        </w:rPr>
      </w:pPr>
      <w:r w:rsidRPr="00B67997">
        <w:rPr>
          <w:rFonts w:eastAsia="Calibri" w:cs="Arial"/>
          <w:color w:val="000000"/>
          <w:lang w:val="es-ES_tradnl"/>
        </w:rPr>
        <w:t>El objetivo principal de los Comités Técnicos de la ISTA consiste en desarrollar, normalizar y validar métodos para muestrear semillas y evaluar su calidad aplicando los conocimientos científicos más solventes.</w:t>
      </w:r>
      <w:r w:rsidR="00046874" w:rsidRPr="00046874">
        <w:rPr>
          <w:rFonts w:eastAsia="Calibri" w:cs="Arial"/>
          <w:color w:val="000000"/>
          <w:lang w:val="es-ES_tradnl"/>
        </w:rPr>
        <w:t xml:space="preserve"> </w:t>
      </w:r>
      <w:r w:rsidR="00B67997" w:rsidRPr="003E06D7">
        <w:rPr>
          <w:rFonts w:eastAsia="Calibri" w:cs="Arial"/>
          <w:color w:val="000000"/>
          <w:lang w:val="es-ES_tradnl"/>
        </w:rPr>
        <w:t xml:space="preserve">Dichos comités se ocupan de mejorar las </w:t>
      </w:r>
      <w:r w:rsidR="00B67997" w:rsidRPr="003E06D7">
        <w:rPr>
          <w:rFonts w:eastAsia="Calibri" w:cs="Arial"/>
          <w:b/>
          <w:bCs/>
          <w:color w:val="000000"/>
          <w:lang w:val="es-ES_tradnl"/>
        </w:rPr>
        <w:t>normas internacionales de la ISTA para el ensayo de semillas</w:t>
      </w:r>
      <w:r w:rsidR="00B67997" w:rsidRPr="003E06D7">
        <w:rPr>
          <w:rFonts w:eastAsia="Calibri" w:cs="Arial"/>
          <w:color w:val="000000"/>
          <w:lang w:val="es-ES_tradnl"/>
        </w:rPr>
        <w:t xml:space="preserve"> y de elaborar los manuales de la ISTA sobre métodos relativos a las semillas, entre ellos los de muestreo y ensayo.</w:t>
      </w:r>
      <w:r w:rsidR="00046874" w:rsidRPr="00046874">
        <w:rPr>
          <w:rFonts w:eastAsia="Calibri" w:cs="Arial"/>
          <w:color w:val="000000"/>
          <w:lang w:val="es-ES_tradnl"/>
        </w:rPr>
        <w:t xml:space="preserve"> </w:t>
      </w:r>
      <w:r w:rsidR="003E06D7" w:rsidRPr="003E06D7">
        <w:rPr>
          <w:rFonts w:eastAsia="Calibri" w:cs="Arial"/>
          <w:color w:val="000000"/>
          <w:lang w:val="es-ES_tradnl"/>
        </w:rPr>
        <w:t>Asimismo, se encargan de organizar simposios, seminarios y talleres.</w:t>
      </w:r>
      <w:r w:rsidR="00046874" w:rsidRPr="00046874">
        <w:rPr>
          <w:rFonts w:eastAsia="Calibri" w:cs="Arial"/>
          <w:color w:val="000000"/>
          <w:lang w:val="es-ES_tradnl"/>
        </w:rPr>
        <w:t xml:space="preserve"> </w:t>
      </w:r>
      <w:r w:rsidR="003E06D7" w:rsidRPr="003E06D7">
        <w:rPr>
          <w:rFonts w:eastAsia="Calibri" w:cs="Arial"/>
          <w:color w:val="000000"/>
          <w:lang w:val="es-ES_tradnl"/>
        </w:rPr>
        <w:t>Los Comités Técnicos de la ISTA celebran regularmente talleres que brindan la oportunidad de adquirir formación e intercambiar información, experiencia e ideas.</w:t>
      </w:r>
    </w:p>
    <w:p w:rsidR="008B171B" w:rsidRPr="008B171B" w:rsidRDefault="008B171B" w:rsidP="00046874">
      <w:pPr>
        <w:autoSpaceDE w:val="0"/>
        <w:autoSpaceDN w:val="0"/>
        <w:adjustRightInd w:val="0"/>
        <w:jc w:val="left"/>
        <w:rPr>
          <w:rFonts w:eastAsia="Calibri" w:cs="Arial"/>
          <w:color w:val="000000"/>
          <w:lang w:val="es-ES_tradnl"/>
        </w:rPr>
      </w:pPr>
    </w:p>
    <w:p w:rsidR="008B171B" w:rsidRPr="008B171B" w:rsidRDefault="003E06D7" w:rsidP="00AD0D68">
      <w:pPr>
        <w:keepNext/>
        <w:autoSpaceDE w:val="0"/>
        <w:autoSpaceDN w:val="0"/>
        <w:adjustRightInd w:val="0"/>
        <w:jc w:val="left"/>
        <w:rPr>
          <w:rFonts w:eastAsia="Calibri" w:cs="Arial"/>
          <w:color w:val="000000"/>
          <w:lang w:val="es-ES_tradnl"/>
        </w:rPr>
      </w:pPr>
      <w:r w:rsidRPr="003E06D7">
        <w:rPr>
          <w:rFonts w:eastAsia="Calibri" w:cs="Arial"/>
          <w:color w:val="000000"/>
          <w:lang w:val="es-ES_tradnl"/>
        </w:rPr>
        <w:lastRenderedPageBreak/>
        <w:t>Los Comités Técnicos de la ISTA son 20:</w:t>
      </w:r>
    </w:p>
    <w:p w:rsidR="00046874" w:rsidRPr="00046874" w:rsidRDefault="00046874" w:rsidP="00AD0D68">
      <w:pPr>
        <w:keepNext/>
        <w:autoSpaceDE w:val="0"/>
        <w:autoSpaceDN w:val="0"/>
        <w:adjustRightInd w:val="0"/>
        <w:jc w:val="left"/>
        <w:rPr>
          <w:rFonts w:eastAsia="Calibri" w:cs="Arial"/>
          <w:color w:val="000000"/>
          <w:lang w:val="es-ES_tradnl"/>
        </w:rPr>
      </w:pPr>
    </w:p>
    <w:tbl>
      <w:tblPr>
        <w:tblStyle w:val="TableGrid1"/>
        <w:tblW w:w="0" w:type="auto"/>
        <w:tblLook w:val="04A0" w:firstRow="1" w:lastRow="0" w:firstColumn="1" w:lastColumn="0" w:noHBand="0" w:noVBand="1"/>
      </w:tblPr>
      <w:tblGrid>
        <w:gridCol w:w="495"/>
        <w:gridCol w:w="5312"/>
      </w:tblGrid>
      <w:tr w:rsidR="00046874" w:rsidRPr="00046874" w:rsidTr="003E06D7">
        <w:trPr>
          <w:trHeight w:val="474"/>
        </w:trPr>
        <w:tc>
          <w:tcPr>
            <w:tcW w:w="495" w:type="dxa"/>
          </w:tcPr>
          <w:p w:rsidR="00046874" w:rsidRPr="00046874" w:rsidRDefault="00046874" w:rsidP="008B2259">
            <w:pPr>
              <w:keepNext/>
              <w:autoSpaceDE w:val="0"/>
              <w:autoSpaceDN w:val="0"/>
              <w:adjustRightInd w:val="0"/>
              <w:jc w:val="left"/>
              <w:rPr>
                <w:rFonts w:ascii="Calibri" w:hAnsi="Calibri" w:cs="Arial"/>
                <w:lang w:val="es-ES_tradnl"/>
              </w:rPr>
            </w:pPr>
          </w:p>
        </w:tc>
        <w:tc>
          <w:tcPr>
            <w:tcW w:w="5312" w:type="dxa"/>
          </w:tcPr>
          <w:p w:rsidR="008B171B" w:rsidRPr="008B171B" w:rsidRDefault="008B171B" w:rsidP="008B2259">
            <w:pPr>
              <w:keepNext/>
              <w:autoSpaceDE w:val="0"/>
              <w:autoSpaceDN w:val="0"/>
              <w:adjustRightInd w:val="0"/>
              <w:jc w:val="left"/>
              <w:rPr>
                <w:rFonts w:ascii="Calibri" w:hAnsi="Calibri" w:cs="Arial"/>
                <w:b/>
                <w:bCs/>
                <w:lang w:val="es-ES_tradnl"/>
              </w:rPr>
            </w:pPr>
          </w:p>
          <w:p w:rsidR="008B171B" w:rsidRPr="008B171B" w:rsidRDefault="003E06D7" w:rsidP="008B2259">
            <w:pPr>
              <w:keepNext/>
              <w:autoSpaceDE w:val="0"/>
              <w:autoSpaceDN w:val="0"/>
              <w:adjustRightInd w:val="0"/>
              <w:jc w:val="left"/>
              <w:rPr>
                <w:rFonts w:ascii="Calibri" w:hAnsi="Calibri" w:cs="Arial"/>
                <w:b/>
                <w:bCs/>
                <w:color w:val="000000"/>
                <w:lang w:val="es-ES_tradnl"/>
              </w:rPr>
            </w:pPr>
            <w:r w:rsidRPr="003E06D7">
              <w:rPr>
                <w:rFonts w:ascii="Calibri" w:hAnsi="Calibri" w:cs="Arial"/>
                <w:color w:val="000000"/>
                <w:lang w:val="es-ES_tradnl"/>
              </w:rPr>
              <w:t>Comités Técnicos</w:t>
            </w:r>
          </w:p>
          <w:p w:rsidR="00046874" w:rsidRPr="00046874" w:rsidRDefault="00046874" w:rsidP="008B2259">
            <w:pPr>
              <w:keepNext/>
              <w:autoSpaceDE w:val="0"/>
              <w:autoSpaceDN w:val="0"/>
              <w:adjustRightInd w:val="0"/>
              <w:jc w:val="left"/>
              <w:rPr>
                <w:rFonts w:ascii="Calibri" w:hAnsi="Calibri" w:cs="Arial"/>
                <w:lang w:val="es-ES_tradnl"/>
              </w:rPr>
            </w:pPr>
          </w:p>
        </w:tc>
      </w:tr>
      <w:tr w:rsidR="00046874" w:rsidRPr="00046874"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Tecnologías Avanzadas</w:t>
            </w:r>
          </w:p>
        </w:tc>
      </w:tr>
      <w:tr w:rsidR="00046874" w:rsidRPr="00C77D91"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2.</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Selección en Bloque y Muestreo</w:t>
            </w:r>
          </w:p>
        </w:tc>
      </w:tr>
      <w:tr w:rsidR="00046874" w:rsidRPr="00C77D91"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3.</w:t>
            </w:r>
          </w:p>
        </w:tc>
        <w:tc>
          <w:tcPr>
            <w:tcW w:w="5312" w:type="dxa"/>
          </w:tcPr>
          <w:p w:rsidR="00046874" w:rsidRPr="00B85DC9" w:rsidRDefault="003E06D7" w:rsidP="004E4F71">
            <w:pPr>
              <w:autoSpaceDE w:val="0"/>
              <w:autoSpaceDN w:val="0"/>
              <w:adjustRightInd w:val="0"/>
              <w:jc w:val="left"/>
              <w:rPr>
                <w:rFonts w:ascii="Calibri" w:hAnsi="Calibri" w:cs="Arial"/>
                <w:lang w:val="fr-CH"/>
              </w:rPr>
            </w:pPr>
            <w:r w:rsidRPr="00B85DC9">
              <w:rPr>
                <w:rFonts w:ascii="Calibri" w:hAnsi="Calibri" w:cs="Arial"/>
                <w:lang w:val="fr-CH"/>
              </w:rPr>
              <w:t xml:space="preserve">Comité de Redacción de </w:t>
            </w:r>
            <w:r w:rsidRPr="00B85DC9">
              <w:rPr>
                <w:rFonts w:ascii="Calibri" w:hAnsi="Calibri" w:cs="Arial"/>
                <w:i/>
                <w:iCs/>
                <w:lang w:val="fr-CH"/>
              </w:rPr>
              <w:t>Seed Science and Technology</w:t>
            </w:r>
          </w:p>
        </w:tc>
      </w:tr>
      <w:tr w:rsidR="00046874" w:rsidRPr="00046874"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4.</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Ensayo de Semillas de Plantas de Flor</w:t>
            </w:r>
          </w:p>
        </w:tc>
      </w:tr>
      <w:tr w:rsidR="00046874" w:rsidRPr="00C77D91"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 xml:space="preserve">5. </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Semillas de Árboles y Arbustos Forestales</w:t>
            </w:r>
          </w:p>
        </w:tc>
      </w:tr>
      <w:tr w:rsidR="00046874" w:rsidRPr="00046874"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6.</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Germinación</w:t>
            </w:r>
          </w:p>
        </w:tc>
      </w:tr>
      <w:tr w:rsidR="00046874" w:rsidRPr="00C77D91"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7.</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Organismos Modificados Genéticamente</w:t>
            </w:r>
          </w:p>
        </w:tc>
      </w:tr>
      <w:tr w:rsidR="00046874" w:rsidRPr="00C77D91"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8.</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Contenido de Humedad</w:t>
            </w:r>
          </w:p>
        </w:tc>
      </w:tr>
      <w:tr w:rsidR="00046874" w:rsidRPr="00046874"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9.</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Nomenclatura</w:t>
            </w:r>
          </w:p>
        </w:tc>
      </w:tr>
      <w:tr w:rsidR="00046874" w:rsidRPr="00C77D91"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10.</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Pruebas de Aptitud</w:t>
            </w:r>
          </w:p>
        </w:tc>
      </w:tr>
      <w:tr w:rsidR="00046874" w:rsidRPr="00046874"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11.</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Pureza</w:t>
            </w:r>
          </w:p>
        </w:tc>
      </w:tr>
      <w:tr w:rsidR="00046874" w:rsidRPr="00046874"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12.</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Normas</w:t>
            </w:r>
          </w:p>
        </w:tc>
      </w:tr>
      <w:tr w:rsidR="00046874" w:rsidRPr="00C77D91"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13.</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Sanidad de las Semillas</w:t>
            </w:r>
          </w:p>
        </w:tc>
      </w:tr>
      <w:tr w:rsidR="00046874" w:rsidRPr="00C77D91"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14.</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Grupo Asesor sobre Ciencia de las Semillas</w:t>
            </w:r>
          </w:p>
        </w:tc>
      </w:tr>
      <w:tr w:rsidR="00046874" w:rsidRPr="00046874"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15.</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Estadística</w:t>
            </w:r>
          </w:p>
        </w:tc>
      </w:tr>
      <w:tr w:rsidR="00046874" w:rsidRPr="00C77D91"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16.</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Almacenamiento de Semillas</w:t>
            </w:r>
          </w:p>
        </w:tc>
      </w:tr>
      <w:tr w:rsidR="00046874" w:rsidRPr="00046874"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17.</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Tetrazolio</w:t>
            </w:r>
          </w:p>
        </w:tc>
      </w:tr>
      <w:tr w:rsidR="00046874" w:rsidRPr="00046874"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18.</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Variedades</w:t>
            </w:r>
          </w:p>
        </w:tc>
      </w:tr>
      <w:tr w:rsidR="00046874" w:rsidRPr="00046874"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19.</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Comité de Vigor</w:t>
            </w:r>
          </w:p>
        </w:tc>
      </w:tr>
      <w:tr w:rsidR="00046874" w:rsidRPr="00C77D91" w:rsidTr="003E06D7">
        <w:tc>
          <w:tcPr>
            <w:tcW w:w="495" w:type="dxa"/>
          </w:tcPr>
          <w:p w:rsidR="00046874" w:rsidRPr="00046874" w:rsidRDefault="00046874" w:rsidP="00EA2DD2">
            <w:pPr>
              <w:autoSpaceDE w:val="0"/>
              <w:autoSpaceDN w:val="0"/>
              <w:adjustRightInd w:val="0"/>
              <w:jc w:val="left"/>
              <w:rPr>
                <w:rFonts w:ascii="Calibri" w:hAnsi="Calibri" w:cs="Arial"/>
                <w:lang w:val="es-ES_tradnl"/>
              </w:rPr>
            </w:pPr>
            <w:r w:rsidRPr="00046874">
              <w:rPr>
                <w:rFonts w:ascii="Calibri" w:hAnsi="Calibri" w:cs="Arial"/>
                <w:lang w:val="es-ES_tradnl"/>
              </w:rPr>
              <w:t>20.</w:t>
            </w:r>
          </w:p>
        </w:tc>
        <w:tc>
          <w:tcPr>
            <w:tcW w:w="5312" w:type="dxa"/>
          </w:tcPr>
          <w:p w:rsidR="00046874" w:rsidRPr="00046874" w:rsidRDefault="003E06D7" w:rsidP="004E4F71">
            <w:pPr>
              <w:autoSpaceDE w:val="0"/>
              <w:autoSpaceDN w:val="0"/>
              <w:adjustRightInd w:val="0"/>
              <w:jc w:val="left"/>
              <w:rPr>
                <w:rFonts w:ascii="Calibri" w:hAnsi="Calibri" w:cs="Arial"/>
                <w:lang w:val="es-ES_tradnl"/>
              </w:rPr>
            </w:pPr>
            <w:r w:rsidRPr="003E06D7">
              <w:rPr>
                <w:rFonts w:ascii="Calibri" w:hAnsi="Calibri" w:cs="Arial"/>
                <w:lang w:val="es-ES_tradnl"/>
              </w:rPr>
              <w:t>Grupo de Trabajo sobre Especies Silvestres</w:t>
            </w:r>
          </w:p>
        </w:tc>
      </w:tr>
    </w:tbl>
    <w:p w:rsidR="008B171B" w:rsidRPr="008B171B" w:rsidRDefault="008B171B" w:rsidP="00046874">
      <w:pPr>
        <w:spacing w:after="160" w:line="259" w:lineRule="auto"/>
        <w:jc w:val="left"/>
        <w:rPr>
          <w:rFonts w:ascii="Calibri" w:eastAsia="Calibri" w:hAnsi="Calibri"/>
          <w:b/>
          <w:bCs/>
          <w:sz w:val="22"/>
          <w:szCs w:val="22"/>
          <w:lang w:val="es-ES_tradnl"/>
        </w:rPr>
      </w:pPr>
    </w:p>
    <w:p w:rsidR="008B171B" w:rsidRPr="008B171B" w:rsidRDefault="003E06D7" w:rsidP="004E4F71">
      <w:pPr>
        <w:spacing w:after="160" w:line="260" w:lineRule="auto"/>
        <w:jc w:val="left"/>
        <w:rPr>
          <w:rFonts w:ascii="Calibri" w:eastAsia="Calibri" w:hAnsi="Calibri"/>
          <w:bCs/>
          <w:sz w:val="22"/>
          <w:szCs w:val="22"/>
          <w:lang w:val="es-ES_tradnl"/>
        </w:rPr>
      </w:pPr>
      <w:r w:rsidRPr="003E06D7">
        <w:rPr>
          <w:rFonts w:ascii="Calibri" w:eastAsia="Calibri" w:hAnsi="Calibri"/>
          <w:bCs/>
          <w:sz w:val="22"/>
          <w:szCs w:val="22"/>
          <w:lang w:val="es-ES_tradnl"/>
        </w:rPr>
        <w:t>PROGRAMA DE ACREDITACIÓN DE LA ISTA:</w:t>
      </w:r>
    </w:p>
    <w:p w:rsidR="008B171B" w:rsidRPr="008B171B" w:rsidRDefault="003E06D7" w:rsidP="004E4F71">
      <w:pPr>
        <w:rPr>
          <w:rFonts w:eastAsia="Calibri" w:cs="Arial"/>
          <w:color w:val="000000"/>
          <w:lang w:val="es-ES_tradnl"/>
        </w:rPr>
      </w:pPr>
      <w:r w:rsidRPr="00E96649">
        <w:rPr>
          <w:rFonts w:eastAsia="Calibri" w:cs="Arial"/>
          <w:color w:val="000000"/>
          <w:lang w:val="es-ES_tradnl"/>
        </w:rPr>
        <w:t>En el proceso de acreditación de la ISTA se comprueba si un laboratorio posee competencias técnicas para llevar a cabo los procedimientos de muestreo y ensayo de semillas de conformidad con las normas internacionales de la ISTA para el ensayo de semillas.</w:t>
      </w:r>
      <w:r w:rsidR="00046874" w:rsidRPr="00046874">
        <w:rPr>
          <w:rFonts w:eastAsia="Calibri" w:cs="Arial"/>
          <w:color w:val="000000"/>
          <w:lang w:val="es-ES_tradnl"/>
        </w:rPr>
        <w:t xml:space="preserve"> </w:t>
      </w:r>
      <w:r w:rsidR="00E96649" w:rsidRPr="00E96649">
        <w:rPr>
          <w:rFonts w:eastAsia="Calibri" w:cs="Arial"/>
          <w:color w:val="000000"/>
          <w:lang w:val="es-ES_tradnl"/>
        </w:rPr>
        <w:t>Los laboratorios acreditados deben contar con un sistema de garantía de calidad que cumpla los requisitos de la norma de acreditación de la ISTA.</w:t>
      </w:r>
      <w:r w:rsidR="00046874" w:rsidRPr="00046874">
        <w:rPr>
          <w:rFonts w:eastAsia="Calibri" w:cs="Arial"/>
          <w:color w:val="000000"/>
          <w:lang w:val="es-ES_tradnl"/>
        </w:rPr>
        <w:t xml:space="preserve"> </w:t>
      </w:r>
      <w:r w:rsidR="00E96649" w:rsidRPr="00E96649">
        <w:rPr>
          <w:rFonts w:eastAsia="Calibri" w:cs="Arial"/>
          <w:color w:val="000000"/>
          <w:lang w:val="es-ES_tradnl"/>
        </w:rPr>
        <w:t>La acreditación se puede conceder a:</w:t>
      </w:r>
    </w:p>
    <w:p w:rsidR="008B171B" w:rsidRPr="008B171B" w:rsidRDefault="00E96649" w:rsidP="004E4F71">
      <w:pPr>
        <w:numPr>
          <w:ilvl w:val="0"/>
          <w:numId w:val="8"/>
        </w:numPr>
        <w:shd w:val="clear" w:color="auto" w:fill="FFFFFF"/>
        <w:spacing w:before="100" w:beforeAutospacing="1" w:after="100" w:afterAutospacing="1" w:line="260" w:lineRule="auto"/>
        <w:jc w:val="left"/>
        <w:rPr>
          <w:rFonts w:eastAsia="Calibri" w:cs="Arial"/>
          <w:color w:val="000000"/>
          <w:lang w:val="es-ES_tradnl"/>
        </w:rPr>
      </w:pPr>
      <w:r w:rsidRPr="00E96649">
        <w:rPr>
          <w:rFonts w:eastAsia="Calibri" w:cs="Arial"/>
          <w:color w:val="000000"/>
          <w:lang w:val="es-ES_tradnl"/>
        </w:rPr>
        <w:t>entidades que únicamente se dediquen al muestreo;</w:t>
      </w:r>
      <w:r w:rsidR="00046874" w:rsidRPr="00046874">
        <w:rPr>
          <w:rFonts w:eastAsia="Calibri" w:cs="Arial"/>
          <w:color w:val="000000"/>
          <w:lang w:val="es-ES_tradnl"/>
        </w:rPr>
        <w:br/>
      </w:r>
    </w:p>
    <w:p w:rsidR="008B171B" w:rsidRPr="008B171B" w:rsidRDefault="00E96649" w:rsidP="004E4F71">
      <w:pPr>
        <w:numPr>
          <w:ilvl w:val="0"/>
          <w:numId w:val="8"/>
        </w:numPr>
        <w:shd w:val="clear" w:color="auto" w:fill="FFFFFF"/>
        <w:spacing w:before="100" w:beforeAutospacing="1" w:after="100" w:afterAutospacing="1" w:line="260" w:lineRule="auto"/>
        <w:jc w:val="left"/>
        <w:rPr>
          <w:rFonts w:eastAsia="Calibri" w:cs="Arial"/>
          <w:color w:val="000000"/>
          <w:lang w:val="es-ES_tradnl"/>
        </w:rPr>
      </w:pPr>
      <w:r w:rsidRPr="00E96649">
        <w:rPr>
          <w:rFonts w:eastAsia="Calibri" w:cs="Arial"/>
          <w:color w:val="000000"/>
          <w:lang w:val="es-ES_tradnl"/>
        </w:rPr>
        <w:t>laboratorios que únicamente se dediquen al ensayo;</w:t>
      </w:r>
      <w:r w:rsidR="00046874" w:rsidRPr="00046874">
        <w:rPr>
          <w:rFonts w:eastAsia="Calibri" w:cs="Arial"/>
          <w:color w:val="000000"/>
          <w:lang w:val="es-ES_tradnl"/>
        </w:rPr>
        <w:br/>
      </w:r>
    </w:p>
    <w:p w:rsidR="008B171B" w:rsidRPr="008B171B" w:rsidRDefault="00E96649" w:rsidP="004E4F71">
      <w:pPr>
        <w:numPr>
          <w:ilvl w:val="0"/>
          <w:numId w:val="8"/>
        </w:numPr>
        <w:shd w:val="clear" w:color="auto" w:fill="FFFFFF"/>
        <w:spacing w:before="100" w:beforeAutospacing="1" w:after="100" w:afterAutospacing="1" w:line="260" w:lineRule="auto"/>
        <w:jc w:val="left"/>
        <w:rPr>
          <w:rFonts w:eastAsia="Calibri" w:cs="Arial"/>
          <w:color w:val="000000"/>
          <w:lang w:val="es-ES_tradnl"/>
        </w:rPr>
      </w:pPr>
      <w:r w:rsidRPr="00E96649">
        <w:rPr>
          <w:rFonts w:eastAsia="Calibri" w:cs="Arial"/>
          <w:color w:val="000000"/>
          <w:lang w:val="es-ES_tradnl"/>
        </w:rPr>
        <w:t>laboratorios que se dediquen al muestreo y al ensayo.</w:t>
      </w:r>
    </w:p>
    <w:p w:rsidR="008B171B" w:rsidRPr="008B171B" w:rsidRDefault="008B171B" w:rsidP="00046874">
      <w:pPr>
        <w:rPr>
          <w:rFonts w:eastAsia="Calibri"/>
          <w:lang w:val="es-ES_tradnl"/>
        </w:rPr>
      </w:pPr>
    </w:p>
    <w:p w:rsidR="008B171B" w:rsidRPr="008B171B" w:rsidRDefault="00E96649" w:rsidP="004E4F71">
      <w:pPr>
        <w:spacing w:after="160" w:line="260" w:lineRule="auto"/>
        <w:jc w:val="left"/>
        <w:rPr>
          <w:rFonts w:ascii="Calibri" w:eastAsia="Calibri" w:hAnsi="Calibri"/>
          <w:bCs/>
          <w:sz w:val="22"/>
          <w:szCs w:val="22"/>
          <w:lang w:val="es-ES_tradnl"/>
        </w:rPr>
      </w:pPr>
      <w:r w:rsidRPr="00E96649">
        <w:rPr>
          <w:rFonts w:ascii="Calibri" w:eastAsia="Calibri" w:hAnsi="Calibri"/>
          <w:bCs/>
          <w:sz w:val="22"/>
          <w:szCs w:val="22"/>
          <w:lang w:val="es-ES_tradnl"/>
        </w:rPr>
        <w:t>CERTIFICADOS DE LA ISTA:</w:t>
      </w:r>
      <w:r w:rsidR="00046874" w:rsidRPr="00046874">
        <w:rPr>
          <w:rFonts w:ascii="Calibri" w:eastAsia="Calibri" w:hAnsi="Calibri"/>
          <w:bCs/>
          <w:sz w:val="22"/>
          <w:szCs w:val="22"/>
          <w:lang w:val="es-ES_tradnl"/>
        </w:rPr>
        <w:t xml:space="preserve"> </w:t>
      </w:r>
      <w:r w:rsidRPr="00E96649">
        <w:rPr>
          <w:rFonts w:ascii="Calibri" w:eastAsia="Calibri" w:hAnsi="Calibri"/>
          <w:bCs/>
          <w:sz w:val="22"/>
          <w:szCs w:val="22"/>
          <w:lang w:val="es-ES_tradnl"/>
        </w:rPr>
        <w:t>PASAPORTE PARA EL COMERCIO INTERNACIONAL DE SEMILLAS</w:t>
      </w:r>
    </w:p>
    <w:p w:rsidR="008B171B" w:rsidRPr="008B171B" w:rsidRDefault="00E96649" w:rsidP="004E4F71">
      <w:pPr>
        <w:spacing w:after="160" w:line="260" w:lineRule="auto"/>
        <w:rPr>
          <w:rFonts w:eastAsia="Calibri" w:cs="Arial"/>
          <w:color w:val="000000"/>
          <w:lang w:val="es-ES_tradnl"/>
        </w:rPr>
      </w:pPr>
      <w:r w:rsidRPr="00E96649">
        <w:rPr>
          <w:rFonts w:eastAsia="Calibri" w:cs="Arial"/>
          <w:color w:val="000000"/>
          <w:lang w:val="es-ES_tradnl"/>
        </w:rPr>
        <w:t>Solo los laboratorios acreditados por la ISTA poseen autorización para emitir certificados ISTA de análisis de semillas.</w:t>
      </w:r>
    </w:p>
    <w:p w:rsidR="008B171B" w:rsidRPr="008B171B" w:rsidRDefault="00E96649" w:rsidP="004E4F71">
      <w:pPr>
        <w:spacing w:after="160" w:line="260" w:lineRule="auto"/>
        <w:rPr>
          <w:rFonts w:eastAsia="Calibri" w:cs="Arial"/>
          <w:color w:val="000000"/>
          <w:lang w:val="es-ES_tradnl"/>
        </w:rPr>
      </w:pPr>
      <w:r w:rsidRPr="00E96649">
        <w:rPr>
          <w:rFonts w:eastAsia="Calibri" w:cs="Arial"/>
          <w:color w:val="000000"/>
          <w:lang w:val="es-ES_tradnl"/>
        </w:rPr>
        <w:t>Al notificar los resultados del ensayo de semillas en un certificado ISTA, el laboratorio emisor garantiza que el muestreo y el ensayo se han realizado de conformidad con las normas de la asociación.</w:t>
      </w:r>
      <w:r w:rsidR="00046874" w:rsidRPr="00046874">
        <w:rPr>
          <w:rFonts w:eastAsia="Calibri" w:cs="Arial"/>
          <w:color w:val="000000"/>
          <w:lang w:val="es-ES_tradnl"/>
        </w:rPr>
        <w:t xml:space="preserve"> </w:t>
      </w:r>
      <w:r w:rsidRPr="00E96649">
        <w:rPr>
          <w:rFonts w:eastAsia="Calibri" w:cs="Arial"/>
          <w:color w:val="000000"/>
          <w:lang w:val="es-ES_tradnl"/>
        </w:rPr>
        <w:t>Los certificados ISTA son aceptados por la mayor parte de las autoridades y se mencionan en las leyes sobre semillas de varios países.</w:t>
      </w:r>
    </w:p>
    <w:p w:rsidR="008B171B" w:rsidRPr="008B171B" w:rsidRDefault="00E96649" w:rsidP="004E4F71">
      <w:pPr>
        <w:spacing w:after="160" w:line="260" w:lineRule="auto"/>
        <w:rPr>
          <w:rFonts w:eastAsia="Calibri" w:cs="Arial"/>
          <w:color w:val="000000"/>
          <w:lang w:val="es-ES_tradnl"/>
        </w:rPr>
      </w:pPr>
      <w:r w:rsidRPr="00E96649">
        <w:rPr>
          <w:rFonts w:eastAsia="Calibri" w:cs="Arial"/>
          <w:color w:val="000000"/>
          <w:lang w:val="es-ES_tradnl"/>
        </w:rPr>
        <w:t>Los certificados ISTA garantizan que los resultados son exactos y reproducibles e indican la calidad de las semillas analizadas.</w:t>
      </w:r>
    </w:p>
    <w:p w:rsidR="00677D06" w:rsidRDefault="00677D06" w:rsidP="00046874">
      <w:pPr>
        <w:tabs>
          <w:tab w:val="left" w:pos="6104"/>
        </w:tabs>
        <w:spacing w:after="160" w:line="259" w:lineRule="auto"/>
        <w:jc w:val="left"/>
        <w:rPr>
          <w:rFonts w:ascii="Calibri" w:eastAsia="Calibri" w:hAnsi="Calibri"/>
          <w:sz w:val="22"/>
          <w:szCs w:val="22"/>
          <w:lang w:val="es-ES_tradnl"/>
        </w:rPr>
      </w:pPr>
    </w:p>
    <w:p w:rsidR="008B171B" w:rsidRPr="008B171B" w:rsidRDefault="008B2259" w:rsidP="00046874">
      <w:pPr>
        <w:tabs>
          <w:tab w:val="left" w:pos="1702"/>
        </w:tabs>
        <w:spacing w:after="160" w:line="259" w:lineRule="auto"/>
        <w:jc w:val="left"/>
        <w:rPr>
          <w:rFonts w:ascii="Calibri" w:eastAsia="Calibri" w:hAnsi="Calibri"/>
          <w:sz w:val="22"/>
          <w:szCs w:val="22"/>
          <w:lang w:val="es-ES_tradnl"/>
        </w:rPr>
      </w:pPr>
      <w:r>
        <w:rPr>
          <w:rFonts w:ascii="Calibri" w:eastAsia="Calibri" w:hAnsi="Calibri"/>
          <w:noProof/>
          <w:sz w:val="22"/>
          <w:szCs w:val="22"/>
        </w:rPr>
        <w:lastRenderedPageBreak/>
        <w:drawing>
          <wp:anchor distT="0" distB="0" distL="114300" distR="114300" simplePos="0" relativeHeight="251664384" behindDoc="0" locked="0" layoutInCell="1" allowOverlap="1">
            <wp:simplePos x="0" y="0"/>
            <wp:positionH relativeFrom="margin">
              <wp:posOffset>842010</wp:posOffset>
            </wp:positionH>
            <wp:positionV relativeFrom="paragraph">
              <wp:posOffset>266700</wp:posOffset>
            </wp:positionV>
            <wp:extent cx="4123055" cy="1744980"/>
            <wp:effectExtent l="38100" t="0" r="48895" b="0"/>
            <wp:wrapNone/>
            <wp:docPr id="2"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8B171B" w:rsidRPr="008B171B" w:rsidRDefault="008B171B" w:rsidP="00046874">
      <w:pPr>
        <w:spacing w:after="160" w:line="259" w:lineRule="auto"/>
        <w:jc w:val="left"/>
        <w:rPr>
          <w:rFonts w:ascii="Calibri" w:eastAsia="Calibri" w:hAnsi="Calibri"/>
          <w:sz w:val="22"/>
          <w:szCs w:val="22"/>
          <w:lang w:val="es-ES_tradnl"/>
        </w:rPr>
      </w:pPr>
    </w:p>
    <w:p w:rsidR="008B171B" w:rsidRPr="008B171B" w:rsidRDefault="008B171B" w:rsidP="00046874">
      <w:pPr>
        <w:spacing w:after="160" w:line="259" w:lineRule="auto"/>
        <w:jc w:val="left"/>
        <w:rPr>
          <w:rFonts w:ascii="Calibri" w:eastAsia="Calibri" w:hAnsi="Calibri"/>
          <w:sz w:val="22"/>
          <w:szCs w:val="22"/>
          <w:lang w:val="es-ES_tradnl"/>
        </w:rPr>
      </w:pPr>
    </w:p>
    <w:p w:rsidR="008B171B" w:rsidRPr="008B171B" w:rsidRDefault="008B171B" w:rsidP="00046874">
      <w:pPr>
        <w:tabs>
          <w:tab w:val="left" w:pos="3102"/>
          <w:tab w:val="left" w:pos="6961"/>
        </w:tabs>
        <w:spacing w:after="160" w:line="259" w:lineRule="auto"/>
        <w:jc w:val="left"/>
        <w:rPr>
          <w:rFonts w:ascii="Calibri" w:eastAsia="Calibri" w:hAnsi="Calibri"/>
          <w:sz w:val="22"/>
          <w:szCs w:val="22"/>
          <w:lang w:val="es-ES_tradnl"/>
        </w:rPr>
      </w:pPr>
    </w:p>
    <w:p w:rsidR="008B171B" w:rsidRDefault="008B171B" w:rsidP="00046874">
      <w:pPr>
        <w:tabs>
          <w:tab w:val="left" w:pos="7433"/>
        </w:tabs>
        <w:spacing w:after="160" w:line="259" w:lineRule="auto"/>
        <w:jc w:val="left"/>
        <w:rPr>
          <w:rFonts w:ascii="Calibri" w:eastAsia="Calibri" w:hAnsi="Calibri"/>
          <w:sz w:val="22"/>
          <w:szCs w:val="22"/>
          <w:lang w:val="es-ES_tradnl"/>
        </w:rPr>
      </w:pPr>
    </w:p>
    <w:p w:rsidR="008B2259" w:rsidRDefault="008B2259" w:rsidP="00046874">
      <w:pPr>
        <w:tabs>
          <w:tab w:val="left" w:pos="7433"/>
        </w:tabs>
        <w:spacing w:after="160" w:line="259" w:lineRule="auto"/>
        <w:jc w:val="left"/>
        <w:rPr>
          <w:rFonts w:ascii="Calibri" w:eastAsia="Calibri" w:hAnsi="Calibri"/>
          <w:sz w:val="22"/>
          <w:szCs w:val="22"/>
          <w:lang w:val="es-ES_tradnl"/>
        </w:rPr>
      </w:pPr>
    </w:p>
    <w:p w:rsidR="008B2259" w:rsidRDefault="008B2259" w:rsidP="00046874">
      <w:pPr>
        <w:tabs>
          <w:tab w:val="left" w:pos="7433"/>
        </w:tabs>
        <w:spacing w:after="160" w:line="259" w:lineRule="auto"/>
        <w:jc w:val="left"/>
        <w:rPr>
          <w:rFonts w:ascii="Calibri" w:eastAsia="Calibri" w:hAnsi="Calibri"/>
          <w:sz w:val="22"/>
          <w:szCs w:val="22"/>
          <w:lang w:val="es-ES_tradnl"/>
        </w:rPr>
      </w:pPr>
    </w:p>
    <w:p w:rsidR="008B2259" w:rsidRPr="008B171B" w:rsidRDefault="008B2259" w:rsidP="00046874">
      <w:pPr>
        <w:tabs>
          <w:tab w:val="left" w:pos="7433"/>
        </w:tabs>
        <w:spacing w:after="160" w:line="259" w:lineRule="auto"/>
        <w:jc w:val="left"/>
        <w:rPr>
          <w:rFonts w:ascii="Calibri" w:eastAsia="Calibri" w:hAnsi="Calibri"/>
          <w:sz w:val="22"/>
          <w:szCs w:val="22"/>
          <w:lang w:val="es-ES_tradnl"/>
        </w:rPr>
      </w:pPr>
    </w:p>
    <w:p w:rsidR="008B171B" w:rsidRPr="008B171B" w:rsidRDefault="00E96649" w:rsidP="004E4F71">
      <w:pPr>
        <w:spacing w:after="160" w:line="260" w:lineRule="auto"/>
        <w:rPr>
          <w:rFonts w:eastAsia="Calibri" w:cs="Arial"/>
          <w:lang w:val="es-ES_tradnl"/>
        </w:rPr>
      </w:pPr>
      <w:r w:rsidRPr="00E96649">
        <w:rPr>
          <w:rFonts w:eastAsia="Calibri" w:cs="Arial"/>
          <w:lang w:val="es-ES_tradnl"/>
        </w:rPr>
        <w:t>Cada año se emiten más de 200.000 certificados naranjas y azules de la ISTA, que facilitan el comercio internacional de semillas.</w:t>
      </w:r>
    </w:p>
    <w:p w:rsidR="008B171B" w:rsidRPr="008B171B" w:rsidRDefault="008B171B" w:rsidP="00046874">
      <w:pPr>
        <w:spacing w:line="259" w:lineRule="auto"/>
        <w:rPr>
          <w:rFonts w:eastAsia="Calibri" w:cs="Arial"/>
          <w:lang w:val="es-ES_tradnl"/>
        </w:rPr>
      </w:pPr>
    </w:p>
    <w:p w:rsidR="008B171B" w:rsidRPr="008B171B" w:rsidRDefault="00E96649" w:rsidP="004E4F71">
      <w:pPr>
        <w:keepNext/>
        <w:spacing w:after="160" w:line="260" w:lineRule="auto"/>
        <w:rPr>
          <w:rFonts w:eastAsia="Calibri" w:cs="Arial"/>
          <w:b/>
          <w:bCs/>
          <w:lang w:val="es-ES_tradnl"/>
        </w:rPr>
      </w:pPr>
      <w:r w:rsidRPr="00E96649">
        <w:rPr>
          <w:rFonts w:eastAsia="Calibri" w:cs="Arial"/>
          <w:b/>
          <w:bCs/>
          <w:lang w:val="es-ES_tradnl"/>
        </w:rPr>
        <w:t>SITUACIÓN DE LAS TÉCNICAS BIOQUÍMICAS Y MOLECULARES EN LA ISTA</w:t>
      </w:r>
    </w:p>
    <w:p w:rsidR="008B171B" w:rsidRPr="008B171B" w:rsidRDefault="00E96649" w:rsidP="004E4F71">
      <w:pPr>
        <w:keepLines/>
        <w:rPr>
          <w:rFonts w:eastAsia="Calibri" w:cs="Arial"/>
          <w:color w:val="000000"/>
          <w:lang w:val="es-ES_tradnl"/>
        </w:rPr>
      </w:pPr>
      <w:r w:rsidRPr="00E96649">
        <w:rPr>
          <w:rFonts w:eastAsia="Calibri" w:cs="Arial"/>
          <w:color w:val="000000"/>
          <w:lang w:val="es-ES_tradnl"/>
        </w:rPr>
        <w:t>Las normas internacionales de la ISTA para el ensayo de semillas contemplan las técnicas bioquímicas y moleculares desde hace muchos años.</w:t>
      </w:r>
      <w:r w:rsidR="00046874" w:rsidRPr="00046874">
        <w:rPr>
          <w:rFonts w:eastAsia="Calibri" w:cs="Arial"/>
          <w:color w:val="000000"/>
          <w:lang w:val="es-ES_tradnl"/>
        </w:rPr>
        <w:t xml:space="preserve"> </w:t>
      </w:r>
      <w:r w:rsidRPr="00E96649">
        <w:rPr>
          <w:rFonts w:eastAsia="Calibri" w:cs="Arial"/>
          <w:color w:val="000000"/>
          <w:lang w:val="es-ES_tradnl"/>
        </w:rPr>
        <w:t>Dichas técnicas son admisibles, por ejemplo, para ensayos de organismos modificados genéticamente en los que se aplique un “enfoque orientado a los resultados”. Entre los métodos empleados con mayor frecuencia se encuentran los análisis cualitativos y cuantitativos de detección de proteínas y varios métodos basados en el ADN.</w:t>
      </w:r>
      <w:r w:rsidR="00A6049D">
        <w:rPr>
          <w:rFonts w:eastAsia="Calibri" w:cs="Arial"/>
          <w:color w:val="000000"/>
          <w:lang w:val="es-ES_tradnl"/>
        </w:rPr>
        <w:t xml:space="preserve"> </w:t>
      </w:r>
      <w:r w:rsidRPr="00E96649">
        <w:rPr>
          <w:rFonts w:eastAsia="Calibri" w:cs="Arial"/>
          <w:color w:val="000000"/>
          <w:lang w:val="es-ES_tradnl"/>
        </w:rPr>
        <w:t>Las técnicas bioquímicas y moleculares se utilizan con fines de evaluación diagnóstica y cuantitativa en métodos de examen de la sanidad de las semillas.</w:t>
      </w:r>
      <w:r w:rsidR="00046874" w:rsidRPr="00046874">
        <w:rPr>
          <w:rFonts w:eastAsia="Calibri" w:cs="Arial"/>
          <w:color w:val="000000"/>
          <w:lang w:val="es-ES_tradnl"/>
        </w:rPr>
        <w:t xml:space="preserve"> </w:t>
      </w:r>
      <w:r w:rsidRPr="00E96649">
        <w:rPr>
          <w:rFonts w:eastAsia="Calibri" w:cs="Arial"/>
          <w:color w:val="000000"/>
          <w:lang w:val="es-ES_tradnl"/>
        </w:rPr>
        <w:t>También se utilizan técnicas bioquímicas y moleculares para la verificación de especies y variedades, por ejemplo, en el análisis de perfiles de proteínas de almacenamiento en girasol, maíz, avena, cebada, trigo, raygrás y guisante/arveja, o de perfiles de ADN mediante marcadores moleculares en maíz y trigo.</w:t>
      </w:r>
      <w:r w:rsidR="00046874" w:rsidRPr="00046874">
        <w:rPr>
          <w:rFonts w:eastAsia="Calibri" w:cs="Arial"/>
          <w:color w:val="000000"/>
          <w:lang w:val="es-ES_tradnl"/>
        </w:rPr>
        <w:t xml:space="preserve"> </w:t>
      </w:r>
      <w:r w:rsidRPr="00E96649">
        <w:rPr>
          <w:rFonts w:eastAsia="Calibri" w:cs="Arial"/>
          <w:color w:val="000000"/>
          <w:lang w:val="es-ES_tradnl"/>
        </w:rPr>
        <w:t>Dadas la cada vez mayor versatilidad y la disminución del costo de estos métodos, es posible que en el futuro se extienda su uso para el ensayo de semillas.</w:t>
      </w:r>
    </w:p>
    <w:p w:rsidR="008B171B" w:rsidRPr="008B171B" w:rsidRDefault="008B171B" w:rsidP="00046874">
      <w:pPr>
        <w:spacing w:after="160" w:line="259" w:lineRule="auto"/>
        <w:jc w:val="left"/>
        <w:rPr>
          <w:rFonts w:eastAsia="Calibri" w:cs="Arial"/>
          <w:color w:val="000000"/>
          <w:lang w:val="es-ES_tradnl"/>
        </w:rPr>
      </w:pPr>
    </w:p>
    <w:p w:rsidR="008B171B" w:rsidRPr="008B171B" w:rsidRDefault="00E96649" w:rsidP="004E4F71">
      <w:pPr>
        <w:spacing w:after="160" w:line="260" w:lineRule="auto"/>
        <w:jc w:val="left"/>
        <w:rPr>
          <w:rFonts w:eastAsia="Calibri" w:cs="Arial"/>
          <w:color w:val="000000"/>
          <w:lang w:val="es-ES_tradnl"/>
        </w:rPr>
      </w:pPr>
      <w:r w:rsidRPr="00E96649">
        <w:rPr>
          <w:rFonts w:eastAsia="Calibri" w:cs="Arial"/>
          <w:color w:val="000000"/>
          <w:lang w:val="es-ES_tradnl"/>
        </w:rPr>
        <w:t>Se ofrece más información acerca de la ISTA en su sitio web:</w:t>
      </w:r>
      <w:r w:rsidR="00046874" w:rsidRPr="004E4F71">
        <w:rPr>
          <w:rFonts w:eastAsia="Calibri" w:cs="Arial"/>
          <w:color w:val="000000"/>
          <w:lang w:val="es-ES_tradnl"/>
        </w:rPr>
        <w:t xml:space="preserve"> </w:t>
      </w:r>
      <w:hyperlink r:id="rId20" w:history="1">
        <w:r w:rsidR="00046874" w:rsidRPr="004E4F71">
          <w:rPr>
            <w:rFonts w:eastAsia="Calibri" w:cs="Arial"/>
            <w:color w:val="000000"/>
            <w:lang w:val="es-ES_tradnl"/>
          </w:rPr>
          <w:t>www.seedtest.org</w:t>
        </w:r>
      </w:hyperlink>
    </w:p>
    <w:p w:rsidR="008B171B" w:rsidRPr="008B171B" w:rsidRDefault="008B171B" w:rsidP="00046874">
      <w:pPr>
        <w:rPr>
          <w:lang w:val="es-ES_tradnl"/>
        </w:rPr>
      </w:pPr>
    </w:p>
    <w:p w:rsidR="008B171B" w:rsidRPr="008B171B" w:rsidRDefault="008B171B" w:rsidP="00046874">
      <w:pPr>
        <w:jc w:val="left"/>
        <w:rPr>
          <w:lang w:val="es-ES_tradnl"/>
        </w:rPr>
      </w:pPr>
    </w:p>
    <w:p w:rsidR="008B171B" w:rsidRPr="008B171B" w:rsidRDefault="008B171B" w:rsidP="00046874">
      <w:pPr>
        <w:rPr>
          <w:lang w:val="es-ES_tradnl"/>
        </w:rPr>
      </w:pPr>
    </w:p>
    <w:p w:rsidR="008B171B" w:rsidRPr="008B171B" w:rsidRDefault="00E96649" w:rsidP="004E4F71">
      <w:pPr>
        <w:jc w:val="right"/>
        <w:rPr>
          <w:lang w:val="es-ES_tradnl"/>
        </w:rPr>
      </w:pPr>
      <w:r w:rsidRPr="00E96649">
        <w:rPr>
          <w:lang w:val="es-ES_tradnl"/>
        </w:rPr>
        <w:t>[Sigue el Anexo II]</w:t>
      </w:r>
    </w:p>
    <w:p w:rsidR="00046874" w:rsidRPr="00046874" w:rsidRDefault="00046874" w:rsidP="00046874">
      <w:pPr>
        <w:jc w:val="left"/>
        <w:rPr>
          <w:lang w:val="es-ES_tradnl"/>
        </w:rPr>
        <w:sectPr w:rsidR="00046874" w:rsidRPr="00046874" w:rsidSect="00EA2DD2">
          <w:headerReference w:type="default" r:id="rId21"/>
          <w:headerReference w:type="first" r:id="rId22"/>
          <w:pgSz w:w="11907" w:h="16840" w:code="9"/>
          <w:pgMar w:top="510" w:right="1134" w:bottom="1134" w:left="1134" w:header="510" w:footer="680" w:gutter="0"/>
          <w:pgNumType w:start="1"/>
          <w:cols w:space="720"/>
          <w:titlePg/>
        </w:sectPr>
      </w:pPr>
    </w:p>
    <w:p w:rsidR="008B171B" w:rsidRPr="008B171B" w:rsidRDefault="00A2611F" w:rsidP="004E4F71">
      <w:pPr>
        <w:jc w:val="center"/>
        <w:rPr>
          <w:u w:val="single"/>
          <w:lang w:val="es-ES_tradnl"/>
        </w:rPr>
      </w:pPr>
      <w:r w:rsidRPr="00A2611F">
        <w:rPr>
          <w:u w:val="single"/>
          <w:lang w:val="es-ES_tradnl"/>
        </w:rPr>
        <w:lastRenderedPageBreak/>
        <w:t>ENCUESTA SOBRE EL USO DE TÉCNICAS BASADAS EN MARCADORES MOLECULARES, POR CULTIVOS</w:t>
      </w:r>
    </w:p>
    <w:p w:rsidR="008B171B" w:rsidRPr="008B171B" w:rsidRDefault="008B171B" w:rsidP="00046874">
      <w:pPr>
        <w:rPr>
          <w:lang w:val="es-ES_tradnl"/>
        </w:rPr>
      </w:pPr>
    </w:p>
    <w:p w:rsidR="008B171B" w:rsidRPr="008B171B" w:rsidRDefault="008B171B" w:rsidP="00046874">
      <w:pPr>
        <w:rPr>
          <w:snapToGrid w:val="0"/>
          <w:lang w:val="es-ES_tradnl"/>
        </w:rPr>
      </w:pPr>
    </w:p>
    <w:p w:rsidR="008B171B" w:rsidRPr="008B171B" w:rsidRDefault="008B171B" w:rsidP="00046874">
      <w:pPr>
        <w:rPr>
          <w:snapToGrid w:val="0"/>
          <w:lang w:val="es-ES_tradnl"/>
        </w:rPr>
      </w:pPr>
    </w:p>
    <w:p w:rsidR="008B171B" w:rsidRPr="008B171B" w:rsidRDefault="00A2611F" w:rsidP="004E4F71">
      <w:pPr>
        <w:jc w:val="center"/>
        <w:rPr>
          <w:rFonts w:cs="Arial"/>
          <w:i/>
          <w:lang w:val="es-ES_tradnl"/>
        </w:rPr>
      </w:pPr>
      <w:r w:rsidRPr="00A2611F">
        <w:rPr>
          <w:rFonts w:cs="Arial"/>
          <w:i/>
          <w:lang w:val="es-ES_tradnl"/>
        </w:rPr>
        <w:t>Las respuestas recibidas figuran en la hoja de cálculo de Excel.</w:t>
      </w:r>
    </w:p>
    <w:p w:rsidR="008B171B" w:rsidRPr="008B171B" w:rsidRDefault="008B171B" w:rsidP="00046874">
      <w:pPr>
        <w:rPr>
          <w:lang w:val="es-ES_tradnl"/>
        </w:rPr>
      </w:pPr>
    </w:p>
    <w:p w:rsidR="008B171B" w:rsidRPr="008B171B" w:rsidRDefault="008B171B" w:rsidP="00046874">
      <w:pPr>
        <w:rPr>
          <w:u w:val="single"/>
          <w:lang w:val="es-ES_tradnl"/>
        </w:rPr>
      </w:pPr>
    </w:p>
    <w:p w:rsidR="008B171B" w:rsidRPr="008B171B" w:rsidRDefault="008B171B" w:rsidP="00046874">
      <w:pPr>
        <w:rPr>
          <w:u w:val="single"/>
          <w:lang w:val="es-ES_tradnl"/>
        </w:rPr>
      </w:pPr>
    </w:p>
    <w:p w:rsidR="008B171B" w:rsidRPr="008B171B" w:rsidRDefault="00A2611F" w:rsidP="004E4F71">
      <w:pPr>
        <w:pStyle w:val="DecisionParagraphs"/>
        <w:jc w:val="right"/>
        <w:rPr>
          <w:i w:val="0"/>
          <w:lang w:val="es-ES_tradnl"/>
        </w:rPr>
      </w:pPr>
      <w:r w:rsidRPr="00A2611F">
        <w:rPr>
          <w:i w:val="0"/>
          <w:lang w:val="es-ES_tradnl"/>
        </w:rPr>
        <w:t>[Sigue el Apéndice del Anexo II]</w:t>
      </w:r>
    </w:p>
    <w:p w:rsidR="00046874" w:rsidRPr="00046874" w:rsidRDefault="00046874" w:rsidP="00046874">
      <w:pPr>
        <w:rPr>
          <w:snapToGrid w:val="0"/>
          <w:highlight w:val="cyan"/>
          <w:lang w:val="es-ES_tradnl"/>
        </w:rPr>
        <w:sectPr w:rsidR="00046874" w:rsidRPr="00046874" w:rsidSect="0004198B">
          <w:headerReference w:type="first" r:id="rId23"/>
          <w:pgSz w:w="11907" w:h="16840" w:code="9"/>
          <w:pgMar w:top="510" w:right="1134" w:bottom="1134" w:left="1134" w:header="510" w:footer="680" w:gutter="0"/>
          <w:pgNumType w:start="1"/>
          <w:cols w:space="720"/>
          <w:titlePg/>
        </w:sectPr>
      </w:pPr>
    </w:p>
    <w:p w:rsidR="008B171B" w:rsidRPr="008B171B" w:rsidRDefault="008B171B" w:rsidP="00046874">
      <w:pPr>
        <w:jc w:val="center"/>
        <w:rPr>
          <w:u w:val="single"/>
          <w:lang w:val="es-ES_tradnl"/>
        </w:rPr>
      </w:pPr>
    </w:p>
    <w:p w:rsidR="008B171B" w:rsidRPr="008B171B" w:rsidRDefault="00A2611F" w:rsidP="004E4F71">
      <w:pPr>
        <w:rPr>
          <w:u w:val="single"/>
          <w:lang w:val="es-ES_tradnl"/>
        </w:rPr>
      </w:pPr>
      <w:r w:rsidRPr="00181338">
        <w:rPr>
          <w:u w:val="single"/>
          <w:lang w:val="es-ES_tradnl"/>
        </w:rPr>
        <w:t>Respuesta de la Unión Europea:</w:t>
      </w:r>
    </w:p>
    <w:p w:rsidR="008B171B" w:rsidRPr="008B171B" w:rsidRDefault="008B171B" w:rsidP="00046874">
      <w:pPr>
        <w:rPr>
          <w:lang w:val="es-ES_tradnl"/>
        </w:rPr>
      </w:pPr>
    </w:p>
    <w:p w:rsidR="008B171B" w:rsidRPr="008B171B" w:rsidRDefault="008B171B" w:rsidP="00046874">
      <w:pPr>
        <w:rPr>
          <w:lang w:val="es-ES_tradnl"/>
        </w:rPr>
      </w:pPr>
    </w:p>
    <w:p w:rsidR="008B171B" w:rsidRPr="008B171B" w:rsidRDefault="00181338" w:rsidP="004E4F71">
      <w:pPr>
        <w:jc w:val="center"/>
        <w:rPr>
          <w:rFonts w:eastAsia="Cambria"/>
          <w:lang w:val="es-ES_tradnl"/>
        </w:rPr>
      </w:pPr>
      <w:r w:rsidRPr="00181338">
        <w:rPr>
          <w:rFonts w:eastAsia="Cambria"/>
          <w:lang w:val="es-ES_tradnl"/>
        </w:rPr>
        <w:t>UTILIZACIÓN DE TÉCNICAS BASADAS EN MARCADORES MOLECULARES EN EL EXAMEN DHE EN EL MARCO DE LA PROTECCIÓN COMUNITARIA DE LAS OBTENCIONES VEGETALES</w:t>
      </w:r>
    </w:p>
    <w:p w:rsidR="008B171B" w:rsidRPr="008B171B" w:rsidRDefault="008B171B" w:rsidP="00046874">
      <w:pPr>
        <w:rPr>
          <w:rFonts w:eastAsia="Cambria"/>
          <w:lang w:val="es-ES_tradnl"/>
        </w:rPr>
      </w:pPr>
    </w:p>
    <w:p w:rsidR="008B171B" w:rsidRPr="008B171B" w:rsidRDefault="008B171B" w:rsidP="00046874">
      <w:pPr>
        <w:rPr>
          <w:rFonts w:eastAsia="Cambria"/>
          <w:lang w:val="es-ES_tradnl"/>
        </w:rPr>
      </w:pPr>
    </w:p>
    <w:p w:rsidR="008B171B" w:rsidRPr="008B171B" w:rsidRDefault="00181338" w:rsidP="004E4F71">
      <w:pPr>
        <w:rPr>
          <w:rFonts w:eastAsia="Cambria"/>
          <w:u w:val="single"/>
          <w:lang w:val="es-ES_tradnl"/>
        </w:rPr>
      </w:pPr>
      <w:r w:rsidRPr="00181338">
        <w:rPr>
          <w:rFonts w:eastAsia="Cambria"/>
          <w:u w:val="single"/>
          <w:lang w:val="es-ES_tradnl"/>
        </w:rPr>
        <w:t>Elementos de contexto</w:t>
      </w:r>
    </w:p>
    <w:p w:rsidR="008B171B" w:rsidRPr="008B171B" w:rsidRDefault="008B171B" w:rsidP="00046874">
      <w:pPr>
        <w:rPr>
          <w:rFonts w:eastAsia="Cambria"/>
          <w:lang w:val="es-ES_tradnl"/>
        </w:rPr>
      </w:pPr>
    </w:p>
    <w:p w:rsidR="008B171B" w:rsidRPr="008B171B" w:rsidRDefault="00181338" w:rsidP="004E4F71">
      <w:pPr>
        <w:rPr>
          <w:rFonts w:eastAsia="Cambria"/>
          <w:lang w:val="es-ES_tradnl"/>
        </w:rPr>
      </w:pPr>
      <w:r w:rsidRPr="00181338">
        <w:rPr>
          <w:rFonts w:eastAsia="Cambria"/>
          <w:lang w:val="es-ES_tradnl"/>
        </w:rPr>
        <w:t>En su quincuagésima quinta sesión, celebrada en Ginebra los días 28 y 29 de octubre de 2019, el Comité Técnico (TC) de la UPOV acordó invitar a los miembros de la Unión a responder a una encuesta como punto de partida de la elaboración de un inventario sobre la utilización de técnicas basadas en marcadores moleculares, por cultivos, en coordinación con los Sistemas de Semillas de la OCDE (véanse los párrafos 184 y 185 del documento TC/55/25 “Informe”).</w:t>
      </w:r>
    </w:p>
    <w:p w:rsidR="008B171B" w:rsidRPr="008B171B" w:rsidRDefault="008B171B" w:rsidP="00046874">
      <w:pPr>
        <w:rPr>
          <w:rFonts w:eastAsia="Cambria"/>
          <w:lang w:val="es-ES_tradnl"/>
        </w:rPr>
      </w:pPr>
    </w:p>
    <w:p w:rsidR="008B171B" w:rsidRPr="008B171B" w:rsidRDefault="00181338" w:rsidP="004E4F71">
      <w:pPr>
        <w:rPr>
          <w:rFonts w:eastAsia="Cambria"/>
          <w:lang w:val="es-ES_tradnl"/>
        </w:rPr>
      </w:pPr>
      <w:r w:rsidRPr="00181338">
        <w:rPr>
          <w:rFonts w:eastAsia="Cambria"/>
          <w:lang w:val="es-ES_tradnl"/>
        </w:rPr>
        <w:t>La información sobre las técnicas basadas en marcadores moleculares empleadas por los miembros de la Unión servirá para elaborar un documento conjunto de la UPOV, la OCDE y la ISTA en el que figure dicha información en un formato similar al del documento UPOV/INF/16 “Programas informáticos para intercambio”, con sujeción a la aprobación por el Consejo y en coordinación con la OCDE y la ISTA.</w:t>
      </w:r>
    </w:p>
    <w:p w:rsidR="008B171B" w:rsidRPr="008B171B" w:rsidRDefault="008B171B" w:rsidP="00046874">
      <w:pPr>
        <w:rPr>
          <w:rFonts w:eastAsia="Cambria"/>
          <w:lang w:val="es-ES_tradnl"/>
        </w:rPr>
      </w:pPr>
    </w:p>
    <w:p w:rsidR="008B171B" w:rsidRPr="008B171B" w:rsidRDefault="00181338" w:rsidP="004E4F71">
      <w:pPr>
        <w:rPr>
          <w:rFonts w:eastAsia="Cambria"/>
          <w:lang w:val="es-ES_tradnl"/>
        </w:rPr>
      </w:pPr>
      <w:r w:rsidRPr="00181338">
        <w:rPr>
          <w:rFonts w:eastAsia="Cambria"/>
          <w:lang w:val="es-ES_tradnl"/>
        </w:rPr>
        <w:t>En el presente documento, que constituye la aportación de la OCVV a dicha encuesta, se indican las técnicas basadas en marcadores moleculares que se pueden utilizar en un examen DHE que tenga por objeto la concesión de protección comunitaria a una obtención vegetal en el marco de la política de la OCVV.</w:t>
      </w:r>
    </w:p>
    <w:p w:rsidR="008B171B" w:rsidRPr="008B171B" w:rsidRDefault="008B171B" w:rsidP="00046874">
      <w:pPr>
        <w:rPr>
          <w:rFonts w:eastAsia="Cambria"/>
          <w:lang w:val="es-ES_tradnl"/>
        </w:rPr>
      </w:pPr>
    </w:p>
    <w:p w:rsidR="008B171B" w:rsidRPr="008B171B" w:rsidRDefault="008B171B" w:rsidP="00046874">
      <w:pPr>
        <w:rPr>
          <w:rFonts w:eastAsia="Cambria"/>
          <w:lang w:val="es-ES_tradnl"/>
        </w:rPr>
      </w:pPr>
    </w:p>
    <w:p w:rsidR="008B171B" w:rsidRPr="008B171B" w:rsidRDefault="00181338" w:rsidP="004E4F71">
      <w:pPr>
        <w:pStyle w:val="ListParagraph"/>
        <w:numPr>
          <w:ilvl w:val="0"/>
          <w:numId w:val="4"/>
        </w:numPr>
        <w:ind w:hanging="720"/>
        <w:rPr>
          <w:lang w:val="es-ES_tradnl"/>
        </w:rPr>
      </w:pPr>
      <w:r w:rsidRPr="00181338">
        <w:rPr>
          <w:lang w:val="es-ES_tradnl"/>
        </w:rPr>
        <w:t>Marco jurídico del uso de técnicas moleculares en el examen DHE para la concesión de protección comunitaria a obtenciones vegetales</w:t>
      </w:r>
    </w:p>
    <w:p w:rsidR="008B171B" w:rsidRPr="008B171B" w:rsidRDefault="008B171B" w:rsidP="00046874">
      <w:pPr>
        <w:rPr>
          <w:lang w:val="es-ES_tradnl"/>
        </w:rPr>
      </w:pPr>
    </w:p>
    <w:p w:rsidR="008B171B" w:rsidRPr="008B171B" w:rsidRDefault="00181338" w:rsidP="004E4F71">
      <w:pPr>
        <w:rPr>
          <w:rFonts w:eastAsia="Cambria"/>
          <w:lang w:val="es-ES_tradnl"/>
        </w:rPr>
      </w:pPr>
      <w:r w:rsidRPr="00181338">
        <w:rPr>
          <w:rFonts w:eastAsia="Cambria"/>
          <w:lang w:val="es-ES_tradnl"/>
        </w:rPr>
        <w:t>El marco jurídico para la realización de exámenes DHE a efectos de la protección comunitaria de las obtenciones vegetales está compuesto por el Reglamento de base n.º 2100/94 de la OCVV y sus disposiciones de aplicación, los protocolos técnicos de la OCVV y los documentos de orientación aprobados por la UPOV.</w:t>
      </w:r>
    </w:p>
    <w:p w:rsidR="008B171B" w:rsidRPr="008B171B" w:rsidRDefault="008B171B" w:rsidP="00046874">
      <w:pPr>
        <w:rPr>
          <w:rFonts w:eastAsia="Cambria"/>
          <w:lang w:val="es-ES_tradnl"/>
        </w:rPr>
      </w:pPr>
    </w:p>
    <w:p w:rsidR="008B171B" w:rsidRPr="008B171B" w:rsidRDefault="00181338" w:rsidP="004E4F71">
      <w:pPr>
        <w:rPr>
          <w:rFonts w:eastAsia="Cambria"/>
          <w:lang w:val="es-ES_tradnl"/>
        </w:rPr>
      </w:pPr>
      <w:r w:rsidRPr="00DB634A">
        <w:rPr>
          <w:rFonts w:eastAsia="Cambria"/>
          <w:lang w:val="es-ES_tradnl"/>
        </w:rPr>
        <w:t xml:space="preserve">La OCVV no se encarga de la realización de exámenes DHE, si bien, como se establece en el artículo 55 del Reglamento de base, “dispondrá lo necesario para que se realice el examen técnico [...] </w:t>
      </w:r>
      <w:r w:rsidR="00046874" w:rsidRPr="00046874">
        <w:rPr>
          <w:rFonts w:eastAsia="Cambria"/>
          <w:lang w:val="es-ES_tradnl"/>
        </w:rPr>
        <w:t xml:space="preserve"> </w:t>
      </w:r>
      <w:r w:rsidR="00DB634A" w:rsidRPr="00DB634A">
        <w:rPr>
          <w:rFonts w:eastAsia="Cambria"/>
          <w:lang w:val="es-ES_tradnl"/>
        </w:rPr>
        <w:t>por la oficina u oficinas competentes [...] por lo menos en uno de los Estados miembros, facultadas por el consejo de administración para el examen técnico de variedades de las especies de que se trate”.</w:t>
      </w:r>
    </w:p>
    <w:p w:rsidR="008B171B" w:rsidRPr="008B171B" w:rsidRDefault="008B171B" w:rsidP="00046874">
      <w:pPr>
        <w:rPr>
          <w:rFonts w:eastAsia="Cambria"/>
          <w:lang w:val="es-ES_tradnl"/>
        </w:rPr>
      </w:pPr>
    </w:p>
    <w:p w:rsidR="008B171B" w:rsidRPr="008B171B" w:rsidRDefault="00DB634A" w:rsidP="004E4F71">
      <w:pPr>
        <w:rPr>
          <w:rFonts w:eastAsia="Cambria"/>
          <w:lang w:val="es-ES_tradnl"/>
        </w:rPr>
      </w:pPr>
      <w:r w:rsidRPr="00C87E88">
        <w:rPr>
          <w:rFonts w:eastAsia="Cambria"/>
          <w:lang w:val="es-ES_tradnl"/>
        </w:rPr>
        <w:t>Cuando se lleve a cabo un examen técnico, “[…] las Oficinas de examen cultivarán la variedad o emprenderán cualquier otra investigación que sea necesaria, a efectos del examen técnico” (artículo</w:t>
      </w:r>
      <w:r w:rsidR="00C87E88" w:rsidRPr="00C87E88">
        <w:rPr>
          <w:rFonts w:eastAsia="Cambria"/>
          <w:lang w:val="es-ES_tradnl"/>
        </w:rPr>
        <w:t> </w:t>
      </w:r>
      <w:r w:rsidRPr="00C87E88">
        <w:rPr>
          <w:rFonts w:eastAsia="Cambria"/>
          <w:lang w:val="es-ES_tradnl"/>
        </w:rPr>
        <w:t>56 del Reglamento de base).</w:t>
      </w:r>
      <w:r w:rsidR="00046874" w:rsidRPr="00046874">
        <w:rPr>
          <w:rFonts w:eastAsia="Cambria"/>
          <w:lang w:val="es-ES_tradnl"/>
        </w:rPr>
        <w:t xml:space="preserve"> </w:t>
      </w:r>
      <w:r w:rsidR="00C87E88" w:rsidRPr="003B5739">
        <w:rPr>
          <w:rFonts w:eastAsia="Cambria"/>
          <w:lang w:val="es-ES_tradnl"/>
        </w:rPr>
        <w:t>Por consiguiente, las oficinas encargadas del examen pueden utilizar técnicas moleculares en apoyo del examen DHE, siempre y cuando el examen técnico se efectúe de conformidad con las directrices de examen publicadas por el Consejo de Administración de la OCVV.</w:t>
      </w:r>
    </w:p>
    <w:p w:rsidR="008B171B" w:rsidRPr="008B171B" w:rsidRDefault="008B171B" w:rsidP="00046874">
      <w:pPr>
        <w:rPr>
          <w:rFonts w:eastAsia="Cambria"/>
          <w:lang w:val="es-ES_tradnl"/>
        </w:rPr>
      </w:pPr>
    </w:p>
    <w:p w:rsidR="008B171B" w:rsidRPr="008B171B" w:rsidRDefault="003B5739" w:rsidP="004E4F71">
      <w:pPr>
        <w:rPr>
          <w:rFonts w:eastAsia="Cambria"/>
          <w:lang w:val="es-ES_tradnl"/>
        </w:rPr>
      </w:pPr>
      <w:r w:rsidRPr="00863F09">
        <w:rPr>
          <w:rFonts w:eastAsia="Cambria"/>
          <w:lang w:val="es-ES_tradnl"/>
        </w:rPr>
        <w:t>Dado que tanto para la protección como para la inscripción de las variedades en la Unión Europea se aplican las mismas directrices, también se tienen en cuenta las directivas referentes al catálogo común (Directivas 2002/53/CE y 2002/55/CE del Consejo).</w:t>
      </w:r>
      <w:r w:rsidR="00046874" w:rsidRPr="00046874">
        <w:rPr>
          <w:rFonts w:eastAsia="Cambria"/>
          <w:lang w:val="es-ES_tradnl"/>
        </w:rPr>
        <w:t xml:space="preserve"> </w:t>
      </w:r>
      <w:r w:rsidR="00863F09" w:rsidRPr="00863F09">
        <w:rPr>
          <w:rFonts w:eastAsia="Cambria"/>
          <w:lang w:val="es-ES_tradnl"/>
        </w:rPr>
        <w:t>De conformidad con esas directivas, la admisión de las variedades será el resultado de exámenes oficiales, efectuados especialmente en cultivo y sobre un número suficiente de caracteres que permita describir la variedad.</w:t>
      </w:r>
      <w:r w:rsidR="00046874" w:rsidRPr="00046874">
        <w:rPr>
          <w:rFonts w:eastAsia="Cambria"/>
          <w:lang w:val="es-ES_tradnl"/>
        </w:rPr>
        <w:t xml:space="preserve"> </w:t>
      </w:r>
      <w:r w:rsidR="00863F09" w:rsidRPr="00863F09">
        <w:rPr>
          <w:rFonts w:eastAsia="Cambria"/>
          <w:lang w:val="es-ES_tradnl"/>
        </w:rPr>
        <w:t>Por consiguiente, las técnicas moleculares solo se podrán utilizar como complemento de los exámenes en cultivo.</w:t>
      </w:r>
    </w:p>
    <w:p w:rsidR="008B171B" w:rsidRPr="008B171B" w:rsidRDefault="008B171B" w:rsidP="00046874">
      <w:pPr>
        <w:rPr>
          <w:rFonts w:eastAsia="Cambria"/>
          <w:lang w:val="es-ES_tradnl"/>
        </w:rPr>
      </w:pPr>
    </w:p>
    <w:p w:rsidR="008B171B" w:rsidRPr="008B171B" w:rsidRDefault="00863F09" w:rsidP="004E4F71">
      <w:pPr>
        <w:rPr>
          <w:rFonts w:eastAsia="Cambria"/>
          <w:lang w:val="es-ES_tradnl"/>
        </w:rPr>
      </w:pPr>
      <w:r w:rsidRPr="00863F09">
        <w:rPr>
          <w:rFonts w:eastAsia="Cambria"/>
          <w:lang w:val="es-ES_tradnl"/>
        </w:rPr>
        <w:t>Como miembro de la UPOV, la OCVV respeta el marco acordado para el uso de técnicas moleculares en el examen DHE, establecido en los documentos UPOV/INF/18 (aprobado por el Consejo de la UPOV en 2011) y UPOV/TGP/15/3 (aprobado por el Consejo de la UPOV en 2020).</w:t>
      </w:r>
      <w:r w:rsidR="00046874" w:rsidRPr="00046874">
        <w:rPr>
          <w:rFonts w:eastAsia="Cambria"/>
          <w:lang w:val="es-ES_tradnl"/>
        </w:rPr>
        <w:t xml:space="preserve"> </w:t>
      </w:r>
      <w:r w:rsidRPr="00A517F7">
        <w:rPr>
          <w:rFonts w:eastAsia="Cambria"/>
          <w:lang w:val="es-ES_tradnl"/>
        </w:rPr>
        <w:t>Más concretamente, la OCVV respalda la utilización de instrumentos moleculares por su red de oficinas encargadas del examen, con arreglo a los modelos que hayan sido considerados conformes con el Convenio de la UPOV.</w:t>
      </w:r>
    </w:p>
    <w:p w:rsidR="008B171B" w:rsidRPr="008B171B" w:rsidRDefault="008B171B" w:rsidP="00046874">
      <w:pPr>
        <w:rPr>
          <w:rFonts w:eastAsia="Cambria"/>
          <w:lang w:val="es-ES_tradnl"/>
        </w:rPr>
      </w:pPr>
    </w:p>
    <w:p w:rsidR="008B171B" w:rsidRPr="008B171B" w:rsidRDefault="008B171B" w:rsidP="00046874">
      <w:pPr>
        <w:rPr>
          <w:rFonts w:eastAsia="Cambria"/>
          <w:lang w:val="es-ES_tradnl"/>
        </w:rPr>
      </w:pPr>
    </w:p>
    <w:p w:rsidR="008B171B" w:rsidRPr="008B171B" w:rsidRDefault="00A517F7" w:rsidP="00323747">
      <w:pPr>
        <w:pStyle w:val="ListParagraph"/>
        <w:keepNext/>
        <w:numPr>
          <w:ilvl w:val="0"/>
          <w:numId w:val="4"/>
        </w:numPr>
        <w:ind w:hanging="720"/>
        <w:rPr>
          <w:rFonts w:cs="Arial"/>
          <w:spacing w:val="-3"/>
          <w:kern w:val="32"/>
          <w:szCs w:val="32"/>
          <w:lang w:val="es-ES_tradnl"/>
        </w:rPr>
      </w:pPr>
      <w:bookmarkStart w:id="27" w:name="_Toc459988947"/>
      <w:bookmarkStart w:id="28" w:name="_Toc536804817"/>
      <w:r w:rsidRPr="00A517F7">
        <w:rPr>
          <w:rFonts w:cs="Arial"/>
          <w:spacing w:val="-3"/>
          <w:kern w:val="32"/>
          <w:szCs w:val="32"/>
          <w:lang w:val="es-ES_tradnl"/>
        </w:rPr>
        <w:t>Modelos admitidos por la OCVV y ejemplos de aplicación</w:t>
      </w:r>
    </w:p>
    <w:p w:rsidR="008B171B" w:rsidRPr="008B171B" w:rsidRDefault="008B171B" w:rsidP="00046874">
      <w:pPr>
        <w:rPr>
          <w:lang w:val="es-ES_tradnl"/>
        </w:rPr>
      </w:pPr>
    </w:p>
    <w:p w:rsidR="008B171B" w:rsidRPr="008B171B" w:rsidRDefault="00046874" w:rsidP="004E4F71">
      <w:pPr>
        <w:ind w:left="709" w:hanging="709"/>
        <w:rPr>
          <w:lang w:val="es-ES_tradnl"/>
        </w:rPr>
      </w:pPr>
      <w:r w:rsidRPr="00046874">
        <w:rPr>
          <w:lang w:val="es-ES_tradnl"/>
        </w:rPr>
        <w:lastRenderedPageBreak/>
        <w:t>2.1.</w:t>
      </w:r>
      <w:r w:rsidRPr="00046874">
        <w:rPr>
          <w:lang w:val="es-ES_tradnl"/>
        </w:rPr>
        <w:tab/>
      </w:r>
      <w:bookmarkEnd w:id="27"/>
      <w:bookmarkEnd w:id="28"/>
      <w:r w:rsidR="00A517F7" w:rsidRPr="00A517F7">
        <w:rPr>
          <w:lang w:val="es-ES_tradnl"/>
        </w:rPr>
        <w:t>Marcadores ligados a caracteres</w:t>
      </w:r>
    </w:p>
    <w:p w:rsidR="008B171B" w:rsidRPr="008B171B" w:rsidRDefault="008B171B" w:rsidP="00046874">
      <w:pPr>
        <w:rPr>
          <w:szCs w:val="32"/>
          <w:lang w:val="es-ES_tradnl"/>
        </w:rPr>
      </w:pPr>
    </w:p>
    <w:p w:rsidR="008B171B" w:rsidRPr="008B171B" w:rsidRDefault="00A517F7" w:rsidP="004E4F71">
      <w:pPr>
        <w:rPr>
          <w:rFonts w:eastAsia="Cambria"/>
          <w:lang w:val="es-ES_tradnl"/>
        </w:rPr>
      </w:pPr>
      <w:r w:rsidRPr="00A517F7">
        <w:rPr>
          <w:rFonts w:eastAsia="Cambria"/>
          <w:lang w:val="es-ES_tradnl"/>
        </w:rPr>
        <w:t>Si existe un vínculo claro, se pueden emplear marcadores moleculares como alternativa a la observación fenotípica, para predecir caracteres convencionales cuya evaluación resulte difícil o laboriosa.</w:t>
      </w:r>
      <w:r w:rsidR="00046874" w:rsidRPr="00046874">
        <w:rPr>
          <w:rFonts w:eastAsia="Cambria"/>
          <w:lang w:val="es-ES_tradnl"/>
        </w:rPr>
        <w:t xml:space="preserve"> </w:t>
      </w:r>
      <w:r w:rsidRPr="00A517F7">
        <w:rPr>
          <w:rFonts w:eastAsia="Cambria"/>
          <w:lang w:val="es-ES_tradnl"/>
        </w:rPr>
        <w:t>La correlación que se establezca entre dichos marcadores y el fenotipo puede ser total o parcial.</w:t>
      </w:r>
      <w:r w:rsidR="00046874" w:rsidRPr="00046874">
        <w:rPr>
          <w:rFonts w:eastAsia="Cambria"/>
          <w:lang w:val="es-ES_tradnl"/>
        </w:rPr>
        <w:t xml:space="preserve"> </w:t>
      </w:r>
      <w:r w:rsidRPr="00A517F7">
        <w:rPr>
          <w:rFonts w:eastAsia="Cambria"/>
          <w:lang w:val="es-ES_tradnl"/>
        </w:rPr>
        <w:t>Estos métodos se incluyen en los protocolos técnicos de la OCVV sobre la base de la evaluación/validación y las indicaciones de los grupos de expertos en cultivos de la OCVV.</w:t>
      </w:r>
    </w:p>
    <w:p w:rsidR="008B171B" w:rsidRPr="008B171B" w:rsidRDefault="008B171B" w:rsidP="00046874">
      <w:pPr>
        <w:rPr>
          <w:rFonts w:eastAsia="Cambria"/>
          <w:lang w:val="es-ES_tradnl"/>
        </w:rPr>
      </w:pPr>
    </w:p>
    <w:p w:rsidR="008B171B" w:rsidRPr="008B171B" w:rsidRDefault="00046874" w:rsidP="004E4F71">
      <w:pPr>
        <w:keepNext/>
        <w:tabs>
          <w:tab w:val="left" w:pos="720"/>
        </w:tabs>
        <w:rPr>
          <w:rFonts w:eastAsia="Cambria"/>
          <w:lang w:val="es-ES_tradnl"/>
        </w:rPr>
      </w:pPr>
      <w:r w:rsidRPr="00046874">
        <w:rPr>
          <w:rFonts w:eastAsia="Cambria"/>
          <w:lang w:val="es-ES_tradnl"/>
        </w:rPr>
        <w:t>2.1.1.</w:t>
      </w:r>
      <w:r w:rsidRPr="00046874">
        <w:rPr>
          <w:rFonts w:eastAsia="Cambria"/>
          <w:lang w:val="es-ES_tradnl"/>
        </w:rPr>
        <w:tab/>
      </w:r>
      <w:r w:rsidR="00A517F7" w:rsidRPr="00A517F7">
        <w:rPr>
          <w:rFonts w:eastAsia="Cambria"/>
          <w:lang w:val="es-ES_tradnl"/>
        </w:rPr>
        <w:t>Marcadores que guardan una correlación del 100% con un determinado nivel de expresión del carácter</w:t>
      </w:r>
    </w:p>
    <w:p w:rsidR="008B171B" w:rsidRPr="008B171B" w:rsidRDefault="008B171B" w:rsidP="00046874">
      <w:pPr>
        <w:rPr>
          <w:rFonts w:eastAsia="Cambria"/>
          <w:lang w:val="es-ES_tradnl"/>
        </w:rPr>
      </w:pPr>
    </w:p>
    <w:p w:rsidR="008B171B" w:rsidRPr="008B171B" w:rsidRDefault="00A517F7" w:rsidP="004E4F71">
      <w:pPr>
        <w:rPr>
          <w:rFonts w:eastAsia="Cambria"/>
          <w:lang w:val="es-ES_tradnl"/>
        </w:rPr>
      </w:pPr>
      <w:r w:rsidRPr="00A517F7">
        <w:rPr>
          <w:rFonts w:eastAsia="Cambria"/>
          <w:lang w:val="es-ES_tradnl"/>
        </w:rPr>
        <w:t>En ese caso, el marcador puede reemplazar a la observación fenotípica.</w:t>
      </w:r>
    </w:p>
    <w:p w:rsidR="008B171B" w:rsidRPr="008B171B" w:rsidRDefault="008B171B" w:rsidP="00046874">
      <w:pPr>
        <w:rPr>
          <w:rFonts w:eastAsia="Cambria"/>
          <w:lang w:val="es-ES_tradnl"/>
        </w:rPr>
      </w:pPr>
    </w:p>
    <w:p w:rsidR="008B171B" w:rsidRPr="008B171B" w:rsidRDefault="00A517F7" w:rsidP="004E4F71">
      <w:pPr>
        <w:rPr>
          <w:rFonts w:eastAsia="Cambria"/>
          <w:lang w:val="es-ES_tradnl"/>
        </w:rPr>
      </w:pPr>
      <w:r w:rsidRPr="00A517F7">
        <w:rPr>
          <w:rFonts w:eastAsia="Cambria"/>
          <w:lang w:val="es-ES_tradnl"/>
        </w:rPr>
        <w:t>Ejemplos de tales caracteres:</w:t>
      </w:r>
    </w:p>
    <w:p w:rsidR="008B171B" w:rsidRPr="008B171B" w:rsidRDefault="00046874" w:rsidP="004E4F71">
      <w:pPr>
        <w:ind w:left="567"/>
        <w:rPr>
          <w:rFonts w:eastAsia="Cambria"/>
          <w:lang w:val="es-ES_tradnl"/>
        </w:rPr>
      </w:pPr>
      <w:r w:rsidRPr="00046874">
        <w:rPr>
          <w:rFonts w:eastAsia="Cambria"/>
          <w:lang w:val="es-ES_tradnl"/>
        </w:rPr>
        <w:t xml:space="preserve">- </w:t>
      </w:r>
      <w:r w:rsidR="00A517F7" w:rsidRPr="00A517F7">
        <w:rPr>
          <w:rFonts w:eastAsia="Cambria"/>
          <w:lang w:val="es-ES_tradnl"/>
        </w:rPr>
        <w:t xml:space="preserve">resistencia a enfermedades mono- u oligogénicas (por ejemplo, enfermedades de plantas hortícolas, resistencia al nematodo </w:t>
      </w:r>
      <w:r w:rsidR="00A517F7" w:rsidRPr="00A517F7">
        <w:rPr>
          <w:rFonts w:eastAsia="Cambria"/>
          <w:i/>
          <w:iCs/>
          <w:lang w:val="es-ES_tradnl"/>
        </w:rPr>
        <w:t xml:space="preserve">Heterodera schachtii </w:t>
      </w:r>
      <w:r w:rsidR="00A517F7" w:rsidRPr="00A517F7">
        <w:rPr>
          <w:rFonts w:eastAsia="Cambria"/>
          <w:lang w:val="es-ES_tradnl"/>
        </w:rPr>
        <w:t>en la remolacha azucarera);</w:t>
      </w:r>
    </w:p>
    <w:p w:rsidR="008B171B" w:rsidRPr="008B171B" w:rsidRDefault="00046874" w:rsidP="004E4F71">
      <w:pPr>
        <w:ind w:left="567"/>
        <w:rPr>
          <w:rFonts w:eastAsia="Cambria"/>
          <w:lang w:val="es-ES_tradnl"/>
        </w:rPr>
      </w:pPr>
      <w:r w:rsidRPr="00046874">
        <w:rPr>
          <w:rFonts w:eastAsia="Cambria"/>
          <w:lang w:val="es-ES_tradnl"/>
        </w:rPr>
        <w:t xml:space="preserve">- </w:t>
      </w:r>
      <w:r w:rsidR="00A517F7" w:rsidRPr="00A517F7">
        <w:rPr>
          <w:rFonts w:eastAsia="Cambria"/>
          <w:lang w:val="es-ES_tradnl"/>
        </w:rPr>
        <w:t>androesterilidad citoplasmática en coles;</w:t>
      </w:r>
    </w:p>
    <w:p w:rsidR="008B171B" w:rsidRPr="008B171B" w:rsidRDefault="00046874" w:rsidP="004E4F71">
      <w:pPr>
        <w:ind w:left="567"/>
        <w:rPr>
          <w:rFonts w:eastAsia="Cambria"/>
          <w:lang w:val="es-ES_tradnl"/>
        </w:rPr>
      </w:pPr>
      <w:r w:rsidRPr="00046874">
        <w:rPr>
          <w:rFonts w:eastAsia="Cambria"/>
          <w:lang w:val="es-ES_tradnl"/>
        </w:rPr>
        <w:t xml:space="preserve">- </w:t>
      </w:r>
      <w:r w:rsidR="00A517F7" w:rsidRPr="00A517F7">
        <w:rPr>
          <w:rFonts w:eastAsia="Cambria"/>
          <w:lang w:val="es-ES_tradnl"/>
        </w:rPr>
        <w:t>herbicidas (por ejemplo, el girasol, la colza).</w:t>
      </w:r>
    </w:p>
    <w:p w:rsidR="008B171B" w:rsidRPr="008B171B" w:rsidRDefault="008B171B" w:rsidP="00046874">
      <w:pPr>
        <w:rPr>
          <w:rFonts w:eastAsia="Cambria"/>
          <w:lang w:val="es-ES_tradnl"/>
        </w:rPr>
      </w:pPr>
    </w:p>
    <w:p w:rsidR="008B171B" w:rsidRPr="008B171B" w:rsidRDefault="00A517F7" w:rsidP="004E4F71">
      <w:pPr>
        <w:rPr>
          <w:rFonts w:eastAsia="Cambria"/>
          <w:lang w:val="es-ES_tradnl"/>
        </w:rPr>
      </w:pPr>
      <w:r w:rsidRPr="00A517F7">
        <w:rPr>
          <w:rFonts w:eastAsia="Cambria"/>
          <w:lang w:val="es-ES_tradnl"/>
        </w:rPr>
        <w:t>Por el momento, ninguno de estos marcadores ha sido incluido en los protocolos técnicos de la OCVV.</w:t>
      </w:r>
    </w:p>
    <w:p w:rsidR="008B171B" w:rsidRPr="008B171B" w:rsidRDefault="008B171B" w:rsidP="00046874">
      <w:pPr>
        <w:rPr>
          <w:rFonts w:eastAsia="Cambria"/>
          <w:lang w:val="es-ES_tradnl"/>
        </w:rPr>
      </w:pPr>
    </w:p>
    <w:p w:rsidR="008B171B" w:rsidRPr="008B171B" w:rsidRDefault="00046874" w:rsidP="004E4F71">
      <w:pPr>
        <w:tabs>
          <w:tab w:val="left" w:pos="720"/>
        </w:tabs>
        <w:rPr>
          <w:rFonts w:eastAsia="Cambria"/>
          <w:lang w:val="es-ES_tradnl"/>
        </w:rPr>
      </w:pPr>
      <w:r w:rsidRPr="00046874">
        <w:rPr>
          <w:rFonts w:eastAsia="Cambria"/>
          <w:lang w:val="es-ES_tradnl"/>
        </w:rPr>
        <w:t>2.1.2.</w:t>
      </w:r>
      <w:r w:rsidRPr="00046874">
        <w:rPr>
          <w:rFonts w:eastAsia="Cambria"/>
          <w:lang w:val="es-ES_tradnl"/>
        </w:rPr>
        <w:tab/>
      </w:r>
      <w:r w:rsidR="00A517F7" w:rsidRPr="00DE0A9D">
        <w:rPr>
          <w:rFonts w:eastAsia="Cambria"/>
          <w:lang w:val="es-ES_tradnl"/>
        </w:rPr>
        <w:t>Marcadores que aportan información incompleta sobre el nivel de expresión del carácter</w:t>
      </w:r>
    </w:p>
    <w:p w:rsidR="008B171B" w:rsidRPr="008B171B" w:rsidRDefault="008B171B" w:rsidP="00046874">
      <w:pPr>
        <w:rPr>
          <w:rFonts w:eastAsia="Cambria"/>
          <w:lang w:val="es-ES_tradnl"/>
        </w:rPr>
      </w:pPr>
    </w:p>
    <w:p w:rsidR="008B171B" w:rsidRPr="008B171B" w:rsidRDefault="00DE0A9D" w:rsidP="004E4F71">
      <w:pPr>
        <w:rPr>
          <w:rFonts w:eastAsia="Cambria"/>
          <w:lang w:val="es-ES_tradnl"/>
        </w:rPr>
      </w:pPr>
      <w:r w:rsidRPr="00DE0A9D">
        <w:rPr>
          <w:rFonts w:eastAsia="Cambria"/>
          <w:lang w:val="es-ES_tradnl"/>
        </w:rPr>
        <w:t>En ese caso, el marcador está solo parcialmente ligado al carácter y aporta información incompleta sobre su nivel de expresión.</w:t>
      </w:r>
      <w:r w:rsidR="00046874" w:rsidRPr="00046874">
        <w:rPr>
          <w:rFonts w:eastAsia="Cambria"/>
          <w:lang w:val="es-ES_tradnl"/>
        </w:rPr>
        <w:t xml:space="preserve"> </w:t>
      </w:r>
      <w:r w:rsidRPr="00DE0A9D">
        <w:rPr>
          <w:rFonts w:eastAsia="Cambria"/>
          <w:lang w:val="es-ES_tradnl"/>
        </w:rPr>
        <w:t>Su uso ha de describirse en un sistema de evaluación en el que se detallen las situaciones en que puede utilizarse y cuándo debe complementarse con la observación fenotípica.</w:t>
      </w:r>
    </w:p>
    <w:p w:rsidR="008B171B" w:rsidRPr="008B171B" w:rsidRDefault="008B171B" w:rsidP="00046874">
      <w:pPr>
        <w:rPr>
          <w:rFonts w:eastAsia="Cambria"/>
          <w:lang w:val="es-ES_tradnl"/>
        </w:rPr>
      </w:pPr>
    </w:p>
    <w:p w:rsidR="008B171B" w:rsidRPr="008B171B" w:rsidRDefault="00DE0A9D" w:rsidP="004E4F71">
      <w:pPr>
        <w:rPr>
          <w:rFonts w:eastAsia="Cambria"/>
          <w:lang w:val="es-ES_tradnl"/>
        </w:rPr>
      </w:pPr>
      <w:r w:rsidRPr="00DE0A9D">
        <w:rPr>
          <w:rFonts w:eastAsia="Cambria"/>
          <w:lang w:val="es-ES_tradnl"/>
        </w:rPr>
        <w:t>Ejemplos de tales caracteres:</w:t>
      </w:r>
      <w:r w:rsidR="00046874" w:rsidRPr="00046874">
        <w:rPr>
          <w:rFonts w:eastAsia="Cambria"/>
          <w:lang w:val="es-ES_tradnl"/>
        </w:rPr>
        <w:t xml:space="preserve"> </w:t>
      </w:r>
      <w:r w:rsidRPr="00DE0A9D">
        <w:rPr>
          <w:rFonts w:eastAsia="Cambria"/>
          <w:lang w:val="es-ES_tradnl"/>
        </w:rPr>
        <w:t>resistencia cuantitativa a enfermedades en plantas hortícolas, por ejemplo:</w:t>
      </w:r>
    </w:p>
    <w:p w:rsidR="008B171B" w:rsidRPr="008B171B" w:rsidRDefault="00046874" w:rsidP="004E4F71">
      <w:pPr>
        <w:ind w:left="567"/>
        <w:rPr>
          <w:rFonts w:eastAsia="Cambria"/>
          <w:lang w:val="es-ES_tradnl"/>
        </w:rPr>
      </w:pPr>
      <w:r w:rsidRPr="00046874">
        <w:rPr>
          <w:rFonts w:eastAsia="Cambria"/>
          <w:lang w:val="es-ES_tradnl"/>
        </w:rPr>
        <w:t xml:space="preserve">- </w:t>
      </w:r>
      <w:r w:rsidR="00DE0A9D" w:rsidRPr="00DE0A9D">
        <w:rPr>
          <w:rFonts w:eastAsia="Cambria"/>
          <w:lang w:val="es-ES_tradnl"/>
        </w:rPr>
        <w:t>el virus del mosaico del tomate (ToMV);</w:t>
      </w:r>
    </w:p>
    <w:p w:rsidR="008B171B" w:rsidRPr="008B171B" w:rsidRDefault="00046874" w:rsidP="004E4F71">
      <w:pPr>
        <w:ind w:left="567"/>
        <w:rPr>
          <w:rFonts w:eastAsia="Cambria"/>
          <w:lang w:val="es-ES_tradnl"/>
        </w:rPr>
      </w:pPr>
      <w:r w:rsidRPr="00046874">
        <w:rPr>
          <w:rFonts w:eastAsia="Cambria"/>
          <w:lang w:val="es-ES_tradnl"/>
        </w:rPr>
        <w:t xml:space="preserve">- </w:t>
      </w:r>
      <w:r w:rsidR="00DE0A9D" w:rsidRPr="00DE0A9D">
        <w:rPr>
          <w:rFonts w:eastAsia="Cambria"/>
          <w:lang w:val="es-ES_tradnl"/>
        </w:rPr>
        <w:t>el virus del bronceado del tomate (TSWV).</w:t>
      </w:r>
    </w:p>
    <w:p w:rsidR="008B171B" w:rsidRPr="008B171B" w:rsidRDefault="008B171B" w:rsidP="00046874">
      <w:pPr>
        <w:rPr>
          <w:rFonts w:eastAsia="Cambria"/>
          <w:lang w:val="es-ES_tradnl"/>
        </w:rPr>
      </w:pPr>
    </w:p>
    <w:p w:rsidR="008B171B" w:rsidRPr="008B171B" w:rsidRDefault="00DE0A9D" w:rsidP="004E4F71">
      <w:pPr>
        <w:rPr>
          <w:rFonts w:eastAsia="Cambria"/>
          <w:lang w:val="es-ES_tradnl"/>
        </w:rPr>
      </w:pPr>
      <w:r w:rsidRPr="00DE0A9D">
        <w:rPr>
          <w:rFonts w:eastAsia="Cambria"/>
          <w:lang w:val="es-ES_tradnl"/>
        </w:rPr>
        <w:t>En los protocolos técnicos de la OCVV para el tomate (4.4-2) y el portainjertos de tomate (1.4) se han incluido los dos conjuntos de marcadores codominantes desarrollados para estos dos virus del tomate como posible alternativa a los bioensayos en determinados casos.</w:t>
      </w:r>
    </w:p>
    <w:p w:rsidR="008B171B" w:rsidRPr="008B171B" w:rsidRDefault="008B171B" w:rsidP="00046874">
      <w:pPr>
        <w:rPr>
          <w:lang w:val="es-ES_tradnl"/>
        </w:rPr>
      </w:pPr>
    </w:p>
    <w:p w:rsidR="008B171B" w:rsidRPr="008B171B" w:rsidRDefault="008B171B" w:rsidP="00046874">
      <w:pPr>
        <w:rPr>
          <w:lang w:val="es-ES_tradnl"/>
        </w:rPr>
      </w:pPr>
    </w:p>
    <w:p w:rsidR="008B171B" w:rsidRPr="008B171B" w:rsidRDefault="00046874" w:rsidP="004E4F71">
      <w:pPr>
        <w:tabs>
          <w:tab w:val="left" w:pos="720"/>
        </w:tabs>
        <w:rPr>
          <w:lang w:val="es-ES_tradnl"/>
        </w:rPr>
      </w:pPr>
      <w:r w:rsidRPr="00046874">
        <w:rPr>
          <w:lang w:val="es-ES_tradnl"/>
        </w:rPr>
        <w:t>2.2.</w:t>
      </w:r>
      <w:r w:rsidRPr="00046874">
        <w:rPr>
          <w:lang w:val="es-ES_tradnl"/>
        </w:rPr>
        <w:tab/>
      </w:r>
      <w:r w:rsidR="00DE0A9D" w:rsidRPr="00DE0A9D">
        <w:rPr>
          <w:lang w:val="es-ES_tradnl"/>
        </w:rPr>
        <w:t>Gestión de las colecciones de variedades</w:t>
      </w:r>
    </w:p>
    <w:p w:rsidR="008B171B" w:rsidRPr="008B171B" w:rsidRDefault="008B171B" w:rsidP="00046874">
      <w:pPr>
        <w:rPr>
          <w:lang w:val="es-ES_tradnl"/>
        </w:rPr>
      </w:pPr>
    </w:p>
    <w:p w:rsidR="008B171B" w:rsidRPr="008B171B" w:rsidRDefault="00046874" w:rsidP="004E4F71">
      <w:pPr>
        <w:tabs>
          <w:tab w:val="left" w:pos="720"/>
        </w:tabs>
        <w:rPr>
          <w:rFonts w:eastAsia="Cambria"/>
          <w:lang w:val="es-ES_tradnl"/>
        </w:rPr>
      </w:pPr>
      <w:bookmarkStart w:id="29" w:name="_Toc459988949"/>
      <w:bookmarkStart w:id="30" w:name="_Toc536804819"/>
      <w:r w:rsidRPr="00046874">
        <w:rPr>
          <w:rFonts w:eastAsia="Cambria"/>
          <w:lang w:val="es-ES_tradnl"/>
        </w:rPr>
        <w:t>2.2.1.</w:t>
      </w:r>
      <w:r w:rsidRPr="00046874">
        <w:rPr>
          <w:rFonts w:eastAsia="Cambria"/>
          <w:lang w:val="es-ES_tradnl"/>
        </w:rPr>
        <w:tab/>
      </w:r>
      <w:bookmarkEnd w:id="29"/>
      <w:bookmarkEnd w:id="30"/>
      <w:r w:rsidR="00DE0A9D" w:rsidRPr="00DE0A9D">
        <w:rPr>
          <w:rFonts w:eastAsia="Cambria"/>
          <w:lang w:val="es-ES_tradnl"/>
        </w:rPr>
        <w:t>Combinación de umbrales moleculares y fenotípicos para excluir variedades con “distinción calificada” a partir del segundo ensayo en cultivo</w:t>
      </w:r>
    </w:p>
    <w:p w:rsidR="008B171B" w:rsidRPr="008B171B" w:rsidRDefault="008B171B" w:rsidP="00046874">
      <w:pPr>
        <w:rPr>
          <w:rFonts w:eastAsia="Cambria"/>
          <w:lang w:val="es-ES_tradnl"/>
        </w:rPr>
      </w:pPr>
    </w:p>
    <w:p w:rsidR="008B171B" w:rsidRPr="008B171B" w:rsidRDefault="00DE0A9D" w:rsidP="004E4F71">
      <w:pPr>
        <w:rPr>
          <w:rFonts w:eastAsia="Cambria"/>
          <w:lang w:val="es-ES_tradnl"/>
        </w:rPr>
      </w:pPr>
      <w:r w:rsidRPr="00DE0A9D">
        <w:rPr>
          <w:rFonts w:eastAsia="Cambria"/>
          <w:lang w:val="es-ES_tradnl"/>
        </w:rPr>
        <w:t>En este modelo, se establecen dos umbrales independientes para seleccionar las variedades similares que se incluirán en el ensayo en cultivo.</w:t>
      </w:r>
      <w:r w:rsidR="00046874" w:rsidRPr="00046874">
        <w:rPr>
          <w:rFonts w:eastAsia="Cambria"/>
          <w:lang w:val="es-ES_tradnl"/>
        </w:rPr>
        <w:t xml:space="preserve"> </w:t>
      </w:r>
      <w:r w:rsidRPr="00DE0A9D">
        <w:rPr>
          <w:rFonts w:eastAsia="Cambria"/>
          <w:lang w:val="es-ES_tradnl"/>
        </w:rPr>
        <w:t>El primer umbral se basa en la información de los caracteres morfológicos y el segundo se basa en la distancia genética calculada a partir de un conjunto de marcadores distribuidos por todo el genoma.</w:t>
      </w:r>
      <w:r w:rsidR="00046874" w:rsidRPr="00046874">
        <w:rPr>
          <w:rFonts w:eastAsia="Cambria"/>
          <w:lang w:val="es-ES_tradnl"/>
        </w:rPr>
        <w:t xml:space="preserve"> </w:t>
      </w:r>
      <w:r w:rsidRPr="00DE0A9D">
        <w:rPr>
          <w:rFonts w:eastAsia="Cambria"/>
          <w:lang w:val="es-ES_tradnl"/>
        </w:rPr>
        <w:t>Salvo si se trata de variedades muy similares desde el punto de vista morfológico, no es necesario incluir en el ensayo en cultivo aquellas variedades de referencia que superen los dos umbrales (se consideran variedades con distinción “calificada” (o “plus”)).</w:t>
      </w:r>
    </w:p>
    <w:p w:rsidR="008B171B" w:rsidRPr="008B171B" w:rsidRDefault="008B171B" w:rsidP="00046874">
      <w:pPr>
        <w:rPr>
          <w:rFonts w:eastAsia="Cambria"/>
          <w:lang w:val="es-ES_tradnl"/>
        </w:rPr>
      </w:pPr>
    </w:p>
    <w:p w:rsidR="008B171B" w:rsidRPr="008B171B" w:rsidRDefault="00DE0A9D" w:rsidP="004E4F71">
      <w:pPr>
        <w:rPr>
          <w:rFonts w:eastAsia="Cambria"/>
          <w:lang w:val="es-ES_tradnl"/>
        </w:rPr>
      </w:pPr>
      <w:r w:rsidRPr="00DE0A9D">
        <w:rPr>
          <w:rFonts w:eastAsia="Cambria"/>
          <w:lang w:val="es-ES_tradnl"/>
        </w:rPr>
        <w:t>Algunas oficinas encargadas del examen aplican sistemáticamente este modelo con especies como el maíz, la lechuga, el trigo y la cebada, y actualmente se está ensayando con la colza oleaginosa en proyectos de I+D cofinanciados por la OCVV.</w:t>
      </w:r>
    </w:p>
    <w:p w:rsidR="008B171B" w:rsidRPr="008B171B" w:rsidRDefault="008B171B" w:rsidP="00046874">
      <w:pPr>
        <w:rPr>
          <w:rFonts w:eastAsia="Cambria"/>
          <w:lang w:val="es-ES_tradnl"/>
        </w:rPr>
      </w:pPr>
      <w:bookmarkStart w:id="31" w:name="_Toc459988950"/>
      <w:bookmarkStart w:id="32" w:name="_Toc536804820"/>
    </w:p>
    <w:p w:rsidR="008B171B" w:rsidRPr="008B171B" w:rsidRDefault="00046874" w:rsidP="004E4F71">
      <w:pPr>
        <w:tabs>
          <w:tab w:val="left" w:pos="720"/>
        </w:tabs>
        <w:rPr>
          <w:rFonts w:eastAsia="Cambria"/>
          <w:lang w:val="es-ES_tradnl"/>
        </w:rPr>
      </w:pPr>
      <w:r w:rsidRPr="00046874">
        <w:rPr>
          <w:rFonts w:eastAsia="Cambria"/>
          <w:lang w:val="es-ES_tradnl"/>
        </w:rPr>
        <w:t>2.2.2.</w:t>
      </w:r>
      <w:r w:rsidRPr="00046874">
        <w:rPr>
          <w:rFonts w:eastAsia="Cambria"/>
          <w:lang w:val="es-ES_tradnl"/>
        </w:rPr>
        <w:tab/>
      </w:r>
      <w:bookmarkEnd w:id="31"/>
      <w:bookmarkEnd w:id="32"/>
      <w:r w:rsidR="00DE0A9D" w:rsidRPr="00DE0A9D">
        <w:rPr>
          <w:rFonts w:eastAsia="Cambria"/>
          <w:lang w:val="es-ES_tradnl"/>
        </w:rPr>
        <w:t>Selección genética de variedades similares para el primer ciclo de cultivo</w:t>
      </w:r>
    </w:p>
    <w:p w:rsidR="008B171B" w:rsidRPr="008B171B" w:rsidRDefault="008B171B" w:rsidP="00046874">
      <w:pPr>
        <w:rPr>
          <w:rFonts w:eastAsia="Cambria"/>
          <w:lang w:val="es-ES_tradnl"/>
        </w:rPr>
      </w:pPr>
    </w:p>
    <w:p w:rsidR="008B171B" w:rsidRPr="008B171B" w:rsidRDefault="00DE0A9D" w:rsidP="004E4F71">
      <w:pPr>
        <w:rPr>
          <w:rFonts w:eastAsia="Cambria"/>
          <w:lang w:val="es-ES_tradnl"/>
        </w:rPr>
      </w:pPr>
      <w:r w:rsidRPr="00DE0A9D">
        <w:rPr>
          <w:rFonts w:eastAsia="Cambria"/>
          <w:lang w:val="es-ES_tradnl"/>
        </w:rPr>
        <w:t>Se determina el genotipo de la variedad candidata a partir de un conjunto predefinido de marcadores y se compara su perfil con el de las variedades de la colección de referencia.</w:t>
      </w:r>
      <w:r w:rsidR="00046874" w:rsidRPr="00046874">
        <w:rPr>
          <w:rFonts w:eastAsia="Cambria"/>
          <w:lang w:val="es-ES_tradnl"/>
        </w:rPr>
        <w:t xml:space="preserve"> </w:t>
      </w:r>
      <w:r w:rsidRPr="00DE0A9D">
        <w:rPr>
          <w:rFonts w:eastAsia="Cambria"/>
          <w:lang w:val="es-ES_tradnl"/>
        </w:rPr>
        <w:t>En el primer ciclo de cultivo se incluyen todas las variedades de referencia que presenten respecto de la variedad candidata una similitud genética superior a un porcentaje determinado (por ejemplo, 80%) y todas las demás se excluyen.</w:t>
      </w:r>
    </w:p>
    <w:p w:rsidR="008B171B" w:rsidRPr="008B171B" w:rsidRDefault="008B171B" w:rsidP="00046874">
      <w:pPr>
        <w:rPr>
          <w:rFonts w:eastAsia="Cambria"/>
          <w:lang w:val="es-ES_tradnl"/>
        </w:rPr>
      </w:pPr>
    </w:p>
    <w:p w:rsidR="008B171B" w:rsidRPr="008B171B" w:rsidRDefault="00DE0A9D" w:rsidP="004E4F71">
      <w:pPr>
        <w:rPr>
          <w:rFonts w:eastAsia="Cambria"/>
          <w:lang w:val="es-ES_tradnl"/>
        </w:rPr>
      </w:pPr>
      <w:r w:rsidRPr="00DE0A9D">
        <w:rPr>
          <w:rFonts w:eastAsia="Cambria"/>
          <w:lang w:val="es-ES_tradnl"/>
        </w:rPr>
        <w:t>En el primer ciclo se evalúa la homogeneidad de la variedad candidata y se describe esta desde el punto de vista morfológico conforme al protocolo técnico.</w:t>
      </w:r>
      <w:r w:rsidR="00046874" w:rsidRPr="00046874">
        <w:rPr>
          <w:rFonts w:eastAsia="Cambria"/>
          <w:lang w:val="es-ES_tradnl"/>
        </w:rPr>
        <w:t xml:space="preserve"> </w:t>
      </w:r>
      <w:r w:rsidRPr="00DE0A9D">
        <w:rPr>
          <w:rFonts w:eastAsia="Cambria"/>
          <w:lang w:val="es-ES_tradnl"/>
        </w:rPr>
        <w:t>A continuación, por medios informáticos, se compara su descripción morfológica con las descripciones de todas las variedades de referencia.</w:t>
      </w:r>
    </w:p>
    <w:p w:rsidR="008B171B" w:rsidRPr="008B171B" w:rsidRDefault="008B171B" w:rsidP="00046874">
      <w:pPr>
        <w:rPr>
          <w:rFonts w:eastAsia="Cambria"/>
          <w:lang w:val="es-ES_tradnl"/>
        </w:rPr>
      </w:pPr>
    </w:p>
    <w:p w:rsidR="008B171B" w:rsidRPr="008B171B" w:rsidRDefault="00DE0A9D" w:rsidP="004E4F71">
      <w:pPr>
        <w:rPr>
          <w:rFonts w:eastAsia="Cambria"/>
          <w:i/>
          <w:sz w:val="16"/>
          <w:lang w:val="es-ES_tradnl"/>
        </w:rPr>
      </w:pPr>
      <w:r w:rsidRPr="00DE0A9D">
        <w:rPr>
          <w:rFonts w:eastAsia="Cambria"/>
          <w:i/>
          <w:sz w:val="16"/>
          <w:lang w:val="es-ES_tradnl"/>
        </w:rPr>
        <w:lastRenderedPageBreak/>
        <w:t>Observación:</w:t>
      </w:r>
      <w:r w:rsidR="00046874" w:rsidRPr="00046874">
        <w:rPr>
          <w:rFonts w:eastAsia="Cambria"/>
          <w:i/>
          <w:sz w:val="16"/>
          <w:lang w:val="es-ES_tradnl"/>
        </w:rPr>
        <w:t xml:space="preserve"> </w:t>
      </w:r>
      <w:r w:rsidRPr="00DE0A9D">
        <w:rPr>
          <w:rFonts w:eastAsia="Cambria"/>
          <w:i/>
          <w:sz w:val="16"/>
          <w:lang w:val="es-ES_tradnl"/>
        </w:rPr>
        <w:t>las descripciones morfológicas de las variedades de referencia utilizadas para la comparación informática deberán basarse en las observaciones realizadas por la oficina de examen (descripciones de variedades de elaboración propia).</w:t>
      </w:r>
      <w:r w:rsidR="00046874" w:rsidRPr="00046874">
        <w:rPr>
          <w:rFonts w:eastAsia="Cambria"/>
          <w:i/>
          <w:sz w:val="16"/>
          <w:lang w:val="es-ES_tradnl"/>
        </w:rPr>
        <w:t xml:space="preserve"> </w:t>
      </w:r>
      <w:r w:rsidRPr="00814B77">
        <w:rPr>
          <w:rFonts w:eastAsia="Cambria"/>
          <w:i/>
          <w:sz w:val="16"/>
          <w:lang w:val="es-ES_tradnl"/>
        </w:rPr>
        <w:t>Si las descripciones de variedades no son de elaboración propia, solo se podrán utilizar si se han armonizado (por ejemplo, mediante pruebas de comparación (</w:t>
      </w:r>
      <w:r w:rsidRPr="00B85DC9">
        <w:rPr>
          <w:rFonts w:eastAsia="Cambria"/>
          <w:iCs/>
          <w:sz w:val="16"/>
          <w:lang w:val="es-ES"/>
        </w:rPr>
        <w:t>ring tests</w:t>
      </w:r>
      <w:r w:rsidRPr="00814B77">
        <w:rPr>
          <w:rFonts w:eastAsia="Cambria"/>
          <w:i/>
          <w:sz w:val="16"/>
          <w:lang w:val="es-ES_tradnl"/>
        </w:rPr>
        <w:t>)) las escalas de notación de las oficinas de examen que hayan generado las descripciones y las de las oficinas que las utilicen.</w:t>
      </w:r>
    </w:p>
    <w:p w:rsidR="008B171B" w:rsidRPr="008B171B" w:rsidRDefault="008B171B" w:rsidP="00046874">
      <w:pPr>
        <w:rPr>
          <w:rFonts w:eastAsia="Cambria"/>
          <w:lang w:val="es-ES_tradnl"/>
        </w:rPr>
      </w:pPr>
    </w:p>
    <w:p w:rsidR="008B171B" w:rsidRPr="008B171B" w:rsidRDefault="00814B77" w:rsidP="004E4F71">
      <w:pPr>
        <w:rPr>
          <w:rFonts w:eastAsia="Cambria"/>
          <w:lang w:val="es-ES_tradnl"/>
        </w:rPr>
      </w:pPr>
      <w:r w:rsidRPr="00814B77">
        <w:rPr>
          <w:rFonts w:eastAsia="Cambria"/>
          <w:lang w:val="es-ES_tradnl"/>
        </w:rPr>
        <w:t>Las variedades de referencia que resulten similares desde el punto de vista morfológico a la variedad candidata se incluirán en un segundo ensayo en cultivo para su comparación.</w:t>
      </w:r>
      <w:r w:rsidR="00046874" w:rsidRPr="00046874">
        <w:rPr>
          <w:rFonts w:eastAsia="Cambria"/>
          <w:lang w:val="es-ES_tradnl"/>
        </w:rPr>
        <w:t xml:space="preserve"> </w:t>
      </w:r>
      <w:r w:rsidRPr="00814B77">
        <w:rPr>
          <w:rFonts w:eastAsia="Cambria"/>
          <w:lang w:val="es-ES_tradnl"/>
        </w:rPr>
        <w:t>Si la variedad es claramente distinta de las variedades similares en el primer ciclo de cultivo y después de este no se detectan variedades similares con arreglo a la descripción de la variedad, se puede adoptar una decisión favorable respecto de la distinción tras un solo ciclo de cultivo.</w:t>
      </w:r>
    </w:p>
    <w:p w:rsidR="008B171B" w:rsidRPr="008B171B" w:rsidRDefault="008B171B" w:rsidP="00046874">
      <w:pPr>
        <w:rPr>
          <w:rFonts w:eastAsia="Cambria"/>
          <w:lang w:val="es-ES_tradnl"/>
        </w:rPr>
      </w:pPr>
    </w:p>
    <w:p w:rsidR="008B171B" w:rsidRPr="008B171B" w:rsidRDefault="00814B77" w:rsidP="004E4F71">
      <w:pPr>
        <w:rPr>
          <w:rFonts w:eastAsia="Cambria"/>
          <w:lang w:val="es-ES_tradnl"/>
        </w:rPr>
      </w:pPr>
      <w:r w:rsidRPr="00814B77">
        <w:rPr>
          <w:rFonts w:eastAsia="Cambria"/>
          <w:lang w:val="es-ES_tradnl"/>
        </w:rPr>
        <w:t>Este es el modelo que aplican algunas oficinas encargadas del examen con especies como la judía común/alubia y la papa/patata.</w:t>
      </w:r>
      <w:r w:rsidR="00046874" w:rsidRPr="00046874">
        <w:rPr>
          <w:rFonts w:eastAsia="Cambria"/>
          <w:lang w:val="es-ES_tradnl"/>
        </w:rPr>
        <w:t xml:space="preserve"> </w:t>
      </w:r>
      <w:r w:rsidRPr="00814B77">
        <w:rPr>
          <w:rFonts w:eastAsia="Cambria"/>
          <w:lang w:val="es-ES_tradnl"/>
        </w:rPr>
        <w:t>Actualmente se está ensayando con el trigo duro y se va a ensayar con el tomate y el cáñamo en proyectos de I+D cofinanciados por la OCVV.</w:t>
      </w:r>
    </w:p>
    <w:p w:rsidR="008B171B" w:rsidRPr="008B171B" w:rsidRDefault="008B171B" w:rsidP="00046874">
      <w:pPr>
        <w:rPr>
          <w:rFonts w:eastAsia="Cambria"/>
          <w:lang w:val="es-ES_tradnl"/>
        </w:rPr>
      </w:pPr>
    </w:p>
    <w:p w:rsidR="008B171B" w:rsidRPr="008B171B" w:rsidRDefault="00814B77" w:rsidP="004E4F71">
      <w:pPr>
        <w:rPr>
          <w:rFonts w:eastAsia="Cambria"/>
          <w:lang w:val="es-ES_tradnl"/>
        </w:rPr>
      </w:pPr>
      <w:r w:rsidRPr="00814B77">
        <w:rPr>
          <w:rFonts w:eastAsia="Cambria"/>
          <w:lang w:val="es-ES_tradnl"/>
        </w:rPr>
        <w:t>Los métodos son evaluados por grupos de expertos en cultivos de la OCVV.</w:t>
      </w:r>
    </w:p>
    <w:p w:rsidR="008B171B" w:rsidRPr="008B171B" w:rsidRDefault="008B171B" w:rsidP="00046874">
      <w:pPr>
        <w:rPr>
          <w:rFonts w:eastAsia="Cambria"/>
          <w:lang w:val="es-ES_tradnl"/>
        </w:rPr>
      </w:pPr>
    </w:p>
    <w:p w:rsidR="008B171B" w:rsidRPr="008B171B" w:rsidRDefault="008B171B" w:rsidP="00046874">
      <w:pPr>
        <w:rPr>
          <w:rFonts w:eastAsia="Cambria"/>
          <w:lang w:val="es-ES_tradnl"/>
        </w:rPr>
      </w:pPr>
    </w:p>
    <w:p w:rsidR="008B171B" w:rsidRPr="008B171B" w:rsidRDefault="00046874" w:rsidP="004E4F71">
      <w:pPr>
        <w:tabs>
          <w:tab w:val="left" w:pos="720"/>
        </w:tabs>
        <w:rPr>
          <w:lang w:val="es-ES_tradnl"/>
        </w:rPr>
      </w:pPr>
      <w:r w:rsidRPr="00046874">
        <w:rPr>
          <w:lang w:val="es-ES_tradnl"/>
        </w:rPr>
        <w:t>2.3.</w:t>
      </w:r>
      <w:r w:rsidRPr="00046874">
        <w:rPr>
          <w:lang w:val="es-ES_tradnl"/>
        </w:rPr>
        <w:tab/>
      </w:r>
      <w:r w:rsidR="00814B77" w:rsidRPr="00814B77">
        <w:rPr>
          <w:lang w:val="es-ES_tradnl"/>
        </w:rPr>
        <w:t>Otros usos</w:t>
      </w:r>
    </w:p>
    <w:p w:rsidR="008B171B" w:rsidRPr="008B171B" w:rsidRDefault="008B171B" w:rsidP="00046874">
      <w:pPr>
        <w:rPr>
          <w:lang w:val="es-ES_tradnl"/>
        </w:rPr>
      </w:pPr>
    </w:p>
    <w:p w:rsidR="008B171B" w:rsidRPr="008B171B" w:rsidRDefault="00046874" w:rsidP="004E4F71">
      <w:pPr>
        <w:tabs>
          <w:tab w:val="left" w:pos="720"/>
        </w:tabs>
        <w:rPr>
          <w:rFonts w:eastAsia="Cambria"/>
          <w:lang w:val="es-ES_tradnl"/>
        </w:rPr>
      </w:pPr>
      <w:r w:rsidRPr="00046874">
        <w:rPr>
          <w:rFonts w:eastAsia="Cambria"/>
          <w:lang w:val="es-ES_tradnl"/>
        </w:rPr>
        <w:t>2.3.1.</w:t>
      </w:r>
      <w:r w:rsidRPr="00046874">
        <w:rPr>
          <w:rFonts w:eastAsia="Cambria"/>
          <w:lang w:val="es-ES_tradnl"/>
        </w:rPr>
        <w:tab/>
      </w:r>
      <w:r w:rsidR="00814B77" w:rsidRPr="00814B77">
        <w:rPr>
          <w:rFonts w:eastAsia="Cambria"/>
          <w:lang w:val="es-ES_tradnl"/>
        </w:rPr>
        <w:t>Identificación a efectos del mantenimiento de las colecciones de variedades</w:t>
      </w:r>
    </w:p>
    <w:p w:rsidR="008B171B" w:rsidRPr="008B171B" w:rsidRDefault="00814B77" w:rsidP="004E4F71">
      <w:pPr>
        <w:rPr>
          <w:rFonts w:eastAsia="Cambria"/>
          <w:lang w:val="es-ES_tradnl"/>
        </w:rPr>
      </w:pPr>
      <w:r w:rsidRPr="00814B77">
        <w:rPr>
          <w:rFonts w:eastAsia="Cambria"/>
          <w:lang w:val="es-ES_tradnl"/>
        </w:rPr>
        <w:t>Todos los marcadores moleculares mencionados en los ejemplos precedentes se pueden utilizar con fines de identificación como ayuda para el mantenimiento de las colecciones de variedades de referencia.</w:t>
      </w:r>
    </w:p>
    <w:p w:rsidR="008B171B" w:rsidRPr="008B171B" w:rsidRDefault="008B171B" w:rsidP="00046874">
      <w:pPr>
        <w:rPr>
          <w:rFonts w:eastAsia="Cambria"/>
          <w:lang w:val="es-ES_tradnl"/>
        </w:rPr>
      </w:pPr>
    </w:p>
    <w:p w:rsidR="008B171B" w:rsidRPr="008B171B" w:rsidRDefault="00814B77" w:rsidP="004E4F71">
      <w:pPr>
        <w:rPr>
          <w:rFonts w:eastAsia="Cambria"/>
          <w:lang w:val="es-ES_tradnl"/>
        </w:rPr>
      </w:pPr>
      <w:r w:rsidRPr="00814B77">
        <w:rPr>
          <w:rFonts w:eastAsia="Cambria"/>
          <w:lang w:val="es-ES_tradnl"/>
        </w:rPr>
        <w:t>Asimismo, algunas oficinas encargadas del examen pueden utilizar otros conjuntos de marcadores moleculares con fines de identificación en especies como el rosal, el cerezo, el duraznero/melocotonero, la vid, los cítricos…</w:t>
      </w:r>
      <w:r w:rsidR="00046874" w:rsidRPr="00814B77">
        <w:rPr>
          <w:rFonts w:eastAsia="Cambria"/>
          <w:lang w:val="es-ES_tradnl"/>
        </w:rPr>
        <w:t xml:space="preserve"> </w:t>
      </w:r>
      <w:r w:rsidRPr="00814B77">
        <w:rPr>
          <w:rFonts w:eastAsia="Cambria"/>
          <w:lang w:val="es-ES_tradnl"/>
        </w:rPr>
        <w:t>Esos conjuntos de marcadores pueden estar armonizados entre las oficinas encargadas del examen (por ejemplo, la papa/patata gracias a un proyecto apoyado por la OCVV) o no.</w:t>
      </w:r>
    </w:p>
    <w:p w:rsidR="008B171B" w:rsidRPr="008B171B" w:rsidRDefault="008B171B" w:rsidP="00046874">
      <w:pPr>
        <w:rPr>
          <w:rFonts w:eastAsia="Cambria"/>
          <w:lang w:val="es-ES_tradnl"/>
        </w:rPr>
      </w:pPr>
    </w:p>
    <w:p w:rsidR="008B171B" w:rsidRPr="008B171B" w:rsidRDefault="00046874" w:rsidP="004E4F71">
      <w:pPr>
        <w:tabs>
          <w:tab w:val="left" w:pos="720"/>
        </w:tabs>
        <w:rPr>
          <w:rFonts w:eastAsia="Cambria"/>
          <w:lang w:val="es-ES_tradnl"/>
        </w:rPr>
      </w:pPr>
      <w:r w:rsidRPr="00046874">
        <w:rPr>
          <w:rFonts w:eastAsia="Cambria"/>
          <w:lang w:val="es-ES_tradnl"/>
        </w:rPr>
        <w:t>2.3.2.</w:t>
      </w:r>
      <w:r w:rsidRPr="00046874">
        <w:rPr>
          <w:rFonts w:eastAsia="Cambria"/>
          <w:lang w:val="es-ES_tradnl"/>
        </w:rPr>
        <w:tab/>
      </w:r>
      <w:r w:rsidR="00814B77" w:rsidRPr="00814B77">
        <w:rPr>
          <w:rFonts w:eastAsia="Cambria"/>
          <w:lang w:val="es-ES_tradnl"/>
        </w:rPr>
        <w:t>Detección de organismos modificados genéticamente (conforme a la Directiva</w:t>
      </w:r>
      <w:r w:rsidR="002F449F">
        <w:rPr>
          <w:rFonts w:eastAsia="Cambria"/>
          <w:lang w:val="es-ES_tradnl"/>
        </w:rPr>
        <w:t> </w:t>
      </w:r>
      <w:r w:rsidR="00814B77" w:rsidRPr="00814B77">
        <w:rPr>
          <w:rFonts w:eastAsia="Cambria"/>
          <w:lang w:val="es-ES_tradnl"/>
        </w:rPr>
        <w:t>2001/18/CE)</w:t>
      </w:r>
    </w:p>
    <w:p w:rsidR="008B171B" w:rsidRPr="008B171B" w:rsidRDefault="00814B77" w:rsidP="004E4F71">
      <w:pPr>
        <w:rPr>
          <w:rFonts w:eastAsia="Cambria"/>
          <w:lang w:val="es-ES_tradnl"/>
        </w:rPr>
      </w:pPr>
      <w:r w:rsidRPr="002F449F">
        <w:rPr>
          <w:rFonts w:eastAsia="Cambria"/>
          <w:lang w:val="es-ES_tradnl"/>
        </w:rPr>
        <w:t>En determinados casos, las oficinas encargadas del examen utilizan marcadores para detectar variedades producidas con la ayuda de técnicas de transgénesis o mutagénesis dirigida, con objeto de:</w:t>
      </w:r>
    </w:p>
    <w:p w:rsidR="008B171B" w:rsidRPr="008B171B" w:rsidRDefault="00046874" w:rsidP="004E4F71">
      <w:pPr>
        <w:ind w:left="567"/>
        <w:rPr>
          <w:rFonts w:eastAsia="Cambria"/>
          <w:lang w:val="es-ES_tradnl"/>
        </w:rPr>
      </w:pPr>
      <w:r w:rsidRPr="00046874">
        <w:rPr>
          <w:rFonts w:eastAsia="Cambria"/>
          <w:lang w:val="es-ES_tradnl"/>
        </w:rPr>
        <w:t xml:space="preserve">- </w:t>
      </w:r>
      <w:r w:rsidR="002F449F" w:rsidRPr="002F449F">
        <w:rPr>
          <w:rFonts w:eastAsia="Cambria"/>
          <w:lang w:val="es-ES_tradnl"/>
        </w:rPr>
        <w:t>confirmar la presencia de una transformación genética declarada (inserción de transgenes o mutaciones puntuales provocadas mediante técnicas de modificación de genes);</w:t>
      </w:r>
    </w:p>
    <w:p w:rsidR="008B171B" w:rsidRPr="008B171B" w:rsidRDefault="00046874" w:rsidP="004E4F71">
      <w:pPr>
        <w:ind w:left="567"/>
        <w:rPr>
          <w:rFonts w:eastAsia="Cambria"/>
          <w:lang w:val="es-ES_tradnl"/>
        </w:rPr>
      </w:pPr>
      <w:r w:rsidRPr="00046874">
        <w:rPr>
          <w:rFonts w:eastAsia="Cambria"/>
          <w:lang w:val="es-ES_tradnl"/>
        </w:rPr>
        <w:t xml:space="preserve">- </w:t>
      </w:r>
      <w:r w:rsidR="002F449F" w:rsidRPr="002F449F">
        <w:rPr>
          <w:rFonts w:eastAsia="Cambria"/>
          <w:lang w:val="es-ES_tradnl"/>
        </w:rPr>
        <w:t>detectar la presencia accidental de semillas modificadas genéticamente en los lotes de referencia presentados.</w:t>
      </w:r>
    </w:p>
    <w:p w:rsidR="008B171B" w:rsidRPr="008B171B" w:rsidRDefault="008B171B" w:rsidP="00046874">
      <w:pPr>
        <w:rPr>
          <w:rFonts w:eastAsia="Cambria"/>
          <w:lang w:val="es-ES_tradnl"/>
        </w:rPr>
      </w:pPr>
    </w:p>
    <w:p w:rsidR="008B171B" w:rsidRPr="008B171B" w:rsidRDefault="002F449F" w:rsidP="004E4F71">
      <w:pPr>
        <w:suppressAutoHyphens/>
        <w:spacing w:line="260" w:lineRule="auto"/>
        <w:rPr>
          <w:rFonts w:eastAsia="Cambria" w:cs="Arial"/>
          <w:bCs/>
          <w:spacing w:val="-3"/>
          <w:szCs w:val="18"/>
          <w:lang w:val="es-ES_tradnl"/>
        </w:rPr>
      </w:pPr>
      <w:r w:rsidRPr="002F449F">
        <w:rPr>
          <w:rFonts w:eastAsia="Cambria" w:cs="Arial"/>
          <w:bCs/>
          <w:spacing w:val="-3"/>
          <w:szCs w:val="18"/>
          <w:lang w:val="es-ES_tradnl"/>
        </w:rPr>
        <w:t>Conclusiones</w:t>
      </w:r>
    </w:p>
    <w:p w:rsidR="008B171B" w:rsidRPr="008B171B" w:rsidRDefault="008B171B" w:rsidP="00046874">
      <w:pPr>
        <w:rPr>
          <w:rFonts w:eastAsia="Cambria"/>
          <w:lang w:val="es-ES_tradnl"/>
        </w:rPr>
      </w:pPr>
    </w:p>
    <w:p w:rsidR="008B171B" w:rsidRPr="008B171B" w:rsidRDefault="002F449F" w:rsidP="004E4F71">
      <w:pPr>
        <w:rPr>
          <w:rFonts w:eastAsia="Cambria"/>
          <w:lang w:val="es-ES_tradnl"/>
        </w:rPr>
      </w:pPr>
      <w:r w:rsidRPr="002F449F">
        <w:rPr>
          <w:rFonts w:eastAsia="Cambria"/>
          <w:lang w:val="es-ES_tradnl"/>
        </w:rPr>
        <w:t>En resumen, cabe decir que, en la actualidad, las oficinas encargadas del examen pertenecientes a la red de la OCVV utilizan, o están desarrollando, múltiples métodos moleculares en apoyo del examen DHE.</w:t>
      </w:r>
    </w:p>
    <w:p w:rsidR="008B171B" w:rsidRPr="008B171B" w:rsidRDefault="002F449F" w:rsidP="004E4F71">
      <w:pPr>
        <w:rPr>
          <w:rFonts w:eastAsia="Cambria"/>
          <w:lang w:val="es-ES_tradnl"/>
        </w:rPr>
      </w:pPr>
      <w:r w:rsidRPr="002F449F">
        <w:rPr>
          <w:rFonts w:eastAsia="Cambria"/>
          <w:lang w:val="es-ES_tradnl"/>
        </w:rPr>
        <w:t>Sin embargo, en los protocolos técnicos de la OCVV solo se encuentran descritos oficialmente dos conjuntos de marcadores moleculares ligados a caracteres, sobre la base de la evaluación/validación de los grupos de expertos de la OCVV.</w:t>
      </w:r>
      <w:r w:rsidR="00046874" w:rsidRPr="00046874">
        <w:rPr>
          <w:rFonts w:eastAsia="Cambria"/>
          <w:lang w:val="es-ES_tradnl"/>
        </w:rPr>
        <w:t xml:space="preserve"> </w:t>
      </w:r>
      <w:r w:rsidRPr="002F449F">
        <w:rPr>
          <w:rFonts w:eastAsia="Cambria"/>
          <w:lang w:val="es-ES_tradnl"/>
        </w:rPr>
        <w:t>Se trata de marcadores de dominio público.</w:t>
      </w:r>
    </w:p>
    <w:p w:rsidR="008B171B" w:rsidRPr="008B171B" w:rsidRDefault="002F449F" w:rsidP="004E4F71">
      <w:pPr>
        <w:rPr>
          <w:rFonts w:eastAsia="Cambria"/>
          <w:lang w:val="es-ES_tradnl"/>
        </w:rPr>
      </w:pPr>
      <w:r w:rsidRPr="002F449F">
        <w:rPr>
          <w:rFonts w:eastAsia="Cambria"/>
          <w:lang w:val="es-ES_tradnl"/>
        </w:rPr>
        <w:t>Por consiguiente, corresponde a las oficinas encargadas del examen describir los instrumentos moleculares que utilizan en relación con la política de la OCVV sobre los métodos relativos a las colecciones de variedades de referencia.</w:t>
      </w:r>
    </w:p>
    <w:p w:rsidR="008B171B" w:rsidRPr="008B171B" w:rsidRDefault="008B171B" w:rsidP="00046874">
      <w:pPr>
        <w:rPr>
          <w:rFonts w:eastAsia="Cambria"/>
          <w:lang w:val="es-ES_tradnl"/>
        </w:rPr>
      </w:pPr>
    </w:p>
    <w:p w:rsidR="008B171B" w:rsidRPr="008B171B" w:rsidRDefault="008B171B" w:rsidP="00046874">
      <w:pPr>
        <w:rPr>
          <w:rFonts w:eastAsia="Cambria"/>
          <w:lang w:val="es-ES_tradnl"/>
        </w:rPr>
      </w:pPr>
    </w:p>
    <w:p w:rsidR="008B171B" w:rsidRPr="008B171B" w:rsidRDefault="008B171B" w:rsidP="00046874">
      <w:pPr>
        <w:rPr>
          <w:lang w:val="es-ES_tradnl"/>
        </w:rPr>
      </w:pPr>
    </w:p>
    <w:p w:rsidR="008B171B" w:rsidRPr="008B171B" w:rsidRDefault="00F1312D" w:rsidP="00046874">
      <w:pPr>
        <w:jc w:val="right"/>
        <w:rPr>
          <w:lang w:val="es-ES_tradnl"/>
        </w:rPr>
      </w:pPr>
      <w:r w:rsidRPr="004E4F71">
        <w:rPr>
          <w:lang w:val="es-ES_tradnl"/>
        </w:rPr>
        <w:t xml:space="preserve">[Fin </w:t>
      </w:r>
      <w:r w:rsidR="00DF66AB">
        <w:rPr>
          <w:lang w:val="es-ES_tradnl"/>
        </w:rPr>
        <w:t xml:space="preserve">del </w:t>
      </w:r>
      <w:r w:rsidR="00046874" w:rsidRPr="004E4F71">
        <w:rPr>
          <w:lang w:val="es-ES_tradnl"/>
        </w:rPr>
        <w:t xml:space="preserve">Anexo II y </w:t>
      </w:r>
      <w:r w:rsidRPr="004E4F71">
        <w:rPr>
          <w:lang w:val="es-ES_tradnl"/>
        </w:rPr>
        <w:t>del documento]</w:t>
      </w:r>
    </w:p>
    <w:p w:rsidR="00050E16" w:rsidRPr="004E4F71" w:rsidRDefault="00050E16" w:rsidP="00046874">
      <w:pPr>
        <w:jc w:val="right"/>
        <w:rPr>
          <w:lang w:val="es-ES_tradnl"/>
        </w:rPr>
      </w:pPr>
    </w:p>
    <w:sectPr w:rsidR="00050E16" w:rsidRPr="004E4F71" w:rsidSect="0034166C">
      <w:headerReference w:type="even" r:id="rId24"/>
      <w:headerReference w:type="default" r:id="rId25"/>
      <w:footerReference w:type="default" r:id="rId26"/>
      <w:headerReference w:type="first" r:id="rId27"/>
      <w:pgSz w:w="11907" w:h="16840" w:code="9"/>
      <w:pgMar w:top="510" w:right="1134" w:bottom="1134" w:left="1134" w:header="510" w:footer="43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55" w:rsidRDefault="00563255" w:rsidP="006655D3">
      <w:r>
        <w:separator/>
      </w:r>
    </w:p>
    <w:p w:rsidR="00563255" w:rsidRDefault="00563255" w:rsidP="006655D3"/>
    <w:p w:rsidR="00563255" w:rsidRDefault="00563255" w:rsidP="006655D3"/>
  </w:endnote>
  <w:endnote w:type="continuationSeparator" w:id="0">
    <w:p w:rsidR="00563255" w:rsidRDefault="00563255" w:rsidP="006655D3">
      <w:r>
        <w:separator/>
      </w:r>
    </w:p>
    <w:p w:rsidR="00563255" w:rsidRPr="00294751" w:rsidRDefault="00563255">
      <w:pPr>
        <w:pStyle w:val="Footer"/>
        <w:spacing w:after="60"/>
        <w:rPr>
          <w:sz w:val="18"/>
          <w:lang w:val="fr-FR"/>
        </w:rPr>
      </w:pPr>
      <w:r w:rsidRPr="00294751">
        <w:rPr>
          <w:sz w:val="18"/>
          <w:lang w:val="fr-FR"/>
        </w:rPr>
        <w:t>[Suite de la note de la page précédente]</w:t>
      </w:r>
    </w:p>
    <w:p w:rsidR="00563255" w:rsidRPr="00294751" w:rsidRDefault="00563255" w:rsidP="006655D3">
      <w:pPr>
        <w:rPr>
          <w:lang w:val="fr-FR"/>
        </w:rPr>
      </w:pPr>
    </w:p>
    <w:p w:rsidR="00563255" w:rsidRPr="00294751" w:rsidRDefault="00563255" w:rsidP="006655D3">
      <w:pPr>
        <w:rPr>
          <w:lang w:val="fr-FR"/>
        </w:rPr>
      </w:pPr>
    </w:p>
  </w:endnote>
  <w:endnote w:type="continuationNotice" w:id="1">
    <w:p w:rsidR="00563255" w:rsidRPr="00294751" w:rsidRDefault="00563255" w:rsidP="006655D3">
      <w:pPr>
        <w:rPr>
          <w:lang w:val="fr-FR"/>
        </w:rPr>
      </w:pPr>
      <w:r w:rsidRPr="00294751">
        <w:rPr>
          <w:lang w:val="fr-FR"/>
        </w:rPr>
        <w:t>[Suite de la note page suivante]</w:t>
      </w:r>
    </w:p>
    <w:p w:rsidR="00563255" w:rsidRPr="00294751" w:rsidRDefault="00563255" w:rsidP="006655D3">
      <w:pPr>
        <w:rPr>
          <w:lang w:val="fr-FR"/>
        </w:rPr>
      </w:pPr>
    </w:p>
    <w:p w:rsidR="00563255" w:rsidRPr="00294751" w:rsidRDefault="0056325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Default="0056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55" w:rsidRDefault="00563255" w:rsidP="006655D3">
      <w:r>
        <w:separator/>
      </w:r>
    </w:p>
  </w:footnote>
  <w:footnote w:type="continuationSeparator" w:id="0">
    <w:p w:rsidR="00563255" w:rsidRDefault="00563255" w:rsidP="006655D3">
      <w:r>
        <w:separator/>
      </w:r>
    </w:p>
  </w:footnote>
  <w:footnote w:type="continuationNotice" w:id="1">
    <w:p w:rsidR="00563255" w:rsidRPr="00AB530F" w:rsidRDefault="00563255" w:rsidP="00AB530F">
      <w:pPr>
        <w:pStyle w:val="Footer"/>
      </w:pPr>
    </w:p>
  </w:footnote>
  <w:footnote w:id="2">
    <w:p w:rsidR="00563255" w:rsidRPr="00B85DC9" w:rsidRDefault="00563255" w:rsidP="004E4F71">
      <w:pPr>
        <w:pStyle w:val="FootnoteText"/>
        <w:rPr>
          <w:lang w:val="es-ES" w:eastAsia="ja-JP"/>
        </w:rPr>
      </w:pPr>
      <w:r>
        <w:rPr>
          <w:rStyle w:val="FootnoteReference"/>
        </w:rPr>
        <w:footnoteRef/>
      </w:r>
      <w:r w:rsidRPr="00B85DC9">
        <w:rPr>
          <w:lang w:val="es-ES"/>
        </w:rPr>
        <w:t xml:space="preserve"> </w:t>
      </w:r>
      <w:r w:rsidRPr="003863AD">
        <w:rPr>
          <w:lang w:val="es-ES_tradnl" w:eastAsia="ja-JP"/>
        </w:rPr>
        <w:t>Véase el párrafo 65 del documento CAJ/75/14 “Informe”.</w:t>
      </w:r>
    </w:p>
  </w:footnote>
  <w:footnote w:id="3">
    <w:p w:rsidR="00563255" w:rsidRPr="00B85DC9" w:rsidRDefault="00563255" w:rsidP="004E4F71">
      <w:pPr>
        <w:pStyle w:val="FootnoteText"/>
        <w:rPr>
          <w:lang w:val="es-ES"/>
        </w:rPr>
      </w:pPr>
      <w:r>
        <w:rPr>
          <w:rStyle w:val="FootnoteReference"/>
        </w:rPr>
        <w:footnoteRef/>
      </w:r>
      <w:r w:rsidRPr="00B85DC9">
        <w:rPr>
          <w:lang w:val="es-ES"/>
        </w:rPr>
        <w:t xml:space="preserve"> </w:t>
      </w:r>
      <w:r w:rsidRPr="006906AD">
        <w:rPr>
          <w:lang w:val="es-ES_tradnl"/>
        </w:rPr>
        <w:t>Celebrada en Hangzhou (China) del 16 al 18 de octubre de 2019.</w:t>
      </w:r>
    </w:p>
  </w:footnote>
  <w:footnote w:id="4">
    <w:p w:rsidR="00563255" w:rsidRPr="00B85DC9" w:rsidRDefault="00563255" w:rsidP="004E4F71">
      <w:pPr>
        <w:pStyle w:val="FootnoteText"/>
        <w:rPr>
          <w:lang w:val="es-ES"/>
        </w:rPr>
      </w:pPr>
      <w:r>
        <w:rPr>
          <w:rStyle w:val="FootnoteReference"/>
        </w:rPr>
        <w:footnoteRef/>
      </w:r>
      <w:r w:rsidRPr="00B85DC9">
        <w:rPr>
          <w:lang w:val="es-ES"/>
        </w:rPr>
        <w:t xml:space="preserve"> </w:t>
      </w:r>
      <w:r w:rsidRPr="006906AD">
        <w:rPr>
          <w:rFonts w:eastAsiaTheme="minorEastAsia"/>
          <w:lang w:val="es-ES_tradnl" w:eastAsia="ja-JP"/>
        </w:rPr>
        <w:t>Celebrada en Ginebra el 28 y el 29 de octubre de 2019.</w:t>
      </w:r>
    </w:p>
  </w:footnote>
  <w:footnote w:id="5">
    <w:p w:rsidR="00563255" w:rsidRPr="00B85DC9" w:rsidRDefault="00563255" w:rsidP="004E4F71">
      <w:pPr>
        <w:pStyle w:val="FootnoteText"/>
        <w:rPr>
          <w:lang w:val="es-ES"/>
        </w:rPr>
      </w:pPr>
      <w:r>
        <w:rPr>
          <w:rStyle w:val="FootnoteReference"/>
        </w:rPr>
        <w:footnoteRef/>
      </w:r>
      <w:r w:rsidRPr="00B85DC9">
        <w:rPr>
          <w:lang w:val="es-ES"/>
        </w:rPr>
        <w:t xml:space="preserve"> </w:t>
      </w:r>
      <w:r w:rsidRPr="00D363EB">
        <w:rPr>
          <w:lang w:val="es-ES_tradnl"/>
        </w:rPr>
        <w:t>Organizada por los Estados Unidos de América y celebrada por vía telemática del 22 al 24 de septiembre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Pr="00046874" w:rsidRDefault="00563255" w:rsidP="00046874">
    <w:pPr>
      <w:pStyle w:val="Header"/>
      <w:rPr>
        <w:rStyle w:val="PageNumber"/>
        <w:lang w:val="es-ES_tradnl"/>
      </w:rPr>
    </w:pPr>
    <w:r w:rsidRPr="00046874">
      <w:rPr>
        <w:rStyle w:val="PageNumber"/>
        <w:lang w:val="es-ES_tradnl"/>
      </w:rPr>
      <w:t>CAJ/78/INF/5</w:t>
    </w:r>
  </w:p>
  <w:p w:rsidR="00563255" w:rsidRPr="00046874" w:rsidRDefault="00563255" w:rsidP="00046874">
    <w:pPr>
      <w:pStyle w:val="Header"/>
      <w:rPr>
        <w:lang w:val="es-ES_tradnl"/>
      </w:rPr>
    </w:pPr>
    <w:r w:rsidRPr="00046874">
      <w:rPr>
        <w:lang w:val="es-ES_tradnl"/>
      </w:rPr>
      <w:t xml:space="preserve">página </w:t>
    </w:r>
    <w:r w:rsidRPr="00046874">
      <w:rPr>
        <w:rStyle w:val="PageNumber"/>
        <w:lang w:val="es-ES_tradnl"/>
      </w:rPr>
      <w:fldChar w:fldCharType="begin"/>
    </w:r>
    <w:r w:rsidRPr="00046874">
      <w:rPr>
        <w:rStyle w:val="PageNumber"/>
        <w:lang w:val="es-ES_tradnl"/>
      </w:rPr>
      <w:instrText xml:space="preserve"> PAGE </w:instrText>
    </w:r>
    <w:r w:rsidRPr="00046874">
      <w:rPr>
        <w:rStyle w:val="PageNumber"/>
        <w:lang w:val="es-ES_tradnl"/>
      </w:rPr>
      <w:fldChar w:fldCharType="separate"/>
    </w:r>
    <w:r w:rsidR="00C77D91">
      <w:rPr>
        <w:rStyle w:val="PageNumber"/>
        <w:noProof/>
        <w:lang w:val="es-ES_tradnl"/>
      </w:rPr>
      <w:t>7</w:t>
    </w:r>
    <w:r w:rsidRPr="00046874">
      <w:rPr>
        <w:rStyle w:val="PageNumber"/>
        <w:lang w:val="es-ES_tradnl"/>
      </w:rPr>
      <w:fldChar w:fldCharType="end"/>
    </w:r>
  </w:p>
  <w:p w:rsidR="00563255" w:rsidRPr="00046874" w:rsidRDefault="00563255" w:rsidP="00046874">
    <w:pPr>
      <w:jc w:val="cent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Pr="00046874" w:rsidRDefault="00563255" w:rsidP="00046874">
    <w:pPr>
      <w:pStyle w:val="Header"/>
      <w:rPr>
        <w:rStyle w:val="PageNumber"/>
        <w:lang w:val="es-ES_tradnl"/>
      </w:rPr>
    </w:pPr>
    <w:r w:rsidRPr="00046874">
      <w:rPr>
        <w:rStyle w:val="PageNumber"/>
        <w:lang w:val="es-ES_tradnl"/>
      </w:rPr>
      <w:t>CAJ/78/INF/5</w:t>
    </w:r>
  </w:p>
  <w:p w:rsidR="00563255" w:rsidRPr="00046874" w:rsidRDefault="00563255" w:rsidP="00046874">
    <w:pPr>
      <w:pStyle w:val="Header"/>
      <w:rPr>
        <w:lang w:val="es-ES_tradnl"/>
      </w:rPr>
    </w:pPr>
    <w:r w:rsidRPr="00046874">
      <w:rPr>
        <w:lang w:val="es-ES_tradnl"/>
      </w:rPr>
      <w:t xml:space="preserve">Anexo I, </w:t>
    </w:r>
    <w:r>
      <w:rPr>
        <w:lang w:val="es-ES_tradnl"/>
      </w:rPr>
      <w:t>página</w:t>
    </w:r>
    <w:r w:rsidRPr="00046874">
      <w:rPr>
        <w:lang w:val="es-ES_tradnl"/>
      </w:rPr>
      <w:t xml:space="preserve"> </w:t>
    </w:r>
    <w:r w:rsidRPr="00046874">
      <w:rPr>
        <w:rStyle w:val="PageNumber"/>
        <w:lang w:val="es-ES_tradnl"/>
      </w:rPr>
      <w:fldChar w:fldCharType="begin"/>
    </w:r>
    <w:r w:rsidRPr="00046874">
      <w:rPr>
        <w:rStyle w:val="PageNumber"/>
        <w:lang w:val="es-ES_tradnl"/>
      </w:rPr>
      <w:instrText xml:space="preserve"> PAGE </w:instrText>
    </w:r>
    <w:r w:rsidRPr="00046874">
      <w:rPr>
        <w:rStyle w:val="PageNumber"/>
        <w:lang w:val="es-ES_tradnl"/>
      </w:rPr>
      <w:fldChar w:fldCharType="separate"/>
    </w:r>
    <w:r w:rsidR="00C77D91">
      <w:rPr>
        <w:rStyle w:val="PageNumber"/>
        <w:noProof/>
        <w:lang w:val="es-ES_tradnl"/>
      </w:rPr>
      <w:t>7</w:t>
    </w:r>
    <w:r w:rsidRPr="00046874">
      <w:rPr>
        <w:rStyle w:val="PageNumber"/>
        <w:lang w:val="es-ES_tradnl"/>
      </w:rPr>
      <w:fldChar w:fldCharType="end"/>
    </w:r>
  </w:p>
  <w:p w:rsidR="00563255" w:rsidRPr="00046874" w:rsidRDefault="00563255" w:rsidP="00046874">
    <w:pPr>
      <w:jc w:val="cente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Pr="00046874" w:rsidRDefault="00563255" w:rsidP="00EA2DD2">
    <w:pPr>
      <w:pStyle w:val="Header"/>
      <w:rPr>
        <w:rStyle w:val="PageNumber"/>
        <w:lang w:val="es-ES_tradnl"/>
      </w:rPr>
    </w:pPr>
    <w:r w:rsidRPr="00046874">
      <w:rPr>
        <w:rStyle w:val="PageNumber"/>
        <w:lang w:val="es-ES_tradnl"/>
      </w:rPr>
      <w:t>CAJ/78/INF/5</w:t>
    </w:r>
  </w:p>
  <w:p w:rsidR="00563255" w:rsidRPr="00046874" w:rsidRDefault="00563255" w:rsidP="00EA2DD2">
    <w:pPr>
      <w:pStyle w:val="Header"/>
      <w:rPr>
        <w:lang w:val="es-ES_tradnl"/>
      </w:rPr>
    </w:pPr>
  </w:p>
  <w:p w:rsidR="008B171B" w:rsidRPr="008B171B" w:rsidRDefault="00563255" w:rsidP="0004198B">
    <w:pPr>
      <w:pStyle w:val="Header"/>
      <w:rPr>
        <w:lang w:val="es-ES_tradnl"/>
      </w:rPr>
    </w:pPr>
    <w:r w:rsidRPr="00046874">
      <w:rPr>
        <w:lang w:val="es-ES_tradnl"/>
      </w:rPr>
      <w:t>ANEXO I</w:t>
    </w:r>
  </w:p>
  <w:p w:rsidR="00563255" w:rsidRPr="00046874" w:rsidRDefault="00563255" w:rsidP="0004198B">
    <w:pPr>
      <w:pStyle w:val="Header"/>
      <w:rPr>
        <w:lang w:val="es-ES_tradnl"/>
      </w:rPr>
    </w:pPr>
  </w:p>
  <w:p w:rsidR="00563255" w:rsidRPr="00046874" w:rsidRDefault="00563255" w:rsidP="0004198B">
    <w:pPr>
      <w:pStyle w:val="Heade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Pr="00046874" w:rsidRDefault="00563255" w:rsidP="00EA2DD2">
    <w:pPr>
      <w:pStyle w:val="Header"/>
      <w:rPr>
        <w:rStyle w:val="PageNumber"/>
        <w:lang w:val="es-ES_tradnl"/>
      </w:rPr>
    </w:pPr>
    <w:r w:rsidRPr="00046874">
      <w:rPr>
        <w:rStyle w:val="PageNumber"/>
        <w:lang w:val="es-ES_tradnl"/>
      </w:rPr>
      <w:t>CAJ/78/INF/5</w:t>
    </w:r>
  </w:p>
  <w:p w:rsidR="00563255" w:rsidRPr="00046874" w:rsidRDefault="00563255" w:rsidP="00EA2DD2">
    <w:pPr>
      <w:pStyle w:val="Header"/>
      <w:rPr>
        <w:lang w:val="es-ES_tradnl"/>
      </w:rPr>
    </w:pPr>
  </w:p>
  <w:p w:rsidR="00563255" w:rsidRPr="00046874" w:rsidRDefault="00563255" w:rsidP="0004198B">
    <w:pPr>
      <w:pStyle w:val="Header"/>
      <w:rPr>
        <w:i/>
        <w:lang w:val="es-ES_tradnl"/>
      </w:rPr>
    </w:pPr>
    <w:r>
      <w:rPr>
        <w:lang w:val="es-ES_tradnl"/>
      </w:rPr>
      <w:t>AN</w:t>
    </w:r>
    <w:r w:rsidRPr="00046874">
      <w:rPr>
        <w:lang w:val="es-ES_tradnl"/>
      </w:rPr>
      <w:t>EX</w:t>
    </w:r>
    <w:r>
      <w:rPr>
        <w:lang w:val="es-ES_tradnl"/>
      </w:rPr>
      <w:t>O II</w:t>
    </w:r>
  </w:p>
  <w:p w:rsidR="00563255" w:rsidRPr="00046874" w:rsidRDefault="00563255" w:rsidP="0004198B">
    <w:pPr>
      <w:pStyle w:val="Header"/>
      <w:rPr>
        <w:lang w:val="es-ES_tradnl"/>
      </w:rPr>
    </w:pPr>
  </w:p>
  <w:p w:rsidR="00563255" w:rsidRPr="00046874" w:rsidRDefault="00563255" w:rsidP="0004198B">
    <w:pPr>
      <w:pStyle w:val="Heade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Pr="005547F7" w:rsidRDefault="00B85DC9" w:rsidP="0034166C">
    <w:pPr>
      <w:pStyle w:val="Header"/>
      <w:rPr>
        <w:rStyle w:val="PageNumber"/>
        <w:lang w:val="es-ES_tradnl"/>
      </w:rPr>
    </w:pPr>
    <w:r>
      <w:rPr>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63255" w:rsidRDefault="00563255" w:rsidP="00F1312D">
                          <w:pPr>
                            <w:jc w:val="center"/>
                          </w:pPr>
                          <w:r w:rsidRPr="00F1312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563255" w:rsidRDefault="00563255" w:rsidP="00F1312D">
                    <w:pPr>
                      <w:jc w:val="center"/>
                    </w:pPr>
                    <w:r w:rsidRPr="00F1312D">
                      <w:rPr>
                        <w:color w:val="000000"/>
                        <w:sz w:val="17"/>
                      </w:rPr>
                      <w:t>WIPO FOR OFFICIAL USE ONLY</w:t>
                    </w:r>
                  </w:p>
                </w:txbxContent>
              </v:textbox>
              <w10:wrap anchorx="margin" anchory="margin"/>
            </v:shape>
          </w:pict>
        </mc:Fallback>
      </mc:AlternateContent>
    </w:r>
    <w:r w:rsidR="00563255" w:rsidRPr="005547F7">
      <w:rPr>
        <w:rStyle w:val="PageNumber"/>
        <w:lang w:val="es-ES_tradnl"/>
      </w:rPr>
      <w:t>CAJ/78/1</w:t>
    </w:r>
    <w:r w:rsidR="00563255">
      <w:rPr>
        <w:rStyle w:val="PageNumber"/>
        <w:lang w:val="es-ES_tradnl"/>
      </w:rPr>
      <w:t>2</w:t>
    </w:r>
  </w:p>
  <w:p w:rsidR="00563255" w:rsidRPr="005547F7" w:rsidRDefault="00563255" w:rsidP="0034166C">
    <w:pPr>
      <w:pStyle w:val="Header"/>
      <w:rPr>
        <w:lang w:val="es-ES_tradnl"/>
      </w:rPr>
    </w:pPr>
    <w:r w:rsidRPr="005547F7">
      <w:rPr>
        <w:lang w:val="es-ES_tradnl"/>
      </w:rPr>
      <w:t xml:space="preserve">página </w:t>
    </w:r>
    <w:r w:rsidRPr="005547F7">
      <w:rPr>
        <w:rStyle w:val="PageNumber"/>
        <w:lang w:val="es-ES_tradnl"/>
      </w:rPr>
      <w:fldChar w:fldCharType="begin"/>
    </w:r>
    <w:r w:rsidRPr="005547F7">
      <w:rPr>
        <w:rStyle w:val="PageNumber"/>
        <w:lang w:val="es-ES_tradnl"/>
      </w:rPr>
      <w:instrText xml:space="preserve"> PAGE </w:instrText>
    </w:r>
    <w:r w:rsidRPr="005547F7">
      <w:rPr>
        <w:rStyle w:val="PageNumber"/>
        <w:lang w:val="es-ES_tradnl"/>
      </w:rPr>
      <w:fldChar w:fldCharType="separate"/>
    </w:r>
    <w:r>
      <w:rPr>
        <w:rStyle w:val="PageNumber"/>
        <w:noProof/>
        <w:lang w:val="es-ES_tradnl"/>
      </w:rPr>
      <w:t>2</w:t>
    </w:r>
    <w:r w:rsidRPr="005547F7">
      <w:rPr>
        <w:rStyle w:val="PageNumber"/>
        <w:lang w:val="es-ES_tradnl"/>
      </w:rPr>
      <w:fldChar w:fldCharType="end"/>
    </w:r>
  </w:p>
  <w:p w:rsidR="00563255" w:rsidRPr="005547F7" w:rsidRDefault="00563255" w:rsidP="0034166C">
    <w:pPr>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Pr="00046874" w:rsidRDefault="00563255" w:rsidP="00046874">
    <w:pPr>
      <w:pStyle w:val="Header"/>
      <w:rPr>
        <w:rStyle w:val="PageNumber"/>
        <w:lang w:val="es-ES_tradnl"/>
      </w:rPr>
    </w:pPr>
    <w:r w:rsidRPr="00046874">
      <w:rPr>
        <w:rStyle w:val="PageNumber"/>
        <w:lang w:val="es-ES_tradnl"/>
      </w:rPr>
      <w:t>CAJ/78/1</w:t>
    </w:r>
  </w:p>
  <w:p w:rsidR="00563255" w:rsidRPr="00046874" w:rsidRDefault="00563255" w:rsidP="00046874">
    <w:pPr>
      <w:pStyle w:val="Header"/>
      <w:rPr>
        <w:lang w:val="es-ES_tradnl"/>
      </w:rPr>
    </w:pPr>
    <w:r w:rsidRPr="00046874">
      <w:rPr>
        <w:lang w:val="es-ES_tradnl"/>
      </w:rPr>
      <w:t xml:space="preserve">Anexo II, Apéndice, página </w:t>
    </w:r>
    <w:r w:rsidRPr="00046874">
      <w:rPr>
        <w:rStyle w:val="PageNumber"/>
        <w:lang w:val="es-ES_tradnl"/>
      </w:rPr>
      <w:fldChar w:fldCharType="begin"/>
    </w:r>
    <w:r w:rsidRPr="00046874">
      <w:rPr>
        <w:rStyle w:val="PageNumber"/>
        <w:lang w:val="es-ES_tradnl"/>
      </w:rPr>
      <w:instrText xml:space="preserve"> PAGE </w:instrText>
    </w:r>
    <w:r w:rsidRPr="00046874">
      <w:rPr>
        <w:rStyle w:val="PageNumber"/>
        <w:lang w:val="es-ES_tradnl"/>
      </w:rPr>
      <w:fldChar w:fldCharType="separate"/>
    </w:r>
    <w:r w:rsidR="00C77D91">
      <w:rPr>
        <w:rStyle w:val="PageNumber"/>
        <w:noProof/>
        <w:lang w:val="es-ES_tradnl"/>
      </w:rPr>
      <w:t>3</w:t>
    </w:r>
    <w:r w:rsidRPr="00046874">
      <w:rPr>
        <w:rStyle w:val="PageNumber"/>
        <w:lang w:val="es-ES_tradnl"/>
      </w:rPr>
      <w:fldChar w:fldCharType="end"/>
    </w:r>
  </w:p>
  <w:p w:rsidR="00563255" w:rsidRPr="00046874" w:rsidRDefault="00563255" w:rsidP="00046874">
    <w:pPr>
      <w:jc w:val="center"/>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Pr="00046874" w:rsidRDefault="00563255" w:rsidP="00EA2DD2">
    <w:pPr>
      <w:pStyle w:val="Header"/>
      <w:rPr>
        <w:rStyle w:val="PageNumber"/>
        <w:lang w:val="es-ES_tradnl"/>
      </w:rPr>
    </w:pPr>
    <w:r w:rsidRPr="00046874">
      <w:rPr>
        <w:rStyle w:val="PageNumber"/>
        <w:lang w:val="es-ES_tradnl"/>
      </w:rPr>
      <w:t>CAJ/78/INF/5</w:t>
    </w:r>
  </w:p>
  <w:p w:rsidR="00563255" w:rsidRPr="00046874" w:rsidRDefault="00563255" w:rsidP="00EA2DD2">
    <w:pPr>
      <w:pStyle w:val="Header"/>
      <w:rPr>
        <w:lang w:val="es-ES_tradnl"/>
      </w:rPr>
    </w:pPr>
  </w:p>
  <w:p w:rsidR="00563255" w:rsidRPr="00046874" w:rsidRDefault="00563255" w:rsidP="0004198B">
    <w:pPr>
      <w:pStyle w:val="Header"/>
      <w:rPr>
        <w:i/>
        <w:lang w:val="es-ES_tradnl"/>
      </w:rPr>
    </w:pPr>
    <w:r>
      <w:rPr>
        <w:lang w:val="es-ES_tradnl"/>
      </w:rPr>
      <w:t>AN</w:t>
    </w:r>
    <w:r w:rsidRPr="00046874">
      <w:rPr>
        <w:lang w:val="es-ES_tradnl"/>
      </w:rPr>
      <w:t>EX</w:t>
    </w:r>
    <w:r>
      <w:rPr>
        <w:lang w:val="es-ES_tradnl"/>
      </w:rPr>
      <w:t>O II, APÉNDICE</w:t>
    </w:r>
  </w:p>
  <w:p w:rsidR="00563255" w:rsidRPr="00046874" w:rsidRDefault="00563255" w:rsidP="0004198B">
    <w:pPr>
      <w:pStyle w:val="Header"/>
      <w:rPr>
        <w:lang w:val="es-ES_tradnl"/>
      </w:rPr>
    </w:pPr>
  </w:p>
  <w:p w:rsidR="00563255" w:rsidRPr="00046874" w:rsidRDefault="00563255" w:rsidP="0004198B">
    <w:pPr>
      <w:pStyle w:val="Head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AFF"/>
    <w:multiLevelType w:val="hybridMultilevel"/>
    <w:tmpl w:val="86C255E8"/>
    <w:lvl w:ilvl="0" w:tplc="04090001">
      <w:start w:val="1"/>
      <w:numFmt w:val="bullet"/>
      <w:lvlText w:val=""/>
      <w:lvlJc w:val="left"/>
      <w:pPr>
        <w:ind w:left="720" w:hanging="360"/>
      </w:pPr>
      <w:rPr>
        <w:rFonts w:ascii="Symbol" w:hAnsi="Symbol" w:hint="default"/>
      </w:rPr>
    </w:lvl>
    <w:lvl w:ilvl="1" w:tplc="1CC28B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3" w15:restartNumberingAfterBreak="0">
    <w:nsid w:val="2A4435BD"/>
    <w:multiLevelType w:val="hybridMultilevel"/>
    <w:tmpl w:val="16F635F0"/>
    <w:lvl w:ilvl="0" w:tplc="4B50B3FA">
      <w:start w:val="1"/>
      <w:numFmt w:val="lowerLetter"/>
      <w:lvlText w:val="(%1)"/>
      <w:lvlJc w:val="left"/>
      <w:pPr>
        <w:ind w:left="5440" w:hanging="360"/>
      </w:pPr>
      <w:rPr>
        <w:rFonts w:hint="default"/>
      </w:rPr>
    </w:lvl>
    <w:lvl w:ilvl="1" w:tplc="04090019">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4"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35110F16"/>
    <w:multiLevelType w:val="hybridMultilevel"/>
    <w:tmpl w:val="F4282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6635A"/>
    <w:multiLevelType w:val="hybridMultilevel"/>
    <w:tmpl w:val="6B96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92688"/>
    <w:multiLevelType w:val="hybridMultilevel"/>
    <w:tmpl w:val="C2B2C2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5642A7E"/>
    <w:multiLevelType w:val="hybridMultilevel"/>
    <w:tmpl w:val="FF68F210"/>
    <w:lvl w:ilvl="0" w:tplc="04090017">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0"/>
  </w:num>
  <w:num w:numId="2">
    <w:abstractNumId w:val="4"/>
  </w:num>
  <w:num w:numId="3">
    <w:abstractNumId w:val="1"/>
  </w:num>
  <w:num w:numId="4">
    <w:abstractNumId w:val="5"/>
  </w:num>
  <w:num w:numId="5">
    <w:abstractNumId w:val="12"/>
  </w:num>
  <w:num w:numId="6">
    <w:abstractNumId w:val="8"/>
  </w:num>
  <w:num w:numId="7">
    <w:abstractNumId w:val="6"/>
  </w:num>
  <w:num w:numId="8">
    <w:abstractNumId w:val="11"/>
  </w:num>
  <w:num w:numId="9">
    <w:abstractNumId w:val="9"/>
  </w:num>
  <w:num w:numId="10">
    <w:abstractNumId w:val="2"/>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Outreach\Economist|TextBase TMs\WorkspaceSTS\Outreach\IP Advantage|TextBase TMs\WorkspaceSTS\Outreach\POW Main|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1E1423"/>
    <w:rsid w:val="00000BCE"/>
    <w:rsid w:val="00010CF3"/>
    <w:rsid w:val="00011E27"/>
    <w:rsid w:val="000148BC"/>
    <w:rsid w:val="00022946"/>
    <w:rsid w:val="00024AB8"/>
    <w:rsid w:val="00030854"/>
    <w:rsid w:val="00036028"/>
    <w:rsid w:val="00040526"/>
    <w:rsid w:val="0004198B"/>
    <w:rsid w:val="00044642"/>
    <w:rsid w:val="000446B9"/>
    <w:rsid w:val="00046874"/>
    <w:rsid w:val="0004789F"/>
    <w:rsid w:val="00047E21"/>
    <w:rsid w:val="00050E16"/>
    <w:rsid w:val="00070FF6"/>
    <w:rsid w:val="0008013A"/>
    <w:rsid w:val="00085505"/>
    <w:rsid w:val="0008551D"/>
    <w:rsid w:val="00097983"/>
    <w:rsid w:val="000B16DC"/>
    <w:rsid w:val="000B598D"/>
    <w:rsid w:val="000C2FA2"/>
    <w:rsid w:val="000C4E25"/>
    <w:rsid w:val="000C7021"/>
    <w:rsid w:val="000D6BBC"/>
    <w:rsid w:val="000D7780"/>
    <w:rsid w:val="000E636A"/>
    <w:rsid w:val="000F2F11"/>
    <w:rsid w:val="00100A5F"/>
    <w:rsid w:val="00105929"/>
    <w:rsid w:val="00110BED"/>
    <w:rsid w:val="00110C36"/>
    <w:rsid w:val="00112949"/>
    <w:rsid w:val="001131D5"/>
    <w:rsid w:val="00114547"/>
    <w:rsid w:val="00126C41"/>
    <w:rsid w:val="00130804"/>
    <w:rsid w:val="0013724B"/>
    <w:rsid w:val="0014000C"/>
    <w:rsid w:val="00141DB8"/>
    <w:rsid w:val="00172084"/>
    <w:rsid w:val="0017474A"/>
    <w:rsid w:val="001758C6"/>
    <w:rsid w:val="00181338"/>
    <w:rsid w:val="00182B99"/>
    <w:rsid w:val="00183AFB"/>
    <w:rsid w:val="001B649D"/>
    <w:rsid w:val="001C1525"/>
    <w:rsid w:val="001E1423"/>
    <w:rsid w:val="0021332C"/>
    <w:rsid w:val="00213982"/>
    <w:rsid w:val="0021711E"/>
    <w:rsid w:val="00224242"/>
    <w:rsid w:val="0024416D"/>
    <w:rsid w:val="00261FCA"/>
    <w:rsid w:val="00271250"/>
    <w:rsid w:val="00271911"/>
    <w:rsid w:val="00273187"/>
    <w:rsid w:val="002800A0"/>
    <w:rsid w:val="002801B3"/>
    <w:rsid w:val="00281060"/>
    <w:rsid w:val="00285BD0"/>
    <w:rsid w:val="002940E8"/>
    <w:rsid w:val="00294751"/>
    <w:rsid w:val="002A6E50"/>
    <w:rsid w:val="002B23ED"/>
    <w:rsid w:val="002B4298"/>
    <w:rsid w:val="002B4DBE"/>
    <w:rsid w:val="002B7A36"/>
    <w:rsid w:val="002C256A"/>
    <w:rsid w:val="002D4152"/>
    <w:rsid w:val="002D5226"/>
    <w:rsid w:val="002D6721"/>
    <w:rsid w:val="002E0D95"/>
    <w:rsid w:val="002E0FF7"/>
    <w:rsid w:val="002F449F"/>
    <w:rsid w:val="002F7439"/>
    <w:rsid w:val="00301A3E"/>
    <w:rsid w:val="0030557D"/>
    <w:rsid w:val="00305A7F"/>
    <w:rsid w:val="0030754C"/>
    <w:rsid w:val="003152FE"/>
    <w:rsid w:val="00323747"/>
    <w:rsid w:val="00326629"/>
    <w:rsid w:val="00327436"/>
    <w:rsid w:val="003364F9"/>
    <w:rsid w:val="0034166C"/>
    <w:rsid w:val="00344BD6"/>
    <w:rsid w:val="00351AB9"/>
    <w:rsid w:val="0035528D"/>
    <w:rsid w:val="00355897"/>
    <w:rsid w:val="00361821"/>
    <w:rsid w:val="003619D0"/>
    <w:rsid w:val="00361E9E"/>
    <w:rsid w:val="00367A23"/>
    <w:rsid w:val="003753EE"/>
    <w:rsid w:val="003760EC"/>
    <w:rsid w:val="003863AD"/>
    <w:rsid w:val="003A0835"/>
    <w:rsid w:val="003A5AAF"/>
    <w:rsid w:val="003B462A"/>
    <w:rsid w:val="003B5739"/>
    <w:rsid w:val="003B700A"/>
    <w:rsid w:val="003C3907"/>
    <w:rsid w:val="003C6734"/>
    <w:rsid w:val="003C7FBE"/>
    <w:rsid w:val="003D227C"/>
    <w:rsid w:val="003D2B4D"/>
    <w:rsid w:val="003E06D7"/>
    <w:rsid w:val="003F3108"/>
    <w:rsid w:val="003F37F5"/>
    <w:rsid w:val="00404556"/>
    <w:rsid w:val="00407A67"/>
    <w:rsid w:val="004165F7"/>
    <w:rsid w:val="004255E9"/>
    <w:rsid w:val="00427BC9"/>
    <w:rsid w:val="00444A88"/>
    <w:rsid w:val="00445119"/>
    <w:rsid w:val="00447B79"/>
    <w:rsid w:val="004607C2"/>
    <w:rsid w:val="004617FC"/>
    <w:rsid w:val="00466A36"/>
    <w:rsid w:val="00474145"/>
    <w:rsid w:val="00474DA4"/>
    <w:rsid w:val="00476B4D"/>
    <w:rsid w:val="004805FA"/>
    <w:rsid w:val="0049304D"/>
    <w:rsid w:val="004935D2"/>
    <w:rsid w:val="00497689"/>
    <w:rsid w:val="004B1215"/>
    <w:rsid w:val="004C7079"/>
    <w:rsid w:val="004D047D"/>
    <w:rsid w:val="004E051E"/>
    <w:rsid w:val="004E4F71"/>
    <w:rsid w:val="004F1E9E"/>
    <w:rsid w:val="004F305A"/>
    <w:rsid w:val="00512164"/>
    <w:rsid w:val="00517147"/>
    <w:rsid w:val="00520297"/>
    <w:rsid w:val="00524805"/>
    <w:rsid w:val="005338F9"/>
    <w:rsid w:val="00534FF1"/>
    <w:rsid w:val="00541767"/>
    <w:rsid w:val="0054281C"/>
    <w:rsid w:val="00544581"/>
    <w:rsid w:val="0055268D"/>
    <w:rsid w:val="005547F7"/>
    <w:rsid w:val="00563255"/>
    <w:rsid w:val="00575DE2"/>
    <w:rsid w:val="00576BE4"/>
    <w:rsid w:val="005779DB"/>
    <w:rsid w:val="00586238"/>
    <w:rsid w:val="00596C20"/>
    <w:rsid w:val="005A400A"/>
    <w:rsid w:val="005A5A4C"/>
    <w:rsid w:val="005B269D"/>
    <w:rsid w:val="005B598A"/>
    <w:rsid w:val="005C5CDE"/>
    <w:rsid w:val="005E69AD"/>
    <w:rsid w:val="005E7866"/>
    <w:rsid w:val="005F1093"/>
    <w:rsid w:val="005F2AE2"/>
    <w:rsid w:val="005F7B92"/>
    <w:rsid w:val="00612379"/>
    <w:rsid w:val="006153B6"/>
    <w:rsid w:val="0061555F"/>
    <w:rsid w:val="00616FA3"/>
    <w:rsid w:val="00623853"/>
    <w:rsid w:val="006245ED"/>
    <w:rsid w:val="00636CA6"/>
    <w:rsid w:val="00641200"/>
    <w:rsid w:val="00641CF7"/>
    <w:rsid w:val="00645CA8"/>
    <w:rsid w:val="00654048"/>
    <w:rsid w:val="00657F81"/>
    <w:rsid w:val="006655D3"/>
    <w:rsid w:val="00667404"/>
    <w:rsid w:val="00677D06"/>
    <w:rsid w:val="00687EB4"/>
    <w:rsid w:val="006906AD"/>
    <w:rsid w:val="00695C56"/>
    <w:rsid w:val="006A4467"/>
    <w:rsid w:val="006A5CDE"/>
    <w:rsid w:val="006A644A"/>
    <w:rsid w:val="006B17D2"/>
    <w:rsid w:val="006C224E"/>
    <w:rsid w:val="006D780A"/>
    <w:rsid w:val="00704433"/>
    <w:rsid w:val="0071203C"/>
    <w:rsid w:val="0071271E"/>
    <w:rsid w:val="0071575B"/>
    <w:rsid w:val="00726F2F"/>
    <w:rsid w:val="00732DEC"/>
    <w:rsid w:val="00735BD5"/>
    <w:rsid w:val="00743FD7"/>
    <w:rsid w:val="007451EC"/>
    <w:rsid w:val="00751613"/>
    <w:rsid w:val="00753EE9"/>
    <w:rsid w:val="007556F6"/>
    <w:rsid w:val="00760EEF"/>
    <w:rsid w:val="00777EE5"/>
    <w:rsid w:val="00784836"/>
    <w:rsid w:val="00787C47"/>
    <w:rsid w:val="0079023E"/>
    <w:rsid w:val="007A2854"/>
    <w:rsid w:val="007B6F49"/>
    <w:rsid w:val="007C1D92"/>
    <w:rsid w:val="007C4CB9"/>
    <w:rsid w:val="007D0B9D"/>
    <w:rsid w:val="007D19B0"/>
    <w:rsid w:val="007F498F"/>
    <w:rsid w:val="007F776A"/>
    <w:rsid w:val="00803989"/>
    <w:rsid w:val="0080679D"/>
    <w:rsid w:val="008108B0"/>
    <w:rsid w:val="00811B20"/>
    <w:rsid w:val="00812609"/>
    <w:rsid w:val="00814B77"/>
    <w:rsid w:val="008211B5"/>
    <w:rsid w:val="0082296E"/>
    <w:rsid w:val="008237F5"/>
    <w:rsid w:val="00824099"/>
    <w:rsid w:val="00827422"/>
    <w:rsid w:val="00846D7C"/>
    <w:rsid w:val="0085131C"/>
    <w:rsid w:val="00854D6D"/>
    <w:rsid w:val="00863F09"/>
    <w:rsid w:val="00867AC1"/>
    <w:rsid w:val="0087104F"/>
    <w:rsid w:val="008751DE"/>
    <w:rsid w:val="008853F8"/>
    <w:rsid w:val="00890DF8"/>
    <w:rsid w:val="008A0ADE"/>
    <w:rsid w:val="008A56E2"/>
    <w:rsid w:val="008A743F"/>
    <w:rsid w:val="008B171B"/>
    <w:rsid w:val="008B2259"/>
    <w:rsid w:val="008B5B97"/>
    <w:rsid w:val="008C0970"/>
    <w:rsid w:val="008C4246"/>
    <w:rsid w:val="008C4502"/>
    <w:rsid w:val="008D0BC5"/>
    <w:rsid w:val="008D2CF7"/>
    <w:rsid w:val="008E08F3"/>
    <w:rsid w:val="008F15FB"/>
    <w:rsid w:val="00900C26"/>
    <w:rsid w:val="0090197F"/>
    <w:rsid w:val="00903264"/>
    <w:rsid w:val="00905033"/>
    <w:rsid w:val="00906DDC"/>
    <w:rsid w:val="00916148"/>
    <w:rsid w:val="00934E09"/>
    <w:rsid w:val="00936253"/>
    <w:rsid w:val="00940D46"/>
    <w:rsid w:val="009413F1"/>
    <w:rsid w:val="00950F79"/>
    <w:rsid w:val="00952DD4"/>
    <w:rsid w:val="009561F4"/>
    <w:rsid w:val="00965AE7"/>
    <w:rsid w:val="00967E38"/>
    <w:rsid w:val="00970FED"/>
    <w:rsid w:val="00992D82"/>
    <w:rsid w:val="00996153"/>
    <w:rsid w:val="00997029"/>
    <w:rsid w:val="009A7339"/>
    <w:rsid w:val="009B440E"/>
    <w:rsid w:val="009C479D"/>
    <w:rsid w:val="009D2DBA"/>
    <w:rsid w:val="009D690D"/>
    <w:rsid w:val="009E081E"/>
    <w:rsid w:val="009E65B6"/>
    <w:rsid w:val="009E735E"/>
    <w:rsid w:val="009F0A51"/>
    <w:rsid w:val="009F77CF"/>
    <w:rsid w:val="00A24C10"/>
    <w:rsid w:val="00A2611F"/>
    <w:rsid w:val="00A32B5E"/>
    <w:rsid w:val="00A379E4"/>
    <w:rsid w:val="00A37B10"/>
    <w:rsid w:val="00A42AC3"/>
    <w:rsid w:val="00A430CF"/>
    <w:rsid w:val="00A517F7"/>
    <w:rsid w:val="00A54309"/>
    <w:rsid w:val="00A5781F"/>
    <w:rsid w:val="00A6049D"/>
    <w:rsid w:val="00A610A9"/>
    <w:rsid w:val="00A65A8C"/>
    <w:rsid w:val="00A677A9"/>
    <w:rsid w:val="00A80F2A"/>
    <w:rsid w:val="00A81FC5"/>
    <w:rsid w:val="00A9128E"/>
    <w:rsid w:val="00A96C02"/>
    <w:rsid w:val="00A96C33"/>
    <w:rsid w:val="00AB2B93"/>
    <w:rsid w:val="00AB530F"/>
    <w:rsid w:val="00AB7E5B"/>
    <w:rsid w:val="00AC1A50"/>
    <w:rsid w:val="00AC2883"/>
    <w:rsid w:val="00AC6938"/>
    <w:rsid w:val="00AD0D68"/>
    <w:rsid w:val="00AD2B2D"/>
    <w:rsid w:val="00AE0C7B"/>
    <w:rsid w:val="00AE0EF1"/>
    <w:rsid w:val="00AE2937"/>
    <w:rsid w:val="00AE4BE5"/>
    <w:rsid w:val="00AE5F0C"/>
    <w:rsid w:val="00AF2CA4"/>
    <w:rsid w:val="00B07301"/>
    <w:rsid w:val="00B11F3E"/>
    <w:rsid w:val="00B17042"/>
    <w:rsid w:val="00B170CA"/>
    <w:rsid w:val="00B21FD3"/>
    <w:rsid w:val="00B224DE"/>
    <w:rsid w:val="00B25C1F"/>
    <w:rsid w:val="00B324D4"/>
    <w:rsid w:val="00B46575"/>
    <w:rsid w:val="00B61777"/>
    <w:rsid w:val="00B622E6"/>
    <w:rsid w:val="00B67997"/>
    <w:rsid w:val="00B73D0F"/>
    <w:rsid w:val="00B82D08"/>
    <w:rsid w:val="00B83E82"/>
    <w:rsid w:val="00B84BBD"/>
    <w:rsid w:val="00B85DC9"/>
    <w:rsid w:val="00BA43FB"/>
    <w:rsid w:val="00BA6956"/>
    <w:rsid w:val="00BB0728"/>
    <w:rsid w:val="00BC127D"/>
    <w:rsid w:val="00BC1FE6"/>
    <w:rsid w:val="00BC47F8"/>
    <w:rsid w:val="00BD7D2C"/>
    <w:rsid w:val="00BE7C5F"/>
    <w:rsid w:val="00BF3691"/>
    <w:rsid w:val="00BF42FF"/>
    <w:rsid w:val="00C0525A"/>
    <w:rsid w:val="00C061B6"/>
    <w:rsid w:val="00C2446C"/>
    <w:rsid w:val="00C34BDE"/>
    <w:rsid w:val="00C36AE5"/>
    <w:rsid w:val="00C41F17"/>
    <w:rsid w:val="00C454AC"/>
    <w:rsid w:val="00C527FA"/>
    <w:rsid w:val="00C5280D"/>
    <w:rsid w:val="00C53788"/>
    <w:rsid w:val="00C53EB3"/>
    <w:rsid w:val="00C5791C"/>
    <w:rsid w:val="00C66290"/>
    <w:rsid w:val="00C72B7A"/>
    <w:rsid w:val="00C77D91"/>
    <w:rsid w:val="00C85E56"/>
    <w:rsid w:val="00C87E88"/>
    <w:rsid w:val="00C973F2"/>
    <w:rsid w:val="00CA304C"/>
    <w:rsid w:val="00CA774A"/>
    <w:rsid w:val="00CB4921"/>
    <w:rsid w:val="00CC11B0"/>
    <w:rsid w:val="00CC2841"/>
    <w:rsid w:val="00CF1330"/>
    <w:rsid w:val="00CF7E36"/>
    <w:rsid w:val="00D04BB7"/>
    <w:rsid w:val="00D10F0B"/>
    <w:rsid w:val="00D17076"/>
    <w:rsid w:val="00D23AA1"/>
    <w:rsid w:val="00D363EB"/>
    <w:rsid w:val="00D3708D"/>
    <w:rsid w:val="00D37F97"/>
    <w:rsid w:val="00D40426"/>
    <w:rsid w:val="00D4121A"/>
    <w:rsid w:val="00D51AC7"/>
    <w:rsid w:val="00D57C96"/>
    <w:rsid w:val="00D57D18"/>
    <w:rsid w:val="00D61973"/>
    <w:rsid w:val="00D6739B"/>
    <w:rsid w:val="00D70E65"/>
    <w:rsid w:val="00D767CB"/>
    <w:rsid w:val="00D76C98"/>
    <w:rsid w:val="00D84856"/>
    <w:rsid w:val="00D91203"/>
    <w:rsid w:val="00D95174"/>
    <w:rsid w:val="00DA4973"/>
    <w:rsid w:val="00DA6F36"/>
    <w:rsid w:val="00DB596E"/>
    <w:rsid w:val="00DB634A"/>
    <w:rsid w:val="00DB7773"/>
    <w:rsid w:val="00DC00EA"/>
    <w:rsid w:val="00DC3802"/>
    <w:rsid w:val="00DC5341"/>
    <w:rsid w:val="00DD6208"/>
    <w:rsid w:val="00DE0A9D"/>
    <w:rsid w:val="00DF66AB"/>
    <w:rsid w:val="00DF7E99"/>
    <w:rsid w:val="00E07D87"/>
    <w:rsid w:val="00E13162"/>
    <w:rsid w:val="00E2042B"/>
    <w:rsid w:val="00E249C8"/>
    <w:rsid w:val="00E25B8C"/>
    <w:rsid w:val="00E32F7E"/>
    <w:rsid w:val="00E5267B"/>
    <w:rsid w:val="00E54E30"/>
    <w:rsid w:val="00E54F3C"/>
    <w:rsid w:val="00E559F0"/>
    <w:rsid w:val="00E63C0E"/>
    <w:rsid w:val="00E645A7"/>
    <w:rsid w:val="00E7254A"/>
    <w:rsid w:val="00E72D49"/>
    <w:rsid w:val="00E7593C"/>
    <w:rsid w:val="00E7678A"/>
    <w:rsid w:val="00E77AEB"/>
    <w:rsid w:val="00E8132E"/>
    <w:rsid w:val="00E86C7F"/>
    <w:rsid w:val="00E935F1"/>
    <w:rsid w:val="00E94A81"/>
    <w:rsid w:val="00E9528E"/>
    <w:rsid w:val="00E96649"/>
    <w:rsid w:val="00EA1FFB"/>
    <w:rsid w:val="00EA2DD2"/>
    <w:rsid w:val="00EB048E"/>
    <w:rsid w:val="00EB4E9C"/>
    <w:rsid w:val="00EB5E0F"/>
    <w:rsid w:val="00EC288B"/>
    <w:rsid w:val="00EC4797"/>
    <w:rsid w:val="00ED7C77"/>
    <w:rsid w:val="00EE34DF"/>
    <w:rsid w:val="00EE4969"/>
    <w:rsid w:val="00EF2F89"/>
    <w:rsid w:val="00F03E98"/>
    <w:rsid w:val="00F050FB"/>
    <w:rsid w:val="00F1237A"/>
    <w:rsid w:val="00F1312D"/>
    <w:rsid w:val="00F22CBD"/>
    <w:rsid w:val="00F26A00"/>
    <w:rsid w:val="00F272F1"/>
    <w:rsid w:val="00F27F63"/>
    <w:rsid w:val="00F3020C"/>
    <w:rsid w:val="00F31412"/>
    <w:rsid w:val="00F45372"/>
    <w:rsid w:val="00F5596A"/>
    <w:rsid w:val="00F560F7"/>
    <w:rsid w:val="00F615CC"/>
    <w:rsid w:val="00F6334D"/>
    <w:rsid w:val="00F63599"/>
    <w:rsid w:val="00F71781"/>
    <w:rsid w:val="00F859E4"/>
    <w:rsid w:val="00F940DF"/>
    <w:rsid w:val="00FA49AB"/>
    <w:rsid w:val="00FC17C7"/>
    <w:rsid w:val="00FC4C30"/>
    <w:rsid w:val="00FC5FD0"/>
    <w:rsid w:val="00FD083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egrouptable v:ext="edit">
        <o:entry new="1" old="0"/>
      </o:regrouptable>
    </o:shapelayout>
  </w:shapeDefaults>
  <w:decimalSymbol w:val="."/>
  <w:listSeparator w:val=","/>
  <w15:docId w15:val="{66E1FCD4-8ED7-4FF6-95D4-BB76E4D2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uiPriority w:val="99"/>
    <w:qFormat/>
    <w:rsid w:val="005779DB"/>
    <w:pPr>
      <w:tabs>
        <w:tab w:val="left" w:pos="5387"/>
        <w:tab w:val="left" w:pos="5954"/>
      </w:tabs>
      <w:ind w:left="4820"/>
    </w:pPr>
    <w:rPr>
      <w:i/>
    </w:rPr>
  </w:style>
  <w:style w:type="paragraph" w:styleId="FootnoteText">
    <w:name w:val="footnote text"/>
    <w:link w:val="FootnoteTextChar"/>
    <w:autoRedefine/>
    <w:rsid w:val="00534FF1"/>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66A36"/>
    <w:pPr>
      <w:tabs>
        <w:tab w:val="right" w:leader="dot" w:pos="9639"/>
      </w:tabs>
      <w:spacing w:before="60" w:after="60"/>
      <w:ind w:left="720" w:right="720"/>
    </w:pPr>
    <w:rPr>
      <w:rFonts w:ascii="Arial" w:hAnsi="Arial"/>
    </w:rPr>
  </w:style>
  <w:style w:type="paragraph" w:styleId="TOC3">
    <w:name w:val="toc 3"/>
    <w:next w:val="Normal"/>
    <w:autoRedefine/>
    <w:uiPriority w:val="39"/>
    <w:rsid w:val="00466A36"/>
    <w:pPr>
      <w:tabs>
        <w:tab w:val="right" w:leader="dot" w:pos="9639"/>
      </w:tabs>
      <w:spacing w:before="60" w:after="60"/>
      <w:ind w:left="1440" w:right="720"/>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66A36"/>
    <w:pPr>
      <w:tabs>
        <w:tab w:val="right" w:leader="dot" w:pos="9639"/>
      </w:tabs>
      <w:spacing w:before="120"/>
      <w:ind w:right="576"/>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34FF1"/>
    <w:pPr>
      <w:ind w:left="720"/>
      <w:contextualSpacing/>
    </w:pPr>
  </w:style>
  <w:style w:type="character" w:customStyle="1" w:styleId="FooterChar">
    <w:name w:val="Footer Char"/>
    <w:aliases w:val="doc_path_name Char"/>
    <w:basedOn w:val="DefaultParagraphFont"/>
    <w:link w:val="Footer"/>
    <w:rsid w:val="00517147"/>
    <w:rPr>
      <w:rFonts w:ascii="Arial" w:hAnsi="Arial"/>
      <w:sz w:val="14"/>
    </w:rPr>
  </w:style>
  <w:style w:type="character" w:customStyle="1" w:styleId="FootnoteTextChar">
    <w:name w:val="Footnote Text Char"/>
    <w:basedOn w:val="DefaultParagraphFont"/>
    <w:link w:val="FootnoteText"/>
    <w:rsid w:val="00AD2B2D"/>
    <w:rPr>
      <w:rFonts w:ascii="Arial" w:hAnsi="Arial"/>
      <w:sz w:val="16"/>
    </w:rPr>
  </w:style>
  <w:style w:type="character" w:customStyle="1" w:styleId="HeaderChar">
    <w:name w:val="Header Char"/>
    <w:basedOn w:val="DefaultParagraphFont"/>
    <w:link w:val="Header"/>
    <w:rsid w:val="00046874"/>
    <w:rPr>
      <w:rFonts w:ascii="Arial" w:hAnsi="Arial"/>
      <w:lang w:val="fr-FR"/>
    </w:rPr>
  </w:style>
  <w:style w:type="character" w:customStyle="1" w:styleId="Heading1Char">
    <w:name w:val="Heading 1 Char"/>
    <w:aliases w:val="COMMON NAME Char,common Char"/>
    <w:basedOn w:val="DefaultParagraphFont"/>
    <w:link w:val="Heading1"/>
    <w:rsid w:val="00046874"/>
    <w:rPr>
      <w:rFonts w:ascii="Arial" w:hAnsi="Arial"/>
      <w:caps/>
    </w:rPr>
  </w:style>
  <w:style w:type="character" w:customStyle="1" w:styleId="Heading2Char">
    <w:name w:val="Heading 2 Char"/>
    <w:aliases w:val="VARIETY Char,variety Char"/>
    <w:link w:val="Heading2"/>
    <w:locked/>
    <w:rsid w:val="00046874"/>
    <w:rPr>
      <w:rFonts w:ascii="Arial" w:hAnsi="Arial"/>
      <w:u w:val="single"/>
    </w:rPr>
  </w:style>
  <w:style w:type="character" w:customStyle="1" w:styleId="Heading3Char">
    <w:name w:val="Heading 3 Char"/>
    <w:basedOn w:val="DefaultParagraphFont"/>
    <w:link w:val="Heading3"/>
    <w:rsid w:val="00046874"/>
    <w:rPr>
      <w:rFonts w:ascii="Arial" w:hAnsi="Arial"/>
      <w:i/>
    </w:rPr>
  </w:style>
  <w:style w:type="table" w:styleId="TableGrid">
    <w:name w:val="Table Grid"/>
    <w:basedOn w:val="TableNormal"/>
    <w:uiPriority w:val="39"/>
    <w:rsid w:val="00046874"/>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uiPriority w:val="99"/>
    <w:rsid w:val="00046874"/>
    <w:rPr>
      <w:rFonts w:ascii="Arial" w:hAnsi="Arial"/>
      <w:i/>
    </w:rPr>
  </w:style>
  <w:style w:type="table" w:customStyle="1" w:styleId="TableGrid1">
    <w:name w:val="Table Grid1"/>
    <w:basedOn w:val="TableNormal"/>
    <w:next w:val="TableGrid"/>
    <w:uiPriority w:val="39"/>
    <w:rsid w:val="00046874"/>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46874"/>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export/sites/upov/images/worldmap_es.jpg"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pov.int/export/sites/upov/members/es/pdf/pub423.pdf" TargetMode="External"/><Relationship Id="rId17" Type="http://schemas.openxmlformats.org/officeDocument/2006/relationships/diagramQuickStyle" Target="diagrams/quickStyle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seedtes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tad/seed"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2.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about/es/faq.html" TargetMode="External"/><Relationship Id="rId22" Type="http://schemas.openxmlformats.org/officeDocument/2006/relationships/header" Target="header3.xml"/><Relationship Id="rId27" Type="http://schemas.openxmlformats.org/officeDocument/2006/relationships/header" Target="header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es-ES_tradnl" sz="1000">
              <a:solidFill>
                <a:sysClr val="window" lastClr="FFFFFF"/>
              </a:solidFill>
              <a:latin typeface="Arial" panose="020B0604020202020204" pitchFamily="34" charset="0"/>
              <a:ea typeface="+mn-ea"/>
              <a:cs typeface="Arial" panose="020B0604020202020204" pitchFamily="34" charset="0"/>
            </a:rPr>
            <a:t>Certificado naranja internacional de lotes de semillas</a:t>
          </a:r>
          <a:r>
            <a:rPr lang="de-CH" sz="1000">
              <a:solidFill>
                <a:sysClr val="window" lastClr="FFFFFF"/>
              </a:solidFill>
              <a:latin typeface="Arial" panose="020B0604020202020204" pitchFamily="34" charset="0"/>
              <a:ea typeface="+mn-ea"/>
              <a:cs typeface="Arial" panose="020B0604020202020204" pitchFamily="34" charset="0"/>
            </a:rPr>
            <a:t>         </a:t>
          </a:r>
        </a:p>
      </dgm:t>
    </dgm:pt>
    <dgm:pt modelId="{60F0F445-5A1F-466E-A879-552C6E220B91}" type="parTrans" cxnId="{BBD38531-A795-4472-A241-14040624A61C}">
      <dgm:prSet/>
      <dgm:spPr/>
      <dgm:t>
        <a:bodyPr/>
        <a:lstStyle/>
        <a:p>
          <a:pPr algn="ctr"/>
          <a:endParaRPr lang="de-CH"/>
        </a:p>
      </dgm:t>
    </dgm:pt>
    <dgm:pt modelId="{F434DDCD-BE05-4BB0-B100-B26C93922D6B}" type="sibTrans" cxnId="{BBD38531-A795-4472-A241-14040624A61C}">
      <dgm:prSet/>
      <dgm:spPr/>
      <dgm:t>
        <a:bodyPr/>
        <a:lstStyle/>
        <a:p>
          <a:pPr algn="ctr"/>
          <a:endParaRPr lang="de-CH"/>
        </a:p>
      </dgm:t>
    </dgm:pt>
    <dgm:pt modelId="{4E0612E4-7DE3-44E1-8880-3956F30B1785}">
      <dgm:prSet phldrT="[Text]" custT="1"/>
      <dgm:spPr>
        <a:xfrm>
          <a:off x="367234" y="712052"/>
          <a:ext cx="1466922" cy="916826"/>
        </a:xfr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pPr algn="ctr"/>
          <a:r>
            <a:rPr lang="es-ES_tradnl"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tanto la toma de la muestra del lote como el análisis de la muestra se llevan a cabo bajo la responsabilidad de un laboratorio acreditado por la ISTA para el ensayo de semillas.</a:t>
          </a:r>
          <a:endParaRPr lang="de-CH"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noFill/>
        <a:ln w="12700" cap="flat" cmpd="sng" algn="ctr">
          <a:solidFill>
            <a:srgbClr val="FA7C18"/>
          </a:solidFill>
          <a:prstDash val="solid"/>
          <a:miter lim="800000"/>
        </a:ln>
        <a:effectLst/>
      </dgm:spPr>
      <dgm:t>
        <a:bodyPr/>
        <a:lstStyle/>
        <a:p>
          <a:pPr algn="ctr"/>
          <a:endParaRPr lang="de-CH"/>
        </a:p>
      </dgm:t>
    </dgm:pt>
    <dgm:pt modelId="{E0BB8903-8419-4644-B34B-FDAF75049E5F}" type="sibTrans" cxnId="{6CFC5D1C-D684-46B9-97C6-67593215A77D}">
      <dgm:prSet/>
      <dgm:spPr/>
      <dgm:t>
        <a:bodyPr/>
        <a:lstStyle/>
        <a:p>
          <a:pPr algn="ctr"/>
          <a:endParaRPr lang="de-CH"/>
        </a:p>
      </dgm:t>
    </dgm:pt>
    <dgm:pt modelId="{955721B5-58CA-4695-8D31-B7D79B661D4C}">
      <dgm:prSet phldrT="[Text]" custT="1"/>
      <dgm:spPr>
        <a:xfrm>
          <a:off x="2292570" y="108863"/>
          <a:ext cx="1833653" cy="377576"/>
        </a:xfr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es-ES_tradnl" sz="1000">
              <a:solidFill>
                <a:sysClr val="window" lastClr="FFFFFF"/>
              </a:solidFill>
              <a:latin typeface="Arial" panose="020B0604020202020204" pitchFamily="34" charset="0"/>
              <a:ea typeface="+mn-ea"/>
              <a:cs typeface="Arial" panose="020B0604020202020204" pitchFamily="34" charset="0"/>
            </a:rPr>
            <a:t>Certificado azul internacional de lotes de semillas</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A7F5E5F9-EC3D-4825-A194-DBFAAC55B49C}" type="parTrans" cxnId="{31C28D41-F13C-4891-9DEE-2EB2CED64D01}">
      <dgm:prSet/>
      <dgm:spPr/>
      <dgm:t>
        <a:bodyPr/>
        <a:lstStyle/>
        <a:p>
          <a:pPr algn="ctr"/>
          <a:endParaRPr lang="de-CH"/>
        </a:p>
      </dgm:t>
    </dgm:pt>
    <dgm:pt modelId="{321BE7A8-357B-4AC9-A61B-9966AF862E5F}" type="sibTrans" cxnId="{31C28D41-F13C-4891-9DEE-2EB2CED64D01}">
      <dgm:prSet/>
      <dgm:spPr/>
      <dgm:t>
        <a:bodyPr/>
        <a:lstStyle/>
        <a:p>
          <a:pPr algn="ctr"/>
          <a:endParaRPr lang="de-CH"/>
        </a:p>
      </dgm:t>
    </dgm:pt>
    <dgm:pt modelId="{00850504-3439-4058-A245-665152206831}">
      <dgm:prSet phldrT="[Text]" custT="1"/>
      <dgm:spPr>
        <a:xfrm>
          <a:off x="2659300" y="715646"/>
          <a:ext cx="1466922" cy="916826"/>
        </a:xfr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pPr algn="ctr"/>
          <a:r>
            <a:rPr lang="es-ES_tradnl"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la toma de la muestra del lote no se lleva a cabo bajo la responsabilidad de un laboratorio acreditado por la ISTA. Por tanto, los resultados que obtenga el laboratorio acreditado por la ISTA solo son válidos para la muestra y no para el lote de semillas del que se tomó la muestra.</a:t>
          </a:r>
          <a:endParaRPr lang="de-CH"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54E6803-71BC-4123-9179-1A77314244FC}" type="parTrans" cxnId="{A4FD51F1-B7FE-4139-B878-784FDD951FC9}">
      <dgm:prSet/>
      <dgm:spPr>
        <a:xfrm>
          <a:off x="2475935" y="486439"/>
          <a:ext cx="183365" cy="687619"/>
        </a:xfrm>
        <a:noFill/>
        <a:ln w="12700" cap="flat" cmpd="sng" algn="ctr">
          <a:solidFill>
            <a:srgbClr val="5B9BD5"/>
          </a:solidFill>
          <a:prstDash val="solid"/>
          <a:miter lim="800000"/>
        </a:ln>
        <a:effectLst/>
      </dgm:spPr>
      <dgm:t>
        <a:bodyPr/>
        <a:lstStyle/>
        <a:p>
          <a:pPr algn="ctr"/>
          <a:endParaRPr lang="de-CH"/>
        </a:p>
      </dgm:t>
    </dgm:pt>
    <dgm:pt modelId="{CDD9A283-4ACE-4179-9AC9-377E2482305B}" type="sibTrans" cxnId="{A4FD51F1-B7FE-4139-B878-784FDD951FC9}">
      <dgm:prSet/>
      <dgm:spPr/>
      <dgm:t>
        <a:bodyPr/>
        <a:lstStyle/>
        <a:p>
          <a:pPr algn="ctr"/>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X="110671" custScaleY="40791"/>
      <dgm:spPr>
        <a:prstGeom prst="roundRect">
          <a:avLst>
            <a:gd name="adj" fmla="val 10000"/>
          </a:avLst>
        </a:prstGeom>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a:custGeom>
          <a:avLst/>
          <a:gdLst/>
          <a:ahLst/>
          <a:cxnLst/>
          <a:rect l="0" t="0" r="0" b="0"/>
          <a:pathLst>
            <a:path>
              <a:moveTo>
                <a:pt x="0" y="0"/>
              </a:moveTo>
              <a:lnTo>
                <a:pt x="0" y="687619"/>
              </a:lnTo>
              <a:lnTo>
                <a:pt x="183365" y="687619"/>
              </a:lnTo>
            </a:path>
          </a:pathLst>
        </a:custGeom>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a:prstGeom prst="roundRect">
          <a:avLst>
            <a:gd name="adj" fmla="val 10000"/>
          </a:avLst>
        </a:prstGeom>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a:prstGeom prst="roundRect">
          <a:avLst>
            <a:gd name="adj" fmla="val 10000"/>
          </a:avLst>
        </a:prstGeom>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a:custGeom>
          <a:avLst/>
          <a:gdLst/>
          <a:ahLst/>
          <a:cxnLst/>
          <a:rect l="0" t="0" r="0" b="0"/>
          <a:pathLst>
            <a:path>
              <a:moveTo>
                <a:pt x="0" y="0"/>
              </a:moveTo>
              <a:lnTo>
                <a:pt x="0" y="687619"/>
              </a:lnTo>
              <a:lnTo>
                <a:pt x="183365" y="687619"/>
              </a:lnTo>
            </a:path>
          </a:pathLst>
        </a:custGeom>
      </dgm:spPr>
      <dgm:t>
        <a:bodyPr/>
        <a:lstStyle/>
        <a:p>
          <a:endParaRPr lang="en-US"/>
        </a:p>
      </dgm:t>
    </dgm:pt>
    <dgm:pt modelId="{324828C7-EE9E-44F7-B1DA-9F9F3CE0E904}" type="pres">
      <dgm:prSet presAssocID="{00850504-3439-4058-A245-665152206831}" presName="childText" presStyleLbl="bgAcc1" presStyleIdx="1" presStyleCnt="2" custScaleY="113836">
        <dgm:presLayoutVars>
          <dgm:bulletEnabled val="1"/>
        </dgm:presLayoutVars>
      </dgm:prSet>
      <dgm:spPr>
        <a:prstGeom prst="roundRect">
          <a:avLst>
            <a:gd name="adj" fmla="val 10000"/>
          </a:avLst>
        </a:prstGeom>
      </dgm:spPr>
      <dgm:t>
        <a:bodyPr/>
        <a:lstStyle/>
        <a:p>
          <a:endParaRPr lang="en-US"/>
        </a:p>
      </dgm:t>
    </dgm:pt>
  </dgm:ptLst>
  <dgm:cxnLst>
    <dgm:cxn modelId="{18AA38BD-5FBA-4ECD-B72C-E29AD0E96E2D}" type="presOf" srcId="{955721B5-58CA-4695-8D31-B7D79B661D4C}" destId="{FBCDD0BF-8055-49CF-8D9E-6C440A9D31CC}" srcOrd="1" destOrd="0" presId="urn:microsoft.com/office/officeart/2005/8/layout/hierarchy3"/>
    <dgm:cxn modelId="{34BAF704-C56A-4EEB-9B69-C0918971187E}" type="presOf" srcId="{00850504-3439-4058-A245-665152206831}" destId="{324828C7-EE9E-44F7-B1DA-9F9F3CE0E904}" srcOrd="0" destOrd="0" presId="urn:microsoft.com/office/officeart/2005/8/layout/hierarchy3"/>
    <dgm:cxn modelId="{0A47A7E3-7949-4374-930F-56BEC767FA32}" type="presOf" srcId="{D9C435B6-CA06-41AF-87DD-21B230F0E89E}" destId="{283657B9-F591-4BA6-A67D-314150D7B551}" srcOrd="1" destOrd="0" presId="urn:microsoft.com/office/officeart/2005/8/layout/hierarchy3"/>
    <dgm:cxn modelId="{49B06864-0A23-4444-98EE-BD6EF3D9BFF2}" type="presOf" srcId="{076A0B1D-E446-4335-AE64-FDABA5C77E38}" destId="{9716A20C-CD2C-4073-8675-311BA46592F5}" srcOrd="0" destOrd="0" presId="urn:microsoft.com/office/officeart/2005/8/layout/hierarchy3"/>
    <dgm:cxn modelId="{0A05FE72-5C54-4FEA-8FD3-5DFA233CAE77}" type="presOf" srcId="{955721B5-58CA-4695-8D31-B7D79B661D4C}" destId="{9E23BC41-006F-43C3-B525-B187D23D71C7}" srcOrd="0" destOrd="0" presId="urn:microsoft.com/office/officeart/2005/8/layout/hierarchy3"/>
    <dgm:cxn modelId="{C68A8574-4050-499A-B33A-2763EB4CE81F}" type="presOf" srcId="{03952CA9-C758-47E0-8313-93B1F913A98D}" destId="{310A1E43-F36E-4A87-9425-43095855FC1C}"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BBD38531-A795-4472-A241-14040624A61C}" srcId="{03952CA9-C758-47E0-8313-93B1F913A98D}" destId="{D9C435B6-CA06-41AF-87DD-21B230F0E89E}" srcOrd="0" destOrd="0" parTransId="{60F0F445-5A1F-466E-A879-552C6E220B91}" sibTransId="{F434DDCD-BE05-4BB0-B100-B26C93922D6B}"/>
    <dgm:cxn modelId="{A4FD51F1-B7FE-4139-B878-784FDD951FC9}" srcId="{955721B5-58CA-4695-8D31-B7D79B661D4C}" destId="{00850504-3439-4058-A245-665152206831}" srcOrd="0" destOrd="0" parTransId="{A54E6803-71BC-4123-9179-1A77314244FC}" sibTransId="{CDD9A283-4ACE-4179-9AC9-377E2482305B}"/>
    <dgm:cxn modelId="{433EA5E2-9076-4EEA-9131-703B44F2B233}" type="presOf" srcId="{4E0612E4-7DE3-44E1-8880-3956F30B1785}" destId="{7BE9336B-A08B-4FD0-87A7-703A2A8906C8}"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025A972A-AB8A-4CAF-963F-5A62E99A2812}" type="presOf" srcId="{A54E6803-71BC-4123-9179-1A77314244FC}" destId="{1967C7AE-0426-4D3C-90E0-E227DFA0551B}" srcOrd="0" destOrd="0" presId="urn:microsoft.com/office/officeart/2005/8/layout/hierarchy3"/>
    <dgm:cxn modelId="{2AA941B0-F5E1-49F3-9A29-B4BB0FD303D3}" type="presOf" srcId="{D9C435B6-CA06-41AF-87DD-21B230F0E89E}" destId="{48E9BA03-7739-4D6F-A1C0-DF79115C6FDE}" srcOrd="0" destOrd="0" presId="urn:microsoft.com/office/officeart/2005/8/layout/hierarchy3"/>
    <dgm:cxn modelId="{007F3BBE-A6F6-4B43-AEB3-24A8F2ED9255}" type="presParOf" srcId="{310A1E43-F36E-4A87-9425-43095855FC1C}" destId="{EE8568D5-56BE-4C5E-B521-55C2960B5C7E}" srcOrd="0" destOrd="0" presId="urn:microsoft.com/office/officeart/2005/8/layout/hierarchy3"/>
    <dgm:cxn modelId="{49F978A3-48BE-4560-A74C-1AD6134A5689}" type="presParOf" srcId="{EE8568D5-56BE-4C5E-B521-55C2960B5C7E}" destId="{42D807D9-08C7-442A-9E44-4F0BC0A41562}" srcOrd="0" destOrd="0" presId="urn:microsoft.com/office/officeart/2005/8/layout/hierarchy3"/>
    <dgm:cxn modelId="{01741BFE-5ACC-487D-B520-00187A31BFC8}" type="presParOf" srcId="{42D807D9-08C7-442A-9E44-4F0BC0A41562}" destId="{48E9BA03-7739-4D6F-A1C0-DF79115C6FDE}" srcOrd="0" destOrd="0" presId="urn:microsoft.com/office/officeart/2005/8/layout/hierarchy3"/>
    <dgm:cxn modelId="{B7D141A9-6DAC-4331-A5DB-5AC30C7DFC0F}" type="presParOf" srcId="{42D807D9-08C7-442A-9E44-4F0BC0A41562}" destId="{283657B9-F591-4BA6-A67D-314150D7B551}" srcOrd="1" destOrd="0" presId="urn:microsoft.com/office/officeart/2005/8/layout/hierarchy3"/>
    <dgm:cxn modelId="{D4ED75C6-EB6D-4836-80C4-2FDB92DF8C36}" type="presParOf" srcId="{EE8568D5-56BE-4C5E-B521-55C2960B5C7E}" destId="{998D10DC-E806-42AE-A6B6-D17C71BCE90D}" srcOrd="1" destOrd="0" presId="urn:microsoft.com/office/officeart/2005/8/layout/hierarchy3"/>
    <dgm:cxn modelId="{C4BF83DF-4061-4610-A69D-57A56EC142F5}" type="presParOf" srcId="{998D10DC-E806-42AE-A6B6-D17C71BCE90D}" destId="{9716A20C-CD2C-4073-8675-311BA46592F5}" srcOrd="0" destOrd="0" presId="urn:microsoft.com/office/officeart/2005/8/layout/hierarchy3"/>
    <dgm:cxn modelId="{3277D639-2114-4FDB-8A4D-3B43B773A4A8}" type="presParOf" srcId="{998D10DC-E806-42AE-A6B6-D17C71BCE90D}" destId="{7BE9336B-A08B-4FD0-87A7-703A2A8906C8}" srcOrd="1" destOrd="0" presId="urn:microsoft.com/office/officeart/2005/8/layout/hierarchy3"/>
    <dgm:cxn modelId="{0B1DA849-B10A-495C-B6D7-7F1460DF5DC8}" type="presParOf" srcId="{310A1E43-F36E-4A87-9425-43095855FC1C}" destId="{9AD994E1-EF94-4A0C-B097-38F4E436903B}" srcOrd="1" destOrd="0" presId="urn:microsoft.com/office/officeart/2005/8/layout/hierarchy3"/>
    <dgm:cxn modelId="{11B0F8A8-6C2D-4FB0-876E-2FCA83D0B0AB}" type="presParOf" srcId="{9AD994E1-EF94-4A0C-B097-38F4E436903B}" destId="{81FCE613-3A14-46D7-8271-F171F93F7E79}" srcOrd="0" destOrd="0" presId="urn:microsoft.com/office/officeart/2005/8/layout/hierarchy3"/>
    <dgm:cxn modelId="{0595B85E-6FC7-4316-B446-137F1D5A189E}" type="presParOf" srcId="{81FCE613-3A14-46D7-8271-F171F93F7E79}" destId="{9E23BC41-006F-43C3-B525-B187D23D71C7}" srcOrd="0" destOrd="0" presId="urn:microsoft.com/office/officeart/2005/8/layout/hierarchy3"/>
    <dgm:cxn modelId="{7300D6CE-CC55-481E-B5E1-ECEEC8AB821A}" type="presParOf" srcId="{81FCE613-3A14-46D7-8271-F171F93F7E79}" destId="{FBCDD0BF-8055-49CF-8D9E-6C440A9D31CC}" srcOrd="1" destOrd="0" presId="urn:microsoft.com/office/officeart/2005/8/layout/hierarchy3"/>
    <dgm:cxn modelId="{BBD0EB30-6447-48BD-AF49-AC5441EDF5F2}" type="presParOf" srcId="{9AD994E1-EF94-4A0C-B097-38F4E436903B}" destId="{0D3BC009-24AA-448B-8AAA-7D23793AB5C2}" srcOrd="1" destOrd="0" presId="urn:microsoft.com/office/officeart/2005/8/layout/hierarchy3"/>
    <dgm:cxn modelId="{03F9ACF3-FB91-4ACE-BC64-4CFCE02C8871}" type="presParOf" srcId="{0D3BC009-24AA-448B-8AAA-7D23793AB5C2}" destId="{1967C7AE-0426-4D3C-90E0-E227DFA0551B}" srcOrd="0" destOrd="0" presId="urn:microsoft.com/office/officeart/2005/8/layout/hierarchy3"/>
    <dgm:cxn modelId="{10FCF652-6C0A-4A24-8274-219991A5FD83}"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19" y="85140"/>
          <a:ext cx="1936166" cy="356815"/>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ES_tradnl" sz="1000" kern="1200">
              <a:solidFill>
                <a:sysClr val="window" lastClr="FFFFFF"/>
              </a:solidFill>
              <a:latin typeface="Arial" panose="020B0604020202020204" pitchFamily="34" charset="0"/>
              <a:ea typeface="+mn-ea"/>
              <a:cs typeface="Arial" panose="020B0604020202020204" pitchFamily="34" charset="0"/>
            </a:rPr>
            <a:t>Certificado naranja internacional de lotes de semillas</a:t>
          </a:r>
          <a:r>
            <a:rPr lang="de-CH" sz="1000" kern="1200">
              <a:solidFill>
                <a:sysClr val="window" lastClr="FFFFFF"/>
              </a:solidFill>
              <a:latin typeface="Arial" panose="020B0604020202020204" pitchFamily="34" charset="0"/>
              <a:ea typeface="+mn-ea"/>
              <a:cs typeface="Arial" panose="020B0604020202020204" pitchFamily="34" charset="0"/>
            </a:rPr>
            <a:t>         </a:t>
          </a:r>
        </a:p>
      </dsp:txBody>
      <dsp:txXfrm>
        <a:off x="10470" y="95591"/>
        <a:ext cx="1915264" cy="335913"/>
      </dsp:txXfrm>
    </dsp:sp>
    <dsp:sp modelId="{9716A20C-CD2C-4073-8675-311BA46592F5}">
      <dsp:nvSpPr>
        <dsp:cNvPr id="0" name=""/>
        <dsp:cNvSpPr/>
      </dsp:nvSpPr>
      <dsp:spPr>
        <a:xfrm>
          <a:off x="193635" y="441956"/>
          <a:ext cx="193616" cy="656054"/>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87252" y="660641"/>
          <a:ext cx="1399583" cy="874739"/>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s-ES_tradnl"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tanto la toma de la muestra del lote como el análisis de la muestra se llevan a cabo bajo la responsabilidad de un laboratorio acreditado por la ISTA para el ensayo de semillas.</a:t>
          </a:r>
          <a:endPar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12872" y="686261"/>
        <a:ext cx="1348343" cy="823499"/>
      </dsp:txXfrm>
    </dsp:sp>
    <dsp:sp modelId="{9E23BC41-006F-43C3-B525-B187D23D71C7}">
      <dsp:nvSpPr>
        <dsp:cNvPr id="0" name=""/>
        <dsp:cNvSpPr/>
      </dsp:nvSpPr>
      <dsp:spPr>
        <a:xfrm>
          <a:off x="2373555" y="85140"/>
          <a:ext cx="1749479" cy="360244"/>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ES_tradnl" sz="1000" kern="1200">
              <a:solidFill>
                <a:sysClr val="window" lastClr="FFFFFF"/>
              </a:solidFill>
              <a:latin typeface="Arial" panose="020B0604020202020204" pitchFamily="34" charset="0"/>
              <a:ea typeface="+mn-ea"/>
              <a:cs typeface="Arial" panose="020B0604020202020204" pitchFamily="34" charset="0"/>
            </a:rPr>
            <a:t>Certificado azul internacional de lotes de semillas</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2384106" y="95691"/>
        <a:ext cx="1728377" cy="339142"/>
      </dsp:txXfrm>
    </dsp:sp>
    <dsp:sp modelId="{1967C7AE-0426-4D3C-90E0-E227DFA0551B}">
      <dsp:nvSpPr>
        <dsp:cNvPr id="0" name=""/>
        <dsp:cNvSpPr/>
      </dsp:nvSpPr>
      <dsp:spPr>
        <a:xfrm>
          <a:off x="2548503" y="445385"/>
          <a:ext cx="174947" cy="71656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723451" y="664070"/>
          <a:ext cx="1399583" cy="99576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s-ES_tradnl"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la toma de la muestra del lote no se lleva a cabo bajo la responsabilidad de un laboratorio acreditado por la ISTA. Por tanto, los resultados que obtenga el laboratorio acreditado por la ISTA solo son válidos para la muestra y no para el lote de semillas del que se tomó la muestra.</a:t>
          </a:r>
          <a:endPar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752616" y="693235"/>
        <a:ext cx="1341253" cy="9374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5CEB-B90D-4349-A136-28A5C04D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8078</Words>
  <Characters>44315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CAJ/78/INF/5</vt:lpstr>
    </vt:vector>
  </TitlesOfParts>
  <Company>UPOV</Company>
  <LinksUpToDate>false</LinksUpToDate>
  <CharactersWithSpaces>52289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CAJ/78/INF/5</dc:title>
  <dc:creator>SANCHEZ VIZCAINO GOMEZ Rosa Maria</dc:creator>
  <cp:keywords>FOR OFFICIAL USE ONLY</cp:keywords>
  <cp:lastModifiedBy>SANTOS Carla Marina</cp:lastModifiedBy>
  <cp:revision>5</cp:revision>
  <cp:lastPrinted>2016-11-22T15:41:00Z</cp:lastPrinted>
  <dcterms:created xsi:type="dcterms:W3CDTF">2021-10-27T11:37:00Z</dcterms:created>
  <dcterms:modified xsi:type="dcterms:W3CDTF">2021-10-29T13:04:00Z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4e89f739-ef08-4aa2-b576-81956a01d5f1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