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27493" w14:paraId="7CBE9405" w14:textId="77777777" w:rsidTr="00EB4E9C">
        <w:tc>
          <w:tcPr>
            <w:tcW w:w="6522" w:type="dxa"/>
          </w:tcPr>
          <w:p w14:paraId="2BAC44F3" w14:textId="2C7E60F3" w:rsidR="00DC3802" w:rsidRPr="0012749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24A56E5D" wp14:editId="7987A47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ADDDEF2" w14:textId="77777777" w:rsidR="00DC3802" w:rsidRPr="00127493" w:rsidRDefault="00445119" w:rsidP="00445119">
            <w:pPr>
              <w:pStyle w:val="Lettrine"/>
            </w:pPr>
            <w:r>
              <w:t>S</w:t>
            </w:r>
          </w:p>
        </w:tc>
      </w:tr>
      <w:tr w:rsidR="00DC3802" w:rsidRPr="00127493" w14:paraId="7E082513" w14:textId="77777777" w:rsidTr="00645CA8">
        <w:trPr>
          <w:trHeight w:val="219"/>
        </w:trPr>
        <w:tc>
          <w:tcPr>
            <w:tcW w:w="6522" w:type="dxa"/>
          </w:tcPr>
          <w:p w14:paraId="3641872B" w14:textId="77777777" w:rsidR="00DC3802" w:rsidRPr="00127493" w:rsidRDefault="00445119" w:rsidP="00445119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0AEB4023" w14:textId="77777777" w:rsidR="00DC3802" w:rsidRPr="00127493" w:rsidRDefault="00DC3802" w:rsidP="00DA4973">
            <w:pPr>
              <w:rPr>
                <w:lang w:val="es-ES_tradnl"/>
              </w:rPr>
            </w:pPr>
          </w:p>
        </w:tc>
      </w:tr>
    </w:tbl>
    <w:p w14:paraId="19834A1B" w14:textId="77777777" w:rsidR="00445119" w:rsidRPr="00127493" w:rsidRDefault="00445119" w:rsidP="00DC3802">
      <w:pPr>
        <w:rPr>
          <w:lang w:val="es-ES_tradnl"/>
        </w:rPr>
      </w:pPr>
    </w:p>
    <w:p w14:paraId="5CBEBF8E" w14:textId="77777777" w:rsidR="00D70E65" w:rsidRPr="00127493" w:rsidRDefault="00D70E65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27493" w14:paraId="1395D455" w14:textId="77777777" w:rsidTr="00EB4E9C">
        <w:tc>
          <w:tcPr>
            <w:tcW w:w="6512" w:type="dxa"/>
          </w:tcPr>
          <w:p w14:paraId="1CC78AF2" w14:textId="77777777" w:rsidR="00445119" w:rsidRPr="00127493" w:rsidRDefault="00445119" w:rsidP="00445119">
            <w:pPr>
              <w:pStyle w:val="Sessiontc"/>
              <w:spacing w:line="240" w:lineRule="auto"/>
            </w:pPr>
            <w:r>
              <w:t>Comité Administrativo y Jurídico</w:t>
            </w:r>
          </w:p>
          <w:p w14:paraId="2E2A3005" w14:textId="77777777" w:rsidR="00445119" w:rsidRPr="00127493" w:rsidRDefault="00445119" w:rsidP="00445119">
            <w:pPr>
              <w:pStyle w:val="Sessiontcplacedate"/>
            </w:pPr>
            <w:r>
              <w:t>Septuagésima octava sesión</w:t>
            </w:r>
          </w:p>
          <w:p w14:paraId="2380FBF2" w14:textId="77777777" w:rsidR="00EB4E9C" w:rsidRPr="00127493" w:rsidRDefault="00445119" w:rsidP="00445119">
            <w:pPr>
              <w:pStyle w:val="Sessiontcplacedate"/>
            </w:pPr>
            <w:r>
              <w:t>Ginebra, 27 de octubre de 2021</w:t>
            </w:r>
          </w:p>
        </w:tc>
        <w:tc>
          <w:tcPr>
            <w:tcW w:w="3127" w:type="dxa"/>
          </w:tcPr>
          <w:p w14:paraId="264E3B5F" w14:textId="77777777" w:rsidR="00445119" w:rsidRPr="00127493" w:rsidRDefault="00474145" w:rsidP="003C7FBE">
            <w:pPr>
              <w:pStyle w:val="Doccode"/>
            </w:pPr>
            <w:r>
              <w:t>CAJ/78/INF/3</w:t>
            </w:r>
          </w:p>
          <w:p w14:paraId="224877CA" w14:textId="77777777" w:rsidR="00445119" w:rsidRPr="00127493" w:rsidRDefault="00445119" w:rsidP="00445119">
            <w:pPr>
              <w:pStyle w:val="Docoriginal"/>
            </w:pPr>
            <w:r>
              <w:t xml:space="preserve">Original: </w:t>
            </w:r>
            <w:r>
              <w:rPr>
                <w:b w:val="0"/>
              </w:rPr>
              <w:t>Inglés</w:t>
            </w:r>
          </w:p>
          <w:p w14:paraId="512856C6" w14:textId="77777777" w:rsidR="00EB4E9C" w:rsidRPr="00127493" w:rsidRDefault="00127493" w:rsidP="00127493">
            <w:pPr>
              <w:pStyle w:val="Docoriginal"/>
            </w:pPr>
            <w:r>
              <w:t>Fecha:</w:t>
            </w:r>
            <w:r>
              <w:rPr>
                <w:b w:val="0"/>
              </w:rPr>
              <w:t xml:space="preserve"> 18 de octubre de 2021</w:t>
            </w:r>
          </w:p>
        </w:tc>
      </w:tr>
    </w:tbl>
    <w:p w14:paraId="75FF71A7" w14:textId="77777777" w:rsidR="00445119" w:rsidRPr="00127493" w:rsidRDefault="00127493" w:rsidP="00445119">
      <w:pPr>
        <w:pStyle w:val="Titleofdoc0"/>
      </w:pPr>
      <w:r>
        <w:t>BASES DE DATOS DE INFORMACIÓN DE LA UPOV</w:t>
      </w:r>
    </w:p>
    <w:p w14:paraId="63B81D62" w14:textId="29E0D1A5" w:rsidR="00445119" w:rsidRPr="00127493" w:rsidRDefault="0041336C" w:rsidP="00445119">
      <w:pPr>
        <w:pStyle w:val="preparedby1"/>
        <w:jc w:val="left"/>
      </w:pPr>
      <w:r w:rsidRPr="0041336C">
        <w:t xml:space="preserve">Documento </w:t>
      </w:r>
      <w:r w:rsidR="00445119">
        <w:t>preparado por la Oficina de la Unión</w:t>
      </w:r>
    </w:p>
    <w:p w14:paraId="294C3369" w14:textId="77777777" w:rsidR="00445119" w:rsidRPr="00127493" w:rsidRDefault="00445119" w:rsidP="00445119">
      <w:pPr>
        <w:pStyle w:val="Disclaimer"/>
      </w:pPr>
      <w:r>
        <w:t>‏Descargo de responsabilidad: el presente documento no constituye un documento de política u orientación de la UPOV</w:t>
      </w:r>
    </w:p>
    <w:p w14:paraId="6B5D11D1" w14:textId="77777777" w:rsidR="00127493" w:rsidRPr="00127493" w:rsidRDefault="00127493" w:rsidP="00127493">
      <w:pPr>
        <w:keepNext/>
        <w:outlineLvl w:val="0"/>
        <w:rPr>
          <w:caps/>
        </w:rPr>
      </w:pPr>
      <w:bookmarkStart w:id="0" w:name="_Toc438657852"/>
      <w:bookmarkStart w:id="1" w:name="_Toc477797635"/>
      <w:bookmarkStart w:id="2" w:name="_Toc53586182"/>
      <w:bookmarkStart w:id="3" w:name="_Toc86125728"/>
      <w:r>
        <w:rPr>
          <w:caps/>
        </w:rPr>
        <w:t>Resumen</w:t>
      </w:r>
      <w:bookmarkEnd w:id="0"/>
      <w:bookmarkEnd w:id="1"/>
      <w:bookmarkEnd w:id="2"/>
      <w:bookmarkEnd w:id="3"/>
    </w:p>
    <w:p w14:paraId="6C81747C" w14:textId="77777777" w:rsidR="00127493" w:rsidRPr="00127493" w:rsidRDefault="00127493" w:rsidP="00127493">
      <w:pPr>
        <w:rPr>
          <w:lang w:val="es-ES_tradnl"/>
        </w:rPr>
      </w:pPr>
    </w:p>
    <w:p w14:paraId="3D5EB91A" w14:textId="77777777" w:rsidR="00127493" w:rsidRPr="00127493" w:rsidRDefault="00127493" w:rsidP="00127493">
      <w:r w:rsidRPr="00127493">
        <w:fldChar w:fldCharType="begin"/>
      </w:r>
      <w:r w:rsidRPr="00127493">
        <w:instrText xml:space="preserve"> AUTONUM  </w:instrText>
      </w:r>
      <w:r w:rsidRPr="00127493">
        <w:fldChar w:fldCharType="end"/>
      </w:r>
      <w:r>
        <w:tab/>
        <w:t xml:space="preserve">El presente documento tiene por finalidad informar de las novedades acontecidas en relación con la base de datos GENIE, el sistema de códigos UPOV y la base de datos PLUTO que no se examinan en otros documentos. </w:t>
      </w:r>
    </w:p>
    <w:p w14:paraId="75EFDE41" w14:textId="77777777" w:rsidR="00127493" w:rsidRPr="00127493" w:rsidRDefault="00127493" w:rsidP="00127493">
      <w:pPr>
        <w:rPr>
          <w:lang w:val="es-ES_tradnl"/>
        </w:rPr>
      </w:pPr>
    </w:p>
    <w:p w14:paraId="0E2E4C37" w14:textId="77777777" w:rsidR="00127493" w:rsidRPr="00127493" w:rsidRDefault="00127493" w:rsidP="00127493">
      <w:pPr>
        <w:keepNext/>
        <w:keepLines/>
      </w:pPr>
      <w:r w:rsidRPr="00127493">
        <w:fldChar w:fldCharType="begin"/>
      </w:r>
      <w:r w:rsidRPr="00127493">
        <w:instrText xml:space="preserve"> AUTONUM  </w:instrText>
      </w:r>
      <w:r w:rsidRPr="00127493">
        <w:fldChar w:fldCharType="end"/>
      </w:r>
      <w:r>
        <w:tab/>
        <w:t>El presente documento se estructura del modo siguiente:</w:t>
      </w:r>
    </w:p>
    <w:p w14:paraId="212EA356" w14:textId="77777777" w:rsidR="00127493" w:rsidRPr="00127493" w:rsidRDefault="00127493" w:rsidP="00127493">
      <w:pPr>
        <w:keepNext/>
        <w:outlineLvl w:val="0"/>
        <w:rPr>
          <w:rFonts w:eastAsia="MS Mincho"/>
          <w:caps/>
          <w:lang w:val="es-ES_tradnl"/>
        </w:rPr>
      </w:pPr>
    </w:p>
    <w:sdt>
      <w:sdtPr>
        <w:rPr>
          <w:caps w:val="0"/>
          <w:smallCaps/>
        </w:rPr>
        <w:id w:val="-454788501"/>
        <w:docPartObj>
          <w:docPartGallery w:val="Table of Contents"/>
          <w:docPartUnique/>
        </w:docPartObj>
      </w:sdtPr>
      <w:sdtEndPr/>
      <w:sdtContent>
        <w:p w14:paraId="153CED6A" w14:textId="63DA1FCE" w:rsidR="00BE08E4" w:rsidRDefault="0012749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r w:rsidRPr="00127493">
            <w:fldChar w:fldCharType="begin"/>
          </w:r>
          <w:r w:rsidRPr="00127493">
            <w:instrText xml:space="preserve"> TOC \o "1-3" \h \z \u </w:instrText>
          </w:r>
          <w:r w:rsidRPr="00127493">
            <w:fldChar w:fldCharType="separate"/>
          </w:r>
          <w:hyperlink w:anchor="_Toc86125728" w:history="1">
            <w:r w:rsidR="00BE08E4" w:rsidRPr="002074CC">
              <w:rPr>
                <w:rStyle w:val="Hyperlink"/>
                <w:noProof/>
              </w:rPr>
              <w:t>Resumen</w:t>
            </w:r>
            <w:r w:rsidR="00BE08E4">
              <w:rPr>
                <w:noProof/>
                <w:webHidden/>
              </w:rPr>
              <w:tab/>
            </w:r>
            <w:r w:rsidR="00BE08E4">
              <w:rPr>
                <w:noProof/>
                <w:webHidden/>
              </w:rPr>
              <w:fldChar w:fldCharType="begin"/>
            </w:r>
            <w:r w:rsidR="00BE08E4">
              <w:rPr>
                <w:noProof/>
                <w:webHidden/>
              </w:rPr>
              <w:instrText xml:space="preserve"> PAGEREF _Toc86125728 \h </w:instrText>
            </w:r>
            <w:r w:rsidR="00BE08E4">
              <w:rPr>
                <w:noProof/>
                <w:webHidden/>
              </w:rPr>
            </w:r>
            <w:r w:rsidR="00BE08E4">
              <w:rPr>
                <w:noProof/>
                <w:webHidden/>
              </w:rPr>
              <w:fldChar w:fldCharType="separate"/>
            </w:r>
            <w:r w:rsidR="00B80A25">
              <w:rPr>
                <w:noProof/>
                <w:webHidden/>
              </w:rPr>
              <w:t>1</w:t>
            </w:r>
            <w:r w:rsidR="00BE08E4">
              <w:rPr>
                <w:noProof/>
                <w:webHidden/>
              </w:rPr>
              <w:fldChar w:fldCharType="end"/>
            </w:r>
          </w:hyperlink>
        </w:p>
        <w:p w14:paraId="5D6CC6CF" w14:textId="0C4C19A5" w:rsidR="00BE08E4" w:rsidRDefault="00B80A25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hyperlink w:anchor="_Toc86125729" w:history="1">
            <w:r w:rsidR="00BE08E4" w:rsidRPr="002074CC">
              <w:rPr>
                <w:rStyle w:val="Hyperlink"/>
                <w:noProof/>
              </w:rPr>
              <w:t>BASE DE DAT</w:t>
            </w:r>
            <w:bookmarkStart w:id="4" w:name="_GoBack"/>
            <w:bookmarkEnd w:id="4"/>
            <w:r w:rsidR="00BE08E4" w:rsidRPr="002074CC">
              <w:rPr>
                <w:rStyle w:val="Hyperlink"/>
                <w:noProof/>
              </w:rPr>
              <w:t>OS GENIE</w:t>
            </w:r>
            <w:r w:rsidR="00BE08E4">
              <w:rPr>
                <w:noProof/>
                <w:webHidden/>
              </w:rPr>
              <w:tab/>
            </w:r>
            <w:r w:rsidR="00BE08E4">
              <w:rPr>
                <w:noProof/>
                <w:webHidden/>
              </w:rPr>
              <w:fldChar w:fldCharType="begin"/>
            </w:r>
            <w:r w:rsidR="00BE08E4">
              <w:rPr>
                <w:noProof/>
                <w:webHidden/>
              </w:rPr>
              <w:instrText xml:space="preserve"> PAGEREF _Toc86125729 \h </w:instrText>
            </w:r>
            <w:r w:rsidR="00BE08E4">
              <w:rPr>
                <w:noProof/>
                <w:webHidden/>
              </w:rPr>
            </w:r>
            <w:r w:rsidR="00BE08E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BE08E4">
              <w:rPr>
                <w:noProof/>
                <w:webHidden/>
              </w:rPr>
              <w:fldChar w:fldCharType="end"/>
            </w:r>
          </w:hyperlink>
        </w:p>
        <w:p w14:paraId="3113E218" w14:textId="06F29974" w:rsidR="00BE08E4" w:rsidRDefault="00B80A25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hyperlink w:anchor="_Toc86125730" w:history="1">
            <w:r w:rsidR="00BE08E4" w:rsidRPr="002074CC">
              <w:rPr>
                <w:rStyle w:val="Hyperlink"/>
                <w:noProof/>
              </w:rPr>
              <w:t>Sistema de códigos de la UPOV</w:t>
            </w:r>
            <w:r w:rsidR="00BE08E4">
              <w:rPr>
                <w:noProof/>
                <w:webHidden/>
              </w:rPr>
              <w:tab/>
            </w:r>
            <w:r w:rsidR="00BE08E4">
              <w:rPr>
                <w:noProof/>
                <w:webHidden/>
              </w:rPr>
              <w:fldChar w:fldCharType="begin"/>
            </w:r>
            <w:r w:rsidR="00BE08E4">
              <w:rPr>
                <w:noProof/>
                <w:webHidden/>
              </w:rPr>
              <w:instrText xml:space="preserve"> PAGEREF _Toc86125730 \h </w:instrText>
            </w:r>
            <w:r w:rsidR="00BE08E4">
              <w:rPr>
                <w:noProof/>
                <w:webHidden/>
              </w:rPr>
            </w:r>
            <w:r w:rsidR="00BE08E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="00BE08E4">
              <w:rPr>
                <w:noProof/>
                <w:webHidden/>
              </w:rPr>
              <w:fldChar w:fldCharType="end"/>
            </w:r>
          </w:hyperlink>
        </w:p>
        <w:p w14:paraId="62D585F6" w14:textId="2EE06E03" w:rsidR="00BE08E4" w:rsidRPr="003071E1" w:rsidRDefault="00B80A25" w:rsidP="003071E1">
          <w:pPr>
            <w:pStyle w:val="TOC2"/>
            <w:ind w:left="720" w:right="720" w:firstLine="0"/>
            <w:rPr>
              <w:rStyle w:val="Hyperlink"/>
              <w:noProof/>
              <w:lang w:val="en-US"/>
            </w:rPr>
          </w:pPr>
          <w:hyperlink w:anchor="_Toc86125731" w:history="1">
            <w:r w:rsidR="00BE08E4" w:rsidRPr="003071E1">
              <w:rPr>
                <w:rStyle w:val="Hyperlink"/>
                <w:smallCaps w:val="0"/>
                <w:noProof/>
                <w:lang w:val="en-US"/>
              </w:rPr>
              <w:t>Novedades en los códigos UPOV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tab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begin"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instrText xml:space="preserve"> PAGEREF _Toc86125731 \h </w:instrTex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separate"/>
            </w:r>
            <w:r>
              <w:rPr>
                <w:rStyle w:val="Hyperlink"/>
                <w:smallCaps w:val="0"/>
                <w:noProof/>
                <w:webHidden/>
                <w:lang w:val="en-US"/>
              </w:rPr>
              <w:t>2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end"/>
            </w:r>
          </w:hyperlink>
        </w:p>
        <w:p w14:paraId="34812701" w14:textId="5B055E55" w:rsidR="00BE08E4" w:rsidRDefault="00B80A25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es-ES"/>
            </w:rPr>
          </w:pPr>
          <w:hyperlink w:anchor="_Toc86125732" w:history="1">
            <w:r w:rsidR="00BE08E4" w:rsidRPr="002074CC">
              <w:rPr>
                <w:rStyle w:val="Hyperlink"/>
                <w:noProof/>
              </w:rPr>
              <w:t>BASE DE DATOS PLUTO</w:t>
            </w:r>
            <w:r w:rsidR="00BE08E4">
              <w:rPr>
                <w:noProof/>
                <w:webHidden/>
              </w:rPr>
              <w:tab/>
            </w:r>
            <w:r w:rsidR="00BE08E4">
              <w:rPr>
                <w:noProof/>
                <w:webHidden/>
              </w:rPr>
              <w:fldChar w:fldCharType="begin"/>
            </w:r>
            <w:r w:rsidR="00BE08E4">
              <w:rPr>
                <w:noProof/>
                <w:webHidden/>
              </w:rPr>
              <w:instrText xml:space="preserve"> PAGEREF _Toc86125732 \h </w:instrText>
            </w:r>
            <w:r w:rsidR="00BE08E4">
              <w:rPr>
                <w:noProof/>
                <w:webHidden/>
              </w:rPr>
            </w:r>
            <w:r w:rsidR="00BE08E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BE08E4">
              <w:rPr>
                <w:noProof/>
                <w:webHidden/>
              </w:rPr>
              <w:fldChar w:fldCharType="end"/>
            </w:r>
          </w:hyperlink>
        </w:p>
        <w:p w14:paraId="59C215C6" w14:textId="772AC6DF" w:rsidR="00BE08E4" w:rsidRPr="003071E1" w:rsidRDefault="00B80A25" w:rsidP="003071E1">
          <w:pPr>
            <w:pStyle w:val="TOC2"/>
            <w:ind w:left="720" w:right="720" w:firstLine="0"/>
            <w:rPr>
              <w:rStyle w:val="Hyperlink"/>
              <w:noProof/>
              <w:lang w:val="en-US"/>
            </w:rPr>
          </w:pPr>
          <w:hyperlink w:anchor="_Toc86125733" w:history="1">
            <w:r w:rsidR="00BE08E4" w:rsidRPr="003071E1">
              <w:rPr>
                <w:rStyle w:val="Hyperlink"/>
                <w:smallCaps w:val="0"/>
                <w:noProof/>
                <w:lang w:val="en-US"/>
              </w:rPr>
              <w:t>Programa de mejoras de la base de datos PLUTO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tab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begin"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instrText xml:space="preserve"> PAGEREF _Toc86125733 \h </w:instrTex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separate"/>
            </w:r>
            <w:r>
              <w:rPr>
                <w:rStyle w:val="Hyperlink"/>
                <w:smallCaps w:val="0"/>
                <w:noProof/>
                <w:webHidden/>
                <w:lang w:val="en-US"/>
              </w:rPr>
              <w:t>2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end"/>
            </w:r>
          </w:hyperlink>
        </w:p>
        <w:p w14:paraId="05CA208E" w14:textId="081FE267" w:rsidR="00BE08E4" w:rsidRPr="003071E1" w:rsidRDefault="00B80A25" w:rsidP="003071E1">
          <w:pPr>
            <w:pStyle w:val="TOC2"/>
            <w:ind w:left="720" w:right="720" w:firstLine="0"/>
            <w:rPr>
              <w:rStyle w:val="Hyperlink"/>
              <w:noProof/>
              <w:lang w:val="en-US"/>
            </w:rPr>
          </w:pPr>
          <w:hyperlink w:anchor="_Toc86125734" w:history="1">
            <w:r w:rsidR="00BE08E4" w:rsidRPr="003071E1">
              <w:rPr>
                <w:rStyle w:val="Hyperlink"/>
                <w:smallCaps w:val="0"/>
                <w:noProof/>
                <w:lang w:val="en-US"/>
              </w:rPr>
              <w:t>Instrumentos de búsqueda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tab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begin"/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instrText xml:space="preserve"> PAGEREF _Toc86125734 \h </w:instrTex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separate"/>
            </w:r>
            <w:r>
              <w:rPr>
                <w:rStyle w:val="Hyperlink"/>
                <w:smallCaps w:val="0"/>
                <w:noProof/>
                <w:webHidden/>
                <w:lang w:val="en-US"/>
              </w:rPr>
              <w:t>2</w:t>
            </w:r>
            <w:r w:rsidR="00BE08E4" w:rsidRPr="003071E1">
              <w:rPr>
                <w:rStyle w:val="Hyperlink"/>
                <w:smallCaps w:val="0"/>
                <w:noProof/>
                <w:webHidden/>
                <w:lang w:val="en-US"/>
              </w:rPr>
              <w:fldChar w:fldCharType="end"/>
            </w:r>
          </w:hyperlink>
        </w:p>
        <w:p w14:paraId="364F8FF9" w14:textId="77777777" w:rsidR="00127493" w:rsidRPr="00127493" w:rsidRDefault="00127493" w:rsidP="00127493">
          <w:pPr>
            <w:pStyle w:val="TOC2"/>
            <w:rPr>
              <w:sz w:val="18"/>
            </w:rPr>
          </w:pPr>
          <w:r w:rsidRPr="00127493">
            <w:fldChar w:fldCharType="end"/>
          </w:r>
        </w:p>
      </w:sdtContent>
    </w:sdt>
    <w:p w14:paraId="255319A0" w14:textId="77777777" w:rsidR="00127493" w:rsidRPr="0041336C" w:rsidRDefault="00127493" w:rsidP="00127493">
      <w:pPr>
        <w:keepNext/>
        <w:outlineLvl w:val="0"/>
        <w:rPr>
          <w:rFonts w:eastAsia="MS Mincho"/>
          <w:caps/>
          <w:sz w:val="14"/>
          <w:lang w:val="es-ES_tradnl"/>
        </w:rPr>
      </w:pPr>
    </w:p>
    <w:p w14:paraId="000AE49F" w14:textId="77777777" w:rsidR="00127493" w:rsidRPr="0041336C" w:rsidRDefault="00127493" w:rsidP="00127493">
      <w:pPr>
        <w:keepNext/>
        <w:outlineLvl w:val="0"/>
        <w:rPr>
          <w:rFonts w:eastAsia="MS Mincho"/>
          <w:caps/>
          <w:sz w:val="14"/>
          <w:lang w:val="es-ES_tradnl"/>
        </w:rPr>
      </w:pPr>
    </w:p>
    <w:p w14:paraId="3CF164E7" w14:textId="77777777" w:rsidR="00127493" w:rsidRPr="00127493" w:rsidRDefault="00127493" w:rsidP="00127493">
      <w:pPr>
        <w:keepNext/>
        <w:outlineLvl w:val="0"/>
        <w:rPr>
          <w:rFonts w:eastAsia="MS Mincho"/>
          <w:caps/>
        </w:rPr>
      </w:pPr>
      <w:bookmarkStart w:id="5" w:name="_Toc86125729"/>
      <w:r>
        <w:rPr>
          <w:caps/>
        </w:rPr>
        <w:t>BASE DE DATOS GENIE</w:t>
      </w:r>
      <w:bookmarkEnd w:id="5"/>
    </w:p>
    <w:p w14:paraId="13B8D427" w14:textId="77777777" w:rsidR="00127493" w:rsidRPr="00127493" w:rsidRDefault="00127493" w:rsidP="00127493">
      <w:pPr>
        <w:rPr>
          <w:rFonts w:eastAsiaTheme="minorEastAsia"/>
          <w:lang w:val="es-ES_tradnl" w:eastAsia="ja-JP"/>
        </w:rPr>
      </w:pPr>
    </w:p>
    <w:p w14:paraId="34AFA24D" w14:textId="33250098" w:rsidR="00127493" w:rsidRPr="00127493" w:rsidRDefault="00127493" w:rsidP="00127493">
      <w:pPr>
        <w:rPr>
          <w:rFonts w:eastAsiaTheme="minorEastAsia"/>
          <w:caps/>
        </w:rPr>
      </w:pPr>
      <w:r w:rsidRPr="00127493">
        <w:rPr>
          <w:rFonts w:eastAsiaTheme="minorEastAsia" w:cs="Arial"/>
        </w:rPr>
        <w:fldChar w:fldCharType="begin"/>
      </w:r>
      <w:r w:rsidRPr="00127493">
        <w:rPr>
          <w:rFonts w:eastAsiaTheme="minorEastAsia" w:cs="Arial"/>
        </w:rPr>
        <w:instrText xml:space="preserve"> AUTONUM  </w:instrText>
      </w:r>
      <w:r w:rsidRPr="00127493">
        <w:rPr>
          <w:rFonts w:eastAsiaTheme="minorEastAsia" w:cs="Arial"/>
        </w:rPr>
        <w:fldChar w:fldCharType="end"/>
      </w:r>
      <w:r>
        <w:tab/>
        <w:t>El propósito de la base de datos GENIE (</w:t>
      </w:r>
      <w:hyperlink r:id="rId9" w:history="1">
        <w:r>
          <w:rPr>
            <w:color w:val="0000FF"/>
            <w:u w:val="single"/>
          </w:rPr>
          <w:t>http://www.upov.int/genie/es/</w:t>
        </w:r>
      </w:hyperlink>
      <w:r>
        <w:t>) es proporcionar información en Internet sobre la situación de la protección, la cooperación en materia de examen, la experiencia en el examen DHE y la existencia de directrices de examen de la UPOV para distintos GÉNeros y especIEs (de ahí el nombre GENIE). También se utiliza para elaborar los documentos pertinentes del Consejo y d</w:t>
      </w:r>
      <w:r w:rsidR="0041336C">
        <w:t>el Comité </w:t>
      </w:r>
      <w:r>
        <w:t>Técnico (TC) relativos a esa información.</w:t>
      </w:r>
      <w:r w:rsidRPr="00127493">
        <w:rPr>
          <w:rFonts w:eastAsiaTheme="minorEastAsia" w:cs="Arial"/>
          <w:vertAlign w:val="superscript"/>
          <w:lang w:val="es-ES_tradnl"/>
        </w:rPr>
        <w:footnoteReference w:id="2"/>
      </w:r>
    </w:p>
    <w:p w14:paraId="50F23E69" w14:textId="77777777" w:rsidR="00127493" w:rsidRPr="00127493" w:rsidRDefault="00127493" w:rsidP="00127493">
      <w:pPr>
        <w:rPr>
          <w:rFonts w:eastAsiaTheme="minorEastAsia" w:cs="Arial"/>
          <w:lang w:val="es-ES_tradnl"/>
        </w:rPr>
      </w:pPr>
    </w:p>
    <w:p w14:paraId="78512532" w14:textId="77777777" w:rsidR="00127493" w:rsidRPr="00127493" w:rsidRDefault="00127493" w:rsidP="00127493">
      <w:pPr>
        <w:rPr>
          <w:rFonts w:eastAsiaTheme="minorEastAsia" w:cs="Arial"/>
        </w:rPr>
      </w:pPr>
      <w:r w:rsidRPr="00127493">
        <w:rPr>
          <w:rFonts w:eastAsiaTheme="minorEastAsia" w:cs="Arial"/>
        </w:rPr>
        <w:fldChar w:fldCharType="begin"/>
      </w:r>
      <w:r w:rsidRPr="00127493">
        <w:rPr>
          <w:rFonts w:eastAsiaTheme="minorEastAsia" w:cs="Arial"/>
        </w:rPr>
        <w:instrText xml:space="preserve"> AUTONUM  </w:instrText>
      </w:r>
      <w:r w:rsidRPr="00127493">
        <w:rPr>
          <w:rFonts w:eastAsiaTheme="minorEastAsia" w:cs="Arial"/>
        </w:rPr>
        <w:fldChar w:fldCharType="end"/>
      </w:r>
      <w:r>
        <w:tab/>
        <w:t>La base de datos GENIE constituye el repertorio de códigos UPOV y proporciona información sobre los nombres botánicos y nombres comunes principales y alternativos de los taxones vegetales.</w:t>
      </w:r>
    </w:p>
    <w:p w14:paraId="5C0CF44F" w14:textId="77777777" w:rsidR="00127493" w:rsidRPr="00127493" w:rsidRDefault="00127493" w:rsidP="00127493">
      <w:pPr>
        <w:rPr>
          <w:rFonts w:eastAsiaTheme="minorEastAsia"/>
          <w:sz w:val="18"/>
          <w:lang w:val="es-ES_tradnl"/>
        </w:rPr>
      </w:pPr>
    </w:p>
    <w:p w14:paraId="7805725B" w14:textId="77777777" w:rsidR="00127493" w:rsidRPr="00127493" w:rsidRDefault="00127493" w:rsidP="00127493">
      <w:pPr>
        <w:rPr>
          <w:rFonts w:eastAsiaTheme="minorEastAsia"/>
          <w:sz w:val="18"/>
          <w:lang w:val="es-ES_tradnl"/>
        </w:rPr>
      </w:pPr>
    </w:p>
    <w:p w14:paraId="04011056" w14:textId="77777777" w:rsidR="00127493" w:rsidRPr="00127493" w:rsidRDefault="00127493" w:rsidP="00127493">
      <w:pPr>
        <w:rPr>
          <w:rFonts w:eastAsiaTheme="minorEastAsia"/>
          <w:lang w:val="es-ES_tradnl"/>
        </w:rPr>
      </w:pPr>
    </w:p>
    <w:p w14:paraId="37DC6FB6" w14:textId="77777777" w:rsidR="00127493" w:rsidRPr="00127493" w:rsidRDefault="00127493" w:rsidP="00127493">
      <w:pPr>
        <w:keepNext/>
        <w:outlineLvl w:val="0"/>
        <w:rPr>
          <w:rFonts w:eastAsiaTheme="minorEastAsia"/>
          <w:caps/>
        </w:rPr>
      </w:pPr>
      <w:bookmarkStart w:id="6" w:name="_Toc477797639"/>
      <w:bookmarkStart w:id="7" w:name="_Toc68852030"/>
      <w:bookmarkStart w:id="8" w:name="_Toc86125730"/>
      <w:r>
        <w:rPr>
          <w:caps/>
        </w:rPr>
        <w:t>Sistema de códigos de la UPOV</w:t>
      </w:r>
      <w:bookmarkEnd w:id="6"/>
      <w:bookmarkEnd w:id="7"/>
      <w:bookmarkEnd w:id="8"/>
    </w:p>
    <w:p w14:paraId="1EB66300" w14:textId="77777777" w:rsidR="00127493" w:rsidRPr="00127493" w:rsidRDefault="00127493" w:rsidP="00127493">
      <w:pPr>
        <w:keepNext/>
        <w:outlineLvl w:val="0"/>
        <w:rPr>
          <w:rFonts w:eastAsiaTheme="minorEastAsia"/>
          <w:caps/>
          <w:lang w:val="es-ES_tradnl"/>
        </w:rPr>
      </w:pPr>
    </w:p>
    <w:p w14:paraId="5600AE39" w14:textId="41C9D14C" w:rsidR="00127493" w:rsidRPr="0041336C" w:rsidRDefault="00127493" w:rsidP="00127493">
      <w:pPr>
        <w:rPr>
          <w:rFonts w:eastAsia="MS Mincho"/>
        </w:rPr>
      </w:pPr>
      <w:r w:rsidRPr="0041336C">
        <w:rPr>
          <w:rFonts w:eastAsia="MS Mincho"/>
        </w:rPr>
        <w:fldChar w:fldCharType="begin"/>
      </w:r>
      <w:r w:rsidRPr="0041336C">
        <w:rPr>
          <w:rFonts w:eastAsia="MS Mincho"/>
        </w:rPr>
        <w:instrText xml:space="preserve"> AUTONUM  </w:instrText>
      </w:r>
      <w:r w:rsidRPr="0041336C">
        <w:rPr>
          <w:rFonts w:eastAsia="MS Mincho"/>
        </w:rPr>
        <w:fldChar w:fldCharType="end"/>
      </w:r>
      <w:r w:rsidRPr="0041336C">
        <w:tab/>
        <w:t>Las cuestiones relativas a la aprobación por el CAJ del documento UPOV/INF/23/1 “Sistema de códigos de la UPOV”, sobre la base del texto del documento UPOV/INF/23/1 Draft 3, se exponen en el documento CAJ/78/3</w:t>
      </w:r>
      <w:r w:rsidR="0041336C" w:rsidRPr="0041336C">
        <w:t> </w:t>
      </w:r>
      <w:r w:rsidRPr="0041336C">
        <w:t>Rev. “Elaboración de orientaciones y material de información” (véanse los párrafos 21 a 23) y el documento CAJ/78/12 “Resultado del examen de los documentos por correspondencia” (véanse los párrafos 18 y 35).</w:t>
      </w:r>
    </w:p>
    <w:p w14:paraId="76FD2731" w14:textId="4FADAF18" w:rsidR="00127493" w:rsidRPr="00127493" w:rsidRDefault="00127493" w:rsidP="0041336C">
      <w:pPr>
        <w:spacing w:before="160"/>
        <w:rPr>
          <w:rFonts w:eastAsia="MS Mincho"/>
        </w:rPr>
      </w:pPr>
      <w:r w:rsidRPr="00127493">
        <w:rPr>
          <w:rFonts w:eastAsia="MS Mincho"/>
        </w:rPr>
        <w:lastRenderedPageBreak/>
        <w:fldChar w:fldCharType="begin"/>
      </w:r>
      <w:r w:rsidRPr="00127493">
        <w:rPr>
          <w:rFonts w:eastAsia="MS Mincho"/>
        </w:rPr>
        <w:instrText xml:space="preserve"> AUTONUM  </w:instrText>
      </w:r>
      <w:r w:rsidRPr="00127493">
        <w:rPr>
          <w:rFonts w:eastAsia="MS Mincho"/>
        </w:rPr>
        <w:fldChar w:fldCharType="end"/>
      </w:r>
      <w:r>
        <w:tab/>
        <w:t>Se invita al CAJ a tomar nota de que el Consejo aprobó por correspondencia, el 21 de septiembre de</w:t>
      </w:r>
      <w:r w:rsidR="003071E1">
        <w:t> </w:t>
      </w:r>
      <w:r>
        <w:t>2021, el documento UPOV/INF/23/1 “Sistema de códigos</w:t>
      </w:r>
      <w:r w:rsidR="003071E1">
        <w:t xml:space="preserve"> de la</w:t>
      </w:r>
      <w:r>
        <w:t xml:space="preserve"> UPOV”, sobre la base del te</w:t>
      </w:r>
      <w:r w:rsidR="0041336C">
        <w:t>xto del documento UPOV/INF/23/1 </w:t>
      </w:r>
      <w:r>
        <w:t xml:space="preserve">Draft 3 (véase el párrafo 32 del documento C/55/12 “Resultado del examen de los documentos por correspondencia”). </w:t>
      </w:r>
    </w:p>
    <w:p w14:paraId="68D58A32" w14:textId="77777777" w:rsidR="00127493" w:rsidRPr="00127493" w:rsidRDefault="00127493" w:rsidP="00127493">
      <w:pPr>
        <w:rPr>
          <w:rFonts w:eastAsia="MS Mincho"/>
          <w:lang w:val="es-ES_tradnl"/>
        </w:rPr>
      </w:pPr>
    </w:p>
    <w:p w14:paraId="632382B1" w14:textId="77777777" w:rsidR="00127493" w:rsidRPr="00127493" w:rsidRDefault="00127493" w:rsidP="00127493">
      <w:pPr>
        <w:rPr>
          <w:rFonts w:eastAsia="MS Mincho"/>
          <w:lang w:val="es-ES_tradnl"/>
        </w:rPr>
      </w:pPr>
    </w:p>
    <w:p w14:paraId="6459BB08" w14:textId="77777777" w:rsidR="00127493" w:rsidRPr="00127493" w:rsidRDefault="00127493" w:rsidP="00127493">
      <w:pPr>
        <w:keepNext/>
        <w:outlineLvl w:val="1"/>
        <w:rPr>
          <w:rFonts w:eastAsia="MS Mincho"/>
          <w:u w:val="single"/>
        </w:rPr>
      </w:pPr>
      <w:bookmarkStart w:id="9" w:name="_Toc316492046"/>
      <w:bookmarkStart w:id="10" w:name="_Toc477797641"/>
      <w:bookmarkStart w:id="11" w:name="_Toc38109181"/>
      <w:bookmarkStart w:id="12" w:name="_Toc68852031"/>
      <w:bookmarkStart w:id="13" w:name="_Toc86125731"/>
      <w:r>
        <w:rPr>
          <w:u w:val="single"/>
        </w:rPr>
        <w:t>Novedades en los códigos UPOV</w:t>
      </w:r>
      <w:bookmarkEnd w:id="9"/>
      <w:bookmarkEnd w:id="10"/>
      <w:bookmarkEnd w:id="11"/>
      <w:bookmarkEnd w:id="12"/>
      <w:bookmarkEnd w:id="13"/>
      <w:r>
        <w:rPr>
          <w:u w:val="single"/>
        </w:rPr>
        <w:t xml:space="preserve"> </w:t>
      </w:r>
    </w:p>
    <w:p w14:paraId="61690FF9" w14:textId="77777777" w:rsidR="00127493" w:rsidRPr="00127493" w:rsidRDefault="00127493" w:rsidP="00127493">
      <w:pPr>
        <w:keepNext/>
        <w:rPr>
          <w:rFonts w:eastAsiaTheme="minorEastAsia"/>
          <w:snapToGrid w:val="0"/>
          <w:highlight w:val="cyan"/>
          <w:lang w:val="es-ES_tradnl"/>
        </w:rPr>
      </w:pPr>
    </w:p>
    <w:p w14:paraId="1696BD25" w14:textId="44DE7FCB" w:rsidR="00127493" w:rsidRPr="00127493" w:rsidRDefault="00127493" w:rsidP="00127493">
      <w:pPr>
        <w:keepNext/>
        <w:rPr>
          <w:rFonts w:eastAsiaTheme="minorEastAsia"/>
          <w:snapToGrid w:val="0"/>
        </w:rPr>
      </w:pPr>
      <w:r w:rsidRPr="00127493">
        <w:rPr>
          <w:rFonts w:eastAsiaTheme="minorEastAsia"/>
          <w:snapToGrid w:val="0"/>
        </w:rPr>
        <w:fldChar w:fldCharType="begin"/>
      </w:r>
      <w:r w:rsidRPr="00127493">
        <w:rPr>
          <w:rFonts w:eastAsiaTheme="minorEastAsia"/>
          <w:snapToGrid w:val="0"/>
        </w:rPr>
        <w:instrText xml:space="preserve"> AUTONUM  </w:instrText>
      </w:r>
      <w:r w:rsidRPr="00127493">
        <w:rPr>
          <w:rFonts w:eastAsiaTheme="minorEastAsia"/>
          <w:snapToGrid w:val="0"/>
        </w:rPr>
        <w:fldChar w:fldCharType="end"/>
      </w:r>
      <w:r>
        <w:rPr>
          <w:snapToGrid w:val="0"/>
        </w:rPr>
        <w:tab/>
        <w:t>En 2020 se han creado 177 nuevos códigos UPOV. Al 31 de diciembre de 2020, la base de datos</w:t>
      </w:r>
      <w:r w:rsidR="003071E1">
        <w:rPr>
          <w:snapToGrid w:val="0"/>
        </w:rPr>
        <w:t> </w:t>
      </w:r>
      <w:r>
        <w:rPr>
          <w:snapToGrid w:val="0"/>
        </w:rPr>
        <w:t>GENIE contiene 9.213 códigos UPOV.</w:t>
      </w:r>
    </w:p>
    <w:p w14:paraId="2FE2E752" w14:textId="77777777" w:rsidR="00127493" w:rsidRPr="00127493" w:rsidRDefault="00127493" w:rsidP="00127493">
      <w:pPr>
        <w:keepNext/>
        <w:rPr>
          <w:rFonts w:eastAsiaTheme="minorEastAsia"/>
          <w:snapToGrid w:val="0"/>
          <w:lang w:val="es-ES_tradnl" w:eastAsia="ja-JP"/>
        </w:rPr>
      </w:pPr>
    </w:p>
    <w:tbl>
      <w:tblPr>
        <w:tblW w:w="8789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27493" w:rsidRPr="00127493" w14:paraId="1B19D992" w14:textId="77777777" w:rsidTr="000C4FA4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2ED0F514" w14:textId="77777777" w:rsidR="00127493" w:rsidRPr="00127493" w:rsidRDefault="00127493" w:rsidP="000C4FA4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7088" w:type="dxa"/>
            <w:gridSpan w:val="10"/>
            <w:tcBorders>
              <w:bottom w:val="dotted" w:sz="4" w:space="0" w:color="auto"/>
            </w:tcBorders>
          </w:tcPr>
          <w:p w14:paraId="2156D443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Año</w:t>
            </w:r>
          </w:p>
        </w:tc>
      </w:tr>
      <w:tr w:rsidR="00127493" w:rsidRPr="00127493" w14:paraId="05715727" w14:textId="77777777" w:rsidTr="000C4FA4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49BC779A" w14:textId="77777777" w:rsidR="00127493" w:rsidRPr="00127493" w:rsidRDefault="00127493" w:rsidP="000C4FA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709" w:type="dxa"/>
            <w:vAlign w:val="center"/>
          </w:tcPr>
          <w:p w14:paraId="5E45264F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2011</w:t>
            </w:r>
          </w:p>
        </w:tc>
        <w:tc>
          <w:tcPr>
            <w:tcW w:w="709" w:type="dxa"/>
            <w:vAlign w:val="center"/>
          </w:tcPr>
          <w:p w14:paraId="1DDB9CF6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2012</w:t>
            </w:r>
          </w:p>
        </w:tc>
        <w:tc>
          <w:tcPr>
            <w:tcW w:w="708" w:type="dxa"/>
            <w:vAlign w:val="center"/>
          </w:tcPr>
          <w:p w14:paraId="0D21514D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2013</w:t>
            </w:r>
          </w:p>
        </w:tc>
        <w:tc>
          <w:tcPr>
            <w:tcW w:w="709" w:type="dxa"/>
            <w:vAlign w:val="center"/>
          </w:tcPr>
          <w:p w14:paraId="5238B8D5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2014</w:t>
            </w:r>
          </w:p>
        </w:tc>
        <w:tc>
          <w:tcPr>
            <w:tcW w:w="709" w:type="dxa"/>
            <w:vAlign w:val="center"/>
          </w:tcPr>
          <w:p w14:paraId="6517B69E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C5B32C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0778EC8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14:paraId="55AD426E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14:paraId="72DA6381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14:paraId="3F283B22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u w:val="single"/>
              </w:rPr>
              <w:t>2020</w:t>
            </w:r>
          </w:p>
        </w:tc>
      </w:tr>
      <w:tr w:rsidR="00127493" w:rsidRPr="00127493" w14:paraId="36A2BEAF" w14:textId="77777777" w:rsidTr="000C4FA4">
        <w:trPr>
          <w:trHeight w:val="426"/>
        </w:trPr>
        <w:tc>
          <w:tcPr>
            <w:tcW w:w="1701" w:type="dxa"/>
            <w:vAlign w:val="center"/>
          </w:tcPr>
          <w:p w14:paraId="682937CD" w14:textId="451175D4" w:rsidR="00127493" w:rsidRPr="00127493" w:rsidRDefault="00127493" w:rsidP="000C4FA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Nuevos códigos</w:t>
            </w:r>
            <w:r w:rsidR="0086030B">
              <w:rPr>
                <w:snapToGrid w:val="0"/>
                <w:sz w:val="18"/>
              </w:rPr>
              <w:t> </w:t>
            </w:r>
            <w:r>
              <w:rPr>
                <w:snapToGrid w:val="0"/>
                <w:sz w:val="18"/>
              </w:rPr>
              <w:t>UPOV</w:t>
            </w:r>
          </w:p>
        </w:tc>
        <w:tc>
          <w:tcPr>
            <w:tcW w:w="709" w:type="dxa"/>
            <w:vAlign w:val="center"/>
          </w:tcPr>
          <w:p w14:paraId="104E9C00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173</w:t>
            </w:r>
          </w:p>
        </w:tc>
        <w:tc>
          <w:tcPr>
            <w:tcW w:w="709" w:type="dxa"/>
            <w:vAlign w:val="center"/>
          </w:tcPr>
          <w:p w14:paraId="32C36E63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212</w:t>
            </w:r>
          </w:p>
        </w:tc>
        <w:tc>
          <w:tcPr>
            <w:tcW w:w="708" w:type="dxa"/>
            <w:vAlign w:val="center"/>
          </w:tcPr>
          <w:p w14:paraId="0E6EA342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209</w:t>
            </w:r>
          </w:p>
        </w:tc>
        <w:tc>
          <w:tcPr>
            <w:tcW w:w="709" w:type="dxa"/>
            <w:vAlign w:val="center"/>
          </w:tcPr>
          <w:p w14:paraId="4579E5E8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577</w:t>
            </w:r>
          </w:p>
        </w:tc>
        <w:tc>
          <w:tcPr>
            <w:tcW w:w="709" w:type="dxa"/>
            <w:vAlign w:val="center"/>
          </w:tcPr>
          <w:p w14:paraId="7075C155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6C1BA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2F37A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440</w:t>
            </w:r>
          </w:p>
        </w:tc>
        <w:tc>
          <w:tcPr>
            <w:tcW w:w="709" w:type="dxa"/>
            <w:vAlign w:val="center"/>
          </w:tcPr>
          <w:p w14:paraId="5E0399B6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242</w:t>
            </w:r>
          </w:p>
        </w:tc>
        <w:tc>
          <w:tcPr>
            <w:tcW w:w="709" w:type="dxa"/>
            <w:vAlign w:val="center"/>
          </w:tcPr>
          <w:p w14:paraId="4B2CC7D6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243</w:t>
            </w:r>
          </w:p>
        </w:tc>
        <w:tc>
          <w:tcPr>
            <w:tcW w:w="709" w:type="dxa"/>
            <w:vAlign w:val="center"/>
          </w:tcPr>
          <w:p w14:paraId="0FFB4C17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177</w:t>
            </w:r>
          </w:p>
        </w:tc>
      </w:tr>
      <w:tr w:rsidR="00127493" w:rsidRPr="00127493" w14:paraId="2442D2A6" w14:textId="77777777" w:rsidTr="000C4FA4">
        <w:trPr>
          <w:trHeight w:val="404"/>
        </w:trPr>
        <w:tc>
          <w:tcPr>
            <w:tcW w:w="1701" w:type="dxa"/>
            <w:vAlign w:val="center"/>
          </w:tcPr>
          <w:p w14:paraId="1C7A1F7C" w14:textId="77777777" w:rsidR="00127493" w:rsidRPr="00127493" w:rsidRDefault="00127493" w:rsidP="000C4FA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Modificaciones</w:t>
            </w:r>
          </w:p>
        </w:tc>
        <w:tc>
          <w:tcPr>
            <w:tcW w:w="709" w:type="dxa"/>
            <w:vAlign w:val="center"/>
          </w:tcPr>
          <w:p w14:paraId="14169EB5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12</w:t>
            </w:r>
          </w:p>
        </w:tc>
        <w:tc>
          <w:tcPr>
            <w:tcW w:w="709" w:type="dxa"/>
            <w:vAlign w:val="center"/>
          </w:tcPr>
          <w:p w14:paraId="42D3443F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3DEDEB18" w14:textId="77777777" w:rsidR="00127493" w:rsidRPr="00127493" w:rsidRDefault="00127493" w:rsidP="000C4FA4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47*</w:t>
            </w:r>
          </w:p>
        </w:tc>
        <w:tc>
          <w:tcPr>
            <w:tcW w:w="709" w:type="dxa"/>
            <w:vAlign w:val="center"/>
          </w:tcPr>
          <w:p w14:paraId="6B60D920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37</w:t>
            </w:r>
          </w:p>
        </w:tc>
        <w:tc>
          <w:tcPr>
            <w:tcW w:w="709" w:type="dxa"/>
            <w:vAlign w:val="center"/>
          </w:tcPr>
          <w:p w14:paraId="7D767F8E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08702F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C48FD1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2BCE2F7A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0001A0A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3</w:t>
            </w:r>
          </w:p>
        </w:tc>
        <w:tc>
          <w:tcPr>
            <w:tcW w:w="709" w:type="dxa"/>
            <w:vAlign w:val="center"/>
          </w:tcPr>
          <w:p w14:paraId="3EF3A662" w14:textId="77777777" w:rsidR="00127493" w:rsidRPr="00127493" w:rsidRDefault="00127493" w:rsidP="000C4FA4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44</w:t>
            </w:r>
          </w:p>
        </w:tc>
      </w:tr>
      <w:tr w:rsidR="00127493" w:rsidRPr="00127493" w14:paraId="3725D4CF" w14:textId="77777777" w:rsidTr="000C4FA4">
        <w:trPr>
          <w:trHeight w:val="425"/>
        </w:trPr>
        <w:tc>
          <w:tcPr>
            <w:tcW w:w="1701" w:type="dxa"/>
            <w:vAlign w:val="center"/>
          </w:tcPr>
          <w:p w14:paraId="3297E400" w14:textId="048513DF" w:rsidR="00127493" w:rsidRPr="00127493" w:rsidRDefault="00127493" w:rsidP="000C4FA4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Total de códigos</w:t>
            </w:r>
            <w:r w:rsidR="0086030B">
              <w:rPr>
                <w:snapToGrid w:val="0"/>
                <w:sz w:val="18"/>
              </w:rPr>
              <w:t> </w:t>
            </w:r>
            <w:r>
              <w:rPr>
                <w:snapToGrid w:val="0"/>
                <w:sz w:val="18"/>
              </w:rPr>
              <w:t>UPOV</w:t>
            </w:r>
          </w:p>
        </w:tc>
        <w:tc>
          <w:tcPr>
            <w:tcW w:w="709" w:type="dxa"/>
            <w:vAlign w:val="center"/>
          </w:tcPr>
          <w:p w14:paraId="0812A899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6.851</w:t>
            </w:r>
          </w:p>
        </w:tc>
        <w:tc>
          <w:tcPr>
            <w:tcW w:w="709" w:type="dxa"/>
            <w:vAlign w:val="center"/>
          </w:tcPr>
          <w:p w14:paraId="4EDAABD4" w14:textId="77777777" w:rsidR="00127493" w:rsidRPr="00127493" w:rsidRDefault="00127493" w:rsidP="000C4FA4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7.061</w:t>
            </w:r>
          </w:p>
        </w:tc>
        <w:tc>
          <w:tcPr>
            <w:tcW w:w="708" w:type="dxa"/>
            <w:vAlign w:val="center"/>
          </w:tcPr>
          <w:p w14:paraId="35FED156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7.251</w:t>
            </w:r>
          </w:p>
        </w:tc>
        <w:tc>
          <w:tcPr>
            <w:tcW w:w="709" w:type="dxa"/>
            <w:vAlign w:val="center"/>
          </w:tcPr>
          <w:p w14:paraId="0BB1AA9C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7.808</w:t>
            </w:r>
          </w:p>
        </w:tc>
        <w:tc>
          <w:tcPr>
            <w:tcW w:w="709" w:type="dxa"/>
            <w:vAlign w:val="center"/>
          </w:tcPr>
          <w:p w14:paraId="39EAD865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7.992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C7D9A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EB276F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8.589</w:t>
            </w:r>
          </w:p>
        </w:tc>
        <w:tc>
          <w:tcPr>
            <w:tcW w:w="709" w:type="dxa"/>
            <w:vAlign w:val="center"/>
          </w:tcPr>
          <w:p w14:paraId="1B54806E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8.844</w:t>
            </w:r>
          </w:p>
        </w:tc>
        <w:tc>
          <w:tcPr>
            <w:tcW w:w="709" w:type="dxa"/>
            <w:vAlign w:val="center"/>
          </w:tcPr>
          <w:p w14:paraId="13CFB64C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9.077</w:t>
            </w:r>
          </w:p>
        </w:tc>
        <w:tc>
          <w:tcPr>
            <w:tcW w:w="709" w:type="dxa"/>
            <w:vAlign w:val="center"/>
          </w:tcPr>
          <w:p w14:paraId="22913187" w14:textId="77777777" w:rsidR="00127493" w:rsidRPr="00127493" w:rsidRDefault="00127493" w:rsidP="000C4FA4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9.213</w:t>
            </w:r>
          </w:p>
        </w:tc>
      </w:tr>
    </w:tbl>
    <w:p w14:paraId="4161D357" w14:textId="77777777" w:rsidR="00127493" w:rsidRPr="00127493" w:rsidRDefault="00127493" w:rsidP="00127493">
      <w:pPr>
        <w:keepNext/>
        <w:spacing w:before="120"/>
        <w:ind w:left="567" w:right="567" w:hanging="284"/>
        <w:rPr>
          <w:rFonts w:eastAsiaTheme="minorEastAsia" w:cs="Arial"/>
          <w:sz w:val="16"/>
          <w:szCs w:val="18"/>
        </w:rPr>
      </w:pPr>
      <w:r>
        <w:rPr>
          <w:sz w:val="16"/>
        </w:rPr>
        <w:t>*</w:t>
      </w:r>
      <w:r>
        <w:rPr>
          <w:sz w:val="16"/>
        </w:rPr>
        <w:tab/>
        <w:t>Se incluyen los cambios introducidos en los códigos UPOV que resultan de la modificación de la “Orientación acerca del sistema de códigos de la UPOV” en lo que concierne a los híbridos (véase el documento TC/49/6).</w:t>
      </w:r>
    </w:p>
    <w:p w14:paraId="60F5935C" w14:textId="77777777" w:rsidR="00127493" w:rsidRPr="00127493" w:rsidRDefault="00127493" w:rsidP="00127493">
      <w:pPr>
        <w:rPr>
          <w:rFonts w:eastAsia="MS Mincho"/>
          <w:lang w:val="es-ES_tradnl" w:eastAsia="ja-JP"/>
        </w:rPr>
      </w:pPr>
    </w:p>
    <w:p w14:paraId="482319B2" w14:textId="77777777" w:rsidR="00127493" w:rsidRPr="00127493" w:rsidRDefault="00127493" w:rsidP="00127493">
      <w:pPr>
        <w:rPr>
          <w:rFonts w:eastAsia="MS Mincho"/>
          <w:lang w:val="es-ES_tradnl" w:eastAsia="ja-JP"/>
        </w:rPr>
      </w:pPr>
    </w:p>
    <w:p w14:paraId="059DA360" w14:textId="77777777" w:rsidR="00127493" w:rsidRPr="00127493" w:rsidRDefault="00127493" w:rsidP="00127493">
      <w:pPr>
        <w:rPr>
          <w:rFonts w:eastAsiaTheme="minorEastAsia"/>
          <w:lang w:val="es-ES_tradnl" w:eastAsia="ja-JP"/>
        </w:rPr>
      </w:pPr>
    </w:p>
    <w:p w14:paraId="0B9147F6" w14:textId="77777777" w:rsidR="00127493" w:rsidRPr="00127493" w:rsidRDefault="00127493" w:rsidP="00127493">
      <w:pPr>
        <w:pStyle w:val="Heading1"/>
        <w:rPr>
          <w:rFonts w:eastAsiaTheme="minorEastAsia"/>
        </w:rPr>
      </w:pPr>
      <w:bookmarkStart w:id="14" w:name="_Toc86125732"/>
      <w:r>
        <w:t>BASE DE DATOS PLUTO</w:t>
      </w:r>
      <w:bookmarkEnd w:id="14"/>
    </w:p>
    <w:p w14:paraId="5F8250AD" w14:textId="77777777" w:rsidR="00127493" w:rsidRPr="00127493" w:rsidRDefault="00127493" w:rsidP="00127493">
      <w:pPr>
        <w:keepNext/>
        <w:keepLines/>
        <w:rPr>
          <w:rFonts w:eastAsiaTheme="minorEastAsia"/>
          <w:lang w:val="es-ES_tradnl"/>
        </w:rPr>
      </w:pPr>
    </w:p>
    <w:p w14:paraId="255DF269" w14:textId="77777777" w:rsidR="00127493" w:rsidRPr="00127493" w:rsidRDefault="00127493" w:rsidP="00127493">
      <w:pPr>
        <w:keepNext/>
        <w:keepLines/>
        <w:outlineLvl w:val="1"/>
        <w:rPr>
          <w:rFonts w:eastAsiaTheme="minorEastAsia" w:cs="Arial"/>
          <w:u w:val="single"/>
        </w:rPr>
      </w:pPr>
      <w:bookmarkStart w:id="15" w:name="_Toc86125733"/>
      <w:r>
        <w:rPr>
          <w:u w:val="single"/>
        </w:rPr>
        <w:t>Programa de mejoras de la base de datos PLUTO</w:t>
      </w:r>
      <w:bookmarkEnd w:id="15"/>
      <w:r>
        <w:rPr>
          <w:u w:val="single"/>
        </w:rPr>
        <w:t xml:space="preserve"> </w:t>
      </w:r>
    </w:p>
    <w:p w14:paraId="20297FC3" w14:textId="77777777" w:rsidR="00127493" w:rsidRPr="00127493" w:rsidRDefault="00127493" w:rsidP="00127493">
      <w:pPr>
        <w:keepNext/>
        <w:keepLines/>
        <w:rPr>
          <w:rFonts w:eastAsiaTheme="minorEastAsia" w:cs="Arial"/>
          <w:bCs/>
          <w:lang w:val="es-ES_tradnl"/>
        </w:rPr>
      </w:pPr>
    </w:p>
    <w:p w14:paraId="7317189B" w14:textId="77777777" w:rsidR="00127493" w:rsidRPr="00127493" w:rsidRDefault="00127493" w:rsidP="00127493">
      <w:pPr>
        <w:keepNext/>
        <w:keepLines/>
        <w:rPr>
          <w:rFonts w:eastAsiaTheme="minorEastAsia" w:cs="Arial"/>
          <w:bCs/>
        </w:rPr>
      </w:pPr>
      <w:r w:rsidRPr="00127493">
        <w:rPr>
          <w:rFonts w:eastAsiaTheme="minorEastAsia" w:cs="Arial"/>
        </w:rPr>
        <w:fldChar w:fldCharType="begin"/>
      </w:r>
      <w:r w:rsidRPr="00127493">
        <w:rPr>
          <w:rFonts w:eastAsiaTheme="minorEastAsia" w:cs="Arial"/>
        </w:rPr>
        <w:instrText xml:space="preserve"> AUTONUM  </w:instrText>
      </w:r>
      <w:r w:rsidRPr="00127493">
        <w:rPr>
          <w:rFonts w:eastAsiaTheme="minorEastAsia" w:cs="Arial"/>
        </w:rPr>
        <w:fldChar w:fldCharType="end"/>
      </w:r>
      <w:r>
        <w:tab/>
        <w:t>Las cuestiones relativas a la base de datos PLUTO sobre variedades vegetales se exponen en el documento CAJ/78/7 “Base de datos PLUTO sobre variedades vegetales)”.</w:t>
      </w:r>
    </w:p>
    <w:p w14:paraId="5817D80F" w14:textId="77777777" w:rsidR="00127493" w:rsidRPr="00127493" w:rsidRDefault="00127493" w:rsidP="00127493">
      <w:pPr>
        <w:rPr>
          <w:lang w:val="es-ES_tradnl"/>
        </w:rPr>
      </w:pPr>
    </w:p>
    <w:p w14:paraId="25C8AB11" w14:textId="77777777" w:rsidR="00127493" w:rsidRPr="00127493" w:rsidRDefault="00127493" w:rsidP="00127493">
      <w:pPr>
        <w:rPr>
          <w:rFonts w:eastAsiaTheme="minorEastAsia"/>
          <w:lang w:val="es-ES_tradnl"/>
        </w:rPr>
      </w:pPr>
    </w:p>
    <w:p w14:paraId="1E576912" w14:textId="77777777" w:rsidR="00127493" w:rsidRPr="00127493" w:rsidRDefault="00127493" w:rsidP="00127493">
      <w:pPr>
        <w:keepNext/>
        <w:outlineLvl w:val="1"/>
        <w:rPr>
          <w:rFonts w:eastAsiaTheme="minorEastAsia"/>
          <w:u w:val="single"/>
        </w:rPr>
      </w:pPr>
      <w:bookmarkStart w:id="16" w:name="_Toc522275170"/>
      <w:bookmarkStart w:id="17" w:name="_Toc53586189"/>
      <w:bookmarkStart w:id="18" w:name="_Toc86125734"/>
      <w:r>
        <w:rPr>
          <w:u w:val="single"/>
        </w:rPr>
        <w:t>Instrumentos de búsqueda</w:t>
      </w:r>
      <w:bookmarkEnd w:id="16"/>
      <w:bookmarkEnd w:id="17"/>
      <w:bookmarkEnd w:id="18"/>
    </w:p>
    <w:p w14:paraId="1A668C5E" w14:textId="77777777" w:rsidR="00127493" w:rsidRPr="00127493" w:rsidRDefault="00127493" w:rsidP="00127493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lang w:val="es-ES_tradnl"/>
        </w:rPr>
      </w:pPr>
    </w:p>
    <w:p w14:paraId="6B23A7CB" w14:textId="77777777" w:rsidR="00127493" w:rsidRPr="00127493" w:rsidRDefault="00127493" w:rsidP="00127493">
      <w:r w:rsidRPr="00127493">
        <w:rPr>
          <w:rFonts w:eastAsiaTheme="minorEastAsia" w:cs="Arial"/>
        </w:rPr>
        <w:fldChar w:fldCharType="begin"/>
      </w:r>
      <w:r w:rsidRPr="00127493">
        <w:rPr>
          <w:rFonts w:eastAsiaTheme="minorEastAsia" w:cs="Arial"/>
        </w:rPr>
        <w:instrText xml:space="preserve"> AUTONUM  </w:instrText>
      </w:r>
      <w:r w:rsidRPr="00127493">
        <w:rPr>
          <w:rFonts w:eastAsiaTheme="minorEastAsia" w:cs="Arial"/>
        </w:rPr>
        <w:fldChar w:fldCharType="end"/>
      </w:r>
      <w:r>
        <w:tab/>
        <w:t>Las cuestiones relativas a la posible elaboración de un instrumento de búsqueda de similitud a los fines de la denominación de variedades se tratan en el documento CAJ/78/8 “Instrumento de la UPOV para la búsqueda de denominaciones similares).</w:t>
      </w:r>
    </w:p>
    <w:p w14:paraId="51E9190C" w14:textId="77777777" w:rsidR="00127493" w:rsidRPr="00127493" w:rsidRDefault="00127493" w:rsidP="00127493">
      <w:pPr>
        <w:rPr>
          <w:rFonts w:eastAsiaTheme="minorEastAsia"/>
          <w:lang w:val="es-ES_tradnl"/>
        </w:rPr>
      </w:pPr>
    </w:p>
    <w:p w14:paraId="7672B666" w14:textId="77777777" w:rsidR="00127493" w:rsidRPr="00127493" w:rsidRDefault="00127493" w:rsidP="00127493">
      <w:pPr>
        <w:rPr>
          <w:rFonts w:cs="Arial"/>
          <w:lang w:val="es-ES_tradnl"/>
        </w:rPr>
      </w:pPr>
    </w:p>
    <w:p w14:paraId="29CC6D7A" w14:textId="77777777" w:rsidR="00127493" w:rsidRPr="00127493" w:rsidRDefault="00127493" w:rsidP="00127493">
      <w:pPr>
        <w:rPr>
          <w:rFonts w:cs="Arial"/>
          <w:lang w:val="es-ES_tradnl"/>
        </w:rPr>
      </w:pPr>
    </w:p>
    <w:p w14:paraId="2290B611" w14:textId="77777777" w:rsidR="00050E16" w:rsidRPr="00127493" w:rsidRDefault="00F1312D" w:rsidP="00127493">
      <w:pPr>
        <w:jc w:val="right"/>
      </w:pPr>
      <w:r>
        <w:t>[Fin del documento]</w:t>
      </w:r>
    </w:p>
    <w:sectPr w:rsidR="00050E16" w:rsidRPr="00127493" w:rsidSect="0034166C">
      <w:headerReference w:type="even" r:id="rId10"/>
      <w:headerReference w:type="default" r:id="rId11"/>
      <w:footerReference w:type="default" r:id="rId12"/>
      <w:pgSz w:w="11907" w:h="16840" w:code="9"/>
      <w:pgMar w:top="510" w:right="1134" w:bottom="1134" w:left="1134" w:header="510" w:footer="43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E5BA" w14:textId="77777777" w:rsidR="00E16BE9" w:rsidRDefault="00E16BE9" w:rsidP="006655D3">
      <w:r>
        <w:separator/>
      </w:r>
    </w:p>
    <w:p w14:paraId="6E76072E" w14:textId="77777777" w:rsidR="00E16BE9" w:rsidRDefault="00E16BE9" w:rsidP="006655D3"/>
    <w:p w14:paraId="40FE5E3B" w14:textId="77777777" w:rsidR="00E16BE9" w:rsidRDefault="00E16BE9" w:rsidP="006655D3"/>
  </w:endnote>
  <w:endnote w:type="continuationSeparator" w:id="0">
    <w:p w14:paraId="1EE96F47" w14:textId="77777777" w:rsidR="00E16BE9" w:rsidRDefault="00E16BE9" w:rsidP="006655D3">
      <w:r>
        <w:separator/>
      </w:r>
    </w:p>
    <w:p w14:paraId="7C5EB55B" w14:textId="77777777" w:rsidR="00E16BE9" w:rsidRPr="00294751" w:rsidRDefault="00E16B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8605799" w14:textId="77777777" w:rsidR="00E16BE9" w:rsidRPr="00294751" w:rsidRDefault="00E16BE9" w:rsidP="006655D3">
      <w:pPr>
        <w:rPr>
          <w:lang w:val="fr-FR"/>
        </w:rPr>
      </w:pPr>
    </w:p>
    <w:p w14:paraId="030D6606" w14:textId="77777777" w:rsidR="00E16BE9" w:rsidRPr="00294751" w:rsidRDefault="00E16BE9" w:rsidP="006655D3">
      <w:pPr>
        <w:rPr>
          <w:lang w:val="fr-FR"/>
        </w:rPr>
      </w:pPr>
    </w:p>
  </w:endnote>
  <w:endnote w:type="continuationNotice" w:id="1">
    <w:p w14:paraId="54C86A6D" w14:textId="77777777" w:rsidR="00E16BE9" w:rsidRPr="00294751" w:rsidRDefault="00E16B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7A7A872" w14:textId="77777777" w:rsidR="00E16BE9" w:rsidRPr="00294751" w:rsidRDefault="00E16BE9" w:rsidP="006655D3">
      <w:pPr>
        <w:rPr>
          <w:lang w:val="fr-FR"/>
        </w:rPr>
      </w:pPr>
    </w:p>
    <w:p w14:paraId="65F5F6E0" w14:textId="77777777" w:rsidR="00E16BE9" w:rsidRPr="00294751" w:rsidRDefault="00E16B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17DE0" w14:textId="77777777" w:rsidR="00A5781F" w:rsidRDefault="0034166C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3D558CE6" wp14:editId="160B266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D2E026" w14:textId="77777777" w:rsidR="0034166C" w:rsidRDefault="00F1312D" w:rsidP="00F1312D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558CE6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1D2E026" w14:textId="77777777" w:rsidR="0034166C" w:rsidRDefault="00F1312D" w:rsidP="00F1312D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9742" w14:textId="77777777" w:rsidR="00E16BE9" w:rsidRDefault="00E16BE9" w:rsidP="006655D3">
      <w:r>
        <w:separator/>
      </w:r>
    </w:p>
  </w:footnote>
  <w:footnote w:type="continuationSeparator" w:id="0">
    <w:p w14:paraId="32F34F12" w14:textId="77777777" w:rsidR="00E16BE9" w:rsidRDefault="00E16BE9" w:rsidP="006655D3">
      <w:r>
        <w:separator/>
      </w:r>
    </w:p>
  </w:footnote>
  <w:footnote w:type="continuationNotice" w:id="1">
    <w:p w14:paraId="5069CEFB" w14:textId="77777777" w:rsidR="00E16BE9" w:rsidRPr="00AB530F" w:rsidRDefault="00E16BE9" w:rsidP="00AB530F">
      <w:pPr>
        <w:pStyle w:val="Footer"/>
      </w:pPr>
    </w:p>
  </w:footnote>
  <w:footnote w:id="2">
    <w:p w14:paraId="44CE1065" w14:textId="1E90F339" w:rsidR="00127493" w:rsidRPr="006C77BF" w:rsidRDefault="00127493" w:rsidP="009A1F63">
      <w:pPr>
        <w:pStyle w:val="FootnoteText"/>
        <w:rPr>
          <w:szCs w:val="16"/>
        </w:rPr>
      </w:pPr>
      <w:r>
        <w:rPr>
          <w:rStyle w:val="FootnoteReference"/>
          <w:szCs w:val="16"/>
        </w:rPr>
        <w:footnoteRef/>
      </w:r>
      <w:r w:rsidR="009A1F63">
        <w:t xml:space="preserve"> </w:t>
      </w:r>
      <w:r w:rsidR="0041336C">
        <w:tab/>
      </w:r>
      <w:r>
        <w:t>Véanse los documentos C/[sesión]/INF/6 “</w:t>
      </w:r>
      <w:r>
        <w:rPr>
          <w:shd w:val="clear" w:color="auto" w:fill="FFFFFF"/>
        </w:rPr>
        <w:t>Lista de los taxones protegidos por los miembros de la Unión”;</w:t>
      </w:r>
      <w:r>
        <w:t xml:space="preserve"> C/[sesión]/INF/5 “</w:t>
      </w:r>
      <w:r>
        <w:rPr>
          <w:shd w:val="clear" w:color="auto" w:fill="FFFFFF"/>
        </w:rPr>
        <w:t>Cooperación en materia de examen”,</w:t>
      </w:r>
      <w:r>
        <w:t xml:space="preserve"> TC/[sesión]/INF/4 “</w:t>
      </w:r>
      <w:r>
        <w:rPr>
          <w:shd w:val="clear" w:color="auto" w:fill="FFFFFF"/>
        </w:rPr>
        <w:t>Lista de géneros y especies respecto de los cuales las autoridades poseen experiencia práctica en el examen de la distinción, la homogeneidad y la estabilidad” y</w:t>
      </w:r>
      <w:r>
        <w:t xml:space="preserve"> TC/[sesión]/2 “Directrices de examen”.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A2E08" w14:textId="77777777" w:rsidR="0034166C" w:rsidRPr="005547F7" w:rsidRDefault="0034166C" w:rsidP="00127493">
    <w:pPr>
      <w:pStyle w:val="Header"/>
      <w:rPr>
        <w:rStyle w:val="PageNumber"/>
      </w:rPr>
    </w:pPr>
    <w:r>
      <w:rPr>
        <w:rStyle w:val="PageNumber"/>
      </w:rPr>
      <w:t>CAJ/78/INF/3</w:t>
    </w:r>
  </w:p>
  <w:p w14:paraId="6FA49FAD" w14:textId="426EFA2F" w:rsidR="0034166C" w:rsidRPr="005547F7" w:rsidRDefault="0034166C" w:rsidP="00127493">
    <w:pPr>
      <w:pStyle w:val="Header"/>
    </w:pPr>
    <w:r>
      <w:t xml:space="preserve">página </w:t>
    </w:r>
    <w:r w:rsidRPr="005547F7">
      <w:rPr>
        <w:rStyle w:val="PageNumber"/>
      </w:rPr>
      <w:fldChar w:fldCharType="begin"/>
    </w:r>
    <w:r w:rsidRPr="005547F7">
      <w:rPr>
        <w:rStyle w:val="PageNumber"/>
      </w:rPr>
      <w:instrText xml:space="preserve"> PAGE </w:instrText>
    </w:r>
    <w:r w:rsidRPr="005547F7">
      <w:rPr>
        <w:rStyle w:val="PageNumber"/>
      </w:rPr>
      <w:fldChar w:fldCharType="separate"/>
    </w:r>
    <w:r w:rsidR="00B80A25">
      <w:rPr>
        <w:rStyle w:val="PageNumber"/>
        <w:noProof/>
      </w:rPr>
      <w:t>2</w:t>
    </w:r>
    <w:r w:rsidRPr="005547F7">
      <w:rPr>
        <w:rStyle w:val="PageNumber"/>
      </w:rPr>
      <w:fldChar w:fldCharType="end"/>
    </w:r>
  </w:p>
  <w:p w14:paraId="198EA796" w14:textId="77777777" w:rsidR="0034166C" w:rsidRPr="005547F7" w:rsidRDefault="0034166C" w:rsidP="00127493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622E" w14:textId="77777777" w:rsidR="0004198B" w:rsidRPr="00C5280D" w:rsidRDefault="00127493" w:rsidP="00EB048E">
    <w:pPr>
      <w:pStyle w:val="Header"/>
      <w:rPr>
        <w:rStyle w:val="PageNumber"/>
      </w:rPr>
    </w:pPr>
    <w:r>
      <w:rPr>
        <w:rStyle w:val="PageNumber"/>
      </w:rPr>
      <w:t>CAJ/78/INF/3</w:t>
    </w:r>
  </w:p>
  <w:p w14:paraId="6E1540B8" w14:textId="77777777" w:rsidR="0004198B" w:rsidRPr="00C5280D" w:rsidRDefault="00F1312D" w:rsidP="00F1312D">
    <w:pPr>
      <w:pStyle w:val="Header"/>
    </w:pPr>
    <w:r>
      <w:t xml:space="preserve">página </w:t>
    </w:r>
    <w:r w:rsidR="0004198B" w:rsidRPr="00C5280D">
      <w:rPr>
        <w:rStyle w:val="PageNumber"/>
      </w:rPr>
      <w:fldChar w:fldCharType="begin"/>
    </w:r>
    <w:r w:rsidR="0004198B" w:rsidRPr="00C5280D">
      <w:rPr>
        <w:rStyle w:val="PageNumber"/>
      </w:rPr>
      <w:instrText xml:space="preserve"> PAGE </w:instrText>
    </w:r>
    <w:r w:rsidR="0004198B" w:rsidRPr="00C5280D">
      <w:rPr>
        <w:rStyle w:val="PageNumber"/>
      </w:rPr>
      <w:fldChar w:fldCharType="separate"/>
    </w:r>
    <w:r w:rsidR="00127493">
      <w:rPr>
        <w:rStyle w:val="PageNumber"/>
      </w:rPr>
      <w:t>3</w:t>
    </w:r>
    <w:r w:rsidR="0004198B" w:rsidRPr="00C5280D">
      <w:rPr>
        <w:rStyle w:val="PageNumber"/>
      </w:rPr>
      <w:fldChar w:fldCharType="end"/>
    </w:r>
  </w:p>
  <w:p w14:paraId="4060D405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42A7E"/>
    <w:multiLevelType w:val="hybridMultilevel"/>
    <w:tmpl w:val="FF68F210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1E1423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89F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7493"/>
    <w:rsid w:val="0014000C"/>
    <w:rsid w:val="00141DB8"/>
    <w:rsid w:val="00147DC7"/>
    <w:rsid w:val="00172084"/>
    <w:rsid w:val="0017474A"/>
    <w:rsid w:val="001758C6"/>
    <w:rsid w:val="00182B99"/>
    <w:rsid w:val="001A52E3"/>
    <w:rsid w:val="001C1525"/>
    <w:rsid w:val="001E1423"/>
    <w:rsid w:val="0021332C"/>
    <w:rsid w:val="00213982"/>
    <w:rsid w:val="0024416D"/>
    <w:rsid w:val="00271250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4DBE"/>
    <w:rsid w:val="002B7A36"/>
    <w:rsid w:val="002C256A"/>
    <w:rsid w:val="002D5226"/>
    <w:rsid w:val="002F7439"/>
    <w:rsid w:val="00305A7F"/>
    <w:rsid w:val="003071E1"/>
    <w:rsid w:val="003152FE"/>
    <w:rsid w:val="00327436"/>
    <w:rsid w:val="0034166C"/>
    <w:rsid w:val="00344BD6"/>
    <w:rsid w:val="00351AB9"/>
    <w:rsid w:val="0035528D"/>
    <w:rsid w:val="00355897"/>
    <w:rsid w:val="00361821"/>
    <w:rsid w:val="00361E9E"/>
    <w:rsid w:val="003753EE"/>
    <w:rsid w:val="003A0835"/>
    <w:rsid w:val="003A5AAF"/>
    <w:rsid w:val="003B700A"/>
    <w:rsid w:val="003C3907"/>
    <w:rsid w:val="003C7FBE"/>
    <w:rsid w:val="003D227C"/>
    <w:rsid w:val="003D2B4D"/>
    <w:rsid w:val="003F37F5"/>
    <w:rsid w:val="00407A67"/>
    <w:rsid w:val="0041336C"/>
    <w:rsid w:val="004255E9"/>
    <w:rsid w:val="00427BC9"/>
    <w:rsid w:val="00444A88"/>
    <w:rsid w:val="00445119"/>
    <w:rsid w:val="00474145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7147"/>
    <w:rsid w:val="00520297"/>
    <w:rsid w:val="00524805"/>
    <w:rsid w:val="005338F9"/>
    <w:rsid w:val="00534FF1"/>
    <w:rsid w:val="0054281C"/>
    <w:rsid w:val="00544581"/>
    <w:rsid w:val="0055268D"/>
    <w:rsid w:val="005547F7"/>
    <w:rsid w:val="00575DE2"/>
    <w:rsid w:val="00576BE4"/>
    <w:rsid w:val="005779DB"/>
    <w:rsid w:val="00596C20"/>
    <w:rsid w:val="005A400A"/>
    <w:rsid w:val="005B269D"/>
    <w:rsid w:val="005B598A"/>
    <w:rsid w:val="005C5CDE"/>
    <w:rsid w:val="005F1093"/>
    <w:rsid w:val="005F7B92"/>
    <w:rsid w:val="00612379"/>
    <w:rsid w:val="006153B6"/>
    <w:rsid w:val="0061555F"/>
    <w:rsid w:val="006245ED"/>
    <w:rsid w:val="00636CA6"/>
    <w:rsid w:val="00641200"/>
    <w:rsid w:val="00641CF7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4D6D"/>
    <w:rsid w:val="0086030B"/>
    <w:rsid w:val="00867AC1"/>
    <w:rsid w:val="008751DE"/>
    <w:rsid w:val="008853F8"/>
    <w:rsid w:val="00890DF8"/>
    <w:rsid w:val="008A0ADE"/>
    <w:rsid w:val="008A743F"/>
    <w:rsid w:val="008C0970"/>
    <w:rsid w:val="008D0BC5"/>
    <w:rsid w:val="008D2CF7"/>
    <w:rsid w:val="008E08F3"/>
    <w:rsid w:val="00900C26"/>
    <w:rsid w:val="0090197F"/>
    <w:rsid w:val="00903264"/>
    <w:rsid w:val="00905033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1F63"/>
    <w:rsid w:val="009A7339"/>
    <w:rsid w:val="009B440E"/>
    <w:rsid w:val="009D690D"/>
    <w:rsid w:val="009E081E"/>
    <w:rsid w:val="009E65B6"/>
    <w:rsid w:val="009F0A51"/>
    <w:rsid w:val="009F77CF"/>
    <w:rsid w:val="00A24C10"/>
    <w:rsid w:val="00A42AC3"/>
    <w:rsid w:val="00A430CF"/>
    <w:rsid w:val="00A54309"/>
    <w:rsid w:val="00A5781F"/>
    <w:rsid w:val="00A610A9"/>
    <w:rsid w:val="00A65A8C"/>
    <w:rsid w:val="00A80F2A"/>
    <w:rsid w:val="00A9128E"/>
    <w:rsid w:val="00A96C02"/>
    <w:rsid w:val="00A96C33"/>
    <w:rsid w:val="00AB2B93"/>
    <w:rsid w:val="00AB530F"/>
    <w:rsid w:val="00AB7E5B"/>
    <w:rsid w:val="00AC2883"/>
    <w:rsid w:val="00AD2B2D"/>
    <w:rsid w:val="00AE0EF1"/>
    <w:rsid w:val="00AE2937"/>
    <w:rsid w:val="00AE5F0C"/>
    <w:rsid w:val="00B07301"/>
    <w:rsid w:val="00B11F3E"/>
    <w:rsid w:val="00B17042"/>
    <w:rsid w:val="00B170CA"/>
    <w:rsid w:val="00B224DE"/>
    <w:rsid w:val="00B25C1F"/>
    <w:rsid w:val="00B324D4"/>
    <w:rsid w:val="00B46575"/>
    <w:rsid w:val="00B61777"/>
    <w:rsid w:val="00B622E6"/>
    <w:rsid w:val="00B80A25"/>
    <w:rsid w:val="00B83E82"/>
    <w:rsid w:val="00B84BBD"/>
    <w:rsid w:val="00BA43FB"/>
    <w:rsid w:val="00BC127D"/>
    <w:rsid w:val="00BC1FE6"/>
    <w:rsid w:val="00BE08E4"/>
    <w:rsid w:val="00C05DB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3AA1"/>
    <w:rsid w:val="00D3708D"/>
    <w:rsid w:val="00D40426"/>
    <w:rsid w:val="00D4121A"/>
    <w:rsid w:val="00D57C96"/>
    <w:rsid w:val="00D57D18"/>
    <w:rsid w:val="00D6739B"/>
    <w:rsid w:val="00D70E65"/>
    <w:rsid w:val="00D84856"/>
    <w:rsid w:val="00D91203"/>
    <w:rsid w:val="00D95174"/>
    <w:rsid w:val="00DA4973"/>
    <w:rsid w:val="00DA6F36"/>
    <w:rsid w:val="00DB596E"/>
    <w:rsid w:val="00DB7773"/>
    <w:rsid w:val="00DC00EA"/>
    <w:rsid w:val="00DC3802"/>
    <w:rsid w:val="00DC5341"/>
    <w:rsid w:val="00DD6208"/>
    <w:rsid w:val="00DF7E99"/>
    <w:rsid w:val="00E07D87"/>
    <w:rsid w:val="00E16BE9"/>
    <w:rsid w:val="00E249C8"/>
    <w:rsid w:val="00E32F7E"/>
    <w:rsid w:val="00E5267B"/>
    <w:rsid w:val="00E559F0"/>
    <w:rsid w:val="00E63C0E"/>
    <w:rsid w:val="00E645A7"/>
    <w:rsid w:val="00E72D49"/>
    <w:rsid w:val="00E7593C"/>
    <w:rsid w:val="00E7678A"/>
    <w:rsid w:val="00E935F1"/>
    <w:rsid w:val="00E94A81"/>
    <w:rsid w:val="00EA1FFB"/>
    <w:rsid w:val="00EB048E"/>
    <w:rsid w:val="00EB4E9C"/>
    <w:rsid w:val="00EC4797"/>
    <w:rsid w:val="00EE34DF"/>
    <w:rsid w:val="00EF2F89"/>
    <w:rsid w:val="00F03E98"/>
    <w:rsid w:val="00F1237A"/>
    <w:rsid w:val="00F1312D"/>
    <w:rsid w:val="00F22CBD"/>
    <w:rsid w:val="00F272F1"/>
    <w:rsid w:val="00F3020C"/>
    <w:rsid w:val="00F31412"/>
    <w:rsid w:val="00F45372"/>
    <w:rsid w:val="00F560F7"/>
    <w:rsid w:val="00F6334D"/>
    <w:rsid w:val="00F63599"/>
    <w:rsid w:val="00F71781"/>
    <w:rsid w:val="00F859E4"/>
    <w:rsid w:val="00F940DF"/>
    <w:rsid w:val="00FA49AB"/>
    <w:rsid w:val="00FC4C3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C643"/>
  <w15:docId w15:val="{09070C28-CC93-4B16-BC37-7F4B898A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A1F63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34FF1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517147"/>
    <w:rPr>
      <w:rFonts w:ascii="Arial" w:hAnsi="Arial"/>
      <w:sz w:val="14"/>
    </w:rPr>
  </w:style>
  <w:style w:type="character" w:customStyle="1" w:styleId="FootnoteTextChar">
    <w:name w:val="Footnote Text Char"/>
    <w:basedOn w:val="DefaultParagraphFont"/>
    <w:link w:val="FootnoteText"/>
    <w:rsid w:val="009A1F6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127493"/>
    <w:rPr>
      <w:rFonts w:ascii="Arial" w:hAnsi="Arial"/>
      <w:caps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genie/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5F80-16DC-44D4-9993-454EB7BC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3556</Characters>
  <Application>Microsoft Office Word</Application>
  <DocSecurity>0</DocSecurity>
  <Lines>169</Lines>
  <Paragraphs>115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CAJ/78/12</vt:lpstr>
      <vt:lpstr>CAJ/78/12</vt:lpstr>
    </vt:vector>
  </TitlesOfParts>
  <Company>UPOV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CAJ/78/12</dc:title>
  <dc:creator>SANCHEZ VIZCAINO GOMEZ Rosa Maria</dc:creator>
  <cp:keywords>FOR OFFICIAL USE ONLY</cp:keywords>
  <cp:lastModifiedBy>SANTOS Carla Marina</cp:lastModifiedBy>
  <cp:revision>4</cp:revision>
  <cp:lastPrinted>2016-11-22T15:41:00Z</cp:lastPrinted>
  <dcterms:created xsi:type="dcterms:W3CDTF">2021-10-26T07:43:00Z</dcterms:created>
  <dcterms:modified xsi:type="dcterms:W3CDTF">2021-10-29T13:01:00Z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4e89f739-ef08-4aa2-b576-81956a01d5f1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