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E4548" w14:paraId="0FFDE22B" w14:textId="77777777" w:rsidTr="00EB4E9C">
        <w:tc>
          <w:tcPr>
            <w:tcW w:w="6522" w:type="dxa"/>
          </w:tcPr>
          <w:p w14:paraId="551ED6F3" w14:textId="77777777" w:rsidR="00DC3802" w:rsidRPr="00AE4548" w:rsidRDefault="00DC3802" w:rsidP="00AC2883">
            <w:r w:rsidRPr="00AE4548">
              <w:rPr>
                <w:noProof/>
                <w:lang w:val="en-US"/>
              </w:rPr>
              <w:drawing>
                <wp:inline distT="0" distB="0" distL="0" distR="0" wp14:anchorId="0329C3A8" wp14:editId="7443BFE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B2906FD" w14:textId="77777777" w:rsidR="00DC3802" w:rsidRPr="00AE4548" w:rsidRDefault="002E5944" w:rsidP="00AC2883">
            <w:pPr>
              <w:pStyle w:val="Lettrine"/>
            </w:pPr>
            <w:r w:rsidRPr="00AE4548">
              <w:t>S</w:t>
            </w:r>
          </w:p>
        </w:tc>
      </w:tr>
      <w:tr w:rsidR="00DC3802" w:rsidRPr="00AE4548" w14:paraId="1E3FCA2D" w14:textId="77777777" w:rsidTr="00645CA8">
        <w:trPr>
          <w:trHeight w:val="219"/>
        </w:trPr>
        <w:tc>
          <w:tcPr>
            <w:tcW w:w="6522" w:type="dxa"/>
          </w:tcPr>
          <w:p w14:paraId="19DA3F53" w14:textId="77777777" w:rsidR="00DC3802" w:rsidRPr="00AE4548" w:rsidRDefault="002E5944" w:rsidP="00BC0BD4">
            <w:pPr>
              <w:pStyle w:val="upove"/>
            </w:pPr>
            <w:r w:rsidRPr="00AE4548">
              <w:t>Unión Internacional para la Protección de las Obtenciones Vegetales</w:t>
            </w:r>
          </w:p>
        </w:tc>
        <w:tc>
          <w:tcPr>
            <w:tcW w:w="3117" w:type="dxa"/>
          </w:tcPr>
          <w:p w14:paraId="64BC135D" w14:textId="77777777" w:rsidR="00DC3802" w:rsidRPr="00AE4548" w:rsidRDefault="00DC3802" w:rsidP="00DA4973"/>
        </w:tc>
      </w:tr>
    </w:tbl>
    <w:p w14:paraId="103BEFB3" w14:textId="77777777" w:rsidR="00DC3802" w:rsidRPr="00AE4548" w:rsidRDefault="00DC3802" w:rsidP="00DC3802"/>
    <w:p w14:paraId="66676737" w14:textId="77777777" w:rsidR="00DA4973" w:rsidRPr="00AE454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E4548" w14:paraId="6C7DF21B" w14:textId="77777777" w:rsidTr="00196812">
        <w:tc>
          <w:tcPr>
            <w:tcW w:w="6512" w:type="dxa"/>
            <w:tcBorders>
              <w:bottom w:val="single" w:sz="4" w:space="0" w:color="auto"/>
            </w:tcBorders>
          </w:tcPr>
          <w:p w14:paraId="27EF83DF" w14:textId="77777777" w:rsidR="00EB4E9C" w:rsidRPr="00AE4548" w:rsidRDefault="002E5944" w:rsidP="00AC2883">
            <w:pPr>
              <w:pStyle w:val="Sessiontc"/>
              <w:spacing w:line="240" w:lineRule="auto"/>
            </w:pPr>
            <w:r w:rsidRPr="00AE4548">
              <w:t xml:space="preserve">Comité </w:t>
            </w:r>
            <w:r w:rsidR="00752334" w:rsidRPr="00AE4548">
              <w:t>Administrativo y Jurídico</w:t>
            </w:r>
          </w:p>
          <w:p w14:paraId="2AA2C227" w14:textId="77777777" w:rsidR="00EB4E9C" w:rsidRPr="00AE4548" w:rsidRDefault="00943983" w:rsidP="002F099E">
            <w:pPr>
              <w:pStyle w:val="Sessiontcplacedate"/>
              <w:rPr>
                <w:sz w:val="22"/>
              </w:rPr>
            </w:pPr>
            <w:r w:rsidRPr="00AE4548">
              <w:t xml:space="preserve">Septuagésima </w:t>
            </w:r>
            <w:r w:rsidR="002F099E" w:rsidRPr="00AE4548">
              <w:t>octava</w:t>
            </w:r>
            <w:r w:rsidR="002E5944" w:rsidRPr="00AE4548">
              <w:t xml:space="preserve"> sesión</w:t>
            </w:r>
            <w:r w:rsidR="00EB4E9C" w:rsidRPr="00AE4548">
              <w:br/>
            </w:r>
            <w:r w:rsidR="002E5944" w:rsidRPr="00AE4548">
              <w:t>Ginebra</w:t>
            </w:r>
            <w:r w:rsidR="00EB4E9C" w:rsidRPr="00AE4548">
              <w:t xml:space="preserve">, </w:t>
            </w:r>
            <w:r w:rsidR="00642665" w:rsidRPr="00AE4548">
              <w:t>2</w:t>
            </w:r>
            <w:r w:rsidR="002F099E" w:rsidRPr="00AE4548">
              <w:t>7</w:t>
            </w:r>
            <w:r w:rsidR="00A706D3" w:rsidRPr="00AE4548">
              <w:t xml:space="preserve"> </w:t>
            </w:r>
            <w:r w:rsidR="002E5944" w:rsidRPr="00AE4548">
              <w:t xml:space="preserve">de </w:t>
            </w:r>
            <w:r w:rsidR="00752334" w:rsidRPr="00AE4548">
              <w:t xml:space="preserve">octubre </w:t>
            </w:r>
            <w:r w:rsidR="002E5944" w:rsidRPr="00AE4548">
              <w:t>de</w:t>
            </w:r>
            <w:r w:rsidR="00A706D3" w:rsidRPr="00AE4548">
              <w:t xml:space="preserve"> </w:t>
            </w:r>
            <w:r w:rsidR="002F099E" w:rsidRPr="00AE4548"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0FF183A" w14:textId="4B9B5214" w:rsidR="00EB4E9C" w:rsidRPr="00AE4548" w:rsidRDefault="002F099E" w:rsidP="003C7FBE">
            <w:pPr>
              <w:pStyle w:val="Doccode"/>
              <w:rPr>
                <w:lang w:val="es-ES"/>
              </w:rPr>
            </w:pPr>
            <w:r w:rsidRPr="00AE4548">
              <w:rPr>
                <w:lang w:val="es-ES"/>
              </w:rPr>
              <w:t>CAJ/78</w:t>
            </w:r>
            <w:r w:rsidR="00EB4E9C" w:rsidRPr="00AE4548">
              <w:rPr>
                <w:lang w:val="es-ES"/>
              </w:rPr>
              <w:t>/</w:t>
            </w:r>
            <w:r w:rsidR="001812F7" w:rsidRPr="00AE4548">
              <w:rPr>
                <w:lang w:val="es-ES"/>
              </w:rPr>
              <w:t>9</w:t>
            </w:r>
          </w:p>
          <w:p w14:paraId="15513C8B" w14:textId="5333BF29" w:rsidR="00EB4E9C" w:rsidRPr="00AE4548" w:rsidRDefault="00EB4E9C" w:rsidP="003C7FBE">
            <w:pPr>
              <w:pStyle w:val="Docoriginal"/>
            </w:pPr>
            <w:r w:rsidRPr="00AE4548">
              <w:t>Original:</w:t>
            </w:r>
            <w:r w:rsidR="00AE4548">
              <w:rPr>
                <w:b w:val="0"/>
                <w:spacing w:val="0"/>
              </w:rPr>
              <w:t xml:space="preserve"> </w:t>
            </w:r>
            <w:r w:rsidR="002E5944" w:rsidRPr="00AE4548">
              <w:rPr>
                <w:b w:val="0"/>
                <w:spacing w:val="0"/>
              </w:rPr>
              <w:t>Inglés</w:t>
            </w:r>
          </w:p>
          <w:p w14:paraId="688C614F" w14:textId="1487B6FA" w:rsidR="00196812" w:rsidRPr="00AE4548" w:rsidRDefault="002E5944" w:rsidP="00795113">
            <w:pPr>
              <w:pStyle w:val="Docoriginal"/>
              <w:rPr>
                <w:b w:val="0"/>
                <w:spacing w:val="0"/>
              </w:rPr>
            </w:pPr>
            <w:r w:rsidRPr="00AE4548">
              <w:t>Fecha</w:t>
            </w:r>
            <w:r w:rsidR="00EB4E9C" w:rsidRPr="00AE4548">
              <w:t>:</w:t>
            </w:r>
            <w:r w:rsidR="00AE4548">
              <w:rPr>
                <w:b w:val="0"/>
                <w:spacing w:val="0"/>
              </w:rPr>
              <w:t xml:space="preserve"> </w:t>
            </w:r>
            <w:r w:rsidR="00795113" w:rsidRPr="00AE4548">
              <w:rPr>
                <w:b w:val="0"/>
                <w:spacing w:val="0"/>
              </w:rPr>
              <w:t>13 de septiembre</w:t>
            </w:r>
            <w:r w:rsidR="00EB4E9C" w:rsidRPr="00AE4548">
              <w:rPr>
                <w:b w:val="0"/>
                <w:spacing w:val="0"/>
              </w:rPr>
              <w:t xml:space="preserve"> </w:t>
            </w:r>
            <w:r w:rsidRPr="00AE4548">
              <w:rPr>
                <w:b w:val="0"/>
                <w:spacing w:val="0"/>
              </w:rPr>
              <w:t xml:space="preserve">de </w:t>
            </w:r>
            <w:r w:rsidR="00642665" w:rsidRPr="00AE4548">
              <w:rPr>
                <w:b w:val="0"/>
                <w:spacing w:val="0"/>
              </w:rPr>
              <w:t>202</w:t>
            </w:r>
            <w:r w:rsidR="00795113" w:rsidRPr="00AE4548">
              <w:rPr>
                <w:b w:val="0"/>
                <w:spacing w:val="0"/>
              </w:rPr>
              <w:t>1</w:t>
            </w:r>
          </w:p>
        </w:tc>
      </w:tr>
    </w:tbl>
    <w:p w14:paraId="468F7DC3" w14:textId="79C9A4E0" w:rsidR="000D7780" w:rsidRPr="00AE4548" w:rsidRDefault="00B14D06" w:rsidP="00593DD6">
      <w:pPr>
        <w:pStyle w:val="Titleofdoc0"/>
        <w:rPr>
          <w:lang w:val="es-ES"/>
        </w:rPr>
      </w:pPr>
      <w:bookmarkStart w:id="0" w:name="TitleOfDoc"/>
      <w:bookmarkEnd w:id="0"/>
      <w:r w:rsidRPr="00AE4548">
        <w:rPr>
          <w:lang w:val="es-ES"/>
        </w:rPr>
        <w:t>Medidas para mejorar la cooperación en materia de exame</w:t>
      </w:r>
      <w:r w:rsidR="00593DD6" w:rsidRPr="00AE4548">
        <w:rPr>
          <w:lang w:val="es-ES"/>
        </w:rPr>
        <w:t>n</w:t>
      </w:r>
    </w:p>
    <w:p w14:paraId="09D87743" w14:textId="77777777" w:rsidR="006A644A" w:rsidRPr="00AE4548" w:rsidRDefault="000638A9" w:rsidP="006A644A">
      <w:pPr>
        <w:pStyle w:val="preparedby1"/>
        <w:jc w:val="left"/>
      </w:pPr>
      <w:bookmarkStart w:id="1" w:name="Prepared"/>
      <w:bookmarkEnd w:id="1"/>
      <w:r w:rsidRPr="00AE4548">
        <w:t>Documento preparado por la Oficina de la Unión</w:t>
      </w:r>
    </w:p>
    <w:p w14:paraId="5063FB83" w14:textId="77777777" w:rsidR="00050E16" w:rsidRPr="00AE4548" w:rsidRDefault="000638A9" w:rsidP="006A644A">
      <w:pPr>
        <w:pStyle w:val="Disclaimer"/>
      </w:pPr>
      <w:r w:rsidRPr="00AE4548">
        <w:t>Descargo de responsabilidad: el presente documento no constituye un documento de política u orientación de la UPOV</w:t>
      </w:r>
    </w:p>
    <w:p w14:paraId="26B4B6F2" w14:textId="77777777" w:rsidR="00795113" w:rsidRPr="00AE4548" w:rsidRDefault="003A7350" w:rsidP="00795113">
      <w:pPr>
        <w:pStyle w:val="Heading1"/>
        <w:rPr>
          <w:lang w:val="es-ES"/>
        </w:rPr>
      </w:pPr>
      <w:bookmarkStart w:id="2" w:name="_Toc83033648"/>
      <w:r w:rsidRPr="00AE4548">
        <w:rPr>
          <w:lang w:val="es-ES"/>
        </w:rPr>
        <w:t>resumen</w:t>
      </w:r>
      <w:bookmarkEnd w:id="2"/>
    </w:p>
    <w:p w14:paraId="7DDB1A08" w14:textId="77777777" w:rsidR="00795113" w:rsidRPr="00AE4548" w:rsidRDefault="00795113" w:rsidP="00795113">
      <w:pPr>
        <w:rPr>
          <w:color w:val="000000"/>
          <w:lang w:val="es-ES"/>
        </w:rPr>
      </w:pPr>
    </w:p>
    <w:p w14:paraId="4EA8FA22" w14:textId="5DDA41B0" w:rsidR="00D93721" w:rsidRPr="00AE4548" w:rsidRDefault="0028646E" w:rsidP="00B14D06">
      <w:pPr>
        <w:rPr>
          <w:color w:val="000000"/>
          <w:lang w:val="es-ES"/>
        </w:rPr>
      </w:pPr>
      <w:r w:rsidRPr="00AE4548">
        <w:rPr>
          <w:snapToGrid w:val="0"/>
        </w:rPr>
        <w:fldChar w:fldCharType="begin"/>
      </w:r>
      <w:r w:rsidRPr="00AE4548">
        <w:rPr>
          <w:snapToGrid w:val="0"/>
          <w:lang w:val="es-ES"/>
        </w:rPr>
        <w:instrText xml:space="preserve"> AUTONUM  </w:instrText>
      </w:r>
      <w:r w:rsidRPr="00AE4548">
        <w:rPr>
          <w:snapToGrid w:val="0"/>
        </w:rPr>
        <w:fldChar w:fldCharType="end"/>
      </w:r>
      <w:r w:rsidRPr="00AE4548">
        <w:rPr>
          <w:snapToGrid w:val="0"/>
        </w:rPr>
        <w:tab/>
      </w:r>
      <w:r w:rsidR="00D93721" w:rsidRPr="00AE4548">
        <w:rPr>
          <w:color w:val="000000"/>
          <w:lang w:val="es-ES"/>
        </w:rPr>
        <w:t>El presente documento tiene por objeto presentar posibles medidas para superar los obstácu</w:t>
      </w:r>
      <w:r w:rsidR="00E87F34" w:rsidRPr="00AE4548">
        <w:rPr>
          <w:color w:val="000000"/>
          <w:lang w:val="es-ES"/>
        </w:rPr>
        <w:t>los de política o jurídicos que el Comité Técnico (TC) ha señalado como impedimentos para</w:t>
      </w:r>
      <w:r w:rsidR="00D93721" w:rsidRPr="00AE4548">
        <w:rPr>
          <w:color w:val="000000"/>
          <w:lang w:val="es-ES"/>
        </w:rPr>
        <w:t xml:space="preserve"> la cooperación internacional en materia de examen DHE.</w:t>
      </w:r>
    </w:p>
    <w:p w14:paraId="3566B2DB" w14:textId="34D1827C" w:rsidR="00B14D06" w:rsidRPr="00AE4548" w:rsidRDefault="00B14D06" w:rsidP="00B14D06">
      <w:pPr>
        <w:rPr>
          <w:spacing w:val="-4"/>
          <w:lang w:val="es-ES"/>
        </w:rPr>
      </w:pPr>
    </w:p>
    <w:p w14:paraId="2BEB6AB0" w14:textId="5440C7B0" w:rsidR="00D93721" w:rsidRPr="00AE4548" w:rsidRDefault="00B14D06" w:rsidP="00B14D06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es-ES"/>
        </w:rPr>
      </w:pPr>
      <w:r w:rsidRPr="00AE4548">
        <w:rPr>
          <w:snapToGrid w:val="0"/>
        </w:rPr>
        <w:fldChar w:fldCharType="begin"/>
      </w:r>
      <w:r w:rsidRPr="00AE4548">
        <w:rPr>
          <w:snapToGrid w:val="0"/>
          <w:lang w:val="es-ES"/>
        </w:rPr>
        <w:instrText xml:space="preserve"> AUTONUM  </w:instrText>
      </w:r>
      <w:r w:rsidRPr="00AE4548">
        <w:rPr>
          <w:snapToGrid w:val="0"/>
        </w:rPr>
        <w:fldChar w:fldCharType="end"/>
      </w:r>
      <w:r w:rsidRPr="00AE4548">
        <w:rPr>
          <w:snapToGrid w:val="0"/>
          <w:lang w:val="es-ES"/>
        </w:rPr>
        <w:tab/>
      </w:r>
      <w:r w:rsidR="00D93721" w:rsidRPr="00AE4548">
        <w:rPr>
          <w:snapToGrid w:val="0"/>
          <w:lang w:val="es-ES"/>
        </w:rPr>
        <w:t>Se invita al</w:t>
      </w:r>
      <w:r w:rsidRPr="00AE4548">
        <w:rPr>
          <w:snapToGrid w:val="0"/>
          <w:lang w:val="es-ES"/>
        </w:rPr>
        <w:t xml:space="preserve"> CAJ </w:t>
      </w:r>
      <w:r w:rsidR="00D93721" w:rsidRPr="00AE4548">
        <w:rPr>
          <w:snapToGrid w:val="0"/>
          <w:lang w:val="es-ES"/>
        </w:rPr>
        <w:t>a examinar las medidas siguientes para superar los obstáculos de política o jurídicos que</w:t>
      </w:r>
      <w:r w:rsidR="00E87F34" w:rsidRPr="00AE4548">
        <w:rPr>
          <w:color w:val="000000"/>
          <w:lang w:val="es-ES"/>
        </w:rPr>
        <w:t xml:space="preserve"> </w:t>
      </w:r>
      <w:r w:rsidR="0028646E" w:rsidRPr="00AE4548">
        <w:rPr>
          <w:color w:val="000000"/>
          <w:lang w:val="es-ES"/>
        </w:rPr>
        <w:t xml:space="preserve">el TC </w:t>
      </w:r>
      <w:r w:rsidR="00E87F34" w:rsidRPr="00AE4548">
        <w:rPr>
          <w:color w:val="000000"/>
          <w:lang w:val="es-ES"/>
        </w:rPr>
        <w:t>ha señalado como impedimentos para</w:t>
      </w:r>
      <w:r w:rsidR="00D93721" w:rsidRPr="00AE4548">
        <w:rPr>
          <w:snapToGrid w:val="0"/>
          <w:lang w:val="es-ES"/>
        </w:rPr>
        <w:t xml:space="preserve"> la cooperación internacional en materia de </w:t>
      </w:r>
      <w:r w:rsidR="002859EA">
        <w:rPr>
          <w:color w:val="000000"/>
          <w:lang w:val="es-ES"/>
        </w:rPr>
        <w:t>examen DHE:</w:t>
      </w:r>
      <w:bookmarkStart w:id="3" w:name="_GoBack"/>
      <w:bookmarkEnd w:id="3"/>
    </w:p>
    <w:p w14:paraId="4F409A4E" w14:textId="0F7B2323" w:rsidR="00B14D06" w:rsidRPr="00AE4548" w:rsidRDefault="00B14D06" w:rsidP="00B14D06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pacing w:val="-4"/>
          <w:lang w:val="es-ES"/>
        </w:rPr>
      </w:pPr>
    </w:p>
    <w:p w14:paraId="6D26EA01" w14:textId="2BA2409C" w:rsidR="00D93721" w:rsidRPr="00AE4548" w:rsidRDefault="00802D58" w:rsidP="00B14D06">
      <w:pPr>
        <w:pStyle w:val="ListParagraph"/>
        <w:keepNext/>
        <w:keepLines/>
        <w:numPr>
          <w:ilvl w:val="0"/>
          <w:numId w:val="6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contextualSpacing w:val="0"/>
        <w:rPr>
          <w:snapToGrid w:val="0"/>
          <w:lang w:val="es-ES"/>
        </w:rPr>
      </w:pPr>
      <w:r w:rsidRPr="00AE4548">
        <w:rPr>
          <w:lang w:val="es-ES"/>
        </w:rPr>
        <w:t>realizar una encuesta</w:t>
      </w:r>
      <w:r w:rsidR="00D93721" w:rsidRPr="00AE4548">
        <w:rPr>
          <w:lang w:val="es-ES"/>
        </w:rPr>
        <w:t xml:space="preserve"> a los miembros de la Unión para obtener información sobre sus obstáculos de política o jurídicos que podrían impedir la </w:t>
      </w:r>
      <w:r w:rsidR="00D93721" w:rsidRPr="00AE4548">
        <w:rPr>
          <w:snapToGrid w:val="0"/>
          <w:lang w:val="es-ES"/>
        </w:rPr>
        <w:t xml:space="preserve">cooperación internacional en materia de </w:t>
      </w:r>
      <w:r w:rsidR="00D93721" w:rsidRPr="00AE4548">
        <w:rPr>
          <w:color w:val="000000"/>
          <w:lang w:val="es-ES"/>
        </w:rPr>
        <w:t>examen DHE;</w:t>
      </w:r>
    </w:p>
    <w:p w14:paraId="67C808D2" w14:textId="63DD9F5F" w:rsidR="00B14D06" w:rsidRPr="00AE4548" w:rsidRDefault="00B14D06" w:rsidP="00B14D06">
      <w:pPr>
        <w:pStyle w:val="ListParagraph"/>
        <w:keepNext/>
        <w:keepLines/>
        <w:tabs>
          <w:tab w:val="left" w:pos="567"/>
          <w:tab w:val="left" w:pos="1134"/>
          <w:tab w:val="left" w:pos="5387"/>
          <w:tab w:val="left" w:pos="5954"/>
        </w:tabs>
        <w:ind w:left="0"/>
        <w:contextualSpacing w:val="0"/>
        <w:rPr>
          <w:snapToGrid w:val="0"/>
          <w:lang w:val="es-ES"/>
        </w:rPr>
      </w:pPr>
    </w:p>
    <w:p w14:paraId="0007521C" w14:textId="476DCCD8" w:rsidR="00B14D06" w:rsidRPr="00AE4548" w:rsidRDefault="00CB625B" w:rsidP="00CB625B">
      <w:pPr>
        <w:pStyle w:val="ListParagraph"/>
        <w:keepNext/>
        <w:keepLines/>
        <w:numPr>
          <w:ilvl w:val="0"/>
          <w:numId w:val="6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contextualSpacing w:val="0"/>
        <w:rPr>
          <w:snapToGrid w:val="0"/>
          <w:lang w:val="es-ES"/>
        </w:rPr>
      </w:pPr>
      <w:r w:rsidRPr="00AE4548">
        <w:rPr>
          <w:snapToGrid w:val="0"/>
          <w:lang w:val="es-ES"/>
        </w:rPr>
        <w:t>elaborar notas explicativas sobre el artículo 12 del Convenio de la UPOV (“</w:t>
      </w:r>
      <w:r w:rsidRPr="00AE4548">
        <w:rPr>
          <w:lang w:val="es-ES"/>
        </w:rPr>
        <w:t>Examen de la solicitud”); y</w:t>
      </w:r>
    </w:p>
    <w:p w14:paraId="33E5AC47" w14:textId="77777777" w:rsidR="00B14D06" w:rsidRPr="00AE4548" w:rsidRDefault="00B14D06" w:rsidP="00B14D06">
      <w:pPr>
        <w:pStyle w:val="ListParagraph"/>
        <w:keepNext/>
        <w:keepLines/>
        <w:tabs>
          <w:tab w:val="left" w:pos="567"/>
          <w:tab w:val="left" w:pos="1134"/>
          <w:tab w:val="left" w:pos="5387"/>
          <w:tab w:val="left" w:pos="5954"/>
        </w:tabs>
        <w:ind w:left="0"/>
        <w:contextualSpacing w:val="0"/>
        <w:rPr>
          <w:snapToGrid w:val="0"/>
          <w:lang w:val="es-ES"/>
        </w:rPr>
      </w:pPr>
    </w:p>
    <w:p w14:paraId="0D0EEACD" w14:textId="7269646B" w:rsidR="00B14D06" w:rsidRPr="00AE4548" w:rsidRDefault="00CB625B" w:rsidP="00CB625B">
      <w:pPr>
        <w:pStyle w:val="ListParagraph"/>
        <w:keepNext/>
        <w:keepLines/>
        <w:numPr>
          <w:ilvl w:val="0"/>
          <w:numId w:val="6"/>
        </w:numPr>
        <w:tabs>
          <w:tab w:val="left" w:pos="567"/>
          <w:tab w:val="left" w:pos="1134"/>
          <w:tab w:val="left" w:pos="5387"/>
          <w:tab w:val="left" w:pos="5954"/>
        </w:tabs>
        <w:ind w:left="0" w:firstLine="562"/>
        <w:contextualSpacing w:val="0"/>
        <w:rPr>
          <w:snapToGrid w:val="0"/>
          <w:lang w:val="es-ES"/>
        </w:rPr>
      </w:pPr>
      <w:r w:rsidRPr="00AE4548">
        <w:rPr>
          <w:snapToGrid w:val="0"/>
          <w:lang w:val="es-ES"/>
        </w:rPr>
        <w:t>solicitar a las organizaciones de obtentores que ac</w:t>
      </w:r>
      <w:r w:rsidR="00EF500C" w:rsidRPr="00AE4548">
        <w:rPr>
          <w:snapToGrid w:val="0"/>
          <w:lang w:val="es-ES"/>
        </w:rPr>
        <w:t xml:space="preserve">laren las cuestiones relativas al deseo </w:t>
      </w:r>
      <w:r w:rsidRPr="00AE4548">
        <w:rPr>
          <w:snapToGrid w:val="0"/>
          <w:lang w:val="es-ES"/>
        </w:rPr>
        <w:t>de los obtentores de utilizar o no los informes de examen DHE</w:t>
      </w:r>
      <w:r w:rsidR="00EF500C" w:rsidRPr="00AE4548">
        <w:rPr>
          <w:lang w:val="es-ES"/>
        </w:rPr>
        <w:t xml:space="preserve"> existentes</w:t>
      </w:r>
      <w:r w:rsidRPr="00AE4548">
        <w:rPr>
          <w:snapToGrid w:val="0"/>
          <w:lang w:val="es-ES"/>
        </w:rPr>
        <w:t>.</w:t>
      </w:r>
    </w:p>
    <w:p w14:paraId="105274C5" w14:textId="77777777" w:rsidR="00B14D06" w:rsidRPr="00AE4548" w:rsidRDefault="00B14D06" w:rsidP="00B14D06">
      <w:pPr>
        <w:rPr>
          <w:lang w:val="es-ES"/>
        </w:rPr>
      </w:pPr>
    </w:p>
    <w:p w14:paraId="4656692E" w14:textId="73657862" w:rsidR="00B14D06" w:rsidRPr="00AE4548" w:rsidRDefault="00B14D06" w:rsidP="00B14D06">
      <w:pPr>
        <w:rPr>
          <w:lang w:val="es-ES"/>
        </w:rPr>
      </w:pPr>
      <w:r w:rsidRPr="00AE4548">
        <w:rPr>
          <w:color w:val="000000"/>
        </w:rPr>
        <w:fldChar w:fldCharType="begin"/>
      </w:r>
      <w:r w:rsidRPr="00AE4548">
        <w:rPr>
          <w:color w:val="000000"/>
          <w:lang w:val="es-ES"/>
        </w:rPr>
        <w:instrText xml:space="preserve"> AUTONUM  </w:instrText>
      </w:r>
      <w:r w:rsidRPr="00AE4548">
        <w:rPr>
          <w:color w:val="000000"/>
        </w:rPr>
        <w:fldChar w:fldCharType="end"/>
      </w:r>
      <w:r w:rsidRPr="00AE4548">
        <w:rPr>
          <w:color w:val="000000"/>
          <w:lang w:val="es-ES"/>
        </w:rPr>
        <w:tab/>
      </w:r>
      <w:r w:rsidR="00CB625B" w:rsidRPr="00AE4548">
        <w:rPr>
          <w:lang w:val="es-ES"/>
        </w:rPr>
        <w:t>El presente documento se estructura del modo siguiente</w:t>
      </w:r>
      <w:r w:rsidRPr="00AE4548">
        <w:rPr>
          <w:lang w:val="es-ES"/>
        </w:rPr>
        <w:t>:</w:t>
      </w:r>
    </w:p>
    <w:p w14:paraId="7C0DEBB7" w14:textId="77777777" w:rsidR="00B14D06" w:rsidRPr="00AE4548" w:rsidRDefault="00B14D06" w:rsidP="00B14D06">
      <w:pPr>
        <w:rPr>
          <w:lang w:val="es-ES"/>
        </w:rPr>
      </w:pPr>
    </w:p>
    <w:p w14:paraId="0FF09C1B" w14:textId="667DE071" w:rsidR="00A61A37" w:rsidRDefault="00B14D06" w:rsidP="00A61A3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r w:rsidRPr="00AE4548">
        <w:rPr>
          <w:rFonts w:eastAsia="MS Mincho" w:cs="Arial"/>
          <w:noProof/>
          <w:sz w:val="18"/>
          <w:lang w:eastAsia="ja-JP"/>
        </w:rPr>
        <w:fldChar w:fldCharType="begin"/>
      </w:r>
      <w:r w:rsidRPr="00AE4548">
        <w:rPr>
          <w:rFonts w:eastAsia="MS Mincho" w:cs="Arial"/>
          <w:noProof/>
          <w:lang w:val="es-ES" w:eastAsia="ja-JP"/>
        </w:rPr>
        <w:instrText xml:space="preserve"> TOC \o "1-2" \u </w:instrText>
      </w:r>
      <w:r w:rsidRPr="00AE4548">
        <w:rPr>
          <w:rFonts w:eastAsia="MS Mincho" w:cs="Arial"/>
          <w:noProof/>
          <w:sz w:val="18"/>
          <w:lang w:eastAsia="ja-JP"/>
        </w:rPr>
        <w:fldChar w:fldCharType="separate"/>
      </w:r>
      <w:r w:rsidR="00A61A37" w:rsidRPr="009B67C5">
        <w:rPr>
          <w:noProof/>
          <w:lang w:val="es-ES"/>
        </w:rPr>
        <w:t>resumen</w:t>
      </w:r>
      <w:r w:rsidR="00A61A37" w:rsidRPr="00F63950">
        <w:rPr>
          <w:noProof/>
          <w:lang w:val="es-ES"/>
        </w:rPr>
        <w:tab/>
      </w:r>
      <w:r w:rsidR="00A61A37">
        <w:rPr>
          <w:noProof/>
        </w:rPr>
        <w:fldChar w:fldCharType="begin"/>
      </w:r>
      <w:r w:rsidR="00A61A37" w:rsidRPr="00F63950">
        <w:rPr>
          <w:noProof/>
          <w:lang w:val="es-ES"/>
        </w:rPr>
        <w:instrText xml:space="preserve"> PAGEREF _Toc83033648 \h </w:instrText>
      </w:r>
      <w:r w:rsidR="00A61A37">
        <w:rPr>
          <w:noProof/>
        </w:rPr>
      </w:r>
      <w:r w:rsidR="00A61A37">
        <w:rPr>
          <w:noProof/>
        </w:rPr>
        <w:fldChar w:fldCharType="separate"/>
      </w:r>
      <w:r w:rsidR="00A61A37" w:rsidRPr="00F63950">
        <w:rPr>
          <w:noProof/>
          <w:lang w:val="es-ES"/>
        </w:rPr>
        <w:t>1</w:t>
      </w:r>
      <w:r w:rsidR="00A61A37">
        <w:rPr>
          <w:noProof/>
        </w:rPr>
        <w:fldChar w:fldCharType="end"/>
      </w:r>
    </w:p>
    <w:p w14:paraId="1CA176FA" w14:textId="727651EE" w:rsidR="00A61A37" w:rsidRDefault="00A61A37" w:rsidP="00A61A3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r w:rsidRPr="009B67C5">
        <w:rPr>
          <w:noProof/>
          <w:lang w:val="es-ES"/>
        </w:rPr>
        <w:t>antecedentes</w:t>
      </w:r>
      <w:r w:rsidRPr="00F63950">
        <w:rPr>
          <w:noProof/>
          <w:lang w:val="es-ES"/>
        </w:rPr>
        <w:tab/>
      </w:r>
      <w:r>
        <w:rPr>
          <w:noProof/>
        </w:rPr>
        <w:fldChar w:fldCharType="begin"/>
      </w:r>
      <w:r w:rsidRPr="00F63950">
        <w:rPr>
          <w:noProof/>
          <w:lang w:val="es-ES"/>
        </w:rPr>
        <w:instrText xml:space="preserve"> PAGEREF _Toc83033649 \h </w:instrText>
      </w:r>
      <w:r>
        <w:rPr>
          <w:noProof/>
        </w:rPr>
      </w:r>
      <w:r>
        <w:rPr>
          <w:noProof/>
        </w:rPr>
        <w:fldChar w:fldCharType="separate"/>
      </w:r>
      <w:r w:rsidRPr="00F63950">
        <w:rPr>
          <w:noProof/>
          <w:lang w:val="es-ES"/>
        </w:rPr>
        <w:t>2</w:t>
      </w:r>
      <w:r>
        <w:rPr>
          <w:noProof/>
        </w:rPr>
        <w:fldChar w:fldCharType="end"/>
      </w:r>
    </w:p>
    <w:p w14:paraId="795E0D03" w14:textId="5A762635" w:rsidR="00A61A37" w:rsidRPr="00F63950" w:rsidRDefault="00A61A37" w:rsidP="00A61A3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" w:eastAsia="es-ES"/>
        </w:rPr>
      </w:pPr>
      <w:r w:rsidRPr="00F63950">
        <w:rPr>
          <w:noProof/>
          <w:snapToGrid w:val="0"/>
          <w:lang w:val="es-ES"/>
        </w:rPr>
        <w:t>Posibles medidas para superar los obstáculos de política o jurídicos que impiden la cooperación internacional en materia de examen DHE</w:t>
      </w:r>
      <w:r w:rsidRPr="00F63950">
        <w:rPr>
          <w:noProof/>
          <w:lang w:val="es-ES"/>
        </w:rPr>
        <w:tab/>
      </w:r>
      <w:r>
        <w:rPr>
          <w:noProof/>
        </w:rPr>
        <w:fldChar w:fldCharType="begin"/>
      </w:r>
      <w:r w:rsidRPr="00F63950">
        <w:rPr>
          <w:noProof/>
          <w:lang w:val="es-ES"/>
        </w:rPr>
        <w:instrText xml:space="preserve"> PAGEREF _Toc83033650 \h </w:instrText>
      </w:r>
      <w:r>
        <w:rPr>
          <w:noProof/>
        </w:rPr>
      </w:r>
      <w:r>
        <w:rPr>
          <w:noProof/>
        </w:rPr>
        <w:fldChar w:fldCharType="separate"/>
      </w:r>
      <w:r w:rsidRPr="00F63950">
        <w:rPr>
          <w:noProof/>
          <w:lang w:val="es-ES"/>
        </w:rPr>
        <w:t>2</w:t>
      </w:r>
      <w:r>
        <w:rPr>
          <w:noProof/>
        </w:rPr>
        <w:fldChar w:fldCharType="end"/>
      </w:r>
    </w:p>
    <w:p w14:paraId="3705B749" w14:textId="58FA2880" w:rsidR="00B14D06" w:rsidRDefault="00B14D06" w:rsidP="00CB625B">
      <w:pPr>
        <w:tabs>
          <w:tab w:val="left" w:pos="1134"/>
          <w:tab w:val="left" w:pos="1701"/>
        </w:tabs>
        <w:ind w:left="1134" w:hanging="1134"/>
        <w:rPr>
          <w:spacing w:val="-4"/>
          <w:lang w:val="es-ES"/>
        </w:rPr>
      </w:pPr>
      <w:r w:rsidRPr="00AE4548">
        <w:rPr>
          <w:rFonts w:eastAsia="MS Mincho" w:cs="Arial"/>
          <w:bCs/>
          <w:i/>
          <w:noProof/>
          <w:lang w:eastAsia="ja-JP"/>
        </w:rPr>
        <w:fldChar w:fldCharType="end"/>
      </w:r>
      <w:r w:rsidR="00CB625B" w:rsidRPr="00AE4548">
        <w:rPr>
          <w:rFonts w:eastAsia="MS Mincho" w:cs="Arial"/>
          <w:bCs/>
          <w:noProof/>
          <w:lang w:val="es-ES" w:eastAsia="ja-JP"/>
        </w:rPr>
        <w:t>AN</w:t>
      </w:r>
      <w:r w:rsidRPr="00AE4548">
        <w:rPr>
          <w:rFonts w:eastAsia="MS Mincho" w:cs="Arial"/>
          <w:bCs/>
          <w:noProof/>
          <w:lang w:val="es-ES" w:eastAsia="ja-JP"/>
        </w:rPr>
        <w:t>EX</w:t>
      </w:r>
      <w:r w:rsidR="00CB625B" w:rsidRPr="00AE4548">
        <w:rPr>
          <w:rFonts w:eastAsia="MS Mincho" w:cs="Arial"/>
          <w:bCs/>
          <w:noProof/>
          <w:lang w:val="es-ES" w:eastAsia="ja-JP"/>
        </w:rPr>
        <w:t>O</w:t>
      </w:r>
      <w:r w:rsidRPr="00AE4548">
        <w:rPr>
          <w:rFonts w:eastAsia="MS Mincho" w:cs="Arial"/>
          <w:bCs/>
          <w:noProof/>
          <w:lang w:val="es-ES" w:eastAsia="ja-JP"/>
        </w:rPr>
        <w:tab/>
        <w:t>M</w:t>
      </w:r>
      <w:r w:rsidRPr="00AE4548">
        <w:rPr>
          <w:spacing w:val="-4"/>
          <w:lang w:val="es-ES"/>
        </w:rPr>
        <w:t>E</w:t>
      </w:r>
      <w:r w:rsidR="00CB625B" w:rsidRPr="00AE4548">
        <w:rPr>
          <w:spacing w:val="-4"/>
          <w:lang w:val="es-ES"/>
        </w:rPr>
        <w:t xml:space="preserve">DIDAS </w:t>
      </w:r>
      <w:r w:rsidR="005D3B8D" w:rsidRPr="00AE4548">
        <w:rPr>
          <w:spacing w:val="-4"/>
          <w:lang w:val="es-ES"/>
        </w:rPr>
        <w:t>ACORDADAS</w:t>
      </w:r>
      <w:r w:rsidR="00CB625B" w:rsidRPr="00AE4548">
        <w:rPr>
          <w:spacing w:val="-4"/>
          <w:lang w:val="es-ES"/>
        </w:rPr>
        <w:t xml:space="preserve"> POR EL TC PARA SUPERAR LOS OBSTÁCULOS QUE IMPIDEN LA COOPERACIÓN INTERNACIONAL EN MATERIA DE EXAMEN DHE</w:t>
      </w:r>
    </w:p>
    <w:p w14:paraId="34F86C7D" w14:textId="77777777" w:rsidR="00AE4548" w:rsidRPr="00AE4548" w:rsidRDefault="00AE4548" w:rsidP="00CB625B">
      <w:pPr>
        <w:tabs>
          <w:tab w:val="left" w:pos="1134"/>
          <w:tab w:val="left" w:pos="1701"/>
        </w:tabs>
        <w:ind w:left="1134" w:hanging="1134"/>
        <w:rPr>
          <w:spacing w:val="-4"/>
          <w:lang w:val="es-ES"/>
        </w:rPr>
      </w:pPr>
    </w:p>
    <w:p w14:paraId="71554D00" w14:textId="1B7EA947" w:rsidR="00B14D06" w:rsidRPr="00AE4548" w:rsidRDefault="00B14D06" w:rsidP="00B14D06">
      <w:pPr>
        <w:keepNext/>
        <w:rPr>
          <w:color w:val="000000"/>
          <w:lang w:val="es-ES"/>
        </w:rPr>
      </w:pPr>
      <w:r w:rsidRPr="00AE4548">
        <w:rPr>
          <w:color w:val="000000"/>
        </w:rPr>
        <w:fldChar w:fldCharType="begin"/>
      </w:r>
      <w:r w:rsidRPr="00AE4548">
        <w:rPr>
          <w:color w:val="000000"/>
          <w:lang w:val="es-ES"/>
        </w:rPr>
        <w:instrText xml:space="preserve"> AUTONUM  </w:instrText>
      </w:r>
      <w:r w:rsidRPr="00AE4548">
        <w:rPr>
          <w:color w:val="000000"/>
        </w:rPr>
        <w:fldChar w:fldCharType="end"/>
      </w:r>
      <w:r w:rsidRPr="00AE4548">
        <w:rPr>
          <w:color w:val="000000"/>
          <w:lang w:val="es-ES"/>
        </w:rPr>
        <w:tab/>
      </w:r>
      <w:r w:rsidR="00CB625B" w:rsidRPr="00AE4548">
        <w:rPr>
          <w:color w:val="000000"/>
          <w:lang w:val="es-ES"/>
        </w:rPr>
        <w:t>En el presente documento se utilizan las abreviaturas siguientes</w:t>
      </w:r>
      <w:r w:rsidRPr="00AE4548">
        <w:rPr>
          <w:color w:val="000000"/>
          <w:lang w:val="es-ES"/>
        </w:rPr>
        <w:t>:</w:t>
      </w:r>
    </w:p>
    <w:p w14:paraId="7077DEE6" w14:textId="77777777" w:rsidR="00B14D06" w:rsidRPr="00AE4548" w:rsidRDefault="00B14D06" w:rsidP="00B14D06">
      <w:pPr>
        <w:keepNext/>
        <w:ind w:left="1692" w:hanging="1125"/>
        <w:jc w:val="left"/>
        <w:rPr>
          <w:color w:val="000000"/>
          <w:lang w:val="es-ES"/>
        </w:rPr>
      </w:pPr>
    </w:p>
    <w:p w14:paraId="41AF1EF5" w14:textId="5FF481C8" w:rsidR="00B14D06" w:rsidRPr="00AE4548" w:rsidRDefault="00B14D06" w:rsidP="00B14D06">
      <w:pPr>
        <w:keepNext/>
        <w:tabs>
          <w:tab w:val="left" w:pos="567"/>
          <w:tab w:val="left" w:pos="1701"/>
        </w:tabs>
        <w:rPr>
          <w:lang w:val="es-ES"/>
        </w:rPr>
      </w:pPr>
      <w:r w:rsidRPr="00AE4548">
        <w:rPr>
          <w:lang w:val="es-ES"/>
        </w:rPr>
        <w:tab/>
        <w:t>CAJ:</w:t>
      </w:r>
      <w:r w:rsidRPr="00AE4548">
        <w:rPr>
          <w:lang w:val="es-ES"/>
        </w:rPr>
        <w:tab/>
      </w:r>
      <w:r w:rsidR="00CB625B" w:rsidRPr="00AE4548">
        <w:rPr>
          <w:lang w:val="es-ES"/>
        </w:rPr>
        <w:t>Comité Administrativo y Jurídico</w:t>
      </w:r>
    </w:p>
    <w:p w14:paraId="76436B27" w14:textId="1D058166" w:rsidR="00B14D06" w:rsidRPr="00AE4548" w:rsidRDefault="00B14D06" w:rsidP="00B14D06">
      <w:pPr>
        <w:keepNext/>
        <w:tabs>
          <w:tab w:val="left" w:pos="567"/>
          <w:tab w:val="left" w:pos="1701"/>
        </w:tabs>
        <w:rPr>
          <w:lang w:val="es-ES"/>
        </w:rPr>
      </w:pPr>
      <w:r w:rsidRPr="00AE4548">
        <w:rPr>
          <w:lang w:val="es-ES"/>
        </w:rPr>
        <w:tab/>
        <w:t>TC:</w:t>
      </w:r>
      <w:r w:rsidRPr="00AE4548">
        <w:rPr>
          <w:lang w:val="es-ES"/>
        </w:rPr>
        <w:tab/>
      </w:r>
      <w:r w:rsidR="00CB625B" w:rsidRPr="00AE4548">
        <w:rPr>
          <w:lang w:val="es-ES"/>
        </w:rPr>
        <w:t>Comité Técnico</w:t>
      </w:r>
    </w:p>
    <w:p w14:paraId="1372A252" w14:textId="2859562A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>TC-EDC:</w:t>
      </w:r>
      <w:r w:rsidRPr="00AE4548">
        <w:rPr>
          <w:rFonts w:eastAsia="PMingLiU"/>
          <w:szCs w:val="24"/>
          <w:lang w:val="es-ES"/>
        </w:rPr>
        <w:tab/>
      </w:r>
      <w:r w:rsidR="00CB625B" w:rsidRPr="00AE4548">
        <w:rPr>
          <w:rFonts w:eastAsia="PMingLiU"/>
          <w:szCs w:val="24"/>
          <w:lang w:val="es-ES"/>
        </w:rPr>
        <w:t>Comité de Redacción Ampliado</w:t>
      </w:r>
    </w:p>
    <w:p w14:paraId="2FC9CDAD" w14:textId="25690C61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>TWA:</w:t>
      </w:r>
      <w:r w:rsidRPr="00AE4548">
        <w:rPr>
          <w:rFonts w:eastAsia="PMingLiU"/>
          <w:szCs w:val="24"/>
          <w:lang w:val="es-ES"/>
        </w:rPr>
        <w:tab/>
      </w:r>
      <w:r w:rsidR="00CB625B" w:rsidRPr="00AE4548">
        <w:rPr>
          <w:rFonts w:eastAsia="PMingLiU"/>
          <w:szCs w:val="24"/>
          <w:lang w:val="es-ES"/>
        </w:rPr>
        <w:t>Grupo de Trabajo Técnico sobre Plantas Agrícolas</w:t>
      </w:r>
    </w:p>
    <w:p w14:paraId="6BE42DED" w14:textId="4796D80D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>TWC:</w:t>
      </w:r>
      <w:r w:rsidRPr="00AE4548">
        <w:rPr>
          <w:rFonts w:eastAsia="PMingLiU"/>
          <w:szCs w:val="24"/>
          <w:lang w:val="es-ES"/>
        </w:rPr>
        <w:tab/>
      </w:r>
      <w:r w:rsidR="005D3B8D" w:rsidRPr="00AE4548">
        <w:rPr>
          <w:rFonts w:eastAsia="PMingLiU"/>
          <w:szCs w:val="24"/>
          <w:lang w:val="es-ES"/>
        </w:rPr>
        <w:t>Grupo de Trabajo Técnico sobre Automatización y Programas Informáticos</w:t>
      </w:r>
    </w:p>
    <w:p w14:paraId="2BC2D343" w14:textId="64FD0FF9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 xml:space="preserve">TWF: </w:t>
      </w:r>
      <w:r w:rsidRPr="00AE4548">
        <w:rPr>
          <w:rFonts w:eastAsia="PMingLiU"/>
          <w:szCs w:val="24"/>
          <w:lang w:val="es-ES"/>
        </w:rPr>
        <w:tab/>
      </w:r>
      <w:r w:rsidR="005D3B8D" w:rsidRPr="00AE4548">
        <w:rPr>
          <w:rFonts w:eastAsia="PMingLiU"/>
          <w:szCs w:val="24"/>
          <w:lang w:val="es-ES"/>
        </w:rPr>
        <w:t>Grupo de Trabajo Técnico sobre Plantas Frutales</w:t>
      </w:r>
    </w:p>
    <w:p w14:paraId="6C2F760C" w14:textId="12C25711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</w:r>
      <w:r w:rsidR="005D3B8D" w:rsidRPr="00AE4548">
        <w:rPr>
          <w:rFonts w:eastAsia="PMingLiU"/>
          <w:szCs w:val="24"/>
          <w:lang w:val="es-ES"/>
        </w:rPr>
        <w:t>TWO:</w:t>
      </w:r>
      <w:r w:rsidR="005D3B8D" w:rsidRPr="00AE4548">
        <w:rPr>
          <w:rFonts w:eastAsia="PMingLiU"/>
          <w:szCs w:val="24"/>
          <w:lang w:val="es-ES"/>
        </w:rPr>
        <w:tab/>
        <w:t>Grupo de Trabajo Técnico sobre Plantas Ornamentales y Árboles Forestales</w:t>
      </w:r>
    </w:p>
    <w:p w14:paraId="73D099DA" w14:textId="6DD3AA00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>TWP:</w:t>
      </w:r>
      <w:r w:rsidRPr="00AE4548">
        <w:rPr>
          <w:rFonts w:eastAsia="PMingLiU"/>
          <w:szCs w:val="24"/>
          <w:lang w:val="es-ES"/>
        </w:rPr>
        <w:tab/>
      </w:r>
      <w:r w:rsidR="005D3B8D" w:rsidRPr="00AE4548">
        <w:rPr>
          <w:rFonts w:eastAsia="PMingLiU"/>
          <w:szCs w:val="24"/>
          <w:lang w:val="es-ES"/>
        </w:rPr>
        <w:t>Grupos de Trabajo Técnico</w:t>
      </w:r>
    </w:p>
    <w:p w14:paraId="24AB24D3" w14:textId="4035699A" w:rsidR="00B14D06" w:rsidRPr="00AE4548" w:rsidRDefault="00B14D06" w:rsidP="00B14D06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AE4548">
        <w:rPr>
          <w:rFonts w:eastAsia="PMingLiU"/>
          <w:szCs w:val="24"/>
          <w:lang w:val="es-ES"/>
        </w:rPr>
        <w:tab/>
        <w:t>TWV:</w:t>
      </w:r>
      <w:r w:rsidRPr="00AE4548">
        <w:rPr>
          <w:rFonts w:eastAsia="PMingLiU"/>
          <w:szCs w:val="24"/>
          <w:lang w:val="es-ES"/>
        </w:rPr>
        <w:tab/>
      </w:r>
      <w:r w:rsidR="005D3B8D" w:rsidRPr="00AE4548">
        <w:rPr>
          <w:rFonts w:eastAsia="PMingLiU"/>
          <w:szCs w:val="24"/>
          <w:lang w:val="es-ES"/>
        </w:rPr>
        <w:t>Grupo de Trabajo Técnico sobre Hortalizas</w:t>
      </w:r>
    </w:p>
    <w:p w14:paraId="54B08A64" w14:textId="77777777" w:rsidR="00B14D06" w:rsidRPr="00AE4548" w:rsidRDefault="00B14D06" w:rsidP="00B14D06">
      <w:pPr>
        <w:rPr>
          <w:lang w:val="es-ES"/>
        </w:rPr>
      </w:pPr>
      <w:r w:rsidRPr="00AE4548">
        <w:fldChar w:fldCharType="begin"/>
      </w:r>
      <w:r w:rsidRPr="00AE4548">
        <w:rPr>
          <w:lang w:val="es-ES"/>
        </w:rPr>
        <w:instrText xml:space="preserve"> TOC \o "1-3" \h \z \u </w:instrText>
      </w:r>
      <w:r w:rsidRPr="00AE4548">
        <w:fldChar w:fldCharType="separate"/>
      </w:r>
    </w:p>
    <w:p w14:paraId="13BA1312" w14:textId="77777777" w:rsidR="00B14D06" w:rsidRPr="00AE4548" w:rsidRDefault="00B14D06" w:rsidP="00B14D06">
      <w:pPr>
        <w:rPr>
          <w:lang w:val="es-ES"/>
        </w:rPr>
      </w:pPr>
      <w:r w:rsidRPr="00AE4548">
        <w:fldChar w:fldCharType="end"/>
      </w:r>
    </w:p>
    <w:p w14:paraId="647A4CDD" w14:textId="77777777" w:rsidR="00B14D06" w:rsidRPr="00AE4548" w:rsidRDefault="00B14D06" w:rsidP="00B14D06">
      <w:pPr>
        <w:rPr>
          <w:lang w:val="es-ES"/>
        </w:rPr>
      </w:pPr>
    </w:p>
    <w:p w14:paraId="42E3A462" w14:textId="1EC76473" w:rsidR="00B14D06" w:rsidRPr="00AE4548" w:rsidRDefault="005D3B8D" w:rsidP="00B14D06">
      <w:pPr>
        <w:keepNext/>
        <w:outlineLvl w:val="0"/>
        <w:rPr>
          <w:snapToGrid w:val="0"/>
          <w:lang w:val="es-ES"/>
        </w:rPr>
      </w:pPr>
      <w:bookmarkStart w:id="4" w:name="_Toc83033649"/>
      <w:r w:rsidRPr="00AE4548">
        <w:rPr>
          <w:caps/>
          <w:lang w:val="es-ES"/>
        </w:rPr>
        <w:lastRenderedPageBreak/>
        <w:t>antecedentes</w:t>
      </w:r>
      <w:bookmarkEnd w:id="4"/>
    </w:p>
    <w:p w14:paraId="3226253C" w14:textId="77777777" w:rsidR="00B14D06" w:rsidRPr="00AE4548" w:rsidRDefault="00B14D06" w:rsidP="00B14D06">
      <w:pPr>
        <w:keepNext/>
        <w:rPr>
          <w:u w:val="single"/>
          <w:lang w:val="es-ES"/>
        </w:rPr>
      </w:pPr>
    </w:p>
    <w:p w14:paraId="7C6F3C45" w14:textId="6041B408" w:rsidR="00B14D06" w:rsidRPr="00AE4548" w:rsidRDefault="00B14D06" w:rsidP="005D3B8D">
      <w:pPr>
        <w:rPr>
          <w:lang w:val="es-ES"/>
        </w:rPr>
      </w:pPr>
      <w:r w:rsidRPr="00AE4548">
        <w:fldChar w:fldCharType="begin"/>
      </w:r>
      <w:r w:rsidRPr="00AE4548">
        <w:rPr>
          <w:lang w:val="es-ES"/>
        </w:rPr>
        <w:instrText xml:space="preserve"> AUTONUM  </w:instrText>
      </w:r>
      <w:r w:rsidRPr="00AE4548">
        <w:fldChar w:fldCharType="end"/>
      </w:r>
      <w:r w:rsidRPr="00AE4548">
        <w:rPr>
          <w:lang w:val="es-ES"/>
        </w:rPr>
        <w:tab/>
      </w:r>
      <w:r w:rsidR="005D3B8D" w:rsidRPr="00AE4548">
        <w:rPr>
          <w:lang w:val="es-ES"/>
        </w:rPr>
        <w:t>En su septuagésima séptima sesión,</w:t>
      </w:r>
      <w:r w:rsidR="005D3B8D" w:rsidRPr="00AE4548">
        <w:rPr>
          <w:rStyle w:val="FootnoteReference"/>
        </w:rPr>
        <w:footnoteReference w:id="2"/>
      </w:r>
      <w:r w:rsidR="005D3B8D" w:rsidRPr="00AE4548">
        <w:rPr>
          <w:lang w:val="es-ES"/>
        </w:rPr>
        <w:t xml:space="preserve"> el</w:t>
      </w:r>
      <w:r w:rsidRPr="00AE4548">
        <w:rPr>
          <w:lang w:val="es-ES"/>
        </w:rPr>
        <w:t xml:space="preserve"> CAJ</w:t>
      </w:r>
      <w:r w:rsidR="005D3B8D" w:rsidRPr="00AE4548">
        <w:rPr>
          <w:lang w:val="es-ES"/>
        </w:rPr>
        <w:t xml:space="preserve"> tomó nota de la información expuesta en el documento </w:t>
      </w:r>
      <w:r w:rsidRPr="00AE4548">
        <w:rPr>
          <w:lang w:val="es-ES"/>
        </w:rPr>
        <w:t>CAJ/77/2</w:t>
      </w:r>
      <w:r w:rsidR="005D3B8D" w:rsidRPr="00AE4548">
        <w:rPr>
          <w:lang w:val="es-ES"/>
        </w:rPr>
        <w:t xml:space="preserve"> y en el informe verbal presentado por el Sr. Nik Hulse, presidente del TC (véase el documento </w:t>
      </w:r>
      <w:r w:rsidRPr="00AE4548">
        <w:rPr>
          <w:lang w:val="es-ES"/>
        </w:rPr>
        <w:t>CAJ/77/10 “</w:t>
      </w:r>
      <w:r w:rsidR="005D3B8D" w:rsidRPr="00AE4548">
        <w:rPr>
          <w:lang w:val="es-ES"/>
        </w:rPr>
        <w:t>Informe</w:t>
      </w:r>
      <w:r w:rsidRPr="00AE4548">
        <w:rPr>
          <w:lang w:val="es-ES"/>
        </w:rPr>
        <w:t xml:space="preserve">”, </w:t>
      </w:r>
      <w:r w:rsidR="005D3B8D" w:rsidRPr="00AE4548">
        <w:rPr>
          <w:lang w:val="es-ES"/>
        </w:rPr>
        <w:t>párrafos</w:t>
      </w:r>
      <w:r w:rsidRPr="00AE4548">
        <w:rPr>
          <w:lang w:val="es-ES"/>
        </w:rPr>
        <w:t xml:space="preserve"> 11 </w:t>
      </w:r>
      <w:r w:rsidR="005D3B8D" w:rsidRPr="00AE4548">
        <w:rPr>
          <w:lang w:val="es-ES"/>
        </w:rPr>
        <w:t>a</w:t>
      </w:r>
      <w:r w:rsidRPr="00AE4548">
        <w:rPr>
          <w:lang w:val="es-ES"/>
        </w:rPr>
        <w:t xml:space="preserve"> 15).</w:t>
      </w:r>
    </w:p>
    <w:p w14:paraId="52681C3A" w14:textId="77777777" w:rsidR="00B14D06" w:rsidRPr="00AE4548" w:rsidRDefault="00B14D06" w:rsidP="00B14D06">
      <w:pPr>
        <w:rPr>
          <w:spacing w:val="-4"/>
          <w:lang w:val="es-ES"/>
        </w:rPr>
      </w:pPr>
    </w:p>
    <w:p w14:paraId="7F0FABF7" w14:textId="0616AD4B" w:rsidR="00B14D06" w:rsidRPr="00AE4548" w:rsidRDefault="00B14D06" w:rsidP="00B14D06">
      <w:pPr>
        <w:rPr>
          <w:spacing w:val="-4"/>
          <w:lang w:val="es-ES"/>
        </w:rPr>
      </w:pPr>
      <w:r w:rsidRPr="00AE4548">
        <w:rPr>
          <w:spacing w:val="-4"/>
        </w:rPr>
        <w:fldChar w:fldCharType="begin"/>
      </w:r>
      <w:r w:rsidRPr="00AE4548">
        <w:rPr>
          <w:spacing w:val="-4"/>
          <w:lang w:val="es-ES"/>
        </w:rPr>
        <w:instrText xml:space="preserve"> AUTONUM  </w:instrText>
      </w:r>
      <w:r w:rsidRPr="00AE4548">
        <w:rPr>
          <w:spacing w:val="-4"/>
        </w:rPr>
        <w:fldChar w:fldCharType="end"/>
      </w:r>
      <w:r w:rsidRPr="00AE4548">
        <w:rPr>
          <w:spacing w:val="-4"/>
          <w:lang w:val="es-ES"/>
        </w:rPr>
        <w:tab/>
      </w:r>
      <w:r w:rsidR="005D3B8D" w:rsidRPr="00AE4548">
        <w:t xml:space="preserve">El CAJ tomó nota de las medidas acordadas por el TC para superar los obstáculos que impiden la cooperación internacional en </w:t>
      </w:r>
      <w:r w:rsidR="00A91913" w:rsidRPr="00AE4548">
        <w:t>materia de</w:t>
      </w:r>
      <w:r w:rsidR="005D3B8D" w:rsidRPr="00AE4548">
        <w:t xml:space="preserve"> examen DHE</w:t>
      </w:r>
      <w:r w:rsidR="005D3B8D" w:rsidRPr="00AE4548">
        <w:rPr>
          <w:spacing w:val="-4"/>
          <w:lang w:val="es-ES"/>
        </w:rPr>
        <w:t xml:space="preserve"> (véase el anexo al presente documento)</w:t>
      </w:r>
      <w:r w:rsidRPr="00AE4548">
        <w:rPr>
          <w:lang w:val="es-ES"/>
        </w:rPr>
        <w:t>.</w:t>
      </w:r>
    </w:p>
    <w:p w14:paraId="17452D33" w14:textId="77777777" w:rsidR="00B14D06" w:rsidRPr="00AE4548" w:rsidRDefault="00B14D06" w:rsidP="00B14D06">
      <w:pPr>
        <w:rPr>
          <w:spacing w:val="-4"/>
          <w:lang w:val="es-ES"/>
        </w:rPr>
      </w:pPr>
    </w:p>
    <w:p w14:paraId="53E3CAC7" w14:textId="43AE119E" w:rsidR="00B14D06" w:rsidRPr="00AE4548" w:rsidRDefault="00B14D06" w:rsidP="00B14D06">
      <w:pPr>
        <w:rPr>
          <w:spacing w:val="-4"/>
          <w:lang w:val="es-ES"/>
        </w:rPr>
      </w:pPr>
      <w:r w:rsidRPr="00AE4548">
        <w:rPr>
          <w:spacing w:val="-4"/>
        </w:rPr>
        <w:fldChar w:fldCharType="begin"/>
      </w:r>
      <w:r w:rsidRPr="00AE4548">
        <w:rPr>
          <w:spacing w:val="-4"/>
          <w:lang w:val="es-ES"/>
        </w:rPr>
        <w:instrText xml:space="preserve"> AUTONUM  </w:instrText>
      </w:r>
      <w:r w:rsidRPr="00AE4548">
        <w:rPr>
          <w:spacing w:val="-4"/>
        </w:rPr>
        <w:fldChar w:fldCharType="end"/>
      </w:r>
      <w:r w:rsidRPr="00AE4548">
        <w:rPr>
          <w:spacing w:val="-4"/>
          <w:lang w:val="es-ES"/>
        </w:rPr>
        <w:tab/>
      </w:r>
      <w:r w:rsidR="005D3B8D" w:rsidRPr="00AE4548">
        <w:t>En respuesta a la solicitud del TC, el CAJ pidió a la Oficina de la Unión que elabor</w:t>
      </w:r>
      <w:r w:rsidR="0028646E" w:rsidRPr="00AE4548">
        <w:t>ara</w:t>
      </w:r>
      <w:r w:rsidR="005D3B8D" w:rsidRPr="00AE4548">
        <w:t xml:space="preserve"> un documento, que se examinará en su septuagésima octava sesión, sobre los siguientes obstáculos </w:t>
      </w:r>
      <w:r w:rsidR="00EF4C74" w:rsidRPr="00AE4548">
        <w:t>de política</w:t>
      </w:r>
      <w:r w:rsidR="005D3B8D" w:rsidRPr="00AE4548">
        <w:t xml:space="preserve"> o jurídicos que el TC ha señalado como impedimentos para la cooperación internacional en el examen DHE y las posibles medidas para </w:t>
      </w:r>
      <w:r w:rsidR="00EF4C74" w:rsidRPr="00AE4548">
        <w:t>superar</w:t>
      </w:r>
      <w:r w:rsidR="005D3B8D" w:rsidRPr="00AE4548">
        <w:t xml:space="preserve"> estos obstáculos</w:t>
      </w:r>
      <w:r w:rsidRPr="00AE4548">
        <w:rPr>
          <w:spacing w:val="-4"/>
          <w:lang w:val="es-ES"/>
        </w:rPr>
        <w:t xml:space="preserve">: </w:t>
      </w:r>
    </w:p>
    <w:p w14:paraId="64E7188C" w14:textId="77777777" w:rsidR="00B14D06" w:rsidRPr="00AE4548" w:rsidRDefault="00B14D06" w:rsidP="00B14D06">
      <w:pPr>
        <w:rPr>
          <w:spacing w:val="-4"/>
          <w:lang w:val="es-ES"/>
        </w:rPr>
      </w:pPr>
    </w:p>
    <w:p w14:paraId="19E39C72" w14:textId="77777777" w:rsidR="007C1178" w:rsidRPr="00AE4548" w:rsidRDefault="007C1178" w:rsidP="007C1178">
      <w:pPr>
        <w:pStyle w:val="ListParagraph"/>
        <w:numPr>
          <w:ilvl w:val="0"/>
          <w:numId w:val="8"/>
        </w:numPr>
        <w:tabs>
          <w:tab w:val="left" w:pos="1134"/>
        </w:tabs>
        <w:spacing w:after="120"/>
        <w:rPr>
          <w:spacing w:val="-4"/>
          <w:lang w:val="es-ES"/>
        </w:rPr>
      </w:pPr>
      <w:r w:rsidRPr="00AE4548">
        <w:rPr>
          <w:lang w:val="es-ES"/>
        </w:rPr>
        <w:t>Obligación de suscribir un acuerdo formal de cooperación;</w:t>
      </w:r>
    </w:p>
    <w:p w14:paraId="3A473E5F" w14:textId="790D0545" w:rsidR="00B14D06" w:rsidRPr="00AE4548" w:rsidRDefault="00B14D06" w:rsidP="00B14D06">
      <w:pPr>
        <w:tabs>
          <w:tab w:val="left" w:pos="1134"/>
        </w:tabs>
        <w:spacing w:after="120"/>
        <w:ind w:left="562"/>
        <w:rPr>
          <w:spacing w:val="-4"/>
          <w:lang w:val="es-ES"/>
        </w:rPr>
      </w:pPr>
      <w:r w:rsidRPr="00AE4548">
        <w:rPr>
          <w:spacing w:val="-4"/>
          <w:lang w:val="es-ES"/>
        </w:rPr>
        <w:t>ii)</w:t>
      </w:r>
      <w:r w:rsidRPr="00AE4548">
        <w:rPr>
          <w:spacing w:val="-4"/>
          <w:lang w:val="es-ES"/>
        </w:rPr>
        <w:tab/>
      </w:r>
      <w:r w:rsidR="002A4BD1" w:rsidRPr="00AE4548">
        <w:rPr>
          <w:lang w:val="es-ES"/>
        </w:rPr>
        <w:t>Obligación de que el examen DHE sea efectuado por la autoridad que concede los títulos</w:t>
      </w:r>
      <w:r w:rsidRPr="00AE4548">
        <w:rPr>
          <w:spacing w:val="-4"/>
          <w:lang w:val="es-ES"/>
        </w:rPr>
        <w:t>;</w:t>
      </w:r>
    </w:p>
    <w:p w14:paraId="5A309E73" w14:textId="0067BE38" w:rsidR="00B14D06" w:rsidRPr="00AE4548" w:rsidRDefault="00B14D06" w:rsidP="00B14D06">
      <w:pPr>
        <w:tabs>
          <w:tab w:val="left" w:pos="1134"/>
        </w:tabs>
        <w:spacing w:after="120"/>
        <w:ind w:left="562"/>
        <w:rPr>
          <w:spacing w:val="-4"/>
          <w:lang w:val="es-ES"/>
        </w:rPr>
      </w:pPr>
      <w:r w:rsidRPr="00AE4548">
        <w:rPr>
          <w:spacing w:val="-4"/>
          <w:lang w:val="es-ES"/>
        </w:rPr>
        <w:t>iii)</w:t>
      </w:r>
      <w:r w:rsidRPr="00AE4548">
        <w:rPr>
          <w:spacing w:val="-4"/>
          <w:lang w:val="es-ES"/>
        </w:rPr>
        <w:tab/>
      </w:r>
      <w:r w:rsidR="002A4BD1" w:rsidRPr="00AE4548">
        <w:rPr>
          <w:lang w:val="es-ES"/>
        </w:rPr>
        <w:t>No se admiten los informes de los exámenes DHE realizados por obtentores</w:t>
      </w:r>
      <w:r w:rsidRPr="00AE4548">
        <w:rPr>
          <w:spacing w:val="-4"/>
          <w:lang w:val="es-ES"/>
        </w:rPr>
        <w:t>;</w:t>
      </w:r>
    </w:p>
    <w:p w14:paraId="0247567B" w14:textId="43846736" w:rsidR="00B14D06" w:rsidRPr="00AE4548" w:rsidRDefault="00B14D06" w:rsidP="002A4BD1">
      <w:pPr>
        <w:tabs>
          <w:tab w:val="left" w:pos="1134"/>
        </w:tabs>
        <w:spacing w:after="120"/>
        <w:ind w:left="562"/>
        <w:rPr>
          <w:spacing w:val="-4"/>
          <w:lang w:val="es-ES"/>
        </w:rPr>
      </w:pPr>
      <w:r w:rsidRPr="00AE4548">
        <w:rPr>
          <w:spacing w:val="-4"/>
          <w:lang w:val="es-ES"/>
        </w:rPr>
        <w:t>iv)</w:t>
      </w:r>
      <w:r w:rsidRPr="00AE4548">
        <w:rPr>
          <w:spacing w:val="-4"/>
          <w:lang w:val="es-ES"/>
        </w:rPr>
        <w:tab/>
      </w:r>
      <w:r w:rsidR="002A4BD1" w:rsidRPr="00AE4548">
        <w:rPr>
          <w:spacing w:val="-4"/>
          <w:lang w:val="es-ES"/>
        </w:rPr>
        <w:t>D</w:t>
      </w:r>
      <w:r w:rsidR="002A4BD1" w:rsidRPr="00AE4548">
        <w:rPr>
          <w:lang w:val="es-ES"/>
        </w:rPr>
        <w:t>eseo de los obtentores de utilizar (o no) los informes DHE existentes</w:t>
      </w:r>
      <w:r w:rsidRPr="00AE4548">
        <w:rPr>
          <w:spacing w:val="-4"/>
          <w:lang w:val="es-ES"/>
        </w:rPr>
        <w:t xml:space="preserve">. </w:t>
      </w:r>
    </w:p>
    <w:p w14:paraId="05CD5F0A" w14:textId="77777777" w:rsidR="00B14D06" w:rsidRPr="00AE4548" w:rsidRDefault="00B14D06" w:rsidP="00B14D06">
      <w:pPr>
        <w:rPr>
          <w:snapToGrid w:val="0"/>
          <w:lang w:val="es-ES"/>
        </w:rPr>
      </w:pPr>
    </w:p>
    <w:p w14:paraId="32C3B882" w14:textId="724EF403" w:rsidR="00B14D06" w:rsidRDefault="00B14D06" w:rsidP="00B14D06">
      <w:pPr>
        <w:rPr>
          <w:snapToGrid w:val="0"/>
          <w:lang w:val="es-ES"/>
        </w:rPr>
      </w:pPr>
    </w:p>
    <w:p w14:paraId="59F40CBA" w14:textId="77777777" w:rsidR="00F63950" w:rsidRPr="00AE4548" w:rsidRDefault="00F63950" w:rsidP="00B14D06">
      <w:pPr>
        <w:rPr>
          <w:snapToGrid w:val="0"/>
          <w:lang w:val="es-ES"/>
        </w:rPr>
      </w:pPr>
    </w:p>
    <w:p w14:paraId="198A34B4" w14:textId="205A6E25" w:rsidR="00B14D06" w:rsidRPr="00AE4548" w:rsidRDefault="002A4BD1" w:rsidP="00B14D06">
      <w:pPr>
        <w:pStyle w:val="Heading1"/>
        <w:rPr>
          <w:snapToGrid w:val="0"/>
          <w:lang w:val="es-ES"/>
        </w:rPr>
      </w:pPr>
      <w:bookmarkStart w:id="5" w:name="_Toc83033650"/>
      <w:r w:rsidRPr="00AE4548">
        <w:rPr>
          <w:noProof/>
          <w:snapToGrid w:val="0"/>
          <w:lang w:val="es-ES"/>
        </w:rPr>
        <w:t>Posibles medidas para superar los obstáculos de política o jurídicos que impiden la cooperación internacional en materia de examen DHE</w:t>
      </w:r>
      <w:bookmarkEnd w:id="5"/>
    </w:p>
    <w:p w14:paraId="66148DAE" w14:textId="77777777" w:rsidR="00B14D06" w:rsidRPr="00AE4548" w:rsidRDefault="00B14D06" w:rsidP="00B14D06">
      <w:pPr>
        <w:rPr>
          <w:snapToGrid w:val="0"/>
          <w:spacing w:val="-4"/>
          <w:u w:val="single"/>
          <w:lang w:val="es-ES"/>
        </w:rPr>
      </w:pPr>
    </w:p>
    <w:p w14:paraId="3D8C3BD1" w14:textId="06E17C4B" w:rsidR="00B14D06" w:rsidRPr="00AE4548" w:rsidRDefault="00B14D06" w:rsidP="00B14D06">
      <w:pPr>
        <w:rPr>
          <w:spacing w:val="-4"/>
          <w:lang w:val="es-ES"/>
        </w:rPr>
      </w:pPr>
      <w:r w:rsidRPr="00AE4548">
        <w:rPr>
          <w:spacing w:val="-4"/>
        </w:rPr>
        <w:fldChar w:fldCharType="begin"/>
      </w:r>
      <w:r w:rsidRPr="00AE4548">
        <w:rPr>
          <w:spacing w:val="-4"/>
          <w:lang w:val="es-ES"/>
        </w:rPr>
        <w:instrText xml:space="preserve"> AUTONUM  </w:instrText>
      </w:r>
      <w:r w:rsidRPr="00AE4548">
        <w:rPr>
          <w:spacing w:val="-4"/>
        </w:rPr>
        <w:fldChar w:fldCharType="end"/>
      </w:r>
      <w:r w:rsidRPr="00AE4548">
        <w:rPr>
          <w:spacing w:val="-4"/>
          <w:lang w:val="es-ES"/>
        </w:rPr>
        <w:tab/>
      </w:r>
      <w:r w:rsidR="002A4BD1" w:rsidRPr="00AE4548">
        <w:rPr>
          <w:spacing w:val="-4"/>
          <w:lang w:val="es-ES"/>
        </w:rPr>
        <w:t xml:space="preserve">A continuación se presentan posibles medidas para superar los obstáculos de política o jurídicos consistentes en i) la obligación de suscribir un acuerdo formal de cooperación; ii) la obligación de que el examen DHE sea efectuado por la autoridad que concede los títulos; y iii) el hecho de que no se admitan los informes de los </w:t>
      </w:r>
      <w:r w:rsidR="002A4BD1" w:rsidRPr="00AE4548">
        <w:rPr>
          <w:lang w:val="es-ES"/>
        </w:rPr>
        <w:t>exámenes DHE realizados por obtentores</w:t>
      </w:r>
      <w:r w:rsidRPr="00AE4548">
        <w:rPr>
          <w:spacing w:val="-4"/>
          <w:lang w:val="es-ES"/>
        </w:rPr>
        <w:t>:</w:t>
      </w:r>
    </w:p>
    <w:p w14:paraId="47DF9CCA" w14:textId="77777777" w:rsidR="00B14D06" w:rsidRPr="00AE4548" w:rsidRDefault="00B14D06" w:rsidP="00B14D06">
      <w:pPr>
        <w:tabs>
          <w:tab w:val="left" w:pos="1134"/>
        </w:tabs>
        <w:ind w:left="567"/>
        <w:rPr>
          <w:spacing w:val="-4"/>
          <w:lang w:val="es-ES"/>
        </w:rPr>
      </w:pPr>
    </w:p>
    <w:p w14:paraId="21D64168" w14:textId="7B082107" w:rsidR="001A4A36" w:rsidRPr="00AE4548" w:rsidRDefault="001A4A36" w:rsidP="00B14D06">
      <w:pPr>
        <w:pStyle w:val="ListParagraph"/>
        <w:numPr>
          <w:ilvl w:val="0"/>
          <w:numId w:val="5"/>
        </w:numPr>
        <w:tabs>
          <w:tab w:val="left" w:pos="1134"/>
        </w:tabs>
        <w:contextualSpacing w:val="0"/>
        <w:rPr>
          <w:spacing w:val="-4"/>
          <w:lang w:val="es-ES"/>
        </w:rPr>
      </w:pPr>
      <w:r w:rsidRPr="00AE4548">
        <w:rPr>
          <w:lang w:val="es-ES"/>
        </w:rPr>
        <w:t>R</w:t>
      </w:r>
      <w:r w:rsidR="00802D58" w:rsidRPr="00AE4548">
        <w:rPr>
          <w:lang w:val="es-ES"/>
        </w:rPr>
        <w:t xml:space="preserve">ealizar una encuesta a los miembros de la Unión para obtener información sobre </w:t>
      </w:r>
      <w:r w:rsidR="004B46E3">
        <w:rPr>
          <w:lang w:val="es-ES"/>
        </w:rPr>
        <w:t>sus</w:t>
      </w:r>
      <w:r w:rsidR="00802D58" w:rsidRPr="00AE4548">
        <w:rPr>
          <w:lang w:val="es-ES"/>
        </w:rPr>
        <w:t xml:space="preserve"> obstáculos de política o jurídicos que podrían impedir la </w:t>
      </w:r>
      <w:r w:rsidR="00802D58" w:rsidRPr="00AE4548">
        <w:rPr>
          <w:snapToGrid w:val="0"/>
          <w:lang w:val="es-ES"/>
        </w:rPr>
        <w:t xml:space="preserve">cooperación internacional en materia de </w:t>
      </w:r>
      <w:r w:rsidR="00802D58" w:rsidRPr="00AE4548">
        <w:rPr>
          <w:color w:val="000000"/>
          <w:lang w:val="es-ES"/>
        </w:rPr>
        <w:t>examen DHE</w:t>
      </w:r>
      <w:r w:rsidRPr="00AE4548">
        <w:rPr>
          <w:lang w:val="es-ES"/>
        </w:rPr>
        <w:t xml:space="preserve">. En la encuesta se solicitaría información a los miembros sobre </w:t>
      </w:r>
      <w:r w:rsidR="008F1925">
        <w:rPr>
          <w:lang w:val="es-ES"/>
        </w:rPr>
        <w:t>las</w:t>
      </w:r>
      <w:r w:rsidRPr="00AE4548">
        <w:rPr>
          <w:lang w:val="es-ES"/>
        </w:rPr>
        <w:t xml:space="preserve"> normas relativas a la obligación de </w:t>
      </w:r>
      <w:r w:rsidRPr="00AE4548">
        <w:rPr>
          <w:spacing w:val="-4"/>
          <w:lang w:val="es-ES"/>
        </w:rPr>
        <w:t>suscribir un acuerdo formal de cooperación;</w:t>
      </w:r>
      <w:r w:rsidR="000D57AB" w:rsidRPr="00AE4548">
        <w:rPr>
          <w:spacing w:val="-4"/>
          <w:lang w:val="es-ES"/>
        </w:rPr>
        <w:t xml:space="preserve"> a</w:t>
      </w:r>
      <w:r w:rsidRPr="00AE4548">
        <w:rPr>
          <w:spacing w:val="-4"/>
          <w:lang w:val="es-ES"/>
        </w:rPr>
        <w:t xml:space="preserve"> la obligación de que el examen DHE sea efectuado por la auto</w:t>
      </w:r>
      <w:r w:rsidR="000D57AB" w:rsidRPr="00AE4548">
        <w:rPr>
          <w:spacing w:val="-4"/>
          <w:lang w:val="es-ES"/>
        </w:rPr>
        <w:t xml:space="preserve">ridad que concede los títulos; y a la inadmisión de </w:t>
      </w:r>
      <w:r w:rsidRPr="00AE4548">
        <w:rPr>
          <w:spacing w:val="-4"/>
          <w:lang w:val="es-ES"/>
        </w:rPr>
        <w:t xml:space="preserve">los informes de los </w:t>
      </w:r>
      <w:r w:rsidRPr="00AE4548">
        <w:rPr>
          <w:lang w:val="es-ES"/>
        </w:rPr>
        <w:t>exámenes DHE realizados por obtentores.</w:t>
      </w:r>
    </w:p>
    <w:p w14:paraId="4750EFD0" w14:textId="1AF764AE" w:rsidR="00B14D06" w:rsidRPr="00AE4548" w:rsidRDefault="00B14D06" w:rsidP="001A4A36">
      <w:pPr>
        <w:tabs>
          <w:tab w:val="left" w:pos="1134"/>
        </w:tabs>
        <w:rPr>
          <w:spacing w:val="-4"/>
        </w:rPr>
      </w:pPr>
    </w:p>
    <w:p w14:paraId="7635DABF" w14:textId="58BE4BC9" w:rsidR="00742FD7" w:rsidRPr="00AE4548" w:rsidRDefault="001A4A36" w:rsidP="00D0338D">
      <w:pPr>
        <w:pStyle w:val="ListParagraph"/>
        <w:numPr>
          <w:ilvl w:val="0"/>
          <w:numId w:val="5"/>
        </w:numPr>
        <w:tabs>
          <w:tab w:val="left" w:pos="1134"/>
        </w:tabs>
        <w:contextualSpacing w:val="0"/>
        <w:rPr>
          <w:lang w:val="es-ES"/>
        </w:rPr>
      </w:pPr>
      <w:r w:rsidRPr="00AE4548">
        <w:rPr>
          <w:snapToGrid w:val="0"/>
          <w:lang w:val="es-ES"/>
        </w:rPr>
        <w:t>Elaborar notas explicativas sobre el artículo 12 del Convenio de la UPOV (“</w:t>
      </w:r>
      <w:r w:rsidRPr="00AE4548">
        <w:rPr>
          <w:lang w:val="es-ES"/>
        </w:rPr>
        <w:t>Examen de la solicitud”)</w:t>
      </w:r>
      <w:r w:rsidR="00AE4548">
        <w:rPr>
          <w:spacing w:val="-4"/>
          <w:lang w:val="es-ES_tradnl"/>
        </w:rPr>
        <w:t>.</w:t>
      </w:r>
      <w:r w:rsidR="00B14D06" w:rsidRPr="00AE4548">
        <w:rPr>
          <w:spacing w:val="-4"/>
          <w:lang w:val="es-ES_tradnl"/>
        </w:rPr>
        <w:t xml:space="preserve"> </w:t>
      </w:r>
      <w:r w:rsidR="00B14D06" w:rsidRPr="00AE4548">
        <w:rPr>
          <w:spacing w:val="-4"/>
          <w:lang w:val="es-ES"/>
        </w:rPr>
        <w:t>(Not</w:t>
      </w:r>
      <w:r w:rsidRPr="00AE4548">
        <w:rPr>
          <w:spacing w:val="-4"/>
          <w:lang w:val="es-ES"/>
        </w:rPr>
        <w:t>a</w:t>
      </w:r>
      <w:r w:rsidR="00B14D06" w:rsidRPr="00AE4548">
        <w:rPr>
          <w:spacing w:val="-4"/>
          <w:lang w:val="es-ES"/>
        </w:rPr>
        <w:t xml:space="preserve">: </w:t>
      </w:r>
      <w:r w:rsidRPr="00AE4548">
        <w:rPr>
          <w:spacing w:val="-4"/>
          <w:lang w:val="es-ES"/>
        </w:rPr>
        <w:t>La UPOV proporciona orientación sobre el examen DHE en el documento TGP/5, sección 1 “</w:t>
      </w:r>
      <w:r w:rsidRPr="00AE4548">
        <w:rPr>
          <w:lang w:val="es-ES"/>
        </w:rPr>
        <w:t xml:space="preserve">Acuerdo administrativo tipo de cooperación internacional en el examen de las obtenciones vegetales” y sección 5 “Formulario UPOV para petición de resultados de un examen y Formulario UPOV de respuesta a la petición de resultados de un examen”. Sin embargo, </w:t>
      </w:r>
      <w:r w:rsidR="00742FD7" w:rsidRPr="00AE4548">
        <w:rPr>
          <w:lang w:val="es-ES"/>
        </w:rPr>
        <w:t>esta</w:t>
      </w:r>
      <w:r w:rsidRPr="00AE4548">
        <w:rPr>
          <w:lang w:val="es-ES"/>
        </w:rPr>
        <w:t xml:space="preserve"> orientación no </w:t>
      </w:r>
      <w:r w:rsidR="00742FD7" w:rsidRPr="00AE4548">
        <w:rPr>
          <w:lang w:val="es-ES"/>
        </w:rPr>
        <w:t xml:space="preserve">es integral ni fácilmente accesible para las personas que no sean expertas técnicas, ni está incluida en el documento </w:t>
      </w:r>
      <w:r w:rsidR="00B14D06" w:rsidRPr="00AE4548">
        <w:rPr>
          <w:lang w:val="es-ES"/>
        </w:rPr>
        <w:t>UPOV/INF/6 “</w:t>
      </w:r>
      <w:r w:rsidR="00742FD7" w:rsidRPr="00AE4548">
        <w:rPr>
          <w:lang w:val="es-ES"/>
        </w:rPr>
        <w:t>Orientaciones para la redacción de leyes basadas en el Acta de 1991 del Convenio de la UPOV</w:t>
      </w:r>
      <w:r w:rsidR="00B14D06" w:rsidRPr="00AE4548">
        <w:rPr>
          <w:lang w:val="es-ES"/>
        </w:rPr>
        <w:t>”</w:t>
      </w:r>
      <w:r w:rsidR="00742FD7" w:rsidRPr="00AE4548">
        <w:rPr>
          <w:lang w:val="es-ES"/>
        </w:rPr>
        <w:t xml:space="preserve">. En consecuencia, se propone elaborar un conjunto coherente de orientaciones y acuerdos </w:t>
      </w:r>
      <w:r w:rsidR="000D57AB" w:rsidRPr="00AE4548">
        <w:rPr>
          <w:lang w:val="es-ES"/>
        </w:rPr>
        <w:t>tipo</w:t>
      </w:r>
      <w:r w:rsidR="00742FD7" w:rsidRPr="00AE4548">
        <w:rPr>
          <w:lang w:val="es-ES"/>
        </w:rPr>
        <w:t xml:space="preserve"> sobre la cooperación en materia de examen DHE en distintas situaciones, que formará parte de las </w:t>
      </w:r>
      <w:r w:rsidR="00EF500C" w:rsidRPr="00AE4548">
        <w:rPr>
          <w:snapToGrid w:val="0"/>
          <w:lang w:val="es-ES"/>
        </w:rPr>
        <w:t>notas explicativas sobre el artículo 12 del Acta de 1991 del Convenio de la UPOV).</w:t>
      </w:r>
    </w:p>
    <w:p w14:paraId="129D3BAE" w14:textId="77777777" w:rsidR="00B14D06" w:rsidRPr="00AE4548" w:rsidRDefault="00B14D06" w:rsidP="00B14D06">
      <w:pPr>
        <w:tabs>
          <w:tab w:val="left" w:pos="1134"/>
        </w:tabs>
        <w:rPr>
          <w:spacing w:val="-4"/>
          <w:lang w:val="es-ES"/>
        </w:rPr>
      </w:pPr>
    </w:p>
    <w:p w14:paraId="35073AEF" w14:textId="0CB2A172" w:rsidR="00B14D06" w:rsidRPr="00AE4548" w:rsidRDefault="00B14D06" w:rsidP="00B14D06">
      <w:pPr>
        <w:tabs>
          <w:tab w:val="left" w:pos="567"/>
        </w:tabs>
        <w:rPr>
          <w:spacing w:val="-4"/>
          <w:lang w:val="es-ES"/>
        </w:rPr>
      </w:pPr>
      <w:r w:rsidRPr="00AE4548">
        <w:rPr>
          <w:spacing w:val="-4"/>
        </w:rPr>
        <w:fldChar w:fldCharType="begin"/>
      </w:r>
      <w:r w:rsidRPr="00AE4548">
        <w:rPr>
          <w:spacing w:val="-4"/>
          <w:lang w:val="es-ES"/>
        </w:rPr>
        <w:instrText xml:space="preserve"> AUTONUM  </w:instrText>
      </w:r>
      <w:r w:rsidRPr="00AE4548">
        <w:rPr>
          <w:spacing w:val="-4"/>
        </w:rPr>
        <w:fldChar w:fldCharType="end"/>
      </w:r>
      <w:r w:rsidRPr="00AE4548">
        <w:rPr>
          <w:spacing w:val="-4"/>
          <w:lang w:val="es-ES"/>
        </w:rPr>
        <w:tab/>
      </w:r>
      <w:r w:rsidR="00EF500C" w:rsidRPr="00AE4548">
        <w:rPr>
          <w:spacing w:val="-4"/>
          <w:lang w:val="es-ES"/>
        </w:rPr>
        <w:t>Antes de proponer medidas para superar el obstáculo de política o jurídico relativo al iv) “d</w:t>
      </w:r>
      <w:r w:rsidR="00EF500C" w:rsidRPr="00AE4548">
        <w:rPr>
          <w:lang w:val="es-ES"/>
        </w:rPr>
        <w:t xml:space="preserve">eseo de los obtentores de utilizar (o no) los informes DHE existentes”, es importante aclarar las cuestiones al respecto. Por lo tanto, se propone solicitar a las organizaciones </w:t>
      </w:r>
      <w:r w:rsidR="00EF500C" w:rsidRPr="00AE4548">
        <w:rPr>
          <w:snapToGrid w:val="0"/>
          <w:lang w:val="es-ES"/>
        </w:rPr>
        <w:t>de obtentores que aclaren las cuestiones relativas al deseo de los obtentores de utilizar o no los informes de examen DHE</w:t>
      </w:r>
      <w:r w:rsidR="00EF500C" w:rsidRPr="00AE4548">
        <w:rPr>
          <w:lang w:val="es-ES"/>
        </w:rPr>
        <w:t xml:space="preserve"> existentes</w:t>
      </w:r>
      <w:r w:rsidRPr="00AE4548">
        <w:rPr>
          <w:spacing w:val="-4"/>
          <w:lang w:val="es-ES"/>
        </w:rPr>
        <w:t>.</w:t>
      </w:r>
    </w:p>
    <w:p w14:paraId="716CA98E" w14:textId="77777777" w:rsidR="00B14D06" w:rsidRPr="00AE4548" w:rsidRDefault="00B14D06" w:rsidP="00B14D06">
      <w:pPr>
        <w:tabs>
          <w:tab w:val="left" w:pos="567"/>
        </w:tabs>
        <w:rPr>
          <w:spacing w:val="-4"/>
          <w:lang w:val="es-ES"/>
        </w:rPr>
      </w:pPr>
    </w:p>
    <w:p w14:paraId="70B19868" w14:textId="0C7B87A7" w:rsidR="00B14D06" w:rsidRPr="00AE4548" w:rsidRDefault="00B14D06" w:rsidP="00B14D06">
      <w:pPr>
        <w:keepNext/>
        <w:keepLines/>
        <w:tabs>
          <w:tab w:val="left" w:pos="5387"/>
          <w:tab w:val="left" w:pos="5954"/>
        </w:tabs>
        <w:ind w:left="4820"/>
        <w:rPr>
          <w:i/>
          <w:spacing w:val="-4"/>
          <w:lang w:val="es-ES"/>
        </w:rPr>
      </w:pPr>
      <w:r w:rsidRPr="00AE4548">
        <w:rPr>
          <w:i/>
          <w:snapToGrid w:val="0"/>
        </w:rPr>
        <w:lastRenderedPageBreak/>
        <w:fldChar w:fldCharType="begin"/>
      </w:r>
      <w:r w:rsidRPr="00AE4548">
        <w:rPr>
          <w:i/>
          <w:snapToGrid w:val="0"/>
          <w:lang w:val="es-ES"/>
        </w:rPr>
        <w:instrText xml:space="preserve"> AUTONUM  </w:instrText>
      </w:r>
      <w:r w:rsidRPr="00AE4548">
        <w:rPr>
          <w:i/>
          <w:snapToGrid w:val="0"/>
        </w:rPr>
        <w:fldChar w:fldCharType="end"/>
      </w:r>
      <w:r w:rsidRPr="00AE4548">
        <w:rPr>
          <w:i/>
          <w:snapToGrid w:val="0"/>
          <w:lang w:val="es-ES"/>
        </w:rPr>
        <w:tab/>
      </w:r>
      <w:r w:rsidR="00EF500C" w:rsidRPr="00AE4548">
        <w:rPr>
          <w:i/>
          <w:snapToGrid w:val="0"/>
          <w:lang w:val="es-ES"/>
        </w:rPr>
        <w:t>Se invita al CAJ a examinar las medidas siguientes para superar los obstáculos de política o jurídicos que</w:t>
      </w:r>
      <w:r w:rsidR="0028646E" w:rsidRPr="00AE4548">
        <w:rPr>
          <w:i/>
          <w:color w:val="000000"/>
          <w:lang w:val="es-ES"/>
        </w:rPr>
        <w:t xml:space="preserve"> el TC ha señalado como impedimentos para </w:t>
      </w:r>
      <w:r w:rsidR="00EF500C" w:rsidRPr="00AE4548">
        <w:rPr>
          <w:i/>
          <w:snapToGrid w:val="0"/>
          <w:lang w:val="es-ES"/>
        </w:rPr>
        <w:t xml:space="preserve">la cooperación internacional en materia de </w:t>
      </w:r>
      <w:r w:rsidR="00EF500C" w:rsidRPr="00AE4548">
        <w:rPr>
          <w:i/>
          <w:color w:val="000000"/>
          <w:lang w:val="es-ES"/>
        </w:rPr>
        <w:t>examen DHE</w:t>
      </w:r>
      <w:r w:rsidRPr="00AE4548">
        <w:rPr>
          <w:i/>
          <w:spacing w:val="-4"/>
          <w:lang w:val="es-ES"/>
        </w:rPr>
        <w:t>:</w:t>
      </w:r>
    </w:p>
    <w:p w14:paraId="6830B64E" w14:textId="77777777" w:rsidR="00B14D06" w:rsidRPr="00AE4548" w:rsidRDefault="00B14D06" w:rsidP="00B14D06">
      <w:pPr>
        <w:keepNext/>
        <w:keepLines/>
        <w:tabs>
          <w:tab w:val="left" w:pos="5387"/>
          <w:tab w:val="left" w:pos="5954"/>
        </w:tabs>
        <w:ind w:left="4820"/>
        <w:rPr>
          <w:i/>
          <w:spacing w:val="-4"/>
          <w:lang w:val="es-ES"/>
        </w:rPr>
      </w:pPr>
    </w:p>
    <w:p w14:paraId="2FCEB729" w14:textId="2566DBA7" w:rsidR="00B14D06" w:rsidRPr="00AE4548" w:rsidRDefault="00802D58" w:rsidP="00B14D06">
      <w:pPr>
        <w:pStyle w:val="ListParagraph"/>
        <w:keepNext/>
        <w:keepLines/>
        <w:numPr>
          <w:ilvl w:val="0"/>
          <w:numId w:val="7"/>
        </w:numPr>
        <w:tabs>
          <w:tab w:val="left" w:pos="5387"/>
          <w:tab w:val="left" w:pos="5954"/>
        </w:tabs>
        <w:ind w:left="4820" w:firstLine="567"/>
        <w:contextualSpacing w:val="0"/>
        <w:rPr>
          <w:i/>
          <w:snapToGrid w:val="0"/>
          <w:lang w:val="es-ES"/>
        </w:rPr>
      </w:pPr>
      <w:r w:rsidRPr="00AE4548">
        <w:rPr>
          <w:i/>
          <w:lang w:val="es-ES"/>
        </w:rPr>
        <w:t xml:space="preserve">realizar una encuesta a los miembros de la Unión para obtener información sobre </w:t>
      </w:r>
      <w:r w:rsidR="004B46E3">
        <w:rPr>
          <w:i/>
          <w:lang w:val="es-ES"/>
        </w:rPr>
        <w:t>su</w:t>
      </w:r>
      <w:r w:rsidR="008F1925">
        <w:rPr>
          <w:i/>
          <w:lang w:val="es-ES"/>
        </w:rPr>
        <w:t xml:space="preserve">s </w:t>
      </w:r>
      <w:r w:rsidRPr="00AE4548">
        <w:rPr>
          <w:i/>
          <w:lang w:val="es-ES"/>
        </w:rPr>
        <w:t xml:space="preserve">obstáculos de política o jurídicos que podrían impedir la </w:t>
      </w:r>
      <w:r w:rsidRPr="00AE4548">
        <w:rPr>
          <w:i/>
          <w:snapToGrid w:val="0"/>
          <w:lang w:val="es-ES"/>
        </w:rPr>
        <w:t xml:space="preserve">cooperación internacional en materia de </w:t>
      </w:r>
      <w:r w:rsidRPr="00AE4548">
        <w:rPr>
          <w:i/>
          <w:color w:val="000000"/>
          <w:lang w:val="es-ES"/>
        </w:rPr>
        <w:t>examen DHE</w:t>
      </w:r>
      <w:r w:rsidR="00B14D06" w:rsidRPr="00AE4548">
        <w:rPr>
          <w:i/>
          <w:lang w:val="es-ES"/>
        </w:rPr>
        <w:t>;</w:t>
      </w:r>
    </w:p>
    <w:p w14:paraId="28557E28" w14:textId="77777777" w:rsidR="00B14D06" w:rsidRPr="00AE4548" w:rsidRDefault="00B14D06" w:rsidP="00B14D06">
      <w:pPr>
        <w:pStyle w:val="ListParagraph"/>
        <w:keepNext/>
        <w:keepLines/>
        <w:tabs>
          <w:tab w:val="left" w:pos="5387"/>
          <w:tab w:val="left" w:pos="5954"/>
        </w:tabs>
        <w:ind w:left="5387"/>
        <w:contextualSpacing w:val="0"/>
        <w:rPr>
          <w:i/>
          <w:snapToGrid w:val="0"/>
          <w:lang w:val="es-ES"/>
        </w:rPr>
      </w:pPr>
    </w:p>
    <w:p w14:paraId="72D58B56" w14:textId="2E6EA01D" w:rsidR="00B14D06" w:rsidRPr="00AE4548" w:rsidRDefault="001A4A36" w:rsidP="00B14D06">
      <w:pPr>
        <w:pStyle w:val="ListParagraph"/>
        <w:keepNext/>
        <w:keepLines/>
        <w:numPr>
          <w:ilvl w:val="0"/>
          <w:numId w:val="7"/>
        </w:numPr>
        <w:tabs>
          <w:tab w:val="left" w:pos="5387"/>
          <w:tab w:val="left" w:pos="5954"/>
        </w:tabs>
        <w:ind w:left="4824" w:firstLine="562"/>
        <w:contextualSpacing w:val="0"/>
        <w:rPr>
          <w:i/>
          <w:snapToGrid w:val="0"/>
          <w:lang w:val="es-ES"/>
        </w:rPr>
      </w:pPr>
      <w:r w:rsidRPr="00AE4548">
        <w:rPr>
          <w:i/>
          <w:snapToGrid w:val="0"/>
          <w:lang w:val="es-ES"/>
        </w:rPr>
        <w:t>elaborar notas explicativas sobre el artículo 12 del Convenio de la UPOV (“</w:t>
      </w:r>
      <w:r w:rsidRPr="00AE4548">
        <w:rPr>
          <w:i/>
          <w:lang w:val="es-ES"/>
        </w:rPr>
        <w:t>Examen de la solicitud”)</w:t>
      </w:r>
      <w:r w:rsidR="00B14D06" w:rsidRPr="00AE4548">
        <w:rPr>
          <w:i/>
          <w:spacing w:val="-4"/>
          <w:lang w:val="es-ES"/>
        </w:rPr>
        <w:t xml:space="preserve">; </w:t>
      </w:r>
      <w:r w:rsidRPr="00AE4548">
        <w:rPr>
          <w:i/>
          <w:spacing w:val="-4"/>
          <w:lang w:val="es-ES"/>
        </w:rPr>
        <w:t>y</w:t>
      </w:r>
    </w:p>
    <w:p w14:paraId="054F5509" w14:textId="77777777" w:rsidR="00B14D06" w:rsidRPr="00AE4548" w:rsidRDefault="00B14D06" w:rsidP="00B14D06">
      <w:pPr>
        <w:ind w:left="4860"/>
        <w:rPr>
          <w:lang w:val="es-ES"/>
        </w:rPr>
      </w:pPr>
    </w:p>
    <w:p w14:paraId="4F7DF83C" w14:textId="194C3D65" w:rsidR="00B14D06" w:rsidRPr="00AE4548" w:rsidRDefault="00EF500C" w:rsidP="00B14D06">
      <w:pPr>
        <w:pStyle w:val="ListParagraph"/>
        <w:keepNext/>
        <w:keepLines/>
        <w:numPr>
          <w:ilvl w:val="0"/>
          <w:numId w:val="7"/>
        </w:numPr>
        <w:tabs>
          <w:tab w:val="left" w:pos="5387"/>
          <w:tab w:val="left" w:pos="5954"/>
        </w:tabs>
        <w:ind w:left="4820" w:firstLine="567"/>
        <w:contextualSpacing w:val="0"/>
        <w:rPr>
          <w:i/>
          <w:snapToGrid w:val="0"/>
          <w:lang w:val="es-ES"/>
        </w:rPr>
      </w:pPr>
      <w:r w:rsidRPr="00AE4548">
        <w:rPr>
          <w:i/>
          <w:lang w:val="es-ES"/>
        </w:rPr>
        <w:t xml:space="preserve">solicitar a las organizaciones </w:t>
      </w:r>
      <w:r w:rsidRPr="00AE4548">
        <w:rPr>
          <w:i/>
          <w:snapToGrid w:val="0"/>
          <w:lang w:val="es-ES"/>
        </w:rPr>
        <w:t>de obtentores que aclaren las cuestiones relativas al deseo de los obtentores de utilizar o no los informes de examen DHE</w:t>
      </w:r>
      <w:r w:rsidRPr="00AE4548">
        <w:rPr>
          <w:i/>
          <w:lang w:val="es-ES"/>
        </w:rPr>
        <w:t xml:space="preserve"> existentes</w:t>
      </w:r>
      <w:r w:rsidR="00B14D06" w:rsidRPr="00AE4548">
        <w:rPr>
          <w:i/>
          <w:spacing w:val="-4"/>
          <w:lang w:val="es-ES"/>
        </w:rPr>
        <w:t>.</w:t>
      </w:r>
    </w:p>
    <w:p w14:paraId="2EA8F7F4" w14:textId="77777777" w:rsidR="00B14D06" w:rsidRPr="00AE4548" w:rsidRDefault="00B14D06" w:rsidP="00B14D06">
      <w:pPr>
        <w:pStyle w:val="ListParagraph"/>
        <w:ind w:left="1287"/>
        <w:rPr>
          <w:snapToGrid w:val="0"/>
          <w:lang w:val="es-ES"/>
        </w:rPr>
      </w:pPr>
    </w:p>
    <w:p w14:paraId="233D2389" w14:textId="77777777" w:rsidR="00B14D06" w:rsidRPr="00AE4548" w:rsidRDefault="00B14D06" w:rsidP="00B14D06">
      <w:pPr>
        <w:rPr>
          <w:snapToGrid w:val="0"/>
          <w:lang w:val="es-ES"/>
        </w:rPr>
      </w:pPr>
    </w:p>
    <w:p w14:paraId="7B88F4B7" w14:textId="7A456A01" w:rsidR="00B14D06" w:rsidRPr="00AE4548" w:rsidRDefault="00B14D06" w:rsidP="00B14D06">
      <w:pPr>
        <w:jc w:val="right"/>
        <w:rPr>
          <w:snapToGrid w:val="0"/>
          <w:lang w:val="es-ES"/>
        </w:rPr>
      </w:pPr>
      <w:r w:rsidRPr="00AE4548">
        <w:rPr>
          <w:snapToGrid w:val="0"/>
          <w:lang w:val="es-ES"/>
        </w:rPr>
        <w:t>[</w:t>
      </w:r>
      <w:r w:rsidR="001A4A36" w:rsidRPr="00AE4548">
        <w:rPr>
          <w:snapToGrid w:val="0"/>
          <w:lang w:val="es-ES"/>
        </w:rPr>
        <w:t>Sigue el Anexo</w:t>
      </w:r>
      <w:r w:rsidRPr="00AE4548">
        <w:rPr>
          <w:snapToGrid w:val="0"/>
          <w:lang w:val="es-ES"/>
        </w:rPr>
        <w:t>]</w:t>
      </w:r>
    </w:p>
    <w:p w14:paraId="5021084A" w14:textId="77777777" w:rsidR="00B14D06" w:rsidRPr="00AE4548" w:rsidRDefault="00B14D06" w:rsidP="00B14D06">
      <w:pPr>
        <w:rPr>
          <w:snapToGrid w:val="0"/>
          <w:lang w:val="es-ES"/>
        </w:rPr>
      </w:pPr>
    </w:p>
    <w:p w14:paraId="1E47E9CF" w14:textId="77777777" w:rsidR="00B14D06" w:rsidRPr="00AE4548" w:rsidRDefault="00B14D06" w:rsidP="00B14D06">
      <w:pPr>
        <w:rPr>
          <w:snapToGrid w:val="0"/>
          <w:lang w:val="es-ES"/>
        </w:rPr>
        <w:sectPr w:rsidR="00B14D06" w:rsidRPr="00AE4548" w:rsidSect="00D0338D">
          <w:headerReference w:type="default" r:id="rId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7E16564" w14:textId="77777777" w:rsidR="00B14D06" w:rsidRPr="00AE4548" w:rsidRDefault="00B14D06" w:rsidP="00B14D06">
      <w:pPr>
        <w:rPr>
          <w:snapToGrid w:val="0"/>
          <w:lang w:val="es-ES"/>
        </w:rPr>
      </w:pPr>
    </w:p>
    <w:p w14:paraId="2CFB9A33" w14:textId="77777777" w:rsidR="00B14D06" w:rsidRPr="00AE4548" w:rsidRDefault="00B14D06" w:rsidP="00B14D06">
      <w:pPr>
        <w:rPr>
          <w:snapToGrid w:val="0"/>
          <w:lang w:val="es-ES"/>
        </w:rPr>
      </w:pPr>
    </w:p>
    <w:p w14:paraId="4B576D72" w14:textId="277D00FA" w:rsidR="00B14D06" w:rsidRPr="00AE4548" w:rsidRDefault="00A91913" w:rsidP="00A91913">
      <w:pPr>
        <w:jc w:val="center"/>
        <w:rPr>
          <w:caps/>
          <w:snapToGrid w:val="0"/>
          <w:lang w:val="es-ES"/>
        </w:rPr>
      </w:pPr>
      <w:r w:rsidRPr="00AE4548">
        <w:rPr>
          <w:rFonts w:eastAsia="MS Mincho" w:cs="Arial"/>
          <w:bCs/>
          <w:noProof/>
          <w:lang w:val="es-ES" w:eastAsia="ja-JP"/>
        </w:rPr>
        <w:t>M</w:t>
      </w:r>
      <w:r w:rsidRPr="00AE4548">
        <w:rPr>
          <w:spacing w:val="-4"/>
          <w:lang w:val="es-ES"/>
        </w:rPr>
        <w:t>EDIDAS ACORDADAS POR EL TC PARA SUPERAR LOS OBSTÁCULOS QUE IMPIDEN LA COOPERACIÓN INTERNACIONAL EN MATERIA DE EXAMEN DHE</w:t>
      </w:r>
      <w:r w:rsidR="00B14D06" w:rsidRPr="00AE4548">
        <w:rPr>
          <w:rStyle w:val="FootnoteReference"/>
          <w:caps/>
          <w:snapToGrid w:val="0"/>
        </w:rPr>
        <w:footnoteReference w:id="3"/>
      </w:r>
      <w:r w:rsidR="00B14D06" w:rsidRPr="00AE4548">
        <w:rPr>
          <w:caps/>
          <w:snapToGrid w:val="0"/>
          <w:lang w:val="es-ES"/>
        </w:rPr>
        <w:t xml:space="preserve"> </w:t>
      </w:r>
    </w:p>
    <w:p w14:paraId="740E7CDC" w14:textId="77777777" w:rsidR="00B14D06" w:rsidRPr="00F63950" w:rsidRDefault="00B14D06" w:rsidP="00B14D06">
      <w:pPr>
        <w:jc w:val="center"/>
        <w:rPr>
          <w:snapToGrid w:val="0"/>
          <w:sz w:val="18"/>
          <w:lang w:val="es-ES"/>
        </w:rPr>
      </w:pPr>
    </w:p>
    <w:p w14:paraId="6AD90AF1" w14:textId="77777777" w:rsidR="00B14D06" w:rsidRPr="00F63950" w:rsidRDefault="00B14D06" w:rsidP="00B14D06">
      <w:pPr>
        <w:jc w:val="left"/>
        <w:rPr>
          <w:sz w:val="18"/>
          <w:lang w:val="es-ES"/>
        </w:rPr>
      </w:pPr>
    </w:p>
    <w:p w14:paraId="145F5406" w14:textId="5B4D1CB6" w:rsidR="00D0338D" w:rsidRPr="00AE4548" w:rsidRDefault="00D0338D" w:rsidP="00B14D06">
      <w:pPr>
        <w:rPr>
          <w:lang w:val="es-ES"/>
        </w:rPr>
      </w:pPr>
      <w:r w:rsidRPr="00AE4548">
        <w:rPr>
          <w:snapToGrid w:val="0"/>
          <w:lang w:val="es-ES"/>
        </w:rPr>
        <w:t>En su quincuagésima quinta</w:t>
      </w:r>
      <w:r w:rsidR="000D57AB" w:rsidRPr="00AE4548">
        <w:rPr>
          <w:lang w:val="es-ES"/>
        </w:rPr>
        <w:t xml:space="preserve"> sesión,</w:t>
      </w:r>
      <w:r w:rsidR="00B14D06" w:rsidRPr="00AE4548">
        <w:rPr>
          <w:rStyle w:val="FootnoteReference"/>
        </w:rPr>
        <w:footnoteReference w:id="4"/>
      </w:r>
      <w:r w:rsidRPr="00AE4548">
        <w:rPr>
          <w:lang w:val="es-ES"/>
        </w:rPr>
        <w:t xml:space="preserve"> el TC tomó nota de que en las sesiones de 2019 de los </w:t>
      </w:r>
      <w:r w:rsidRPr="00AE4548">
        <w:rPr>
          <w:rFonts w:eastAsia="PMingLiU"/>
          <w:szCs w:val="24"/>
          <w:lang w:val="es-ES"/>
        </w:rPr>
        <w:t xml:space="preserve">TWP se crearon </w:t>
      </w:r>
      <w:r w:rsidRPr="00AE4548">
        <w:rPr>
          <w:lang w:val="es-ES"/>
        </w:rPr>
        <w:t>grupos de debate con el objetivo de determinar las cuestiones técnicas que impiden la cooperación en materia de examen DHE y de proponer maneras de solventar las cuestiones técnicas planteadas.</w:t>
      </w:r>
    </w:p>
    <w:p w14:paraId="5E9E6AB6" w14:textId="0445BCE1" w:rsidR="00D0338D" w:rsidRPr="00AE4548" w:rsidRDefault="00D0338D" w:rsidP="00B14D06">
      <w:pPr>
        <w:rPr>
          <w:lang w:val="es-ES"/>
        </w:rPr>
      </w:pPr>
    </w:p>
    <w:p w14:paraId="66B38654" w14:textId="65E6AF29" w:rsidR="00B14D06" w:rsidRPr="00AE4548" w:rsidRDefault="00D0338D" w:rsidP="00B14D06">
      <w:pPr>
        <w:rPr>
          <w:lang w:val="es-ES"/>
        </w:rPr>
      </w:pPr>
      <w:r w:rsidRPr="00AE4548">
        <w:rPr>
          <w:lang w:val="es-ES"/>
        </w:rPr>
        <w:t>El TC examinó las conclusiones de los debates mantenidos en las sesiones del TWO, el TWV, el TWF, el TWA y el TWC, que se exponen en los párrafos 19 a 26 del documento TC/55/10 y se reproducen a continuación</w:t>
      </w:r>
      <w:r w:rsidR="00A325A4" w:rsidRPr="00AE4548">
        <w:rPr>
          <w:lang w:val="es-ES"/>
        </w:rPr>
        <w:t>:</w:t>
      </w:r>
    </w:p>
    <w:p w14:paraId="103525B3" w14:textId="77777777" w:rsidR="00B14D06" w:rsidRPr="00F63950" w:rsidRDefault="00B14D06" w:rsidP="00B14D06">
      <w:pPr>
        <w:rPr>
          <w:snapToGrid w:val="0"/>
          <w:sz w:val="18"/>
          <w:lang w:val="es-ES"/>
        </w:rPr>
      </w:pPr>
    </w:p>
    <w:p w14:paraId="61F40E0E" w14:textId="6ED9863C" w:rsidR="00B14D06" w:rsidRPr="00AE4548" w:rsidRDefault="00B14D06" w:rsidP="00B14D06">
      <w:pPr>
        <w:pStyle w:val="Heading3"/>
        <w:ind w:left="567"/>
        <w:rPr>
          <w:sz w:val="18"/>
          <w:lang w:val="es-ES"/>
        </w:rPr>
      </w:pPr>
      <w:bookmarkStart w:id="6" w:name="_Toc46829747"/>
      <w:bookmarkStart w:id="7" w:name="_Toc54733180"/>
      <w:r w:rsidRPr="00AE4548">
        <w:rPr>
          <w:sz w:val="18"/>
          <w:lang w:val="es-ES"/>
        </w:rPr>
        <w:t>“</w:t>
      </w:r>
      <w:bookmarkEnd w:id="6"/>
      <w:bookmarkEnd w:id="7"/>
      <w:r w:rsidR="00A325A4" w:rsidRPr="00AE4548">
        <w:rPr>
          <w:sz w:val="18"/>
          <w:lang w:val="es-ES"/>
        </w:rPr>
        <w:t>Cuestiones técnicas y cuestiones administrativas conexas:</w:t>
      </w:r>
    </w:p>
    <w:p w14:paraId="6ACC1A9B" w14:textId="77777777" w:rsidR="00B14D06" w:rsidRPr="00F63950" w:rsidRDefault="00B14D06" w:rsidP="00B14D06">
      <w:pPr>
        <w:keepNext/>
        <w:ind w:left="567"/>
        <w:rPr>
          <w:i/>
          <w:sz w:val="16"/>
          <w:lang w:val="es-ES"/>
        </w:rPr>
      </w:pPr>
    </w:p>
    <w:p w14:paraId="33259F40" w14:textId="61A0BA85" w:rsidR="00B14D06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Experiencia suficiente para llevar a cabo el examen DHE de un cultivo determinado y calidad del examen efectuado</w:t>
      </w:r>
    </w:p>
    <w:p w14:paraId="7F13CB97" w14:textId="495DF56A" w:rsidR="00A325A4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Colección de variedades adecuada</w:t>
      </w:r>
    </w:p>
    <w:p w14:paraId="455B264D" w14:textId="022F40FE" w:rsidR="00B14D06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Información sobre las variedades incluidas en el examen DHE</w:t>
      </w:r>
    </w:p>
    <w:p w14:paraId="54D93FD3" w14:textId="32331B5C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Diferencias entre las descripciones a causa de la influencia del medio ambiente en la expresión de los caracteres</w:t>
      </w:r>
    </w:p>
    <w:p w14:paraId="2D72520D" w14:textId="2165F304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No se evalúan los caracteres de resistencia a las enfermedades o existen divergencias en los protocolos y la nomenclatura</w:t>
      </w:r>
    </w:p>
    <w:p w14:paraId="15C292BE" w14:textId="6AD3F039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Obligación de describir una determinada variedad de referencia además de la variedad candidata</w:t>
      </w:r>
    </w:p>
    <w:p w14:paraId="64844A94" w14:textId="28F3BC47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Falta de información sobre los controles de calidad de los exámenes DHE efectuados en las instalaciones de los obtentores</w:t>
      </w:r>
    </w:p>
    <w:p w14:paraId="422DFB83" w14:textId="28BEE2D0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Informes de examen DHE que no se ajustan a las directrices de examen de la UPOV (caracteres omitidos o distintos)</w:t>
      </w:r>
    </w:p>
    <w:p w14:paraId="7916B212" w14:textId="788FE242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Dificultad para completar las colecciones de variedades (p. ej., por cuestiones aduaneras o fitosanitarias)</w:t>
      </w:r>
    </w:p>
    <w:p w14:paraId="76BA4270" w14:textId="20B22DC0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Inexistencia de una base de datos de ADN de ámbito mundial para la selección de variedades similares</w:t>
      </w:r>
    </w:p>
    <w:p w14:paraId="6293C416" w14:textId="409C9633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n-US"/>
        </w:rPr>
      </w:pPr>
      <w:r w:rsidRPr="00AE4548">
        <w:rPr>
          <w:sz w:val="18"/>
          <w:szCs w:val="22"/>
          <w:lang w:val="es-ES"/>
        </w:rPr>
        <w:t>Barreras lingüísticas</w:t>
      </w:r>
    </w:p>
    <w:p w14:paraId="59D67481" w14:textId="307094A3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</w:rPr>
      </w:pPr>
      <w:r w:rsidRPr="00AE4548">
        <w:rPr>
          <w:sz w:val="18"/>
          <w:szCs w:val="22"/>
          <w:lang w:val="es-ES"/>
        </w:rPr>
        <w:t>Dificultad para averiguar quiénes son las personas de contacto</w:t>
      </w:r>
    </w:p>
    <w:p w14:paraId="13406404" w14:textId="148F8C55" w:rsidR="00B14D06" w:rsidRPr="00AE4548" w:rsidRDefault="00A325A4" w:rsidP="00B14D06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</w:rPr>
      </w:pPr>
      <w:r w:rsidRPr="00AE4548">
        <w:rPr>
          <w:sz w:val="18"/>
          <w:szCs w:val="22"/>
          <w:lang w:val="es-ES"/>
        </w:rPr>
        <w:t>Falta de información sobre los informes de exámenes DHE disponibles</w:t>
      </w:r>
    </w:p>
    <w:p w14:paraId="0B43D7F5" w14:textId="10DE7D0F" w:rsidR="00B14D06" w:rsidRDefault="00A325A4" w:rsidP="00A325A4">
      <w:pPr>
        <w:keepNext/>
        <w:spacing w:before="240"/>
        <w:ind w:left="567"/>
        <w:outlineLvl w:val="2"/>
        <w:rPr>
          <w:i/>
          <w:sz w:val="18"/>
        </w:rPr>
      </w:pPr>
      <w:r w:rsidRPr="00AE4548">
        <w:rPr>
          <w:i/>
          <w:sz w:val="18"/>
        </w:rPr>
        <w:t xml:space="preserve"> Cuestiones normativas o jurídicas:</w:t>
      </w:r>
    </w:p>
    <w:p w14:paraId="42705E9F" w14:textId="77777777" w:rsidR="00F63950" w:rsidRPr="00F63950" w:rsidRDefault="00F63950" w:rsidP="00F63950">
      <w:pPr>
        <w:ind w:left="567"/>
        <w:rPr>
          <w:sz w:val="16"/>
        </w:rPr>
      </w:pPr>
    </w:p>
    <w:p w14:paraId="2F4BAD82" w14:textId="051775F7" w:rsidR="00A325A4" w:rsidRPr="00AE4548" w:rsidRDefault="00A325A4" w:rsidP="00F63950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Obligación de suscribir un acuerdo formal de cooperación</w:t>
      </w:r>
    </w:p>
    <w:p w14:paraId="1A2CD0A2" w14:textId="6680E2E3" w:rsidR="00A325A4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Obligación de que el examen DHE sea efectuado por la autoridad que concede los títulos</w:t>
      </w:r>
    </w:p>
    <w:p w14:paraId="339DB1D5" w14:textId="0EA111B5" w:rsidR="00A325A4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No se admiten los informes de los exámenes DHE realizados por obtentores</w:t>
      </w:r>
    </w:p>
    <w:p w14:paraId="30E18B69" w14:textId="01556DF2" w:rsidR="00B14D06" w:rsidRPr="00AE4548" w:rsidRDefault="00A325A4" w:rsidP="00A325A4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Deseo de los obtentores de utilizar (o no) los informes DHE existentes</w:t>
      </w:r>
      <w:r w:rsidR="00B14D06" w:rsidRPr="00AE4548">
        <w:rPr>
          <w:sz w:val="18"/>
          <w:szCs w:val="22"/>
          <w:lang w:val="es-ES"/>
        </w:rPr>
        <w:t>”</w:t>
      </w:r>
    </w:p>
    <w:p w14:paraId="57AE02ED" w14:textId="77777777" w:rsidR="00B14D06" w:rsidRPr="00AE4548" w:rsidRDefault="00B14D06" w:rsidP="00B14D06">
      <w:pPr>
        <w:tabs>
          <w:tab w:val="left" w:pos="567"/>
        </w:tabs>
        <w:rPr>
          <w:lang w:val="es-ES"/>
        </w:rPr>
      </w:pPr>
    </w:p>
    <w:p w14:paraId="76BB6315" w14:textId="6CDFBA1D" w:rsidR="00B14D06" w:rsidRDefault="00DD1511" w:rsidP="00B14D06">
      <w:pPr>
        <w:keepNext/>
        <w:rPr>
          <w:spacing w:val="-2"/>
          <w:lang w:val="es-ES"/>
        </w:rPr>
      </w:pPr>
      <w:r w:rsidRPr="00F63950">
        <w:rPr>
          <w:snapToGrid w:val="0"/>
          <w:spacing w:val="-2"/>
          <w:lang w:val="es-ES"/>
        </w:rPr>
        <w:t>En su quincuagésima quinta</w:t>
      </w:r>
      <w:r w:rsidRPr="00F63950">
        <w:rPr>
          <w:spacing w:val="-2"/>
          <w:lang w:val="es-ES"/>
        </w:rPr>
        <w:t xml:space="preserve"> sesión, el TC convino en informar al CAJ sobre las cuestiones normativas o jurídicas conexas presentadas en el documento </w:t>
      </w:r>
      <w:r w:rsidR="00B14D06" w:rsidRPr="00F63950">
        <w:rPr>
          <w:spacing w:val="-2"/>
          <w:lang w:val="es-ES"/>
        </w:rPr>
        <w:t xml:space="preserve">TC/55/10, </w:t>
      </w:r>
      <w:r w:rsidRPr="00F63950">
        <w:rPr>
          <w:spacing w:val="-2"/>
          <w:lang w:val="es-ES"/>
        </w:rPr>
        <w:t>párrafos</w:t>
      </w:r>
      <w:r w:rsidR="00B14D06" w:rsidRPr="00F63950">
        <w:rPr>
          <w:spacing w:val="-2"/>
          <w:lang w:val="es-ES"/>
        </w:rPr>
        <w:t xml:space="preserve"> 27 </w:t>
      </w:r>
      <w:r w:rsidRPr="00F63950">
        <w:rPr>
          <w:spacing w:val="-2"/>
          <w:lang w:val="es-ES"/>
        </w:rPr>
        <w:t>y</w:t>
      </w:r>
      <w:r w:rsidR="00B14D06" w:rsidRPr="00F63950">
        <w:rPr>
          <w:spacing w:val="-2"/>
          <w:lang w:val="es-ES"/>
        </w:rPr>
        <w:t xml:space="preserve"> 28, </w:t>
      </w:r>
      <w:r w:rsidRPr="00F63950">
        <w:rPr>
          <w:spacing w:val="-2"/>
          <w:lang w:val="es-ES"/>
        </w:rPr>
        <w:t>que se reproducen a continuación</w:t>
      </w:r>
      <w:r w:rsidR="00B14D06" w:rsidRPr="00F63950">
        <w:rPr>
          <w:spacing w:val="-2"/>
          <w:lang w:val="es-ES"/>
        </w:rPr>
        <w:t>:</w:t>
      </w:r>
    </w:p>
    <w:p w14:paraId="5DF3E44B" w14:textId="77777777" w:rsidR="00F63950" w:rsidRPr="00F63950" w:rsidRDefault="00F63950" w:rsidP="00B14D06">
      <w:pPr>
        <w:keepNext/>
        <w:rPr>
          <w:spacing w:val="-2"/>
          <w:sz w:val="18"/>
          <w:lang w:val="es-ES"/>
        </w:rPr>
      </w:pPr>
    </w:p>
    <w:p w14:paraId="7DC9C4B9" w14:textId="77777777" w:rsidR="00DD1511" w:rsidRPr="00AE4548" w:rsidRDefault="00DD1511" w:rsidP="00F63950">
      <w:pPr>
        <w:keepNext/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“Obligación de suscribir un acuerdo formal de cooperación</w:t>
      </w:r>
    </w:p>
    <w:p w14:paraId="408CE23F" w14:textId="38E6AD68" w:rsidR="00DD1511" w:rsidRPr="00AE4548" w:rsidRDefault="00DD1511" w:rsidP="00F63950">
      <w:pPr>
        <w:keepNext/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Obligación de que el examen DHE sea efectuado por la autoridad que concede los títulos</w:t>
      </w:r>
    </w:p>
    <w:p w14:paraId="77D05A3C" w14:textId="60BCAC11" w:rsidR="00DD1511" w:rsidRPr="00AE4548" w:rsidRDefault="00DD1511" w:rsidP="00F63950">
      <w:pPr>
        <w:keepNext/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No se admiten los informes de los exámenes DHE realizados por obtentores</w:t>
      </w:r>
    </w:p>
    <w:p w14:paraId="773C2FE2" w14:textId="62BE99BA" w:rsidR="00B14D06" w:rsidRPr="00AE4548" w:rsidRDefault="00DD1511" w:rsidP="00F63950">
      <w:pPr>
        <w:numPr>
          <w:ilvl w:val="0"/>
          <w:numId w:val="3"/>
        </w:numPr>
        <w:spacing w:after="120"/>
        <w:ind w:left="1700" w:right="562" w:hanging="562"/>
        <w:rPr>
          <w:sz w:val="18"/>
          <w:szCs w:val="22"/>
          <w:lang w:val="es-ES"/>
        </w:rPr>
      </w:pPr>
      <w:r w:rsidRPr="00AE4548">
        <w:rPr>
          <w:sz w:val="18"/>
          <w:szCs w:val="22"/>
          <w:lang w:val="es-ES"/>
        </w:rPr>
        <w:t>Deseo de los obtentores de utilizar (o no) los informes DHE existentes”</w:t>
      </w:r>
    </w:p>
    <w:p w14:paraId="0F2C41E5" w14:textId="20B35EDE" w:rsidR="00B14D06" w:rsidRPr="00AE4548" w:rsidRDefault="00DD1511" w:rsidP="00E87F34">
      <w:pPr>
        <w:keepNext/>
        <w:keepLines/>
        <w:tabs>
          <w:tab w:val="left" w:pos="567"/>
        </w:tabs>
        <w:spacing w:before="240"/>
        <w:rPr>
          <w:spacing w:val="2"/>
          <w:lang w:val="es-ES"/>
        </w:rPr>
      </w:pPr>
      <w:r w:rsidRPr="00AE4548">
        <w:rPr>
          <w:snapToGrid w:val="0"/>
          <w:lang w:val="es-ES"/>
        </w:rPr>
        <w:lastRenderedPageBreak/>
        <w:t>En su quincuagésima sexta</w:t>
      </w:r>
      <w:r w:rsidRPr="00AE4548">
        <w:rPr>
          <w:lang w:val="es-ES"/>
        </w:rPr>
        <w:t xml:space="preserve"> sesión</w:t>
      </w:r>
      <w:r w:rsidR="000D57AB" w:rsidRPr="00AE4548">
        <w:rPr>
          <w:lang w:val="es-ES"/>
        </w:rPr>
        <w:t>,</w:t>
      </w:r>
      <w:r w:rsidR="00B14D06" w:rsidRPr="00AE4548">
        <w:rPr>
          <w:rStyle w:val="FootnoteReference"/>
          <w:spacing w:val="2"/>
        </w:rPr>
        <w:footnoteReference w:id="5"/>
      </w:r>
      <w:r w:rsidRPr="00AE4548">
        <w:rPr>
          <w:spacing w:val="2"/>
          <w:lang w:val="es-ES"/>
        </w:rPr>
        <w:t xml:space="preserve"> el TC señaló que había examinado el documento TC/56/11 por correspondencia. </w:t>
      </w:r>
      <w:r w:rsidR="00E87F34" w:rsidRPr="00AE4548">
        <w:rPr>
          <w:spacing w:val="2"/>
          <w:lang w:val="es-ES"/>
        </w:rPr>
        <w:t>Señaló</w:t>
      </w:r>
      <w:r w:rsidRPr="00AE4548">
        <w:rPr>
          <w:spacing w:val="2"/>
          <w:lang w:val="es-ES"/>
        </w:rPr>
        <w:t xml:space="preserve"> </w:t>
      </w:r>
      <w:r w:rsidR="00E87F34" w:rsidRPr="00AE4548">
        <w:rPr>
          <w:spacing w:val="2"/>
          <w:lang w:val="es-ES"/>
        </w:rPr>
        <w:t xml:space="preserve">asimismo </w:t>
      </w:r>
      <w:r w:rsidRPr="00AE4548">
        <w:rPr>
          <w:spacing w:val="2"/>
          <w:lang w:val="es-ES"/>
        </w:rPr>
        <w:t xml:space="preserve">que </w:t>
      </w:r>
      <w:r w:rsidR="009264B3" w:rsidRPr="00AE4548">
        <w:rPr>
          <w:spacing w:val="2"/>
          <w:lang w:val="es-ES"/>
        </w:rPr>
        <w:t xml:space="preserve">las decisiones que figuran en el documento TC/56/11 habían sido adoptadas por correspondencia, según lo </w:t>
      </w:r>
      <w:r w:rsidR="000D57AB" w:rsidRPr="00AE4548">
        <w:rPr>
          <w:spacing w:val="2"/>
          <w:lang w:val="es-ES"/>
        </w:rPr>
        <w:t>expresado</w:t>
      </w:r>
      <w:r w:rsidR="009264B3" w:rsidRPr="00AE4548">
        <w:rPr>
          <w:spacing w:val="2"/>
          <w:lang w:val="es-ES"/>
        </w:rPr>
        <w:t xml:space="preserve"> en el documento TC/56/22, párrafos 39 a 44, que se reproducen a continuación</w:t>
      </w:r>
      <w:r w:rsidR="00E87F34" w:rsidRPr="00AE4548">
        <w:rPr>
          <w:spacing w:val="2"/>
          <w:lang w:val="es-ES"/>
        </w:rPr>
        <w:t>:</w:t>
      </w:r>
    </w:p>
    <w:p w14:paraId="3EE191C3" w14:textId="590F93B9" w:rsidR="009264B3" w:rsidRPr="00AE4548" w:rsidRDefault="009264B3" w:rsidP="00B14D06">
      <w:pPr>
        <w:tabs>
          <w:tab w:val="left" w:pos="1701"/>
        </w:tabs>
        <w:ind w:left="1134" w:right="567" w:hanging="567"/>
        <w:jc w:val="left"/>
        <w:rPr>
          <w:sz w:val="18"/>
          <w:lang w:val="es-ES"/>
        </w:rPr>
      </w:pPr>
    </w:p>
    <w:p w14:paraId="2BECFE06" w14:textId="4FA264C2" w:rsidR="009264B3" w:rsidRPr="00AE4548" w:rsidRDefault="009264B3" w:rsidP="009264B3">
      <w:pPr>
        <w:ind w:left="1134" w:hanging="567"/>
        <w:jc w:val="left"/>
        <w:rPr>
          <w:sz w:val="18"/>
          <w:lang w:val="es-419"/>
        </w:rPr>
      </w:pPr>
      <w:r w:rsidRPr="00AE4548">
        <w:rPr>
          <w:snapToGrid w:val="0"/>
          <w:sz w:val="18"/>
          <w:lang w:val="es-419"/>
        </w:rPr>
        <w:t>“39.</w:t>
      </w:r>
      <w:r w:rsidRPr="00AE4548">
        <w:rPr>
          <w:snapToGrid w:val="0"/>
          <w:sz w:val="18"/>
          <w:lang w:val="es-419"/>
        </w:rPr>
        <w:tab/>
      </w:r>
      <w:r w:rsidRPr="00AE4548">
        <w:rPr>
          <w:sz w:val="18"/>
          <w:lang w:val="es-419"/>
        </w:rPr>
        <w:t>El TC examinó el documento TC/56/11.</w:t>
      </w:r>
    </w:p>
    <w:p w14:paraId="3DD9F5E9" w14:textId="77777777" w:rsidR="009264B3" w:rsidRPr="00AE4548" w:rsidRDefault="009264B3" w:rsidP="009264B3">
      <w:pPr>
        <w:ind w:left="1134" w:hanging="567"/>
        <w:jc w:val="left"/>
        <w:rPr>
          <w:sz w:val="18"/>
          <w:lang w:val="es-419"/>
        </w:rPr>
      </w:pPr>
    </w:p>
    <w:p w14:paraId="6DBBBB4A" w14:textId="1838D7BF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napToGrid w:val="0"/>
          <w:sz w:val="18"/>
          <w:lang w:val="es-419"/>
        </w:rPr>
      </w:pPr>
      <w:r w:rsidRPr="00AE4548">
        <w:rPr>
          <w:snapToGrid w:val="0"/>
          <w:sz w:val="18"/>
          <w:lang w:val="es-419"/>
        </w:rPr>
        <w:t>40.</w:t>
      </w:r>
      <w:r w:rsidRPr="00AE4548">
        <w:rPr>
          <w:snapToGrid w:val="0"/>
          <w:sz w:val="18"/>
          <w:lang w:val="es-419"/>
        </w:rPr>
        <w:tab/>
      </w:r>
      <w:r w:rsidRPr="00AE4548">
        <w:rPr>
          <w:sz w:val="18"/>
          <w:lang w:val="es-419"/>
        </w:rPr>
        <w:t xml:space="preserve">El </w:t>
      </w:r>
      <w:r w:rsidRPr="00AE4548">
        <w:rPr>
          <w:snapToGrid w:val="0"/>
          <w:sz w:val="18"/>
          <w:lang w:val="es-419"/>
        </w:rPr>
        <w:t xml:space="preserve">TC </w:t>
      </w:r>
      <w:r w:rsidRPr="00AE4548">
        <w:rPr>
          <w:sz w:val="18"/>
          <w:lang w:val="es-419"/>
        </w:rPr>
        <w:t>tomó nota de que los miembros de la Unión disponen de las siguientes opciones para actualizar la información sobre las personas de enlace para asuntos relativos a la cooperación internacional en materia de examen DHE</w:t>
      </w:r>
      <w:r w:rsidRPr="00AE4548">
        <w:rPr>
          <w:snapToGrid w:val="0"/>
          <w:sz w:val="18"/>
          <w:lang w:val="es-419"/>
        </w:rPr>
        <w:t>:</w:t>
      </w:r>
    </w:p>
    <w:p w14:paraId="3486D79A" w14:textId="3D7D10A6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napToGrid w:val="0"/>
          <w:sz w:val="18"/>
          <w:lang w:val="es-419"/>
        </w:rPr>
      </w:pPr>
    </w:p>
    <w:p w14:paraId="7933FFCE" w14:textId="51AFBAA1" w:rsidR="009264B3" w:rsidRPr="00AE4548" w:rsidRDefault="009264B3" w:rsidP="009264B3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5387"/>
          <w:tab w:val="left" w:pos="6521"/>
        </w:tabs>
        <w:ind w:left="1134" w:right="567" w:firstLine="567"/>
        <w:rPr>
          <w:snapToGrid w:val="0"/>
          <w:sz w:val="18"/>
          <w:lang w:val="es-ES"/>
        </w:rPr>
      </w:pPr>
      <w:r w:rsidRPr="00AE4548">
        <w:rPr>
          <w:sz w:val="18"/>
          <w:lang w:val="es-ES"/>
        </w:rPr>
        <w:t>(i)</w:t>
      </w:r>
      <w:r w:rsidRPr="00AE4548">
        <w:rPr>
          <w:sz w:val="18"/>
          <w:lang w:val="es-ES"/>
        </w:rPr>
        <w:tab/>
      </w:r>
      <w:r w:rsidRPr="00AE4548">
        <w:rPr>
          <w:snapToGrid w:val="0"/>
          <w:sz w:val="18"/>
          <w:lang w:val="es-419"/>
        </w:rPr>
        <w:t xml:space="preserve">actualizar la información cuando se les invite a facilitar información para el documento TC/[xx]/4, </w:t>
      </w:r>
      <w:r w:rsidR="00F63950">
        <w:rPr>
          <w:snapToGrid w:val="0"/>
          <w:sz w:val="18"/>
          <w:lang w:val="es-419"/>
        </w:rPr>
        <w:t>‘</w:t>
      </w:r>
      <w:r w:rsidRPr="00AE4548">
        <w:rPr>
          <w:snapToGrid w:val="0"/>
          <w:sz w:val="18"/>
          <w:lang w:val="es-419"/>
        </w:rPr>
        <w:t>Lista de géneros y especies respecto de los cuales las autoridades poseen experiencia práctica en el examen de la distinción, l</w:t>
      </w:r>
      <w:r w:rsidR="00F63950">
        <w:rPr>
          <w:snapToGrid w:val="0"/>
          <w:sz w:val="18"/>
          <w:lang w:val="es-419"/>
        </w:rPr>
        <w:t>a homogeneidad y la estabilidad’</w:t>
      </w:r>
      <w:r w:rsidRPr="00AE4548">
        <w:rPr>
          <w:snapToGrid w:val="0"/>
          <w:sz w:val="18"/>
          <w:lang w:val="es-419"/>
        </w:rPr>
        <w:t>; o</w:t>
      </w:r>
    </w:p>
    <w:p w14:paraId="5AE986D5" w14:textId="77777777" w:rsidR="009264B3" w:rsidRPr="00AE4548" w:rsidRDefault="009264B3" w:rsidP="009264B3">
      <w:pPr>
        <w:tabs>
          <w:tab w:val="left" w:pos="1701"/>
          <w:tab w:val="left" w:pos="2268"/>
        </w:tabs>
        <w:ind w:left="1134" w:right="567"/>
        <w:rPr>
          <w:snapToGrid w:val="0"/>
          <w:sz w:val="18"/>
          <w:lang w:val="es-ES"/>
        </w:rPr>
      </w:pPr>
    </w:p>
    <w:p w14:paraId="4BE6831A" w14:textId="6D34339C" w:rsidR="009264B3" w:rsidRPr="00AE4548" w:rsidRDefault="009264B3" w:rsidP="009264B3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5387"/>
          <w:tab w:val="left" w:pos="6521"/>
        </w:tabs>
        <w:ind w:left="1134" w:right="567" w:firstLine="567"/>
        <w:rPr>
          <w:sz w:val="18"/>
          <w:lang w:val="es-ES"/>
        </w:rPr>
      </w:pPr>
      <w:r w:rsidRPr="00AE4548">
        <w:rPr>
          <w:sz w:val="18"/>
          <w:lang w:val="es-ES"/>
        </w:rPr>
        <w:t>(ii)</w:t>
      </w:r>
      <w:r w:rsidRPr="00AE4548">
        <w:rPr>
          <w:sz w:val="18"/>
          <w:lang w:val="es-ES"/>
        </w:rPr>
        <w:tab/>
      </w:r>
      <w:r w:rsidRPr="00AE4548">
        <w:rPr>
          <w:snapToGrid w:val="0"/>
          <w:spacing w:val="-2"/>
          <w:sz w:val="18"/>
          <w:lang w:val="es-419"/>
        </w:rPr>
        <w:t xml:space="preserve">notificar la información a la Oficina de la Unión enviando un mensaje de correo electrónico a la dirección </w:t>
      </w:r>
      <w:hyperlink r:id="rId9" w:history="1">
        <w:r w:rsidRPr="00AE4548">
          <w:rPr>
            <w:rFonts w:cs="Arial"/>
            <w:snapToGrid w:val="0"/>
            <w:color w:val="0000FF"/>
            <w:spacing w:val="-2"/>
            <w:sz w:val="18"/>
            <w:u w:val="single"/>
            <w:lang w:val="es-ES"/>
          </w:rPr>
          <w:t>upov.mail@upov.int</w:t>
        </w:r>
      </w:hyperlink>
      <w:r w:rsidRPr="00AE4548">
        <w:rPr>
          <w:snapToGrid w:val="0"/>
          <w:spacing w:val="-2"/>
          <w:sz w:val="18"/>
          <w:lang w:val="es-ES"/>
        </w:rPr>
        <w:t>;</w:t>
      </w:r>
    </w:p>
    <w:p w14:paraId="1FC5EDF0" w14:textId="063D2B96" w:rsidR="009264B3" w:rsidRPr="00AE4548" w:rsidRDefault="009264B3" w:rsidP="009264B3">
      <w:pPr>
        <w:tabs>
          <w:tab w:val="left" w:pos="567"/>
          <w:tab w:val="left" w:pos="1134"/>
          <w:tab w:val="left" w:pos="1701"/>
        </w:tabs>
        <w:rPr>
          <w:sz w:val="18"/>
          <w:lang w:val="es-419"/>
        </w:rPr>
      </w:pPr>
    </w:p>
    <w:p w14:paraId="0745C218" w14:textId="2A5BAE36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  <w:r w:rsidRPr="00AE4548">
        <w:rPr>
          <w:snapToGrid w:val="0"/>
          <w:sz w:val="18"/>
          <w:lang w:val="es-419"/>
        </w:rPr>
        <w:t>41.</w:t>
      </w:r>
      <w:r w:rsidRPr="00AE4548">
        <w:rPr>
          <w:snapToGrid w:val="0"/>
          <w:sz w:val="18"/>
          <w:lang w:val="es-419"/>
        </w:rPr>
        <w:tab/>
        <w:t>El TC convino en proponer el desarrollo de un conjunto de herramientas informáticas compatibles que incluya los siguientes elementos</w:t>
      </w:r>
      <w:r w:rsidRPr="00AE4548">
        <w:rPr>
          <w:sz w:val="18"/>
          <w:lang w:val="es-419"/>
        </w:rPr>
        <w:t xml:space="preserve">: </w:t>
      </w:r>
    </w:p>
    <w:p w14:paraId="1A33C526" w14:textId="77777777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</w:p>
    <w:p w14:paraId="4F1EFFA5" w14:textId="4A7A6F5E" w:rsidR="009264B3" w:rsidRPr="00AE4548" w:rsidRDefault="009264B3" w:rsidP="009264B3">
      <w:pPr>
        <w:pStyle w:val="ListParagraph"/>
        <w:numPr>
          <w:ilvl w:val="1"/>
          <w:numId w:val="9"/>
        </w:numPr>
        <w:ind w:left="1701" w:hanging="567"/>
        <w:rPr>
          <w:sz w:val="18"/>
          <w:lang w:val="es-419"/>
        </w:rPr>
      </w:pPr>
      <w:r w:rsidRPr="00AE4548">
        <w:rPr>
          <w:sz w:val="18"/>
          <w:lang w:val="es-419"/>
        </w:rPr>
        <w:t xml:space="preserve">Una plataforma que permita: </w:t>
      </w:r>
    </w:p>
    <w:p w14:paraId="734249A9" w14:textId="77777777" w:rsidR="009264B3" w:rsidRPr="00AE4548" w:rsidRDefault="009264B3" w:rsidP="00F63950">
      <w:pPr>
        <w:pStyle w:val="ListParagraph"/>
        <w:numPr>
          <w:ilvl w:val="2"/>
          <w:numId w:val="9"/>
        </w:numPr>
        <w:spacing w:before="60"/>
        <w:ind w:left="2261" w:hanging="562"/>
        <w:contextualSpacing w:val="0"/>
        <w:rPr>
          <w:sz w:val="18"/>
          <w:lang w:val="es-419"/>
        </w:rPr>
      </w:pPr>
      <w:r w:rsidRPr="00AE4548">
        <w:rPr>
          <w:sz w:val="18"/>
          <w:lang w:val="es-419"/>
        </w:rPr>
        <w:t>El intercambio de informes DHE existentes, al objeto de que:</w:t>
      </w:r>
    </w:p>
    <w:p w14:paraId="5110C7BD" w14:textId="77777777" w:rsidR="009264B3" w:rsidRPr="00AE4548" w:rsidRDefault="009264B3" w:rsidP="00F63950">
      <w:pPr>
        <w:pStyle w:val="ListParagraph"/>
        <w:numPr>
          <w:ilvl w:val="3"/>
          <w:numId w:val="9"/>
        </w:numPr>
        <w:spacing w:before="60"/>
        <w:ind w:left="2837" w:hanging="562"/>
        <w:contextualSpacing w:val="0"/>
        <w:rPr>
          <w:sz w:val="18"/>
          <w:lang w:val="es-419"/>
        </w:rPr>
      </w:pPr>
      <w:r w:rsidRPr="00AE4548">
        <w:rPr>
          <w:sz w:val="18"/>
          <w:lang w:val="es-419"/>
        </w:rPr>
        <w:t>los miembros de la UPOV publiquen y reciban informes DHE existentes y organicen el pago, según proceda;</w:t>
      </w:r>
    </w:p>
    <w:p w14:paraId="0BCB7481" w14:textId="77777777" w:rsidR="009264B3" w:rsidRPr="00AE4548" w:rsidRDefault="009264B3" w:rsidP="009264B3">
      <w:pPr>
        <w:pStyle w:val="ListParagraph"/>
        <w:numPr>
          <w:ilvl w:val="3"/>
          <w:numId w:val="9"/>
        </w:numPr>
        <w:ind w:left="2835" w:hanging="567"/>
        <w:rPr>
          <w:sz w:val="18"/>
          <w:lang w:val="es-419"/>
        </w:rPr>
      </w:pPr>
      <w:r w:rsidRPr="00AE4548">
        <w:rPr>
          <w:sz w:val="18"/>
          <w:lang w:val="es-419"/>
        </w:rPr>
        <w:t>los solicitantes de derechos de obtentor soliciten el uso de los informes DHE existentes y efectúen los pagos, según proceda.</w:t>
      </w:r>
    </w:p>
    <w:p w14:paraId="17414059" w14:textId="77777777" w:rsidR="009264B3" w:rsidRPr="00AE4548" w:rsidRDefault="009264B3" w:rsidP="00F63950">
      <w:pPr>
        <w:pStyle w:val="ListParagraph"/>
        <w:numPr>
          <w:ilvl w:val="2"/>
          <w:numId w:val="9"/>
        </w:numPr>
        <w:spacing w:before="60"/>
        <w:ind w:left="2261" w:hanging="562"/>
        <w:contextualSpacing w:val="0"/>
        <w:rPr>
          <w:sz w:val="18"/>
          <w:lang w:val="es-419"/>
        </w:rPr>
      </w:pPr>
      <w:r w:rsidRPr="00AE4548">
        <w:rPr>
          <w:sz w:val="18"/>
          <w:lang w:val="es-419"/>
        </w:rPr>
        <w:t>Que los miembros de la UPOV pongan a disposición de los demás miembros de la Unión sus procedimientos de examen DHE documentados y la información sobre sus sistemas de gestión de calidad.</w:t>
      </w:r>
    </w:p>
    <w:p w14:paraId="3D4E54BF" w14:textId="77777777" w:rsidR="009264B3" w:rsidRPr="00AE4548" w:rsidRDefault="009264B3" w:rsidP="009264B3">
      <w:pPr>
        <w:pStyle w:val="ListParagraph"/>
        <w:ind w:left="2214"/>
        <w:rPr>
          <w:sz w:val="18"/>
          <w:lang w:val="es-419"/>
        </w:rPr>
      </w:pPr>
    </w:p>
    <w:p w14:paraId="011608FE" w14:textId="77777777" w:rsidR="009264B3" w:rsidRPr="00AE4548" w:rsidRDefault="009264B3" w:rsidP="009264B3">
      <w:pPr>
        <w:pStyle w:val="ListParagraph"/>
        <w:numPr>
          <w:ilvl w:val="1"/>
          <w:numId w:val="9"/>
        </w:numPr>
        <w:ind w:left="1701" w:hanging="567"/>
        <w:rPr>
          <w:sz w:val="18"/>
          <w:lang w:val="es-419"/>
        </w:rPr>
      </w:pPr>
      <w:r w:rsidRPr="00AE4548">
        <w:rPr>
          <w:sz w:val="18"/>
          <w:lang w:val="es-419"/>
        </w:rPr>
        <w:t>Una herramienta que permita proporcionar fácilmente información sobre la cooperación en el examen DHE entre los miembros de la UPOV y los solicitantes de derechos de obtentor, a partir de la información que figura en la base de datos GENIE.</w:t>
      </w:r>
    </w:p>
    <w:p w14:paraId="4563B770" w14:textId="77777777" w:rsidR="009264B3" w:rsidRPr="00AE4548" w:rsidRDefault="009264B3" w:rsidP="009264B3">
      <w:pPr>
        <w:pStyle w:val="ListParagraph"/>
        <w:ind w:left="1701" w:hanging="567"/>
        <w:rPr>
          <w:sz w:val="18"/>
          <w:lang w:val="es-419"/>
        </w:rPr>
      </w:pPr>
    </w:p>
    <w:p w14:paraId="1D812240" w14:textId="77777777" w:rsidR="009264B3" w:rsidRPr="00AE4548" w:rsidRDefault="009264B3" w:rsidP="009264B3">
      <w:pPr>
        <w:pStyle w:val="ListParagraph"/>
        <w:numPr>
          <w:ilvl w:val="1"/>
          <w:numId w:val="9"/>
        </w:numPr>
        <w:ind w:left="1701" w:hanging="567"/>
        <w:rPr>
          <w:sz w:val="18"/>
          <w:lang w:val="es-419"/>
        </w:rPr>
      </w:pPr>
      <w:r w:rsidRPr="00AE4548">
        <w:rPr>
          <w:sz w:val="18"/>
          <w:lang w:val="es-419"/>
        </w:rPr>
        <w:t>Un módulo para que los miembros de la UPOV utilicen la plantilla de documentos TG y la base de datos de caracteres en línea al elaborar las directrices de examen propias de cada autoridad en su propio idioma.</w:t>
      </w:r>
    </w:p>
    <w:p w14:paraId="7E0BB907" w14:textId="77777777" w:rsidR="009264B3" w:rsidRPr="00AE4548" w:rsidRDefault="009264B3" w:rsidP="009264B3">
      <w:pPr>
        <w:pStyle w:val="ListParagraph"/>
        <w:ind w:left="1701" w:hanging="567"/>
        <w:rPr>
          <w:sz w:val="18"/>
          <w:lang w:val="es-419"/>
        </w:rPr>
      </w:pPr>
    </w:p>
    <w:p w14:paraId="22C64232" w14:textId="77777777" w:rsidR="009264B3" w:rsidRPr="00AE4548" w:rsidRDefault="009264B3" w:rsidP="009264B3">
      <w:pPr>
        <w:pStyle w:val="ListParagraph"/>
        <w:numPr>
          <w:ilvl w:val="1"/>
          <w:numId w:val="9"/>
        </w:numPr>
        <w:ind w:left="1701" w:hanging="567"/>
        <w:rPr>
          <w:sz w:val="18"/>
          <w:lang w:val="es-419"/>
        </w:rPr>
      </w:pPr>
      <w:r w:rsidRPr="00AE4548">
        <w:rPr>
          <w:sz w:val="18"/>
          <w:lang w:val="es-419"/>
        </w:rPr>
        <w:t>Una plataforma para las bases de datos de los miembros de la UPOV con información sobre descripción de variedades.</w:t>
      </w:r>
    </w:p>
    <w:p w14:paraId="2AE64D5C" w14:textId="77777777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</w:p>
    <w:p w14:paraId="60328A0D" w14:textId="28EFDEF0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  <w:r w:rsidRPr="00AE4548">
        <w:rPr>
          <w:snapToGrid w:val="0"/>
          <w:sz w:val="18"/>
          <w:lang w:val="es-419"/>
        </w:rPr>
        <w:t>42.</w:t>
      </w:r>
      <w:r w:rsidRPr="00AE4548">
        <w:rPr>
          <w:snapToGrid w:val="0"/>
          <w:sz w:val="18"/>
          <w:lang w:val="es-419"/>
        </w:rPr>
        <w:tab/>
        <w:t>El TC tomó nota de las posibilidades que ofrece la tecnología de traducción automática para reducir los costos de traducción de los documentos de la UPOV a los idiomas de la Unión y para elaborar material de la UPOV en una gama más amplia de idiomas</w:t>
      </w:r>
      <w:r w:rsidRPr="00AE4548">
        <w:rPr>
          <w:sz w:val="18"/>
          <w:lang w:val="es-419"/>
        </w:rPr>
        <w:t>.</w:t>
      </w:r>
    </w:p>
    <w:p w14:paraId="0DE70771" w14:textId="77777777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954"/>
        </w:tabs>
        <w:ind w:left="567"/>
        <w:rPr>
          <w:sz w:val="18"/>
          <w:lang w:val="es-419"/>
        </w:rPr>
      </w:pPr>
    </w:p>
    <w:p w14:paraId="7315310C" w14:textId="1218A5C6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  <w:r w:rsidRPr="00AE4548">
        <w:rPr>
          <w:snapToGrid w:val="0"/>
          <w:sz w:val="18"/>
          <w:lang w:val="es-419"/>
        </w:rPr>
        <w:t>43.</w:t>
      </w:r>
      <w:r w:rsidRPr="00AE4548">
        <w:rPr>
          <w:snapToGrid w:val="0"/>
          <w:sz w:val="18"/>
          <w:lang w:val="es-419"/>
        </w:rPr>
        <w:tab/>
        <w:t xml:space="preserve">El TC convino en revisar la </w:t>
      </w:r>
      <w:r w:rsidR="00F63950">
        <w:rPr>
          <w:snapToGrid w:val="0"/>
          <w:sz w:val="18"/>
          <w:lang w:val="es-419"/>
        </w:rPr>
        <w:t>sección 6 del documento TGP/5, ‘</w:t>
      </w:r>
      <w:r w:rsidRPr="00AE4548">
        <w:rPr>
          <w:snapToGrid w:val="0"/>
          <w:sz w:val="18"/>
          <w:lang w:val="es-419"/>
        </w:rPr>
        <w:t>Informe de la UPOV sobre el examen técnico y formulario UPOV pa</w:t>
      </w:r>
      <w:r w:rsidR="00F63950">
        <w:rPr>
          <w:snapToGrid w:val="0"/>
          <w:sz w:val="18"/>
          <w:lang w:val="es-419"/>
        </w:rPr>
        <w:t>ra la descripción de variedades’</w:t>
      </w:r>
      <w:r w:rsidRPr="00AE4548">
        <w:rPr>
          <w:snapToGrid w:val="0"/>
          <w:sz w:val="18"/>
          <w:lang w:val="es-419"/>
        </w:rPr>
        <w:t xml:space="preserve">, a fin de incluir información adicional en los informes de los exámenes DHE, </w:t>
      </w:r>
      <w:r w:rsidRPr="00AE4548">
        <w:rPr>
          <w:sz w:val="18"/>
          <w:lang w:val="es-419"/>
        </w:rPr>
        <w:t>con los siguientes objetivos:</w:t>
      </w:r>
    </w:p>
    <w:p w14:paraId="0F077FA4" w14:textId="77777777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z w:val="18"/>
          <w:lang w:val="es-419"/>
        </w:rPr>
      </w:pPr>
    </w:p>
    <w:p w14:paraId="2DB867CF" w14:textId="77777777" w:rsidR="009264B3" w:rsidRPr="00AE4548" w:rsidRDefault="009264B3" w:rsidP="009264B3">
      <w:pPr>
        <w:pStyle w:val="ListParagraph"/>
        <w:numPr>
          <w:ilvl w:val="0"/>
          <w:numId w:val="10"/>
        </w:numPr>
        <w:spacing w:after="200" w:line="276" w:lineRule="auto"/>
        <w:ind w:left="1647" w:hanging="513"/>
        <w:jc w:val="left"/>
        <w:rPr>
          <w:sz w:val="18"/>
          <w:lang w:val="es-419"/>
        </w:rPr>
      </w:pPr>
      <w:r w:rsidRPr="00AE4548">
        <w:rPr>
          <w:sz w:val="18"/>
          <w:lang w:val="es-419"/>
        </w:rPr>
        <w:t>proporcionar información sobre las variedades incluidas en la colección de variedades;</w:t>
      </w:r>
    </w:p>
    <w:p w14:paraId="167330A4" w14:textId="77777777" w:rsidR="009264B3" w:rsidRPr="00AE4548" w:rsidRDefault="009264B3" w:rsidP="009264B3">
      <w:pPr>
        <w:pStyle w:val="ListParagraph"/>
        <w:numPr>
          <w:ilvl w:val="0"/>
          <w:numId w:val="10"/>
        </w:numPr>
        <w:spacing w:after="200" w:line="276" w:lineRule="auto"/>
        <w:ind w:left="1647" w:hanging="513"/>
        <w:jc w:val="left"/>
        <w:rPr>
          <w:sz w:val="18"/>
          <w:lang w:val="es-419"/>
        </w:rPr>
      </w:pPr>
      <w:r w:rsidRPr="00AE4548">
        <w:rPr>
          <w:sz w:val="18"/>
          <w:lang w:val="es-419"/>
        </w:rPr>
        <w:t>indicar las variedades consideradas en el examen (no solo las variedades similares);</w:t>
      </w:r>
    </w:p>
    <w:p w14:paraId="5C1DBF25" w14:textId="77777777" w:rsidR="009264B3" w:rsidRPr="00F63950" w:rsidRDefault="009264B3" w:rsidP="00F63950">
      <w:pPr>
        <w:pStyle w:val="ListParagraph"/>
        <w:numPr>
          <w:ilvl w:val="0"/>
          <w:numId w:val="10"/>
        </w:numPr>
        <w:spacing w:after="200" w:line="276" w:lineRule="auto"/>
        <w:ind w:left="1647" w:hanging="513"/>
        <w:jc w:val="left"/>
        <w:rPr>
          <w:spacing w:val="-4"/>
          <w:sz w:val="18"/>
          <w:lang w:val="es-419"/>
        </w:rPr>
      </w:pPr>
      <w:r w:rsidRPr="00F63950">
        <w:rPr>
          <w:spacing w:val="-4"/>
          <w:sz w:val="18"/>
          <w:lang w:val="es-419"/>
        </w:rPr>
        <w:t>facilitar datos de observaciones sobre el terreno, junto con el informe del examen DHE de cada variedad; y</w:t>
      </w:r>
    </w:p>
    <w:p w14:paraId="7C3AD7CA" w14:textId="77777777" w:rsidR="009264B3" w:rsidRPr="00AE4548" w:rsidRDefault="009264B3" w:rsidP="009264B3">
      <w:pPr>
        <w:pStyle w:val="ListParagraph"/>
        <w:numPr>
          <w:ilvl w:val="0"/>
          <w:numId w:val="10"/>
        </w:numPr>
        <w:spacing w:after="200" w:line="276" w:lineRule="auto"/>
        <w:ind w:left="1647" w:hanging="513"/>
        <w:jc w:val="left"/>
        <w:rPr>
          <w:sz w:val="18"/>
          <w:lang w:val="es-419"/>
        </w:rPr>
      </w:pPr>
      <w:r w:rsidRPr="00AE4548">
        <w:rPr>
          <w:sz w:val="18"/>
          <w:lang w:val="es-419"/>
        </w:rPr>
        <w:t>facilitar información sobre el medio ambiente en el que se ha realizado el examen DHE.</w:t>
      </w:r>
    </w:p>
    <w:p w14:paraId="7875490E" w14:textId="4C7A463C" w:rsidR="009264B3" w:rsidRPr="00AE4548" w:rsidRDefault="009264B3" w:rsidP="009264B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67"/>
        <w:rPr>
          <w:snapToGrid w:val="0"/>
          <w:lang w:val="es-419"/>
        </w:rPr>
      </w:pPr>
      <w:r w:rsidRPr="00AE4548">
        <w:rPr>
          <w:snapToGrid w:val="0"/>
          <w:sz w:val="18"/>
          <w:lang w:val="es-419"/>
        </w:rPr>
        <w:t>44.</w:t>
      </w:r>
      <w:r w:rsidRPr="00AE4548">
        <w:rPr>
          <w:snapToGrid w:val="0"/>
          <w:sz w:val="18"/>
          <w:lang w:val="es-419"/>
        </w:rPr>
        <w:tab/>
        <w:t xml:space="preserve">El TC convino en que la repercusión del plan propuesto se evalúe en función del número de acuerdos de cooperación notificados por los miembros de la Unión, conforme a lo expuesto en el </w:t>
      </w:r>
      <w:r w:rsidR="00F63950">
        <w:rPr>
          <w:snapToGrid w:val="0"/>
          <w:sz w:val="18"/>
          <w:lang w:val="es-419"/>
        </w:rPr>
        <w:t>documento C/[xx]/INF/5 ‘</w:t>
      </w:r>
      <w:r w:rsidRPr="00AE4548">
        <w:rPr>
          <w:snapToGrid w:val="0"/>
          <w:sz w:val="18"/>
          <w:lang w:val="es-419"/>
        </w:rPr>
        <w:t>Cooperación en materia de examen</w:t>
      </w:r>
      <w:r w:rsidR="00F63950">
        <w:rPr>
          <w:snapToGrid w:val="0"/>
          <w:sz w:val="18"/>
          <w:lang w:val="es-419"/>
        </w:rPr>
        <w:t>’</w:t>
      </w:r>
      <w:r w:rsidRPr="00AE4548">
        <w:rPr>
          <w:snapToGrid w:val="0"/>
          <w:sz w:val="18"/>
          <w:lang w:val="es-419"/>
        </w:rPr>
        <w:t>.”</w:t>
      </w:r>
    </w:p>
    <w:p w14:paraId="33FA0D61" w14:textId="028CE5C4" w:rsidR="009264B3" w:rsidRDefault="009264B3" w:rsidP="00B14D06">
      <w:pPr>
        <w:tabs>
          <w:tab w:val="left" w:pos="1701"/>
        </w:tabs>
        <w:ind w:left="1134" w:right="567" w:hanging="567"/>
        <w:jc w:val="left"/>
        <w:rPr>
          <w:sz w:val="18"/>
          <w:lang w:val="es-419"/>
        </w:rPr>
      </w:pPr>
    </w:p>
    <w:p w14:paraId="72574506" w14:textId="77777777" w:rsidR="00F63950" w:rsidRPr="00AE4548" w:rsidRDefault="00F63950" w:rsidP="00B14D06">
      <w:pPr>
        <w:tabs>
          <w:tab w:val="left" w:pos="1701"/>
        </w:tabs>
        <w:ind w:left="1134" w:right="567" w:hanging="567"/>
        <w:jc w:val="left"/>
        <w:rPr>
          <w:sz w:val="18"/>
          <w:lang w:val="es-419"/>
        </w:rPr>
      </w:pPr>
    </w:p>
    <w:p w14:paraId="28CF034D" w14:textId="53DFBB3A" w:rsidR="009B440E" w:rsidRDefault="00050E16" w:rsidP="00050E16">
      <w:pPr>
        <w:jc w:val="right"/>
      </w:pPr>
      <w:r w:rsidRPr="00AE4548">
        <w:t>[</w:t>
      </w:r>
      <w:r w:rsidR="000638A9" w:rsidRPr="00AE4548">
        <w:t xml:space="preserve">Fin del </w:t>
      </w:r>
      <w:r w:rsidR="00B14D06" w:rsidRPr="00AE4548">
        <w:t xml:space="preserve">Anexo y del </w:t>
      </w:r>
      <w:r w:rsidR="000638A9" w:rsidRPr="00AE4548">
        <w:t>documento</w:t>
      </w:r>
      <w:r w:rsidRPr="00AE4548">
        <w:t>]</w:t>
      </w:r>
    </w:p>
    <w:sectPr w:rsidR="009B440E" w:rsidSect="00E87F34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9574A" w14:textId="77777777" w:rsidR="00DB2AA8" w:rsidRDefault="00DB2AA8" w:rsidP="006655D3">
      <w:r>
        <w:separator/>
      </w:r>
    </w:p>
    <w:p w14:paraId="7D46A5F1" w14:textId="77777777" w:rsidR="00DB2AA8" w:rsidRDefault="00DB2AA8" w:rsidP="006655D3"/>
    <w:p w14:paraId="1A591CB1" w14:textId="77777777" w:rsidR="00DB2AA8" w:rsidRDefault="00DB2AA8" w:rsidP="006655D3"/>
  </w:endnote>
  <w:endnote w:type="continuationSeparator" w:id="0">
    <w:p w14:paraId="2BD06EF2" w14:textId="77777777" w:rsidR="00DB2AA8" w:rsidRDefault="00DB2AA8" w:rsidP="006655D3">
      <w:r>
        <w:separator/>
      </w:r>
    </w:p>
    <w:p w14:paraId="763CFCF9" w14:textId="77777777" w:rsidR="00DB2AA8" w:rsidRPr="00294751" w:rsidRDefault="00DB2AA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CC1CC1A" w14:textId="77777777" w:rsidR="00DB2AA8" w:rsidRPr="00294751" w:rsidRDefault="00DB2AA8" w:rsidP="006655D3">
      <w:pPr>
        <w:rPr>
          <w:lang w:val="fr-FR"/>
        </w:rPr>
      </w:pPr>
    </w:p>
    <w:p w14:paraId="51BFCDCC" w14:textId="77777777" w:rsidR="00DB2AA8" w:rsidRPr="00294751" w:rsidRDefault="00DB2AA8" w:rsidP="006655D3">
      <w:pPr>
        <w:rPr>
          <w:lang w:val="fr-FR"/>
        </w:rPr>
      </w:pPr>
    </w:p>
  </w:endnote>
  <w:endnote w:type="continuationNotice" w:id="1">
    <w:p w14:paraId="295129DF" w14:textId="77777777" w:rsidR="00DB2AA8" w:rsidRPr="00294751" w:rsidRDefault="00DB2AA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9C02788" w14:textId="77777777" w:rsidR="00DB2AA8" w:rsidRPr="00294751" w:rsidRDefault="00DB2AA8" w:rsidP="006655D3">
      <w:pPr>
        <w:rPr>
          <w:lang w:val="fr-FR"/>
        </w:rPr>
      </w:pPr>
    </w:p>
    <w:p w14:paraId="4BB945E0" w14:textId="77777777" w:rsidR="00DB2AA8" w:rsidRPr="00294751" w:rsidRDefault="00DB2AA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DA03" w14:textId="77777777" w:rsidR="00DB2AA8" w:rsidRDefault="00DB2AA8" w:rsidP="006655D3">
      <w:r>
        <w:separator/>
      </w:r>
    </w:p>
  </w:footnote>
  <w:footnote w:type="continuationSeparator" w:id="0">
    <w:p w14:paraId="5A12633D" w14:textId="77777777" w:rsidR="00DB2AA8" w:rsidRDefault="00DB2AA8" w:rsidP="006655D3">
      <w:r>
        <w:separator/>
      </w:r>
    </w:p>
  </w:footnote>
  <w:footnote w:type="continuationNotice" w:id="1">
    <w:p w14:paraId="61137257" w14:textId="77777777" w:rsidR="00DB2AA8" w:rsidRPr="00AB530F" w:rsidRDefault="00DB2AA8" w:rsidP="00AB530F">
      <w:pPr>
        <w:pStyle w:val="Footer"/>
      </w:pPr>
    </w:p>
  </w:footnote>
  <w:footnote w:id="2">
    <w:p w14:paraId="2EB7B166" w14:textId="1DADF073" w:rsidR="00D0338D" w:rsidRPr="00A91913" w:rsidRDefault="00D0338D" w:rsidP="005D3B8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91913">
        <w:rPr>
          <w:lang w:val="es-ES"/>
        </w:rPr>
        <w:t xml:space="preserve"> Celebrada por medios electrónicos el 28 de octubre de 2020.</w:t>
      </w:r>
    </w:p>
  </w:footnote>
  <w:footnote w:id="3">
    <w:p w14:paraId="734FE5CD" w14:textId="120D467A" w:rsidR="00D0338D" w:rsidRPr="00A91913" w:rsidRDefault="00D0338D" w:rsidP="00B14D0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91913">
        <w:rPr>
          <w:lang w:val="es-ES"/>
        </w:rPr>
        <w:t xml:space="preserve"> </w:t>
      </w:r>
      <w:r w:rsidRPr="00A91913">
        <w:rPr>
          <w:snapToGrid w:val="0"/>
          <w:lang w:val="es-ES"/>
        </w:rPr>
        <w:t>Fragmentos extraídos del documento CAJ/77/2 “</w:t>
      </w:r>
      <w:r>
        <w:t>Informe sobre las novedades acaecidas en el Comité Técnico</w:t>
      </w:r>
      <w:r w:rsidRPr="00A91913">
        <w:rPr>
          <w:snapToGrid w:val="0"/>
          <w:lang w:val="es-ES"/>
        </w:rPr>
        <w:t>”.</w:t>
      </w:r>
    </w:p>
  </w:footnote>
  <w:footnote w:id="4">
    <w:p w14:paraId="5B2FEF4B" w14:textId="5E3224AC" w:rsidR="00D0338D" w:rsidRPr="00A91913" w:rsidRDefault="00D0338D" w:rsidP="00B14D0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91913">
        <w:rPr>
          <w:lang w:val="es-ES"/>
        </w:rPr>
        <w:t xml:space="preserve"> Celebrada en Ginebra los días 28 y 29 de octubre de 2019.</w:t>
      </w:r>
    </w:p>
  </w:footnote>
  <w:footnote w:id="5">
    <w:p w14:paraId="58FBF9F8" w14:textId="20E493A5" w:rsidR="00D0338D" w:rsidRPr="00A91913" w:rsidRDefault="00D0338D" w:rsidP="00B14D0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A91913">
        <w:rPr>
          <w:lang w:val="es-ES"/>
        </w:rPr>
        <w:t xml:space="preserve"> </w:t>
      </w:r>
      <w:r w:rsidRPr="0037002A">
        <w:rPr>
          <w:lang w:val="es-ES"/>
        </w:rPr>
        <w:t>Celebrada por medios electrónicos los días 26 y 27 de octubre de 2020</w:t>
      </w:r>
      <w:r w:rsidRPr="00A91913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1843F" w14:textId="77777777" w:rsidR="00D0338D" w:rsidRPr="00C5280D" w:rsidRDefault="00D0338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14:paraId="162B46F9" w14:textId="1C2F7375" w:rsidR="00D0338D" w:rsidRPr="00C5280D" w:rsidRDefault="00D0338D" w:rsidP="00D0338D">
    <w:pPr>
      <w:pStyle w:val="Header"/>
      <w:tabs>
        <w:tab w:val="center" w:pos="4819"/>
        <w:tab w:val="left" w:pos="5918"/>
      </w:tabs>
      <w:rPr>
        <w:lang w:val="en-US"/>
      </w:rPr>
    </w:pPr>
    <w:r w:rsidRPr="00CB625B">
      <w:t>página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59E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54E6905" w14:textId="77777777" w:rsidR="00D0338D" w:rsidRPr="00C5280D" w:rsidRDefault="00D0338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4B21B" w14:textId="3691F1ED" w:rsidR="00D0338D" w:rsidRPr="000A23DC" w:rsidRDefault="00D0338D" w:rsidP="000A23DC">
    <w:pPr>
      <w:pStyle w:val="Header"/>
      <w:rPr>
        <w:rStyle w:val="PageNumber"/>
      </w:rPr>
    </w:pPr>
    <w:r>
      <w:rPr>
        <w:rStyle w:val="PageNumber"/>
      </w:rPr>
      <w:t>CAJ/78</w:t>
    </w:r>
    <w:r w:rsidRPr="000A23DC">
      <w:rPr>
        <w:rStyle w:val="PageNumber"/>
      </w:rPr>
      <w:t>/</w:t>
    </w:r>
    <w:r w:rsidR="001812F7">
      <w:rPr>
        <w:rStyle w:val="PageNumber"/>
      </w:rPr>
      <w:t>9</w:t>
    </w:r>
  </w:p>
  <w:p w14:paraId="61D19BA2" w14:textId="23852E3F" w:rsidR="00D0338D" w:rsidRPr="00202E38" w:rsidRDefault="001812F7" w:rsidP="008B3D8D">
    <w:pPr>
      <w:pStyle w:val="Header"/>
      <w:rPr>
        <w:lang w:val="de-DE"/>
      </w:rPr>
    </w:pPr>
    <w:r>
      <w:t xml:space="preserve">Anexo, </w:t>
    </w:r>
    <w:r w:rsidR="00AE4548" w:rsidRPr="00AE4548">
      <w:t>página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59E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4C905C" w14:textId="77777777" w:rsidR="00D0338D" w:rsidRPr="00202E38" w:rsidRDefault="00D0338D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21954" w14:textId="77777777" w:rsidR="00AE4548" w:rsidRPr="00C5280D" w:rsidRDefault="00AE4548" w:rsidP="00AE4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14:paraId="1AF28D4D" w14:textId="77777777" w:rsidR="00AE4548" w:rsidRDefault="00AE4548" w:rsidP="00AE4548">
    <w:pPr>
      <w:pStyle w:val="Header"/>
      <w:rPr>
        <w:lang w:val="en-US"/>
      </w:rPr>
    </w:pPr>
  </w:p>
  <w:p w14:paraId="76558C3A" w14:textId="0F7E4E5A" w:rsidR="00AE4548" w:rsidRDefault="00AE4548">
    <w:pPr>
      <w:pStyle w:val="Header"/>
    </w:pPr>
    <w:r>
      <w:rPr>
        <w:lang w:val="en-US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C07"/>
    <w:multiLevelType w:val="hybridMultilevel"/>
    <w:tmpl w:val="1280FA34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538784E"/>
    <w:multiLevelType w:val="hybridMultilevel"/>
    <w:tmpl w:val="197CEFEE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06DE338E"/>
    <w:multiLevelType w:val="multilevel"/>
    <w:tmpl w:val="0EAC3DB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12186661"/>
    <w:multiLevelType w:val="hybridMultilevel"/>
    <w:tmpl w:val="1256B650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5" w15:restartNumberingAfterBreak="0">
    <w:nsid w:val="47EA1049"/>
    <w:multiLevelType w:val="hybridMultilevel"/>
    <w:tmpl w:val="AEB8395C"/>
    <w:lvl w:ilvl="0" w:tplc="30301C50">
      <w:start w:val="1"/>
      <w:numFmt w:val="lowerRoman"/>
      <w:lvlText w:val="%1)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518F2236"/>
    <w:multiLevelType w:val="hybridMultilevel"/>
    <w:tmpl w:val="D0D03BC2"/>
    <w:lvl w:ilvl="0" w:tplc="5E82F904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5B2F694B"/>
    <w:multiLevelType w:val="hybridMultilevel"/>
    <w:tmpl w:val="7204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44BAD"/>
    <w:multiLevelType w:val="hybridMultilevel"/>
    <w:tmpl w:val="76D682D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9F116D"/>
    <w:multiLevelType w:val="hybridMultilevel"/>
    <w:tmpl w:val="9650FF6A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13"/>
    <w:rsid w:val="00010CF3"/>
    <w:rsid w:val="00011E27"/>
    <w:rsid w:val="000148BC"/>
    <w:rsid w:val="00024AB8"/>
    <w:rsid w:val="00025C5E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57AB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12F7"/>
    <w:rsid w:val="00182B99"/>
    <w:rsid w:val="00196812"/>
    <w:rsid w:val="001A4A36"/>
    <w:rsid w:val="001C6743"/>
    <w:rsid w:val="001E0968"/>
    <w:rsid w:val="001F64BF"/>
    <w:rsid w:val="00200CEA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59EA"/>
    <w:rsid w:val="0028646E"/>
    <w:rsid w:val="002940E8"/>
    <w:rsid w:val="00294751"/>
    <w:rsid w:val="002A4BD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7002A"/>
    <w:rsid w:val="003A7350"/>
    <w:rsid w:val="003B031A"/>
    <w:rsid w:val="003B40AF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B46E3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66E21"/>
    <w:rsid w:val="00576BE4"/>
    <w:rsid w:val="00576DF8"/>
    <w:rsid w:val="00593DD6"/>
    <w:rsid w:val="005A400A"/>
    <w:rsid w:val="005D3B8D"/>
    <w:rsid w:val="005E0883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818F4"/>
    <w:rsid w:val="00687EB4"/>
    <w:rsid w:val="00695C56"/>
    <w:rsid w:val="006A08AE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42FD7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95113"/>
    <w:rsid w:val="007A2854"/>
    <w:rsid w:val="007C1178"/>
    <w:rsid w:val="007C1D92"/>
    <w:rsid w:val="007C4CB9"/>
    <w:rsid w:val="007D0B9D"/>
    <w:rsid w:val="007D19B0"/>
    <w:rsid w:val="007F498F"/>
    <w:rsid w:val="00802D58"/>
    <w:rsid w:val="00804BBA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8D2D43"/>
    <w:rsid w:val="008F1925"/>
    <w:rsid w:val="00900C26"/>
    <w:rsid w:val="0090197F"/>
    <w:rsid w:val="00906DDC"/>
    <w:rsid w:val="009264B3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25A4"/>
    <w:rsid w:val="00A42AC3"/>
    <w:rsid w:val="00A430CF"/>
    <w:rsid w:val="00A517CA"/>
    <w:rsid w:val="00A54309"/>
    <w:rsid w:val="00A61A37"/>
    <w:rsid w:val="00A706D3"/>
    <w:rsid w:val="00A91913"/>
    <w:rsid w:val="00AB2B93"/>
    <w:rsid w:val="00AB530F"/>
    <w:rsid w:val="00AB7E5B"/>
    <w:rsid w:val="00AC2883"/>
    <w:rsid w:val="00AC5C0A"/>
    <w:rsid w:val="00AE0EF1"/>
    <w:rsid w:val="00AE2937"/>
    <w:rsid w:val="00AE4548"/>
    <w:rsid w:val="00B07301"/>
    <w:rsid w:val="00B11F3E"/>
    <w:rsid w:val="00B14D06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D78A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25B"/>
    <w:rsid w:val="00CC11B0"/>
    <w:rsid w:val="00CC2841"/>
    <w:rsid w:val="00CF1330"/>
    <w:rsid w:val="00CF7E36"/>
    <w:rsid w:val="00D0338D"/>
    <w:rsid w:val="00D22F14"/>
    <w:rsid w:val="00D3708D"/>
    <w:rsid w:val="00D40426"/>
    <w:rsid w:val="00D57C96"/>
    <w:rsid w:val="00D57D18"/>
    <w:rsid w:val="00D91203"/>
    <w:rsid w:val="00D93721"/>
    <w:rsid w:val="00D95174"/>
    <w:rsid w:val="00DA4973"/>
    <w:rsid w:val="00DA6F36"/>
    <w:rsid w:val="00DB2AA8"/>
    <w:rsid w:val="00DB596E"/>
    <w:rsid w:val="00DB7773"/>
    <w:rsid w:val="00DC00EA"/>
    <w:rsid w:val="00DC3802"/>
    <w:rsid w:val="00DD1511"/>
    <w:rsid w:val="00E07D87"/>
    <w:rsid w:val="00E129C5"/>
    <w:rsid w:val="00E154F9"/>
    <w:rsid w:val="00E32F7E"/>
    <w:rsid w:val="00E5267B"/>
    <w:rsid w:val="00E63C0E"/>
    <w:rsid w:val="00E72D49"/>
    <w:rsid w:val="00E7593C"/>
    <w:rsid w:val="00E7678A"/>
    <w:rsid w:val="00E87F34"/>
    <w:rsid w:val="00E935F1"/>
    <w:rsid w:val="00E94A81"/>
    <w:rsid w:val="00E95A58"/>
    <w:rsid w:val="00EA1FFB"/>
    <w:rsid w:val="00EB048E"/>
    <w:rsid w:val="00EB4E9C"/>
    <w:rsid w:val="00EB7224"/>
    <w:rsid w:val="00EC2265"/>
    <w:rsid w:val="00EE34DF"/>
    <w:rsid w:val="00EF2F89"/>
    <w:rsid w:val="00EF4C74"/>
    <w:rsid w:val="00EF500C"/>
    <w:rsid w:val="00F03E98"/>
    <w:rsid w:val="00F1237A"/>
    <w:rsid w:val="00F22CBD"/>
    <w:rsid w:val="00F2561C"/>
    <w:rsid w:val="00F272F1"/>
    <w:rsid w:val="00F45372"/>
    <w:rsid w:val="00F560F7"/>
    <w:rsid w:val="00F6334D"/>
    <w:rsid w:val="00F63950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3DF7866"/>
  <w15:docId w15:val="{B724A7F3-9F2E-4712-96C6-7D5F4222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61A37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795113"/>
    <w:rPr>
      <w:rFonts w:ascii="Arial" w:hAnsi="Arial"/>
      <w:sz w:val="16"/>
      <w:lang w:val="es-ES_tradnl"/>
    </w:rPr>
  </w:style>
  <w:style w:type="character" w:customStyle="1" w:styleId="Heading1Char">
    <w:name w:val="Heading 1 Char"/>
    <w:basedOn w:val="DefaultParagraphFont"/>
    <w:link w:val="Heading1"/>
    <w:rsid w:val="00795113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qFormat/>
    <w:rsid w:val="00795113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semiHidden/>
    <w:unhideWhenUsed/>
    <w:rsid w:val="00BD78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D78A7"/>
  </w:style>
  <w:style w:type="character" w:customStyle="1" w:styleId="CommentTextChar">
    <w:name w:val="Comment Text Char"/>
    <w:basedOn w:val="DefaultParagraphFont"/>
    <w:link w:val="CommentText"/>
    <w:semiHidden/>
    <w:rsid w:val="00BD78A7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D78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D78A7"/>
    <w:rPr>
      <w:rFonts w:ascii="Arial" w:hAnsi="Arial"/>
      <w:b/>
      <w:bCs/>
      <w:lang w:val="es-ES_tradn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locked/>
    <w:rsid w:val="00B14D06"/>
    <w:rPr>
      <w:rFonts w:ascii="Arial" w:hAnsi="Arial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B14D06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pov.mail@upov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2002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</dc:title>
  <dc:creator>LLAMAS BRUFAU Lucia</dc:creator>
  <cp:lastModifiedBy>HUERTA-CASADO Yolanda</cp:lastModifiedBy>
  <cp:revision>5</cp:revision>
  <cp:lastPrinted>2016-11-22T15:41:00Z</cp:lastPrinted>
  <dcterms:created xsi:type="dcterms:W3CDTF">2021-09-20T10:33:00Z</dcterms:created>
  <dcterms:modified xsi:type="dcterms:W3CDTF">2021-09-21T16:32:00Z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acbb6ad5-a6fc-41ea-b1ae-3f726067ea99</vt:lpwstr>
  </property>
</Properties>
</file>