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B5F3A" w:rsidTr="00EB4E9C">
        <w:tc>
          <w:tcPr>
            <w:tcW w:w="6522" w:type="dxa"/>
          </w:tcPr>
          <w:p w:rsidR="00DC3802" w:rsidRPr="008B5F3A" w:rsidRDefault="00DC3802" w:rsidP="00AC2883">
            <w:pPr>
              <w:rPr>
                <w:lang w:val="es-419"/>
              </w:rPr>
            </w:pPr>
            <w:r w:rsidRPr="008B5F3A">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8B5F3A" w:rsidRDefault="00A01804" w:rsidP="00AC2883">
            <w:pPr>
              <w:pStyle w:val="Lettrine"/>
              <w:rPr>
                <w:lang w:val="es-419"/>
              </w:rPr>
            </w:pPr>
            <w:r w:rsidRPr="008B5F3A">
              <w:rPr>
                <w:lang w:val="es-419"/>
              </w:rPr>
              <w:t>S</w:t>
            </w:r>
          </w:p>
        </w:tc>
      </w:tr>
      <w:tr w:rsidR="00DC3802" w:rsidRPr="005A6941" w:rsidTr="00645CA8">
        <w:trPr>
          <w:trHeight w:val="219"/>
        </w:trPr>
        <w:tc>
          <w:tcPr>
            <w:tcW w:w="6522" w:type="dxa"/>
          </w:tcPr>
          <w:p w:rsidR="00DC3802" w:rsidRPr="008B5F3A" w:rsidRDefault="001F5905" w:rsidP="001F5905">
            <w:pPr>
              <w:pStyle w:val="upove"/>
              <w:rPr>
                <w:lang w:val="es-419"/>
              </w:rPr>
            </w:pPr>
            <w:r w:rsidRPr="008B5F3A">
              <w:rPr>
                <w:lang w:val="es-419"/>
              </w:rPr>
              <w:t>Unión Internacional para la Protección de las Obtenciones Vegetales</w:t>
            </w:r>
          </w:p>
        </w:tc>
        <w:tc>
          <w:tcPr>
            <w:tcW w:w="3117" w:type="dxa"/>
          </w:tcPr>
          <w:p w:rsidR="00DC3802" w:rsidRPr="008B5F3A" w:rsidRDefault="00DC3802" w:rsidP="00DA4973">
            <w:pPr>
              <w:rPr>
                <w:lang w:val="es-419"/>
              </w:rPr>
            </w:pPr>
          </w:p>
        </w:tc>
      </w:tr>
    </w:tbl>
    <w:p w:rsidR="00D539B6" w:rsidRPr="008B5F3A" w:rsidRDefault="00D539B6" w:rsidP="00DC3802">
      <w:pPr>
        <w:rPr>
          <w:lang w:val="es-419"/>
        </w:rPr>
      </w:pPr>
    </w:p>
    <w:p w:rsidR="00D70E65" w:rsidRPr="008B5F3A" w:rsidRDefault="00D70E65"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5A6941" w:rsidTr="00EB4E9C">
        <w:tc>
          <w:tcPr>
            <w:tcW w:w="6512" w:type="dxa"/>
          </w:tcPr>
          <w:p w:rsidR="00D539B6" w:rsidRPr="008B5F3A" w:rsidRDefault="001F5905" w:rsidP="001F5905">
            <w:pPr>
              <w:pStyle w:val="Sessiontc"/>
              <w:spacing w:line="240" w:lineRule="auto"/>
              <w:rPr>
                <w:lang w:val="es-419"/>
              </w:rPr>
            </w:pPr>
            <w:r w:rsidRPr="008B5F3A">
              <w:rPr>
                <w:lang w:val="es-419"/>
              </w:rPr>
              <w:t>Comité Administrativo y Jurídico</w:t>
            </w:r>
          </w:p>
          <w:p w:rsidR="00EB4E9C" w:rsidRPr="008B5F3A" w:rsidRDefault="001F5905" w:rsidP="001F5905">
            <w:pPr>
              <w:pStyle w:val="Sessiontcplacedate"/>
              <w:rPr>
                <w:sz w:val="22"/>
                <w:lang w:val="es-419"/>
              </w:rPr>
            </w:pPr>
            <w:r w:rsidRPr="008B5F3A">
              <w:rPr>
                <w:sz w:val="22"/>
                <w:lang w:val="es-419"/>
              </w:rPr>
              <w:t xml:space="preserve">Septuagésima octava sesión </w:t>
            </w:r>
            <w:r w:rsidRPr="008B5F3A">
              <w:rPr>
                <w:sz w:val="22"/>
                <w:lang w:val="es-419"/>
              </w:rPr>
              <w:br/>
              <w:t>Ginebra, 27 de octubre de 2021</w:t>
            </w:r>
          </w:p>
        </w:tc>
        <w:tc>
          <w:tcPr>
            <w:tcW w:w="3127" w:type="dxa"/>
          </w:tcPr>
          <w:p w:rsidR="00D539B6" w:rsidRPr="008B5F3A" w:rsidRDefault="001352EA" w:rsidP="003C7FBE">
            <w:pPr>
              <w:pStyle w:val="Doccode"/>
              <w:rPr>
                <w:lang w:val="es-419"/>
              </w:rPr>
            </w:pPr>
            <w:r w:rsidRPr="008B5F3A">
              <w:rPr>
                <w:lang w:val="es-419"/>
              </w:rPr>
              <w:t>CAJ/78/8</w:t>
            </w:r>
          </w:p>
          <w:p w:rsidR="00D539B6" w:rsidRPr="008B5F3A" w:rsidRDefault="001F5905" w:rsidP="001F5905">
            <w:pPr>
              <w:pStyle w:val="Docoriginal"/>
              <w:rPr>
                <w:lang w:val="es-419"/>
              </w:rPr>
            </w:pPr>
            <w:r w:rsidRPr="008B5F3A">
              <w:rPr>
                <w:lang w:val="es-419"/>
              </w:rPr>
              <w:t>Original:</w:t>
            </w:r>
            <w:r w:rsidRPr="008B5F3A">
              <w:rPr>
                <w:b w:val="0"/>
                <w:lang w:val="es-419"/>
              </w:rPr>
              <w:t xml:space="preserve"> Inglés</w:t>
            </w:r>
          </w:p>
          <w:p w:rsidR="00EB4E9C" w:rsidRPr="008B5F3A" w:rsidRDefault="001F5905" w:rsidP="001F5905">
            <w:pPr>
              <w:pStyle w:val="Docoriginal"/>
              <w:rPr>
                <w:lang w:val="es-419"/>
              </w:rPr>
            </w:pPr>
            <w:r w:rsidRPr="008B5F3A">
              <w:rPr>
                <w:lang w:val="es-419"/>
              </w:rPr>
              <w:t>Fecha:</w:t>
            </w:r>
            <w:r w:rsidRPr="008B5F3A">
              <w:rPr>
                <w:b w:val="0"/>
                <w:lang w:val="es-419"/>
              </w:rPr>
              <w:t xml:space="preserve"> 12 de octubre de 2021</w:t>
            </w:r>
          </w:p>
        </w:tc>
      </w:tr>
    </w:tbl>
    <w:p w:rsidR="00D539B6" w:rsidRPr="008B5F3A" w:rsidRDefault="005A7366" w:rsidP="005A7366">
      <w:pPr>
        <w:pStyle w:val="Titleofdoc0"/>
        <w:rPr>
          <w:lang w:val="es-419"/>
        </w:rPr>
      </w:pPr>
      <w:bookmarkStart w:id="0" w:name="TitleOfDoc"/>
      <w:bookmarkEnd w:id="0"/>
      <w:r w:rsidRPr="008B5F3A">
        <w:rPr>
          <w:lang w:val="es-419"/>
        </w:rPr>
        <w:t>INSTRUMENTO DE LA UPOV PARA LA BÚSQUEDA DE DENOMINACIONES SIMILARES</w:t>
      </w:r>
    </w:p>
    <w:p w:rsidR="00D539B6" w:rsidRPr="008B5F3A" w:rsidRDefault="005A7366" w:rsidP="005A7366">
      <w:pPr>
        <w:pStyle w:val="preparedby1"/>
        <w:jc w:val="left"/>
        <w:rPr>
          <w:lang w:val="es-419"/>
        </w:rPr>
      </w:pPr>
      <w:bookmarkStart w:id="1" w:name="Prepared"/>
      <w:bookmarkEnd w:id="1"/>
      <w:r w:rsidRPr="008B5F3A">
        <w:rPr>
          <w:lang w:val="es-419"/>
        </w:rPr>
        <w:t>Documento preparado por la Oficina de la Unión</w:t>
      </w:r>
    </w:p>
    <w:p w:rsidR="00D539B6" w:rsidRPr="008B5F3A" w:rsidRDefault="005A7366" w:rsidP="005A7366">
      <w:pPr>
        <w:pStyle w:val="Disclaimer"/>
        <w:rPr>
          <w:lang w:val="es-419"/>
        </w:rPr>
      </w:pPr>
      <w:r w:rsidRPr="008B5F3A">
        <w:rPr>
          <w:lang w:val="es-419"/>
        </w:rPr>
        <w:t>‏Descargo de responsabilidad: el presente documento no constituye un documento de política u orientación de la UPOV</w:t>
      </w:r>
    </w:p>
    <w:p w:rsidR="00D539B6" w:rsidRPr="008B5F3A" w:rsidRDefault="005A7366" w:rsidP="005A7366">
      <w:pPr>
        <w:keepNext/>
        <w:outlineLvl w:val="0"/>
        <w:rPr>
          <w:rFonts w:eastAsiaTheme="minorEastAsia"/>
          <w:caps/>
          <w:lang w:val="es-419" w:eastAsia="ja-JP"/>
        </w:rPr>
      </w:pPr>
      <w:r w:rsidRPr="008B5F3A">
        <w:rPr>
          <w:rFonts w:eastAsiaTheme="minorEastAsia"/>
          <w:caps/>
          <w:lang w:val="es-419" w:eastAsia="ja-JP"/>
        </w:rPr>
        <w:t>Resumen</w:t>
      </w:r>
    </w:p>
    <w:p w:rsidR="00D539B6" w:rsidRPr="008B5F3A" w:rsidRDefault="00D539B6" w:rsidP="004946D4">
      <w:pPr>
        <w:rPr>
          <w:rFonts w:cs="Arial"/>
          <w:snapToGrid w:val="0"/>
          <w:lang w:val="es-419"/>
        </w:rPr>
      </w:pPr>
    </w:p>
    <w:p w:rsidR="00D539B6" w:rsidRPr="008B5F3A" w:rsidRDefault="004946D4" w:rsidP="005A7366">
      <w:pPr>
        <w:rPr>
          <w:rFonts w:cs="Arial"/>
          <w:snapToGrid w:val="0"/>
          <w:lang w:val="es-419"/>
        </w:rPr>
      </w:pPr>
      <w:r w:rsidRPr="008B5F3A">
        <w:rPr>
          <w:rFonts w:cs="Arial"/>
          <w:snapToGrid w:val="0"/>
          <w:lang w:val="es-419"/>
        </w:rPr>
        <w:fldChar w:fldCharType="begin"/>
      </w:r>
      <w:r w:rsidRPr="008B5F3A">
        <w:rPr>
          <w:rFonts w:cs="Arial"/>
          <w:snapToGrid w:val="0"/>
          <w:lang w:val="es-419"/>
        </w:rPr>
        <w:instrText xml:space="preserve"> AUTONUM  </w:instrText>
      </w:r>
      <w:r w:rsidRPr="008B5F3A">
        <w:rPr>
          <w:rFonts w:cs="Arial"/>
          <w:snapToGrid w:val="0"/>
          <w:lang w:val="es-419"/>
        </w:rPr>
        <w:fldChar w:fldCharType="end"/>
      </w:r>
      <w:r w:rsidRPr="008B5F3A">
        <w:rPr>
          <w:rFonts w:cs="Arial"/>
          <w:snapToGrid w:val="0"/>
          <w:lang w:val="es-419"/>
        </w:rPr>
        <w:tab/>
      </w:r>
      <w:r w:rsidR="005A7366" w:rsidRPr="008B5F3A">
        <w:rPr>
          <w:rFonts w:cs="Arial"/>
          <w:snapToGrid w:val="0"/>
          <w:lang w:val="es-419"/>
        </w:rPr>
        <w:t>El presente documento tiene por finalidad informar acerca de las novedades relativas a la elaboración de un instrumento de la UPOV para la búsqueda de denominaciones similares.</w:t>
      </w:r>
    </w:p>
    <w:p w:rsidR="00D539B6" w:rsidRPr="008B5F3A" w:rsidRDefault="00D539B6" w:rsidP="004946D4">
      <w:pPr>
        <w:rPr>
          <w:rFonts w:cs="Arial"/>
          <w:snapToGrid w:val="0"/>
          <w:lang w:val="es-419"/>
        </w:rPr>
      </w:pPr>
    </w:p>
    <w:p w:rsidR="00D539B6" w:rsidRPr="008B5F3A" w:rsidRDefault="004946D4" w:rsidP="005A7366">
      <w:pPr>
        <w:rPr>
          <w:lang w:val="es-419"/>
        </w:rPr>
      </w:pPr>
      <w:r w:rsidRPr="008B5F3A">
        <w:rPr>
          <w:rFonts w:cs="Arial"/>
          <w:snapToGrid w:val="0"/>
          <w:lang w:val="es-419"/>
        </w:rPr>
        <w:fldChar w:fldCharType="begin"/>
      </w:r>
      <w:r w:rsidRPr="008B5F3A">
        <w:rPr>
          <w:rFonts w:cs="Arial"/>
          <w:snapToGrid w:val="0"/>
          <w:lang w:val="es-419"/>
        </w:rPr>
        <w:instrText xml:space="preserve"> AUTONUM  </w:instrText>
      </w:r>
      <w:r w:rsidRPr="008B5F3A">
        <w:rPr>
          <w:rFonts w:cs="Arial"/>
          <w:snapToGrid w:val="0"/>
          <w:lang w:val="es-419"/>
        </w:rPr>
        <w:fldChar w:fldCharType="end"/>
      </w:r>
      <w:r w:rsidRPr="008B5F3A">
        <w:rPr>
          <w:rFonts w:cs="Arial"/>
          <w:snapToGrid w:val="0"/>
          <w:lang w:val="es-419"/>
        </w:rPr>
        <w:tab/>
      </w:r>
      <w:r w:rsidR="005A7366" w:rsidRPr="008B5F3A">
        <w:rPr>
          <w:rFonts w:cs="Arial"/>
          <w:snapToGrid w:val="0"/>
          <w:lang w:val="es-419"/>
        </w:rPr>
        <w:t>Se invita al CAJ a tomar nota de la última situación en relación con el posible desarrollo de un instrumento de la UPOV para la búsqueda de denominaciones similares.</w:t>
      </w:r>
    </w:p>
    <w:p w:rsidR="00D539B6" w:rsidRPr="008B5F3A" w:rsidRDefault="00D539B6" w:rsidP="00E9290F">
      <w:pPr>
        <w:rPr>
          <w:lang w:val="es-419"/>
        </w:rPr>
      </w:pPr>
    </w:p>
    <w:p w:rsidR="00D539B6" w:rsidRPr="008B5F3A" w:rsidRDefault="00D539B6" w:rsidP="00E9290F">
      <w:pPr>
        <w:rPr>
          <w:lang w:val="es-419"/>
        </w:rPr>
      </w:pPr>
    </w:p>
    <w:p w:rsidR="00D539B6" w:rsidRPr="008B5F3A" w:rsidRDefault="00D539B6" w:rsidP="00E9290F">
      <w:pPr>
        <w:rPr>
          <w:rFonts w:cs="Arial"/>
          <w:sz w:val="19"/>
          <w:szCs w:val="19"/>
          <w:lang w:val="es-419"/>
        </w:rPr>
      </w:pPr>
    </w:p>
    <w:p w:rsidR="00D539B6" w:rsidRPr="008B5F3A" w:rsidRDefault="005A7366" w:rsidP="005A7366">
      <w:pPr>
        <w:pStyle w:val="Heading1"/>
        <w:rPr>
          <w:rFonts w:cs="Arial"/>
          <w:lang w:val="es-419"/>
        </w:rPr>
      </w:pPr>
      <w:r w:rsidRPr="008B5F3A">
        <w:rPr>
          <w:rFonts w:cs="Arial"/>
          <w:lang w:val="es-419"/>
        </w:rPr>
        <w:t>Antecedentes</w:t>
      </w:r>
    </w:p>
    <w:p w:rsidR="00D539B6" w:rsidRPr="008B5F3A" w:rsidRDefault="00D539B6" w:rsidP="004946D4">
      <w:pPr>
        <w:autoSpaceDE w:val="0"/>
        <w:autoSpaceDN w:val="0"/>
        <w:adjustRightInd w:val="0"/>
        <w:jc w:val="left"/>
        <w:rPr>
          <w:rFonts w:cs="Arial"/>
          <w:sz w:val="19"/>
          <w:szCs w:val="19"/>
          <w:lang w:val="es-419"/>
        </w:rPr>
      </w:pPr>
    </w:p>
    <w:p w:rsidR="00D539B6" w:rsidRPr="008B5F3A" w:rsidRDefault="004946D4" w:rsidP="001A0926">
      <w:pPr>
        <w:autoSpaceDE w:val="0"/>
        <w:autoSpaceDN w:val="0"/>
        <w:adjustRightInd w:val="0"/>
        <w:rPr>
          <w:rFonts w:cs="Arial"/>
          <w:lang w:val="es-419"/>
        </w:rPr>
      </w:pPr>
      <w:r w:rsidRPr="008B5F3A">
        <w:rPr>
          <w:rFonts w:cs="Arial"/>
          <w:lang w:val="es-419"/>
        </w:rPr>
        <w:fldChar w:fldCharType="begin"/>
      </w:r>
      <w:r w:rsidRPr="008B5F3A">
        <w:rPr>
          <w:rFonts w:cs="Arial"/>
          <w:lang w:val="es-419"/>
        </w:rPr>
        <w:instrText xml:space="preserve"> AUTONUM  </w:instrText>
      </w:r>
      <w:r w:rsidRPr="008B5F3A">
        <w:rPr>
          <w:rFonts w:cs="Arial"/>
          <w:lang w:val="es-419"/>
        </w:rPr>
        <w:fldChar w:fldCharType="end"/>
      </w:r>
      <w:r w:rsidRPr="008B5F3A">
        <w:rPr>
          <w:rFonts w:cs="Arial"/>
          <w:lang w:val="es-419"/>
        </w:rPr>
        <w:tab/>
      </w:r>
      <w:r w:rsidR="001A0926" w:rsidRPr="008B5F3A">
        <w:rPr>
          <w:rFonts w:cs="Arial"/>
          <w:lang w:val="es-419"/>
        </w:rPr>
        <w:t>En su septuagésima sesión, celebrada en Ginebra el 13 de octubre de 2014, el CAJ tomó nota de que el Grupo de trabajo para la elaboración de un instrumento de la UPOV de búsqueda de denominaciones similares (WG-DST) había acordado que la función de un instrumento de la UPOV de búsqueda de denominaciones similares sería la de identificar aquellas denominaciones que fueran similares a las existentes hasta el punto de que exigieran un examen individual más profundo antes de decidir si la denominación era (lo suficientemente) diferente de las existentes (véase el párrafo 27 del documento CAJ/70/10, “Informe sobre las conclusiones”).</w:t>
      </w:r>
    </w:p>
    <w:p w:rsidR="00D539B6" w:rsidRPr="008B5F3A" w:rsidRDefault="00D539B6" w:rsidP="004946D4">
      <w:pPr>
        <w:autoSpaceDE w:val="0"/>
        <w:autoSpaceDN w:val="0"/>
        <w:adjustRightInd w:val="0"/>
        <w:rPr>
          <w:rFonts w:cs="Arial"/>
          <w:lang w:val="es-419"/>
        </w:rPr>
      </w:pPr>
    </w:p>
    <w:p w:rsidR="00D539B6" w:rsidRPr="008B5F3A" w:rsidRDefault="004946D4" w:rsidP="001A0926">
      <w:pPr>
        <w:autoSpaceDE w:val="0"/>
        <w:autoSpaceDN w:val="0"/>
        <w:adjustRightInd w:val="0"/>
        <w:rPr>
          <w:rFonts w:cs="Arial"/>
          <w:lang w:val="es-419"/>
        </w:rPr>
      </w:pPr>
      <w:r w:rsidRPr="008B5F3A">
        <w:rPr>
          <w:rFonts w:cs="Arial"/>
          <w:lang w:val="es-419"/>
        </w:rPr>
        <w:fldChar w:fldCharType="begin"/>
      </w:r>
      <w:r w:rsidRPr="008B5F3A">
        <w:rPr>
          <w:rFonts w:cs="Arial"/>
          <w:lang w:val="es-419"/>
        </w:rPr>
        <w:instrText xml:space="preserve"> AUTONUM  </w:instrText>
      </w:r>
      <w:r w:rsidRPr="008B5F3A">
        <w:rPr>
          <w:rFonts w:cs="Arial"/>
          <w:lang w:val="es-419"/>
        </w:rPr>
        <w:fldChar w:fldCharType="end"/>
      </w:r>
      <w:r w:rsidRPr="008B5F3A">
        <w:rPr>
          <w:rFonts w:cs="Arial"/>
          <w:lang w:val="es-419"/>
        </w:rPr>
        <w:tab/>
      </w:r>
      <w:r w:rsidR="001A0926" w:rsidRPr="008B5F3A">
        <w:rPr>
          <w:rFonts w:cs="Arial"/>
          <w:lang w:val="es-419"/>
        </w:rPr>
        <w:t>En su quinta reunión, celebrada en Ginebra el 30 de octubre de 2018, el Grupo de trabajo sobre denominaciones de variedades (WG-DEN) convino en que la Oficina de la Unión reanude su labor de estudiar, conjuntamente con la OCVV, posibilidades de mejora del instrumento de la UPOV para la búsqueda de denominaciones similares (véase el párrafo 28 del documento UPOV/WG-DEN/5/3, “</w:t>
      </w:r>
      <w:r w:rsidR="001A0926" w:rsidRPr="008B5F3A">
        <w:rPr>
          <w:rFonts w:cs="Arial"/>
          <w:i/>
          <w:lang w:val="es-419"/>
        </w:rPr>
        <w:t>Report</w:t>
      </w:r>
      <w:r w:rsidR="001A0926" w:rsidRPr="008B5F3A">
        <w:rPr>
          <w:rFonts w:cs="Arial"/>
          <w:lang w:val="es-419"/>
        </w:rPr>
        <w:t>” (Informe)).</w:t>
      </w:r>
    </w:p>
    <w:p w:rsidR="00D539B6" w:rsidRPr="008B5F3A" w:rsidRDefault="00D539B6" w:rsidP="004946D4">
      <w:pPr>
        <w:autoSpaceDE w:val="0"/>
        <w:autoSpaceDN w:val="0"/>
        <w:adjustRightInd w:val="0"/>
        <w:rPr>
          <w:rFonts w:cs="Arial"/>
          <w:lang w:val="es-419"/>
        </w:rPr>
      </w:pPr>
    </w:p>
    <w:p w:rsidR="00D539B6" w:rsidRPr="008B5F3A" w:rsidRDefault="004946D4" w:rsidP="001A0926">
      <w:pPr>
        <w:autoSpaceDE w:val="0"/>
        <w:autoSpaceDN w:val="0"/>
        <w:adjustRightInd w:val="0"/>
        <w:rPr>
          <w:rFonts w:cs="Arial"/>
          <w:lang w:val="es-419"/>
        </w:rPr>
      </w:pPr>
      <w:r w:rsidRPr="008B5F3A">
        <w:rPr>
          <w:rFonts w:cs="Arial"/>
          <w:lang w:val="es-419"/>
        </w:rPr>
        <w:fldChar w:fldCharType="begin"/>
      </w:r>
      <w:r w:rsidRPr="008B5F3A">
        <w:rPr>
          <w:rFonts w:cs="Arial"/>
          <w:lang w:val="es-419"/>
        </w:rPr>
        <w:instrText xml:space="preserve"> AUTONUM  </w:instrText>
      </w:r>
      <w:r w:rsidRPr="008B5F3A">
        <w:rPr>
          <w:rFonts w:cs="Arial"/>
          <w:lang w:val="es-419"/>
        </w:rPr>
        <w:fldChar w:fldCharType="end"/>
      </w:r>
      <w:r w:rsidRPr="008B5F3A">
        <w:rPr>
          <w:rFonts w:cs="Arial"/>
          <w:lang w:val="es-419"/>
        </w:rPr>
        <w:tab/>
      </w:r>
      <w:r w:rsidR="001A0926" w:rsidRPr="008B5F3A">
        <w:rPr>
          <w:rFonts w:cs="Arial"/>
          <w:lang w:val="es-419"/>
        </w:rPr>
        <w:t>El algoritmo de la OCVV es un algoritmo de reglas que ha obtenido resultados eficientes.</w:t>
      </w:r>
      <w:r w:rsidRPr="008B5F3A">
        <w:rPr>
          <w:rFonts w:cs="Arial"/>
          <w:lang w:val="es-419"/>
        </w:rPr>
        <w:t xml:space="preserve"> </w:t>
      </w:r>
      <w:r w:rsidR="001A0926" w:rsidRPr="008B5F3A">
        <w:rPr>
          <w:rFonts w:cs="Arial"/>
          <w:lang w:val="es-419"/>
        </w:rPr>
        <w:t>No obstante, la OCVV ha comunicado a la Oficina de la Unión que tal vez sea posible mejorar los resultados del algoritmo.</w:t>
      </w:r>
    </w:p>
    <w:p w:rsidR="00D539B6" w:rsidRPr="008B5F3A" w:rsidRDefault="00D539B6" w:rsidP="004946D4">
      <w:pPr>
        <w:autoSpaceDE w:val="0"/>
        <w:autoSpaceDN w:val="0"/>
        <w:adjustRightInd w:val="0"/>
        <w:rPr>
          <w:rFonts w:cs="Arial"/>
          <w:lang w:val="es-419"/>
        </w:rPr>
      </w:pPr>
    </w:p>
    <w:p w:rsidR="00D539B6" w:rsidRPr="005A6941" w:rsidRDefault="004946D4" w:rsidP="001A0926">
      <w:pPr>
        <w:autoSpaceDE w:val="0"/>
        <w:autoSpaceDN w:val="0"/>
        <w:adjustRightInd w:val="0"/>
        <w:rPr>
          <w:rFonts w:cs="Arial"/>
          <w:spacing w:val="-2"/>
          <w:lang w:val="es-419"/>
        </w:rPr>
      </w:pPr>
      <w:r w:rsidRPr="005A6941">
        <w:rPr>
          <w:rFonts w:cs="Arial"/>
          <w:spacing w:val="-2"/>
          <w:lang w:val="es-419"/>
        </w:rPr>
        <w:fldChar w:fldCharType="begin"/>
      </w:r>
      <w:r w:rsidRPr="005A6941">
        <w:rPr>
          <w:rFonts w:cs="Arial"/>
          <w:spacing w:val="-2"/>
          <w:lang w:val="es-419"/>
        </w:rPr>
        <w:instrText xml:space="preserve"> AUTONUM  </w:instrText>
      </w:r>
      <w:r w:rsidRPr="005A6941">
        <w:rPr>
          <w:rFonts w:cs="Arial"/>
          <w:spacing w:val="-2"/>
          <w:lang w:val="es-419"/>
        </w:rPr>
        <w:fldChar w:fldCharType="end"/>
      </w:r>
      <w:r w:rsidRPr="005A6941">
        <w:rPr>
          <w:rFonts w:cs="Arial"/>
          <w:spacing w:val="-2"/>
          <w:lang w:val="es-419"/>
        </w:rPr>
        <w:tab/>
      </w:r>
      <w:r w:rsidR="001A0926" w:rsidRPr="005A6941">
        <w:rPr>
          <w:rFonts w:cs="Arial"/>
          <w:spacing w:val="-2"/>
          <w:lang w:val="es-419"/>
        </w:rPr>
        <w:t>La Oficina de la Unión ha consultado a los expertos en aprendizaje automático de la OMPI con objeto de estudiar si podrían emplearse técnicas de aprendizaje automático en combinación con el algoritmo de la OCVV a fin de optimizar la eficiencia del instrumento de la UPOV para la búsqueda de denominaciones similares.</w:t>
      </w:r>
    </w:p>
    <w:p w:rsidR="00D539B6" w:rsidRPr="008B5F3A" w:rsidRDefault="00D539B6" w:rsidP="004946D4">
      <w:pPr>
        <w:autoSpaceDE w:val="0"/>
        <w:autoSpaceDN w:val="0"/>
        <w:adjustRightInd w:val="0"/>
        <w:jc w:val="left"/>
        <w:rPr>
          <w:rFonts w:cs="Arial"/>
          <w:lang w:val="es-419"/>
        </w:rPr>
      </w:pPr>
    </w:p>
    <w:p w:rsidR="00D539B6" w:rsidRPr="008B5F3A" w:rsidRDefault="004946D4" w:rsidP="001A0926">
      <w:pPr>
        <w:autoSpaceDE w:val="0"/>
        <w:autoSpaceDN w:val="0"/>
        <w:adjustRightInd w:val="0"/>
        <w:jc w:val="left"/>
        <w:rPr>
          <w:rFonts w:cs="Arial"/>
          <w:lang w:val="es-419"/>
        </w:rPr>
      </w:pPr>
      <w:r w:rsidRPr="008B5F3A">
        <w:rPr>
          <w:rFonts w:cs="Arial"/>
          <w:lang w:val="es-419"/>
        </w:rPr>
        <w:fldChar w:fldCharType="begin"/>
      </w:r>
      <w:r w:rsidRPr="008B5F3A">
        <w:rPr>
          <w:rFonts w:cs="Arial"/>
          <w:lang w:val="es-419"/>
        </w:rPr>
        <w:instrText xml:space="preserve"> AUTONUM  </w:instrText>
      </w:r>
      <w:r w:rsidRPr="008B5F3A">
        <w:rPr>
          <w:rFonts w:cs="Arial"/>
          <w:lang w:val="es-419"/>
        </w:rPr>
        <w:fldChar w:fldCharType="end"/>
      </w:r>
      <w:r w:rsidRPr="008B5F3A">
        <w:rPr>
          <w:rFonts w:cs="Arial"/>
          <w:lang w:val="es-419"/>
        </w:rPr>
        <w:tab/>
      </w:r>
      <w:r w:rsidR="001A0926" w:rsidRPr="008B5F3A">
        <w:rPr>
          <w:rFonts w:cs="Arial"/>
          <w:lang w:val="es-419"/>
        </w:rPr>
        <w:t>El uso de técnicas de aprendizaje automático requiere lo siguiente:</w:t>
      </w:r>
    </w:p>
    <w:p w:rsidR="00D539B6" w:rsidRPr="008B5F3A" w:rsidRDefault="00D539B6" w:rsidP="004946D4">
      <w:pPr>
        <w:autoSpaceDE w:val="0"/>
        <w:autoSpaceDN w:val="0"/>
        <w:adjustRightInd w:val="0"/>
        <w:jc w:val="left"/>
        <w:rPr>
          <w:rFonts w:cs="Arial"/>
          <w:lang w:val="es-419"/>
        </w:rPr>
      </w:pPr>
    </w:p>
    <w:p w:rsidR="00D539B6" w:rsidRPr="008B5F3A" w:rsidRDefault="001A0926" w:rsidP="001A0926">
      <w:pPr>
        <w:pStyle w:val="ListParagraph"/>
        <w:numPr>
          <w:ilvl w:val="0"/>
          <w:numId w:val="1"/>
        </w:numPr>
        <w:autoSpaceDE w:val="0"/>
        <w:autoSpaceDN w:val="0"/>
        <w:adjustRightInd w:val="0"/>
        <w:jc w:val="left"/>
        <w:rPr>
          <w:rFonts w:cs="Arial"/>
          <w:lang w:val="es-419"/>
        </w:rPr>
      </w:pPr>
      <w:r w:rsidRPr="008B5F3A">
        <w:rPr>
          <w:rFonts w:cs="Arial"/>
          <w:lang w:val="es-419"/>
        </w:rPr>
        <w:t>un gran número de casos reales en los que se haya rechazado la denominación.</w:t>
      </w:r>
      <w:r w:rsidR="004946D4" w:rsidRPr="008B5F3A">
        <w:rPr>
          <w:rFonts w:cs="Arial"/>
          <w:lang w:val="es-419"/>
        </w:rPr>
        <w:t xml:space="preserve"> </w:t>
      </w:r>
      <w:r w:rsidRPr="008B5F3A">
        <w:rPr>
          <w:rFonts w:cs="Arial"/>
          <w:lang w:val="es-419"/>
        </w:rPr>
        <w:t>Se pueden utilizar los datos de la base PLUTO, pero no son suficientes;</w:t>
      </w:r>
    </w:p>
    <w:p w:rsidR="00D539B6" w:rsidRPr="008B5F3A" w:rsidRDefault="001A0926" w:rsidP="001A0926">
      <w:pPr>
        <w:pStyle w:val="ListParagraph"/>
        <w:numPr>
          <w:ilvl w:val="0"/>
          <w:numId w:val="1"/>
        </w:numPr>
        <w:autoSpaceDE w:val="0"/>
        <w:autoSpaceDN w:val="0"/>
        <w:adjustRightInd w:val="0"/>
        <w:jc w:val="left"/>
        <w:rPr>
          <w:rFonts w:cs="Arial"/>
          <w:lang w:val="es-419"/>
        </w:rPr>
      </w:pPr>
      <w:r w:rsidRPr="008B5F3A">
        <w:rPr>
          <w:rFonts w:cs="Arial"/>
          <w:lang w:val="es-419"/>
        </w:rPr>
        <w:t>los motivos aducidos para rechazar una denominación deben estructurarse en forma de casillas;</w:t>
      </w:r>
    </w:p>
    <w:p w:rsidR="00D539B6" w:rsidRPr="008B5F3A" w:rsidRDefault="001A0926" w:rsidP="001A0926">
      <w:pPr>
        <w:pStyle w:val="ListParagraph"/>
        <w:numPr>
          <w:ilvl w:val="0"/>
          <w:numId w:val="1"/>
        </w:numPr>
        <w:autoSpaceDE w:val="0"/>
        <w:autoSpaceDN w:val="0"/>
        <w:adjustRightInd w:val="0"/>
        <w:jc w:val="left"/>
        <w:rPr>
          <w:rFonts w:cs="Arial"/>
          <w:lang w:val="es-419"/>
        </w:rPr>
      </w:pPr>
      <w:r w:rsidRPr="008B5F3A">
        <w:rPr>
          <w:rFonts w:cs="Arial"/>
          <w:lang w:val="es-419"/>
        </w:rPr>
        <w:t>es necesario definir con claridad el problema que se ha de resolver.</w:t>
      </w:r>
      <w:r w:rsidR="00105A0A" w:rsidRPr="008B5F3A">
        <w:rPr>
          <w:rFonts w:cs="Arial"/>
          <w:lang w:val="es-419"/>
        </w:rPr>
        <w:t xml:space="preserve"> </w:t>
      </w:r>
    </w:p>
    <w:p w:rsidR="00D539B6" w:rsidRPr="008B5F3A" w:rsidRDefault="00D539B6" w:rsidP="002F217F">
      <w:pPr>
        <w:pStyle w:val="ListParagraph"/>
        <w:autoSpaceDE w:val="0"/>
        <w:autoSpaceDN w:val="0"/>
        <w:adjustRightInd w:val="0"/>
        <w:jc w:val="left"/>
        <w:rPr>
          <w:rFonts w:cs="Arial"/>
          <w:lang w:val="es-419"/>
        </w:rPr>
      </w:pPr>
    </w:p>
    <w:p w:rsidR="00D539B6" w:rsidRPr="008B5F3A" w:rsidRDefault="004946D4" w:rsidP="001A0926">
      <w:pPr>
        <w:keepNext/>
        <w:keepLines/>
        <w:autoSpaceDE w:val="0"/>
        <w:autoSpaceDN w:val="0"/>
        <w:adjustRightInd w:val="0"/>
        <w:rPr>
          <w:rFonts w:cs="Arial"/>
          <w:lang w:val="es-419"/>
        </w:rPr>
      </w:pPr>
      <w:r w:rsidRPr="008B5F3A">
        <w:rPr>
          <w:rFonts w:cs="Arial"/>
          <w:lang w:val="es-419"/>
        </w:rPr>
        <w:fldChar w:fldCharType="begin"/>
      </w:r>
      <w:r w:rsidRPr="008B5F3A">
        <w:rPr>
          <w:rFonts w:cs="Arial"/>
          <w:lang w:val="es-419"/>
        </w:rPr>
        <w:instrText xml:space="preserve"> AUTONUM  </w:instrText>
      </w:r>
      <w:r w:rsidRPr="008B5F3A">
        <w:rPr>
          <w:rFonts w:cs="Arial"/>
          <w:lang w:val="es-419"/>
        </w:rPr>
        <w:fldChar w:fldCharType="end"/>
      </w:r>
      <w:r w:rsidRPr="008B5F3A">
        <w:rPr>
          <w:rFonts w:cs="Arial"/>
          <w:lang w:val="es-419"/>
        </w:rPr>
        <w:tab/>
      </w:r>
      <w:r w:rsidR="001A0926" w:rsidRPr="008B5F3A">
        <w:rPr>
          <w:rFonts w:cs="Arial"/>
          <w:lang w:val="es-419"/>
        </w:rPr>
        <w:t>La OCVV convino en aportar información sobre denominaciones rechazadas y los motivos aducidos para rechazarlas, en un formato estructurado, con el fin de potenciar el proceso de aprendizaje automático.</w:t>
      </w:r>
      <w:r w:rsidRPr="008B5F3A">
        <w:rPr>
          <w:rFonts w:cs="Arial"/>
          <w:lang w:val="es-419"/>
        </w:rPr>
        <w:t xml:space="preserve"> </w:t>
      </w:r>
    </w:p>
    <w:p w:rsidR="00D539B6" w:rsidRPr="008B5F3A" w:rsidRDefault="00D539B6" w:rsidP="004946D4">
      <w:pPr>
        <w:autoSpaceDE w:val="0"/>
        <w:autoSpaceDN w:val="0"/>
        <w:adjustRightInd w:val="0"/>
        <w:rPr>
          <w:rFonts w:cs="Arial"/>
          <w:lang w:val="es-419"/>
        </w:rPr>
      </w:pPr>
    </w:p>
    <w:p w:rsidR="00D539B6" w:rsidRPr="008B5F3A" w:rsidRDefault="004946D4" w:rsidP="006A2040">
      <w:pPr>
        <w:pStyle w:val="Default"/>
        <w:keepLines/>
        <w:jc w:val="both"/>
        <w:rPr>
          <w:color w:val="auto"/>
          <w:sz w:val="20"/>
          <w:szCs w:val="20"/>
          <w:lang w:val="es-419"/>
        </w:rPr>
      </w:pPr>
      <w:r w:rsidRPr="008B5F3A">
        <w:rPr>
          <w:color w:val="auto"/>
          <w:sz w:val="20"/>
          <w:szCs w:val="20"/>
          <w:lang w:val="es-419"/>
        </w:rPr>
        <w:lastRenderedPageBreak/>
        <w:fldChar w:fldCharType="begin"/>
      </w:r>
      <w:r w:rsidRPr="008B5F3A">
        <w:rPr>
          <w:color w:val="auto"/>
          <w:sz w:val="20"/>
          <w:szCs w:val="20"/>
          <w:lang w:val="es-419"/>
        </w:rPr>
        <w:instrText xml:space="preserve"> AUTONUM  </w:instrText>
      </w:r>
      <w:r w:rsidRPr="008B5F3A">
        <w:rPr>
          <w:color w:val="auto"/>
          <w:sz w:val="20"/>
          <w:szCs w:val="20"/>
          <w:lang w:val="es-419"/>
        </w:rPr>
        <w:fldChar w:fldCharType="end"/>
      </w:r>
      <w:r w:rsidRPr="008B5F3A">
        <w:rPr>
          <w:color w:val="auto"/>
          <w:sz w:val="20"/>
          <w:szCs w:val="20"/>
          <w:lang w:val="es-419"/>
        </w:rPr>
        <w:tab/>
      </w:r>
      <w:r w:rsidR="001A0926" w:rsidRPr="008B5F3A">
        <w:rPr>
          <w:color w:val="auto"/>
          <w:sz w:val="20"/>
          <w:szCs w:val="20"/>
          <w:lang w:val="es-419"/>
        </w:rPr>
        <w:t>En su sexta reunión, celebrada en Ginebra el 29 de octubre de 2019, el WG-DEN examinó el documento WG-DEN/6/3, “</w:t>
      </w:r>
      <w:r w:rsidR="001A0926" w:rsidRPr="008B5F3A">
        <w:rPr>
          <w:i/>
          <w:color w:val="auto"/>
          <w:sz w:val="20"/>
          <w:szCs w:val="20"/>
          <w:lang w:val="es-419"/>
        </w:rPr>
        <w:t>UPOV denomination similarity search tool</w:t>
      </w:r>
      <w:r w:rsidR="001A0926" w:rsidRPr="008B5F3A">
        <w:rPr>
          <w:color w:val="auto"/>
          <w:sz w:val="20"/>
          <w:szCs w:val="20"/>
          <w:lang w:val="es-419"/>
        </w:rPr>
        <w:t>” (Instrumento de la UPOV para la búsqueda de denominaciones similares) y asistió a una ponencia, a cargo de la Oficina de la Unión, sobre las novedades que se han producido en relación con el instrumento de la UPOV para la búsqueda de denominaciones similares.</w:t>
      </w:r>
      <w:r w:rsidRPr="008B5F3A">
        <w:rPr>
          <w:color w:val="auto"/>
          <w:sz w:val="20"/>
          <w:szCs w:val="20"/>
          <w:lang w:val="es-419"/>
        </w:rPr>
        <w:t xml:space="preserve"> </w:t>
      </w:r>
    </w:p>
    <w:p w:rsidR="00D539B6" w:rsidRPr="008B5F3A" w:rsidRDefault="004946D4" w:rsidP="001A0926">
      <w:pPr>
        <w:pStyle w:val="Default"/>
        <w:keepLines/>
        <w:spacing w:before="120"/>
        <w:jc w:val="both"/>
        <w:rPr>
          <w:color w:val="auto"/>
          <w:sz w:val="20"/>
          <w:szCs w:val="20"/>
          <w:lang w:val="es-419"/>
        </w:rPr>
      </w:pPr>
      <w:r w:rsidRPr="008B5F3A">
        <w:rPr>
          <w:color w:val="auto"/>
          <w:sz w:val="20"/>
          <w:szCs w:val="20"/>
          <w:lang w:val="es-419"/>
        </w:rPr>
        <w:fldChar w:fldCharType="begin"/>
      </w:r>
      <w:r w:rsidRPr="008B5F3A">
        <w:rPr>
          <w:color w:val="auto"/>
          <w:sz w:val="20"/>
          <w:szCs w:val="20"/>
          <w:lang w:val="es-419"/>
        </w:rPr>
        <w:instrText xml:space="preserve"> AUTONUM  </w:instrText>
      </w:r>
      <w:r w:rsidRPr="008B5F3A">
        <w:rPr>
          <w:color w:val="auto"/>
          <w:sz w:val="20"/>
          <w:szCs w:val="20"/>
          <w:lang w:val="es-419"/>
        </w:rPr>
        <w:fldChar w:fldCharType="end"/>
      </w:r>
      <w:r w:rsidRPr="008B5F3A">
        <w:rPr>
          <w:color w:val="auto"/>
          <w:sz w:val="20"/>
          <w:szCs w:val="20"/>
          <w:lang w:val="es-419"/>
        </w:rPr>
        <w:tab/>
      </w:r>
      <w:r w:rsidR="001A0926" w:rsidRPr="008B5F3A">
        <w:rPr>
          <w:color w:val="auto"/>
          <w:sz w:val="20"/>
          <w:szCs w:val="20"/>
          <w:lang w:val="es-419"/>
        </w:rPr>
        <w:t>El WG-DEN tomó nota de los planes de elaboración de un instrumento de la UPOV para la búsqueda de denominaciones similares y convino en que las novedades que se produzcan sobre esta cuestión han de notificarse al CAJ, para su examen en coincidencia con las deliberaciones sobre el proyecto de documento UPOV/EXN/DEN, con miras a la posible inclusión de una referencia a dicho instrumento (véanse los párrafos 6 y 7 del documento UPOV/WG-DEN/6/5, “</w:t>
      </w:r>
      <w:r w:rsidR="001A0926" w:rsidRPr="008B5F3A">
        <w:rPr>
          <w:i/>
          <w:color w:val="auto"/>
          <w:sz w:val="20"/>
          <w:szCs w:val="20"/>
          <w:lang w:val="es-419"/>
        </w:rPr>
        <w:t>Report</w:t>
      </w:r>
      <w:r w:rsidR="006A2040">
        <w:rPr>
          <w:color w:val="auto"/>
          <w:sz w:val="20"/>
          <w:szCs w:val="20"/>
          <w:lang w:val="es-419"/>
        </w:rPr>
        <w:t xml:space="preserve">” </w:t>
      </w:r>
      <w:r w:rsidR="006A2040" w:rsidRPr="006A2040">
        <w:rPr>
          <w:color w:val="auto"/>
          <w:sz w:val="20"/>
          <w:szCs w:val="20"/>
          <w:lang w:val="es-419"/>
        </w:rPr>
        <w:t>(Informe)).</w:t>
      </w:r>
    </w:p>
    <w:p w:rsidR="00D539B6" w:rsidRPr="008B5F3A" w:rsidRDefault="00D539B6" w:rsidP="004946D4">
      <w:pPr>
        <w:autoSpaceDE w:val="0"/>
        <w:autoSpaceDN w:val="0"/>
        <w:adjustRightInd w:val="0"/>
        <w:rPr>
          <w:rFonts w:cs="Arial"/>
          <w:lang w:val="es-419"/>
        </w:rPr>
      </w:pPr>
    </w:p>
    <w:p w:rsidR="00D539B6" w:rsidRPr="008B5F3A" w:rsidRDefault="004946D4" w:rsidP="001A0926">
      <w:pPr>
        <w:pStyle w:val="Default"/>
        <w:jc w:val="both"/>
        <w:rPr>
          <w:sz w:val="20"/>
          <w:szCs w:val="20"/>
          <w:lang w:val="es-419"/>
        </w:rPr>
      </w:pPr>
      <w:r w:rsidRPr="008B5F3A">
        <w:rPr>
          <w:sz w:val="20"/>
          <w:szCs w:val="20"/>
          <w:lang w:val="es-419"/>
        </w:rPr>
        <w:fldChar w:fldCharType="begin"/>
      </w:r>
      <w:r w:rsidRPr="008B5F3A">
        <w:rPr>
          <w:sz w:val="20"/>
          <w:szCs w:val="20"/>
          <w:lang w:val="es-419"/>
        </w:rPr>
        <w:instrText xml:space="preserve"> AUTONUM  </w:instrText>
      </w:r>
      <w:r w:rsidRPr="008B5F3A">
        <w:rPr>
          <w:sz w:val="20"/>
          <w:szCs w:val="20"/>
          <w:lang w:val="es-419"/>
        </w:rPr>
        <w:fldChar w:fldCharType="end"/>
      </w:r>
      <w:r w:rsidRPr="008B5F3A">
        <w:rPr>
          <w:sz w:val="20"/>
          <w:szCs w:val="20"/>
          <w:lang w:val="es-419"/>
        </w:rPr>
        <w:tab/>
      </w:r>
      <w:r w:rsidR="001A0926" w:rsidRPr="008B5F3A">
        <w:rPr>
          <w:sz w:val="20"/>
          <w:szCs w:val="20"/>
          <w:lang w:val="es-419"/>
        </w:rPr>
        <w:t>En su septuagésima sexta sesión, celebrada en Ginebra el 30 de octubre de 2019, el CAJ tomó nota de las novedades expuestas en el documento CAJ/76/6 Add. en relación con la posible elaboración de un instrumento de la UPOV para la búsqueda de denominaciones similares (véase el párrafo 40 del documento CAJ/76/9, “Informe”).</w:t>
      </w:r>
    </w:p>
    <w:p w:rsidR="00D539B6" w:rsidRPr="008B5F3A" w:rsidRDefault="00D539B6" w:rsidP="004946D4">
      <w:pPr>
        <w:pStyle w:val="Default"/>
        <w:jc w:val="both"/>
        <w:rPr>
          <w:sz w:val="20"/>
          <w:szCs w:val="20"/>
          <w:lang w:val="es-419"/>
        </w:rPr>
      </w:pPr>
    </w:p>
    <w:p w:rsidR="00D539B6" w:rsidRPr="008B5F3A" w:rsidRDefault="000E791B" w:rsidP="001A0926">
      <w:pPr>
        <w:rPr>
          <w:rFonts w:cs="Arial"/>
          <w:lang w:val="es-419"/>
        </w:rPr>
      </w:pPr>
      <w:r w:rsidRPr="008B5F3A">
        <w:rPr>
          <w:rFonts w:cs="Arial"/>
          <w:lang w:val="es-419"/>
        </w:rPr>
        <w:fldChar w:fldCharType="begin"/>
      </w:r>
      <w:r w:rsidRPr="008B5F3A">
        <w:rPr>
          <w:rFonts w:cs="Arial"/>
          <w:lang w:val="es-419"/>
        </w:rPr>
        <w:instrText xml:space="preserve"> AUTONUM  </w:instrText>
      </w:r>
      <w:r w:rsidRPr="008B5F3A">
        <w:rPr>
          <w:rFonts w:cs="Arial"/>
          <w:lang w:val="es-419"/>
        </w:rPr>
        <w:fldChar w:fldCharType="end"/>
      </w:r>
      <w:r w:rsidRPr="008B5F3A">
        <w:rPr>
          <w:rFonts w:cs="Arial"/>
          <w:lang w:val="es-419"/>
        </w:rPr>
        <w:tab/>
      </w:r>
      <w:r w:rsidR="001A0926" w:rsidRPr="008B5F3A">
        <w:rPr>
          <w:rFonts w:cs="Arial"/>
          <w:lang w:val="es-419"/>
        </w:rPr>
        <w:t xml:space="preserve">El CAJ, en su septuagésima séptima sesión, celebrada en Ginebra el 28 de octubre de 2020, examinó el documento CAJ/77/7 (véase el documento CAJ/77/7, </w:t>
      </w:r>
      <w:r w:rsidR="00D659B1" w:rsidRPr="008B5F3A">
        <w:rPr>
          <w:rFonts w:cs="Arial"/>
          <w:lang w:val="es-419"/>
        </w:rPr>
        <w:t>“</w:t>
      </w:r>
      <w:r w:rsidR="001A0926" w:rsidRPr="008B5F3A">
        <w:rPr>
          <w:rFonts w:cs="Arial"/>
          <w:lang w:val="es-419"/>
        </w:rPr>
        <w:t>Instrumento de la UPOV para la búsqueda de denominaciones similares</w:t>
      </w:r>
      <w:r w:rsidR="00D659B1" w:rsidRPr="008B5F3A">
        <w:rPr>
          <w:rFonts w:cs="Arial"/>
          <w:lang w:val="es-419"/>
        </w:rPr>
        <w:t>”</w:t>
      </w:r>
      <w:r w:rsidR="001A0926" w:rsidRPr="008B5F3A">
        <w:rPr>
          <w:rFonts w:cs="Arial"/>
          <w:lang w:val="es-419"/>
        </w:rPr>
        <w:t xml:space="preserve">, párrafos 12 a 17, el documento CAJ/77/9, párrafos 51 a 55, y el documento CAJ/77/10, </w:t>
      </w:r>
      <w:r w:rsidR="00D659B1" w:rsidRPr="008B5F3A">
        <w:rPr>
          <w:rFonts w:cs="Arial"/>
          <w:lang w:val="es-419"/>
        </w:rPr>
        <w:t>“</w:t>
      </w:r>
      <w:r w:rsidR="001A0926" w:rsidRPr="008B5F3A">
        <w:rPr>
          <w:rFonts w:cs="Arial"/>
          <w:lang w:val="es-419"/>
        </w:rPr>
        <w:t>Informe</w:t>
      </w:r>
      <w:r w:rsidR="00D659B1" w:rsidRPr="008B5F3A">
        <w:rPr>
          <w:rFonts w:cs="Arial"/>
          <w:lang w:val="es-419"/>
        </w:rPr>
        <w:t>”</w:t>
      </w:r>
      <w:r w:rsidR="001A0926" w:rsidRPr="008B5F3A">
        <w:rPr>
          <w:rFonts w:cs="Arial"/>
          <w:lang w:val="es-419"/>
        </w:rPr>
        <w:t>, párrafo 44).</w:t>
      </w:r>
      <w:r w:rsidRPr="008B5F3A">
        <w:rPr>
          <w:lang w:val="es-419"/>
        </w:rPr>
        <w:t xml:space="preserve"> </w:t>
      </w:r>
    </w:p>
    <w:p w:rsidR="00D539B6" w:rsidRPr="008B5F3A" w:rsidRDefault="00D539B6" w:rsidP="00727789">
      <w:pPr>
        <w:rPr>
          <w:rFonts w:cs="Arial"/>
          <w:lang w:val="es-419"/>
        </w:rPr>
      </w:pPr>
    </w:p>
    <w:p w:rsidR="00D539B6" w:rsidRPr="008B5F3A" w:rsidRDefault="00727789" w:rsidP="00BA3F8D">
      <w:pPr>
        <w:rPr>
          <w:rFonts w:cs="Arial"/>
          <w:lang w:val="es-419"/>
        </w:rPr>
      </w:pPr>
      <w:r w:rsidRPr="008B5F3A">
        <w:rPr>
          <w:rFonts w:cs="Arial"/>
          <w:lang w:val="es-419"/>
        </w:rPr>
        <w:fldChar w:fldCharType="begin"/>
      </w:r>
      <w:r w:rsidRPr="008B5F3A">
        <w:rPr>
          <w:rFonts w:cs="Arial"/>
          <w:lang w:val="es-419"/>
        </w:rPr>
        <w:instrText xml:space="preserve"> AUTONUM  </w:instrText>
      </w:r>
      <w:r w:rsidRPr="008B5F3A">
        <w:rPr>
          <w:rFonts w:cs="Arial"/>
          <w:lang w:val="es-419"/>
        </w:rPr>
        <w:fldChar w:fldCharType="end"/>
      </w:r>
      <w:r w:rsidRPr="008B5F3A">
        <w:rPr>
          <w:rFonts w:cs="Arial"/>
          <w:lang w:val="es-419"/>
        </w:rPr>
        <w:tab/>
      </w:r>
      <w:r w:rsidR="00BA3F8D" w:rsidRPr="008B5F3A">
        <w:rPr>
          <w:rFonts w:cs="Arial"/>
          <w:lang w:val="es-419"/>
        </w:rPr>
        <w:t>El CAJ, en su septuagésima séptima sesión, celebrada en Ginebra el 28 de octubre de 2020, tomó nota de que en un taller organizado por la OCVV y la Oficina de la Unión, que tuvo lugar el 21 de noviembre de 2019, se llegó a la conclusión de que el algoritmo de similitud de la OCVV funciona de forma satisfactoria y que, por el momento, intentar mejorar el algoritmo a efectos de comprobar la similitud entre denominaciones de variedades no constituiría un uso adecuado de los recursos.</w:t>
      </w:r>
      <w:r w:rsidR="00105A0A" w:rsidRPr="008B5F3A">
        <w:rPr>
          <w:rFonts w:cs="Arial"/>
          <w:lang w:val="es-419"/>
        </w:rPr>
        <w:t xml:space="preserve"> </w:t>
      </w:r>
      <w:r w:rsidR="00BA3F8D" w:rsidRPr="008B5F3A">
        <w:rPr>
          <w:rFonts w:cs="Arial"/>
          <w:lang w:val="es-419"/>
        </w:rPr>
        <w:t xml:space="preserve">No obstante, se acordó que sería útil explorar las posibilidades de que el instrumento para la búsqueda de denominaciones similares tenga en cuenta aspectos distintos de la similitud, en particular en lo que respecta a la comprobación de las características de la variedad (véase el documento CAJ/77/7, </w:t>
      </w:r>
      <w:r w:rsidR="00D659B1" w:rsidRPr="008B5F3A">
        <w:rPr>
          <w:rFonts w:cs="Arial"/>
          <w:lang w:val="es-419"/>
        </w:rPr>
        <w:t>“</w:t>
      </w:r>
      <w:r w:rsidR="00BA3F8D" w:rsidRPr="008B5F3A">
        <w:rPr>
          <w:rFonts w:cs="Arial"/>
          <w:lang w:val="es-419"/>
        </w:rPr>
        <w:t>Instrumento de la UPOV para la búsqueda de denominaciones similares</w:t>
      </w:r>
      <w:r w:rsidR="00D659B1" w:rsidRPr="008B5F3A">
        <w:rPr>
          <w:rFonts w:cs="Arial"/>
          <w:lang w:val="es-419"/>
        </w:rPr>
        <w:t>”</w:t>
      </w:r>
      <w:r w:rsidR="00BA3F8D" w:rsidRPr="008B5F3A">
        <w:rPr>
          <w:rFonts w:cs="Arial"/>
          <w:lang w:val="es-419"/>
        </w:rPr>
        <w:t>, párrafo 12).</w:t>
      </w:r>
    </w:p>
    <w:p w:rsidR="00D539B6" w:rsidRPr="008B5F3A" w:rsidRDefault="00D539B6" w:rsidP="00060AAC">
      <w:pPr>
        <w:rPr>
          <w:rFonts w:cs="Arial"/>
          <w:lang w:val="es-419"/>
        </w:rPr>
      </w:pPr>
    </w:p>
    <w:p w:rsidR="00D539B6" w:rsidRPr="008B5F3A" w:rsidRDefault="00060AAC" w:rsidP="00BA3F8D">
      <w:pPr>
        <w:rPr>
          <w:rFonts w:cs="Arial"/>
          <w:lang w:val="es-419"/>
        </w:rPr>
      </w:pPr>
      <w:r w:rsidRPr="008B5F3A">
        <w:rPr>
          <w:rFonts w:cs="Arial"/>
          <w:lang w:val="es-419"/>
        </w:rPr>
        <w:fldChar w:fldCharType="begin"/>
      </w:r>
      <w:r w:rsidRPr="008B5F3A">
        <w:rPr>
          <w:rFonts w:cs="Arial"/>
          <w:lang w:val="es-419"/>
        </w:rPr>
        <w:instrText xml:space="preserve"> AUTONUM  </w:instrText>
      </w:r>
      <w:r w:rsidRPr="008B5F3A">
        <w:rPr>
          <w:rFonts w:cs="Arial"/>
          <w:lang w:val="es-419"/>
        </w:rPr>
        <w:fldChar w:fldCharType="end"/>
      </w:r>
      <w:r w:rsidRPr="008B5F3A">
        <w:rPr>
          <w:rFonts w:cs="Arial"/>
          <w:lang w:val="es-419"/>
        </w:rPr>
        <w:tab/>
      </w:r>
      <w:r w:rsidR="00BA3F8D" w:rsidRPr="008B5F3A">
        <w:rPr>
          <w:rFonts w:cs="Arial"/>
          <w:lang w:val="es-419"/>
        </w:rPr>
        <w:t>El CAJ, en su septuagésima séptima sesión, también señaló lo siguiente:</w:t>
      </w:r>
      <w:r w:rsidR="00060DF9" w:rsidRPr="008B5F3A">
        <w:rPr>
          <w:rFonts w:cs="Arial"/>
          <w:lang w:val="es-419"/>
        </w:rPr>
        <w:t xml:space="preserve"> </w:t>
      </w:r>
    </w:p>
    <w:p w:rsidR="00D539B6" w:rsidRPr="008B5F3A" w:rsidRDefault="00D539B6" w:rsidP="00B14CBC">
      <w:pPr>
        <w:ind w:left="567" w:right="562"/>
        <w:rPr>
          <w:rFonts w:cs="Arial"/>
          <w:lang w:val="es-419"/>
        </w:rPr>
      </w:pPr>
    </w:p>
    <w:p w:rsidR="00D539B6" w:rsidRPr="008B5F3A" w:rsidRDefault="006A2040" w:rsidP="00A01804">
      <w:pPr>
        <w:rPr>
          <w:rFonts w:cs="Arial"/>
          <w:lang w:val="es-419"/>
        </w:rPr>
      </w:pPr>
      <w:r>
        <w:rPr>
          <w:rFonts w:cs="Arial"/>
          <w:lang w:val="es-419"/>
        </w:rPr>
        <w:t>“[e]</w:t>
      </w:r>
      <w:r w:rsidR="00A01804" w:rsidRPr="008B5F3A">
        <w:rPr>
          <w:rFonts w:cs="Arial"/>
          <w:lang w:val="es-419"/>
        </w:rPr>
        <w:t xml:space="preserve">n el documento UPOV/INF/12 “Notas explicativas sobre las denominaciones de variedades con arreglo al Convenio de la UPOV” </w:t>
      </w:r>
      <w:r w:rsidR="00A01804" w:rsidRPr="008B5F3A">
        <w:rPr>
          <w:rFonts w:cs="Arial"/>
          <w:snapToGrid w:val="0"/>
          <w:lang w:val="es-419"/>
        </w:rPr>
        <w:t>se establece lo siguiente:</w:t>
      </w:r>
    </w:p>
    <w:p w:rsidR="00D539B6" w:rsidRPr="008B5F3A" w:rsidRDefault="00D539B6" w:rsidP="00A01804">
      <w:pPr>
        <w:rPr>
          <w:rFonts w:cs="Arial"/>
          <w:lang w:val="es-419"/>
        </w:rPr>
      </w:pPr>
    </w:p>
    <w:p w:rsidR="00D539B6" w:rsidRPr="008B5F3A" w:rsidRDefault="00A01804" w:rsidP="008B5F3A">
      <w:pPr>
        <w:ind w:left="567" w:right="567"/>
        <w:rPr>
          <w:sz w:val="18"/>
          <w:szCs w:val="18"/>
          <w:lang w:val="es-419"/>
        </w:rPr>
      </w:pPr>
      <w:r w:rsidRPr="008B5F3A">
        <w:rPr>
          <w:sz w:val="18"/>
          <w:szCs w:val="18"/>
          <w:lang w:val="es-419"/>
        </w:rPr>
        <w:t>“2.3.1</w:t>
      </w:r>
      <w:r w:rsidRPr="008B5F3A">
        <w:rPr>
          <w:sz w:val="18"/>
          <w:szCs w:val="18"/>
          <w:lang w:val="es-419"/>
        </w:rPr>
        <w:tab/>
        <w:t>Características de la variedad</w:t>
      </w:r>
    </w:p>
    <w:p w:rsidR="00D539B6" w:rsidRPr="008B5F3A" w:rsidRDefault="00D539B6" w:rsidP="008B5F3A">
      <w:pPr>
        <w:ind w:left="567" w:right="567"/>
        <w:rPr>
          <w:sz w:val="18"/>
          <w:szCs w:val="18"/>
          <w:lang w:val="es-419"/>
        </w:rPr>
      </w:pPr>
    </w:p>
    <w:p w:rsidR="00D539B6" w:rsidRPr="008B5F3A" w:rsidRDefault="00A01804" w:rsidP="008B5F3A">
      <w:pPr>
        <w:ind w:left="567" w:right="567"/>
        <w:rPr>
          <w:sz w:val="18"/>
          <w:szCs w:val="18"/>
          <w:lang w:val="es-419"/>
        </w:rPr>
      </w:pPr>
      <w:r w:rsidRPr="008B5F3A">
        <w:rPr>
          <w:sz w:val="18"/>
          <w:szCs w:val="18"/>
          <w:lang w:val="es-419"/>
        </w:rPr>
        <w:t>La denominación no deberá:</w:t>
      </w:r>
    </w:p>
    <w:p w:rsidR="00D539B6" w:rsidRPr="008B5F3A" w:rsidRDefault="00D539B6" w:rsidP="008B5F3A">
      <w:pPr>
        <w:ind w:left="567" w:right="567"/>
        <w:rPr>
          <w:sz w:val="18"/>
          <w:szCs w:val="18"/>
          <w:lang w:val="es-419"/>
        </w:rPr>
      </w:pPr>
    </w:p>
    <w:p w:rsidR="00D539B6" w:rsidRPr="008B5F3A" w:rsidRDefault="00A01804" w:rsidP="008B5F3A">
      <w:pPr>
        <w:ind w:left="567" w:right="567" w:firstLine="567"/>
        <w:rPr>
          <w:sz w:val="18"/>
          <w:szCs w:val="18"/>
          <w:lang w:val="es-419"/>
        </w:rPr>
      </w:pPr>
      <w:r w:rsidRPr="008B5F3A">
        <w:rPr>
          <w:sz w:val="18"/>
          <w:szCs w:val="18"/>
          <w:lang w:val="es-419"/>
        </w:rPr>
        <w:t>a)</w:t>
      </w:r>
      <w:r w:rsidRPr="008B5F3A">
        <w:rPr>
          <w:sz w:val="18"/>
          <w:szCs w:val="18"/>
          <w:lang w:val="es-419"/>
        </w:rPr>
        <w:tab/>
        <w:t xml:space="preserve">dar la impresión de que la variedad tiene características particulares que, en realidad, no tiene; </w:t>
      </w:r>
    </w:p>
    <w:p w:rsidR="00D539B6" w:rsidRPr="008B5F3A" w:rsidRDefault="00D539B6" w:rsidP="008B5F3A">
      <w:pPr>
        <w:ind w:left="567" w:right="567" w:firstLine="567"/>
        <w:rPr>
          <w:sz w:val="18"/>
          <w:szCs w:val="18"/>
          <w:lang w:val="es-419"/>
        </w:rPr>
      </w:pPr>
    </w:p>
    <w:p w:rsidR="00D539B6" w:rsidRPr="008B5F3A" w:rsidRDefault="00A01804" w:rsidP="008B5F3A">
      <w:pPr>
        <w:ind w:left="1134" w:right="567"/>
        <w:rPr>
          <w:sz w:val="18"/>
          <w:szCs w:val="18"/>
          <w:lang w:val="es-419"/>
        </w:rPr>
      </w:pPr>
      <w:r w:rsidRPr="008B5F3A">
        <w:rPr>
          <w:i/>
          <w:sz w:val="18"/>
          <w:szCs w:val="18"/>
          <w:lang w:val="es-419"/>
        </w:rPr>
        <w:t>Ejemplo:</w:t>
      </w:r>
      <w:r w:rsidR="006A2040">
        <w:rPr>
          <w:sz w:val="18"/>
          <w:szCs w:val="18"/>
          <w:lang w:val="es-419"/>
        </w:rPr>
        <w:t xml:space="preserve"> la denominación de variedad ‘</w:t>
      </w:r>
      <w:r w:rsidRPr="008B5F3A">
        <w:rPr>
          <w:sz w:val="18"/>
          <w:szCs w:val="18"/>
          <w:lang w:val="es-419"/>
        </w:rPr>
        <w:t>enana</w:t>
      </w:r>
      <w:r w:rsidR="006A2040">
        <w:rPr>
          <w:sz w:val="18"/>
          <w:szCs w:val="18"/>
          <w:lang w:val="es-419"/>
        </w:rPr>
        <w:t>’</w:t>
      </w:r>
      <w:r w:rsidRPr="008B5F3A">
        <w:rPr>
          <w:sz w:val="18"/>
          <w:szCs w:val="18"/>
          <w:lang w:val="es-419"/>
        </w:rPr>
        <w:t xml:space="preserve"> para una variedad que tenga una altura normal, cuando exista un rasgo de enanismo en la especie que la variedad no posea.</w:t>
      </w:r>
    </w:p>
    <w:p w:rsidR="00D539B6" w:rsidRPr="008B5F3A" w:rsidRDefault="00D539B6" w:rsidP="008B5F3A">
      <w:pPr>
        <w:ind w:left="567" w:right="567"/>
        <w:rPr>
          <w:sz w:val="18"/>
          <w:szCs w:val="18"/>
          <w:lang w:val="es-419"/>
        </w:rPr>
      </w:pPr>
    </w:p>
    <w:p w:rsidR="00D539B6" w:rsidRPr="008B5F3A" w:rsidRDefault="00A01804" w:rsidP="008B5F3A">
      <w:pPr>
        <w:ind w:left="567" w:right="567" w:firstLine="567"/>
        <w:rPr>
          <w:color w:val="000000"/>
          <w:sz w:val="18"/>
          <w:szCs w:val="18"/>
          <w:lang w:val="es-419"/>
        </w:rPr>
      </w:pPr>
      <w:r w:rsidRPr="008B5F3A">
        <w:rPr>
          <w:color w:val="000000"/>
          <w:sz w:val="18"/>
          <w:szCs w:val="18"/>
          <w:lang w:val="es-419"/>
        </w:rPr>
        <w:t>b)</w:t>
      </w:r>
      <w:r w:rsidRPr="008B5F3A">
        <w:rPr>
          <w:color w:val="000000"/>
          <w:sz w:val="18"/>
          <w:szCs w:val="18"/>
          <w:lang w:val="es-419"/>
        </w:rPr>
        <w:tab/>
        <w:t>referirse a caracteres específicos de la variedad de manera tal que se dé la impresión de que solo la variedad los posee, mientras que en realidad otras variedades de la especie en cuestión también tienen o pueden tener los mismos caracteres; por ejemplo, cuando la denominación de la variedad consista únicamente en palabras que describan atributos de la variedad que otras variedades de la especie puedan también poseer.</w:t>
      </w:r>
    </w:p>
    <w:p w:rsidR="00D539B6" w:rsidRPr="008B5F3A" w:rsidRDefault="00D539B6" w:rsidP="008B5F3A">
      <w:pPr>
        <w:ind w:left="567" w:right="567" w:firstLine="567"/>
        <w:rPr>
          <w:color w:val="000000"/>
          <w:sz w:val="18"/>
          <w:szCs w:val="18"/>
          <w:u w:val="single"/>
          <w:lang w:val="es-419"/>
        </w:rPr>
      </w:pPr>
    </w:p>
    <w:p w:rsidR="00D539B6" w:rsidRPr="008B5F3A" w:rsidRDefault="00A01804" w:rsidP="008B5F3A">
      <w:pPr>
        <w:ind w:left="567" w:right="567" w:firstLine="567"/>
        <w:jc w:val="left"/>
        <w:rPr>
          <w:color w:val="000000"/>
          <w:sz w:val="18"/>
          <w:szCs w:val="18"/>
          <w:u w:val="single"/>
          <w:lang w:val="es-419"/>
        </w:rPr>
      </w:pPr>
      <w:r w:rsidRPr="008B5F3A">
        <w:rPr>
          <w:i/>
          <w:sz w:val="18"/>
          <w:szCs w:val="18"/>
          <w:lang w:val="es-419"/>
        </w:rPr>
        <w:t>Ejemplo 1:</w:t>
      </w:r>
      <w:r w:rsidR="006A2040">
        <w:rPr>
          <w:sz w:val="18"/>
          <w:szCs w:val="18"/>
          <w:lang w:val="es-419"/>
        </w:rPr>
        <w:t xml:space="preserve"> ‘</w:t>
      </w:r>
      <w:r w:rsidRPr="008B5F3A">
        <w:rPr>
          <w:sz w:val="18"/>
          <w:szCs w:val="18"/>
          <w:lang w:val="es-419"/>
        </w:rPr>
        <w:t>Dulce</w:t>
      </w:r>
      <w:r w:rsidR="006A2040">
        <w:rPr>
          <w:sz w:val="18"/>
          <w:szCs w:val="18"/>
          <w:lang w:val="es-419"/>
        </w:rPr>
        <w:t>’</w:t>
      </w:r>
      <w:r w:rsidRPr="008B5F3A">
        <w:rPr>
          <w:sz w:val="18"/>
          <w:szCs w:val="18"/>
          <w:lang w:val="es-419"/>
        </w:rPr>
        <w:t xml:space="preserve"> para una variedad frutal;</w:t>
      </w:r>
      <w:r w:rsidRPr="008B5F3A">
        <w:rPr>
          <w:sz w:val="18"/>
          <w:szCs w:val="18"/>
          <w:lang w:val="es-419"/>
        </w:rPr>
        <w:br/>
      </w:r>
    </w:p>
    <w:p w:rsidR="00D539B6" w:rsidRPr="008B5F3A" w:rsidRDefault="00A01804" w:rsidP="008B5F3A">
      <w:pPr>
        <w:ind w:left="567" w:right="567" w:firstLine="567"/>
        <w:jc w:val="left"/>
        <w:rPr>
          <w:sz w:val="18"/>
          <w:szCs w:val="18"/>
          <w:lang w:val="es-419"/>
        </w:rPr>
      </w:pPr>
      <w:r w:rsidRPr="008B5F3A">
        <w:rPr>
          <w:i/>
          <w:sz w:val="18"/>
          <w:szCs w:val="18"/>
          <w:lang w:val="es-419"/>
        </w:rPr>
        <w:t>Ejemplo 2:</w:t>
      </w:r>
      <w:r w:rsidR="006A2040">
        <w:rPr>
          <w:sz w:val="18"/>
          <w:szCs w:val="18"/>
          <w:lang w:val="es-419"/>
        </w:rPr>
        <w:t xml:space="preserve"> ‘Blanca grande’</w:t>
      </w:r>
      <w:r w:rsidRPr="008B5F3A">
        <w:rPr>
          <w:sz w:val="18"/>
          <w:szCs w:val="18"/>
          <w:lang w:val="es-419"/>
        </w:rPr>
        <w:t xml:space="preserve"> para una variedad de crisantemo.</w:t>
      </w:r>
      <w:r w:rsidRPr="008B5F3A">
        <w:rPr>
          <w:sz w:val="18"/>
          <w:szCs w:val="18"/>
          <w:lang w:val="es-419"/>
        </w:rPr>
        <w:br/>
      </w:r>
    </w:p>
    <w:p w:rsidR="00D539B6" w:rsidRPr="008B5F3A" w:rsidRDefault="00A01804" w:rsidP="008B5F3A">
      <w:pPr>
        <w:keepNext/>
        <w:ind w:left="567" w:right="567" w:firstLine="567"/>
        <w:rPr>
          <w:sz w:val="18"/>
          <w:szCs w:val="18"/>
          <w:lang w:val="es-419"/>
        </w:rPr>
      </w:pPr>
      <w:r w:rsidRPr="008B5F3A">
        <w:rPr>
          <w:sz w:val="18"/>
          <w:szCs w:val="18"/>
          <w:lang w:val="es-419"/>
        </w:rPr>
        <w:t>c)</w:t>
      </w:r>
      <w:r w:rsidRPr="008B5F3A">
        <w:rPr>
          <w:sz w:val="18"/>
          <w:szCs w:val="18"/>
          <w:lang w:val="es-419"/>
        </w:rPr>
        <w:tab/>
        <w:t>dar la impresión de que la variedad se deriva de otra variedad o está relacionada con esta cuando, en realidad, no es el caso;</w:t>
      </w:r>
    </w:p>
    <w:p w:rsidR="00D539B6" w:rsidRPr="008B5F3A" w:rsidRDefault="00D539B6" w:rsidP="008B5F3A">
      <w:pPr>
        <w:keepNext/>
        <w:ind w:left="567" w:right="567" w:firstLine="567"/>
        <w:rPr>
          <w:sz w:val="18"/>
          <w:szCs w:val="18"/>
          <w:lang w:val="es-419"/>
        </w:rPr>
      </w:pPr>
    </w:p>
    <w:p w:rsidR="00D539B6" w:rsidRPr="008B5F3A" w:rsidRDefault="00A01804" w:rsidP="008B5F3A">
      <w:pPr>
        <w:ind w:left="1134" w:right="567"/>
        <w:rPr>
          <w:sz w:val="18"/>
          <w:szCs w:val="18"/>
          <w:lang w:val="es-419"/>
        </w:rPr>
      </w:pPr>
      <w:r w:rsidRPr="008B5F3A">
        <w:rPr>
          <w:i/>
          <w:sz w:val="18"/>
          <w:szCs w:val="18"/>
          <w:lang w:val="es-419"/>
        </w:rPr>
        <w:t>Ejemplo:</w:t>
      </w:r>
      <w:r w:rsidRPr="008B5F3A">
        <w:rPr>
          <w:sz w:val="18"/>
          <w:szCs w:val="18"/>
          <w:lang w:val="es-419"/>
        </w:rPr>
        <w:t xml:space="preserve"> una denominación que sea similar a la de otra variedad de la misma especie o de </w:t>
      </w:r>
      <w:r w:rsidR="006A2040">
        <w:rPr>
          <w:sz w:val="18"/>
          <w:szCs w:val="18"/>
          <w:lang w:val="es-419"/>
        </w:rPr>
        <w:t>especies vecinas; por ejemplo, ‘Southern cross 1’, ‘Southern cross 2’</w:t>
      </w:r>
      <w:r w:rsidRPr="008B5F3A">
        <w:rPr>
          <w:sz w:val="18"/>
          <w:szCs w:val="18"/>
          <w:lang w:val="es-419"/>
        </w:rPr>
        <w:t>, etc., lo que da la impresión de que estas variedades son una serie de variedades relacionadas entre sí con los mismos caracteres cuando, en realidad, tal no es el caso.</w:t>
      </w:r>
    </w:p>
    <w:p w:rsidR="00D539B6" w:rsidRPr="008B5F3A" w:rsidRDefault="00D539B6" w:rsidP="008B5F3A">
      <w:pPr>
        <w:ind w:left="567" w:right="567" w:firstLine="567"/>
        <w:rPr>
          <w:sz w:val="18"/>
          <w:szCs w:val="18"/>
          <w:lang w:val="es-419"/>
        </w:rPr>
      </w:pPr>
    </w:p>
    <w:p w:rsidR="00D539B6" w:rsidRPr="008B5F3A" w:rsidRDefault="00A01804" w:rsidP="008B5F3A">
      <w:pPr>
        <w:keepNext/>
        <w:ind w:left="567" w:right="567"/>
        <w:rPr>
          <w:sz w:val="18"/>
          <w:szCs w:val="18"/>
          <w:lang w:val="es-419"/>
        </w:rPr>
      </w:pPr>
      <w:r w:rsidRPr="008B5F3A">
        <w:rPr>
          <w:sz w:val="18"/>
          <w:szCs w:val="18"/>
          <w:lang w:val="es-419"/>
        </w:rPr>
        <w:lastRenderedPageBreak/>
        <w:t>2.3.2</w:t>
      </w:r>
      <w:r w:rsidRPr="008B5F3A">
        <w:rPr>
          <w:sz w:val="18"/>
          <w:szCs w:val="18"/>
          <w:lang w:val="es-419"/>
        </w:rPr>
        <w:tab/>
        <w:t>Valor de la variedad</w:t>
      </w:r>
    </w:p>
    <w:p w:rsidR="00D539B6" w:rsidRPr="008B5F3A" w:rsidRDefault="00D539B6" w:rsidP="008B5F3A">
      <w:pPr>
        <w:keepNext/>
        <w:ind w:left="567" w:right="567"/>
        <w:rPr>
          <w:sz w:val="18"/>
          <w:szCs w:val="18"/>
          <w:lang w:val="es-419"/>
        </w:rPr>
      </w:pPr>
    </w:p>
    <w:p w:rsidR="00D539B6" w:rsidRPr="008B5F3A" w:rsidRDefault="00A01804" w:rsidP="008B5F3A">
      <w:pPr>
        <w:ind w:left="567" w:right="567"/>
        <w:rPr>
          <w:sz w:val="18"/>
          <w:szCs w:val="18"/>
          <w:lang w:val="es-419"/>
        </w:rPr>
      </w:pPr>
      <w:r w:rsidRPr="008B5F3A">
        <w:rPr>
          <w:sz w:val="18"/>
          <w:szCs w:val="18"/>
          <w:lang w:val="es-419"/>
        </w:rPr>
        <w:t xml:space="preserve">La denominación no deberá componerse de designaciones superlativas o comparativas, o contener estas designaciones. </w:t>
      </w:r>
    </w:p>
    <w:p w:rsidR="00D539B6" w:rsidRPr="008B5F3A" w:rsidRDefault="00D539B6" w:rsidP="008B5F3A">
      <w:pPr>
        <w:ind w:left="567" w:right="567" w:firstLine="567"/>
        <w:rPr>
          <w:sz w:val="18"/>
          <w:szCs w:val="18"/>
          <w:lang w:val="es-419"/>
        </w:rPr>
      </w:pPr>
    </w:p>
    <w:p w:rsidR="00D539B6" w:rsidRPr="008B5F3A" w:rsidRDefault="00A01804" w:rsidP="008B5F3A">
      <w:pPr>
        <w:ind w:left="1134" w:right="567"/>
        <w:rPr>
          <w:sz w:val="18"/>
          <w:szCs w:val="18"/>
          <w:lang w:val="es-419"/>
        </w:rPr>
      </w:pPr>
      <w:r w:rsidRPr="008B5F3A">
        <w:rPr>
          <w:i/>
          <w:sz w:val="18"/>
          <w:szCs w:val="18"/>
          <w:lang w:val="es-419"/>
        </w:rPr>
        <w:t>Ejemplo:</w:t>
      </w:r>
      <w:r w:rsidRPr="008B5F3A">
        <w:rPr>
          <w:sz w:val="18"/>
          <w:szCs w:val="18"/>
          <w:lang w:val="es-419"/>
        </w:rPr>
        <w:t xml:space="preserve"> una denominación qu</w:t>
      </w:r>
      <w:r w:rsidR="006A2040">
        <w:rPr>
          <w:sz w:val="18"/>
          <w:szCs w:val="18"/>
          <w:lang w:val="es-419"/>
        </w:rPr>
        <w:t>e contenga términos tales como ‘</w:t>
      </w:r>
      <w:r w:rsidRPr="008B5F3A">
        <w:rPr>
          <w:sz w:val="18"/>
          <w:szCs w:val="18"/>
          <w:lang w:val="es-419"/>
        </w:rPr>
        <w:t>mejor</w:t>
      </w:r>
      <w:r w:rsidR="006A2040">
        <w:rPr>
          <w:sz w:val="18"/>
          <w:szCs w:val="18"/>
          <w:lang w:val="es-419"/>
        </w:rPr>
        <w:t>’, ‘</w:t>
      </w:r>
      <w:r w:rsidRPr="008B5F3A">
        <w:rPr>
          <w:sz w:val="18"/>
          <w:szCs w:val="18"/>
          <w:lang w:val="es-419"/>
        </w:rPr>
        <w:t>superior</w:t>
      </w:r>
      <w:r w:rsidR="006A2040">
        <w:rPr>
          <w:sz w:val="18"/>
          <w:szCs w:val="18"/>
          <w:lang w:val="es-419"/>
        </w:rPr>
        <w:t>’, ‘</w:t>
      </w:r>
      <w:r w:rsidRPr="008B5F3A">
        <w:rPr>
          <w:sz w:val="18"/>
          <w:szCs w:val="18"/>
          <w:lang w:val="es-419"/>
        </w:rPr>
        <w:t>más dulce</w:t>
      </w:r>
      <w:r w:rsidR="006A2040">
        <w:rPr>
          <w:sz w:val="18"/>
          <w:szCs w:val="18"/>
          <w:lang w:val="es-419"/>
        </w:rPr>
        <w:t>’</w:t>
      </w:r>
      <w:r w:rsidRPr="008B5F3A">
        <w:rPr>
          <w:sz w:val="18"/>
          <w:szCs w:val="18"/>
          <w:lang w:val="es-419"/>
        </w:rPr>
        <w:t>.”</w:t>
      </w:r>
    </w:p>
    <w:p w:rsidR="00D539B6" w:rsidRPr="008B5F3A" w:rsidRDefault="00D539B6" w:rsidP="00060AAC">
      <w:pPr>
        <w:rPr>
          <w:rFonts w:cs="Arial"/>
          <w:lang w:val="es-419"/>
        </w:rPr>
      </w:pPr>
    </w:p>
    <w:p w:rsidR="00D539B6" w:rsidRPr="008B5F3A" w:rsidRDefault="00060AAC" w:rsidP="00D539B6">
      <w:pPr>
        <w:rPr>
          <w:rFonts w:cs="Arial"/>
          <w:lang w:val="es-419"/>
        </w:rPr>
      </w:pPr>
      <w:r w:rsidRPr="008B5F3A">
        <w:rPr>
          <w:rFonts w:cs="Arial"/>
          <w:lang w:val="es-419"/>
        </w:rPr>
        <w:fldChar w:fldCharType="begin"/>
      </w:r>
      <w:r w:rsidRPr="008B5F3A">
        <w:rPr>
          <w:rFonts w:cs="Arial"/>
          <w:lang w:val="es-419"/>
        </w:rPr>
        <w:instrText xml:space="preserve"> AUTONUM  </w:instrText>
      </w:r>
      <w:r w:rsidRPr="008B5F3A">
        <w:rPr>
          <w:rFonts w:cs="Arial"/>
          <w:lang w:val="es-419"/>
        </w:rPr>
        <w:fldChar w:fldCharType="end"/>
      </w:r>
      <w:r w:rsidRPr="008B5F3A">
        <w:rPr>
          <w:rFonts w:cs="Arial"/>
          <w:lang w:val="es-419"/>
        </w:rPr>
        <w:tab/>
      </w:r>
      <w:r w:rsidR="00D539B6" w:rsidRPr="008B5F3A">
        <w:rPr>
          <w:rFonts w:cs="Arial"/>
          <w:lang w:val="es-419"/>
        </w:rPr>
        <w:t>En lo que respecta a la comprobación de las denominaciones, la denominación no deberá “dar la impresión de que la variedad tiene características particulares que, en realidad, no tiene”.</w:t>
      </w:r>
      <w:r w:rsidR="00105A0A" w:rsidRPr="008B5F3A">
        <w:rPr>
          <w:rFonts w:cs="Arial"/>
          <w:lang w:val="es-419"/>
        </w:rPr>
        <w:t xml:space="preserve"> </w:t>
      </w:r>
      <w:r w:rsidR="00D539B6" w:rsidRPr="008B5F3A">
        <w:rPr>
          <w:rFonts w:cs="Arial"/>
          <w:lang w:val="es-419"/>
        </w:rPr>
        <w:t>La finalidad de esa función del instrumento para la búsqueda de denominaciones de variedades no sería juzgar la admisibilidad de una denominación, sino alertar al examinador de que la denominación presenta una característica que podría ser necesario evaluar.</w:t>
      </w:r>
    </w:p>
    <w:p w:rsidR="00D539B6" w:rsidRPr="008B5F3A" w:rsidRDefault="00D539B6" w:rsidP="00060AAC">
      <w:pPr>
        <w:rPr>
          <w:rFonts w:cs="Arial"/>
          <w:lang w:val="es-419"/>
        </w:rPr>
      </w:pPr>
    </w:p>
    <w:p w:rsidR="00D539B6" w:rsidRPr="008B5F3A" w:rsidRDefault="00060AAC" w:rsidP="00D539B6">
      <w:pPr>
        <w:keepLines/>
        <w:rPr>
          <w:rFonts w:cs="Arial"/>
          <w:lang w:val="es-419"/>
        </w:rPr>
      </w:pPr>
      <w:r w:rsidRPr="008B5F3A">
        <w:rPr>
          <w:rFonts w:cs="Arial"/>
          <w:lang w:val="es-419"/>
        </w:rPr>
        <w:fldChar w:fldCharType="begin"/>
      </w:r>
      <w:r w:rsidRPr="008B5F3A">
        <w:rPr>
          <w:rFonts w:cs="Arial"/>
          <w:lang w:val="es-419"/>
        </w:rPr>
        <w:instrText xml:space="preserve"> AUTONUM  </w:instrText>
      </w:r>
      <w:r w:rsidRPr="008B5F3A">
        <w:rPr>
          <w:rFonts w:cs="Arial"/>
          <w:lang w:val="es-419"/>
        </w:rPr>
        <w:fldChar w:fldCharType="end"/>
      </w:r>
      <w:r w:rsidRPr="008B5F3A">
        <w:rPr>
          <w:rFonts w:cs="Arial"/>
          <w:lang w:val="es-419"/>
        </w:rPr>
        <w:tab/>
      </w:r>
      <w:r w:rsidR="00D539B6" w:rsidRPr="008B5F3A">
        <w:rPr>
          <w:rFonts w:cs="Arial"/>
          <w:lang w:val="es-419"/>
        </w:rPr>
        <w:t>La plantilla de los documentos TG contiene una base de datos de los caracteres incluidos en las directrices de examen de la UPOV y, en el caso de los miembros de la Unión que participan en UPOV PRISMA, de los caracteres incluidos en las directrices de examen propias de cada autoridad.</w:t>
      </w:r>
      <w:r w:rsidR="00105A0A" w:rsidRPr="008B5F3A">
        <w:rPr>
          <w:rFonts w:cs="Arial"/>
          <w:lang w:val="es-419"/>
        </w:rPr>
        <w:t xml:space="preserve"> </w:t>
      </w:r>
      <w:r w:rsidR="00D539B6" w:rsidRPr="008B5F3A">
        <w:rPr>
          <w:rFonts w:cs="Arial"/>
          <w:lang w:val="es-419"/>
        </w:rPr>
        <w:t xml:space="preserve">Dichos caracteres están disponibles en alemán, español, francés e inglés, así como en los idiomas de navegación y de salida admitidos en UPOV PRISMA (si los proporcionan los miembros de </w:t>
      </w:r>
      <w:r w:rsidR="00E4604B">
        <w:rPr>
          <w:rFonts w:cs="Arial"/>
          <w:lang w:val="es-419"/>
        </w:rPr>
        <w:t>la Unión que participan en UPOV</w:t>
      </w:r>
      <w:bookmarkStart w:id="2" w:name="_GoBack"/>
      <w:bookmarkEnd w:id="2"/>
      <w:r w:rsidR="00E4604B">
        <w:rPr>
          <w:rFonts w:cs="Arial"/>
          <w:lang w:val="es-419"/>
        </w:rPr>
        <w:t> </w:t>
      </w:r>
      <w:r w:rsidR="00D539B6" w:rsidRPr="008B5F3A">
        <w:rPr>
          <w:rFonts w:cs="Arial"/>
          <w:lang w:val="es-419"/>
        </w:rPr>
        <w:t>PRISMA).</w:t>
      </w:r>
      <w:r w:rsidR="00105A0A" w:rsidRPr="008B5F3A">
        <w:rPr>
          <w:rFonts w:cs="Arial"/>
          <w:lang w:val="es-419"/>
        </w:rPr>
        <w:t xml:space="preserve"> </w:t>
      </w:r>
      <w:r w:rsidR="00D539B6" w:rsidRPr="008B5F3A">
        <w:rPr>
          <w:rFonts w:cs="Arial"/>
          <w:lang w:val="es-419"/>
        </w:rPr>
        <w:t>Por consiguiente, los caracteres que figuran en la plantilla de los documentos TG pueden servir de base para la comprobación de las denominaciones que contengan caracteres.</w:t>
      </w:r>
    </w:p>
    <w:p w:rsidR="00D539B6" w:rsidRPr="008B5F3A" w:rsidRDefault="00D539B6" w:rsidP="00060AAC">
      <w:pPr>
        <w:rPr>
          <w:rFonts w:cs="Arial"/>
          <w:lang w:val="es-419"/>
        </w:rPr>
      </w:pPr>
    </w:p>
    <w:p w:rsidR="00D539B6" w:rsidRPr="008B5F3A" w:rsidRDefault="00060AAC" w:rsidP="00D539B6">
      <w:pPr>
        <w:rPr>
          <w:rFonts w:cs="Arial"/>
          <w:lang w:val="es-419"/>
        </w:rPr>
      </w:pPr>
      <w:r w:rsidRPr="008B5F3A">
        <w:rPr>
          <w:rFonts w:cs="Arial"/>
          <w:lang w:val="es-419"/>
        </w:rPr>
        <w:fldChar w:fldCharType="begin"/>
      </w:r>
      <w:r w:rsidRPr="008B5F3A">
        <w:rPr>
          <w:rFonts w:cs="Arial"/>
          <w:lang w:val="es-419"/>
        </w:rPr>
        <w:instrText xml:space="preserve"> AUTONUM  </w:instrText>
      </w:r>
      <w:r w:rsidRPr="008B5F3A">
        <w:rPr>
          <w:rFonts w:cs="Arial"/>
          <w:lang w:val="es-419"/>
        </w:rPr>
        <w:fldChar w:fldCharType="end"/>
      </w:r>
      <w:r w:rsidRPr="008B5F3A">
        <w:rPr>
          <w:rFonts w:cs="Arial"/>
          <w:lang w:val="es-419"/>
        </w:rPr>
        <w:tab/>
      </w:r>
      <w:r w:rsidR="00D539B6" w:rsidRPr="008B5F3A">
        <w:rPr>
          <w:rFonts w:cs="Arial"/>
          <w:lang w:val="es-419"/>
        </w:rPr>
        <w:t>El CAJ, en su septuagésima séptima sesión, tomó nota de la conclusión, alcanzada por la OCVV y la Oficina de la Unión, de que el algoritmo de similitud de la OCVV funciona de forma satisfactoria y que, por el momento, intentar mejorar el algoritmo a efectos de comprobar la similitud entre denominaciones de variedades no constituiría un uso adecuado de los recursos.</w:t>
      </w:r>
    </w:p>
    <w:p w:rsidR="00D539B6" w:rsidRPr="008B5F3A" w:rsidRDefault="00D539B6" w:rsidP="00060AAC">
      <w:pPr>
        <w:rPr>
          <w:rFonts w:cs="Arial"/>
          <w:lang w:val="es-419"/>
        </w:rPr>
      </w:pPr>
    </w:p>
    <w:p w:rsidR="00D539B6" w:rsidRPr="008B5F3A" w:rsidRDefault="00060AAC" w:rsidP="005F6139">
      <w:pPr>
        <w:rPr>
          <w:rFonts w:cs="Arial"/>
          <w:lang w:val="es-419"/>
        </w:rPr>
      </w:pPr>
      <w:r w:rsidRPr="008B5F3A">
        <w:rPr>
          <w:rFonts w:cs="Arial"/>
          <w:lang w:val="es-419"/>
        </w:rPr>
        <w:fldChar w:fldCharType="begin"/>
      </w:r>
      <w:r w:rsidRPr="008B5F3A">
        <w:rPr>
          <w:rFonts w:cs="Arial"/>
          <w:lang w:val="es-419"/>
        </w:rPr>
        <w:instrText xml:space="preserve"> AUTONUM  </w:instrText>
      </w:r>
      <w:r w:rsidRPr="008B5F3A">
        <w:rPr>
          <w:rFonts w:cs="Arial"/>
          <w:lang w:val="es-419"/>
        </w:rPr>
        <w:fldChar w:fldCharType="end"/>
      </w:r>
      <w:r w:rsidRPr="008B5F3A">
        <w:rPr>
          <w:rFonts w:cs="Arial"/>
          <w:lang w:val="es-419"/>
        </w:rPr>
        <w:tab/>
      </w:r>
      <w:r w:rsidR="005F6139" w:rsidRPr="008B5F3A">
        <w:rPr>
          <w:rFonts w:cs="Arial"/>
          <w:lang w:val="es-419"/>
        </w:rPr>
        <w:t>El CAJ convino en que la Oficina de la Unión analice con la OCVV la posibilidad de que el instrumento para la búsqueda de denominaciones de variedades compruebe las denominaciones de los caracteres, según se expone en los párrafos 14 a 16 del documento CAJ/77/7.</w:t>
      </w:r>
    </w:p>
    <w:p w:rsidR="00D539B6" w:rsidRPr="008B5F3A" w:rsidRDefault="00D539B6" w:rsidP="00060AAC">
      <w:pPr>
        <w:rPr>
          <w:rFonts w:cs="Arial"/>
          <w:lang w:val="es-419"/>
        </w:rPr>
      </w:pPr>
    </w:p>
    <w:p w:rsidR="00D539B6" w:rsidRPr="008B5F3A" w:rsidRDefault="00060AAC" w:rsidP="005F6139">
      <w:pPr>
        <w:rPr>
          <w:rFonts w:cs="Arial"/>
          <w:lang w:val="es-419"/>
        </w:rPr>
      </w:pPr>
      <w:r w:rsidRPr="008B5F3A">
        <w:rPr>
          <w:rFonts w:cs="Arial"/>
          <w:lang w:val="es-419"/>
        </w:rPr>
        <w:fldChar w:fldCharType="begin"/>
      </w:r>
      <w:r w:rsidRPr="008B5F3A">
        <w:rPr>
          <w:rFonts w:cs="Arial"/>
          <w:lang w:val="es-419"/>
        </w:rPr>
        <w:instrText xml:space="preserve"> AUTONUM  </w:instrText>
      </w:r>
      <w:r w:rsidRPr="008B5F3A">
        <w:rPr>
          <w:rFonts w:cs="Arial"/>
          <w:lang w:val="es-419"/>
        </w:rPr>
        <w:fldChar w:fldCharType="end"/>
      </w:r>
      <w:r w:rsidRPr="008B5F3A">
        <w:rPr>
          <w:rFonts w:cs="Arial"/>
          <w:lang w:val="es-419"/>
        </w:rPr>
        <w:tab/>
      </w:r>
      <w:r w:rsidR="005F6139" w:rsidRPr="008B5F3A">
        <w:rPr>
          <w:rFonts w:cs="Arial"/>
          <w:lang w:val="es-419"/>
        </w:rPr>
        <w:t>El CAJ acordó informar al CAJ, en su septuagésima octava sesión, sobre el resultado de ese análisis.</w:t>
      </w:r>
    </w:p>
    <w:p w:rsidR="00D539B6" w:rsidRPr="008B5F3A" w:rsidRDefault="00D539B6" w:rsidP="00060AAC">
      <w:pPr>
        <w:rPr>
          <w:rFonts w:cs="Arial"/>
          <w:lang w:val="es-419"/>
        </w:rPr>
      </w:pPr>
    </w:p>
    <w:p w:rsidR="00D539B6" w:rsidRPr="008B5F3A" w:rsidRDefault="00060AAC" w:rsidP="005F6139">
      <w:pPr>
        <w:rPr>
          <w:rFonts w:cs="Arial"/>
          <w:lang w:val="es-419"/>
        </w:rPr>
      </w:pPr>
      <w:r w:rsidRPr="008B5F3A">
        <w:rPr>
          <w:rFonts w:cs="Arial"/>
          <w:lang w:val="es-419"/>
        </w:rPr>
        <w:fldChar w:fldCharType="begin"/>
      </w:r>
      <w:r w:rsidRPr="008B5F3A">
        <w:rPr>
          <w:rFonts w:cs="Arial"/>
          <w:lang w:val="es-419"/>
        </w:rPr>
        <w:instrText xml:space="preserve"> AUTONUM  </w:instrText>
      </w:r>
      <w:r w:rsidRPr="008B5F3A">
        <w:rPr>
          <w:rFonts w:cs="Arial"/>
          <w:lang w:val="es-419"/>
        </w:rPr>
        <w:fldChar w:fldCharType="end"/>
      </w:r>
      <w:r w:rsidRPr="008B5F3A">
        <w:rPr>
          <w:rFonts w:cs="Arial"/>
          <w:lang w:val="es-419"/>
        </w:rPr>
        <w:tab/>
      </w:r>
      <w:r w:rsidR="005F6139" w:rsidRPr="008B5F3A">
        <w:rPr>
          <w:rFonts w:cs="Arial"/>
          <w:lang w:val="es-419"/>
        </w:rPr>
        <w:t xml:space="preserve">El CAJ examinó el proyecto de documento UPOV/EXN/DEN/1, </w:t>
      </w:r>
      <w:r w:rsidR="00D659B1" w:rsidRPr="008B5F3A">
        <w:rPr>
          <w:rFonts w:cs="Arial"/>
          <w:lang w:val="es-419"/>
        </w:rPr>
        <w:t>“</w:t>
      </w:r>
      <w:r w:rsidR="005F6139" w:rsidRPr="008B5F3A">
        <w:rPr>
          <w:rFonts w:cs="Arial"/>
          <w:lang w:val="es-419"/>
        </w:rPr>
        <w:t>Notas explicativas sobre las denominaciones de variedades con arreglo al Convenio de la UPOV</w:t>
      </w:r>
      <w:r w:rsidR="00D659B1" w:rsidRPr="008B5F3A">
        <w:rPr>
          <w:rFonts w:cs="Arial"/>
          <w:lang w:val="es-419"/>
        </w:rPr>
        <w:t>”</w:t>
      </w:r>
      <w:r w:rsidR="005F6139" w:rsidRPr="008B5F3A">
        <w:rPr>
          <w:rFonts w:cs="Arial"/>
          <w:lang w:val="es-419"/>
        </w:rPr>
        <w:t>.</w:t>
      </w:r>
      <w:r w:rsidR="00105A0A" w:rsidRPr="008B5F3A">
        <w:rPr>
          <w:rFonts w:cs="Arial"/>
          <w:lang w:val="es-419"/>
        </w:rPr>
        <w:t xml:space="preserve"> </w:t>
      </w:r>
      <w:r w:rsidR="005F6139" w:rsidRPr="008B5F3A">
        <w:rPr>
          <w:rFonts w:cs="Arial"/>
          <w:lang w:val="es-419"/>
        </w:rPr>
        <w:t>El CAJ señaló que toda labor relativa a un instrumento para la comprobación de los caracteres deberá reflejar las orientaciones del documento UPOV/EXN/DEN/1, una vez adoptado.</w:t>
      </w:r>
    </w:p>
    <w:p w:rsidR="00D539B6" w:rsidRPr="008B5F3A" w:rsidRDefault="00D539B6" w:rsidP="00060AAC">
      <w:pPr>
        <w:rPr>
          <w:rFonts w:cs="Arial"/>
          <w:lang w:val="es-419"/>
        </w:rPr>
      </w:pPr>
    </w:p>
    <w:p w:rsidR="00D539B6" w:rsidRPr="008B5F3A" w:rsidRDefault="00D539B6" w:rsidP="00060AAC">
      <w:pPr>
        <w:rPr>
          <w:rFonts w:cs="Arial"/>
          <w:lang w:val="es-419"/>
        </w:rPr>
      </w:pPr>
    </w:p>
    <w:p w:rsidR="00D539B6" w:rsidRPr="008B5F3A" w:rsidRDefault="00D539B6" w:rsidP="004946D4">
      <w:pPr>
        <w:jc w:val="left"/>
        <w:rPr>
          <w:rFonts w:cs="Arial"/>
          <w:lang w:val="es-419"/>
        </w:rPr>
      </w:pPr>
    </w:p>
    <w:p w:rsidR="00D539B6" w:rsidRPr="008B5F3A" w:rsidRDefault="005F6139" w:rsidP="005F6139">
      <w:pPr>
        <w:pStyle w:val="Heading1"/>
        <w:rPr>
          <w:rFonts w:cs="Arial"/>
          <w:lang w:val="es-419"/>
        </w:rPr>
      </w:pPr>
      <w:r w:rsidRPr="008B5F3A">
        <w:rPr>
          <w:rFonts w:cs="Arial"/>
          <w:lang w:val="es-419"/>
        </w:rPr>
        <w:t>Novedades acaecidas desde la septuagésima séptima sesión del CAJ</w:t>
      </w:r>
      <w:r w:rsidR="00105A0A" w:rsidRPr="008B5F3A">
        <w:rPr>
          <w:rFonts w:cs="Arial"/>
          <w:lang w:val="es-419"/>
        </w:rPr>
        <w:t xml:space="preserve"> </w:t>
      </w:r>
    </w:p>
    <w:p w:rsidR="00D539B6" w:rsidRPr="008B5F3A" w:rsidRDefault="00D539B6" w:rsidP="004946D4">
      <w:pPr>
        <w:jc w:val="left"/>
        <w:rPr>
          <w:rFonts w:cs="Arial"/>
          <w:lang w:val="es-419"/>
        </w:rPr>
      </w:pPr>
    </w:p>
    <w:p w:rsidR="00D539B6" w:rsidRPr="008B5F3A" w:rsidRDefault="002C0327" w:rsidP="00070FC5">
      <w:pPr>
        <w:rPr>
          <w:rFonts w:cs="Arial"/>
          <w:lang w:val="es-419"/>
        </w:rPr>
      </w:pPr>
      <w:r w:rsidRPr="008B5F3A">
        <w:rPr>
          <w:rFonts w:cs="Arial"/>
          <w:lang w:val="es-419"/>
        </w:rPr>
        <w:fldChar w:fldCharType="begin"/>
      </w:r>
      <w:r w:rsidRPr="008B5F3A">
        <w:rPr>
          <w:rFonts w:cs="Arial"/>
          <w:lang w:val="es-419"/>
        </w:rPr>
        <w:instrText xml:space="preserve"> AUTONUM  </w:instrText>
      </w:r>
      <w:r w:rsidRPr="008B5F3A">
        <w:rPr>
          <w:rFonts w:cs="Arial"/>
          <w:lang w:val="es-419"/>
        </w:rPr>
        <w:fldChar w:fldCharType="end"/>
      </w:r>
      <w:r w:rsidRPr="008B5F3A">
        <w:rPr>
          <w:rFonts w:cs="Arial"/>
          <w:lang w:val="es-419"/>
        </w:rPr>
        <w:tab/>
      </w:r>
      <w:r w:rsidR="005F6139" w:rsidRPr="008B5F3A">
        <w:rPr>
          <w:rFonts w:cs="Arial"/>
          <w:lang w:val="es-419"/>
        </w:rPr>
        <w:t>La Oficina de la Unión puso en marcha la nueva versión de PLUTO el 11 de octubre de 2021.</w:t>
      </w:r>
      <w:r w:rsidR="00105A0A" w:rsidRPr="008B5F3A">
        <w:rPr>
          <w:rFonts w:cs="Arial"/>
          <w:lang w:val="es-419"/>
        </w:rPr>
        <w:t xml:space="preserve"> </w:t>
      </w:r>
      <w:r w:rsidR="00E4604B">
        <w:rPr>
          <w:rFonts w:cs="Arial"/>
          <w:lang w:val="es-419"/>
        </w:rPr>
        <w:t>El </w:t>
      </w:r>
      <w:r w:rsidR="00070FC5" w:rsidRPr="008B5F3A">
        <w:rPr>
          <w:rFonts w:cs="Arial"/>
          <w:lang w:val="es-419"/>
        </w:rPr>
        <w:t>algoritmo relativo al factor de similitud de la OCVV sigue siendo la opción por defecto en la función de búsqueda de denominaciones.</w:t>
      </w:r>
      <w:r w:rsidR="00105A0A" w:rsidRPr="008B5F3A">
        <w:rPr>
          <w:rFonts w:cs="Arial"/>
          <w:lang w:val="es-419"/>
        </w:rPr>
        <w:t xml:space="preserve"> </w:t>
      </w:r>
      <w:r w:rsidR="00070FC5" w:rsidRPr="008B5F3A">
        <w:rPr>
          <w:rFonts w:cs="Arial"/>
          <w:lang w:val="es-419"/>
        </w:rPr>
        <w:t>La Oficina de la Unión ha sido informada de que la OCVV no tiene planes inmediatos de dejar de utilizar el algoritmo relativo al factor de similitud, que es objeto de mejoras periódicas.</w:t>
      </w:r>
      <w:r w:rsidR="00105A0A" w:rsidRPr="008B5F3A">
        <w:rPr>
          <w:rFonts w:cs="Arial"/>
          <w:lang w:val="es-419"/>
        </w:rPr>
        <w:t xml:space="preserve"> </w:t>
      </w:r>
      <w:r w:rsidR="00070FC5" w:rsidRPr="008B5F3A">
        <w:rPr>
          <w:rFonts w:cs="Arial"/>
          <w:lang w:val="es-419"/>
        </w:rPr>
        <w:t>Sin embargo, la OCVV no excluye posibles soluciones alternativas, cuyas ventajas habría que evaluar mediante un estudio comparativo.</w:t>
      </w:r>
      <w:r w:rsidR="00105A0A" w:rsidRPr="008B5F3A">
        <w:rPr>
          <w:rFonts w:cs="Arial"/>
          <w:lang w:val="es-419"/>
        </w:rPr>
        <w:t xml:space="preserve"> </w:t>
      </w:r>
      <w:r w:rsidR="00070FC5" w:rsidRPr="008B5F3A">
        <w:rPr>
          <w:rFonts w:cs="Arial"/>
          <w:lang w:val="es-419"/>
        </w:rPr>
        <w:t>La Oficina de la Unión estará al corriente de los acontecimientos con el fin de cooperar en la medida de lo posible.</w:t>
      </w:r>
    </w:p>
    <w:p w:rsidR="00D539B6" w:rsidRPr="008B5F3A" w:rsidRDefault="00D539B6" w:rsidP="004946D4">
      <w:pPr>
        <w:rPr>
          <w:rFonts w:cs="Arial"/>
          <w:lang w:val="es-419"/>
        </w:rPr>
      </w:pPr>
    </w:p>
    <w:p w:rsidR="00D539B6" w:rsidRPr="008B5F3A" w:rsidRDefault="002C0327" w:rsidP="00070FC5">
      <w:pPr>
        <w:pStyle w:val="DecisionParagraphs"/>
        <w:rPr>
          <w:rFonts w:cs="Arial"/>
          <w:lang w:val="es-419"/>
        </w:rPr>
      </w:pPr>
      <w:r w:rsidRPr="008B5F3A">
        <w:rPr>
          <w:rFonts w:cs="Arial"/>
          <w:lang w:val="es-419"/>
        </w:rPr>
        <w:fldChar w:fldCharType="begin"/>
      </w:r>
      <w:r w:rsidRPr="008B5F3A">
        <w:rPr>
          <w:rFonts w:cs="Arial"/>
          <w:lang w:val="es-419"/>
        </w:rPr>
        <w:instrText xml:space="preserve"> AUTONUM  </w:instrText>
      </w:r>
      <w:r w:rsidRPr="008B5F3A">
        <w:rPr>
          <w:rFonts w:cs="Arial"/>
          <w:lang w:val="es-419"/>
        </w:rPr>
        <w:fldChar w:fldCharType="end"/>
      </w:r>
      <w:r w:rsidRPr="008B5F3A">
        <w:rPr>
          <w:rFonts w:cs="Arial"/>
          <w:lang w:val="es-419"/>
        </w:rPr>
        <w:tab/>
      </w:r>
      <w:r w:rsidR="00070FC5" w:rsidRPr="008B5F3A">
        <w:rPr>
          <w:rFonts w:cs="Arial"/>
          <w:lang w:val="es-419"/>
        </w:rPr>
        <w:t>Se invita al CAJ a tomar nota de la última situación en relación con el posible desarrollo de un instrumento de la UPOV para la búsqueda de denominaciones similares.</w:t>
      </w:r>
    </w:p>
    <w:p w:rsidR="00D539B6" w:rsidRPr="008B5F3A" w:rsidRDefault="00D539B6" w:rsidP="00050E16">
      <w:pPr>
        <w:rPr>
          <w:lang w:val="es-419"/>
        </w:rPr>
      </w:pPr>
    </w:p>
    <w:p w:rsidR="00D539B6" w:rsidRPr="008B5F3A" w:rsidRDefault="00D539B6">
      <w:pPr>
        <w:jc w:val="left"/>
        <w:rPr>
          <w:lang w:val="es-419"/>
        </w:rPr>
      </w:pPr>
    </w:p>
    <w:p w:rsidR="00D539B6" w:rsidRPr="008B5F3A" w:rsidRDefault="00D539B6" w:rsidP="00050E16">
      <w:pPr>
        <w:rPr>
          <w:lang w:val="es-419"/>
        </w:rPr>
      </w:pPr>
    </w:p>
    <w:p w:rsidR="00050E16" w:rsidRPr="008B5F3A" w:rsidRDefault="00070FC5" w:rsidP="00105A0A">
      <w:pPr>
        <w:jc w:val="right"/>
        <w:rPr>
          <w:lang w:val="es-419"/>
        </w:rPr>
      </w:pPr>
      <w:r w:rsidRPr="008B5F3A">
        <w:rPr>
          <w:lang w:val="es-419"/>
        </w:rPr>
        <w:t>[Fin del documento]</w:t>
      </w:r>
    </w:p>
    <w:sectPr w:rsidR="00050E16" w:rsidRPr="008B5F3A" w:rsidSect="00AC24D0">
      <w:headerReference w:type="even" r:id="rId9"/>
      <w:headerReference w:type="default" r:id="rId10"/>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D04" w:rsidRDefault="00BD6D04" w:rsidP="006655D3">
      <w:r>
        <w:separator/>
      </w:r>
    </w:p>
    <w:p w:rsidR="00BD6D04" w:rsidRDefault="00BD6D04" w:rsidP="006655D3"/>
    <w:p w:rsidR="00BD6D04" w:rsidRDefault="00BD6D04" w:rsidP="006655D3"/>
  </w:endnote>
  <w:endnote w:type="continuationSeparator" w:id="0">
    <w:p w:rsidR="00BD6D04" w:rsidRDefault="00BD6D04" w:rsidP="006655D3">
      <w:r>
        <w:separator/>
      </w:r>
    </w:p>
    <w:p w:rsidR="00BD6D04" w:rsidRPr="00294751" w:rsidRDefault="00BD6D04">
      <w:pPr>
        <w:pStyle w:val="Footer"/>
        <w:spacing w:after="60"/>
        <w:rPr>
          <w:sz w:val="18"/>
          <w:lang w:val="fr-FR"/>
        </w:rPr>
      </w:pPr>
      <w:r w:rsidRPr="00294751">
        <w:rPr>
          <w:sz w:val="18"/>
          <w:lang w:val="fr-FR"/>
        </w:rPr>
        <w:t>[Suite de la note de la page précédente]</w:t>
      </w:r>
    </w:p>
    <w:p w:rsidR="00BD6D04" w:rsidRPr="00294751" w:rsidRDefault="00BD6D04" w:rsidP="006655D3">
      <w:pPr>
        <w:rPr>
          <w:lang w:val="fr-FR"/>
        </w:rPr>
      </w:pPr>
    </w:p>
    <w:p w:rsidR="00BD6D04" w:rsidRPr="00294751" w:rsidRDefault="00BD6D04" w:rsidP="006655D3">
      <w:pPr>
        <w:rPr>
          <w:lang w:val="fr-FR"/>
        </w:rPr>
      </w:pPr>
    </w:p>
  </w:endnote>
  <w:endnote w:type="continuationNotice" w:id="1">
    <w:p w:rsidR="00BD6D04" w:rsidRPr="00294751" w:rsidRDefault="00BD6D04" w:rsidP="006655D3">
      <w:pPr>
        <w:rPr>
          <w:lang w:val="fr-FR"/>
        </w:rPr>
      </w:pPr>
      <w:r w:rsidRPr="00294751">
        <w:rPr>
          <w:lang w:val="fr-FR"/>
        </w:rPr>
        <w:t>[Suite de la note page suivante]</w:t>
      </w:r>
    </w:p>
    <w:p w:rsidR="00BD6D04" w:rsidRPr="00294751" w:rsidRDefault="00BD6D04" w:rsidP="006655D3">
      <w:pPr>
        <w:rPr>
          <w:lang w:val="fr-FR"/>
        </w:rPr>
      </w:pPr>
    </w:p>
    <w:p w:rsidR="00BD6D04" w:rsidRPr="00294751" w:rsidRDefault="00BD6D0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D04" w:rsidRDefault="00BD6D04" w:rsidP="006655D3">
      <w:r>
        <w:separator/>
      </w:r>
    </w:p>
  </w:footnote>
  <w:footnote w:type="continuationSeparator" w:id="0">
    <w:p w:rsidR="00BD6D04" w:rsidRDefault="00BD6D04" w:rsidP="006655D3">
      <w:r>
        <w:separator/>
      </w:r>
    </w:p>
  </w:footnote>
  <w:footnote w:type="continuationNotice" w:id="1">
    <w:p w:rsidR="00BD6D04" w:rsidRPr="00AB530F" w:rsidRDefault="00BD6D0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D0" w:rsidRPr="00C5280D" w:rsidRDefault="00AC24D0" w:rsidP="00AC24D0">
    <w:pPr>
      <w:pStyle w:val="Header"/>
      <w:rPr>
        <w:rStyle w:val="PageNumber"/>
        <w:lang w:val="en-US"/>
      </w:rPr>
    </w:pPr>
    <w:r>
      <w:rPr>
        <w:rStyle w:val="PageNumber"/>
        <w:lang w:val="en-US"/>
      </w:rPr>
      <w:t>CAJ/78/8</w:t>
    </w:r>
  </w:p>
  <w:p w:rsidR="00AC24D0" w:rsidRPr="00C5280D" w:rsidRDefault="00AC24D0" w:rsidP="00AC24D0">
    <w:pPr>
      <w:pStyle w:val="Header"/>
      <w:rPr>
        <w:lang w:val="en-US"/>
      </w:rPr>
    </w:pPr>
    <w:r w:rsidRPr="00C5280D">
      <w:rPr>
        <w:lang w:val="en-US"/>
      </w:rPr>
      <w:t>p</w:t>
    </w:r>
    <w:r>
      <w:rPr>
        <w:lang w:val="en-US"/>
      </w:rPr>
      <w:t>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A2040">
      <w:rPr>
        <w:rStyle w:val="PageNumber"/>
        <w:noProof/>
        <w:lang w:val="en-US"/>
      </w:rPr>
      <w:t>2</w:t>
    </w:r>
    <w:r w:rsidRPr="00C5280D">
      <w:rPr>
        <w:rStyle w:val="PageNumber"/>
        <w:lang w:val="en-US"/>
      </w:rPr>
      <w:fldChar w:fldCharType="end"/>
    </w:r>
  </w:p>
  <w:p w:rsidR="00AC24D0" w:rsidRPr="00C5280D" w:rsidRDefault="00AC24D0" w:rsidP="00AC24D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1352EA" w:rsidP="00EB048E">
    <w:pPr>
      <w:pStyle w:val="Header"/>
      <w:rPr>
        <w:rStyle w:val="PageNumber"/>
        <w:lang w:val="en-US"/>
      </w:rPr>
    </w:pPr>
    <w:r>
      <w:rPr>
        <w:rStyle w:val="PageNumber"/>
        <w:lang w:val="en-US"/>
      </w:rPr>
      <w:t>CAJ/78/8</w:t>
    </w:r>
  </w:p>
  <w:p w:rsidR="0004198B" w:rsidRPr="00C5280D" w:rsidRDefault="0004198B" w:rsidP="00EB048E">
    <w:pPr>
      <w:pStyle w:val="Header"/>
      <w:rPr>
        <w:lang w:val="en-US"/>
      </w:rPr>
    </w:pPr>
    <w:r w:rsidRPr="00C5280D">
      <w:rPr>
        <w:lang w:val="en-US"/>
      </w:rPr>
      <w:t>p</w:t>
    </w:r>
    <w:r w:rsidR="00AC24D0">
      <w:rPr>
        <w:lang w:val="en-US"/>
      </w:rPr>
      <w:t>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4604B">
      <w:rPr>
        <w:rStyle w:val="PageNumber"/>
        <w:noProof/>
        <w:lang w:val="en-US"/>
      </w:rPr>
      <w:t>3</w:t>
    </w:r>
    <w:r w:rsidRPr="00C5280D">
      <w:rPr>
        <w:rStyle w:val="PageNumber"/>
        <w:lang w:val="en-US"/>
      </w:rPr>
      <w:fldChar w:fldCharType="end"/>
    </w:r>
  </w:p>
  <w:p w:rsidR="0004198B" w:rsidRPr="00C5280D" w:rsidRDefault="0004198B"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01698"/>
    <w:multiLevelType w:val="hybridMultilevel"/>
    <w:tmpl w:val="B06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xUPOV LDTERM"/>
    <w:docVar w:name="TermBaseURL" w:val="empty"/>
    <w:docVar w:name="TextBases" w:val="Team Server TMs\Spanish|TextBase TMs\WorkspaceSTS\UPOV\TGPs|TextBase TMs\WorkspaceSTS\UPOV\TGs|TextBase TMs\WorkspaceSTS\UPOV\TGs Template|TextBase TMs\WorkspaceSTS\UPOV\U Instruments|TextBase TMs\WorkspaceSTS\UPOV\UPOV Main|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B519B2"/>
    <w:rsid w:val="00010CF3"/>
    <w:rsid w:val="00011E27"/>
    <w:rsid w:val="000148BC"/>
    <w:rsid w:val="00024AB8"/>
    <w:rsid w:val="00030854"/>
    <w:rsid w:val="00036028"/>
    <w:rsid w:val="0004198B"/>
    <w:rsid w:val="00044642"/>
    <w:rsid w:val="000446B9"/>
    <w:rsid w:val="00047E21"/>
    <w:rsid w:val="00050E16"/>
    <w:rsid w:val="00060AAC"/>
    <w:rsid w:val="00060DF9"/>
    <w:rsid w:val="00070FC5"/>
    <w:rsid w:val="00085505"/>
    <w:rsid w:val="000C0FD7"/>
    <w:rsid w:val="000C4E25"/>
    <w:rsid w:val="000C7021"/>
    <w:rsid w:val="000D6BBC"/>
    <w:rsid w:val="000D7780"/>
    <w:rsid w:val="000E636A"/>
    <w:rsid w:val="000E791B"/>
    <w:rsid w:val="000F2F11"/>
    <w:rsid w:val="00100A5F"/>
    <w:rsid w:val="00105929"/>
    <w:rsid w:val="00105A0A"/>
    <w:rsid w:val="00110BED"/>
    <w:rsid w:val="00110C36"/>
    <w:rsid w:val="001131D5"/>
    <w:rsid w:val="00114547"/>
    <w:rsid w:val="001352EA"/>
    <w:rsid w:val="00141DB8"/>
    <w:rsid w:val="00172084"/>
    <w:rsid w:val="0017474A"/>
    <w:rsid w:val="001758C6"/>
    <w:rsid w:val="00182B99"/>
    <w:rsid w:val="001A0926"/>
    <w:rsid w:val="001C1525"/>
    <w:rsid w:val="001F5905"/>
    <w:rsid w:val="0021332C"/>
    <w:rsid w:val="00213982"/>
    <w:rsid w:val="00230E34"/>
    <w:rsid w:val="00241889"/>
    <w:rsid w:val="0024416D"/>
    <w:rsid w:val="00260355"/>
    <w:rsid w:val="00271911"/>
    <w:rsid w:val="00273187"/>
    <w:rsid w:val="002800A0"/>
    <w:rsid w:val="002801B3"/>
    <w:rsid w:val="00281060"/>
    <w:rsid w:val="00285BD0"/>
    <w:rsid w:val="002940E8"/>
    <w:rsid w:val="00294751"/>
    <w:rsid w:val="002A6E50"/>
    <w:rsid w:val="002B4298"/>
    <w:rsid w:val="002B7A36"/>
    <w:rsid w:val="002C0327"/>
    <w:rsid w:val="002C256A"/>
    <w:rsid w:val="002D5226"/>
    <w:rsid w:val="002F217F"/>
    <w:rsid w:val="00305A7F"/>
    <w:rsid w:val="003152FE"/>
    <w:rsid w:val="00327436"/>
    <w:rsid w:val="00341D57"/>
    <w:rsid w:val="00344BD6"/>
    <w:rsid w:val="0035528D"/>
    <w:rsid w:val="00361821"/>
    <w:rsid w:val="00361E9E"/>
    <w:rsid w:val="003753EE"/>
    <w:rsid w:val="003A0835"/>
    <w:rsid w:val="003A5AAF"/>
    <w:rsid w:val="003B700A"/>
    <w:rsid w:val="003C7FBE"/>
    <w:rsid w:val="003D227C"/>
    <w:rsid w:val="003D2B4D"/>
    <w:rsid w:val="003F37F5"/>
    <w:rsid w:val="00444A88"/>
    <w:rsid w:val="00474DA4"/>
    <w:rsid w:val="00475AD7"/>
    <w:rsid w:val="00476B4D"/>
    <w:rsid w:val="00477639"/>
    <w:rsid w:val="004805FA"/>
    <w:rsid w:val="00481217"/>
    <w:rsid w:val="004935D2"/>
    <w:rsid w:val="004946D4"/>
    <w:rsid w:val="004B1215"/>
    <w:rsid w:val="004D047D"/>
    <w:rsid w:val="004F1E9E"/>
    <w:rsid w:val="004F305A"/>
    <w:rsid w:val="004F5F59"/>
    <w:rsid w:val="00500166"/>
    <w:rsid w:val="00512164"/>
    <w:rsid w:val="00520297"/>
    <w:rsid w:val="005338F9"/>
    <w:rsid w:val="0054281C"/>
    <w:rsid w:val="00544581"/>
    <w:rsid w:val="0055268D"/>
    <w:rsid w:val="00575DE2"/>
    <w:rsid w:val="00576BE4"/>
    <w:rsid w:val="005779DB"/>
    <w:rsid w:val="0058575C"/>
    <w:rsid w:val="005A2605"/>
    <w:rsid w:val="005A400A"/>
    <w:rsid w:val="005A6941"/>
    <w:rsid w:val="005A7366"/>
    <w:rsid w:val="005B269D"/>
    <w:rsid w:val="005F6139"/>
    <w:rsid w:val="005F7B92"/>
    <w:rsid w:val="00612379"/>
    <w:rsid w:val="006153B6"/>
    <w:rsid w:val="0061555F"/>
    <w:rsid w:val="006245ED"/>
    <w:rsid w:val="00636CA6"/>
    <w:rsid w:val="00641200"/>
    <w:rsid w:val="006427E9"/>
    <w:rsid w:val="00645CA8"/>
    <w:rsid w:val="00646F3B"/>
    <w:rsid w:val="006655D3"/>
    <w:rsid w:val="00667404"/>
    <w:rsid w:val="00687EB4"/>
    <w:rsid w:val="00695C56"/>
    <w:rsid w:val="006A2040"/>
    <w:rsid w:val="006A5CDE"/>
    <w:rsid w:val="006A644A"/>
    <w:rsid w:val="006B17D2"/>
    <w:rsid w:val="006C224E"/>
    <w:rsid w:val="006D780A"/>
    <w:rsid w:val="0071271E"/>
    <w:rsid w:val="00727789"/>
    <w:rsid w:val="00732DEC"/>
    <w:rsid w:val="007338E6"/>
    <w:rsid w:val="00735BD5"/>
    <w:rsid w:val="0074083C"/>
    <w:rsid w:val="007451EC"/>
    <w:rsid w:val="00751613"/>
    <w:rsid w:val="00753EE9"/>
    <w:rsid w:val="007556F6"/>
    <w:rsid w:val="00760EEF"/>
    <w:rsid w:val="00777EE5"/>
    <w:rsid w:val="00784836"/>
    <w:rsid w:val="0079023E"/>
    <w:rsid w:val="007A2854"/>
    <w:rsid w:val="007C1D92"/>
    <w:rsid w:val="007C4CB9"/>
    <w:rsid w:val="007D0B9D"/>
    <w:rsid w:val="007D19B0"/>
    <w:rsid w:val="007E39CA"/>
    <w:rsid w:val="007F498F"/>
    <w:rsid w:val="0080679D"/>
    <w:rsid w:val="008108B0"/>
    <w:rsid w:val="00811B20"/>
    <w:rsid w:val="00812609"/>
    <w:rsid w:val="008211B5"/>
    <w:rsid w:val="0082296E"/>
    <w:rsid w:val="00824099"/>
    <w:rsid w:val="00846D7C"/>
    <w:rsid w:val="00867AC1"/>
    <w:rsid w:val="008751DE"/>
    <w:rsid w:val="00890DF8"/>
    <w:rsid w:val="008A0ADE"/>
    <w:rsid w:val="008A743F"/>
    <w:rsid w:val="008B5F3A"/>
    <w:rsid w:val="008C0970"/>
    <w:rsid w:val="008D0BC5"/>
    <w:rsid w:val="008D2CF7"/>
    <w:rsid w:val="00900C26"/>
    <w:rsid w:val="0090197F"/>
    <w:rsid w:val="00903264"/>
    <w:rsid w:val="00906DDC"/>
    <w:rsid w:val="00924EBB"/>
    <w:rsid w:val="00934E09"/>
    <w:rsid w:val="00936253"/>
    <w:rsid w:val="00940D46"/>
    <w:rsid w:val="009413F1"/>
    <w:rsid w:val="00952DD4"/>
    <w:rsid w:val="009561F4"/>
    <w:rsid w:val="00965AE7"/>
    <w:rsid w:val="00970FED"/>
    <w:rsid w:val="00992D82"/>
    <w:rsid w:val="00997029"/>
    <w:rsid w:val="009A7339"/>
    <w:rsid w:val="009B440E"/>
    <w:rsid w:val="009D690D"/>
    <w:rsid w:val="009E65B6"/>
    <w:rsid w:val="009F0A51"/>
    <w:rsid w:val="009F77CF"/>
    <w:rsid w:val="00A01804"/>
    <w:rsid w:val="00A24C10"/>
    <w:rsid w:val="00A373EF"/>
    <w:rsid w:val="00A42AC3"/>
    <w:rsid w:val="00A430CF"/>
    <w:rsid w:val="00A45328"/>
    <w:rsid w:val="00A54309"/>
    <w:rsid w:val="00A610A9"/>
    <w:rsid w:val="00A80F2A"/>
    <w:rsid w:val="00A81119"/>
    <w:rsid w:val="00A96C33"/>
    <w:rsid w:val="00AB2B93"/>
    <w:rsid w:val="00AB530F"/>
    <w:rsid w:val="00AB664D"/>
    <w:rsid w:val="00AB7E5B"/>
    <w:rsid w:val="00AC24D0"/>
    <w:rsid w:val="00AC2883"/>
    <w:rsid w:val="00AE0EF1"/>
    <w:rsid w:val="00AE2937"/>
    <w:rsid w:val="00B07301"/>
    <w:rsid w:val="00B11F3E"/>
    <w:rsid w:val="00B14CBC"/>
    <w:rsid w:val="00B224DE"/>
    <w:rsid w:val="00B324D4"/>
    <w:rsid w:val="00B4517A"/>
    <w:rsid w:val="00B46575"/>
    <w:rsid w:val="00B519B2"/>
    <w:rsid w:val="00B61777"/>
    <w:rsid w:val="00B622E6"/>
    <w:rsid w:val="00B65C92"/>
    <w:rsid w:val="00B83E82"/>
    <w:rsid w:val="00B84BBD"/>
    <w:rsid w:val="00BA3F8D"/>
    <w:rsid w:val="00BA43FB"/>
    <w:rsid w:val="00BC127D"/>
    <w:rsid w:val="00BC1FE6"/>
    <w:rsid w:val="00BC4F21"/>
    <w:rsid w:val="00BD6D04"/>
    <w:rsid w:val="00C026BF"/>
    <w:rsid w:val="00C061B6"/>
    <w:rsid w:val="00C2446C"/>
    <w:rsid w:val="00C36AE5"/>
    <w:rsid w:val="00C41F17"/>
    <w:rsid w:val="00C527FA"/>
    <w:rsid w:val="00C5280D"/>
    <w:rsid w:val="00C53EB3"/>
    <w:rsid w:val="00C5791C"/>
    <w:rsid w:val="00C66290"/>
    <w:rsid w:val="00C72B7A"/>
    <w:rsid w:val="00C973F2"/>
    <w:rsid w:val="00CA304C"/>
    <w:rsid w:val="00CA3D59"/>
    <w:rsid w:val="00CA5C02"/>
    <w:rsid w:val="00CA774A"/>
    <w:rsid w:val="00CB4921"/>
    <w:rsid w:val="00CC11B0"/>
    <w:rsid w:val="00CC2841"/>
    <w:rsid w:val="00CE662D"/>
    <w:rsid w:val="00CF1330"/>
    <w:rsid w:val="00CF7E36"/>
    <w:rsid w:val="00D3708D"/>
    <w:rsid w:val="00D37162"/>
    <w:rsid w:val="00D40426"/>
    <w:rsid w:val="00D539B6"/>
    <w:rsid w:val="00D57C96"/>
    <w:rsid w:val="00D57D18"/>
    <w:rsid w:val="00D659B1"/>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4604B"/>
    <w:rsid w:val="00E5267B"/>
    <w:rsid w:val="00E559F0"/>
    <w:rsid w:val="00E63C0E"/>
    <w:rsid w:val="00E66AAA"/>
    <w:rsid w:val="00E72D49"/>
    <w:rsid w:val="00E7593C"/>
    <w:rsid w:val="00E7678A"/>
    <w:rsid w:val="00E9290F"/>
    <w:rsid w:val="00E935F1"/>
    <w:rsid w:val="00E94A81"/>
    <w:rsid w:val="00EA1FFB"/>
    <w:rsid w:val="00EB048E"/>
    <w:rsid w:val="00EB484F"/>
    <w:rsid w:val="00EB4E9C"/>
    <w:rsid w:val="00EE34DF"/>
    <w:rsid w:val="00EF2F89"/>
    <w:rsid w:val="00F03E98"/>
    <w:rsid w:val="00F1237A"/>
    <w:rsid w:val="00F17E30"/>
    <w:rsid w:val="00F22CBD"/>
    <w:rsid w:val="00F272F1"/>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F74EA6D"/>
  <w15:docId w15:val="{00C142D3-D77F-4EEA-AAE6-109289A6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Default">
    <w:name w:val="Default"/>
    <w:rsid w:val="004946D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946D4"/>
    <w:pPr>
      <w:ind w:left="720"/>
      <w:contextualSpacing/>
    </w:pPr>
  </w:style>
  <w:style w:type="character" w:customStyle="1" w:styleId="FootnoteTextChar">
    <w:name w:val="Footnote Text Char"/>
    <w:basedOn w:val="DefaultParagraphFont"/>
    <w:link w:val="FootnoteText"/>
    <w:rsid w:val="004F5F59"/>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0339">
      <w:bodyDiv w:val="1"/>
      <w:marLeft w:val="0"/>
      <w:marRight w:val="0"/>
      <w:marTop w:val="0"/>
      <w:marBottom w:val="0"/>
      <w:divBdr>
        <w:top w:val="none" w:sz="0" w:space="0" w:color="auto"/>
        <w:left w:val="none" w:sz="0" w:space="0" w:color="auto"/>
        <w:bottom w:val="none" w:sz="0" w:space="0" w:color="auto"/>
        <w:right w:val="none" w:sz="0" w:space="0" w:color="auto"/>
      </w:divBdr>
    </w:div>
    <w:div w:id="1997024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4C2B2-BABD-45B2-AB3B-AE043F1B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Pages>
  <Words>1677</Words>
  <Characters>8924</Characters>
  <Application>Microsoft Office Word</Application>
  <DocSecurity>0</DocSecurity>
  <Lines>228</Lines>
  <Paragraphs>103</Paragraphs>
  <ScaleCrop>false</ScaleCrop>
  <HeadingPairs>
    <vt:vector size="2" baseType="variant">
      <vt:variant>
        <vt:lpstr>Title</vt:lpstr>
      </vt:variant>
      <vt:variant>
        <vt:i4>1</vt:i4>
      </vt:variant>
    </vt:vector>
  </HeadingPairs>
  <TitlesOfParts>
    <vt:vector size="1" baseType="lpstr">
      <vt:lpstr>CAJ/78/8</vt:lpstr>
    </vt:vector>
  </TitlesOfParts>
  <Company>UPOV</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CAJ/78/8</dc:title>
  <dc:creator>SANCHEZ VIZCAINO GOMEZ Rosa Maria</dc:creator>
  <cp:keywords>FOR OFFICIAL USE ONLY</cp:keywords>
  <cp:lastModifiedBy>SANTOS Carla Marina</cp:lastModifiedBy>
  <cp:revision>5</cp:revision>
  <cp:lastPrinted>2016-11-22T15:41:00Z</cp:lastPrinted>
  <dcterms:created xsi:type="dcterms:W3CDTF">2021-10-19T12:28:00Z</dcterms:created>
  <dcterms:modified xsi:type="dcterms:W3CDTF">2021-10-25T14:05:00Z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af4754d9-8b08-43af-b162-27f192da337f</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