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1A5D5C" w:rsidTr="00EB4E9C">
        <w:tc>
          <w:tcPr>
            <w:tcW w:w="6522" w:type="dxa"/>
          </w:tcPr>
          <w:p w:rsidR="00DC3802" w:rsidRPr="001A5D5C" w:rsidRDefault="00DC3802" w:rsidP="00AC2883">
            <w:r w:rsidRPr="001A5D5C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1A5D5C" w:rsidRDefault="002E5944" w:rsidP="00AC2883">
            <w:pPr>
              <w:pStyle w:val="Lettrine"/>
            </w:pPr>
            <w:r w:rsidRPr="001A5D5C">
              <w:t>S</w:t>
            </w:r>
          </w:p>
        </w:tc>
      </w:tr>
      <w:tr w:rsidR="00DC3802" w:rsidRPr="001A5D5C" w:rsidTr="00645CA8">
        <w:trPr>
          <w:trHeight w:val="219"/>
        </w:trPr>
        <w:tc>
          <w:tcPr>
            <w:tcW w:w="6522" w:type="dxa"/>
          </w:tcPr>
          <w:p w:rsidR="00DC3802" w:rsidRPr="001A5D5C" w:rsidRDefault="002E5944" w:rsidP="00BC0BD4">
            <w:pPr>
              <w:pStyle w:val="upove"/>
            </w:pPr>
            <w:r w:rsidRPr="001A5D5C"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1A5D5C" w:rsidRDefault="00DC3802" w:rsidP="00DA4973"/>
        </w:tc>
      </w:tr>
    </w:tbl>
    <w:p w:rsidR="008528F7" w:rsidRPr="001A5D5C" w:rsidRDefault="008528F7" w:rsidP="00DC3802"/>
    <w:p w:rsidR="00DA4973" w:rsidRPr="001A5D5C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1A5D5C" w:rsidTr="00EB4E9C">
        <w:tc>
          <w:tcPr>
            <w:tcW w:w="6512" w:type="dxa"/>
          </w:tcPr>
          <w:p w:rsidR="008528F7" w:rsidRPr="001A5D5C" w:rsidRDefault="002E5944" w:rsidP="00AC2883">
            <w:pPr>
              <w:pStyle w:val="Sessiontc"/>
              <w:spacing w:line="240" w:lineRule="auto"/>
            </w:pPr>
            <w:r w:rsidRPr="001A5D5C">
              <w:t xml:space="preserve">Comité </w:t>
            </w:r>
            <w:r w:rsidR="00752334" w:rsidRPr="001A5D5C">
              <w:t>Administrativo y Jurídico</w:t>
            </w:r>
          </w:p>
          <w:p w:rsidR="00EB4E9C" w:rsidRPr="001A5D5C" w:rsidRDefault="00943983" w:rsidP="00642665">
            <w:pPr>
              <w:pStyle w:val="Sessiontcplacedate"/>
              <w:rPr>
                <w:sz w:val="22"/>
              </w:rPr>
            </w:pPr>
            <w:r w:rsidRPr="001A5D5C">
              <w:t xml:space="preserve">Septuagésima </w:t>
            </w:r>
            <w:r w:rsidR="008C6250" w:rsidRPr="001A5D5C">
              <w:t>s</w:t>
            </w:r>
            <w:r w:rsidR="00642665" w:rsidRPr="001A5D5C">
              <w:t>éptim</w:t>
            </w:r>
            <w:r w:rsidR="00404329" w:rsidRPr="001A5D5C">
              <w:t>a</w:t>
            </w:r>
            <w:r w:rsidR="002E5944" w:rsidRPr="001A5D5C">
              <w:t xml:space="preserve"> sesión</w:t>
            </w:r>
            <w:r w:rsidR="00EB4E9C" w:rsidRPr="001A5D5C">
              <w:br/>
            </w:r>
            <w:r w:rsidR="002E5944" w:rsidRPr="001A5D5C">
              <w:t>Ginebra</w:t>
            </w:r>
            <w:r w:rsidR="00EB4E9C" w:rsidRPr="001A5D5C">
              <w:t xml:space="preserve">, </w:t>
            </w:r>
            <w:r w:rsidR="00642665" w:rsidRPr="001A5D5C">
              <w:t>28</w:t>
            </w:r>
            <w:r w:rsidR="00A706D3" w:rsidRPr="001A5D5C">
              <w:t xml:space="preserve"> </w:t>
            </w:r>
            <w:r w:rsidR="002E5944" w:rsidRPr="001A5D5C">
              <w:t xml:space="preserve">de </w:t>
            </w:r>
            <w:r w:rsidR="00752334" w:rsidRPr="001A5D5C">
              <w:t xml:space="preserve">octubre </w:t>
            </w:r>
            <w:r w:rsidR="002E5944" w:rsidRPr="001A5D5C">
              <w:t>de</w:t>
            </w:r>
            <w:r w:rsidR="00A706D3" w:rsidRPr="001A5D5C">
              <w:t xml:space="preserve"> </w:t>
            </w:r>
            <w:r w:rsidR="00642665" w:rsidRPr="001A5D5C">
              <w:t>2020</w:t>
            </w:r>
          </w:p>
        </w:tc>
        <w:tc>
          <w:tcPr>
            <w:tcW w:w="3127" w:type="dxa"/>
          </w:tcPr>
          <w:p w:rsidR="008528F7" w:rsidRPr="001A5D5C" w:rsidRDefault="00642665" w:rsidP="003C7FBE">
            <w:pPr>
              <w:pStyle w:val="Doccode"/>
              <w:rPr>
                <w:lang w:val="es-ES_tradnl"/>
              </w:rPr>
            </w:pPr>
            <w:r w:rsidRPr="001A5D5C">
              <w:rPr>
                <w:lang w:val="es-ES_tradnl"/>
              </w:rPr>
              <w:t>CAJ/77</w:t>
            </w:r>
            <w:r w:rsidR="00EB4E9C" w:rsidRPr="001A5D5C">
              <w:rPr>
                <w:lang w:val="es-ES_tradnl"/>
              </w:rPr>
              <w:t>/</w:t>
            </w:r>
            <w:r w:rsidR="00683F34" w:rsidRPr="001A5D5C">
              <w:rPr>
                <w:lang w:val="es-ES_tradnl"/>
              </w:rPr>
              <w:t>INF/3</w:t>
            </w:r>
          </w:p>
          <w:p w:rsidR="008528F7" w:rsidRPr="001A5D5C" w:rsidRDefault="00EB4E9C" w:rsidP="003C7FBE">
            <w:pPr>
              <w:pStyle w:val="Docoriginal"/>
            </w:pPr>
            <w:r w:rsidRPr="001A5D5C">
              <w:t>Original:</w:t>
            </w:r>
            <w:r w:rsidR="001A5D5C">
              <w:rPr>
                <w:b w:val="0"/>
                <w:spacing w:val="0"/>
              </w:rPr>
              <w:t xml:space="preserve"> </w:t>
            </w:r>
            <w:r w:rsidR="002E5944" w:rsidRPr="001A5D5C">
              <w:rPr>
                <w:b w:val="0"/>
                <w:spacing w:val="0"/>
              </w:rPr>
              <w:t>Inglés</w:t>
            </w:r>
          </w:p>
          <w:p w:rsidR="00EB4E9C" w:rsidRPr="001A5D5C" w:rsidRDefault="002E5944" w:rsidP="008C6250">
            <w:pPr>
              <w:pStyle w:val="Docoriginal"/>
            </w:pPr>
            <w:r w:rsidRPr="001A5D5C">
              <w:t>Fecha</w:t>
            </w:r>
            <w:r w:rsidR="00EB4E9C" w:rsidRPr="001A5D5C">
              <w:t>:</w:t>
            </w:r>
            <w:r w:rsidR="001A5D5C">
              <w:rPr>
                <w:b w:val="0"/>
                <w:spacing w:val="0"/>
              </w:rPr>
              <w:t xml:space="preserve"> </w:t>
            </w:r>
            <w:r w:rsidR="002F2508" w:rsidRPr="00AE5691">
              <w:rPr>
                <w:b w:val="0"/>
                <w:spacing w:val="0"/>
              </w:rPr>
              <w:t>14</w:t>
            </w:r>
            <w:r w:rsidR="00EB4E9C" w:rsidRPr="00AE5691">
              <w:rPr>
                <w:b w:val="0"/>
                <w:spacing w:val="0"/>
              </w:rPr>
              <w:t xml:space="preserve"> </w:t>
            </w:r>
            <w:r w:rsidRPr="00AE5691">
              <w:rPr>
                <w:b w:val="0"/>
                <w:spacing w:val="0"/>
              </w:rPr>
              <w:t>de</w:t>
            </w:r>
            <w:r w:rsidR="002F2508" w:rsidRPr="00AE5691">
              <w:rPr>
                <w:b w:val="0"/>
                <w:spacing w:val="0"/>
              </w:rPr>
              <w:t xml:space="preserve"> octubre de</w:t>
            </w:r>
            <w:r w:rsidRPr="00AE5691">
              <w:rPr>
                <w:b w:val="0"/>
                <w:spacing w:val="0"/>
              </w:rPr>
              <w:t xml:space="preserve"> </w:t>
            </w:r>
            <w:r w:rsidR="00642665" w:rsidRPr="00AE5691">
              <w:rPr>
                <w:b w:val="0"/>
                <w:spacing w:val="0"/>
              </w:rPr>
              <w:t>2020</w:t>
            </w:r>
          </w:p>
        </w:tc>
      </w:tr>
    </w:tbl>
    <w:p w:rsidR="008528F7" w:rsidRPr="001A5D5C" w:rsidRDefault="002F2508" w:rsidP="006A644A">
      <w:pPr>
        <w:pStyle w:val="Titleofdoc0"/>
      </w:pPr>
      <w:bookmarkStart w:id="0" w:name="TitleOfDoc"/>
      <w:bookmarkEnd w:id="0"/>
      <w:r w:rsidRPr="001A5D5C">
        <w:t>BASES DE DATOS DE INFORMACIÓN DE LA UPOV</w:t>
      </w:r>
    </w:p>
    <w:p w:rsidR="008528F7" w:rsidRPr="001A5D5C" w:rsidRDefault="000638A9" w:rsidP="006A644A">
      <w:pPr>
        <w:pStyle w:val="preparedby1"/>
        <w:jc w:val="left"/>
      </w:pPr>
      <w:bookmarkStart w:id="1" w:name="Prepared"/>
      <w:bookmarkEnd w:id="1"/>
      <w:r w:rsidRPr="001A5D5C">
        <w:t>Documento preparado por la Oficina de la Unión</w:t>
      </w:r>
    </w:p>
    <w:p w:rsidR="008528F7" w:rsidRPr="001A5D5C" w:rsidRDefault="000638A9" w:rsidP="006A644A">
      <w:pPr>
        <w:pStyle w:val="Disclaimer"/>
      </w:pPr>
      <w:r w:rsidRPr="001A5D5C">
        <w:t>Descargo de responsabilidad: el presente documento no constituye un documento de política u orientación de la UPOV</w:t>
      </w:r>
    </w:p>
    <w:p w:rsidR="008528F7" w:rsidRPr="001A5D5C" w:rsidRDefault="000A649A" w:rsidP="000A649A">
      <w:pPr>
        <w:keepNext/>
        <w:outlineLvl w:val="0"/>
        <w:rPr>
          <w:caps/>
        </w:rPr>
      </w:pPr>
      <w:bookmarkStart w:id="2" w:name="_Toc438657852"/>
      <w:bookmarkStart w:id="3" w:name="_Toc477797635"/>
      <w:bookmarkStart w:id="4" w:name="_Toc53663641"/>
      <w:r w:rsidRPr="001A5D5C">
        <w:rPr>
          <w:caps/>
        </w:rPr>
        <w:t>rESUMEN</w:t>
      </w:r>
      <w:bookmarkEnd w:id="2"/>
      <w:bookmarkEnd w:id="3"/>
      <w:bookmarkEnd w:id="4"/>
    </w:p>
    <w:p w:rsidR="008528F7" w:rsidRPr="001A5D5C" w:rsidRDefault="008528F7" w:rsidP="000A649A"/>
    <w:p w:rsidR="008528F7" w:rsidRPr="001A5D5C" w:rsidRDefault="000A649A" w:rsidP="008528F7">
      <w:r w:rsidRPr="001A5D5C">
        <w:fldChar w:fldCharType="begin"/>
      </w:r>
      <w:r w:rsidRPr="001A5D5C">
        <w:instrText xml:space="preserve"> AUTONUM  </w:instrText>
      </w:r>
      <w:r w:rsidRPr="001A5D5C">
        <w:fldChar w:fldCharType="end"/>
      </w:r>
      <w:r w:rsidRPr="001A5D5C">
        <w:tab/>
      </w:r>
      <w:r w:rsidR="008528F7" w:rsidRPr="001A5D5C">
        <w:t>El presente documento tiene por objeto informar de las novedades que se han producido en relación con la base de datos GENIE, el sistema de códigos de la UPOV y la base de datos PLUTO que no se examinan en otros documentos.</w:t>
      </w:r>
      <w:r w:rsidR="001A5D5C">
        <w:t xml:space="preserve"> </w:t>
      </w:r>
    </w:p>
    <w:p w:rsidR="008528F7" w:rsidRPr="001A5D5C" w:rsidRDefault="008528F7" w:rsidP="000A649A"/>
    <w:p w:rsidR="008528F7" w:rsidRPr="001A5D5C" w:rsidRDefault="000A649A" w:rsidP="008528F7">
      <w:r w:rsidRPr="001A5D5C">
        <w:fldChar w:fldCharType="begin"/>
      </w:r>
      <w:r w:rsidRPr="001A5D5C">
        <w:instrText xml:space="preserve"> AUTONUM  </w:instrText>
      </w:r>
      <w:r w:rsidRPr="001A5D5C">
        <w:fldChar w:fldCharType="end"/>
      </w:r>
      <w:r w:rsidRPr="001A5D5C">
        <w:tab/>
      </w:r>
      <w:r w:rsidR="008528F7" w:rsidRPr="001A5D5C">
        <w:t>Se invita al Comité Administrativo y Jurídico (CAJ) a tomar nota de lo siguiente:</w:t>
      </w:r>
    </w:p>
    <w:p w:rsidR="008528F7" w:rsidRPr="001A5D5C" w:rsidRDefault="008528F7" w:rsidP="000A649A">
      <w:pPr>
        <w:rPr>
          <w:rFonts w:eastAsiaTheme="minorEastAsia" w:cs="Arial"/>
        </w:rPr>
      </w:pPr>
    </w:p>
    <w:p w:rsidR="008528F7" w:rsidRPr="001A5D5C" w:rsidRDefault="000A649A" w:rsidP="003A4E64">
      <w:pPr>
        <w:jc w:val="left"/>
        <w:rPr>
          <w:rFonts w:eastAsiaTheme="minorEastAsia"/>
        </w:rPr>
      </w:pPr>
      <w:r w:rsidRPr="001A5D5C">
        <w:rPr>
          <w:rFonts w:eastAsiaTheme="minorEastAsia"/>
        </w:rPr>
        <w:tab/>
        <w:t>a)</w:t>
      </w:r>
      <w:r w:rsidRPr="001A5D5C">
        <w:rPr>
          <w:rFonts w:eastAsiaTheme="minorEastAsia"/>
        </w:rPr>
        <w:tab/>
      </w:r>
      <w:r w:rsidR="003A4E64" w:rsidRPr="001A5D5C">
        <w:rPr>
          <w:rFonts w:eastAsiaTheme="minorEastAsia"/>
        </w:rPr>
        <w:t>el documento C/54/2 “</w:t>
      </w:r>
      <w:r w:rsidR="00A557BA" w:rsidRPr="001A5D5C">
        <w:rPr>
          <w:rFonts w:eastAsiaTheme="minorEastAsia"/>
        </w:rPr>
        <w:t>I</w:t>
      </w:r>
      <w:r w:rsidR="003A4E64" w:rsidRPr="001A5D5C">
        <w:rPr>
          <w:rFonts w:eastAsiaTheme="minorEastAsia"/>
        </w:rPr>
        <w:t>nforme anual de</w:t>
      </w:r>
      <w:r w:rsidR="001830D9" w:rsidRPr="001A5D5C">
        <w:rPr>
          <w:rFonts w:eastAsiaTheme="minorEastAsia"/>
        </w:rPr>
        <w:t>l secretario general para 2019”</w:t>
      </w:r>
      <w:r w:rsidR="003A4E64" w:rsidRPr="001A5D5C">
        <w:rPr>
          <w:rFonts w:eastAsiaTheme="minorEastAsia"/>
        </w:rPr>
        <w:t xml:space="preserve"> contiene novedades sobre la información que figura en la base de datos GENIE y su uso;</w:t>
      </w:r>
    </w:p>
    <w:p w:rsidR="008528F7" w:rsidRPr="001A5D5C" w:rsidRDefault="008528F7" w:rsidP="000A649A">
      <w:pPr>
        <w:jc w:val="left"/>
        <w:rPr>
          <w:rFonts w:eastAsiaTheme="minorEastAsia"/>
        </w:rPr>
      </w:pPr>
    </w:p>
    <w:p w:rsidR="008528F7" w:rsidRPr="001A5D5C" w:rsidRDefault="000A649A" w:rsidP="0009573D">
      <w:pPr>
        <w:jc w:val="left"/>
        <w:rPr>
          <w:rFonts w:eastAsiaTheme="minorEastAsia"/>
        </w:rPr>
      </w:pPr>
      <w:r w:rsidRPr="001A5D5C">
        <w:rPr>
          <w:rFonts w:eastAsiaTheme="minorEastAsia"/>
          <w:spacing w:val="-4"/>
        </w:rPr>
        <w:tab/>
      </w:r>
      <w:r w:rsidR="0009573D" w:rsidRPr="001A5D5C">
        <w:rPr>
          <w:rFonts w:eastAsiaTheme="minorEastAsia"/>
          <w:spacing w:val="-4"/>
        </w:rPr>
        <w:t>b)</w:t>
      </w:r>
      <w:r w:rsidR="0009573D" w:rsidRPr="001A5D5C">
        <w:rPr>
          <w:rFonts w:eastAsiaTheme="minorEastAsia"/>
          <w:spacing w:val="-4"/>
        </w:rPr>
        <w:tab/>
        <w:t xml:space="preserve">se crearon 145 nuevos códigos UPOV </w:t>
      </w:r>
      <w:r w:rsidR="001830D9" w:rsidRPr="001A5D5C">
        <w:rPr>
          <w:rFonts w:eastAsiaTheme="minorEastAsia"/>
          <w:spacing w:val="-4"/>
        </w:rPr>
        <w:t>en 2020, hasta el</w:t>
      </w:r>
      <w:r w:rsidR="0009573D" w:rsidRPr="001A5D5C">
        <w:rPr>
          <w:rFonts w:eastAsiaTheme="minorEastAsia"/>
          <w:spacing w:val="-4"/>
        </w:rPr>
        <w:t xml:space="preserve"> 30 de agosto, y la base de datos GENIE contiene en total 9.178 códigos UPOV;</w:t>
      </w:r>
    </w:p>
    <w:p w:rsidR="008528F7" w:rsidRPr="001A5D5C" w:rsidRDefault="008528F7" w:rsidP="000A649A">
      <w:pPr>
        <w:jc w:val="left"/>
        <w:rPr>
          <w:rFonts w:eastAsiaTheme="minorEastAsia"/>
        </w:rPr>
      </w:pPr>
    </w:p>
    <w:p w:rsidR="008528F7" w:rsidRPr="001A5D5C" w:rsidRDefault="000A649A" w:rsidP="0009573D">
      <w:pPr>
        <w:jc w:val="left"/>
        <w:rPr>
          <w:rFonts w:eastAsiaTheme="minorEastAsia"/>
        </w:rPr>
      </w:pPr>
      <w:r w:rsidRPr="001A5D5C">
        <w:rPr>
          <w:rFonts w:eastAsiaTheme="minorEastAsia"/>
        </w:rPr>
        <w:tab/>
      </w:r>
      <w:r w:rsidR="0009573D" w:rsidRPr="001A5D5C">
        <w:rPr>
          <w:rFonts w:eastAsiaTheme="minorEastAsia"/>
        </w:rPr>
        <w:t>c)</w:t>
      </w:r>
      <w:r w:rsidR="0009573D" w:rsidRPr="001A5D5C">
        <w:rPr>
          <w:rFonts w:eastAsiaTheme="minorEastAsia"/>
        </w:rPr>
        <w:tab/>
        <w:t>se invitará al CAJ a examinar el documento UPOV/INF/23/1, sobre la base del documento UPOV/INF/23/1 Draft 1 “Orientación acerca del sistema de códigos de la UPOV”, de acuerdo con lo expuesto</w:t>
      </w:r>
      <w:r w:rsidR="001830D9" w:rsidRPr="001A5D5C">
        <w:rPr>
          <w:rFonts w:eastAsiaTheme="minorEastAsia"/>
        </w:rPr>
        <w:t xml:space="preserve"> en el documento CAJ/77/3 </w:t>
      </w:r>
      <w:r w:rsidR="0009573D" w:rsidRPr="001A5D5C">
        <w:rPr>
          <w:rFonts w:eastAsiaTheme="minorEastAsia"/>
        </w:rPr>
        <w:t>Rev. “Elaboración de orientaciones y material de información”;</w:t>
      </w:r>
    </w:p>
    <w:p w:rsidR="008528F7" w:rsidRPr="001A5D5C" w:rsidRDefault="008528F7" w:rsidP="000A649A">
      <w:pPr>
        <w:jc w:val="left"/>
        <w:rPr>
          <w:rFonts w:eastAsiaTheme="minorEastAsia"/>
        </w:rPr>
      </w:pPr>
    </w:p>
    <w:p w:rsidR="008528F7" w:rsidRPr="001A5D5C" w:rsidRDefault="000A649A" w:rsidP="00E0487C">
      <w:pPr>
        <w:jc w:val="left"/>
        <w:rPr>
          <w:rFonts w:eastAsiaTheme="minorEastAsia"/>
        </w:rPr>
      </w:pPr>
      <w:r w:rsidRPr="001A5D5C">
        <w:rPr>
          <w:rFonts w:eastAsiaTheme="minorEastAsia"/>
        </w:rPr>
        <w:tab/>
      </w:r>
      <w:r w:rsidR="00E0487C" w:rsidRPr="001A5D5C">
        <w:rPr>
          <w:rFonts w:eastAsiaTheme="minorEastAsia"/>
        </w:rPr>
        <w:t>d)</w:t>
      </w:r>
      <w:r w:rsidR="00E0487C" w:rsidRPr="001A5D5C">
        <w:rPr>
          <w:rFonts w:eastAsiaTheme="minorEastAsia"/>
        </w:rPr>
        <w:tab/>
        <w:t>las cuestiones relativas a la base de datos sobre variedades vegetales PLUTO se exponen en el documento CAJ/77/8 “Base de datos sobre variedades vegetales PLUTO”; y</w:t>
      </w:r>
    </w:p>
    <w:p w:rsidR="008528F7" w:rsidRPr="001A5D5C" w:rsidRDefault="008528F7" w:rsidP="000A649A">
      <w:pPr>
        <w:jc w:val="left"/>
        <w:rPr>
          <w:rFonts w:eastAsiaTheme="minorEastAsia"/>
        </w:rPr>
      </w:pPr>
    </w:p>
    <w:p w:rsidR="008528F7" w:rsidRPr="001A5D5C" w:rsidRDefault="000A649A" w:rsidP="00E0487C">
      <w:pPr>
        <w:jc w:val="left"/>
        <w:rPr>
          <w:rFonts w:eastAsiaTheme="minorEastAsia"/>
        </w:rPr>
      </w:pPr>
      <w:r w:rsidRPr="001A5D5C">
        <w:rPr>
          <w:rFonts w:eastAsiaTheme="minorEastAsia"/>
        </w:rPr>
        <w:tab/>
      </w:r>
      <w:r w:rsidR="00E0487C" w:rsidRPr="001A5D5C">
        <w:rPr>
          <w:rFonts w:eastAsiaTheme="minorEastAsia"/>
        </w:rPr>
        <w:t>e)</w:t>
      </w:r>
      <w:r w:rsidR="00E0487C" w:rsidRPr="001A5D5C">
        <w:rPr>
          <w:rFonts w:eastAsiaTheme="minorEastAsia"/>
        </w:rPr>
        <w:tab/>
        <w:t>las cuestiones relativas a la posible elaboración de un instrumento de búsqueda de similitud a los fines de la denominación de variedades se examinan en el documento CAJ/77/7 “</w:t>
      </w:r>
      <w:r w:rsidR="001830D9" w:rsidRPr="001A5D5C">
        <w:rPr>
          <w:rFonts w:eastAsiaTheme="minorEastAsia"/>
        </w:rPr>
        <w:t>Instrumento</w:t>
      </w:r>
      <w:r w:rsidR="00E0487C" w:rsidRPr="001A5D5C">
        <w:rPr>
          <w:rFonts w:eastAsiaTheme="minorEastAsia"/>
        </w:rPr>
        <w:t xml:space="preserve"> de la UPOV de búsqueda de similitud a los fines de la denominación de variedades”.</w:t>
      </w:r>
    </w:p>
    <w:p w:rsidR="008528F7" w:rsidRPr="001A5D5C" w:rsidRDefault="008528F7" w:rsidP="000A649A">
      <w:pPr>
        <w:jc w:val="left"/>
        <w:rPr>
          <w:rFonts w:cs="Arial"/>
          <w:snapToGrid w:val="0"/>
        </w:rPr>
      </w:pPr>
    </w:p>
    <w:p w:rsidR="008528F7" w:rsidRPr="001A5D5C" w:rsidRDefault="000A649A" w:rsidP="000A649A">
      <w:pPr>
        <w:keepNext/>
        <w:keepLines/>
      </w:pPr>
      <w:r w:rsidRPr="001A5D5C">
        <w:fldChar w:fldCharType="begin"/>
      </w:r>
      <w:r w:rsidRPr="001A5D5C">
        <w:instrText xml:space="preserve"> AUTONUM  </w:instrText>
      </w:r>
      <w:r w:rsidRPr="001A5D5C">
        <w:fldChar w:fldCharType="end"/>
      </w:r>
      <w:r w:rsidRPr="001A5D5C">
        <w:tab/>
      </w:r>
      <w:r w:rsidR="001830D9" w:rsidRPr="001A5D5C">
        <w:t>La estructura del presente documento es la siguiente</w:t>
      </w:r>
      <w:r w:rsidRPr="001A5D5C">
        <w:t>:</w:t>
      </w:r>
    </w:p>
    <w:p w:rsidR="001830D9" w:rsidRPr="001A5D5C" w:rsidRDefault="000A649A" w:rsidP="00AE5691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A5D5C">
        <w:rPr>
          <w:rFonts w:eastAsiaTheme="minorEastAsia" w:cs="Arial"/>
          <w:szCs w:val="18"/>
          <w:lang w:eastAsia="ja-JP"/>
        </w:rPr>
        <w:fldChar w:fldCharType="begin"/>
      </w:r>
      <w:r w:rsidRPr="001A5D5C">
        <w:rPr>
          <w:rFonts w:eastAsiaTheme="minorEastAsia" w:cs="Arial"/>
          <w:bCs/>
          <w:lang w:eastAsia="ja-JP"/>
        </w:rPr>
        <w:instrText xml:space="preserve"> TOC \o "1-3" \h \z \u </w:instrText>
      </w:r>
      <w:r w:rsidRPr="001A5D5C">
        <w:rPr>
          <w:rFonts w:eastAsiaTheme="minorEastAsia" w:cs="Arial"/>
          <w:szCs w:val="18"/>
          <w:lang w:eastAsia="ja-JP"/>
        </w:rPr>
        <w:fldChar w:fldCharType="separate"/>
      </w:r>
      <w:hyperlink w:anchor="_Toc53663641" w:history="1">
        <w:r w:rsidR="001830D9" w:rsidRPr="001A5D5C">
          <w:rPr>
            <w:rStyle w:val="Hyperlink"/>
            <w:noProof/>
            <w:lang w:val="es-ES_tradnl"/>
          </w:rPr>
          <w:t>rESUMEN</w:t>
        </w:r>
        <w:r w:rsidR="001830D9" w:rsidRPr="001A5D5C">
          <w:rPr>
            <w:noProof/>
            <w:webHidden/>
          </w:rPr>
          <w:tab/>
        </w:r>
        <w:r w:rsidR="001830D9" w:rsidRPr="001A5D5C">
          <w:rPr>
            <w:noProof/>
            <w:webHidden/>
          </w:rPr>
          <w:fldChar w:fldCharType="begin"/>
        </w:r>
        <w:r w:rsidR="001830D9" w:rsidRPr="001A5D5C">
          <w:rPr>
            <w:noProof/>
            <w:webHidden/>
          </w:rPr>
          <w:instrText xml:space="preserve"> PAGEREF _Toc53663641 \h </w:instrText>
        </w:r>
        <w:r w:rsidR="001830D9" w:rsidRPr="001A5D5C">
          <w:rPr>
            <w:noProof/>
            <w:webHidden/>
          </w:rPr>
        </w:r>
        <w:r w:rsidR="001830D9" w:rsidRPr="001A5D5C">
          <w:rPr>
            <w:noProof/>
            <w:webHidden/>
          </w:rPr>
          <w:fldChar w:fldCharType="separate"/>
        </w:r>
        <w:r w:rsidR="001A5D5C" w:rsidRPr="001A5D5C">
          <w:rPr>
            <w:noProof/>
            <w:webHidden/>
          </w:rPr>
          <w:t>1</w:t>
        </w:r>
        <w:r w:rsidR="001830D9" w:rsidRPr="001A5D5C">
          <w:rPr>
            <w:noProof/>
            <w:webHidden/>
          </w:rPr>
          <w:fldChar w:fldCharType="end"/>
        </w:r>
      </w:hyperlink>
    </w:p>
    <w:p w:rsidR="001830D9" w:rsidRPr="001A5D5C" w:rsidRDefault="00AE5691" w:rsidP="00AE5691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663642" w:history="1">
        <w:r w:rsidR="001830D9" w:rsidRPr="001A5D5C">
          <w:rPr>
            <w:rStyle w:val="Hyperlink"/>
            <w:noProof/>
            <w:lang w:val="es-ES_tradnl"/>
          </w:rPr>
          <w:t>BASE DE DATOS GENIE</w:t>
        </w:r>
        <w:r w:rsidR="001830D9" w:rsidRPr="001A5D5C">
          <w:rPr>
            <w:noProof/>
            <w:webHidden/>
          </w:rPr>
          <w:tab/>
        </w:r>
        <w:r w:rsidR="001830D9" w:rsidRPr="001A5D5C">
          <w:rPr>
            <w:noProof/>
            <w:webHidden/>
          </w:rPr>
          <w:fldChar w:fldCharType="begin"/>
        </w:r>
        <w:r w:rsidR="001830D9" w:rsidRPr="001A5D5C">
          <w:rPr>
            <w:noProof/>
            <w:webHidden/>
          </w:rPr>
          <w:instrText xml:space="preserve"> PAGEREF _Toc53663642 \h </w:instrText>
        </w:r>
        <w:r w:rsidR="001830D9" w:rsidRPr="001A5D5C">
          <w:rPr>
            <w:noProof/>
            <w:webHidden/>
          </w:rPr>
        </w:r>
        <w:r w:rsidR="001830D9" w:rsidRPr="001A5D5C">
          <w:rPr>
            <w:noProof/>
            <w:webHidden/>
          </w:rPr>
          <w:fldChar w:fldCharType="separate"/>
        </w:r>
        <w:r w:rsidR="001A5D5C" w:rsidRPr="001A5D5C">
          <w:rPr>
            <w:noProof/>
            <w:webHidden/>
          </w:rPr>
          <w:t>2</w:t>
        </w:r>
        <w:r w:rsidR="001830D9" w:rsidRPr="001A5D5C">
          <w:rPr>
            <w:noProof/>
            <w:webHidden/>
          </w:rPr>
          <w:fldChar w:fldCharType="end"/>
        </w:r>
      </w:hyperlink>
    </w:p>
    <w:p w:rsidR="001830D9" w:rsidRPr="001A5D5C" w:rsidRDefault="00AE5691" w:rsidP="00AE5691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663643" w:history="1">
        <w:r w:rsidR="001830D9" w:rsidRPr="001A5D5C">
          <w:rPr>
            <w:rStyle w:val="Hyperlink"/>
            <w:noProof/>
            <w:lang w:val="es-ES_tradnl"/>
          </w:rPr>
          <w:t>SISTEMA DE CÓDIGOS DE LA UPOV</w:t>
        </w:r>
        <w:r w:rsidR="001830D9" w:rsidRPr="001A5D5C">
          <w:rPr>
            <w:noProof/>
            <w:webHidden/>
          </w:rPr>
          <w:tab/>
        </w:r>
        <w:r w:rsidR="001830D9" w:rsidRPr="001A5D5C">
          <w:rPr>
            <w:noProof/>
            <w:webHidden/>
          </w:rPr>
          <w:fldChar w:fldCharType="begin"/>
        </w:r>
        <w:r w:rsidR="001830D9" w:rsidRPr="001A5D5C">
          <w:rPr>
            <w:noProof/>
            <w:webHidden/>
          </w:rPr>
          <w:instrText xml:space="preserve"> PAGEREF _Toc53663643 \h </w:instrText>
        </w:r>
        <w:r w:rsidR="001830D9" w:rsidRPr="001A5D5C">
          <w:rPr>
            <w:noProof/>
            <w:webHidden/>
          </w:rPr>
        </w:r>
        <w:r w:rsidR="001830D9" w:rsidRPr="001A5D5C">
          <w:rPr>
            <w:noProof/>
            <w:webHidden/>
          </w:rPr>
          <w:fldChar w:fldCharType="separate"/>
        </w:r>
        <w:r w:rsidR="001A5D5C" w:rsidRPr="001A5D5C">
          <w:rPr>
            <w:noProof/>
            <w:webHidden/>
          </w:rPr>
          <w:t>2</w:t>
        </w:r>
        <w:r w:rsidR="001830D9" w:rsidRPr="001A5D5C">
          <w:rPr>
            <w:noProof/>
            <w:webHidden/>
          </w:rPr>
          <w:fldChar w:fldCharType="end"/>
        </w:r>
      </w:hyperlink>
    </w:p>
    <w:p w:rsidR="001830D9" w:rsidRPr="001A5D5C" w:rsidRDefault="00AE569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s-ES_tradnl"/>
        </w:rPr>
      </w:pPr>
      <w:hyperlink w:anchor="_Toc53663644" w:history="1">
        <w:r w:rsidR="001830D9" w:rsidRPr="001A5D5C">
          <w:rPr>
            <w:rStyle w:val="Hyperlink"/>
            <w:smallCaps w:val="0"/>
            <w:noProof/>
            <w:lang w:val="es-ES_tradnl"/>
          </w:rPr>
          <w:t>Orientación acerca del sistema de códigos de la UPOV</w:t>
        </w:r>
        <w:r w:rsidR="001830D9" w:rsidRPr="001A5D5C">
          <w:rPr>
            <w:smallCaps w:val="0"/>
            <w:noProof/>
            <w:webHidden/>
            <w:lang w:val="es-ES_tradnl"/>
          </w:rPr>
          <w:tab/>
        </w:r>
        <w:r w:rsidR="001830D9" w:rsidRPr="001A5D5C">
          <w:rPr>
            <w:smallCaps w:val="0"/>
            <w:noProof/>
            <w:webHidden/>
            <w:lang w:val="es-ES_tradnl"/>
          </w:rPr>
          <w:fldChar w:fldCharType="begin"/>
        </w:r>
        <w:r w:rsidR="001830D9" w:rsidRPr="001A5D5C">
          <w:rPr>
            <w:smallCaps w:val="0"/>
            <w:noProof/>
            <w:webHidden/>
            <w:lang w:val="es-ES_tradnl"/>
          </w:rPr>
          <w:instrText xml:space="preserve"> PAGEREF _Toc53663644 \h </w:instrText>
        </w:r>
        <w:r w:rsidR="001830D9" w:rsidRPr="001A5D5C">
          <w:rPr>
            <w:smallCaps w:val="0"/>
            <w:noProof/>
            <w:webHidden/>
            <w:lang w:val="es-ES_tradnl"/>
          </w:rPr>
        </w:r>
        <w:r w:rsidR="001830D9" w:rsidRPr="001A5D5C">
          <w:rPr>
            <w:smallCaps w:val="0"/>
            <w:noProof/>
            <w:webHidden/>
            <w:lang w:val="es-ES_tradnl"/>
          </w:rPr>
          <w:fldChar w:fldCharType="separate"/>
        </w:r>
        <w:r w:rsidR="001A5D5C" w:rsidRPr="001A5D5C">
          <w:rPr>
            <w:smallCaps w:val="0"/>
            <w:noProof/>
            <w:webHidden/>
            <w:lang w:val="es-ES_tradnl"/>
          </w:rPr>
          <w:t>2</w:t>
        </w:r>
        <w:r w:rsidR="001830D9" w:rsidRPr="001A5D5C">
          <w:rPr>
            <w:smallCaps w:val="0"/>
            <w:noProof/>
            <w:webHidden/>
            <w:lang w:val="es-ES_tradnl"/>
          </w:rPr>
          <w:fldChar w:fldCharType="end"/>
        </w:r>
      </w:hyperlink>
    </w:p>
    <w:p w:rsidR="001830D9" w:rsidRPr="001A5D5C" w:rsidRDefault="00AE569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s-ES_tradnl"/>
        </w:rPr>
      </w:pPr>
      <w:hyperlink w:anchor="_Toc53663645" w:history="1">
        <w:r w:rsidR="001830D9" w:rsidRPr="001A5D5C">
          <w:rPr>
            <w:rStyle w:val="Hyperlink"/>
            <w:smallCaps w:val="0"/>
            <w:noProof/>
            <w:lang w:val="es-ES_tradnl"/>
          </w:rPr>
          <w:t>Novedades en materia de códigos UPOV</w:t>
        </w:r>
        <w:r w:rsidR="001830D9" w:rsidRPr="001A5D5C">
          <w:rPr>
            <w:smallCaps w:val="0"/>
            <w:noProof/>
            <w:webHidden/>
            <w:lang w:val="es-ES_tradnl"/>
          </w:rPr>
          <w:tab/>
        </w:r>
        <w:r w:rsidR="001830D9" w:rsidRPr="001A5D5C">
          <w:rPr>
            <w:smallCaps w:val="0"/>
            <w:noProof/>
            <w:webHidden/>
            <w:lang w:val="es-ES_tradnl"/>
          </w:rPr>
          <w:fldChar w:fldCharType="begin"/>
        </w:r>
        <w:r w:rsidR="001830D9" w:rsidRPr="001A5D5C">
          <w:rPr>
            <w:smallCaps w:val="0"/>
            <w:noProof/>
            <w:webHidden/>
            <w:lang w:val="es-ES_tradnl"/>
          </w:rPr>
          <w:instrText xml:space="preserve"> PAGEREF _Toc53663645 \h </w:instrText>
        </w:r>
        <w:r w:rsidR="001830D9" w:rsidRPr="001A5D5C">
          <w:rPr>
            <w:smallCaps w:val="0"/>
            <w:noProof/>
            <w:webHidden/>
            <w:lang w:val="es-ES_tradnl"/>
          </w:rPr>
        </w:r>
        <w:r w:rsidR="001830D9" w:rsidRPr="001A5D5C">
          <w:rPr>
            <w:smallCaps w:val="0"/>
            <w:noProof/>
            <w:webHidden/>
            <w:lang w:val="es-ES_tradnl"/>
          </w:rPr>
          <w:fldChar w:fldCharType="separate"/>
        </w:r>
        <w:r w:rsidR="001A5D5C" w:rsidRPr="001A5D5C">
          <w:rPr>
            <w:smallCaps w:val="0"/>
            <w:noProof/>
            <w:webHidden/>
            <w:lang w:val="es-ES_tradnl"/>
          </w:rPr>
          <w:t>2</w:t>
        </w:r>
        <w:r w:rsidR="001830D9" w:rsidRPr="001A5D5C">
          <w:rPr>
            <w:smallCaps w:val="0"/>
            <w:noProof/>
            <w:webHidden/>
            <w:lang w:val="es-ES_tradnl"/>
          </w:rPr>
          <w:fldChar w:fldCharType="end"/>
        </w:r>
      </w:hyperlink>
    </w:p>
    <w:p w:rsidR="001830D9" w:rsidRPr="001A5D5C" w:rsidRDefault="00AE5691" w:rsidP="00AE5691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663646" w:history="1">
        <w:r w:rsidR="001830D9" w:rsidRPr="001A5D5C">
          <w:rPr>
            <w:rStyle w:val="Hyperlink"/>
            <w:noProof/>
            <w:lang w:val="es-ES_tradnl"/>
          </w:rPr>
          <w:t>BASE DE DATOS PLUTO</w:t>
        </w:r>
        <w:r w:rsidR="001830D9" w:rsidRPr="001A5D5C">
          <w:rPr>
            <w:noProof/>
            <w:webHidden/>
          </w:rPr>
          <w:tab/>
        </w:r>
        <w:r w:rsidR="001830D9" w:rsidRPr="001A5D5C">
          <w:rPr>
            <w:noProof/>
            <w:webHidden/>
          </w:rPr>
          <w:fldChar w:fldCharType="begin"/>
        </w:r>
        <w:r w:rsidR="001830D9" w:rsidRPr="001A5D5C">
          <w:rPr>
            <w:noProof/>
            <w:webHidden/>
          </w:rPr>
          <w:instrText xml:space="preserve"> PAGEREF _Toc53663646 \h </w:instrText>
        </w:r>
        <w:r w:rsidR="001830D9" w:rsidRPr="001A5D5C">
          <w:rPr>
            <w:noProof/>
            <w:webHidden/>
          </w:rPr>
        </w:r>
        <w:r w:rsidR="001830D9" w:rsidRPr="001A5D5C">
          <w:rPr>
            <w:noProof/>
            <w:webHidden/>
          </w:rPr>
          <w:fldChar w:fldCharType="separate"/>
        </w:r>
        <w:r w:rsidR="001A5D5C" w:rsidRPr="001A5D5C">
          <w:rPr>
            <w:noProof/>
            <w:webHidden/>
          </w:rPr>
          <w:t>3</w:t>
        </w:r>
        <w:r w:rsidR="001830D9" w:rsidRPr="001A5D5C">
          <w:rPr>
            <w:noProof/>
            <w:webHidden/>
          </w:rPr>
          <w:fldChar w:fldCharType="end"/>
        </w:r>
      </w:hyperlink>
    </w:p>
    <w:p w:rsidR="001830D9" w:rsidRPr="001A5D5C" w:rsidRDefault="00AE569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s-ES_tradnl"/>
        </w:rPr>
      </w:pPr>
      <w:hyperlink w:anchor="_Toc53663647" w:history="1">
        <w:r w:rsidR="001830D9" w:rsidRPr="001A5D5C">
          <w:rPr>
            <w:rStyle w:val="Hyperlink"/>
            <w:smallCaps w:val="0"/>
            <w:noProof/>
            <w:lang w:val="es-ES_tradnl"/>
          </w:rPr>
          <w:t xml:space="preserve">Programa de mejoras de la base de datos </w:t>
        </w:r>
        <w:r w:rsidR="001830D9" w:rsidRPr="001A5D5C">
          <w:rPr>
            <w:rStyle w:val="Hyperlink"/>
            <w:noProof/>
            <w:lang w:val="es-ES_tradnl"/>
          </w:rPr>
          <w:t>PLUTO</w:t>
        </w:r>
        <w:r w:rsidR="001830D9" w:rsidRPr="001A5D5C">
          <w:rPr>
            <w:noProof/>
            <w:webHidden/>
            <w:lang w:val="es-ES_tradnl"/>
          </w:rPr>
          <w:tab/>
        </w:r>
        <w:r w:rsidR="001830D9" w:rsidRPr="001A5D5C">
          <w:rPr>
            <w:noProof/>
            <w:webHidden/>
            <w:lang w:val="es-ES_tradnl"/>
          </w:rPr>
          <w:fldChar w:fldCharType="begin"/>
        </w:r>
        <w:r w:rsidR="001830D9" w:rsidRPr="001A5D5C">
          <w:rPr>
            <w:noProof/>
            <w:webHidden/>
            <w:lang w:val="es-ES_tradnl"/>
          </w:rPr>
          <w:instrText xml:space="preserve"> PAGEREF _Toc53663647 \h </w:instrText>
        </w:r>
        <w:r w:rsidR="001830D9" w:rsidRPr="001A5D5C">
          <w:rPr>
            <w:noProof/>
            <w:webHidden/>
            <w:lang w:val="es-ES_tradnl"/>
          </w:rPr>
        </w:r>
        <w:r w:rsidR="001830D9" w:rsidRPr="001A5D5C">
          <w:rPr>
            <w:noProof/>
            <w:webHidden/>
            <w:lang w:val="es-ES_tradnl"/>
          </w:rPr>
          <w:fldChar w:fldCharType="separate"/>
        </w:r>
        <w:r w:rsidR="001A5D5C" w:rsidRPr="001A5D5C">
          <w:rPr>
            <w:noProof/>
            <w:webHidden/>
            <w:lang w:val="es-ES_tradnl"/>
          </w:rPr>
          <w:t>3</w:t>
        </w:r>
        <w:r w:rsidR="001830D9" w:rsidRPr="001A5D5C">
          <w:rPr>
            <w:noProof/>
            <w:webHidden/>
            <w:lang w:val="es-ES_tradnl"/>
          </w:rPr>
          <w:fldChar w:fldCharType="end"/>
        </w:r>
      </w:hyperlink>
    </w:p>
    <w:p w:rsidR="001830D9" w:rsidRPr="001A5D5C" w:rsidRDefault="00AE569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s-ES_tradnl"/>
        </w:rPr>
      </w:pPr>
      <w:hyperlink w:anchor="_Toc53663648" w:history="1">
        <w:r w:rsidR="001830D9" w:rsidRPr="001A5D5C">
          <w:rPr>
            <w:rStyle w:val="Hyperlink"/>
            <w:smallCaps w:val="0"/>
            <w:noProof/>
            <w:lang w:val="es-ES_tradnl"/>
          </w:rPr>
          <w:t>Instrumentos de búsqueda</w:t>
        </w:r>
        <w:r w:rsidR="001830D9" w:rsidRPr="001A5D5C">
          <w:rPr>
            <w:smallCaps w:val="0"/>
            <w:noProof/>
            <w:webHidden/>
            <w:lang w:val="es-ES_tradnl"/>
          </w:rPr>
          <w:tab/>
        </w:r>
        <w:r w:rsidR="001830D9" w:rsidRPr="001A5D5C">
          <w:rPr>
            <w:smallCaps w:val="0"/>
            <w:noProof/>
            <w:webHidden/>
            <w:lang w:val="es-ES_tradnl"/>
          </w:rPr>
          <w:fldChar w:fldCharType="begin"/>
        </w:r>
        <w:r w:rsidR="001830D9" w:rsidRPr="001A5D5C">
          <w:rPr>
            <w:smallCaps w:val="0"/>
            <w:noProof/>
            <w:webHidden/>
            <w:lang w:val="es-ES_tradnl"/>
          </w:rPr>
          <w:instrText xml:space="preserve"> PAGEREF _Toc53663648 \h </w:instrText>
        </w:r>
        <w:r w:rsidR="001830D9" w:rsidRPr="001A5D5C">
          <w:rPr>
            <w:smallCaps w:val="0"/>
            <w:noProof/>
            <w:webHidden/>
            <w:lang w:val="es-ES_tradnl"/>
          </w:rPr>
        </w:r>
        <w:r w:rsidR="001830D9" w:rsidRPr="001A5D5C">
          <w:rPr>
            <w:smallCaps w:val="0"/>
            <w:noProof/>
            <w:webHidden/>
            <w:lang w:val="es-ES_tradnl"/>
          </w:rPr>
          <w:fldChar w:fldCharType="separate"/>
        </w:r>
        <w:r w:rsidR="001A5D5C" w:rsidRPr="001A5D5C">
          <w:rPr>
            <w:smallCaps w:val="0"/>
            <w:noProof/>
            <w:webHidden/>
            <w:lang w:val="es-ES_tradnl"/>
          </w:rPr>
          <w:t>3</w:t>
        </w:r>
        <w:r w:rsidR="001830D9" w:rsidRPr="001A5D5C">
          <w:rPr>
            <w:smallCaps w:val="0"/>
            <w:noProof/>
            <w:webHidden/>
            <w:lang w:val="es-ES_tradnl"/>
          </w:rPr>
          <w:fldChar w:fldCharType="end"/>
        </w:r>
      </w:hyperlink>
    </w:p>
    <w:p w:rsidR="00AE5691" w:rsidRDefault="000A649A" w:rsidP="001A5D5C">
      <w:pPr>
        <w:tabs>
          <w:tab w:val="right" w:leader="dot" w:pos="9639"/>
        </w:tabs>
        <w:spacing w:before="60" w:after="120"/>
        <w:ind w:left="567" w:right="1418" w:hanging="567"/>
        <w:jc w:val="left"/>
        <w:rPr>
          <w:rFonts w:eastAsiaTheme="minorEastAsia" w:cs="Arial"/>
          <w:caps/>
          <w:noProof/>
          <w:sz w:val="18"/>
          <w:lang w:eastAsia="ja-JP"/>
        </w:rPr>
      </w:pPr>
      <w:r w:rsidRPr="001A5D5C">
        <w:rPr>
          <w:rFonts w:eastAsiaTheme="minorEastAsia" w:cs="Arial"/>
          <w:caps/>
          <w:noProof/>
          <w:sz w:val="18"/>
          <w:lang w:eastAsia="ja-JP"/>
        </w:rPr>
        <w:fldChar w:fldCharType="end"/>
      </w:r>
    </w:p>
    <w:p w:rsidR="008528F7" w:rsidRPr="001A5D5C" w:rsidRDefault="000A649A" w:rsidP="001A5D5C">
      <w:pPr>
        <w:tabs>
          <w:tab w:val="right" w:leader="dot" w:pos="9639"/>
        </w:tabs>
        <w:spacing w:before="60" w:after="120"/>
        <w:ind w:left="567" w:right="1418" w:hanging="567"/>
        <w:jc w:val="left"/>
      </w:pPr>
      <w:r w:rsidRPr="001A5D5C">
        <w:rPr>
          <w:color w:val="000000"/>
        </w:rPr>
        <w:fldChar w:fldCharType="begin"/>
      </w:r>
      <w:r w:rsidRPr="001A5D5C">
        <w:rPr>
          <w:color w:val="000000"/>
        </w:rPr>
        <w:instrText xml:space="preserve"> AUTONUM  </w:instrText>
      </w:r>
      <w:r w:rsidRPr="001A5D5C">
        <w:rPr>
          <w:color w:val="000000"/>
        </w:rPr>
        <w:fldChar w:fldCharType="end"/>
      </w:r>
      <w:r w:rsidRPr="001A5D5C">
        <w:rPr>
          <w:color w:val="000000"/>
        </w:rPr>
        <w:tab/>
      </w:r>
      <w:r w:rsidR="006F364D" w:rsidRPr="001A5D5C">
        <w:t>En el presente documento se utilizan las abreviaturas siguientes:</w:t>
      </w:r>
    </w:p>
    <w:p w:rsidR="008528F7" w:rsidRPr="001A5D5C" w:rsidRDefault="006F364D" w:rsidP="006F364D">
      <w:pPr>
        <w:tabs>
          <w:tab w:val="left" w:pos="1701"/>
        </w:tabs>
        <w:ind w:left="567"/>
      </w:pPr>
      <w:r w:rsidRPr="001A5D5C">
        <w:t>CAJ:</w:t>
      </w:r>
      <w:r w:rsidRPr="001A5D5C">
        <w:tab/>
      </w:r>
      <w:r w:rsidRPr="001A5D5C">
        <w:tab/>
        <w:t>Comité Administrativo y Jurídico</w:t>
      </w:r>
      <w:r w:rsidR="000A649A" w:rsidRPr="001A5D5C">
        <w:t xml:space="preserve"> </w:t>
      </w:r>
    </w:p>
    <w:p w:rsidR="008528F7" w:rsidRPr="001A5D5C" w:rsidRDefault="006F364D" w:rsidP="006F364D">
      <w:pPr>
        <w:tabs>
          <w:tab w:val="left" w:pos="1701"/>
        </w:tabs>
        <w:ind w:left="567"/>
      </w:pPr>
      <w:r w:rsidRPr="001A5D5C">
        <w:t>TC:</w:t>
      </w:r>
      <w:r w:rsidRPr="001A5D5C">
        <w:tab/>
        <w:t>Comité Técnico</w:t>
      </w:r>
    </w:p>
    <w:p w:rsidR="008528F7" w:rsidRPr="001A5D5C" w:rsidRDefault="006F364D" w:rsidP="001A5D5C">
      <w:pPr>
        <w:ind w:left="567"/>
        <w:rPr>
          <w:rFonts w:cs="Arial"/>
        </w:rPr>
      </w:pPr>
      <w:r w:rsidRPr="001A5D5C">
        <w:rPr>
          <w:rFonts w:cs="Arial"/>
        </w:rPr>
        <w:t>WG-DEN:</w:t>
      </w:r>
      <w:r w:rsidRPr="001A5D5C">
        <w:rPr>
          <w:rFonts w:cs="Arial"/>
        </w:rPr>
        <w:tab/>
        <w:t>Grupo de Trabajo sobre Denominaciones de Variedades</w:t>
      </w:r>
      <w:r w:rsidR="000A649A" w:rsidRPr="001A5D5C">
        <w:rPr>
          <w:rFonts w:cs="Arial"/>
        </w:rPr>
        <w:br w:type="page"/>
      </w:r>
    </w:p>
    <w:p w:rsidR="008528F7" w:rsidRPr="001A5D5C" w:rsidRDefault="006F364D" w:rsidP="001C55DA">
      <w:pPr>
        <w:pStyle w:val="Heading1"/>
      </w:pPr>
      <w:bookmarkStart w:id="5" w:name="_Toc53663642"/>
      <w:bookmarkStart w:id="6" w:name="_Toc522275158"/>
      <w:r w:rsidRPr="001A5D5C">
        <w:lastRenderedPageBreak/>
        <w:t>BASE DE DATOS GENIE</w:t>
      </w:r>
      <w:bookmarkEnd w:id="5"/>
    </w:p>
    <w:p w:rsidR="008528F7" w:rsidRPr="001A5D5C" w:rsidRDefault="008528F7" w:rsidP="000A649A">
      <w:pPr>
        <w:keepNext/>
        <w:outlineLvl w:val="0"/>
        <w:rPr>
          <w:rFonts w:eastAsiaTheme="minorEastAsia"/>
          <w:caps/>
        </w:rPr>
      </w:pPr>
    </w:p>
    <w:p w:rsidR="008528F7" w:rsidRPr="001A5D5C" w:rsidRDefault="000A649A" w:rsidP="00627CC7">
      <w:pPr>
        <w:rPr>
          <w:rFonts w:eastAsiaTheme="minorEastAsia"/>
        </w:rPr>
      </w:pPr>
      <w:r w:rsidRPr="001A5D5C">
        <w:rPr>
          <w:rFonts w:eastAsiaTheme="minorEastAsia"/>
          <w:spacing w:val="-4"/>
        </w:rPr>
        <w:fldChar w:fldCharType="begin"/>
      </w:r>
      <w:r w:rsidRPr="001A5D5C">
        <w:rPr>
          <w:rFonts w:eastAsiaTheme="minorEastAsia"/>
          <w:spacing w:val="-4"/>
        </w:rPr>
        <w:instrText xml:space="preserve"> AUTONUM  </w:instrText>
      </w:r>
      <w:r w:rsidRPr="001A5D5C">
        <w:rPr>
          <w:rFonts w:eastAsiaTheme="minorEastAsia"/>
          <w:spacing w:val="-4"/>
        </w:rPr>
        <w:fldChar w:fldCharType="end"/>
      </w:r>
      <w:r w:rsidRPr="001A5D5C">
        <w:rPr>
          <w:rFonts w:eastAsiaTheme="minorEastAsia"/>
          <w:spacing w:val="-4"/>
        </w:rPr>
        <w:tab/>
      </w:r>
      <w:r w:rsidR="00627CC7" w:rsidRPr="001A5D5C">
        <w:rPr>
          <w:rFonts w:eastAsiaTheme="minorEastAsia"/>
          <w:spacing w:val="-4"/>
        </w:rPr>
        <w:t>La base de datos GENIE (http://www.upov.int/genie/es/) fue creada para proporcionar acceso en línea a información como</w:t>
      </w:r>
      <w:r w:rsidR="00530058" w:rsidRPr="001A5D5C">
        <w:rPr>
          <w:rFonts w:eastAsiaTheme="minorEastAsia"/>
          <w:spacing w:val="-4"/>
        </w:rPr>
        <w:t>, por ejemplo,</w:t>
      </w:r>
      <w:r w:rsidR="00627CC7" w:rsidRPr="001A5D5C">
        <w:rPr>
          <w:rFonts w:eastAsiaTheme="minorEastAsia"/>
          <w:spacing w:val="-4"/>
        </w:rPr>
        <w:t xml:space="preserve"> los taxones protegidos por los miembros de la Unión (véase el documento C/[sesión]/INF/6), </w:t>
      </w:r>
      <w:r w:rsidR="00BF4FFE" w:rsidRPr="001A5D5C">
        <w:rPr>
          <w:rFonts w:eastAsiaTheme="minorEastAsia"/>
          <w:spacing w:val="-4"/>
        </w:rPr>
        <w:t xml:space="preserve">sobre </w:t>
      </w:r>
      <w:r w:rsidR="00627CC7" w:rsidRPr="001A5D5C">
        <w:rPr>
          <w:rFonts w:eastAsiaTheme="minorEastAsia"/>
          <w:spacing w:val="-4"/>
        </w:rPr>
        <w:t>la cooperación en materia de examen (véase el documento C/[sesión]/INF/5), la experiencia práctica en el examen DHE (véase el documento TC/[sesión]/INF/4) y la existencia de directrices de examen de la UPOV (véase el documento TC/[sesión]/2) para distintos GÉNeros y especIEs</w:t>
      </w:r>
      <w:r w:rsidR="005C0D2E">
        <w:rPr>
          <w:rFonts w:eastAsiaTheme="minorEastAsia"/>
          <w:spacing w:val="-4"/>
        </w:rPr>
        <w:t xml:space="preserve"> (de ahí el nombre GENIE), y</w:t>
      </w:r>
      <w:r w:rsidR="00627CC7" w:rsidRPr="001A5D5C">
        <w:rPr>
          <w:rFonts w:eastAsiaTheme="minorEastAsia"/>
          <w:spacing w:val="-4"/>
        </w:rPr>
        <w:t xml:space="preserve"> se utiliza para elaborar los documentos pertinentes del Consejo y del Comité Técnico (TC) relativos a esa información.</w:t>
      </w:r>
      <w:r w:rsidRPr="001A5D5C">
        <w:rPr>
          <w:rFonts w:eastAsiaTheme="minorEastAsia"/>
        </w:rPr>
        <w:t xml:space="preserve"> </w:t>
      </w:r>
      <w:r w:rsidR="00627CC7" w:rsidRPr="001A5D5C">
        <w:rPr>
          <w:rFonts w:eastAsiaTheme="minorEastAsia"/>
        </w:rPr>
        <w:t>Además, la base de datos GENIE constituye el repertorio de códigos UPOV y proporciona información sobre nombres botánicos y nombres comunes alternativos.</w:t>
      </w:r>
    </w:p>
    <w:p w:rsidR="008528F7" w:rsidRPr="001A5D5C" w:rsidRDefault="008528F7" w:rsidP="000A649A">
      <w:pPr>
        <w:rPr>
          <w:rFonts w:eastAsiaTheme="minorEastAsia"/>
        </w:rPr>
      </w:pPr>
    </w:p>
    <w:p w:rsidR="008528F7" w:rsidRPr="001A5D5C" w:rsidRDefault="000A649A" w:rsidP="00627CC7">
      <w:pPr>
        <w:rPr>
          <w:rFonts w:eastAsiaTheme="minorEastAsia"/>
        </w:rPr>
      </w:pPr>
      <w:r w:rsidRPr="001A5D5C">
        <w:rPr>
          <w:rFonts w:eastAsiaTheme="minorEastAsia"/>
        </w:rPr>
        <w:fldChar w:fldCharType="begin"/>
      </w:r>
      <w:r w:rsidRPr="001A5D5C">
        <w:rPr>
          <w:rFonts w:eastAsiaTheme="minorEastAsia"/>
        </w:rPr>
        <w:instrText xml:space="preserve"> AUTONUM  </w:instrText>
      </w:r>
      <w:r w:rsidRPr="001A5D5C">
        <w:rPr>
          <w:rFonts w:eastAsiaTheme="minorEastAsia"/>
        </w:rPr>
        <w:fldChar w:fldCharType="end"/>
      </w:r>
      <w:r w:rsidRPr="001A5D5C">
        <w:rPr>
          <w:rFonts w:eastAsiaTheme="minorEastAsia"/>
        </w:rPr>
        <w:tab/>
      </w:r>
      <w:r w:rsidR="00627CC7" w:rsidRPr="001A5D5C">
        <w:rPr>
          <w:rFonts w:eastAsiaTheme="minorEastAsia"/>
        </w:rPr>
        <w:t>El documento C/54/2</w:t>
      </w:r>
      <w:r w:rsidR="00A557BA" w:rsidRPr="001A5D5C">
        <w:rPr>
          <w:rFonts w:eastAsiaTheme="minorEastAsia"/>
        </w:rPr>
        <w:t xml:space="preserve"> </w:t>
      </w:r>
      <w:r w:rsidR="00627CC7" w:rsidRPr="001A5D5C">
        <w:rPr>
          <w:rFonts w:eastAsiaTheme="minorEastAsia"/>
        </w:rPr>
        <w:t>“</w:t>
      </w:r>
      <w:r w:rsidR="00A557BA" w:rsidRPr="001A5D5C">
        <w:rPr>
          <w:rFonts w:eastAsiaTheme="minorEastAsia"/>
        </w:rPr>
        <w:t>I</w:t>
      </w:r>
      <w:r w:rsidR="00627CC7" w:rsidRPr="001A5D5C">
        <w:rPr>
          <w:rFonts w:eastAsiaTheme="minorEastAsia"/>
        </w:rPr>
        <w:t>nforme anual de</w:t>
      </w:r>
      <w:r w:rsidR="00770079" w:rsidRPr="001A5D5C">
        <w:rPr>
          <w:rFonts w:eastAsiaTheme="minorEastAsia"/>
        </w:rPr>
        <w:t>l secretario general para 2019”</w:t>
      </w:r>
      <w:r w:rsidR="00627CC7" w:rsidRPr="001A5D5C">
        <w:rPr>
          <w:rFonts w:eastAsiaTheme="minorEastAsia"/>
        </w:rPr>
        <w:t xml:space="preserve"> contiene novedades sobre la información que figura en la base de datos GENIE y su uso.</w:t>
      </w:r>
      <w:r w:rsidRPr="001A5D5C">
        <w:rPr>
          <w:rFonts w:eastAsiaTheme="minorEastAsia"/>
        </w:rPr>
        <w:t xml:space="preserve"> </w:t>
      </w:r>
      <w:r w:rsidR="00627CC7" w:rsidRPr="001A5D5C">
        <w:rPr>
          <w:rFonts w:eastAsiaTheme="minorEastAsia"/>
        </w:rPr>
        <w:t>Dicho documento ofrece información sobre el número de códigos UPOV incluidos en la base de datos GENIE (véase “sistema de códigos de la UPOV”).</w:t>
      </w:r>
    </w:p>
    <w:p w:rsidR="008528F7" w:rsidRPr="001A5D5C" w:rsidRDefault="008528F7" w:rsidP="000A649A">
      <w:pPr>
        <w:rPr>
          <w:rFonts w:eastAsiaTheme="minorEastAsia"/>
        </w:rPr>
      </w:pPr>
    </w:p>
    <w:p w:rsidR="008528F7" w:rsidRPr="001A5D5C" w:rsidRDefault="008528F7" w:rsidP="000A649A">
      <w:pPr>
        <w:keepNext/>
        <w:outlineLvl w:val="0"/>
        <w:rPr>
          <w:rFonts w:eastAsiaTheme="minorEastAsia"/>
          <w:caps/>
        </w:rPr>
      </w:pPr>
    </w:p>
    <w:p w:rsidR="008528F7" w:rsidRPr="001A5D5C" w:rsidRDefault="008528F7" w:rsidP="000A649A">
      <w:pPr>
        <w:keepNext/>
        <w:outlineLvl w:val="0"/>
        <w:rPr>
          <w:rFonts w:eastAsiaTheme="minorEastAsia"/>
          <w:caps/>
        </w:rPr>
      </w:pPr>
    </w:p>
    <w:p w:rsidR="008528F7" w:rsidRPr="001A5D5C" w:rsidRDefault="00627CC7" w:rsidP="00627CC7">
      <w:pPr>
        <w:keepNext/>
        <w:outlineLvl w:val="0"/>
        <w:rPr>
          <w:rFonts w:eastAsiaTheme="minorEastAsia"/>
          <w:caps/>
        </w:rPr>
      </w:pPr>
      <w:bookmarkStart w:id="7" w:name="_Toc53663643"/>
      <w:bookmarkEnd w:id="6"/>
      <w:r w:rsidRPr="001A5D5C">
        <w:rPr>
          <w:rFonts w:eastAsiaTheme="minorEastAsia"/>
          <w:caps/>
        </w:rPr>
        <w:t>SISTEMA DE CÓDIGOS DE LA UPOV</w:t>
      </w:r>
      <w:bookmarkEnd w:id="7"/>
    </w:p>
    <w:p w:rsidR="008528F7" w:rsidRPr="001A5D5C" w:rsidRDefault="008528F7" w:rsidP="000A649A">
      <w:pPr>
        <w:keepNext/>
        <w:rPr>
          <w:rFonts w:eastAsiaTheme="minorEastAsia"/>
        </w:rPr>
      </w:pPr>
    </w:p>
    <w:p w:rsidR="008528F7" w:rsidRPr="001A5D5C" w:rsidRDefault="00627CC7" w:rsidP="00627CC7">
      <w:pPr>
        <w:keepNext/>
        <w:outlineLvl w:val="1"/>
        <w:rPr>
          <w:rFonts w:eastAsiaTheme="minorEastAsia"/>
          <w:u w:val="single"/>
        </w:rPr>
      </w:pPr>
      <w:bookmarkStart w:id="8" w:name="_Toc53663644"/>
      <w:r w:rsidRPr="001A5D5C">
        <w:rPr>
          <w:rFonts w:eastAsiaTheme="minorEastAsia"/>
          <w:u w:val="single"/>
        </w:rPr>
        <w:t>Orientación acerca del sistema de códigos de la UPOV</w:t>
      </w:r>
      <w:bookmarkEnd w:id="8"/>
    </w:p>
    <w:p w:rsidR="008528F7" w:rsidRPr="001A5D5C" w:rsidRDefault="008528F7" w:rsidP="000A649A">
      <w:pPr>
        <w:keepNext/>
        <w:rPr>
          <w:rFonts w:eastAsiaTheme="minorEastAsia" w:cs="Arial"/>
          <w:snapToGrid w:val="0"/>
        </w:rPr>
      </w:pPr>
    </w:p>
    <w:p w:rsidR="008528F7" w:rsidRPr="001A5D5C" w:rsidRDefault="000A649A" w:rsidP="00110447">
      <w:pPr>
        <w:rPr>
          <w:rFonts w:cs="Arial"/>
          <w:snapToGrid w:val="0"/>
          <w:spacing w:val="2"/>
        </w:rPr>
      </w:pPr>
      <w:r w:rsidRPr="001A5D5C">
        <w:rPr>
          <w:spacing w:val="2"/>
        </w:rPr>
        <w:fldChar w:fldCharType="begin"/>
      </w:r>
      <w:r w:rsidRPr="001A5D5C">
        <w:rPr>
          <w:spacing w:val="2"/>
        </w:rPr>
        <w:instrText xml:space="preserve"> AUTONUM  </w:instrText>
      </w:r>
      <w:r w:rsidRPr="001A5D5C">
        <w:rPr>
          <w:spacing w:val="2"/>
        </w:rPr>
        <w:fldChar w:fldCharType="end"/>
      </w:r>
      <w:r w:rsidRPr="001A5D5C">
        <w:rPr>
          <w:spacing w:val="2"/>
        </w:rPr>
        <w:tab/>
      </w:r>
      <w:r w:rsidR="00110447" w:rsidRPr="001A5D5C">
        <w:rPr>
          <w:spacing w:val="2"/>
        </w:rPr>
        <w:t>La “Orientación acerca del sistema de códigos de la UPOV”, modificada por el TC en su cuadragésima octava sesión</w:t>
      </w:r>
      <w:r w:rsidR="00110447" w:rsidRPr="001A5D5C">
        <w:rPr>
          <w:rStyle w:val="FootnoteReference"/>
          <w:spacing w:val="2"/>
        </w:rPr>
        <w:footnoteReference w:id="2"/>
      </w:r>
      <w:r w:rsidR="00110447" w:rsidRPr="001A5D5C">
        <w:rPr>
          <w:spacing w:val="2"/>
        </w:rPr>
        <w:t xml:space="preserve"> y el CAJ en su sexagésima quinta sesión</w:t>
      </w:r>
      <w:r w:rsidR="00110447" w:rsidRPr="001A5D5C">
        <w:rPr>
          <w:rStyle w:val="FootnoteReference"/>
          <w:spacing w:val="2"/>
        </w:rPr>
        <w:footnoteReference w:id="3"/>
      </w:r>
      <w:r w:rsidR="00110447" w:rsidRPr="001A5D5C">
        <w:rPr>
          <w:spacing w:val="2"/>
        </w:rPr>
        <w:t xml:space="preserve">, se reproduce en el Anexo I de los documentos TC/49/6 y CAJ/67/6 y está publicada en el sitio web de la UPOV (véase </w:t>
      </w:r>
      <w:hyperlink r:id="rId7" w:history="1">
        <w:r w:rsidR="00110447" w:rsidRPr="001A5D5C">
          <w:rPr>
            <w:rStyle w:val="Hyperlink"/>
            <w:spacing w:val="2"/>
          </w:rPr>
          <w:t>https://www.upov.int/genie/resources/pdfs/upov_code_system_es.pdf</w:t>
        </w:r>
      </w:hyperlink>
      <w:r w:rsidR="00110447" w:rsidRPr="001A5D5C">
        <w:rPr>
          <w:spacing w:val="2"/>
          <w:u w:val="single"/>
        </w:rPr>
        <w:t>)</w:t>
      </w:r>
      <w:r w:rsidR="00110447" w:rsidRPr="001A5D5C">
        <w:rPr>
          <w:spacing w:val="2"/>
        </w:rPr>
        <w:t>.</w:t>
      </w:r>
    </w:p>
    <w:p w:rsidR="008528F7" w:rsidRPr="001A5D5C" w:rsidRDefault="008528F7" w:rsidP="000A649A">
      <w:pPr>
        <w:rPr>
          <w:rFonts w:cs="Arial"/>
          <w:snapToGrid w:val="0"/>
          <w:spacing w:val="-2"/>
        </w:rPr>
      </w:pPr>
    </w:p>
    <w:p w:rsidR="008528F7" w:rsidRPr="001A5D5C" w:rsidRDefault="000A649A" w:rsidP="00110447">
      <w:pPr>
        <w:pStyle w:val="Default"/>
        <w:jc w:val="both"/>
        <w:rPr>
          <w:color w:val="auto"/>
          <w:sz w:val="20"/>
          <w:szCs w:val="20"/>
          <w:lang w:val="es-ES_tradnl"/>
        </w:rPr>
      </w:pPr>
      <w:r w:rsidRPr="001A5D5C">
        <w:rPr>
          <w:color w:val="auto"/>
          <w:sz w:val="20"/>
          <w:szCs w:val="20"/>
          <w:lang w:val="es-ES_tradnl"/>
        </w:rPr>
        <w:fldChar w:fldCharType="begin"/>
      </w:r>
      <w:r w:rsidRPr="001A5D5C">
        <w:rPr>
          <w:color w:val="auto"/>
          <w:sz w:val="20"/>
          <w:szCs w:val="20"/>
          <w:lang w:val="es-ES_tradnl"/>
        </w:rPr>
        <w:instrText xml:space="preserve"> AUTONUM  </w:instrText>
      </w:r>
      <w:r w:rsidRPr="001A5D5C">
        <w:rPr>
          <w:color w:val="auto"/>
          <w:sz w:val="20"/>
          <w:szCs w:val="20"/>
          <w:lang w:val="es-ES_tradnl"/>
        </w:rPr>
        <w:fldChar w:fldCharType="end"/>
      </w:r>
      <w:r w:rsidRPr="001A5D5C">
        <w:rPr>
          <w:color w:val="auto"/>
          <w:sz w:val="20"/>
          <w:szCs w:val="20"/>
          <w:lang w:val="es-ES_tradnl"/>
        </w:rPr>
        <w:tab/>
      </w:r>
      <w:r w:rsidR="00110447" w:rsidRPr="001A5D5C">
        <w:rPr>
          <w:color w:val="auto"/>
          <w:sz w:val="20"/>
          <w:szCs w:val="20"/>
          <w:lang w:val="es-ES_tradnl"/>
        </w:rPr>
        <w:t>En su nonagésima sexta sesión, celebrada en Ginebra el 31 de octubre de 2019, el Comité Consultivo tomó nota de que, en su debido momento, se invitará al Consejo a aprobar el “Programa de mejoras de la base de datos PLUTO” y la “Orientación acerca del sistema de códigos de la UPOV”, que se publicarán en la serie de documentos UPOV/INF de la Colección de la UPOV (párrafo 85 del documento CC/96/14 “Informe”).</w:t>
      </w:r>
      <w:r w:rsidRPr="001A5D5C">
        <w:rPr>
          <w:color w:val="auto"/>
          <w:sz w:val="20"/>
          <w:szCs w:val="20"/>
          <w:lang w:val="es-ES_tradnl"/>
        </w:rPr>
        <w:t xml:space="preserve"> </w:t>
      </w:r>
    </w:p>
    <w:p w:rsidR="008528F7" w:rsidRPr="001A5D5C" w:rsidRDefault="008528F7" w:rsidP="000A649A">
      <w:pPr>
        <w:rPr>
          <w:rFonts w:cs="Arial"/>
          <w:snapToGrid w:val="0"/>
          <w:spacing w:val="-2"/>
        </w:rPr>
      </w:pPr>
    </w:p>
    <w:p w:rsidR="008528F7" w:rsidRPr="001A5D5C" w:rsidRDefault="000A649A" w:rsidP="00110447">
      <w:pPr>
        <w:rPr>
          <w:lang w:eastAsia="ja-JP"/>
        </w:rPr>
      </w:pPr>
      <w:r w:rsidRPr="001A5D5C">
        <w:rPr>
          <w:lang w:eastAsia="ja-JP"/>
        </w:rPr>
        <w:fldChar w:fldCharType="begin"/>
      </w:r>
      <w:r w:rsidRPr="001A5D5C">
        <w:rPr>
          <w:lang w:eastAsia="ja-JP"/>
        </w:rPr>
        <w:instrText xml:space="preserve"> AUTONUM  </w:instrText>
      </w:r>
      <w:r w:rsidRPr="001A5D5C">
        <w:rPr>
          <w:lang w:eastAsia="ja-JP"/>
        </w:rPr>
        <w:fldChar w:fldCharType="end"/>
      </w:r>
      <w:r w:rsidRPr="001A5D5C">
        <w:rPr>
          <w:lang w:eastAsia="ja-JP"/>
        </w:rPr>
        <w:tab/>
      </w:r>
      <w:r w:rsidR="00110447" w:rsidRPr="001A5D5C">
        <w:rPr>
          <w:lang w:eastAsia="ja-JP"/>
        </w:rPr>
        <w:t>Se invitará al CAJ a examinar el documento UPOV/INF/23/1, sobre la base del documento UPOV/INF/23/1 Draft 1 “Orientación acerca del sistema de códigos de la UPOV”, de acuerdo con lo expuesto en el documento CAJ/77/3 Rev. “Elaboración de orientaciones y material de información”.</w:t>
      </w:r>
    </w:p>
    <w:p w:rsidR="008528F7" w:rsidRPr="001A5D5C" w:rsidRDefault="008528F7" w:rsidP="000A649A">
      <w:pPr>
        <w:rPr>
          <w:lang w:eastAsia="ja-JP"/>
        </w:rPr>
      </w:pPr>
    </w:p>
    <w:p w:rsidR="008528F7" w:rsidRPr="001A5D5C" w:rsidRDefault="008528F7" w:rsidP="000A649A">
      <w:pPr>
        <w:rPr>
          <w:lang w:eastAsia="ja-JP"/>
        </w:rPr>
      </w:pPr>
    </w:p>
    <w:p w:rsidR="008528F7" w:rsidRPr="001A5D5C" w:rsidRDefault="00110447" w:rsidP="00110447">
      <w:pPr>
        <w:keepNext/>
        <w:outlineLvl w:val="1"/>
        <w:rPr>
          <w:rFonts w:eastAsiaTheme="minorEastAsia"/>
          <w:u w:val="single"/>
        </w:rPr>
      </w:pPr>
      <w:bookmarkStart w:id="9" w:name="_Toc53663645"/>
      <w:r w:rsidRPr="001A5D5C">
        <w:rPr>
          <w:rFonts w:eastAsiaTheme="minorEastAsia"/>
          <w:u w:val="single"/>
        </w:rPr>
        <w:t>Novedades en materia de códigos UPOV</w:t>
      </w:r>
      <w:bookmarkEnd w:id="9"/>
    </w:p>
    <w:p w:rsidR="008528F7" w:rsidRPr="001A5D5C" w:rsidRDefault="008528F7" w:rsidP="000A649A">
      <w:pPr>
        <w:keepNext/>
        <w:keepLines/>
        <w:rPr>
          <w:rFonts w:eastAsiaTheme="minorEastAsia" w:cs="Arial"/>
          <w:snapToGrid w:val="0"/>
        </w:rPr>
      </w:pPr>
    </w:p>
    <w:p w:rsidR="008528F7" w:rsidRPr="001A5D5C" w:rsidRDefault="000A649A" w:rsidP="00110447">
      <w:pPr>
        <w:keepNext/>
        <w:keepLines/>
        <w:rPr>
          <w:rFonts w:eastAsiaTheme="minorEastAsia" w:cs="Arial"/>
          <w:snapToGrid w:val="0"/>
        </w:rPr>
      </w:pPr>
      <w:r w:rsidRPr="001A5D5C">
        <w:rPr>
          <w:rFonts w:eastAsiaTheme="minorEastAsia" w:cs="Arial"/>
          <w:snapToGrid w:val="0"/>
        </w:rPr>
        <w:fldChar w:fldCharType="begin"/>
      </w:r>
      <w:r w:rsidRPr="001A5D5C">
        <w:rPr>
          <w:rFonts w:eastAsiaTheme="minorEastAsia" w:cs="Arial"/>
          <w:snapToGrid w:val="0"/>
        </w:rPr>
        <w:instrText xml:space="preserve"> AUTONUM  </w:instrText>
      </w:r>
      <w:r w:rsidRPr="001A5D5C">
        <w:rPr>
          <w:rFonts w:eastAsiaTheme="minorEastAsia" w:cs="Arial"/>
          <w:snapToGrid w:val="0"/>
        </w:rPr>
        <w:fldChar w:fldCharType="end"/>
      </w:r>
      <w:r w:rsidRPr="001A5D5C">
        <w:rPr>
          <w:rFonts w:eastAsiaTheme="minorEastAsia" w:cs="Arial"/>
          <w:snapToGrid w:val="0"/>
        </w:rPr>
        <w:tab/>
      </w:r>
      <w:r w:rsidR="00110447" w:rsidRPr="001A5D5C">
        <w:rPr>
          <w:rFonts w:eastAsiaTheme="minorEastAsia" w:cs="Arial"/>
          <w:snapToGrid w:val="0"/>
        </w:rPr>
        <w:t>En 2020, hasta el 30 de agosto, se crearon 145 nuevos códigos UPOV. Al 30 de agosto de 2020, la base de datos GENIE contenía 9.178 códigos UPOV.</w:t>
      </w:r>
    </w:p>
    <w:p w:rsidR="000A649A" w:rsidRPr="001A5D5C" w:rsidRDefault="000A649A" w:rsidP="000A649A">
      <w:pPr>
        <w:keepNext/>
        <w:keepLines/>
        <w:rPr>
          <w:rFonts w:eastAsiaTheme="minorEastAsia" w:cs="Arial"/>
          <w:snapToGrid w:val="0"/>
        </w:rPr>
      </w:pPr>
    </w:p>
    <w:tbl>
      <w:tblPr>
        <w:tblW w:w="99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10"/>
        <w:gridCol w:w="756"/>
        <w:gridCol w:w="294"/>
        <w:gridCol w:w="293"/>
        <w:gridCol w:w="169"/>
        <w:gridCol w:w="757"/>
        <w:gridCol w:w="124"/>
        <w:gridCol w:w="632"/>
        <w:gridCol w:w="756"/>
        <w:gridCol w:w="757"/>
        <w:gridCol w:w="756"/>
        <w:gridCol w:w="756"/>
        <w:gridCol w:w="757"/>
        <w:gridCol w:w="756"/>
        <w:gridCol w:w="1027"/>
      </w:tblGrid>
      <w:tr w:rsidR="006A670F" w:rsidRPr="001A5D5C" w:rsidTr="00B260E1">
        <w:tc>
          <w:tcPr>
            <w:tcW w:w="1310" w:type="dxa"/>
            <w:tcBorders>
              <w:top w:val="nil"/>
              <w:left w:val="nil"/>
              <w:bottom w:val="nil"/>
            </w:tcBorders>
          </w:tcPr>
          <w:p w:rsidR="000A649A" w:rsidRPr="001A5D5C" w:rsidRDefault="000A649A" w:rsidP="00B260E1">
            <w:pPr>
              <w:keepNext/>
              <w:spacing w:before="40" w:after="40"/>
              <w:jc w:val="right"/>
              <w:rPr>
                <w:rFonts w:eastAsiaTheme="minorEastAsia" w:cs="Arial"/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bottom w:val="dotted" w:sz="4" w:space="0" w:color="auto"/>
            </w:tcBorders>
          </w:tcPr>
          <w:p w:rsidR="000A649A" w:rsidRPr="001A5D5C" w:rsidRDefault="000A649A" w:rsidP="00B260E1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</w:p>
        </w:tc>
        <w:tc>
          <w:tcPr>
            <w:tcW w:w="7540" w:type="dxa"/>
            <w:gridSpan w:val="12"/>
            <w:tcBorders>
              <w:bottom w:val="dotted" w:sz="4" w:space="0" w:color="auto"/>
            </w:tcBorders>
          </w:tcPr>
          <w:p w:rsidR="000A649A" w:rsidRPr="001A5D5C" w:rsidRDefault="00110447" w:rsidP="00110447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1A5D5C">
              <w:rPr>
                <w:rFonts w:eastAsiaTheme="minorEastAsia" w:cs="Arial"/>
                <w:snapToGrid w:val="0"/>
                <w:sz w:val="18"/>
                <w:szCs w:val="18"/>
              </w:rPr>
              <w:t>Año</w:t>
            </w:r>
          </w:p>
        </w:tc>
      </w:tr>
      <w:tr w:rsidR="006A670F" w:rsidRPr="001A5D5C" w:rsidTr="00B260E1"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A649A" w:rsidRPr="001A5D5C" w:rsidRDefault="000A649A" w:rsidP="00B260E1">
            <w:pPr>
              <w:keepNext/>
              <w:spacing w:before="40" w:after="40"/>
              <w:jc w:val="right"/>
              <w:rPr>
                <w:rFonts w:eastAsiaTheme="minorEastAsia" w:cs="Arial"/>
                <w:snapToGrid w:val="0"/>
                <w:sz w:val="2"/>
                <w:szCs w:val="18"/>
              </w:rPr>
            </w:pPr>
          </w:p>
        </w:tc>
        <w:tc>
          <w:tcPr>
            <w:tcW w:w="1343" w:type="dxa"/>
            <w:gridSpan w:val="3"/>
            <w:tcBorders>
              <w:left w:val="nil"/>
              <w:right w:val="nil"/>
            </w:tcBorders>
          </w:tcPr>
          <w:p w:rsidR="000A649A" w:rsidRPr="001A5D5C" w:rsidRDefault="000A649A" w:rsidP="00B260E1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2"/>
                <w:szCs w:val="18"/>
              </w:rPr>
            </w:pPr>
          </w:p>
        </w:tc>
        <w:tc>
          <w:tcPr>
            <w:tcW w:w="1050" w:type="dxa"/>
            <w:gridSpan w:val="3"/>
            <w:tcBorders>
              <w:left w:val="nil"/>
              <w:right w:val="nil"/>
            </w:tcBorders>
          </w:tcPr>
          <w:p w:rsidR="000A649A" w:rsidRPr="001A5D5C" w:rsidRDefault="000A649A" w:rsidP="00B260E1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2"/>
                <w:szCs w:val="18"/>
              </w:rPr>
            </w:pPr>
          </w:p>
        </w:tc>
        <w:tc>
          <w:tcPr>
            <w:tcW w:w="6197" w:type="dxa"/>
            <w:gridSpan w:val="8"/>
            <w:tcBorders>
              <w:left w:val="nil"/>
              <w:right w:val="nil"/>
            </w:tcBorders>
          </w:tcPr>
          <w:p w:rsidR="000A649A" w:rsidRPr="001A5D5C" w:rsidRDefault="000A649A" w:rsidP="00B260E1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2"/>
                <w:szCs w:val="18"/>
              </w:rPr>
            </w:pPr>
          </w:p>
        </w:tc>
      </w:tr>
      <w:tr w:rsidR="006A670F" w:rsidRPr="001A5D5C" w:rsidTr="00B260E1">
        <w:tc>
          <w:tcPr>
            <w:tcW w:w="1310" w:type="dxa"/>
            <w:tcBorders>
              <w:top w:val="nil"/>
              <w:left w:val="nil"/>
            </w:tcBorders>
          </w:tcPr>
          <w:p w:rsidR="000A649A" w:rsidRPr="001A5D5C" w:rsidRDefault="000A649A" w:rsidP="00B260E1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</w:pPr>
          </w:p>
        </w:tc>
        <w:tc>
          <w:tcPr>
            <w:tcW w:w="756" w:type="dxa"/>
          </w:tcPr>
          <w:p w:rsidR="000A649A" w:rsidRPr="001A5D5C" w:rsidRDefault="000A649A" w:rsidP="00B260E1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</w:pPr>
            <w:r w:rsidRPr="001A5D5C"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>20</w:t>
            </w:r>
            <w:r w:rsidRPr="001A5D5C"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  <w:t>10</w:t>
            </w:r>
          </w:p>
        </w:tc>
        <w:tc>
          <w:tcPr>
            <w:tcW w:w="756" w:type="dxa"/>
            <w:gridSpan w:val="3"/>
          </w:tcPr>
          <w:p w:rsidR="000A649A" w:rsidRPr="001A5D5C" w:rsidRDefault="000A649A" w:rsidP="00B260E1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</w:pPr>
            <w:r w:rsidRPr="001A5D5C"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>201</w:t>
            </w:r>
            <w:r w:rsidRPr="001A5D5C"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  <w:t>1</w:t>
            </w:r>
          </w:p>
        </w:tc>
        <w:tc>
          <w:tcPr>
            <w:tcW w:w="757" w:type="dxa"/>
          </w:tcPr>
          <w:p w:rsidR="000A649A" w:rsidRPr="001A5D5C" w:rsidRDefault="000A649A" w:rsidP="00B260E1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</w:pPr>
            <w:r w:rsidRPr="001A5D5C"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>201</w:t>
            </w:r>
            <w:r w:rsidRPr="001A5D5C"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  <w:t>2</w:t>
            </w:r>
          </w:p>
        </w:tc>
        <w:tc>
          <w:tcPr>
            <w:tcW w:w="756" w:type="dxa"/>
            <w:gridSpan w:val="2"/>
          </w:tcPr>
          <w:p w:rsidR="000A649A" w:rsidRPr="001A5D5C" w:rsidRDefault="000A649A" w:rsidP="00B260E1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</w:pPr>
            <w:r w:rsidRPr="001A5D5C"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>201</w:t>
            </w:r>
            <w:r w:rsidRPr="001A5D5C"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  <w:t>3</w:t>
            </w:r>
          </w:p>
        </w:tc>
        <w:tc>
          <w:tcPr>
            <w:tcW w:w="756" w:type="dxa"/>
          </w:tcPr>
          <w:p w:rsidR="000A649A" w:rsidRPr="001A5D5C" w:rsidRDefault="000A649A" w:rsidP="00B260E1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</w:pPr>
            <w:r w:rsidRPr="001A5D5C"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>201</w:t>
            </w:r>
            <w:r w:rsidRPr="001A5D5C"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  <w:t>4</w:t>
            </w:r>
          </w:p>
        </w:tc>
        <w:tc>
          <w:tcPr>
            <w:tcW w:w="757" w:type="dxa"/>
            <w:shd w:val="clear" w:color="auto" w:fill="auto"/>
          </w:tcPr>
          <w:p w:rsidR="000A649A" w:rsidRPr="001A5D5C" w:rsidRDefault="000A649A" w:rsidP="00B260E1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</w:pPr>
            <w:r w:rsidRPr="001A5D5C"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>201</w:t>
            </w:r>
            <w:r w:rsidRPr="001A5D5C"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  <w:t>5</w:t>
            </w:r>
          </w:p>
        </w:tc>
        <w:tc>
          <w:tcPr>
            <w:tcW w:w="756" w:type="dxa"/>
            <w:shd w:val="clear" w:color="auto" w:fill="auto"/>
          </w:tcPr>
          <w:p w:rsidR="000A649A" w:rsidRPr="001A5D5C" w:rsidRDefault="000A649A" w:rsidP="00B260E1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</w:pPr>
            <w:r w:rsidRPr="001A5D5C"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>2016</w:t>
            </w:r>
          </w:p>
        </w:tc>
        <w:tc>
          <w:tcPr>
            <w:tcW w:w="756" w:type="dxa"/>
          </w:tcPr>
          <w:p w:rsidR="000A649A" w:rsidRPr="001A5D5C" w:rsidRDefault="000A649A" w:rsidP="00B260E1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</w:pPr>
            <w:r w:rsidRPr="001A5D5C"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>2017</w:t>
            </w:r>
          </w:p>
        </w:tc>
        <w:tc>
          <w:tcPr>
            <w:tcW w:w="757" w:type="dxa"/>
          </w:tcPr>
          <w:p w:rsidR="000A649A" w:rsidRPr="001A5D5C" w:rsidRDefault="000A649A" w:rsidP="00B260E1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</w:pPr>
            <w:r w:rsidRPr="001A5D5C"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>2018</w:t>
            </w:r>
          </w:p>
        </w:tc>
        <w:tc>
          <w:tcPr>
            <w:tcW w:w="756" w:type="dxa"/>
          </w:tcPr>
          <w:p w:rsidR="000A649A" w:rsidRPr="001A5D5C" w:rsidRDefault="000A649A" w:rsidP="00B260E1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</w:pPr>
            <w:r w:rsidRPr="001A5D5C"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>2019</w:t>
            </w:r>
          </w:p>
        </w:tc>
        <w:tc>
          <w:tcPr>
            <w:tcW w:w="1027" w:type="dxa"/>
          </w:tcPr>
          <w:p w:rsidR="008528F7" w:rsidRPr="001A5D5C" w:rsidRDefault="000A649A" w:rsidP="00B260E1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</w:pPr>
            <w:r w:rsidRPr="001A5D5C"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>2020</w:t>
            </w:r>
          </w:p>
          <w:p w:rsidR="000A649A" w:rsidRPr="001A5D5C" w:rsidRDefault="00110447" w:rsidP="00110447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AE5691">
              <w:rPr>
                <w:rFonts w:eastAsiaTheme="minorEastAsia" w:cs="Arial"/>
                <w:snapToGrid w:val="0"/>
                <w:sz w:val="14"/>
                <w:szCs w:val="18"/>
                <w:u w:val="single"/>
              </w:rPr>
              <w:t>(hasta el 30 de agosto)</w:t>
            </w:r>
            <w:r w:rsidR="000A649A" w:rsidRPr="00AE5691">
              <w:rPr>
                <w:rFonts w:eastAsiaTheme="minorEastAsia" w:cs="Arial"/>
                <w:snapToGrid w:val="0"/>
                <w:sz w:val="14"/>
                <w:szCs w:val="18"/>
                <w:u w:val="single"/>
              </w:rPr>
              <w:t xml:space="preserve"> </w:t>
            </w:r>
          </w:p>
        </w:tc>
      </w:tr>
      <w:tr w:rsidR="006A670F" w:rsidRPr="001A5D5C" w:rsidTr="00B260E1">
        <w:tc>
          <w:tcPr>
            <w:tcW w:w="1310" w:type="dxa"/>
          </w:tcPr>
          <w:p w:rsidR="000A649A" w:rsidRPr="001A5D5C" w:rsidRDefault="00110447" w:rsidP="00110447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1A5D5C">
              <w:rPr>
                <w:rFonts w:eastAsiaTheme="minorEastAsia" w:cs="Arial"/>
                <w:snapToGrid w:val="0"/>
                <w:sz w:val="18"/>
                <w:szCs w:val="18"/>
              </w:rPr>
              <w:t>Nuevos códigos UPOV</w:t>
            </w:r>
          </w:p>
        </w:tc>
        <w:tc>
          <w:tcPr>
            <w:tcW w:w="756" w:type="dxa"/>
          </w:tcPr>
          <w:p w:rsidR="000A649A" w:rsidRPr="001A5D5C" w:rsidRDefault="000A649A" w:rsidP="00B260E1">
            <w:pPr>
              <w:keepNext/>
              <w:spacing w:before="40" w:after="40"/>
              <w:ind w:right="113"/>
              <w:jc w:val="right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1A5D5C">
              <w:rPr>
                <w:rFonts w:eastAsiaTheme="minorEastAsia" w:cs="Arial"/>
                <w:snapToGrid w:val="0"/>
                <w:sz w:val="18"/>
                <w:szCs w:val="18"/>
              </w:rPr>
              <w:t>114</w:t>
            </w:r>
          </w:p>
        </w:tc>
        <w:tc>
          <w:tcPr>
            <w:tcW w:w="756" w:type="dxa"/>
            <w:gridSpan w:val="3"/>
          </w:tcPr>
          <w:p w:rsidR="000A649A" w:rsidRPr="001A5D5C" w:rsidRDefault="000A649A" w:rsidP="00B260E1">
            <w:pPr>
              <w:keepNext/>
              <w:spacing w:before="40" w:after="40"/>
              <w:ind w:right="113"/>
              <w:jc w:val="right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1A5D5C">
              <w:rPr>
                <w:rFonts w:eastAsiaTheme="minorEastAsia" w:cs="Arial"/>
                <w:snapToGrid w:val="0"/>
                <w:sz w:val="18"/>
                <w:szCs w:val="18"/>
              </w:rPr>
              <w:t>173</w:t>
            </w:r>
          </w:p>
        </w:tc>
        <w:tc>
          <w:tcPr>
            <w:tcW w:w="757" w:type="dxa"/>
          </w:tcPr>
          <w:p w:rsidR="000A649A" w:rsidRPr="001A5D5C" w:rsidRDefault="000A649A" w:rsidP="00B260E1">
            <w:pPr>
              <w:keepNext/>
              <w:spacing w:before="40" w:after="40"/>
              <w:ind w:right="113"/>
              <w:jc w:val="right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1A5D5C">
              <w:rPr>
                <w:rFonts w:eastAsiaTheme="minorEastAsia" w:cs="Arial"/>
                <w:snapToGrid w:val="0"/>
                <w:sz w:val="18"/>
                <w:szCs w:val="18"/>
              </w:rPr>
              <w:t>212</w:t>
            </w:r>
          </w:p>
        </w:tc>
        <w:tc>
          <w:tcPr>
            <w:tcW w:w="756" w:type="dxa"/>
            <w:gridSpan w:val="2"/>
          </w:tcPr>
          <w:p w:rsidR="000A649A" w:rsidRPr="001A5D5C" w:rsidRDefault="000A649A" w:rsidP="00B260E1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1A5D5C">
              <w:rPr>
                <w:rFonts w:eastAsiaTheme="minorEastAsia" w:cs="Arial"/>
                <w:snapToGrid w:val="0"/>
                <w:sz w:val="18"/>
                <w:szCs w:val="18"/>
              </w:rPr>
              <w:t>209</w:t>
            </w:r>
          </w:p>
        </w:tc>
        <w:tc>
          <w:tcPr>
            <w:tcW w:w="756" w:type="dxa"/>
          </w:tcPr>
          <w:p w:rsidR="000A649A" w:rsidRPr="001A5D5C" w:rsidRDefault="000A649A" w:rsidP="00B260E1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1A5D5C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577</w:t>
            </w:r>
          </w:p>
        </w:tc>
        <w:tc>
          <w:tcPr>
            <w:tcW w:w="757" w:type="dxa"/>
            <w:shd w:val="clear" w:color="auto" w:fill="auto"/>
          </w:tcPr>
          <w:p w:rsidR="000A649A" w:rsidRPr="001A5D5C" w:rsidRDefault="000A649A" w:rsidP="00B260E1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1A5D5C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188</w:t>
            </w:r>
          </w:p>
        </w:tc>
        <w:tc>
          <w:tcPr>
            <w:tcW w:w="756" w:type="dxa"/>
            <w:shd w:val="clear" w:color="auto" w:fill="auto"/>
          </w:tcPr>
          <w:p w:rsidR="000A649A" w:rsidRPr="001A5D5C" w:rsidRDefault="000A649A" w:rsidP="00B260E1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1A5D5C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173</w:t>
            </w:r>
          </w:p>
        </w:tc>
        <w:tc>
          <w:tcPr>
            <w:tcW w:w="756" w:type="dxa"/>
          </w:tcPr>
          <w:p w:rsidR="000A649A" w:rsidRPr="001A5D5C" w:rsidRDefault="000A649A" w:rsidP="00B260E1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1A5D5C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440</w:t>
            </w:r>
          </w:p>
        </w:tc>
        <w:tc>
          <w:tcPr>
            <w:tcW w:w="757" w:type="dxa"/>
          </w:tcPr>
          <w:p w:rsidR="000A649A" w:rsidRPr="001A5D5C" w:rsidRDefault="000A649A" w:rsidP="00B260E1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1A5D5C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242</w:t>
            </w:r>
          </w:p>
        </w:tc>
        <w:tc>
          <w:tcPr>
            <w:tcW w:w="756" w:type="dxa"/>
          </w:tcPr>
          <w:p w:rsidR="000A649A" w:rsidRPr="001A5D5C" w:rsidRDefault="000A649A" w:rsidP="00B260E1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1A5D5C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243</w:t>
            </w:r>
          </w:p>
        </w:tc>
        <w:tc>
          <w:tcPr>
            <w:tcW w:w="1027" w:type="dxa"/>
          </w:tcPr>
          <w:p w:rsidR="000A649A" w:rsidRPr="001A5D5C" w:rsidRDefault="000A649A" w:rsidP="00B260E1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1A5D5C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145</w:t>
            </w:r>
          </w:p>
        </w:tc>
      </w:tr>
      <w:tr w:rsidR="006A670F" w:rsidRPr="001A5D5C" w:rsidTr="00B260E1">
        <w:tc>
          <w:tcPr>
            <w:tcW w:w="1310" w:type="dxa"/>
          </w:tcPr>
          <w:p w:rsidR="000A649A" w:rsidRPr="001A5D5C" w:rsidRDefault="00110447" w:rsidP="00110447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1A5D5C">
              <w:rPr>
                <w:rFonts w:eastAsiaTheme="minorEastAsia" w:cs="Arial"/>
                <w:snapToGrid w:val="0"/>
                <w:sz w:val="18"/>
                <w:szCs w:val="18"/>
              </w:rPr>
              <w:t xml:space="preserve">Modificaciones </w:t>
            </w:r>
          </w:p>
        </w:tc>
        <w:tc>
          <w:tcPr>
            <w:tcW w:w="756" w:type="dxa"/>
          </w:tcPr>
          <w:p w:rsidR="000A649A" w:rsidRPr="001A5D5C" w:rsidRDefault="000A649A" w:rsidP="00B260E1">
            <w:pPr>
              <w:keepNext/>
              <w:spacing w:before="40" w:after="40"/>
              <w:ind w:right="113"/>
              <w:jc w:val="right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1A5D5C">
              <w:rPr>
                <w:rFonts w:eastAsiaTheme="minorEastAsia" w:cs="Arial"/>
                <w:snapToGrid w:val="0"/>
                <w:sz w:val="18"/>
                <w:szCs w:val="18"/>
              </w:rPr>
              <w:t>6</w:t>
            </w:r>
          </w:p>
        </w:tc>
        <w:tc>
          <w:tcPr>
            <w:tcW w:w="756" w:type="dxa"/>
            <w:gridSpan w:val="3"/>
          </w:tcPr>
          <w:p w:rsidR="000A649A" w:rsidRPr="001A5D5C" w:rsidRDefault="000A649A" w:rsidP="00B260E1">
            <w:pPr>
              <w:keepNext/>
              <w:spacing w:before="40" w:after="40"/>
              <w:ind w:right="113"/>
              <w:jc w:val="right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1A5D5C">
              <w:rPr>
                <w:rFonts w:eastAsiaTheme="minorEastAsia" w:cs="Arial"/>
                <w:snapToGrid w:val="0"/>
                <w:sz w:val="18"/>
                <w:szCs w:val="18"/>
              </w:rPr>
              <w:t>12</w:t>
            </w:r>
          </w:p>
        </w:tc>
        <w:tc>
          <w:tcPr>
            <w:tcW w:w="757" w:type="dxa"/>
          </w:tcPr>
          <w:p w:rsidR="000A649A" w:rsidRPr="001A5D5C" w:rsidRDefault="000A649A" w:rsidP="00B260E1">
            <w:pPr>
              <w:keepNext/>
              <w:spacing w:before="40" w:after="40"/>
              <w:ind w:right="113"/>
              <w:jc w:val="right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1A5D5C">
              <w:rPr>
                <w:rFonts w:eastAsiaTheme="minorEastAsia" w:cs="Arial"/>
                <w:snapToGrid w:val="0"/>
                <w:sz w:val="18"/>
                <w:szCs w:val="18"/>
              </w:rPr>
              <w:t>5</w:t>
            </w:r>
          </w:p>
        </w:tc>
        <w:tc>
          <w:tcPr>
            <w:tcW w:w="756" w:type="dxa"/>
            <w:gridSpan w:val="2"/>
          </w:tcPr>
          <w:p w:rsidR="000A649A" w:rsidRPr="001A5D5C" w:rsidRDefault="000A649A" w:rsidP="00B260E1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1A5D5C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 xml:space="preserve"> </w:t>
            </w:r>
            <w:r w:rsidRPr="001A5D5C">
              <w:rPr>
                <w:rFonts w:eastAsiaTheme="minorEastAsia" w:cs="Arial"/>
                <w:snapToGrid w:val="0"/>
                <w:sz w:val="18"/>
                <w:szCs w:val="18"/>
              </w:rPr>
              <w:t>47*</w:t>
            </w:r>
          </w:p>
        </w:tc>
        <w:tc>
          <w:tcPr>
            <w:tcW w:w="756" w:type="dxa"/>
          </w:tcPr>
          <w:p w:rsidR="000A649A" w:rsidRPr="001A5D5C" w:rsidRDefault="000A649A" w:rsidP="00B260E1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1A5D5C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37</w:t>
            </w:r>
          </w:p>
        </w:tc>
        <w:tc>
          <w:tcPr>
            <w:tcW w:w="757" w:type="dxa"/>
            <w:shd w:val="clear" w:color="auto" w:fill="auto"/>
          </w:tcPr>
          <w:p w:rsidR="000A649A" w:rsidRPr="001A5D5C" w:rsidRDefault="000A649A" w:rsidP="00B260E1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1A5D5C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11</w:t>
            </w:r>
          </w:p>
        </w:tc>
        <w:tc>
          <w:tcPr>
            <w:tcW w:w="756" w:type="dxa"/>
            <w:shd w:val="clear" w:color="auto" w:fill="auto"/>
          </w:tcPr>
          <w:p w:rsidR="000A649A" w:rsidRPr="001A5D5C" w:rsidRDefault="000A649A" w:rsidP="00B260E1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1A5D5C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16</w:t>
            </w:r>
          </w:p>
        </w:tc>
        <w:tc>
          <w:tcPr>
            <w:tcW w:w="756" w:type="dxa"/>
          </w:tcPr>
          <w:p w:rsidR="000A649A" w:rsidRPr="001A5D5C" w:rsidRDefault="000A649A" w:rsidP="00B260E1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1A5D5C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57" w:type="dxa"/>
          </w:tcPr>
          <w:p w:rsidR="000A649A" w:rsidRPr="001A5D5C" w:rsidRDefault="000A649A" w:rsidP="00B260E1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1A5D5C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756" w:type="dxa"/>
          </w:tcPr>
          <w:p w:rsidR="000A649A" w:rsidRPr="001A5D5C" w:rsidRDefault="000A649A" w:rsidP="00B260E1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1A5D5C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1027" w:type="dxa"/>
          </w:tcPr>
          <w:p w:rsidR="000A649A" w:rsidRPr="001A5D5C" w:rsidRDefault="000A649A" w:rsidP="00B260E1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1A5D5C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44</w:t>
            </w:r>
          </w:p>
        </w:tc>
      </w:tr>
      <w:tr w:rsidR="006A670F" w:rsidRPr="001A5D5C" w:rsidTr="00B260E1">
        <w:tc>
          <w:tcPr>
            <w:tcW w:w="1310" w:type="dxa"/>
          </w:tcPr>
          <w:p w:rsidR="000A649A" w:rsidRPr="001A5D5C" w:rsidRDefault="00110447" w:rsidP="00110447">
            <w:pPr>
              <w:spacing w:before="40" w:after="40"/>
              <w:jc w:val="left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1A5D5C">
              <w:rPr>
                <w:rFonts w:eastAsiaTheme="minorEastAsia" w:cs="Arial"/>
                <w:snapToGrid w:val="0"/>
                <w:sz w:val="18"/>
                <w:szCs w:val="18"/>
              </w:rPr>
              <w:t>Total de códigos UPOV</w:t>
            </w:r>
            <w:r w:rsidR="000A649A" w:rsidRPr="001A5D5C">
              <w:rPr>
                <w:rFonts w:eastAsiaTheme="minorEastAsia"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</w:tcPr>
          <w:p w:rsidR="000A649A" w:rsidRPr="001A5D5C" w:rsidRDefault="006A670F" w:rsidP="00B260E1">
            <w:pPr>
              <w:keepNext/>
              <w:spacing w:before="40" w:after="40"/>
              <w:ind w:right="113"/>
              <w:jc w:val="right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1A5D5C">
              <w:rPr>
                <w:rFonts w:eastAsiaTheme="minorEastAsia" w:cs="Arial"/>
                <w:snapToGrid w:val="0"/>
                <w:sz w:val="18"/>
                <w:szCs w:val="18"/>
              </w:rPr>
              <w:t>6.</w:t>
            </w:r>
            <w:r w:rsidR="000A649A" w:rsidRPr="001A5D5C">
              <w:rPr>
                <w:rFonts w:eastAsiaTheme="minorEastAsia" w:cs="Arial"/>
                <w:snapToGrid w:val="0"/>
                <w:sz w:val="18"/>
                <w:szCs w:val="18"/>
              </w:rPr>
              <w:t>683</w:t>
            </w:r>
          </w:p>
        </w:tc>
        <w:tc>
          <w:tcPr>
            <w:tcW w:w="756" w:type="dxa"/>
            <w:gridSpan w:val="3"/>
          </w:tcPr>
          <w:p w:rsidR="000A649A" w:rsidRPr="001A5D5C" w:rsidRDefault="006A670F" w:rsidP="00B260E1">
            <w:pPr>
              <w:keepNext/>
              <w:spacing w:before="40" w:after="40"/>
              <w:ind w:right="113"/>
              <w:jc w:val="right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1A5D5C">
              <w:rPr>
                <w:rFonts w:eastAsiaTheme="minorEastAsia" w:cs="Arial"/>
                <w:snapToGrid w:val="0"/>
                <w:sz w:val="18"/>
                <w:szCs w:val="18"/>
              </w:rPr>
              <w:t>6.</w:t>
            </w:r>
            <w:r w:rsidR="000A649A" w:rsidRPr="001A5D5C">
              <w:rPr>
                <w:rFonts w:eastAsiaTheme="minorEastAsia" w:cs="Arial"/>
                <w:snapToGrid w:val="0"/>
                <w:sz w:val="18"/>
                <w:szCs w:val="18"/>
              </w:rPr>
              <w:t>851</w:t>
            </w:r>
          </w:p>
        </w:tc>
        <w:tc>
          <w:tcPr>
            <w:tcW w:w="757" w:type="dxa"/>
          </w:tcPr>
          <w:p w:rsidR="000A649A" w:rsidRPr="001A5D5C" w:rsidRDefault="006A670F" w:rsidP="00B260E1">
            <w:pPr>
              <w:keepNext/>
              <w:spacing w:before="40" w:after="40"/>
              <w:ind w:right="113"/>
              <w:jc w:val="right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1A5D5C">
              <w:rPr>
                <w:rFonts w:eastAsiaTheme="minorEastAsia" w:cs="Arial"/>
                <w:snapToGrid w:val="0"/>
                <w:sz w:val="18"/>
                <w:szCs w:val="18"/>
              </w:rPr>
              <w:t>7.</w:t>
            </w:r>
            <w:r w:rsidR="000A649A" w:rsidRPr="001A5D5C">
              <w:rPr>
                <w:rFonts w:eastAsiaTheme="minorEastAsia" w:cs="Arial"/>
                <w:snapToGrid w:val="0"/>
                <w:sz w:val="18"/>
                <w:szCs w:val="18"/>
              </w:rPr>
              <w:t>061</w:t>
            </w:r>
          </w:p>
        </w:tc>
        <w:tc>
          <w:tcPr>
            <w:tcW w:w="756" w:type="dxa"/>
            <w:gridSpan w:val="2"/>
          </w:tcPr>
          <w:p w:rsidR="000A649A" w:rsidRPr="001A5D5C" w:rsidRDefault="006A670F" w:rsidP="00B260E1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1A5D5C">
              <w:rPr>
                <w:rFonts w:eastAsiaTheme="minorEastAsia" w:cs="Arial"/>
                <w:snapToGrid w:val="0"/>
                <w:sz w:val="18"/>
                <w:szCs w:val="18"/>
              </w:rPr>
              <w:t>7.</w:t>
            </w:r>
            <w:r w:rsidR="000A649A" w:rsidRPr="001A5D5C">
              <w:rPr>
                <w:rFonts w:eastAsiaTheme="minorEastAsia" w:cs="Arial"/>
                <w:snapToGrid w:val="0"/>
                <w:sz w:val="18"/>
                <w:szCs w:val="18"/>
              </w:rPr>
              <w:t>251</w:t>
            </w:r>
          </w:p>
        </w:tc>
        <w:tc>
          <w:tcPr>
            <w:tcW w:w="756" w:type="dxa"/>
          </w:tcPr>
          <w:p w:rsidR="000A649A" w:rsidRPr="001A5D5C" w:rsidRDefault="006A670F" w:rsidP="00B260E1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1A5D5C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7.</w:t>
            </w:r>
            <w:r w:rsidR="000A649A" w:rsidRPr="001A5D5C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808</w:t>
            </w:r>
          </w:p>
        </w:tc>
        <w:tc>
          <w:tcPr>
            <w:tcW w:w="757" w:type="dxa"/>
            <w:shd w:val="clear" w:color="auto" w:fill="auto"/>
          </w:tcPr>
          <w:p w:rsidR="000A649A" w:rsidRPr="001A5D5C" w:rsidRDefault="006A670F" w:rsidP="00B260E1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1A5D5C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7.</w:t>
            </w:r>
            <w:r w:rsidR="000A649A" w:rsidRPr="001A5D5C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992</w:t>
            </w:r>
          </w:p>
        </w:tc>
        <w:tc>
          <w:tcPr>
            <w:tcW w:w="756" w:type="dxa"/>
            <w:shd w:val="clear" w:color="auto" w:fill="auto"/>
          </w:tcPr>
          <w:p w:rsidR="000A649A" w:rsidRPr="001A5D5C" w:rsidRDefault="006A670F" w:rsidP="00B260E1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1A5D5C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8.</w:t>
            </w:r>
            <w:r w:rsidR="000A649A" w:rsidRPr="001A5D5C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149</w:t>
            </w:r>
          </w:p>
        </w:tc>
        <w:tc>
          <w:tcPr>
            <w:tcW w:w="756" w:type="dxa"/>
          </w:tcPr>
          <w:p w:rsidR="000A649A" w:rsidRPr="001A5D5C" w:rsidRDefault="006A670F" w:rsidP="00B260E1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1A5D5C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8.</w:t>
            </w:r>
            <w:r w:rsidR="000A649A" w:rsidRPr="001A5D5C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589</w:t>
            </w:r>
          </w:p>
        </w:tc>
        <w:tc>
          <w:tcPr>
            <w:tcW w:w="757" w:type="dxa"/>
          </w:tcPr>
          <w:p w:rsidR="000A649A" w:rsidRPr="001A5D5C" w:rsidRDefault="006A670F" w:rsidP="00B260E1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1A5D5C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8.</w:t>
            </w:r>
            <w:r w:rsidR="000A649A" w:rsidRPr="001A5D5C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844</w:t>
            </w:r>
          </w:p>
        </w:tc>
        <w:tc>
          <w:tcPr>
            <w:tcW w:w="756" w:type="dxa"/>
          </w:tcPr>
          <w:p w:rsidR="008528F7" w:rsidRPr="001A5D5C" w:rsidRDefault="006A670F" w:rsidP="00B260E1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1A5D5C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9.</w:t>
            </w:r>
            <w:r w:rsidR="000A649A" w:rsidRPr="001A5D5C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077</w:t>
            </w:r>
          </w:p>
          <w:p w:rsidR="000A649A" w:rsidRPr="001A5D5C" w:rsidRDefault="000A649A" w:rsidP="00B260E1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1027" w:type="dxa"/>
          </w:tcPr>
          <w:p w:rsidR="000A649A" w:rsidRPr="001A5D5C" w:rsidRDefault="006A670F" w:rsidP="00B260E1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1A5D5C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9.</w:t>
            </w:r>
            <w:r w:rsidR="000A649A" w:rsidRPr="001A5D5C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178</w:t>
            </w:r>
          </w:p>
        </w:tc>
      </w:tr>
    </w:tbl>
    <w:p w:rsidR="008528F7" w:rsidRPr="001A5D5C" w:rsidRDefault="00E35D04" w:rsidP="00E35D04">
      <w:pPr>
        <w:spacing w:before="120"/>
        <w:ind w:left="851" w:hanging="284"/>
        <w:rPr>
          <w:rFonts w:eastAsiaTheme="minorEastAsia" w:cs="Arial"/>
          <w:sz w:val="16"/>
          <w:szCs w:val="18"/>
          <w:lang w:eastAsia="ja-JP"/>
        </w:rPr>
      </w:pPr>
      <w:r w:rsidRPr="001A5D5C">
        <w:rPr>
          <w:rFonts w:eastAsiaTheme="minorEastAsia" w:cs="Arial"/>
          <w:sz w:val="16"/>
          <w:szCs w:val="18"/>
          <w:lang w:eastAsia="ja-JP"/>
        </w:rPr>
        <w:t>*</w:t>
      </w:r>
      <w:r w:rsidR="00AE5691">
        <w:rPr>
          <w:rFonts w:eastAsiaTheme="minorEastAsia" w:cs="Arial"/>
          <w:sz w:val="16"/>
          <w:szCs w:val="18"/>
          <w:lang w:eastAsia="ja-JP"/>
        </w:rPr>
        <w:tab/>
      </w:r>
      <w:r w:rsidRPr="001A5D5C">
        <w:rPr>
          <w:rFonts w:eastAsiaTheme="minorEastAsia" w:cs="Arial"/>
          <w:sz w:val="16"/>
          <w:szCs w:val="18"/>
          <w:lang w:eastAsia="ja-JP"/>
        </w:rPr>
        <w:t>Se incluyen los cambios introducidos en los códigos UPOV que resultan de la modificación de la “Orientación acerca del sistema de códigos de la UPOV” en lo que concierne a los híbridos (véase el documento TC/49/6).</w:t>
      </w:r>
    </w:p>
    <w:p w:rsidR="008528F7" w:rsidRPr="001A5D5C" w:rsidRDefault="008528F7" w:rsidP="000A649A">
      <w:pPr>
        <w:rPr>
          <w:rFonts w:eastAsiaTheme="minorEastAsia" w:cs="Arial"/>
        </w:rPr>
      </w:pPr>
    </w:p>
    <w:p w:rsidR="008528F7" w:rsidRPr="001A5D5C" w:rsidRDefault="000A649A" w:rsidP="000A649A">
      <w:pPr>
        <w:jc w:val="left"/>
        <w:rPr>
          <w:rFonts w:eastAsiaTheme="minorEastAsia" w:cs="Arial"/>
        </w:rPr>
      </w:pPr>
      <w:r w:rsidRPr="001A5D5C">
        <w:rPr>
          <w:rFonts w:eastAsiaTheme="minorEastAsia" w:cs="Arial"/>
        </w:rPr>
        <w:br w:type="page"/>
      </w:r>
    </w:p>
    <w:p w:rsidR="008528F7" w:rsidRPr="001A5D5C" w:rsidRDefault="00E35D04" w:rsidP="001C55DA">
      <w:pPr>
        <w:pStyle w:val="Heading1"/>
      </w:pPr>
      <w:bookmarkStart w:id="10" w:name="_Toc53663646"/>
      <w:r w:rsidRPr="001A5D5C">
        <w:lastRenderedPageBreak/>
        <w:t>BASE DE DATOS PLUTO</w:t>
      </w:r>
      <w:bookmarkEnd w:id="10"/>
    </w:p>
    <w:p w:rsidR="008528F7" w:rsidRPr="001A5D5C" w:rsidRDefault="008528F7" w:rsidP="000A649A">
      <w:pPr>
        <w:keepNext/>
        <w:keepLines/>
        <w:rPr>
          <w:rFonts w:eastAsiaTheme="minorEastAsia"/>
        </w:rPr>
      </w:pPr>
    </w:p>
    <w:p w:rsidR="008528F7" w:rsidRPr="001A5D5C" w:rsidRDefault="00E35D04" w:rsidP="00E35D04">
      <w:pPr>
        <w:keepNext/>
        <w:keepLines/>
        <w:outlineLvl w:val="1"/>
        <w:rPr>
          <w:rFonts w:eastAsiaTheme="minorEastAsia" w:cs="Arial"/>
          <w:u w:val="single"/>
        </w:rPr>
      </w:pPr>
      <w:bookmarkStart w:id="11" w:name="_Toc53663647"/>
      <w:r w:rsidRPr="001A5D5C">
        <w:rPr>
          <w:rFonts w:eastAsiaTheme="minorEastAsia"/>
          <w:u w:val="single"/>
        </w:rPr>
        <w:t>Programa de mejoras de la base de datos PLUTO</w:t>
      </w:r>
      <w:bookmarkEnd w:id="11"/>
    </w:p>
    <w:p w:rsidR="008528F7" w:rsidRPr="001A5D5C" w:rsidRDefault="008528F7" w:rsidP="000A649A">
      <w:pPr>
        <w:keepNext/>
        <w:keepLines/>
        <w:rPr>
          <w:rFonts w:eastAsiaTheme="minorEastAsia" w:cs="Arial"/>
          <w:bCs/>
        </w:rPr>
      </w:pPr>
    </w:p>
    <w:p w:rsidR="008528F7" w:rsidRPr="001A5D5C" w:rsidRDefault="000A649A" w:rsidP="00A557BA">
      <w:pPr>
        <w:keepNext/>
        <w:keepLines/>
        <w:rPr>
          <w:rFonts w:eastAsiaTheme="minorEastAsia" w:cs="Arial"/>
          <w:bCs/>
        </w:rPr>
      </w:pPr>
      <w:r w:rsidRPr="001A5D5C">
        <w:rPr>
          <w:rFonts w:eastAsiaTheme="minorEastAsia" w:cs="Arial"/>
          <w:bCs/>
        </w:rPr>
        <w:fldChar w:fldCharType="begin"/>
      </w:r>
      <w:r w:rsidRPr="001A5D5C">
        <w:rPr>
          <w:rFonts w:eastAsiaTheme="minorEastAsia" w:cs="Arial"/>
          <w:bCs/>
        </w:rPr>
        <w:instrText xml:space="preserve"> AUTONUM  </w:instrText>
      </w:r>
      <w:r w:rsidRPr="001A5D5C">
        <w:rPr>
          <w:rFonts w:eastAsiaTheme="minorEastAsia" w:cs="Arial"/>
          <w:bCs/>
        </w:rPr>
        <w:fldChar w:fldCharType="end"/>
      </w:r>
      <w:r w:rsidRPr="001A5D5C">
        <w:rPr>
          <w:rFonts w:eastAsiaTheme="minorEastAsia" w:cs="Arial"/>
          <w:bCs/>
        </w:rPr>
        <w:tab/>
      </w:r>
      <w:r w:rsidR="00A557BA" w:rsidRPr="001A5D5C">
        <w:rPr>
          <w:rFonts w:eastAsiaTheme="minorEastAsia" w:cs="Arial"/>
          <w:bCs/>
        </w:rPr>
        <w:t>Las cuestiones relativas a la base de datos sobre variedades vegetales PLUTO se exponen en el documento CAJ/77/8 “Base de datos sobre variedades vegetales PLUTO”.</w:t>
      </w:r>
    </w:p>
    <w:p w:rsidR="008528F7" w:rsidRPr="001A5D5C" w:rsidRDefault="008528F7" w:rsidP="000A649A">
      <w:pPr>
        <w:keepNext/>
        <w:keepLines/>
        <w:rPr>
          <w:rFonts w:eastAsiaTheme="minorEastAsia" w:cs="Arial"/>
          <w:bCs/>
        </w:rPr>
      </w:pPr>
    </w:p>
    <w:p w:rsidR="008528F7" w:rsidRPr="001A5D5C" w:rsidRDefault="008528F7" w:rsidP="000A649A">
      <w:pPr>
        <w:rPr>
          <w:rFonts w:eastAsiaTheme="minorEastAsia"/>
        </w:rPr>
      </w:pPr>
    </w:p>
    <w:p w:rsidR="008528F7" w:rsidRPr="001A5D5C" w:rsidRDefault="00A557BA" w:rsidP="00A557BA">
      <w:pPr>
        <w:keepNext/>
        <w:outlineLvl w:val="1"/>
        <w:rPr>
          <w:rFonts w:eastAsiaTheme="minorEastAsia"/>
          <w:u w:val="single"/>
        </w:rPr>
      </w:pPr>
      <w:bookmarkStart w:id="12" w:name="_Toc53663648"/>
      <w:r w:rsidRPr="001A5D5C">
        <w:rPr>
          <w:rFonts w:eastAsiaTheme="minorEastAsia"/>
          <w:u w:val="single"/>
        </w:rPr>
        <w:t>Instrumentos de búsqueda</w:t>
      </w:r>
      <w:bookmarkEnd w:id="12"/>
    </w:p>
    <w:p w:rsidR="008528F7" w:rsidRPr="001A5D5C" w:rsidRDefault="008528F7" w:rsidP="000A649A">
      <w:pPr>
        <w:tabs>
          <w:tab w:val="left" w:pos="540"/>
        </w:tabs>
        <w:autoSpaceDE w:val="0"/>
        <w:autoSpaceDN w:val="0"/>
        <w:adjustRightInd w:val="0"/>
        <w:rPr>
          <w:rFonts w:eastAsiaTheme="minorEastAsia"/>
        </w:rPr>
      </w:pPr>
    </w:p>
    <w:p w:rsidR="008528F7" w:rsidRPr="001A5D5C" w:rsidRDefault="000A649A" w:rsidP="00A557BA">
      <w:r w:rsidRPr="001A5D5C">
        <w:rPr>
          <w:rFonts w:eastAsiaTheme="minorEastAsia" w:cs="Arial"/>
        </w:rPr>
        <w:fldChar w:fldCharType="begin"/>
      </w:r>
      <w:r w:rsidRPr="001A5D5C">
        <w:rPr>
          <w:rFonts w:eastAsiaTheme="minorEastAsia" w:cs="Arial"/>
        </w:rPr>
        <w:instrText xml:space="preserve"> AUTONUM  </w:instrText>
      </w:r>
      <w:r w:rsidRPr="001A5D5C">
        <w:rPr>
          <w:rFonts w:eastAsiaTheme="minorEastAsia" w:cs="Arial"/>
        </w:rPr>
        <w:fldChar w:fldCharType="end"/>
      </w:r>
      <w:r w:rsidRPr="001A5D5C">
        <w:rPr>
          <w:rFonts w:eastAsiaTheme="minorEastAsia" w:cs="Arial"/>
        </w:rPr>
        <w:tab/>
      </w:r>
      <w:r w:rsidR="00A557BA" w:rsidRPr="001A5D5C">
        <w:rPr>
          <w:rFonts w:eastAsiaTheme="minorEastAsia" w:cs="Arial"/>
        </w:rPr>
        <w:t>Las cuestiones relativas a la posible elaboración de un instrumento de búsqueda de similitud a los fines de la denominación de variedades se examinan en el documento CAJ/77/7 “Instrumento de la UPOV de búsqueda de similitud a los fines de la denominación de variedades”.</w:t>
      </w:r>
    </w:p>
    <w:p w:rsidR="008528F7" w:rsidRPr="001A5D5C" w:rsidRDefault="008528F7" w:rsidP="000A649A">
      <w:pPr>
        <w:rPr>
          <w:rFonts w:eastAsiaTheme="minorEastAsia"/>
        </w:rPr>
      </w:pPr>
    </w:p>
    <w:p w:rsidR="008528F7" w:rsidRPr="001A5D5C" w:rsidRDefault="000A649A" w:rsidP="00A557BA">
      <w:pPr>
        <w:tabs>
          <w:tab w:val="left" w:pos="5387"/>
        </w:tabs>
        <w:ind w:left="4820"/>
        <w:rPr>
          <w:rFonts w:eastAsiaTheme="minorEastAsia"/>
          <w:i/>
        </w:rPr>
      </w:pPr>
      <w:r w:rsidRPr="001A5D5C">
        <w:rPr>
          <w:rFonts w:eastAsiaTheme="minorEastAsia"/>
          <w:i/>
        </w:rPr>
        <w:fldChar w:fldCharType="begin"/>
      </w:r>
      <w:r w:rsidRPr="001A5D5C">
        <w:rPr>
          <w:rFonts w:eastAsiaTheme="minorEastAsia"/>
          <w:i/>
        </w:rPr>
        <w:instrText xml:space="preserve"> AUTONUM  </w:instrText>
      </w:r>
      <w:r w:rsidRPr="001A5D5C">
        <w:rPr>
          <w:rFonts w:eastAsiaTheme="minorEastAsia"/>
          <w:i/>
        </w:rPr>
        <w:fldChar w:fldCharType="end"/>
      </w:r>
      <w:r w:rsidRPr="001A5D5C">
        <w:rPr>
          <w:rFonts w:eastAsiaTheme="minorEastAsia"/>
          <w:i/>
        </w:rPr>
        <w:tab/>
      </w:r>
      <w:r w:rsidR="00A557BA" w:rsidRPr="001A5D5C">
        <w:rPr>
          <w:rFonts w:eastAsiaTheme="minorEastAsia"/>
          <w:i/>
        </w:rPr>
        <w:t xml:space="preserve">Se invita al CAJ a tomar nota de </w:t>
      </w:r>
      <w:r w:rsidR="004338C4" w:rsidRPr="001A5D5C">
        <w:rPr>
          <w:rFonts w:eastAsiaTheme="minorEastAsia"/>
          <w:i/>
        </w:rPr>
        <w:t>lo siguiente</w:t>
      </w:r>
      <w:r w:rsidR="00A557BA" w:rsidRPr="001A5D5C">
        <w:rPr>
          <w:rFonts w:eastAsiaTheme="minorEastAsia"/>
          <w:i/>
        </w:rPr>
        <w:t>:</w:t>
      </w:r>
    </w:p>
    <w:p w:rsidR="008528F7" w:rsidRPr="001A5D5C" w:rsidRDefault="008528F7" w:rsidP="000A649A">
      <w:pPr>
        <w:tabs>
          <w:tab w:val="left" w:pos="5387"/>
        </w:tabs>
        <w:ind w:left="4820"/>
        <w:rPr>
          <w:rFonts w:eastAsiaTheme="minorEastAsia"/>
          <w:i/>
        </w:rPr>
      </w:pPr>
    </w:p>
    <w:p w:rsidR="008528F7" w:rsidRPr="001A5D5C" w:rsidRDefault="000A649A" w:rsidP="00AE5691">
      <w:pPr>
        <w:tabs>
          <w:tab w:val="left" w:pos="5387"/>
          <w:tab w:val="left" w:pos="5954"/>
        </w:tabs>
        <w:ind w:left="4820"/>
        <w:rPr>
          <w:rFonts w:eastAsiaTheme="minorEastAsia"/>
          <w:i/>
        </w:rPr>
      </w:pPr>
      <w:r w:rsidRPr="001A5D5C">
        <w:rPr>
          <w:rFonts w:eastAsiaTheme="minorEastAsia"/>
          <w:i/>
        </w:rPr>
        <w:tab/>
      </w:r>
      <w:r w:rsidR="00AE5691">
        <w:rPr>
          <w:rFonts w:eastAsiaTheme="minorEastAsia"/>
          <w:i/>
        </w:rPr>
        <w:t>a)</w:t>
      </w:r>
      <w:r w:rsidR="00AE5691">
        <w:rPr>
          <w:rFonts w:eastAsiaTheme="minorEastAsia"/>
          <w:i/>
        </w:rPr>
        <w:tab/>
      </w:r>
      <w:r w:rsidR="001C55DA" w:rsidRPr="001A5D5C">
        <w:rPr>
          <w:rFonts w:eastAsiaTheme="minorEastAsia"/>
          <w:i/>
        </w:rPr>
        <w:t>e</w:t>
      </w:r>
      <w:r w:rsidR="00A557BA" w:rsidRPr="001A5D5C">
        <w:rPr>
          <w:rFonts w:eastAsiaTheme="minorEastAsia"/>
          <w:i/>
        </w:rPr>
        <w:t>l documento C/54/2 “Informe anual del secretario general para 2019” contiene novedades sobre la información que figura en la base de datos GENIE y su uso;</w:t>
      </w:r>
    </w:p>
    <w:p w:rsidR="008528F7" w:rsidRPr="001A5D5C" w:rsidRDefault="008528F7" w:rsidP="00AE5691">
      <w:pPr>
        <w:tabs>
          <w:tab w:val="left" w:pos="5387"/>
          <w:tab w:val="left" w:pos="5954"/>
        </w:tabs>
        <w:ind w:left="4820"/>
        <w:rPr>
          <w:rFonts w:eastAsiaTheme="minorEastAsia"/>
          <w:i/>
        </w:rPr>
      </w:pPr>
    </w:p>
    <w:p w:rsidR="008528F7" w:rsidRPr="005C0D2E" w:rsidRDefault="000A649A" w:rsidP="00AE5691">
      <w:pPr>
        <w:tabs>
          <w:tab w:val="left" w:pos="5387"/>
          <w:tab w:val="left" w:pos="5954"/>
        </w:tabs>
        <w:ind w:left="4820"/>
        <w:rPr>
          <w:rFonts w:eastAsiaTheme="minorEastAsia"/>
          <w:i/>
          <w:iCs/>
        </w:rPr>
      </w:pPr>
      <w:r w:rsidRPr="005C0D2E">
        <w:rPr>
          <w:rFonts w:eastAsiaTheme="minorEastAsia"/>
          <w:i/>
          <w:iCs/>
        </w:rPr>
        <w:tab/>
      </w:r>
      <w:r w:rsidR="00A557BA" w:rsidRPr="005C0D2E">
        <w:rPr>
          <w:rFonts w:eastAsiaTheme="minorEastAsia"/>
          <w:i/>
          <w:iCs/>
        </w:rPr>
        <w:t>b)</w:t>
      </w:r>
      <w:r w:rsidR="00A557BA" w:rsidRPr="005C0D2E">
        <w:rPr>
          <w:rFonts w:eastAsiaTheme="minorEastAsia"/>
          <w:i/>
          <w:iCs/>
        </w:rPr>
        <w:tab/>
        <w:t xml:space="preserve">se crearon 145 nuevos códigos UPOV </w:t>
      </w:r>
      <w:r w:rsidR="001C55DA" w:rsidRPr="005C0D2E">
        <w:rPr>
          <w:rFonts w:eastAsiaTheme="minorEastAsia"/>
          <w:i/>
          <w:iCs/>
        </w:rPr>
        <w:t>en 2020, hasta e</w:t>
      </w:r>
      <w:r w:rsidR="00A557BA" w:rsidRPr="005C0D2E">
        <w:rPr>
          <w:rFonts w:eastAsiaTheme="minorEastAsia"/>
          <w:i/>
          <w:iCs/>
        </w:rPr>
        <w:t>l 30 de agosto, y la base de datos GENIE contiene en total 9.178 códigos UPOV;</w:t>
      </w:r>
    </w:p>
    <w:p w:rsidR="008528F7" w:rsidRPr="001A5D5C" w:rsidRDefault="008528F7" w:rsidP="00AE5691">
      <w:pPr>
        <w:tabs>
          <w:tab w:val="left" w:pos="5387"/>
          <w:tab w:val="left" w:pos="5954"/>
        </w:tabs>
        <w:ind w:left="4820"/>
        <w:rPr>
          <w:rFonts w:eastAsiaTheme="minorEastAsia"/>
          <w:i/>
        </w:rPr>
      </w:pPr>
    </w:p>
    <w:p w:rsidR="008528F7" w:rsidRPr="001A5D5C" w:rsidRDefault="000A649A" w:rsidP="00AE5691">
      <w:pPr>
        <w:tabs>
          <w:tab w:val="left" w:pos="5387"/>
          <w:tab w:val="left" w:pos="5954"/>
        </w:tabs>
        <w:ind w:left="4820"/>
        <w:rPr>
          <w:rFonts w:eastAsiaTheme="minorEastAsia"/>
          <w:i/>
        </w:rPr>
      </w:pPr>
      <w:r w:rsidRPr="001A5D5C">
        <w:rPr>
          <w:rFonts w:eastAsiaTheme="minorEastAsia"/>
          <w:i/>
        </w:rPr>
        <w:tab/>
      </w:r>
      <w:r w:rsidR="00A557BA" w:rsidRPr="001A5D5C">
        <w:rPr>
          <w:rFonts w:eastAsiaTheme="minorEastAsia"/>
          <w:i/>
        </w:rPr>
        <w:t>c)</w:t>
      </w:r>
      <w:r w:rsidR="00A557BA" w:rsidRPr="001A5D5C">
        <w:rPr>
          <w:rFonts w:eastAsiaTheme="minorEastAsia"/>
          <w:i/>
        </w:rPr>
        <w:tab/>
        <w:t>se invitará al CAJ a examinar el documento UPOV/INF/23/1, sobre la base del documento UPOV/INF/23/1 Draft 1 “Orientación acerca del sistema de códigos de la UPOV”, de acuerdo con lo expuesto en el documento CAJ/77/3 Rev. “Elaboración de orientaciones y material de información”;</w:t>
      </w:r>
    </w:p>
    <w:p w:rsidR="008528F7" w:rsidRPr="001A5D5C" w:rsidRDefault="008528F7" w:rsidP="00AE5691">
      <w:pPr>
        <w:tabs>
          <w:tab w:val="left" w:pos="5387"/>
          <w:tab w:val="left" w:pos="5954"/>
        </w:tabs>
        <w:ind w:left="4820" w:firstLine="567"/>
        <w:rPr>
          <w:rFonts w:eastAsiaTheme="minorEastAsia"/>
          <w:i/>
        </w:rPr>
      </w:pPr>
    </w:p>
    <w:p w:rsidR="008528F7" w:rsidRPr="001A5D5C" w:rsidRDefault="000A649A" w:rsidP="00AE5691">
      <w:pPr>
        <w:tabs>
          <w:tab w:val="left" w:pos="5387"/>
          <w:tab w:val="left" w:pos="5954"/>
        </w:tabs>
        <w:ind w:left="4820"/>
        <w:rPr>
          <w:rFonts w:eastAsiaTheme="minorEastAsia"/>
          <w:i/>
        </w:rPr>
      </w:pPr>
      <w:r w:rsidRPr="001A5D5C">
        <w:rPr>
          <w:rFonts w:eastAsiaTheme="minorEastAsia"/>
          <w:i/>
        </w:rPr>
        <w:tab/>
      </w:r>
      <w:r w:rsidR="00A557BA" w:rsidRPr="001A5D5C">
        <w:rPr>
          <w:rFonts w:eastAsiaTheme="minorEastAsia"/>
          <w:i/>
        </w:rPr>
        <w:t>d)</w:t>
      </w:r>
      <w:r w:rsidR="00A557BA" w:rsidRPr="001A5D5C">
        <w:rPr>
          <w:rFonts w:eastAsiaTheme="minorEastAsia"/>
          <w:i/>
        </w:rPr>
        <w:tab/>
        <w:t>las cuestiones relativas a la base de datos sobre variedades vegetales PLUTO se exponen en el documento CAJ/77/8 “Base de datos sobre variedades vegetales PLUTO”;</w:t>
      </w:r>
      <w:r w:rsidR="00AE5691">
        <w:rPr>
          <w:rFonts w:eastAsiaTheme="minorEastAsia"/>
          <w:i/>
        </w:rPr>
        <w:t xml:space="preserve"> </w:t>
      </w:r>
      <w:bookmarkStart w:id="13" w:name="_GoBack"/>
      <w:bookmarkEnd w:id="13"/>
      <w:r w:rsidR="00A557BA" w:rsidRPr="001A5D5C">
        <w:rPr>
          <w:rFonts w:eastAsiaTheme="minorEastAsia"/>
          <w:i/>
        </w:rPr>
        <w:t xml:space="preserve"> y</w:t>
      </w:r>
    </w:p>
    <w:p w:rsidR="008528F7" w:rsidRPr="001A5D5C" w:rsidRDefault="008528F7" w:rsidP="00AE5691">
      <w:pPr>
        <w:tabs>
          <w:tab w:val="left" w:pos="5387"/>
          <w:tab w:val="left" w:pos="5954"/>
        </w:tabs>
        <w:ind w:left="4820"/>
        <w:rPr>
          <w:rFonts w:eastAsiaTheme="minorEastAsia"/>
          <w:i/>
        </w:rPr>
      </w:pPr>
    </w:p>
    <w:p w:rsidR="008528F7" w:rsidRPr="001A5D5C" w:rsidRDefault="000A649A" w:rsidP="00AE5691">
      <w:pPr>
        <w:tabs>
          <w:tab w:val="left" w:pos="5387"/>
          <w:tab w:val="left" w:pos="5954"/>
        </w:tabs>
        <w:ind w:left="4820"/>
        <w:rPr>
          <w:rFonts w:eastAsiaTheme="minorEastAsia"/>
          <w:i/>
        </w:rPr>
      </w:pPr>
      <w:r w:rsidRPr="001A5D5C">
        <w:rPr>
          <w:rFonts w:eastAsiaTheme="minorEastAsia"/>
          <w:i/>
        </w:rPr>
        <w:tab/>
      </w:r>
      <w:r w:rsidR="00A557BA" w:rsidRPr="001A5D5C">
        <w:rPr>
          <w:rFonts w:eastAsiaTheme="minorEastAsia"/>
          <w:i/>
        </w:rPr>
        <w:t>e)</w:t>
      </w:r>
      <w:r w:rsidR="00A557BA" w:rsidRPr="001A5D5C">
        <w:rPr>
          <w:rFonts w:eastAsiaTheme="minorEastAsia"/>
          <w:i/>
        </w:rPr>
        <w:tab/>
        <w:t>las cuestiones relativas a la posible elaboración de un instrumento de búsqueda de similitud a los fines de la denominación de variedades se examinan en el documento CAJ/77/7 “Instrumento de la UPOV de búsqueda de similitud a los fines de la denominación de variedades”.</w:t>
      </w:r>
    </w:p>
    <w:p w:rsidR="008528F7" w:rsidRPr="001A5D5C" w:rsidRDefault="008528F7" w:rsidP="000A649A">
      <w:pPr>
        <w:jc w:val="right"/>
        <w:rPr>
          <w:rFonts w:cs="Arial"/>
        </w:rPr>
      </w:pPr>
    </w:p>
    <w:p w:rsidR="008528F7" w:rsidRPr="001A5D5C" w:rsidRDefault="008528F7" w:rsidP="000A649A">
      <w:pPr>
        <w:jc w:val="right"/>
        <w:rPr>
          <w:rFonts w:cs="Arial"/>
        </w:rPr>
      </w:pPr>
    </w:p>
    <w:p w:rsidR="00050E16" w:rsidRPr="001A5D5C" w:rsidRDefault="00A557BA" w:rsidP="001A5D5C">
      <w:pPr>
        <w:jc w:val="right"/>
      </w:pPr>
      <w:r w:rsidRPr="001A5D5C">
        <w:t>[Fin del documento]</w:t>
      </w:r>
    </w:p>
    <w:sectPr w:rsidR="00050E16" w:rsidRPr="001A5D5C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370" w:rsidRDefault="00CE5370" w:rsidP="006655D3">
      <w:r>
        <w:separator/>
      </w:r>
    </w:p>
    <w:p w:rsidR="00CE5370" w:rsidRDefault="00CE5370" w:rsidP="006655D3"/>
    <w:p w:rsidR="00CE5370" w:rsidRDefault="00CE5370" w:rsidP="006655D3"/>
  </w:endnote>
  <w:endnote w:type="continuationSeparator" w:id="0">
    <w:p w:rsidR="00CE5370" w:rsidRDefault="00CE5370" w:rsidP="006655D3">
      <w:r>
        <w:separator/>
      </w:r>
    </w:p>
    <w:p w:rsidR="00CE5370" w:rsidRPr="00294751" w:rsidRDefault="00CE537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E5370" w:rsidRPr="00294751" w:rsidRDefault="00CE5370" w:rsidP="006655D3">
      <w:pPr>
        <w:rPr>
          <w:lang w:val="fr-FR"/>
        </w:rPr>
      </w:pPr>
    </w:p>
    <w:p w:rsidR="00CE5370" w:rsidRPr="00294751" w:rsidRDefault="00CE5370" w:rsidP="006655D3">
      <w:pPr>
        <w:rPr>
          <w:lang w:val="fr-FR"/>
        </w:rPr>
      </w:pPr>
    </w:p>
  </w:endnote>
  <w:endnote w:type="continuationNotice" w:id="1">
    <w:p w:rsidR="00CE5370" w:rsidRPr="00294751" w:rsidRDefault="00CE537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CE5370" w:rsidRPr="00294751" w:rsidRDefault="00CE5370" w:rsidP="006655D3">
      <w:pPr>
        <w:rPr>
          <w:lang w:val="fr-FR"/>
        </w:rPr>
      </w:pPr>
    </w:p>
    <w:p w:rsidR="00CE5370" w:rsidRPr="00294751" w:rsidRDefault="00CE537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Arial Unicode M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370" w:rsidRDefault="00CE5370" w:rsidP="006655D3">
      <w:r>
        <w:separator/>
      </w:r>
    </w:p>
  </w:footnote>
  <w:footnote w:type="continuationSeparator" w:id="0">
    <w:p w:rsidR="00CE5370" w:rsidRDefault="00CE5370" w:rsidP="006655D3">
      <w:r>
        <w:separator/>
      </w:r>
    </w:p>
  </w:footnote>
  <w:footnote w:type="continuationNotice" w:id="1">
    <w:p w:rsidR="00CE5370" w:rsidRPr="00AB530F" w:rsidRDefault="00CE5370" w:rsidP="00AB530F">
      <w:pPr>
        <w:pStyle w:val="Footer"/>
      </w:pPr>
    </w:p>
  </w:footnote>
  <w:footnote w:id="2">
    <w:p w:rsidR="00110447" w:rsidRPr="00110447" w:rsidRDefault="00110447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s-ES"/>
        </w:rPr>
        <w:tab/>
        <w:t>Celebrada en Ginebra del 26 al 28 de marzo de 2012.</w:t>
      </w:r>
    </w:p>
  </w:footnote>
  <w:footnote w:id="3">
    <w:p w:rsidR="00110447" w:rsidRPr="00110447" w:rsidRDefault="00110447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s-ES"/>
        </w:rPr>
        <w:tab/>
        <w:t>Celebrada en Ginebra el 29 de marzo de 2012.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1A5D5C" w:rsidRDefault="00642665" w:rsidP="000A23DC">
    <w:pPr>
      <w:pStyle w:val="Header"/>
      <w:rPr>
        <w:rStyle w:val="PageNumber"/>
      </w:rPr>
    </w:pPr>
    <w:r w:rsidRPr="001A5D5C">
      <w:rPr>
        <w:rStyle w:val="PageNumber"/>
      </w:rPr>
      <w:t>CAJ/77</w:t>
    </w:r>
    <w:r w:rsidR="00667404" w:rsidRPr="001A5D5C">
      <w:rPr>
        <w:rStyle w:val="PageNumber"/>
      </w:rPr>
      <w:t>/</w:t>
    </w:r>
    <w:r w:rsidR="001A5D5C" w:rsidRPr="001A5D5C">
      <w:rPr>
        <w:rStyle w:val="PageNumber"/>
      </w:rPr>
      <w:t>INF/3</w:t>
    </w:r>
  </w:p>
  <w:p w:rsidR="00182B99" w:rsidRPr="001A5D5C" w:rsidRDefault="008B3D8D" w:rsidP="008B3D8D">
    <w:pPr>
      <w:pStyle w:val="Header"/>
    </w:pPr>
    <w:r w:rsidRPr="001A5D5C">
      <w:t>página</w:t>
    </w:r>
    <w:r w:rsidR="00182B99" w:rsidRPr="001A5D5C">
      <w:t xml:space="preserve"> </w:t>
    </w:r>
    <w:r w:rsidR="00182B99" w:rsidRPr="001A5D5C">
      <w:rPr>
        <w:rStyle w:val="PageNumber"/>
      </w:rPr>
      <w:fldChar w:fldCharType="begin"/>
    </w:r>
    <w:r w:rsidR="00182B99" w:rsidRPr="001A5D5C">
      <w:rPr>
        <w:rStyle w:val="PageNumber"/>
      </w:rPr>
      <w:instrText xml:space="preserve"> PAGE </w:instrText>
    </w:r>
    <w:r w:rsidR="00182B99" w:rsidRPr="001A5D5C">
      <w:rPr>
        <w:rStyle w:val="PageNumber"/>
      </w:rPr>
      <w:fldChar w:fldCharType="separate"/>
    </w:r>
    <w:r w:rsidR="00AE5691">
      <w:rPr>
        <w:rStyle w:val="PageNumber"/>
        <w:noProof/>
      </w:rPr>
      <w:t>3</w:t>
    </w:r>
    <w:r w:rsidR="00182B99" w:rsidRPr="001A5D5C">
      <w:rPr>
        <w:rStyle w:val="PageNumber"/>
      </w:rPr>
      <w:fldChar w:fldCharType="end"/>
    </w:r>
  </w:p>
  <w:p w:rsidR="00182B99" w:rsidRPr="001A5D5C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xtBase TMs\WorkspaceSTS\UPOV\UPOV Main|TextBase TMs\WorkspaceSTS\UPOV\U Instruments|TextBase TMs\WorkspaceSTS\Administration &amp; Finance\FAB Main|TextBase TMs\WorkspaceSTS\Patents &amp; Innovation\Patents Main|TextBase TMs\WorkspaceSTS\Administration &amp; Finance\FAB Instruments|TextBase TMs\WorkspaceSTS\Patents &amp; Innovation\P Instrument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am Server TMs\Spanish"/>
    <w:docVar w:name="TextBaseURL" w:val="empty"/>
    <w:docVar w:name="UILng" w:val="en"/>
  </w:docVars>
  <w:rsids>
    <w:rsidRoot w:val="004C776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72EC3"/>
    <w:rsid w:val="00085505"/>
    <w:rsid w:val="0009573D"/>
    <w:rsid w:val="000A23DC"/>
    <w:rsid w:val="000A649A"/>
    <w:rsid w:val="000A6B12"/>
    <w:rsid w:val="000C4E25"/>
    <w:rsid w:val="000C7021"/>
    <w:rsid w:val="000D6BBC"/>
    <w:rsid w:val="000D7780"/>
    <w:rsid w:val="000E636A"/>
    <w:rsid w:val="000F2F11"/>
    <w:rsid w:val="00105929"/>
    <w:rsid w:val="00110447"/>
    <w:rsid w:val="00110C36"/>
    <w:rsid w:val="001131D5"/>
    <w:rsid w:val="00141DB8"/>
    <w:rsid w:val="00172084"/>
    <w:rsid w:val="0017474A"/>
    <w:rsid w:val="001758C6"/>
    <w:rsid w:val="00182B99"/>
    <w:rsid w:val="001830D9"/>
    <w:rsid w:val="001A5D5C"/>
    <w:rsid w:val="001C55DA"/>
    <w:rsid w:val="001F64BF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8659A"/>
    <w:rsid w:val="002940E8"/>
    <w:rsid w:val="00294751"/>
    <w:rsid w:val="002A6E50"/>
    <w:rsid w:val="002B4298"/>
    <w:rsid w:val="002B71F5"/>
    <w:rsid w:val="002C256A"/>
    <w:rsid w:val="002E5944"/>
    <w:rsid w:val="002F2508"/>
    <w:rsid w:val="00305A7F"/>
    <w:rsid w:val="003117E0"/>
    <w:rsid w:val="003152FE"/>
    <w:rsid w:val="00327436"/>
    <w:rsid w:val="00344BD6"/>
    <w:rsid w:val="0035528D"/>
    <w:rsid w:val="00361821"/>
    <w:rsid w:val="00361E9E"/>
    <w:rsid w:val="00392FE9"/>
    <w:rsid w:val="003A4E64"/>
    <w:rsid w:val="003B031A"/>
    <w:rsid w:val="003C7FBE"/>
    <w:rsid w:val="003D227C"/>
    <w:rsid w:val="003D2B4D"/>
    <w:rsid w:val="003D5DCC"/>
    <w:rsid w:val="00404329"/>
    <w:rsid w:val="0040557F"/>
    <w:rsid w:val="004338C4"/>
    <w:rsid w:val="00444A88"/>
    <w:rsid w:val="00474DA4"/>
    <w:rsid w:val="00476B4D"/>
    <w:rsid w:val="004805FA"/>
    <w:rsid w:val="004935D2"/>
    <w:rsid w:val="004B1215"/>
    <w:rsid w:val="004C7765"/>
    <w:rsid w:val="004D047D"/>
    <w:rsid w:val="004D2B1A"/>
    <w:rsid w:val="004F1E9E"/>
    <w:rsid w:val="004F305A"/>
    <w:rsid w:val="00512164"/>
    <w:rsid w:val="00520297"/>
    <w:rsid w:val="0052163D"/>
    <w:rsid w:val="00530058"/>
    <w:rsid w:val="005338F9"/>
    <w:rsid w:val="0054281C"/>
    <w:rsid w:val="00544581"/>
    <w:rsid w:val="00545E42"/>
    <w:rsid w:val="0055268D"/>
    <w:rsid w:val="00566C7E"/>
    <w:rsid w:val="00576BE4"/>
    <w:rsid w:val="00576DF8"/>
    <w:rsid w:val="005A400A"/>
    <w:rsid w:val="005C0D2E"/>
    <w:rsid w:val="005E2522"/>
    <w:rsid w:val="005F7B92"/>
    <w:rsid w:val="00612379"/>
    <w:rsid w:val="006153B6"/>
    <w:rsid w:val="0061555F"/>
    <w:rsid w:val="00627CC7"/>
    <w:rsid w:val="00636CA6"/>
    <w:rsid w:val="00637EDD"/>
    <w:rsid w:val="00641200"/>
    <w:rsid w:val="00642665"/>
    <w:rsid w:val="00645CA8"/>
    <w:rsid w:val="006655D3"/>
    <w:rsid w:val="00667404"/>
    <w:rsid w:val="006818F4"/>
    <w:rsid w:val="00683F34"/>
    <w:rsid w:val="00687EB4"/>
    <w:rsid w:val="00692606"/>
    <w:rsid w:val="00695C56"/>
    <w:rsid w:val="006A32E5"/>
    <w:rsid w:val="006A5CDE"/>
    <w:rsid w:val="006A644A"/>
    <w:rsid w:val="006A670F"/>
    <w:rsid w:val="006B17D2"/>
    <w:rsid w:val="006C224E"/>
    <w:rsid w:val="006D780A"/>
    <w:rsid w:val="006F176C"/>
    <w:rsid w:val="006F364D"/>
    <w:rsid w:val="006F600A"/>
    <w:rsid w:val="0071271E"/>
    <w:rsid w:val="00732DEC"/>
    <w:rsid w:val="00735BD5"/>
    <w:rsid w:val="00750AA6"/>
    <w:rsid w:val="00751613"/>
    <w:rsid w:val="00752334"/>
    <w:rsid w:val="007556F6"/>
    <w:rsid w:val="00760EEF"/>
    <w:rsid w:val="00770079"/>
    <w:rsid w:val="007705CA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538"/>
    <w:rsid w:val="00811B20"/>
    <w:rsid w:val="008211B5"/>
    <w:rsid w:val="0082296E"/>
    <w:rsid w:val="00824099"/>
    <w:rsid w:val="00846D7C"/>
    <w:rsid w:val="008528F7"/>
    <w:rsid w:val="008574A4"/>
    <w:rsid w:val="00864C55"/>
    <w:rsid w:val="00867AC1"/>
    <w:rsid w:val="00890DF8"/>
    <w:rsid w:val="008A743F"/>
    <w:rsid w:val="008B3D8D"/>
    <w:rsid w:val="008C0970"/>
    <w:rsid w:val="008C6250"/>
    <w:rsid w:val="008D0BC5"/>
    <w:rsid w:val="008D2CF7"/>
    <w:rsid w:val="00900C26"/>
    <w:rsid w:val="0090197F"/>
    <w:rsid w:val="00906DDC"/>
    <w:rsid w:val="00934E09"/>
    <w:rsid w:val="00936253"/>
    <w:rsid w:val="00940D46"/>
    <w:rsid w:val="00943983"/>
    <w:rsid w:val="00952DD4"/>
    <w:rsid w:val="0096175D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557BA"/>
    <w:rsid w:val="00A706D3"/>
    <w:rsid w:val="00AB2B93"/>
    <w:rsid w:val="00AB530F"/>
    <w:rsid w:val="00AB7E5B"/>
    <w:rsid w:val="00AC2883"/>
    <w:rsid w:val="00AD25EE"/>
    <w:rsid w:val="00AE0EF1"/>
    <w:rsid w:val="00AE2937"/>
    <w:rsid w:val="00AE5691"/>
    <w:rsid w:val="00B07301"/>
    <w:rsid w:val="00B11F3E"/>
    <w:rsid w:val="00B224DE"/>
    <w:rsid w:val="00B324D4"/>
    <w:rsid w:val="00B46575"/>
    <w:rsid w:val="00B56E2F"/>
    <w:rsid w:val="00B61777"/>
    <w:rsid w:val="00B84BBD"/>
    <w:rsid w:val="00BA43FB"/>
    <w:rsid w:val="00BC0BD4"/>
    <w:rsid w:val="00BC127D"/>
    <w:rsid w:val="00BC1FE6"/>
    <w:rsid w:val="00BF4FFE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E5370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F10B5"/>
    <w:rsid w:val="00E0487C"/>
    <w:rsid w:val="00E07D87"/>
    <w:rsid w:val="00E32F7E"/>
    <w:rsid w:val="00E35D04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B7224"/>
    <w:rsid w:val="00EC2265"/>
    <w:rsid w:val="00EC7B39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9C91D4D"/>
  <w15:docId w15:val="{17867F37-2B03-401D-A427-509CD9B9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1C55DA"/>
    <w:pPr>
      <w:keepNext/>
      <w:jc w:val="both"/>
      <w:outlineLvl w:val="0"/>
    </w:pPr>
    <w:rPr>
      <w:rFonts w:ascii="Arial" w:eastAsiaTheme="minorEastAsia" w:hAnsi="Arial"/>
      <w:caps/>
      <w:lang w:val="es-ES_tradnl"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D2B1A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AE5691"/>
    <w:pPr>
      <w:tabs>
        <w:tab w:val="right" w:leader="dot" w:pos="9639"/>
      </w:tabs>
      <w:spacing w:before="60"/>
      <w:ind w:left="284" w:right="851"/>
    </w:pPr>
    <w:rPr>
      <w:rFonts w:ascii="Arial" w:hAnsi="Arial"/>
      <w:smallCaps/>
    </w:rPr>
  </w:style>
  <w:style w:type="paragraph" w:styleId="TOC3">
    <w:name w:val="toc 3"/>
    <w:next w:val="Normal"/>
    <w:autoRedefine/>
    <w:rsid w:val="006818F4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6818F4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AE5691"/>
    <w:pPr>
      <w:tabs>
        <w:tab w:val="right" w:leader="dot" w:pos="9639"/>
      </w:tabs>
      <w:spacing w:before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6818F4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0A649A"/>
    <w:rPr>
      <w:rFonts w:ascii="Arial" w:hAnsi="Arial"/>
      <w:sz w:val="16"/>
      <w:lang w:val="es-ES_tradnl"/>
    </w:rPr>
  </w:style>
  <w:style w:type="paragraph" w:customStyle="1" w:styleId="Default">
    <w:name w:val="Default"/>
    <w:rsid w:val="000A64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11044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E5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upov.int/genie/resources/pdfs/upov_code_system_e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1138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CAJ/77/INF/3</vt:lpstr>
    </vt:vector>
  </TitlesOfParts>
  <Company>UPOV</Company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CAJ/77/INF/3</dc:title>
  <dc:creator>MATEOS CLERIGUÉ Roberto</dc:creator>
  <cp:lastModifiedBy>SANTOS Carla Marina</cp:lastModifiedBy>
  <cp:revision>3</cp:revision>
  <cp:lastPrinted>2020-10-15T13:06:00Z</cp:lastPrinted>
  <dcterms:created xsi:type="dcterms:W3CDTF">2020-10-16T08:31:00Z</dcterms:created>
  <dcterms:modified xsi:type="dcterms:W3CDTF">2020-10-22T07:24:00Z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dec9f893-ec64-4d87-871b-61e8f4bb46ad</vt:lpwstr>
  </property>
</Properties>
</file>