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51E26" w:rsidRPr="00DD4E4F" w:rsidTr="00EB4E9C">
        <w:tc>
          <w:tcPr>
            <w:tcW w:w="6522" w:type="dxa"/>
          </w:tcPr>
          <w:p w:rsidR="00851E26" w:rsidRPr="00DD4E4F" w:rsidRDefault="00851E26" w:rsidP="00B974ED">
            <w:pPr>
              <w:rPr>
                <w:dstrike/>
                <w:lang w:val="es-419"/>
              </w:rPr>
            </w:pPr>
            <w:r w:rsidRPr="00DD4E4F">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51E26" w:rsidRPr="00DD4E4F" w:rsidRDefault="00851E26" w:rsidP="00B974ED">
            <w:pPr>
              <w:pStyle w:val="Lettrine"/>
              <w:rPr>
                <w:lang w:val="es-419"/>
              </w:rPr>
            </w:pPr>
            <w:r w:rsidRPr="00DD4E4F">
              <w:rPr>
                <w:lang w:val="es-419"/>
              </w:rPr>
              <w:t>S</w:t>
            </w:r>
          </w:p>
        </w:tc>
      </w:tr>
      <w:tr w:rsidR="00851E26" w:rsidRPr="00DD4E4F" w:rsidTr="00645CA8">
        <w:trPr>
          <w:trHeight w:val="219"/>
        </w:trPr>
        <w:tc>
          <w:tcPr>
            <w:tcW w:w="6522" w:type="dxa"/>
          </w:tcPr>
          <w:p w:rsidR="00851E26" w:rsidRPr="00DD4E4F" w:rsidRDefault="00851E26" w:rsidP="00B974ED">
            <w:pPr>
              <w:pStyle w:val="upove"/>
              <w:rPr>
                <w:dstrike/>
                <w:lang w:val="es-419"/>
              </w:rPr>
            </w:pPr>
            <w:r w:rsidRPr="00DD4E4F">
              <w:rPr>
                <w:lang w:val="es-419"/>
              </w:rPr>
              <w:t>Unión Internacional para la Protección de las Obtenciones Vegetales</w:t>
            </w:r>
          </w:p>
        </w:tc>
        <w:tc>
          <w:tcPr>
            <w:tcW w:w="3117" w:type="dxa"/>
          </w:tcPr>
          <w:p w:rsidR="00851E26" w:rsidRPr="00DD4E4F" w:rsidRDefault="00851E26" w:rsidP="00B974ED">
            <w:pPr>
              <w:rPr>
                <w:lang w:val="es-419"/>
              </w:rPr>
            </w:pPr>
          </w:p>
        </w:tc>
      </w:tr>
    </w:tbl>
    <w:p w:rsidR="00DC3802" w:rsidRPr="00DD4E4F" w:rsidRDefault="00DC3802" w:rsidP="00DC3802">
      <w:pPr>
        <w:rPr>
          <w:lang w:val="es-419"/>
        </w:rPr>
      </w:pPr>
    </w:p>
    <w:p w:rsidR="00DA4973" w:rsidRPr="00DD4E4F" w:rsidRDefault="00DA4973" w:rsidP="00DC3802">
      <w:pPr>
        <w:rPr>
          <w:lang w:val="es-419"/>
        </w:rPr>
      </w:pPr>
    </w:p>
    <w:tbl>
      <w:tblPr>
        <w:tblW w:w="11756"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6512"/>
        <w:gridCol w:w="6512"/>
        <w:gridCol w:w="3127"/>
      </w:tblGrid>
      <w:tr w:rsidR="00245A89" w:rsidRPr="00DD4E4F" w:rsidTr="00245A89">
        <w:tc>
          <w:tcPr>
            <w:tcW w:w="6512" w:type="dxa"/>
            <w:tcBorders>
              <w:bottom w:val="single" w:sz="4" w:space="0" w:color="auto"/>
            </w:tcBorders>
          </w:tcPr>
          <w:p w:rsidR="00245A89" w:rsidRPr="00310D26" w:rsidRDefault="00245A89" w:rsidP="00245A89">
            <w:pPr>
              <w:pStyle w:val="Sessiontc"/>
              <w:spacing w:line="240" w:lineRule="auto"/>
              <w:rPr>
                <w:lang w:val="es-ES"/>
              </w:rPr>
            </w:pPr>
            <w:r w:rsidRPr="00310D26">
              <w:rPr>
                <w:lang w:val="es-ES"/>
              </w:rPr>
              <w:t>Comité Administrativo y Jurídico</w:t>
            </w:r>
          </w:p>
          <w:p w:rsidR="00245A89" w:rsidRPr="00310D26" w:rsidRDefault="00245A89" w:rsidP="00245A89">
            <w:pPr>
              <w:pStyle w:val="Sessiontcplacedate"/>
              <w:rPr>
                <w:sz w:val="22"/>
                <w:lang w:val="es-ES"/>
              </w:rPr>
            </w:pPr>
            <w:r w:rsidRPr="00310D26">
              <w:rPr>
                <w:lang w:val="es-ES"/>
              </w:rPr>
              <w:t>Septuagésima séptima sesión</w:t>
            </w:r>
            <w:r w:rsidRPr="00310D26">
              <w:rPr>
                <w:lang w:val="es-ES"/>
              </w:rPr>
              <w:br/>
              <w:t>Ginebra, 28 de octubre de 2020</w:t>
            </w:r>
          </w:p>
        </w:tc>
        <w:tc>
          <w:tcPr>
            <w:tcW w:w="6512" w:type="dxa"/>
            <w:tcBorders>
              <w:bottom w:val="single" w:sz="4" w:space="0" w:color="auto"/>
            </w:tcBorders>
          </w:tcPr>
          <w:p w:rsidR="00245A89" w:rsidRPr="00310D26" w:rsidRDefault="00245A89" w:rsidP="00245A89">
            <w:pPr>
              <w:pStyle w:val="Doccode"/>
              <w:rPr>
                <w:lang w:val="es-ES"/>
              </w:rPr>
            </w:pPr>
            <w:proofErr w:type="spellStart"/>
            <w:r w:rsidRPr="00310D26">
              <w:rPr>
                <w:lang w:val="es-ES"/>
              </w:rPr>
              <w:t>CAJ</w:t>
            </w:r>
            <w:proofErr w:type="spellEnd"/>
            <w:r w:rsidRPr="00310D26">
              <w:rPr>
                <w:lang w:val="es-ES"/>
              </w:rPr>
              <w:t>/77/</w:t>
            </w:r>
            <w:r>
              <w:rPr>
                <w:lang w:val="es-ES"/>
              </w:rPr>
              <w:t>4</w:t>
            </w:r>
            <w:r w:rsidR="00A444FD">
              <w:rPr>
                <w:lang w:val="es-ES"/>
              </w:rPr>
              <w:t xml:space="preserve"> </w:t>
            </w:r>
            <w:r w:rsidR="00A444FD" w:rsidRPr="00A444FD">
              <w:rPr>
                <w:highlight w:val="yellow"/>
                <w:u w:val="single"/>
                <w:lang w:val="es-ES"/>
              </w:rPr>
              <w:t>Rev.</w:t>
            </w:r>
          </w:p>
          <w:p w:rsidR="00245A89" w:rsidRPr="00310D26" w:rsidRDefault="00245A89" w:rsidP="00245A89">
            <w:pPr>
              <w:pStyle w:val="Docoriginal"/>
              <w:rPr>
                <w:lang w:val="es-ES"/>
              </w:rPr>
            </w:pPr>
            <w:r w:rsidRPr="00310D26">
              <w:rPr>
                <w:lang w:val="es-ES"/>
              </w:rPr>
              <w:t>Original:</w:t>
            </w:r>
            <w:r>
              <w:rPr>
                <w:lang w:val="es-ES"/>
              </w:rPr>
              <w:t xml:space="preserve"> </w:t>
            </w:r>
            <w:r>
              <w:rPr>
                <w:b w:val="0"/>
                <w:spacing w:val="0"/>
                <w:lang w:val="es-ES"/>
              </w:rPr>
              <w:t xml:space="preserve"> </w:t>
            </w:r>
            <w:r w:rsidRPr="00310D26">
              <w:rPr>
                <w:b w:val="0"/>
                <w:spacing w:val="0"/>
                <w:lang w:val="es-ES"/>
              </w:rPr>
              <w:t>Inglés</w:t>
            </w:r>
          </w:p>
          <w:p w:rsidR="00245A89" w:rsidRPr="00310D26" w:rsidRDefault="00245A89" w:rsidP="00A444FD">
            <w:pPr>
              <w:pStyle w:val="Docoriginal"/>
              <w:ind w:left="720" w:hanging="720"/>
              <w:rPr>
                <w:lang w:val="es-ES"/>
              </w:rPr>
            </w:pPr>
            <w:r w:rsidRPr="00310D26">
              <w:rPr>
                <w:lang w:val="es-ES"/>
              </w:rPr>
              <w:t>Fecha:</w:t>
            </w:r>
            <w:r>
              <w:rPr>
                <w:lang w:val="es-ES"/>
              </w:rPr>
              <w:t xml:space="preserve"> </w:t>
            </w:r>
            <w:r>
              <w:rPr>
                <w:b w:val="0"/>
                <w:spacing w:val="0"/>
                <w:lang w:val="es-ES"/>
              </w:rPr>
              <w:t xml:space="preserve"> </w:t>
            </w:r>
            <w:r w:rsidRPr="00A444FD">
              <w:rPr>
                <w:b w:val="0"/>
                <w:strike/>
                <w:spacing w:val="0"/>
                <w:highlight w:val="yellow"/>
                <w:lang w:val="es-ES"/>
              </w:rPr>
              <w:t>18 de agosto</w:t>
            </w:r>
            <w:r w:rsidRPr="005E4DB0">
              <w:rPr>
                <w:b w:val="0"/>
                <w:spacing w:val="0"/>
                <w:lang w:val="es-ES"/>
              </w:rPr>
              <w:t xml:space="preserve"> </w:t>
            </w:r>
            <w:r w:rsidR="00A444FD">
              <w:rPr>
                <w:b w:val="0"/>
                <w:spacing w:val="0"/>
                <w:lang w:val="es-ES"/>
              </w:rPr>
              <w:br/>
            </w:r>
            <w:r w:rsidR="00A444FD" w:rsidRPr="00A444FD">
              <w:rPr>
                <w:b w:val="0"/>
                <w:spacing w:val="0"/>
                <w:lang w:val="es-419"/>
              </w:rPr>
              <w:t xml:space="preserve"> </w:t>
            </w:r>
            <w:r w:rsidR="00A444FD" w:rsidRPr="00F21EC1">
              <w:rPr>
                <w:b w:val="0"/>
                <w:spacing w:val="0"/>
                <w:highlight w:val="yellow"/>
                <w:u w:val="single"/>
                <w:lang w:val="es-419"/>
              </w:rPr>
              <w:t>2</w:t>
            </w:r>
            <w:r w:rsidR="00A444FD">
              <w:rPr>
                <w:b w:val="0"/>
                <w:spacing w:val="0"/>
                <w:highlight w:val="yellow"/>
                <w:u w:val="single"/>
                <w:lang w:val="es-419"/>
              </w:rPr>
              <w:t>5</w:t>
            </w:r>
            <w:r w:rsidR="00A444FD" w:rsidRPr="00F21EC1">
              <w:rPr>
                <w:b w:val="0"/>
                <w:spacing w:val="0"/>
                <w:highlight w:val="yellow"/>
                <w:u w:val="single"/>
                <w:lang w:val="es-419"/>
              </w:rPr>
              <w:t xml:space="preserve"> de septiembre</w:t>
            </w:r>
            <w:r w:rsidR="00A444FD">
              <w:rPr>
                <w:b w:val="0"/>
                <w:spacing w:val="0"/>
                <w:lang w:val="es-419"/>
              </w:rPr>
              <w:t xml:space="preserve"> </w:t>
            </w:r>
            <w:r w:rsidRPr="005E4DB0">
              <w:rPr>
                <w:b w:val="0"/>
                <w:spacing w:val="0"/>
                <w:lang w:val="es-ES"/>
              </w:rPr>
              <w:t>de 2020</w:t>
            </w:r>
          </w:p>
        </w:tc>
        <w:tc>
          <w:tcPr>
            <w:tcW w:w="6512" w:type="dxa"/>
          </w:tcPr>
          <w:p w:rsidR="00245A89" w:rsidRPr="00310D26" w:rsidRDefault="00245A89" w:rsidP="00245A89">
            <w:pPr>
              <w:pStyle w:val="Sessiontc"/>
              <w:spacing w:line="240" w:lineRule="auto"/>
              <w:rPr>
                <w:lang w:val="es-ES"/>
              </w:rPr>
            </w:pPr>
            <w:r w:rsidRPr="00310D26">
              <w:rPr>
                <w:lang w:val="es-ES"/>
              </w:rPr>
              <w:t>Comité Administrativo y Jurídico</w:t>
            </w:r>
          </w:p>
          <w:p w:rsidR="00245A89" w:rsidRPr="00310D26" w:rsidRDefault="00245A89" w:rsidP="00245A89">
            <w:pPr>
              <w:pStyle w:val="Sessiontcplacedate"/>
              <w:rPr>
                <w:sz w:val="22"/>
                <w:lang w:val="es-ES"/>
              </w:rPr>
            </w:pPr>
            <w:r w:rsidRPr="00310D26">
              <w:rPr>
                <w:lang w:val="es-ES"/>
              </w:rPr>
              <w:t>Septuagésima séptima sesión</w:t>
            </w:r>
            <w:r w:rsidRPr="00310D26">
              <w:rPr>
                <w:lang w:val="es-ES"/>
              </w:rPr>
              <w:br/>
              <w:t>Ginebra, 28 de octubre de 2020</w:t>
            </w:r>
          </w:p>
        </w:tc>
        <w:tc>
          <w:tcPr>
            <w:tcW w:w="3127" w:type="dxa"/>
          </w:tcPr>
          <w:p w:rsidR="00245A89" w:rsidRPr="00310D26" w:rsidRDefault="00245A89" w:rsidP="00245A89">
            <w:pPr>
              <w:pStyle w:val="Doccode"/>
              <w:rPr>
                <w:lang w:val="es-ES"/>
              </w:rPr>
            </w:pPr>
            <w:proofErr w:type="spellStart"/>
            <w:r w:rsidRPr="00310D26">
              <w:rPr>
                <w:lang w:val="es-ES"/>
              </w:rPr>
              <w:t>CAJ</w:t>
            </w:r>
            <w:proofErr w:type="spellEnd"/>
            <w:r w:rsidRPr="00310D26">
              <w:rPr>
                <w:lang w:val="es-ES"/>
              </w:rPr>
              <w:t>/77/3</w:t>
            </w:r>
          </w:p>
          <w:p w:rsidR="00245A89" w:rsidRPr="00310D26" w:rsidRDefault="00245A89" w:rsidP="00245A89">
            <w:pPr>
              <w:pStyle w:val="Docoriginal"/>
              <w:rPr>
                <w:lang w:val="es-ES"/>
              </w:rPr>
            </w:pPr>
            <w:r w:rsidRPr="00310D26">
              <w:rPr>
                <w:lang w:val="es-ES"/>
              </w:rPr>
              <w:t>Original:</w:t>
            </w:r>
            <w:r>
              <w:rPr>
                <w:lang w:val="es-ES"/>
              </w:rPr>
              <w:t xml:space="preserve"> </w:t>
            </w:r>
            <w:r>
              <w:rPr>
                <w:b w:val="0"/>
                <w:spacing w:val="0"/>
                <w:lang w:val="es-ES"/>
              </w:rPr>
              <w:t xml:space="preserve"> </w:t>
            </w:r>
            <w:r w:rsidRPr="00310D26">
              <w:rPr>
                <w:b w:val="0"/>
                <w:spacing w:val="0"/>
                <w:lang w:val="es-ES"/>
              </w:rPr>
              <w:t>Inglés</w:t>
            </w:r>
          </w:p>
          <w:p w:rsidR="00245A89" w:rsidRPr="00310D26" w:rsidRDefault="00245A89" w:rsidP="00245A89">
            <w:pPr>
              <w:pStyle w:val="Docoriginal"/>
              <w:rPr>
                <w:lang w:val="es-ES"/>
              </w:rPr>
            </w:pPr>
            <w:r w:rsidRPr="00310D26">
              <w:rPr>
                <w:lang w:val="es-ES"/>
              </w:rPr>
              <w:t>Fecha:</w:t>
            </w:r>
            <w:r>
              <w:rPr>
                <w:lang w:val="es-ES"/>
              </w:rPr>
              <w:t xml:space="preserve"> </w:t>
            </w:r>
            <w:r>
              <w:rPr>
                <w:b w:val="0"/>
                <w:spacing w:val="0"/>
                <w:lang w:val="es-ES"/>
              </w:rPr>
              <w:t xml:space="preserve"> </w:t>
            </w:r>
            <w:r w:rsidRPr="005E4DB0">
              <w:rPr>
                <w:b w:val="0"/>
                <w:spacing w:val="0"/>
                <w:lang w:val="es-ES"/>
              </w:rPr>
              <w:t>8 de agosto de 2020</w:t>
            </w:r>
          </w:p>
        </w:tc>
      </w:tr>
      <w:tr w:rsidR="00245A89" w:rsidRPr="00DD4E4F" w:rsidTr="00245A89">
        <w:tc>
          <w:tcPr>
            <w:tcW w:w="6512" w:type="dxa"/>
            <w:tcBorders>
              <w:top w:val="single" w:sz="4" w:space="0" w:color="auto"/>
              <w:bottom w:val="single" w:sz="4" w:space="0" w:color="auto"/>
            </w:tcBorders>
          </w:tcPr>
          <w:p w:rsidR="00245A89" w:rsidRPr="00310D26" w:rsidRDefault="00343341" w:rsidP="00245A89">
            <w:pPr>
              <w:shd w:val="clear" w:color="auto" w:fill="FFFFFF" w:themeFill="background1"/>
              <w:jc w:val="left"/>
              <w:rPr>
                <w:b/>
                <w:bCs/>
                <w:i/>
                <w:kern w:val="28"/>
              </w:rPr>
            </w:pPr>
            <w:r>
              <w:rPr>
                <w:b/>
                <w:bCs/>
                <w:i/>
                <w:kern w:val="28"/>
              </w:rPr>
              <w:t>p</w:t>
            </w:r>
            <w:r w:rsidR="00245A89" w:rsidRPr="00310D26">
              <w:rPr>
                <w:b/>
                <w:bCs/>
                <w:i/>
                <w:kern w:val="28"/>
              </w:rPr>
              <w:t>ara examen por correspondencia</w:t>
            </w:r>
          </w:p>
        </w:tc>
        <w:tc>
          <w:tcPr>
            <w:tcW w:w="6512" w:type="dxa"/>
            <w:tcBorders>
              <w:top w:val="single" w:sz="4" w:space="0" w:color="auto"/>
              <w:bottom w:val="single" w:sz="4" w:space="0" w:color="auto"/>
            </w:tcBorders>
          </w:tcPr>
          <w:p w:rsidR="00245A89" w:rsidRPr="00310D26" w:rsidRDefault="00245A89" w:rsidP="00245A89">
            <w:pPr>
              <w:shd w:val="clear" w:color="auto" w:fill="FFFFFF" w:themeFill="background1"/>
              <w:jc w:val="left"/>
              <w:rPr>
                <w:b/>
                <w:bCs/>
                <w:spacing w:val="10"/>
                <w:sz w:val="18"/>
              </w:rPr>
            </w:pPr>
          </w:p>
        </w:tc>
        <w:tc>
          <w:tcPr>
            <w:tcW w:w="6512" w:type="dxa"/>
          </w:tcPr>
          <w:p w:rsidR="00245A89" w:rsidRPr="00310D26" w:rsidRDefault="00245A89" w:rsidP="00245A89">
            <w:pPr>
              <w:pStyle w:val="Sessiontc"/>
              <w:spacing w:line="240" w:lineRule="auto"/>
              <w:rPr>
                <w:lang w:val="es-ES"/>
              </w:rPr>
            </w:pPr>
          </w:p>
        </w:tc>
        <w:tc>
          <w:tcPr>
            <w:tcW w:w="3127" w:type="dxa"/>
          </w:tcPr>
          <w:p w:rsidR="00245A89" w:rsidRPr="00310D26" w:rsidRDefault="00245A89" w:rsidP="00245A89">
            <w:pPr>
              <w:pStyle w:val="Doccode"/>
              <w:rPr>
                <w:lang w:val="es-ES"/>
              </w:rPr>
            </w:pPr>
          </w:p>
        </w:tc>
      </w:tr>
    </w:tbl>
    <w:p w:rsidR="005A1291" w:rsidRPr="00DD4E4F" w:rsidRDefault="00DE11CE" w:rsidP="00DE11CE">
      <w:pPr>
        <w:pStyle w:val="Titleofdoc0"/>
        <w:rPr>
          <w:lang w:val="es-419"/>
        </w:rPr>
      </w:pPr>
      <w:bookmarkStart w:id="0" w:name="TitleOfDoc"/>
      <w:bookmarkStart w:id="1" w:name="Prepared"/>
      <w:bookmarkEnd w:id="0"/>
      <w:bookmarkEnd w:id="1"/>
      <w:r w:rsidRPr="00DD4E4F">
        <w:rPr>
          <w:lang w:val="es-419"/>
        </w:rPr>
        <w:t>VARIEDADES ESENCIALMENTE DERIVADAS</w:t>
      </w:r>
    </w:p>
    <w:p w:rsidR="006A644A" w:rsidRPr="00DD4E4F" w:rsidRDefault="000638A9" w:rsidP="006A644A">
      <w:pPr>
        <w:pStyle w:val="preparedby1"/>
        <w:jc w:val="left"/>
        <w:rPr>
          <w:lang w:val="es-419"/>
        </w:rPr>
      </w:pPr>
      <w:r w:rsidRPr="00DD4E4F">
        <w:rPr>
          <w:lang w:val="es-419"/>
        </w:rPr>
        <w:t>Documento preparado por la Oficina de la Unión</w:t>
      </w:r>
    </w:p>
    <w:p w:rsidR="00050E16" w:rsidRPr="00DD4E4F" w:rsidRDefault="000638A9" w:rsidP="006A644A">
      <w:pPr>
        <w:pStyle w:val="Disclaimer"/>
        <w:rPr>
          <w:lang w:val="es-419"/>
        </w:rPr>
      </w:pPr>
      <w:r w:rsidRPr="00DD4E4F">
        <w:rPr>
          <w:lang w:val="es-419"/>
        </w:rPr>
        <w:t>Descargo de responsabilidad: el presente documento no constituye un documento de política u orientación de la UPOV</w:t>
      </w:r>
    </w:p>
    <w:p w:rsidR="00211989" w:rsidRPr="00DD4E4F" w:rsidRDefault="00AA4CF3" w:rsidP="00211989">
      <w:pPr>
        <w:keepNext/>
        <w:outlineLvl w:val="0"/>
        <w:rPr>
          <w:caps/>
          <w:snapToGrid w:val="0"/>
          <w:lang w:val="es-419"/>
        </w:rPr>
      </w:pPr>
      <w:bookmarkStart w:id="2" w:name="_Toc48834425"/>
      <w:r w:rsidRPr="00DD4E4F">
        <w:rPr>
          <w:caps/>
          <w:snapToGrid w:val="0"/>
          <w:lang w:val="es-419"/>
        </w:rPr>
        <w:t>RESUMEN</w:t>
      </w:r>
      <w:bookmarkEnd w:id="2"/>
    </w:p>
    <w:p w:rsidR="00211989" w:rsidRPr="00A31458" w:rsidRDefault="00211989" w:rsidP="00BD6B78">
      <w:pPr>
        <w:rPr>
          <w:b/>
          <w:caps/>
          <w:snapToGrid w:val="0"/>
          <w:sz w:val="18"/>
          <w:lang w:val="es-419"/>
        </w:rPr>
      </w:pPr>
    </w:p>
    <w:p w:rsidR="00211989" w:rsidRPr="00DD4E4F" w:rsidRDefault="006548F4" w:rsidP="00211989">
      <w:pPr>
        <w:rPr>
          <w:lang w:val="es-419"/>
        </w:rPr>
      </w:pPr>
      <w:r w:rsidRPr="00DD4E4F">
        <w:rPr>
          <w:lang w:val="es-419"/>
        </w:rPr>
        <w:fldChar w:fldCharType="begin"/>
      </w:r>
      <w:r w:rsidR="00211989" w:rsidRPr="00DD4E4F">
        <w:rPr>
          <w:lang w:val="es-419"/>
        </w:rPr>
        <w:instrText xml:space="preserve"> AUTONUM  </w:instrText>
      </w:r>
      <w:r w:rsidRPr="00DD4E4F">
        <w:rPr>
          <w:lang w:val="es-419"/>
        </w:rPr>
        <w:fldChar w:fldCharType="end"/>
      </w:r>
      <w:r w:rsidR="00211989" w:rsidRPr="00DD4E4F">
        <w:rPr>
          <w:lang w:val="es-419"/>
        </w:rPr>
        <w:tab/>
      </w:r>
      <w:r w:rsidR="00C63925" w:rsidRPr="00DD4E4F">
        <w:rPr>
          <w:lang w:val="es-419"/>
        </w:rPr>
        <w:t xml:space="preserve">El presente documento tiene por finalidad </w:t>
      </w:r>
      <w:r w:rsidR="00C63925" w:rsidRPr="00DD4E4F">
        <w:rPr>
          <w:rFonts w:cs="Arial"/>
          <w:lang w:val="es-419"/>
        </w:rPr>
        <w:t xml:space="preserve">exponer las propuestas que se someterán al examen del </w:t>
      </w:r>
      <w:r w:rsidR="00C63925" w:rsidRPr="00DD4E4F">
        <w:rPr>
          <w:color w:val="000000"/>
          <w:lang w:val="es-419"/>
        </w:rPr>
        <w:t>Comité Administrativo y Jurídico (</w:t>
      </w:r>
      <w:proofErr w:type="spellStart"/>
      <w:r w:rsidR="00C63925" w:rsidRPr="00DD4E4F">
        <w:rPr>
          <w:color w:val="000000"/>
          <w:lang w:val="es-419"/>
        </w:rPr>
        <w:t>CAJ</w:t>
      </w:r>
      <w:proofErr w:type="spellEnd"/>
      <w:r w:rsidR="00C63925" w:rsidRPr="00DD4E4F">
        <w:rPr>
          <w:color w:val="000000"/>
          <w:lang w:val="es-419"/>
        </w:rPr>
        <w:t>)</w:t>
      </w:r>
      <w:r w:rsidR="00C63925" w:rsidRPr="00DD4E4F">
        <w:rPr>
          <w:lang w:val="es-419"/>
        </w:rPr>
        <w:t xml:space="preserve"> </w:t>
      </w:r>
      <w:r w:rsidR="00C63925" w:rsidRPr="00DD4E4F">
        <w:rPr>
          <w:rFonts w:cs="Arial"/>
          <w:lang w:val="es-419"/>
        </w:rPr>
        <w:t>conforme a las respuestas a la cir</w:t>
      </w:r>
      <w:r w:rsidR="009F11CA">
        <w:rPr>
          <w:rFonts w:cs="Arial"/>
          <w:lang w:val="es-419"/>
        </w:rPr>
        <w:t>cular E-20/093 de la UPOV, de 9 de </w:t>
      </w:r>
      <w:r w:rsidR="00C63925" w:rsidRPr="00DD4E4F">
        <w:rPr>
          <w:rFonts w:cs="Arial"/>
          <w:lang w:val="es-419"/>
        </w:rPr>
        <w:t>julio de 2020, así como invitar al </w:t>
      </w:r>
      <w:proofErr w:type="spellStart"/>
      <w:r w:rsidR="00C63925" w:rsidRPr="00DD4E4F">
        <w:rPr>
          <w:rFonts w:cs="Arial"/>
          <w:lang w:val="es-419"/>
        </w:rPr>
        <w:t>CAJ</w:t>
      </w:r>
      <w:proofErr w:type="spellEnd"/>
      <w:r w:rsidR="00C63925" w:rsidRPr="00DD4E4F">
        <w:rPr>
          <w:rFonts w:cs="Arial"/>
          <w:lang w:val="es-419"/>
        </w:rPr>
        <w:t xml:space="preserve"> a establecer el Grupo de trabajo sobre variedades esencialmente derivadas (</w:t>
      </w:r>
      <w:proofErr w:type="spellStart"/>
      <w:r w:rsidR="00C63925" w:rsidRPr="00DD4E4F">
        <w:rPr>
          <w:rFonts w:cs="Arial"/>
          <w:lang w:val="es-419"/>
        </w:rPr>
        <w:t>WG</w:t>
      </w:r>
      <w:proofErr w:type="spellEnd"/>
      <w:r w:rsidR="00C63925" w:rsidRPr="00DD4E4F">
        <w:rPr>
          <w:rFonts w:cs="Arial"/>
          <w:lang w:val="es-419"/>
        </w:rPr>
        <w:t>-EDV), aprobar el mandato y la composición de dicho grupo de trabajo y fijar una fecha para la primera reunión del </w:t>
      </w:r>
      <w:proofErr w:type="spellStart"/>
      <w:r w:rsidR="00C63925" w:rsidRPr="00DD4E4F">
        <w:rPr>
          <w:rFonts w:cs="Arial"/>
          <w:lang w:val="es-419"/>
        </w:rPr>
        <w:t>WG</w:t>
      </w:r>
      <w:proofErr w:type="spellEnd"/>
      <w:r w:rsidR="00C63925" w:rsidRPr="00DD4E4F">
        <w:rPr>
          <w:rFonts w:cs="Arial"/>
          <w:lang w:val="es-419"/>
        </w:rPr>
        <w:t>-EDV.</w:t>
      </w:r>
    </w:p>
    <w:p w:rsidR="00211989" w:rsidRPr="00A31458" w:rsidRDefault="00211989" w:rsidP="00211989">
      <w:pPr>
        <w:jc w:val="left"/>
        <w:rPr>
          <w:sz w:val="18"/>
          <w:lang w:val="es-419"/>
        </w:rPr>
      </w:pPr>
    </w:p>
    <w:p w:rsidR="00211989" w:rsidRPr="00DD4E4F" w:rsidRDefault="006548F4" w:rsidP="00211989">
      <w:pPr>
        <w:jc w:val="left"/>
        <w:rPr>
          <w:rFonts w:eastAsiaTheme="minorEastAsia" w:cs="Arial"/>
          <w:snapToGrid w:val="0"/>
          <w:highlight w:val="yellow"/>
          <w:lang w:val="es-419"/>
        </w:rPr>
      </w:pPr>
      <w:r w:rsidRPr="00DD4E4F">
        <w:rPr>
          <w:lang w:val="es-419"/>
        </w:rPr>
        <w:fldChar w:fldCharType="begin"/>
      </w:r>
      <w:r w:rsidR="00211989" w:rsidRPr="00DD4E4F">
        <w:rPr>
          <w:lang w:val="es-419"/>
        </w:rPr>
        <w:instrText xml:space="preserve"> AUTONUM  </w:instrText>
      </w:r>
      <w:r w:rsidRPr="00DD4E4F">
        <w:rPr>
          <w:lang w:val="es-419"/>
        </w:rPr>
        <w:fldChar w:fldCharType="end"/>
      </w:r>
      <w:r w:rsidR="00211989" w:rsidRPr="00DD4E4F">
        <w:rPr>
          <w:lang w:val="es-419"/>
        </w:rPr>
        <w:tab/>
      </w:r>
      <w:r w:rsidR="00F53AEF" w:rsidRPr="00DD4E4F">
        <w:rPr>
          <w:lang w:val="es-419"/>
        </w:rPr>
        <w:t xml:space="preserve">Se invita al </w:t>
      </w:r>
      <w:proofErr w:type="spellStart"/>
      <w:r w:rsidR="00F53AEF" w:rsidRPr="00DD4E4F">
        <w:rPr>
          <w:lang w:val="es-419"/>
        </w:rPr>
        <w:t>CAJ</w:t>
      </w:r>
      <w:proofErr w:type="spellEnd"/>
      <w:r w:rsidR="00F53AEF" w:rsidRPr="00DD4E4F">
        <w:rPr>
          <w:lang w:val="es-419"/>
        </w:rPr>
        <w:t xml:space="preserve"> a:</w:t>
      </w:r>
    </w:p>
    <w:p w:rsidR="00211989" w:rsidRPr="00A31458" w:rsidRDefault="00211989" w:rsidP="00211989">
      <w:pPr>
        <w:rPr>
          <w:sz w:val="18"/>
          <w:lang w:val="es-419"/>
        </w:rPr>
      </w:pPr>
    </w:p>
    <w:p w:rsidR="00211989" w:rsidRPr="00DD4E4F" w:rsidRDefault="00211989" w:rsidP="00211989">
      <w:pPr>
        <w:rPr>
          <w:lang w:val="es-419"/>
        </w:rPr>
      </w:pPr>
      <w:r w:rsidRPr="00DD4E4F">
        <w:rPr>
          <w:lang w:val="es-419"/>
        </w:rPr>
        <w:tab/>
      </w:r>
      <w:r w:rsidR="00FB5897" w:rsidRPr="00DD4E4F">
        <w:rPr>
          <w:lang w:val="es-419"/>
        </w:rPr>
        <w:t>a)</w:t>
      </w:r>
      <w:r w:rsidR="00FB5897" w:rsidRPr="00DD4E4F">
        <w:rPr>
          <w:lang w:val="es-419"/>
        </w:rPr>
        <w:tab/>
      </w:r>
      <w:r w:rsidR="003D04BE" w:rsidRPr="00DD4E4F">
        <w:rPr>
          <w:lang w:val="es-419"/>
        </w:rPr>
        <w:t>establecer el </w:t>
      </w:r>
      <w:proofErr w:type="spellStart"/>
      <w:r w:rsidR="003D04BE" w:rsidRPr="00DD4E4F">
        <w:rPr>
          <w:lang w:val="es-419"/>
        </w:rPr>
        <w:t>WG</w:t>
      </w:r>
      <w:proofErr w:type="spellEnd"/>
      <w:r w:rsidR="003D04BE" w:rsidRPr="00DD4E4F">
        <w:rPr>
          <w:lang w:val="es-419"/>
        </w:rPr>
        <w:t xml:space="preserve">-EDV y </w:t>
      </w:r>
      <w:r w:rsidR="002B11B3" w:rsidRPr="00DD4E4F">
        <w:rPr>
          <w:lang w:val="es-419"/>
        </w:rPr>
        <w:t>aprobar el mandato de dicho grupo de trabajo</w:t>
      </w:r>
      <w:r w:rsidR="00061C2A" w:rsidRPr="00DD4E4F">
        <w:rPr>
          <w:lang w:val="es-419"/>
        </w:rPr>
        <w:t xml:space="preserve">, </w:t>
      </w:r>
      <w:r w:rsidR="003D04BE" w:rsidRPr="00DD4E4F">
        <w:rPr>
          <w:lang w:val="es-419"/>
        </w:rPr>
        <w:t>expuesto en el Anexo II del presente documento</w:t>
      </w:r>
      <w:r w:rsidR="00061C2A" w:rsidRPr="00DD4E4F">
        <w:rPr>
          <w:lang w:val="es-419"/>
        </w:rPr>
        <w:t xml:space="preserve">, </w:t>
      </w:r>
      <w:r w:rsidR="003D04BE" w:rsidRPr="00DD4E4F">
        <w:rPr>
          <w:lang w:val="es-419"/>
        </w:rPr>
        <w:t>junto con la versión modificada de las “Cuestiones relativas a la política y las prácticas y costumbres de los obtentores”</w:t>
      </w:r>
      <w:r w:rsidR="00061C2A" w:rsidRPr="00DD4E4F">
        <w:rPr>
          <w:lang w:val="es-419"/>
        </w:rPr>
        <w:t xml:space="preserve">, </w:t>
      </w:r>
      <w:r w:rsidR="003D04BE" w:rsidRPr="00DD4E4F">
        <w:rPr>
          <w:lang w:val="es-419"/>
        </w:rPr>
        <w:t>que se recoge en el Anexo I del presente documento;</w:t>
      </w:r>
      <w:r w:rsidR="002B11B3" w:rsidRPr="00DD4E4F">
        <w:rPr>
          <w:lang w:val="es-419"/>
        </w:rPr>
        <w:t xml:space="preserve"> </w:t>
      </w:r>
      <w:r w:rsidRPr="00DD4E4F">
        <w:rPr>
          <w:lang w:val="es-419"/>
        </w:rPr>
        <w:t xml:space="preserve"> </w:t>
      </w:r>
    </w:p>
    <w:p w:rsidR="00211989" w:rsidRPr="00A31458" w:rsidRDefault="00211989" w:rsidP="00211989">
      <w:pPr>
        <w:rPr>
          <w:sz w:val="18"/>
          <w:lang w:val="es-419"/>
        </w:rPr>
      </w:pPr>
    </w:p>
    <w:p w:rsidR="00211989" w:rsidRPr="00DD4E4F" w:rsidRDefault="00211989" w:rsidP="00211989">
      <w:pPr>
        <w:rPr>
          <w:lang w:val="es-419"/>
        </w:rPr>
      </w:pPr>
      <w:r w:rsidRPr="00DD4E4F">
        <w:rPr>
          <w:lang w:val="es-419"/>
        </w:rPr>
        <w:tab/>
      </w:r>
      <w:r w:rsidR="00FB5897" w:rsidRPr="00DD4E4F">
        <w:rPr>
          <w:lang w:val="es-419"/>
        </w:rPr>
        <w:t>b)</w:t>
      </w:r>
      <w:r w:rsidR="00FB5897" w:rsidRPr="00DD4E4F">
        <w:rPr>
          <w:lang w:val="es-419"/>
        </w:rPr>
        <w:tab/>
      </w:r>
      <w:r w:rsidR="00B116B7" w:rsidRPr="00DD4E4F">
        <w:rPr>
          <w:lang w:val="es-419"/>
        </w:rPr>
        <w:t xml:space="preserve">aprobar la composición del </w:t>
      </w:r>
      <w:proofErr w:type="spellStart"/>
      <w:r w:rsidR="00B116B7" w:rsidRPr="00DD4E4F">
        <w:rPr>
          <w:lang w:val="es-419"/>
        </w:rPr>
        <w:t>WG</w:t>
      </w:r>
      <w:proofErr w:type="spellEnd"/>
      <w:r w:rsidR="00B116B7" w:rsidRPr="00DD4E4F">
        <w:rPr>
          <w:lang w:val="es-419"/>
        </w:rPr>
        <w:t>-EDV</w:t>
      </w:r>
      <w:r w:rsidR="00061C2A" w:rsidRPr="00DD4E4F">
        <w:rPr>
          <w:lang w:val="es-419"/>
        </w:rPr>
        <w:t xml:space="preserve">, </w:t>
      </w:r>
      <w:r w:rsidR="00B116B7" w:rsidRPr="00DD4E4F">
        <w:rPr>
          <w:lang w:val="es-419"/>
        </w:rPr>
        <w:t xml:space="preserve">según </w:t>
      </w:r>
      <w:r w:rsidR="001F6F26" w:rsidRPr="00DD4E4F">
        <w:rPr>
          <w:lang w:val="es-419"/>
        </w:rPr>
        <w:t xml:space="preserve">figura </w:t>
      </w:r>
      <w:r w:rsidR="00B116B7" w:rsidRPr="00DD4E4F">
        <w:rPr>
          <w:lang w:val="es-419"/>
        </w:rPr>
        <w:t>en el párrafo</w:t>
      </w:r>
      <w:r w:rsidR="00061C2A" w:rsidRPr="00DD4E4F">
        <w:rPr>
          <w:lang w:val="es-419"/>
        </w:rPr>
        <w:t> 1</w:t>
      </w:r>
      <w:r w:rsidR="00B116B7" w:rsidRPr="00DD4E4F">
        <w:rPr>
          <w:lang w:val="es-419"/>
        </w:rPr>
        <w:t>5;</w:t>
      </w:r>
      <w:r w:rsidR="004E6D0C" w:rsidRPr="00DD4E4F">
        <w:rPr>
          <w:lang w:val="es-419"/>
        </w:rPr>
        <w:t xml:space="preserve"> </w:t>
      </w:r>
    </w:p>
    <w:p w:rsidR="00211989" w:rsidRPr="00A31458" w:rsidRDefault="00211989" w:rsidP="00211989">
      <w:pPr>
        <w:rPr>
          <w:sz w:val="18"/>
          <w:lang w:val="es-419"/>
        </w:rPr>
      </w:pPr>
    </w:p>
    <w:p w:rsidR="00211989" w:rsidRPr="006F064B" w:rsidRDefault="00211989" w:rsidP="00211989">
      <w:pPr>
        <w:rPr>
          <w:spacing w:val="-2"/>
          <w:lang w:val="es-419"/>
        </w:rPr>
      </w:pPr>
      <w:r w:rsidRPr="006F064B">
        <w:rPr>
          <w:spacing w:val="-2"/>
          <w:lang w:val="es-419"/>
        </w:rPr>
        <w:tab/>
      </w:r>
      <w:r w:rsidR="00FB5897" w:rsidRPr="006F064B">
        <w:rPr>
          <w:spacing w:val="-2"/>
          <w:lang w:val="es-419"/>
        </w:rPr>
        <w:t>c)</w:t>
      </w:r>
      <w:r w:rsidR="00FB5897" w:rsidRPr="006F064B">
        <w:rPr>
          <w:spacing w:val="-2"/>
          <w:lang w:val="es-419"/>
        </w:rPr>
        <w:tab/>
      </w:r>
      <w:r w:rsidR="00A565EE" w:rsidRPr="006F064B">
        <w:rPr>
          <w:spacing w:val="-2"/>
          <w:lang w:val="es-419"/>
        </w:rPr>
        <w:t xml:space="preserve">aprobar la fecha provisional </w:t>
      </w:r>
      <w:r w:rsidR="002B11B3" w:rsidRPr="006F064B">
        <w:rPr>
          <w:spacing w:val="-2"/>
          <w:lang w:val="es-419"/>
        </w:rPr>
        <w:t xml:space="preserve">para la primera reunión del </w:t>
      </w:r>
      <w:proofErr w:type="spellStart"/>
      <w:r w:rsidR="002B11B3" w:rsidRPr="006F064B">
        <w:rPr>
          <w:spacing w:val="-2"/>
          <w:lang w:val="es-419"/>
        </w:rPr>
        <w:t>WG</w:t>
      </w:r>
      <w:proofErr w:type="spellEnd"/>
      <w:r w:rsidR="002B11B3" w:rsidRPr="006F064B">
        <w:rPr>
          <w:spacing w:val="-2"/>
          <w:lang w:val="es-419"/>
        </w:rPr>
        <w:t xml:space="preserve">-EDV que se indica en </w:t>
      </w:r>
      <w:r w:rsidR="00A565EE" w:rsidRPr="006F064B">
        <w:rPr>
          <w:spacing w:val="-2"/>
          <w:lang w:val="es-419"/>
        </w:rPr>
        <w:t>el párrafo</w:t>
      </w:r>
      <w:r w:rsidR="00061C2A" w:rsidRPr="006F064B">
        <w:rPr>
          <w:spacing w:val="-2"/>
          <w:lang w:val="es-419"/>
        </w:rPr>
        <w:t> 1</w:t>
      </w:r>
      <w:r w:rsidR="00A565EE" w:rsidRPr="006F064B">
        <w:rPr>
          <w:spacing w:val="-2"/>
          <w:lang w:val="es-419"/>
        </w:rPr>
        <w:t>6;</w:t>
      </w:r>
      <w:r w:rsidR="006F064B">
        <w:rPr>
          <w:spacing w:val="-2"/>
          <w:lang w:val="es-419"/>
        </w:rPr>
        <w:t xml:space="preserve"> </w:t>
      </w:r>
      <w:r w:rsidR="00A565EE" w:rsidRPr="006F064B">
        <w:rPr>
          <w:spacing w:val="-2"/>
          <w:lang w:val="es-419"/>
        </w:rPr>
        <w:t xml:space="preserve"> y</w:t>
      </w:r>
    </w:p>
    <w:p w:rsidR="00211989" w:rsidRPr="00A31458" w:rsidRDefault="00211989" w:rsidP="00211989">
      <w:pPr>
        <w:rPr>
          <w:sz w:val="18"/>
          <w:lang w:val="es-419"/>
        </w:rPr>
      </w:pPr>
    </w:p>
    <w:p w:rsidR="00211989" w:rsidRPr="00DD4E4F" w:rsidRDefault="00211989" w:rsidP="00211989">
      <w:pPr>
        <w:rPr>
          <w:highlight w:val="yellow"/>
          <w:lang w:val="es-419"/>
        </w:rPr>
      </w:pPr>
      <w:r w:rsidRPr="00DD4E4F">
        <w:rPr>
          <w:lang w:val="es-419"/>
        </w:rPr>
        <w:tab/>
      </w:r>
      <w:r w:rsidR="00FB5897" w:rsidRPr="00DD4E4F">
        <w:rPr>
          <w:lang w:val="es-419"/>
        </w:rPr>
        <w:t>d)</w:t>
      </w:r>
      <w:r w:rsidR="00FB5897" w:rsidRPr="00DD4E4F">
        <w:rPr>
          <w:lang w:val="es-419"/>
        </w:rPr>
        <w:tab/>
      </w:r>
      <w:r w:rsidR="00A565EE" w:rsidRPr="00DD4E4F">
        <w:rPr>
          <w:lang w:val="es-419"/>
        </w:rPr>
        <w:t xml:space="preserve">pedir al </w:t>
      </w:r>
      <w:proofErr w:type="spellStart"/>
      <w:r w:rsidR="00A565EE" w:rsidRPr="00DD4E4F">
        <w:rPr>
          <w:lang w:val="es-419"/>
        </w:rPr>
        <w:t>WG</w:t>
      </w:r>
      <w:proofErr w:type="spellEnd"/>
      <w:r w:rsidR="00A565EE" w:rsidRPr="00DD4E4F">
        <w:rPr>
          <w:lang w:val="es-419"/>
        </w:rPr>
        <w:t xml:space="preserve">-EDV </w:t>
      </w:r>
      <w:r w:rsidR="002B11B3" w:rsidRPr="00DD4E4F">
        <w:rPr>
          <w:lang w:val="es-419"/>
        </w:rPr>
        <w:t xml:space="preserve">que, en su primera reunión, proponga un calendario para su labor, a fin de </w:t>
      </w:r>
      <w:r w:rsidR="00A565EE" w:rsidRPr="00DD4E4F">
        <w:rPr>
          <w:lang w:val="es-419"/>
        </w:rPr>
        <w:t>someterlo a la consideración del </w:t>
      </w:r>
      <w:proofErr w:type="spellStart"/>
      <w:r w:rsidR="00A565EE" w:rsidRPr="00DD4E4F">
        <w:rPr>
          <w:lang w:val="es-419"/>
        </w:rPr>
        <w:t>CAJ</w:t>
      </w:r>
      <w:proofErr w:type="spellEnd"/>
      <w:r w:rsidR="00A565EE" w:rsidRPr="00DD4E4F">
        <w:rPr>
          <w:lang w:val="es-419"/>
        </w:rPr>
        <w:t xml:space="preserve"> en su sesión de</w:t>
      </w:r>
      <w:r w:rsidR="00061C2A" w:rsidRPr="00DD4E4F">
        <w:rPr>
          <w:lang w:val="es-419"/>
        </w:rPr>
        <w:t> 2</w:t>
      </w:r>
      <w:r w:rsidR="00A565EE" w:rsidRPr="00DD4E4F">
        <w:rPr>
          <w:lang w:val="es-419"/>
        </w:rPr>
        <w:t>021.</w:t>
      </w:r>
    </w:p>
    <w:p w:rsidR="00211989" w:rsidRPr="00A31458" w:rsidRDefault="00211989" w:rsidP="00211989">
      <w:pPr>
        <w:rPr>
          <w:sz w:val="18"/>
          <w:lang w:val="es-419"/>
        </w:rPr>
      </w:pPr>
    </w:p>
    <w:p w:rsidR="00211989" w:rsidRPr="00DD4E4F" w:rsidRDefault="006548F4" w:rsidP="00211989">
      <w:pPr>
        <w:jc w:val="left"/>
        <w:rPr>
          <w:rFonts w:cs="Arial"/>
          <w:color w:val="000000"/>
          <w:lang w:val="es-419"/>
        </w:rPr>
      </w:pPr>
      <w:r w:rsidRPr="00DD4E4F">
        <w:rPr>
          <w:rFonts w:cs="Arial"/>
          <w:lang w:val="es-419"/>
        </w:rPr>
        <w:fldChar w:fldCharType="begin"/>
      </w:r>
      <w:r w:rsidR="00211989" w:rsidRPr="00DD4E4F">
        <w:rPr>
          <w:rFonts w:cs="Arial"/>
          <w:lang w:val="es-419"/>
        </w:rPr>
        <w:instrText xml:space="preserve"> AUTONUM  </w:instrText>
      </w:r>
      <w:r w:rsidRPr="00DD4E4F">
        <w:rPr>
          <w:rFonts w:cs="Arial"/>
          <w:lang w:val="es-419"/>
        </w:rPr>
        <w:fldChar w:fldCharType="end"/>
      </w:r>
      <w:r w:rsidR="00211989" w:rsidRPr="00DD4E4F">
        <w:rPr>
          <w:rFonts w:cs="Arial"/>
          <w:lang w:val="es-419"/>
        </w:rPr>
        <w:tab/>
      </w:r>
      <w:r w:rsidR="00A565EE" w:rsidRPr="00DD4E4F">
        <w:rPr>
          <w:rFonts w:cs="Arial"/>
          <w:lang w:val="es-419" w:eastAsia="ja-JP"/>
        </w:rPr>
        <w:t>El presente documento se estructura del modo siguiente:</w:t>
      </w:r>
      <w:r w:rsidR="004E6D0C" w:rsidRPr="00DD4E4F">
        <w:rPr>
          <w:rFonts w:cs="Arial"/>
          <w:lang w:val="es-419" w:eastAsia="ja-JP"/>
        </w:rPr>
        <w:t xml:space="preserve"> </w:t>
      </w:r>
    </w:p>
    <w:p w:rsidR="00211989" w:rsidRPr="00A31458" w:rsidRDefault="00211989" w:rsidP="00211989">
      <w:pPr>
        <w:rPr>
          <w:snapToGrid w:val="0"/>
          <w:sz w:val="18"/>
          <w:lang w:val="es-419"/>
        </w:rPr>
      </w:pPr>
    </w:p>
    <w:sdt>
      <w:sdtPr>
        <w:rPr>
          <w:i/>
          <w:caps w:val="0"/>
          <w:lang w:val="fr-FR"/>
        </w:rPr>
        <w:id w:val="1042878008"/>
        <w:docPartObj>
          <w:docPartGallery w:val="Table of Contents"/>
          <w:docPartUnique/>
        </w:docPartObj>
      </w:sdtPr>
      <w:sdtEndPr>
        <w:rPr>
          <w:b/>
          <w:bCs/>
          <w:noProof/>
          <w:lang w:val="es-419"/>
        </w:rPr>
      </w:sdtEndPr>
      <w:sdtContent>
        <w:p w:rsidR="0024555C" w:rsidRDefault="006548F4">
          <w:pPr>
            <w:pStyle w:val="TOC1"/>
            <w:rPr>
              <w:rFonts w:asciiTheme="minorHAnsi" w:eastAsiaTheme="minorEastAsia" w:hAnsiTheme="minorHAnsi" w:cstheme="minorBidi"/>
              <w:caps w:val="0"/>
              <w:noProof/>
              <w:sz w:val="22"/>
              <w:szCs w:val="22"/>
            </w:rPr>
          </w:pPr>
          <w:r w:rsidRPr="00DD4E4F">
            <w:fldChar w:fldCharType="begin"/>
          </w:r>
          <w:r w:rsidR="00211989" w:rsidRPr="00DD4E4F">
            <w:instrText xml:space="preserve"> TOC \o "1-3" \h \z \u </w:instrText>
          </w:r>
          <w:r w:rsidRPr="00DD4E4F">
            <w:fldChar w:fldCharType="separate"/>
          </w:r>
          <w:hyperlink w:anchor="_Toc48834425" w:history="1">
            <w:r w:rsidR="0024555C" w:rsidRPr="00DD59EF">
              <w:rPr>
                <w:rStyle w:val="Hyperlink"/>
                <w:noProof/>
                <w:snapToGrid w:val="0"/>
                <w:lang w:val="es-419"/>
              </w:rPr>
              <w:t>RESUMEN</w:t>
            </w:r>
            <w:r w:rsidR="0024555C">
              <w:rPr>
                <w:noProof/>
                <w:webHidden/>
              </w:rPr>
              <w:tab/>
            </w:r>
            <w:r w:rsidR="0024555C">
              <w:rPr>
                <w:noProof/>
                <w:webHidden/>
              </w:rPr>
              <w:fldChar w:fldCharType="begin"/>
            </w:r>
            <w:r w:rsidR="0024555C">
              <w:rPr>
                <w:noProof/>
                <w:webHidden/>
              </w:rPr>
              <w:instrText xml:space="preserve"> PAGEREF _Toc48834425 \h </w:instrText>
            </w:r>
            <w:r w:rsidR="0024555C">
              <w:rPr>
                <w:noProof/>
                <w:webHidden/>
              </w:rPr>
            </w:r>
            <w:r w:rsidR="0024555C">
              <w:rPr>
                <w:noProof/>
                <w:webHidden/>
              </w:rPr>
              <w:fldChar w:fldCharType="separate"/>
            </w:r>
            <w:r w:rsidR="008E66C2">
              <w:rPr>
                <w:noProof/>
                <w:webHidden/>
              </w:rPr>
              <w:t>1</w:t>
            </w:r>
            <w:r w:rsidR="0024555C">
              <w:rPr>
                <w:noProof/>
                <w:webHidden/>
              </w:rPr>
              <w:fldChar w:fldCharType="end"/>
            </w:r>
          </w:hyperlink>
        </w:p>
        <w:p w:rsidR="0024555C" w:rsidRDefault="00F62F0E">
          <w:pPr>
            <w:pStyle w:val="TOC1"/>
            <w:rPr>
              <w:rFonts w:asciiTheme="minorHAnsi" w:eastAsiaTheme="minorEastAsia" w:hAnsiTheme="minorHAnsi" w:cstheme="minorBidi"/>
              <w:caps w:val="0"/>
              <w:noProof/>
              <w:sz w:val="22"/>
              <w:szCs w:val="22"/>
            </w:rPr>
          </w:pPr>
          <w:hyperlink w:anchor="_Toc48834426" w:history="1">
            <w:r w:rsidR="0024555C" w:rsidRPr="00DD59EF">
              <w:rPr>
                <w:rStyle w:val="Hyperlink"/>
                <w:noProof/>
                <w:lang w:val="es-419"/>
              </w:rPr>
              <w:t>ANTECEDENTES</w:t>
            </w:r>
            <w:r w:rsidR="0024555C">
              <w:rPr>
                <w:noProof/>
                <w:webHidden/>
              </w:rPr>
              <w:tab/>
            </w:r>
            <w:r w:rsidR="0024555C">
              <w:rPr>
                <w:noProof/>
                <w:webHidden/>
              </w:rPr>
              <w:fldChar w:fldCharType="begin"/>
            </w:r>
            <w:r w:rsidR="0024555C">
              <w:rPr>
                <w:noProof/>
                <w:webHidden/>
              </w:rPr>
              <w:instrText xml:space="preserve"> PAGEREF _Toc48834426 \h </w:instrText>
            </w:r>
            <w:r w:rsidR="0024555C">
              <w:rPr>
                <w:noProof/>
                <w:webHidden/>
              </w:rPr>
            </w:r>
            <w:r w:rsidR="0024555C">
              <w:rPr>
                <w:noProof/>
                <w:webHidden/>
              </w:rPr>
              <w:fldChar w:fldCharType="separate"/>
            </w:r>
            <w:r w:rsidR="008E66C2">
              <w:rPr>
                <w:noProof/>
                <w:webHidden/>
              </w:rPr>
              <w:t>2</w:t>
            </w:r>
            <w:r w:rsidR="0024555C">
              <w:rPr>
                <w:noProof/>
                <w:webHidden/>
              </w:rPr>
              <w:fldChar w:fldCharType="end"/>
            </w:r>
          </w:hyperlink>
        </w:p>
        <w:p w:rsidR="0024555C" w:rsidRDefault="00F62F0E">
          <w:pPr>
            <w:pStyle w:val="TOC1"/>
            <w:rPr>
              <w:rFonts w:asciiTheme="minorHAnsi" w:eastAsiaTheme="minorEastAsia" w:hAnsiTheme="minorHAnsi" w:cstheme="minorBidi"/>
              <w:caps w:val="0"/>
              <w:noProof/>
              <w:sz w:val="22"/>
              <w:szCs w:val="22"/>
            </w:rPr>
          </w:pPr>
          <w:hyperlink w:anchor="_Toc48834427" w:history="1">
            <w:r w:rsidR="0024555C" w:rsidRPr="00DD59EF">
              <w:rPr>
                <w:rStyle w:val="Hyperlink"/>
                <w:noProof/>
                <w:lang w:val="es-419"/>
              </w:rPr>
              <w:t>PROCEDIMIENTO DE REVISIÓN DE LAS ORIENTACIONES SOBRE LAS VARIEDADES ESENCIALMENTE DERIVADAS QUE SE BRINDAN EN EL DOCUMENTO UPOV/EXN/EDV/2 “NOTAS EXPLICATIVAS SOBRE LAS VARIEDADES ESENCIALMENTE DERIVADAS CON ARREGLO AL ACTA DE 1991 DEL CONVENIO DE LA UPOV”</w:t>
            </w:r>
            <w:r w:rsidR="0024555C">
              <w:rPr>
                <w:noProof/>
                <w:webHidden/>
              </w:rPr>
              <w:tab/>
            </w:r>
            <w:r w:rsidR="0024555C">
              <w:rPr>
                <w:noProof/>
                <w:webHidden/>
              </w:rPr>
              <w:fldChar w:fldCharType="begin"/>
            </w:r>
            <w:r w:rsidR="0024555C">
              <w:rPr>
                <w:noProof/>
                <w:webHidden/>
              </w:rPr>
              <w:instrText xml:space="preserve"> PAGEREF _Toc48834427 \h </w:instrText>
            </w:r>
            <w:r w:rsidR="0024555C">
              <w:rPr>
                <w:noProof/>
                <w:webHidden/>
              </w:rPr>
            </w:r>
            <w:r w:rsidR="0024555C">
              <w:rPr>
                <w:noProof/>
                <w:webHidden/>
              </w:rPr>
              <w:fldChar w:fldCharType="separate"/>
            </w:r>
            <w:r w:rsidR="008E66C2">
              <w:rPr>
                <w:noProof/>
                <w:webHidden/>
              </w:rPr>
              <w:t>3</w:t>
            </w:r>
            <w:r w:rsidR="0024555C">
              <w:rPr>
                <w:noProof/>
                <w:webHidden/>
              </w:rPr>
              <w:fldChar w:fldCharType="end"/>
            </w:r>
          </w:hyperlink>
        </w:p>
        <w:p w:rsidR="0024555C" w:rsidRDefault="00F62F0E" w:rsidP="00A31458">
          <w:pPr>
            <w:pStyle w:val="TOC2"/>
            <w:rPr>
              <w:rFonts w:asciiTheme="minorHAnsi" w:eastAsiaTheme="minorEastAsia" w:hAnsiTheme="minorHAnsi" w:cstheme="minorBidi"/>
              <w:noProof/>
              <w:sz w:val="22"/>
              <w:szCs w:val="22"/>
            </w:rPr>
          </w:pPr>
          <w:hyperlink w:anchor="_Toc48834428" w:history="1">
            <w:r w:rsidR="0024555C" w:rsidRPr="00DD59EF">
              <w:rPr>
                <w:rStyle w:val="Hyperlink"/>
                <w:rFonts w:cs="Arial"/>
                <w:noProof/>
                <w:lang w:val="es-419"/>
              </w:rPr>
              <w:t xml:space="preserve">Novedades acaecidas desde la septuagésima </w:t>
            </w:r>
            <w:r w:rsidR="0024555C" w:rsidRPr="00DD59EF">
              <w:rPr>
                <w:rStyle w:val="Hyperlink"/>
                <w:noProof/>
                <w:lang w:val="es-419"/>
              </w:rPr>
              <w:t xml:space="preserve">sexta </w:t>
            </w:r>
            <w:r w:rsidR="0024555C" w:rsidRPr="00DD59EF">
              <w:rPr>
                <w:rStyle w:val="Hyperlink"/>
                <w:rFonts w:cs="Arial"/>
                <w:noProof/>
                <w:lang w:val="es-419"/>
              </w:rPr>
              <w:t>sesión del CAJ</w:t>
            </w:r>
            <w:r w:rsidR="0024555C">
              <w:rPr>
                <w:noProof/>
                <w:webHidden/>
              </w:rPr>
              <w:tab/>
            </w:r>
            <w:r w:rsidR="0024555C">
              <w:rPr>
                <w:noProof/>
                <w:webHidden/>
              </w:rPr>
              <w:fldChar w:fldCharType="begin"/>
            </w:r>
            <w:r w:rsidR="0024555C">
              <w:rPr>
                <w:noProof/>
                <w:webHidden/>
              </w:rPr>
              <w:instrText xml:space="preserve"> PAGEREF _Toc48834428 \h </w:instrText>
            </w:r>
            <w:r w:rsidR="0024555C">
              <w:rPr>
                <w:noProof/>
                <w:webHidden/>
              </w:rPr>
            </w:r>
            <w:r w:rsidR="0024555C">
              <w:rPr>
                <w:noProof/>
                <w:webHidden/>
              </w:rPr>
              <w:fldChar w:fldCharType="separate"/>
            </w:r>
            <w:r w:rsidR="008E66C2">
              <w:rPr>
                <w:noProof/>
                <w:webHidden/>
              </w:rPr>
              <w:t>3</w:t>
            </w:r>
            <w:r w:rsidR="0024555C">
              <w:rPr>
                <w:noProof/>
                <w:webHidden/>
              </w:rPr>
              <w:fldChar w:fldCharType="end"/>
            </w:r>
          </w:hyperlink>
        </w:p>
        <w:p w:rsidR="0024555C" w:rsidRDefault="00F62F0E" w:rsidP="00A31458">
          <w:pPr>
            <w:pStyle w:val="TOC2"/>
            <w:rPr>
              <w:rFonts w:asciiTheme="minorHAnsi" w:eastAsiaTheme="minorEastAsia" w:hAnsiTheme="minorHAnsi" w:cstheme="minorBidi"/>
              <w:noProof/>
              <w:sz w:val="22"/>
              <w:szCs w:val="22"/>
            </w:rPr>
          </w:pPr>
          <w:hyperlink w:anchor="_Toc48834429" w:history="1">
            <w:r w:rsidR="0024555C" w:rsidRPr="00DD59EF">
              <w:rPr>
                <w:rStyle w:val="Hyperlink"/>
                <w:noProof/>
                <w:lang w:val="es-419"/>
              </w:rPr>
              <w:t>Circulares E-19/232 y E-19/233 de la UPOV, de 23 de diciembre de 2019</w:t>
            </w:r>
            <w:r w:rsidR="0024555C">
              <w:rPr>
                <w:noProof/>
                <w:webHidden/>
              </w:rPr>
              <w:tab/>
            </w:r>
            <w:r w:rsidR="0024555C">
              <w:rPr>
                <w:noProof/>
                <w:webHidden/>
              </w:rPr>
              <w:fldChar w:fldCharType="begin"/>
            </w:r>
            <w:r w:rsidR="0024555C">
              <w:rPr>
                <w:noProof/>
                <w:webHidden/>
              </w:rPr>
              <w:instrText xml:space="preserve"> PAGEREF _Toc48834429 \h </w:instrText>
            </w:r>
            <w:r w:rsidR="0024555C">
              <w:rPr>
                <w:noProof/>
                <w:webHidden/>
              </w:rPr>
            </w:r>
            <w:r w:rsidR="0024555C">
              <w:rPr>
                <w:noProof/>
                <w:webHidden/>
              </w:rPr>
              <w:fldChar w:fldCharType="separate"/>
            </w:r>
            <w:r w:rsidR="008E66C2">
              <w:rPr>
                <w:noProof/>
                <w:webHidden/>
              </w:rPr>
              <w:t>3</w:t>
            </w:r>
            <w:r w:rsidR="0024555C">
              <w:rPr>
                <w:noProof/>
                <w:webHidden/>
              </w:rPr>
              <w:fldChar w:fldCharType="end"/>
            </w:r>
          </w:hyperlink>
        </w:p>
        <w:p w:rsidR="0024555C" w:rsidRDefault="00F62F0E" w:rsidP="00A31458">
          <w:pPr>
            <w:pStyle w:val="TOC2"/>
            <w:rPr>
              <w:rFonts w:asciiTheme="minorHAnsi" w:eastAsiaTheme="minorEastAsia" w:hAnsiTheme="minorHAnsi" w:cstheme="minorBidi"/>
              <w:noProof/>
              <w:sz w:val="22"/>
              <w:szCs w:val="22"/>
            </w:rPr>
          </w:pPr>
          <w:hyperlink w:anchor="_Toc48834430" w:history="1">
            <w:r w:rsidR="0024555C" w:rsidRPr="00DD59EF">
              <w:rPr>
                <w:rStyle w:val="Hyperlink"/>
                <w:noProof/>
                <w:lang w:val="es-419"/>
              </w:rPr>
              <w:t>Circular E-20/093 de la UPOV, de 9 de julio de 2020</w:t>
            </w:r>
            <w:r w:rsidR="0024555C">
              <w:rPr>
                <w:noProof/>
                <w:webHidden/>
              </w:rPr>
              <w:tab/>
            </w:r>
            <w:r w:rsidR="0024555C">
              <w:rPr>
                <w:noProof/>
                <w:webHidden/>
              </w:rPr>
              <w:fldChar w:fldCharType="begin"/>
            </w:r>
            <w:r w:rsidR="0024555C">
              <w:rPr>
                <w:noProof/>
                <w:webHidden/>
              </w:rPr>
              <w:instrText xml:space="preserve"> PAGEREF _Toc48834430 \h </w:instrText>
            </w:r>
            <w:r w:rsidR="0024555C">
              <w:rPr>
                <w:noProof/>
                <w:webHidden/>
              </w:rPr>
            </w:r>
            <w:r w:rsidR="0024555C">
              <w:rPr>
                <w:noProof/>
                <w:webHidden/>
              </w:rPr>
              <w:fldChar w:fldCharType="separate"/>
            </w:r>
            <w:r w:rsidR="008E66C2">
              <w:rPr>
                <w:noProof/>
                <w:webHidden/>
              </w:rPr>
              <w:t>3</w:t>
            </w:r>
            <w:r w:rsidR="0024555C">
              <w:rPr>
                <w:noProof/>
                <w:webHidden/>
              </w:rPr>
              <w:fldChar w:fldCharType="end"/>
            </w:r>
          </w:hyperlink>
        </w:p>
        <w:p w:rsidR="0024555C" w:rsidRDefault="00F62F0E">
          <w:pPr>
            <w:pStyle w:val="TOC3"/>
            <w:rPr>
              <w:rFonts w:asciiTheme="minorHAnsi" w:eastAsiaTheme="minorEastAsia" w:hAnsiTheme="minorHAnsi" w:cstheme="minorBidi"/>
              <w:i w:val="0"/>
              <w:noProof/>
              <w:sz w:val="22"/>
              <w:szCs w:val="22"/>
              <w:lang w:val="en-US"/>
            </w:rPr>
          </w:pPr>
          <w:hyperlink w:anchor="_Toc48834431" w:history="1">
            <w:r w:rsidR="0024555C" w:rsidRPr="00DD59EF">
              <w:rPr>
                <w:rStyle w:val="Hyperlink"/>
                <w:noProof/>
                <w:lang w:val="es-419"/>
              </w:rPr>
              <w:t>Cuestiones relativas a la política y las prácticas y costumbres de los obtentores</w:t>
            </w:r>
            <w:r w:rsidR="0024555C">
              <w:rPr>
                <w:noProof/>
                <w:webHidden/>
              </w:rPr>
              <w:tab/>
            </w:r>
            <w:r w:rsidR="0024555C">
              <w:rPr>
                <w:noProof/>
                <w:webHidden/>
              </w:rPr>
              <w:fldChar w:fldCharType="begin"/>
            </w:r>
            <w:r w:rsidR="0024555C">
              <w:rPr>
                <w:noProof/>
                <w:webHidden/>
              </w:rPr>
              <w:instrText xml:space="preserve"> PAGEREF _Toc48834431 \h </w:instrText>
            </w:r>
            <w:r w:rsidR="0024555C">
              <w:rPr>
                <w:noProof/>
                <w:webHidden/>
              </w:rPr>
            </w:r>
            <w:r w:rsidR="0024555C">
              <w:rPr>
                <w:noProof/>
                <w:webHidden/>
              </w:rPr>
              <w:fldChar w:fldCharType="separate"/>
            </w:r>
            <w:r w:rsidR="008E66C2">
              <w:rPr>
                <w:noProof/>
                <w:webHidden/>
              </w:rPr>
              <w:t>3</w:t>
            </w:r>
            <w:r w:rsidR="0024555C">
              <w:rPr>
                <w:noProof/>
                <w:webHidden/>
              </w:rPr>
              <w:fldChar w:fldCharType="end"/>
            </w:r>
          </w:hyperlink>
        </w:p>
        <w:p w:rsidR="0024555C" w:rsidRDefault="00F62F0E">
          <w:pPr>
            <w:pStyle w:val="TOC3"/>
            <w:rPr>
              <w:rFonts w:asciiTheme="minorHAnsi" w:eastAsiaTheme="minorEastAsia" w:hAnsiTheme="minorHAnsi" w:cstheme="minorBidi"/>
              <w:i w:val="0"/>
              <w:noProof/>
              <w:sz w:val="22"/>
              <w:szCs w:val="22"/>
              <w:lang w:val="en-US"/>
            </w:rPr>
          </w:pPr>
          <w:hyperlink w:anchor="_Toc48834432" w:history="1">
            <w:r w:rsidR="0024555C" w:rsidRPr="00DD59EF">
              <w:rPr>
                <w:rStyle w:val="Hyperlink"/>
                <w:noProof/>
                <w:lang w:val="es-419"/>
              </w:rPr>
              <w:t>Mandato del Grupo de trabajo sobre variedades esencialmente derivadas (WG-EDV)</w:t>
            </w:r>
            <w:r w:rsidR="0024555C">
              <w:rPr>
                <w:noProof/>
                <w:webHidden/>
              </w:rPr>
              <w:tab/>
            </w:r>
            <w:r w:rsidR="0024555C">
              <w:rPr>
                <w:noProof/>
                <w:webHidden/>
              </w:rPr>
              <w:fldChar w:fldCharType="begin"/>
            </w:r>
            <w:r w:rsidR="0024555C">
              <w:rPr>
                <w:noProof/>
                <w:webHidden/>
              </w:rPr>
              <w:instrText xml:space="preserve"> PAGEREF _Toc48834432 \h </w:instrText>
            </w:r>
            <w:r w:rsidR="0024555C">
              <w:rPr>
                <w:noProof/>
                <w:webHidden/>
              </w:rPr>
            </w:r>
            <w:r w:rsidR="0024555C">
              <w:rPr>
                <w:noProof/>
                <w:webHidden/>
              </w:rPr>
              <w:fldChar w:fldCharType="separate"/>
            </w:r>
            <w:r w:rsidR="008E66C2">
              <w:rPr>
                <w:noProof/>
                <w:webHidden/>
              </w:rPr>
              <w:t>4</w:t>
            </w:r>
            <w:r w:rsidR="0024555C">
              <w:rPr>
                <w:noProof/>
                <w:webHidden/>
              </w:rPr>
              <w:fldChar w:fldCharType="end"/>
            </w:r>
          </w:hyperlink>
        </w:p>
        <w:p w:rsidR="0024555C" w:rsidRDefault="00F62F0E">
          <w:pPr>
            <w:pStyle w:val="TOC3"/>
            <w:rPr>
              <w:rFonts w:asciiTheme="minorHAnsi" w:eastAsiaTheme="minorEastAsia" w:hAnsiTheme="minorHAnsi" w:cstheme="minorBidi"/>
              <w:i w:val="0"/>
              <w:noProof/>
              <w:sz w:val="22"/>
              <w:szCs w:val="22"/>
              <w:lang w:val="en-US"/>
            </w:rPr>
          </w:pPr>
          <w:hyperlink w:anchor="_Toc48834433" w:history="1">
            <w:r w:rsidR="0024555C" w:rsidRPr="00DD59EF">
              <w:rPr>
                <w:rStyle w:val="Hyperlink"/>
                <w:noProof/>
                <w:lang w:val="es-419"/>
              </w:rPr>
              <w:t>Composición del WG-EDV</w:t>
            </w:r>
            <w:r w:rsidR="0024555C">
              <w:rPr>
                <w:noProof/>
                <w:webHidden/>
              </w:rPr>
              <w:tab/>
            </w:r>
            <w:r w:rsidR="0024555C">
              <w:rPr>
                <w:noProof/>
                <w:webHidden/>
              </w:rPr>
              <w:fldChar w:fldCharType="begin"/>
            </w:r>
            <w:r w:rsidR="0024555C">
              <w:rPr>
                <w:noProof/>
                <w:webHidden/>
              </w:rPr>
              <w:instrText xml:space="preserve"> PAGEREF _Toc48834433 \h </w:instrText>
            </w:r>
            <w:r w:rsidR="0024555C">
              <w:rPr>
                <w:noProof/>
                <w:webHidden/>
              </w:rPr>
            </w:r>
            <w:r w:rsidR="0024555C">
              <w:rPr>
                <w:noProof/>
                <w:webHidden/>
              </w:rPr>
              <w:fldChar w:fldCharType="separate"/>
            </w:r>
            <w:r w:rsidR="008E66C2">
              <w:rPr>
                <w:noProof/>
                <w:webHidden/>
              </w:rPr>
              <w:t>4</w:t>
            </w:r>
            <w:r w:rsidR="0024555C">
              <w:rPr>
                <w:noProof/>
                <w:webHidden/>
              </w:rPr>
              <w:fldChar w:fldCharType="end"/>
            </w:r>
          </w:hyperlink>
        </w:p>
        <w:p w:rsidR="00211989" w:rsidRPr="00DD4E4F" w:rsidRDefault="00F62F0E" w:rsidP="00211989">
          <w:pPr>
            <w:pStyle w:val="TOC3"/>
            <w:rPr>
              <w:rFonts w:asciiTheme="minorHAnsi" w:eastAsiaTheme="minorEastAsia" w:hAnsiTheme="minorHAnsi" w:cstheme="minorBidi"/>
              <w:noProof/>
              <w:sz w:val="22"/>
              <w:szCs w:val="22"/>
              <w:lang w:val="es-419"/>
            </w:rPr>
          </w:pPr>
          <w:hyperlink w:anchor="_Toc48834434" w:history="1">
            <w:r w:rsidR="0024555C" w:rsidRPr="00DD59EF">
              <w:rPr>
                <w:rStyle w:val="Hyperlink"/>
                <w:noProof/>
                <w:lang w:val="es-419"/>
              </w:rPr>
              <w:t>Fecha provisional para la primera reunión del WG-EDV</w:t>
            </w:r>
            <w:r w:rsidR="0024555C">
              <w:rPr>
                <w:noProof/>
                <w:webHidden/>
              </w:rPr>
              <w:tab/>
            </w:r>
            <w:r w:rsidR="0024555C">
              <w:rPr>
                <w:noProof/>
                <w:webHidden/>
              </w:rPr>
              <w:fldChar w:fldCharType="begin"/>
            </w:r>
            <w:r w:rsidR="0024555C">
              <w:rPr>
                <w:noProof/>
                <w:webHidden/>
              </w:rPr>
              <w:instrText xml:space="preserve"> PAGEREF _Toc48834434 \h </w:instrText>
            </w:r>
            <w:r w:rsidR="0024555C">
              <w:rPr>
                <w:noProof/>
                <w:webHidden/>
              </w:rPr>
            </w:r>
            <w:r w:rsidR="0024555C">
              <w:rPr>
                <w:noProof/>
                <w:webHidden/>
              </w:rPr>
              <w:fldChar w:fldCharType="separate"/>
            </w:r>
            <w:r w:rsidR="008E66C2">
              <w:rPr>
                <w:noProof/>
                <w:webHidden/>
              </w:rPr>
              <w:t>4</w:t>
            </w:r>
            <w:r w:rsidR="0024555C">
              <w:rPr>
                <w:noProof/>
                <w:webHidden/>
              </w:rPr>
              <w:fldChar w:fldCharType="end"/>
            </w:r>
          </w:hyperlink>
          <w:r w:rsidR="006548F4" w:rsidRPr="00DD4E4F">
            <w:rPr>
              <w:lang w:val="es-419"/>
            </w:rPr>
            <w:fldChar w:fldCharType="end"/>
          </w:r>
        </w:p>
      </w:sdtContent>
    </w:sdt>
    <w:p w:rsidR="005D53E2" w:rsidRPr="00B974ED" w:rsidRDefault="005D53E2" w:rsidP="005D53E2">
      <w:pPr>
        <w:ind w:left="1134" w:hanging="1134"/>
        <w:rPr>
          <w:spacing w:val="-2"/>
          <w:sz w:val="16"/>
          <w:szCs w:val="16"/>
          <w:lang w:val="es-419"/>
        </w:rPr>
      </w:pPr>
    </w:p>
    <w:p w:rsidR="00211989" w:rsidRPr="00B974ED" w:rsidRDefault="00A565EE" w:rsidP="00A01EC4">
      <w:pPr>
        <w:spacing w:after="60"/>
        <w:ind w:left="1134" w:hanging="1134"/>
        <w:rPr>
          <w:spacing w:val="-2"/>
          <w:sz w:val="18"/>
          <w:lang w:val="es-419"/>
        </w:rPr>
      </w:pPr>
      <w:r w:rsidRPr="00B974ED">
        <w:rPr>
          <w:spacing w:val="-2"/>
          <w:sz w:val="18"/>
          <w:lang w:val="es-419"/>
        </w:rPr>
        <w:t>ANEXO I</w:t>
      </w:r>
      <w:r w:rsidR="00211989" w:rsidRPr="00B974ED">
        <w:rPr>
          <w:spacing w:val="-2"/>
          <w:sz w:val="18"/>
          <w:lang w:val="es-419"/>
        </w:rPr>
        <w:tab/>
      </w:r>
      <w:r w:rsidRPr="00B974ED">
        <w:rPr>
          <w:spacing w:val="-2"/>
          <w:sz w:val="18"/>
          <w:lang w:val="es-419"/>
        </w:rPr>
        <w:t>CUESTIONES RELATIVAS A LA POLÍTICA Y LAS PRÁCTICAS Y COSTUMBRES DE LOS OBTENTORES</w:t>
      </w:r>
    </w:p>
    <w:p w:rsidR="00211989" w:rsidRPr="00B974ED" w:rsidRDefault="00211989" w:rsidP="00211989">
      <w:pPr>
        <w:tabs>
          <w:tab w:val="left" w:pos="1134"/>
        </w:tabs>
        <w:ind w:firstLine="360"/>
        <w:rPr>
          <w:lang w:val="es-419"/>
        </w:rPr>
      </w:pPr>
      <w:r w:rsidRPr="00B974ED">
        <w:rPr>
          <w:lang w:val="es-419"/>
        </w:rPr>
        <w:tab/>
      </w:r>
      <w:r w:rsidR="00A565EE" w:rsidRPr="00B974ED">
        <w:rPr>
          <w:lang w:val="es-419"/>
        </w:rPr>
        <w:t>Apéndice I:</w:t>
      </w:r>
      <w:r w:rsidR="004E6D0C" w:rsidRPr="00B974ED">
        <w:rPr>
          <w:lang w:val="es-419"/>
        </w:rPr>
        <w:t xml:space="preserve"> </w:t>
      </w:r>
      <w:r w:rsidR="00A565EE" w:rsidRPr="00B974ED">
        <w:rPr>
          <w:lang w:val="es-419"/>
        </w:rPr>
        <w:t>Cuestiones relativas a la política</w:t>
      </w:r>
    </w:p>
    <w:p w:rsidR="00211989" w:rsidRPr="00B974ED" w:rsidRDefault="00211989" w:rsidP="00211989">
      <w:pPr>
        <w:ind w:firstLine="360"/>
        <w:rPr>
          <w:lang w:val="es-419"/>
        </w:rPr>
      </w:pPr>
      <w:r w:rsidRPr="00B974ED">
        <w:rPr>
          <w:lang w:val="es-419"/>
        </w:rPr>
        <w:tab/>
      </w:r>
      <w:r w:rsidRPr="00B974ED">
        <w:rPr>
          <w:lang w:val="es-419"/>
        </w:rPr>
        <w:tab/>
      </w:r>
      <w:r w:rsidR="00A565EE" w:rsidRPr="00B974ED">
        <w:rPr>
          <w:lang w:val="es-419"/>
        </w:rPr>
        <w:t>Apéndice II:</w:t>
      </w:r>
      <w:r w:rsidR="004E6D0C" w:rsidRPr="00B974ED">
        <w:rPr>
          <w:lang w:val="es-419"/>
        </w:rPr>
        <w:t xml:space="preserve"> </w:t>
      </w:r>
      <w:r w:rsidR="00A565EE" w:rsidRPr="00B974ED">
        <w:rPr>
          <w:lang w:val="es-419"/>
        </w:rPr>
        <w:t>Prácticas y costumbres de los obtentores</w:t>
      </w:r>
      <w:r w:rsidRPr="00B974ED">
        <w:rPr>
          <w:lang w:val="es-419"/>
        </w:rPr>
        <w:t xml:space="preserve"> </w:t>
      </w:r>
    </w:p>
    <w:p w:rsidR="006F064B" w:rsidRDefault="00A565EE" w:rsidP="006F064B">
      <w:pPr>
        <w:spacing w:before="120" w:after="120"/>
        <w:ind w:left="1134" w:hanging="1134"/>
        <w:rPr>
          <w:sz w:val="18"/>
          <w:lang w:val="es-419"/>
        </w:rPr>
      </w:pPr>
      <w:r w:rsidRPr="00B974ED">
        <w:rPr>
          <w:sz w:val="18"/>
          <w:lang w:val="es-419"/>
        </w:rPr>
        <w:t>ANEXO II</w:t>
      </w:r>
      <w:r w:rsidR="00211989" w:rsidRPr="00B974ED">
        <w:rPr>
          <w:sz w:val="18"/>
          <w:lang w:val="es-419"/>
        </w:rPr>
        <w:tab/>
      </w:r>
      <w:r w:rsidRPr="00B974ED">
        <w:rPr>
          <w:sz w:val="18"/>
          <w:lang w:val="es-419"/>
        </w:rPr>
        <w:t>PROYECTO DE MANDATO DEL GRUPO DE TRABAJO SOBRE VARIEDADES ESENCIALMENTE DERIVADAS</w:t>
      </w:r>
      <w:r w:rsidRPr="00DD4E4F">
        <w:rPr>
          <w:sz w:val="18"/>
          <w:lang w:val="es-419"/>
        </w:rPr>
        <w:t xml:space="preserve"> (</w:t>
      </w:r>
      <w:proofErr w:type="spellStart"/>
      <w:r w:rsidRPr="00DD4E4F">
        <w:rPr>
          <w:sz w:val="18"/>
          <w:lang w:val="es-419"/>
        </w:rPr>
        <w:t>WG</w:t>
      </w:r>
      <w:proofErr w:type="spellEnd"/>
      <w:r w:rsidRPr="00DD4E4F">
        <w:rPr>
          <w:sz w:val="18"/>
          <w:lang w:val="es-419"/>
        </w:rPr>
        <w:t>-EDV)</w:t>
      </w:r>
      <w:r w:rsidR="006F064B">
        <w:rPr>
          <w:sz w:val="18"/>
          <w:lang w:val="es-419"/>
        </w:rPr>
        <w:t xml:space="preserve"> </w:t>
      </w:r>
      <w:r w:rsidR="006F064B">
        <w:rPr>
          <w:sz w:val="18"/>
          <w:lang w:val="es-419"/>
        </w:rPr>
        <w:br w:type="page"/>
      </w:r>
    </w:p>
    <w:p w:rsidR="00211989" w:rsidRPr="00DD4E4F" w:rsidRDefault="00A565EE" w:rsidP="00CD4193">
      <w:pPr>
        <w:pStyle w:val="Heading1"/>
        <w:rPr>
          <w:lang w:val="es-419"/>
        </w:rPr>
      </w:pPr>
      <w:bookmarkStart w:id="3" w:name="_Toc48834426"/>
      <w:r w:rsidRPr="00DD4E4F">
        <w:rPr>
          <w:lang w:val="es-419"/>
        </w:rPr>
        <w:lastRenderedPageBreak/>
        <w:t>ANTECEDENTES</w:t>
      </w:r>
      <w:bookmarkEnd w:id="3"/>
    </w:p>
    <w:p w:rsidR="00211989" w:rsidRPr="00DD4E4F" w:rsidRDefault="00211989" w:rsidP="00211989">
      <w:pPr>
        <w:keepNext/>
        <w:jc w:val="left"/>
        <w:rPr>
          <w:rFonts w:cs="Arial"/>
          <w:u w:val="single"/>
          <w:lang w:val="es-419"/>
        </w:rPr>
      </w:pPr>
    </w:p>
    <w:p w:rsidR="00211989" w:rsidRPr="00DD4E4F" w:rsidRDefault="006548F4" w:rsidP="00211989">
      <w:pPr>
        <w:keepNext/>
        <w:autoSpaceDE w:val="0"/>
        <w:autoSpaceDN w:val="0"/>
        <w:adjustRightInd w:val="0"/>
        <w:rPr>
          <w:rFonts w:cs="Arial"/>
          <w:szCs w:val="24"/>
          <w:lang w:val="es-419" w:eastAsia="ja-JP" w:bidi="th-TH"/>
        </w:rPr>
      </w:pPr>
      <w:r w:rsidRPr="00DD4E4F">
        <w:rPr>
          <w:rFonts w:cs="Arial"/>
          <w:spacing w:val="-2"/>
          <w:lang w:val="es-419"/>
        </w:rPr>
        <w:fldChar w:fldCharType="begin"/>
      </w:r>
      <w:r w:rsidR="00211989" w:rsidRPr="00DD4E4F">
        <w:rPr>
          <w:rFonts w:cs="Arial"/>
          <w:spacing w:val="-2"/>
          <w:lang w:val="es-419"/>
        </w:rPr>
        <w:instrText xml:space="preserve"> AUTONUM  </w:instrText>
      </w:r>
      <w:r w:rsidRPr="00DD4E4F">
        <w:rPr>
          <w:rFonts w:cs="Arial"/>
          <w:spacing w:val="-2"/>
          <w:lang w:val="es-419"/>
        </w:rPr>
        <w:fldChar w:fldCharType="end"/>
      </w:r>
      <w:r w:rsidR="00211989" w:rsidRPr="00DD4E4F">
        <w:rPr>
          <w:rFonts w:cs="Arial"/>
          <w:spacing w:val="-2"/>
          <w:lang w:val="es-419"/>
        </w:rPr>
        <w:tab/>
      </w:r>
      <w:r w:rsidR="00150FF0" w:rsidRPr="00DD4E4F">
        <w:rPr>
          <w:rFonts w:cs="Arial"/>
          <w:spacing w:val="-2"/>
          <w:lang w:val="es-419" w:eastAsia="ja-JP" w:bidi="th-TH"/>
        </w:rPr>
        <w:t>En su septuagésima sexta sesión</w:t>
      </w:r>
      <w:r w:rsidR="00061C2A" w:rsidRPr="00DD4E4F">
        <w:rPr>
          <w:rFonts w:cs="Arial"/>
          <w:spacing w:val="-2"/>
          <w:lang w:val="es-419" w:eastAsia="ja-JP" w:bidi="th-TH"/>
        </w:rPr>
        <w:t xml:space="preserve">, </w:t>
      </w:r>
      <w:r w:rsidR="00150FF0" w:rsidRPr="00DD4E4F">
        <w:rPr>
          <w:rFonts w:cs="Arial"/>
          <w:spacing w:val="-2"/>
          <w:lang w:val="es-419" w:eastAsia="ja-JP" w:bidi="th-TH"/>
        </w:rPr>
        <w:t>celebrada en Ginebra el 30 de octubre de 2019</w:t>
      </w:r>
      <w:r w:rsidR="00061C2A" w:rsidRPr="00DD4E4F">
        <w:rPr>
          <w:rFonts w:cs="Arial"/>
          <w:spacing w:val="-2"/>
          <w:lang w:val="es-419" w:eastAsia="ja-JP" w:bidi="th-TH"/>
        </w:rPr>
        <w:t xml:space="preserve">, </w:t>
      </w:r>
      <w:r w:rsidR="00F62F0E">
        <w:rPr>
          <w:rFonts w:cs="Arial"/>
          <w:spacing w:val="-2"/>
          <w:lang w:val="es-419" w:eastAsia="ja-JP" w:bidi="th-TH"/>
        </w:rPr>
        <w:t>el Comité </w:t>
      </w:r>
      <w:r w:rsidR="00150FF0" w:rsidRPr="00DD4E4F">
        <w:rPr>
          <w:rFonts w:cs="Arial"/>
          <w:spacing w:val="-2"/>
          <w:lang w:val="es-419" w:eastAsia="ja-JP" w:bidi="th-TH"/>
        </w:rPr>
        <w:t>Administrativo y Jurídico (</w:t>
      </w:r>
      <w:proofErr w:type="spellStart"/>
      <w:r w:rsidR="00150FF0" w:rsidRPr="00DD4E4F">
        <w:rPr>
          <w:rFonts w:cs="Arial"/>
          <w:spacing w:val="-2"/>
          <w:lang w:val="es-419" w:eastAsia="ja-JP" w:bidi="th-TH"/>
        </w:rPr>
        <w:t>CAJ</w:t>
      </w:r>
      <w:proofErr w:type="spellEnd"/>
      <w:r w:rsidR="00150FF0" w:rsidRPr="00DD4E4F">
        <w:rPr>
          <w:rFonts w:cs="Arial"/>
          <w:spacing w:val="-2"/>
          <w:lang w:val="es-419" w:eastAsia="ja-JP" w:bidi="th-TH"/>
        </w:rPr>
        <w:t xml:space="preserve">) acordó las cuestiones contempladas en los párrafos siguientes (véanse a continuación los extractos pertinentes del documento </w:t>
      </w:r>
      <w:proofErr w:type="spellStart"/>
      <w:r w:rsidR="00150FF0" w:rsidRPr="00DD4E4F">
        <w:rPr>
          <w:rFonts w:cs="Arial"/>
          <w:spacing w:val="-2"/>
          <w:lang w:val="es-419" w:eastAsia="ja-JP" w:bidi="th-TH"/>
        </w:rPr>
        <w:t>CAJ</w:t>
      </w:r>
      <w:proofErr w:type="spellEnd"/>
      <w:r w:rsidR="00150FF0" w:rsidRPr="00DD4E4F">
        <w:rPr>
          <w:rFonts w:cs="Arial"/>
          <w:spacing w:val="-2"/>
          <w:lang w:val="es-419" w:eastAsia="ja-JP" w:bidi="th-TH"/>
        </w:rPr>
        <w:t>/76/9 “Informe”</w:t>
      </w:r>
      <w:r w:rsidR="00061C2A" w:rsidRPr="00DD4E4F">
        <w:rPr>
          <w:rFonts w:cs="Arial"/>
          <w:spacing w:val="-2"/>
          <w:lang w:val="es-419" w:eastAsia="ja-JP" w:bidi="th-TH"/>
        </w:rPr>
        <w:t xml:space="preserve">, </w:t>
      </w:r>
      <w:r w:rsidR="00150FF0" w:rsidRPr="00DD4E4F">
        <w:rPr>
          <w:rFonts w:cs="Arial"/>
          <w:spacing w:val="-2"/>
          <w:lang w:val="es-419" w:eastAsia="ja-JP" w:bidi="th-TH"/>
        </w:rPr>
        <w:t>párrafos 9 a</w:t>
      </w:r>
      <w:r w:rsidR="00061C2A" w:rsidRPr="00DD4E4F">
        <w:rPr>
          <w:rFonts w:cs="Arial"/>
          <w:spacing w:val="-2"/>
          <w:lang w:val="es-419" w:eastAsia="ja-JP" w:bidi="th-TH"/>
        </w:rPr>
        <w:t> 1</w:t>
      </w:r>
      <w:r w:rsidR="00150FF0" w:rsidRPr="00DD4E4F">
        <w:rPr>
          <w:rFonts w:cs="Arial"/>
          <w:spacing w:val="-2"/>
          <w:lang w:val="es-419" w:eastAsia="ja-JP" w:bidi="th-TH"/>
        </w:rPr>
        <w:t>4).</w:t>
      </w:r>
      <w:r w:rsidR="00211989" w:rsidRPr="00DD4E4F">
        <w:rPr>
          <w:rFonts w:eastAsiaTheme="minorEastAsia" w:cs="Arial"/>
          <w:spacing w:val="-2"/>
          <w:lang w:val="es-419"/>
        </w:rPr>
        <w:t xml:space="preserve"> </w:t>
      </w:r>
    </w:p>
    <w:p w:rsidR="00211989" w:rsidRPr="00DD4E4F" w:rsidRDefault="00211989" w:rsidP="00211989">
      <w:pPr>
        <w:keepNext/>
        <w:tabs>
          <w:tab w:val="left" w:pos="284"/>
          <w:tab w:val="left" w:pos="851"/>
        </w:tabs>
        <w:autoSpaceDE w:val="0"/>
        <w:autoSpaceDN w:val="0"/>
        <w:adjustRightInd w:val="0"/>
        <w:rPr>
          <w:rFonts w:cs="Angsana New"/>
          <w:szCs w:val="24"/>
          <w:lang w:val="es-419" w:eastAsia="ja-JP" w:bidi="th-TH"/>
        </w:rPr>
      </w:pPr>
    </w:p>
    <w:p w:rsidR="00211989" w:rsidRPr="00DD4E4F" w:rsidRDefault="00211989" w:rsidP="00211989">
      <w:pPr>
        <w:keepNext/>
        <w:ind w:left="567" w:right="567"/>
        <w:rPr>
          <w:sz w:val="18"/>
          <w:u w:val="single"/>
          <w:lang w:val="es-419"/>
        </w:rPr>
      </w:pPr>
      <w:r w:rsidRPr="00DD4E4F">
        <w:rPr>
          <w:sz w:val="18"/>
          <w:lang w:val="es-419"/>
        </w:rPr>
        <w:t>“</w:t>
      </w:r>
      <w:r w:rsidR="00150FF0" w:rsidRPr="00DD4E4F">
        <w:rPr>
          <w:sz w:val="18"/>
          <w:u w:val="single"/>
          <w:lang w:val="es-419"/>
        </w:rPr>
        <w:t xml:space="preserve">Variedades </w:t>
      </w:r>
      <w:r w:rsidR="00B26092" w:rsidRPr="00DD4E4F">
        <w:rPr>
          <w:sz w:val="18"/>
          <w:u w:val="single"/>
          <w:lang w:val="es-419"/>
        </w:rPr>
        <w:t>esencialmente derivadas</w:t>
      </w:r>
      <w:r w:rsidRPr="00DD4E4F">
        <w:rPr>
          <w:sz w:val="18"/>
          <w:u w:val="single"/>
          <w:lang w:val="es-419"/>
        </w:rPr>
        <w:t xml:space="preserve"> </w:t>
      </w:r>
    </w:p>
    <w:p w:rsidR="00211989" w:rsidRPr="00DD4E4F" w:rsidRDefault="00211989" w:rsidP="00211989">
      <w:pPr>
        <w:keepNext/>
        <w:tabs>
          <w:tab w:val="left" w:pos="284"/>
          <w:tab w:val="left" w:pos="567"/>
          <w:tab w:val="left" w:pos="851"/>
        </w:tabs>
        <w:autoSpaceDE w:val="0"/>
        <w:autoSpaceDN w:val="0"/>
        <w:adjustRightInd w:val="0"/>
        <w:ind w:left="567" w:right="567"/>
        <w:rPr>
          <w:rFonts w:cs="Angsana New"/>
          <w:sz w:val="18"/>
          <w:szCs w:val="18"/>
          <w:lang w:val="es-419" w:eastAsia="ja-JP" w:bidi="th-TH"/>
        </w:rPr>
      </w:pPr>
    </w:p>
    <w:p w:rsidR="00211989" w:rsidRPr="00DD4E4F" w:rsidRDefault="00211989" w:rsidP="00211989">
      <w:pPr>
        <w:tabs>
          <w:tab w:val="left" w:pos="567"/>
          <w:tab w:val="left" w:pos="1134"/>
        </w:tabs>
        <w:ind w:left="567" w:right="567"/>
        <w:rPr>
          <w:sz w:val="18"/>
          <w:szCs w:val="18"/>
          <w:lang w:val="es-419"/>
        </w:rPr>
      </w:pPr>
      <w:r w:rsidRPr="00DD4E4F">
        <w:rPr>
          <w:sz w:val="18"/>
          <w:szCs w:val="18"/>
          <w:lang w:val="es-419"/>
        </w:rPr>
        <w:t>9.</w:t>
      </w:r>
      <w:r w:rsidRPr="00DD4E4F">
        <w:rPr>
          <w:sz w:val="18"/>
          <w:szCs w:val="18"/>
          <w:lang w:val="es-419"/>
        </w:rPr>
        <w:tab/>
      </w:r>
      <w:r w:rsidR="00150FF0" w:rsidRPr="00DD4E4F">
        <w:rPr>
          <w:sz w:val="18"/>
          <w:szCs w:val="18"/>
          <w:lang w:val="es-419"/>
        </w:rPr>
        <w:t xml:space="preserve">El </w:t>
      </w:r>
      <w:proofErr w:type="spellStart"/>
      <w:r w:rsidR="00150FF0" w:rsidRPr="00DD4E4F">
        <w:rPr>
          <w:sz w:val="18"/>
          <w:szCs w:val="18"/>
          <w:lang w:val="es-419"/>
        </w:rPr>
        <w:t>CAJ</w:t>
      </w:r>
      <w:proofErr w:type="spellEnd"/>
      <w:r w:rsidR="00150FF0" w:rsidRPr="00DD4E4F">
        <w:rPr>
          <w:sz w:val="18"/>
          <w:szCs w:val="18"/>
          <w:lang w:val="es-419"/>
        </w:rPr>
        <w:t xml:space="preserve"> examinó el documento </w:t>
      </w:r>
      <w:proofErr w:type="spellStart"/>
      <w:r w:rsidR="00150FF0" w:rsidRPr="00DD4E4F">
        <w:rPr>
          <w:sz w:val="18"/>
          <w:szCs w:val="18"/>
          <w:lang w:val="es-419"/>
        </w:rPr>
        <w:t>CAJ</w:t>
      </w:r>
      <w:proofErr w:type="spellEnd"/>
      <w:r w:rsidR="00150FF0" w:rsidRPr="00DD4E4F">
        <w:rPr>
          <w:sz w:val="18"/>
          <w:szCs w:val="18"/>
          <w:lang w:val="es-419"/>
        </w:rPr>
        <w:t>/76/3.</w:t>
      </w:r>
    </w:p>
    <w:p w:rsidR="00211989" w:rsidRPr="00DD4E4F" w:rsidRDefault="00211989" w:rsidP="00211989">
      <w:pPr>
        <w:tabs>
          <w:tab w:val="left" w:pos="567"/>
        </w:tabs>
        <w:ind w:left="567" w:right="567"/>
        <w:rPr>
          <w:sz w:val="18"/>
          <w:szCs w:val="18"/>
          <w:lang w:val="es-419"/>
        </w:rPr>
      </w:pPr>
    </w:p>
    <w:p w:rsidR="00211989" w:rsidRPr="00DD4E4F" w:rsidRDefault="00211989" w:rsidP="00211989">
      <w:pPr>
        <w:tabs>
          <w:tab w:val="left" w:pos="567"/>
        </w:tabs>
        <w:ind w:left="567" w:right="567"/>
        <w:rPr>
          <w:sz w:val="18"/>
          <w:szCs w:val="18"/>
          <w:lang w:val="es-419"/>
        </w:rPr>
      </w:pPr>
      <w:r w:rsidRPr="00DD4E4F">
        <w:rPr>
          <w:sz w:val="18"/>
          <w:szCs w:val="18"/>
          <w:lang w:val="es-419"/>
        </w:rPr>
        <w:t>10.</w:t>
      </w:r>
      <w:r w:rsidRPr="00DD4E4F">
        <w:rPr>
          <w:sz w:val="18"/>
          <w:szCs w:val="18"/>
          <w:lang w:val="es-419"/>
        </w:rPr>
        <w:tab/>
      </w:r>
      <w:r w:rsidR="00150FF0" w:rsidRPr="00DD4E4F">
        <w:rPr>
          <w:sz w:val="18"/>
          <w:szCs w:val="18"/>
          <w:lang w:val="es-419"/>
        </w:rPr>
        <w:t xml:space="preserve">El </w:t>
      </w:r>
      <w:proofErr w:type="spellStart"/>
      <w:r w:rsidR="00150FF0" w:rsidRPr="00DD4E4F">
        <w:rPr>
          <w:sz w:val="18"/>
          <w:szCs w:val="18"/>
          <w:lang w:val="es-419"/>
        </w:rPr>
        <w:t>CAJ</w:t>
      </w:r>
      <w:proofErr w:type="spellEnd"/>
      <w:r w:rsidR="00150FF0" w:rsidRPr="00DD4E4F">
        <w:rPr>
          <w:sz w:val="18"/>
          <w:szCs w:val="18"/>
          <w:lang w:val="es-419"/>
        </w:rPr>
        <w:t xml:space="preserve"> tomó nota de los antecedentes y de las novedades acaecidas en relación con las variedades esencialmente derivadas</w:t>
      </w:r>
      <w:r w:rsidR="00061C2A" w:rsidRPr="00DD4E4F">
        <w:rPr>
          <w:sz w:val="18"/>
          <w:szCs w:val="18"/>
          <w:lang w:val="es-419"/>
        </w:rPr>
        <w:t xml:space="preserve">, </w:t>
      </w:r>
      <w:r w:rsidR="00150FF0" w:rsidRPr="00DD4E4F">
        <w:rPr>
          <w:sz w:val="18"/>
          <w:szCs w:val="18"/>
          <w:lang w:val="es-419"/>
        </w:rPr>
        <w:t>incluidas las cuestiones pertinentes respecto del “Seminario sobre la repercusión de la política sobre variedades esencialmente derivadas en la estrategia de fitomejoramiento”</w:t>
      </w:r>
      <w:r w:rsidR="00061C2A" w:rsidRPr="00DD4E4F">
        <w:rPr>
          <w:sz w:val="18"/>
          <w:szCs w:val="18"/>
          <w:lang w:val="es-419"/>
        </w:rPr>
        <w:t xml:space="preserve">, </w:t>
      </w:r>
      <w:r w:rsidR="00150FF0" w:rsidRPr="00DD4E4F">
        <w:rPr>
          <w:sz w:val="18"/>
          <w:szCs w:val="18"/>
          <w:lang w:val="es-419"/>
        </w:rPr>
        <w:t xml:space="preserve">que se exponen en los párrafos 4 a 15 del documento </w:t>
      </w:r>
      <w:proofErr w:type="spellStart"/>
      <w:r w:rsidR="00150FF0" w:rsidRPr="00DD4E4F">
        <w:rPr>
          <w:sz w:val="18"/>
          <w:szCs w:val="18"/>
          <w:lang w:val="es-419"/>
        </w:rPr>
        <w:t>CAJ</w:t>
      </w:r>
      <w:proofErr w:type="spellEnd"/>
      <w:r w:rsidR="00150FF0" w:rsidRPr="00DD4E4F">
        <w:rPr>
          <w:sz w:val="18"/>
          <w:szCs w:val="18"/>
          <w:lang w:val="es-419"/>
        </w:rPr>
        <w:t>/76/3.</w:t>
      </w:r>
    </w:p>
    <w:p w:rsidR="00211989" w:rsidRPr="00DD4E4F" w:rsidRDefault="00211989" w:rsidP="00211989">
      <w:pPr>
        <w:tabs>
          <w:tab w:val="left" w:pos="567"/>
        </w:tabs>
        <w:ind w:left="567" w:right="567"/>
        <w:rPr>
          <w:sz w:val="18"/>
          <w:szCs w:val="18"/>
          <w:lang w:val="es-419"/>
        </w:rPr>
      </w:pPr>
    </w:p>
    <w:p w:rsidR="00211989" w:rsidRPr="00DD4E4F" w:rsidRDefault="00211989" w:rsidP="00211989">
      <w:pPr>
        <w:tabs>
          <w:tab w:val="left" w:pos="567"/>
        </w:tabs>
        <w:ind w:left="567" w:right="567"/>
        <w:rPr>
          <w:sz w:val="18"/>
          <w:szCs w:val="18"/>
          <w:lang w:val="es-419"/>
        </w:rPr>
      </w:pPr>
      <w:r w:rsidRPr="00DD4E4F">
        <w:rPr>
          <w:sz w:val="18"/>
          <w:szCs w:val="18"/>
          <w:lang w:val="es-419"/>
        </w:rPr>
        <w:t>11.</w:t>
      </w:r>
      <w:r w:rsidRPr="00DD4E4F">
        <w:rPr>
          <w:sz w:val="18"/>
          <w:szCs w:val="18"/>
          <w:lang w:val="es-419"/>
        </w:rPr>
        <w:tab/>
      </w:r>
      <w:r w:rsidR="00150FF0" w:rsidRPr="00DD4E4F">
        <w:rPr>
          <w:rFonts w:eastAsiaTheme="minorEastAsia"/>
          <w:sz w:val="18"/>
          <w:szCs w:val="18"/>
          <w:lang w:val="es-419"/>
        </w:rPr>
        <w:t xml:space="preserve">El </w:t>
      </w:r>
      <w:proofErr w:type="spellStart"/>
      <w:r w:rsidR="00150FF0" w:rsidRPr="00DD4E4F">
        <w:rPr>
          <w:rFonts w:eastAsiaTheme="minorEastAsia"/>
          <w:sz w:val="18"/>
          <w:szCs w:val="18"/>
          <w:lang w:val="es-419"/>
        </w:rPr>
        <w:t>CAJ</w:t>
      </w:r>
      <w:proofErr w:type="spellEnd"/>
      <w:r w:rsidR="00150FF0" w:rsidRPr="00DD4E4F">
        <w:rPr>
          <w:rFonts w:eastAsiaTheme="minorEastAsia"/>
          <w:sz w:val="18"/>
          <w:szCs w:val="18"/>
          <w:lang w:val="es-419"/>
        </w:rPr>
        <w:t xml:space="preserve"> tomó nota de la información sobre las ponencias y del siguiente resumen verbal del presidente del </w:t>
      </w:r>
      <w:proofErr w:type="spellStart"/>
      <w:r w:rsidR="00150FF0" w:rsidRPr="00DD4E4F">
        <w:rPr>
          <w:rFonts w:eastAsiaTheme="minorEastAsia"/>
          <w:sz w:val="18"/>
          <w:szCs w:val="18"/>
          <w:lang w:val="es-419"/>
        </w:rPr>
        <w:t>CAJ</w:t>
      </w:r>
      <w:proofErr w:type="spellEnd"/>
      <w:r w:rsidR="00150FF0" w:rsidRPr="00DD4E4F">
        <w:rPr>
          <w:rFonts w:eastAsiaTheme="minorEastAsia"/>
          <w:sz w:val="18"/>
          <w:szCs w:val="18"/>
          <w:lang w:val="es-419"/>
        </w:rPr>
        <w:t xml:space="preserve"> acerca del resultado del “Seminario sobre la repercusión de la política sobre variedades esencialmente derivadas en la estrategia de fitomejoramiento”</w:t>
      </w:r>
      <w:r w:rsidR="00061C2A" w:rsidRPr="00DD4E4F">
        <w:rPr>
          <w:rFonts w:eastAsiaTheme="minorEastAsia"/>
          <w:sz w:val="18"/>
          <w:szCs w:val="18"/>
          <w:lang w:val="es-419"/>
        </w:rPr>
        <w:t xml:space="preserve">, </w:t>
      </w:r>
      <w:r w:rsidR="00150FF0" w:rsidRPr="00DD4E4F">
        <w:rPr>
          <w:rFonts w:eastAsiaTheme="minorEastAsia"/>
          <w:sz w:val="18"/>
          <w:szCs w:val="18"/>
          <w:lang w:val="es-419"/>
        </w:rPr>
        <w:t>celebrado el 30 de octubre de 2019 por la mañana:</w:t>
      </w:r>
    </w:p>
    <w:p w:rsidR="00211989" w:rsidRPr="00DD4E4F" w:rsidRDefault="00211989" w:rsidP="00211989">
      <w:pPr>
        <w:tabs>
          <w:tab w:val="left" w:pos="567"/>
        </w:tabs>
        <w:ind w:left="360" w:right="567"/>
        <w:rPr>
          <w:sz w:val="18"/>
          <w:szCs w:val="18"/>
          <w:lang w:val="es-419"/>
        </w:rPr>
      </w:pPr>
    </w:p>
    <w:p w:rsidR="00211989" w:rsidRPr="00DD4E4F" w:rsidRDefault="00150FF0" w:rsidP="00211989">
      <w:pPr>
        <w:pStyle w:val="ListParagraph"/>
        <w:numPr>
          <w:ilvl w:val="0"/>
          <w:numId w:val="3"/>
        </w:numPr>
        <w:tabs>
          <w:tab w:val="left" w:pos="567"/>
        </w:tabs>
        <w:ind w:left="1276" w:right="567"/>
        <w:rPr>
          <w:rFonts w:eastAsiaTheme="minorEastAsia"/>
          <w:sz w:val="18"/>
          <w:szCs w:val="18"/>
          <w:lang w:val="es-419"/>
        </w:rPr>
      </w:pPr>
      <w:r w:rsidRPr="00DD4E4F">
        <w:rPr>
          <w:rFonts w:eastAsiaTheme="minorEastAsia"/>
          <w:sz w:val="18"/>
          <w:szCs w:val="18"/>
          <w:lang w:val="es-419"/>
        </w:rPr>
        <w:t>“Se ha observado que la orientación que ofrece actualmente la UPOV no refleja el concepto de variedad esencialmente derivada que aplican los obtentores;</w:t>
      </w:r>
      <w:r w:rsidR="00211989" w:rsidRPr="00DD4E4F">
        <w:rPr>
          <w:rFonts w:eastAsiaTheme="minorEastAsia"/>
          <w:sz w:val="18"/>
          <w:szCs w:val="18"/>
          <w:lang w:val="es-419"/>
        </w:rPr>
        <w:t xml:space="preserve"> </w:t>
      </w:r>
    </w:p>
    <w:p w:rsidR="00211989" w:rsidRPr="00DD4E4F" w:rsidRDefault="00211989" w:rsidP="00211989">
      <w:pPr>
        <w:tabs>
          <w:tab w:val="left" w:pos="567"/>
        </w:tabs>
        <w:ind w:left="1276" w:right="567"/>
        <w:rPr>
          <w:rFonts w:eastAsiaTheme="minorEastAsia"/>
          <w:sz w:val="18"/>
          <w:szCs w:val="18"/>
          <w:lang w:val="es-419"/>
        </w:rPr>
      </w:pPr>
      <w:r w:rsidRPr="00DD4E4F">
        <w:rPr>
          <w:rFonts w:eastAsiaTheme="minorEastAsia"/>
          <w:sz w:val="18"/>
          <w:szCs w:val="18"/>
          <w:lang w:val="es-419"/>
        </w:rPr>
        <w:t xml:space="preserve"> </w:t>
      </w:r>
    </w:p>
    <w:p w:rsidR="00211989" w:rsidRPr="00DD4E4F" w:rsidRDefault="00150FF0" w:rsidP="00211989">
      <w:pPr>
        <w:pStyle w:val="ListParagraph"/>
        <w:numPr>
          <w:ilvl w:val="0"/>
          <w:numId w:val="3"/>
        </w:numPr>
        <w:tabs>
          <w:tab w:val="left" w:pos="567"/>
        </w:tabs>
        <w:ind w:left="1276" w:right="567"/>
        <w:rPr>
          <w:rFonts w:eastAsiaTheme="minorEastAsia"/>
          <w:sz w:val="18"/>
          <w:szCs w:val="18"/>
          <w:lang w:val="es-419"/>
        </w:rPr>
      </w:pPr>
      <w:r w:rsidRPr="00DD4E4F">
        <w:rPr>
          <w:rFonts w:eastAsiaTheme="minorEastAsia"/>
          <w:sz w:val="18"/>
          <w:szCs w:val="18"/>
          <w:lang w:val="es-419"/>
        </w:rPr>
        <w:t>La evolución de las tecnologías de fitomejoramiento ha generado nuevas oportunidades e incentivos para desarrollar variedades</w:t>
      </w:r>
      <w:r w:rsidR="00061C2A" w:rsidRPr="00DD4E4F">
        <w:rPr>
          <w:rFonts w:eastAsiaTheme="minorEastAsia"/>
          <w:sz w:val="18"/>
          <w:szCs w:val="18"/>
          <w:lang w:val="es-419"/>
        </w:rPr>
        <w:t xml:space="preserve">, </w:t>
      </w:r>
      <w:r w:rsidRPr="00DD4E4F">
        <w:rPr>
          <w:rFonts w:eastAsiaTheme="minorEastAsia"/>
          <w:sz w:val="18"/>
          <w:szCs w:val="18"/>
          <w:lang w:val="es-419"/>
        </w:rPr>
        <w:t>principalmente a partir de las variedades iniciales</w:t>
      </w:r>
      <w:r w:rsidR="00061C2A" w:rsidRPr="00DD4E4F">
        <w:rPr>
          <w:rFonts w:eastAsiaTheme="minorEastAsia"/>
          <w:sz w:val="18"/>
          <w:szCs w:val="18"/>
          <w:lang w:val="es-419"/>
        </w:rPr>
        <w:t xml:space="preserve">, </w:t>
      </w:r>
      <w:r w:rsidRPr="00DD4E4F">
        <w:rPr>
          <w:rFonts w:eastAsiaTheme="minorEastAsia"/>
          <w:sz w:val="18"/>
          <w:szCs w:val="18"/>
          <w:lang w:val="es-419"/>
        </w:rPr>
        <w:t>con mayor rapidez y a un menor costo;</w:t>
      </w:r>
      <w:r w:rsidR="004E6D0C" w:rsidRPr="00DD4E4F">
        <w:rPr>
          <w:rFonts w:eastAsiaTheme="minorEastAsia"/>
          <w:sz w:val="18"/>
          <w:szCs w:val="18"/>
          <w:lang w:val="es-419"/>
        </w:rPr>
        <w:t xml:space="preserve"> </w:t>
      </w:r>
    </w:p>
    <w:p w:rsidR="00211989" w:rsidRPr="00DD4E4F" w:rsidRDefault="00211989" w:rsidP="00211989">
      <w:pPr>
        <w:tabs>
          <w:tab w:val="left" w:pos="567"/>
        </w:tabs>
        <w:ind w:left="1276" w:right="567"/>
        <w:rPr>
          <w:rFonts w:eastAsiaTheme="minorEastAsia"/>
          <w:sz w:val="18"/>
          <w:szCs w:val="18"/>
          <w:lang w:val="es-419"/>
        </w:rPr>
      </w:pPr>
      <w:r w:rsidRPr="00DD4E4F">
        <w:rPr>
          <w:rFonts w:eastAsiaTheme="minorEastAsia"/>
          <w:sz w:val="18"/>
          <w:szCs w:val="18"/>
          <w:lang w:val="es-419"/>
        </w:rPr>
        <w:t xml:space="preserve"> </w:t>
      </w:r>
    </w:p>
    <w:p w:rsidR="00211989" w:rsidRPr="00DD4E4F" w:rsidRDefault="00150FF0" w:rsidP="00211989">
      <w:pPr>
        <w:pStyle w:val="ListParagraph"/>
        <w:numPr>
          <w:ilvl w:val="0"/>
          <w:numId w:val="3"/>
        </w:numPr>
        <w:tabs>
          <w:tab w:val="left" w:pos="567"/>
        </w:tabs>
        <w:ind w:left="1276" w:right="567"/>
        <w:rPr>
          <w:rFonts w:eastAsiaTheme="minorEastAsia"/>
          <w:spacing w:val="-4"/>
          <w:sz w:val="18"/>
          <w:szCs w:val="18"/>
          <w:lang w:val="es-419"/>
        </w:rPr>
      </w:pPr>
      <w:r w:rsidRPr="00DD4E4F">
        <w:rPr>
          <w:rFonts w:eastAsiaTheme="minorEastAsia"/>
          <w:sz w:val="18"/>
          <w:szCs w:val="18"/>
          <w:lang w:val="es-419"/>
        </w:rPr>
        <w:t>Las ponencias y los debates han puesto de manifiesto que la estrategia de fitomejoramiento se ve influida por la manera de entender y aplicar el concepto de variedad esencialmente derivada. Por ello</w:t>
      </w:r>
      <w:r w:rsidR="00061C2A" w:rsidRPr="00DD4E4F">
        <w:rPr>
          <w:rFonts w:eastAsiaTheme="minorEastAsia"/>
          <w:sz w:val="18"/>
          <w:szCs w:val="18"/>
          <w:lang w:val="es-419"/>
        </w:rPr>
        <w:t xml:space="preserve">, </w:t>
      </w:r>
      <w:r w:rsidRPr="00DD4E4F">
        <w:rPr>
          <w:rFonts w:eastAsiaTheme="minorEastAsia"/>
          <w:sz w:val="18"/>
          <w:szCs w:val="18"/>
          <w:lang w:val="es-419"/>
        </w:rPr>
        <w:t>es importante adaptar las orientaciones de la UPOV de modo que el progreso del fitomejoramiento se traduzca en las máximas ventajas para la sociedad.”</w:t>
      </w:r>
    </w:p>
    <w:p w:rsidR="00211989" w:rsidRPr="00DD4E4F" w:rsidRDefault="00211989" w:rsidP="00211989">
      <w:pPr>
        <w:tabs>
          <w:tab w:val="left" w:pos="567"/>
        </w:tabs>
        <w:ind w:left="360" w:right="567"/>
        <w:rPr>
          <w:rFonts w:eastAsiaTheme="minorEastAsia"/>
          <w:spacing w:val="-4"/>
          <w:sz w:val="18"/>
          <w:szCs w:val="18"/>
          <w:lang w:val="es-419"/>
        </w:rPr>
      </w:pPr>
    </w:p>
    <w:p w:rsidR="00211989" w:rsidRPr="00DD4E4F" w:rsidRDefault="00211989" w:rsidP="00211989">
      <w:pPr>
        <w:tabs>
          <w:tab w:val="left" w:pos="567"/>
        </w:tabs>
        <w:ind w:left="567" w:right="567"/>
        <w:rPr>
          <w:rFonts w:eastAsiaTheme="minorEastAsia"/>
          <w:spacing w:val="-4"/>
          <w:sz w:val="18"/>
          <w:szCs w:val="18"/>
          <w:lang w:val="es-419"/>
        </w:rPr>
      </w:pPr>
      <w:r w:rsidRPr="00DD4E4F">
        <w:rPr>
          <w:spacing w:val="-4"/>
          <w:sz w:val="18"/>
          <w:szCs w:val="18"/>
          <w:lang w:val="es-419"/>
        </w:rPr>
        <w:t>12.</w:t>
      </w:r>
      <w:r w:rsidRPr="00DD4E4F">
        <w:rPr>
          <w:spacing w:val="-4"/>
          <w:sz w:val="18"/>
          <w:szCs w:val="18"/>
          <w:lang w:val="es-419"/>
        </w:rPr>
        <w:tab/>
      </w:r>
      <w:r w:rsidR="00150FF0" w:rsidRPr="00DD4E4F">
        <w:rPr>
          <w:rFonts w:eastAsiaTheme="minorEastAsia"/>
          <w:spacing w:val="-4"/>
          <w:sz w:val="18"/>
          <w:szCs w:val="18"/>
          <w:lang w:val="es-419"/>
        </w:rPr>
        <w:t>Atendiendo al resultado del Seminario sobre variedades esencialmente derivadas</w:t>
      </w:r>
      <w:r w:rsidR="00061C2A" w:rsidRPr="00DD4E4F">
        <w:rPr>
          <w:rFonts w:eastAsiaTheme="minorEastAsia"/>
          <w:spacing w:val="-4"/>
          <w:sz w:val="18"/>
          <w:szCs w:val="18"/>
          <w:lang w:val="es-419"/>
        </w:rPr>
        <w:t xml:space="preserve">, </w:t>
      </w:r>
      <w:r w:rsidR="00150FF0" w:rsidRPr="00DD4E4F">
        <w:rPr>
          <w:rFonts w:eastAsiaTheme="minorEastAsia"/>
          <w:spacing w:val="-4"/>
          <w:sz w:val="18"/>
          <w:szCs w:val="18"/>
          <w:lang w:val="es-419"/>
        </w:rPr>
        <w:t xml:space="preserve">el </w:t>
      </w:r>
      <w:proofErr w:type="spellStart"/>
      <w:r w:rsidR="00150FF0" w:rsidRPr="00DD4E4F">
        <w:rPr>
          <w:rFonts w:eastAsiaTheme="minorEastAsia"/>
          <w:spacing w:val="-4"/>
          <w:sz w:val="18"/>
          <w:szCs w:val="18"/>
          <w:lang w:val="es-419"/>
        </w:rPr>
        <w:t>CAJ</w:t>
      </w:r>
      <w:proofErr w:type="spellEnd"/>
      <w:r w:rsidR="00150FF0" w:rsidRPr="00DD4E4F">
        <w:rPr>
          <w:rFonts w:eastAsiaTheme="minorEastAsia"/>
          <w:spacing w:val="-4"/>
          <w:sz w:val="18"/>
          <w:szCs w:val="18"/>
          <w:lang w:val="es-419"/>
        </w:rPr>
        <w:t xml:space="preserve"> convino en que las “Notas explicativas sobre las variedades esencialmente derivadas con arreglo al Acta de</w:t>
      </w:r>
      <w:r w:rsidR="00061C2A" w:rsidRPr="00DD4E4F">
        <w:rPr>
          <w:rFonts w:eastAsiaTheme="minorEastAsia"/>
          <w:spacing w:val="-4"/>
          <w:sz w:val="18"/>
          <w:szCs w:val="18"/>
          <w:lang w:val="es-419"/>
        </w:rPr>
        <w:t> 1</w:t>
      </w:r>
      <w:r w:rsidR="00150FF0" w:rsidRPr="00DD4E4F">
        <w:rPr>
          <w:rFonts w:eastAsiaTheme="minorEastAsia"/>
          <w:spacing w:val="-4"/>
          <w:sz w:val="18"/>
          <w:szCs w:val="18"/>
          <w:lang w:val="es-419"/>
        </w:rPr>
        <w:t>991 del Convenio de la UPOV” (documento UPOV/</w:t>
      </w:r>
      <w:proofErr w:type="spellStart"/>
      <w:r w:rsidR="00150FF0" w:rsidRPr="00DD4E4F">
        <w:rPr>
          <w:rFonts w:eastAsiaTheme="minorEastAsia"/>
          <w:spacing w:val="-4"/>
          <w:sz w:val="18"/>
          <w:szCs w:val="18"/>
          <w:lang w:val="es-419"/>
        </w:rPr>
        <w:t>EXN</w:t>
      </w:r>
      <w:proofErr w:type="spellEnd"/>
      <w:r w:rsidR="00150FF0" w:rsidRPr="00DD4E4F">
        <w:rPr>
          <w:rFonts w:eastAsiaTheme="minorEastAsia"/>
          <w:spacing w:val="-4"/>
          <w:sz w:val="18"/>
          <w:szCs w:val="18"/>
          <w:lang w:val="es-419"/>
        </w:rPr>
        <w:t>/EDV/2) deben someterse a revisión.</w:t>
      </w:r>
      <w:r w:rsidR="004E6D0C" w:rsidRPr="00DD4E4F">
        <w:rPr>
          <w:sz w:val="18"/>
          <w:szCs w:val="18"/>
          <w:lang w:val="es-419"/>
        </w:rPr>
        <w:t xml:space="preserve"> </w:t>
      </w:r>
      <w:r w:rsidR="00150FF0" w:rsidRPr="00DD4E4F">
        <w:rPr>
          <w:sz w:val="18"/>
          <w:szCs w:val="18"/>
          <w:lang w:val="es-419"/>
        </w:rPr>
        <w:t>Como primer paso</w:t>
      </w:r>
      <w:r w:rsidR="00061C2A" w:rsidRPr="00DD4E4F">
        <w:rPr>
          <w:sz w:val="18"/>
          <w:szCs w:val="18"/>
          <w:lang w:val="es-419"/>
        </w:rPr>
        <w:t xml:space="preserve">, </w:t>
      </w:r>
      <w:r w:rsidR="00150FF0" w:rsidRPr="00DD4E4F">
        <w:rPr>
          <w:sz w:val="18"/>
          <w:szCs w:val="18"/>
          <w:lang w:val="es-419"/>
        </w:rPr>
        <w:t>la Oficina de la Unión:</w:t>
      </w:r>
    </w:p>
    <w:p w:rsidR="00211989" w:rsidRPr="00DD4E4F" w:rsidRDefault="00211989" w:rsidP="00211989">
      <w:pPr>
        <w:tabs>
          <w:tab w:val="left" w:pos="567"/>
        </w:tabs>
        <w:ind w:left="360" w:right="567"/>
        <w:rPr>
          <w:rFonts w:eastAsiaTheme="minorEastAsia"/>
          <w:spacing w:val="-4"/>
          <w:sz w:val="18"/>
          <w:szCs w:val="18"/>
          <w:lang w:val="es-419"/>
        </w:rPr>
      </w:pPr>
    </w:p>
    <w:p w:rsidR="00211989" w:rsidRPr="00DD4E4F" w:rsidRDefault="00FB5897" w:rsidP="00211989">
      <w:pPr>
        <w:ind w:left="1134" w:right="567" w:firstLine="567"/>
        <w:rPr>
          <w:rFonts w:eastAsiaTheme="minorEastAsia"/>
          <w:spacing w:val="-4"/>
          <w:sz w:val="18"/>
          <w:szCs w:val="18"/>
          <w:lang w:val="es-419"/>
        </w:rPr>
      </w:pPr>
      <w:r w:rsidRPr="00DD4E4F">
        <w:rPr>
          <w:rFonts w:eastAsiaTheme="minorEastAsia"/>
          <w:spacing w:val="-4"/>
          <w:sz w:val="18"/>
          <w:szCs w:val="18"/>
          <w:lang w:val="es-419"/>
        </w:rPr>
        <w:t>a)</w:t>
      </w:r>
      <w:r w:rsidRPr="00DD4E4F">
        <w:rPr>
          <w:rFonts w:eastAsiaTheme="minorEastAsia"/>
          <w:spacing w:val="-4"/>
          <w:sz w:val="18"/>
          <w:szCs w:val="18"/>
          <w:lang w:val="es-419"/>
        </w:rPr>
        <w:tab/>
      </w:r>
      <w:r w:rsidR="00150FF0" w:rsidRPr="00DD4E4F">
        <w:rPr>
          <w:rFonts w:eastAsiaTheme="minorEastAsia"/>
          <w:spacing w:val="-4"/>
          <w:sz w:val="18"/>
          <w:szCs w:val="18"/>
          <w:lang w:val="es-419"/>
        </w:rPr>
        <w:t>invitará a los miembros y los observadores a realizar aportaciones por correspondencia sobre cuestiones relativas a la política;</w:t>
      </w:r>
    </w:p>
    <w:p w:rsidR="00211989" w:rsidRPr="00DD4E4F" w:rsidRDefault="00211989" w:rsidP="00211989">
      <w:pPr>
        <w:ind w:left="1134" w:right="567" w:firstLine="567"/>
        <w:rPr>
          <w:rFonts w:eastAsiaTheme="minorEastAsia"/>
          <w:spacing w:val="-4"/>
          <w:sz w:val="18"/>
          <w:szCs w:val="18"/>
          <w:lang w:val="es-419"/>
        </w:rPr>
      </w:pPr>
    </w:p>
    <w:p w:rsidR="00211989" w:rsidRPr="00DD4E4F" w:rsidRDefault="00FB5897" w:rsidP="00211989">
      <w:pPr>
        <w:ind w:left="1134" w:right="567" w:firstLine="567"/>
        <w:rPr>
          <w:rFonts w:eastAsiaTheme="minorEastAsia"/>
          <w:spacing w:val="-4"/>
          <w:sz w:val="18"/>
          <w:szCs w:val="18"/>
          <w:lang w:val="es-419"/>
        </w:rPr>
      </w:pPr>
      <w:r w:rsidRPr="00DD4E4F">
        <w:rPr>
          <w:rFonts w:eastAsiaTheme="minorEastAsia"/>
          <w:spacing w:val="-4"/>
          <w:sz w:val="18"/>
          <w:szCs w:val="18"/>
          <w:lang w:val="es-419"/>
        </w:rPr>
        <w:t>b)</w:t>
      </w:r>
      <w:r w:rsidRPr="00DD4E4F">
        <w:rPr>
          <w:rFonts w:eastAsiaTheme="minorEastAsia"/>
          <w:spacing w:val="-4"/>
          <w:sz w:val="18"/>
          <w:szCs w:val="18"/>
          <w:lang w:val="es-419"/>
        </w:rPr>
        <w:tab/>
      </w:r>
      <w:r w:rsidR="00150FF0" w:rsidRPr="00DD4E4F">
        <w:rPr>
          <w:rFonts w:eastAsiaTheme="minorEastAsia"/>
          <w:spacing w:val="-4"/>
          <w:sz w:val="18"/>
          <w:szCs w:val="18"/>
          <w:lang w:val="es-419"/>
        </w:rPr>
        <w:t>invitará a los obtentores a proporcionar información sobre sus prácticas y costumbres respecto de las variedades esencialmente derivadas; y</w:t>
      </w:r>
      <w:r w:rsidR="00211989" w:rsidRPr="00DD4E4F">
        <w:rPr>
          <w:rFonts w:eastAsiaTheme="minorEastAsia"/>
          <w:spacing w:val="-4"/>
          <w:sz w:val="18"/>
          <w:szCs w:val="18"/>
          <w:lang w:val="es-419"/>
        </w:rPr>
        <w:t xml:space="preserve"> </w:t>
      </w:r>
    </w:p>
    <w:p w:rsidR="00211989" w:rsidRPr="00DD4E4F" w:rsidRDefault="00211989" w:rsidP="00211989">
      <w:pPr>
        <w:ind w:left="1134" w:right="567" w:firstLine="567"/>
        <w:rPr>
          <w:rFonts w:eastAsiaTheme="minorEastAsia"/>
          <w:spacing w:val="-4"/>
          <w:sz w:val="18"/>
          <w:szCs w:val="18"/>
          <w:lang w:val="es-419"/>
        </w:rPr>
      </w:pPr>
    </w:p>
    <w:p w:rsidR="00211989" w:rsidRPr="00DD4E4F" w:rsidRDefault="00FB5897" w:rsidP="00211989">
      <w:pPr>
        <w:ind w:left="1134" w:right="567" w:firstLine="567"/>
        <w:rPr>
          <w:rFonts w:eastAsiaTheme="minorEastAsia"/>
          <w:spacing w:val="-4"/>
          <w:sz w:val="18"/>
          <w:szCs w:val="18"/>
          <w:lang w:val="es-419"/>
        </w:rPr>
      </w:pPr>
      <w:r w:rsidRPr="00DD4E4F">
        <w:rPr>
          <w:rFonts w:eastAsiaTheme="minorEastAsia"/>
          <w:spacing w:val="-4"/>
          <w:sz w:val="18"/>
          <w:szCs w:val="18"/>
          <w:lang w:val="es-419"/>
        </w:rPr>
        <w:t>c)</w:t>
      </w:r>
      <w:r w:rsidRPr="00DD4E4F">
        <w:rPr>
          <w:rFonts w:eastAsiaTheme="minorEastAsia"/>
          <w:spacing w:val="-4"/>
          <w:sz w:val="18"/>
          <w:szCs w:val="18"/>
          <w:lang w:val="es-419"/>
        </w:rPr>
        <w:tab/>
      </w:r>
      <w:r w:rsidR="00150FF0" w:rsidRPr="00DD4E4F">
        <w:rPr>
          <w:rFonts w:eastAsiaTheme="minorEastAsia"/>
          <w:spacing w:val="-4"/>
          <w:sz w:val="18"/>
          <w:szCs w:val="18"/>
          <w:lang w:val="es-419"/>
        </w:rPr>
        <w:t>a partir de las respuestas a los puntos a) y b)</w:t>
      </w:r>
      <w:r w:rsidR="00061C2A" w:rsidRPr="00DD4E4F">
        <w:rPr>
          <w:rFonts w:eastAsiaTheme="minorEastAsia"/>
          <w:spacing w:val="-4"/>
          <w:sz w:val="18"/>
          <w:szCs w:val="18"/>
          <w:lang w:val="es-419"/>
        </w:rPr>
        <w:t xml:space="preserve">, </w:t>
      </w:r>
      <w:r w:rsidR="00150FF0" w:rsidRPr="00DD4E4F">
        <w:rPr>
          <w:rFonts w:eastAsiaTheme="minorEastAsia"/>
          <w:spacing w:val="-4"/>
          <w:sz w:val="18"/>
          <w:szCs w:val="18"/>
          <w:lang w:val="es-419"/>
        </w:rPr>
        <w:t>elaborará un análisis preliminar de las cuestiones y prácticas relativas a las variedades esencialmente derivadas y un proyecto de mandato para un grupo de trabajo sobre variedades esencialmente derivadas</w:t>
      </w:r>
      <w:r w:rsidR="00061C2A" w:rsidRPr="00DD4E4F">
        <w:rPr>
          <w:rFonts w:eastAsiaTheme="minorEastAsia"/>
          <w:spacing w:val="-4"/>
          <w:sz w:val="18"/>
          <w:szCs w:val="18"/>
          <w:lang w:val="es-419"/>
        </w:rPr>
        <w:t xml:space="preserve">, </w:t>
      </w:r>
      <w:r w:rsidR="00150FF0" w:rsidRPr="00DD4E4F">
        <w:rPr>
          <w:rFonts w:eastAsiaTheme="minorEastAsia"/>
          <w:spacing w:val="-4"/>
          <w:sz w:val="18"/>
          <w:szCs w:val="18"/>
          <w:lang w:val="es-419"/>
        </w:rPr>
        <w:t>con objeto de que el </w:t>
      </w:r>
      <w:proofErr w:type="spellStart"/>
      <w:r w:rsidR="00150FF0" w:rsidRPr="00DD4E4F">
        <w:rPr>
          <w:rFonts w:eastAsiaTheme="minorEastAsia"/>
          <w:spacing w:val="-4"/>
          <w:sz w:val="18"/>
          <w:szCs w:val="18"/>
          <w:lang w:val="es-419"/>
        </w:rPr>
        <w:t>CAJ</w:t>
      </w:r>
      <w:proofErr w:type="spellEnd"/>
      <w:r w:rsidR="00150FF0" w:rsidRPr="00DD4E4F">
        <w:rPr>
          <w:rFonts w:eastAsiaTheme="minorEastAsia"/>
          <w:spacing w:val="-4"/>
          <w:sz w:val="18"/>
          <w:szCs w:val="18"/>
          <w:lang w:val="es-419"/>
        </w:rPr>
        <w:t xml:space="preserve"> formule observaciones por correspondencia.</w:t>
      </w:r>
    </w:p>
    <w:p w:rsidR="00211989" w:rsidRPr="00DD4E4F" w:rsidRDefault="00211989" w:rsidP="00211989">
      <w:pPr>
        <w:tabs>
          <w:tab w:val="left" w:pos="567"/>
        </w:tabs>
        <w:ind w:left="567" w:right="567"/>
        <w:rPr>
          <w:sz w:val="18"/>
          <w:szCs w:val="18"/>
          <w:lang w:val="es-419"/>
        </w:rPr>
      </w:pPr>
    </w:p>
    <w:p w:rsidR="00211989" w:rsidRPr="00DD4E4F" w:rsidRDefault="00211989" w:rsidP="00211989">
      <w:pPr>
        <w:tabs>
          <w:tab w:val="left" w:pos="567"/>
        </w:tabs>
        <w:ind w:left="567" w:right="567"/>
        <w:rPr>
          <w:rFonts w:cs="Angsana New"/>
          <w:sz w:val="18"/>
          <w:szCs w:val="18"/>
          <w:lang w:val="es-419" w:eastAsia="ja-JP" w:bidi="th-TH"/>
        </w:rPr>
      </w:pPr>
      <w:r w:rsidRPr="00DD4E4F">
        <w:rPr>
          <w:spacing w:val="-4"/>
          <w:sz w:val="18"/>
          <w:szCs w:val="18"/>
          <w:lang w:val="es-419"/>
        </w:rPr>
        <w:t>13.</w:t>
      </w:r>
      <w:r w:rsidRPr="00DD4E4F">
        <w:rPr>
          <w:spacing w:val="-4"/>
          <w:sz w:val="18"/>
          <w:szCs w:val="18"/>
          <w:lang w:val="es-419"/>
        </w:rPr>
        <w:tab/>
      </w:r>
      <w:r w:rsidR="00150FF0" w:rsidRPr="00DD4E4F">
        <w:rPr>
          <w:rFonts w:eastAsiaTheme="minorEastAsia"/>
          <w:spacing w:val="-4"/>
          <w:sz w:val="18"/>
          <w:szCs w:val="18"/>
          <w:lang w:val="es-419"/>
        </w:rPr>
        <w:t>Teniendo en cuenta lo antedicho</w:t>
      </w:r>
      <w:r w:rsidR="00061C2A" w:rsidRPr="00DD4E4F">
        <w:rPr>
          <w:rFonts w:eastAsiaTheme="minorEastAsia"/>
          <w:spacing w:val="-4"/>
          <w:sz w:val="18"/>
          <w:szCs w:val="18"/>
          <w:lang w:val="es-419"/>
        </w:rPr>
        <w:t xml:space="preserve">, </w:t>
      </w:r>
      <w:r w:rsidR="00150FF0" w:rsidRPr="00DD4E4F">
        <w:rPr>
          <w:rFonts w:eastAsiaTheme="minorEastAsia"/>
          <w:spacing w:val="-4"/>
          <w:sz w:val="18"/>
          <w:szCs w:val="18"/>
          <w:lang w:val="es-419"/>
        </w:rPr>
        <w:t xml:space="preserve">la Oficina de la Unión preparará un documento que se someterá al examen del </w:t>
      </w:r>
      <w:proofErr w:type="spellStart"/>
      <w:r w:rsidR="00150FF0" w:rsidRPr="00DD4E4F">
        <w:rPr>
          <w:rFonts w:eastAsiaTheme="minorEastAsia"/>
          <w:spacing w:val="-4"/>
          <w:sz w:val="18"/>
          <w:szCs w:val="18"/>
          <w:lang w:val="es-419"/>
        </w:rPr>
        <w:t>CAJ</w:t>
      </w:r>
      <w:proofErr w:type="spellEnd"/>
      <w:r w:rsidR="00150FF0" w:rsidRPr="00DD4E4F">
        <w:rPr>
          <w:rFonts w:eastAsiaTheme="minorEastAsia"/>
          <w:spacing w:val="-4"/>
          <w:sz w:val="18"/>
          <w:szCs w:val="18"/>
          <w:lang w:val="es-419"/>
        </w:rPr>
        <w:t xml:space="preserve"> en su septuagésima séptima sesión</w:t>
      </w:r>
      <w:r w:rsidR="00061C2A" w:rsidRPr="00DD4E4F">
        <w:rPr>
          <w:rFonts w:eastAsiaTheme="minorEastAsia"/>
          <w:spacing w:val="-4"/>
          <w:sz w:val="18"/>
          <w:szCs w:val="18"/>
          <w:lang w:val="es-419"/>
        </w:rPr>
        <w:t xml:space="preserve">, </w:t>
      </w:r>
      <w:r w:rsidR="00150FF0" w:rsidRPr="00DD4E4F">
        <w:rPr>
          <w:rFonts w:eastAsiaTheme="minorEastAsia"/>
          <w:spacing w:val="-4"/>
          <w:sz w:val="18"/>
          <w:szCs w:val="18"/>
          <w:lang w:val="es-419"/>
        </w:rPr>
        <w:t>prevista el 28 de octubre de 2020.</w:t>
      </w:r>
    </w:p>
    <w:p w:rsidR="00211989" w:rsidRPr="00DD4E4F" w:rsidRDefault="00211989" w:rsidP="00211989">
      <w:pPr>
        <w:tabs>
          <w:tab w:val="left" w:pos="284"/>
          <w:tab w:val="left" w:pos="567"/>
          <w:tab w:val="left" w:pos="851"/>
        </w:tabs>
        <w:autoSpaceDE w:val="0"/>
        <w:autoSpaceDN w:val="0"/>
        <w:adjustRightInd w:val="0"/>
        <w:ind w:right="567"/>
        <w:rPr>
          <w:rFonts w:cs="Angsana New"/>
          <w:sz w:val="18"/>
          <w:szCs w:val="18"/>
          <w:lang w:val="es-419" w:eastAsia="ja-JP" w:bidi="th-TH"/>
        </w:rPr>
      </w:pPr>
    </w:p>
    <w:p w:rsidR="00211989" w:rsidRPr="00DD4E4F" w:rsidRDefault="00211989" w:rsidP="00EF67E7">
      <w:pPr>
        <w:ind w:left="567" w:right="567"/>
        <w:rPr>
          <w:lang w:val="es-419"/>
        </w:rPr>
      </w:pPr>
      <w:r w:rsidRPr="00DD4E4F">
        <w:rPr>
          <w:spacing w:val="-2"/>
          <w:sz w:val="18"/>
          <w:lang w:val="es-419"/>
        </w:rPr>
        <w:t>14</w:t>
      </w:r>
      <w:r w:rsidRPr="00DD4E4F">
        <w:rPr>
          <w:spacing w:val="-2"/>
          <w:sz w:val="18"/>
          <w:lang w:val="es-419"/>
        </w:rPr>
        <w:tab/>
      </w:r>
      <w:r w:rsidR="003C549C" w:rsidRPr="00DD4E4F">
        <w:rPr>
          <w:spacing w:val="-2"/>
          <w:sz w:val="18"/>
          <w:lang w:val="es-419"/>
        </w:rPr>
        <w:t xml:space="preserve">El </w:t>
      </w:r>
      <w:proofErr w:type="spellStart"/>
      <w:r w:rsidR="003C549C" w:rsidRPr="00DD4E4F">
        <w:rPr>
          <w:spacing w:val="-2"/>
          <w:sz w:val="18"/>
          <w:lang w:val="es-419"/>
        </w:rPr>
        <w:t>CAJ</w:t>
      </w:r>
      <w:proofErr w:type="spellEnd"/>
      <w:r w:rsidR="003C549C" w:rsidRPr="00DD4E4F">
        <w:rPr>
          <w:spacing w:val="-2"/>
          <w:sz w:val="18"/>
          <w:lang w:val="es-419"/>
        </w:rPr>
        <w:t xml:space="preserve"> tomó nota de que no se han producido avances en relación con una eventual reunión de la Oficina de la Unión con la Comunidad Internacional de Obtentores de Plantas Ornamentales y Frutales de Reproducción Asexuada (</w:t>
      </w:r>
      <w:proofErr w:type="spellStart"/>
      <w:r w:rsidR="003C549C" w:rsidRPr="00DD4E4F">
        <w:rPr>
          <w:spacing w:val="-2"/>
          <w:sz w:val="18"/>
          <w:lang w:val="es-419"/>
        </w:rPr>
        <w:t>CIOPORA</w:t>
      </w:r>
      <w:proofErr w:type="spellEnd"/>
      <w:r w:rsidR="003C549C" w:rsidRPr="00DD4E4F">
        <w:rPr>
          <w:spacing w:val="-2"/>
          <w:sz w:val="18"/>
          <w:lang w:val="es-419"/>
        </w:rPr>
        <w:t>)</w:t>
      </w:r>
      <w:r w:rsidR="00061C2A" w:rsidRPr="00DD4E4F">
        <w:rPr>
          <w:spacing w:val="-2"/>
          <w:sz w:val="18"/>
          <w:lang w:val="es-419"/>
        </w:rPr>
        <w:t xml:space="preserve">, </w:t>
      </w:r>
      <w:r w:rsidR="003C549C" w:rsidRPr="00DD4E4F">
        <w:rPr>
          <w:spacing w:val="-2"/>
          <w:sz w:val="18"/>
          <w:lang w:val="es-419"/>
        </w:rPr>
        <w:t xml:space="preserve">la </w:t>
      </w:r>
      <w:r w:rsidR="003C549C" w:rsidRPr="00DD4E4F">
        <w:rPr>
          <w:i/>
          <w:spacing w:val="-2"/>
          <w:sz w:val="18"/>
          <w:lang w:val="es-419"/>
        </w:rPr>
        <w:t xml:space="preserve">International </w:t>
      </w:r>
      <w:proofErr w:type="spellStart"/>
      <w:r w:rsidR="003C549C" w:rsidRPr="00DD4E4F">
        <w:rPr>
          <w:i/>
          <w:spacing w:val="-2"/>
          <w:sz w:val="18"/>
          <w:lang w:val="es-419"/>
        </w:rPr>
        <w:t>Seed</w:t>
      </w:r>
      <w:proofErr w:type="spellEnd"/>
      <w:r w:rsidR="003C549C" w:rsidRPr="00DD4E4F">
        <w:rPr>
          <w:i/>
          <w:spacing w:val="-2"/>
          <w:sz w:val="18"/>
          <w:lang w:val="es-419"/>
        </w:rPr>
        <w:t xml:space="preserve"> </w:t>
      </w:r>
      <w:proofErr w:type="spellStart"/>
      <w:r w:rsidR="003C549C" w:rsidRPr="00DD4E4F">
        <w:rPr>
          <w:i/>
          <w:spacing w:val="-2"/>
          <w:sz w:val="18"/>
          <w:lang w:val="es-419"/>
        </w:rPr>
        <w:t>Federation</w:t>
      </w:r>
      <w:proofErr w:type="spellEnd"/>
      <w:r w:rsidR="003C549C" w:rsidRPr="00DD4E4F">
        <w:rPr>
          <w:spacing w:val="-2"/>
          <w:sz w:val="18"/>
          <w:lang w:val="es-419"/>
        </w:rPr>
        <w:t xml:space="preserve"> (</w:t>
      </w:r>
      <w:proofErr w:type="spellStart"/>
      <w:r w:rsidR="003C549C" w:rsidRPr="00DD4E4F">
        <w:rPr>
          <w:spacing w:val="-2"/>
          <w:sz w:val="18"/>
          <w:lang w:val="es-419"/>
        </w:rPr>
        <w:t>ISF</w:t>
      </w:r>
      <w:proofErr w:type="spellEnd"/>
      <w:r w:rsidR="003C549C" w:rsidRPr="00DD4E4F">
        <w:rPr>
          <w:spacing w:val="-2"/>
          <w:sz w:val="18"/>
          <w:lang w:val="es-419"/>
        </w:rPr>
        <w:t>) y la Organización Mundial de la Propiedad Intelectual (</w:t>
      </w:r>
      <w:proofErr w:type="spellStart"/>
      <w:r w:rsidR="003C549C" w:rsidRPr="00DD4E4F">
        <w:rPr>
          <w:spacing w:val="-2"/>
          <w:sz w:val="18"/>
          <w:lang w:val="es-419"/>
        </w:rPr>
        <w:t>OMPI</w:t>
      </w:r>
      <w:proofErr w:type="spellEnd"/>
      <w:r w:rsidR="003C549C" w:rsidRPr="00DD4E4F">
        <w:rPr>
          <w:spacing w:val="-2"/>
          <w:sz w:val="18"/>
          <w:lang w:val="es-419"/>
        </w:rPr>
        <w:t>) a fin de explorar la posible función de la UPOV en los mecanismos extrajudiciales de solución de controversias para asuntos relativos a variedades esencialmente derivadas</w:t>
      </w:r>
      <w:r w:rsidR="00061C2A" w:rsidRPr="00DD4E4F">
        <w:rPr>
          <w:spacing w:val="-2"/>
          <w:sz w:val="18"/>
          <w:lang w:val="es-419"/>
        </w:rPr>
        <w:t xml:space="preserve">, </w:t>
      </w:r>
      <w:r w:rsidR="003C549C" w:rsidRPr="00DD4E4F">
        <w:rPr>
          <w:spacing w:val="-2"/>
          <w:sz w:val="18"/>
          <w:lang w:val="es-419"/>
        </w:rPr>
        <w:t>en particular la puesta a disposición de expertos en materia de variedades esencialmente derivadas</w:t>
      </w:r>
      <w:r w:rsidR="00061C2A" w:rsidRPr="00DD4E4F">
        <w:rPr>
          <w:spacing w:val="-2"/>
          <w:sz w:val="18"/>
          <w:lang w:val="es-419"/>
        </w:rPr>
        <w:t xml:space="preserve">, </w:t>
      </w:r>
      <w:r w:rsidR="003C549C" w:rsidRPr="00DD4E4F">
        <w:rPr>
          <w:spacing w:val="-2"/>
          <w:sz w:val="18"/>
          <w:lang w:val="es-419"/>
        </w:rPr>
        <w:t>y tomó nota asimismo de que la Oficina de la Unión no llevará este tema más adelante salvo que tenga lugar un cambio de circunstancias.”</w:t>
      </w:r>
      <w:r w:rsidR="004E6D0C" w:rsidRPr="00DD4E4F">
        <w:rPr>
          <w:spacing w:val="-2"/>
          <w:sz w:val="18"/>
          <w:lang w:val="es-419"/>
        </w:rPr>
        <w:t xml:space="preserve"> </w:t>
      </w:r>
    </w:p>
    <w:p w:rsidR="00211989" w:rsidRPr="00DD4E4F" w:rsidRDefault="00211989" w:rsidP="00211989">
      <w:pPr>
        <w:rPr>
          <w:lang w:val="es-419"/>
        </w:rPr>
      </w:pPr>
    </w:p>
    <w:p w:rsidR="00187361" w:rsidRDefault="00187361">
      <w:pPr>
        <w:jc w:val="left"/>
        <w:rPr>
          <w:lang w:val="es-419"/>
        </w:rPr>
      </w:pPr>
      <w:r>
        <w:rPr>
          <w:lang w:val="es-419"/>
        </w:rPr>
        <w:br w:type="page"/>
      </w:r>
    </w:p>
    <w:p w:rsidR="00211989" w:rsidRPr="00DD4E4F" w:rsidRDefault="00441557" w:rsidP="00CD4193">
      <w:pPr>
        <w:pStyle w:val="Heading1"/>
        <w:rPr>
          <w:lang w:val="es-419"/>
        </w:rPr>
      </w:pPr>
      <w:bookmarkStart w:id="4" w:name="_Toc48834427"/>
      <w:r w:rsidRPr="00DD4E4F">
        <w:rPr>
          <w:lang w:val="es-419"/>
        </w:rPr>
        <w:lastRenderedPageBreak/>
        <w:t xml:space="preserve">PROCEDIMIENTO DE REVISIÓN DE LAS ORIENTACIONES SOBRE LAS VARIEDADES ESENCIALMENTE DERIVADAS QUE SE BRINDAN EN EL </w:t>
      </w:r>
      <w:r w:rsidR="00F62F0E">
        <w:rPr>
          <w:lang w:val="es-419"/>
        </w:rPr>
        <w:t>DOCUMENTO UPOV/</w:t>
      </w:r>
      <w:proofErr w:type="spellStart"/>
      <w:r w:rsidR="00F62F0E">
        <w:rPr>
          <w:lang w:val="es-419"/>
        </w:rPr>
        <w:t>EXN</w:t>
      </w:r>
      <w:proofErr w:type="spellEnd"/>
      <w:r w:rsidR="00F62F0E">
        <w:rPr>
          <w:lang w:val="es-419"/>
        </w:rPr>
        <w:t>/EDV/2 “NOTAS </w:t>
      </w:r>
      <w:r w:rsidRPr="00DD4E4F">
        <w:rPr>
          <w:lang w:val="es-419"/>
        </w:rPr>
        <w:t>EXPLICATIVAS SOBRE LAS VARIEDADES ESENCIALMENTE DERIVADAS CON ARREGLO AL ACTA DE 1991 DEL CONVENIO DE LA UPOV”</w:t>
      </w:r>
      <w:bookmarkEnd w:id="4"/>
    </w:p>
    <w:p w:rsidR="00211989" w:rsidRPr="00DD4E4F" w:rsidRDefault="00211989" w:rsidP="00EF67E7">
      <w:pPr>
        <w:keepNext/>
        <w:rPr>
          <w:rFonts w:cs="Arial"/>
          <w:lang w:val="es-419"/>
        </w:rPr>
      </w:pPr>
    </w:p>
    <w:p w:rsidR="00211989" w:rsidRPr="00DD4E4F" w:rsidRDefault="00015CEF" w:rsidP="00211989">
      <w:pPr>
        <w:pStyle w:val="Heading2"/>
        <w:rPr>
          <w:lang w:val="es-419"/>
        </w:rPr>
      </w:pPr>
      <w:bookmarkStart w:id="5" w:name="_Toc48834428"/>
      <w:r w:rsidRPr="00DD4E4F">
        <w:rPr>
          <w:rFonts w:cs="Arial"/>
          <w:lang w:val="es-419"/>
        </w:rPr>
        <w:t xml:space="preserve">Novedades acaecidas desde la septuagésima </w:t>
      </w:r>
      <w:r w:rsidRPr="00DD4E4F">
        <w:rPr>
          <w:lang w:val="es-419"/>
        </w:rPr>
        <w:t xml:space="preserve">sexta </w:t>
      </w:r>
      <w:r w:rsidRPr="00DD4E4F">
        <w:rPr>
          <w:rFonts w:cs="Arial"/>
          <w:lang w:val="es-419"/>
        </w:rPr>
        <w:t>sesión del</w:t>
      </w:r>
      <w:r w:rsidR="006639BA" w:rsidRPr="00DD4E4F">
        <w:rPr>
          <w:rFonts w:cs="Arial"/>
          <w:lang w:val="es-419"/>
        </w:rPr>
        <w:t> </w:t>
      </w:r>
      <w:proofErr w:type="spellStart"/>
      <w:r w:rsidRPr="00DD4E4F">
        <w:rPr>
          <w:rFonts w:cs="Arial"/>
          <w:lang w:val="es-419"/>
        </w:rPr>
        <w:t>CAJ</w:t>
      </w:r>
      <w:bookmarkEnd w:id="5"/>
      <w:proofErr w:type="spellEnd"/>
    </w:p>
    <w:p w:rsidR="00211989" w:rsidRPr="00DD4E4F" w:rsidRDefault="00211989" w:rsidP="00211989">
      <w:pPr>
        <w:rPr>
          <w:rFonts w:cs="Arial"/>
          <w:highlight w:val="cyan"/>
          <w:lang w:val="es-419"/>
        </w:rPr>
      </w:pPr>
    </w:p>
    <w:p w:rsidR="00211989" w:rsidRDefault="006548F4" w:rsidP="00187361">
      <w:pPr>
        <w:autoSpaceDE w:val="0"/>
        <w:autoSpaceDN w:val="0"/>
        <w:adjustRightInd w:val="0"/>
        <w:rPr>
          <w:rFonts w:cs="Arial"/>
          <w:lang w:val="es-419"/>
        </w:rPr>
      </w:pPr>
      <w:r w:rsidRPr="00DD4E4F">
        <w:rPr>
          <w:rFonts w:cs="Arial"/>
          <w:lang w:val="es-419"/>
        </w:rPr>
        <w:fldChar w:fldCharType="begin"/>
      </w:r>
      <w:r w:rsidR="00211989" w:rsidRPr="00DD4E4F">
        <w:rPr>
          <w:rFonts w:cs="Arial"/>
          <w:lang w:val="es-419"/>
        </w:rPr>
        <w:instrText xml:space="preserve"> AUTONUM  </w:instrText>
      </w:r>
      <w:r w:rsidRPr="00DD4E4F">
        <w:rPr>
          <w:rFonts w:cs="Arial"/>
          <w:lang w:val="es-419"/>
        </w:rPr>
        <w:fldChar w:fldCharType="end"/>
      </w:r>
      <w:r w:rsidR="00211989" w:rsidRPr="00DD4E4F">
        <w:rPr>
          <w:rFonts w:cs="Arial"/>
          <w:lang w:val="es-419"/>
        </w:rPr>
        <w:tab/>
      </w:r>
      <w:r w:rsidR="00015CEF" w:rsidRPr="00DD4E4F">
        <w:rPr>
          <w:rFonts w:cs="Arial"/>
          <w:lang w:val="es-419"/>
        </w:rPr>
        <w:t xml:space="preserve">De conformidad con </w:t>
      </w:r>
      <w:r w:rsidR="006639BA" w:rsidRPr="00DD4E4F">
        <w:rPr>
          <w:rFonts w:cs="Arial"/>
          <w:lang w:val="es-419"/>
        </w:rPr>
        <w:t>el</w:t>
      </w:r>
      <w:r w:rsidR="00015CEF" w:rsidRPr="00DD4E4F">
        <w:rPr>
          <w:rFonts w:cs="Arial"/>
          <w:lang w:val="es-419"/>
        </w:rPr>
        <w:t xml:space="preserve"> procedimiento </w:t>
      </w:r>
      <w:r w:rsidR="00DF6BB3" w:rsidRPr="00DD4E4F">
        <w:rPr>
          <w:rFonts w:cs="Arial"/>
          <w:lang w:val="es-419"/>
        </w:rPr>
        <w:t>de</w:t>
      </w:r>
      <w:r w:rsidR="00015CEF" w:rsidRPr="00DD4E4F">
        <w:rPr>
          <w:rFonts w:cs="Arial"/>
          <w:lang w:val="es-419"/>
        </w:rPr>
        <w:t xml:space="preserve"> revisión del documento</w:t>
      </w:r>
      <w:r w:rsidR="00015CEF" w:rsidRPr="00DD4E4F">
        <w:rPr>
          <w:lang w:val="es-419"/>
        </w:rPr>
        <w:t xml:space="preserve"> </w:t>
      </w:r>
      <w:r w:rsidR="00015CEF" w:rsidRPr="00DD4E4F">
        <w:rPr>
          <w:rFonts w:cs="Arial"/>
          <w:lang w:val="es-419"/>
        </w:rPr>
        <w:t>UPOV/</w:t>
      </w:r>
      <w:proofErr w:type="spellStart"/>
      <w:r w:rsidR="00015CEF" w:rsidRPr="00DD4E4F">
        <w:rPr>
          <w:rFonts w:cs="Arial"/>
          <w:lang w:val="es-419"/>
        </w:rPr>
        <w:t>EXN</w:t>
      </w:r>
      <w:proofErr w:type="spellEnd"/>
      <w:r w:rsidR="00015CEF" w:rsidRPr="00DD4E4F">
        <w:rPr>
          <w:rFonts w:cs="Arial"/>
          <w:lang w:val="es-419"/>
        </w:rPr>
        <w:t>/EDV/2 a</w:t>
      </w:r>
      <w:r w:rsidR="006639BA" w:rsidRPr="00DD4E4F">
        <w:rPr>
          <w:rFonts w:cs="Arial"/>
          <w:lang w:val="es-419"/>
        </w:rPr>
        <w:t>cordado</w:t>
      </w:r>
      <w:r w:rsidR="00015CEF" w:rsidRPr="00DD4E4F">
        <w:rPr>
          <w:rFonts w:cs="Arial"/>
          <w:lang w:val="es-419"/>
        </w:rPr>
        <w:t xml:space="preserve"> por </w:t>
      </w:r>
      <w:r w:rsidR="006639BA" w:rsidRPr="00DD4E4F">
        <w:rPr>
          <w:rFonts w:cs="Arial"/>
          <w:lang w:val="es-419"/>
        </w:rPr>
        <w:t>el </w:t>
      </w:r>
      <w:proofErr w:type="spellStart"/>
      <w:r w:rsidR="00015CEF" w:rsidRPr="00DD4E4F">
        <w:rPr>
          <w:rFonts w:cs="Arial"/>
          <w:lang w:val="es-419"/>
        </w:rPr>
        <w:t>CAJ</w:t>
      </w:r>
      <w:proofErr w:type="spellEnd"/>
      <w:r w:rsidR="00015CEF" w:rsidRPr="00DD4E4F">
        <w:rPr>
          <w:rFonts w:cs="Arial"/>
          <w:lang w:val="es-419"/>
        </w:rPr>
        <w:t xml:space="preserve"> (véase</w:t>
      </w:r>
      <w:r w:rsidR="00DF6BB3" w:rsidRPr="00DD4E4F">
        <w:rPr>
          <w:rFonts w:cs="Arial"/>
          <w:lang w:val="es-419"/>
        </w:rPr>
        <w:t xml:space="preserve"> más arriba el apartado </w:t>
      </w:r>
      <w:r w:rsidR="00015CEF" w:rsidRPr="00DD4E4F">
        <w:rPr>
          <w:rFonts w:cs="Arial"/>
          <w:lang w:val="es-419"/>
        </w:rPr>
        <w:t>“Antecedentes”)</w:t>
      </w:r>
      <w:r w:rsidR="00061C2A" w:rsidRPr="00DD4E4F">
        <w:rPr>
          <w:rFonts w:cs="Arial"/>
          <w:lang w:val="es-419"/>
        </w:rPr>
        <w:t xml:space="preserve">, </w:t>
      </w:r>
      <w:r w:rsidR="00BD3ABC" w:rsidRPr="00DD4E4F">
        <w:rPr>
          <w:rFonts w:cs="Arial"/>
          <w:lang w:val="es-419"/>
        </w:rPr>
        <w:t>a continuación se exponen</w:t>
      </w:r>
      <w:r w:rsidR="00015CEF" w:rsidRPr="00DD4E4F">
        <w:rPr>
          <w:rFonts w:cs="Arial"/>
          <w:lang w:val="es-419"/>
        </w:rPr>
        <w:t xml:space="preserve"> </w:t>
      </w:r>
      <w:r w:rsidR="00BD3ABC" w:rsidRPr="00DD4E4F">
        <w:rPr>
          <w:rFonts w:cs="Arial"/>
          <w:lang w:val="es-419"/>
        </w:rPr>
        <w:t>las</w:t>
      </w:r>
      <w:r w:rsidR="00015CEF" w:rsidRPr="00DD4E4F">
        <w:rPr>
          <w:rFonts w:cs="Arial"/>
          <w:lang w:val="es-419"/>
        </w:rPr>
        <w:t xml:space="preserve"> novedades</w:t>
      </w:r>
      <w:r w:rsidR="006639BA" w:rsidRPr="00DD4E4F">
        <w:rPr>
          <w:rFonts w:cs="Arial"/>
          <w:lang w:val="es-419"/>
        </w:rPr>
        <w:t xml:space="preserve"> acaecidas desde la septuagésima sexta sesión del CAJ</w:t>
      </w:r>
      <w:r w:rsidR="00015CEF" w:rsidRPr="00DD4E4F">
        <w:rPr>
          <w:rFonts w:cs="Arial"/>
          <w:lang w:val="es-419"/>
        </w:rPr>
        <w:t>.</w:t>
      </w:r>
    </w:p>
    <w:p w:rsidR="00187361" w:rsidRPr="00DD4E4F" w:rsidRDefault="00187361" w:rsidP="00187361">
      <w:pPr>
        <w:autoSpaceDE w:val="0"/>
        <w:autoSpaceDN w:val="0"/>
        <w:adjustRightInd w:val="0"/>
        <w:rPr>
          <w:rFonts w:cs="Arial"/>
          <w:lang w:val="es-419"/>
        </w:rPr>
      </w:pPr>
    </w:p>
    <w:p w:rsidR="00211989" w:rsidRPr="00DD4E4F" w:rsidRDefault="00211989" w:rsidP="00211989">
      <w:pPr>
        <w:rPr>
          <w:lang w:val="es-419"/>
        </w:rPr>
      </w:pPr>
    </w:p>
    <w:p w:rsidR="00211989" w:rsidRPr="00DD4E4F" w:rsidRDefault="00BD3ABC" w:rsidP="00211989">
      <w:pPr>
        <w:pStyle w:val="Heading2"/>
        <w:rPr>
          <w:lang w:val="es-419"/>
        </w:rPr>
      </w:pPr>
      <w:bookmarkStart w:id="6" w:name="_Toc48834429"/>
      <w:r w:rsidRPr="00DD4E4F">
        <w:rPr>
          <w:lang w:val="es-419"/>
        </w:rPr>
        <w:t>Circulares E-19/232 y E-19/233 de la UPOV</w:t>
      </w:r>
      <w:r w:rsidR="00061C2A" w:rsidRPr="00DD4E4F">
        <w:rPr>
          <w:lang w:val="es-419"/>
        </w:rPr>
        <w:t xml:space="preserve">, </w:t>
      </w:r>
      <w:r w:rsidRPr="00DD4E4F">
        <w:rPr>
          <w:lang w:val="es-419"/>
        </w:rPr>
        <w:t>de</w:t>
      </w:r>
      <w:r w:rsidR="00061C2A" w:rsidRPr="00DD4E4F">
        <w:rPr>
          <w:lang w:val="es-419"/>
        </w:rPr>
        <w:t> 2</w:t>
      </w:r>
      <w:r w:rsidRPr="00DD4E4F">
        <w:rPr>
          <w:lang w:val="es-419"/>
        </w:rPr>
        <w:t>3 de diciembre de</w:t>
      </w:r>
      <w:r w:rsidR="00061C2A" w:rsidRPr="00DD4E4F">
        <w:rPr>
          <w:lang w:val="es-419"/>
        </w:rPr>
        <w:t> 2</w:t>
      </w:r>
      <w:r w:rsidRPr="00DD4E4F">
        <w:rPr>
          <w:lang w:val="es-419"/>
        </w:rPr>
        <w:t>019</w:t>
      </w:r>
      <w:bookmarkEnd w:id="6"/>
    </w:p>
    <w:p w:rsidR="00211989" w:rsidRPr="00DD4E4F" w:rsidRDefault="00211989" w:rsidP="00211989">
      <w:pPr>
        <w:keepNext/>
        <w:autoSpaceDE w:val="0"/>
        <w:autoSpaceDN w:val="0"/>
        <w:adjustRightInd w:val="0"/>
        <w:jc w:val="left"/>
        <w:rPr>
          <w:rFonts w:cs="Arial"/>
          <w:lang w:val="es-419"/>
        </w:rPr>
      </w:pPr>
    </w:p>
    <w:p w:rsidR="00211989" w:rsidRPr="00DD4E4F" w:rsidRDefault="006548F4" w:rsidP="00211989">
      <w:pPr>
        <w:keepLines/>
        <w:rPr>
          <w:rFonts w:eastAsiaTheme="minorEastAsia" w:cs="Arial"/>
          <w:spacing w:val="-4"/>
          <w:lang w:val="es-419"/>
        </w:rPr>
      </w:pPr>
      <w:r w:rsidRPr="00DD4E4F">
        <w:rPr>
          <w:rFonts w:cs="Arial"/>
          <w:spacing w:val="-2"/>
          <w:lang w:val="es-419"/>
        </w:rPr>
        <w:fldChar w:fldCharType="begin"/>
      </w:r>
      <w:r w:rsidR="00211989" w:rsidRPr="00DD4E4F">
        <w:rPr>
          <w:rFonts w:cs="Arial"/>
          <w:spacing w:val="-2"/>
          <w:lang w:val="es-419"/>
        </w:rPr>
        <w:instrText xml:space="preserve"> AUTONUM  </w:instrText>
      </w:r>
      <w:r w:rsidRPr="00DD4E4F">
        <w:rPr>
          <w:rFonts w:cs="Arial"/>
          <w:spacing w:val="-2"/>
          <w:lang w:val="es-419"/>
        </w:rPr>
        <w:fldChar w:fldCharType="end"/>
      </w:r>
      <w:r w:rsidR="00211989" w:rsidRPr="00DD4E4F">
        <w:rPr>
          <w:rFonts w:cs="Arial"/>
          <w:spacing w:val="-2"/>
          <w:lang w:val="es-419"/>
        </w:rPr>
        <w:tab/>
      </w:r>
      <w:r w:rsidR="00BD3ABC" w:rsidRPr="00DD4E4F">
        <w:rPr>
          <w:rFonts w:cs="Arial"/>
          <w:lang w:val="es-419"/>
        </w:rPr>
        <w:t>El 23 de diciembre de 2019</w:t>
      </w:r>
      <w:r w:rsidR="00061C2A" w:rsidRPr="00DD4E4F">
        <w:rPr>
          <w:rFonts w:cs="Arial"/>
          <w:lang w:val="es-419"/>
        </w:rPr>
        <w:t xml:space="preserve">, </w:t>
      </w:r>
      <w:r w:rsidR="00BD3ABC" w:rsidRPr="00DD4E4F">
        <w:rPr>
          <w:rFonts w:cs="Arial"/>
          <w:lang w:val="es-419"/>
        </w:rPr>
        <w:t>la Oficina de la Unión envió las circulares E-19/232 y E-19/233 para invitar a los miembros y a los observadores a formular aportaciones por correspondencia sobre cuestiones relativas a la política e invitar a los obtentores a proporcionar información sobre cuestiones relativas a la política y sobre sus prácticas y costumbres respecto de las variedades esencialmente derivadas.</w:t>
      </w:r>
      <w:r w:rsidR="004E6D0C" w:rsidRPr="00DD4E4F">
        <w:rPr>
          <w:rFonts w:eastAsiaTheme="minorEastAsia" w:cs="Arial"/>
          <w:spacing w:val="-4"/>
          <w:lang w:val="es-419"/>
        </w:rPr>
        <w:t xml:space="preserve"> </w:t>
      </w:r>
      <w:r w:rsidR="00BD3ABC" w:rsidRPr="00DD4E4F">
        <w:rPr>
          <w:rFonts w:eastAsiaTheme="minorEastAsia" w:cs="Arial"/>
          <w:spacing w:val="-4"/>
          <w:lang w:val="es-419"/>
        </w:rPr>
        <w:t>Remitieron aportaciones los siguientes miembros y observadores:</w:t>
      </w:r>
      <w:r w:rsidR="00211989" w:rsidRPr="00DD4E4F">
        <w:rPr>
          <w:rFonts w:eastAsiaTheme="minorEastAsia" w:cs="Arial"/>
          <w:spacing w:val="-4"/>
          <w:lang w:val="es-419"/>
        </w:rPr>
        <w:t xml:space="preserve"> </w:t>
      </w:r>
      <w:r w:rsidR="006F27F6">
        <w:rPr>
          <w:rFonts w:eastAsiaTheme="minorEastAsia" w:cs="Arial"/>
          <w:spacing w:val="-4"/>
          <w:lang w:val="es-419"/>
        </w:rPr>
        <w:t xml:space="preserve"> </w:t>
      </w:r>
      <w:r w:rsidR="00216E15" w:rsidRPr="00DD4E4F">
        <w:rPr>
          <w:rFonts w:eastAsiaTheme="minorEastAsia" w:cs="Arial"/>
          <w:lang w:val="es-419"/>
        </w:rPr>
        <w:t>Alemania</w:t>
      </w:r>
      <w:r w:rsidR="00061C2A" w:rsidRPr="00DD4E4F">
        <w:rPr>
          <w:rFonts w:eastAsiaTheme="minorEastAsia" w:cs="Arial"/>
          <w:lang w:val="es-419"/>
        </w:rPr>
        <w:t xml:space="preserve">, </w:t>
      </w:r>
      <w:r w:rsidR="00216E15" w:rsidRPr="00DD4E4F">
        <w:rPr>
          <w:rFonts w:eastAsiaTheme="minorEastAsia" w:cs="Arial"/>
          <w:lang w:val="es-419"/>
        </w:rPr>
        <w:t>Federación de Rusia</w:t>
      </w:r>
      <w:r w:rsidR="00061C2A" w:rsidRPr="00DD4E4F">
        <w:rPr>
          <w:rFonts w:eastAsiaTheme="minorEastAsia" w:cs="Arial"/>
          <w:lang w:val="es-419"/>
        </w:rPr>
        <w:t xml:space="preserve">, </w:t>
      </w:r>
      <w:r w:rsidR="00216E15" w:rsidRPr="00DD4E4F">
        <w:rPr>
          <w:rFonts w:eastAsiaTheme="minorEastAsia" w:cs="Arial"/>
          <w:lang w:val="es-419"/>
        </w:rPr>
        <w:t>Japón</w:t>
      </w:r>
      <w:r w:rsidR="00061C2A" w:rsidRPr="00DD4E4F">
        <w:rPr>
          <w:rFonts w:eastAsiaTheme="minorEastAsia" w:cs="Arial"/>
          <w:lang w:val="es-419"/>
        </w:rPr>
        <w:t xml:space="preserve">, </w:t>
      </w:r>
      <w:r w:rsidR="00216E15" w:rsidRPr="00DD4E4F">
        <w:rPr>
          <w:rFonts w:eastAsiaTheme="minorEastAsia" w:cs="Arial"/>
          <w:lang w:val="es-419"/>
        </w:rPr>
        <w:t>Sudáfrica</w:t>
      </w:r>
      <w:r w:rsidR="00061C2A" w:rsidRPr="00DD4E4F">
        <w:rPr>
          <w:rFonts w:eastAsiaTheme="minorEastAsia" w:cs="Arial"/>
          <w:lang w:val="es-419"/>
        </w:rPr>
        <w:t xml:space="preserve">, </w:t>
      </w:r>
      <w:r w:rsidR="00216E15" w:rsidRPr="00DD4E4F">
        <w:rPr>
          <w:rFonts w:eastAsiaTheme="minorEastAsia" w:cs="Arial"/>
          <w:lang w:val="es-419"/>
        </w:rPr>
        <w:t>Suecia</w:t>
      </w:r>
      <w:r w:rsidR="00061C2A" w:rsidRPr="00DD4E4F">
        <w:rPr>
          <w:rFonts w:eastAsiaTheme="minorEastAsia" w:cs="Arial"/>
          <w:lang w:val="es-419"/>
        </w:rPr>
        <w:t xml:space="preserve">, </w:t>
      </w:r>
      <w:r w:rsidR="00216E15" w:rsidRPr="00DD4E4F">
        <w:rPr>
          <w:rFonts w:eastAsiaTheme="minorEastAsia" w:cs="Arial"/>
          <w:lang w:val="es-419"/>
        </w:rPr>
        <w:t>Unión Europea</w:t>
      </w:r>
      <w:r w:rsidR="00061C2A" w:rsidRPr="00DD4E4F">
        <w:rPr>
          <w:rFonts w:eastAsiaTheme="minorEastAsia" w:cs="Arial"/>
          <w:lang w:val="es-419"/>
        </w:rPr>
        <w:t xml:space="preserve">, </w:t>
      </w:r>
      <w:proofErr w:type="spellStart"/>
      <w:r w:rsidR="00216E15" w:rsidRPr="00DD4E4F">
        <w:rPr>
          <w:rFonts w:eastAsiaTheme="minorEastAsia" w:cs="Arial"/>
          <w:i/>
          <w:lang w:val="es-419"/>
        </w:rPr>
        <w:t>African</w:t>
      </w:r>
      <w:proofErr w:type="spellEnd"/>
      <w:r w:rsidR="00216E15" w:rsidRPr="00DD4E4F">
        <w:rPr>
          <w:rFonts w:eastAsiaTheme="minorEastAsia" w:cs="Arial"/>
          <w:i/>
          <w:lang w:val="es-419"/>
        </w:rPr>
        <w:t xml:space="preserve"> </w:t>
      </w:r>
      <w:proofErr w:type="spellStart"/>
      <w:r w:rsidR="00216E15" w:rsidRPr="00DD4E4F">
        <w:rPr>
          <w:rFonts w:eastAsiaTheme="minorEastAsia" w:cs="Arial"/>
          <w:i/>
          <w:lang w:val="es-419"/>
        </w:rPr>
        <w:t>Seed</w:t>
      </w:r>
      <w:proofErr w:type="spellEnd"/>
      <w:r w:rsidR="00216E15" w:rsidRPr="00DD4E4F">
        <w:rPr>
          <w:rFonts w:eastAsiaTheme="minorEastAsia" w:cs="Arial"/>
          <w:i/>
          <w:lang w:val="es-419"/>
        </w:rPr>
        <w:t xml:space="preserve"> </w:t>
      </w:r>
      <w:proofErr w:type="spellStart"/>
      <w:r w:rsidR="00216E15" w:rsidRPr="00DD4E4F">
        <w:rPr>
          <w:rFonts w:eastAsiaTheme="minorEastAsia" w:cs="Arial"/>
          <w:i/>
          <w:lang w:val="es-419"/>
        </w:rPr>
        <w:t>Trade</w:t>
      </w:r>
      <w:proofErr w:type="spellEnd"/>
      <w:r w:rsidR="00216E15" w:rsidRPr="00DD4E4F">
        <w:rPr>
          <w:rFonts w:eastAsiaTheme="minorEastAsia" w:cs="Arial"/>
          <w:i/>
          <w:lang w:val="es-419"/>
        </w:rPr>
        <w:t xml:space="preserve"> Association</w:t>
      </w:r>
      <w:r w:rsidR="00216E15" w:rsidRPr="00DD4E4F">
        <w:rPr>
          <w:rFonts w:eastAsiaTheme="minorEastAsia" w:cs="Arial"/>
          <w:lang w:val="es-419"/>
        </w:rPr>
        <w:t xml:space="preserve"> (</w:t>
      </w:r>
      <w:proofErr w:type="spellStart"/>
      <w:r w:rsidR="00216E15" w:rsidRPr="00DD4E4F">
        <w:rPr>
          <w:rFonts w:eastAsiaTheme="minorEastAsia" w:cs="Arial"/>
          <w:lang w:val="es-419"/>
        </w:rPr>
        <w:t>AFSTA</w:t>
      </w:r>
      <w:proofErr w:type="spellEnd"/>
      <w:r w:rsidR="00216E15" w:rsidRPr="00DD4E4F">
        <w:rPr>
          <w:rFonts w:eastAsiaTheme="minorEastAsia" w:cs="Arial"/>
          <w:lang w:val="es-419"/>
        </w:rPr>
        <w:t>) (Asociación Africana de Comercio de Semillas)</w:t>
      </w:r>
      <w:r w:rsidR="00061C2A" w:rsidRPr="00DD4E4F">
        <w:rPr>
          <w:rFonts w:eastAsiaTheme="minorEastAsia" w:cs="Arial"/>
          <w:lang w:val="es-419"/>
        </w:rPr>
        <w:t xml:space="preserve">, </w:t>
      </w:r>
      <w:r w:rsidR="00216E15" w:rsidRPr="00DD4E4F">
        <w:rPr>
          <w:rFonts w:eastAsiaTheme="minorEastAsia" w:cs="Arial"/>
          <w:i/>
          <w:lang w:val="es-419"/>
        </w:rPr>
        <w:t xml:space="preserve">Asia and </w:t>
      </w:r>
      <w:proofErr w:type="spellStart"/>
      <w:r w:rsidR="00216E15" w:rsidRPr="00DD4E4F">
        <w:rPr>
          <w:rFonts w:eastAsiaTheme="minorEastAsia" w:cs="Arial"/>
          <w:i/>
          <w:lang w:val="es-419"/>
        </w:rPr>
        <w:t>Pacific</w:t>
      </w:r>
      <w:proofErr w:type="spellEnd"/>
      <w:r w:rsidR="00216E15" w:rsidRPr="00DD4E4F">
        <w:rPr>
          <w:rFonts w:eastAsiaTheme="minorEastAsia" w:cs="Arial"/>
          <w:i/>
          <w:lang w:val="es-419"/>
        </w:rPr>
        <w:t xml:space="preserve"> </w:t>
      </w:r>
      <w:proofErr w:type="spellStart"/>
      <w:r w:rsidR="00216E15" w:rsidRPr="00DD4E4F">
        <w:rPr>
          <w:rFonts w:eastAsiaTheme="minorEastAsia" w:cs="Arial"/>
          <w:i/>
          <w:lang w:val="es-419"/>
        </w:rPr>
        <w:t>Seed</w:t>
      </w:r>
      <w:proofErr w:type="spellEnd"/>
      <w:r w:rsidR="00216E15" w:rsidRPr="00DD4E4F">
        <w:rPr>
          <w:rFonts w:eastAsiaTheme="minorEastAsia" w:cs="Arial"/>
          <w:i/>
          <w:lang w:val="es-419"/>
        </w:rPr>
        <w:t xml:space="preserve"> Association</w:t>
      </w:r>
      <w:r w:rsidR="00216E15" w:rsidRPr="00DD4E4F">
        <w:rPr>
          <w:rFonts w:eastAsiaTheme="minorEastAsia" w:cs="Arial"/>
          <w:lang w:val="es-419"/>
        </w:rPr>
        <w:t xml:space="preserve"> (</w:t>
      </w:r>
      <w:proofErr w:type="spellStart"/>
      <w:r w:rsidR="00216E15" w:rsidRPr="00DD4E4F">
        <w:rPr>
          <w:rFonts w:eastAsiaTheme="minorEastAsia" w:cs="Arial"/>
          <w:lang w:val="es-419"/>
        </w:rPr>
        <w:t>APSA</w:t>
      </w:r>
      <w:proofErr w:type="spellEnd"/>
      <w:r w:rsidR="00216E15" w:rsidRPr="00DD4E4F">
        <w:rPr>
          <w:rFonts w:eastAsiaTheme="minorEastAsia" w:cs="Arial"/>
          <w:lang w:val="es-419"/>
        </w:rPr>
        <w:t>) (Asociación de Semillas de Asia y el Pacífico)</w:t>
      </w:r>
      <w:r w:rsidR="00061C2A" w:rsidRPr="00DD4E4F">
        <w:rPr>
          <w:rFonts w:eastAsiaTheme="minorEastAsia" w:cs="Arial"/>
          <w:lang w:val="es-419"/>
        </w:rPr>
        <w:t xml:space="preserve">, </w:t>
      </w:r>
      <w:r w:rsidR="006F27F6">
        <w:rPr>
          <w:rFonts w:eastAsiaTheme="minorEastAsia" w:cs="Arial"/>
          <w:lang w:val="es-419"/>
        </w:rPr>
        <w:t>Asociación </w:t>
      </w:r>
      <w:r w:rsidR="00216E15" w:rsidRPr="00DD4E4F">
        <w:rPr>
          <w:rFonts w:eastAsiaTheme="minorEastAsia" w:cs="Arial"/>
          <w:lang w:val="es-419"/>
        </w:rPr>
        <w:t>Internacional de Productores Hortícolas (</w:t>
      </w:r>
      <w:proofErr w:type="spellStart"/>
      <w:r w:rsidR="00216E15" w:rsidRPr="00DD4E4F">
        <w:rPr>
          <w:rFonts w:eastAsiaTheme="minorEastAsia" w:cs="Arial"/>
          <w:lang w:val="es-419"/>
        </w:rPr>
        <w:t>AIPH</w:t>
      </w:r>
      <w:proofErr w:type="spellEnd"/>
      <w:r w:rsidR="00216E15" w:rsidRPr="00DD4E4F">
        <w:rPr>
          <w:rFonts w:eastAsiaTheme="minorEastAsia" w:cs="Arial"/>
          <w:lang w:val="es-419"/>
        </w:rPr>
        <w:t>)</w:t>
      </w:r>
      <w:r w:rsidR="00061C2A" w:rsidRPr="00DD4E4F">
        <w:rPr>
          <w:rFonts w:eastAsiaTheme="minorEastAsia" w:cs="Arial"/>
          <w:lang w:val="es-419"/>
        </w:rPr>
        <w:t xml:space="preserve">, </w:t>
      </w:r>
      <w:r w:rsidR="00216E15" w:rsidRPr="00DD4E4F">
        <w:rPr>
          <w:rFonts w:eastAsiaTheme="minorEastAsia" w:cs="Arial"/>
          <w:lang w:val="es-419"/>
        </w:rPr>
        <w:t>Comunidad Internacional de Obtentores de Plantas Hortícolas de Reproducción Asexuada (</w:t>
      </w:r>
      <w:proofErr w:type="spellStart"/>
      <w:r w:rsidR="00216E15" w:rsidRPr="00DD4E4F">
        <w:rPr>
          <w:rFonts w:eastAsiaTheme="minorEastAsia" w:cs="Arial"/>
          <w:lang w:val="es-419"/>
        </w:rPr>
        <w:t>CIOPORA</w:t>
      </w:r>
      <w:proofErr w:type="spellEnd"/>
      <w:r w:rsidR="00216E15" w:rsidRPr="00DD4E4F">
        <w:rPr>
          <w:rFonts w:eastAsiaTheme="minorEastAsia" w:cs="Arial"/>
          <w:lang w:val="es-419"/>
        </w:rPr>
        <w:t>)</w:t>
      </w:r>
      <w:r w:rsidR="00061C2A" w:rsidRPr="00DD4E4F">
        <w:rPr>
          <w:rFonts w:eastAsiaTheme="minorEastAsia" w:cs="Arial"/>
          <w:lang w:val="es-419"/>
        </w:rPr>
        <w:t xml:space="preserve">, </w:t>
      </w:r>
      <w:proofErr w:type="spellStart"/>
      <w:r w:rsidR="00216E15" w:rsidRPr="00DD4E4F">
        <w:rPr>
          <w:rFonts w:eastAsiaTheme="minorEastAsia" w:cs="Arial"/>
          <w:i/>
          <w:lang w:val="es-419"/>
        </w:rPr>
        <w:t>CropLife</w:t>
      </w:r>
      <w:proofErr w:type="spellEnd"/>
      <w:r w:rsidR="00216E15" w:rsidRPr="00DD4E4F">
        <w:rPr>
          <w:rFonts w:eastAsiaTheme="minorEastAsia" w:cs="Arial"/>
          <w:i/>
          <w:lang w:val="es-419"/>
        </w:rPr>
        <w:t> International</w:t>
      </w:r>
      <w:r w:rsidR="00061C2A" w:rsidRPr="00DD4E4F">
        <w:rPr>
          <w:rFonts w:eastAsiaTheme="minorEastAsia" w:cs="Arial"/>
          <w:lang w:val="es-419"/>
        </w:rPr>
        <w:t xml:space="preserve">, </w:t>
      </w:r>
      <w:proofErr w:type="spellStart"/>
      <w:r w:rsidR="00216E15" w:rsidRPr="00DD4E4F">
        <w:rPr>
          <w:rFonts w:eastAsiaTheme="minorEastAsia" w:cs="Arial"/>
          <w:lang w:val="es-419"/>
        </w:rPr>
        <w:t>Euroseeds</w:t>
      </w:r>
      <w:proofErr w:type="spellEnd"/>
      <w:r w:rsidR="00061C2A" w:rsidRPr="00DD4E4F">
        <w:rPr>
          <w:rFonts w:eastAsiaTheme="minorEastAsia" w:cs="Arial"/>
          <w:lang w:val="es-419"/>
        </w:rPr>
        <w:t xml:space="preserve">, </w:t>
      </w:r>
      <w:r w:rsidR="006F27F6">
        <w:rPr>
          <w:rFonts w:eastAsiaTheme="minorEastAsia" w:cs="Arial"/>
          <w:i/>
          <w:lang w:val="es-419"/>
        </w:rPr>
        <w:t>International </w:t>
      </w:r>
      <w:proofErr w:type="spellStart"/>
      <w:r w:rsidR="00216E15" w:rsidRPr="00DD4E4F">
        <w:rPr>
          <w:rFonts w:eastAsiaTheme="minorEastAsia" w:cs="Arial"/>
          <w:i/>
          <w:lang w:val="es-419"/>
        </w:rPr>
        <w:t>Seed</w:t>
      </w:r>
      <w:proofErr w:type="spellEnd"/>
      <w:r w:rsidR="00216E15" w:rsidRPr="00DD4E4F">
        <w:rPr>
          <w:rFonts w:eastAsiaTheme="minorEastAsia" w:cs="Arial"/>
          <w:i/>
          <w:lang w:val="es-419"/>
        </w:rPr>
        <w:t xml:space="preserve"> </w:t>
      </w:r>
      <w:proofErr w:type="spellStart"/>
      <w:r w:rsidR="00216E15" w:rsidRPr="00DD4E4F">
        <w:rPr>
          <w:rFonts w:eastAsiaTheme="minorEastAsia" w:cs="Arial"/>
          <w:i/>
          <w:lang w:val="es-419"/>
        </w:rPr>
        <w:t>Federation</w:t>
      </w:r>
      <w:proofErr w:type="spellEnd"/>
      <w:r w:rsidR="00216E15" w:rsidRPr="00DD4E4F">
        <w:rPr>
          <w:rFonts w:eastAsiaTheme="minorEastAsia" w:cs="Arial"/>
          <w:lang w:val="es-419"/>
        </w:rPr>
        <w:t xml:space="preserve"> (</w:t>
      </w:r>
      <w:proofErr w:type="spellStart"/>
      <w:r w:rsidR="00216E15" w:rsidRPr="00DD4E4F">
        <w:rPr>
          <w:rFonts w:eastAsiaTheme="minorEastAsia" w:cs="Arial"/>
          <w:lang w:val="es-419"/>
        </w:rPr>
        <w:t>ISF</w:t>
      </w:r>
      <w:proofErr w:type="spellEnd"/>
      <w:r w:rsidR="00216E15" w:rsidRPr="00DD4E4F">
        <w:rPr>
          <w:rFonts w:eastAsiaTheme="minorEastAsia" w:cs="Arial"/>
          <w:lang w:val="es-419"/>
        </w:rPr>
        <w:t>) y Asociación de Semillas de las Américas</w:t>
      </w:r>
      <w:r w:rsidR="00216E15" w:rsidRPr="00DD4E4F">
        <w:rPr>
          <w:rFonts w:eastAsiaTheme="minorEastAsia" w:cs="Arial"/>
          <w:i/>
          <w:lang w:val="es-419"/>
        </w:rPr>
        <w:t xml:space="preserve"> </w:t>
      </w:r>
      <w:r w:rsidR="00216E15" w:rsidRPr="00DD4E4F">
        <w:rPr>
          <w:rFonts w:eastAsiaTheme="minorEastAsia" w:cs="Arial"/>
          <w:lang w:val="es-419"/>
        </w:rPr>
        <w:t>(</w:t>
      </w:r>
      <w:proofErr w:type="spellStart"/>
      <w:r w:rsidR="00216E15" w:rsidRPr="00DD4E4F">
        <w:rPr>
          <w:rFonts w:eastAsiaTheme="minorEastAsia" w:cs="Arial"/>
          <w:lang w:val="es-419"/>
        </w:rPr>
        <w:t>SAA</w:t>
      </w:r>
      <w:proofErr w:type="spellEnd"/>
      <w:r w:rsidR="00216E15" w:rsidRPr="00DD4E4F">
        <w:rPr>
          <w:rFonts w:eastAsiaTheme="minorEastAsia" w:cs="Arial"/>
          <w:lang w:val="es-419"/>
        </w:rPr>
        <w:t>)</w:t>
      </w:r>
      <w:r w:rsidR="00BD3ABC" w:rsidRPr="00DD4E4F">
        <w:rPr>
          <w:rFonts w:eastAsiaTheme="minorEastAsia" w:cs="Arial"/>
          <w:spacing w:val="-4"/>
          <w:lang w:val="es-419"/>
        </w:rPr>
        <w:t>.</w:t>
      </w:r>
      <w:r w:rsidR="004E6D0C" w:rsidRPr="00DD4E4F">
        <w:rPr>
          <w:rFonts w:eastAsiaTheme="minorEastAsia" w:cs="Arial"/>
          <w:spacing w:val="-4"/>
          <w:lang w:val="es-419"/>
        </w:rPr>
        <w:t xml:space="preserve"> </w:t>
      </w:r>
      <w:r w:rsidR="00057350" w:rsidRPr="00DD4E4F">
        <w:rPr>
          <w:rFonts w:eastAsiaTheme="minorEastAsia" w:cs="Arial"/>
          <w:spacing w:val="-4"/>
          <w:lang w:val="es-419"/>
        </w:rPr>
        <w:t>Las aportaciones formuladas por los miembros de la Unión y los observadores en respuesta a las circulares E-19/232 y E-19/233 pueden consultarse en la siguiente dirección:</w:t>
      </w:r>
      <w:r w:rsidR="00211989" w:rsidRPr="00DD4E4F">
        <w:rPr>
          <w:rFonts w:eastAsiaTheme="minorEastAsia" w:cs="Arial"/>
          <w:spacing w:val="-4"/>
          <w:lang w:val="es-419"/>
        </w:rPr>
        <w:t xml:space="preserve"> </w:t>
      </w:r>
      <w:hyperlink r:id="rId9" w:history="1">
        <w:r w:rsidR="00211989" w:rsidRPr="00DD4E4F">
          <w:rPr>
            <w:rStyle w:val="Hyperlink"/>
            <w:rFonts w:cs="Arial"/>
            <w:lang w:val="es-419"/>
          </w:rPr>
          <w:t>https://www.upov.int/meetings/en/pages/caj77/contributions.html</w:t>
        </w:r>
      </w:hyperlink>
      <w:r w:rsidR="00211989" w:rsidRPr="00DD4E4F">
        <w:rPr>
          <w:rFonts w:cs="Arial"/>
          <w:lang w:val="es-419"/>
        </w:rPr>
        <w:t>.</w:t>
      </w:r>
    </w:p>
    <w:p w:rsidR="00211989" w:rsidRPr="00DD4E4F" w:rsidRDefault="00211989" w:rsidP="00211989">
      <w:pPr>
        <w:autoSpaceDE w:val="0"/>
        <w:autoSpaceDN w:val="0"/>
        <w:adjustRightInd w:val="0"/>
        <w:rPr>
          <w:rFonts w:cs="Arial"/>
          <w:lang w:val="es-419"/>
        </w:rPr>
      </w:pPr>
    </w:p>
    <w:p w:rsidR="00211989" w:rsidRPr="00DD4E4F" w:rsidRDefault="00211989" w:rsidP="00211989">
      <w:pPr>
        <w:jc w:val="left"/>
        <w:rPr>
          <w:lang w:val="es-419"/>
        </w:rPr>
      </w:pPr>
    </w:p>
    <w:p w:rsidR="00211989" w:rsidRPr="00DD4E4F" w:rsidRDefault="00E47537" w:rsidP="00211989">
      <w:pPr>
        <w:pStyle w:val="Heading2"/>
        <w:rPr>
          <w:lang w:val="es-419"/>
        </w:rPr>
      </w:pPr>
      <w:bookmarkStart w:id="7" w:name="_Toc48834430"/>
      <w:r w:rsidRPr="00DD4E4F">
        <w:rPr>
          <w:lang w:val="es-419"/>
        </w:rPr>
        <w:t>Circular E-20/093 de la UPOV</w:t>
      </w:r>
      <w:r w:rsidR="00061C2A" w:rsidRPr="00DD4E4F">
        <w:rPr>
          <w:lang w:val="es-419"/>
        </w:rPr>
        <w:t xml:space="preserve">, </w:t>
      </w:r>
      <w:r w:rsidRPr="00DD4E4F">
        <w:rPr>
          <w:lang w:val="es-419"/>
        </w:rPr>
        <w:t>de</w:t>
      </w:r>
      <w:r w:rsidR="00061C2A" w:rsidRPr="00DD4E4F">
        <w:rPr>
          <w:lang w:val="es-419"/>
        </w:rPr>
        <w:t> 9</w:t>
      </w:r>
      <w:r w:rsidRPr="00DD4E4F">
        <w:rPr>
          <w:lang w:val="es-419"/>
        </w:rPr>
        <w:t xml:space="preserve"> de julio de</w:t>
      </w:r>
      <w:r w:rsidR="00061C2A" w:rsidRPr="00DD4E4F">
        <w:rPr>
          <w:lang w:val="es-419"/>
        </w:rPr>
        <w:t> 2</w:t>
      </w:r>
      <w:r w:rsidRPr="00DD4E4F">
        <w:rPr>
          <w:lang w:val="es-419"/>
        </w:rPr>
        <w:t>020</w:t>
      </w:r>
      <w:bookmarkEnd w:id="7"/>
    </w:p>
    <w:p w:rsidR="00211989" w:rsidRPr="00DD4E4F" w:rsidRDefault="00211989" w:rsidP="00211989">
      <w:pPr>
        <w:rPr>
          <w:lang w:val="es-419"/>
        </w:rPr>
      </w:pPr>
    </w:p>
    <w:p w:rsidR="00211989" w:rsidRPr="00DD4E4F" w:rsidRDefault="006548F4" w:rsidP="00211989">
      <w:pPr>
        <w:rPr>
          <w:lang w:val="es-419"/>
        </w:rPr>
      </w:pPr>
      <w:r w:rsidRPr="00DD4E4F">
        <w:rPr>
          <w:rFonts w:cs="Arial"/>
          <w:spacing w:val="-2"/>
          <w:lang w:val="es-419"/>
        </w:rPr>
        <w:fldChar w:fldCharType="begin"/>
      </w:r>
      <w:r w:rsidR="00211989" w:rsidRPr="00DD4E4F">
        <w:rPr>
          <w:rFonts w:cs="Arial"/>
          <w:spacing w:val="-2"/>
          <w:lang w:val="es-419"/>
        </w:rPr>
        <w:instrText xml:space="preserve"> AUTONUM  </w:instrText>
      </w:r>
      <w:r w:rsidRPr="00DD4E4F">
        <w:rPr>
          <w:rFonts w:cs="Arial"/>
          <w:spacing w:val="-2"/>
          <w:lang w:val="es-419"/>
        </w:rPr>
        <w:fldChar w:fldCharType="end"/>
      </w:r>
      <w:r w:rsidR="00211989" w:rsidRPr="00DD4E4F">
        <w:rPr>
          <w:rFonts w:cs="Arial"/>
          <w:spacing w:val="-2"/>
          <w:lang w:val="es-419"/>
        </w:rPr>
        <w:tab/>
      </w:r>
      <w:r w:rsidR="004A27EA" w:rsidRPr="00DD4E4F">
        <w:rPr>
          <w:rFonts w:cs="Arial"/>
          <w:lang w:val="es-419"/>
        </w:rPr>
        <w:t>A partir</w:t>
      </w:r>
      <w:r w:rsidR="00E47537" w:rsidRPr="00DD4E4F">
        <w:rPr>
          <w:rFonts w:cs="Arial"/>
          <w:lang w:val="es-419"/>
        </w:rPr>
        <w:t xml:space="preserve"> de </w:t>
      </w:r>
      <w:r w:rsidR="00083F12" w:rsidRPr="00DD4E4F">
        <w:rPr>
          <w:rFonts w:cs="Arial"/>
          <w:lang w:val="es-419"/>
        </w:rPr>
        <w:t xml:space="preserve">las respuestas a las circulares </w:t>
      </w:r>
      <w:r w:rsidR="00E47537" w:rsidRPr="00DD4E4F">
        <w:rPr>
          <w:rFonts w:cs="Arial"/>
          <w:lang w:val="es-419"/>
        </w:rPr>
        <w:t>E-19/232 y E-19/233</w:t>
      </w:r>
      <w:r w:rsidR="00061C2A" w:rsidRPr="00DD4E4F">
        <w:rPr>
          <w:rFonts w:cs="Arial"/>
          <w:lang w:val="es-419"/>
        </w:rPr>
        <w:t xml:space="preserve">, </w:t>
      </w:r>
      <w:r w:rsidR="00820561" w:rsidRPr="00DD4E4F">
        <w:rPr>
          <w:rFonts w:cs="Arial"/>
          <w:lang w:val="es-419"/>
        </w:rPr>
        <w:t xml:space="preserve">la Oficina de la Unión </w:t>
      </w:r>
      <w:r w:rsidR="00820561" w:rsidRPr="00DD4E4F">
        <w:rPr>
          <w:lang w:val="es-419"/>
        </w:rPr>
        <w:t>envió</w:t>
      </w:r>
      <w:r w:rsidR="00061C2A" w:rsidRPr="00DD4E4F">
        <w:rPr>
          <w:lang w:val="es-419"/>
        </w:rPr>
        <w:t xml:space="preserve"> </w:t>
      </w:r>
      <w:r w:rsidR="00083F12" w:rsidRPr="00DD4E4F">
        <w:rPr>
          <w:lang w:val="es-419"/>
        </w:rPr>
        <w:t>la circular E-</w:t>
      </w:r>
      <w:r w:rsidR="00E47537" w:rsidRPr="00DD4E4F">
        <w:rPr>
          <w:lang w:val="es-419"/>
        </w:rPr>
        <w:t>20/093</w:t>
      </w:r>
      <w:r w:rsidR="00083F12" w:rsidRPr="00DD4E4F">
        <w:rPr>
          <w:lang w:val="es-419"/>
        </w:rPr>
        <w:t xml:space="preserve"> </w:t>
      </w:r>
      <w:r w:rsidR="003613F6" w:rsidRPr="00DD4E4F">
        <w:rPr>
          <w:rFonts w:cs="Arial"/>
          <w:lang w:val="es-419"/>
        </w:rPr>
        <w:t>el </w:t>
      </w:r>
      <w:r w:rsidR="003613F6" w:rsidRPr="00DD4E4F">
        <w:rPr>
          <w:lang w:val="es-419"/>
        </w:rPr>
        <w:t xml:space="preserve">9 de julio de 2020 </w:t>
      </w:r>
      <w:r w:rsidR="00083F12" w:rsidRPr="00DD4E4F">
        <w:rPr>
          <w:lang w:val="es-419"/>
        </w:rPr>
        <w:t>para invitar</w:t>
      </w:r>
      <w:r w:rsidR="00E47537" w:rsidRPr="00DD4E4F">
        <w:rPr>
          <w:lang w:val="es-419"/>
        </w:rPr>
        <w:t xml:space="preserve"> </w:t>
      </w:r>
      <w:r w:rsidR="00083F12" w:rsidRPr="00DD4E4F">
        <w:rPr>
          <w:lang w:val="es-419"/>
        </w:rPr>
        <w:t>a</w:t>
      </w:r>
      <w:r w:rsidR="00E47537" w:rsidRPr="00DD4E4F">
        <w:rPr>
          <w:lang w:val="es-419"/>
        </w:rPr>
        <w:t>l </w:t>
      </w:r>
      <w:proofErr w:type="spellStart"/>
      <w:r w:rsidR="00E47537" w:rsidRPr="00DD4E4F">
        <w:rPr>
          <w:lang w:val="es-419"/>
        </w:rPr>
        <w:t>CAJ</w:t>
      </w:r>
      <w:proofErr w:type="spellEnd"/>
      <w:r w:rsidR="00083F12" w:rsidRPr="00DD4E4F">
        <w:rPr>
          <w:lang w:val="es-419"/>
        </w:rPr>
        <w:t xml:space="preserve"> a</w:t>
      </w:r>
      <w:r w:rsidR="00E47537" w:rsidRPr="00DD4E4F">
        <w:rPr>
          <w:lang w:val="es-419"/>
        </w:rPr>
        <w:t>:</w:t>
      </w:r>
      <w:r w:rsidR="00211989" w:rsidRPr="00DD4E4F">
        <w:rPr>
          <w:lang w:val="es-419"/>
        </w:rPr>
        <w:t xml:space="preserve"> </w:t>
      </w:r>
    </w:p>
    <w:p w:rsidR="00211989" w:rsidRPr="00DD4E4F" w:rsidRDefault="00211989" w:rsidP="00211989">
      <w:pPr>
        <w:rPr>
          <w:rFonts w:cs="Arial"/>
          <w:lang w:val="es-419"/>
        </w:rPr>
      </w:pPr>
    </w:p>
    <w:p w:rsidR="00211989" w:rsidRPr="00DD4E4F" w:rsidRDefault="003A0132" w:rsidP="00211989">
      <w:pPr>
        <w:pStyle w:val="ListParagraph"/>
        <w:numPr>
          <w:ilvl w:val="0"/>
          <w:numId w:val="1"/>
        </w:numPr>
        <w:autoSpaceDE w:val="0"/>
        <w:autoSpaceDN w:val="0"/>
        <w:adjustRightInd w:val="0"/>
        <w:rPr>
          <w:rFonts w:cs="Arial"/>
          <w:lang w:val="es-419"/>
        </w:rPr>
      </w:pPr>
      <w:r w:rsidRPr="00DD4E4F">
        <w:rPr>
          <w:rFonts w:cs="Arial"/>
          <w:lang w:val="es-419"/>
        </w:rPr>
        <w:t>formular observaciones sobre el proyecto de mandato para un grupo de trabajo sobre variedades esencialmente derivadas (</w:t>
      </w:r>
      <w:proofErr w:type="spellStart"/>
      <w:r w:rsidRPr="00DD4E4F">
        <w:rPr>
          <w:rFonts w:cs="Arial"/>
          <w:lang w:val="es-419"/>
        </w:rPr>
        <w:t>WG</w:t>
      </w:r>
      <w:proofErr w:type="spellEnd"/>
      <w:r w:rsidRPr="00DD4E4F">
        <w:rPr>
          <w:rFonts w:cs="Arial"/>
          <w:lang w:val="es-419"/>
        </w:rPr>
        <w:t>-EDV) expuesto en el Anexo II de la circular</w:t>
      </w:r>
      <w:r w:rsidR="00557F3A" w:rsidRPr="00DD4E4F">
        <w:rPr>
          <w:rFonts w:cs="Arial"/>
          <w:lang w:val="es-419"/>
        </w:rPr>
        <w:t xml:space="preserve"> </w:t>
      </w:r>
      <w:r w:rsidR="00557F3A" w:rsidRPr="00DD4E4F">
        <w:rPr>
          <w:lang w:val="es-419"/>
        </w:rPr>
        <w:t>E</w:t>
      </w:r>
      <w:r w:rsidR="00B14F3E" w:rsidRPr="00DD4E4F">
        <w:rPr>
          <w:lang w:val="es-419"/>
        </w:rPr>
        <w:noBreakHyphen/>
      </w:r>
      <w:r w:rsidR="00557F3A" w:rsidRPr="00DD4E4F">
        <w:rPr>
          <w:lang w:val="es-419"/>
        </w:rPr>
        <w:t>20/093</w:t>
      </w:r>
      <w:r w:rsidRPr="00DD4E4F">
        <w:rPr>
          <w:rFonts w:cs="Arial"/>
          <w:lang w:val="es-419"/>
        </w:rPr>
        <w:t>;</w:t>
      </w:r>
    </w:p>
    <w:p w:rsidR="00211989" w:rsidRPr="00DD4E4F" w:rsidRDefault="00211989" w:rsidP="00211989">
      <w:pPr>
        <w:pStyle w:val="ListParagraph"/>
        <w:autoSpaceDE w:val="0"/>
        <w:autoSpaceDN w:val="0"/>
        <w:adjustRightInd w:val="0"/>
        <w:ind w:left="1143"/>
        <w:rPr>
          <w:rFonts w:cs="Arial"/>
          <w:lang w:val="es-419"/>
        </w:rPr>
      </w:pPr>
    </w:p>
    <w:p w:rsidR="00211989" w:rsidRPr="00DD4E4F" w:rsidRDefault="00557F3A" w:rsidP="00211989">
      <w:pPr>
        <w:pStyle w:val="ListParagraph"/>
        <w:numPr>
          <w:ilvl w:val="0"/>
          <w:numId w:val="1"/>
        </w:numPr>
        <w:rPr>
          <w:rFonts w:cs="Arial"/>
          <w:lang w:val="es-419"/>
        </w:rPr>
      </w:pPr>
      <w:r w:rsidRPr="00DD4E4F">
        <w:rPr>
          <w:rFonts w:cs="Arial"/>
          <w:lang w:val="es-419"/>
        </w:rPr>
        <w:t>formular observaciones sobre el análisis preliminar de las cuestiones y prácticas relativas a las variedades esencialmente derivadas expuesto en el Anexo III de la circular E-</w:t>
      </w:r>
      <w:r w:rsidRPr="00DD4E4F">
        <w:rPr>
          <w:lang w:val="es-419"/>
        </w:rPr>
        <w:t>20/093</w:t>
      </w:r>
      <w:r w:rsidR="00061C2A" w:rsidRPr="00DD4E4F">
        <w:rPr>
          <w:rFonts w:cs="Arial"/>
          <w:lang w:val="es-419"/>
        </w:rPr>
        <w:t xml:space="preserve">, </w:t>
      </w:r>
      <w:r w:rsidRPr="00DD4E4F">
        <w:rPr>
          <w:rFonts w:cs="Arial"/>
          <w:lang w:val="es-419"/>
        </w:rPr>
        <w:t>elaborado a partir de las aportaciones remitidas por los miembros de la Unión y los observadores en respuesta a las circulares E-19/232 y E-19/233</w:t>
      </w:r>
      <w:r w:rsidR="00061C2A" w:rsidRPr="00DD4E4F">
        <w:rPr>
          <w:rFonts w:cs="Arial"/>
          <w:lang w:val="es-419"/>
        </w:rPr>
        <w:t xml:space="preserve">, </w:t>
      </w:r>
      <w:r w:rsidRPr="00DD4E4F">
        <w:rPr>
          <w:rFonts w:cs="Arial"/>
          <w:lang w:val="es-419"/>
        </w:rPr>
        <w:t>de</w:t>
      </w:r>
      <w:r w:rsidR="00061C2A" w:rsidRPr="00DD4E4F">
        <w:rPr>
          <w:rFonts w:cs="Arial"/>
          <w:lang w:val="es-419"/>
        </w:rPr>
        <w:t> 2</w:t>
      </w:r>
      <w:r w:rsidRPr="00DD4E4F">
        <w:rPr>
          <w:rFonts w:cs="Arial"/>
          <w:lang w:val="es-419"/>
        </w:rPr>
        <w:t>3 de diciembre de</w:t>
      </w:r>
      <w:r w:rsidR="00061C2A" w:rsidRPr="00DD4E4F">
        <w:rPr>
          <w:rFonts w:cs="Arial"/>
          <w:lang w:val="es-419"/>
        </w:rPr>
        <w:t> 2</w:t>
      </w:r>
      <w:r w:rsidRPr="00DD4E4F">
        <w:rPr>
          <w:rFonts w:cs="Arial"/>
          <w:lang w:val="es-419"/>
        </w:rPr>
        <w:t>019;</w:t>
      </w:r>
    </w:p>
    <w:p w:rsidR="00211989" w:rsidRPr="00DD4E4F" w:rsidRDefault="00211989" w:rsidP="00211989">
      <w:pPr>
        <w:pStyle w:val="ListParagraph"/>
        <w:ind w:left="1143"/>
        <w:rPr>
          <w:rFonts w:cs="Arial"/>
          <w:lang w:val="es-419"/>
        </w:rPr>
      </w:pPr>
    </w:p>
    <w:p w:rsidR="00211989" w:rsidRPr="00DD4E4F" w:rsidRDefault="00557F3A" w:rsidP="00211989">
      <w:pPr>
        <w:pStyle w:val="ListParagraph"/>
        <w:numPr>
          <w:ilvl w:val="0"/>
          <w:numId w:val="1"/>
        </w:numPr>
        <w:autoSpaceDE w:val="0"/>
        <w:autoSpaceDN w:val="0"/>
        <w:adjustRightInd w:val="0"/>
        <w:rPr>
          <w:rFonts w:cs="Arial"/>
          <w:lang w:val="es-419"/>
        </w:rPr>
      </w:pPr>
      <w:r w:rsidRPr="00DD4E4F">
        <w:rPr>
          <w:rFonts w:cs="Arial"/>
          <w:lang w:val="es-419"/>
        </w:rPr>
        <w:t>invitar a los miembros de la Unión y a los observadores del </w:t>
      </w:r>
      <w:proofErr w:type="spellStart"/>
      <w:r w:rsidRPr="00DD4E4F">
        <w:rPr>
          <w:rFonts w:cs="Arial"/>
          <w:lang w:val="es-419"/>
        </w:rPr>
        <w:t>CAJ</w:t>
      </w:r>
      <w:proofErr w:type="spellEnd"/>
      <w:r w:rsidRPr="00DD4E4F">
        <w:rPr>
          <w:rFonts w:cs="Arial"/>
          <w:lang w:val="es-419"/>
        </w:rPr>
        <w:t xml:space="preserve"> a manifestar su interés por formar parte del </w:t>
      </w:r>
      <w:proofErr w:type="spellStart"/>
      <w:r w:rsidRPr="00DD4E4F">
        <w:rPr>
          <w:rFonts w:cs="Arial"/>
          <w:lang w:val="es-419"/>
        </w:rPr>
        <w:t>WG</w:t>
      </w:r>
      <w:proofErr w:type="spellEnd"/>
      <w:r w:rsidRPr="00DD4E4F">
        <w:rPr>
          <w:rFonts w:cs="Arial"/>
          <w:lang w:val="es-419"/>
        </w:rPr>
        <w:t>-EDV.</w:t>
      </w:r>
    </w:p>
    <w:p w:rsidR="00211989" w:rsidRPr="00DD4E4F" w:rsidRDefault="00211989" w:rsidP="00211989">
      <w:pPr>
        <w:pStyle w:val="ListParagraph"/>
        <w:rPr>
          <w:rFonts w:cs="Arial"/>
          <w:lang w:val="es-419"/>
        </w:rPr>
      </w:pPr>
    </w:p>
    <w:p w:rsidR="00211989" w:rsidRPr="00DD4E4F" w:rsidRDefault="006548F4" w:rsidP="00211989">
      <w:pPr>
        <w:autoSpaceDE w:val="0"/>
        <w:autoSpaceDN w:val="0"/>
        <w:adjustRightInd w:val="0"/>
        <w:rPr>
          <w:rFonts w:cs="Arial"/>
          <w:lang w:val="es-419"/>
        </w:rPr>
      </w:pPr>
      <w:r w:rsidRPr="00DD4E4F">
        <w:rPr>
          <w:rFonts w:cs="Arial"/>
          <w:lang w:val="es-419"/>
        </w:rPr>
        <w:fldChar w:fldCharType="begin"/>
      </w:r>
      <w:r w:rsidR="00211989" w:rsidRPr="00DD4E4F">
        <w:rPr>
          <w:rFonts w:cs="Arial"/>
          <w:lang w:val="es-419"/>
        </w:rPr>
        <w:instrText xml:space="preserve"> AUTONUM  </w:instrText>
      </w:r>
      <w:r w:rsidRPr="00DD4E4F">
        <w:rPr>
          <w:rFonts w:cs="Arial"/>
          <w:lang w:val="es-419"/>
        </w:rPr>
        <w:fldChar w:fldCharType="end"/>
      </w:r>
      <w:r w:rsidR="00211989" w:rsidRPr="00DD4E4F">
        <w:rPr>
          <w:rFonts w:cs="Arial"/>
          <w:lang w:val="es-419"/>
        </w:rPr>
        <w:tab/>
      </w:r>
      <w:r w:rsidR="00D3120A" w:rsidRPr="00DD4E4F">
        <w:rPr>
          <w:rFonts w:cs="Arial"/>
          <w:lang w:val="es-419"/>
        </w:rPr>
        <w:t>En los apartados siguientes se exponen las propuestas que se someterán al examen del </w:t>
      </w:r>
      <w:proofErr w:type="spellStart"/>
      <w:r w:rsidR="00D3120A" w:rsidRPr="00DD4E4F">
        <w:rPr>
          <w:rFonts w:cs="Arial"/>
          <w:lang w:val="es-419"/>
        </w:rPr>
        <w:t>CAJ</w:t>
      </w:r>
      <w:proofErr w:type="spellEnd"/>
      <w:r w:rsidR="00061C2A" w:rsidRPr="00DD4E4F">
        <w:rPr>
          <w:rFonts w:cs="Arial"/>
          <w:lang w:val="es-419"/>
        </w:rPr>
        <w:t xml:space="preserve">, </w:t>
      </w:r>
      <w:r w:rsidR="00D3120A" w:rsidRPr="00DD4E4F">
        <w:rPr>
          <w:rFonts w:cs="Arial"/>
          <w:lang w:val="es-419"/>
        </w:rPr>
        <w:t xml:space="preserve">conforme a las respuestas a la </w:t>
      </w:r>
      <w:r w:rsidR="00D3120A" w:rsidRPr="00DD4E4F">
        <w:rPr>
          <w:lang w:val="es-419"/>
        </w:rPr>
        <w:t>circular E-20/093 de la UPOV</w:t>
      </w:r>
      <w:r w:rsidR="00D3120A" w:rsidRPr="00DD4E4F">
        <w:rPr>
          <w:rFonts w:cs="Arial"/>
          <w:lang w:val="es-419"/>
        </w:rPr>
        <w:t>.</w:t>
      </w:r>
      <w:r w:rsidR="00211989" w:rsidRPr="00DD4E4F">
        <w:rPr>
          <w:rFonts w:cs="Arial"/>
          <w:lang w:val="es-419"/>
        </w:rPr>
        <w:t xml:space="preserve"> </w:t>
      </w:r>
      <w:r w:rsidR="00D3120A" w:rsidRPr="00DD4E4F">
        <w:rPr>
          <w:rFonts w:cs="Arial"/>
          <w:lang w:val="es-419"/>
        </w:rPr>
        <w:t>Entre esas propuestas figurarán la invitación al </w:t>
      </w:r>
      <w:proofErr w:type="spellStart"/>
      <w:r w:rsidR="00D3120A" w:rsidRPr="00DD4E4F">
        <w:rPr>
          <w:rFonts w:cs="Arial"/>
          <w:lang w:val="es-419"/>
        </w:rPr>
        <w:t>CAJ</w:t>
      </w:r>
      <w:proofErr w:type="spellEnd"/>
      <w:r w:rsidR="00D3120A" w:rsidRPr="00DD4E4F">
        <w:rPr>
          <w:rFonts w:cs="Arial"/>
          <w:lang w:val="es-419"/>
        </w:rPr>
        <w:t xml:space="preserve"> a examinar la versión actualizada de las cuestiones relativas a la política y las prácticas y costumbres de los obtentores y a aprobar el mandato y la composición </w:t>
      </w:r>
      <w:r w:rsidR="00BF4EA6" w:rsidRPr="00DD4E4F">
        <w:rPr>
          <w:rFonts w:cs="Arial"/>
          <w:lang w:val="es-419"/>
        </w:rPr>
        <w:t>del </w:t>
      </w:r>
      <w:proofErr w:type="spellStart"/>
      <w:r w:rsidR="00BF4EA6" w:rsidRPr="00DD4E4F">
        <w:rPr>
          <w:rFonts w:cs="Arial"/>
          <w:lang w:val="es-419"/>
        </w:rPr>
        <w:t>WG</w:t>
      </w:r>
      <w:proofErr w:type="spellEnd"/>
      <w:r w:rsidR="00BF4EA6" w:rsidRPr="00DD4E4F">
        <w:rPr>
          <w:rFonts w:cs="Arial"/>
          <w:lang w:val="es-419"/>
        </w:rPr>
        <w:t>-EDV</w:t>
      </w:r>
      <w:r w:rsidR="00061C2A" w:rsidRPr="00DD4E4F">
        <w:rPr>
          <w:rFonts w:cs="Arial"/>
          <w:lang w:val="es-419"/>
        </w:rPr>
        <w:t xml:space="preserve">, </w:t>
      </w:r>
      <w:r w:rsidR="00D3120A" w:rsidRPr="00DD4E4F">
        <w:rPr>
          <w:rFonts w:cs="Arial"/>
          <w:lang w:val="es-419"/>
        </w:rPr>
        <w:t>así como una fecha provisional para la primera reunión</w:t>
      </w:r>
      <w:r w:rsidR="00BF4EA6" w:rsidRPr="00DD4E4F">
        <w:rPr>
          <w:rFonts w:cs="Arial"/>
          <w:lang w:val="es-419"/>
        </w:rPr>
        <w:t xml:space="preserve"> de dicho grupo de trabajo</w:t>
      </w:r>
      <w:r w:rsidR="00D3120A" w:rsidRPr="00DD4E4F">
        <w:rPr>
          <w:rFonts w:cs="Arial"/>
          <w:lang w:val="es-419"/>
        </w:rPr>
        <w:t>.</w:t>
      </w:r>
    </w:p>
    <w:p w:rsidR="00211989" w:rsidRPr="00DD4E4F" w:rsidRDefault="00211989" w:rsidP="00211989">
      <w:pPr>
        <w:rPr>
          <w:lang w:val="es-419"/>
        </w:rPr>
      </w:pPr>
    </w:p>
    <w:p w:rsidR="00211989" w:rsidRPr="00DD4E4F" w:rsidRDefault="006E4EE6" w:rsidP="00211989">
      <w:pPr>
        <w:pStyle w:val="Heading3"/>
        <w:rPr>
          <w:lang w:val="es-419"/>
        </w:rPr>
      </w:pPr>
      <w:bookmarkStart w:id="8" w:name="_Toc48834431"/>
      <w:r w:rsidRPr="00DD4E4F">
        <w:rPr>
          <w:lang w:val="es-419"/>
        </w:rPr>
        <w:t>Cuestiones relativas a la política y las prácticas y costumbres de los obtentores</w:t>
      </w:r>
      <w:bookmarkEnd w:id="8"/>
    </w:p>
    <w:p w:rsidR="00211989" w:rsidRPr="00DD4E4F" w:rsidRDefault="00211989" w:rsidP="00211989">
      <w:pPr>
        <w:rPr>
          <w:rFonts w:cs="Arial"/>
          <w:lang w:val="es-419"/>
        </w:rPr>
      </w:pPr>
    </w:p>
    <w:p w:rsidR="00211989" w:rsidRPr="00DD4E4F" w:rsidRDefault="006548F4" w:rsidP="00211989">
      <w:pPr>
        <w:rPr>
          <w:lang w:val="es-419"/>
        </w:rPr>
      </w:pPr>
      <w:r w:rsidRPr="00DD4E4F">
        <w:rPr>
          <w:rFonts w:cs="Arial"/>
          <w:spacing w:val="-2"/>
          <w:lang w:val="es-419"/>
        </w:rPr>
        <w:fldChar w:fldCharType="begin"/>
      </w:r>
      <w:r w:rsidR="00211989" w:rsidRPr="00DD4E4F">
        <w:rPr>
          <w:rFonts w:cs="Arial"/>
          <w:spacing w:val="-2"/>
          <w:lang w:val="es-419"/>
        </w:rPr>
        <w:instrText xml:space="preserve"> AUTONUM  </w:instrText>
      </w:r>
      <w:r w:rsidRPr="00DD4E4F">
        <w:rPr>
          <w:rFonts w:cs="Arial"/>
          <w:spacing w:val="-2"/>
          <w:lang w:val="es-419"/>
        </w:rPr>
        <w:fldChar w:fldCharType="end"/>
      </w:r>
      <w:r w:rsidR="00211989" w:rsidRPr="00DD4E4F">
        <w:rPr>
          <w:rFonts w:cs="Arial"/>
          <w:spacing w:val="-2"/>
          <w:lang w:val="es-419"/>
        </w:rPr>
        <w:tab/>
      </w:r>
      <w:r w:rsidR="006E4EE6" w:rsidRPr="00DD4E4F">
        <w:rPr>
          <w:rFonts w:cs="Arial"/>
          <w:lang w:val="es-419"/>
        </w:rPr>
        <w:t>En respuesta a la circular E-20/093</w:t>
      </w:r>
      <w:r w:rsidR="00061C2A" w:rsidRPr="00DD4E4F">
        <w:rPr>
          <w:rFonts w:cs="Arial"/>
          <w:lang w:val="es-419"/>
        </w:rPr>
        <w:t xml:space="preserve">, </w:t>
      </w:r>
      <w:r w:rsidR="006E4EE6" w:rsidRPr="00DD4E4F">
        <w:rPr>
          <w:rFonts w:cs="Arial"/>
          <w:lang w:val="es-419"/>
        </w:rPr>
        <w:t>el siguiente miembro de la Unión y los siguientes observadores ante el </w:t>
      </w:r>
      <w:proofErr w:type="spellStart"/>
      <w:r w:rsidR="006E4EE6" w:rsidRPr="00DD4E4F">
        <w:rPr>
          <w:rFonts w:cs="Arial"/>
          <w:lang w:val="es-419"/>
        </w:rPr>
        <w:t>CAJ</w:t>
      </w:r>
      <w:proofErr w:type="spellEnd"/>
      <w:r w:rsidR="006E4EE6" w:rsidRPr="00DD4E4F">
        <w:rPr>
          <w:rFonts w:cs="Arial"/>
          <w:lang w:val="es-419"/>
        </w:rPr>
        <w:t xml:space="preserve"> </w:t>
      </w:r>
      <w:r w:rsidR="00C66EF8" w:rsidRPr="00DD4E4F">
        <w:rPr>
          <w:rFonts w:cs="Arial"/>
          <w:lang w:val="es-419"/>
        </w:rPr>
        <w:t>remitieron</w:t>
      </w:r>
      <w:r w:rsidR="006E4EE6" w:rsidRPr="00DD4E4F">
        <w:rPr>
          <w:rFonts w:cs="Arial"/>
          <w:lang w:val="es-419"/>
        </w:rPr>
        <w:t xml:space="preserve"> observaciones </w:t>
      </w:r>
      <w:r w:rsidR="00C66EF8" w:rsidRPr="00DD4E4F">
        <w:rPr>
          <w:rFonts w:cs="Arial"/>
          <w:lang w:val="es-419"/>
        </w:rPr>
        <w:t xml:space="preserve">referentes a las cuestiones relativas a la política y las prácticas y costumbres de los obtentores que se recogen </w:t>
      </w:r>
      <w:r w:rsidR="006E4EE6" w:rsidRPr="00DD4E4F">
        <w:rPr>
          <w:rFonts w:cs="Arial"/>
          <w:lang w:val="es-419"/>
        </w:rPr>
        <w:t xml:space="preserve">en </w:t>
      </w:r>
      <w:r w:rsidR="00C66EF8" w:rsidRPr="00DD4E4F">
        <w:rPr>
          <w:rFonts w:cs="Arial"/>
          <w:lang w:val="es-419"/>
        </w:rPr>
        <w:t xml:space="preserve">el </w:t>
      </w:r>
      <w:r w:rsidR="006E4EE6" w:rsidRPr="00DD4E4F">
        <w:rPr>
          <w:rFonts w:cs="Arial"/>
          <w:lang w:val="es-419"/>
        </w:rPr>
        <w:t xml:space="preserve">Anexo III de </w:t>
      </w:r>
      <w:r w:rsidR="00C66EF8" w:rsidRPr="00DD4E4F">
        <w:rPr>
          <w:rFonts w:cs="Arial"/>
          <w:lang w:val="es-419"/>
        </w:rPr>
        <w:t xml:space="preserve">la circular </w:t>
      </w:r>
      <w:r w:rsidR="006E4EE6" w:rsidRPr="00DD4E4F">
        <w:rPr>
          <w:lang w:val="es-419"/>
        </w:rPr>
        <w:t>E-20/093</w:t>
      </w:r>
      <w:r w:rsidR="006E4EE6" w:rsidRPr="00DD4E4F">
        <w:rPr>
          <w:rFonts w:cs="Arial"/>
          <w:lang w:val="es-419"/>
        </w:rPr>
        <w:t>:</w:t>
      </w:r>
      <w:r w:rsidR="004E6D0C" w:rsidRPr="00DD4E4F">
        <w:rPr>
          <w:rFonts w:cs="Arial"/>
          <w:lang w:val="es-419"/>
        </w:rPr>
        <w:t xml:space="preserve"> </w:t>
      </w:r>
      <w:r w:rsidR="006F27F6">
        <w:rPr>
          <w:lang w:val="es-419"/>
        </w:rPr>
        <w:t>Estados Unidos de </w:t>
      </w:r>
      <w:r w:rsidR="00C66EF8" w:rsidRPr="00DD4E4F">
        <w:rPr>
          <w:lang w:val="es-419"/>
        </w:rPr>
        <w:t>América</w:t>
      </w:r>
      <w:r w:rsidR="00061C2A" w:rsidRPr="00DD4E4F">
        <w:rPr>
          <w:lang w:val="es-419"/>
        </w:rPr>
        <w:t xml:space="preserve">, </w:t>
      </w:r>
      <w:proofErr w:type="spellStart"/>
      <w:r w:rsidR="00C66EF8" w:rsidRPr="00DD4E4F">
        <w:rPr>
          <w:rFonts w:cs="Arial"/>
          <w:lang w:val="es-419"/>
        </w:rPr>
        <w:t>AIPH</w:t>
      </w:r>
      <w:proofErr w:type="spellEnd"/>
      <w:r w:rsidR="00C66EF8" w:rsidRPr="00DD4E4F">
        <w:rPr>
          <w:rFonts w:cs="Arial"/>
          <w:lang w:val="es-419"/>
        </w:rPr>
        <w:t xml:space="preserve"> </w:t>
      </w:r>
      <w:r w:rsidR="00C66EF8" w:rsidRPr="00DD4E4F">
        <w:rPr>
          <w:lang w:val="es-419"/>
        </w:rPr>
        <w:t xml:space="preserve">y una </w:t>
      </w:r>
      <w:r w:rsidR="00C66EF8" w:rsidRPr="00DD4E4F">
        <w:rPr>
          <w:rFonts w:cs="Arial"/>
          <w:lang w:val="es-419"/>
        </w:rPr>
        <w:t xml:space="preserve">aportación conjunta </w:t>
      </w:r>
      <w:r w:rsidR="00C66EF8" w:rsidRPr="00DD4E4F">
        <w:rPr>
          <w:lang w:val="es-419"/>
        </w:rPr>
        <w:t xml:space="preserve">de </w:t>
      </w:r>
      <w:proofErr w:type="spellStart"/>
      <w:r w:rsidR="00C66EF8" w:rsidRPr="00DD4E4F">
        <w:rPr>
          <w:rFonts w:cs="Arial"/>
          <w:lang w:val="es-419"/>
        </w:rPr>
        <w:t>AFSTA</w:t>
      </w:r>
      <w:proofErr w:type="spellEnd"/>
      <w:r w:rsidR="00061C2A" w:rsidRPr="00DD4E4F">
        <w:rPr>
          <w:rFonts w:cs="Arial"/>
          <w:lang w:val="es-419"/>
        </w:rPr>
        <w:t xml:space="preserve">, </w:t>
      </w:r>
      <w:proofErr w:type="spellStart"/>
      <w:r w:rsidR="00C66EF8" w:rsidRPr="00DD4E4F">
        <w:rPr>
          <w:rFonts w:cs="Arial"/>
          <w:lang w:val="es-419"/>
        </w:rPr>
        <w:t>APSA</w:t>
      </w:r>
      <w:proofErr w:type="spellEnd"/>
      <w:r w:rsidR="00061C2A" w:rsidRPr="00DD4E4F">
        <w:rPr>
          <w:rFonts w:cs="Arial"/>
          <w:lang w:val="es-419"/>
        </w:rPr>
        <w:t xml:space="preserve">, </w:t>
      </w:r>
      <w:proofErr w:type="spellStart"/>
      <w:r w:rsidR="00C66EF8" w:rsidRPr="00DD4E4F">
        <w:rPr>
          <w:rFonts w:cs="Arial"/>
          <w:lang w:val="es-419"/>
        </w:rPr>
        <w:t>CIOPORA</w:t>
      </w:r>
      <w:proofErr w:type="spellEnd"/>
      <w:r w:rsidR="00061C2A" w:rsidRPr="00DD4E4F">
        <w:rPr>
          <w:rFonts w:cs="Arial"/>
          <w:lang w:val="es-419"/>
        </w:rPr>
        <w:t xml:space="preserve">, </w:t>
      </w:r>
      <w:proofErr w:type="spellStart"/>
      <w:r w:rsidR="003613F6" w:rsidRPr="00DD4E4F">
        <w:rPr>
          <w:rFonts w:eastAsiaTheme="minorEastAsia" w:cs="Arial"/>
          <w:i/>
          <w:spacing w:val="-4"/>
          <w:lang w:val="es-419"/>
        </w:rPr>
        <w:t>CropLife</w:t>
      </w:r>
      <w:proofErr w:type="spellEnd"/>
      <w:r w:rsidR="003613F6" w:rsidRPr="00DD4E4F">
        <w:rPr>
          <w:rFonts w:eastAsiaTheme="minorEastAsia" w:cs="Arial"/>
          <w:i/>
          <w:spacing w:val="-4"/>
          <w:lang w:val="es-419"/>
        </w:rPr>
        <w:t> </w:t>
      </w:r>
      <w:r w:rsidR="00C66EF8" w:rsidRPr="00DD4E4F">
        <w:rPr>
          <w:rFonts w:eastAsiaTheme="minorEastAsia" w:cs="Arial"/>
          <w:i/>
          <w:spacing w:val="-4"/>
          <w:lang w:val="es-419"/>
        </w:rPr>
        <w:t>International</w:t>
      </w:r>
      <w:r w:rsidR="00061C2A" w:rsidRPr="00DD4E4F">
        <w:rPr>
          <w:rFonts w:cs="Arial"/>
          <w:lang w:val="es-419"/>
        </w:rPr>
        <w:t xml:space="preserve">, </w:t>
      </w:r>
      <w:proofErr w:type="spellStart"/>
      <w:r w:rsidR="00C66EF8" w:rsidRPr="00DD4E4F">
        <w:rPr>
          <w:rFonts w:cs="Arial"/>
          <w:lang w:val="es-419"/>
        </w:rPr>
        <w:t>Euroseeds</w:t>
      </w:r>
      <w:proofErr w:type="spellEnd"/>
      <w:r w:rsidR="00061C2A" w:rsidRPr="00DD4E4F">
        <w:rPr>
          <w:rFonts w:cs="Arial"/>
          <w:lang w:val="es-419"/>
        </w:rPr>
        <w:t xml:space="preserve">, </w:t>
      </w:r>
      <w:proofErr w:type="spellStart"/>
      <w:r w:rsidR="00C66EF8" w:rsidRPr="00DD4E4F">
        <w:rPr>
          <w:rFonts w:cs="Arial"/>
          <w:lang w:val="es-419"/>
        </w:rPr>
        <w:t>ISF</w:t>
      </w:r>
      <w:proofErr w:type="spellEnd"/>
      <w:r w:rsidR="00C66EF8" w:rsidRPr="00DD4E4F">
        <w:rPr>
          <w:rFonts w:cs="Arial"/>
          <w:lang w:val="es-419"/>
        </w:rPr>
        <w:t xml:space="preserve"> y </w:t>
      </w:r>
      <w:proofErr w:type="spellStart"/>
      <w:r w:rsidR="00C66EF8" w:rsidRPr="00DD4E4F">
        <w:rPr>
          <w:rFonts w:cs="Arial"/>
          <w:lang w:val="es-419"/>
        </w:rPr>
        <w:t>SAA</w:t>
      </w:r>
      <w:proofErr w:type="spellEnd"/>
      <w:r w:rsidR="00C66EF8" w:rsidRPr="00DD4E4F">
        <w:rPr>
          <w:rFonts w:cs="Arial"/>
          <w:lang w:val="es-419"/>
        </w:rPr>
        <w:t>.</w:t>
      </w:r>
      <w:r w:rsidR="004E6D0C" w:rsidRPr="00DD4E4F">
        <w:rPr>
          <w:lang w:val="es-419"/>
        </w:rPr>
        <w:t xml:space="preserve"> </w:t>
      </w:r>
      <w:r w:rsidR="009B6412" w:rsidRPr="00DD4E4F">
        <w:rPr>
          <w:lang w:val="es-419"/>
        </w:rPr>
        <w:t>Las aportaciones formuladas en respuesta a la circular E-20/093 pueden consultarse en la siguiente dirección:</w:t>
      </w:r>
      <w:r w:rsidR="00211989" w:rsidRPr="00DD4E4F">
        <w:rPr>
          <w:lang w:val="es-419"/>
        </w:rPr>
        <w:t xml:space="preserve"> </w:t>
      </w:r>
      <w:hyperlink r:id="rId10" w:history="1">
        <w:r w:rsidR="009B6412" w:rsidRPr="00DD4E4F">
          <w:rPr>
            <w:rStyle w:val="Hyperlink"/>
            <w:lang w:val="es-419"/>
          </w:rPr>
          <w:t>https://www.upov.int/meetings/es/pages/caj77/e_20_093.html</w:t>
        </w:r>
      </w:hyperlink>
      <w:r w:rsidR="00211989" w:rsidRPr="00DD4E4F">
        <w:rPr>
          <w:lang w:val="es-419"/>
        </w:rPr>
        <w:t>.</w:t>
      </w:r>
    </w:p>
    <w:p w:rsidR="00211989" w:rsidRPr="00DD4E4F" w:rsidRDefault="00211989" w:rsidP="00211989">
      <w:pPr>
        <w:rPr>
          <w:lang w:val="es-419"/>
        </w:rPr>
      </w:pPr>
    </w:p>
    <w:p w:rsidR="00211989" w:rsidRPr="00DD4E4F" w:rsidRDefault="006548F4" w:rsidP="00A22289">
      <w:pPr>
        <w:keepLines/>
        <w:rPr>
          <w:rFonts w:cs="Arial"/>
          <w:lang w:val="es-419"/>
        </w:rPr>
      </w:pPr>
      <w:r w:rsidRPr="00DD4E4F">
        <w:rPr>
          <w:rFonts w:cs="Arial"/>
          <w:lang w:val="es-419"/>
        </w:rPr>
        <w:lastRenderedPageBreak/>
        <w:fldChar w:fldCharType="begin"/>
      </w:r>
      <w:r w:rsidR="00211989" w:rsidRPr="00DD4E4F">
        <w:rPr>
          <w:rFonts w:cs="Arial"/>
          <w:lang w:val="es-419"/>
        </w:rPr>
        <w:instrText xml:space="preserve"> AUTONUM  </w:instrText>
      </w:r>
      <w:r w:rsidRPr="00DD4E4F">
        <w:rPr>
          <w:rFonts w:cs="Arial"/>
          <w:lang w:val="es-419"/>
        </w:rPr>
        <w:fldChar w:fldCharType="end"/>
      </w:r>
      <w:r w:rsidR="00211989" w:rsidRPr="00DD4E4F">
        <w:rPr>
          <w:rFonts w:cs="Arial"/>
          <w:lang w:val="es-419"/>
        </w:rPr>
        <w:tab/>
      </w:r>
      <w:r w:rsidR="004B1FE4" w:rsidRPr="00DD4E4F">
        <w:rPr>
          <w:rFonts w:cs="Arial"/>
          <w:lang w:val="es-419"/>
        </w:rPr>
        <w:t>Las</w:t>
      </w:r>
      <w:r w:rsidR="004B1FE4" w:rsidRPr="00DD4E4F">
        <w:rPr>
          <w:lang w:val="es-419"/>
        </w:rPr>
        <w:t xml:space="preserve"> propuestas </w:t>
      </w:r>
      <w:r w:rsidR="004B1FE4" w:rsidRPr="00DD4E4F">
        <w:rPr>
          <w:rFonts w:cs="Arial"/>
          <w:lang w:val="es-419"/>
        </w:rPr>
        <w:t>basadas en las observaciones</w:t>
      </w:r>
      <w:r w:rsidR="004B1FE4" w:rsidRPr="00DD4E4F">
        <w:rPr>
          <w:lang w:val="es-419"/>
        </w:rPr>
        <w:t xml:space="preserve"> </w:t>
      </w:r>
      <w:r w:rsidR="004B1FE4" w:rsidRPr="00DD4E4F">
        <w:rPr>
          <w:rFonts w:cs="Arial"/>
          <w:lang w:val="es-419"/>
        </w:rPr>
        <w:t xml:space="preserve">recibidas acerca de </w:t>
      </w:r>
      <w:r w:rsidR="004B1FE4" w:rsidRPr="00DD4E4F">
        <w:rPr>
          <w:lang w:val="es-419"/>
        </w:rPr>
        <w:t>las cuestiones relativas a la política y las prácticas y costumbres de los obtentores</w:t>
      </w:r>
      <w:r w:rsidR="00061C2A" w:rsidRPr="00DD4E4F">
        <w:rPr>
          <w:lang w:val="es-419"/>
        </w:rPr>
        <w:t xml:space="preserve">, </w:t>
      </w:r>
      <w:r w:rsidR="004B1FE4" w:rsidRPr="00DD4E4F">
        <w:rPr>
          <w:lang w:val="es-419"/>
        </w:rPr>
        <w:t>que se recogen en el Anexo III de la circular E</w:t>
      </w:r>
      <w:r w:rsidR="00C64D48" w:rsidRPr="00DD4E4F">
        <w:rPr>
          <w:lang w:val="es-419"/>
        </w:rPr>
        <w:noBreakHyphen/>
      </w:r>
      <w:r w:rsidR="004B1FE4" w:rsidRPr="00DD4E4F">
        <w:rPr>
          <w:lang w:val="es-419"/>
        </w:rPr>
        <w:t>20/093</w:t>
      </w:r>
      <w:r w:rsidR="00061C2A" w:rsidRPr="00DD4E4F">
        <w:rPr>
          <w:rFonts w:cs="Arial"/>
          <w:lang w:val="es-419"/>
        </w:rPr>
        <w:t xml:space="preserve">, </w:t>
      </w:r>
      <w:r w:rsidR="00AE68FA" w:rsidRPr="00DD4E4F">
        <w:rPr>
          <w:rFonts w:cs="Arial"/>
          <w:lang w:val="es-419"/>
        </w:rPr>
        <w:t xml:space="preserve">se exponen con marcas de revisión </w:t>
      </w:r>
      <w:r w:rsidR="004B1FE4" w:rsidRPr="00DD4E4F">
        <w:rPr>
          <w:rFonts w:cs="Arial"/>
          <w:lang w:val="es-419"/>
        </w:rPr>
        <w:t xml:space="preserve">manual y </w:t>
      </w:r>
      <w:r w:rsidR="00AE68FA" w:rsidRPr="00DD4E4F">
        <w:rPr>
          <w:lang w:val="es-419"/>
        </w:rPr>
        <w:t>sombreado en gris</w:t>
      </w:r>
      <w:r w:rsidR="00AE68FA" w:rsidRPr="00DD4E4F">
        <w:rPr>
          <w:rFonts w:cs="Arial"/>
          <w:lang w:val="es-419"/>
        </w:rPr>
        <w:t xml:space="preserve"> </w:t>
      </w:r>
      <w:r w:rsidR="004B1FE4" w:rsidRPr="00DD4E4F">
        <w:rPr>
          <w:rFonts w:cs="Arial"/>
          <w:lang w:val="es-419"/>
        </w:rPr>
        <w:t>en el Anexo I del presente documento.</w:t>
      </w:r>
      <w:r w:rsidR="00211989" w:rsidRPr="00DD4E4F">
        <w:rPr>
          <w:rFonts w:cs="Arial"/>
          <w:lang w:val="es-419"/>
        </w:rPr>
        <w:t xml:space="preserve"> </w:t>
      </w:r>
      <w:r w:rsidR="00A033C5" w:rsidRPr="00DD4E4F">
        <w:rPr>
          <w:rFonts w:cs="Arial"/>
          <w:lang w:val="es-419"/>
        </w:rPr>
        <w:t xml:space="preserve">Las </w:t>
      </w:r>
      <w:r w:rsidR="001F053F" w:rsidRPr="00DD4E4F">
        <w:rPr>
          <w:rFonts w:cs="Arial"/>
          <w:lang w:val="es-419"/>
        </w:rPr>
        <w:t xml:space="preserve">referencias </w:t>
      </w:r>
      <w:r w:rsidR="00A033C5" w:rsidRPr="00DD4E4F">
        <w:rPr>
          <w:rFonts w:cs="Arial"/>
          <w:lang w:val="es-419"/>
        </w:rPr>
        <w:t xml:space="preserve">a las </w:t>
      </w:r>
      <w:r w:rsidR="001F053F" w:rsidRPr="00DD4E4F">
        <w:rPr>
          <w:rFonts w:cs="Arial"/>
          <w:lang w:val="es-419"/>
        </w:rPr>
        <w:t xml:space="preserve">cuestiones </w:t>
      </w:r>
      <w:r w:rsidR="00A033C5" w:rsidRPr="00DD4E4F">
        <w:rPr>
          <w:rFonts w:cs="Arial"/>
          <w:lang w:val="es-419"/>
        </w:rPr>
        <w:t>que figuran en el apartado</w:t>
      </w:r>
      <w:r w:rsidR="001F053F" w:rsidRPr="00DD4E4F">
        <w:rPr>
          <w:rFonts w:cs="Arial"/>
          <w:lang w:val="es-419"/>
        </w:rPr>
        <w:t xml:space="preserve"> “</w:t>
      </w:r>
      <w:r w:rsidR="00A033C5" w:rsidRPr="00DD4E4F">
        <w:rPr>
          <w:rFonts w:cs="Arial"/>
          <w:lang w:val="es-419"/>
        </w:rPr>
        <w:t>Cuestiones generales</w:t>
      </w:r>
      <w:r w:rsidR="001F053F" w:rsidRPr="00DD4E4F">
        <w:rPr>
          <w:rFonts w:cs="Arial"/>
          <w:lang w:val="es-419"/>
        </w:rPr>
        <w:t xml:space="preserve">” </w:t>
      </w:r>
      <w:r w:rsidR="00A033C5" w:rsidRPr="00DD4E4F">
        <w:rPr>
          <w:rFonts w:cs="Arial"/>
          <w:lang w:val="es-419"/>
        </w:rPr>
        <w:t xml:space="preserve">del Apéndice I del </w:t>
      </w:r>
      <w:r w:rsidR="001F053F" w:rsidRPr="00DD4E4F">
        <w:rPr>
          <w:rFonts w:cs="Arial"/>
          <w:lang w:val="es-419"/>
        </w:rPr>
        <w:t>Anexo</w:t>
      </w:r>
      <w:r w:rsidR="00A033C5" w:rsidRPr="00DD4E4F">
        <w:rPr>
          <w:rFonts w:cs="Arial"/>
          <w:lang w:val="es-419"/>
        </w:rPr>
        <w:t> </w:t>
      </w:r>
      <w:r w:rsidR="001F053F" w:rsidRPr="00DD4E4F">
        <w:rPr>
          <w:rFonts w:cs="Arial"/>
          <w:lang w:val="es-419"/>
        </w:rPr>
        <w:t>I ha</w:t>
      </w:r>
      <w:r w:rsidR="00A033C5" w:rsidRPr="00DD4E4F">
        <w:rPr>
          <w:rFonts w:cs="Arial"/>
          <w:lang w:val="es-419"/>
        </w:rPr>
        <w:t xml:space="preserve">n sido </w:t>
      </w:r>
      <w:r w:rsidR="001F053F" w:rsidRPr="00DD4E4F">
        <w:rPr>
          <w:rFonts w:cs="Arial"/>
          <w:lang w:val="es-419"/>
        </w:rPr>
        <w:t>actualizada</w:t>
      </w:r>
      <w:r w:rsidR="00A033C5" w:rsidRPr="00DD4E4F">
        <w:rPr>
          <w:rFonts w:cs="Arial"/>
          <w:lang w:val="es-419"/>
        </w:rPr>
        <w:t>s</w:t>
      </w:r>
      <w:r w:rsidR="001F053F" w:rsidRPr="00DD4E4F">
        <w:rPr>
          <w:rFonts w:cs="Arial"/>
          <w:lang w:val="es-419"/>
        </w:rPr>
        <w:t xml:space="preserve"> </w:t>
      </w:r>
      <w:r w:rsidR="00A70DCF" w:rsidRPr="00DD4E4F">
        <w:rPr>
          <w:rFonts w:cs="Arial"/>
          <w:lang w:val="es-419"/>
        </w:rPr>
        <w:t xml:space="preserve">de modo que </w:t>
      </w:r>
      <w:r w:rsidR="00B37C73" w:rsidRPr="00DD4E4F">
        <w:rPr>
          <w:rFonts w:cs="Arial"/>
          <w:lang w:val="es-419"/>
        </w:rPr>
        <w:t xml:space="preserve">se </w:t>
      </w:r>
      <w:r w:rsidR="0001282C" w:rsidRPr="00DD4E4F">
        <w:rPr>
          <w:rFonts w:cs="Arial"/>
          <w:lang w:val="es-419"/>
        </w:rPr>
        <w:t>ajusten a</w:t>
      </w:r>
      <w:r w:rsidR="001F053F" w:rsidRPr="00DD4E4F">
        <w:rPr>
          <w:rFonts w:cs="Arial"/>
          <w:lang w:val="es-419"/>
        </w:rPr>
        <w:t xml:space="preserve"> </w:t>
      </w:r>
      <w:r w:rsidR="00A70DCF" w:rsidRPr="00DD4E4F">
        <w:rPr>
          <w:rFonts w:cs="Arial"/>
          <w:lang w:val="es-419"/>
        </w:rPr>
        <w:t xml:space="preserve">la nueva numeración </w:t>
      </w:r>
      <w:r w:rsidR="0001282C" w:rsidRPr="00DD4E4F">
        <w:rPr>
          <w:rFonts w:cs="Arial"/>
          <w:lang w:val="es-419"/>
        </w:rPr>
        <w:t>resultante</w:t>
      </w:r>
      <w:r w:rsidR="000416B7" w:rsidRPr="00DD4E4F">
        <w:rPr>
          <w:rFonts w:cs="Arial"/>
          <w:lang w:val="es-419"/>
        </w:rPr>
        <w:t xml:space="preserve"> </w:t>
      </w:r>
      <w:r w:rsidR="0001282C" w:rsidRPr="00DD4E4F">
        <w:rPr>
          <w:rFonts w:cs="Arial"/>
          <w:lang w:val="es-419"/>
        </w:rPr>
        <w:t xml:space="preserve">de </w:t>
      </w:r>
      <w:r w:rsidR="007A1F36" w:rsidRPr="00DD4E4F">
        <w:rPr>
          <w:rFonts w:cs="Arial"/>
          <w:lang w:val="es-419"/>
        </w:rPr>
        <w:t>las</w:t>
      </w:r>
      <w:r w:rsidR="001F053F" w:rsidRPr="00DD4E4F">
        <w:rPr>
          <w:rFonts w:cs="Arial"/>
          <w:lang w:val="es-419"/>
        </w:rPr>
        <w:t xml:space="preserve"> observaciones y </w:t>
      </w:r>
      <w:r w:rsidR="007A1F36" w:rsidRPr="00DD4E4F">
        <w:rPr>
          <w:rFonts w:cs="Arial"/>
          <w:lang w:val="es-419"/>
        </w:rPr>
        <w:t>las nuevas</w:t>
      </w:r>
      <w:r w:rsidR="001F053F" w:rsidRPr="00DD4E4F">
        <w:rPr>
          <w:rFonts w:cs="Arial"/>
          <w:lang w:val="es-419"/>
        </w:rPr>
        <w:t xml:space="preserve"> cuestiones rec</w:t>
      </w:r>
      <w:r w:rsidR="007A1F36" w:rsidRPr="00DD4E4F">
        <w:rPr>
          <w:rFonts w:cs="Arial"/>
          <w:lang w:val="es-419"/>
        </w:rPr>
        <w:t>ibidas</w:t>
      </w:r>
      <w:r w:rsidR="001F053F" w:rsidRPr="00DD4E4F">
        <w:rPr>
          <w:rFonts w:cs="Arial"/>
          <w:lang w:val="es-419"/>
        </w:rPr>
        <w:t xml:space="preserve"> en respuesta a </w:t>
      </w:r>
      <w:r w:rsidR="007A1F36" w:rsidRPr="00DD4E4F">
        <w:rPr>
          <w:rFonts w:cs="Arial"/>
          <w:lang w:val="es-419"/>
        </w:rPr>
        <w:t xml:space="preserve">la circular </w:t>
      </w:r>
      <w:r w:rsidR="001F053F" w:rsidRPr="00DD4E4F">
        <w:rPr>
          <w:rFonts w:cs="Arial"/>
          <w:lang w:val="es-419"/>
        </w:rPr>
        <w:t>E-20/093.</w:t>
      </w:r>
      <w:r w:rsidR="00211989" w:rsidRPr="00DD4E4F">
        <w:rPr>
          <w:rFonts w:cs="Arial"/>
          <w:lang w:val="es-419"/>
        </w:rPr>
        <w:t xml:space="preserve"> </w:t>
      </w:r>
      <w:r w:rsidR="004A7F6B" w:rsidRPr="00DD4E4F">
        <w:rPr>
          <w:rFonts w:cs="Arial"/>
          <w:lang w:val="es-419"/>
        </w:rPr>
        <w:t>En el apartado “Cuestiones relativas a aspectos concretos de las actuales notas explicativas” del Apéndice I del Anexo I</w:t>
      </w:r>
      <w:r w:rsidR="00061C2A" w:rsidRPr="00DD4E4F">
        <w:rPr>
          <w:rFonts w:cs="Arial"/>
          <w:lang w:val="es-419"/>
        </w:rPr>
        <w:t xml:space="preserve">, </w:t>
      </w:r>
      <w:r w:rsidR="004A7F6B" w:rsidRPr="00DD4E4F">
        <w:rPr>
          <w:rFonts w:cs="Arial"/>
          <w:lang w:val="es-419"/>
        </w:rPr>
        <w:t xml:space="preserve">se </w:t>
      </w:r>
      <w:r w:rsidR="0018304C" w:rsidRPr="00DD4E4F">
        <w:rPr>
          <w:rFonts w:cs="Arial"/>
          <w:lang w:val="es-419"/>
        </w:rPr>
        <w:t>indica</w:t>
      </w:r>
      <w:r w:rsidR="004A7F6B" w:rsidRPr="00DD4E4F">
        <w:rPr>
          <w:rFonts w:cs="Arial"/>
          <w:lang w:val="es-419"/>
        </w:rPr>
        <w:t xml:space="preserve"> entre corchetes la numeración de las cuestiones que figuraba en la versión anterior</w:t>
      </w:r>
      <w:r w:rsidR="00061C2A" w:rsidRPr="00DD4E4F">
        <w:rPr>
          <w:rFonts w:cs="Arial"/>
          <w:lang w:val="es-419"/>
        </w:rPr>
        <w:t xml:space="preserve">, </w:t>
      </w:r>
      <w:r w:rsidR="0018304C" w:rsidRPr="00DD4E4F">
        <w:rPr>
          <w:rFonts w:cs="Arial"/>
          <w:lang w:val="es-419"/>
        </w:rPr>
        <w:t>a fin de</w:t>
      </w:r>
      <w:r w:rsidR="004A7F6B" w:rsidRPr="00DD4E4F">
        <w:rPr>
          <w:rFonts w:cs="Arial"/>
          <w:lang w:val="es-419"/>
        </w:rPr>
        <w:t xml:space="preserve"> facilitar su consulta.</w:t>
      </w:r>
      <w:r w:rsidR="004E6D0C" w:rsidRPr="00DD4E4F">
        <w:rPr>
          <w:rFonts w:cs="Arial"/>
          <w:lang w:val="es-419"/>
        </w:rPr>
        <w:t xml:space="preserve"> </w:t>
      </w:r>
    </w:p>
    <w:p w:rsidR="00211989" w:rsidRPr="00750978" w:rsidRDefault="00211989" w:rsidP="00211989">
      <w:pPr>
        <w:jc w:val="left"/>
        <w:rPr>
          <w:sz w:val="18"/>
          <w:lang w:val="es-419"/>
        </w:rPr>
      </w:pPr>
    </w:p>
    <w:p w:rsidR="00211989" w:rsidRPr="00DD4E4F" w:rsidRDefault="00E43D05" w:rsidP="00211989">
      <w:pPr>
        <w:pStyle w:val="Heading3"/>
        <w:rPr>
          <w:lang w:val="es-419"/>
        </w:rPr>
      </w:pPr>
      <w:bookmarkStart w:id="9" w:name="_Toc48834432"/>
      <w:r w:rsidRPr="00DD4E4F">
        <w:rPr>
          <w:lang w:val="es-419"/>
        </w:rPr>
        <w:t xml:space="preserve">Mandato del Grupo de trabajo sobre variedades esencialmente derivadas </w:t>
      </w:r>
      <w:r w:rsidR="004A7F6B" w:rsidRPr="00DD4E4F">
        <w:rPr>
          <w:lang w:val="es-419"/>
        </w:rPr>
        <w:t>(</w:t>
      </w:r>
      <w:proofErr w:type="spellStart"/>
      <w:r w:rsidR="004A7F6B" w:rsidRPr="00DD4E4F">
        <w:rPr>
          <w:lang w:val="es-419"/>
        </w:rPr>
        <w:t>WG</w:t>
      </w:r>
      <w:proofErr w:type="spellEnd"/>
      <w:r w:rsidR="004A7F6B" w:rsidRPr="00DD4E4F">
        <w:rPr>
          <w:lang w:val="es-419"/>
        </w:rPr>
        <w:t>-EDV)</w:t>
      </w:r>
      <w:bookmarkEnd w:id="9"/>
    </w:p>
    <w:p w:rsidR="00211989" w:rsidRPr="00750978" w:rsidRDefault="00211989" w:rsidP="00211989">
      <w:pPr>
        <w:rPr>
          <w:sz w:val="18"/>
          <w:lang w:val="es-419"/>
        </w:rPr>
      </w:pPr>
    </w:p>
    <w:p w:rsidR="00211989" w:rsidRPr="00DD4E4F" w:rsidRDefault="006548F4" w:rsidP="00211989">
      <w:pPr>
        <w:rPr>
          <w:rFonts w:cs="Arial"/>
          <w:lang w:val="es-419"/>
        </w:rPr>
      </w:pPr>
      <w:r w:rsidRPr="00DD4E4F">
        <w:rPr>
          <w:rFonts w:cs="Arial"/>
          <w:spacing w:val="-2"/>
          <w:lang w:val="es-419"/>
        </w:rPr>
        <w:fldChar w:fldCharType="begin"/>
      </w:r>
      <w:r w:rsidR="00211989" w:rsidRPr="00DD4E4F">
        <w:rPr>
          <w:rFonts w:cs="Arial"/>
          <w:spacing w:val="-2"/>
          <w:lang w:val="es-419"/>
        </w:rPr>
        <w:instrText xml:space="preserve"> AUTONUM  </w:instrText>
      </w:r>
      <w:r w:rsidRPr="00DD4E4F">
        <w:rPr>
          <w:rFonts w:cs="Arial"/>
          <w:spacing w:val="-2"/>
          <w:lang w:val="es-419"/>
        </w:rPr>
        <w:fldChar w:fldCharType="end"/>
      </w:r>
      <w:r w:rsidR="00211989" w:rsidRPr="00DD4E4F">
        <w:rPr>
          <w:rFonts w:cs="Arial"/>
          <w:spacing w:val="-2"/>
          <w:lang w:val="es-419"/>
        </w:rPr>
        <w:tab/>
      </w:r>
      <w:r w:rsidR="00E3669C" w:rsidRPr="00DD4E4F">
        <w:rPr>
          <w:rFonts w:cs="Arial"/>
          <w:lang w:val="es-419"/>
        </w:rPr>
        <w:t xml:space="preserve">Las </w:t>
      </w:r>
      <w:r w:rsidR="00922E91" w:rsidRPr="00DD4E4F">
        <w:rPr>
          <w:rFonts w:cs="Arial"/>
          <w:lang w:val="es-419"/>
        </w:rPr>
        <w:t>respuestas a la circular E-20/093</w:t>
      </w:r>
      <w:r w:rsidR="00556A0F" w:rsidRPr="00DD4E4F">
        <w:rPr>
          <w:rFonts w:cs="Arial"/>
          <w:lang w:val="es-419"/>
        </w:rPr>
        <w:t xml:space="preserve"> </w:t>
      </w:r>
      <w:r w:rsidR="00922E91" w:rsidRPr="00DD4E4F">
        <w:rPr>
          <w:rFonts w:cs="Arial"/>
          <w:lang w:val="es-419"/>
        </w:rPr>
        <w:t xml:space="preserve">no </w:t>
      </w:r>
      <w:r w:rsidR="00E3669C" w:rsidRPr="00DD4E4F">
        <w:rPr>
          <w:rFonts w:cs="Arial"/>
          <w:lang w:val="es-419"/>
        </w:rPr>
        <w:t xml:space="preserve">contenían </w:t>
      </w:r>
      <w:r w:rsidR="00922E91" w:rsidRPr="00DD4E4F">
        <w:rPr>
          <w:rFonts w:cs="Arial"/>
          <w:lang w:val="es-419"/>
        </w:rPr>
        <w:t xml:space="preserve">propuestas </w:t>
      </w:r>
      <w:r w:rsidR="00556A0F" w:rsidRPr="00DD4E4F">
        <w:rPr>
          <w:rFonts w:cs="Arial"/>
          <w:lang w:val="es-419"/>
        </w:rPr>
        <w:t xml:space="preserve">de modificación del </w:t>
      </w:r>
      <w:r w:rsidR="009F11CA">
        <w:rPr>
          <w:rFonts w:cs="Arial"/>
          <w:lang w:val="es-419"/>
        </w:rPr>
        <w:t xml:space="preserve">texto del </w:t>
      </w:r>
      <w:r w:rsidR="00556A0F" w:rsidRPr="00DD4E4F">
        <w:rPr>
          <w:rFonts w:cs="Arial"/>
          <w:lang w:val="es-419"/>
        </w:rPr>
        <w:t xml:space="preserve">proyecto de mandato para un grupo de trabajo sobre variedades esencialmente derivadas </w:t>
      </w:r>
      <w:r w:rsidR="00922E91" w:rsidRPr="00DD4E4F">
        <w:rPr>
          <w:rFonts w:cs="Arial"/>
          <w:lang w:val="es-419"/>
        </w:rPr>
        <w:t>(</w:t>
      </w:r>
      <w:proofErr w:type="spellStart"/>
      <w:r w:rsidR="00922E91" w:rsidRPr="00DD4E4F">
        <w:rPr>
          <w:rFonts w:cs="Arial"/>
          <w:lang w:val="es-419"/>
        </w:rPr>
        <w:t>WG</w:t>
      </w:r>
      <w:proofErr w:type="spellEnd"/>
      <w:r w:rsidR="00922E91" w:rsidRPr="00DD4E4F">
        <w:rPr>
          <w:rFonts w:cs="Arial"/>
          <w:lang w:val="es-419"/>
        </w:rPr>
        <w:t>-</w:t>
      </w:r>
      <w:r w:rsidR="00556A0F" w:rsidRPr="00DD4E4F">
        <w:rPr>
          <w:rFonts w:cs="Arial"/>
          <w:lang w:val="es-419"/>
        </w:rPr>
        <w:t>EDV</w:t>
      </w:r>
      <w:r w:rsidR="00922E91" w:rsidRPr="00DD4E4F">
        <w:rPr>
          <w:rFonts w:cs="Arial"/>
          <w:lang w:val="es-419"/>
        </w:rPr>
        <w:t xml:space="preserve">) </w:t>
      </w:r>
      <w:r w:rsidR="00556A0F" w:rsidRPr="00DD4E4F">
        <w:rPr>
          <w:rFonts w:cs="Arial"/>
          <w:lang w:val="es-419"/>
        </w:rPr>
        <w:t xml:space="preserve">que figura </w:t>
      </w:r>
      <w:r w:rsidR="00922E91" w:rsidRPr="00DD4E4F">
        <w:rPr>
          <w:rFonts w:cs="Arial"/>
          <w:lang w:val="es-419"/>
        </w:rPr>
        <w:t xml:space="preserve">en </w:t>
      </w:r>
      <w:r w:rsidR="00556A0F" w:rsidRPr="00DD4E4F">
        <w:rPr>
          <w:rFonts w:cs="Arial"/>
          <w:lang w:val="es-419"/>
        </w:rPr>
        <w:t xml:space="preserve">el </w:t>
      </w:r>
      <w:r w:rsidR="00922E91" w:rsidRPr="00DD4E4F">
        <w:rPr>
          <w:rFonts w:cs="Arial"/>
          <w:lang w:val="es-419"/>
        </w:rPr>
        <w:t>Anexo</w:t>
      </w:r>
      <w:r w:rsidR="00556A0F" w:rsidRPr="00DD4E4F">
        <w:rPr>
          <w:rFonts w:cs="Arial"/>
          <w:lang w:val="es-419"/>
        </w:rPr>
        <w:t> </w:t>
      </w:r>
      <w:r w:rsidR="00922E91" w:rsidRPr="00DD4E4F">
        <w:rPr>
          <w:rFonts w:cs="Arial"/>
          <w:lang w:val="es-419"/>
        </w:rPr>
        <w:t xml:space="preserve">II de </w:t>
      </w:r>
      <w:r w:rsidR="00556A0F" w:rsidRPr="00DD4E4F">
        <w:rPr>
          <w:rFonts w:cs="Arial"/>
          <w:lang w:val="es-419"/>
        </w:rPr>
        <w:t xml:space="preserve">la circular </w:t>
      </w:r>
      <w:r w:rsidR="00922E91" w:rsidRPr="00DD4E4F">
        <w:rPr>
          <w:rFonts w:cs="Arial"/>
          <w:lang w:val="es-419"/>
        </w:rPr>
        <w:t xml:space="preserve">E-20/093 y </w:t>
      </w:r>
      <w:r w:rsidR="00556A0F" w:rsidRPr="00DD4E4F">
        <w:rPr>
          <w:rFonts w:cs="Arial"/>
          <w:lang w:val="es-419"/>
        </w:rPr>
        <w:t>se reproduce</w:t>
      </w:r>
      <w:r w:rsidR="00922E91" w:rsidRPr="00DD4E4F">
        <w:rPr>
          <w:rFonts w:cs="Arial"/>
          <w:lang w:val="es-419"/>
        </w:rPr>
        <w:t xml:space="preserve"> en </w:t>
      </w:r>
      <w:r w:rsidR="00556A0F" w:rsidRPr="00DD4E4F">
        <w:rPr>
          <w:rFonts w:cs="Arial"/>
          <w:lang w:val="es-419"/>
        </w:rPr>
        <w:t xml:space="preserve">el </w:t>
      </w:r>
      <w:r w:rsidR="00922E91" w:rsidRPr="00DD4E4F">
        <w:rPr>
          <w:rFonts w:cs="Arial"/>
          <w:lang w:val="es-419"/>
        </w:rPr>
        <w:t>Anexo</w:t>
      </w:r>
      <w:r w:rsidR="00556A0F" w:rsidRPr="00DD4E4F">
        <w:rPr>
          <w:rFonts w:cs="Arial"/>
          <w:lang w:val="es-419"/>
        </w:rPr>
        <w:t> </w:t>
      </w:r>
      <w:r w:rsidR="00922E91" w:rsidRPr="00DD4E4F">
        <w:rPr>
          <w:rFonts w:cs="Arial"/>
          <w:lang w:val="es-419"/>
        </w:rPr>
        <w:t>II del presente documento.</w:t>
      </w:r>
      <w:r w:rsidR="00211989" w:rsidRPr="00DD4E4F">
        <w:rPr>
          <w:rFonts w:cs="Arial"/>
          <w:lang w:val="es-419"/>
        </w:rPr>
        <w:t xml:space="preserve"> </w:t>
      </w:r>
    </w:p>
    <w:p w:rsidR="00211989" w:rsidRPr="00750978" w:rsidRDefault="00211989" w:rsidP="00211989">
      <w:pPr>
        <w:rPr>
          <w:rFonts w:cs="Arial"/>
          <w:sz w:val="18"/>
          <w:lang w:val="es-419"/>
        </w:rPr>
      </w:pPr>
    </w:p>
    <w:p w:rsidR="00211989" w:rsidRPr="00DD4E4F" w:rsidRDefault="006548F4" w:rsidP="00211989">
      <w:pPr>
        <w:rPr>
          <w:rFonts w:cs="Arial"/>
          <w:sz w:val="18"/>
          <w:szCs w:val="18"/>
          <w:lang w:val="es-419"/>
        </w:rPr>
      </w:pPr>
      <w:r w:rsidRPr="00DD4E4F">
        <w:rPr>
          <w:rFonts w:cs="Arial"/>
          <w:lang w:val="es-419"/>
        </w:rPr>
        <w:fldChar w:fldCharType="begin"/>
      </w:r>
      <w:r w:rsidR="00211989" w:rsidRPr="00DD4E4F">
        <w:rPr>
          <w:rFonts w:cs="Arial"/>
          <w:lang w:val="es-419"/>
        </w:rPr>
        <w:instrText xml:space="preserve"> AUTONUM  </w:instrText>
      </w:r>
      <w:r w:rsidRPr="00DD4E4F">
        <w:rPr>
          <w:rFonts w:cs="Arial"/>
          <w:lang w:val="es-419"/>
        </w:rPr>
        <w:fldChar w:fldCharType="end"/>
      </w:r>
      <w:r w:rsidR="00211989" w:rsidRPr="00DD4E4F">
        <w:rPr>
          <w:rFonts w:cs="Arial"/>
          <w:lang w:val="es-419"/>
        </w:rPr>
        <w:tab/>
      </w:r>
      <w:r w:rsidR="00556A0F" w:rsidRPr="00DD4E4F">
        <w:rPr>
          <w:rFonts w:cs="Arial"/>
          <w:lang w:val="es-419"/>
        </w:rPr>
        <w:t xml:space="preserve">En las observaciones de la Unión Europea y en la aportación </w:t>
      </w:r>
      <w:r w:rsidR="00556A0F" w:rsidRPr="00DD4E4F">
        <w:rPr>
          <w:lang w:val="es-419"/>
        </w:rPr>
        <w:t xml:space="preserve">conjunta </w:t>
      </w:r>
      <w:r w:rsidR="00284332" w:rsidRPr="00DD4E4F">
        <w:rPr>
          <w:rFonts w:cs="Arial"/>
          <w:lang w:val="es-419"/>
        </w:rPr>
        <w:t>de la </w:t>
      </w:r>
      <w:proofErr w:type="spellStart"/>
      <w:r w:rsidR="00284332" w:rsidRPr="00DD4E4F">
        <w:rPr>
          <w:rFonts w:cs="Arial"/>
          <w:lang w:val="es-419"/>
        </w:rPr>
        <w:t>AFSTA</w:t>
      </w:r>
      <w:proofErr w:type="spellEnd"/>
      <w:r w:rsidR="00061C2A" w:rsidRPr="00DD4E4F">
        <w:rPr>
          <w:rFonts w:cs="Arial"/>
          <w:lang w:val="es-419"/>
        </w:rPr>
        <w:t xml:space="preserve">, </w:t>
      </w:r>
      <w:r w:rsidR="00284332" w:rsidRPr="00DD4E4F">
        <w:rPr>
          <w:rFonts w:cs="Arial"/>
          <w:lang w:val="es-419"/>
        </w:rPr>
        <w:t>la </w:t>
      </w:r>
      <w:proofErr w:type="spellStart"/>
      <w:r w:rsidR="00284332" w:rsidRPr="00DD4E4F">
        <w:rPr>
          <w:rFonts w:cs="Arial"/>
          <w:lang w:val="es-419"/>
        </w:rPr>
        <w:t>APSA</w:t>
      </w:r>
      <w:proofErr w:type="spellEnd"/>
      <w:r w:rsidR="00061C2A" w:rsidRPr="00DD4E4F">
        <w:rPr>
          <w:rFonts w:cs="Arial"/>
          <w:lang w:val="es-419"/>
        </w:rPr>
        <w:t xml:space="preserve">, </w:t>
      </w:r>
      <w:r w:rsidR="00284332" w:rsidRPr="00DD4E4F">
        <w:rPr>
          <w:rFonts w:cs="Arial"/>
          <w:lang w:val="es-419"/>
        </w:rPr>
        <w:t>la </w:t>
      </w:r>
      <w:proofErr w:type="spellStart"/>
      <w:r w:rsidR="00284332" w:rsidRPr="00DD4E4F">
        <w:rPr>
          <w:rFonts w:cs="Arial"/>
          <w:lang w:val="es-419"/>
        </w:rPr>
        <w:t>CIOPORA</w:t>
      </w:r>
      <w:proofErr w:type="spellEnd"/>
      <w:r w:rsidR="00061C2A" w:rsidRPr="00DD4E4F">
        <w:rPr>
          <w:rFonts w:cs="Arial"/>
          <w:lang w:val="es-419"/>
        </w:rPr>
        <w:t xml:space="preserve">, </w:t>
      </w:r>
      <w:proofErr w:type="spellStart"/>
      <w:r w:rsidR="00284332" w:rsidRPr="00DD4E4F">
        <w:rPr>
          <w:rFonts w:cs="Arial"/>
          <w:i/>
          <w:lang w:val="es-419"/>
        </w:rPr>
        <w:t>CropLife</w:t>
      </w:r>
      <w:proofErr w:type="spellEnd"/>
      <w:r w:rsidR="00284332" w:rsidRPr="00DD4E4F">
        <w:rPr>
          <w:rFonts w:cs="Arial"/>
          <w:i/>
          <w:lang w:val="es-419"/>
        </w:rPr>
        <w:t xml:space="preserve"> International</w:t>
      </w:r>
      <w:r w:rsidR="00061C2A" w:rsidRPr="00DD4E4F">
        <w:rPr>
          <w:rFonts w:cs="Arial"/>
          <w:lang w:val="es-419"/>
        </w:rPr>
        <w:t xml:space="preserve">, </w:t>
      </w:r>
      <w:proofErr w:type="spellStart"/>
      <w:r w:rsidR="00284332" w:rsidRPr="00DD4E4F">
        <w:rPr>
          <w:rFonts w:cs="Arial"/>
          <w:lang w:val="es-419"/>
        </w:rPr>
        <w:t>Euroseeds</w:t>
      </w:r>
      <w:proofErr w:type="spellEnd"/>
      <w:r w:rsidR="00061C2A" w:rsidRPr="00DD4E4F">
        <w:rPr>
          <w:rFonts w:cs="Arial"/>
          <w:lang w:val="es-419"/>
        </w:rPr>
        <w:t xml:space="preserve">, </w:t>
      </w:r>
      <w:r w:rsidR="00284332" w:rsidRPr="00DD4E4F">
        <w:rPr>
          <w:rFonts w:cs="Arial"/>
          <w:lang w:val="es-419"/>
        </w:rPr>
        <w:t>la </w:t>
      </w:r>
      <w:proofErr w:type="spellStart"/>
      <w:r w:rsidR="00284332" w:rsidRPr="00DD4E4F">
        <w:rPr>
          <w:rFonts w:cs="Arial"/>
          <w:lang w:val="es-419"/>
        </w:rPr>
        <w:t>ISF</w:t>
      </w:r>
      <w:proofErr w:type="spellEnd"/>
      <w:r w:rsidR="00284332" w:rsidRPr="00DD4E4F">
        <w:rPr>
          <w:rFonts w:cs="Arial"/>
          <w:lang w:val="es-419"/>
        </w:rPr>
        <w:t xml:space="preserve"> y la </w:t>
      </w:r>
      <w:proofErr w:type="spellStart"/>
      <w:r w:rsidR="00284332" w:rsidRPr="00DD4E4F">
        <w:rPr>
          <w:rFonts w:cs="Arial"/>
          <w:lang w:val="es-419"/>
        </w:rPr>
        <w:t>SAA</w:t>
      </w:r>
      <w:proofErr w:type="spellEnd"/>
      <w:r w:rsidR="00061C2A" w:rsidRPr="00DD4E4F">
        <w:rPr>
          <w:rFonts w:cs="Arial"/>
          <w:lang w:val="es-419"/>
        </w:rPr>
        <w:t xml:space="preserve">, </w:t>
      </w:r>
      <w:r w:rsidR="00FA2EA8" w:rsidRPr="00DD4E4F">
        <w:rPr>
          <w:rFonts w:cs="Arial"/>
          <w:lang w:val="es-419"/>
        </w:rPr>
        <w:t xml:space="preserve">se </w:t>
      </w:r>
      <w:r w:rsidR="00CD77A0" w:rsidRPr="00DD4E4F">
        <w:rPr>
          <w:rFonts w:cs="Arial"/>
          <w:lang w:val="es-419"/>
        </w:rPr>
        <w:t>propuso</w:t>
      </w:r>
      <w:r w:rsidR="00FA2EA8" w:rsidRPr="00DD4E4F">
        <w:rPr>
          <w:rFonts w:cs="Arial"/>
          <w:lang w:val="es-419"/>
        </w:rPr>
        <w:t xml:space="preserve"> </w:t>
      </w:r>
      <w:r w:rsidR="009F11CA">
        <w:rPr>
          <w:rFonts w:cs="Arial"/>
          <w:lang w:val="es-419"/>
        </w:rPr>
        <w:t>que se incluya</w:t>
      </w:r>
      <w:r w:rsidR="00556A0F" w:rsidRPr="00DD4E4F">
        <w:rPr>
          <w:rFonts w:cs="Arial"/>
          <w:lang w:val="es-419"/>
        </w:rPr>
        <w:t xml:space="preserve"> </w:t>
      </w:r>
      <w:r w:rsidR="00110A20" w:rsidRPr="00DD4E4F">
        <w:rPr>
          <w:rFonts w:cs="Arial"/>
          <w:lang w:val="es-419"/>
        </w:rPr>
        <w:t xml:space="preserve">un calendario </w:t>
      </w:r>
      <w:r w:rsidR="00556A0F" w:rsidRPr="00DD4E4F">
        <w:rPr>
          <w:rFonts w:cs="Arial"/>
          <w:lang w:val="es-419"/>
        </w:rPr>
        <w:t xml:space="preserve">provisional </w:t>
      </w:r>
      <w:r w:rsidR="00110A20" w:rsidRPr="00DD4E4F">
        <w:rPr>
          <w:rFonts w:cs="Arial"/>
          <w:lang w:val="es-419"/>
        </w:rPr>
        <w:t xml:space="preserve">para </w:t>
      </w:r>
      <w:r w:rsidR="00556A0F" w:rsidRPr="00DD4E4F">
        <w:rPr>
          <w:rFonts w:cs="Arial"/>
          <w:lang w:val="es-419"/>
        </w:rPr>
        <w:t>la labor de</w:t>
      </w:r>
      <w:r w:rsidR="00110A20" w:rsidRPr="00DD4E4F">
        <w:rPr>
          <w:rFonts w:cs="Arial"/>
          <w:lang w:val="es-419"/>
        </w:rPr>
        <w:t>l </w:t>
      </w:r>
      <w:proofErr w:type="spellStart"/>
      <w:r w:rsidR="00556A0F" w:rsidRPr="00DD4E4F">
        <w:rPr>
          <w:rFonts w:cs="Arial"/>
          <w:lang w:val="es-419"/>
        </w:rPr>
        <w:t>WG</w:t>
      </w:r>
      <w:proofErr w:type="spellEnd"/>
      <w:r w:rsidR="00556A0F" w:rsidRPr="00DD4E4F">
        <w:rPr>
          <w:rFonts w:cs="Arial"/>
          <w:lang w:val="es-419"/>
        </w:rPr>
        <w:t>-EDV.</w:t>
      </w:r>
    </w:p>
    <w:p w:rsidR="00211989" w:rsidRPr="00750978" w:rsidRDefault="00211989" w:rsidP="00211989">
      <w:pPr>
        <w:rPr>
          <w:rFonts w:cs="Arial"/>
          <w:sz w:val="18"/>
          <w:lang w:val="es-419"/>
        </w:rPr>
      </w:pPr>
    </w:p>
    <w:p w:rsidR="00211989" w:rsidRPr="00DD4E4F" w:rsidRDefault="006548F4" w:rsidP="00211989">
      <w:pPr>
        <w:keepNext/>
        <w:tabs>
          <w:tab w:val="left" w:pos="567"/>
        </w:tabs>
        <w:rPr>
          <w:rFonts w:cs="Arial"/>
          <w:lang w:val="es-419"/>
        </w:rPr>
      </w:pPr>
      <w:r w:rsidRPr="00DD4E4F">
        <w:rPr>
          <w:rFonts w:cs="Arial"/>
          <w:lang w:val="es-419"/>
        </w:rPr>
        <w:fldChar w:fldCharType="begin"/>
      </w:r>
      <w:r w:rsidR="00211989" w:rsidRPr="00DD4E4F">
        <w:rPr>
          <w:rFonts w:cs="Arial"/>
          <w:lang w:val="es-419"/>
        </w:rPr>
        <w:instrText xml:space="preserve"> AUTONUM  </w:instrText>
      </w:r>
      <w:r w:rsidRPr="00DD4E4F">
        <w:rPr>
          <w:rFonts w:cs="Arial"/>
          <w:lang w:val="es-419"/>
        </w:rPr>
        <w:fldChar w:fldCharType="end"/>
      </w:r>
      <w:r w:rsidR="00211989" w:rsidRPr="00DD4E4F">
        <w:rPr>
          <w:rFonts w:cs="Arial"/>
          <w:lang w:val="es-419"/>
        </w:rPr>
        <w:tab/>
      </w:r>
      <w:r w:rsidR="00C81EFB" w:rsidRPr="00DD4E4F">
        <w:rPr>
          <w:rFonts w:cs="Arial"/>
          <w:lang w:val="es-419"/>
        </w:rPr>
        <w:t xml:space="preserve">Con respecto a </w:t>
      </w:r>
      <w:r w:rsidR="00E3669C" w:rsidRPr="00DD4E4F">
        <w:rPr>
          <w:rFonts w:cs="Arial"/>
          <w:lang w:val="es-419"/>
        </w:rPr>
        <w:t>dichas observaciones</w:t>
      </w:r>
      <w:r w:rsidR="00061C2A" w:rsidRPr="00DD4E4F">
        <w:rPr>
          <w:rFonts w:cs="Arial"/>
          <w:lang w:val="es-419"/>
        </w:rPr>
        <w:t xml:space="preserve">, </w:t>
      </w:r>
      <w:r w:rsidR="00E3669C" w:rsidRPr="00DD4E4F">
        <w:rPr>
          <w:rFonts w:cs="Arial"/>
          <w:lang w:val="es-419"/>
        </w:rPr>
        <w:t>en el apartado “</w:t>
      </w:r>
      <w:r w:rsidR="00E3669C" w:rsidRPr="00DD4E4F">
        <w:rPr>
          <w:rFonts w:cs="Arial"/>
          <w:i/>
          <w:lang w:val="es-419"/>
        </w:rPr>
        <w:t>Modus operandi</w:t>
      </w:r>
      <w:r w:rsidR="00E3669C" w:rsidRPr="00DD4E4F">
        <w:rPr>
          <w:rFonts w:cs="Arial"/>
          <w:lang w:val="es-419"/>
        </w:rPr>
        <w:t xml:space="preserve">” del mandato (párrafo c)) </w:t>
      </w:r>
      <w:r w:rsidR="008570E4" w:rsidRPr="00DD4E4F">
        <w:rPr>
          <w:rFonts w:cs="Arial"/>
          <w:lang w:val="es-419"/>
        </w:rPr>
        <w:t>se estipula</w:t>
      </w:r>
      <w:r w:rsidR="00E3669C" w:rsidRPr="00DD4E4F">
        <w:rPr>
          <w:rFonts w:cs="Arial"/>
          <w:lang w:val="es-419"/>
        </w:rPr>
        <w:t xml:space="preserve"> lo siguiente:</w:t>
      </w:r>
    </w:p>
    <w:p w:rsidR="00211989" w:rsidRPr="00750978" w:rsidRDefault="00211989" w:rsidP="00211989">
      <w:pPr>
        <w:keepNext/>
        <w:tabs>
          <w:tab w:val="left" w:pos="1134"/>
        </w:tabs>
        <w:rPr>
          <w:rFonts w:cs="Arial"/>
          <w:sz w:val="18"/>
          <w:u w:val="single"/>
          <w:lang w:val="es-419"/>
        </w:rPr>
      </w:pPr>
    </w:p>
    <w:p w:rsidR="00211989" w:rsidRPr="006F27F6" w:rsidRDefault="00C9081C" w:rsidP="00211989">
      <w:pPr>
        <w:tabs>
          <w:tab w:val="left" w:pos="1134"/>
        </w:tabs>
        <w:ind w:left="567" w:right="567"/>
        <w:rPr>
          <w:rFonts w:cs="Arial"/>
          <w:spacing w:val="-4"/>
          <w:sz w:val="18"/>
          <w:szCs w:val="18"/>
          <w:lang w:val="es-419"/>
        </w:rPr>
      </w:pPr>
      <w:r w:rsidRPr="006F27F6">
        <w:rPr>
          <w:rFonts w:cs="Arial"/>
          <w:spacing w:val="-4"/>
          <w:sz w:val="18"/>
          <w:szCs w:val="18"/>
          <w:lang w:val="es-419"/>
        </w:rPr>
        <w:t xml:space="preserve">“el </w:t>
      </w:r>
      <w:proofErr w:type="spellStart"/>
      <w:r w:rsidRPr="006F27F6">
        <w:rPr>
          <w:rFonts w:cs="Arial"/>
          <w:spacing w:val="-4"/>
          <w:sz w:val="18"/>
          <w:szCs w:val="18"/>
          <w:lang w:val="es-419"/>
        </w:rPr>
        <w:t>WG</w:t>
      </w:r>
      <w:proofErr w:type="spellEnd"/>
      <w:r w:rsidRPr="006F27F6">
        <w:rPr>
          <w:rFonts w:cs="Arial"/>
          <w:spacing w:val="-4"/>
          <w:sz w:val="18"/>
          <w:szCs w:val="18"/>
          <w:lang w:val="es-419"/>
        </w:rPr>
        <w:t>-EDV informará al </w:t>
      </w:r>
      <w:proofErr w:type="spellStart"/>
      <w:r w:rsidRPr="006F27F6">
        <w:rPr>
          <w:rFonts w:cs="Arial"/>
          <w:spacing w:val="-4"/>
          <w:sz w:val="18"/>
          <w:szCs w:val="18"/>
          <w:lang w:val="es-419"/>
        </w:rPr>
        <w:t>CAJ</w:t>
      </w:r>
      <w:proofErr w:type="spellEnd"/>
      <w:r w:rsidRPr="006F27F6">
        <w:rPr>
          <w:rFonts w:cs="Arial"/>
          <w:spacing w:val="-4"/>
          <w:sz w:val="18"/>
          <w:szCs w:val="18"/>
          <w:lang w:val="es-419"/>
        </w:rPr>
        <w:t xml:space="preserve"> de la marcha de su labor y solicitará orientación adicional al </w:t>
      </w:r>
      <w:proofErr w:type="spellStart"/>
      <w:r w:rsidRPr="006F27F6">
        <w:rPr>
          <w:rFonts w:cs="Arial"/>
          <w:spacing w:val="-4"/>
          <w:sz w:val="18"/>
          <w:szCs w:val="18"/>
          <w:lang w:val="es-419"/>
        </w:rPr>
        <w:t>CAJ</w:t>
      </w:r>
      <w:proofErr w:type="spellEnd"/>
      <w:r w:rsidR="00061C2A" w:rsidRPr="006F27F6">
        <w:rPr>
          <w:rFonts w:cs="Arial"/>
          <w:spacing w:val="-4"/>
          <w:sz w:val="18"/>
          <w:szCs w:val="18"/>
          <w:lang w:val="es-419"/>
        </w:rPr>
        <w:t xml:space="preserve">, </w:t>
      </w:r>
      <w:r w:rsidRPr="006F27F6">
        <w:rPr>
          <w:rFonts w:cs="Arial"/>
          <w:spacing w:val="-4"/>
          <w:sz w:val="18"/>
          <w:szCs w:val="18"/>
          <w:lang w:val="es-419"/>
        </w:rPr>
        <w:t>según proceda;”</w:t>
      </w:r>
    </w:p>
    <w:p w:rsidR="00211989" w:rsidRPr="00750978" w:rsidRDefault="00211989" w:rsidP="00211989">
      <w:pPr>
        <w:pStyle w:val="ListParagraph"/>
        <w:tabs>
          <w:tab w:val="left" w:pos="1134"/>
        </w:tabs>
        <w:ind w:left="1143"/>
        <w:rPr>
          <w:rFonts w:cs="Arial"/>
          <w:sz w:val="18"/>
          <w:lang w:val="es-419"/>
        </w:rPr>
      </w:pPr>
    </w:p>
    <w:p w:rsidR="00211989" w:rsidRPr="00DD4E4F" w:rsidRDefault="006548F4" w:rsidP="00211989">
      <w:pPr>
        <w:tabs>
          <w:tab w:val="left" w:pos="567"/>
        </w:tabs>
        <w:rPr>
          <w:rFonts w:cs="Arial"/>
          <w:lang w:val="es-419"/>
        </w:rPr>
      </w:pPr>
      <w:r w:rsidRPr="00DD4E4F">
        <w:rPr>
          <w:rFonts w:cs="Arial"/>
          <w:lang w:val="es-419"/>
        </w:rPr>
        <w:fldChar w:fldCharType="begin"/>
      </w:r>
      <w:r w:rsidR="00211989" w:rsidRPr="00DD4E4F">
        <w:rPr>
          <w:rFonts w:cs="Arial"/>
          <w:lang w:val="es-419"/>
        </w:rPr>
        <w:instrText xml:space="preserve"> AUTONUM  </w:instrText>
      </w:r>
      <w:r w:rsidRPr="00DD4E4F">
        <w:rPr>
          <w:rFonts w:cs="Arial"/>
          <w:lang w:val="es-419"/>
        </w:rPr>
        <w:fldChar w:fldCharType="end"/>
      </w:r>
      <w:r w:rsidR="00211989" w:rsidRPr="00DD4E4F">
        <w:rPr>
          <w:rFonts w:cs="Arial"/>
          <w:lang w:val="es-419"/>
        </w:rPr>
        <w:tab/>
      </w:r>
      <w:r w:rsidR="00C9081C" w:rsidRPr="00DD4E4F">
        <w:rPr>
          <w:rFonts w:cs="Arial"/>
          <w:lang w:val="es-419"/>
        </w:rPr>
        <w:t>Se propone que el </w:t>
      </w:r>
      <w:proofErr w:type="spellStart"/>
      <w:r w:rsidR="00C9081C" w:rsidRPr="00DD4E4F">
        <w:rPr>
          <w:rFonts w:cs="Arial"/>
          <w:lang w:val="es-419"/>
        </w:rPr>
        <w:t>CAJ</w:t>
      </w:r>
      <w:proofErr w:type="spellEnd"/>
      <w:r w:rsidR="00C9081C" w:rsidRPr="00DD4E4F">
        <w:rPr>
          <w:rFonts w:cs="Arial"/>
          <w:lang w:val="es-419"/>
        </w:rPr>
        <w:t xml:space="preserve"> invite al </w:t>
      </w:r>
      <w:proofErr w:type="spellStart"/>
      <w:r w:rsidR="00C9081C" w:rsidRPr="00DD4E4F">
        <w:rPr>
          <w:rFonts w:cs="Arial"/>
          <w:lang w:val="es-419"/>
        </w:rPr>
        <w:t>WG</w:t>
      </w:r>
      <w:proofErr w:type="spellEnd"/>
      <w:r w:rsidR="00C9081C" w:rsidRPr="00DD4E4F">
        <w:rPr>
          <w:rFonts w:cs="Arial"/>
          <w:lang w:val="es-419"/>
        </w:rPr>
        <w:t xml:space="preserve">-EDV a fijar un calendario indicativo cuando tenga oportunidad de celebrar una reunión y </w:t>
      </w:r>
      <w:r w:rsidR="00D63B28" w:rsidRPr="00DD4E4F">
        <w:rPr>
          <w:rFonts w:cs="Arial"/>
          <w:lang w:val="es-419"/>
        </w:rPr>
        <w:t>a examinar</w:t>
      </w:r>
      <w:r w:rsidR="00C9081C" w:rsidRPr="00DD4E4F">
        <w:rPr>
          <w:rFonts w:cs="Arial"/>
          <w:lang w:val="es-419"/>
        </w:rPr>
        <w:t xml:space="preserve"> su </w:t>
      </w:r>
      <w:r w:rsidR="00D63B28" w:rsidRPr="00DD4E4F">
        <w:rPr>
          <w:rFonts w:cs="Arial"/>
          <w:lang w:val="es-419"/>
        </w:rPr>
        <w:t xml:space="preserve">misión </w:t>
      </w:r>
      <w:r w:rsidR="00C9081C" w:rsidRPr="00DD4E4F">
        <w:rPr>
          <w:rFonts w:cs="Arial"/>
          <w:lang w:val="es-419"/>
        </w:rPr>
        <w:t xml:space="preserve">de conformidad con </w:t>
      </w:r>
      <w:r w:rsidR="00D63B28" w:rsidRPr="00DD4E4F">
        <w:rPr>
          <w:rFonts w:cs="Arial"/>
          <w:lang w:val="es-419"/>
        </w:rPr>
        <w:t>su</w:t>
      </w:r>
      <w:r w:rsidR="00C9081C" w:rsidRPr="00DD4E4F">
        <w:rPr>
          <w:rFonts w:cs="Arial"/>
          <w:lang w:val="es-419"/>
        </w:rPr>
        <w:t xml:space="preserve"> mandato.</w:t>
      </w:r>
      <w:r w:rsidR="004E6D0C" w:rsidRPr="00DD4E4F">
        <w:rPr>
          <w:lang w:val="es-419"/>
        </w:rPr>
        <w:t xml:space="preserve"> </w:t>
      </w:r>
      <w:r w:rsidR="00D63B28" w:rsidRPr="00DD4E4F">
        <w:rPr>
          <w:lang w:val="es-419"/>
        </w:rPr>
        <w:t xml:space="preserve">El calendario provisional podría incluirse en el </w:t>
      </w:r>
      <w:r w:rsidR="00D63B28" w:rsidRPr="00DD4E4F">
        <w:rPr>
          <w:rFonts w:cs="Arial"/>
          <w:lang w:val="es-419"/>
        </w:rPr>
        <w:t xml:space="preserve">informe del </w:t>
      </w:r>
      <w:proofErr w:type="spellStart"/>
      <w:r w:rsidR="00D63B28" w:rsidRPr="00DD4E4F">
        <w:rPr>
          <w:rFonts w:cs="Arial"/>
          <w:lang w:val="es-419"/>
        </w:rPr>
        <w:t>WG</w:t>
      </w:r>
      <w:proofErr w:type="spellEnd"/>
      <w:r w:rsidR="00D63B28" w:rsidRPr="00DD4E4F">
        <w:rPr>
          <w:rFonts w:cs="Arial"/>
          <w:lang w:val="es-419"/>
        </w:rPr>
        <w:t>-EDV sobre</w:t>
      </w:r>
      <w:r w:rsidR="00D63B28" w:rsidRPr="00DD4E4F">
        <w:rPr>
          <w:lang w:val="es-419"/>
        </w:rPr>
        <w:t xml:space="preserve"> la marcha de su labor</w:t>
      </w:r>
      <w:r w:rsidR="00D63B28" w:rsidRPr="00DD4E4F">
        <w:rPr>
          <w:rFonts w:cs="Arial"/>
          <w:lang w:val="es-419"/>
        </w:rPr>
        <w:t xml:space="preserve"> que se ha de presentar al CAJ</w:t>
      </w:r>
      <w:r w:rsidR="00D63B28" w:rsidRPr="00DD4E4F">
        <w:rPr>
          <w:lang w:val="es-419"/>
        </w:rPr>
        <w:t>.</w:t>
      </w:r>
    </w:p>
    <w:p w:rsidR="00211989" w:rsidRPr="00750978" w:rsidRDefault="00211989" w:rsidP="00211989">
      <w:pPr>
        <w:rPr>
          <w:sz w:val="18"/>
          <w:lang w:val="es-419"/>
        </w:rPr>
      </w:pPr>
    </w:p>
    <w:p w:rsidR="00211989" w:rsidRPr="00F62F0E" w:rsidRDefault="00D63B28" w:rsidP="00211989">
      <w:pPr>
        <w:pStyle w:val="Heading3"/>
        <w:rPr>
          <w:lang w:val="es-ES"/>
        </w:rPr>
      </w:pPr>
      <w:bookmarkStart w:id="10" w:name="_Toc48834433"/>
      <w:r w:rsidRPr="00F62F0E">
        <w:rPr>
          <w:lang w:val="es-ES"/>
        </w:rPr>
        <w:t xml:space="preserve">Composición del </w:t>
      </w:r>
      <w:proofErr w:type="spellStart"/>
      <w:r w:rsidRPr="00F62F0E">
        <w:rPr>
          <w:lang w:val="es-ES"/>
        </w:rPr>
        <w:t>WG</w:t>
      </w:r>
      <w:proofErr w:type="spellEnd"/>
      <w:r w:rsidRPr="00F62F0E">
        <w:rPr>
          <w:lang w:val="es-ES"/>
        </w:rPr>
        <w:t>-EDV</w:t>
      </w:r>
      <w:bookmarkEnd w:id="10"/>
    </w:p>
    <w:p w:rsidR="00DA4A67" w:rsidRDefault="00DA4A67" w:rsidP="00211989">
      <w:pPr>
        <w:rPr>
          <w:rFonts w:cs="Arial"/>
          <w:spacing w:val="2"/>
          <w:highlight w:val="yellow"/>
          <w:lang w:val="es-419"/>
        </w:rPr>
      </w:pPr>
    </w:p>
    <w:p w:rsidR="00211989" w:rsidRPr="00F62F0E" w:rsidRDefault="006548F4" w:rsidP="00211989">
      <w:pPr>
        <w:rPr>
          <w:rFonts w:cs="Arial"/>
          <w:spacing w:val="-2"/>
          <w:lang w:val="es-419"/>
        </w:rPr>
      </w:pPr>
      <w:r w:rsidRPr="00F62F0E">
        <w:rPr>
          <w:rFonts w:cs="Arial"/>
          <w:spacing w:val="-2"/>
          <w:lang w:val="es-419"/>
        </w:rPr>
        <w:fldChar w:fldCharType="begin"/>
      </w:r>
      <w:r w:rsidR="00211989" w:rsidRPr="00F62F0E">
        <w:rPr>
          <w:rFonts w:cs="Arial"/>
          <w:spacing w:val="-2"/>
          <w:lang w:val="es-419"/>
        </w:rPr>
        <w:instrText xml:space="preserve"> AUTONUM  </w:instrText>
      </w:r>
      <w:r w:rsidRPr="00F62F0E">
        <w:rPr>
          <w:rFonts w:cs="Arial"/>
          <w:spacing w:val="-2"/>
          <w:lang w:val="es-419"/>
        </w:rPr>
        <w:fldChar w:fldCharType="end"/>
      </w:r>
      <w:r w:rsidR="00211989" w:rsidRPr="00F62F0E">
        <w:rPr>
          <w:rFonts w:cs="Arial"/>
          <w:spacing w:val="-2"/>
          <w:lang w:val="es-419"/>
        </w:rPr>
        <w:tab/>
      </w:r>
      <w:r w:rsidR="00D859F7" w:rsidRPr="00F62F0E">
        <w:rPr>
          <w:rFonts w:cs="Arial"/>
          <w:spacing w:val="-2"/>
          <w:lang w:val="es-419"/>
        </w:rPr>
        <w:t>En respuesta a la</w:t>
      </w:r>
      <w:r w:rsidR="00D859F7" w:rsidRPr="00F62F0E">
        <w:rPr>
          <w:rFonts w:cs="Arial"/>
          <w:spacing w:val="-2"/>
          <w:highlight w:val="yellow"/>
          <w:u w:val="single"/>
          <w:lang w:val="es-419"/>
        </w:rPr>
        <w:t>s</w:t>
      </w:r>
      <w:r w:rsidR="00D859F7" w:rsidRPr="00F62F0E">
        <w:rPr>
          <w:rFonts w:cs="Arial"/>
          <w:spacing w:val="-2"/>
          <w:lang w:val="es-419"/>
        </w:rPr>
        <w:t xml:space="preserve"> circular</w:t>
      </w:r>
      <w:r w:rsidR="00D859F7" w:rsidRPr="00F62F0E">
        <w:rPr>
          <w:rFonts w:cs="Arial"/>
          <w:spacing w:val="-2"/>
          <w:highlight w:val="yellow"/>
          <w:u w:val="single"/>
          <w:lang w:val="es-419"/>
        </w:rPr>
        <w:t>es</w:t>
      </w:r>
      <w:r w:rsidR="00D859F7" w:rsidRPr="00F62F0E">
        <w:rPr>
          <w:rFonts w:cs="Arial"/>
          <w:spacing w:val="-2"/>
          <w:lang w:val="es-419"/>
        </w:rPr>
        <w:t xml:space="preserve"> E-20/093 </w:t>
      </w:r>
      <w:r w:rsidR="00D859F7" w:rsidRPr="00F62F0E">
        <w:rPr>
          <w:rFonts w:cs="Arial"/>
          <w:spacing w:val="-2"/>
          <w:highlight w:val="yellow"/>
          <w:u w:val="single"/>
          <w:lang w:val="es-419"/>
        </w:rPr>
        <w:t>y E-20/120</w:t>
      </w:r>
      <w:r w:rsidR="00D859F7" w:rsidRPr="00F62F0E">
        <w:rPr>
          <w:rFonts w:cs="Arial"/>
          <w:spacing w:val="-2"/>
          <w:lang w:val="es-419"/>
        </w:rPr>
        <w:t xml:space="preserve">, </w:t>
      </w:r>
      <w:r w:rsidR="00D63B28" w:rsidRPr="00F62F0E">
        <w:rPr>
          <w:rFonts w:cs="Arial"/>
          <w:spacing w:val="-2"/>
          <w:lang w:val="es-419"/>
        </w:rPr>
        <w:t>los siguientes miembros de la Unión y observadores ante el </w:t>
      </w:r>
      <w:proofErr w:type="spellStart"/>
      <w:r w:rsidR="00D63B28" w:rsidRPr="00F62F0E">
        <w:rPr>
          <w:rFonts w:cs="Arial"/>
          <w:spacing w:val="-2"/>
          <w:lang w:val="es-419"/>
        </w:rPr>
        <w:t>CAJ</w:t>
      </w:r>
      <w:proofErr w:type="spellEnd"/>
      <w:r w:rsidR="00D63B28" w:rsidRPr="00F62F0E">
        <w:rPr>
          <w:rFonts w:cs="Arial"/>
          <w:spacing w:val="-2"/>
          <w:lang w:val="es-419"/>
        </w:rPr>
        <w:t xml:space="preserve"> manifestaron su interés por formar parte del </w:t>
      </w:r>
      <w:proofErr w:type="spellStart"/>
      <w:r w:rsidR="00D63B28" w:rsidRPr="00F62F0E">
        <w:rPr>
          <w:rFonts w:cs="Arial"/>
          <w:spacing w:val="-2"/>
          <w:lang w:val="es-419"/>
        </w:rPr>
        <w:t>WG</w:t>
      </w:r>
      <w:proofErr w:type="spellEnd"/>
      <w:r w:rsidR="00D63B28" w:rsidRPr="00F62F0E">
        <w:rPr>
          <w:rFonts w:cs="Arial"/>
          <w:spacing w:val="-2"/>
          <w:lang w:val="es-419"/>
        </w:rPr>
        <w:t>-EDV:</w:t>
      </w:r>
      <w:r w:rsidR="004E6D0C" w:rsidRPr="00F62F0E">
        <w:rPr>
          <w:rFonts w:cs="Arial"/>
          <w:spacing w:val="-2"/>
          <w:lang w:val="es-419"/>
        </w:rPr>
        <w:t xml:space="preserve"> </w:t>
      </w:r>
      <w:r w:rsidR="00D32BB8" w:rsidRPr="00F62F0E">
        <w:rPr>
          <w:rFonts w:cs="Arial"/>
          <w:spacing w:val="-2"/>
          <w:lang w:val="es-419"/>
        </w:rPr>
        <w:t xml:space="preserve"> </w:t>
      </w:r>
      <w:r w:rsidR="005B6071" w:rsidRPr="00F62F0E">
        <w:rPr>
          <w:rFonts w:cs="Arial"/>
          <w:spacing w:val="-2"/>
          <w:lang w:val="es-419"/>
        </w:rPr>
        <w:t>Australia</w:t>
      </w:r>
      <w:r w:rsidR="00061C2A" w:rsidRPr="00F62F0E">
        <w:rPr>
          <w:rFonts w:cs="Arial"/>
          <w:spacing w:val="-2"/>
          <w:lang w:val="es-419"/>
        </w:rPr>
        <w:t xml:space="preserve">, </w:t>
      </w:r>
      <w:r w:rsidR="005B6071" w:rsidRPr="00F62F0E">
        <w:rPr>
          <w:rFonts w:cs="Arial"/>
          <w:spacing w:val="-2"/>
          <w:lang w:val="es-419"/>
        </w:rPr>
        <w:t>Brasil</w:t>
      </w:r>
      <w:r w:rsidR="00061C2A" w:rsidRPr="00F62F0E">
        <w:rPr>
          <w:rFonts w:cs="Arial"/>
          <w:spacing w:val="-2"/>
          <w:lang w:val="es-419"/>
        </w:rPr>
        <w:t xml:space="preserve">, </w:t>
      </w:r>
      <w:r w:rsidR="005B6071" w:rsidRPr="00F62F0E">
        <w:rPr>
          <w:rFonts w:cs="Arial"/>
          <w:spacing w:val="-2"/>
          <w:lang w:val="es-419"/>
        </w:rPr>
        <w:t>Chile</w:t>
      </w:r>
      <w:r w:rsidR="00061C2A" w:rsidRPr="00F62F0E">
        <w:rPr>
          <w:rFonts w:cs="Arial"/>
          <w:spacing w:val="-2"/>
          <w:lang w:val="es-419"/>
        </w:rPr>
        <w:t xml:space="preserve">, </w:t>
      </w:r>
      <w:r w:rsidR="00A444FD" w:rsidRPr="00F62F0E">
        <w:rPr>
          <w:rFonts w:cs="Arial"/>
          <w:spacing w:val="-2"/>
          <w:highlight w:val="yellow"/>
          <w:u w:val="single"/>
          <w:lang w:val="es-419"/>
        </w:rPr>
        <w:t>China</w:t>
      </w:r>
      <w:r w:rsidR="00A444FD" w:rsidRPr="00F62F0E">
        <w:rPr>
          <w:rStyle w:val="EndnoteReference"/>
          <w:rFonts w:cs="Arial"/>
          <w:b/>
          <w:spacing w:val="-2"/>
          <w:highlight w:val="yellow"/>
          <w:u w:val="single"/>
          <w:lang w:val="es-419"/>
        </w:rPr>
        <w:endnoteReference w:id="2"/>
      </w:r>
      <w:r w:rsidR="00A444FD" w:rsidRPr="00F62F0E">
        <w:rPr>
          <w:rFonts w:cs="Arial"/>
          <w:spacing w:val="-2"/>
          <w:highlight w:val="yellow"/>
          <w:u w:val="single"/>
          <w:lang w:val="es-419"/>
        </w:rPr>
        <w:t>,</w:t>
      </w:r>
      <w:r w:rsidR="00A444FD" w:rsidRPr="00F62F0E">
        <w:rPr>
          <w:rFonts w:cs="Arial"/>
          <w:spacing w:val="-2"/>
          <w:highlight w:val="yellow"/>
          <w:lang w:val="es-419"/>
        </w:rPr>
        <w:t xml:space="preserve"> </w:t>
      </w:r>
      <w:r w:rsidR="005B6071" w:rsidRPr="00F62F0E">
        <w:rPr>
          <w:rFonts w:cs="Arial"/>
          <w:spacing w:val="-2"/>
          <w:lang w:val="es-419"/>
        </w:rPr>
        <w:t>Ecuador</w:t>
      </w:r>
      <w:r w:rsidR="00061C2A" w:rsidRPr="00F62F0E">
        <w:rPr>
          <w:rFonts w:cs="Arial"/>
          <w:spacing w:val="-2"/>
          <w:lang w:val="es-419"/>
        </w:rPr>
        <w:t xml:space="preserve">, </w:t>
      </w:r>
      <w:r w:rsidR="006F27F6" w:rsidRPr="00F62F0E">
        <w:rPr>
          <w:rFonts w:cs="Arial"/>
          <w:spacing w:val="-2"/>
          <w:lang w:val="es-419"/>
        </w:rPr>
        <w:t>Estados Unidos de </w:t>
      </w:r>
      <w:r w:rsidR="005B6071" w:rsidRPr="00F62F0E">
        <w:rPr>
          <w:rFonts w:cs="Arial"/>
          <w:spacing w:val="-2"/>
          <w:lang w:val="es-419"/>
        </w:rPr>
        <w:t>América</w:t>
      </w:r>
      <w:r w:rsidR="00061C2A" w:rsidRPr="00F62F0E">
        <w:rPr>
          <w:rFonts w:cs="Arial"/>
          <w:spacing w:val="-2"/>
          <w:lang w:val="es-419"/>
        </w:rPr>
        <w:t xml:space="preserve">, </w:t>
      </w:r>
      <w:r w:rsidR="005B6071" w:rsidRPr="00F62F0E">
        <w:rPr>
          <w:rFonts w:cs="Arial"/>
          <w:spacing w:val="-2"/>
          <w:lang w:val="es-419"/>
        </w:rPr>
        <w:t>Francia</w:t>
      </w:r>
      <w:r w:rsidR="00061C2A" w:rsidRPr="00F62F0E">
        <w:rPr>
          <w:rFonts w:cs="Arial"/>
          <w:spacing w:val="-2"/>
          <w:lang w:val="es-419"/>
        </w:rPr>
        <w:t xml:space="preserve">, </w:t>
      </w:r>
      <w:r w:rsidR="005B6071" w:rsidRPr="00F62F0E">
        <w:rPr>
          <w:rFonts w:cs="Arial"/>
          <w:spacing w:val="-2"/>
          <w:lang w:val="es-419"/>
        </w:rPr>
        <w:t>Japón</w:t>
      </w:r>
      <w:r w:rsidR="00061C2A" w:rsidRPr="00F62F0E">
        <w:rPr>
          <w:rFonts w:cs="Arial"/>
          <w:spacing w:val="-2"/>
          <w:lang w:val="es-419"/>
        </w:rPr>
        <w:t xml:space="preserve">, </w:t>
      </w:r>
      <w:proofErr w:type="spellStart"/>
      <w:r w:rsidR="005B6071" w:rsidRPr="00F62F0E">
        <w:rPr>
          <w:rFonts w:cs="Arial"/>
          <w:spacing w:val="-2"/>
          <w:lang w:val="es-419"/>
        </w:rPr>
        <w:t>Kenya</w:t>
      </w:r>
      <w:proofErr w:type="spellEnd"/>
      <w:r w:rsidR="00061C2A" w:rsidRPr="00F62F0E">
        <w:rPr>
          <w:rFonts w:cs="Arial"/>
          <w:spacing w:val="-2"/>
          <w:lang w:val="es-419"/>
        </w:rPr>
        <w:t xml:space="preserve">, </w:t>
      </w:r>
      <w:r w:rsidR="00A444FD" w:rsidRPr="00F62F0E">
        <w:rPr>
          <w:rFonts w:cs="Arial"/>
          <w:spacing w:val="-2"/>
          <w:highlight w:val="yellow"/>
          <w:u w:val="single"/>
          <w:lang w:val="es-419"/>
        </w:rPr>
        <w:t>Países Bajos</w:t>
      </w:r>
      <w:r w:rsidR="00A444FD" w:rsidRPr="00F62F0E">
        <w:rPr>
          <w:rStyle w:val="EndnoteReference"/>
          <w:rFonts w:cs="Arial"/>
          <w:b/>
          <w:spacing w:val="-2"/>
          <w:highlight w:val="yellow"/>
          <w:u w:val="single"/>
          <w:lang w:val="es-419"/>
        </w:rPr>
        <w:endnoteReference w:id="3"/>
      </w:r>
      <w:r w:rsidR="00A444FD" w:rsidRPr="00F62F0E">
        <w:rPr>
          <w:rFonts w:cs="Arial"/>
          <w:spacing w:val="-2"/>
          <w:highlight w:val="yellow"/>
          <w:u w:val="single"/>
          <w:lang w:val="es-419"/>
        </w:rPr>
        <w:t>,</w:t>
      </w:r>
      <w:r w:rsidR="00A444FD" w:rsidRPr="00F62F0E">
        <w:rPr>
          <w:rFonts w:cs="Arial"/>
          <w:spacing w:val="-2"/>
          <w:highlight w:val="yellow"/>
          <w:lang w:val="es-419"/>
        </w:rPr>
        <w:t xml:space="preserve"> </w:t>
      </w:r>
      <w:r w:rsidR="005B6071" w:rsidRPr="00F62F0E">
        <w:rPr>
          <w:rFonts w:cs="Arial"/>
          <w:spacing w:val="-2"/>
          <w:lang w:val="es-419"/>
        </w:rPr>
        <w:t xml:space="preserve">República Unida de </w:t>
      </w:r>
      <w:proofErr w:type="spellStart"/>
      <w:r w:rsidR="005B6071" w:rsidRPr="00F62F0E">
        <w:rPr>
          <w:rFonts w:cs="Arial"/>
          <w:spacing w:val="-2"/>
          <w:lang w:val="es-419"/>
        </w:rPr>
        <w:t>Tanzanía</w:t>
      </w:r>
      <w:proofErr w:type="spellEnd"/>
      <w:r w:rsidR="00061C2A" w:rsidRPr="00F62F0E">
        <w:rPr>
          <w:rFonts w:cs="Arial"/>
          <w:spacing w:val="-2"/>
          <w:lang w:val="es-419"/>
        </w:rPr>
        <w:t xml:space="preserve">, </w:t>
      </w:r>
      <w:r w:rsidR="005B6071" w:rsidRPr="00F62F0E">
        <w:rPr>
          <w:rFonts w:cs="Arial"/>
          <w:spacing w:val="-2"/>
          <w:lang w:val="es-419"/>
        </w:rPr>
        <w:t>Suecia</w:t>
      </w:r>
      <w:r w:rsidR="00061C2A" w:rsidRPr="00F62F0E">
        <w:rPr>
          <w:rFonts w:cs="Arial"/>
          <w:spacing w:val="-2"/>
          <w:lang w:val="es-419"/>
        </w:rPr>
        <w:t xml:space="preserve">, </w:t>
      </w:r>
      <w:r w:rsidR="009F11CA" w:rsidRPr="00F62F0E">
        <w:rPr>
          <w:rFonts w:cs="Arial"/>
          <w:spacing w:val="-2"/>
          <w:lang w:val="es-419"/>
        </w:rPr>
        <w:t xml:space="preserve">Unión Europea, </w:t>
      </w:r>
      <w:proofErr w:type="spellStart"/>
      <w:r w:rsidR="005B6071" w:rsidRPr="00F62F0E">
        <w:rPr>
          <w:rFonts w:cs="Arial"/>
          <w:spacing w:val="-2"/>
          <w:lang w:val="es-419"/>
        </w:rPr>
        <w:t>APSA</w:t>
      </w:r>
      <w:proofErr w:type="spellEnd"/>
      <w:r w:rsidR="00061C2A" w:rsidRPr="00F62F0E">
        <w:rPr>
          <w:rFonts w:cs="Arial"/>
          <w:spacing w:val="-2"/>
          <w:lang w:val="es-419"/>
        </w:rPr>
        <w:t xml:space="preserve">, </w:t>
      </w:r>
      <w:r w:rsidR="00690D4E" w:rsidRPr="00F62F0E">
        <w:rPr>
          <w:rFonts w:cs="Arial"/>
          <w:i/>
          <w:spacing w:val="-2"/>
          <w:lang w:val="es-419"/>
        </w:rPr>
        <w:t xml:space="preserve">Association </w:t>
      </w:r>
      <w:proofErr w:type="spellStart"/>
      <w:r w:rsidR="00690D4E" w:rsidRPr="00F62F0E">
        <w:rPr>
          <w:rFonts w:cs="Arial"/>
          <w:i/>
          <w:spacing w:val="-2"/>
          <w:lang w:val="es-419"/>
        </w:rPr>
        <w:t>for</w:t>
      </w:r>
      <w:proofErr w:type="spellEnd"/>
      <w:r w:rsidR="00690D4E" w:rsidRPr="00F62F0E">
        <w:rPr>
          <w:rFonts w:cs="Arial"/>
          <w:i/>
          <w:spacing w:val="-2"/>
          <w:lang w:val="es-419"/>
        </w:rPr>
        <w:t xml:space="preserve"> </w:t>
      </w:r>
      <w:proofErr w:type="spellStart"/>
      <w:r w:rsidR="00690D4E" w:rsidRPr="00F62F0E">
        <w:rPr>
          <w:rFonts w:cs="Arial"/>
          <w:i/>
          <w:spacing w:val="-2"/>
          <w:lang w:val="es-419"/>
        </w:rPr>
        <w:t>Plant</w:t>
      </w:r>
      <w:proofErr w:type="spellEnd"/>
      <w:r w:rsidR="00690D4E" w:rsidRPr="00F62F0E">
        <w:rPr>
          <w:rFonts w:cs="Arial"/>
          <w:i/>
          <w:spacing w:val="-2"/>
          <w:lang w:val="es-419"/>
        </w:rPr>
        <w:t xml:space="preserve"> </w:t>
      </w:r>
      <w:proofErr w:type="spellStart"/>
      <w:r w:rsidR="00690D4E" w:rsidRPr="00F62F0E">
        <w:rPr>
          <w:rFonts w:cs="Arial"/>
          <w:i/>
          <w:spacing w:val="-2"/>
          <w:lang w:val="es-419"/>
        </w:rPr>
        <w:t>Breeding</w:t>
      </w:r>
      <w:proofErr w:type="spellEnd"/>
      <w:r w:rsidR="00690D4E" w:rsidRPr="00F62F0E">
        <w:rPr>
          <w:rFonts w:cs="Arial"/>
          <w:i/>
          <w:spacing w:val="-2"/>
          <w:lang w:val="es-419"/>
        </w:rPr>
        <w:t xml:space="preserve"> </w:t>
      </w:r>
      <w:proofErr w:type="spellStart"/>
      <w:r w:rsidR="00690D4E" w:rsidRPr="00F62F0E">
        <w:rPr>
          <w:rFonts w:cs="Arial"/>
          <w:i/>
          <w:spacing w:val="-2"/>
          <w:lang w:val="es-419"/>
        </w:rPr>
        <w:t>for</w:t>
      </w:r>
      <w:proofErr w:type="spellEnd"/>
      <w:r w:rsidR="00690D4E" w:rsidRPr="00F62F0E">
        <w:rPr>
          <w:rFonts w:cs="Arial"/>
          <w:i/>
          <w:spacing w:val="-2"/>
          <w:lang w:val="es-419"/>
        </w:rPr>
        <w:t xml:space="preserve"> </w:t>
      </w:r>
      <w:proofErr w:type="spellStart"/>
      <w:r w:rsidR="00690D4E" w:rsidRPr="00F62F0E">
        <w:rPr>
          <w:rFonts w:cs="Arial"/>
          <w:i/>
          <w:spacing w:val="-2"/>
          <w:lang w:val="es-419"/>
        </w:rPr>
        <w:t>the</w:t>
      </w:r>
      <w:proofErr w:type="spellEnd"/>
      <w:r w:rsidR="00690D4E" w:rsidRPr="00F62F0E">
        <w:rPr>
          <w:rFonts w:cs="Arial"/>
          <w:i/>
          <w:spacing w:val="-2"/>
          <w:lang w:val="es-419"/>
        </w:rPr>
        <w:t xml:space="preserve"> </w:t>
      </w:r>
      <w:proofErr w:type="spellStart"/>
      <w:r w:rsidR="00690D4E" w:rsidRPr="00F62F0E">
        <w:rPr>
          <w:rFonts w:cs="Arial"/>
          <w:i/>
          <w:spacing w:val="-2"/>
          <w:lang w:val="es-419"/>
        </w:rPr>
        <w:t>Benefit</w:t>
      </w:r>
      <w:proofErr w:type="spellEnd"/>
      <w:r w:rsidR="00690D4E" w:rsidRPr="00F62F0E">
        <w:rPr>
          <w:rFonts w:cs="Arial"/>
          <w:i/>
          <w:spacing w:val="-2"/>
          <w:lang w:val="es-419"/>
        </w:rPr>
        <w:t xml:space="preserve"> of </w:t>
      </w:r>
      <w:proofErr w:type="spellStart"/>
      <w:r w:rsidR="00690D4E" w:rsidRPr="00F62F0E">
        <w:rPr>
          <w:rFonts w:cs="Arial"/>
          <w:i/>
          <w:spacing w:val="-2"/>
          <w:lang w:val="es-419"/>
        </w:rPr>
        <w:t>Society</w:t>
      </w:r>
      <w:proofErr w:type="spellEnd"/>
      <w:r w:rsidR="00690D4E" w:rsidRPr="00F62F0E">
        <w:rPr>
          <w:rFonts w:cs="Arial"/>
          <w:i/>
          <w:spacing w:val="-2"/>
          <w:lang w:val="es-419"/>
        </w:rPr>
        <w:t xml:space="preserve"> </w:t>
      </w:r>
      <w:r w:rsidR="005B6071" w:rsidRPr="00F62F0E">
        <w:rPr>
          <w:rFonts w:cs="Arial"/>
          <w:spacing w:val="-2"/>
          <w:lang w:val="es-419"/>
        </w:rPr>
        <w:t>(</w:t>
      </w:r>
      <w:proofErr w:type="spellStart"/>
      <w:r w:rsidR="005B6071" w:rsidRPr="00F62F0E">
        <w:rPr>
          <w:rFonts w:cs="Arial"/>
          <w:spacing w:val="-2"/>
          <w:lang w:val="es-419"/>
        </w:rPr>
        <w:t>APBREBES</w:t>
      </w:r>
      <w:proofErr w:type="spellEnd"/>
      <w:r w:rsidR="005B6071" w:rsidRPr="00F62F0E">
        <w:rPr>
          <w:rFonts w:cs="Arial"/>
          <w:spacing w:val="-2"/>
          <w:lang w:val="es-419"/>
        </w:rPr>
        <w:t>)</w:t>
      </w:r>
      <w:r w:rsidR="00061C2A" w:rsidRPr="00F62F0E">
        <w:rPr>
          <w:rFonts w:cs="Arial"/>
          <w:spacing w:val="-2"/>
          <w:lang w:val="es-419"/>
        </w:rPr>
        <w:t xml:space="preserve">, </w:t>
      </w:r>
      <w:proofErr w:type="spellStart"/>
      <w:r w:rsidR="005B6071" w:rsidRPr="00F62F0E">
        <w:rPr>
          <w:rFonts w:cs="Arial"/>
          <w:spacing w:val="-2"/>
          <w:lang w:val="es-419"/>
        </w:rPr>
        <w:t>CIOPORA</w:t>
      </w:r>
      <w:proofErr w:type="spellEnd"/>
      <w:r w:rsidR="00061C2A" w:rsidRPr="00F62F0E">
        <w:rPr>
          <w:rFonts w:cs="Arial"/>
          <w:spacing w:val="-2"/>
          <w:lang w:val="es-419"/>
        </w:rPr>
        <w:t xml:space="preserve">, </w:t>
      </w:r>
      <w:proofErr w:type="spellStart"/>
      <w:r w:rsidR="005B6071" w:rsidRPr="00F62F0E">
        <w:rPr>
          <w:rFonts w:eastAsiaTheme="minorEastAsia" w:cs="Arial"/>
          <w:i/>
          <w:spacing w:val="-2"/>
          <w:lang w:val="es-419"/>
        </w:rPr>
        <w:t>CropLife</w:t>
      </w:r>
      <w:proofErr w:type="spellEnd"/>
      <w:r w:rsidR="00F16F13" w:rsidRPr="00F62F0E">
        <w:rPr>
          <w:rFonts w:eastAsiaTheme="minorEastAsia" w:cs="Arial"/>
          <w:i/>
          <w:spacing w:val="-2"/>
          <w:lang w:val="es-419"/>
        </w:rPr>
        <w:t> </w:t>
      </w:r>
      <w:r w:rsidR="005B6071" w:rsidRPr="00F62F0E">
        <w:rPr>
          <w:rFonts w:eastAsiaTheme="minorEastAsia" w:cs="Arial"/>
          <w:i/>
          <w:spacing w:val="-2"/>
          <w:lang w:val="es-419"/>
        </w:rPr>
        <w:t>Interna</w:t>
      </w:r>
      <w:r w:rsidR="00690D4E" w:rsidRPr="00F62F0E">
        <w:rPr>
          <w:rFonts w:eastAsiaTheme="minorEastAsia" w:cs="Arial"/>
          <w:i/>
          <w:spacing w:val="-2"/>
          <w:lang w:val="es-419"/>
        </w:rPr>
        <w:t>t</w:t>
      </w:r>
      <w:r w:rsidR="005B6071" w:rsidRPr="00F62F0E">
        <w:rPr>
          <w:rFonts w:eastAsiaTheme="minorEastAsia" w:cs="Arial"/>
          <w:i/>
          <w:spacing w:val="-2"/>
          <w:lang w:val="es-419"/>
        </w:rPr>
        <w:t>ional</w:t>
      </w:r>
      <w:r w:rsidR="00061C2A" w:rsidRPr="00F62F0E">
        <w:rPr>
          <w:rFonts w:cs="Arial"/>
          <w:spacing w:val="-2"/>
          <w:lang w:val="es-419"/>
        </w:rPr>
        <w:t xml:space="preserve">, </w:t>
      </w:r>
      <w:proofErr w:type="spellStart"/>
      <w:r w:rsidR="005B6071" w:rsidRPr="00F62F0E">
        <w:rPr>
          <w:rFonts w:cs="Arial"/>
          <w:spacing w:val="-2"/>
          <w:lang w:val="es-419"/>
        </w:rPr>
        <w:t>Euroseeds</w:t>
      </w:r>
      <w:proofErr w:type="spellEnd"/>
      <w:r w:rsidR="00061C2A" w:rsidRPr="00F62F0E">
        <w:rPr>
          <w:rFonts w:cs="Arial"/>
          <w:spacing w:val="-2"/>
          <w:lang w:val="es-419"/>
        </w:rPr>
        <w:t xml:space="preserve">, </w:t>
      </w:r>
      <w:proofErr w:type="spellStart"/>
      <w:r w:rsidR="005B6071" w:rsidRPr="00F62F0E">
        <w:rPr>
          <w:rFonts w:cs="Arial"/>
          <w:spacing w:val="-2"/>
          <w:lang w:val="es-419"/>
        </w:rPr>
        <w:t>ISF</w:t>
      </w:r>
      <w:proofErr w:type="spellEnd"/>
      <w:r w:rsidR="005B6071" w:rsidRPr="00F62F0E">
        <w:rPr>
          <w:rFonts w:cs="Arial"/>
          <w:spacing w:val="-2"/>
          <w:lang w:val="es-419"/>
        </w:rPr>
        <w:t xml:space="preserve"> y </w:t>
      </w:r>
      <w:proofErr w:type="spellStart"/>
      <w:r w:rsidR="005B6071" w:rsidRPr="00F62F0E">
        <w:rPr>
          <w:rFonts w:cs="Arial"/>
          <w:spacing w:val="-2"/>
          <w:lang w:val="es-419"/>
        </w:rPr>
        <w:t>SAA</w:t>
      </w:r>
      <w:proofErr w:type="spellEnd"/>
      <w:r w:rsidR="005B6071" w:rsidRPr="00F62F0E">
        <w:rPr>
          <w:rFonts w:cs="Arial"/>
          <w:spacing w:val="-2"/>
          <w:lang w:val="es-419"/>
        </w:rPr>
        <w:t>.</w:t>
      </w:r>
    </w:p>
    <w:p w:rsidR="00211989" w:rsidRPr="00750978" w:rsidRDefault="00211989" w:rsidP="00211989">
      <w:pPr>
        <w:pStyle w:val="Heading3"/>
        <w:rPr>
          <w:sz w:val="18"/>
          <w:lang w:val="es-419"/>
        </w:rPr>
      </w:pPr>
    </w:p>
    <w:p w:rsidR="00211989" w:rsidRPr="00750978" w:rsidRDefault="009E51E3" w:rsidP="00211989">
      <w:pPr>
        <w:pStyle w:val="Heading3"/>
        <w:rPr>
          <w:lang w:val="es-419"/>
        </w:rPr>
      </w:pPr>
      <w:bookmarkStart w:id="11" w:name="_Toc48834434"/>
      <w:r w:rsidRPr="00750978">
        <w:rPr>
          <w:lang w:val="es-419"/>
        </w:rPr>
        <w:t xml:space="preserve">Fecha provisional para la primera reunión del </w:t>
      </w:r>
      <w:proofErr w:type="spellStart"/>
      <w:r w:rsidRPr="00750978">
        <w:rPr>
          <w:lang w:val="es-419"/>
        </w:rPr>
        <w:t>WG</w:t>
      </w:r>
      <w:proofErr w:type="spellEnd"/>
      <w:r w:rsidRPr="00750978">
        <w:rPr>
          <w:lang w:val="es-419"/>
        </w:rPr>
        <w:t>-EDV</w:t>
      </w:r>
      <w:bookmarkEnd w:id="11"/>
    </w:p>
    <w:p w:rsidR="00211989" w:rsidRPr="00750978" w:rsidRDefault="00211989" w:rsidP="00211989">
      <w:pPr>
        <w:jc w:val="left"/>
        <w:rPr>
          <w:sz w:val="18"/>
          <w:lang w:val="es-419"/>
        </w:rPr>
      </w:pPr>
    </w:p>
    <w:p w:rsidR="00211989" w:rsidRPr="00DD4E4F" w:rsidRDefault="006548F4" w:rsidP="00211989">
      <w:pPr>
        <w:rPr>
          <w:lang w:val="es-419"/>
        </w:rPr>
      </w:pPr>
      <w:r w:rsidRPr="00750978">
        <w:rPr>
          <w:rFonts w:cs="Arial"/>
          <w:spacing w:val="-2"/>
          <w:lang w:val="es-419"/>
        </w:rPr>
        <w:fldChar w:fldCharType="begin"/>
      </w:r>
      <w:r w:rsidR="00211989" w:rsidRPr="00750978">
        <w:rPr>
          <w:rFonts w:cs="Arial"/>
          <w:spacing w:val="-2"/>
          <w:lang w:val="es-419"/>
        </w:rPr>
        <w:instrText xml:space="preserve"> AUTONUM  </w:instrText>
      </w:r>
      <w:r w:rsidRPr="00750978">
        <w:rPr>
          <w:rFonts w:cs="Arial"/>
          <w:spacing w:val="-2"/>
          <w:lang w:val="es-419"/>
        </w:rPr>
        <w:fldChar w:fldCharType="end"/>
      </w:r>
      <w:r w:rsidR="00211989" w:rsidRPr="00750978">
        <w:rPr>
          <w:rFonts w:cs="Arial"/>
          <w:spacing w:val="-2"/>
          <w:lang w:val="es-419"/>
        </w:rPr>
        <w:tab/>
      </w:r>
      <w:r w:rsidR="009949CE" w:rsidRPr="00750978">
        <w:rPr>
          <w:lang w:val="es-419"/>
        </w:rPr>
        <w:t>Considerando</w:t>
      </w:r>
      <w:r w:rsidR="00A4373D" w:rsidRPr="00750978">
        <w:rPr>
          <w:lang w:val="es-419"/>
        </w:rPr>
        <w:t xml:space="preserve"> las dificultades que plantea la organización de reuniones presenciales en estos momentos </w:t>
      </w:r>
      <w:r w:rsidR="009E51E3" w:rsidRPr="00750978">
        <w:rPr>
          <w:lang w:val="es-419"/>
        </w:rPr>
        <w:t xml:space="preserve">y </w:t>
      </w:r>
      <w:r w:rsidR="009949CE" w:rsidRPr="00750978">
        <w:rPr>
          <w:lang w:val="es-419"/>
        </w:rPr>
        <w:t>teniendo</w:t>
      </w:r>
      <w:r w:rsidR="009E51E3" w:rsidRPr="00750978">
        <w:rPr>
          <w:lang w:val="es-419"/>
        </w:rPr>
        <w:t xml:space="preserve"> </w:t>
      </w:r>
      <w:r w:rsidR="009949CE" w:rsidRPr="00750978">
        <w:rPr>
          <w:lang w:val="es-419"/>
        </w:rPr>
        <w:t>en cuenta que las sesiones de la UPOV de octubre de</w:t>
      </w:r>
      <w:r w:rsidR="00061C2A" w:rsidRPr="00750978">
        <w:rPr>
          <w:lang w:val="es-419"/>
        </w:rPr>
        <w:t> 2</w:t>
      </w:r>
      <w:r w:rsidR="009949CE" w:rsidRPr="00750978">
        <w:rPr>
          <w:lang w:val="es-419"/>
        </w:rPr>
        <w:t xml:space="preserve">020 </w:t>
      </w:r>
      <w:r w:rsidR="009E51E3" w:rsidRPr="00750978">
        <w:rPr>
          <w:lang w:val="es-419"/>
        </w:rPr>
        <w:t>se celebrará</w:t>
      </w:r>
      <w:r w:rsidR="00A4373D" w:rsidRPr="00750978">
        <w:rPr>
          <w:lang w:val="es-419"/>
        </w:rPr>
        <w:t>n</w:t>
      </w:r>
      <w:r w:rsidR="009E51E3" w:rsidRPr="00750978">
        <w:rPr>
          <w:lang w:val="es-419"/>
        </w:rPr>
        <w:t xml:space="preserve"> </w:t>
      </w:r>
      <w:r w:rsidR="00A4373D" w:rsidRPr="00750978">
        <w:rPr>
          <w:lang w:val="es-419"/>
        </w:rPr>
        <w:t>en forma de reuniones virtuales</w:t>
      </w:r>
      <w:r w:rsidR="00061C2A" w:rsidRPr="00750978">
        <w:rPr>
          <w:lang w:val="es-419"/>
        </w:rPr>
        <w:t xml:space="preserve">, </w:t>
      </w:r>
      <w:r w:rsidR="009E51E3" w:rsidRPr="00750978">
        <w:rPr>
          <w:lang w:val="es-419"/>
        </w:rPr>
        <w:t xml:space="preserve">se propone </w:t>
      </w:r>
      <w:r w:rsidR="009949CE" w:rsidRPr="00750978">
        <w:rPr>
          <w:lang w:val="es-419"/>
        </w:rPr>
        <w:t xml:space="preserve">que la </w:t>
      </w:r>
      <w:r w:rsidR="009E51E3" w:rsidRPr="00750978">
        <w:rPr>
          <w:lang w:val="es-419"/>
        </w:rPr>
        <w:t xml:space="preserve">primera </w:t>
      </w:r>
      <w:r w:rsidR="009E51E3" w:rsidRPr="00750978">
        <w:rPr>
          <w:rFonts w:cs="Arial"/>
          <w:lang w:val="es-419"/>
        </w:rPr>
        <w:t xml:space="preserve">reunión de </w:t>
      </w:r>
      <w:r w:rsidR="009949CE" w:rsidRPr="00750978">
        <w:rPr>
          <w:rFonts w:cs="Arial"/>
          <w:lang w:val="es-419"/>
        </w:rPr>
        <w:t xml:space="preserve">la </w:t>
      </w:r>
      <w:proofErr w:type="spellStart"/>
      <w:r w:rsidR="009E51E3" w:rsidRPr="00750978">
        <w:rPr>
          <w:lang w:val="es-419"/>
        </w:rPr>
        <w:t>WG</w:t>
      </w:r>
      <w:proofErr w:type="spellEnd"/>
      <w:r w:rsidR="009E51E3" w:rsidRPr="00750978">
        <w:rPr>
          <w:lang w:val="es-419"/>
        </w:rPr>
        <w:t xml:space="preserve">-EDV </w:t>
      </w:r>
      <w:r w:rsidR="009949CE" w:rsidRPr="00750978">
        <w:rPr>
          <w:lang w:val="es-419"/>
        </w:rPr>
        <w:t xml:space="preserve">se celebre </w:t>
      </w:r>
      <w:r w:rsidR="009E51E3" w:rsidRPr="00750978">
        <w:rPr>
          <w:lang w:val="es-419"/>
        </w:rPr>
        <w:t>en form</w:t>
      </w:r>
      <w:r w:rsidR="009949CE" w:rsidRPr="00750978">
        <w:rPr>
          <w:lang w:val="es-419"/>
        </w:rPr>
        <w:t>a</w:t>
      </w:r>
      <w:r w:rsidR="009E51E3" w:rsidRPr="00750978">
        <w:rPr>
          <w:lang w:val="es-419"/>
        </w:rPr>
        <w:t xml:space="preserve"> de </w:t>
      </w:r>
      <w:r w:rsidR="009949CE" w:rsidRPr="00750978">
        <w:rPr>
          <w:lang w:val="es-419"/>
        </w:rPr>
        <w:t xml:space="preserve">reunión </w:t>
      </w:r>
      <w:r w:rsidR="009E51E3" w:rsidRPr="00750978">
        <w:rPr>
          <w:lang w:val="es-419"/>
        </w:rPr>
        <w:t xml:space="preserve">virtual </w:t>
      </w:r>
      <w:r w:rsidR="009949CE" w:rsidRPr="00750978">
        <w:rPr>
          <w:lang w:val="es-419"/>
        </w:rPr>
        <w:t>el</w:t>
      </w:r>
      <w:r w:rsidR="009F11CA">
        <w:rPr>
          <w:lang w:val="es-419"/>
        </w:rPr>
        <w:t xml:space="preserve"> </w:t>
      </w:r>
      <w:r w:rsidR="009949CE" w:rsidRPr="00750978">
        <w:rPr>
          <w:lang w:val="es-419"/>
        </w:rPr>
        <w:t>8 de diciembre de</w:t>
      </w:r>
      <w:r w:rsidR="00061C2A" w:rsidRPr="00750978">
        <w:rPr>
          <w:lang w:val="es-419"/>
        </w:rPr>
        <w:t> 2</w:t>
      </w:r>
      <w:r w:rsidR="009F11CA">
        <w:rPr>
          <w:lang w:val="es-419"/>
        </w:rPr>
        <w:t>020</w:t>
      </w:r>
      <w:r w:rsidR="009E51E3" w:rsidRPr="00750978">
        <w:rPr>
          <w:lang w:val="es-419"/>
        </w:rPr>
        <w:t>.</w:t>
      </w:r>
      <w:r w:rsidR="00211989" w:rsidRPr="00DD4E4F">
        <w:rPr>
          <w:lang w:val="es-419"/>
        </w:rPr>
        <w:t xml:space="preserve"> </w:t>
      </w:r>
    </w:p>
    <w:p w:rsidR="00211989" w:rsidRPr="00954FDF" w:rsidRDefault="00211989" w:rsidP="00211989">
      <w:pPr>
        <w:rPr>
          <w:sz w:val="16"/>
          <w:lang w:val="es-419"/>
        </w:rPr>
      </w:pPr>
    </w:p>
    <w:p w:rsidR="00211989" w:rsidRPr="00DD4E4F" w:rsidRDefault="006548F4" w:rsidP="00211989">
      <w:pPr>
        <w:pStyle w:val="DecisionParagraphs"/>
        <w:rPr>
          <w:lang w:val="es-419"/>
        </w:rPr>
      </w:pPr>
      <w:r w:rsidRPr="00DD4E4F">
        <w:rPr>
          <w:lang w:val="es-419"/>
        </w:rPr>
        <w:fldChar w:fldCharType="begin"/>
      </w:r>
      <w:r w:rsidR="00211989" w:rsidRPr="00DD4E4F">
        <w:rPr>
          <w:lang w:val="es-419"/>
        </w:rPr>
        <w:instrText xml:space="preserve"> AUTONUM  </w:instrText>
      </w:r>
      <w:r w:rsidRPr="00DD4E4F">
        <w:rPr>
          <w:lang w:val="es-419"/>
        </w:rPr>
        <w:fldChar w:fldCharType="end"/>
      </w:r>
      <w:r w:rsidR="00211989" w:rsidRPr="00DD4E4F">
        <w:rPr>
          <w:lang w:val="es-419"/>
        </w:rPr>
        <w:tab/>
      </w:r>
      <w:r w:rsidR="00781C74" w:rsidRPr="00DD4E4F">
        <w:rPr>
          <w:lang w:val="es-419"/>
        </w:rPr>
        <w:t xml:space="preserve">Se invita al </w:t>
      </w:r>
      <w:proofErr w:type="spellStart"/>
      <w:r w:rsidR="00781C74" w:rsidRPr="00DD4E4F">
        <w:rPr>
          <w:lang w:val="es-419"/>
        </w:rPr>
        <w:t>CAJ</w:t>
      </w:r>
      <w:proofErr w:type="spellEnd"/>
      <w:r w:rsidR="00781C74" w:rsidRPr="00DD4E4F">
        <w:rPr>
          <w:lang w:val="es-419"/>
        </w:rPr>
        <w:t xml:space="preserve"> a:</w:t>
      </w:r>
    </w:p>
    <w:p w:rsidR="00211989" w:rsidRPr="00954FDF" w:rsidRDefault="00211989" w:rsidP="00211989">
      <w:pPr>
        <w:pStyle w:val="DecisionParagraphs"/>
        <w:ind w:left="0"/>
        <w:rPr>
          <w:rFonts w:cs="Arial"/>
          <w:sz w:val="16"/>
          <w:lang w:val="es-419"/>
        </w:rPr>
      </w:pPr>
    </w:p>
    <w:p w:rsidR="00211989" w:rsidRPr="00DD4E4F" w:rsidRDefault="00211989" w:rsidP="00211989">
      <w:pPr>
        <w:pStyle w:val="DecisionParagraphs"/>
        <w:rPr>
          <w:rFonts w:cs="Arial"/>
          <w:lang w:val="es-419"/>
        </w:rPr>
      </w:pPr>
      <w:r w:rsidRPr="00DD4E4F">
        <w:rPr>
          <w:rFonts w:cs="Arial"/>
          <w:lang w:val="es-419"/>
        </w:rPr>
        <w:tab/>
      </w:r>
      <w:r w:rsidR="00FB5897" w:rsidRPr="00DD4E4F">
        <w:rPr>
          <w:rFonts w:cs="Arial"/>
          <w:lang w:val="es-419"/>
        </w:rPr>
        <w:t>a)</w:t>
      </w:r>
      <w:r w:rsidR="00FB5897" w:rsidRPr="00DD4E4F">
        <w:rPr>
          <w:rFonts w:cs="Arial"/>
          <w:lang w:val="es-419"/>
        </w:rPr>
        <w:tab/>
      </w:r>
      <w:r w:rsidR="006B76A1" w:rsidRPr="00DD4E4F">
        <w:rPr>
          <w:rFonts w:cs="Arial"/>
          <w:lang w:val="es-419"/>
        </w:rPr>
        <w:t>establecer el </w:t>
      </w:r>
      <w:proofErr w:type="spellStart"/>
      <w:r w:rsidR="006B76A1" w:rsidRPr="00DD4E4F">
        <w:rPr>
          <w:rFonts w:cs="Arial"/>
          <w:lang w:val="es-419"/>
        </w:rPr>
        <w:t>WG</w:t>
      </w:r>
      <w:proofErr w:type="spellEnd"/>
      <w:r w:rsidR="006B76A1" w:rsidRPr="00DD4E4F">
        <w:rPr>
          <w:rFonts w:cs="Arial"/>
          <w:lang w:val="es-419"/>
        </w:rPr>
        <w:t>-EDV y aprobar el mandato de dicho grupo de trabajo, expuesto en el Anexo II del presente documento, junto con la versión modificada de las “Cuestiones relativas a la política y las prácticas y costumbres de los obtentores”, que se recoge en el Anexo I del presente documento;</w:t>
      </w:r>
      <w:r w:rsidRPr="00DD4E4F">
        <w:rPr>
          <w:rFonts w:cs="Arial"/>
          <w:lang w:val="es-419"/>
        </w:rPr>
        <w:t xml:space="preserve"> </w:t>
      </w:r>
    </w:p>
    <w:p w:rsidR="00211989" w:rsidRPr="00750978" w:rsidRDefault="00211989" w:rsidP="00211989">
      <w:pPr>
        <w:pStyle w:val="DecisionParagraphs"/>
        <w:rPr>
          <w:rFonts w:cs="Arial"/>
          <w:sz w:val="18"/>
          <w:lang w:val="es-419"/>
        </w:rPr>
      </w:pPr>
    </w:p>
    <w:p w:rsidR="00211989" w:rsidRPr="009F11CA" w:rsidRDefault="00211989" w:rsidP="00211989">
      <w:pPr>
        <w:pStyle w:val="DecisionParagraphs"/>
        <w:rPr>
          <w:rFonts w:cs="Arial"/>
          <w:lang w:val="es-419"/>
        </w:rPr>
      </w:pPr>
      <w:r w:rsidRPr="00DD4E4F">
        <w:rPr>
          <w:rFonts w:cs="Arial"/>
          <w:lang w:val="es-419"/>
        </w:rPr>
        <w:tab/>
      </w:r>
      <w:r w:rsidR="00FB5897" w:rsidRPr="00DD4E4F">
        <w:rPr>
          <w:rFonts w:cs="Arial"/>
          <w:lang w:val="es-419"/>
        </w:rPr>
        <w:t>b)</w:t>
      </w:r>
      <w:r w:rsidR="00FB5897" w:rsidRPr="00DD4E4F">
        <w:rPr>
          <w:rFonts w:cs="Arial"/>
          <w:lang w:val="es-419"/>
        </w:rPr>
        <w:tab/>
      </w:r>
      <w:r w:rsidR="00781C74" w:rsidRPr="00DD4E4F">
        <w:rPr>
          <w:rFonts w:cs="Arial"/>
          <w:lang w:val="es-419"/>
        </w:rPr>
        <w:t xml:space="preserve">aprobar la composición del </w:t>
      </w:r>
      <w:proofErr w:type="spellStart"/>
      <w:r w:rsidR="00781C74" w:rsidRPr="00DD4E4F">
        <w:rPr>
          <w:rFonts w:cs="Arial"/>
          <w:lang w:val="es-419"/>
        </w:rPr>
        <w:t>WG</w:t>
      </w:r>
      <w:proofErr w:type="spellEnd"/>
      <w:r w:rsidR="00781C74" w:rsidRPr="00DD4E4F">
        <w:rPr>
          <w:rFonts w:cs="Arial"/>
          <w:lang w:val="es-419"/>
        </w:rPr>
        <w:t>-EDV</w:t>
      </w:r>
      <w:r w:rsidR="00061C2A" w:rsidRPr="00DD4E4F">
        <w:rPr>
          <w:rFonts w:cs="Arial"/>
          <w:lang w:val="es-419"/>
        </w:rPr>
        <w:t xml:space="preserve">, </w:t>
      </w:r>
      <w:r w:rsidR="00781C74" w:rsidRPr="00DD4E4F">
        <w:rPr>
          <w:rFonts w:cs="Arial"/>
          <w:lang w:val="es-419"/>
        </w:rPr>
        <w:t>según figura en el párrafo</w:t>
      </w:r>
      <w:r w:rsidR="00061C2A" w:rsidRPr="00DD4E4F">
        <w:rPr>
          <w:rFonts w:cs="Arial"/>
          <w:lang w:val="es-419"/>
        </w:rPr>
        <w:t> </w:t>
      </w:r>
      <w:r w:rsidR="00061C2A" w:rsidRPr="009F11CA">
        <w:rPr>
          <w:rFonts w:cs="Arial"/>
          <w:lang w:val="es-419"/>
        </w:rPr>
        <w:t>1</w:t>
      </w:r>
      <w:r w:rsidR="00781C74" w:rsidRPr="009F11CA">
        <w:rPr>
          <w:rFonts w:cs="Arial"/>
          <w:lang w:val="es-419"/>
        </w:rPr>
        <w:t>5;</w:t>
      </w:r>
    </w:p>
    <w:p w:rsidR="00211989" w:rsidRPr="009F11CA" w:rsidRDefault="00211989" w:rsidP="00211989">
      <w:pPr>
        <w:pStyle w:val="DecisionParagraphs"/>
        <w:rPr>
          <w:rFonts w:cs="Arial"/>
          <w:lang w:val="es-419"/>
        </w:rPr>
      </w:pPr>
    </w:p>
    <w:p w:rsidR="00211989" w:rsidRPr="00DD4E4F" w:rsidRDefault="00211989" w:rsidP="00211989">
      <w:pPr>
        <w:pStyle w:val="DecisionParagraphs"/>
        <w:rPr>
          <w:rFonts w:cs="Arial"/>
          <w:lang w:val="es-419"/>
        </w:rPr>
      </w:pPr>
      <w:r w:rsidRPr="009F11CA">
        <w:rPr>
          <w:rFonts w:cs="Arial"/>
          <w:lang w:val="es-419"/>
        </w:rPr>
        <w:tab/>
      </w:r>
      <w:r w:rsidR="00FB5897" w:rsidRPr="009F11CA">
        <w:rPr>
          <w:rFonts w:cs="Arial"/>
          <w:lang w:val="es-419"/>
        </w:rPr>
        <w:t>c)</w:t>
      </w:r>
      <w:r w:rsidR="00FB5897" w:rsidRPr="009F11CA">
        <w:rPr>
          <w:rFonts w:cs="Arial"/>
          <w:lang w:val="es-419"/>
        </w:rPr>
        <w:tab/>
      </w:r>
      <w:r w:rsidR="00781C74" w:rsidRPr="009F11CA">
        <w:rPr>
          <w:rFonts w:cs="Arial"/>
          <w:lang w:val="es-419"/>
        </w:rPr>
        <w:t xml:space="preserve">aprobar la fecha provisional </w:t>
      </w:r>
      <w:r w:rsidR="002B11B3" w:rsidRPr="009F11CA">
        <w:rPr>
          <w:rFonts w:cs="Arial"/>
          <w:lang w:val="es-419"/>
        </w:rPr>
        <w:t xml:space="preserve">para la primera reunión del </w:t>
      </w:r>
      <w:proofErr w:type="spellStart"/>
      <w:r w:rsidR="002B11B3" w:rsidRPr="009F11CA">
        <w:rPr>
          <w:rFonts w:cs="Arial"/>
          <w:lang w:val="es-419"/>
        </w:rPr>
        <w:t>WG</w:t>
      </w:r>
      <w:proofErr w:type="spellEnd"/>
      <w:r w:rsidR="002B11B3" w:rsidRPr="009F11CA">
        <w:rPr>
          <w:rFonts w:cs="Arial"/>
          <w:lang w:val="es-419"/>
        </w:rPr>
        <w:t>-EDV</w:t>
      </w:r>
      <w:r w:rsidR="002B11B3" w:rsidRPr="00DD4E4F">
        <w:rPr>
          <w:rFonts w:cs="Arial"/>
          <w:lang w:val="es-419"/>
        </w:rPr>
        <w:t xml:space="preserve"> que se indica en </w:t>
      </w:r>
      <w:r w:rsidR="00781C74" w:rsidRPr="00DD4E4F">
        <w:rPr>
          <w:rFonts w:cs="Arial"/>
          <w:lang w:val="es-419"/>
        </w:rPr>
        <w:t xml:space="preserve">el </w:t>
      </w:r>
      <w:r w:rsidR="00781C74" w:rsidRPr="009F11CA">
        <w:rPr>
          <w:rFonts w:cs="Arial"/>
          <w:lang w:val="es-419"/>
        </w:rPr>
        <w:t>párrafo</w:t>
      </w:r>
      <w:r w:rsidR="00061C2A" w:rsidRPr="009F11CA">
        <w:rPr>
          <w:rFonts w:cs="Arial"/>
          <w:lang w:val="es-419"/>
        </w:rPr>
        <w:t> 1</w:t>
      </w:r>
      <w:r w:rsidR="00781C74" w:rsidRPr="009F11CA">
        <w:rPr>
          <w:rFonts w:cs="Arial"/>
          <w:lang w:val="es-419"/>
        </w:rPr>
        <w:t>6;</w:t>
      </w:r>
      <w:r w:rsidR="00F62F0E">
        <w:rPr>
          <w:rFonts w:cs="Arial"/>
          <w:lang w:val="es-419"/>
        </w:rPr>
        <w:t xml:space="preserve"> </w:t>
      </w:r>
      <w:bookmarkStart w:id="12" w:name="_GoBack"/>
      <w:bookmarkEnd w:id="12"/>
      <w:r w:rsidR="00781C74" w:rsidRPr="00DD4E4F">
        <w:rPr>
          <w:rFonts w:cs="Arial"/>
          <w:lang w:val="es-419"/>
        </w:rPr>
        <w:t xml:space="preserve"> y</w:t>
      </w:r>
    </w:p>
    <w:p w:rsidR="00211989" w:rsidRPr="00750978" w:rsidRDefault="00211989" w:rsidP="00211989">
      <w:pPr>
        <w:pStyle w:val="DecisionParagraphs"/>
        <w:rPr>
          <w:rFonts w:cs="Arial"/>
          <w:sz w:val="18"/>
          <w:lang w:val="es-419"/>
        </w:rPr>
      </w:pPr>
    </w:p>
    <w:p w:rsidR="00750978" w:rsidRDefault="00211989" w:rsidP="00211989">
      <w:pPr>
        <w:pStyle w:val="DecisionParagraphs"/>
        <w:rPr>
          <w:lang w:val="es-419"/>
        </w:rPr>
      </w:pPr>
      <w:r w:rsidRPr="00DD4E4F">
        <w:rPr>
          <w:rFonts w:cs="Arial"/>
          <w:lang w:val="es-419"/>
        </w:rPr>
        <w:tab/>
      </w:r>
      <w:r w:rsidR="00FB5897" w:rsidRPr="00DD4E4F">
        <w:rPr>
          <w:rFonts w:cs="Arial"/>
          <w:lang w:val="es-419"/>
        </w:rPr>
        <w:t>d)</w:t>
      </w:r>
      <w:r w:rsidR="00FB5897" w:rsidRPr="00DD4E4F">
        <w:rPr>
          <w:rFonts w:cs="Arial"/>
          <w:lang w:val="es-419"/>
        </w:rPr>
        <w:tab/>
      </w:r>
      <w:r w:rsidR="00781C74" w:rsidRPr="00DD4E4F">
        <w:rPr>
          <w:lang w:val="es-419"/>
        </w:rPr>
        <w:t xml:space="preserve">pedir al </w:t>
      </w:r>
      <w:proofErr w:type="spellStart"/>
      <w:r w:rsidR="00781C74" w:rsidRPr="00DD4E4F">
        <w:rPr>
          <w:lang w:val="es-419"/>
        </w:rPr>
        <w:t>WG</w:t>
      </w:r>
      <w:proofErr w:type="spellEnd"/>
      <w:r w:rsidR="00781C74" w:rsidRPr="00DD4E4F">
        <w:rPr>
          <w:lang w:val="es-419"/>
        </w:rPr>
        <w:t xml:space="preserve">-EDV </w:t>
      </w:r>
      <w:r w:rsidR="002B11B3" w:rsidRPr="00DD4E4F">
        <w:rPr>
          <w:lang w:val="es-419"/>
        </w:rPr>
        <w:t xml:space="preserve">que, en su primera reunión, proponga un calendario para su labor, a fin de </w:t>
      </w:r>
      <w:r w:rsidR="00781C74" w:rsidRPr="00DD4E4F">
        <w:rPr>
          <w:lang w:val="es-419"/>
        </w:rPr>
        <w:t>someterlo a la consideración del </w:t>
      </w:r>
      <w:proofErr w:type="spellStart"/>
      <w:r w:rsidR="00781C74" w:rsidRPr="00DD4E4F">
        <w:rPr>
          <w:lang w:val="es-419"/>
        </w:rPr>
        <w:t>CAJ</w:t>
      </w:r>
      <w:proofErr w:type="spellEnd"/>
      <w:r w:rsidR="00781C74" w:rsidRPr="00DD4E4F">
        <w:rPr>
          <w:lang w:val="es-419"/>
        </w:rPr>
        <w:t xml:space="preserve"> en su sesión de</w:t>
      </w:r>
      <w:r w:rsidR="00061C2A" w:rsidRPr="00DD4E4F">
        <w:rPr>
          <w:lang w:val="es-419"/>
        </w:rPr>
        <w:t> 2</w:t>
      </w:r>
      <w:r w:rsidR="00781C74" w:rsidRPr="00DD4E4F">
        <w:rPr>
          <w:lang w:val="es-419"/>
        </w:rPr>
        <w:t>021</w:t>
      </w:r>
      <w:r w:rsidR="00750978">
        <w:rPr>
          <w:lang w:val="es-419"/>
        </w:rPr>
        <w:t>.</w:t>
      </w:r>
    </w:p>
    <w:p w:rsidR="00211989" w:rsidRPr="00A444FD" w:rsidRDefault="00211989" w:rsidP="00211989">
      <w:pPr>
        <w:pStyle w:val="DecisionParagraphs"/>
        <w:rPr>
          <w:rFonts w:cs="Arial"/>
          <w:sz w:val="12"/>
          <w:lang w:val="es-419"/>
        </w:rPr>
      </w:pPr>
    </w:p>
    <w:p w:rsidR="00301E91" w:rsidRPr="00DD4E4F" w:rsidRDefault="00750978" w:rsidP="00750978">
      <w:pPr>
        <w:jc w:val="right"/>
        <w:rPr>
          <w:lang w:val="es-419"/>
        </w:rPr>
      </w:pPr>
      <w:r>
        <w:rPr>
          <w:lang w:val="es-419"/>
        </w:rPr>
        <w:t>[</w:t>
      </w:r>
      <w:r w:rsidR="00781C74" w:rsidRPr="00DD4E4F">
        <w:rPr>
          <w:lang w:val="es-419"/>
        </w:rPr>
        <w:t>Sigue el Anexo I]</w:t>
      </w:r>
    </w:p>
    <w:p w:rsidR="00301E91" w:rsidRPr="00DD4E4F" w:rsidRDefault="00301E91" w:rsidP="005A43B2">
      <w:pPr>
        <w:jc w:val="left"/>
        <w:rPr>
          <w:lang w:val="es-419"/>
        </w:rPr>
        <w:sectPr w:rsidR="00301E91" w:rsidRPr="00DD4E4F" w:rsidSect="00D859F7">
          <w:headerReference w:type="default" r:id="rId11"/>
          <w:endnotePr>
            <w:numFmt w:val="lowerLetter"/>
          </w:endnotePr>
          <w:pgSz w:w="11907" w:h="16840" w:code="9"/>
          <w:pgMar w:top="510" w:right="1134" w:bottom="993" w:left="1134" w:header="510" w:footer="680" w:gutter="0"/>
          <w:cols w:space="720"/>
          <w:titlePg/>
        </w:sectPr>
      </w:pPr>
    </w:p>
    <w:p w:rsidR="00301E91" w:rsidRPr="00DD4E4F" w:rsidRDefault="00301E91" w:rsidP="00301E91">
      <w:pPr>
        <w:jc w:val="center"/>
        <w:rPr>
          <w:lang w:val="es-419"/>
        </w:rPr>
      </w:pPr>
      <w:r w:rsidRPr="00DD4E4F">
        <w:rPr>
          <w:lang w:val="es-419"/>
        </w:rPr>
        <w:lastRenderedPageBreak/>
        <w:t>CUESTIONES RELATIVAS A LA POLÍTICA Y LAS PRÁCTICAS Y COSTUMBRES DE LOS OBTENTORES</w:t>
      </w:r>
    </w:p>
    <w:p w:rsidR="00301E91" w:rsidRPr="00DD4E4F" w:rsidRDefault="00301E91" w:rsidP="00301E91">
      <w:pPr>
        <w:ind w:left="-142"/>
        <w:jc w:val="center"/>
        <w:rPr>
          <w:rFonts w:cs="Arial"/>
          <w:lang w:val="es-419"/>
        </w:rPr>
      </w:pPr>
    </w:p>
    <w:p w:rsidR="00301E91" w:rsidRPr="00DD4E4F" w:rsidRDefault="00301E91" w:rsidP="00301E91">
      <w:pPr>
        <w:ind w:left="-142"/>
        <w:jc w:val="center"/>
        <w:rPr>
          <w:rFonts w:cs="Arial"/>
          <w:lang w:val="es-419"/>
        </w:rPr>
      </w:pPr>
    </w:p>
    <w:p w:rsidR="00301E91" w:rsidRPr="00DD4E4F" w:rsidRDefault="00301E91" w:rsidP="00301E91">
      <w:pPr>
        <w:rPr>
          <w:lang w:val="es-419"/>
        </w:rPr>
      </w:pPr>
      <w:r w:rsidRPr="00DD4E4F">
        <w:rPr>
          <w:lang w:val="es-419"/>
        </w:rPr>
        <w:t>El presente Anexo I contiene los Apéndices siguientes:</w:t>
      </w:r>
    </w:p>
    <w:p w:rsidR="00301E91" w:rsidRPr="00DD4E4F" w:rsidRDefault="00301E91" w:rsidP="00301E91">
      <w:pPr>
        <w:rPr>
          <w:lang w:val="es-419"/>
        </w:rPr>
      </w:pPr>
    </w:p>
    <w:p w:rsidR="00301E91" w:rsidRPr="00DD4E4F" w:rsidRDefault="00301E91" w:rsidP="00301E91">
      <w:pPr>
        <w:tabs>
          <w:tab w:val="left" w:pos="1134"/>
        </w:tabs>
        <w:ind w:firstLine="360"/>
        <w:rPr>
          <w:lang w:val="es-419"/>
        </w:rPr>
      </w:pPr>
      <w:r w:rsidRPr="00DD4E4F">
        <w:rPr>
          <w:lang w:val="es-419"/>
        </w:rPr>
        <w:t>a)</w:t>
      </w:r>
      <w:r w:rsidRPr="00DD4E4F">
        <w:rPr>
          <w:lang w:val="es-419"/>
        </w:rPr>
        <w:tab/>
        <w:t>Apéndice I: Cuestiones relativas a la política; y</w:t>
      </w:r>
    </w:p>
    <w:p w:rsidR="00301E91" w:rsidRPr="00DD4E4F" w:rsidRDefault="00301E91" w:rsidP="00301E91">
      <w:pPr>
        <w:ind w:left="720"/>
        <w:contextualSpacing/>
        <w:rPr>
          <w:lang w:val="es-419"/>
        </w:rPr>
      </w:pPr>
    </w:p>
    <w:p w:rsidR="00301E91" w:rsidRPr="00DD4E4F" w:rsidRDefault="00301E91" w:rsidP="00301E91">
      <w:pPr>
        <w:tabs>
          <w:tab w:val="left" w:pos="1134"/>
        </w:tabs>
        <w:ind w:firstLine="360"/>
        <w:rPr>
          <w:lang w:val="es-419"/>
        </w:rPr>
      </w:pPr>
      <w:r w:rsidRPr="00DD4E4F">
        <w:rPr>
          <w:lang w:val="es-419"/>
        </w:rPr>
        <w:t>b)</w:t>
      </w:r>
      <w:r w:rsidRPr="00DD4E4F">
        <w:rPr>
          <w:lang w:val="es-419"/>
        </w:rPr>
        <w:tab/>
        <w:t xml:space="preserve">Apéndice II: Prácticas y costumbres de los obtentores </w:t>
      </w:r>
    </w:p>
    <w:p w:rsidR="00301E91" w:rsidRPr="00DD4E4F" w:rsidRDefault="00301E91" w:rsidP="00301E91">
      <w:pPr>
        <w:rPr>
          <w:lang w:val="es-419"/>
        </w:rPr>
      </w:pPr>
    </w:p>
    <w:p w:rsidR="00301E91" w:rsidRPr="00DD4E4F" w:rsidRDefault="00301E91" w:rsidP="00301E91">
      <w:pPr>
        <w:jc w:val="left"/>
        <w:rPr>
          <w:lang w:val="es-419"/>
        </w:rPr>
      </w:pPr>
    </w:p>
    <w:p w:rsidR="00301E91" w:rsidRPr="00DD4E4F" w:rsidRDefault="00301E91" w:rsidP="00301E91">
      <w:pPr>
        <w:jc w:val="left"/>
        <w:rPr>
          <w:lang w:val="es-419"/>
        </w:rPr>
      </w:pPr>
    </w:p>
    <w:p w:rsidR="00301E91" w:rsidRPr="00DD4E4F" w:rsidRDefault="00301E91" w:rsidP="00301E91">
      <w:pPr>
        <w:jc w:val="right"/>
        <w:rPr>
          <w:lang w:val="es-419"/>
        </w:rPr>
      </w:pPr>
      <w:r w:rsidRPr="00DD4E4F">
        <w:rPr>
          <w:lang w:val="es-419"/>
        </w:rPr>
        <w:t>[Sigue el Apéndice I]</w:t>
      </w:r>
    </w:p>
    <w:p w:rsidR="00301E91" w:rsidRPr="00DD4E4F" w:rsidRDefault="00301E91" w:rsidP="00301E91">
      <w:pPr>
        <w:autoSpaceDE w:val="0"/>
        <w:autoSpaceDN w:val="0"/>
        <w:contextualSpacing/>
        <w:rPr>
          <w:rFonts w:eastAsia="Calibri" w:cs="Arial"/>
          <w:iCs/>
          <w:spacing w:val="-2"/>
          <w:highlight w:val="lightGray"/>
          <w:lang w:val="es-419"/>
        </w:rPr>
      </w:pPr>
    </w:p>
    <w:p w:rsidR="00301E91" w:rsidRPr="00DD4E4F" w:rsidRDefault="00301E91" w:rsidP="00301E91">
      <w:pPr>
        <w:autoSpaceDE w:val="0"/>
        <w:autoSpaceDN w:val="0"/>
        <w:contextualSpacing/>
        <w:rPr>
          <w:lang w:val="es-419"/>
        </w:rPr>
      </w:pPr>
    </w:p>
    <w:p w:rsidR="00301E91" w:rsidRPr="00DD4E4F" w:rsidRDefault="00301E91" w:rsidP="00301E91">
      <w:pPr>
        <w:autoSpaceDE w:val="0"/>
        <w:autoSpaceDN w:val="0"/>
        <w:contextualSpacing/>
        <w:rPr>
          <w:lang w:val="es-419"/>
        </w:rPr>
      </w:pPr>
    </w:p>
    <w:p w:rsidR="00301E91" w:rsidRPr="00DD4E4F" w:rsidRDefault="00301E91" w:rsidP="00301E91">
      <w:pPr>
        <w:autoSpaceDE w:val="0"/>
        <w:autoSpaceDN w:val="0"/>
        <w:contextualSpacing/>
        <w:rPr>
          <w:lang w:val="es-419"/>
        </w:rPr>
      </w:pPr>
    </w:p>
    <w:p w:rsidR="00301E91" w:rsidRPr="00DD4E4F" w:rsidRDefault="00301E91" w:rsidP="00301E91">
      <w:pPr>
        <w:autoSpaceDE w:val="0"/>
        <w:autoSpaceDN w:val="0"/>
        <w:contextualSpacing/>
        <w:rPr>
          <w:lang w:val="es-419"/>
        </w:rPr>
      </w:pPr>
    </w:p>
    <w:p w:rsidR="00301E91" w:rsidRPr="00DD4E4F" w:rsidRDefault="00301E91" w:rsidP="00301E91">
      <w:pPr>
        <w:rPr>
          <w:lang w:val="es-419"/>
        </w:rPr>
      </w:pPr>
    </w:p>
    <w:p w:rsidR="00301E91" w:rsidRPr="00DD4E4F" w:rsidRDefault="00301E91" w:rsidP="00301E91">
      <w:pPr>
        <w:rPr>
          <w:lang w:val="es-419"/>
        </w:rPr>
      </w:pPr>
    </w:p>
    <w:p w:rsidR="00301E91" w:rsidRPr="00DD4E4F" w:rsidRDefault="00301E91" w:rsidP="00301E91">
      <w:pPr>
        <w:rPr>
          <w:lang w:val="es-419"/>
        </w:rPr>
      </w:pPr>
    </w:p>
    <w:p w:rsidR="00301E91" w:rsidRPr="00DD4E4F" w:rsidRDefault="00301E91" w:rsidP="00301E91">
      <w:pPr>
        <w:rPr>
          <w:lang w:val="es-419"/>
        </w:rPr>
      </w:pPr>
    </w:p>
    <w:p w:rsidR="00301E91" w:rsidRPr="00DD4E4F" w:rsidRDefault="00301E91" w:rsidP="00301E91">
      <w:pPr>
        <w:jc w:val="left"/>
        <w:rPr>
          <w:lang w:val="es-419"/>
        </w:rPr>
        <w:sectPr w:rsidR="00301E91" w:rsidRPr="00DD4E4F" w:rsidSect="0018090B">
          <w:headerReference w:type="first" r:id="rId12"/>
          <w:endnotePr>
            <w:numFmt w:val="lowerLetter"/>
          </w:endnotePr>
          <w:pgSz w:w="11907" w:h="16840" w:code="9"/>
          <w:pgMar w:top="567" w:right="1134" w:bottom="567" w:left="1134" w:header="510" w:footer="624" w:gutter="0"/>
          <w:cols w:space="720"/>
          <w:titlePg/>
          <w:docGrid w:linePitch="272"/>
        </w:sectPr>
      </w:pPr>
    </w:p>
    <w:p w:rsidR="00301E91" w:rsidRPr="00DD4E4F" w:rsidRDefault="00301E91" w:rsidP="00301E91">
      <w:pPr>
        <w:jc w:val="center"/>
        <w:rPr>
          <w:lang w:val="es-419"/>
        </w:rPr>
      </w:pPr>
      <w:r w:rsidRPr="00DD4E4F">
        <w:rPr>
          <w:lang w:val="es-419"/>
        </w:rPr>
        <w:lastRenderedPageBreak/>
        <w:t>CUESTIONES RELATIVAS A LA POLÍTICA</w:t>
      </w:r>
    </w:p>
    <w:p w:rsidR="00301E91" w:rsidRPr="00DD4E4F" w:rsidRDefault="00301E91" w:rsidP="00301E91">
      <w:pPr>
        <w:rPr>
          <w:lang w:val="es-419"/>
        </w:rPr>
      </w:pPr>
    </w:p>
    <w:p w:rsidR="00301E91" w:rsidRPr="00DD4E4F" w:rsidRDefault="00301E91" w:rsidP="00301E91">
      <w:pPr>
        <w:rPr>
          <w:lang w:val="es-419"/>
        </w:rPr>
      </w:pPr>
    </w:p>
    <w:p w:rsidR="00301E91" w:rsidRPr="00DD4E4F" w:rsidRDefault="00301E91" w:rsidP="00301E91">
      <w:pPr>
        <w:rPr>
          <w:caps/>
          <w:lang w:val="es-419"/>
        </w:rPr>
      </w:pPr>
      <w:bookmarkStart w:id="13" w:name="_Toc48316462"/>
      <w:r w:rsidRPr="00DD4E4F">
        <w:rPr>
          <w:lang w:val="es-419"/>
        </w:rPr>
        <w:t>CUESTIONES GENERALES</w:t>
      </w:r>
      <w:r w:rsidRPr="00DD4E4F">
        <w:rPr>
          <w:rStyle w:val="FootnoteReference"/>
          <w:caps/>
          <w:lang w:val="es-419"/>
        </w:rPr>
        <w:footnoteReference w:id="2"/>
      </w:r>
      <w:bookmarkEnd w:id="13"/>
    </w:p>
    <w:p w:rsidR="00301E91" w:rsidRPr="00DD4E4F" w:rsidRDefault="00301E91" w:rsidP="00301E91">
      <w:pPr>
        <w:rPr>
          <w:lang w:val="es-419"/>
        </w:rPr>
      </w:pPr>
    </w:p>
    <w:p w:rsidR="00301E91" w:rsidRPr="00DD4E4F" w:rsidRDefault="00301E91" w:rsidP="00301E91">
      <w:pPr>
        <w:tabs>
          <w:tab w:val="left" w:pos="1134"/>
        </w:tabs>
        <w:ind w:firstLine="567"/>
        <w:rPr>
          <w:lang w:val="es-419"/>
        </w:rPr>
      </w:pPr>
      <w:r w:rsidRPr="00DD4E4F">
        <w:rPr>
          <w:lang w:val="es-419"/>
        </w:rPr>
        <w:t>a)</w:t>
      </w:r>
      <w:r w:rsidRPr="00DD4E4F">
        <w:rPr>
          <w:lang w:val="es-419"/>
        </w:rPr>
        <w:tab/>
        <w:t>El concepto de variedad esencialmente derivada ha de aplicarse de modo que “el progreso del fitomejoramiento se traduzca en las máximas ventajas para la sociedad” (véase el resumen del presidente del </w:t>
      </w:r>
      <w:proofErr w:type="spellStart"/>
      <w:r w:rsidRPr="00DD4E4F">
        <w:rPr>
          <w:lang w:val="es-419"/>
        </w:rPr>
        <w:t>CAJ</w:t>
      </w:r>
      <w:proofErr w:type="spellEnd"/>
      <w:r w:rsidRPr="00DD4E4F">
        <w:rPr>
          <w:lang w:val="es-419"/>
        </w:rPr>
        <w:t xml:space="preserve"> acerca del resultado del “Seminario sobre la repercusión de la política sobre variedades esencialmente derivadas en la estrategia de fitomejoramiento”, párrafo 11 del documento </w:t>
      </w:r>
      <w:proofErr w:type="spellStart"/>
      <w:r w:rsidRPr="00DD4E4F">
        <w:rPr>
          <w:lang w:val="es-419"/>
        </w:rPr>
        <w:t>CAJ</w:t>
      </w:r>
      <w:proofErr w:type="spellEnd"/>
      <w:r w:rsidRPr="00DD4E4F">
        <w:rPr>
          <w:lang w:val="es-419"/>
        </w:rPr>
        <w:t>/76/9 “Informe”) y, en particular:</w:t>
      </w:r>
    </w:p>
    <w:p w:rsidR="00301E91" w:rsidRPr="00DD4E4F" w:rsidRDefault="00301E91" w:rsidP="00301E91">
      <w:pPr>
        <w:tabs>
          <w:tab w:val="left" w:pos="567"/>
        </w:tabs>
        <w:ind w:left="567"/>
        <w:contextualSpacing/>
        <w:rPr>
          <w:lang w:val="es-419"/>
        </w:rPr>
      </w:pPr>
    </w:p>
    <w:p w:rsidR="00301E91" w:rsidRPr="00DD4E4F" w:rsidRDefault="00301E91" w:rsidP="00301E91">
      <w:pPr>
        <w:tabs>
          <w:tab w:val="left" w:pos="1701"/>
        </w:tabs>
        <w:ind w:left="1701" w:hanging="567"/>
        <w:rPr>
          <w:lang w:val="es-419"/>
        </w:rPr>
      </w:pPr>
      <w:r w:rsidRPr="00DD4E4F">
        <w:rPr>
          <w:lang w:val="es-419"/>
        </w:rPr>
        <w:t>i)</w:t>
      </w:r>
      <w:r w:rsidRPr="00DD4E4F">
        <w:rPr>
          <w:lang w:val="es-419"/>
        </w:rPr>
        <w:tab/>
      </w:r>
      <w:r w:rsidRPr="00DD4E4F">
        <w:rPr>
          <w:spacing w:val="-2"/>
          <w:lang w:val="es-419"/>
        </w:rPr>
        <w:t>ofrecer incentivos a los obtentores a fin de que aprovechen la diversidad genética (véanse las cuestiones 5 y 6 y las prácticas 4, 9 y 24);</w:t>
      </w:r>
    </w:p>
    <w:p w:rsidR="00301E91" w:rsidRPr="00DD4E4F" w:rsidRDefault="00301E91" w:rsidP="00301E91">
      <w:pPr>
        <w:tabs>
          <w:tab w:val="left" w:pos="1701"/>
        </w:tabs>
        <w:ind w:left="1701" w:hanging="567"/>
        <w:contextualSpacing/>
        <w:rPr>
          <w:lang w:val="es-419"/>
        </w:rPr>
      </w:pPr>
    </w:p>
    <w:p w:rsidR="00301E91" w:rsidRPr="00DD4E4F" w:rsidRDefault="00301E91" w:rsidP="00301E91">
      <w:pPr>
        <w:tabs>
          <w:tab w:val="left" w:pos="1701"/>
        </w:tabs>
        <w:ind w:left="1701" w:hanging="567"/>
        <w:contextualSpacing/>
        <w:rPr>
          <w:lang w:val="es-419"/>
        </w:rPr>
      </w:pPr>
      <w:r w:rsidRPr="00DD4E4F">
        <w:rPr>
          <w:lang w:val="es-419"/>
        </w:rPr>
        <w:t>ii)</w:t>
      </w:r>
      <w:r w:rsidRPr="00DD4E4F">
        <w:rPr>
          <w:lang w:val="es-419"/>
        </w:rPr>
        <w:tab/>
        <w:t>la derivación principal debe considerarse el elemento fundamental del concepto de variedad esencialmente derivada (véanse las cuestiones 29, 32, 50, 51, 54 y 60 y las prácticas 6, 7, 22 y 23);</w:t>
      </w:r>
    </w:p>
    <w:p w:rsidR="00301E91" w:rsidRPr="00DD4E4F" w:rsidRDefault="00301E91" w:rsidP="00301E91">
      <w:pPr>
        <w:tabs>
          <w:tab w:val="left" w:pos="1701"/>
        </w:tabs>
        <w:ind w:left="1701" w:hanging="567"/>
        <w:contextualSpacing/>
        <w:rPr>
          <w:lang w:val="es-419"/>
        </w:rPr>
      </w:pPr>
    </w:p>
    <w:p w:rsidR="00301E91" w:rsidRPr="00DD4E4F" w:rsidRDefault="00301E91" w:rsidP="00301E91">
      <w:pPr>
        <w:tabs>
          <w:tab w:val="left" w:pos="1701"/>
        </w:tabs>
        <w:ind w:left="1701" w:hanging="567"/>
        <w:rPr>
          <w:lang w:val="es-419"/>
        </w:rPr>
      </w:pPr>
      <w:r w:rsidRPr="00DD4E4F">
        <w:rPr>
          <w:lang w:val="es-419"/>
        </w:rPr>
        <w:t>iii)</w:t>
      </w:r>
      <w:r w:rsidRPr="00DD4E4F">
        <w:rPr>
          <w:lang w:val="es-419"/>
        </w:rPr>
        <w:tab/>
        <w:t>si los mutantes han de considerarse variedades esencialmente derivadas (véanse las cuestiones 18, 21, 25, 29, 32 y 64 y las prácticas 10, 11, 13 y 15);</w:t>
      </w:r>
    </w:p>
    <w:p w:rsidR="00301E91" w:rsidRPr="00DD4E4F" w:rsidRDefault="00301E91" w:rsidP="00301E91">
      <w:pPr>
        <w:tabs>
          <w:tab w:val="left" w:pos="1701"/>
        </w:tabs>
        <w:ind w:left="1701" w:hanging="567"/>
        <w:rPr>
          <w:lang w:val="es-419"/>
        </w:rPr>
      </w:pPr>
    </w:p>
    <w:p w:rsidR="00301E91" w:rsidRPr="00DD4E4F" w:rsidRDefault="00301E91" w:rsidP="00301E91">
      <w:pPr>
        <w:tabs>
          <w:tab w:val="left" w:pos="1701"/>
        </w:tabs>
        <w:ind w:left="1701" w:hanging="567"/>
        <w:rPr>
          <w:lang w:val="es-419"/>
        </w:rPr>
      </w:pPr>
      <w:r w:rsidRPr="00DD4E4F">
        <w:rPr>
          <w:lang w:val="es-419"/>
        </w:rPr>
        <w:t>iv)</w:t>
      </w:r>
      <w:r w:rsidRPr="00DD4E4F">
        <w:rPr>
          <w:lang w:val="es-419"/>
        </w:rPr>
        <w:tab/>
        <w:t>si debe interpretarse que la frase “salvo por lo que respecta a las diferencias resultantes de la derivación” que figura en el Convenio no limita la magnitud de la diferencia que puede existir entre la variedad inicial y la variedad esencialmente derivada (por ejemplo, mutaciones inducidas por radiación) (véanse las cuestiones 16, 17 y 18);</w:t>
      </w:r>
    </w:p>
    <w:p w:rsidR="00301E91" w:rsidRPr="00DD4E4F" w:rsidRDefault="00301E91" w:rsidP="00301E91">
      <w:pPr>
        <w:tabs>
          <w:tab w:val="left" w:pos="1701"/>
        </w:tabs>
        <w:ind w:left="1134"/>
        <w:rPr>
          <w:lang w:val="es-419"/>
        </w:rPr>
      </w:pPr>
    </w:p>
    <w:p w:rsidR="00301E91" w:rsidRPr="00DD4E4F" w:rsidRDefault="00301E91" w:rsidP="00301E91">
      <w:pPr>
        <w:tabs>
          <w:tab w:val="left" w:pos="1701"/>
        </w:tabs>
        <w:ind w:left="1701" w:hanging="567"/>
        <w:rPr>
          <w:lang w:val="es-419"/>
        </w:rPr>
      </w:pPr>
      <w:r w:rsidRPr="00DD4E4F">
        <w:rPr>
          <w:lang w:val="es-419"/>
        </w:rPr>
        <w:t>v)</w:t>
      </w:r>
      <w:r w:rsidRPr="00DD4E4F">
        <w:rPr>
          <w:lang w:val="es-419"/>
        </w:rPr>
        <w:tab/>
        <w:t xml:space="preserve">la función del análisis de ADN y de los umbrales genéticos en la evaluación de la conformidad genética con la variedad inicial. ¿Cuál es el número límite de </w:t>
      </w:r>
      <w:proofErr w:type="spellStart"/>
      <w:r w:rsidRPr="00DD4E4F">
        <w:rPr>
          <w:lang w:val="es-419"/>
        </w:rPr>
        <w:t>retrocruzamientos</w:t>
      </w:r>
      <w:proofErr w:type="spellEnd"/>
      <w:r w:rsidRPr="00DD4E4F">
        <w:rPr>
          <w:lang w:val="es-419"/>
        </w:rPr>
        <w:t>? (véanse las cuestiones 31, 51, 54, 60 y 64 y las prácticas 22, 23 y 28); y</w:t>
      </w:r>
    </w:p>
    <w:p w:rsidR="00301E91" w:rsidRPr="00DD4E4F" w:rsidRDefault="00301E91" w:rsidP="00301E91">
      <w:pPr>
        <w:tabs>
          <w:tab w:val="left" w:pos="1701"/>
        </w:tabs>
        <w:ind w:left="1134"/>
        <w:rPr>
          <w:lang w:val="es-419"/>
        </w:rPr>
      </w:pPr>
    </w:p>
    <w:p w:rsidR="00301E91" w:rsidRPr="00DD4E4F" w:rsidRDefault="00301E91" w:rsidP="00301E91">
      <w:pPr>
        <w:tabs>
          <w:tab w:val="left" w:pos="1701"/>
        </w:tabs>
        <w:ind w:left="1701" w:hanging="567"/>
        <w:rPr>
          <w:lang w:val="es-419"/>
        </w:rPr>
      </w:pPr>
      <w:r w:rsidRPr="00DD4E4F">
        <w:rPr>
          <w:lang w:val="es-419"/>
        </w:rPr>
        <w:t>vi)</w:t>
      </w:r>
      <w:r w:rsidRPr="00DD4E4F">
        <w:rPr>
          <w:lang w:val="es-419"/>
        </w:rPr>
        <w:tab/>
        <w:t>la repercusión de los métodos modernos de fitomejoramiento en el concepto de variedad esencialmente derivada: “La evolución de las tecnologías de fitomejoramiento ha generado nuevas oportunidades e incentivos para desarrollar variedades mediante derivación principal a partir de una variedad inicial, en menos tiempo y a un menor costo” (véanse el proyecto de mandato en relación con el resultado del Seminario de 2019 sobre variedades esencialmente derivadas, las cuestiones 9, 22, 27, 30, 31, 32, 33 y 64 y las prácticas 5 y 9);</w:t>
      </w:r>
    </w:p>
    <w:p w:rsidR="00301E91" w:rsidRPr="00DD4E4F" w:rsidRDefault="00301E91" w:rsidP="00301E91">
      <w:pPr>
        <w:tabs>
          <w:tab w:val="left" w:pos="1701"/>
        </w:tabs>
        <w:ind w:left="1134"/>
        <w:contextualSpacing/>
        <w:rPr>
          <w:lang w:val="es-419"/>
        </w:rPr>
      </w:pPr>
    </w:p>
    <w:p w:rsidR="00301E91" w:rsidRPr="00DD4E4F" w:rsidRDefault="00301E91" w:rsidP="00301E91">
      <w:pPr>
        <w:tabs>
          <w:tab w:val="left" w:pos="1701"/>
        </w:tabs>
        <w:ind w:left="1701" w:hanging="567"/>
        <w:rPr>
          <w:lang w:val="es-419"/>
        </w:rPr>
      </w:pPr>
      <w:r w:rsidRPr="00DD4E4F">
        <w:rPr>
          <w:lang w:val="es-419"/>
        </w:rPr>
        <w:t>vii)</w:t>
      </w:r>
      <w:r w:rsidRPr="00DD4E4F">
        <w:rPr>
          <w:lang w:val="es-419"/>
        </w:rPr>
        <w:tab/>
        <w:t xml:space="preserve">¿qué es necesario para considerar que una variedad esencialmente derivada guarda conformidad con los caracteres esenciales de la variedad inicial? (véanse las cuestiones 11, 13, 15, 52 y 57); </w:t>
      </w:r>
    </w:p>
    <w:p w:rsidR="00301E91" w:rsidRPr="00DD4E4F" w:rsidRDefault="00301E91" w:rsidP="00301E91">
      <w:pPr>
        <w:rPr>
          <w:lang w:val="es-419"/>
        </w:rPr>
      </w:pPr>
    </w:p>
    <w:p w:rsidR="00301E91" w:rsidRPr="00DD4E4F" w:rsidRDefault="00301E91" w:rsidP="00301E91">
      <w:pPr>
        <w:tabs>
          <w:tab w:val="left" w:pos="1134"/>
        </w:tabs>
        <w:ind w:firstLine="567"/>
        <w:rPr>
          <w:lang w:val="es-419"/>
        </w:rPr>
      </w:pPr>
      <w:r w:rsidRPr="00DD4E4F">
        <w:rPr>
          <w:lang w:val="es-419"/>
        </w:rPr>
        <w:t>b)</w:t>
      </w:r>
      <w:r w:rsidRPr="00DD4E4F">
        <w:rPr>
          <w:lang w:val="es-419"/>
        </w:rPr>
        <w:tab/>
        <w:t xml:space="preserve">Procurar que las orientaciones sobre las variedades esencialmente derivadas cumplan una función aclaratoria, eviten controversias y faciliten que el obtentor de la variedad inicial protegida reciba una remuneración equitativa o pueda negociar acuerdos satisfactorios con el obtentor de una variedad esencialmente derivada (por ejemplo, licencias cruzadas) (véanse las cuestiones 5, 6, 7, 8, 10, 19, 20 y 55 y la práctica 21) y, en particular: </w:t>
      </w:r>
    </w:p>
    <w:p w:rsidR="00301E91" w:rsidRPr="00DD4E4F" w:rsidRDefault="00301E91" w:rsidP="00301E91">
      <w:pPr>
        <w:tabs>
          <w:tab w:val="left" w:pos="1701"/>
        </w:tabs>
        <w:ind w:left="1134"/>
        <w:rPr>
          <w:lang w:val="es-419"/>
        </w:rPr>
      </w:pPr>
    </w:p>
    <w:p w:rsidR="00301E91" w:rsidRPr="00DD4E4F" w:rsidRDefault="00301E91" w:rsidP="00301E91">
      <w:pPr>
        <w:tabs>
          <w:tab w:val="left" w:pos="1701"/>
        </w:tabs>
        <w:ind w:left="1701" w:hanging="567"/>
        <w:contextualSpacing/>
        <w:rPr>
          <w:lang w:val="es-419"/>
        </w:rPr>
      </w:pPr>
      <w:r w:rsidRPr="00DD4E4F">
        <w:rPr>
          <w:lang w:val="es-419"/>
        </w:rPr>
        <w:t>i)</w:t>
      </w:r>
      <w:r w:rsidRPr="00DD4E4F">
        <w:rPr>
          <w:lang w:val="es-419"/>
        </w:rPr>
        <w:tab/>
        <w:t>¿de qué modo unas orientaciones claras y comprensibles pueden ser de ayuda en causas judiciales o en casos de arbitraje o mediación? (véanse las cuestiones 7, 53, 54, 61, 64 y 65 y las prácticas 18 y 21);</w:t>
      </w:r>
    </w:p>
    <w:p w:rsidR="00301E91" w:rsidRPr="00DD4E4F" w:rsidRDefault="00301E91" w:rsidP="00301E91">
      <w:pPr>
        <w:tabs>
          <w:tab w:val="left" w:pos="1701"/>
        </w:tabs>
        <w:ind w:left="1701" w:hanging="567"/>
        <w:contextualSpacing/>
        <w:rPr>
          <w:lang w:val="es-419"/>
        </w:rPr>
      </w:pPr>
    </w:p>
    <w:p w:rsidR="00301E91" w:rsidRPr="00DD4E4F" w:rsidRDefault="00301E91" w:rsidP="00301E91">
      <w:pPr>
        <w:tabs>
          <w:tab w:val="left" w:pos="1134"/>
        </w:tabs>
        <w:ind w:left="1701" w:hanging="567"/>
        <w:rPr>
          <w:lang w:val="es-419"/>
        </w:rPr>
      </w:pPr>
      <w:r w:rsidRPr="00DD4E4F">
        <w:rPr>
          <w:lang w:val="es-419"/>
        </w:rPr>
        <w:t>ii)</w:t>
      </w:r>
      <w:r w:rsidRPr="00DD4E4F">
        <w:rPr>
          <w:lang w:val="es-419"/>
        </w:rPr>
        <w:tab/>
        <w:t>la utilidad del análisis de ADN y de los marcadores moleculares a efectos de reducir la carga para el obtentor de la variedad inicial protegida en la determinación de las variedades esencialmente derivadas (véanse las cuestiones 54, 58, 60 y 64 y la práctica 17);</w:t>
      </w:r>
    </w:p>
    <w:p w:rsidR="00301E91" w:rsidRPr="00DD4E4F" w:rsidRDefault="00301E91" w:rsidP="00301E91">
      <w:pPr>
        <w:tabs>
          <w:tab w:val="left" w:pos="1701"/>
        </w:tabs>
        <w:ind w:left="1701" w:hanging="567"/>
        <w:rPr>
          <w:lang w:val="es-419"/>
        </w:rPr>
      </w:pPr>
    </w:p>
    <w:p w:rsidR="00301E91" w:rsidRPr="00DD4E4F" w:rsidRDefault="00301E91" w:rsidP="00301E91">
      <w:pPr>
        <w:tabs>
          <w:tab w:val="left" w:pos="1701"/>
        </w:tabs>
        <w:ind w:left="1701" w:hanging="567"/>
        <w:rPr>
          <w:lang w:val="es-419"/>
        </w:rPr>
      </w:pPr>
      <w:r w:rsidRPr="00DD4E4F">
        <w:rPr>
          <w:lang w:val="es-419"/>
        </w:rPr>
        <w:t>iii)</w:t>
      </w:r>
      <w:r w:rsidRPr="00DD4E4F">
        <w:rPr>
          <w:lang w:val="es-419"/>
        </w:rPr>
        <w:tab/>
      </w:r>
      <w:r w:rsidRPr="00DD4E4F">
        <w:rPr>
          <w:highlight w:val="lightGray"/>
          <w:u w:val="single"/>
          <w:lang w:val="es-419"/>
        </w:rPr>
        <w:t>si</w:t>
      </w:r>
      <w:r w:rsidRPr="00DD4E4F">
        <w:rPr>
          <w:lang w:val="es-419"/>
        </w:rPr>
        <w:t xml:space="preserve"> </w:t>
      </w:r>
      <w:r w:rsidRPr="00DD4E4F">
        <w:rPr>
          <w:strike/>
          <w:highlight w:val="lightGray"/>
          <w:lang w:val="es-419"/>
        </w:rPr>
        <w:t>el papel de</w:t>
      </w:r>
      <w:r w:rsidRPr="00DD4E4F">
        <w:rPr>
          <w:lang w:val="es-419"/>
        </w:rPr>
        <w:t xml:space="preserve"> las oficinas de protección de las obtenciones vegetales o sus expertos </w:t>
      </w:r>
      <w:r w:rsidRPr="00DD4E4F">
        <w:rPr>
          <w:highlight w:val="lightGray"/>
          <w:u w:val="single"/>
          <w:lang w:val="es-419"/>
        </w:rPr>
        <w:t>pueden desempeñar o no un papel</w:t>
      </w:r>
      <w:r w:rsidRPr="00DD4E4F">
        <w:rPr>
          <w:lang w:val="es-419"/>
        </w:rPr>
        <w:t xml:space="preserve"> en la determinación de las variedades esencialmente derivadas (véanse las cuestiones 41, 53 y 65 y la práctica 21); y</w:t>
      </w:r>
    </w:p>
    <w:p w:rsidR="00301E91" w:rsidRPr="00DD4E4F" w:rsidRDefault="00301E91" w:rsidP="00301E91">
      <w:pPr>
        <w:tabs>
          <w:tab w:val="left" w:pos="1701"/>
        </w:tabs>
        <w:ind w:left="1701" w:hanging="567"/>
        <w:rPr>
          <w:lang w:val="es-419"/>
        </w:rPr>
      </w:pPr>
    </w:p>
    <w:p w:rsidR="00301E91" w:rsidRPr="00DD4E4F" w:rsidRDefault="00301E91" w:rsidP="00301E91">
      <w:pPr>
        <w:tabs>
          <w:tab w:val="left" w:pos="1701"/>
        </w:tabs>
        <w:ind w:left="1701" w:hanging="567"/>
        <w:rPr>
          <w:lang w:val="es-419"/>
        </w:rPr>
      </w:pPr>
      <w:r w:rsidRPr="00DD4E4F">
        <w:rPr>
          <w:lang w:val="es-419"/>
        </w:rPr>
        <w:t>iv)</w:t>
      </w:r>
      <w:r w:rsidRPr="00DD4E4F">
        <w:rPr>
          <w:lang w:val="es-419"/>
        </w:rPr>
        <w:tab/>
        <w:t xml:space="preserve">si </w:t>
      </w:r>
      <w:r w:rsidRPr="00DD4E4F">
        <w:rPr>
          <w:highlight w:val="lightGray"/>
          <w:u w:val="single"/>
          <w:lang w:val="es-419"/>
        </w:rPr>
        <w:t>sería conveniente que</w:t>
      </w:r>
      <w:r w:rsidRPr="00DD4E4F">
        <w:rPr>
          <w:lang w:val="es-419"/>
        </w:rPr>
        <w:t xml:space="preserve"> el formulario de solicitud de derechos de obtentor </w:t>
      </w:r>
      <w:r w:rsidRPr="00DD4E4F">
        <w:rPr>
          <w:strike/>
          <w:highlight w:val="lightGray"/>
          <w:lang w:val="es-419"/>
        </w:rPr>
        <w:t>debería facilitar</w:t>
      </w:r>
      <w:r w:rsidRPr="00DD4E4F">
        <w:rPr>
          <w:lang w:val="es-419"/>
        </w:rPr>
        <w:t xml:space="preserve"> </w:t>
      </w:r>
      <w:r w:rsidRPr="00DD4E4F">
        <w:rPr>
          <w:highlight w:val="lightGray"/>
          <w:u w:val="single"/>
          <w:lang w:val="es-419"/>
        </w:rPr>
        <w:t>facilite</w:t>
      </w:r>
      <w:r w:rsidRPr="00DD4E4F">
        <w:rPr>
          <w:lang w:val="es-419"/>
        </w:rPr>
        <w:t xml:space="preserve"> la divulgación</w:t>
      </w:r>
      <w:r w:rsidRPr="00DD4E4F">
        <w:rPr>
          <w:highlight w:val="lightGray"/>
          <w:u w:val="single"/>
          <w:lang w:val="es-419"/>
        </w:rPr>
        <w:t xml:space="preserve">, con carácter voluntario, </w:t>
      </w:r>
      <w:r w:rsidRPr="00DD4E4F">
        <w:rPr>
          <w:lang w:val="es-419"/>
        </w:rPr>
        <w:t>de información sobre aspectos relativos a las variedades esencialmente derivadas</w:t>
      </w:r>
      <w:r w:rsidR="00B15F93">
        <w:rPr>
          <w:lang w:val="es-419"/>
        </w:rPr>
        <w:t xml:space="preserve"> (véanse las cuestiones 38, 39, </w:t>
      </w:r>
      <w:r w:rsidRPr="00DD4E4F">
        <w:rPr>
          <w:lang w:val="es-419"/>
        </w:rPr>
        <w:t>40</w:t>
      </w:r>
      <w:r w:rsidR="00B15F93">
        <w:rPr>
          <w:lang w:val="es-419"/>
        </w:rPr>
        <w:t xml:space="preserve">, </w:t>
      </w:r>
      <w:r w:rsidR="00B15F93" w:rsidRPr="00DD4E4F">
        <w:rPr>
          <w:lang w:val="es-419"/>
        </w:rPr>
        <w:t>41</w:t>
      </w:r>
      <w:r w:rsidRPr="00DD4E4F">
        <w:rPr>
          <w:lang w:val="es-419"/>
        </w:rPr>
        <w:t xml:space="preserve"> y </w:t>
      </w:r>
      <w:r w:rsidR="00B15F93" w:rsidRPr="00DD4E4F">
        <w:rPr>
          <w:lang w:val="es-419"/>
        </w:rPr>
        <w:t>59</w:t>
      </w:r>
      <w:r w:rsidRPr="00DD4E4F">
        <w:rPr>
          <w:lang w:val="es-419"/>
        </w:rPr>
        <w:t xml:space="preserve"> y la práctica 21).</w:t>
      </w:r>
    </w:p>
    <w:p w:rsidR="00301E91" w:rsidRPr="00DD4E4F" w:rsidRDefault="00301E91" w:rsidP="00301E91">
      <w:pPr>
        <w:rPr>
          <w:b/>
          <w:lang w:val="es-419"/>
        </w:rPr>
      </w:pPr>
    </w:p>
    <w:p w:rsidR="00301E91" w:rsidRPr="00DD4E4F" w:rsidRDefault="00301E91" w:rsidP="00301E91">
      <w:pPr>
        <w:rPr>
          <w:b/>
          <w:lang w:val="es-419"/>
        </w:rPr>
      </w:pPr>
    </w:p>
    <w:p w:rsidR="00301E91" w:rsidRPr="00DD4E4F" w:rsidRDefault="00301E91" w:rsidP="00301E91">
      <w:pPr>
        <w:jc w:val="left"/>
        <w:rPr>
          <w:b/>
          <w:lang w:val="es-419"/>
        </w:rPr>
      </w:pPr>
      <w:r w:rsidRPr="00DD4E4F">
        <w:rPr>
          <w:b/>
          <w:lang w:val="es-419"/>
        </w:rPr>
        <w:br w:type="page"/>
      </w:r>
    </w:p>
    <w:p w:rsidR="00301E91" w:rsidRPr="00DD4E4F" w:rsidRDefault="00301E91" w:rsidP="00301E91">
      <w:pPr>
        <w:jc w:val="left"/>
        <w:rPr>
          <w:lang w:val="es-419"/>
        </w:rPr>
      </w:pPr>
      <w:r w:rsidRPr="00DD4E4F">
        <w:rPr>
          <w:lang w:val="es-419"/>
        </w:rPr>
        <w:lastRenderedPageBreak/>
        <w:t>CUESTIONES RELATIVAS A ASPECTOS CONCRETOS DE LAS ACTUALES NOTAS EXPLICATIVAS</w:t>
      </w:r>
    </w:p>
    <w:p w:rsidR="00301E91" w:rsidRPr="00DD4E4F" w:rsidRDefault="00301E91" w:rsidP="00301E91">
      <w:pPr>
        <w:keepNext/>
        <w:rPr>
          <w:lang w:val="es-419"/>
        </w:rPr>
      </w:pPr>
    </w:p>
    <w:tbl>
      <w:tblPr>
        <w:tblStyle w:val="TableGrid10"/>
        <w:tblW w:w="997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7155"/>
        <w:gridCol w:w="1513"/>
      </w:tblGrid>
      <w:tr w:rsidR="00301E91" w:rsidRPr="00DD4E4F" w:rsidTr="0068686E">
        <w:trPr>
          <w:cantSplit/>
        </w:trPr>
        <w:tc>
          <w:tcPr>
            <w:tcW w:w="1305" w:type="dxa"/>
          </w:tcPr>
          <w:p w:rsidR="00301E91" w:rsidRPr="00DD4E4F" w:rsidRDefault="00301E91" w:rsidP="00B974ED">
            <w:pPr>
              <w:jc w:val="left"/>
              <w:rPr>
                <w:lang w:val="es-419"/>
              </w:rPr>
            </w:pPr>
          </w:p>
        </w:tc>
        <w:tc>
          <w:tcPr>
            <w:tcW w:w="7155" w:type="dxa"/>
          </w:tcPr>
          <w:p w:rsidR="00301E91" w:rsidRPr="00DD4E4F" w:rsidRDefault="00301E91" w:rsidP="00B974ED">
            <w:pPr>
              <w:jc w:val="left"/>
              <w:rPr>
                <w:highlight w:val="yellow"/>
                <w:lang w:val="es-419"/>
              </w:rPr>
            </w:pPr>
            <w:r w:rsidRPr="00DD4E4F">
              <w:rPr>
                <w:lang w:val="es-419"/>
              </w:rPr>
              <w:t>PREÁMBULO</w:t>
            </w:r>
          </w:p>
        </w:tc>
        <w:tc>
          <w:tcPr>
            <w:tcW w:w="1513" w:type="dxa"/>
          </w:tcPr>
          <w:p w:rsidR="00301E91" w:rsidRPr="00DD4E4F" w:rsidRDefault="00301E91" w:rsidP="00B974ED">
            <w:pPr>
              <w:jc w:val="left"/>
              <w:rPr>
                <w:i/>
                <w:lang w:val="es-419"/>
              </w:rPr>
            </w:pPr>
            <w:r w:rsidRPr="00DD4E4F">
              <w:rPr>
                <w:i/>
                <w:lang w:val="es-419"/>
              </w:rPr>
              <w:t>Aportación formulada por</w:t>
            </w:r>
          </w:p>
        </w:tc>
      </w:tr>
      <w:tr w:rsidR="00301E91" w:rsidRPr="00DD4E4F" w:rsidTr="0068686E">
        <w:trPr>
          <w:cantSplit/>
        </w:trPr>
        <w:tc>
          <w:tcPr>
            <w:tcW w:w="1305" w:type="dxa"/>
          </w:tcPr>
          <w:p w:rsidR="00301E91" w:rsidRPr="00DD4E4F" w:rsidRDefault="00301E91" w:rsidP="00B974ED">
            <w:pPr>
              <w:jc w:val="left"/>
              <w:rPr>
                <w:i/>
                <w:lang w:val="es-419"/>
              </w:rPr>
            </w:pPr>
            <w:r w:rsidRPr="00DD4E4F">
              <w:rPr>
                <w:i/>
                <w:lang w:val="es-419"/>
              </w:rPr>
              <w:t>Cuestión 1</w:t>
            </w:r>
          </w:p>
        </w:tc>
        <w:tc>
          <w:tcPr>
            <w:tcW w:w="7155" w:type="dxa"/>
          </w:tcPr>
          <w:p w:rsidR="00301E91" w:rsidRPr="00DD4E4F" w:rsidRDefault="00301E91" w:rsidP="00B974ED">
            <w:pPr>
              <w:jc w:val="left"/>
              <w:rPr>
                <w:i/>
                <w:lang w:val="es-419"/>
              </w:rPr>
            </w:pPr>
            <w:r w:rsidRPr="00DD4E4F">
              <w:rPr>
                <w:i/>
                <w:lang w:val="es-419"/>
              </w:rPr>
              <w:t>considerar si es necesaria la referencia a la Resolución sobre el artículo 14.5) de la Conferencia Diplomática de 1991</w:t>
            </w:r>
          </w:p>
        </w:tc>
        <w:tc>
          <w:tcPr>
            <w:tcW w:w="1513" w:type="dxa"/>
          </w:tcPr>
          <w:p w:rsidR="00301E91" w:rsidRPr="00DD4E4F" w:rsidRDefault="00301E91" w:rsidP="00B974ED">
            <w:pPr>
              <w:jc w:val="left"/>
              <w:rPr>
                <w:i/>
                <w:lang w:val="es-419"/>
              </w:rPr>
            </w:pPr>
            <w:r w:rsidRPr="00DD4E4F">
              <w:rPr>
                <w:i/>
                <w:lang w:val="es-419"/>
              </w:rPr>
              <w:t>RU</w:t>
            </w:r>
          </w:p>
        </w:tc>
      </w:tr>
      <w:tr w:rsidR="00301E91" w:rsidRPr="00DD4E4F" w:rsidTr="0068686E">
        <w:trPr>
          <w:cantSplit/>
        </w:trPr>
        <w:tc>
          <w:tcPr>
            <w:tcW w:w="1305" w:type="dxa"/>
          </w:tcPr>
          <w:p w:rsidR="00301E91" w:rsidRPr="00DD4E4F" w:rsidRDefault="00301E91" w:rsidP="00B974ED">
            <w:pPr>
              <w:jc w:val="left"/>
              <w:rPr>
                <w:i/>
                <w:lang w:val="es-419"/>
              </w:rPr>
            </w:pPr>
            <w:r w:rsidRPr="00DD4E4F">
              <w:rPr>
                <w:i/>
                <w:lang w:val="es-419"/>
              </w:rPr>
              <w:t>Cuestión 2</w:t>
            </w:r>
          </w:p>
        </w:tc>
        <w:tc>
          <w:tcPr>
            <w:tcW w:w="7155" w:type="dxa"/>
          </w:tcPr>
          <w:p w:rsidR="00301E91" w:rsidRPr="00DD4E4F" w:rsidRDefault="00301E91" w:rsidP="00B974ED">
            <w:pPr>
              <w:jc w:val="left"/>
              <w:rPr>
                <w:i/>
                <w:lang w:val="es-419"/>
              </w:rPr>
            </w:pPr>
            <w:r w:rsidRPr="00DD4E4F">
              <w:rPr>
                <w:i/>
                <w:lang w:val="es-419"/>
              </w:rPr>
              <w:t>considerar si es conveniente revisar y reducir el texto del preámbulo para evitar repeticiones</w:t>
            </w:r>
          </w:p>
        </w:tc>
        <w:tc>
          <w:tcPr>
            <w:tcW w:w="1513" w:type="dxa"/>
          </w:tcPr>
          <w:p w:rsidR="00301E91" w:rsidRPr="00DD4E4F" w:rsidRDefault="00301E91" w:rsidP="00B974ED">
            <w:pPr>
              <w:jc w:val="left"/>
              <w:rPr>
                <w:i/>
                <w:lang w:val="es-419"/>
              </w:rPr>
            </w:pPr>
            <w:r w:rsidRPr="00DD4E4F">
              <w:rPr>
                <w:i/>
                <w:lang w:val="es-419"/>
              </w:rPr>
              <w:t>RU</w:t>
            </w:r>
          </w:p>
        </w:tc>
      </w:tr>
      <w:tr w:rsidR="00301E91" w:rsidRPr="00DD4E4F" w:rsidTr="0068686E">
        <w:trPr>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i/>
                <w:lang w:val="es-419"/>
              </w:rPr>
            </w:pPr>
          </w:p>
        </w:tc>
        <w:tc>
          <w:tcPr>
            <w:tcW w:w="1513" w:type="dxa"/>
          </w:tcPr>
          <w:p w:rsidR="00301E91" w:rsidRPr="00DD4E4F" w:rsidRDefault="00301E91" w:rsidP="00B974ED">
            <w:pPr>
              <w:jc w:val="left"/>
              <w:rPr>
                <w:i/>
                <w:lang w:val="es-419"/>
              </w:rPr>
            </w:pPr>
          </w:p>
        </w:tc>
      </w:tr>
      <w:tr w:rsidR="00301E91" w:rsidRPr="00DD4E4F" w:rsidTr="0068686E">
        <w:trPr>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lang w:val="es-419"/>
              </w:rPr>
            </w:pPr>
            <w:r w:rsidRPr="00DD4E4F">
              <w:rPr>
                <w:lang w:val="es-419"/>
              </w:rPr>
              <w:t>SECCIÓN I: DISPOSICIONES SOBRE LAS VARIEDADES ESENCIALMENTE DERIVADAS</w:t>
            </w:r>
          </w:p>
          <w:p w:rsidR="00301E91" w:rsidRPr="00DD4E4F" w:rsidRDefault="00301E91" w:rsidP="00B974ED">
            <w:pPr>
              <w:jc w:val="left"/>
              <w:rPr>
                <w:lang w:val="es-419"/>
              </w:rPr>
            </w:pPr>
          </w:p>
        </w:tc>
        <w:tc>
          <w:tcPr>
            <w:tcW w:w="1513" w:type="dxa"/>
          </w:tcPr>
          <w:p w:rsidR="00301E91" w:rsidRPr="00DD4E4F" w:rsidRDefault="00301E91" w:rsidP="00B974ED">
            <w:pPr>
              <w:jc w:val="left"/>
              <w:rPr>
                <w:i/>
                <w:lang w:val="es-419"/>
              </w:rPr>
            </w:pPr>
          </w:p>
        </w:tc>
      </w:tr>
      <w:tr w:rsidR="00301E91" w:rsidRPr="00DD4E4F" w:rsidTr="0068686E">
        <w:trPr>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lang w:val="es-419"/>
              </w:rPr>
            </w:pPr>
            <w:r w:rsidRPr="00DD4E4F">
              <w:rPr>
                <w:lang w:val="es-419"/>
              </w:rPr>
              <w:t>a)</w:t>
            </w:r>
            <w:r w:rsidRPr="00DD4E4F">
              <w:rPr>
                <w:lang w:val="es-419"/>
              </w:rPr>
              <w:tab/>
              <w:t>Disposiciones pertinentes del Acta de 1991 del Convenio de la UPOV</w:t>
            </w:r>
          </w:p>
          <w:p w:rsidR="00301E91" w:rsidRPr="00DD4E4F" w:rsidRDefault="00301E91" w:rsidP="00B974ED">
            <w:pPr>
              <w:jc w:val="left"/>
              <w:rPr>
                <w:i/>
                <w:lang w:val="es-419"/>
              </w:rPr>
            </w:pPr>
          </w:p>
        </w:tc>
        <w:tc>
          <w:tcPr>
            <w:tcW w:w="1513" w:type="dxa"/>
          </w:tcPr>
          <w:p w:rsidR="00301E91" w:rsidRPr="00DD4E4F" w:rsidRDefault="00301E91" w:rsidP="00B974ED">
            <w:pPr>
              <w:jc w:val="left"/>
              <w:rPr>
                <w:i/>
                <w:lang w:val="es-419"/>
              </w:rPr>
            </w:pPr>
          </w:p>
        </w:tc>
      </w:tr>
      <w:tr w:rsidR="00301E91" w:rsidRPr="00DD4E4F" w:rsidTr="0068686E">
        <w:trPr>
          <w:cantSplit/>
        </w:trPr>
        <w:tc>
          <w:tcPr>
            <w:tcW w:w="1305" w:type="dxa"/>
          </w:tcPr>
          <w:p w:rsidR="00301E91" w:rsidRPr="00DD4E4F" w:rsidRDefault="00301E91" w:rsidP="00B974ED">
            <w:pPr>
              <w:jc w:val="left"/>
              <w:rPr>
                <w:i/>
                <w:lang w:val="es-419"/>
              </w:rPr>
            </w:pPr>
            <w:r w:rsidRPr="00DD4E4F">
              <w:rPr>
                <w:i/>
                <w:lang w:val="es-419"/>
              </w:rPr>
              <w:t>Cuestión 3</w:t>
            </w:r>
          </w:p>
        </w:tc>
        <w:tc>
          <w:tcPr>
            <w:tcW w:w="7155" w:type="dxa"/>
          </w:tcPr>
          <w:p w:rsidR="00301E91" w:rsidRPr="00DD4E4F" w:rsidRDefault="00301E91" w:rsidP="00B974ED">
            <w:pPr>
              <w:jc w:val="left"/>
              <w:rPr>
                <w:i/>
                <w:lang w:val="es-419"/>
              </w:rPr>
            </w:pPr>
            <w:r w:rsidRPr="00DD4E4F">
              <w:rPr>
                <w:i/>
                <w:lang w:val="es-419"/>
              </w:rPr>
              <w:t>considerar si se podrían suprimir las disposiciones del artículo 14.5)ii) y iii) del Acta de 1991 y las que figuran en la nota al pie (página 4)</w:t>
            </w:r>
          </w:p>
        </w:tc>
        <w:tc>
          <w:tcPr>
            <w:tcW w:w="1513" w:type="dxa"/>
          </w:tcPr>
          <w:p w:rsidR="00301E91" w:rsidRPr="00DD4E4F" w:rsidRDefault="00301E91" w:rsidP="00B974ED">
            <w:pPr>
              <w:jc w:val="left"/>
              <w:rPr>
                <w:i/>
                <w:lang w:val="es-419"/>
              </w:rPr>
            </w:pPr>
            <w:r w:rsidRPr="00DD4E4F">
              <w:rPr>
                <w:i/>
                <w:lang w:val="es-419"/>
              </w:rPr>
              <w:t>RU</w:t>
            </w:r>
          </w:p>
        </w:tc>
      </w:tr>
      <w:tr w:rsidR="00301E91" w:rsidRPr="00DD4E4F" w:rsidTr="0068686E">
        <w:trPr>
          <w:cantSplit/>
        </w:trPr>
        <w:tc>
          <w:tcPr>
            <w:tcW w:w="1305" w:type="dxa"/>
          </w:tcPr>
          <w:p w:rsidR="00301E91" w:rsidRPr="00DD4E4F" w:rsidRDefault="00301E91" w:rsidP="00B974ED">
            <w:pPr>
              <w:jc w:val="left"/>
              <w:rPr>
                <w:i/>
                <w:lang w:val="es-419"/>
              </w:rPr>
            </w:pPr>
            <w:r w:rsidRPr="00DD4E4F">
              <w:rPr>
                <w:i/>
                <w:lang w:val="es-419"/>
              </w:rPr>
              <w:t>Cuestión 4</w:t>
            </w:r>
          </w:p>
        </w:tc>
        <w:tc>
          <w:tcPr>
            <w:tcW w:w="7155" w:type="dxa"/>
          </w:tcPr>
          <w:p w:rsidR="00301E91" w:rsidRPr="00DD4E4F" w:rsidRDefault="00301E91" w:rsidP="00B974ED">
            <w:pPr>
              <w:jc w:val="left"/>
              <w:rPr>
                <w:i/>
                <w:lang w:val="es-419"/>
              </w:rPr>
            </w:pPr>
            <w:r w:rsidRPr="00DD4E4F">
              <w:rPr>
                <w:i/>
                <w:lang w:val="es-419"/>
              </w:rPr>
              <w:t xml:space="preserve">considerar la posibilidad de no dividir las disposiciones pertinentes sobre las variedades esencialmente derivadas en las subsecciones a) y b) </w:t>
            </w:r>
          </w:p>
        </w:tc>
        <w:tc>
          <w:tcPr>
            <w:tcW w:w="1513" w:type="dxa"/>
          </w:tcPr>
          <w:p w:rsidR="00301E91" w:rsidRPr="00DD4E4F" w:rsidRDefault="00301E91" w:rsidP="00B974ED">
            <w:pPr>
              <w:jc w:val="left"/>
              <w:rPr>
                <w:i/>
                <w:lang w:val="es-419"/>
              </w:rPr>
            </w:pPr>
            <w:r w:rsidRPr="00DD4E4F">
              <w:rPr>
                <w:i/>
                <w:lang w:val="es-419"/>
              </w:rPr>
              <w:t>RU</w:t>
            </w:r>
          </w:p>
        </w:tc>
      </w:tr>
      <w:tr w:rsidR="00301E91" w:rsidRPr="00DD4E4F" w:rsidTr="0068686E">
        <w:trPr>
          <w:cantSplit/>
        </w:trPr>
        <w:tc>
          <w:tcPr>
            <w:tcW w:w="1305" w:type="dxa"/>
          </w:tcPr>
          <w:p w:rsidR="00301E91" w:rsidRPr="00DD4E4F" w:rsidRDefault="00301E91" w:rsidP="00B974ED">
            <w:pPr>
              <w:jc w:val="left"/>
              <w:rPr>
                <w:i/>
                <w:strike/>
                <w:lang w:val="es-419"/>
              </w:rPr>
            </w:pPr>
            <w:r w:rsidRPr="00DD4E4F">
              <w:rPr>
                <w:i/>
                <w:strike/>
                <w:highlight w:val="lightGray"/>
                <w:lang w:val="es-419"/>
              </w:rPr>
              <w:t>Cuestión 5</w:t>
            </w:r>
          </w:p>
        </w:tc>
        <w:tc>
          <w:tcPr>
            <w:tcW w:w="7155" w:type="dxa"/>
          </w:tcPr>
          <w:p w:rsidR="00301E91" w:rsidRPr="00DD4E4F" w:rsidRDefault="00301E91" w:rsidP="00B974ED">
            <w:pPr>
              <w:jc w:val="left"/>
              <w:rPr>
                <w:i/>
                <w:strike/>
                <w:highlight w:val="lightGray"/>
                <w:lang w:val="es-419"/>
              </w:rPr>
            </w:pPr>
            <w:r w:rsidRPr="00DD4E4F">
              <w:rPr>
                <w:i/>
                <w:strike/>
                <w:highlight w:val="lightGray"/>
                <w:lang w:val="es-419"/>
              </w:rPr>
              <w:t xml:space="preserve">estudiar el modo de dar respuesta, en la revisión de las notas explicativas, al texto siguiente: “Cambios relativamente pequeños pueden tener una gran repercusión en el titular de la variedad inicial. “En el ámbito de las especies vegetales, esta cuestión de principio reviste una importancia económica considerable, particularmente en los sectores hortícola y floral, en los que una nueva variedad, ya sea una mutación o una creación, puede convertirse en un éxito de la noche a la mañana y conquistar una cuota de mercado tan considerable como la del titular del derecho de obtentor de la variedad original.” Ante esta realidad, se requiere una defensa efectiva de los derechos de propiedad intelectual. Sin ella, los incentivos para innovar podrían quedar anulados.” </w:t>
            </w:r>
          </w:p>
        </w:tc>
        <w:tc>
          <w:tcPr>
            <w:tcW w:w="1513" w:type="dxa"/>
          </w:tcPr>
          <w:p w:rsidR="00301E91" w:rsidRPr="00DD4E4F" w:rsidRDefault="00301E91" w:rsidP="00B974ED">
            <w:pPr>
              <w:jc w:val="left"/>
              <w:rPr>
                <w:i/>
                <w:strike/>
                <w:lang w:val="es-419"/>
              </w:rPr>
            </w:pPr>
            <w:proofErr w:type="spellStart"/>
            <w:r w:rsidRPr="00DD4E4F">
              <w:rPr>
                <w:i/>
                <w:strike/>
                <w:highlight w:val="lightGray"/>
                <w:lang w:val="es-419"/>
              </w:rPr>
              <w:t>AIPH</w:t>
            </w:r>
            <w:proofErr w:type="spellEnd"/>
            <w:r w:rsidRPr="00DD4E4F">
              <w:rPr>
                <w:i/>
                <w:strike/>
                <w:lang w:val="es-419"/>
              </w:rPr>
              <w:t xml:space="preserve"> </w:t>
            </w:r>
          </w:p>
          <w:p w:rsidR="00301E91" w:rsidRPr="00DD4E4F" w:rsidRDefault="00301E91" w:rsidP="00B974ED">
            <w:pPr>
              <w:jc w:val="left"/>
              <w:rPr>
                <w:i/>
                <w:u w:val="single"/>
                <w:lang w:val="es-419"/>
              </w:rPr>
            </w:pPr>
            <w:r w:rsidRPr="00DD4E4F">
              <w:rPr>
                <w:i/>
                <w:highlight w:val="lightGray"/>
                <w:u w:val="single"/>
                <w:lang w:val="es-419"/>
              </w:rPr>
              <w:t xml:space="preserve">(la </w:t>
            </w:r>
            <w:proofErr w:type="spellStart"/>
            <w:r w:rsidRPr="00DD4E4F">
              <w:rPr>
                <w:i/>
                <w:highlight w:val="lightGray"/>
                <w:u w:val="single"/>
                <w:lang w:val="es-419"/>
              </w:rPr>
              <w:t>AIPH</w:t>
            </w:r>
            <w:proofErr w:type="spellEnd"/>
            <w:r w:rsidRPr="00DD4E4F">
              <w:rPr>
                <w:i/>
                <w:highlight w:val="lightGray"/>
                <w:u w:val="single"/>
                <w:lang w:val="es-419"/>
              </w:rPr>
              <w:t xml:space="preserve"> solicitó su supresión)</w:t>
            </w:r>
          </w:p>
        </w:tc>
      </w:tr>
      <w:tr w:rsidR="00301E91" w:rsidRPr="00DD4E4F" w:rsidTr="0068686E">
        <w:trPr>
          <w:cantSplit/>
        </w:trPr>
        <w:tc>
          <w:tcPr>
            <w:tcW w:w="1305" w:type="dxa"/>
          </w:tcPr>
          <w:p w:rsidR="00301E91" w:rsidRPr="00DD4E4F" w:rsidRDefault="00301E91" w:rsidP="00B974ED">
            <w:pPr>
              <w:jc w:val="left"/>
              <w:rPr>
                <w:i/>
                <w:lang w:val="es-419"/>
              </w:rPr>
            </w:pPr>
            <w:r w:rsidRPr="00DD4E4F">
              <w:rPr>
                <w:i/>
                <w:lang w:val="es-419"/>
              </w:rPr>
              <w:t xml:space="preserve">Cuestión 5 [6] </w:t>
            </w:r>
          </w:p>
        </w:tc>
        <w:tc>
          <w:tcPr>
            <w:tcW w:w="7155" w:type="dxa"/>
          </w:tcPr>
          <w:p w:rsidR="00301E91" w:rsidRPr="00DD4E4F" w:rsidRDefault="00301E91" w:rsidP="00B974ED">
            <w:pPr>
              <w:jc w:val="left"/>
              <w:rPr>
                <w:i/>
                <w:lang w:val="es-419"/>
              </w:rPr>
            </w:pPr>
            <w:r w:rsidRPr="00DD4E4F">
              <w:rPr>
                <w:i/>
                <w:lang w:val="es-419"/>
              </w:rPr>
              <w:t>abordar la cuestión, señalada por los obtentores en el sondeo, de que “el 50% de los encuestados consideran nula o baja la efectividad de las disposiciones sobre las variedades esencialmente derivadas para asegurar que el obtentor de la variedad inicial reciba la retribución necesaria”</w:t>
            </w:r>
          </w:p>
        </w:tc>
        <w:tc>
          <w:tcPr>
            <w:tcW w:w="1513" w:type="dxa"/>
          </w:tcPr>
          <w:p w:rsidR="00301E91" w:rsidRPr="00DD4E4F" w:rsidRDefault="00301E91" w:rsidP="00B974ED">
            <w:pPr>
              <w:jc w:val="left"/>
              <w:rPr>
                <w:i/>
                <w:lang w:val="es-419"/>
              </w:rPr>
            </w:pPr>
            <w:r w:rsidRPr="00DD4E4F">
              <w:rPr>
                <w:i/>
                <w:lang w:val="es-419"/>
              </w:rPr>
              <w:t>Aportación conjunta de los obtentores</w:t>
            </w:r>
          </w:p>
        </w:tc>
      </w:tr>
      <w:tr w:rsidR="00301E91" w:rsidRPr="00DD4E4F" w:rsidTr="0068686E">
        <w:trPr>
          <w:cantSplit/>
        </w:trPr>
        <w:tc>
          <w:tcPr>
            <w:tcW w:w="1305" w:type="dxa"/>
          </w:tcPr>
          <w:p w:rsidR="00301E91" w:rsidRPr="00DD4E4F" w:rsidRDefault="00301E91" w:rsidP="00B974ED">
            <w:pPr>
              <w:jc w:val="left"/>
              <w:rPr>
                <w:i/>
                <w:lang w:val="es-419"/>
              </w:rPr>
            </w:pPr>
            <w:r w:rsidRPr="00DD4E4F">
              <w:rPr>
                <w:i/>
                <w:lang w:val="es-419"/>
              </w:rPr>
              <w:t>Cuestión 6 [7]</w:t>
            </w:r>
          </w:p>
        </w:tc>
        <w:tc>
          <w:tcPr>
            <w:tcW w:w="7155" w:type="dxa"/>
          </w:tcPr>
          <w:p w:rsidR="00301E91" w:rsidRPr="00DD4E4F" w:rsidRDefault="00301E91" w:rsidP="00B974ED">
            <w:pPr>
              <w:jc w:val="left"/>
              <w:rPr>
                <w:i/>
                <w:lang w:val="es-419"/>
              </w:rPr>
            </w:pPr>
            <w:r w:rsidRPr="00DD4E4F">
              <w:rPr>
                <w:i/>
                <w:lang w:val="es-419"/>
              </w:rPr>
              <w:t xml:space="preserve">analizar el alcance del concepto de variedad esencialmente derivada respecto de las siguientes cuestiones relativas a la política: “Para una gran parte de los encuestados, las disposiciones sobre las variedades esencialmente derivadas han demostrado utilidad aunque, no obstante, resulta evidente que se requieren aclaraciones adicionales. Todo intento de restarles valor, limitando su alcance o de otro modo, pondría en peligro los incentivos para el fitomejoramiento y podría acarrear una reducción de esta actividad, de la variación genética y de la biodiversidad. En última instancia, esto se traduciría en una disminución de las variedades a disposición de los usuarios, lo que supondría una amenaza para el sistema de la UPOV en su integridad.” </w:t>
            </w:r>
          </w:p>
        </w:tc>
        <w:tc>
          <w:tcPr>
            <w:tcW w:w="1513" w:type="dxa"/>
          </w:tcPr>
          <w:p w:rsidR="00301E91" w:rsidRPr="00DD4E4F" w:rsidRDefault="00301E91" w:rsidP="00B974ED">
            <w:pPr>
              <w:jc w:val="left"/>
              <w:rPr>
                <w:i/>
                <w:lang w:val="es-419"/>
              </w:rPr>
            </w:pPr>
            <w:r w:rsidRPr="00DD4E4F">
              <w:rPr>
                <w:i/>
                <w:lang w:val="es-419"/>
              </w:rPr>
              <w:t xml:space="preserve">Aportación conjunta de los obtentores, </w:t>
            </w:r>
            <w:proofErr w:type="spellStart"/>
            <w:r w:rsidRPr="00DD4E4F">
              <w:rPr>
                <w:i/>
                <w:lang w:val="es-419"/>
              </w:rPr>
              <w:t>AIPH</w:t>
            </w:r>
            <w:proofErr w:type="spellEnd"/>
          </w:p>
        </w:tc>
      </w:tr>
      <w:tr w:rsidR="00301E91" w:rsidRPr="00DD4E4F" w:rsidTr="0068686E">
        <w:trPr>
          <w:cantSplit/>
        </w:trPr>
        <w:tc>
          <w:tcPr>
            <w:tcW w:w="1305" w:type="dxa"/>
          </w:tcPr>
          <w:p w:rsidR="00301E91" w:rsidRPr="00DD4E4F" w:rsidRDefault="00301E91" w:rsidP="00B974ED">
            <w:pPr>
              <w:jc w:val="left"/>
              <w:rPr>
                <w:i/>
                <w:lang w:val="es-419"/>
              </w:rPr>
            </w:pPr>
            <w:r w:rsidRPr="00DD4E4F">
              <w:rPr>
                <w:i/>
                <w:lang w:val="es-419"/>
              </w:rPr>
              <w:t>Cuestión 7 [8]</w:t>
            </w:r>
          </w:p>
        </w:tc>
        <w:tc>
          <w:tcPr>
            <w:tcW w:w="7155" w:type="dxa"/>
          </w:tcPr>
          <w:p w:rsidR="00301E91" w:rsidRPr="00DD4E4F" w:rsidRDefault="00301E91" w:rsidP="00B974ED">
            <w:pPr>
              <w:jc w:val="left"/>
              <w:rPr>
                <w:i/>
                <w:lang w:val="es-419"/>
              </w:rPr>
            </w:pPr>
            <w:r w:rsidRPr="00DD4E4F">
              <w:rPr>
                <w:i/>
                <w:lang w:val="es-419"/>
              </w:rPr>
              <w:t xml:space="preserve">considerar el modo de satisfacer las necesidades de las pequeñas empresas expresadas en la siguiente observación: “Las pequeñas empresas indican que les es difícil comprender la evolución del concepto de variedad esencialmente derivada (interpretación de las notas explicativas de la UPOV, causas judiciales con resultados dispares). Seguramente agradecerían unas orientaciones de la UPOV más claras o un material explicativo simplificado.” </w:t>
            </w:r>
          </w:p>
        </w:tc>
        <w:tc>
          <w:tcPr>
            <w:tcW w:w="1513" w:type="dxa"/>
          </w:tcPr>
          <w:p w:rsidR="00301E91" w:rsidRPr="00DD4E4F" w:rsidRDefault="00301E91" w:rsidP="00B974ED">
            <w:pPr>
              <w:jc w:val="left"/>
              <w:rPr>
                <w:i/>
                <w:highlight w:val="green"/>
                <w:lang w:val="es-419"/>
              </w:rPr>
            </w:pPr>
            <w:r w:rsidRPr="00DD4E4F">
              <w:rPr>
                <w:i/>
                <w:lang w:val="es-419"/>
              </w:rPr>
              <w:t xml:space="preserve">Aportación conjunta de los obtentores, </w:t>
            </w:r>
            <w:proofErr w:type="spellStart"/>
            <w:r w:rsidRPr="00DD4E4F">
              <w:rPr>
                <w:i/>
                <w:lang w:val="es-419"/>
              </w:rPr>
              <w:t>AIPH</w:t>
            </w:r>
            <w:proofErr w:type="spellEnd"/>
          </w:p>
        </w:tc>
      </w:tr>
      <w:tr w:rsidR="00301E91" w:rsidRPr="00DD4E4F" w:rsidTr="0068686E">
        <w:trPr>
          <w:cantSplit/>
        </w:trPr>
        <w:tc>
          <w:tcPr>
            <w:tcW w:w="1305" w:type="dxa"/>
          </w:tcPr>
          <w:p w:rsidR="00301E91" w:rsidRPr="00DD4E4F" w:rsidRDefault="00301E91" w:rsidP="00B974ED">
            <w:pPr>
              <w:jc w:val="left"/>
              <w:rPr>
                <w:i/>
                <w:u w:val="single"/>
                <w:lang w:val="es-419"/>
              </w:rPr>
            </w:pPr>
            <w:r w:rsidRPr="00DD4E4F">
              <w:rPr>
                <w:i/>
                <w:highlight w:val="lightGray"/>
                <w:u w:val="single"/>
                <w:lang w:val="es-419"/>
              </w:rPr>
              <w:t>Cuestión 8</w:t>
            </w:r>
            <w:r w:rsidRPr="00DD4E4F">
              <w:rPr>
                <w:i/>
                <w:u w:val="single"/>
                <w:lang w:val="es-419"/>
              </w:rPr>
              <w:t xml:space="preserve"> </w:t>
            </w:r>
          </w:p>
        </w:tc>
        <w:tc>
          <w:tcPr>
            <w:tcW w:w="7155" w:type="dxa"/>
          </w:tcPr>
          <w:p w:rsidR="00301E91" w:rsidRPr="00DD4E4F" w:rsidRDefault="00301E91" w:rsidP="00B974ED">
            <w:pPr>
              <w:jc w:val="left"/>
              <w:rPr>
                <w:i/>
                <w:u w:val="single"/>
                <w:lang w:val="es-419"/>
              </w:rPr>
            </w:pPr>
            <w:r w:rsidRPr="00DD4E4F">
              <w:rPr>
                <w:i/>
                <w:highlight w:val="lightGray"/>
                <w:u w:val="single"/>
                <w:lang w:val="es-419"/>
              </w:rPr>
              <w:t>examinar la función del concepto de variedad esencialmente derivada respecto de la siguiente cuestión relativa a la política: “Sin una buena política sobre variedades esencialmente derivadas, el valor del sistema de derechos de obtentor será mucho menor. La protección se solicitaría mediante una política restrictiva de concesión de licencias, lo que podría dificultar el acceso de los pequeños productores a las nuevas variedades.”</w:t>
            </w:r>
          </w:p>
        </w:tc>
        <w:tc>
          <w:tcPr>
            <w:tcW w:w="1513" w:type="dxa"/>
          </w:tcPr>
          <w:p w:rsidR="00301E91" w:rsidRPr="00DD4E4F" w:rsidRDefault="00301E91" w:rsidP="00B974ED">
            <w:pPr>
              <w:jc w:val="left"/>
              <w:rPr>
                <w:i/>
                <w:u w:val="single"/>
                <w:lang w:val="es-419"/>
              </w:rPr>
            </w:pPr>
            <w:proofErr w:type="spellStart"/>
            <w:r w:rsidRPr="00DD4E4F">
              <w:rPr>
                <w:i/>
                <w:highlight w:val="lightGray"/>
                <w:u w:val="single"/>
                <w:lang w:val="es-419"/>
              </w:rPr>
              <w:t>AIPH</w:t>
            </w:r>
            <w:proofErr w:type="spellEnd"/>
          </w:p>
        </w:tc>
      </w:tr>
    </w:tbl>
    <w:p w:rsidR="0068686E" w:rsidRPr="00DD4E4F" w:rsidRDefault="0068686E">
      <w:pPr>
        <w:rPr>
          <w:lang w:val="es-419"/>
        </w:rPr>
      </w:pPr>
      <w:r w:rsidRPr="00DD4E4F">
        <w:rPr>
          <w:lang w:val="es-419"/>
        </w:rPr>
        <w:br w:type="page"/>
      </w:r>
    </w:p>
    <w:tbl>
      <w:tblPr>
        <w:tblStyle w:val="TableGrid10"/>
        <w:tblW w:w="998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7155"/>
        <w:gridCol w:w="1513"/>
        <w:gridCol w:w="10"/>
      </w:tblGrid>
      <w:tr w:rsidR="00301E91" w:rsidRPr="00DD4E4F" w:rsidTr="00B974ED">
        <w:trPr>
          <w:gridAfter w:val="1"/>
          <w:wAfter w:w="10" w:type="dxa"/>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lang w:val="es-419"/>
              </w:rPr>
            </w:pPr>
            <w:r w:rsidRPr="00DD4E4F">
              <w:rPr>
                <w:lang w:val="es-419"/>
              </w:rPr>
              <w:t>b)</w:t>
            </w:r>
            <w:r w:rsidRPr="00DD4E4F">
              <w:rPr>
                <w:lang w:val="es-419"/>
              </w:rPr>
              <w:tab/>
              <w:t>Definición de variedad esencialmente derivada</w:t>
            </w:r>
          </w:p>
          <w:p w:rsidR="00301E91" w:rsidRPr="00DD4E4F" w:rsidRDefault="00301E91" w:rsidP="00B974ED">
            <w:pPr>
              <w:jc w:val="left"/>
              <w:rPr>
                <w:lang w:val="es-419"/>
              </w:rPr>
            </w:pPr>
          </w:p>
        </w:tc>
        <w:tc>
          <w:tcPr>
            <w:tcW w:w="1513" w:type="dxa"/>
          </w:tcPr>
          <w:p w:rsidR="00301E91" w:rsidRPr="00DD4E4F" w:rsidRDefault="00301E91" w:rsidP="00B974ED">
            <w:pPr>
              <w:jc w:val="left"/>
              <w:rPr>
                <w:i/>
                <w:lang w:val="es-419"/>
              </w:rPr>
            </w:pPr>
          </w:p>
        </w:tc>
      </w:tr>
      <w:tr w:rsidR="00301E91" w:rsidRPr="00DD4E4F" w:rsidTr="00B974ED">
        <w:trPr>
          <w:gridAfter w:val="1"/>
          <w:wAfter w:w="10" w:type="dxa"/>
          <w:cantSplit/>
        </w:trPr>
        <w:tc>
          <w:tcPr>
            <w:tcW w:w="1305" w:type="dxa"/>
          </w:tcPr>
          <w:p w:rsidR="00301E91" w:rsidRPr="00DD4E4F" w:rsidRDefault="00301E91" w:rsidP="00B974ED">
            <w:pPr>
              <w:jc w:val="left"/>
              <w:rPr>
                <w:i/>
                <w:lang w:val="es-419"/>
              </w:rPr>
            </w:pPr>
            <w:r w:rsidRPr="00DD4E4F">
              <w:rPr>
                <w:i/>
                <w:lang w:val="es-419"/>
              </w:rPr>
              <w:t>Cuestión 9</w:t>
            </w:r>
          </w:p>
        </w:tc>
        <w:tc>
          <w:tcPr>
            <w:tcW w:w="7155" w:type="dxa"/>
          </w:tcPr>
          <w:p w:rsidR="00301E91" w:rsidRPr="00DD4E4F" w:rsidRDefault="00301E91" w:rsidP="00B974ED">
            <w:pPr>
              <w:jc w:val="left"/>
              <w:rPr>
                <w:i/>
                <w:lang w:val="es-419"/>
              </w:rPr>
            </w:pPr>
            <w:r w:rsidRPr="00DD4E4F">
              <w:rPr>
                <w:i/>
                <w:lang w:val="es-419"/>
              </w:rPr>
              <w:t xml:space="preserve">contemplar la posibilidad de incluir las innovaciones en materia de fitomejoramiento, como la modificación del genoma, en [la definición de variedad esencialmente derivada]/[el concepto de variedad esencialmente derivada] </w:t>
            </w:r>
          </w:p>
        </w:tc>
        <w:tc>
          <w:tcPr>
            <w:tcW w:w="1513" w:type="dxa"/>
          </w:tcPr>
          <w:p w:rsidR="00301E91" w:rsidRPr="00DD4E4F" w:rsidRDefault="00301E91" w:rsidP="00B974ED">
            <w:pPr>
              <w:jc w:val="left"/>
              <w:rPr>
                <w:i/>
                <w:lang w:val="es-419"/>
              </w:rPr>
            </w:pPr>
            <w:proofErr w:type="spellStart"/>
            <w:r w:rsidRPr="00DD4E4F">
              <w:rPr>
                <w:i/>
                <w:lang w:val="es-419"/>
              </w:rPr>
              <w:t>ZA</w:t>
            </w:r>
            <w:proofErr w:type="spellEnd"/>
          </w:p>
        </w:tc>
      </w:tr>
      <w:tr w:rsidR="00301E91" w:rsidRPr="00DD4E4F" w:rsidTr="00B974ED">
        <w:trPr>
          <w:gridAfter w:val="1"/>
          <w:wAfter w:w="10" w:type="dxa"/>
          <w:cantSplit/>
        </w:trPr>
        <w:tc>
          <w:tcPr>
            <w:tcW w:w="1305" w:type="dxa"/>
          </w:tcPr>
          <w:p w:rsidR="00301E91" w:rsidRPr="00DD4E4F" w:rsidRDefault="00301E91" w:rsidP="00B974ED">
            <w:pPr>
              <w:jc w:val="left"/>
              <w:rPr>
                <w:i/>
                <w:strike/>
                <w:lang w:val="es-419"/>
              </w:rPr>
            </w:pPr>
            <w:r w:rsidRPr="00DD4E4F">
              <w:rPr>
                <w:i/>
                <w:strike/>
                <w:highlight w:val="lightGray"/>
                <w:lang w:val="es-419"/>
              </w:rPr>
              <w:t>Cuestión 10</w:t>
            </w:r>
          </w:p>
        </w:tc>
        <w:tc>
          <w:tcPr>
            <w:tcW w:w="7155" w:type="dxa"/>
          </w:tcPr>
          <w:p w:rsidR="00301E91" w:rsidRPr="00DD4E4F" w:rsidRDefault="00301E91" w:rsidP="00B974ED">
            <w:pPr>
              <w:jc w:val="left"/>
              <w:rPr>
                <w:i/>
                <w:strike/>
                <w:highlight w:val="lightGray"/>
                <w:lang w:val="es-419"/>
              </w:rPr>
            </w:pPr>
            <w:r w:rsidRPr="00DD4E4F">
              <w:rPr>
                <w:i/>
                <w:strike/>
                <w:highlight w:val="lightGray"/>
                <w:lang w:val="es-419"/>
              </w:rPr>
              <w:t>abordar la necesidad de un concepto claro de variedad esencialmente derivada que tenga en cuenta los siguientes aspectos de la tecnología de ADN (nuevas técnicas genéticas (de fitomejoramiento)): “Estas tecnologías permiten acortar los plazos del fitomejoramiento e, indudablemente, facilitan a los obtentores ulteriores la creación de variedades derivadas. Una variación genética relativamente pequeña puede ser suficiente para cumplir con los requisitos de distinción, homogeneidad y estabilidad y conseguir un nuevo derecho de obtentor cuando, en realidad, el producto sigue siendo prácticamente el mismo. En países en los que la defensa de los derechos de obtentor no es muy activa o en aquellos que aún están vinculados por el Acta de 1978 del Convenio de la UPOV (en la cual no se contempla el concepto de variedad esencialmente derivada), […] los obtentores […] (titulares de la variedad inicial) pueden acabar con las manos vacías y sus inversiones a largo plazo, comprometidas.”</w:t>
            </w:r>
          </w:p>
        </w:tc>
        <w:tc>
          <w:tcPr>
            <w:tcW w:w="1513" w:type="dxa"/>
          </w:tcPr>
          <w:p w:rsidR="00301E91" w:rsidRPr="00DD4E4F" w:rsidRDefault="00301E91" w:rsidP="00B974ED">
            <w:pPr>
              <w:jc w:val="left"/>
              <w:rPr>
                <w:i/>
                <w:strike/>
                <w:highlight w:val="lightGray"/>
                <w:lang w:val="es-419"/>
              </w:rPr>
            </w:pPr>
            <w:proofErr w:type="spellStart"/>
            <w:r w:rsidRPr="00DD4E4F">
              <w:rPr>
                <w:i/>
                <w:strike/>
                <w:highlight w:val="lightGray"/>
                <w:lang w:val="es-419"/>
              </w:rPr>
              <w:t>AIPH</w:t>
            </w:r>
            <w:proofErr w:type="spellEnd"/>
          </w:p>
          <w:p w:rsidR="00301E91" w:rsidRPr="00DD4E4F" w:rsidRDefault="00301E91" w:rsidP="00B974ED">
            <w:pPr>
              <w:jc w:val="left"/>
              <w:rPr>
                <w:i/>
                <w:strike/>
                <w:color w:val="FF0000"/>
                <w:lang w:val="es-419"/>
              </w:rPr>
            </w:pPr>
            <w:r w:rsidRPr="00DD4E4F">
              <w:rPr>
                <w:i/>
                <w:highlight w:val="lightGray"/>
                <w:u w:val="single"/>
                <w:lang w:val="es-419"/>
              </w:rPr>
              <w:t xml:space="preserve">(la </w:t>
            </w:r>
            <w:proofErr w:type="spellStart"/>
            <w:r w:rsidRPr="00DD4E4F">
              <w:rPr>
                <w:i/>
                <w:highlight w:val="lightGray"/>
                <w:u w:val="single"/>
                <w:lang w:val="es-419"/>
              </w:rPr>
              <w:t>AIPH</w:t>
            </w:r>
            <w:proofErr w:type="spellEnd"/>
            <w:r w:rsidRPr="00DD4E4F">
              <w:rPr>
                <w:i/>
                <w:highlight w:val="lightGray"/>
                <w:u w:val="single"/>
                <w:lang w:val="es-419"/>
              </w:rPr>
              <w:t xml:space="preserve"> solicitó su supresión)</w:t>
            </w:r>
          </w:p>
        </w:tc>
      </w:tr>
      <w:tr w:rsidR="00301E91" w:rsidRPr="00DD4E4F" w:rsidTr="00B974ED">
        <w:trPr>
          <w:gridAfter w:val="1"/>
          <w:wAfter w:w="10" w:type="dxa"/>
          <w:cantSplit/>
        </w:trPr>
        <w:tc>
          <w:tcPr>
            <w:tcW w:w="1305" w:type="dxa"/>
          </w:tcPr>
          <w:p w:rsidR="00301E91" w:rsidRPr="00DD4E4F" w:rsidRDefault="00301E91" w:rsidP="00B974ED">
            <w:pPr>
              <w:jc w:val="left"/>
              <w:rPr>
                <w:i/>
                <w:lang w:val="es-419"/>
              </w:rPr>
            </w:pPr>
            <w:r w:rsidRPr="00DD4E4F">
              <w:rPr>
                <w:i/>
                <w:lang w:val="es-419"/>
              </w:rPr>
              <w:t>Cuestión 10 [11]</w:t>
            </w:r>
          </w:p>
        </w:tc>
        <w:tc>
          <w:tcPr>
            <w:tcW w:w="7155" w:type="dxa"/>
          </w:tcPr>
          <w:p w:rsidR="00301E91" w:rsidRPr="00DD4E4F" w:rsidRDefault="00301E91" w:rsidP="00B974ED">
            <w:pPr>
              <w:jc w:val="left"/>
              <w:rPr>
                <w:i/>
                <w:lang w:val="es-419"/>
              </w:rPr>
            </w:pPr>
            <w:r w:rsidRPr="00DD4E4F">
              <w:rPr>
                <w:i/>
                <w:lang w:val="es-419"/>
              </w:rPr>
              <w:t xml:space="preserve">estudiar el modo de aportar claridad y certidumbre en relación con la siguiente afirmación: “Los encuestados indican que se agradecería una mayor claridad acerca del concepto, de los umbrales genéticos y de los caracteres esenciales. Suscita preocupación, además, la diversidad de las interpretaciones al aplicar el concepto de variedad esencialmente derivada en diferentes jurisdicciones.” </w:t>
            </w:r>
          </w:p>
        </w:tc>
        <w:tc>
          <w:tcPr>
            <w:tcW w:w="1513" w:type="dxa"/>
          </w:tcPr>
          <w:p w:rsidR="00301E91" w:rsidRPr="00DD4E4F" w:rsidRDefault="00301E91" w:rsidP="00B974ED">
            <w:pPr>
              <w:jc w:val="left"/>
              <w:rPr>
                <w:i/>
                <w:lang w:val="es-419"/>
              </w:rPr>
            </w:pPr>
            <w:r w:rsidRPr="00DD4E4F">
              <w:rPr>
                <w:i/>
                <w:lang w:val="es-419"/>
              </w:rPr>
              <w:t xml:space="preserve">Aportación conjunta de los obtentores, </w:t>
            </w:r>
            <w:proofErr w:type="spellStart"/>
            <w:r w:rsidRPr="00DD4E4F">
              <w:rPr>
                <w:i/>
                <w:lang w:val="es-419"/>
              </w:rPr>
              <w:t>AIPH</w:t>
            </w:r>
            <w:proofErr w:type="spellEnd"/>
          </w:p>
        </w:tc>
      </w:tr>
      <w:tr w:rsidR="00301E91" w:rsidRPr="00DD4E4F" w:rsidTr="00B974ED">
        <w:trPr>
          <w:gridAfter w:val="1"/>
          <w:wAfter w:w="10" w:type="dxa"/>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i/>
                <w:lang w:val="es-419"/>
              </w:rPr>
            </w:pPr>
            <w:r w:rsidRPr="00DD4E4F">
              <w:rPr>
                <w:i/>
                <w:lang w:val="es-419"/>
              </w:rPr>
              <w:t>Derivación principal de la variedad inicial (artículo 14.5)b)i))</w:t>
            </w:r>
          </w:p>
          <w:p w:rsidR="00301E91" w:rsidRPr="00DD4E4F" w:rsidRDefault="00301E91" w:rsidP="00B974ED">
            <w:pPr>
              <w:ind w:left="565" w:hanging="283"/>
              <w:jc w:val="left"/>
              <w:rPr>
                <w:i/>
                <w:lang w:val="es-419"/>
              </w:rPr>
            </w:pPr>
          </w:p>
        </w:tc>
        <w:tc>
          <w:tcPr>
            <w:tcW w:w="1513" w:type="dxa"/>
          </w:tcPr>
          <w:p w:rsidR="00301E91" w:rsidRPr="00DD4E4F" w:rsidRDefault="00301E91" w:rsidP="00B974ED">
            <w:pPr>
              <w:jc w:val="left"/>
              <w:rPr>
                <w:i/>
                <w:lang w:val="es-419"/>
              </w:rPr>
            </w:pPr>
          </w:p>
        </w:tc>
      </w:tr>
      <w:tr w:rsidR="00301E91" w:rsidRPr="00DD4E4F" w:rsidTr="00B974ED">
        <w:trPr>
          <w:gridAfter w:val="1"/>
          <w:wAfter w:w="10" w:type="dxa"/>
          <w:cantSplit/>
        </w:trPr>
        <w:tc>
          <w:tcPr>
            <w:tcW w:w="1305" w:type="dxa"/>
          </w:tcPr>
          <w:p w:rsidR="00301E91" w:rsidRPr="00DD4E4F" w:rsidRDefault="00301E91" w:rsidP="00B974ED">
            <w:pPr>
              <w:jc w:val="left"/>
              <w:rPr>
                <w:i/>
                <w:lang w:val="es-419"/>
              </w:rPr>
            </w:pPr>
            <w:r w:rsidRPr="00DD4E4F">
              <w:rPr>
                <w:i/>
                <w:lang w:val="es-419"/>
              </w:rPr>
              <w:t>Cuestión 11 [12]</w:t>
            </w:r>
          </w:p>
        </w:tc>
        <w:tc>
          <w:tcPr>
            <w:tcW w:w="7155" w:type="dxa"/>
          </w:tcPr>
          <w:p w:rsidR="00301E91" w:rsidRPr="00DD4E4F" w:rsidRDefault="00301E91" w:rsidP="00B974ED">
            <w:pPr>
              <w:jc w:val="left"/>
              <w:rPr>
                <w:i/>
                <w:highlight w:val="yellow"/>
                <w:lang w:val="es-419"/>
              </w:rPr>
            </w:pPr>
            <w:r w:rsidRPr="00DD4E4F">
              <w:rPr>
                <w:i/>
                <w:lang w:val="es-419"/>
              </w:rPr>
              <w:t>aclarar los términos mencionados en la frase “conservando al mismo tiempo las expresiones de los caracteres esenciales que resulten del genotipo o de la combinación de genotipos” del artículo 14.5)b)i)</w:t>
            </w:r>
          </w:p>
        </w:tc>
        <w:tc>
          <w:tcPr>
            <w:tcW w:w="1513" w:type="dxa"/>
          </w:tcPr>
          <w:p w:rsidR="00301E91" w:rsidRPr="00DD4E4F" w:rsidRDefault="00301E91" w:rsidP="00B974ED">
            <w:pPr>
              <w:jc w:val="left"/>
              <w:rPr>
                <w:i/>
                <w:lang w:val="es-419"/>
              </w:rPr>
            </w:pPr>
            <w:r w:rsidRPr="00DD4E4F">
              <w:rPr>
                <w:i/>
                <w:lang w:val="es-419"/>
              </w:rPr>
              <w:t>EU</w:t>
            </w:r>
          </w:p>
        </w:tc>
      </w:tr>
      <w:tr w:rsidR="00301E91" w:rsidRPr="00DD4E4F" w:rsidTr="00B974ED">
        <w:trPr>
          <w:gridAfter w:val="1"/>
          <w:wAfter w:w="10" w:type="dxa"/>
          <w:cantSplit/>
        </w:trPr>
        <w:tc>
          <w:tcPr>
            <w:tcW w:w="1305" w:type="dxa"/>
          </w:tcPr>
          <w:p w:rsidR="00301E91" w:rsidRPr="00DD4E4F" w:rsidRDefault="00301E91" w:rsidP="00B974ED">
            <w:pPr>
              <w:jc w:val="left"/>
              <w:rPr>
                <w:i/>
                <w:lang w:val="es-419"/>
              </w:rPr>
            </w:pPr>
            <w:r w:rsidRPr="00DD4E4F">
              <w:rPr>
                <w:i/>
                <w:lang w:val="es-419"/>
              </w:rPr>
              <w:t>Cuestión 12 [13]</w:t>
            </w:r>
          </w:p>
        </w:tc>
        <w:tc>
          <w:tcPr>
            <w:tcW w:w="7155" w:type="dxa"/>
          </w:tcPr>
          <w:p w:rsidR="00301E91" w:rsidRPr="00DD4E4F" w:rsidRDefault="00301E91" w:rsidP="00B974ED">
            <w:pPr>
              <w:jc w:val="left"/>
              <w:rPr>
                <w:i/>
                <w:lang w:val="es-419"/>
              </w:rPr>
            </w:pPr>
            <w:r w:rsidRPr="00DD4E4F">
              <w:rPr>
                <w:i/>
                <w:lang w:val="es-419"/>
              </w:rPr>
              <w:t>aclarar las explicaciones de los párrafos 4 y 5</w:t>
            </w:r>
          </w:p>
        </w:tc>
        <w:tc>
          <w:tcPr>
            <w:tcW w:w="1513" w:type="dxa"/>
          </w:tcPr>
          <w:p w:rsidR="00301E91" w:rsidRPr="00DD4E4F" w:rsidRDefault="00301E91" w:rsidP="00B974ED">
            <w:pPr>
              <w:jc w:val="left"/>
              <w:rPr>
                <w:i/>
                <w:lang w:val="es-419"/>
              </w:rPr>
            </w:pPr>
            <w:r w:rsidRPr="00DD4E4F">
              <w:rPr>
                <w:i/>
                <w:lang w:val="es-419"/>
              </w:rPr>
              <w:t>RU</w:t>
            </w:r>
          </w:p>
        </w:tc>
      </w:tr>
      <w:tr w:rsidR="00301E91" w:rsidRPr="00DD4E4F" w:rsidTr="00B974ED">
        <w:trPr>
          <w:gridAfter w:val="1"/>
          <w:wAfter w:w="10" w:type="dxa"/>
          <w:cantSplit/>
        </w:trPr>
        <w:tc>
          <w:tcPr>
            <w:tcW w:w="1305" w:type="dxa"/>
          </w:tcPr>
          <w:p w:rsidR="00301E91" w:rsidRPr="00DD4E4F" w:rsidRDefault="00301E91" w:rsidP="00B974ED">
            <w:pPr>
              <w:jc w:val="left"/>
              <w:rPr>
                <w:i/>
                <w:lang w:val="es-419"/>
              </w:rPr>
            </w:pPr>
            <w:r w:rsidRPr="00DD4E4F">
              <w:rPr>
                <w:i/>
                <w:lang w:val="es-419"/>
              </w:rPr>
              <w:t>Cuestión 13 [14]</w:t>
            </w:r>
          </w:p>
        </w:tc>
        <w:tc>
          <w:tcPr>
            <w:tcW w:w="7155" w:type="dxa"/>
          </w:tcPr>
          <w:p w:rsidR="00301E91" w:rsidRPr="00DD4E4F" w:rsidRDefault="00301E91" w:rsidP="00B974ED">
            <w:pPr>
              <w:jc w:val="left"/>
              <w:rPr>
                <w:i/>
                <w:lang w:val="es-419"/>
              </w:rPr>
            </w:pPr>
            <w:r w:rsidRPr="00DD4E4F">
              <w:rPr>
                <w:i/>
                <w:lang w:val="es-419"/>
              </w:rPr>
              <w:t>aclarar el concepto de caracteres esenciales y si guardan relación o no con los caracteres </w:t>
            </w:r>
            <w:proofErr w:type="spellStart"/>
            <w:r w:rsidRPr="00DD4E4F">
              <w:rPr>
                <w:i/>
                <w:lang w:val="es-419"/>
              </w:rPr>
              <w:t>DHE</w:t>
            </w:r>
            <w:proofErr w:type="spellEnd"/>
            <w:r w:rsidRPr="00DD4E4F">
              <w:rPr>
                <w:i/>
                <w:lang w:val="es-419"/>
              </w:rPr>
              <w:t xml:space="preserve"> (véase el párrafo 6)</w:t>
            </w:r>
          </w:p>
        </w:tc>
        <w:tc>
          <w:tcPr>
            <w:tcW w:w="1513" w:type="dxa"/>
          </w:tcPr>
          <w:p w:rsidR="00301E91" w:rsidRPr="00DD4E4F" w:rsidRDefault="00301E91" w:rsidP="00B974ED">
            <w:pPr>
              <w:jc w:val="left"/>
              <w:rPr>
                <w:i/>
                <w:lang w:val="es-419"/>
              </w:rPr>
            </w:pPr>
            <w:r w:rsidRPr="00DD4E4F">
              <w:rPr>
                <w:i/>
                <w:lang w:val="es-419"/>
              </w:rPr>
              <w:t xml:space="preserve">RU, </w:t>
            </w:r>
            <w:proofErr w:type="spellStart"/>
            <w:r w:rsidRPr="00DD4E4F">
              <w:rPr>
                <w:i/>
                <w:lang w:val="es-419"/>
              </w:rPr>
              <w:t>ZA</w:t>
            </w:r>
            <w:proofErr w:type="spellEnd"/>
          </w:p>
        </w:tc>
      </w:tr>
      <w:tr w:rsidR="00301E91" w:rsidRPr="00DD4E4F" w:rsidTr="00B974ED">
        <w:trPr>
          <w:gridAfter w:val="1"/>
          <w:wAfter w:w="10" w:type="dxa"/>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i/>
                <w:lang w:val="es-419"/>
              </w:rPr>
            </w:pPr>
            <w:r w:rsidRPr="00DD4E4F">
              <w:rPr>
                <w:i/>
                <w:lang w:val="es-419"/>
              </w:rPr>
              <w:t>Distinción clara de la variedad inicial (artículo 14.5)b)ii))</w:t>
            </w:r>
          </w:p>
          <w:p w:rsidR="00301E91" w:rsidRPr="00DD4E4F" w:rsidRDefault="00301E91" w:rsidP="00B974ED">
            <w:pPr>
              <w:jc w:val="left"/>
              <w:rPr>
                <w:i/>
                <w:lang w:val="es-419"/>
              </w:rPr>
            </w:pPr>
          </w:p>
        </w:tc>
        <w:tc>
          <w:tcPr>
            <w:tcW w:w="1513" w:type="dxa"/>
          </w:tcPr>
          <w:p w:rsidR="00301E91" w:rsidRPr="00DD4E4F" w:rsidRDefault="00301E91" w:rsidP="00B974ED">
            <w:pPr>
              <w:jc w:val="left"/>
              <w:rPr>
                <w:i/>
                <w:lang w:val="es-419"/>
              </w:rPr>
            </w:pPr>
          </w:p>
        </w:tc>
      </w:tr>
      <w:tr w:rsidR="00301E91" w:rsidRPr="00DD4E4F" w:rsidTr="00B974ED">
        <w:trPr>
          <w:gridAfter w:val="1"/>
          <w:wAfter w:w="10" w:type="dxa"/>
          <w:cantSplit/>
        </w:trPr>
        <w:tc>
          <w:tcPr>
            <w:tcW w:w="1305" w:type="dxa"/>
          </w:tcPr>
          <w:p w:rsidR="00301E91" w:rsidRPr="00DD4E4F" w:rsidRDefault="00301E91" w:rsidP="00B974ED">
            <w:pPr>
              <w:jc w:val="left"/>
              <w:rPr>
                <w:i/>
                <w:lang w:val="es-419"/>
              </w:rPr>
            </w:pPr>
            <w:r w:rsidRPr="00DD4E4F">
              <w:rPr>
                <w:i/>
                <w:lang w:val="es-419"/>
              </w:rPr>
              <w:t>Cuestión 14 [15]</w:t>
            </w:r>
          </w:p>
        </w:tc>
        <w:tc>
          <w:tcPr>
            <w:tcW w:w="7155" w:type="dxa"/>
          </w:tcPr>
          <w:p w:rsidR="00301E91" w:rsidRPr="00DD4E4F" w:rsidRDefault="00301E91" w:rsidP="00B974ED">
            <w:pPr>
              <w:jc w:val="left"/>
              <w:rPr>
                <w:i/>
                <w:lang w:val="es-419"/>
              </w:rPr>
            </w:pPr>
            <w:r w:rsidRPr="00DD4E4F">
              <w:rPr>
                <w:i/>
                <w:lang w:val="es-419"/>
              </w:rPr>
              <w:t>aclarar la frase “se distingue claramente” del artículo 14.5)b)ii) y considerar si es pertinente la referencia al artículo 14.5)a)ii) que figura en el párrafo 7</w:t>
            </w:r>
          </w:p>
        </w:tc>
        <w:tc>
          <w:tcPr>
            <w:tcW w:w="1513" w:type="dxa"/>
          </w:tcPr>
          <w:p w:rsidR="00301E91" w:rsidRPr="00DD4E4F" w:rsidRDefault="00301E91" w:rsidP="00B974ED">
            <w:pPr>
              <w:jc w:val="left"/>
              <w:rPr>
                <w:i/>
                <w:lang w:val="es-419"/>
              </w:rPr>
            </w:pPr>
            <w:r w:rsidRPr="00DD4E4F">
              <w:rPr>
                <w:i/>
                <w:lang w:val="es-419"/>
              </w:rPr>
              <w:t xml:space="preserve">SE, RU </w:t>
            </w:r>
          </w:p>
        </w:tc>
      </w:tr>
      <w:tr w:rsidR="00301E91" w:rsidRPr="00DD4E4F" w:rsidTr="00B974ED">
        <w:trPr>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i/>
                <w:lang w:val="es-419"/>
              </w:rPr>
            </w:pPr>
            <w:r w:rsidRPr="00DD4E4F">
              <w:rPr>
                <w:i/>
                <w:lang w:val="es-419"/>
              </w:rPr>
              <w:t>Conformidad con la variedad inicial en la expresión de los caracteres esenciales (artículo 14.5)b)iii)</w:t>
            </w:r>
          </w:p>
          <w:p w:rsidR="00301E91" w:rsidRPr="00DD4E4F" w:rsidRDefault="00301E91" w:rsidP="00B974ED">
            <w:pPr>
              <w:jc w:val="left"/>
              <w:rPr>
                <w:i/>
                <w:highlight w:val="yellow"/>
                <w:lang w:val="es-419"/>
              </w:rPr>
            </w:pPr>
          </w:p>
        </w:tc>
        <w:tc>
          <w:tcPr>
            <w:tcW w:w="1523" w:type="dxa"/>
            <w:gridSpan w:val="2"/>
          </w:tcPr>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15 [16]</w:t>
            </w:r>
          </w:p>
        </w:tc>
        <w:tc>
          <w:tcPr>
            <w:tcW w:w="7155" w:type="dxa"/>
          </w:tcPr>
          <w:p w:rsidR="00301E91" w:rsidRPr="00DD4E4F" w:rsidRDefault="00301E91" w:rsidP="00B974ED">
            <w:pPr>
              <w:jc w:val="left"/>
              <w:rPr>
                <w:i/>
                <w:lang w:val="es-419"/>
              </w:rPr>
            </w:pPr>
            <w:r w:rsidRPr="00DD4E4F">
              <w:rPr>
                <w:i/>
                <w:lang w:val="es-419"/>
              </w:rPr>
              <w:t>determinar la cantidad y la importancia de las diferencias necesarias para que una variedad esencialmente derivada sea “esencialmente” conforme a la variedad inicial</w:t>
            </w:r>
          </w:p>
        </w:tc>
        <w:tc>
          <w:tcPr>
            <w:tcW w:w="1523" w:type="dxa"/>
            <w:gridSpan w:val="2"/>
          </w:tcPr>
          <w:p w:rsidR="00301E91" w:rsidRPr="00DD4E4F" w:rsidRDefault="00301E91" w:rsidP="00B974ED">
            <w:pPr>
              <w:jc w:val="left"/>
              <w:rPr>
                <w:i/>
                <w:lang w:val="es-419"/>
              </w:rPr>
            </w:pPr>
            <w:r w:rsidRPr="00DD4E4F">
              <w:rPr>
                <w:i/>
                <w:lang w:val="es-419"/>
              </w:rPr>
              <w:t xml:space="preserve">EU, </w:t>
            </w:r>
            <w:proofErr w:type="spellStart"/>
            <w:r w:rsidRPr="00DD4E4F">
              <w:rPr>
                <w:i/>
                <w:lang w:val="es-419"/>
              </w:rPr>
              <w:t>ZA</w:t>
            </w:r>
            <w:proofErr w:type="spellEnd"/>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16 [17]</w:t>
            </w:r>
          </w:p>
          <w:p w:rsidR="00301E91" w:rsidRPr="00DD4E4F" w:rsidRDefault="00301E91" w:rsidP="00B974ED">
            <w:pPr>
              <w:jc w:val="left"/>
              <w:rPr>
                <w:i/>
                <w:lang w:val="es-419"/>
              </w:rPr>
            </w:pPr>
          </w:p>
        </w:tc>
        <w:tc>
          <w:tcPr>
            <w:tcW w:w="7155" w:type="dxa"/>
          </w:tcPr>
          <w:p w:rsidR="00301E91" w:rsidRPr="00DD4E4F" w:rsidRDefault="00301E91" w:rsidP="00B974ED">
            <w:pPr>
              <w:jc w:val="left"/>
              <w:rPr>
                <w:i/>
                <w:lang w:val="es-419"/>
              </w:rPr>
            </w:pPr>
            <w:r w:rsidRPr="00DD4E4F">
              <w:rPr>
                <w:i/>
                <w:lang w:val="es-419"/>
              </w:rPr>
              <w:t xml:space="preserve">considerar si se podría suprimir la frase “las diferencias deben ser muy pocas o una sola” del párrafo 10 </w:t>
            </w:r>
          </w:p>
        </w:tc>
        <w:tc>
          <w:tcPr>
            <w:tcW w:w="1523" w:type="dxa"/>
            <w:gridSpan w:val="2"/>
          </w:tcPr>
          <w:p w:rsidR="00301E91" w:rsidRPr="00DD4E4F" w:rsidRDefault="00301E91" w:rsidP="00B974ED">
            <w:pPr>
              <w:jc w:val="left"/>
              <w:rPr>
                <w:i/>
                <w:lang w:val="es-419"/>
              </w:rPr>
            </w:pPr>
            <w:r w:rsidRPr="00DD4E4F">
              <w:rPr>
                <w:i/>
                <w:lang w:val="es-419"/>
              </w:rPr>
              <w:t>EU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17 [18]</w:t>
            </w:r>
          </w:p>
        </w:tc>
        <w:tc>
          <w:tcPr>
            <w:tcW w:w="7155" w:type="dxa"/>
          </w:tcPr>
          <w:p w:rsidR="00301E91" w:rsidRPr="00DD4E4F" w:rsidRDefault="00301E91" w:rsidP="00B974ED">
            <w:pPr>
              <w:jc w:val="left"/>
              <w:rPr>
                <w:i/>
                <w:lang w:val="es-419"/>
              </w:rPr>
            </w:pPr>
            <w:r w:rsidRPr="00DD4E4F">
              <w:rPr>
                <w:i/>
                <w:lang w:val="es-419"/>
              </w:rPr>
              <w:t xml:space="preserve">aclarar el significado de “salvo por lo que respecta a las diferencias resultantes de la derivación” y si pueden darse diferencias que no sean resultantes de la derivación </w:t>
            </w:r>
          </w:p>
        </w:tc>
        <w:tc>
          <w:tcPr>
            <w:tcW w:w="1523" w:type="dxa"/>
            <w:gridSpan w:val="2"/>
          </w:tcPr>
          <w:p w:rsidR="00301E91" w:rsidRPr="00DD4E4F" w:rsidRDefault="00301E91" w:rsidP="00B974ED">
            <w:pPr>
              <w:jc w:val="left"/>
              <w:rPr>
                <w:i/>
                <w:lang w:val="es-419"/>
              </w:rPr>
            </w:pPr>
            <w:proofErr w:type="spellStart"/>
            <w:r w:rsidRPr="00DD4E4F">
              <w:rPr>
                <w:i/>
                <w:lang w:val="es-419"/>
              </w:rPr>
              <w:t>ZA</w:t>
            </w:r>
            <w:proofErr w:type="spellEnd"/>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18 [19]</w:t>
            </w:r>
          </w:p>
        </w:tc>
        <w:tc>
          <w:tcPr>
            <w:tcW w:w="7155" w:type="dxa"/>
          </w:tcPr>
          <w:p w:rsidR="00301E91" w:rsidRPr="00DD4E4F" w:rsidRDefault="00301E91" w:rsidP="00B974ED">
            <w:pPr>
              <w:jc w:val="left"/>
              <w:rPr>
                <w:i/>
                <w:lang w:val="es-419"/>
              </w:rPr>
            </w:pPr>
            <w:r w:rsidRPr="00DD4E4F">
              <w:rPr>
                <w:i/>
                <w:lang w:val="es-419"/>
              </w:rPr>
              <w:t>considerar cómo se justifica limitar el número de diferencias a efectos de determinar si una variedad es o no esencialmente derivada, si la frase “salvo por lo que respecta a las diferencias resultantes de la derivación” “no limita la magnitud de la diferencia que puede darse” (por ejemplo, mutaciones inducidas por radiación) (véase el párrafo 9)</w:t>
            </w:r>
          </w:p>
        </w:tc>
        <w:tc>
          <w:tcPr>
            <w:tcW w:w="1523" w:type="dxa"/>
            <w:gridSpan w:val="2"/>
          </w:tcPr>
          <w:p w:rsidR="00301E91" w:rsidRPr="00DD4E4F" w:rsidRDefault="00301E91" w:rsidP="00B974ED">
            <w:pPr>
              <w:jc w:val="left"/>
              <w:rPr>
                <w:i/>
                <w:lang w:val="es-419"/>
              </w:rPr>
            </w:pPr>
            <w:proofErr w:type="spellStart"/>
            <w:r w:rsidRPr="00DD4E4F">
              <w:rPr>
                <w:i/>
                <w:lang w:val="es-419"/>
              </w:rPr>
              <w:t>ZA</w:t>
            </w:r>
            <w:proofErr w:type="spellEnd"/>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lastRenderedPageBreak/>
              <w:t>Cuestión 19 [20]</w:t>
            </w:r>
          </w:p>
        </w:tc>
        <w:tc>
          <w:tcPr>
            <w:tcW w:w="7155" w:type="dxa"/>
          </w:tcPr>
          <w:p w:rsidR="00301E91" w:rsidRPr="00DD4E4F" w:rsidRDefault="00301E91" w:rsidP="00B974ED">
            <w:pPr>
              <w:jc w:val="left"/>
              <w:rPr>
                <w:i/>
                <w:lang w:val="es-419"/>
              </w:rPr>
            </w:pPr>
            <w:r w:rsidRPr="00DD4E4F">
              <w:rPr>
                <w:i/>
                <w:lang w:val="es-419"/>
              </w:rPr>
              <w:t xml:space="preserve">revisar las explicaciones de los párrafos 8 a 11 de modo que proporcionen una orientación clara respecto de las disposiciones del artículo 14.5)b)iii) </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20 [21]</w:t>
            </w:r>
          </w:p>
        </w:tc>
        <w:tc>
          <w:tcPr>
            <w:tcW w:w="7155" w:type="dxa"/>
          </w:tcPr>
          <w:p w:rsidR="00301E91" w:rsidRPr="00DD4E4F" w:rsidRDefault="00301E91" w:rsidP="00B974ED">
            <w:pPr>
              <w:jc w:val="left"/>
              <w:rPr>
                <w:lang w:val="es-419"/>
              </w:rPr>
            </w:pPr>
            <w:r w:rsidRPr="00DD4E4F">
              <w:rPr>
                <w:i/>
                <w:lang w:val="es-419"/>
              </w:rPr>
              <w:t>estudiar el modo de aportar certidumbre respecto de la siguiente afirmación: “En ocasiones, resulta difícil demostrar que una variedad es esencialmente derivada, y la falta de claridad en cuanto a los conceptos de variedad esencialmente derivada y expresión inalterada de los caracteres esenciales en relación con un cultivo concreto provoca incertidumbre.”</w:t>
            </w:r>
          </w:p>
        </w:tc>
        <w:tc>
          <w:tcPr>
            <w:tcW w:w="1523" w:type="dxa"/>
            <w:gridSpan w:val="2"/>
          </w:tcPr>
          <w:p w:rsidR="00301E91" w:rsidRPr="00DD4E4F" w:rsidRDefault="00301E91" w:rsidP="00B974ED">
            <w:pPr>
              <w:jc w:val="left"/>
              <w:rPr>
                <w:i/>
                <w:lang w:val="es-419"/>
              </w:rPr>
            </w:pPr>
            <w:r w:rsidRPr="00DD4E4F">
              <w:rPr>
                <w:i/>
                <w:lang w:val="es-419"/>
              </w:rPr>
              <w:t>Aportación conjunta de los obtentores</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21 [22]</w:t>
            </w:r>
          </w:p>
        </w:tc>
        <w:tc>
          <w:tcPr>
            <w:tcW w:w="7155" w:type="dxa"/>
          </w:tcPr>
          <w:p w:rsidR="00301E91" w:rsidRPr="00DD4E4F" w:rsidRDefault="00301E91" w:rsidP="00B974ED">
            <w:pPr>
              <w:jc w:val="left"/>
              <w:rPr>
                <w:i/>
                <w:lang w:val="es-419"/>
              </w:rPr>
            </w:pPr>
            <w:r w:rsidRPr="00DD4E4F">
              <w:rPr>
                <w:i/>
                <w:lang w:val="es-419"/>
              </w:rPr>
              <w:t>estudiar la manera de aclarar la siguiente afirmación: “Los encuestados consideran que el concepto de variedad esencialmente derivada establecido por la UPOV constituye un medio para resolver controversias entre obtentores de modo directo. Sin embargo, las notas explicativas de la UPOV más recientes sobre variedades esencialmente derivadas (2017) generaron confusión entre los obtentores, en especial si implican que los mutantes obtenidos a partir de variedades protegidas ya no se consideran variedades esencialmente derivadas.”</w:t>
            </w:r>
          </w:p>
        </w:tc>
        <w:tc>
          <w:tcPr>
            <w:tcW w:w="1523" w:type="dxa"/>
            <w:gridSpan w:val="2"/>
          </w:tcPr>
          <w:p w:rsidR="00301E91" w:rsidRPr="00DD4E4F" w:rsidRDefault="00301E91" w:rsidP="00B974ED">
            <w:pPr>
              <w:jc w:val="left"/>
              <w:rPr>
                <w:i/>
                <w:lang w:val="es-419"/>
              </w:rPr>
            </w:pPr>
            <w:r w:rsidRPr="00DD4E4F">
              <w:rPr>
                <w:i/>
                <w:lang w:val="es-419"/>
              </w:rPr>
              <w:t xml:space="preserve">Aportación conjunta de los obtentores, </w:t>
            </w:r>
            <w:proofErr w:type="spellStart"/>
            <w:r w:rsidRPr="00DD4E4F">
              <w:rPr>
                <w:i/>
                <w:lang w:val="es-419"/>
              </w:rPr>
              <w:t>AIPH</w:t>
            </w:r>
            <w:proofErr w:type="spellEnd"/>
          </w:p>
        </w:tc>
      </w:tr>
      <w:tr w:rsidR="00301E91" w:rsidRPr="00DD4E4F" w:rsidTr="00B974ED">
        <w:trPr>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i/>
                <w:lang w:val="es-419"/>
              </w:rPr>
            </w:pPr>
            <w:r w:rsidRPr="00DD4E4F">
              <w:rPr>
                <w:i/>
                <w:lang w:val="es-419"/>
              </w:rPr>
              <w:t>Ejemplos de métodos de obtención de una variedad esencialmente derivada (artículo 14.5)c)) (párrafos 12 y 13)</w:t>
            </w:r>
          </w:p>
          <w:p w:rsidR="00301E91" w:rsidRPr="00DD4E4F" w:rsidRDefault="00301E91" w:rsidP="00B974ED">
            <w:pPr>
              <w:jc w:val="left"/>
              <w:rPr>
                <w:i/>
                <w:lang w:val="es-419"/>
              </w:rPr>
            </w:pPr>
          </w:p>
        </w:tc>
        <w:tc>
          <w:tcPr>
            <w:tcW w:w="1523" w:type="dxa"/>
            <w:gridSpan w:val="2"/>
          </w:tcPr>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22 [23]</w:t>
            </w:r>
          </w:p>
        </w:tc>
        <w:tc>
          <w:tcPr>
            <w:tcW w:w="7155" w:type="dxa"/>
          </w:tcPr>
          <w:p w:rsidR="00301E91" w:rsidRPr="00DD4E4F" w:rsidRDefault="00301E91" w:rsidP="00B974ED">
            <w:pPr>
              <w:jc w:val="left"/>
              <w:rPr>
                <w:i/>
                <w:lang w:val="es-419"/>
              </w:rPr>
            </w:pPr>
            <w:r w:rsidRPr="00DD4E4F">
              <w:rPr>
                <w:i/>
                <w:lang w:val="es-419"/>
              </w:rPr>
              <w:t>considerar si es conveniente explicar el término “mutante inducido” en relación con las técnicas de modificación del genoma</w:t>
            </w:r>
          </w:p>
        </w:tc>
        <w:tc>
          <w:tcPr>
            <w:tcW w:w="1523" w:type="dxa"/>
            <w:gridSpan w:val="2"/>
          </w:tcPr>
          <w:p w:rsidR="00301E91" w:rsidRPr="00DD4E4F" w:rsidRDefault="00301E91" w:rsidP="00B974ED">
            <w:pPr>
              <w:jc w:val="left"/>
              <w:rPr>
                <w:i/>
                <w:lang w:val="es-419"/>
              </w:rPr>
            </w:pPr>
            <w:r w:rsidRPr="00DD4E4F">
              <w:rPr>
                <w:i/>
                <w:lang w:val="es-419"/>
              </w:rPr>
              <w:t>SE</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23 [24]</w:t>
            </w:r>
          </w:p>
        </w:tc>
        <w:tc>
          <w:tcPr>
            <w:tcW w:w="7155" w:type="dxa"/>
          </w:tcPr>
          <w:p w:rsidR="00301E91" w:rsidRPr="00DD4E4F" w:rsidRDefault="00301E91" w:rsidP="00B974ED">
            <w:pPr>
              <w:jc w:val="left"/>
              <w:rPr>
                <w:i/>
                <w:lang w:val="es-419"/>
              </w:rPr>
            </w:pPr>
            <w:r w:rsidRPr="00DD4E4F">
              <w:rPr>
                <w:i/>
                <w:lang w:val="es-419"/>
              </w:rPr>
              <w:t>considerar si es necesario mantener el texto del artículo 14.5)c) en el párrafo 12, puesto que ya se reproduce en la sección </w:t>
            </w:r>
            <w:proofErr w:type="spellStart"/>
            <w:r w:rsidRPr="00DD4E4F">
              <w:rPr>
                <w:i/>
                <w:lang w:val="es-419"/>
              </w:rPr>
              <w:t>I.a</w:t>
            </w:r>
            <w:proofErr w:type="spellEnd"/>
            <w:r w:rsidRPr="00DD4E4F">
              <w:rPr>
                <w:i/>
                <w:lang w:val="es-419"/>
              </w:rPr>
              <w:t xml:space="preserve">) </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24 [25]</w:t>
            </w:r>
          </w:p>
        </w:tc>
        <w:tc>
          <w:tcPr>
            <w:tcW w:w="7155" w:type="dxa"/>
          </w:tcPr>
          <w:p w:rsidR="00301E91" w:rsidRPr="00DD4E4F" w:rsidRDefault="00301E91" w:rsidP="00B974ED">
            <w:pPr>
              <w:jc w:val="left"/>
              <w:rPr>
                <w:i/>
                <w:lang w:val="es-419"/>
              </w:rPr>
            </w:pPr>
            <w:r w:rsidRPr="00DD4E4F">
              <w:rPr>
                <w:i/>
                <w:lang w:val="es-419"/>
              </w:rPr>
              <w:t>considerar si es necesario mantener la primera frase del párrafo 13 y si ha de modificarse la segunda frase a fin de explicar que, en el artículo 14.5)c), “por ejemplo” significa que lo que sigue son ejemplos, y que no se excluye la posibilidad de obtener una variedad esencialmente derivada por otro medio.</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keepNext/>
              <w:jc w:val="left"/>
              <w:rPr>
                <w:i/>
                <w:lang w:val="es-419"/>
              </w:rPr>
            </w:pPr>
          </w:p>
        </w:tc>
        <w:tc>
          <w:tcPr>
            <w:tcW w:w="7155" w:type="dxa"/>
          </w:tcPr>
          <w:p w:rsidR="00301E91" w:rsidRPr="00DD4E4F" w:rsidRDefault="00301E91" w:rsidP="00B974ED">
            <w:pPr>
              <w:keepNext/>
              <w:jc w:val="left"/>
              <w:rPr>
                <w:i/>
                <w:lang w:val="es-419"/>
              </w:rPr>
            </w:pPr>
            <w:r w:rsidRPr="00DD4E4F">
              <w:rPr>
                <w:i/>
                <w:lang w:val="es-419"/>
              </w:rPr>
              <w:t>Método de fitomejoramiento</w:t>
            </w:r>
          </w:p>
          <w:p w:rsidR="00301E91" w:rsidRPr="00DD4E4F" w:rsidRDefault="00301E91" w:rsidP="00B974ED">
            <w:pPr>
              <w:keepNext/>
              <w:jc w:val="left"/>
              <w:rPr>
                <w:i/>
                <w:lang w:val="es-419"/>
              </w:rPr>
            </w:pPr>
          </w:p>
        </w:tc>
        <w:tc>
          <w:tcPr>
            <w:tcW w:w="1523" w:type="dxa"/>
            <w:gridSpan w:val="2"/>
          </w:tcPr>
          <w:p w:rsidR="00301E91" w:rsidRPr="00DD4E4F" w:rsidRDefault="00301E91" w:rsidP="00B974ED">
            <w:pPr>
              <w:keepNext/>
              <w:jc w:val="left"/>
              <w:rPr>
                <w:i/>
                <w:lang w:val="es-419"/>
              </w:rPr>
            </w:pP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25 [26]</w:t>
            </w:r>
          </w:p>
        </w:tc>
        <w:tc>
          <w:tcPr>
            <w:tcW w:w="7155" w:type="dxa"/>
          </w:tcPr>
          <w:p w:rsidR="00301E91" w:rsidRPr="00DD4E4F" w:rsidRDefault="00301E91" w:rsidP="00B974ED">
            <w:pPr>
              <w:spacing w:after="60"/>
              <w:ind w:right="567"/>
              <w:jc w:val="left"/>
              <w:rPr>
                <w:rFonts w:eastAsia="Calibri" w:cs="Arial"/>
                <w:i/>
                <w:iCs/>
                <w:lang w:val="es-419"/>
              </w:rPr>
            </w:pPr>
            <w:r w:rsidRPr="00DD4E4F">
              <w:rPr>
                <w:rFonts w:eastAsia="Calibri" w:cs="Arial"/>
                <w:i/>
                <w:iCs/>
                <w:lang w:val="es-419"/>
              </w:rPr>
              <w:t xml:space="preserve">considerar si es necesario modificar la segunda frase del párrafo 15: “[..].Por ejemplo, la modificación genética puede dar lugar a un mutante que ya no conserva la expresión de los caracteres esenciales del genotipo de la variedad inicial”. </w:t>
            </w:r>
          </w:p>
        </w:tc>
        <w:tc>
          <w:tcPr>
            <w:tcW w:w="1523" w:type="dxa"/>
            <w:gridSpan w:val="2"/>
          </w:tcPr>
          <w:p w:rsidR="00301E91" w:rsidRPr="00DD4E4F" w:rsidRDefault="00301E91" w:rsidP="00B974ED">
            <w:pPr>
              <w:jc w:val="left"/>
              <w:rPr>
                <w:i/>
                <w:lang w:val="es-419"/>
              </w:rPr>
            </w:pPr>
            <w:r w:rsidRPr="00DD4E4F">
              <w:rPr>
                <w:i/>
                <w:lang w:val="es-419"/>
              </w:rPr>
              <w:t>DE</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26 [27]</w:t>
            </w:r>
          </w:p>
        </w:tc>
        <w:tc>
          <w:tcPr>
            <w:tcW w:w="7155" w:type="dxa"/>
          </w:tcPr>
          <w:p w:rsidR="00301E91" w:rsidRPr="00DD4E4F" w:rsidRDefault="00301E91" w:rsidP="00B974ED">
            <w:pPr>
              <w:spacing w:after="60"/>
              <w:ind w:right="567"/>
              <w:jc w:val="left"/>
              <w:rPr>
                <w:rFonts w:eastAsia="Calibri" w:cs="Arial"/>
                <w:i/>
                <w:iCs/>
                <w:lang w:val="es-419"/>
              </w:rPr>
            </w:pPr>
            <w:r w:rsidRPr="00DD4E4F">
              <w:rPr>
                <w:rFonts w:eastAsia="Calibri" w:cs="Arial"/>
                <w:i/>
                <w:iCs/>
                <w:lang w:val="es-419"/>
              </w:rPr>
              <w:t>examinar la siguiente modificación del párrafo 15: “Si bien la modificación genética puede dar lugar a un mutante que ya no conserva la expresión de los caracteres esenciales del genotipo de la variedad inicial, las mutaciones puntuales rara vez producen este efecto.”</w:t>
            </w:r>
          </w:p>
        </w:tc>
        <w:tc>
          <w:tcPr>
            <w:tcW w:w="1523" w:type="dxa"/>
            <w:gridSpan w:val="2"/>
          </w:tcPr>
          <w:p w:rsidR="00301E91" w:rsidRPr="00DD4E4F" w:rsidRDefault="00301E91" w:rsidP="00B974ED">
            <w:pPr>
              <w:jc w:val="left"/>
              <w:rPr>
                <w:i/>
                <w:lang w:val="es-419"/>
              </w:rPr>
            </w:pPr>
            <w:r w:rsidRPr="00DD4E4F">
              <w:rPr>
                <w:i/>
                <w:lang w:val="es-419"/>
              </w:rPr>
              <w:t>SE</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27 [28]</w:t>
            </w:r>
          </w:p>
        </w:tc>
        <w:tc>
          <w:tcPr>
            <w:tcW w:w="7155" w:type="dxa"/>
          </w:tcPr>
          <w:p w:rsidR="00301E91" w:rsidRPr="00DD4E4F" w:rsidRDefault="00301E91" w:rsidP="00B974ED">
            <w:pPr>
              <w:jc w:val="left"/>
              <w:rPr>
                <w:i/>
                <w:lang w:val="es-419"/>
              </w:rPr>
            </w:pPr>
            <w:r w:rsidRPr="00DD4E4F">
              <w:rPr>
                <w:i/>
                <w:lang w:val="es-419"/>
              </w:rPr>
              <w:t xml:space="preserve">considerar si el método de fitomejoramiento empleado no debería repercutir en el concepto de variedad esencialmente derivada </w:t>
            </w:r>
          </w:p>
        </w:tc>
        <w:tc>
          <w:tcPr>
            <w:tcW w:w="1523" w:type="dxa"/>
            <w:gridSpan w:val="2"/>
          </w:tcPr>
          <w:p w:rsidR="00301E91" w:rsidRPr="00DD4E4F" w:rsidRDefault="00301E91" w:rsidP="00B974ED">
            <w:pPr>
              <w:jc w:val="left"/>
              <w:rPr>
                <w:i/>
                <w:lang w:val="es-419"/>
              </w:rPr>
            </w:pPr>
            <w:proofErr w:type="spellStart"/>
            <w:r w:rsidRPr="00DD4E4F">
              <w:rPr>
                <w:i/>
                <w:lang w:val="es-419"/>
              </w:rPr>
              <w:t>ZA</w:t>
            </w:r>
            <w:proofErr w:type="spellEnd"/>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28 [29]</w:t>
            </w:r>
          </w:p>
        </w:tc>
        <w:tc>
          <w:tcPr>
            <w:tcW w:w="7155" w:type="dxa"/>
          </w:tcPr>
          <w:p w:rsidR="00301E91" w:rsidRPr="00DD4E4F" w:rsidRDefault="00301E91" w:rsidP="00B974ED">
            <w:pPr>
              <w:jc w:val="left"/>
              <w:rPr>
                <w:i/>
                <w:lang w:val="es-419"/>
              </w:rPr>
            </w:pPr>
            <w:r w:rsidRPr="00DD4E4F">
              <w:rPr>
                <w:i/>
                <w:lang w:val="es-419"/>
              </w:rPr>
              <w:t>considerar si es necesario aclarar el contenido de los párrafos 14 y 15 para facilitar el proceso de determinación de las variedades esencialmente derivadas</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29 [30]</w:t>
            </w:r>
          </w:p>
        </w:tc>
        <w:tc>
          <w:tcPr>
            <w:tcW w:w="7155" w:type="dxa"/>
          </w:tcPr>
          <w:p w:rsidR="00301E91" w:rsidRPr="00DD4E4F" w:rsidRDefault="00301E91" w:rsidP="00B974ED">
            <w:pPr>
              <w:jc w:val="left"/>
              <w:rPr>
                <w:i/>
                <w:lang w:val="es-419"/>
              </w:rPr>
            </w:pPr>
            <w:r w:rsidRPr="00DD4E4F">
              <w:rPr>
                <w:i/>
                <w:lang w:val="es-419"/>
              </w:rPr>
              <w:t>examinar las siguientes propuestas en relación con los mutantes: a) en la mayor parte de los casos, los mutantes son variedades esencialmente derivadas; b) los mutantes siempre se derivan principalmente de la variedad inicial;</w:t>
            </w:r>
            <w:r w:rsidRPr="00DD4E4F">
              <w:rPr>
                <w:rFonts w:eastAsia="Calibri" w:cs="Arial"/>
                <w:i/>
                <w:iCs/>
                <w:lang w:val="es-419"/>
              </w:rPr>
              <w:t xml:space="preserve"> c) los mutantes se derivan totalmente de la variedad inicial.</w:t>
            </w:r>
          </w:p>
        </w:tc>
        <w:tc>
          <w:tcPr>
            <w:tcW w:w="1523" w:type="dxa"/>
            <w:gridSpan w:val="2"/>
          </w:tcPr>
          <w:p w:rsidR="00301E91" w:rsidRPr="00DD4E4F" w:rsidRDefault="00301E91" w:rsidP="00B974ED">
            <w:pPr>
              <w:jc w:val="left"/>
              <w:rPr>
                <w:i/>
                <w:lang w:val="es-419"/>
              </w:rPr>
            </w:pPr>
            <w:r w:rsidRPr="00DD4E4F">
              <w:rPr>
                <w:i/>
                <w:lang w:val="es-419"/>
              </w:rPr>
              <w:t>EU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30 [31]</w:t>
            </w:r>
          </w:p>
        </w:tc>
        <w:tc>
          <w:tcPr>
            <w:tcW w:w="7155" w:type="dxa"/>
          </w:tcPr>
          <w:p w:rsidR="00301E91" w:rsidRPr="00DD4E4F" w:rsidRDefault="00301E91" w:rsidP="00B974ED">
            <w:pPr>
              <w:jc w:val="left"/>
              <w:rPr>
                <w:i/>
                <w:lang w:val="es-419"/>
              </w:rPr>
            </w:pPr>
            <w:r w:rsidRPr="00DD4E4F">
              <w:rPr>
                <w:i/>
                <w:lang w:val="es-419"/>
              </w:rPr>
              <w:t xml:space="preserve">procurar lograr una postura común sobre la </w:t>
            </w:r>
            <w:proofErr w:type="spellStart"/>
            <w:r w:rsidRPr="00DD4E4F">
              <w:rPr>
                <w:i/>
                <w:lang w:val="es-419"/>
              </w:rPr>
              <w:t>mutagénesis</w:t>
            </w:r>
            <w:proofErr w:type="spellEnd"/>
            <w:r w:rsidRPr="00DD4E4F">
              <w:rPr>
                <w:i/>
                <w:lang w:val="es-419"/>
              </w:rPr>
              <w:t xml:space="preserve"> y sus distintas técnicas (por ejemplo, la </w:t>
            </w:r>
            <w:proofErr w:type="spellStart"/>
            <w:r w:rsidRPr="00DD4E4F">
              <w:rPr>
                <w:i/>
                <w:lang w:val="es-419"/>
              </w:rPr>
              <w:t>mutagénesis</w:t>
            </w:r>
            <w:proofErr w:type="spellEnd"/>
            <w:r w:rsidRPr="00DD4E4F">
              <w:rPr>
                <w:i/>
                <w:lang w:val="es-419"/>
              </w:rPr>
              <w:t xml:space="preserve"> espontánea o inducida que produce una sola mutación o varias)</w:t>
            </w:r>
          </w:p>
        </w:tc>
        <w:tc>
          <w:tcPr>
            <w:tcW w:w="1523" w:type="dxa"/>
            <w:gridSpan w:val="2"/>
          </w:tcPr>
          <w:p w:rsidR="00301E91" w:rsidRPr="00DD4E4F" w:rsidRDefault="00301E91" w:rsidP="00B974ED">
            <w:pPr>
              <w:jc w:val="left"/>
              <w:rPr>
                <w:i/>
                <w:lang w:val="es-419"/>
              </w:rPr>
            </w:pPr>
            <w:r w:rsidRPr="00DD4E4F">
              <w:rPr>
                <w:i/>
                <w:lang w:val="es-419"/>
              </w:rPr>
              <w:t>EU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lastRenderedPageBreak/>
              <w:t>Cuestión 31 [32]</w:t>
            </w:r>
          </w:p>
        </w:tc>
        <w:tc>
          <w:tcPr>
            <w:tcW w:w="7155" w:type="dxa"/>
          </w:tcPr>
          <w:p w:rsidR="00301E91" w:rsidRPr="00DD4E4F" w:rsidRDefault="00301E91" w:rsidP="00B974ED">
            <w:pPr>
              <w:jc w:val="left"/>
              <w:rPr>
                <w:i/>
                <w:lang w:val="es-419"/>
              </w:rPr>
            </w:pPr>
            <w:r w:rsidRPr="00DD4E4F">
              <w:rPr>
                <w:i/>
                <w:lang w:val="es-419"/>
              </w:rPr>
              <w:t xml:space="preserve">considerar, en relación con el </w:t>
            </w:r>
            <w:proofErr w:type="spellStart"/>
            <w:r w:rsidRPr="00DD4E4F">
              <w:rPr>
                <w:i/>
                <w:lang w:val="es-419"/>
              </w:rPr>
              <w:t>retrocruzamiento</w:t>
            </w:r>
            <w:proofErr w:type="spellEnd"/>
            <w:r w:rsidRPr="00DD4E4F">
              <w:rPr>
                <w:i/>
                <w:lang w:val="es-419"/>
              </w:rPr>
              <w:t xml:space="preserve">, si pueden definirse umbrales para determinar la derivación principal e invertir la carga de la prueba, lo que podría no ser aplicable a los mutantes: “La diferencia entre </w:t>
            </w:r>
            <w:proofErr w:type="spellStart"/>
            <w:r w:rsidRPr="00DD4E4F">
              <w:rPr>
                <w:i/>
                <w:lang w:val="es-419"/>
              </w:rPr>
              <w:t>retrocruzamiento</w:t>
            </w:r>
            <w:proofErr w:type="spellEnd"/>
            <w:r w:rsidRPr="00DD4E4F">
              <w:rPr>
                <w:i/>
                <w:lang w:val="es-419"/>
              </w:rPr>
              <w:t xml:space="preserve"> y mutación estriba en que, en el </w:t>
            </w:r>
            <w:proofErr w:type="spellStart"/>
            <w:r w:rsidRPr="00DD4E4F">
              <w:rPr>
                <w:i/>
                <w:lang w:val="es-419"/>
              </w:rPr>
              <w:t>retrocruzamiento</w:t>
            </w:r>
            <w:proofErr w:type="spellEnd"/>
            <w:r w:rsidRPr="00DD4E4F">
              <w:rPr>
                <w:i/>
                <w:lang w:val="es-419"/>
              </w:rPr>
              <w:t>, se parte de dos variedades parentales, cada una de las cuales aporta su genoma. Con objeto de evitar restricciones de la exención del obtentor, es muy importante establecer un límite para la conformidad, lo que puede lograrse empleando el término “</w:t>
            </w:r>
            <w:proofErr w:type="spellStart"/>
            <w:r w:rsidRPr="00DD4E4F">
              <w:rPr>
                <w:i/>
                <w:lang w:val="es-419"/>
              </w:rPr>
              <w:t>retrocruzamiento</w:t>
            </w:r>
            <w:proofErr w:type="spellEnd"/>
            <w:r w:rsidRPr="00DD4E4F">
              <w:rPr>
                <w:i/>
                <w:lang w:val="es-419"/>
              </w:rPr>
              <w:t xml:space="preserve"> repetido”. En relación con este término, ha de tenerse presente que la limitación a “muy pocas diferencias o una sola” sigue siendo un principio importante a la hora de evaluar la conformidad.” (véase también la cuestión 17) </w:t>
            </w:r>
          </w:p>
        </w:tc>
        <w:tc>
          <w:tcPr>
            <w:tcW w:w="1523" w:type="dxa"/>
            <w:gridSpan w:val="2"/>
          </w:tcPr>
          <w:p w:rsidR="00301E91" w:rsidRPr="00DD4E4F" w:rsidRDefault="00301E91" w:rsidP="00B974ED">
            <w:pPr>
              <w:jc w:val="left"/>
              <w:rPr>
                <w:i/>
                <w:lang w:val="es-419"/>
              </w:rPr>
            </w:pPr>
            <w:r w:rsidRPr="00DD4E4F">
              <w:rPr>
                <w:i/>
                <w:lang w:val="es-419"/>
              </w:rPr>
              <w:t>EU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32 [33]</w:t>
            </w:r>
          </w:p>
        </w:tc>
        <w:tc>
          <w:tcPr>
            <w:tcW w:w="7155" w:type="dxa"/>
          </w:tcPr>
          <w:p w:rsidR="00301E91" w:rsidRPr="00DD4E4F" w:rsidRDefault="00301E91" w:rsidP="00B974ED">
            <w:pPr>
              <w:jc w:val="left"/>
              <w:rPr>
                <w:i/>
                <w:lang w:val="es-419"/>
              </w:rPr>
            </w:pPr>
            <w:r w:rsidRPr="00DD4E4F">
              <w:rPr>
                <w:i/>
                <w:lang w:val="es-419"/>
              </w:rPr>
              <w:t xml:space="preserve">evaluar si en todos los casos en que se hayan utilizado nuevas técnicas de fitomejoramiento (por ejemplo, la </w:t>
            </w:r>
            <w:proofErr w:type="spellStart"/>
            <w:r w:rsidRPr="00DD4E4F">
              <w:rPr>
                <w:i/>
                <w:lang w:val="es-419"/>
              </w:rPr>
              <w:t>mutagénesis</w:t>
            </w:r>
            <w:proofErr w:type="spellEnd"/>
            <w:r w:rsidRPr="00DD4E4F">
              <w:rPr>
                <w:i/>
                <w:lang w:val="es-419"/>
              </w:rPr>
              <w:t xml:space="preserve"> dirigida) debe considerarse que la variedad se deriva principalmente de la variedad inicial </w:t>
            </w:r>
          </w:p>
        </w:tc>
        <w:tc>
          <w:tcPr>
            <w:tcW w:w="1523" w:type="dxa"/>
            <w:gridSpan w:val="2"/>
          </w:tcPr>
          <w:p w:rsidR="00301E91" w:rsidRPr="00DD4E4F" w:rsidRDefault="00301E91" w:rsidP="00B974ED">
            <w:pPr>
              <w:jc w:val="left"/>
              <w:rPr>
                <w:i/>
                <w:lang w:val="es-419"/>
              </w:rPr>
            </w:pPr>
            <w:r w:rsidRPr="00DD4E4F">
              <w:rPr>
                <w:i/>
                <w:lang w:val="es-419"/>
              </w:rPr>
              <w:t>EU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33 [34]</w:t>
            </w:r>
          </w:p>
        </w:tc>
        <w:tc>
          <w:tcPr>
            <w:tcW w:w="7155" w:type="dxa"/>
          </w:tcPr>
          <w:p w:rsidR="00301E91" w:rsidRPr="00DD4E4F" w:rsidRDefault="00301E91" w:rsidP="00B974ED">
            <w:pPr>
              <w:jc w:val="left"/>
              <w:rPr>
                <w:i/>
                <w:lang w:val="es-419"/>
              </w:rPr>
            </w:pPr>
            <w:r w:rsidRPr="00DD4E4F">
              <w:rPr>
                <w:i/>
                <w:lang w:val="es-419"/>
              </w:rPr>
              <w:t>considerar si es necesario ofrecer una explicación más detallada de los términos “variante somaclonal” e “individuo variante seleccionado”, ya que son términos que solo indican el origen de un mutante natural o inducido</w:t>
            </w:r>
          </w:p>
        </w:tc>
        <w:tc>
          <w:tcPr>
            <w:tcW w:w="1523" w:type="dxa"/>
            <w:gridSpan w:val="2"/>
          </w:tcPr>
          <w:p w:rsidR="00301E91" w:rsidRPr="00DD4E4F" w:rsidRDefault="00301E91" w:rsidP="00B974ED">
            <w:pPr>
              <w:jc w:val="left"/>
              <w:rPr>
                <w:i/>
                <w:lang w:val="es-419"/>
              </w:rPr>
            </w:pPr>
            <w:r w:rsidRPr="00DD4E4F">
              <w:rPr>
                <w:i/>
                <w:lang w:val="es-419"/>
              </w:rPr>
              <w:t>DE</w:t>
            </w:r>
          </w:p>
        </w:tc>
      </w:tr>
      <w:tr w:rsidR="00301E91" w:rsidRPr="00DD4E4F" w:rsidTr="00B974ED">
        <w:trPr>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i/>
                <w:lang w:val="es-419"/>
              </w:rPr>
            </w:pPr>
            <w:r w:rsidRPr="00DD4E4F">
              <w:rPr>
                <w:i/>
                <w:lang w:val="es-419"/>
              </w:rPr>
              <w:t>Derivación directa e indirecta</w:t>
            </w:r>
          </w:p>
          <w:p w:rsidR="00301E91" w:rsidRPr="00DD4E4F" w:rsidRDefault="00301E91" w:rsidP="00B974ED">
            <w:pPr>
              <w:jc w:val="left"/>
              <w:rPr>
                <w:i/>
                <w:lang w:val="es-419"/>
              </w:rPr>
            </w:pPr>
          </w:p>
        </w:tc>
        <w:tc>
          <w:tcPr>
            <w:tcW w:w="1523" w:type="dxa"/>
            <w:gridSpan w:val="2"/>
          </w:tcPr>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34 [35]</w:t>
            </w:r>
          </w:p>
        </w:tc>
        <w:tc>
          <w:tcPr>
            <w:tcW w:w="7155" w:type="dxa"/>
          </w:tcPr>
          <w:p w:rsidR="00301E91" w:rsidRPr="00DD4E4F" w:rsidRDefault="00301E91" w:rsidP="00B974ED">
            <w:pPr>
              <w:jc w:val="left"/>
              <w:rPr>
                <w:i/>
                <w:lang w:val="es-419"/>
              </w:rPr>
            </w:pPr>
            <w:r w:rsidRPr="00DD4E4F">
              <w:rPr>
                <w:i/>
                <w:lang w:val="es-419"/>
              </w:rPr>
              <w:t>mejorar el gráfico 2 a fin de aclarar que “Z” se distingue claramente de “A”, pero también se distingue claramente de “B” a “Y”.</w:t>
            </w:r>
          </w:p>
        </w:tc>
        <w:tc>
          <w:tcPr>
            <w:tcW w:w="1523" w:type="dxa"/>
            <w:gridSpan w:val="2"/>
          </w:tcPr>
          <w:p w:rsidR="00301E91" w:rsidRPr="00DD4E4F" w:rsidRDefault="00301E91" w:rsidP="00B974ED">
            <w:pPr>
              <w:jc w:val="left"/>
              <w:rPr>
                <w:i/>
                <w:lang w:val="es-419"/>
              </w:rPr>
            </w:pPr>
            <w:r w:rsidRPr="00DD4E4F">
              <w:rPr>
                <w:i/>
                <w:lang w:val="es-419"/>
              </w:rPr>
              <w:t>DE</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35 [36]</w:t>
            </w:r>
          </w:p>
        </w:tc>
        <w:tc>
          <w:tcPr>
            <w:tcW w:w="7155" w:type="dxa"/>
          </w:tcPr>
          <w:p w:rsidR="00301E91" w:rsidRPr="00DD4E4F" w:rsidRDefault="00301E91" w:rsidP="00B974ED">
            <w:pPr>
              <w:jc w:val="left"/>
              <w:rPr>
                <w:i/>
                <w:lang w:val="es-419"/>
              </w:rPr>
            </w:pPr>
            <w:r w:rsidRPr="00DD4E4F">
              <w:rPr>
                <w:i/>
                <w:lang w:val="es-419"/>
              </w:rPr>
              <w:t>considerar la siguiente observación: “Si bien el esquema del gráfico 2 es correcto desde un punto de vista teórico y jurídico, puede deducirse que la derivación ulterior reduce la probabilidad de que las variedades esencialmente derivadas “más allá” de la variedad inicial “A” conserven la expresión de los caracteres esenciales de “A” y/o sean conformes a “A” en cuanto a sus caracteres esenciales.”</w:t>
            </w:r>
          </w:p>
        </w:tc>
        <w:tc>
          <w:tcPr>
            <w:tcW w:w="1523" w:type="dxa"/>
            <w:gridSpan w:val="2"/>
          </w:tcPr>
          <w:p w:rsidR="00301E91" w:rsidRPr="00DD4E4F" w:rsidRDefault="00301E91" w:rsidP="00B974ED">
            <w:pPr>
              <w:jc w:val="left"/>
              <w:rPr>
                <w:i/>
                <w:lang w:val="es-419"/>
              </w:rPr>
            </w:pPr>
            <w:r w:rsidRPr="00DD4E4F">
              <w:rPr>
                <w:i/>
                <w:lang w:val="es-419"/>
              </w:rPr>
              <w:t>SE</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36 [37]</w:t>
            </w:r>
          </w:p>
        </w:tc>
        <w:tc>
          <w:tcPr>
            <w:tcW w:w="7155" w:type="dxa"/>
          </w:tcPr>
          <w:p w:rsidR="00301E91" w:rsidRPr="00DD4E4F" w:rsidRDefault="00301E91" w:rsidP="00B974ED">
            <w:pPr>
              <w:jc w:val="left"/>
              <w:rPr>
                <w:i/>
                <w:lang w:val="es-419"/>
              </w:rPr>
            </w:pPr>
            <w:r w:rsidRPr="00DD4E4F">
              <w:rPr>
                <w:i/>
                <w:lang w:val="es-419"/>
              </w:rPr>
              <w:t>revisar los párrafos 17, 18 y 19 con objeto de evitar repeticiones</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keepNext/>
              <w:jc w:val="left"/>
              <w:rPr>
                <w:i/>
                <w:lang w:val="es-419"/>
              </w:rPr>
            </w:pPr>
          </w:p>
        </w:tc>
        <w:tc>
          <w:tcPr>
            <w:tcW w:w="7155" w:type="dxa"/>
          </w:tcPr>
          <w:p w:rsidR="00301E91" w:rsidRPr="00DD4E4F" w:rsidRDefault="00301E91" w:rsidP="00B974ED">
            <w:pPr>
              <w:keepNext/>
              <w:jc w:val="left"/>
              <w:rPr>
                <w:lang w:val="es-419"/>
              </w:rPr>
            </w:pPr>
            <w:r w:rsidRPr="00DD4E4F">
              <w:rPr>
                <w:lang w:val="es-419"/>
              </w:rPr>
              <w:t>c)</w:t>
            </w:r>
            <w:r w:rsidRPr="00DD4E4F">
              <w:rPr>
                <w:lang w:val="es-419"/>
              </w:rPr>
              <w:tab/>
              <w:t>Alcance del derecho de obtentor respecto de variedades iniciales y variedades esencialmente derivadas</w:t>
            </w:r>
          </w:p>
          <w:p w:rsidR="00301E91" w:rsidRPr="00DD4E4F" w:rsidRDefault="00301E91" w:rsidP="00B974ED">
            <w:pPr>
              <w:keepNext/>
              <w:jc w:val="left"/>
              <w:rPr>
                <w:i/>
                <w:lang w:val="es-419"/>
              </w:rPr>
            </w:pPr>
          </w:p>
        </w:tc>
        <w:tc>
          <w:tcPr>
            <w:tcW w:w="1523" w:type="dxa"/>
            <w:gridSpan w:val="2"/>
          </w:tcPr>
          <w:p w:rsidR="00301E91" w:rsidRPr="00DD4E4F" w:rsidRDefault="00301E91" w:rsidP="00B974ED">
            <w:pPr>
              <w:keepNext/>
              <w:jc w:val="left"/>
              <w:rPr>
                <w:i/>
                <w:lang w:val="es-419"/>
              </w:rPr>
            </w:pP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37 [38]</w:t>
            </w:r>
          </w:p>
        </w:tc>
        <w:tc>
          <w:tcPr>
            <w:tcW w:w="7155" w:type="dxa"/>
          </w:tcPr>
          <w:p w:rsidR="00301E91" w:rsidRPr="00DD4E4F" w:rsidRDefault="00301E91" w:rsidP="00B974ED">
            <w:pPr>
              <w:jc w:val="left"/>
              <w:rPr>
                <w:i/>
                <w:lang w:val="es-419"/>
              </w:rPr>
            </w:pPr>
            <w:r w:rsidRPr="00DD4E4F">
              <w:rPr>
                <w:i/>
                <w:lang w:val="es-419"/>
              </w:rPr>
              <w:t xml:space="preserve">considerar si debe concederse el derecho al obtentor de la variedad inicial protegida al mismo tiempo que al obtentor de la variedad esencialmente derivada, sin exámenes adicionales por parte de la autoridad, y que la concesión del derecho a la variedad esencialmente derivada no esté sujeta a más condiciones que la designación de una denominación, el cumplimiento de las formalidades y el pago de las tasas correspondientes </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38 [39]</w:t>
            </w:r>
          </w:p>
        </w:tc>
        <w:tc>
          <w:tcPr>
            <w:tcW w:w="7155" w:type="dxa"/>
          </w:tcPr>
          <w:p w:rsidR="00301E91" w:rsidRPr="00DD4E4F" w:rsidRDefault="00301E91" w:rsidP="00B974ED">
            <w:pPr>
              <w:jc w:val="left"/>
              <w:rPr>
                <w:i/>
                <w:lang w:val="es-419"/>
              </w:rPr>
            </w:pPr>
            <w:r w:rsidRPr="00DD4E4F">
              <w:rPr>
                <w:i/>
                <w:lang w:val="es-419"/>
              </w:rPr>
              <w:t>evaluar si la información sobre el origen de la variedad debe indicarse en el formulario de solicitud y no considerarse un secreto comercial</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39 [40]</w:t>
            </w:r>
          </w:p>
        </w:tc>
        <w:tc>
          <w:tcPr>
            <w:tcW w:w="7155" w:type="dxa"/>
          </w:tcPr>
          <w:p w:rsidR="00301E91" w:rsidRPr="00DD4E4F" w:rsidRDefault="00301E91" w:rsidP="00B974ED">
            <w:pPr>
              <w:numPr>
                <w:ilvl w:val="0"/>
                <w:numId w:val="16"/>
              </w:numPr>
              <w:contextualSpacing/>
              <w:jc w:val="left"/>
              <w:rPr>
                <w:i/>
                <w:lang w:val="es-419"/>
              </w:rPr>
            </w:pPr>
            <w:r w:rsidRPr="00DD4E4F">
              <w:rPr>
                <w:i/>
                <w:lang w:val="es-419"/>
              </w:rPr>
              <w:t xml:space="preserve">considerar si debe modificarse el formulario de solicitud de manera que se indique de qué variedad se ha derivado la variedad, cuál ha sido el método de derivación y cuáles son los caracteres esenciales de la variedad inicial protegida y los caracteres esenciales de la variedad derivada </w:t>
            </w:r>
          </w:p>
          <w:p w:rsidR="00301E91" w:rsidRPr="00DD4E4F" w:rsidRDefault="00301E91" w:rsidP="00B974ED">
            <w:pPr>
              <w:jc w:val="left"/>
              <w:rPr>
                <w:i/>
                <w:lang w:val="es-419"/>
              </w:rPr>
            </w:pPr>
          </w:p>
          <w:p w:rsidR="00301E91" w:rsidRPr="00DD4E4F" w:rsidRDefault="00301E91" w:rsidP="00B974ED">
            <w:pPr>
              <w:numPr>
                <w:ilvl w:val="0"/>
                <w:numId w:val="16"/>
              </w:numPr>
              <w:contextualSpacing/>
              <w:jc w:val="left"/>
              <w:rPr>
                <w:i/>
                <w:lang w:val="es-419"/>
              </w:rPr>
            </w:pPr>
            <w:r w:rsidRPr="00DD4E4F">
              <w:rPr>
                <w:i/>
                <w:lang w:val="es-419"/>
              </w:rPr>
              <w:t>considerar si esta propuesta de modificación del formulario de solicitud puede servir de base para que el obtentor de la variedad inicial protegida pueda oponerse a la solicitud alegando que el solicitante no ha admitido o convenido en que su variedad es esencialmente derivada</w:t>
            </w:r>
          </w:p>
          <w:p w:rsidR="00301E91" w:rsidRPr="00DD4E4F" w:rsidRDefault="00301E91" w:rsidP="00B974ED">
            <w:pPr>
              <w:jc w:val="left"/>
              <w:rPr>
                <w:i/>
                <w:lang w:val="es-419"/>
              </w:rPr>
            </w:pPr>
          </w:p>
          <w:p w:rsidR="00301E91" w:rsidRPr="00DD4E4F" w:rsidRDefault="00301E91" w:rsidP="00B974ED">
            <w:pPr>
              <w:numPr>
                <w:ilvl w:val="0"/>
                <w:numId w:val="16"/>
              </w:numPr>
              <w:contextualSpacing/>
              <w:jc w:val="left"/>
              <w:rPr>
                <w:i/>
                <w:lang w:val="es-419"/>
              </w:rPr>
            </w:pPr>
            <w:r w:rsidRPr="00DD4E4F">
              <w:rPr>
                <w:i/>
                <w:lang w:val="es-419"/>
              </w:rPr>
              <w:t>estudiar si tal procedimiento de oposición puede servir de base para que la variedad candidata se considere esencialmente derivada mientras la autoridad en derechos de obtentor no determine definitivamente lo contrario</w:t>
            </w:r>
          </w:p>
        </w:tc>
        <w:tc>
          <w:tcPr>
            <w:tcW w:w="1523" w:type="dxa"/>
            <w:gridSpan w:val="2"/>
          </w:tcPr>
          <w:p w:rsidR="00301E91" w:rsidRPr="00DD4E4F" w:rsidRDefault="00301E91" w:rsidP="00B974ED">
            <w:pPr>
              <w:jc w:val="left"/>
              <w:rPr>
                <w:i/>
                <w:lang w:val="es-419"/>
              </w:rPr>
            </w:pPr>
            <w:proofErr w:type="spellStart"/>
            <w:r w:rsidRPr="00DD4E4F">
              <w:rPr>
                <w:i/>
                <w:lang w:val="es-419"/>
              </w:rPr>
              <w:t>ZA</w:t>
            </w:r>
            <w:proofErr w:type="spellEnd"/>
          </w:p>
        </w:tc>
      </w:tr>
      <w:tr w:rsidR="00301E91" w:rsidRPr="00DD4E4F" w:rsidTr="00B974ED">
        <w:trPr>
          <w:cantSplit/>
        </w:trPr>
        <w:tc>
          <w:tcPr>
            <w:tcW w:w="1305" w:type="dxa"/>
          </w:tcPr>
          <w:p w:rsidR="00301E91" w:rsidRPr="00DD4E4F" w:rsidRDefault="00301E91" w:rsidP="00B974ED">
            <w:pPr>
              <w:jc w:val="left"/>
              <w:rPr>
                <w:i/>
                <w:u w:val="single"/>
                <w:lang w:val="es-419"/>
              </w:rPr>
            </w:pPr>
            <w:r w:rsidRPr="00DD4E4F">
              <w:rPr>
                <w:i/>
                <w:highlight w:val="lightGray"/>
                <w:u w:val="single"/>
                <w:lang w:val="es-419"/>
              </w:rPr>
              <w:lastRenderedPageBreak/>
              <w:t xml:space="preserve">Cuestión 40 </w:t>
            </w:r>
          </w:p>
        </w:tc>
        <w:tc>
          <w:tcPr>
            <w:tcW w:w="7155" w:type="dxa"/>
          </w:tcPr>
          <w:p w:rsidR="00301E91" w:rsidRPr="00DD4E4F" w:rsidRDefault="00301E91" w:rsidP="00B15F93">
            <w:pPr>
              <w:contextualSpacing/>
              <w:jc w:val="left"/>
              <w:rPr>
                <w:i/>
                <w:highlight w:val="lightGray"/>
                <w:u w:val="single"/>
                <w:lang w:val="es-419"/>
              </w:rPr>
            </w:pPr>
            <w:r w:rsidRPr="00DD4E4F">
              <w:rPr>
                <w:i/>
                <w:highlight w:val="lightGray"/>
                <w:u w:val="single"/>
                <w:lang w:val="es-419"/>
              </w:rPr>
              <w:t xml:space="preserve">considerar que no sería oportuno examinar </w:t>
            </w:r>
            <w:r w:rsidR="00B15F93">
              <w:rPr>
                <w:i/>
                <w:highlight w:val="lightGray"/>
                <w:u w:val="single"/>
                <w:lang w:val="es-419"/>
              </w:rPr>
              <w:t>requisitos</w:t>
            </w:r>
            <w:r w:rsidRPr="00DD4E4F">
              <w:rPr>
                <w:i/>
                <w:highlight w:val="lightGray"/>
                <w:u w:val="single"/>
                <w:lang w:val="es-419"/>
              </w:rPr>
              <w:t xml:space="preserve"> para que en las notas explicativas sobre las variedades esencialmente derivadas se incluyan requisitos de declaración del origen de la variedad </w:t>
            </w:r>
          </w:p>
        </w:tc>
        <w:tc>
          <w:tcPr>
            <w:tcW w:w="1523" w:type="dxa"/>
            <w:gridSpan w:val="2"/>
          </w:tcPr>
          <w:p w:rsidR="00301E91" w:rsidRPr="00DD4E4F" w:rsidRDefault="00301E91" w:rsidP="00B974ED">
            <w:pPr>
              <w:jc w:val="left"/>
              <w:rPr>
                <w:i/>
                <w:u w:val="single"/>
                <w:lang w:val="es-419"/>
              </w:rPr>
            </w:pPr>
            <w:proofErr w:type="spellStart"/>
            <w:r w:rsidRPr="00DD4E4F">
              <w:rPr>
                <w:i/>
                <w:highlight w:val="lightGray"/>
                <w:u w:val="single"/>
                <w:lang w:val="es-419"/>
              </w:rPr>
              <w:t>US</w:t>
            </w:r>
            <w:proofErr w:type="spellEnd"/>
          </w:p>
        </w:tc>
      </w:tr>
      <w:tr w:rsidR="00301E91" w:rsidRPr="00DD4E4F" w:rsidTr="00B974ED">
        <w:trPr>
          <w:cantSplit/>
        </w:trPr>
        <w:tc>
          <w:tcPr>
            <w:tcW w:w="1305" w:type="dxa"/>
          </w:tcPr>
          <w:p w:rsidR="00301E91" w:rsidRPr="00DD4E4F" w:rsidRDefault="001271F0" w:rsidP="00B974ED">
            <w:pPr>
              <w:contextualSpacing/>
              <w:jc w:val="left"/>
              <w:rPr>
                <w:i/>
                <w:highlight w:val="lightGray"/>
                <w:u w:val="single"/>
                <w:lang w:val="es-419"/>
              </w:rPr>
            </w:pPr>
            <w:r>
              <w:rPr>
                <w:i/>
                <w:highlight w:val="lightGray"/>
                <w:u w:val="single"/>
                <w:lang w:val="es-419"/>
              </w:rPr>
              <w:t>Cuestión 41</w:t>
            </w:r>
          </w:p>
        </w:tc>
        <w:tc>
          <w:tcPr>
            <w:tcW w:w="7155" w:type="dxa"/>
          </w:tcPr>
          <w:p w:rsidR="00301E91" w:rsidRPr="00DD4E4F" w:rsidRDefault="00301E91" w:rsidP="00B974ED">
            <w:pPr>
              <w:contextualSpacing/>
              <w:jc w:val="left"/>
              <w:rPr>
                <w:i/>
                <w:highlight w:val="lightGray"/>
                <w:u w:val="single"/>
                <w:lang w:val="es-419"/>
              </w:rPr>
            </w:pPr>
            <w:r w:rsidRPr="00DD4E4F">
              <w:rPr>
                <w:i/>
                <w:highlight w:val="lightGray"/>
                <w:u w:val="single"/>
                <w:lang w:val="es-419"/>
              </w:rPr>
              <w:t xml:space="preserve">considerar que no sería conveniente: a) imponer prácticas de examen a las oficinas nacionales o regionales de protección de las obtenciones vegetales; y b) que el grupo de trabajo elabore formularios o procedimientos de solicitud en los que deba proporcionarse determinada información </w:t>
            </w:r>
          </w:p>
        </w:tc>
        <w:tc>
          <w:tcPr>
            <w:tcW w:w="1523" w:type="dxa"/>
            <w:gridSpan w:val="2"/>
          </w:tcPr>
          <w:p w:rsidR="00301E91" w:rsidRPr="00DD4E4F" w:rsidRDefault="00301E91" w:rsidP="00B974ED">
            <w:pPr>
              <w:jc w:val="left"/>
              <w:rPr>
                <w:i/>
                <w:highlight w:val="lightGray"/>
                <w:u w:val="single"/>
                <w:lang w:val="es-419"/>
              </w:rPr>
            </w:pPr>
            <w:proofErr w:type="spellStart"/>
            <w:r w:rsidRPr="00DD4E4F">
              <w:rPr>
                <w:i/>
                <w:highlight w:val="lightGray"/>
                <w:u w:val="single"/>
                <w:lang w:val="es-419"/>
              </w:rPr>
              <w:t>US</w:t>
            </w:r>
            <w:proofErr w:type="spellEnd"/>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42 [41]</w:t>
            </w:r>
          </w:p>
        </w:tc>
        <w:tc>
          <w:tcPr>
            <w:tcW w:w="7155" w:type="dxa"/>
          </w:tcPr>
          <w:p w:rsidR="00301E91" w:rsidRPr="00DD4E4F" w:rsidRDefault="00301E91" w:rsidP="00B974ED">
            <w:pPr>
              <w:jc w:val="left"/>
              <w:rPr>
                <w:i/>
                <w:lang w:val="es-419"/>
              </w:rPr>
            </w:pPr>
            <w:r w:rsidRPr="00DD4E4F">
              <w:rPr>
                <w:i/>
                <w:lang w:val="es-419"/>
              </w:rPr>
              <w:t xml:space="preserve">considerar si la UPOV y sus miembros deben elaborar reglamentos para registrar oficialmente el derecho de obtentor de la variedad inicial protegida en relación con la variedad esencialmente derivada, y opciones para la gestión de ese derecho (véase la propuesta del punto 28) </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43 [42]</w:t>
            </w:r>
          </w:p>
        </w:tc>
        <w:tc>
          <w:tcPr>
            <w:tcW w:w="7155" w:type="dxa"/>
          </w:tcPr>
          <w:p w:rsidR="00301E91" w:rsidRPr="00DD4E4F" w:rsidRDefault="00301E91" w:rsidP="00B974ED">
            <w:pPr>
              <w:jc w:val="left"/>
              <w:rPr>
                <w:i/>
                <w:lang w:val="es-419"/>
              </w:rPr>
            </w:pPr>
            <w:r w:rsidRPr="00DD4E4F">
              <w:rPr>
                <w:i/>
                <w:lang w:val="es-419"/>
              </w:rPr>
              <w:t>considerar la posibilidad de añadir, a continuación del gráfico 4, que el obtentor de la variedad derivada protegida puede obtener una autorización de comercialización de la variedad esencialmente derivada en forma de licencia exclusiva del obtentor de la variedad inicial protegida</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u w:val="single"/>
                <w:lang w:val="es-419"/>
              </w:rPr>
            </w:pPr>
            <w:r w:rsidRPr="00DD4E4F">
              <w:rPr>
                <w:i/>
                <w:highlight w:val="lightGray"/>
                <w:u w:val="single"/>
                <w:lang w:val="es-419"/>
              </w:rPr>
              <w:t>Cuestión 44</w:t>
            </w:r>
          </w:p>
        </w:tc>
        <w:tc>
          <w:tcPr>
            <w:tcW w:w="7155" w:type="dxa"/>
          </w:tcPr>
          <w:p w:rsidR="00301E91" w:rsidRPr="00DD4E4F" w:rsidRDefault="00301E91" w:rsidP="00B974ED">
            <w:pPr>
              <w:jc w:val="left"/>
              <w:rPr>
                <w:i/>
                <w:u w:val="single"/>
                <w:lang w:val="es-419"/>
              </w:rPr>
            </w:pPr>
            <w:r w:rsidRPr="00DD4E4F">
              <w:rPr>
                <w:i/>
                <w:highlight w:val="lightGray"/>
                <w:u w:val="single"/>
                <w:lang w:val="es-419"/>
              </w:rPr>
              <w:t xml:space="preserve">considerar si procede incluir orientaciones sobre la denominación de las variedades esencialmente derivadas no protegidas a fin de aclarar que una variedad esencialmente derivada no debe ostentar la misma denominación que la variedad inicial </w:t>
            </w:r>
          </w:p>
        </w:tc>
        <w:tc>
          <w:tcPr>
            <w:tcW w:w="1523" w:type="dxa"/>
            <w:gridSpan w:val="2"/>
          </w:tcPr>
          <w:p w:rsidR="00301E91" w:rsidRPr="00DD4E4F" w:rsidRDefault="00301E91" w:rsidP="00B974ED">
            <w:pPr>
              <w:jc w:val="left"/>
              <w:rPr>
                <w:i/>
                <w:u w:val="single"/>
                <w:lang w:val="es-419"/>
              </w:rPr>
            </w:pPr>
            <w:r w:rsidRPr="00DD4E4F">
              <w:rPr>
                <w:i/>
                <w:highlight w:val="lightGray"/>
                <w:u w:val="single"/>
                <w:lang w:val="es-419"/>
              </w:rPr>
              <w:t>Aportación conjunta de los obtentores</w:t>
            </w:r>
          </w:p>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jc w:val="left"/>
              <w:rPr>
                <w:i/>
                <w:highlight w:val="lightGray"/>
                <w:u w:val="single"/>
                <w:lang w:val="es-419"/>
              </w:rPr>
            </w:pPr>
            <w:r w:rsidRPr="00DD4E4F">
              <w:rPr>
                <w:i/>
                <w:highlight w:val="lightGray"/>
                <w:u w:val="single"/>
                <w:lang w:val="es-419"/>
              </w:rPr>
              <w:t>Cuestión 45</w:t>
            </w:r>
          </w:p>
        </w:tc>
        <w:tc>
          <w:tcPr>
            <w:tcW w:w="7155" w:type="dxa"/>
          </w:tcPr>
          <w:p w:rsidR="00301E91" w:rsidRPr="00DD4E4F" w:rsidRDefault="00301E91" w:rsidP="00B974ED">
            <w:pPr>
              <w:jc w:val="left"/>
              <w:rPr>
                <w:i/>
                <w:highlight w:val="lightGray"/>
                <w:u w:val="single"/>
                <w:lang w:val="es-419"/>
              </w:rPr>
            </w:pPr>
            <w:r w:rsidRPr="00DD4E4F">
              <w:rPr>
                <w:i/>
                <w:highlight w:val="lightGray"/>
                <w:u w:val="single"/>
                <w:lang w:val="es-419"/>
              </w:rPr>
              <w:t>considerar si podría pedirse a la autoridad de protección de las obtenciones vegetales que confirme que una variedad esencialmente derivada es distinta de la variedad inicial</w:t>
            </w:r>
          </w:p>
        </w:tc>
        <w:tc>
          <w:tcPr>
            <w:tcW w:w="1523" w:type="dxa"/>
            <w:gridSpan w:val="2"/>
          </w:tcPr>
          <w:p w:rsidR="00301E91" w:rsidRPr="00DD4E4F" w:rsidRDefault="00301E91" w:rsidP="00B974ED">
            <w:pPr>
              <w:jc w:val="left"/>
              <w:rPr>
                <w:i/>
                <w:u w:val="single"/>
                <w:lang w:val="es-419"/>
              </w:rPr>
            </w:pPr>
            <w:r w:rsidRPr="00DD4E4F">
              <w:rPr>
                <w:i/>
                <w:highlight w:val="lightGray"/>
                <w:u w:val="single"/>
                <w:lang w:val="es-419"/>
              </w:rPr>
              <w:t>Aportación conjunta de los obtentores</w:t>
            </w:r>
          </w:p>
        </w:tc>
      </w:tr>
      <w:tr w:rsidR="00301E91" w:rsidRPr="00DD4E4F" w:rsidTr="00B974ED">
        <w:trPr>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lang w:val="es-419"/>
              </w:rPr>
            </w:pPr>
            <w:r w:rsidRPr="00DD4E4F">
              <w:rPr>
                <w:lang w:val="es-419"/>
              </w:rPr>
              <w:t xml:space="preserve">d) </w:t>
            </w:r>
            <w:r w:rsidRPr="00DD4E4F">
              <w:rPr>
                <w:lang w:val="es-419"/>
              </w:rPr>
              <w:tab/>
              <w:t>Territorialidad de la protección de las variedades iniciales y variedades esencialmente derivadas</w:t>
            </w:r>
          </w:p>
          <w:p w:rsidR="00301E91" w:rsidRPr="00DD4E4F" w:rsidRDefault="00301E91" w:rsidP="00B974ED">
            <w:pPr>
              <w:jc w:val="left"/>
              <w:rPr>
                <w:i/>
                <w:lang w:val="es-419"/>
              </w:rPr>
            </w:pPr>
          </w:p>
        </w:tc>
        <w:tc>
          <w:tcPr>
            <w:tcW w:w="1523" w:type="dxa"/>
            <w:gridSpan w:val="2"/>
          </w:tcPr>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46 [43]</w:t>
            </w:r>
          </w:p>
        </w:tc>
        <w:tc>
          <w:tcPr>
            <w:tcW w:w="7155" w:type="dxa"/>
          </w:tcPr>
          <w:p w:rsidR="00301E91" w:rsidRPr="00DD4E4F" w:rsidRDefault="00301E91" w:rsidP="00B974ED">
            <w:pPr>
              <w:jc w:val="left"/>
              <w:rPr>
                <w:i/>
                <w:lang w:val="es-419"/>
              </w:rPr>
            </w:pPr>
            <w:r w:rsidRPr="00DD4E4F">
              <w:rPr>
                <w:i/>
                <w:lang w:val="es-419"/>
              </w:rPr>
              <w:t>considerar la posibilidad de sustituir, en el párrafo 24, la expresión “en el territorio en cuestión” por “en el mismo territorio”, a fin de aclarar que el territorio en que se aplica el derecho de obtentor de la variedad inicial ha de ser el mismo para la variedad inicial y la variedad esencialmente derivada</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47 [44]</w:t>
            </w:r>
          </w:p>
        </w:tc>
        <w:tc>
          <w:tcPr>
            <w:tcW w:w="7155" w:type="dxa"/>
          </w:tcPr>
          <w:p w:rsidR="00301E91" w:rsidRPr="00DD4E4F" w:rsidRDefault="00301E91" w:rsidP="00B974ED">
            <w:pPr>
              <w:jc w:val="left"/>
              <w:rPr>
                <w:i/>
                <w:lang w:val="es-419"/>
              </w:rPr>
            </w:pPr>
            <w:r w:rsidRPr="00DD4E4F">
              <w:rPr>
                <w:i/>
                <w:lang w:val="es-419"/>
              </w:rPr>
              <w:t>considerar la posibilidad de añadir, al final del párrafo 24, la frase siguiente: “En caso de discrepancia entre el territorio en el que está protegida la variedad inicial y el territorio en el que está protegida la variedad derivada, el derecho de obtentor respecto de la variedad inicial se extiende al material de la variedad derivada que se importe en el territorio en el que está protegida la variedad inicial.”</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keepNext/>
              <w:jc w:val="left"/>
              <w:rPr>
                <w:i/>
                <w:lang w:val="es-419"/>
              </w:rPr>
            </w:pPr>
          </w:p>
        </w:tc>
        <w:tc>
          <w:tcPr>
            <w:tcW w:w="7155" w:type="dxa"/>
          </w:tcPr>
          <w:p w:rsidR="00301E91" w:rsidRPr="00DD4E4F" w:rsidRDefault="00301E91" w:rsidP="00B974ED">
            <w:pPr>
              <w:keepNext/>
              <w:jc w:val="left"/>
              <w:rPr>
                <w:lang w:val="es-419"/>
              </w:rPr>
            </w:pPr>
            <w:r w:rsidRPr="00DD4E4F">
              <w:rPr>
                <w:lang w:val="es-419"/>
              </w:rPr>
              <w:t>e)</w:t>
            </w:r>
            <w:r w:rsidRPr="00DD4E4F">
              <w:rPr>
                <w:lang w:val="es-419"/>
              </w:rPr>
              <w:tab/>
              <w:t>Transición de un Acta anterior al Acta de 1991 del Convenio de la UPOV</w:t>
            </w:r>
          </w:p>
          <w:p w:rsidR="00301E91" w:rsidRPr="00DD4E4F" w:rsidRDefault="00301E91" w:rsidP="00B974ED">
            <w:pPr>
              <w:keepNext/>
              <w:jc w:val="left"/>
              <w:rPr>
                <w:lang w:val="es-419"/>
              </w:rPr>
            </w:pPr>
          </w:p>
        </w:tc>
        <w:tc>
          <w:tcPr>
            <w:tcW w:w="1523" w:type="dxa"/>
            <w:gridSpan w:val="2"/>
          </w:tcPr>
          <w:p w:rsidR="00301E91" w:rsidRPr="00DD4E4F" w:rsidRDefault="00301E91" w:rsidP="00B974ED">
            <w:pPr>
              <w:keepNext/>
              <w:jc w:val="left"/>
              <w:rPr>
                <w:i/>
                <w:lang w:val="es-419"/>
              </w:rPr>
            </w:pP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48 [45]</w:t>
            </w:r>
          </w:p>
        </w:tc>
        <w:tc>
          <w:tcPr>
            <w:tcW w:w="7155" w:type="dxa"/>
          </w:tcPr>
          <w:p w:rsidR="00301E91" w:rsidRPr="00DD4E4F" w:rsidRDefault="00301E91" w:rsidP="00B974ED">
            <w:pPr>
              <w:jc w:val="left"/>
              <w:rPr>
                <w:i/>
                <w:lang w:val="es-419"/>
              </w:rPr>
            </w:pPr>
            <w:r w:rsidRPr="00DD4E4F">
              <w:rPr>
                <w:i/>
                <w:lang w:val="es-419"/>
              </w:rPr>
              <w:t xml:space="preserve">considerar si procede modificar el párrafo 25 como se indica a continuación: </w:t>
            </w:r>
          </w:p>
          <w:p w:rsidR="00301E91" w:rsidRPr="00DD4E4F" w:rsidRDefault="00301E91" w:rsidP="00B974ED">
            <w:pPr>
              <w:jc w:val="left"/>
              <w:rPr>
                <w:i/>
                <w:lang w:val="es-419"/>
              </w:rPr>
            </w:pPr>
          </w:p>
          <w:p w:rsidR="00301E91" w:rsidRPr="00DD4E4F" w:rsidRDefault="00301E91" w:rsidP="00B974ED">
            <w:pPr>
              <w:jc w:val="left"/>
              <w:rPr>
                <w:i/>
                <w:lang w:val="es-419"/>
              </w:rPr>
            </w:pPr>
            <w:r w:rsidRPr="00DD4E4F">
              <w:rPr>
                <w:i/>
                <w:lang w:val="es-419"/>
              </w:rPr>
              <w:t xml:space="preserve">“Los miembros de la Unión que enmiendan su legislación en consonancia con el Acta de 1991 del Convenio de la UPOV deberían extender las disposiciones del artículo 14.5) a las variedades notoriamente conocidas.” </w:t>
            </w:r>
          </w:p>
          <w:p w:rsidR="00301E91" w:rsidRPr="00DD4E4F" w:rsidRDefault="00301E91" w:rsidP="00B974ED">
            <w:pPr>
              <w:jc w:val="left"/>
              <w:rPr>
                <w:i/>
                <w:lang w:val="es-419"/>
              </w:rPr>
            </w:pPr>
          </w:p>
          <w:p w:rsidR="00301E91" w:rsidRPr="00DD4E4F" w:rsidRDefault="00301E91" w:rsidP="00B974ED">
            <w:pPr>
              <w:jc w:val="left"/>
              <w:rPr>
                <w:i/>
                <w:lang w:val="es-419"/>
              </w:rPr>
            </w:pPr>
            <w:r w:rsidRPr="00DD4E4F">
              <w:rPr>
                <w:i/>
                <w:lang w:val="es-419"/>
              </w:rPr>
              <w:t>a fin de que los miembros de la Unión vinculados por el Acta de 1991 apliquen las disposiciones del artículo 14.5) a todas las variedades protegidas, con independencia de la fecha de concesión del derecho.</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49 [46]</w:t>
            </w:r>
          </w:p>
        </w:tc>
        <w:tc>
          <w:tcPr>
            <w:tcW w:w="7155" w:type="dxa"/>
          </w:tcPr>
          <w:p w:rsidR="00301E91" w:rsidRPr="00DD4E4F" w:rsidRDefault="00301E91" w:rsidP="00B974ED">
            <w:pPr>
              <w:jc w:val="left"/>
              <w:rPr>
                <w:highlight w:val="yellow"/>
                <w:lang w:val="es-419"/>
              </w:rPr>
            </w:pPr>
            <w:r w:rsidRPr="00DD4E4F">
              <w:rPr>
                <w:i/>
                <w:lang w:val="es-419"/>
              </w:rPr>
              <w:t>considerar la posibilidad de suprimir el párrafo 26</w:t>
            </w:r>
            <w:r w:rsidRPr="00DD4E4F">
              <w:rPr>
                <w:lang w:val="es-419"/>
              </w:rPr>
              <w:t xml:space="preserve"> </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i/>
                <w:lang w:val="es-419"/>
              </w:rPr>
            </w:pPr>
          </w:p>
        </w:tc>
        <w:tc>
          <w:tcPr>
            <w:tcW w:w="1523" w:type="dxa"/>
            <w:gridSpan w:val="2"/>
          </w:tcPr>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jc w:val="left"/>
              <w:rPr>
                <w:i/>
                <w:lang w:val="es-419"/>
              </w:rPr>
            </w:pPr>
          </w:p>
        </w:tc>
        <w:tc>
          <w:tcPr>
            <w:tcW w:w="7155" w:type="dxa"/>
          </w:tcPr>
          <w:p w:rsidR="00301E91" w:rsidRPr="00DD4E4F" w:rsidRDefault="00301E91" w:rsidP="00B974ED">
            <w:pPr>
              <w:jc w:val="left"/>
              <w:rPr>
                <w:lang w:val="es-419"/>
              </w:rPr>
            </w:pPr>
            <w:r w:rsidRPr="00DD4E4F">
              <w:rPr>
                <w:lang w:val="es-419"/>
              </w:rPr>
              <w:t>SECCIÓN II: EXAMEN DE LAS VARIEDADES ESENCIALMENTE DERIVADAS</w:t>
            </w:r>
          </w:p>
          <w:p w:rsidR="00301E91" w:rsidRPr="00DD4E4F" w:rsidRDefault="00301E91" w:rsidP="00B974ED">
            <w:pPr>
              <w:jc w:val="left"/>
              <w:rPr>
                <w:highlight w:val="yellow"/>
                <w:lang w:val="es-419"/>
              </w:rPr>
            </w:pPr>
          </w:p>
        </w:tc>
        <w:tc>
          <w:tcPr>
            <w:tcW w:w="1523" w:type="dxa"/>
            <w:gridSpan w:val="2"/>
          </w:tcPr>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50 [47]</w:t>
            </w:r>
          </w:p>
        </w:tc>
        <w:tc>
          <w:tcPr>
            <w:tcW w:w="7155" w:type="dxa"/>
          </w:tcPr>
          <w:p w:rsidR="00301E91" w:rsidRPr="00DD4E4F" w:rsidRDefault="00301E91" w:rsidP="00B974ED">
            <w:pPr>
              <w:jc w:val="left"/>
              <w:rPr>
                <w:i/>
                <w:lang w:val="es-419"/>
              </w:rPr>
            </w:pPr>
            <w:r w:rsidRPr="00DD4E4F">
              <w:rPr>
                <w:i/>
                <w:lang w:val="es-419"/>
              </w:rPr>
              <w:t>considerar si la derivación principal a partir de una variedad inicial, confirmada por un alto grado de conformidad genotípica, puede ser un requisito fundamental para que una variedad se considere esencialmente derivada</w:t>
            </w:r>
          </w:p>
        </w:tc>
        <w:tc>
          <w:tcPr>
            <w:tcW w:w="1523" w:type="dxa"/>
            <w:gridSpan w:val="2"/>
          </w:tcPr>
          <w:p w:rsidR="00301E91" w:rsidRPr="00DD4E4F" w:rsidRDefault="00301E91" w:rsidP="00B974ED">
            <w:pPr>
              <w:jc w:val="left"/>
              <w:rPr>
                <w:i/>
                <w:lang w:val="es-419"/>
              </w:rPr>
            </w:pPr>
            <w:r w:rsidRPr="00DD4E4F">
              <w:rPr>
                <w:i/>
                <w:lang w:val="es-419"/>
              </w:rPr>
              <w:t>EU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lastRenderedPageBreak/>
              <w:t>Cuestión 51 [48]</w:t>
            </w:r>
          </w:p>
        </w:tc>
        <w:tc>
          <w:tcPr>
            <w:tcW w:w="7155" w:type="dxa"/>
          </w:tcPr>
          <w:p w:rsidR="00301E91" w:rsidRPr="00DD4E4F" w:rsidRDefault="00301E91" w:rsidP="00B974ED">
            <w:pPr>
              <w:jc w:val="left"/>
              <w:rPr>
                <w:rFonts w:cs="Arial"/>
                <w:i/>
                <w:lang w:val="es-419"/>
              </w:rPr>
            </w:pPr>
            <w:r w:rsidRPr="00DD4E4F">
              <w:rPr>
                <w:rFonts w:cs="Arial"/>
                <w:i/>
                <w:lang w:val="es-419"/>
              </w:rPr>
              <w:t>evaluar la utilidad del análisis de ADN para determinar, mediante umbrales genéticos, si se cumple el requisito de “derivación principal”</w:t>
            </w:r>
          </w:p>
        </w:tc>
        <w:tc>
          <w:tcPr>
            <w:tcW w:w="1523" w:type="dxa"/>
            <w:gridSpan w:val="2"/>
          </w:tcPr>
          <w:p w:rsidR="00301E91" w:rsidRPr="00DD4E4F" w:rsidRDefault="00301E91" w:rsidP="00B974ED">
            <w:pPr>
              <w:jc w:val="left"/>
              <w:rPr>
                <w:i/>
                <w:lang w:val="es-419"/>
              </w:rPr>
            </w:pPr>
            <w:r w:rsidRPr="00DD4E4F">
              <w:rPr>
                <w:i/>
                <w:lang w:val="es-419"/>
              </w:rPr>
              <w:t>EU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52 [49]</w:t>
            </w:r>
          </w:p>
        </w:tc>
        <w:tc>
          <w:tcPr>
            <w:tcW w:w="7155" w:type="dxa"/>
          </w:tcPr>
          <w:p w:rsidR="00301E91" w:rsidRPr="00DD4E4F" w:rsidRDefault="00301E91" w:rsidP="00B974ED">
            <w:pPr>
              <w:jc w:val="left"/>
              <w:rPr>
                <w:rFonts w:cs="Arial"/>
                <w:i/>
                <w:lang w:val="es-419"/>
              </w:rPr>
            </w:pPr>
            <w:r w:rsidRPr="00DD4E4F">
              <w:rPr>
                <w:rFonts w:cs="Arial"/>
                <w:i/>
                <w:lang w:val="es-419"/>
              </w:rPr>
              <w:t>considerar si, a efectos de la conformidad, debe tenerse en cuenta tanto el genotipo como el fenotipo; y estudiar si un juez puede disponer de acceso al historial de fitomejoramiento y a la información sobre semejanzas fenotípicas para decidir si una variedad es esencialmente derivada</w:t>
            </w:r>
          </w:p>
        </w:tc>
        <w:tc>
          <w:tcPr>
            <w:tcW w:w="1523" w:type="dxa"/>
            <w:gridSpan w:val="2"/>
          </w:tcPr>
          <w:p w:rsidR="00301E91" w:rsidRPr="00DD4E4F" w:rsidRDefault="00301E91" w:rsidP="00B974ED">
            <w:pPr>
              <w:jc w:val="left"/>
              <w:rPr>
                <w:i/>
                <w:lang w:val="es-419"/>
              </w:rPr>
            </w:pPr>
            <w:r w:rsidRPr="00DD4E4F">
              <w:rPr>
                <w:i/>
                <w:lang w:val="es-419"/>
              </w:rPr>
              <w:t>EU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53 [50]</w:t>
            </w:r>
          </w:p>
        </w:tc>
        <w:tc>
          <w:tcPr>
            <w:tcW w:w="7155" w:type="dxa"/>
          </w:tcPr>
          <w:p w:rsidR="00301E91" w:rsidRPr="00DD4E4F" w:rsidRDefault="00301E91" w:rsidP="00B974ED">
            <w:pPr>
              <w:jc w:val="left"/>
              <w:rPr>
                <w:rFonts w:cs="Arial"/>
                <w:i/>
                <w:lang w:val="es-419"/>
              </w:rPr>
            </w:pPr>
            <w:r w:rsidRPr="00DD4E4F">
              <w:rPr>
                <w:rFonts w:cs="Arial"/>
                <w:i/>
                <w:lang w:val="es-419"/>
              </w:rPr>
              <w:t>considerar la posibilidad de reintroducir en las orientaciones el concepto expuesto en el párrafo 15 del documento UPOV/</w:t>
            </w:r>
            <w:proofErr w:type="spellStart"/>
            <w:r w:rsidRPr="00DD4E4F">
              <w:rPr>
                <w:rFonts w:cs="Arial"/>
                <w:i/>
                <w:lang w:val="es-419"/>
              </w:rPr>
              <w:t>EXN</w:t>
            </w:r>
            <w:proofErr w:type="spellEnd"/>
            <w:r w:rsidRPr="00DD4E4F">
              <w:rPr>
                <w:rFonts w:cs="Arial"/>
                <w:i/>
                <w:lang w:val="es-419"/>
              </w:rPr>
              <w:t>/EDV/1, según el cual la decisión de si una variedad es esencialmente derivada:</w:t>
            </w:r>
          </w:p>
          <w:p w:rsidR="00301E91" w:rsidRPr="00DD4E4F" w:rsidRDefault="00301E91" w:rsidP="00B974ED">
            <w:pPr>
              <w:jc w:val="left"/>
              <w:rPr>
                <w:rFonts w:cs="Arial"/>
                <w:i/>
                <w:lang w:val="es-419"/>
              </w:rPr>
            </w:pPr>
          </w:p>
          <w:p w:rsidR="00301E91" w:rsidRPr="00DD4E4F" w:rsidRDefault="00301E91" w:rsidP="00B974ED">
            <w:pPr>
              <w:numPr>
                <w:ilvl w:val="0"/>
                <w:numId w:val="17"/>
              </w:numPr>
              <w:contextualSpacing/>
              <w:jc w:val="left"/>
              <w:rPr>
                <w:i/>
                <w:lang w:val="es-419"/>
              </w:rPr>
            </w:pPr>
            <w:r w:rsidRPr="00DD4E4F">
              <w:rPr>
                <w:rFonts w:cs="Arial"/>
                <w:i/>
                <w:lang w:val="es-419"/>
              </w:rPr>
              <w:t xml:space="preserve"> corre a cargo de la industria y, en última instancia, de un proceso de arbitraje o de los tribunales; </w:t>
            </w:r>
          </w:p>
          <w:p w:rsidR="00301E91" w:rsidRPr="00DD4E4F" w:rsidRDefault="00301E91" w:rsidP="00B974ED">
            <w:pPr>
              <w:ind w:left="720"/>
              <w:contextualSpacing/>
              <w:jc w:val="left"/>
              <w:rPr>
                <w:i/>
                <w:lang w:val="es-419"/>
              </w:rPr>
            </w:pPr>
          </w:p>
          <w:p w:rsidR="00301E91" w:rsidRPr="00DD4E4F" w:rsidRDefault="00301E91" w:rsidP="00B974ED">
            <w:pPr>
              <w:numPr>
                <w:ilvl w:val="0"/>
                <w:numId w:val="17"/>
              </w:numPr>
              <w:contextualSpacing/>
              <w:jc w:val="left"/>
              <w:rPr>
                <w:i/>
                <w:lang w:val="es-419"/>
              </w:rPr>
            </w:pPr>
            <w:r w:rsidRPr="00DD4E4F">
              <w:rPr>
                <w:rFonts w:cs="Arial"/>
                <w:i/>
                <w:lang w:val="es-419"/>
              </w:rPr>
              <w:t xml:space="preserve">la autoridad responsable de la concesión del derecho no debe encargarse de la resolución de controversias; </w:t>
            </w:r>
          </w:p>
          <w:p w:rsidR="00301E91" w:rsidRPr="00DD4E4F" w:rsidRDefault="00301E91" w:rsidP="00B974ED">
            <w:pPr>
              <w:jc w:val="left"/>
              <w:rPr>
                <w:i/>
                <w:lang w:val="es-419"/>
              </w:rPr>
            </w:pPr>
          </w:p>
          <w:p w:rsidR="00301E91" w:rsidRPr="00DD4E4F" w:rsidRDefault="00301E91" w:rsidP="00B974ED">
            <w:pPr>
              <w:numPr>
                <w:ilvl w:val="0"/>
                <w:numId w:val="17"/>
              </w:numPr>
              <w:contextualSpacing/>
              <w:jc w:val="left"/>
              <w:rPr>
                <w:i/>
                <w:lang w:val="es-419"/>
              </w:rPr>
            </w:pPr>
            <w:r w:rsidRPr="00DD4E4F">
              <w:rPr>
                <w:rFonts w:cs="Arial"/>
                <w:i/>
                <w:lang w:val="es-419"/>
              </w:rPr>
              <w:t>la defensa del derecho de obtentor incumbe a su titular;</w:t>
            </w:r>
          </w:p>
          <w:p w:rsidR="00301E91" w:rsidRPr="00DD4E4F" w:rsidRDefault="00301E91" w:rsidP="00B974ED">
            <w:pPr>
              <w:jc w:val="left"/>
              <w:rPr>
                <w:i/>
                <w:lang w:val="es-419"/>
              </w:rPr>
            </w:pPr>
          </w:p>
          <w:p w:rsidR="00301E91" w:rsidRPr="00DD4E4F" w:rsidRDefault="00301E91" w:rsidP="00B974ED">
            <w:pPr>
              <w:numPr>
                <w:ilvl w:val="0"/>
                <w:numId w:val="17"/>
              </w:numPr>
              <w:contextualSpacing/>
              <w:jc w:val="left"/>
              <w:rPr>
                <w:i/>
                <w:lang w:val="es-419"/>
              </w:rPr>
            </w:pPr>
            <w:r w:rsidRPr="00DD4E4F">
              <w:rPr>
                <w:rFonts w:cs="Arial"/>
                <w:i/>
                <w:lang w:val="es-419"/>
              </w:rPr>
              <w:t>los tribunales pueden solicitar la opinión de los expertos de las oficinas de examen de las variedades vegetales</w:t>
            </w:r>
          </w:p>
        </w:tc>
        <w:tc>
          <w:tcPr>
            <w:tcW w:w="1523" w:type="dxa"/>
            <w:gridSpan w:val="2"/>
          </w:tcPr>
          <w:p w:rsidR="00301E91" w:rsidRPr="00DD4E4F" w:rsidRDefault="00301E91" w:rsidP="00B974ED">
            <w:pPr>
              <w:jc w:val="left"/>
              <w:rPr>
                <w:i/>
                <w:lang w:val="es-419"/>
              </w:rPr>
            </w:pPr>
            <w:r w:rsidRPr="00DD4E4F">
              <w:rPr>
                <w:i/>
                <w:lang w:val="es-419"/>
              </w:rPr>
              <w:t>EU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54 [51]</w:t>
            </w:r>
          </w:p>
        </w:tc>
        <w:tc>
          <w:tcPr>
            <w:tcW w:w="7155" w:type="dxa"/>
          </w:tcPr>
          <w:p w:rsidR="00301E91" w:rsidRPr="00DD4E4F" w:rsidRDefault="00301E91" w:rsidP="00B974ED">
            <w:pPr>
              <w:jc w:val="left"/>
              <w:rPr>
                <w:rFonts w:cs="Arial"/>
                <w:i/>
                <w:lang w:val="es-419"/>
              </w:rPr>
            </w:pPr>
            <w:r w:rsidRPr="00DD4E4F">
              <w:rPr>
                <w:rFonts w:cs="Arial"/>
                <w:i/>
                <w:lang w:val="es-419"/>
              </w:rPr>
              <w:t>examinar las siguientes afirmaciones relativas a la función de los documentos de posición elaborados por la industria para algunas especies:</w:t>
            </w:r>
          </w:p>
          <w:p w:rsidR="00301E91" w:rsidRPr="00DD4E4F" w:rsidRDefault="00301E91" w:rsidP="00B974ED">
            <w:pPr>
              <w:jc w:val="left"/>
              <w:rPr>
                <w:rFonts w:cs="Arial"/>
                <w:i/>
                <w:lang w:val="es-419"/>
              </w:rPr>
            </w:pPr>
          </w:p>
          <w:p w:rsidR="00301E91" w:rsidRPr="00DD4E4F" w:rsidRDefault="00301E91" w:rsidP="00B974ED">
            <w:pPr>
              <w:numPr>
                <w:ilvl w:val="0"/>
                <w:numId w:val="18"/>
              </w:numPr>
              <w:contextualSpacing/>
              <w:jc w:val="left"/>
              <w:rPr>
                <w:rFonts w:cs="Arial"/>
                <w:i/>
                <w:lang w:val="es-419"/>
              </w:rPr>
            </w:pPr>
            <w:r w:rsidRPr="00DD4E4F">
              <w:rPr>
                <w:rFonts w:cs="Arial"/>
                <w:i/>
                <w:lang w:val="es-419"/>
              </w:rPr>
              <w:t xml:space="preserve">en dichos documentos se establecen umbrales de similitud genética que pueden servir para invertir la carga de la prueba a la hora de determinar si una variedad se deriva principalmente de la variedad inicial; </w:t>
            </w:r>
          </w:p>
          <w:p w:rsidR="00301E91" w:rsidRPr="00DD4E4F" w:rsidRDefault="00301E91" w:rsidP="00B974ED">
            <w:pPr>
              <w:jc w:val="left"/>
              <w:rPr>
                <w:rFonts w:cs="Arial"/>
                <w:i/>
                <w:lang w:val="es-419"/>
              </w:rPr>
            </w:pPr>
          </w:p>
          <w:p w:rsidR="00301E91" w:rsidRPr="00DD4E4F" w:rsidRDefault="00301E91" w:rsidP="00B974ED">
            <w:pPr>
              <w:numPr>
                <w:ilvl w:val="0"/>
                <w:numId w:val="18"/>
              </w:numPr>
              <w:contextualSpacing/>
              <w:jc w:val="left"/>
              <w:rPr>
                <w:rFonts w:cs="Arial"/>
                <w:i/>
                <w:lang w:val="es-419"/>
              </w:rPr>
            </w:pPr>
            <w:r w:rsidRPr="00DD4E4F">
              <w:rPr>
                <w:rFonts w:cs="Arial"/>
                <w:i/>
                <w:lang w:val="es-419"/>
              </w:rPr>
              <w:t xml:space="preserve">en dichos documentos no se establecen umbrales respecto del número de caracteres similares o diferentes necesarios para determinar si una variedad es esencialmente derivada; </w:t>
            </w:r>
          </w:p>
          <w:p w:rsidR="00301E91" w:rsidRPr="00DD4E4F" w:rsidRDefault="00301E91" w:rsidP="00B974ED">
            <w:pPr>
              <w:ind w:left="720"/>
              <w:contextualSpacing/>
              <w:jc w:val="left"/>
              <w:rPr>
                <w:rFonts w:cs="Arial"/>
                <w:i/>
                <w:lang w:val="es-419"/>
              </w:rPr>
            </w:pPr>
          </w:p>
          <w:p w:rsidR="00301E91" w:rsidRPr="00DD4E4F" w:rsidRDefault="00301E91" w:rsidP="00B974ED">
            <w:pPr>
              <w:numPr>
                <w:ilvl w:val="0"/>
                <w:numId w:val="18"/>
              </w:numPr>
              <w:contextualSpacing/>
              <w:jc w:val="left"/>
              <w:rPr>
                <w:rFonts w:cs="Arial"/>
                <w:i/>
                <w:lang w:val="es-419"/>
              </w:rPr>
            </w:pPr>
            <w:r w:rsidRPr="00DD4E4F">
              <w:rPr>
                <w:rFonts w:cs="Arial"/>
                <w:i/>
                <w:lang w:val="es-419"/>
              </w:rPr>
              <w:t>aunque dichos documentos no son vinculantes para los tribunales, estos pueden tener en cuenta las prácticas de aplicación cuando examinen un caso determinado</w:t>
            </w:r>
          </w:p>
        </w:tc>
        <w:tc>
          <w:tcPr>
            <w:tcW w:w="1523" w:type="dxa"/>
            <w:gridSpan w:val="2"/>
          </w:tcPr>
          <w:p w:rsidR="00301E91" w:rsidRPr="00DD4E4F" w:rsidRDefault="00301E91" w:rsidP="00B974ED">
            <w:pPr>
              <w:jc w:val="left"/>
              <w:rPr>
                <w:i/>
                <w:lang w:val="es-419"/>
              </w:rPr>
            </w:pPr>
            <w:r w:rsidRPr="00DD4E4F">
              <w:rPr>
                <w:i/>
                <w:lang w:val="es-419"/>
              </w:rPr>
              <w:t>EU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55 [52]</w:t>
            </w:r>
          </w:p>
        </w:tc>
        <w:tc>
          <w:tcPr>
            <w:tcW w:w="7155" w:type="dxa"/>
          </w:tcPr>
          <w:p w:rsidR="00301E91" w:rsidRPr="00DD4E4F" w:rsidRDefault="00301E91" w:rsidP="00B974ED">
            <w:pPr>
              <w:jc w:val="left"/>
              <w:rPr>
                <w:rFonts w:cs="Arial"/>
                <w:i/>
                <w:lang w:val="es-419"/>
              </w:rPr>
            </w:pPr>
            <w:r w:rsidRPr="00DD4E4F">
              <w:rPr>
                <w:rFonts w:cs="Arial"/>
                <w:i/>
                <w:lang w:val="es-419"/>
              </w:rPr>
              <w:t>considerar si se requieren explicaciones y criterios más claros para determinar si una variedad puede ser esencialmente derivada, a fin de evitar causas judiciales innecesarias</w:t>
            </w:r>
          </w:p>
        </w:tc>
        <w:tc>
          <w:tcPr>
            <w:tcW w:w="1523" w:type="dxa"/>
            <w:gridSpan w:val="2"/>
          </w:tcPr>
          <w:p w:rsidR="00301E91" w:rsidRPr="00DD4E4F" w:rsidRDefault="00301E91" w:rsidP="00B974ED">
            <w:pPr>
              <w:jc w:val="left"/>
              <w:rPr>
                <w:i/>
                <w:lang w:val="es-419"/>
              </w:rPr>
            </w:pPr>
            <w:r w:rsidRPr="00DD4E4F">
              <w:rPr>
                <w:i/>
                <w:lang w:val="es-419"/>
              </w:rPr>
              <w:t>JP</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56 [53]</w:t>
            </w:r>
          </w:p>
        </w:tc>
        <w:tc>
          <w:tcPr>
            <w:tcW w:w="7155" w:type="dxa"/>
          </w:tcPr>
          <w:p w:rsidR="00301E91" w:rsidRPr="00DD4E4F" w:rsidRDefault="00301E91" w:rsidP="00B974ED">
            <w:pPr>
              <w:jc w:val="left"/>
              <w:rPr>
                <w:rFonts w:cs="Arial"/>
                <w:i/>
                <w:lang w:val="es-419"/>
              </w:rPr>
            </w:pPr>
            <w:r w:rsidRPr="00DD4E4F">
              <w:rPr>
                <w:rFonts w:cs="Arial"/>
                <w:i/>
                <w:lang w:val="es-419"/>
              </w:rPr>
              <w:t>considerar si:</w:t>
            </w:r>
          </w:p>
          <w:p w:rsidR="00301E91" w:rsidRPr="00DD4E4F" w:rsidRDefault="00301E91" w:rsidP="00B974ED">
            <w:pPr>
              <w:jc w:val="left"/>
              <w:rPr>
                <w:rFonts w:cs="Arial"/>
                <w:i/>
                <w:lang w:val="es-419"/>
              </w:rPr>
            </w:pPr>
          </w:p>
          <w:p w:rsidR="00301E91" w:rsidRPr="00DD4E4F" w:rsidRDefault="00301E91" w:rsidP="00B974ED">
            <w:pPr>
              <w:numPr>
                <w:ilvl w:val="0"/>
                <w:numId w:val="19"/>
              </w:numPr>
              <w:contextualSpacing/>
              <w:jc w:val="left"/>
              <w:rPr>
                <w:rFonts w:cs="Arial"/>
                <w:i/>
                <w:lang w:val="es-419"/>
              </w:rPr>
            </w:pPr>
            <w:r w:rsidRPr="00DD4E4F">
              <w:rPr>
                <w:rFonts w:cs="Arial"/>
                <w:i/>
                <w:lang w:val="es-419"/>
              </w:rPr>
              <w:t>en alguna causa judicial, únicamente en el caso de que las partes no alcancen un acuerdo, deben solicitarse otras opiniones especializadas respecto del origen de una nueva variedad esencialmente derivada;</w:t>
            </w:r>
          </w:p>
          <w:p w:rsidR="00301E91" w:rsidRPr="00DD4E4F" w:rsidRDefault="00301E91" w:rsidP="00B974ED">
            <w:pPr>
              <w:ind w:left="720"/>
              <w:contextualSpacing/>
              <w:jc w:val="left"/>
              <w:rPr>
                <w:rFonts w:cs="Arial"/>
                <w:i/>
                <w:lang w:val="es-419"/>
              </w:rPr>
            </w:pPr>
          </w:p>
          <w:p w:rsidR="00301E91" w:rsidRPr="00DD4E4F" w:rsidRDefault="00301E91" w:rsidP="00B974ED">
            <w:pPr>
              <w:numPr>
                <w:ilvl w:val="0"/>
                <w:numId w:val="19"/>
              </w:numPr>
              <w:contextualSpacing/>
              <w:jc w:val="left"/>
              <w:rPr>
                <w:rFonts w:cs="Arial"/>
                <w:i/>
                <w:lang w:val="es-419"/>
              </w:rPr>
            </w:pPr>
            <w:r w:rsidRPr="00DD4E4F">
              <w:rPr>
                <w:rFonts w:cs="Arial"/>
                <w:i/>
                <w:lang w:val="es-419"/>
              </w:rPr>
              <w:t>en esas causas judiciales, los métodos de examen deben depender del método empleado para determinar el origen y de las condiciones de comercialización;</w:t>
            </w:r>
          </w:p>
          <w:p w:rsidR="00301E91" w:rsidRPr="00DD4E4F" w:rsidRDefault="00301E91" w:rsidP="00B974ED">
            <w:pPr>
              <w:jc w:val="left"/>
              <w:rPr>
                <w:rFonts w:cs="Arial"/>
                <w:i/>
                <w:lang w:val="es-419"/>
              </w:rPr>
            </w:pPr>
          </w:p>
          <w:p w:rsidR="00301E91" w:rsidRPr="00DD4E4F" w:rsidRDefault="00301E91" w:rsidP="00B974ED">
            <w:pPr>
              <w:numPr>
                <w:ilvl w:val="0"/>
                <w:numId w:val="19"/>
              </w:numPr>
              <w:contextualSpacing/>
              <w:jc w:val="left"/>
              <w:rPr>
                <w:rFonts w:cs="Arial"/>
                <w:i/>
                <w:lang w:val="es-419"/>
              </w:rPr>
            </w:pPr>
            <w:r w:rsidRPr="00DD4E4F">
              <w:rPr>
                <w:rFonts w:cs="Arial"/>
                <w:i/>
                <w:lang w:val="es-419"/>
              </w:rPr>
              <w:t>la solución de esas controversias entre las partes debe considerarse conforme a la ley vigente</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57 [54]</w:t>
            </w:r>
          </w:p>
        </w:tc>
        <w:tc>
          <w:tcPr>
            <w:tcW w:w="7155" w:type="dxa"/>
          </w:tcPr>
          <w:p w:rsidR="00301E91" w:rsidRPr="00DD4E4F" w:rsidRDefault="00301E91" w:rsidP="00B974ED">
            <w:pPr>
              <w:jc w:val="left"/>
              <w:rPr>
                <w:rFonts w:eastAsia="Calibri" w:cs="Arial"/>
                <w:i/>
                <w:lang w:val="es-419"/>
              </w:rPr>
            </w:pPr>
            <w:r w:rsidRPr="00DD4E4F">
              <w:rPr>
                <w:rFonts w:eastAsia="Calibri" w:cs="Arial"/>
                <w:i/>
                <w:lang w:val="es-419"/>
              </w:rPr>
              <w:t xml:space="preserve">tener presente que en las orientaciones no se establece un mecanismo para determinar si una variedad es o no esencialmente derivada; y, consiguientemente, ser conscientes de que resulta problemático elaborar el concepto de variedad esencialmente derivada, vincular su determinación a un número indefinido de diferencias respecto de caracteres “esenciales” no precisados y dejar esa determinación en manos de obtentores con intereses contrapuestos </w:t>
            </w:r>
          </w:p>
        </w:tc>
        <w:tc>
          <w:tcPr>
            <w:tcW w:w="1523" w:type="dxa"/>
            <w:gridSpan w:val="2"/>
          </w:tcPr>
          <w:p w:rsidR="00301E91" w:rsidRPr="00DD4E4F" w:rsidRDefault="00301E91" w:rsidP="00B974ED">
            <w:pPr>
              <w:jc w:val="left"/>
              <w:rPr>
                <w:i/>
                <w:lang w:val="es-419"/>
              </w:rPr>
            </w:pPr>
            <w:proofErr w:type="spellStart"/>
            <w:r w:rsidRPr="00DD4E4F">
              <w:rPr>
                <w:i/>
                <w:lang w:val="es-419"/>
              </w:rPr>
              <w:t>ZA</w:t>
            </w:r>
            <w:proofErr w:type="spellEnd"/>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lastRenderedPageBreak/>
              <w:t>Cuestión 58 [55]</w:t>
            </w:r>
          </w:p>
        </w:tc>
        <w:tc>
          <w:tcPr>
            <w:tcW w:w="7155" w:type="dxa"/>
          </w:tcPr>
          <w:p w:rsidR="00301E91" w:rsidRPr="00DD4E4F" w:rsidRDefault="00301E91" w:rsidP="00B974ED">
            <w:pPr>
              <w:jc w:val="left"/>
              <w:rPr>
                <w:rFonts w:eastAsia="Calibri" w:cs="Arial"/>
                <w:i/>
                <w:lang w:val="es-419"/>
              </w:rPr>
            </w:pPr>
            <w:r w:rsidRPr="00DD4E4F">
              <w:rPr>
                <w:rFonts w:eastAsia="Calibri" w:cs="Arial"/>
                <w:i/>
                <w:lang w:val="es-419"/>
              </w:rPr>
              <w:t xml:space="preserve">estudiar el modo de abordar la carga para el obtentor de la variedad inicial protegida, en particular, la responsabilidad y los gastos judiciales necesarios para “forzar” el reconocimiento como esencialmente derivada de una variedad derivada principalmente de la variedad inicial protegida, a menudo en circunstancias en que la variedad derivada compite en el mercado con la variedad inicial y causa daños irreparables al obtentor de esta </w:t>
            </w:r>
          </w:p>
        </w:tc>
        <w:tc>
          <w:tcPr>
            <w:tcW w:w="1523" w:type="dxa"/>
            <w:gridSpan w:val="2"/>
          </w:tcPr>
          <w:p w:rsidR="00301E91" w:rsidRPr="00DD4E4F" w:rsidRDefault="00301E91" w:rsidP="00B974ED">
            <w:pPr>
              <w:jc w:val="left"/>
              <w:rPr>
                <w:i/>
                <w:lang w:val="es-419"/>
              </w:rPr>
            </w:pPr>
            <w:proofErr w:type="spellStart"/>
            <w:r w:rsidRPr="00DD4E4F">
              <w:rPr>
                <w:i/>
                <w:lang w:val="es-419"/>
              </w:rPr>
              <w:t>ZA</w:t>
            </w:r>
            <w:proofErr w:type="spellEnd"/>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59 [56]</w:t>
            </w:r>
          </w:p>
        </w:tc>
        <w:tc>
          <w:tcPr>
            <w:tcW w:w="7155" w:type="dxa"/>
          </w:tcPr>
          <w:p w:rsidR="00301E91" w:rsidRPr="00DD4E4F" w:rsidRDefault="00301E91" w:rsidP="00B974ED">
            <w:pPr>
              <w:jc w:val="left"/>
              <w:rPr>
                <w:rFonts w:eastAsia="Calibri" w:cs="Arial"/>
                <w:i/>
                <w:lang w:val="es-419"/>
              </w:rPr>
            </w:pPr>
            <w:r w:rsidRPr="00DD4E4F">
              <w:rPr>
                <w:rFonts w:eastAsia="Calibri" w:cs="Arial"/>
                <w:i/>
                <w:lang w:val="es-419"/>
              </w:rPr>
              <w:t>considerar la posibilidad de sustituir la sección II por la siguiente nueva sección II:</w:t>
            </w:r>
          </w:p>
          <w:p w:rsidR="00301E91" w:rsidRPr="00DD4E4F" w:rsidRDefault="00301E91" w:rsidP="00B974ED">
            <w:pPr>
              <w:jc w:val="left"/>
              <w:rPr>
                <w:rFonts w:eastAsia="Calibri" w:cs="Arial"/>
                <w:i/>
                <w:lang w:val="es-419"/>
              </w:rPr>
            </w:pPr>
          </w:p>
          <w:p w:rsidR="00301E91" w:rsidRPr="00DD4E4F" w:rsidRDefault="00301E91" w:rsidP="00B974ED">
            <w:pPr>
              <w:jc w:val="left"/>
              <w:rPr>
                <w:rFonts w:eastAsia="Calibri" w:cs="Arial"/>
                <w:i/>
                <w:lang w:val="es-419"/>
              </w:rPr>
            </w:pPr>
            <w:r w:rsidRPr="00DD4E4F">
              <w:rPr>
                <w:rFonts w:eastAsia="Calibri" w:cs="Arial"/>
                <w:i/>
                <w:lang w:val="es-419"/>
              </w:rPr>
              <w:t>“Sección II: Registro de la extensión de los derechos de la variedad inicial protegida a las variedades esencialmente derivadas</w:t>
            </w:r>
          </w:p>
          <w:p w:rsidR="00301E91" w:rsidRPr="00DD4E4F" w:rsidRDefault="00301E91" w:rsidP="00B974ED">
            <w:pPr>
              <w:jc w:val="left"/>
              <w:rPr>
                <w:rFonts w:eastAsia="Calibri" w:cs="Arial"/>
                <w:i/>
                <w:lang w:val="es-419"/>
              </w:rPr>
            </w:pPr>
          </w:p>
          <w:p w:rsidR="00301E91" w:rsidRPr="00DD4E4F" w:rsidRDefault="00301E91" w:rsidP="00B974ED">
            <w:pPr>
              <w:jc w:val="left"/>
              <w:rPr>
                <w:rFonts w:eastAsia="Calibri" w:cs="Arial"/>
                <w:i/>
                <w:lang w:val="es-419"/>
              </w:rPr>
            </w:pPr>
            <w:r w:rsidRPr="00DD4E4F">
              <w:rPr>
                <w:rFonts w:eastAsia="Calibri" w:cs="Arial"/>
                <w:i/>
                <w:lang w:val="es-419"/>
              </w:rPr>
              <w:t>El solicitante (obtentor) deberá facilitar el historial de fitomejoramiento (creación) de la variedad en el documento de solicitud (el formulario de solicitud) de concesión del derecho de obtentor o en el documento de solicitud (el formulario de solicitud) de inclusión de la variedad en la lista nacional. En la fase de examen preliminar de la solicitud, la autoridad competente del miembro de la Unión comprobará la integridad de la información relativa a la obtención y, si fuese necesario, solicitará información adicional.</w:t>
            </w:r>
          </w:p>
          <w:p w:rsidR="00301E91" w:rsidRPr="00DD4E4F" w:rsidRDefault="00301E91" w:rsidP="00B974ED">
            <w:pPr>
              <w:jc w:val="left"/>
              <w:rPr>
                <w:rFonts w:eastAsia="Calibri" w:cs="Arial"/>
                <w:i/>
                <w:lang w:val="es-419"/>
              </w:rPr>
            </w:pPr>
          </w:p>
          <w:p w:rsidR="00301E91" w:rsidRPr="00DD4E4F" w:rsidRDefault="00301E91" w:rsidP="00B974ED">
            <w:pPr>
              <w:jc w:val="left"/>
              <w:rPr>
                <w:rFonts w:eastAsia="Calibri" w:cs="Arial"/>
                <w:i/>
                <w:lang w:val="es-419"/>
              </w:rPr>
            </w:pPr>
            <w:r w:rsidRPr="00DD4E4F">
              <w:rPr>
                <w:rFonts w:eastAsia="Calibri" w:cs="Arial"/>
                <w:i/>
                <w:lang w:val="es-419"/>
              </w:rPr>
              <w:t>A partir de la información sobre el origen de la variedad y el examen </w:t>
            </w:r>
            <w:proofErr w:type="spellStart"/>
            <w:r w:rsidRPr="00DD4E4F">
              <w:rPr>
                <w:rFonts w:eastAsia="Calibri" w:cs="Arial"/>
                <w:i/>
                <w:lang w:val="es-419"/>
              </w:rPr>
              <w:t>DHE</w:t>
            </w:r>
            <w:proofErr w:type="spellEnd"/>
            <w:r w:rsidRPr="00DD4E4F">
              <w:rPr>
                <w:rFonts w:eastAsia="Calibri" w:cs="Arial"/>
                <w:i/>
                <w:lang w:val="es-419"/>
              </w:rPr>
              <w:t>, la autoridad preparará una solicitud a efectos de la asignación de la variedad a la categoría de “variedades esencialmente derivadas” y de la denominación de la variedad [</w:t>
            </w:r>
            <w:r w:rsidRPr="00DD4E4F">
              <w:rPr>
                <w:rFonts w:eastAsia="Calibri" w:cs="Arial"/>
                <w:i/>
                <w:strike/>
                <w:lang w:val="es-419"/>
              </w:rPr>
              <w:t>inicial</w:t>
            </w:r>
            <w:r w:rsidRPr="00DD4E4F">
              <w:rPr>
                <w:rFonts w:eastAsia="Calibri" w:cs="Arial"/>
                <w:i/>
                <w:lang w:val="es-419"/>
              </w:rPr>
              <w:t>], y la publicará en el boletín oficial.</w:t>
            </w:r>
          </w:p>
          <w:p w:rsidR="00301E91" w:rsidRPr="00DD4E4F" w:rsidRDefault="00301E91" w:rsidP="00B974ED">
            <w:pPr>
              <w:jc w:val="left"/>
              <w:rPr>
                <w:rFonts w:eastAsia="Calibri" w:cs="Arial"/>
                <w:i/>
                <w:lang w:val="es-419"/>
              </w:rPr>
            </w:pPr>
          </w:p>
          <w:p w:rsidR="00301E91" w:rsidRPr="00DD4E4F" w:rsidRDefault="00301E91" w:rsidP="00B974ED">
            <w:pPr>
              <w:jc w:val="left"/>
              <w:rPr>
                <w:rFonts w:eastAsia="Calibri" w:cs="Arial"/>
                <w:i/>
                <w:lang w:val="es-419"/>
              </w:rPr>
            </w:pPr>
            <w:r w:rsidRPr="00DD4E4F">
              <w:rPr>
                <w:rFonts w:eastAsia="Calibri" w:cs="Arial"/>
                <w:i/>
                <w:lang w:val="es-419"/>
              </w:rPr>
              <w:t>Las observaciones relativas a la solicitud que se presenten en los seis meses posteriores a la publicación de esta deberán ser aprobadas por las partes interesadas.</w:t>
            </w:r>
          </w:p>
          <w:p w:rsidR="00301E91" w:rsidRPr="00DD4E4F" w:rsidRDefault="00301E91" w:rsidP="00B974ED">
            <w:pPr>
              <w:jc w:val="left"/>
              <w:rPr>
                <w:rFonts w:eastAsia="Calibri" w:cs="Arial"/>
                <w:i/>
                <w:lang w:val="es-419"/>
              </w:rPr>
            </w:pPr>
          </w:p>
          <w:p w:rsidR="00301E91" w:rsidRPr="00DD4E4F" w:rsidRDefault="00301E91" w:rsidP="00B974ED">
            <w:pPr>
              <w:jc w:val="left"/>
              <w:rPr>
                <w:rFonts w:eastAsia="Calibri" w:cs="Arial"/>
                <w:i/>
                <w:lang w:val="es-419"/>
              </w:rPr>
            </w:pPr>
            <w:r w:rsidRPr="00DD4E4F">
              <w:rPr>
                <w:rFonts w:eastAsia="Calibri" w:cs="Arial"/>
                <w:i/>
                <w:lang w:val="es-419"/>
              </w:rPr>
              <w:t>La decisión de la autoridad competente respecto de la asignación de la variedad a la categoría de variedades esencialmente derivadas y la denominación de la variedad inicial puede recurrirse de conformidad con la legislación nacional.</w:t>
            </w:r>
          </w:p>
          <w:p w:rsidR="00301E91" w:rsidRPr="00DD4E4F" w:rsidRDefault="00301E91" w:rsidP="00B974ED">
            <w:pPr>
              <w:jc w:val="left"/>
              <w:rPr>
                <w:rFonts w:eastAsia="Calibri" w:cs="Arial"/>
                <w:i/>
                <w:lang w:val="es-419"/>
              </w:rPr>
            </w:pPr>
            <w:r w:rsidRPr="00DD4E4F">
              <w:rPr>
                <w:rFonts w:eastAsia="Calibri" w:cs="Arial"/>
                <w:i/>
                <w:lang w:val="es-419"/>
              </w:rPr>
              <w:t xml:space="preserve"> </w:t>
            </w:r>
          </w:p>
          <w:p w:rsidR="00301E91" w:rsidRPr="00DD4E4F" w:rsidRDefault="00301E91" w:rsidP="00B974ED">
            <w:pPr>
              <w:jc w:val="left"/>
              <w:rPr>
                <w:rFonts w:eastAsia="Calibri" w:cs="Arial"/>
                <w:i/>
                <w:lang w:val="es-419"/>
              </w:rPr>
            </w:pPr>
            <w:r w:rsidRPr="00DD4E4F">
              <w:rPr>
                <w:rFonts w:eastAsia="Calibri" w:cs="Arial"/>
                <w:i/>
                <w:lang w:val="es-419"/>
              </w:rPr>
              <w:t>En cuanto a la protección de la variedad inicial en el territorio del miembro de la Unión, la autoridad competente solicitará que, cuando se registre el derecho de obtentor respecto de la variedad esencialmente derivada, se aporte un acuerdo de licencia con el obtentor de la variedad inicial sobre las condiciones de comercialización del material de reproducción o multiplicación de la variedad esencialmente derivada.</w:t>
            </w:r>
          </w:p>
          <w:p w:rsidR="00301E91" w:rsidRPr="00DD4E4F" w:rsidRDefault="00301E91" w:rsidP="00B974ED">
            <w:pPr>
              <w:jc w:val="left"/>
              <w:rPr>
                <w:rFonts w:eastAsia="Calibri" w:cs="Arial"/>
                <w:i/>
                <w:lang w:val="es-419"/>
              </w:rPr>
            </w:pPr>
          </w:p>
          <w:p w:rsidR="00301E91" w:rsidRPr="00DD4E4F" w:rsidRDefault="00301E91" w:rsidP="00B974ED">
            <w:pPr>
              <w:jc w:val="left"/>
              <w:rPr>
                <w:rFonts w:eastAsia="Calibri" w:cs="Arial"/>
                <w:i/>
                <w:lang w:val="es-419"/>
              </w:rPr>
            </w:pPr>
            <w:r w:rsidRPr="00DD4E4F">
              <w:rPr>
                <w:rFonts w:eastAsia="Calibri" w:cs="Arial"/>
                <w:i/>
                <w:lang w:val="es-419"/>
              </w:rPr>
              <w:t>La autoridad competente indicará la relación existente entre las variedades esencialmente derivadas (protegidas o no por el derecho privado) y la variedad inicial protegida cuando publique información sobre las variedades utilizadas en su territorio (también en el sitio web de la UPOV).”</w:t>
            </w:r>
          </w:p>
        </w:tc>
        <w:tc>
          <w:tcPr>
            <w:tcW w:w="1523" w:type="dxa"/>
            <w:gridSpan w:val="2"/>
          </w:tcPr>
          <w:p w:rsidR="00301E91" w:rsidRPr="00DD4E4F" w:rsidRDefault="00301E91" w:rsidP="00B974ED">
            <w:pPr>
              <w:jc w:val="left"/>
              <w:rPr>
                <w:i/>
                <w:lang w:val="es-419"/>
              </w:rPr>
            </w:pPr>
            <w:r w:rsidRPr="00DD4E4F">
              <w:rPr>
                <w:i/>
                <w:lang w:val="es-419"/>
              </w:rPr>
              <w:t>RU</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60 [57]</w:t>
            </w:r>
          </w:p>
        </w:tc>
        <w:tc>
          <w:tcPr>
            <w:tcW w:w="7155" w:type="dxa"/>
          </w:tcPr>
          <w:p w:rsidR="00301E91" w:rsidRPr="00DD4E4F" w:rsidRDefault="00301E91" w:rsidP="00B974ED">
            <w:pPr>
              <w:jc w:val="left"/>
              <w:rPr>
                <w:i/>
                <w:lang w:val="es-419"/>
              </w:rPr>
            </w:pPr>
            <w:r w:rsidRPr="00DD4E4F">
              <w:rPr>
                <w:i/>
                <w:lang w:val="es-419"/>
              </w:rPr>
              <w:t>considerar si deben fomentarse y ampliarse las “iniciativas del sector privado para la apreciación de la labor de los obtentores” (véase la cuestión 51)</w:t>
            </w:r>
          </w:p>
        </w:tc>
        <w:tc>
          <w:tcPr>
            <w:tcW w:w="1523" w:type="dxa"/>
            <w:gridSpan w:val="2"/>
          </w:tcPr>
          <w:p w:rsidR="00301E91" w:rsidRPr="00DD4E4F" w:rsidRDefault="00301E91" w:rsidP="00B974ED">
            <w:pPr>
              <w:jc w:val="left"/>
              <w:rPr>
                <w:i/>
                <w:lang w:val="es-419"/>
              </w:rPr>
            </w:pPr>
            <w:r w:rsidRPr="00DD4E4F">
              <w:rPr>
                <w:i/>
                <w:lang w:val="es-419"/>
              </w:rPr>
              <w:t>Aportación conjunta de los obtentores</w:t>
            </w:r>
          </w:p>
        </w:tc>
      </w:tr>
      <w:tr w:rsidR="00301E91" w:rsidRPr="00DD4E4F" w:rsidTr="00B974ED">
        <w:trPr>
          <w:cantSplit/>
        </w:trPr>
        <w:tc>
          <w:tcPr>
            <w:tcW w:w="1305" w:type="dxa"/>
          </w:tcPr>
          <w:p w:rsidR="00301E91" w:rsidRPr="00DD4E4F" w:rsidRDefault="00301E91" w:rsidP="00B974ED">
            <w:pPr>
              <w:jc w:val="left"/>
              <w:rPr>
                <w:i/>
                <w:lang w:val="es-419"/>
              </w:rPr>
            </w:pPr>
            <w:r w:rsidRPr="00DD4E4F">
              <w:rPr>
                <w:i/>
                <w:lang w:val="es-419"/>
              </w:rPr>
              <w:t>Cuestión 61 [58]</w:t>
            </w:r>
          </w:p>
        </w:tc>
        <w:tc>
          <w:tcPr>
            <w:tcW w:w="7155" w:type="dxa"/>
          </w:tcPr>
          <w:p w:rsidR="00301E91" w:rsidRPr="00DD4E4F" w:rsidRDefault="00301E91" w:rsidP="00B974ED">
            <w:pPr>
              <w:jc w:val="left"/>
              <w:rPr>
                <w:i/>
                <w:lang w:val="es-419"/>
              </w:rPr>
            </w:pPr>
            <w:r w:rsidRPr="00DD4E4F">
              <w:rPr>
                <w:i/>
                <w:lang w:val="es-419"/>
              </w:rPr>
              <w:t>evaluar “el interés de los mecanismos alternativos de solución de controversias aportados por las asociaciones comerciales”</w:t>
            </w:r>
          </w:p>
        </w:tc>
        <w:tc>
          <w:tcPr>
            <w:tcW w:w="1523" w:type="dxa"/>
            <w:gridSpan w:val="2"/>
          </w:tcPr>
          <w:p w:rsidR="00301E91" w:rsidRPr="00DD4E4F" w:rsidRDefault="00301E91" w:rsidP="00B974ED">
            <w:pPr>
              <w:jc w:val="left"/>
              <w:rPr>
                <w:i/>
                <w:lang w:val="es-419"/>
              </w:rPr>
            </w:pPr>
            <w:r w:rsidRPr="00DD4E4F">
              <w:rPr>
                <w:i/>
                <w:lang w:val="es-419"/>
              </w:rPr>
              <w:t>Aportación conjunta de los obtentores</w:t>
            </w:r>
          </w:p>
        </w:tc>
      </w:tr>
      <w:tr w:rsidR="00301E91" w:rsidRPr="00DD4E4F" w:rsidTr="00B974ED">
        <w:trPr>
          <w:cantSplit/>
        </w:trPr>
        <w:tc>
          <w:tcPr>
            <w:tcW w:w="1305" w:type="dxa"/>
          </w:tcPr>
          <w:p w:rsidR="00301E91" w:rsidRPr="00DD4E4F" w:rsidRDefault="00301E91" w:rsidP="00B974ED">
            <w:pPr>
              <w:jc w:val="left"/>
              <w:rPr>
                <w:i/>
                <w:highlight w:val="lightGray"/>
                <w:u w:val="single"/>
                <w:lang w:val="es-419"/>
              </w:rPr>
            </w:pPr>
            <w:r w:rsidRPr="00DD4E4F">
              <w:rPr>
                <w:i/>
                <w:highlight w:val="lightGray"/>
                <w:u w:val="single"/>
                <w:lang w:val="es-419"/>
              </w:rPr>
              <w:t>Cuestión 62</w:t>
            </w:r>
          </w:p>
        </w:tc>
        <w:tc>
          <w:tcPr>
            <w:tcW w:w="7155" w:type="dxa"/>
          </w:tcPr>
          <w:p w:rsidR="00301E91" w:rsidRPr="00DD4E4F" w:rsidRDefault="00301E91" w:rsidP="0068686E">
            <w:pPr>
              <w:jc w:val="left"/>
              <w:rPr>
                <w:i/>
                <w:highlight w:val="lightGray"/>
                <w:u w:val="single"/>
                <w:lang w:val="es-419"/>
              </w:rPr>
            </w:pPr>
            <w:r w:rsidRPr="00DD4E4F">
              <w:rPr>
                <w:i/>
                <w:highlight w:val="lightGray"/>
                <w:u w:val="single"/>
                <w:lang w:val="es-419"/>
              </w:rPr>
              <w:t>considerar que la estandarización de umbrales genéticos para las variedades esencialmente derivadas puede resultar útil a la comunidad internacional, si bien, en definitiva, los miembros de la UPOV deberán valorar los indicios genéticos de derivación esencial con arreglo a sus propios regímenes probatorios</w:t>
            </w:r>
          </w:p>
        </w:tc>
        <w:tc>
          <w:tcPr>
            <w:tcW w:w="1523" w:type="dxa"/>
            <w:gridSpan w:val="2"/>
          </w:tcPr>
          <w:p w:rsidR="00301E91" w:rsidRPr="00DD4E4F" w:rsidRDefault="00301E91" w:rsidP="00B974ED">
            <w:pPr>
              <w:jc w:val="left"/>
              <w:rPr>
                <w:i/>
                <w:u w:val="single"/>
                <w:lang w:val="es-419"/>
              </w:rPr>
            </w:pPr>
            <w:proofErr w:type="spellStart"/>
            <w:r w:rsidRPr="00DD4E4F">
              <w:rPr>
                <w:i/>
                <w:highlight w:val="lightGray"/>
                <w:u w:val="single"/>
                <w:lang w:val="es-419"/>
              </w:rPr>
              <w:t>US</w:t>
            </w:r>
            <w:proofErr w:type="spellEnd"/>
          </w:p>
        </w:tc>
      </w:tr>
      <w:tr w:rsidR="00301E91" w:rsidRPr="00DD4E4F" w:rsidTr="00B974ED">
        <w:trPr>
          <w:cantSplit/>
        </w:trPr>
        <w:tc>
          <w:tcPr>
            <w:tcW w:w="1305" w:type="dxa"/>
          </w:tcPr>
          <w:p w:rsidR="00301E91" w:rsidRPr="00DD4E4F" w:rsidRDefault="00301E91" w:rsidP="00B974ED">
            <w:pPr>
              <w:jc w:val="left"/>
              <w:rPr>
                <w:i/>
                <w:highlight w:val="lightGray"/>
                <w:u w:val="single"/>
                <w:lang w:val="es-419"/>
              </w:rPr>
            </w:pPr>
            <w:r w:rsidRPr="00DD4E4F">
              <w:rPr>
                <w:i/>
                <w:highlight w:val="lightGray"/>
                <w:u w:val="single"/>
                <w:lang w:val="es-419"/>
              </w:rPr>
              <w:lastRenderedPageBreak/>
              <w:t>Cuestión 63</w:t>
            </w:r>
          </w:p>
        </w:tc>
        <w:tc>
          <w:tcPr>
            <w:tcW w:w="7155" w:type="dxa"/>
          </w:tcPr>
          <w:p w:rsidR="00301E91" w:rsidRPr="00DD4E4F" w:rsidRDefault="00301E91" w:rsidP="00B974ED">
            <w:pPr>
              <w:jc w:val="left"/>
              <w:rPr>
                <w:i/>
                <w:highlight w:val="lightGray"/>
                <w:u w:val="single"/>
                <w:lang w:val="es-419"/>
              </w:rPr>
            </w:pPr>
            <w:r w:rsidRPr="00DD4E4F">
              <w:rPr>
                <w:i/>
                <w:highlight w:val="lightGray"/>
                <w:u w:val="single"/>
                <w:lang w:val="es-419"/>
              </w:rPr>
              <w:t>considerar si se podría “solicitar apoyo para buscar ejemplos concretos de variedades esencialmente derivadas, ya sea en la jurisprudencia de los miembros o en otras áreas de consenso que puede especificar el grupo respecto de los términos empleados en el texto del tratado (por ejemplo, “se deriva principalmente”, “se distingue claramente de la variedad inicial”, “es conforme a la variedad inicial en la expresión de los caracteres esenciales”, etc.)”</w:t>
            </w:r>
          </w:p>
        </w:tc>
        <w:tc>
          <w:tcPr>
            <w:tcW w:w="1523" w:type="dxa"/>
            <w:gridSpan w:val="2"/>
          </w:tcPr>
          <w:p w:rsidR="00301E91" w:rsidRPr="00DD4E4F" w:rsidRDefault="00301E91" w:rsidP="00B974ED">
            <w:pPr>
              <w:jc w:val="left"/>
              <w:rPr>
                <w:i/>
                <w:u w:val="single"/>
                <w:lang w:val="es-419"/>
              </w:rPr>
            </w:pPr>
            <w:proofErr w:type="spellStart"/>
            <w:r w:rsidRPr="00DD4E4F">
              <w:rPr>
                <w:i/>
                <w:highlight w:val="lightGray"/>
                <w:u w:val="single"/>
                <w:lang w:val="es-419"/>
              </w:rPr>
              <w:t>US</w:t>
            </w:r>
            <w:proofErr w:type="spellEnd"/>
          </w:p>
        </w:tc>
      </w:tr>
      <w:tr w:rsidR="00301E91" w:rsidRPr="00DD4E4F" w:rsidTr="00B974ED">
        <w:trPr>
          <w:cantSplit/>
        </w:trPr>
        <w:tc>
          <w:tcPr>
            <w:tcW w:w="1305" w:type="dxa"/>
          </w:tcPr>
          <w:p w:rsidR="00301E91" w:rsidRPr="00DD4E4F" w:rsidRDefault="00301E91" w:rsidP="00B974ED">
            <w:pPr>
              <w:jc w:val="left"/>
              <w:rPr>
                <w:i/>
                <w:highlight w:val="lightGray"/>
                <w:u w:val="single"/>
                <w:lang w:val="es-419"/>
              </w:rPr>
            </w:pPr>
            <w:r w:rsidRPr="00DD4E4F">
              <w:rPr>
                <w:i/>
                <w:highlight w:val="lightGray"/>
                <w:u w:val="single"/>
                <w:lang w:val="es-419"/>
              </w:rPr>
              <w:t>Cuestión 64</w:t>
            </w:r>
          </w:p>
        </w:tc>
        <w:tc>
          <w:tcPr>
            <w:tcW w:w="7155" w:type="dxa"/>
          </w:tcPr>
          <w:p w:rsidR="00301E91" w:rsidRPr="00DD4E4F" w:rsidRDefault="00301E91" w:rsidP="00B974ED">
            <w:pPr>
              <w:jc w:val="left"/>
              <w:rPr>
                <w:i/>
                <w:highlight w:val="lightGray"/>
                <w:u w:val="single"/>
                <w:lang w:val="es-419"/>
              </w:rPr>
            </w:pPr>
            <w:r w:rsidRPr="00DD4E4F">
              <w:rPr>
                <w:i/>
                <w:highlight w:val="lightGray"/>
                <w:u w:val="single"/>
                <w:lang w:val="es-419"/>
              </w:rPr>
              <w:t>considerar que “el proceso de determinación de umbrales útiles para evaluar la conformidad genética debe ser acordado conjuntamente por todos los miembros de la UPOV involucrados y demás partes interesadas. Ha de tenerse en cuenta el costo y sus repercusiones para las pequeñas y medianas entidades (es decir, ¿el costo de los análisis genéticos es tan elevado que impide a los pequeños obtentores el acceso a esa tecnología?) El grupo de trabajo debe considerar además si el uso de ciertas técnicas de fitomejoramiento implica una presunción razonable (pero refutable) de “derivación principal”. Entre esas técnicas se incluirían la obtención de mutantes por radiación y las modificaciones genéticas puntuales, entre otras.”</w:t>
            </w:r>
          </w:p>
        </w:tc>
        <w:tc>
          <w:tcPr>
            <w:tcW w:w="1523" w:type="dxa"/>
            <w:gridSpan w:val="2"/>
          </w:tcPr>
          <w:p w:rsidR="00301E91" w:rsidRPr="00DD4E4F" w:rsidRDefault="00301E91" w:rsidP="00B974ED">
            <w:pPr>
              <w:jc w:val="left"/>
              <w:rPr>
                <w:i/>
                <w:u w:val="single"/>
                <w:lang w:val="es-419"/>
              </w:rPr>
            </w:pPr>
            <w:proofErr w:type="spellStart"/>
            <w:r w:rsidRPr="00DD4E4F">
              <w:rPr>
                <w:i/>
                <w:highlight w:val="lightGray"/>
                <w:u w:val="single"/>
                <w:lang w:val="es-419"/>
              </w:rPr>
              <w:t>US</w:t>
            </w:r>
            <w:proofErr w:type="spellEnd"/>
          </w:p>
        </w:tc>
      </w:tr>
      <w:tr w:rsidR="00301E91" w:rsidRPr="00DD4E4F" w:rsidTr="00B974ED">
        <w:trPr>
          <w:cantSplit/>
        </w:trPr>
        <w:tc>
          <w:tcPr>
            <w:tcW w:w="1305" w:type="dxa"/>
          </w:tcPr>
          <w:p w:rsidR="00301E91" w:rsidRPr="00DD4E4F" w:rsidRDefault="00301E91" w:rsidP="00B974ED">
            <w:pPr>
              <w:jc w:val="left"/>
              <w:rPr>
                <w:i/>
                <w:highlight w:val="lightGray"/>
                <w:u w:val="single"/>
                <w:lang w:val="es-419"/>
              </w:rPr>
            </w:pPr>
            <w:r w:rsidRPr="00DD4E4F">
              <w:rPr>
                <w:i/>
                <w:highlight w:val="lightGray"/>
                <w:u w:val="single"/>
                <w:lang w:val="es-419"/>
              </w:rPr>
              <w:t>Cuestión 65</w:t>
            </w:r>
          </w:p>
        </w:tc>
        <w:tc>
          <w:tcPr>
            <w:tcW w:w="7155" w:type="dxa"/>
          </w:tcPr>
          <w:p w:rsidR="00301E91" w:rsidRPr="00DD4E4F" w:rsidRDefault="00301E91" w:rsidP="00B974ED">
            <w:pPr>
              <w:jc w:val="left"/>
              <w:rPr>
                <w:i/>
                <w:highlight w:val="lightGray"/>
                <w:u w:val="single"/>
                <w:lang w:val="es-419"/>
              </w:rPr>
            </w:pPr>
            <w:r w:rsidRPr="00DD4E4F">
              <w:rPr>
                <w:i/>
                <w:highlight w:val="lightGray"/>
                <w:u w:val="single"/>
                <w:lang w:val="es-419"/>
              </w:rPr>
              <w:t>considerar que “es preferible que la determinación de las variedades esencialmente derivadas dependa en última instancia de los tribunales nacionales o de procesos de arbitraje. Toda decisión a ese respecto de la autoridad que concede la protección podría utilizarse como indicio refutable de derivación esencial ante los tribunales nacionales o en los procesos de arbitraje. No obstante, […] el Acta de 1991 del Convenio no obliga a las oficinas a llevar a cabo determinaciones de variedades esencialmente derivadas, y el grupo de trabajo no puede servir de instrumento para que se establezca tal obligación.”</w:t>
            </w:r>
          </w:p>
        </w:tc>
        <w:tc>
          <w:tcPr>
            <w:tcW w:w="1523" w:type="dxa"/>
            <w:gridSpan w:val="2"/>
          </w:tcPr>
          <w:p w:rsidR="00301E91" w:rsidRPr="00DD4E4F" w:rsidRDefault="00301E91" w:rsidP="00B974ED">
            <w:pPr>
              <w:jc w:val="left"/>
              <w:rPr>
                <w:i/>
                <w:u w:val="single"/>
                <w:lang w:val="es-419"/>
              </w:rPr>
            </w:pPr>
            <w:proofErr w:type="spellStart"/>
            <w:r w:rsidRPr="00DD4E4F">
              <w:rPr>
                <w:i/>
                <w:highlight w:val="lightGray"/>
                <w:u w:val="single"/>
                <w:lang w:val="es-419"/>
              </w:rPr>
              <w:t>US</w:t>
            </w:r>
            <w:proofErr w:type="spellEnd"/>
          </w:p>
        </w:tc>
      </w:tr>
    </w:tbl>
    <w:p w:rsidR="00301E91" w:rsidRPr="00DD4E4F" w:rsidRDefault="00301E91" w:rsidP="00301E91">
      <w:pPr>
        <w:jc w:val="right"/>
        <w:rPr>
          <w:lang w:val="es-419"/>
        </w:rPr>
      </w:pPr>
    </w:p>
    <w:p w:rsidR="00301E91" w:rsidRPr="00DD4E4F" w:rsidRDefault="00301E91" w:rsidP="00301E91">
      <w:pPr>
        <w:jc w:val="right"/>
        <w:rPr>
          <w:lang w:val="es-419"/>
        </w:rPr>
      </w:pPr>
    </w:p>
    <w:p w:rsidR="00301E91" w:rsidRPr="00DD4E4F" w:rsidRDefault="00301E91" w:rsidP="00301E91">
      <w:pPr>
        <w:jc w:val="right"/>
        <w:rPr>
          <w:lang w:val="es-419"/>
        </w:rPr>
      </w:pPr>
      <w:r w:rsidRPr="00DD4E4F">
        <w:rPr>
          <w:lang w:val="es-419"/>
        </w:rPr>
        <w:t>[Sigue el Apéndice II]</w:t>
      </w:r>
    </w:p>
    <w:p w:rsidR="00301E91" w:rsidRPr="00DD4E4F" w:rsidRDefault="00301E91" w:rsidP="00301E91">
      <w:pPr>
        <w:keepNext/>
        <w:jc w:val="center"/>
        <w:rPr>
          <w:rFonts w:cs="Arial"/>
          <w:lang w:val="es-419"/>
        </w:rPr>
      </w:pPr>
    </w:p>
    <w:p w:rsidR="00301E91" w:rsidRPr="00DD4E4F" w:rsidRDefault="00301E91" w:rsidP="00301E91">
      <w:pPr>
        <w:keepNext/>
        <w:jc w:val="center"/>
        <w:rPr>
          <w:rFonts w:cs="Arial"/>
          <w:lang w:val="es-419"/>
        </w:rPr>
        <w:sectPr w:rsidR="00301E91" w:rsidRPr="00DD4E4F" w:rsidSect="0018090B">
          <w:headerReference w:type="default" r:id="rId13"/>
          <w:headerReference w:type="first" r:id="rId14"/>
          <w:endnotePr>
            <w:numFmt w:val="lowerLetter"/>
          </w:endnotePr>
          <w:pgSz w:w="11907" w:h="16840" w:code="9"/>
          <w:pgMar w:top="510" w:right="1134" w:bottom="993" w:left="1134" w:header="510" w:footer="624" w:gutter="0"/>
          <w:pgNumType w:start="1"/>
          <w:cols w:space="720"/>
          <w:titlePg/>
        </w:sectPr>
      </w:pPr>
    </w:p>
    <w:p w:rsidR="00301E91" w:rsidRPr="00DD4E4F" w:rsidRDefault="00301E91" w:rsidP="00301E91">
      <w:pPr>
        <w:jc w:val="center"/>
        <w:rPr>
          <w:lang w:val="es-419"/>
        </w:rPr>
      </w:pPr>
      <w:r w:rsidRPr="00DD4E4F">
        <w:rPr>
          <w:lang w:val="es-419"/>
        </w:rPr>
        <w:lastRenderedPageBreak/>
        <w:t>PRÁCTICAS Y COSTUMBRES DE LOS OBTENTORES</w:t>
      </w:r>
    </w:p>
    <w:p w:rsidR="00301E91" w:rsidRDefault="00301E91" w:rsidP="00301E91">
      <w:pPr>
        <w:keepNext/>
        <w:jc w:val="center"/>
        <w:rPr>
          <w:rFonts w:cs="Arial"/>
          <w:lang w:val="es-419"/>
        </w:rPr>
      </w:pPr>
    </w:p>
    <w:p w:rsidR="00487911" w:rsidRPr="00DD4E4F" w:rsidRDefault="00487911" w:rsidP="00301E91">
      <w:pPr>
        <w:keepNext/>
        <w:jc w:val="center"/>
        <w:rPr>
          <w:rFonts w:cs="Arial"/>
          <w:lang w:val="es-419"/>
        </w:rPr>
      </w:pPr>
    </w:p>
    <w:p w:rsidR="00301E91" w:rsidRPr="00DD4E4F" w:rsidRDefault="00301E91" w:rsidP="00301E91">
      <w:pPr>
        <w:keepNext/>
        <w:rPr>
          <w:rFonts w:cs="Arial"/>
          <w:lang w:val="es-419"/>
        </w:rPr>
      </w:pPr>
      <w:r w:rsidRPr="00DD4E4F">
        <w:rPr>
          <w:rFonts w:cs="Arial"/>
          <w:lang w:val="es-419"/>
        </w:rPr>
        <w:t xml:space="preserve">En respuesta a la circular </w:t>
      </w:r>
      <w:r w:rsidR="00C64D48" w:rsidRPr="00DD4E4F">
        <w:rPr>
          <w:rFonts w:cs="Arial"/>
          <w:lang w:val="es-419"/>
        </w:rPr>
        <w:t>E-19/233</w:t>
      </w:r>
      <w:r w:rsidRPr="00DD4E4F">
        <w:rPr>
          <w:rFonts w:cs="Arial"/>
          <w:lang w:val="es-419"/>
        </w:rPr>
        <w:t>, en la que se invitaba a los obtentores a proporcionar información sobre sus prácticas y costumbres respecto de las variedades esencialmente derivadas, la Oficina de la Unión recibió las siguientes aportaciones:</w:t>
      </w:r>
    </w:p>
    <w:p w:rsidR="00301E91" w:rsidRPr="00DD4E4F" w:rsidRDefault="00301E91" w:rsidP="00301E91">
      <w:pPr>
        <w:keepNext/>
        <w:rPr>
          <w:rFonts w:cs="Arial"/>
          <w:lang w:val="es-419"/>
        </w:rPr>
      </w:pPr>
    </w:p>
    <w:p w:rsidR="00301E91" w:rsidRPr="00487911" w:rsidRDefault="00301E91" w:rsidP="00301E91">
      <w:pPr>
        <w:tabs>
          <w:tab w:val="left" w:pos="1134"/>
        </w:tabs>
        <w:ind w:firstLine="567"/>
        <w:rPr>
          <w:rFonts w:cs="Arial"/>
          <w:spacing w:val="-2"/>
          <w:lang w:val="es-419"/>
        </w:rPr>
      </w:pPr>
      <w:r w:rsidRPr="00487911">
        <w:rPr>
          <w:rFonts w:cs="Arial"/>
          <w:spacing w:val="-2"/>
          <w:lang w:val="es-419"/>
        </w:rPr>
        <w:t>a)</w:t>
      </w:r>
      <w:r w:rsidRPr="00487911">
        <w:rPr>
          <w:rFonts w:cs="Arial"/>
          <w:spacing w:val="-2"/>
          <w:lang w:val="es-419"/>
        </w:rPr>
        <w:tab/>
        <w:t>el 9 de abril de 2020, una aportación conjunta de la </w:t>
      </w:r>
      <w:proofErr w:type="spellStart"/>
      <w:r w:rsidRPr="00487911">
        <w:rPr>
          <w:rFonts w:cs="Arial"/>
          <w:i/>
          <w:spacing w:val="-2"/>
          <w:lang w:val="es-419"/>
        </w:rPr>
        <w:t>African</w:t>
      </w:r>
      <w:proofErr w:type="spellEnd"/>
      <w:r w:rsidRPr="00487911">
        <w:rPr>
          <w:rFonts w:cs="Arial"/>
          <w:i/>
          <w:spacing w:val="-2"/>
          <w:lang w:val="es-419"/>
        </w:rPr>
        <w:t xml:space="preserve"> </w:t>
      </w:r>
      <w:proofErr w:type="spellStart"/>
      <w:r w:rsidRPr="00487911">
        <w:rPr>
          <w:rFonts w:cs="Arial"/>
          <w:i/>
          <w:spacing w:val="-2"/>
          <w:lang w:val="es-419"/>
        </w:rPr>
        <w:t>Seed</w:t>
      </w:r>
      <w:proofErr w:type="spellEnd"/>
      <w:r w:rsidRPr="00487911">
        <w:rPr>
          <w:rFonts w:cs="Arial"/>
          <w:i/>
          <w:spacing w:val="-2"/>
          <w:lang w:val="es-419"/>
        </w:rPr>
        <w:t xml:space="preserve"> </w:t>
      </w:r>
      <w:proofErr w:type="spellStart"/>
      <w:r w:rsidRPr="00487911">
        <w:rPr>
          <w:rFonts w:cs="Arial"/>
          <w:i/>
          <w:spacing w:val="-2"/>
          <w:lang w:val="es-419"/>
        </w:rPr>
        <w:t>Trade</w:t>
      </w:r>
      <w:proofErr w:type="spellEnd"/>
      <w:r w:rsidRPr="00487911">
        <w:rPr>
          <w:rFonts w:cs="Arial"/>
          <w:i/>
          <w:spacing w:val="-2"/>
          <w:lang w:val="es-419"/>
        </w:rPr>
        <w:t xml:space="preserve"> Association</w:t>
      </w:r>
      <w:r w:rsidRPr="00487911">
        <w:rPr>
          <w:rFonts w:cs="Arial"/>
          <w:spacing w:val="-2"/>
          <w:lang w:val="es-419"/>
        </w:rPr>
        <w:t xml:space="preserve"> (</w:t>
      </w:r>
      <w:proofErr w:type="spellStart"/>
      <w:r w:rsidRPr="00487911">
        <w:rPr>
          <w:rFonts w:cs="Arial"/>
          <w:spacing w:val="-2"/>
          <w:lang w:val="es-419"/>
        </w:rPr>
        <w:t>AFSTA</w:t>
      </w:r>
      <w:proofErr w:type="spellEnd"/>
      <w:r w:rsidRPr="00487911">
        <w:rPr>
          <w:rFonts w:cs="Arial"/>
          <w:spacing w:val="-2"/>
          <w:lang w:val="es-419"/>
        </w:rPr>
        <w:t>) (Asociación Africana de Comercio de Semillas), la </w:t>
      </w:r>
      <w:r w:rsidRPr="00487911">
        <w:rPr>
          <w:rFonts w:cs="Arial"/>
          <w:i/>
          <w:spacing w:val="-2"/>
          <w:lang w:val="es-419"/>
        </w:rPr>
        <w:t xml:space="preserve">Asia and </w:t>
      </w:r>
      <w:proofErr w:type="spellStart"/>
      <w:r w:rsidRPr="00487911">
        <w:rPr>
          <w:rFonts w:cs="Arial"/>
          <w:i/>
          <w:spacing w:val="-2"/>
          <w:lang w:val="es-419"/>
        </w:rPr>
        <w:t>Pacific</w:t>
      </w:r>
      <w:proofErr w:type="spellEnd"/>
      <w:r w:rsidRPr="00487911">
        <w:rPr>
          <w:rFonts w:cs="Arial"/>
          <w:i/>
          <w:spacing w:val="-2"/>
          <w:lang w:val="es-419"/>
        </w:rPr>
        <w:t xml:space="preserve"> </w:t>
      </w:r>
      <w:proofErr w:type="spellStart"/>
      <w:r w:rsidRPr="00487911">
        <w:rPr>
          <w:rFonts w:cs="Arial"/>
          <w:i/>
          <w:spacing w:val="-2"/>
          <w:lang w:val="es-419"/>
        </w:rPr>
        <w:t>Seed</w:t>
      </w:r>
      <w:proofErr w:type="spellEnd"/>
      <w:r w:rsidRPr="00487911">
        <w:rPr>
          <w:rFonts w:cs="Arial"/>
          <w:i/>
          <w:spacing w:val="-2"/>
          <w:lang w:val="es-419"/>
        </w:rPr>
        <w:t xml:space="preserve"> Association</w:t>
      </w:r>
      <w:r w:rsidRPr="00487911">
        <w:rPr>
          <w:rFonts w:cs="Arial"/>
          <w:spacing w:val="-2"/>
          <w:lang w:val="es-419"/>
        </w:rPr>
        <w:t xml:space="preserve"> (</w:t>
      </w:r>
      <w:proofErr w:type="spellStart"/>
      <w:r w:rsidRPr="00487911">
        <w:rPr>
          <w:rFonts w:cs="Arial"/>
          <w:spacing w:val="-2"/>
          <w:lang w:val="es-419"/>
        </w:rPr>
        <w:t>APSA</w:t>
      </w:r>
      <w:proofErr w:type="spellEnd"/>
      <w:r w:rsidRPr="00487911">
        <w:rPr>
          <w:rFonts w:cs="Arial"/>
          <w:spacing w:val="-2"/>
          <w:lang w:val="es-419"/>
        </w:rPr>
        <w:t>) (Asociación de Semillas de Asia y el Pacífico), la Comunidad Internacional de Obtentores de Plantas Hortícolas de Reproducción Asexuada (</w:t>
      </w:r>
      <w:proofErr w:type="spellStart"/>
      <w:r w:rsidRPr="00487911">
        <w:rPr>
          <w:rFonts w:cs="Arial"/>
          <w:spacing w:val="-2"/>
          <w:lang w:val="es-419"/>
        </w:rPr>
        <w:t>CIOPORA</w:t>
      </w:r>
      <w:proofErr w:type="spellEnd"/>
      <w:r w:rsidRPr="00487911">
        <w:rPr>
          <w:rFonts w:cs="Arial"/>
          <w:spacing w:val="-2"/>
          <w:lang w:val="es-419"/>
        </w:rPr>
        <w:t xml:space="preserve">), </w:t>
      </w:r>
      <w:proofErr w:type="spellStart"/>
      <w:r w:rsidRPr="00487911">
        <w:rPr>
          <w:rFonts w:cs="Arial"/>
          <w:i/>
          <w:spacing w:val="-2"/>
          <w:lang w:val="es-419"/>
        </w:rPr>
        <w:t>CropLife</w:t>
      </w:r>
      <w:proofErr w:type="spellEnd"/>
      <w:r w:rsidRPr="00487911">
        <w:rPr>
          <w:rFonts w:cs="Arial"/>
          <w:i/>
          <w:spacing w:val="-2"/>
          <w:lang w:val="es-419"/>
        </w:rPr>
        <w:t> International</w:t>
      </w:r>
      <w:r w:rsidRPr="00487911">
        <w:rPr>
          <w:rFonts w:cs="Arial"/>
          <w:spacing w:val="-2"/>
          <w:lang w:val="es-419"/>
        </w:rPr>
        <w:t xml:space="preserve">, </w:t>
      </w:r>
      <w:proofErr w:type="spellStart"/>
      <w:r w:rsidRPr="00487911">
        <w:rPr>
          <w:rFonts w:cs="Arial"/>
          <w:spacing w:val="-2"/>
          <w:lang w:val="es-419"/>
        </w:rPr>
        <w:t>Euroseeds</w:t>
      </w:r>
      <w:proofErr w:type="spellEnd"/>
      <w:r w:rsidRPr="00487911">
        <w:rPr>
          <w:rFonts w:cs="Arial"/>
          <w:spacing w:val="-2"/>
          <w:lang w:val="es-419"/>
        </w:rPr>
        <w:t xml:space="preserve">, la </w:t>
      </w:r>
      <w:r w:rsidRPr="00487911">
        <w:rPr>
          <w:rFonts w:cs="Arial"/>
          <w:i/>
          <w:spacing w:val="-2"/>
          <w:lang w:val="es-419"/>
        </w:rPr>
        <w:t xml:space="preserve">International </w:t>
      </w:r>
      <w:proofErr w:type="spellStart"/>
      <w:r w:rsidRPr="00487911">
        <w:rPr>
          <w:rFonts w:cs="Arial"/>
          <w:i/>
          <w:spacing w:val="-2"/>
          <w:lang w:val="es-419"/>
        </w:rPr>
        <w:t>Seed</w:t>
      </w:r>
      <w:proofErr w:type="spellEnd"/>
      <w:r w:rsidRPr="00487911">
        <w:rPr>
          <w:rFonts w:cs="Arial"/>
          <w:i/>
          <w:spacing w:val="-2"/>
          <w:lang w:val="es-419"/>
        </w:rPr>
        <w:t xml:space="preserve"> </w:t>
      </w:r>
      <w:proofErr w:type="spellStart"/>
      <w:r w:rsidRPr="00487911">
        <w:rPr>
          <w:rFonts w:cs="Arial"/>
          <w:i/>
          <w:spacing w:val="-2"/>
          <w:lang w:val="es-419"/>
        </w:rPr>
        <w:t>Federation</w:t>
      </w:r>
      <w:proofErr w:type="spellEnd"/>
      <w:r w:rsidRPr="00487911">
        <w:rPr>
          <w:rFonts w:cs="Arial"/>
          <w:spacing w:val="-2"/>
          <w:lang w:val="es-419"/>
        </w:rPr>
        <w:t xml:space="preserve"> (</w:t>
      </w:r>
      <w:proofErr w:type="spellStart"/>
      <w:r w:rsidRPr="00487911">
        <w:rPr>
          <w:rFonts w:cs="Arial"/>
          <w:spacing w:val="-2"/>
          <w:lang w:val="es-419"/>
        </w:rPr>
        <w:t>ISF</w:t>
      </w:r>
      <w:proofErr w:type="spellEnd"/>
      <w:r w:rsidRPr="00487911">
        <w:rPr>
          <w:rFonts w:cs="Arial"/>
          <w:spacing w:val="-2"/>
          <w:lang w:val="es-419"/>
        </w:rPr>
        <w:t>) y la Asociación de Semillas de las Américas (</w:t>
      </w:r>
      <w:proofErr w:type="spellStart"/>
      <w:r w:rsidRPr="00487911">
        <w:rPr>
          <w:rFonts w:cs="Arial"/>
          <w:spacing w:val="-2"/>
          <w:lang w:val="es-419"/>
        </w:rPr>
        <w:t>SAA</w:t>
      </w:r>
      <w:proofErr w:type="spellEnd"/>
      <w:r w:rsidRPr="00487911">
        <w:rPr>
          <w:rFonts w:cs="Arial"/>
          <w:spacing w:val="-2"/>
          <w:lang w:val="es-419"/>
        </w:rPr>
        <w:t>), así como el sondeo acompañado del “Informe resumido de los resultados del sondeo sobre las variedades esencialmente derivadas y las observaciones de 98 agentes que operan con diversas plantas agrícolas, ornamentales, frutales y hortícolas en varios continentes” (aportación conjunta de los obtentores);</w:t>
      </w:r>
    </w:p>
    <w:p w:rsidR="00301E91" w:rsidRPr="00DD4E4F" w:rsidRDefault="00301E91" w:rsidP="00301E91">
      <w:pPr>
        <w:tabs>
          <w:tab w:val="left" w:pos="1134"/>
        </w:tabs>
        <w:ind w:firstLine="567"/>
        <w:rPr>
          <w:rFonts w:cs="Arial"/>
          <w:lang w:val="es-419"/>
        </w:rPr>
      </w:pPr>
    </w:p>
    <w:p w:rsidR="00301E91" w:rsidRPr="00DD4E4F" w:rsidRDefault="00301E91" w:rsidP="00301E91">
      <w:pPr>
        <w:tabs>
          <w:tab w:val="left" w:pos="1134"/>
        </w:tabs>
        <w:ind w:firstLine="567"/>
        <w:rPr>
          <w:rFonts w:cs="Arial"/>
          <w:lang w:val="es-419"/>
        </w:rPr>
      </w:pPr>
      <w:r w:rsidRPr="00DD4E4F">
        <w:rPr>
          <w:rFonts w:cs="Arial"/>
          <w:lang w:val="es-419"/>
        </w:rPr>
        <w:t>b)</w:t>
      </w:r>
      <w:r w:rsidRPr="00DD4E4F">
        <w:rPr>
          <w:rFonts w:cs="Arial"/>
          <w:lang w:val="es-419"/>
        </w:rPr>
        <w:tab/>
        <w:t>el 27 de mayo de 2020, una aportación de la Asociación Internacional de Productores Hortícolas (</w:t>
      </w:r>
      <w:proofErr w:type="spellStart"/>
      <w:r w:rsidRPr="00DD4E4F">
        <w:rPr>
          <w:rFonts w:cs="Arial"/>
          <w:lang w:val="es-419"/>
        </w:rPr>
        <w:t>AIPH</w:t>
      </w:r>
      <w:proofErr w:type="spellEnd"/>
      <w:r w:rsidRPr="00DD4E4F">
        <w:rPr>
          <w:rFonts w:cs="Arial"/>
          <w:lang w:val="es-419"/>
        </w:rPr>
        <w:t xml:space="preserve">) manifestando su respaldo a determinados resultados del sondeo mencionado en el punto a). </w:t>
      </w:r>
    </w:p>
    <w:p w:rsidR="00301E91" w:rsidRPr="00DD4E4F" w:rsidRDefault="00301E91" w:rsidP="00301E91">
      <w:pPr>
        <w:rPr>
          <w:rFonts w:cs="Arial"/>
          <w:lang w:val="es-419"/>
        </w:rPr>
      </w:pPr>
    </w:p>
    <w:p w:rsidR="00301E91" w:rsidRPr="00DD4E4F" w:rsidRDefault="00301E91" w:rsidP="00301E91">
      <w:pPr>
        <w:rPr>
          <w:rFonts w:cs="Arial"/>
          <w:lang w:val="es-419"/>
        </w:rPr>
      </w:pPr>
      <w:r w:rsidRPr="00DD4E4F">
        <w:rPr>
          <w:rFonts w:cs="Arial"/>
          <w:lang w:val="es-419"/>
        </w:rPr>
        <w:t xml:space="preserve">En el cuadro siguiente se presentan los extractos pertinentes del sondeo (véase el punto a)). En el cuadro se indica asimismo el respaldo de la </w:t>
      </w:r>
      <w:proofErr w:type="spellStart"/>
      <w:r w:rsidRPr="00DD4E4F">
        <w:rPr>
          <w:rFonts w:cs="Arial"/>
          <w:lang w:val="es-419"/>
        </w:rPr>
        <w:t>AIPH</w:t>
      </w:r>
      <w:proofErr w:type="spellEnd"/>
      <w:r w:rsidRPr="00DD4E4F">
        <w:rPr>
          <w:rFonts w:cs="Arial"/>
          <w:lang w:val="es-419"/>
        </w:rPr>
        <w:t xml:space="preserve"> a determinados resultados del sondeo de la aportación conjunta de los obtentores.</w:t>
      </w:r>
    </w:p>
    <w:p w:rsidR="00301E91" w:rsidRPr="00DD4E4F" w:rsidRDefault="00301E91" w:rsidP="00301E91">
      <w:pPr>
        <w:jc w:val="center"/>
        <w:rPr>
          <w:rFonts w:cs="Arial"/>
          <w:lang w:val="es-419"/>
        </w:rPr>
      </w:pPr>
    </w:p>
    <w:p w:rsidR="00301E91" w:rsidRPr="00DD4E4F" w:rsidRDefault="00301E91" w:rsidP="00301E91">
      <w:pPr>
        <w:jc w:val="center"/>
        <w:rPr>
          <w:rFonts w:cs="Arial"/>
          <w:lang w:val="es-419"/>
        </w:rPr>
      </w:pPr>
    </w:p>
    <w:p w:rsidR="00301E91" w:rsidRPr="00DD4E4F" w:rsidRDefault="00301E91" w:rsidP="00301E91">
      <w:pPr>
        <w:jc w:val="center"/>
        <w:rPr>
          <w:lang w:val="es-419"/>
        </w:rPr>
      </w:pPr>
      <w:r w:rsidRPr="00DD4E4F">
        <w:rPr>
          <w:lang w:val="es-419"/>
        </w:rPr>
        <w:t>PRÁCTICAS Y COSTUMBRES DE LOS OBTENTORES</w:t>
      </w:r>
    </w:p>
    <w:p w:rsidR="00301E91" w:rsidRPr="00DD4E4F" w:rsidRDefault="00301E91" w:rsidP="00301E91">
      <w:pPr>
        <w:jc w:val="center"/>
        <w:rPr>
          <w:lang w:val="es-419"/>
        </w:rPr>
      </w:pPr>
      <w:r w:rsidRPr="00DD4E4F">
        <w:rPr>
          <w:lang w:val="es-419"/>
        </w:rPr>
        <w:t>EN RELACIÓN CON ASPECTOS CONCRETOS DE LAS ACTUALES NOTAS EXPLICATIVAS</w:t>
      </w:r>
    </w:p>
    <w:p w:rsidR="00301E91" w:rsidRPr="00DD4E4F" w:rsidRDefault="00301E91" w:rsidP="00301E91">
      <w:pPr>
        <w:jc w:val="center"/>
        <w:rPr>
          <w:lang w:val="es-419"/>
        </w:rPr>
      </w:pPr>
    </w:p>
    <w:tbl>
      <w:tblPr>
        <w:tblStyle w:val="TableGrid10"/>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85" w:type="dxa"/>
        </w:tblCellMar>
        <w:tblLook w:val="04A0" w:firstRow="1" w:lastRow="0" w:firstColumn="1" w:lastColumn="0" w:noHBand="0" w:noVBand="1"/>
      </w:tblPr>
      <w:tblGrid>
        <w:gridCol w:w="1305"/>
        <w:gridCol w:w="8930"/>
      </w:tblGrid>
      <w:tr w:rsidR="00301E91" w:rsidRPr="00DD4E4F" w:rsidTr="00B974ED">
        <w:trPr>
          <w:cantSplit/>
          <w:tblHeader/>
        </w:trPr>
        <w:tc>
          <w:tcPr>
            <w:tcW w:w="1305" w:type="dxa"/>
            <w:tcBorders>
              <w:top w:val="dotted" w:sz="4" w:space="0" w:color="auto"/>
              <w:left w:val="dotted" w:sz="4" w:space="0" w:color="auto"/>
              <w:bottom w:val="dotted" w:sz="4" w:space="0" w:color="auto"/>
            </w:tcBorders>
          </w:tcPr>
          <w:p w:rsidR="00301E91" w:rsidRPr="00DD4E4F" w:rsidRDefault="00301E91" w:rsidP="00B974ED">
            <w:pPr>
              <w:keepNext/>
              <w:rPr>
                <w:lang w:val="es-419"/>
              </w:rPr>
            </w:pPr>
          </w:p>
        </w:tc>
        <w:tc>
          <w:tcPr>
            <w:tcW w:w="8930" w:type="dxa"/>
            <w:shd w:val="clear" w:color="auto" w:fill="EAF1DD" w:themeFill="accent3" w:themeFillTint="33"/>
          </w:tcPr>
          <w:p w:rsidR="00301E91" w:rsidRPr="00DD4E4F" w:rsidRDefault="00301E91" w:rsidP="00B974ED">
            <w:pPr>
              <w:keepNext/>
              <w:rPr>
                <w:i/>
                <w:lang w:val="es-419"/>
              </w:rPr>
            </w:pPr>
            <w:r w:rsidRPr="00DD4E4F">
              <w:rPr>
                <w:i/>
                <w:lang w:val="es-419"/>
              </w:rPr>
              <w:t xml:space="preserve">Aportación conjunta de </w:t>
            </w:r>
            <w:proofErr w:type="spellStart"/>
            <w:r w:rsidRPr="00DD4E4F">
              <w:rPr>
                <w:i/>
                <w:lang w:val="es-419"/>
              </w:rPr>
              <w:t>ISF</w:t>
            </w:r>
            <w:proofErr w:type="spellEnd"/>
            <w:r w:rsidRPr="00DD4E4F">
              <w:rPr>
                <w:i/>
                <w:lang w:val="es-419"/>
              </w:rPr>
              <w:t xml:space="preserve">, </w:t>
            </w:r>
            <w:proofErr w:type="spellStart"/>
            <w:r w:rsidRPr="00DD4E4F">
              <w:rPr>
                <w:i/>
                <w:lang w:val="es-419"/>
              </w:rPr>
              <w:t>CIOPORA</w:t>
            </w:r>
            <w:proofErr w:type="spellEnd"/>
            <w:r w:rsidRPr="00DD4E4F">
              <w:rPr>
                <w:i/>
                <w:lang w:val="es-419"/>
              </w:rPr>
              <w:t xml:space="preserve">, </w:t>
            </w:r>
            <w:proofErr w:type="spellStart"/>
            <w:r w:rsidRPr="00DD4E4F">
              <w:rPr>
                <w:i/>
                <w:lang w:val="es-419"/>
              </w:rPr>
              <w:t>CropLife</w:t>
            </w:r>
            <w:proofErr w:type="spellEnd"/>
            <w:r w:rsidRPr="00DD4E4F">
              <w:rPr>
                <w:i/>
                <w:lang w:val="es-419"/>
              </w:rPr>
              <w:t xml:space="preserve"> International, </w:t>
            </w:r>
            <w:proofErr w:type="spellStart"/>
            <w:r w:rsidRPr="00DD4E4F">
              <w:rPr>
                <w:i/>
                <w:lang w:val="es-419"/>
              </w:rPr>
              <w:t>Euroseeds</w:t>
            </w:r>
            <w:proofErr w:type="spellEnd"/>
            <w:r w:rsidRPr="00DD4E4F">
              <w:rPr>
                <w:i/>
                <w:lang w:val="es-419"/>
              </w:rPr>
              <w:t xml:space="preserve">, </w:t>
            </w:r>
            <w:proofErr w:type="spellStart"/>
            <w:r w:rsidRPr="00DD4E4F">
              <w:rPr>
                <w:i/>
                <w:lang w:val="es-419"/>
              </w:rPr>
              <w:t>APSA</w:t>
            </w:r>
            <w:proofErr w:type="spellEnd"/>
            <w:r w:rsidRPr="00DD4E4F">
              <w:rPr>
                <w:i/>
                <w:lang w:val="es-419"/>
              </w:rPr>
              <w:t xml:space="preserve">, </w:t>
            </w:r>
            <w:proofErr w:type="spellStart"/>
            <w:r w:rsidRPr="00DD4E4F">
              <w:rPr>
                <w:i/>
                <w:lang w:val="es-419"/>
              </w:rPr>
              <w:t>AFSTA</w:t>
            </w:r>
            <w:proofErr w:type="spellEnd"/>
            <w:r w:rsidRPr="00DD4E4F">
              <w:rPr>
                <w:i/>
                <w:lang w:val="es-419"/>
              </w:rPr>
              <w:t xml:space="preserve"> y </w:t>
            </w:r>
            <w:proofErr w:type="spellStart"/>
            <w:r w:rsidRPr="00DD4E4F">
              <w:rPr>
                <w:i/>
                <w:lang w:val="es-419"/>
              </w:rPr>
              <w:t>SAA</w:t>
            </w:r>
            <w:proofErr w:type="spellEnd"/>
          </w:p>
          <w:p w:rsidR="00301E91" w:rsidRPr="00DD4E4F" w:rsidRDefault="00301E91" w:rsidP="00B974ED">
            <w:pPr>
              <w:keepNext/>
              <w:rPr>
                <w:i/>
                <w:lang w:val="es-419"/>
              </w:rPr>
            </w:pPr>
          </w:p>
          <w:p w:rsidR="00301E91" w:rsidRPr="00DD4E4F" w:rsidRDefault="00301E91" w:rsidP="00B974ED">
            <w:pPr>
              <w:keepNext/>
              <w:rPr>
                <w:i/>
                <w:lang w:val="es-419"/>
              </w:rPr>
            </w:pPr>
            <w:r w:rsidRPr="00DD4E4F">
              <w:rPr>
                <w:rFonts w:cs="Arial"/>
                <w:lang w:val="es-419"/>
              </w:rPr>
              <w:t xml:space="preserve">El respaldo de </w:t>
            </w:r>
            <w:proofErr w:type="spellStart"/>
            <w:r w:rsidRPr="00DD4E4F">
              <w:rPr>
                <w:rFonts w:cs="Arial"/>
                <w:lang w:val="es-419"/>
              </w:rPr>
              <w:t>AIPH</w:t>
            </w:r>
            <w:proofErr w:type="spellEnd"/>
            <w:r w:rsidRPr="00DD4E4F">
              <w:rPr>
                <w:rFonts w:cs="Arial"/>
                <w:lang w:val="es-419"/>
              </w:rPr>
              <w:t xml:space="preserve"> a la aportación conjunta se indica mediante un asterisco (“*”) en la columna de la izquierda. </w:t>
            </w:r>
          </w:p>
        </w:tc>
      </w:tr>
      <w:tr w:rsidR="00301E91" w:rsidRPr="00DD4E4F" w:rsidTr="00B974ED">
        <w:trPr>
          <w:cantSplit/>
        </w:trPr>
        <w:tc>
          <w:tcPr>
            <w:tcW w:w="1305" w:type="dxa"/>
            <w:tcBorders>
              <w:top w:val="dotted" w:sz="4" w:space="0" w:color="auto"/>
            </w:tcBorders>
          </w:tcPr>
          <w:p w:rsidR="00301E91" w:rsidRPr="00DD4E4F" w:rsidRDefault="00301E91" w:rsidP="00B974ED">
            <w:pPr>
              <w:rPr>
                <w:i/>
                <w:lang w:val="es-419"/>
              </w:rPr>
            </w:pPr>
          </w:p>
        </w:tc>
        <w:tc>
          <w:tcPr>
            <w:tcW w:w="8930" w:type="dxa"/>
          </w:tcPr>
          <w:p w:rsidR="00301E91" w:rsidRPr="00DD4E4F" w:rsidRDefault="00301E91" w:rsidP="00B974ED">
            <w:pPr>
              <w:rPr>
                <w:lang w:val="es-419"/>
              </w:rPr>
            </w:pPr>
            <w:r w:rsidRPr="00DD4E4F">
              <w:rPr>
                <w:lang w:val="es-419"/>
              </w:rPr>
              <w:t>PREÁMBULO</w:t>
            </w:r>
          </w:p>
          <w:p w:rsidR="00301E91" w:rsidRPr="00DD4E4F" w:rsidRDefault="00301E91" w:rsidP="00B974ED">
            <w:pPr>
              <w:rPr>
                <w:lang w:val="es-419"/>
              </w:rPr>
            </w:pPr>
            <w:r w:rsidRPr="00DD4E4F">
              <w:rPr>
                <w:lang w:val="es-419"/>
              </w:rPr>
              <w:t xml:space="preserve"> </w:t>
            </w: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rPr>
                <w:lang w:val="es-419"/>
              </w:rPr>
            </w:pPr>
            <w:r w:rsidRPr="00DD4E4F">
              <w:rPr>
                <w:lang w:val="es-419"/>
              </w:rPr>
              <w:t>SECCIÓN I: DISPOSICIONES SOBRE LAS VARIEDADES ESENCIALMENTE DERIVADAS</w:t>
            </w:r>
          </w:p>
          <w:p w:rsidR="00301E91" w:rsidRPr="00DD4E4F" w:rsidRDefault="00301E91" w:rsidP="00B974ED">
            <w:pPr>
              <w:rPr>
                <w:lang w:val="es-419"/>
              </w:rPr>
            </w:pP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rPr>
                <w:lang w:val="es-419"/>
              </w:rPr>
            </w:pPr>
            <w:r w:rsidRPr="00DD4E4F">
              <w:rPr>
                <w:lang w:val="es-419"/>
              </w:rPr>
              <w:t>a)</w:t>
            </w:r>
            <w:r w:rsidRPr="00DD4E4F">
              <w:rPr>
                <w:lang w:val="es-419"/>
              </w:rPr>
              <w:tab/>
              <w:t>Disposiciones pertinentes del Acta de 1991 del Convenio de la UPOV</w:t>
            </w:r>
          </w:p>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1</w:t>
            </w:r>
          </w:p>
        </w:tc>
        <w:tc>
          <w:tcPr>
            <w:tcW w:w="8930" w:type="dxa"/>
          </w:tcPr>
          <w:p w:rsidR="00301E91" w:rsidRPr="00DD4E4F" w:rsidRDefault="00301E91" w:rsidP="00B974ED">
            <w:pPr>
              <w:jc w:val="left"/>
              <w:rPr>
                <w:i/>
                <w:lang w:val="es-419"/>
              </w:rPr>
            </w:pPr>
            <w:r w:rsidRPr="00DD4E4F">
              <w:rPr>
                <w:i/>
                <w:lang w:val="es-419"/>
              </w:rPr>
              <w:t xml:space="preserve">“La mayoría de los encuestados (80%) reconocen el efecto preventivo y aclaratorio que han tenido las disposiciones sobre las variedades esencialmente derivadas del Acta de 1991 del Convenio de la UPOV en lo que respecta a la creación y comercialización de variedades principalmente derivadas sin un acuerdo.” </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2</w:t>
            </w:r>
          </w:p>
        </w:tc>
        <w:tc>
          <w:tcPr>
            <w:tcW w:w="8930" w:type="dxa"/>
          </w:tcPr>
          <w:p w:rsidR="00301E91" w:rsidRPr="00DD4E4F" w:rsidRDefault="00301E91" w:rsidP="00B974ED">
            <w:pPr>
              <w:jc w:val="left"/>
              <w:rPr>
                <w:i/>
                <w:lang w:val="es-419"/>
              </w:rPr>
            </w:pPr>
            <w:r w:rsidRPr="00DD4E4F">
              <w:rPr>
                <w:i/>
                <w:lang w:val="es-419"/>
              </w:rPr>
              <w:t>“[las disposiciones sobre las variedades esencialmente derivadas] Han llevado a las empresas de fitomejoramiento a revisar sus prácticas y se ha observado una autorregulación en ese aspecto.”</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3</w:t>
            </w:r>
          </w:p>
        </w:tc>
        <w:tc>
          <w:tcPr>
            <w:tcW w:w="8930" w:type="dxa"/>
          </w:tcPr>
          <w:p w:rsidR="00301E91" w:rsidRPr="00DD4E4F" w:rsidRDefault="00301E91" w:rsidP="00B974ED">
            <w:pPr>
              <w:jc w:val="left"/>
              <w:rPr>
                <w:i/>
                <w:lang w:val="es-419"/>
              </w:rPr>
            </w:pPr>
            <w:r w:rsidRPr="00DD4E4F">
              <w:rPr>
                <w:i/>
                <w:lang w:val="es-419"/>
              </w:rPr>
              <w:t xml:space="preserve">“Algunos obtentores indican que el concepto de variedad esencialmente derivada no está impidiendo la creación ni la comercialización de variedades esencialmente derivadas, sino que las está regulando. En cualquier caso, no se puede impedir la aparición de mutantes espontáneos.” </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4*</w:t>
            </w:r>
          </w:p>
        </w:tc>
        <w:tc>
          <w:tcPr>
            <w:tcW w:w="8930" w:type="dxa"/>
          </w:tcPr>
          <w:p w:rsidR="00301E91" w:rsidRPr="00DD4E4F" w:rsidRDefault="00301E91" w:rsidP="00B974ED">
            <w:pPr>
              <w:jc w:val="left"/>
              <w:rPr>
                <w:i/>
                <w:lang w:val="es-419"/>
              </w:rPr>
            </w:pPr>
            <w:r w:rsidRPr="00DD4E4F">
              <w:rPr>
                <w:i/>
                <w:lang w:val="es-419"/>
              </w:rPr>
              <w:t>“También se ha señalado que el concepto de variedad esencialmente derivada no reduce la biodiversidad sino que la potencia, ya que los obtentores han de recurrir a un germoplasma más amplio si pretenden evitar la creación de variedades esencialmente derivadas.”</w:t>
            </w:r>
          </w:p>
        </w:tc>
      </w:tr>
      <w:tr w:rsidR="00301E91" w:rsidRPr="00DD4E4F" w:rsidTr="00B974ED">
        <w:trPr>
          <w:cantSplit/>
        </w:trPr>
        <w:tc>
          <w:tcPr>
            <w:tcW w:w="1305" w:type="dxa"/>
          </w:tcPr>
          <w:p w:rsidR="00301E91" w:rsidRPr="00DD4E4F" w:rsidRDefault="00301E91" w:rsidP="00882908">
            <w:pPr>
              <w:rPr>
                <w:i/>
                <w:highlight w:val="green"/>
                <w:lang w:val="es-419"/>
              </w:rPr>
            </w:pPr>
            <w:r w:rsidRPr="00DD4E4F">
              <w:rPr>
                <w:i/>
                <w:lang w:val="es-419"/>
              </w:rPr>
              <w:t>Práctica 5*</w:t>
            </w:r>
          </w:p>
        </w:tc>
        <w:tc>
          <w:tcPr>
            <w:tcW w:w="8930" w:type="dxa"/>
          </w:tcPr>
          <w:p w:rsidR="00301E91" w:rsidRPr="00DD4E4F" w:rsidRDefault="00301E91" w:rsidP="00B974ED">
            <w:pPr>
              <w:jc w:val="left"/>
              <w:rPr>
                <w:i/>
                <w:lang w:val="es-419"/>
              </w:rPr>
            </w:pPr>
            <w:r w:rsidRPr="00DD4E4F">
              <w:rPr>
                <w:i/>
                <w:lang w:val="es-419"/>
              </w:rPr>
              <w:t>“Modificar uno o más caracteres de una variedad inicial empleando, por ejemplo, métodos de fitomejoramiento de última generación, no implica forzosamente que la nueva variedad quede fuera del ámbito de las variedades esencialmente derivadas.”</w:t>
            </w: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rPr>
                <w:i/>
                <w:lang w:val="es-419"/>
              </w:rPr>
            </w:pPr>
            <w:r w:rsidRPr="00DD4E4F">
              <w:rPr>
                <w:i/>
                <w:lang w:val="es-419"/>
              </w:rPr>
              <w:t>Derivación principal de la variedad inicial (artículo 14.5)b)i))</w:t>
            </w:r>
          </w:p>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lastRenderedPageBreak/>
              <w:t>Práctica 6</w:t>
            </w:r>
          </w:p>
        </w:tc>
        <w:tc>
          <w:tcPr>
            <w:tcW w:w="8930" w:type="dxa"/>
          </w:tcPr>
          <w:p w:rsidR="00301E91" w:rsidRPr="00DD4E4F" w:rsidRDefault="00301E91" w:rsidP="00B974ED">
            <w:pPr>
              <w:rPr>
                <w:i/>
                <w:lang w:val="es-419"/>
              </w:rPr>
            </w:pPr>
            <w:r w:rsidRPr="00DD4E4F">
              <w:rPr>
                <w:i/>
                <w:lang w:val="es-419"/>
              </w:rPr>
              <w:t>“Es irrelevante si el (los) carácter(es) que diferencia(n) a la variedad esencialmente derivada de la variedad inicial protegida tiene(n) o no importancia económica, agronómica o social, o si es (son) esencial(es) o accesorio(s). Los principios de la derivación esencial siguen siendo los mismos, y la derivación principal a partir de una variedad inicial es un requisito fundamental para que una variedad se considere esencialmente derivada.”</w:t>
            </w: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rPr>
                <w:i/>
                <w:lang w:val="es-419"/>
              </w:rPr>
            </w:pPr>
            <w:r w:rsidRPr="00DD4E4F">
              <w:rPr>
                <w:i/>
                <w:lang w:val="es-419"/>
              </w:rPr>
              <w:t>Distinción clara de la variedad inicial (artículo 14.5)b)ii))</w:t>
            </w:r>
          </w:p>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rPr>
                <w:i/>
                <w:lang w:val="es-419"/>
              </w:rPr>
            </w:pPr>
            <w:r w:rsidRPr="00DD4E4F">
              <w:rPr>
                <w:i/>
                <w:lang w:val="es-419"/>
              </w:rPr>
              <w:t>Conformidad con la variedad inicial en la expresión de los caracteres esenciales (artículo 14.5)b)iii)</w:t>
            </w:r>
          </w:p>
          <w:p w:rsidR="00301E91" w:rsidRPr="00DD4E4F" w:rsidRDefault="00301E91" w:rsidP="00B974ED">
            <w:pPr>
              <w:rPr>
                <w:i/>
                <w:lang w:val="es-419"/>
              </w:rPr>
            </w:pP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7*</w:t>
            </w:r>
          </w:p>
        </w:tc>
        <w:tc>
          <w:tcPr>
            <w:tcW w:w="8930" w:type="dxa"/>
          </w:tcPr>
          <w:p w:rsidR="00301E91" w:rsidRPr="00DD4E4F" w:rsidRDefault="00301E91" w:rsidP="00B974ED">
            <w:pPr>
              <w:rPr>
                <w:i/>
                <w:lang w:val="es-419"/>
              </w:rPr>
            </w:pPr>
            <w:r w:rsidRPr="00DD4E4F">
              <w:rPr>
                <w:i/>
                <w:lang w:val="es-419"/>
              </w:rPr>
              <w:t>“[Una] gran mayoría de los encuestados declaran que es irrelevante si el (los) carácter(es) que diferencia(n) a la variedad esencialmente derivada de la variedad inicial protegida tiene(n) o no importancia económica, agronómica o social. Recalcan que, siempre que una variedad se derive principalmente de la variedad inicial, se trata de una variedad “derivada de” y ha de considerarse esencialmente derivada.”</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8</w:t>
            </w:r>
          </w:p>
        </w:tc>
        <w:tc>
          <w:tcPr>
            <w:tcW w:w="8930" w:type="dxa"/>
          </w:tcPr>
          <w:p w:rsidR="00301E91" w:rsidRPr="00DD4E4F" w:rsidRDefault="00301E91" w:rsidP="00B974ED">
            <w:pPr>
              <w:rPr>
                <w:i/>
                <w:lang w:val="es-419"/>
              </w:rPr>
            </w:pPr>
            <w:r w:rsidRPr="00DD4E4F">
              <w:rPr>
                <w:i/>
                <w:lang w:val="es-419"/>
              </w:rPr>
              <w:t>“Algunas empresas indican que la calidad de los caracteres es relevante de cara a las negociaciones, ya que un carácter más importante permite al obtentor de la variedad esencialmente derivada reclamar una mayor proporción de la tasa de licencia.”</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9*</w:t>
            </w:r>
          </w:p>
        </w:tc>
        <w:tc>
          <w:tcPr>
            <w:tcW w:w="8930" w:type="dxa"/>
          </w:tcPr>
          <w:p w:rsidR="00301E91" w:rsidRPr="00DD4E4F" w:rsidRDefault="00301E91" w:rsidP="00B974ED">
            <w:pPr>
              <w:rPr>
                <w:i/>
                <w:lang w:val="es-419"/>
              </w:rPr>
            </w:pPr>
            <w:r w:rsidRPr="00DD4E4F">
              <w:rPr>
                <w:i/>
                <w:lang w:val="es-419"/>
              </w:rPr>
              <w:t>“Casi todas las empresas encuestadas (más del 90%) estiman negativo o muy negativo que no se consideren esencialmente derivadas las variedades obtenidas con métodos de fitomejoramiento de última generación (como la técnica 9 u otras tecnologías de ADN recombinante) y que se diferencien de la variedad inicial protegida en al menos un carácter. Como consecuencia, en su opinión, a los usuarios de esas nuevas tecnologías les resultará muy fácil recurrir a variedades existentes y el incentivo para crear nuevas variedades se verá mermado. Es previsible que, con esos métodos, disminuya la variación resultante de la segregación y, consiguientemente, la ganancia genética.”</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10</w:t>
            </w:r>
          </w:p>
        </w:tc>
        <w:tc>
          <w:tcPr>
            <w:tcW w:w="8930" w:type="dxa"/>
          </w:tcPr>
          <w:p w:rsidR="00301E91" w:rsidRPr="00DD4E4F" w:rsidRDefault="00301E91" w:rsidP="00B974ED">
            <w:pPr>
              <w:jc w:val="left"/>
              <w:rPr>
                <w:i/>
                <w:lang w:val="es-419"/>
              </w:rPr>
            </w:pPr>
            <w:r w:rsidRPr="00DD4E4F">
              <w:rPr>
                <w:i/>
                <w:lang w:val="es-419"/>
              </w:rPr>
              <w:t>“Algunos obtentores indican que el concepto de variedad esencialmente derivada no está impidiendo la creación ni la comercialización de variedades esencialmente derivadas, sino que las está regulando. En cualquier caso, no se puede impedir la aparición de mutantes espontáneos. Algunos obtentores señalan que es imposible impedir la comercialización de un mutante realmente valioso, pero que el concepto de variedad esencialmente derivada puede asegurar que en el sector nadie resulte perjudicado por la comercialización de gran cantidad de mutantes inestables o inferiores.”</w:t>
            </w: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jc w:val="left"/>
              <w:rPr>
                <w:i/>
                <w:lang w:val="es-419"/>
              </w:rPr>
            </w:pPr>
            <w:r w:rsidRPr="00DD4E4F">
              <w:rPr>
                <w:i/>
                <w:lang w:val="es-419"/>
              </w:rPr>
              <w:t>Ejemplos de métodos de obtención de una variedad esencialmente derivada (artículo 14.5)c))</w:t>
            </w:r>
          </w:p>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 xml:space="preserve">Práctica 11 </w:t>
            </w:r>
          </w:p>
        </w:tc>
        <w:tc>
          <w:tcPr>
            <w:tcW w:w="8930" w:type="dxa"/>
          </w:tcPr>
          <w:p w:rsidR="00301E91" w:rsidRPr="00DD4E4F" w:rsidRDefault="00301E91" w:rsidP="00B974ED">
            <w:pPr>
              <w:jc w:val="left"/>
              <w:rPr>
                <w:i/>
                <w:lang w:val="es-419"/>
              </w:rPr>
            </w:pPr>
            <w:r w:rsidRPr="00DD4E4F">
              <w:rPr>
                <w:i/>
                <w:lang w:val="es-419"/>
              </w:rPr>
              <w:t>“Si los productores descubren mutantes espontáneos o de yema (por ejemplo, en plantas ornamentales o frutales), sus contratos suelen obligarles a notificarlo.”</w:t>
            </w:r>
          </w:p>
          <w:p w:rsidR="00301E91" w:rsidRPr="00DD4E4F" w:rsidRDefault="00301E91" w:rsidP="00B974ED">
            <w:pPr>
              <w:jc w:val="left"/>
              <w:rPr>
                <w:i/>
                <w:lang w:val="es-419"/>
              </w:rPr>
            </w:pPr>
          </w:p>
          <w:p w:rsidR="00301E91" w:rsidRPr="00DD4E4F" w:rsidRDefault="00301E91" w:rsidP="00B974ED">
            <w:pPr>
              <w:jc w:val="left"/>
              <w:rPr>
                <w:i/>
                <w:lang w:val="es-419"/>
              </w:rPr>
            </w:pPr>
            <w:r w:rsidRPr="00DD4E4F">
              <w:rPr>
                <w:i/>
                <w:lang w:val="es-419"/>
              </w:rPr>
              <w:t xml:space="preserve">“Algunas empresas indican que establecen contratos con los productores en el caso de que se descubran mutantes espontáneos.” </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12</w:t>
            </w:r>
          </w:p>
        </w:tc>
        <w:tc>
          <w:tcPr>
            <w:tcW w:w="8930" w:type="dxa"/>
          </w:tcPr>
          <w:p w:rsidR="00301E91" w:rsidRPr="00DD4E4F" w:rsidRDefault="00301E91" w:rsidP="00B974ED">
            <w:pPr>
              <w:jc w:val="left"/>
              <w:rPr>
                <w:i/>
                <w:lang w:val="es-419"/>
              </w:rPr>
            </w:pPr>
            <w:r w:rsidRPr="00DD4E4F">
              <w:rPr>
                <w:i/>
                <w:lang w:val="es-419"/>
              </w:rPr>
              <w:t>“Otras empresas tienen por norma no desarrollar variedades esencialmente derivadas.”</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13</w:t>
            </w:r>
          </w:p>
        </w:tc>
        <w:tc>
          <w:tcPr>
            <w:tcW w:w="8930" w:type="dxa"/>
          </w:tcPr>
          <w:p w:rsidR="00301E91" w:rsidRPr="00DD4E4F" w:rsidRDefault="00301E91" w:rsidP="00B974ED">
            <w:pPr>
              <w:jc w:val="left"/>
              <w:rPr>
                <w:i/>
                <w:lang w:val="es-419"/>
              </w:rPr>
            </w:pPr>
            <w:r w:rsidRPr="00DD4E4F">
              <w:rPr>
                <w:i/>
                <w:lang w:val="es-419"/>
              </w:rPr>
              <w:t>“En cuanto a los mutantes espontáneos que aparecen en plantas ornamentales y frutales, principalmente en las instalaciones de los productores, muchos obtentores responden que su política consiste en buscar acuerdos para comercializar la variedad esencialmente derivada si su comercialización conlleva algún valor añadido.”</w:t>
            </w: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rPr>
                <w:i/>
                <w:lang w:val="es-419"/>
              </w:rPr>
            </w:pPr>
            <w:r w:rsidRPr="00DD4E4F">
              <w:rPr>
                <w:i/>
                <w:lang w:val="es-419"/>
              </w:rPr>
              <w:t>Método de fitomejoramiento</w:t>
            </w:r>
          </w:p>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rPr>
                <w:i/>
                <w:lang w:val="es-419"/>
              </w:rPr>
            </w:pPr>
            <w:r w:rsidRPr="00DD4E4F">
              <w:rPr>
                <w:i/>
                <w:lang w:val="es-419"/>
              </w:rPr>
              <w:t>Derivación directa e indirecta</w:t>
            </w:r>
          </w:p>
          <w:p w:rsidR="00301E91" w:rsidRPr="00DD4E4F" w:rsidRDefault="00301E91" w:rsidP="00B974ED">
            <w:pPr>
              <w:jc w:val="left"/>
              <w:rPr>
                <w:i/>
                <w:lang w:val="es-419"/>
              </w:rPr>
            </w:pPr>
          </w:p>
        </w:tc>
      </w:tr>
      <w:tr w:rsidR="00301E91" w:rsidRPr="00DD4E4F" w:rsidTr="00B974ED">
        <w:trPr>
          <w:cantSplit/>
          <w:trHeight w:val="547"/>
        </w:trPr>
        <w:tc>
          <w:tcPr>
            <w:tcW w:w="1305" w:type="dxa"/>
          </w:tcPr>
          <w:p w:rsidR="00301E91" w:rsidRPr="00DD4E4F" w:rsidRDefault="00301E91" w:rsidP="00B974ED">
            <w:pPr>
              <w:rPr>
                <w:i/>
                <w:lang w:val="es-419"/>
              </w:rPr>
            </w:pPr>
          </w:p>
        </w:tc>
        <w:tc>
          <w:tcPr>
            <w:tcW w:w="8930" w:type="dxa"/>
          </w:tcPr>
          <w:p w:rsidR="00301E91" w:rsidRPr="00DD4E4F" w:rsidRDefault="00301E91" w:rsidP="00B974ED">
            <w:pPr>
              <w:rPr>
                <w:lang w:val="es-419"/>
              </w:rPr>
            </w:pPr>
            <w:r w:rsidRPr="00DD4E4F">
              <w:rPr>
                <w:lang w:val="es-419"/>
              </w:rPr>
              <w:t>c)</w:t>
            </w:r>
            <w:r w:rsidRPr="00DD4E4F">
              <w:rPr>
                <w:lang w:val="es-419"/>
              </w:rPr>
              <w:tab/>
              <w:t>Alcance del derecho de obtentor respecto de variedades iniciales y variedades esencialmente derivadas</w:t>
            </w:r>
          </w:p>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rPr>
                <w:lang w:val="es-419"/>
              </w:rPr>
            </w:pPr>
            <w:r w:rsidRPr="00DD4E4F">
              <w:rPr>
                <w:lang w:val="es-419"/>
              </w:rPr>
              <w:t>d)</w:t>
            </w:r>
            <w:r w:rsidRPr="00DD4E4F">
              <w:rPr>
                <w:lang w:val="es-419"/>
              </w:rPr>
              <w:tab/>
              <w:t>Territorialidad de la protección de las variedades iniciales y variedades esencialmente derivadas</w:t>
            </w:r>
          </w:p>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jc w:val="left"/>
              <w:rPr>
                <w:lang w:val="es-419"/>
              </w:rPr>
            </w:pPr>
            <w:r w:rsidRPr="00DD4E4F">
              <w:rPr>
                <w:lang w:val="es-419"/>
              </w:rPr>
              <w:t>e)</w:t>
            </w:r>
            <w:r w:rsidRPr="00DD4E4F">
              <w:rPr>
                <w:lang w:val="es-419"/>
              </w:rPr>
              <w:tab/>
              <w:t>Transición de un Acta anterior al Acta de 1991 del Convenio de la UPOV</w:t>
            </w: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jc w:val="left"/>
              <w:rPr>
                <w:lang w:val="es-419"/>
              </w:rPr>
            </w:pPr>
          </w:p>
        </w:tc>
      </w:tr>
      <w:tr w:rsidR="00301E91" w:rsidRPr="00DD4E4F" w:rsidTr="00B974ED">
        <w:trPr>
          <w:cantSplit/>
        </w:trPr>
        <w:tc>
          <w:tcPr>
            <w:tcW w:w="1305" w:type="dxa"/>
          </w:tcPr>
          <w:p w:rsidR="00301E91" w:rsidRPr="00DD4E4F" w:rsidRDefault="00301E91" w:rsidP="00B974ED">
            <w:pPr>
              <w:rPr>
                <w:i/>
                <w:lang w:val="es-419"/>
              </w:rPr>
            </w:pPr>
          </w:p>
        </w:tc>
        <w:tc>
          <w:tcPr>
            <w:tcW w:w="8930" w:type="dxa"/>
          </w:tcPr>
          <w:p w:rsidR="00301E91" w:rsidRPr="00DD4E4F" w:rsidRDefault="00301E91" w:rsidP="00B974ED">
            <w:pPr>
              <w:jc w:val="left"/>
              <w:rPr>
                <w:lang w:val="es-419"/>
              </w:rPr>
            </w:pPr>
            <w:r w:rsidRPr="00DD4E4F">
              <w:rPr>
                <w:lang w:val="es-419"/>
              </w:rPr>
              <w:t>SECCIÓN II: EXAMEN DE LAS VARIEDADES ESENCIALMENTE DERIVADAS</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14</w:t>
            </w:r>
          </w:p>
        </w:tc>
        <w:tc>
          <w:tcPr>
            <w:tcW w:w="8930" w:type="dxa"/>
          </w:tcPr>
          <w:p w:rsidR="00301E91" w:rsidRPr="00DD4E4F" w:rsidRDefault="00301E91" w:rsidP="00B974ED">
            <w:pPr>
              <w:jc w:val="left"/>
              <w:rPr>
                <w:lang w:val="es-419"/>
              </w:rPr>
            </w:pPr>
            <w:r w:rsidRPr="00DD4E4F">
              <w:rPr>
                <w:i/>
                <w:lang w:val="es-419"/>
              </w:rPr>
              <w:t>“Algunos de los que formularon comentarios afirman que, en el caso de las variedades esencialmente derivadas desarrolladas por terceros, se puede llegar a un arreglo con ellos o establecer un acuerdo de licencia.”</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15</w:t>
            </w:r>
          </w:p>
        </w:tc>
        <w:tc>
          <w:tcPr>
            <w:tcW w:w="8930" w:type="dxa"/>
          </w:tcPr>
          <w:p w:rsidR="00301E91" w:rsidRPr="00DD4E4F" w:rsidRDefault="00301E91" w:rsidP="00B974ED">
            <w:pPr>
              <w:spacing w:after="60"/>
              <w:rPr>
                <w:rFonts w:eastAsia="Calibri" w:cs="Arial"/>
                <w:i/>
                <w:iCs/>
                <w:lang w:val="es-419"/>
              </w:rPr>
            </w:pPr>
            <w:r w:rsidRPr="00DD4E4F">
              <w:rPr>
                <w:rFonts w:eastAsia="Calibri" w:cs="Arial"/>
                <w:i/>
                <w:iCs/>
                <w:lang w:val="es-419"/>
              </w:rPr>
              <w:t>“Muchas empresas indican que comprueban las variedades de otros obtentores, en algunos casos mediante análisis de ADN. Algunas indican que establecen contratos con los productores en el caso de que se descubran mutantes espontáneos. Otras tienen por norma no desarrollar variedades esencialmente derivadas.” Algunas empresas no consideran necesaria una política porque las variedades esencialmente derivadas no representan un problema para sus cultivos, o piensan elaborar una política en un futuro próximo. En cuanto a los mutantes espontáneos que aparecen en plantas ornamentales y frutales, principalmente en las instalaciones de los productores, muchos obtentores responden que su política consiste en buscar acuerdos para comercializar la variedad esencialmente derivada si su comercialización conlleva algún valor añadido.”</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16</w:t>
            </w:r>
          </w:p>
        </w:tc>
        <w:tc>
          <w:tcPr>
            <w:tcW w:w="8930" w:type="dxa"/>
          </w:tcPr>
          <w:p w:rsidR="00301E91" w:rsidRPr="00DD4E4F" w:rsidRDefault="00301E91" w:rsidP="00B974ED">
            <w:pPr>
              <w:jc w:val="left"/>
              <w:rPr>
                <w:i/>
                <w:lang w:val="es-419"/>
              </w:rPr>
            </w:pPr>
            <w:r w:rsidRPr="00DD4E4F">
              <w:rPr>
                <w:i/>
                <w:lang w:val="es-419"/>
              </w:rPr>
              <w:t>“Muchas empresas efectúan comprobaciones a este respecto, en ocasiones con ayuda de marcadores moleculares. El 42% de los encuestados afirman que su empresa ha detectado variedades de terceros que posiblemente son esencialmente derivadas de sus propias variedades protegidas.”</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17</w:t>
            </w:r>
          </w:p>
        </w:tc>
        <w:tc>
          <w:tcPr>
            <w:tcW w:w="8930" w:type="dxa"/>
          </w:tcPr>
          <w:p w:rsidR="00301E91" w:rsidRPr="00DD4E4F" w:rsidRDefault="00301E91" w:rsidP="00B974ED">
            <w:pPr>
              <w:jc w:val="left"/>
              <w:rPr>
                <w:i/>
                <w:lang w:val="es-419"/>
              </w:rPr>
            </w:pPr>
            <w:r w:rsidRPr="00DD4E4F">
              <w:rPr>
                <w:i/>
                <w:lang w:val="es-419"/>
              </w:rPr>
              <w:t>“La mayor parte de los encuestados consideran que, para determinar si una variedad es esencialmente derivada, deben establecerse condiciones (umbrales, protocolos, etc.) elaboradas por los obtentores —o, al menos, con la participación de obtentores que conozcan bien los cultivos—, preferentemente a escala mundial con objeto de evitar las diferencias entre países. Algunos sostienen que en esa labor deben participar también autoridades independientes.”</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18</w:t>
            </w:r>
          </w:p>
        </w:tc>
        <w:tc>
          <w:tcPr>
            <w:tcW w:w="8930" w:type="dxa"/>
          </w:tcPr>
          <w:p w:rsidR="00301E91" w:rsidRPr="00DD4E4F" w:rsidRDefault="00301E91" w:rsidP="00B974ED">
            <w:pPr>
              <w:jc w:val="left"/>
              <w:rPr>
                <w:i/>
                <w:lang w:val="es-419"/>
              </w:rPr>
            </w:pPr>
            <w:r w:rsidRPr="00DD4E4F">
              <w:rPr>
                <w:i/>
                <w:lang w:val="es-419"/>
              </w:rPr>
              <w:t>“Algunos productores de semillas consideran importante que el sector cuente con un umbral de variedad esencialmente derivada, pero indican que debe existir la posibilidad de entablar acciones judiciales y que un órgano independiente (por ejemplo, un tribunal) dicte una decisión definitiva.”</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19</w:t>
            </w:r>
          </w:p>
        </w:tc>
        <w:tc>
          <w:tcPr>
            <w:tcW w:w="8930" w:type="dxa"/>
          </w:tcPr>
          <w:p w:rsidR="00301E91" w:rsidRPr="00DD4E4F" w:rsidRDefault="00301E91" w:rsidP="00B974ED">
            <w:pPr>
              <w:jc w:val="left"/>
              <w:rPr>
                <w:i/>
                <w:lang w:val="es-419"/>
              </w:rPr>
            </w:pPr>
            <w:r w:rsidRPr="00DD4E4F">
              <w:rPr>
                <w:i/>
                <w:lang w:val="es-419"/>
              </w:rPr>
              <w:t>“Algunos consideran que esta pregunta no es fácil de contestar. Bien porque algunos creen que una autoridad independiente está en mejor posición para distinguir objetivamente una variedad esencialmente derivada de la descendencia normal obtenida mediante cruzamientos convencionales, o bien porque algunos consideran obvio que los intereses de los obtentores de las variedades iniciales difieran de los intereses de los obtentores de las variedades esencialmente derivadas.”</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20*</w:t>
            </w:r>
          </w:p>
        </w:tc>
        <w:tc>
          <w:tcPr>
            <w:tcW w:w="8930" w:type="dxa"/>
          </w:tcPr>
          <w:p w:rsidR="00301E91" w:rsidRPr="00DD4E4F" w:rsidRDefault="00301E91" w:rsidP="00B974ED">
            <w:pPr>
              <w:jc w:val="left"/>
              <w:rPr>
                <w:i/>
                <w:lang w:val="es-419"/>
              </w:rPr>
            </w:pPr>
            <w:r w:rsidRPr="00DD4E4F">
              <w:rPr>
                <w:i/>
                <w:lang w:val="es-419"/>
              </w:rPr>
              <w:t>“La mayor parte de las empresas prefieren que decidan los tribunales o el arbitraje, pero algunas consideran que las autoridades de protección de las obtenciones vegetales pueden desempeñar un papel en lo que concierne a las cuestiones técnicas.”</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21</w:t>
            </w:r>
          </w:p>
        </w:tc>
        <w:tc>
          <w:tcPr>
            <w:tcW w:w="8930" w:type="dxa"/>
          </w:tcPr>
          <w:p w:rsidR="00301E91" w:rsidRPr="00DD4E4F" w:rsidRDefault="00301E91" w:rsidP="00B974ED">
            <w:pPr>
              <w:jc w:val="left"/>
              <w:rPr>
                <w:i/>
                <w:lang w:val="es-419"/>
              </w:rPr>
            </w:pPr>
            <w:r w:rsidRPr="00DD4E4F">
              <w:rPr>
                <w:i/>
                <w:lang w:val="es-419"/>
              </w:rPr>
              <w:t>“Suele decirse que a las autoridades de protección de las obtenciones vegetales se les suponen más conocimientos (técnicos) que a los tribunales o los árbitros, con arreglo a la situación específica del país. Por consiguiente, puede resultar muy útil que los expertos de las oficinas de protección de las obtenciones vegetales intervengan ante el tribunal judicial o arbitral. Algunos desearían que las autoridades de protección de las obtenciones vegetales dictasen decisiones acerca de la posible consideración de una variedad como esencialmente derivada durante el procedimiento de solicitud (lo que probablemente es menos costoso que un procedimiento judicial), con la posibilidad de recurrir posteriormente a los tribunales o al arbitraje. Otros opinan que las autoridades de protección de las obtenciones vegetales deben mantenerse neutrales y no posicionarse en las controversias entre empresas. Además, en una controversia judicial se suscitan muchas cuestiones que requieren competencias jurídicas y exceden de los conocimientos técnicos de las autoridades de protección de las obtenciones vegetales, tales como la validez del (de los) título(s), los actos de infracción, la responsabilidad civil y el grado de resarcimiento.”</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22</w:t>
            </w:r>
          </w:p>
        </w:tc>
        <w:tc>
          <w:tcPr>
            <w:tcW w:w="8930" w:type="dxa"/>
          </w:tcPr>
          <w:p w:rsidR="00301E91" w:rsidRPr="00DD4E4F" w:rsidRDefault="00301E91" w:rsidP="00B974ED">
            <w:pPr>
              <w:jc w:val="left"/>
              <w:rPr>
                <w:i/>
                <w:lang w:val="es-419"/>
              </w:rPr>
            </w:pPr>
            <w:r w:rsidRPr="00DD4E4F">
              <w:rPr>
                <w:i/>
                <w:lang w:val="es-419"/>
              </w:rPr>
              <w:t>“Muchos encuestados del sector de las semillas indican que hacen uso de los instrumentos elaborados por la industria de las semillas para evitar las controversias y ayudar a resolverlas.”</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lastRenderedPageBreak/>
              <w:t>Práctica 23</w:t>
            </w:r>
          </w:p>
        </w:tc>
        <w:tc>
          <w:tcPr>
            <w:tcW w:w="8930" w:type="dxa"/>
          </w:tcPr>
          <w:p w:rsidR="00301E91" w:rsidRPr="00DD4E4F" w:rsidRDefault="00301E91" w:rsidP="00B974ED">
            <w:pPr>
              <w:jc w:val="left"/>
              <w:rPr>
                <w:i/>
                <w:lang w:val="es-419"/>
              </w:rPr>
            </w:pPr>
            <w:r w:rsidRPr="00DD4E4F">
              <w:rPr>
                <w:i/>
                <w:lang w:val="es-419"/>
              </w:rPr>
              <w:t>“</w:t>
            </w:r>
            <w:proofErr w:type="spellStart"/>
            <w:r w:rsidRPr="00DD4E4F">
              <w:rPr>
                <w:i/>
                <w:lang w:val="es-419"/>
              </w:rPr>
              <w:t>ISF</w:t>
            </w:r>
            <w:proofErr w:type="spellEnd"/>
            <w:r w:rsidRPr="00DD4E4F">
              <w:rPr>
                <w:i/>
                <w:lang w:val="es-419"/>
              </w:rPr>
              <w:t xml:space="preserve"> y </w:t>
            </w:r>
            <w:proofErr w:type="spellStart"/>
            <w:r w:rsidRPr="00DD4E4F">
              <w:rPr>
                <w:i/>
                <w:lang w:val="es-419"/>
              </w:rPr>
              <w:t>Euroseeds</w:t>
            </w:r>
            <w:proofErr w:type="spellEnd"/>
            <w:r w:rsidRPr="00DD4E4F">
              <w:rPr>
                <w:i/>
                <w:lang w:val="es-419"/>
              </w:rPr>
              <w:t xml:space="preserve"> han elaborado directrices acerca de las variedades esencialmente derivadas, en las que se establecen umbrales genéticos para el </w:t>
            </w:r>
            <w:proofErr w:type="spellStart"/>
            <w:r w:rsidRPr="00DD4E4F">
              <w:rPr>
                <w:i/>
                <w:lang w:val="es-419"/>
              </w:rPr>
              <w:t>raygrás</w:t>
            </w:r>
            <w:proofErr w:type="spellEnd"/>
            <w:r w:rsidRPr="00DD4E4F">
              <w:rPr>
                <w:i/>
                <w:lang w:val="es-419"/>
              </w:rPr>
              <w:t xml:space="preserve"> inglés, el maíz, la colza oleaginosa, el algodón, la lechuga y la papa/patata: </w:t>
            </w:r>
          </w:p>
          <w:p w:rsidR="00301E91" w:rsidRPr="00DD4E4F" w:rsidRDefault="00F62F0E" w:rsidP="00B974ED">
            <w:pPr>
              <w:jc w:val="left"/>
              <w:rPr>
                <w:i/>
                <w:lang w:val="es-419"/>
              </w:rPr>
            </w:pPr>
            <w:hyperlink r:id="rId15" w:anchor="essential-derivation" w:history="1">
              <w:r w:rsidR="00301E91" w:rsidRPr="00DD4E4F">
                <w:rPr>
                  <w:i/>
                  <w:color w:val="0000FF"/>
                  <w:u w:val="single"/>
                  <w:lang w:val="es-419"/>
                </w:rPr>
                <w:t>https://www.worldseed.org/our-work/trade-rules/#essential-derivation</w:t>
              </w:r>
            </w:hyperlink>
            <w:r w:rsidR="00301E91" w:rsidRPr="00DD4E4F">
              <w:rPr>
                <w:i/>
                <w:lang w:val="es-419"/>
              </w:rPr>
              <w:t xml:space="preserve"> </w:t>
            </w:r>
          </w:p>
          <w:p w:rsidR="00301E91" w:rsidRPr="00DD4E4F" w:rsidRDefault="00F62F0E" w:rsidP="00B974ED">
            <w:pPr>
              <w:jc w:val="left"/>
              <w:rPr>
                <w:i/>
                <w:lang w:val="es-419"/>
              </w:rPr>
            </w:pPr>
            <w:hyperlink r:id="rId16" w:history="1">
              <w:r w:rsidR="00301E91" w:rsidRPr="00DD4E4F">
                <w:rPr>
                  <w:i/>
                  <w:color w:val="0000FF"/>
                  <w:u w:val="single"/>
                  <w:lang w:val="es-419"/>
                </w:rPr>
                <w:t>https://www.euroseeds.eu/app/uploads/2019/07/12.0838.pdf</w:t>
              </w:r>
            </w:hyperlink>
            <w:r w:rsidR="00301E91" w:rsidRPr="00DD4E4F">
              <w:rPr>
                <w:i/>
                <w:lang w:val="es-419"/>
              </w:rPr>
              <w:t xml:space="preserve">” </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24</w:t>
            </w:r>
          </w:p>
        </w:tc>
        <w:tc>
          <w:tcPr>
            <w:tcW w:w="8930" w:type="dxa"/>
          </w:tcPr>
          <w:p w:rsidR="00301E91" w:rsidRPr="00DD4E4F" w:rsidRDefault="00301E91" w:rsidP="00B974ED">
            <w:pPr>
              <w:jc w:val="left"/>
              <w:rPr>
                <w:lang w:val="es-419"/>
              </w:rPr>
            </w:pPr>
            <w:r w:rsidRPr="00DD4E4F">
              <w:rPr>
                <w:lang w:val="es-419"/>
              </w:rPr>
              <w:t>“El 82% de los encuestados afirman que su empresa no desarrolla variedades que puedan considerarse esencialmente derivadas de variedades protegidas de otras empresas.</w:t>
            </w:r>
          </w:p>
          <w:p w:rsidR="00301E91" w:rsidRPr="00DD4E4F" w:rsidRDefault="00301E91" w:rsidP="00B974ED">
            <w:pPr>
              <w:jc w:val="left"/>
              <w:rPr>
                <w:lang w:val="es-419"/>
              </w:rPr>
            </w:pPr>
            <w:r w:rsidRPr="00DD4E4F">
              <w:rPr>
                <w:lang w:val="es-419"/>
              </w:rPr>
              <w:t xml:space="preserve">La gran mayoría de los obtentores procuran evitar la creación de variedades esencialmente derivadas, por ejemplo, trabajando con su propio material cuando recurren al fitomejoramiento por </w:t>
            </w:r>
            <w:proofErr w:type="spellStart"/>
            <w:r w:rsidRPr="00DD4E4F">
              <w:rPr>
                <w:lang w:val="es-419"/>
              </w:rPr>
              <w:t>mutagénesis</w:t>
            </w:r>
            <w:proofErr w:type="spellEnd"/>
            <w:r w:rsidRPr="00DD4E4F">
              <w:rPr>
                <w:lang w:val="es-419"/>
              </w:rPr>
              <w:t xml:space="preserve"> y realizando cruzamientos cuando trabajan con material de la competencia. No obstante, algunos indican que no pretenden evitar a toda costa la creación de variedades esencialmente derivadas y que, cuando es necesario, entablan conversaciones con el titular de la variedad inicial.”</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25</w:t>
            </w:r>
          </w:p>
        </w:tc>
        <w:tc>
          <w:tcPr>
            <w:tcW w:w="8930" w:type="dxa"/>
          </w:tcPr>
          <w:p w:rsidR="00301E91" w:rsidRPr="00DD4E4F" w:rsidRDefault="00301E91" w:rsidP="00B974ED">
            <w:pPr>
              <w:rPr>
                <w:rFonts w:cs="Arial"/>
                <w:i/>
                <w:lang w:val="es-419"/>
              </w:rPr>
            </w:pPr>
            <w:r w:rsidRPr="00DD4E4F">
              <w:rPr>
                <w:rFonts w:cs="Arial"/>
                <w:i/>
                <w:lang w:val="es-419"/>
              </w:rPr>
              <w:t>“Algunos indican que no comprueban activamente si otros desarrollan variedades esencialmente derivadas.”</w:t>
            </w:r>
          </w:p>
          <w:p w:rsidR="00301E91" w:rsidRPr="00DD4E4F" w:rsidRDefault="00301E91" w:rsidP="00B974ED">
            <w:pPr>
              <w:jc w:val="left"/>
              <w:rPr>
                <w:i/>
                <w:lang w:val="es-419"/>
              </w:rPr>
            </w:pP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26</w:t>
            </w:r>
          </w:p>
        </w:tc>
        <w:tc>
          <w:tcPr>
            <w:tcW w:w="8930" w:type="dxa"/>
          </w:tcPr>
          <w:p w:rsidR="00301E91" w:rsidRPr="00DD4E4F" w:rsidRDefault="00301E91" w:rsidP="00B974ED">
            <w:pPr>
              <w:rPr>
                <w:rFonts w:cs="Arial"/>
                <w:i/>
                <w:lang w:val="es-419"/>
              </w:rPr>
            </w:pPr>
            <w:r w:rsidRPr="00DD4E4F">
              <w:rPr>
                <w:rFonts w:cs="Arial"/>
                <w:i/>
                <w:lang w:val="es-419"/>
              </w:rPr>
              <w:t>“La mayoría de los encuestados no disponen de una política de empresa para abordar las cuestiones relativas a las variedades esencialmente derivadas.”</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27</w:t>
            </w:r>
          </w:p>
        </w:tc>
        <w:tc>
          <w:tcPr>
            <w:tcW w:w="8930" w:type="dxa"/>
          </w:tcPr>
          <w:p w:rsidR="00301E91" w:rsidRPr="00DD4E4F" w:rsidRDefault="00301E91" w:rsidP="00B974ED">
            <w:pPr>
              <w:rPr>
                <w:rFonts w:cs="Arial"/>
                <w:i/>
                <w:lang w:val="es-419"/>
              </w:rPr>
            </w:pPr>
            <w:r w:rsidRPr="00DD4E4F">
              <w:rPr>
                <w:rFonts w:cs="Arial"/>
                <w:i/>
                <w:lang w:val="es-419"/>
              </w:rPr>
              <w:t>“Muchas empresas han dictado instrucciones internas a sus obtentores para evitar la creación de variedades esencialmente derivadas, ya sea limitándose a realizar cruzamientos cuando utilicen material vegetal de otros obtentores o aplicando el fitomejoramiento por mutación únicamente al material propio.”</w:t>
            </w:r>
          </w:p>
        </w:tc>
      </w:tr>
      <w:tr w:rsidR="00301E91" w:rsidRPr="00DD4E4F" w:rsidTr="00B974ED">
        <w:trPr>
          <w:cantSplit/>
        </w:trPr>
        <w:tc>
          <w:tcPr>
            <w:tcW w:w="1305" w:type="dxa"/>
          </w:tcPr>
          <w:p w:rsidR="00301E91" w:rsidRPr="00DD4E4F" w:rsidRDefault="00301E91" w:rsidP="00B974ED">
            <w:pPr>
              <w:rPr>
                <w:i/>
                <w:lang w:val="es-419"/>
              </w:rPr>
            </w:pPr>
            <w:r w:rsidRPr="00DD4E4F">
              <w:rPr>
                <w:i/>
                <w:lang w:val="es-419"/>
              </w:rPr>
              <w:t>Práctica 28</w:t>
            </w:r>
          </w:p>
        </w:tc>
        <w:tc>
          <w:tcPr>
            <w:tcW w:w="8930" w:type="dxa"/>
          </w:tcPr>
          <w:p w:rsidR="00301E91" w:rsidRPr="00DD4E4F" w:rsidRDefault="00301E91" w:rsidP="00B974ED">
            <w:pPr>
              <w:rPr>
                <w:rFonts w:cs="Arial"/>
                <w:i/>
                <w:lang w:val="es-419"/>
              </w:rPr>
            </w:pPr>
            <w:r w:rsidRPr="00DD4E4F">
              <w:rPr>
                <w:rFonts w:cs="Arial"/>
                <w:i/>
                <w:lang w:val="es-419"/>
              </w:rPr>
              <w:t xml:space="preserve">“Algunas empresas que trabajan con plantas híbridas indican que tienen instrucciones de no realizar demasiados </w:t>
            </w:r>
            <w:proofErr w:type="spellStart"/>
            <w:r w:rsidRPr="00DD4E4F">
              <w:rPr>
                <w:rFonts w:cs="Arial"/>
                <w:i/>
                <w:lang w:val="es-419"/>
              </w:rPr>
              <w:t>retrocruzamientos</w:t>
            </w:r>
            <w:proofErr w:type="spellEnd"/>
            <w:r w:rsidRPr="00DD4E4F">
              <w:rPr>
                <w:rFonts w:cs="Arial"/>
                <w:i/>
                <w:lang w:val="es-419"/>
              </w:rPr>
              <w:t xml:space="preserve"> y de comprobar que la nueva variedad es suficientemente distinta. Algunos obtentores indican que, si bien no cuentan con una política escrita, su personal está al tanto de esta cuestión.”</w:t>
            </w:r>
          </w:p>
        </w:tc>
      </w:tr>
    </w:tbl>
    <w:p w:rsidR="00301E91" w:rsidRPr="00DD4E4F" w:rsidRDefault="00301E91" w:rsidP="00301E91">
      <w:pPr>
        <w:rPr>
          <w:rFonts w:cs="Arial"/>
          <w:lang w:val="es-419"/>
        </w:rPr>
      </w:pPr>
    </w:p>
    <w:p w:rsidR="00301E91" w:rsidRPr="00DD4E4F" w:rsidRDefault="00301E91" w:rsidP="00301E91">
      <w:pPr>
        <w:rPr>
          <w:rFonts w:cs="Arial"/>
          <w:lang w:val="es-419"/>
        </w:rPr>
      </w:pPr>
    </w:p>
    <w:p w:rsidR="00301E91" w:rsidRPr="00DD4E4F" w:rsidRDefault="00301E91" w:rsidP="00301E91">
      <w:pPr>
        <w:jc w:val="right"/>
        <w:rPr>
          <w:rFonts w:cs="Arial"/>
          <w:lang w:val="es-419"/>
        </w:rPr>
      </w:pPr>
      <w:r w:rsidRPr="00DD4E4F">
        <w:rPr>
          <w:rFonts w:cs="Arial"/>
          <w:lang w:val="es-419"/>
        </w:rPr>
        <w:t>[Sigue el Anexo II]</w:t>
      </w:r>
    </w:p>
    <w:p w:rsidR="00301E91" w:rsidRPr="00DD4E4F" w:rsidRDefault="00301E91" w:rsidP="00301E91">
      <w:pPr>
        <w:rPr>
          <w:rFonts w:cs="Arial"/>
          <w:lang w:val="es-419"/>
        </w:rPr>
      </w:pPr>
    </w:p>
    <w:p w:rsidR="00301E91" w:rsidRPr="00DD4E4F" w:rsidRDefault="00301E91" w:rsidP="00301E91">
      <w:pPr>
        <w:rPr>
          <w:rFonts w:cs="Arial"/>
          <w:lang w:val="es-419"/>
        </w:rPr>
      </w:pPr>
    </w:p>
    <w:p w:rsidR="00301E91" w:rsidRPr="00DD4E4F" w:rsidRDefault="00301E91" w:rsidP="00301E91">
      <w:pPr>
        <w:rPr>
          <w:rFonts w:cs="Arial"/>
          <w:lang w:val="es-419"/>
        </w:rPr>
        <w:sectPr w:rsidR="00301E91" w:rsidRPr="00DD4E4F" w:rsidSect="0018090B">
          <w:headerReference w:type="default" r:id="rId17"/>
          <w:headerReference w:type="first" r:id="rId18"/>
          <w:endnotePr>
            <w:numFmt w:val="lowerLetter"/>
          </w:endnotePr>
          <w:pgSz w:w="11907" w:h="16840" w:code="9"/>
          <w:pgMar w:top="510" w:right="1134" w:bottom="993" w:left="1134" w:header="510" w:footer="624" w:gutter="0"/>
          <w:pgNumType w:start="1"/>
          <w:cols w:space="720"/>
          <w:titlePg/>
        </w:sectPr>
      </w:pPr>
    </w:p>
    <w:p w:rsidR="00301E91" w:rsidRPr="00A444FD" w:rsidRDefault="00301E91" w:rsidP="00301E91">
      <w:pPr>
        <w:jc w:val="center"/>
        <w:rPr>
          <w:rFonts w:cs="Arial"/>
          <w:sz w:val="12"/>
          <w:lang w:val="es-419"/>
        </w:rPr>
      </w:pPr>
    </w:p>
    <w:p w:rsidR="00301E91" w:rsidRPr="00DD4E4F" w:rsidRDefault="00301E91" w:rsidP="00301E91">
      <w:pPr>
        <w:jc w:val="center"/>
        <w:rPr>
          <w:rFonts w:cs="Arial"/>
          <w:lang w:val="es-419"/>
        </w:rPr>
      </w:pPr>
      <w:r w:rsidRPr="00DD4E4F">
        <w:rPr>
          <w:rFonts w:cs="Arial"/>
          <w:lang w:val="es-419"/>
        </w:rPr>
        <w:t>PROYECTO DE MANDATO DEL</w:t>
      </w:r>
      <w:r w:rsidR="002B692A" w:rsidRPr="00DD4E4F">
        <w:rPr>
          <w:rFonts w:cs="Arial"/>
          <w:lang w:val="es-419"/>
        </w:rPr>
        <w:br/>
      </w:r>
      <w:r w:rsidRPr="00DD4E4F">
        <w:rPr>
          <w:rFonts w:cs="Arial"/>
          <w:lang w:val="es-419"/>
        </w:rPr>
        <w:t>GRUPO DE TRABAJO SOBRE</w:t>
      </w:r>
      <w:r w:rsidR="002B692A" w:rsidRPr="00DD4E4F">
        <w:rPr>
          <w:rFonts w:cs="Arial"/>
          <w:lang w:val="es-419"/>
        </w:rPr>
        <w:t xml:space="preserve"> </w:t>
      </w:r>
      <w:r w:rsidRPr="00DD4E4F">
        <w:rPr>
          <w:rFonts w:cs="Arial"/>
          <w:lang w:val="es-419"/>
        </w:rPr>
        <w:t>VARIEDADES ESENCIALMENTE DERIVADAS</w:t>
      </w:r>
      <w:r w:rsidR="002946C6" w:rsidRPr="00DD4E4F">
        <w:rPr>
          <w:rFonts w:cs="Arial"/>
          <w:lang w:val="es-419"/>
        </w:rPr>
        <w:t xml:space="preserve"> </w:t>
      </w:r>
      <w:r w:rsidRPr="00DD4E4F">
        <w:rPr>
          <w:rFonts w:cs="Arial"/>
          <w:lang w:val="es-419"/>
        </w:rPr>
        <w:t>(</w:t>
      </w:r>
      <w:proofErr w:type="spellStart"/>
      <w:r w:rsidRPr="00DD4E4F">
        <w:rPr>
          <w:rFonts w:cs="Arial"/>
          <w:lang w:val="es-419"/>
        </w:rPr>
        <w:t>WG</w:t>
      </w:r>
      <w:proofErr w:type="spellEnd"/>
      <w:r w:rsidRPr="00DD4E4F">
        <w:rPr>
          <w:rFonts w:cs="Arial"/>
          <w:lang w:val="es-419"/>
        </w:rPr>
        <w:t>-EDV)</w:t>
      </w:r>
    </w:p>
    <w:p w:rsidR="00301E91" w:rsidRPr="00DD4E4F" w:rsidRDefault="00301E91" w:rsidP="00301E91">
      <w:pPr>
        <w:jc w:val="center"/>
        <w:rPr>
          <w:lang w:val="es-419"/>
        </w:rPr>
      </w:pPr>
    </w:p>
    <w:p w:rsidR="00301E91" w:rsidRPr="00DD4E4F" w:rsidRDefault="00301E91" w:rsidP="00301E91">
      <w:pPr>
        <w:jc w:val="center"/>
        <w:rPr>
          <w:rFonts w:cs="Arial"/>
          <w:lang w:val="es-419"/>
        </w:rPr>
      </w:pPr>
      <w:r w:rsidRPr="00DD4E4F">
        <w:rPr>
          <w:rFonts w:cs="Arial"/>
          <w:lang w:val="es-419"/>
        </w:rPr>
        <w:t>[extraído del Anexo II de la circular E-20/093 de la UPOV, de fecha 9 de julio de 2020; las modificaciones se muestran con marcas de revisión manual y sombreado en gris]</w:t>
      </w:r>
    </w:p>
    <w:p w:rsidR="00301E91" w:rsidRPr="00A444FD" w:rsidRDefault="00301E91" w:rsidP="00301E91">
      <w:pPr>
        <w:jc w:val="center"/>
        <w:rPr>
          <w:sz w:val="12"/>
          <w:lang w:val="es-419"/>
        </w:rPr>
      </w:pPr>
    </w:p>
    <w:p w:rsidR="00301E91" w:rsidRPr="00DD4E4F" w:rsidRDefault="00301E91" w:rsidP="00301E91">
      <w:pPr>
        <w:jc w:val="center"/>
        <w:rPr>
          <w:lang w:val="es-419"/>
        </w:rPr>
      </w:pPr>
    </w:p>
    <w:p w:rsidR="00301E91" w:rsidRPr="00DD4E4F" w:rsidRDefault="00301E91" w:rsidP="00301E91">
      <w:pPr>
        <w:rPr>
          <w:lang w:val="es-419"/>
        </w:rPr>
      </w:pPr>
      <w:r w:rsidRPr="00DD4E4F">
        <w:rPr>
          <w:lang w:val="es-419"/>
        </w:rPr>
        <w:t xml:space="preserve">FINALIDAD: </w:t>
      </w:r>
    </w:p>
    <w:p w:rsidR="00301E91" w:rsidRPr="00A444FD" w:rsidRDefault="00301E91" w:rsidP="00301E91">
      <w:pPr>
        <w:pStyle w:val="ListParagraph"/>
        <w:ind w:left="0"/>
        <w:rPr>
          <w:rFonts w:cs="Arial"/>
          <w:sz w:val="18"/>
          <w:szCs w:val="18"/>
          <w:lang w:val="es-419"/>
        </w:rPr>
      </w:pPr>
    </w:p>
    <w:p w:rsidR="00301E91" w:rsidRPr="00DD4E4F" w:rsidRDefault="00301E91" w:rsidP="00301E91">
      <w:pPr>
        <w:pStyle w:val="ListParagraph"/>
        <w:ind w:left="0"/>
        <w:rPr>
          <w:rFonts w:cs="Arial"/>
          <w:lang w:val="es-419"/>
        </w:rPr>
      </w:pPr>
      <w:r w:rsidRPr="00DD4E4F">
        <w:rPr>
          <w:rFonts w:cs="Arial"/>
          <w:lang w:val="es-419"/>
        </w:rPr>
        <w:t xml:space="preserve">El </w:t>
      </w:r>
      <w:proofErr w:type="spellStart"/>
      <w:r w:rsidRPr="00DD4E4F">
        <w:rPr>
          <w:rFonts w:cs="Arial"/>
          <w:lang w:val="es-419"/>
        </w:rPr>
        <w:t>WG</w:t>
      </w:r>
      <w:proofErr w:type="spellEnd"/>
      <w:r w:rsidRPr="00DD4E4F">
        <w:rPr>
          <w:rFonts w:cs="Arial"/>
          <w:lang w:val="es-419"/>
        </w:rPr>
        <w:t>-EDV tiene por finalidad elaborar un proyecto de revisión de las “Notas explicativas sobre las variedades esencialmente derivadas con arreglo al Acta de 1991 del Convenio de la UPOV” (documento UPOV/</w:t>
      </w:r>
      <w:proofErr w:type="spellStart"/>
      <w:r w:rsidRPr="00DD4E4F">
        <w:rPr>
          <w:rFonts w:cs="Arial"/>
          <w:lang w:val="es-419"/>
        </w:rPr>
        <w:t>EXN</w:t>
      </w:r>
      <w:proofErr w:type="spellEnd"/>
      <w:r w:rsidRPr="00DD4E4F">
        <w:rPr>
          <w:rFonts w:cs="Arial"/>
          <w:lang w:val="es-419"/>
        </w:rPr>
        <w:t>/EV/2), que se someterá al examen del Comité Administrativo y Jurídico (</w:t>
      </w:r>
      <w:proofErr w:type="spellStart"/>
      <w:r w:rsidRPr="00DD4E4F">
        <w:rPr>
          <w:rFonts w:cs="Arial"/>
          <w:lang w:val="es-419"/>
        </w:rPr>
        <w:t>CAJ</w:t>
      </w:r>
      <w:proofErr w:type="spellEnd"/>
      <w:r w:rsidRPr="00DD4E4F">
        <w:rPr>
          <w:rFonts w:cs="Arial"/>
          <w:lang w:val="es-419"/>
        </w:rPr>
        <w:t>).</w:t>
      </w:r>
    </w:p>
    <w:p w:rsidR="00301E91" w:rsidRPr="00A444FD" w:rsidRDefault="00301E91" w:rsidP="00301E91">
      <w:pPr>
        <w:rPr>
          <w:sz w:val="12"/>
          <w:lang w:val="es-419"/>
        </w:rPr>
      </w:pPr>
    </w:p>
    <w:p w:rsidR="00301E91" w:rsidRPr="00A444FD" w:rsidRDefault="00301E91" w:rsidP="00301E91">
      <w:pPr>
        <w:rPr>
          <w:rFonts w:cs="Arial"/>
          <w:sz w:val="18"/>
          <w:szCs w:val="18"/>
          <w:lang w:val="es-419"/>
        </w:rPr>
      </w:pPr>
    </w:p>
    <w:p w:rsidR="00301E91" w:rsidRPr="00DD4E4F" w:rsidRDefault="00301E91" w:rsidP="00301E91">
      <w:pPr>
        <w:rPr>
          <w:lang w:val="es-419"/>
        </w:rPr>
      </w:pPr>
      <w:r w:rsidRPr="00DD4E4F">
        <w:rPr>
          <w:lang w:val="es-419"/>
        </w:rPr>
        <w:t>COMPOSICIÓN:</w:t>
      </w:r>
    </w:p>
    <w:p w:rsidR="00301E91" w:rsidRPr="00A444FD" w:rsidRDefault="00301E91" w:rsidP="00301E91">
      <w:pPr>
        <w:rPr>
          <w:rFonts w:cs="Arial"/>
          <w:sz w:val="18"/>
          <w:szCs w:val="18"/>
          <w:lang w:val="es-419"/>
        </w:rPr>
      </w:pPr>
    </w:p>
    <w:p w:rsidR="00301E91" w:rsidRPr="00DD4E4F" w:rsidRDefault="00301E91" w:rsidP="00301E91">
      <w:pPr>
        <w:ind w:firstLine="567"/>
        <w:rPr>
          <w:rFonts w:cs="Arial"/>
          <w:color w:val="000000"/>
          <w:lang w:val="es-419"/>
        </w:rPr>
      </w:pPr>
      <w:r w:rsidRPr="00DD4E4F">
        <w:rPr>
          <w:rFonts w:cs="Arial"/>
          <w:lang w:val="es-419"/>
        </w:rPr>
        <w:t>a)</w:t>
      </w:r>
      <w:r w:rsidRPr="00DD4E4F">
        <w:rPr>
          <w:rFonts w:cs="Arial"/>
          <w:lang w:val="es-419"/>
        </w:rPr>
        <w:tab/>
        <w:t>se compondrá de los miembros de la Unión y los observadores que acuerde el </w:t>
      </w:r>
      <w:proofErr w:type="spellStart"/>
      <w:r w:rsidRPr="00DD4E4F">
        <w:rPr>
          <w:rFonts w:cs="Arial"/>
          <w:lang w:val="es-419"/>
        </w:rPr>
        <w:t>CAJ</w:t>
      </w:r>
      <w:proofErr w:type="spellEnd"/>
      <w:r w:rsidRPr="00DD4E4F">
        <w:rPr>
          <w:rFonts w:cs="Arial"/>
          <w:lang w:val="es-419"/>
        </w:rPr>
        <w:t>;</w:t>
      </w:r>
      <w:r w:rsidRPr="00DD4E4F">
        <w:rPr>
          <w:rFonts w:cs="Arial"/>
          <w:color w:val="000000"/>
          <w:lang w:val="es-419"/>
        </w:rPr>
        <w:t xml:space="preserve"> </w:t>
      </w:r>
    </w:p>
    <w:p w:rsidR="00301E91" w:rsidRPr="00A444FD" w:rsidRDefault="00301E91" w:rsidP="00301E91">
      <w:pPr>
        <w:rPr>
          <w:rFonts w:cs="Arial"/>
          <w:sz w:val="18"/>
          <w:szCs w:val="18"/>
          <w:lang w:val="es-419"/>
        </w:rPr>
      </w:pPr>
    </w:p>
    <w:p w:rsidR="00301E91" w:rsidRPr="00DD4E4F" w:rsidRDefault="00301E91" w:rsidP="00301E91">
      <w:pPr>
        <w:ind w:firstLine="567"/>
        <w:rPr>
          <w:rFonts w:cs="Arial"/>
          <w:lang w:val="es-419"/>
        </w:rPr>
      </w:pPr>
      <w:r w:rsidRPr="00DD4E4F">
        <w:rPr>
          <w:rFonts w:cs="Arial"/>
          <w:lang w:val="es-419"/>
        </w:rPr>
        <w:t>b)</w:t>
      </w:r>
      <w:r w:rsidRPr="00DD4E4F">
        <w:rPr>
          <w:rFonts w:cs="Arial"/>
          <w:lang w:val="es-419"/>
        </w:rPr>
        <w:tab/>
        <w:t xml:space="preserve">cuando lo deseen, los demás miembros de la Unión tendrán la facultad de participar en las reuniones del </w:t>
      </w:r>
      <w:proofErr w:type="spellStart"/>
      <w:r w:rsidRPr="00DD4E4F">
        <w:rPr>
          <w:rFonts w:cs="Arial"/>
          <w:lang w:val="es-419"/>
        </w:rPr>
        <w:t>WG</w:t>
      </w:r>
      <w:proofErr w:type="spellEnd"/>
      <w:r w:rsidRPr="00DD4E4F">
        <w:rPr>
          <w:rFonts w:cs="Arial"/>
          <w:lang w:val="es-419"/>
        </w:rPr>
        <w:t>-EDV y formular comentarios;</w:t>
      </w:r>
    </w:p>
    <w:p w:rsidR="00301E91" w:rsidRPr="00A444FD" w:rsidRDefault="00301E91" w:rsidP="00301E91">
      <w:pPr>
        <w:rPr>
          <w:rFonts w:cs="Arial"/>
          <w:sz w:val="18"/>
          <w:szCs w:val="18"/>
          <w:lang w:val="es-419"/>
        </w:rPr>
      </w:pPr>
    </w:p>
    <w:p w:rsidR="00301E91" w:rsidRPr="00DD4E4F" w:rsidRDefault="00301E91" w:rsidP="00301E91">
      <w:pPr>
        <w:ind w:firstLine="567"/>
        <w:rPr>
          <w:rFonts w:cs="Arial"/>
          <w:lang w:val="es-419"/>
        </w:rPr>
      </w:pPr>
      <w:r w:rsidRPr="00DD4E4F">
        <w:rPr>
          <w:rFonts w:cs="Arial"/>
          <w:lang w:val="es-419"/>
        </w:rPr>
        <w:t>c)</w:t>
      </w:r>
      <w:r w:rsidRPr="00DD4E4F">
        <w:rPr>
          <w:rFonts w:cs="Arial"/>
          <w:lang w:val="es-419"/>
        </w:rPr>
        <w:tab/>
        <w:t xml:space="preserve">si recomienda que se invite a otros observadores o expertos a alguna de sus reuniones, el </w:t>
      </w:r>
      <w:proofErr w:type="spellStart"/>
      <w:r w:rsidRPr="00DD4E4F">
        <w:rPr>
          <w:rFonts w:cs="Arial"/>
          <w:lang w:val="es-419"/>
        </w:rPr>
        <w:t>WG</w:t>
      </w:r>
      <w:proofErr w:type="spellEnd"/>
      <w:r w:rsidR="004B10BB" w:rsidRPr="00DD4E4F">
        <w:rPr>
          <w:rFonts w:cs="Arial"/>
          <w:lang w:val="es-419"/>
        </w:rPr>
        <w:noBreakHyphen/>
      </w:r>
      <w:r w:rsidRPr="00DD4E4F">
        <w:rPr>
          <w:rFonts w:cs="Arial"/>
          <w:lang w:val="es-419"/>
        </w:rPr>
        <w:t>EDV se remitirá al </w:t>
      </w:r>
      <w:proofErr w:type="spellStart"/>
      <w:r w:rsidRPr="00DD4E4F">
        <w:rPr>
          <w:rFonts w:cs="Arial"/>
          <w:lang w:val="es-419"/>
        </w:rPr>
        <w:t>CAJ</w:t>
      </w:r>
      <w:proofErr w:type="spellEnd"/>
      <w:r w:rsidRPr="00DD4E4F">
        <w:rPr>
          <w:rFonts w:cs="Arial"/>
          <w:lang w:val="es-419"/>
        </w:rPr>
        <w:t xml:space="preserve">;  </w:t>
      </w:r>
    </w:p>
    <w:p w:rsidR="00301E91" w:rsidRPr="00A444FD" w:rsidRDefault="00301E91" w:rsidP="00301E91">
      <w:pPr>
        <w:rPr>
          <w:rFonts w:cs="Arial"/>
          <w:sz w:val="18"/>
          <w:szCs w:val="18"/>
          <w:lang w:val="es-419"/>
        </w:rPr>
      </w:pPr>
    </w:p>
    <w:p w:rsidR="00301E91" w:rsidRPr="00DD4E4F" w:rsidRDefault="00301E91" w:rsidP="00301E91">
      <w:pPr>
        <w:tabs>
          <w:tab w:val="left" w:pos="1134"/>
        </w:tabs>
        <w:ind w:firstLine="567"/>
        <w:rPr>
          <w:rFonts w:cs="Arial"/>
          <w:lang w:val="es-419"/>
        </w:rPr>
      </w:pPr>
      <w:r w:rsidRPr="00DD4E4F">
        <w:rPr>
          <w:rFonts w:cs="Arial"/>
          <w:lang w:val="es-419"/>
        </w:rPr>
        <w:t>d)</w:t>
      </w:r>
      <w:r w:rsidRPr="00DD4E4F">
        <w:rPr>
          <w:rFonts w:cs="Arial"/>
          <w:lang w:val="es-419"/>
        </w:rPr>
        <w:tab/>
        <w:t>las reuniones serán presididas por el secretario general adjunto.</w:t>
      </w:r>
    </w:p>
    <w:p w:rsidR="00301E91" w:rsidRPr="00A444FD" w:rsidRDefault="00301E91" w:rsidP="00301E91">
      <w:pPr>
        <w:rPr>
          <w:rFonts w:cs="Arial"/>
          <w:sz w:val="16"/>
          <w:szCs w:val="18"/>
          <w:lang w:val="es-419"/>
        </w:rPr>
      </w:pPr>
    </w:p>
    <w:p w:rsidR="00301E91" w:rsidRPr="00A444FD" w:rsidRDefault="00301E91" w:rsidP="00301E91">
      <w:pPr>
        <w:rPr>
          <w:sz w:val="18"/>
          <w:lang w:val="es-419"/>
        </w:rPr>
      </w:pPr>
    </w:p>
    <w:p w:rsidR="00301E91" w:rsidRPr="00DD4E4F" w:rsidRDefault="00301E91" w:rsidP="00301E91">
      <w:pPr>
        <w:rPr>
          <w:lang w:val="es-419"/>
        </w:rPr>
      </w:pPr>
      <w:r w:rsidRPr="00DD4E4F">
        <w:rPr>
          <w:i/>
          <w:lang w:val="es-419"/>
        </w:rPr>
        <w:t>MODUS OPERANDI</w:t>
      </w:r>
      <w:r w:rsidRPr="00DD4E4F">
        <w:rPr>
          <w:lang w:val="es-419"/>
        </w:rPr>
        <w:t>:</w:t>
      </w:r>
    </w:p>
    <w:p w:rsidR="00301E91" w:rsidRPr="00A444FD" w:rsidRDefault="00301E91" w:rsidP="00301E91">
      <w:pPr>
        <w:rPr>
          <w:rFonts w:cs="Arial"/>
          <w:sz w:val="18"/>
          <w:szCs w:val="18"/>
          <w:u w:val="single"/>
          <w:lang w:val="es-419"/>
        </w:rPr>
      </w:pPr>
    </w:p>
    <w:p w:rsidR="00301E91" w:rsidRPr="00DD4E4F" w:rsidRDefault="00301E91" w:rsidP="00301E91">
      <w:pPr>
        <w:ind w:firstLine="360"/>
        <w:rPr>
          <w:rFonts w:cs="Arial"/>
          <w:lang w:val="es-419"/>
        </w:rPr>
      </w:pPr>
      <w:r w:rsidRPr="00DD4E4F">
        <w:rPr>
          <w:rFonts w:cs="Arial"/>
          <w:lang w:val="es-419"/>
        </w:rPr>
        <w:t xml:space="preserve">a) </w:t>
      </w:r>
      <w:r w:rsidRPr="00DD4E4F">
        <w:rPr>
          <w:rFonts w:cs="Arial"/>
          <w:lang w:val="es-419"/>
        </w:rPr>
        <w:tab/>
        <w:t>para redactar la revisión del documento UPOV/</w:t>
      </w:r>
      <w:proofErr w:type="spellStart"/>
      <w:r w:rsidRPr="00DD4E4F">
        <w:rPr>
          <w:rFonts w:cs="Arial"/>
          <w:lang w:val="es-419"/>
        </w:rPr>
        <w:t>EXN</w:t>
      </w:r>
      <w:proofErr w:type="spellEnd"/>
      <w:r w:rsidRPr="00DD4E4F">
        <w:rPr>
          <w:rFonts w:cs="Arial"/>
          <w:lang w:val="es-419"/>
        </w:rPr>
        <w:t xml:space="preserve">/EDV/2, el </w:t>
      </w:r>
      <w:proofErr w:type="spellStart"/>
      <w:r w:rsidRPr="00DD4E4F">
        <w:rPr>
          <w:rFonts w:cs="Arial"/>
          <w:lang w:val="es-419"/>
        </w:rPr>
        <w:t>WG</w:t>
      </w:r>
      <w:proofErr w:type="spellEnd"/>
      <w:r w:rsidRPr="00DD4E4F">
        <w:rPr>
          <w:rFonts w:cs="Arial"/>
          <w:lang w:val="es-419"/>
        </w:rPr>
        <w:t>-EDV tendrá en cuenta:</w:t>
      </w:r>
    </w:p>
    <w:p w:rsidR="00301E91" w:rsidRPr="00A444FD" w:rsidRDefault="00301E91" w:rsidP="00301E91">
      <w:pPr>
        <w:rPr>
          <w:rFonts w:cs="Arial"/>
          <w:sz w:val="18"/>
          <w:szCs w:val="18"/>
          <w:lang w:val="es-419"/>
        </w:rPr>
      </w:pPr>
    </w:p>
    <w:p w:rsidR="00301E91" w:rsidRPr="00DD4E4F" w:rsidRDefault="00301E91" w:rsidP="00301E91">
      <w:pPr>
        <w:pStyle w:val="ListParagraph"/>
        <w:numPr>
          <w:ilvl w:val="0"/>
          <w:numId w:val="39"/>
        </w:numPr>
        <w:tabs>
          <w:tab w:val="left" w:pos="1701"/>
        </w:tabs>
        <w:ind w:left="1701" w:hanging="567"/>
        <w:rPr>
          <w:rFonts w:cs="Arial"/>
          <w:lang w:val="es-419"/>
        </w:rPr>
      </w:pPr>
      <w:r w:rsidRPr="00DD4E4F">
        <w:rPr>
          <w:rFonts w:cs="Arial"/>
          <w:lang w:val="es-419"/>
        </w:rPr>
        <w:t>el resultado del Seminario sobre la repercusión de la política sobre variedades esencialmente derivadas en la estrategia de fitomejoramiento, celebrado en 2019:</w:t>
      </w:r>
    </w:p>
    <w:p w:rsidR="00301E91" w:rsidRPr="00A444FD" w:rsidRDefault="00301E91" w:rsidP="00301E91">
      <w:pPr>
        <w:pStyle w:val="ListParagraph"/>
        <w:tabs>
          <w:tab w:val="left" w:pos="1701"/>
        </w:tabs>
        <w:ind w:left="1701"/>
        <w:rPr>
          <w:rFonts w:cs="Arial"/>
          <w:sz w:val="18"/>
          <w:szCs w:val="18"/>
          <w:lang w:val="es-419"/>
        </w:rPr>
      </w:pPr>
    </w:p>
    <w:p w:rsidR="00301E91" w:rsidRPr="00DD4E4F" w:rsidRDefault="00301E91" w:rsidP="00301E91">
      <w:pPr>
        <w:pStyle w:val="ListParagraph"/>
        <w:ind w:left="1701"/>
        <w:rPr>
          <w:rFonts w:cs="Arial"/>
          <w:lang w:val="es-419"/>
        </w:rPr>
      </w:pPr>
      <w:r w:rsidRPr="00DD4E4F">
        <w:rPr>
          <w:rFonts w:cs="Arial"/>
          <w:lang w:val="es-419"/>
        </w:rPr>
        <w:t>“- Se ha observado que la orientación que ofrece actualmente la UPOV no refleja el concepto de variedad esencialmente derivada que aplican los obtentores;</w:t>
      </w:r>
    </w:p>
    <w:p w:rsidR="00301E91" w:rsidRPr="00A444FD" w:rsidRDefault="00301E91" w:rsidP="00301E91">
      <w:pPr>
        <w:pStyle w:val="ListParagraph"/>
        <w:ind w:left="1701"/>
        <w:rPr>
          <w:rFonts w:cs="Arial"/>
          <w:sz w:val="18"/>
          <w:szCs w:val="18"/>
          <w:lang w:val="es-419"/>
        </w:rPr>
      </w:pPr>
    </w:p>
    <w:p w:rsidR="00301E91" w:rsidRPr="00DD4E4F" w:rsidRDefault="00301E91" w:rsidP="00301E91">
      <w:pPr>
        <w:pStyle w:val="ListParagraph"/>
        <w:ind w:left="1701"/>
        <w:rPr>
          <w:rFonts w:cs="Arial"/>
          <w:lang w:val="es-419"/>
        </w:rPr>
      </w:pPr>
      <w:r w:rsidRPr="00DD4E4F">
        <w:rPr>
          <w:rFonts w:cs="Arial"/>
          <w:lang w:val="es-419"/>
        </w:rPr>
        <w:t>- La evolución de las tecnologías de fitomejoramiento ha generado nuevas oportunidades e incentivos para desarrollar variedades, principalmente a partir de las variedades iniciales, con mayor rapidez y a un menor costo;</w:t>
      </w:r>
    </w:p>
    <w:p w:rsidR="00301E91" w:rsidRPr="00A444FD" w:rsidRDefault="00301E91" w:rsidP="00301E91">
      <w:pPr>
        <w:pStyle w:val="ListParagraph"/>
        <w:ind w:left="1701"/>
        <w:rPr>
          <w:rFonts w:cs="Arial"/>
          <w:sz w:val="18"/>
          <w:szCs w:val="18"/>
          <w:lang w:val="es-419"/>
        </w:rPr>
      </w:pPr>
    </w:p>
    <w:p w:rsidR="00301E91" w:rsidRPr="00DD4E4F" w:rsidRDefault="00301E91" w:rsidP="00301E91">
      <w:pPr>
        <w:ind w:left="1701"/>
        <w:rPr>
          <w:rFonts w:cs="Arial"/>
          <w:lang w:val="es-419"/>
        </w:rPr>
      </w:pPr>
      <w:r w:rsidRPr="00DD4E4F">
        <w:rPr>
          <w:rFonts w:cs="Arial"/>
          <w:lang w:val="es-419"/>
        </w:rPr>
        <w:t>- Las ponencias y los debates han puesto de manifiesto que la estrategia de fitomejoramiento se ve influida por la manera de entender y aplicar el concepto de variedad esencialmente derivada. Por ello, es importante adaptar las orientaciones de la UPOV de modo que el progreso del fitomejoramiento se traduzca en las máximas ventajas para la sociedad.” y</w:t>
      </w:r>
    </w:p>
    <w:p w:rsidR="00301E91" w:rsidRPr="00A444FD" w:rsidRDefault="00301E91" w:rsidP="00301E91">
      <w:pPr>
        <w:ind w:left="1644"/>
        <w:rPr>
          <w:rFonts w:cs="Arial"/>
          <w:sz w:val="18"/>
          <w:szCs w:val="18"/>
          <w:lang w:val="es-419"/>
        </w:rPr>
      </w:pPr>
    </w:p>
    <w:p w:rsidR="00301E91" w:rsidRPr="00DD4E4F" w:rsidRDefault="00301E91" w:rsidP="00301E91">
      <w:pPr>
        <w:pStyle w:val="ListParagraph"/>
        <w:numPr>
          <w:ilvl w:val="0"/>
          <w:numId w:val="39"/>
        </w:numPr>
        <w:ind w:left="1701" w:hanging="567"/>
        <w:rPr>
          <w:rFonts w:cs="Arial"/>
          <w:lang w:val="es-419"/>
        </w:rPr>
      </w:pPr>
      <w:r w:rsidRPr="00DD4E4F">
        <w:rPr>
          <w:rFonts w:cs="Arial"/>
          <w:lang w:val="es-419"/>
        </w:rPr>
        <w:t>las cuestiones relativas a la política y las prácticas y costumbres de los obtentores, que se recogen en el Anexo </w:t>
      </w:r>
      <w:r w:rsidRPr="00DD4E4F">
        <w:rPr>
          <w:rFonts w:cs="Arial"/>
          <w:highlight w:val="lightGray"/>
          <w:u w:val="single"/>
          <w:lang w:val="es-419"/>
        </w:rPr>
        <w:t>I del presente documento</w:t>
      </w:r>
      <w:r w:rsidRPr="00DD4E4F">
        <w:rPr>
          <w:rFonts w:cs="Arial"/>
          <w:highlight w:val="lightGray"/>
          <w:lang w:val="es-419"/>
        </w:rPr>
        <w:t xml:space="preserve"> </w:t>
      </w:r>
      <w:r w:rsidRPr="00DD4E4F">
        <w:rPr>
          <w:rFonts w:cs="Arial"/>
          <w:strike/>
          <w:highlight w:val="lightGray"/>
          <w:lang w:val="es-419"/>
        </w:rPr>
        <w:t>III de la presente circular</w:t>
      </w:r>
      <w:r w:rsidRPr="00DD4E4F">
        <w:rPr>
          <w:rFonts w:cs="Arial"/>
          <w:lang w:val="es-419"/>
        </w:rPr>
        <w:t xml:space="preserve">; </w:t>
      </w:r>
    </w:p>
    <w:p w:rsidR="00301E91" w:rsidRPr="00A444FD" w:rsidRDefault="00301E91" w:rsidP="00301E91">
      <w:pPr>
        <w:rPr>
          <w:rFonts w:cs="Arial"/>
          <w:sz w:val="18"/>
          <w:szCs w:val="18"/>
          <w:u w:val="single"/>
          <w:lang w:val="es-419"/>
        </w:rPr>
      </w:pPr>
    </w:p>
    <w:p w:rsidR="00301E91" w:rsidRPr="00DD4E4F" w:rsidRDefault="00301E91" w:rsidP="00301E91">
      <w:pPr>
        <w:tabs>
          <w:tab w:val="left" w:pos="1134"/>
        </w:tabs>
        <w:ind w:firstLine="567"/>
        <w:rPr>
          <w:rFonts w:cs="Arial"/>
          <w:u w:val="single"/>
          <w:lang w:val="es-419"/>
        </w:rPr>
      </w:pPr>
      <w:r w:rsidRPr="00DD4E4F">
        <w:rPr>
          <w:rFonts w:cs="Arial"/>
          <w:lang w:val="es-419"/>
        </w:rPr>
        <w:t xml:space="preserve">b) </w:t>
      </w:r>
      <w:r w:rsidRPr="00DD4E4F">
        <w:rPr>
          <w:rFonts w:cs="Arial"/>
          <w:lang w:val="es-419"/>
        </w:rPr>
        <w:tab/>
        <w:t xml:space="preserve">el </w:t>
      </w:r>
      <w:proofErr w:type="spellStart"/>
      <w:r w:rsidRPr="00DD4E4F">
        <w:rPr>
          <w:rFonts w:cs="Arial"/>
          <w:lang w:val="es-419"/>
        </w:rPr>
        <w:t>WG</w:t>
      </w:r>
      <w:proofErr w:type="spellEnd"/>
      <w:r w:rsidRPr="00DD4E4F">
        <w:rPr>
          <w:rFonts w:cs="Arial"/>
          <w:lang w:val="es-419"/>
        </w:rPr>
        <w:t xml:space="preserve">-EDV celebrará reuniones en el período y con la frecuencia necesarios para cumplir con su mandato, presenciales o electrónicas, conforme a lo que acuerde el </w:t>
      </w:r>
      <w:proofErr w:type="spellStart"/>
      <w:r w:rsidRPr="00DD4E4F">
        <w:rPr>
          <w:rFonts w:cs="Arial"/>
          <w:lang w:val="es-419"/>
        </w:rPr>
        <w:t>WG</w:t>
      </w:r>
      <w:proofErr w:type="spellEnd"/>
      <w:r w:rsidRPr="00DD4E4F">
        <w:rPr>
          <w:rFonts w:cs="Arial"/>
          <w:lang w:val="es-419"/>
        </w:rPr>
        <w:t>-EDV;</w:t>
      </w:r>
    </w:p>
    <w:p w:rsidR="00301E91" w:rsidRPr="00A444FD" w:rsidRDefault="00301E91" w:rsidP="00301E91">
      <w:pPr>
        <w:tabs>
          <w:tab w:val="left" w:pos="1134"/>
        </w:tabs>
        <w:rPr>
          <w:rFonts w:cs="Arial"/>
          <w:sz w:val="18"/>
          <w:szCs w:val="18"/>
          <w:u w:val="single"/>
          <w:lang w:val="es-419"/>
        </w:rPr>
      </w:pPr>
    </w:p>
    <w:p w:rsidR="00301E91" w:rsidRPr="00DD4E4F" w:rsidRDefault="00301E91" w:rsidP="00301E91">
      <w:pPr>
        <w:tabs>
          <w:tab w:val="left" w:pos="1134"/>
        </w:tabs>
        <w:ind w:firstLine="567"/>
        <w:rPr>
          <w:rFonts w:cs="Arial"/>
          <w:lang w:val="es-419"/>
        </w:rPr>
      </w:pPr>
      <w:r w:rsidRPr="00DD4E4F">
        <w:rPr>
          <w:rFonts w:cs="Arial"/>
          <w:lang w:val="es-419"/>
        </w:rPr>
        <w:t xml:space="preserve">c) </w:t>
      </w:r>
      <w:r w:rsidRPr="00DD4E4F">
        <w:rPr>
          <w:rFonts w:cs="Arial"/>
          <w:lang w:val="es-419"/>
        </w:rPr>
        <w:tab/>
        <w:t xml:space="preserve">el </w:t>
      </w:r>
      <w:proofErr w:type="spellStart"/>
      <w:r w:rsidRPr="00DD4E4F">
        <w:rPr>
          <w:rFonts w:cs="Arial"/>
          <w:lang w:val="es-419"/>
        </w:rPr>
        <w:t>WG</w:t>
      </w:r>
      <w:proofErr w:type="spellEnd"/>
      <w:r w:rsidRPr="00DD4E4F">
        <w:rPr>
          <w:rFonts w:cs="Arial"/>
          <w:lang w:val="es-419"/>
        </w:rPr>
        <w:t>-EDV informará al </w:t>
      </w:r>
      <w:proofErr w:type="spellStart"/>
      <w:r w:rsidRPr="00DD4E4F">
        <w:rPr>
          <w:rFonts w:cs="Arial"/>
          <w:lang w:val="es-419"/>
        </w:rPr>
        <w:t>CAJ</w:t>
      </w:r>
      <w:proofErr w:type="spellEnd"/>
      <w:r w:rsidRPr="00DD4E4F">
        <w:rPr>
          <w:rFonts w:cs="Arial"/>
          <w:lang w:val="es-419"/>
        </w:rPr>
        <w:t xml:space="preserve"> de la marcha de su labor y solicitará orientación adicional al </w:t>
      </w:r>
      <w:proofErr w:type="spellStart"/>
      <w:r w:rsidRPr="00DD4E4F">
        <w:rPr>
          <w:rFonts w:cs="Arial"/>
          <w:lang w:val="es-419"/>
        </w:rPr>
        <w:t>CAJ</w:t>
      </w:r>
      <w:proofErr w:type="spellEnd"/>
      <w:r w:rsidRPr="00DD4E4F">
        <w:rPr>
          <w:rFonts w:cs="Arial"/>
          <w:lang w:val="es-419"/>
        </w:rPr>
        <w:t>, según proceda;</w:t>
      </w:r>
    </w:p>
    <w:p w:rsidR="00301E91" w:rsidRPr="00A444FD" w:rsidRDefault="00301E91" w:rsidP="00301E91">
      <w:pPr>
        <w:tabs>
          <w:tab w:val="left" w:pos="1134"/>
        </w:tabs>
        <w:rPr>
          <w:rFonts w:cs="Arial"/>
          <w:sz w:val="18"/>
          <w:szCs w:val="18"/>
          <w:lang w:val="es-419"/>
        </w:rPr>
      </w:pPr>
    </w:p>
    <w:p w:rsidR="00301E91" w:rsidRPr="00DD4E4F" w:rsidRDefault="00301E91" w:rsidP="00301E91">
      <w:pPr>
        <w:tabs>
          <w:tab w:val="left" w:pos="1134"/>
        </w:tabs>
        <w:ind w:firstLine="567"/>
        <w:rPr>
          <w:rFonts w:cs="Arial"/>
          <w:u w:val="single"/>
          <w:lang w:val="es-419"/>
        </w:rPr>
      </w:pPr>
      <w:r w:rsidRPr="00DD4E4F">
        <w:rPr>
          <w:rFonts w:cs="Arial"/>
          <w:lang w:val="es-419"/>
        </w:rPr>
        <w:t>d)</w:t>
      </w:r>
      <w:r w:rsidRPr="00DD4E4F">
        <w:rPr>
          <w:rFonts w:cs="Arial"/>
          <w:lang w:val="es-419"/>
        </w:rPr>
        <w:tab/>
        <w:t xml:space="preserve">los documentos del </w:t>
      </w:r>
      <w:proofErr w:type="spellStart"/>
      <w:r w:rsidRPr="00DD4E4F">
        <w:rPr>
          <w:rFonts w:cs="Arial"/>
          <w:lang w:val="es-419"/>
        </w:rPr>
        <w:t>WG</w:t>
      </w:r>
      <w:proofErr w:type="spellEnd"/>
      <w:r w:rsidRPr="00DD4E4F">
        <w:rPr>
          <w:rFonts w:cs="Arial"/>
          <w:lang w:val="es-419"/>
        </w:rPr>
        <w:t>-EDV se pondrán a disposición del CAJ.</w:t>
      </w:r>
    </w:p>
    <w:p w:rsidR="00301E91" w:rsidRPr="00A444FD" w:rsidRDefault="00301E91" w:rsidP="00301E91">
      <w:pPr>
        <w:tabs>
          <w:tab w:val="left" w:pos="1134"/>
        </w:tabs>
        <w:rPr>
          <w:rFonts w:cs="Arial"/>
          <w:sz w:val="16"/>
          <w:lang w:val="es-419"/>
        </w:rPr>
      </w:pPr>
    </w:p>
    <w:p w:rsidR="00301E91" w:rsidRPr="00A444FD" w:rsidRDefault="00301E91" w:rsidP="00301E91">
      <w:pPr>
        <w:rPr>
          <w:rFonts w:cs="Arial"/>
          <w:sz w:val="16"/>
          <w:lang w:val="es-419"/>
        </w:rPr>
      </w:pPr>
    </w:p>
    <w:p w:rsidR="00211989" w:rsidRDefault="00301E91" w:rsidP="00EA5883">
      <w:pPr>
        <w:jc w:val="right"/>
        <w:rPr>
          <w:rFonts w:cs="Arial"/>
          <w:lang w:val="es-419"/>
        </w:rPr>
      </w:pPr>
      <w:r w:rsidRPr="00DD4E4F">
        <w:rPr>
          <w:rFonts w:cs="Arial"/>
          <w:lang w:val="es-419"/>
        </w:rPr>
        <w:t>[Fin del Anexo II y del documento]</w:t>
      </w:r>
    </w:p>
    <w:p w:rsidR="00C07EAA" w:rsidRPr="00C07EAA" w:rsidRDefault="00C07EAA" w:rsidP="00EA5883">
      <w:pPr>
        <w:jc w:val="right"/>
        <w:rPr>
          <w:sz w:val="12"/>
          <w:lang w:val="es-419"/>
        </w:rPr>
      </w:pPr>
    </w:p>
    <w:sectPr w:rsidR="00C07EAA" w:rsidRPr="00C07EAA" w:rsidSect="00906DDC">
      <w:headerReference w:type="default" r:id="rId19"/>
      <w:headerReference w:type="first" r:id="rId20"/>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1CA" w:rsidRDefault="009F11CA" w:rsidP="006655D3">
      <w:r>
        <w:separator/>
      </w:r>
    </w:p>
    <w:p w:rsidR="009F11CA" w:rsidRPr="00A444FD" w:rsidRDefault="009F11CA" w:rsidP="006655D3">
      <w:pPr>
        <w:rPr>
          <w:sz w:val="16"/>
        </w:rPr>
      </w:pPr>
    </w:p>
  </w:endnote>
  <w:endnote w:type="continuationSeparator" w:id="0">
    <w:p w:rsidR="009F11CA" w:rsidRDefault="009F11CA" w:rsidP="006655D3">
      <w:r>
        <w:separator/>
      </w:r>
    </w:p>
    <w:p w:rsidR="009F11CA" w:rsidRPr="00294751" w:rsidRDefault="009F11CA">
      <w:pPr>
        <w:pStyle w:val="Footer"/>
        <w:spacing w:after="60"/>
        <w:rPr>
          <w:sz w:val="18"/>
          <w:lang w:val="fr-FR"/>
        </w:rPr>
      </w:pPr>
      <w:r w:rsidRPr="00294751">
        <w:rPr>
          <w:sz w:val="18"/>
          <w:lang w:val="fr-FR"/>
        </w:rPr>
        <w:t>[Suite de la note de la page précédente]</w:t>
      </w:r>
    </w:p>
    <w:p w:rsidR="009F11CA" w:rsidRPr="00294751" w:rsidRDefault="009F11CA" w:rsidP="006655D3">
      <w:pPr>
        <w:rPr>
          <w:lang w:val="fr-FR"/>
        </w:rPr>
      </w:pPr>
    </w:p>
    <w:p w:rsidR="009F11CA" w:rsidRPr="00294751" w:rsidRDefault="009F11CA" w:rsidP="006655D3">
      <w:pPr>
        <w:rPr>
          <w:lang w:val="fr-FR"/>
        </w:rPr>
      </w:pPr>
    </w:p>
  </w:endnote>
  <w:endnote w:type="continuationNotice" w:id="1">
    <w:p w:rsidR="009F11CA" w:rsidRPr="00294751" w:rsidRDefault="009F11CA" w:rsidP="006655D3">
      <w:pPr>
        <w:rPr>
          <w:lang w:val="fr-FR"/>
        </w:rPr>
      </w:pPr>
      <w:r w:rsidRPr="00294751">
        <w:rPr>
          <w:lang w:val="fr-FR"/>
        </w:rPr>
        <w:t>[Suite de la note page suivante]</w:t>
      </w:r>
    </w:p>
    <w:p w:rsidR="009F11CA" w:rsidRPr="00294751" w:rsidRDefault="009F11CA" w:rsidP="006655D3">
      <w:pPr>
        <w:rPr>
          <w:lang w:val="fr-FR"/>
        </w:rPr>
      </w:pPr>
    </w:p>
    <w:p w:rsidR="009F11CA" w:rsidRPr="00294751" w:rsidRDefault="009F11CA" w:rsidP="006655D3">
      <w:pPr>
        <w:rPr>
          <w:lang w:val="fr-FR"/>
        </w:rPr>
      </w:pPr>
    </w:p>
  </w:endnote>
  <w:endnote w:id="2">
    <w:p w:rsidR="00A444FD" w:rsidRPr="00D859F7" w:rsidRDefault="00A444FD" w:rsidP="00D859F7">
      <w:pPr>
        <w:pStyle w:val="EndnoteText"/>
        <w:tabs>
          <w:tab w:val="left" w:pos="284"/>
        </w:tabs>
        <w:spacing w:after="60"/>
        <w:rPr>
          <w:sz w:val="16"/>
          <w:szCs w:val="16"/>
          <w:highlight w:val="yellow"/>
          <w:u w:val="single"/>
          <w:lang w:val="es-ES"/>
        </w:rPr>
      </w:pPr>
      <w:r w:rsidRPr="00D859F7">
        <w:rPr>
          <w:rStyle w:val="EndnoteReference"/>
          <w:sz w:val="16"/>
          <w:szCs w:val="16"/>
          <w:highlight w:val="yellow"/>
          <w:u w:val="single"/>
        </w:rPr>
        <w:endnoteRef/>
      </w:r>
      <w:r w:rsidRPr="00D859F7">
        <w:rPr>
          <w:sz w:val="16"/>
          <w:szCs w:val="16"/>
          <w:highlight w:val="yellow"/>
          <w:u w:val="single"/>
        </w:rPr>
        <w:t xml:space="preserve"> </w:t>
      </w:r>
      <w:r w:rsidR="00D859F7" w:rsidRPr="00D859F7">
        <w:rPr>
          <w:sz w:val="16"/>
          <w:szCs w:val="16"/>
          <w:highlight w:val="yellow"/>
          <w:u w:val="single"/>
        </w:rPr>
        <w:tab/>
      </w:r>
      <w:r w:rsidR="00D859F7" w:rsidRPr="00D859F7">
        <w:rPr>
          <w:sz w:val="16"/>
          <w:szCs w:val="16"/>
          <w:highlight w:val="yellow"/>
          <w:u w:val="single"/>
          <w:lang w:val="es-ES"/>
        </w:rPr>
        <w:t xml:space="preserve">En respuesta a la Circular UPOV E-20/120, China </w:t>
      </w:r>
      <w:proofErr w:type="spellStart"/>
      <w:r w:rsidR="00D859F7" w:rsidRPr="00D859F7">
        <w:rPr>
          <w:sz w:val="16"/>
          <w:szCs w:val="16"/>
          <w:highlight w:val="yellow"/>
          <w:u w:val="single"/>
          <w:lang w:val="es-ES"/>
        </w:rPr>
        <w:t>manifesto</w:t>
      </w:r>
      <w:proofErr w:type="spellEnd"/>
      <w:r w:rsidR="00D859F7" w:rsidRPr="00D859F7">
        <w:rPr>
          <w:sz w:val="16"/>
          <w:szCs w:val="16"/>
          <w:highlight w:val="yellow"/>
          <w:u w:val="single"/>
          <w:lang w:val="es-ES"/>
        </w:rPr>
        <w:t xml:space="preserve"> interés por ser miembro del </w:t>
      </w:r>
      <w:proofErr w:type="spellStart"/>
      <w:r w:rsidR="00D859F7" w:rsidRPr="00D859F7">
        <w:rPr>
          <w:sz w:val="16"/>
          <w:szCs w:val="16"/>
          <w:highlight w:val="yellow"/>
          <w:u w:val="single"/>
          <w:lang w:val="es-ES"/>
        </w:rPr>
        <w:t>WG</w:t>
      </w:r>
      <w:proofErr w:type="spellEnd"/>
      <w:r w:rsidR="00D859F7" w:rsidRPr="00D859F7">
        <w:rPr>
          <w:sz w:val="16"/>
          <w:szCs w:val="16"/>
          <w:highlight w:val="yellow"/>
          <w:u w:val="single"/>
          <w:lang w:val="es-ES"/>
        </w:rPr>
        <w:t>-EDV.</w:t>
      </w:r>
    </w:p>
  </w:endnote>
  <w:endnote w:id="3">
    <w:p w:rsidR="00A444FD" w:rsidRPr="00D859F7" w:rsidRDefault="00A444FD" w:rsidP="00D859F7">
      <w:pPr>
        <w:pStyle w:val="EndnoteText"/>
        <w:tabs>
          <w:tab w:val="left" w:pos="284"/>
        </w:tabs>
        <w:rPr>
          <w:sz w:val="16"/>
          <w:szCs w:val="16"/>
          <w:u w:val="single"/>
          <w:lang w:val="es-ES"/>
        </w:rPr>
      </w:pPr>
      <w:r w:rsidRPr="00D859F7">
        <w:rPr>
          <w:rStyle w:val="EndnoteReference"/>
          <w:sz w:val="16"/>
          <w:szCs w:val="16"/>
          <w:highlight w:val="yellow"/>
          <w:u w:val="single"/>
        </w:rPr>
        <w:endnoteRef/>
      </w:r>
      <w:r w:rsidRPr="00D859F7">
        <w:rPr>
          <w:sz w:val="16"/>
          <w:szCs w:val="16"/>
          <w:highlight w:val="yellow"/>
          <w:u w:val="single"/>
        </w:rPr>
        <w:t xml:space="preserve"> </w:t>
      </w:r>
      <w:r w:rsidR="00D859F7" w:rsidRPr="00D859F7">
        <w:rPr>
          <w:sz w:val="16"/>
          <w:szCs w:val="16"/>
          <w:highlight w:val="yellow"/>
          <w:u w:val="single"/>
        </w:rPr>
        <w:tab/>
      </w:r>
      <w:r w:rsidR="00D859F7" w:rsidRPr="00D859F7">
        <w:rPr>
          <w:sz w:val="16"/>
          <w:szCs w:val="16"/>
          <w:highlight w:val="yellow"/>
          <w:u w:val="single"/>
          <w:lang w:val="es-ES"/>
        </w:rPr>
        <w:t xml:space="preserve">En respuesta a la Circular UPOV E-20/120, los Países Bajos manifestaron interés por ser miembro del </w:t>
      </w:r>
      <w:proofErr w:type="spellStart"/>
      <w:r w:rsidR="00D859F7" w:rsidRPr="00D859F7">
        <w:rPr>
          <w:sz w:val="16"/>
          <w:szCs w:val="16"/>
          <w:highlight w:val="yellow"/>
          <w:u w:val="single"/>
          <w:lang w:val="es-ES"/>
        </w:rPr>
        <w:t>WG</w:t>
      </w:r>
      <w:proofErr w:type="spellEnd"/>
      <w:r w:rsidR="00D859F7" w:rsidRPr="00D859F7">
        <w:rPr>
          <w:sz w:val="16"/>
          <w:szCs w:val="16"/>
          <w:highlight w:val="yellow"/>
          <w:u w:val="single"/>
          <w:lang w:val="es-ES"/>
        </w:rPr>
        <w:t>-EDV.</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1CA" w:rsidRDefault="009F11CA" w:rsidP="006655D3">
      <w:r>
        <w:separator/>
      </w:r>
    </w:p>
  </w:footnote>
  <w:footnote w:type="continuationSeparator" w:id="0">
    <w:p w:rsidR="009F11CA" w:rsidRDefault="009F11CA" w:rsidP="006655D3">
      <w:r>
        <w:separator/>
      </w:r>
    </w:p>
  </w:footnote>
  <w:footnote w:type="continuationNotice" w:id="1">
    <w:p w:rsidR="009F11CA" w:rsidRPr="00AB530F" w:rsidRDefault="009F11CA" w:rsidP="00AB530F">
      <w:pPr>
        <w:pStyle w:val="Footer"/>
      </w:pPr>
    </w:p>
  </w:footnote>
  <w:footnote w:id="2">
    <w:p w:rsidR="009F11CA" w:rsidRPr="008A1FAB" w:rsidRDefault="009F11CA" w:rsidP="00301E91">
      <w:pPr>
        <w:rPr>
          <w:sz w:val="16"/>
          <w:szCs w:val="16"/>
        </w:rPr>
      </w:pPr>
      <w:r>
        <w:rPr>
          <w:rStyle w:val="FootnoteReference"/>
        </w:rPr>
        <w:footnoteRef/>
      </w:r>
      <w:r>
        <w:t xml:space="preserve"> </w:t>
      </w:r>
      <w:r w:rsidRPr="00977153">
        <w:rPr>
          <w:sz w:val="16"/>
          <w:szCs w:val="16"/>
        </w:rPr>
        <w:t>Las referencias a las cuestiones que figuran en el apartado “Cuestiones generales” han sido actualizadas de modo que se ajusten a la nueva numeración resultante de las observaciones y las nuevas cuestiones recibidas en respuesta a la circular E-20/093.</w:t>
      </w:r>
      <w:r w:rsidRPr="008A1FAB">
        <w:rPr>
          <w:sz w:val="16"/>
          <w:szCs w:val="16"/>
        </w:rPr>
        <w:t xml:space="preserve"> </w:t>
      </w:r>
      <w:r w:rsidRPr="00977153">
        <w:rPr>
          <w:sz w:val="16"/>
          <w:szCs w:val="16"/>
        </w:rPr>
        <w:t>En el apartado “Cuestiones relativas a aspectos concretos de las actuales notas explicativas”, se indica entre corchetes la numeración de las cuestiones que figuraba en la versión anterior, a fin de facilitar su consulta.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1CA" w:rsidRPr="000A23DC" w:rsidRDefault="009F11CA" w:rsidP="000A23DC">
    <w:pPr>
      <w:pStyle w:val="Header"/>
      <w:rPr>
        <w:rStyle w:val="PageNumber"/>
      </w:rPr>
    </w:pPr>
    <w:proofErr w:type="spellStart"/>
    <w:r>
      <w:rPr>
        <w:rStyle w:val="PageNumber"/>
      </w:rPr>
      <w:t>CAJ</w:t>
    </w:r>
    <w:proofErr w:type="spellEnd"/>
    <w:r>
      <w:rPr>
        <w:rStyle w:val="PageNumber"/>
      </w:rPr>
      <w:t>/77</w:t>
    </w:r>
    <w:r w:rsidRPr="000A23DC">
      <w:rPr>
        <w:rStyle w:val="PageNumber"/>
      </w:rPr>
      <w:t>/</w:t>
    </w:r>
    <w:r>
      <w:rPr>
        <w:rStyle w:val="PageNumber"/>
      </w:rPr>
      <w:t>4</w:t>
    </w:r>
    <w:r w:rsidR="00A444FD">
      <w:rPr>
        <w:rStyle w:val="PageNumber"/>
      </w:rPr>
      <w:t xml:space="preserve"> </w:t>
    </w:r>
    <w:r w:rsidR="00A444FD" w:rsidRPr="00A444FD">
      <w:rPr>
        <w:highlight w:val="yellow"/>
        <w:u w:val="single"/>
        <w:lang w:val="es-ES"/>
      </w:rPr>
      <w:t>Rev.</w:t>
    </w:r>
  </w:p>
  <w:p w:rsidR="009F11CA" w:rsidRPr="00202E38" w:rsidRDefault="009F11CA"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F62F0E">
      <w:rPr>
        <w:rStyle w:val="PageNumber"/>
        <w:noProof/>
        <w:lang w:val="de-DE"/>
      </w:rPr>
      <w:t>4</w:t>
    </w:r>
    <w:r w:rsidRPr="00202E38">
      <w:rPr>
        <w:rStyle w:val="PageNumber"/>
        <w:lang w:val="de-DE"/>
      </w:rPr>
      <w:fldChar w:fldCharType="end"/>
    </w:r>
  </w:p>
  <w:p w:rsidR="009F11CA" w:rsidRPr="00202E38" w:rsidRDefault="009F11CA" w:rsidP="006655D3">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1CA" w:rsidRDefault="009F11CA" w:rsidP="0018090B">
    <w:pPr>
      <w:pStyle w:val="Header"/>
    </w:pPr>
    <w:proofErr w:type="spellStart"/>
    <w:r>
      <w:t>CAJ</w:t>
    </w:r>
    <w:proofErr w:type="spellEnd"/>
    <w:r>
      <w:t>/77/4</w:t>
    </w:r>
    <w:r w:rsidR="00A444FD">
      <w:t xml:space="preserve"> </w:t>
    </w:r>
    <w:r w:rsidR="00A444FD" w:rsidRPr="00A444FD">
      <w:rPr>
        <w:highlight w:val="yellow"/>
        <w:u w:val="single"/>
        <w:lang w:val="es-ES"/>
      </w:rPr>
      <w:t>Rev.</w:t>
    </w:r>
  </w:p>
  <w:p w:rsidR="009F11CA" w:rsidRDefault="009F11CA" w:rsidP="0018090B">
    <w:pPr>
      <w:pStyle w:val="Header"/>
    </w:pPr>
  </w:p>
  <w:p w:rsidR="009F11CA" w:rsidRDefault="009F11CA" w:rsidP="0018090B">
    <w:pPr>
      <w:pStyle w:val="Header"/>
    </w:pPr>
    <w:r>
      <w:t>ANEXO I</w:t>
    </w:r>
  </w:p>
  <w:p w:rsidR="009F11CA" w:rsidRDefault="009F11CA" w:rsidP="0018090B">
    <w:pPr>
      <w:pStyle w:val="Header"/>
    </w:pPr>
  </w:p>
  <w:p w:rsidR="009F11CA" w:rsidRDefault="009F1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1CA" w:rsidRPr="008835BE" w:rsidRDefault="009F11CA" w:rsidP="00EB048E">
    <w:pPr>
      <w:pStyle w:val="Header"/>
      <w:rPr>
        <w:rStyle w:val="PageNumber"/>
        <w:lang w:val="pt-PT"/>
      </w:rPr>
    </w:pPr>
    <w:r w:rsidRPr="008835BE">
      <w:rPr>
        <w:rStyle w:val="PageNumber"/>
        <w:lang w:val="pt-PT"/>
      </w:rPr>
      <w:t>CAJ/77/4</w:t>
    </w:r>
    <w:r w:rsidR="00A444FD">
      <w:rPr>
        <w:rStyle w:val="PageNumber"/>
        <w:lang w:val="pt-PT"/>
      </w:rPr>
      <w:t xml:space="preserve"> </w:t>
    </w:r>
    <w:r w:rsidR="00A444FD" w:rsidRPr="00F62F0E">
      <w:rPr>
        <w:highlight w:val="yellow"/>
        <w:u w:val="single"/>
        <w:lang w:val="pt-PT"/>
      </w:rPr>
      <w:t>Rev.</w:t>
    </w:r>
  </w:p>
  <w:p w:rsidR="009F11CA" w:rsidRPr="008835BE" w:rsidRDefault="009F11CA" w:rsidP="0018090B">
    <w:pPr>
      <w:jc w:val="center"/>
      <w:rPr>
        <w:lang w:val="pt-PT"/>
      </w:rPr>
    </w:pPr>
    <w:r w:rsidRPr="008835BE">
      <w:rPr>
        <w:lang w:val="pt-PT"/>
      </w:rPr>
      <w:t xml:space="preserve">Anexo I, Apéndice I, página </w:t>
    </w:r>
    <w:r w:rsidRPr="00133B37">
      <w:rPr>
        <w:rStyle w:val="PageNumber"/>
      </w:rPr>
      <w:fldChar w:fldCharType="begin"/>
    </w:r>
    <w:r w:rsidRPr="008835BE">
      <w:rPr>
        <w:rStyle w:val="PageNumber"/>
        <w:lang w:val="pt-PT"/>
      </w:rPr>
      <w:instrText xml:space="preserve"> PAGE </w:instrText>
    </w:r>
    <w:r w:rsidRPr="00133B37">
      <w:rPr>
        <w:rStyle w:val="PageNumber"/>
      </w:rPr>
      <w:fldChar w:fldCharType="separate"/>
    </w:r>
    <w:r w:rsidR="00F62F0E">
      <w:rPr>
        <w:rStyle w:val="PageNumber"/>
        <w:noProof/>
        <w:lang w:val="pt-PT"/>
      </w:rPr>
      <w:t>10</w:t>
    </w:r>
    <w:r w:rsidRPr="00133B37">
      <w:rPr>
        <w:rStyle w:val="PageNumber"/>
      </w:rPr>
      <w:fldChar w:fldCharType="end"/>
    </w:r>
  </w:p>
  <w:p w:rsidR="009F11CA" w:rsidRPr="008835BE" w:rsidRDefault="009F11CA" w:rsidP="006655D3">
    <w:pPr>
      <w:rPr>
        <w:lang w:val="pt-P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1CA" w:rsidRPr="00F62F0E" w:rsidRDefault="009F11CA" w:rsidP="0018090B">
    <w:pPr>
      <w:pStyle w:val="Header"/>
      <w:rPr>
        <w:lang w:val="pt-PT"/>
      </w:rPr>
    </w:pPr>
    <w:r w:rsidRPr="00F62F0E">
      <w:rPr>
        <w:lang w:val="pt-PT"/>
      </w:rPr>
      <w:t>CAJ/77/4</w:t>
    </w:r>
    <w:r w:rsidR="00A444FD" w:rsidRPr="00F62F0E">
      <w:rPr>
        <w:lang w:val="pt-PT"/>
      </w:rPr>
      <w:t xml:space="preserve"> </w:t>
    </w:r>
    <w:r w:rsidR="00A444FD" w:rsidRPr="00F62F0E">
      <w:rPr>
        <w:highlight w:val="yellow"/>
        <w:u w:val="single"/>
        <w:lang w:val="pt-PT"/>
      </w:rPr>
      <w:t>Rev.</w:t>
    </w:r>
  </w:p>
  <w:p w:rsidR="009F11CA" w:rsidRPr="00F62F0E" w:rsidRDefault="009F11CA" w:rsidP="0018090B">
    <w:pPr>
      <w:pStyle w:val="Header"/>
      <w:rPr>
        <w:lang w:val="pt-PT"/>
      </w:rPr>
    </w:pPr>
  </w:p>
  <w:p w:rsidR="009F11CA" w:rsidRPr="00F62F0E" w:rsidRDefault="009F11CA" w:rsidP="0018090B">
    <w:pPr>
      <w:jc w:val="center"/>
      <w:rPr>
        <w:lang w:val="pt-PT"/>
      </w:rPr>
    </w:pPr>
    <w:r w:rsidRPr="00F62F0E">
      <w:rPr>
        <w:lang w:val="pt-PT"/>
      </w:rPr>
      <w:t>ANEXO I, APÉNDICE I</w:t>
    </w:r>
  </w:p>
  <w:p w:rsidR="009F11CA" w:rsidRPr="00F62F0E" w:rsidRDefault="009F11CA" w:rsidP="0018090B">
    <w:pPr>
      <w:pStyle w:val="Header"/>
      <w:rPr>
        <w:lang w:val="pt-PT"/>
      </w:rPr>
    </w:pPr>
  </w:p>
  <w:p w:rsidR="009F11CA" w:rsidRPr="00F62F0E" w:rsidRDefault="009F11CA">
    <w:pPr>
      <w:pStyle w:val="Header"/>
      <w:rPr>
        <w:lang w:val="pt-PT"/>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1CA" w:rsidRPr="008835BE" w:rsidRDefault="009F11CA" w:rsidP="00EB048E">
    <w:pPr>
      <w:pStyle w:val="Header"/>
      <w:rPr>
        <w:rStyle w:val="PageNumber"/>
        <w:lang w:val="pt-PT"/>
      </w:rPr>
    </w:pPr>
    <w:r w:rsidRPr="008835BE">
      <w:rPr>
        <w:rStyle w:val="PageNumber"/>
        <w:lang w:val="pt-PT"/>
      </w:rPr>
      <w:t>CAJ/77/4</w:t>
    </w:r>
    <w:r w:rsidR="00A444FD">
      <w:rPr>
        <w:rStyle w:val="PageNumber"/>
        <w:lang w:val="pt-PT"/>
      </w:rPr>
      <w:t xml:space="preserve"> </w:t>
    </w:r>
    <w:r w:rsidR="00A444FD" w:rsidRPr="00F62F0E">
      <w:rPr>
        <w:highlight w:val="yellow"/>
        <w:u w:val="single"/>
        <w:lang w:val="pt-PT"/>
      </w:rPr>
      <w:t>Rev.</w:t>
    </w:r>
  </w:p>
  <w:p w:rsidR="009F11CA" w:rsidRPr="008835BE" w:rsidRDefault="009F11CA" w:rsidP="0018090B">
    <w:pPr>
      <w:jc w:val="center"/>
      <w:rPr>
        <w:lang w:val="pt-PT"/>
      </w:rPr>
    </w:pPr>
    <w:r w:rsidRPr="008835BE">
      <w:rPr>
        <w:lang w:val="pt-PT"/>
      </w:rPr>
      <w:t xml:space="preserve">Anexo I, Apéndice II, página </w:t>
    </w:r>
    <w:r w:rsidRPr="00580C7B">
      <w:rPr>
        <w:rStyle w:val="PageNumber"/>
      </w:rPr>
      <w:fldChar w:fldCharType="begin"/>
    </w:r>
    <w:r w:rsidRPr="008835BE">
      <w:rPr>
        <w:rStyle w:val="PageNumber"/>
        <w:lang w:val="pt-PT"/>
      </w:rPr>
      <w:instrText xml:space="preserve"> PAGE </w:instrText>
    </w:r>
    <w:r w:rsidRPr="00580C7B">
      <w:rPr>
        <w:rStyle w:val="PageNumber"/>
      </w:rPr>
      <w:fldChar w:fldCharType="separate"/>
    </w:r>
    <w:r w:rsidR="00F62F0E">
      <w:rPr>
        <w:rStyle w:val="PageNumber"/>
        <w:noProof/>
        <w:lang w:val="pt-PT"/>
      </w:rPr>
      <w:t>4</w:t>
    </w:r>
    <w:r w:rsidRPr="00580C7B">
      <w:rPr>
        <w:rStyle w:val="PageNumber"/>
      </w:rPr>
      <w:fldChar w:fldCharType="end"/>
    </w:r>
  </w:p>
  <w:p w:rsidR="009F11CA" w:rsidRPr="008835BE" w:rsidRDefault="009F11CA" w:rsidP="006655D3">
    <w:pPr>
      <w:rPr>
        <w:lang w:val="pt-PT"/>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1CA" w:rsidRPr="00F62F0E" w:rsidRDefault="009F11CA" w:rsidP="0018090B">
    <w:pPr>
      <w:pStyle w:val="Header"/>
      <w:rPr>
        <w:lang w:val="pt-PT"/>
      </w:rPr>
    </w:pPr>
    <w:r w:rsidRPr="00F62F0E">
      <w:rPr>
        <w:lang w:val="pt-PT"/>
      </w:rPr>
      <w:t>CAJ/77/4</w:t>
    </w:r>
    <w:r w:rsidR="00A444FD" w:rsidRPr="00F62F0E">
      <w:rPr>
        <w:lang w:val="pt-PT"/>
      </w:rPr>
      <w:t xml:space="preserve"> </w:t>
    </w:r>
    <w:r w:rsidR="00A444FD" w:rsidRPr="00F62F0E">
      <w:rPr>
        <w:highlight w:val="yellow"/>
        <w:u w:val="single"/>
        <w:lang w:val="pt-PT"/>
      </w:rPr>
      <w:t>Rev.</w:t>
    </w:r>
  </w:p>
  <w:p w:rsidR="009F11CA" w:rsidRPr="00F62F0E" w:rsidRDefault="009F11CA" w:rsidP="0018090B">
    <w:pPr>
      <w:jc w:val="center"/>
      <w:rPr>
        <w:lang w:val="pt-PT"/>
      </w:rPr>
    </w:pPr>
  </w:p>
  <w:p w:rsidR="009F11CA" w:rsidRPr="00F62F0E" w:rsidRDefault="009F11CA" w:rsidP="0018090B">
    <w:pPr>
      <w:jc w:val="center"/>
      <w:rPr>
        <w:lang w:val="pt-PT"/>
      </w:rPr>
    </w:pPr>
    <w:r w:rsidRPr="00F62F0E">
      <w:rPr>
        <w:lang w:val="pt-PT"/>
      </w:rPr>
      <w:t>ANEXO I, APÉNDICE II</w:t>
    </w:r>
  </w:p>
  <w:p w:rsidR="009F11CA" w:rsidRPr="00F62F0E" w:rsidRDefault="009F11CA" w:rsidP="0018090B">
    <w:pPr>
      <w:pStyle w:val="Header"/>
      <w:rPr>
        <w:lang w:val="pt-PT"/>
      </w:rPr>
    </w:pPr>
  </w:p>
  <w:p w:rsidR="009F11CA" w:rsidRPr="00F62F0E" w:rsidRDefault="009F11CA">
    <w:pPr>
      <w:pStyle w:val="Header"/>
      <w:rPr>
        <w:lang w:val="pt-PT"/>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1CA" w:rsidRPr="000A23DC" w:rsidRDefault="009F11CA" w:rsidP="000A23DC">
    <w:pPr>
      <w:pStyle w:val="Header"/>
      <w:rPr>
        <w:rStyle w:val="PageNumber"/>
      </w:rPr>
    </w:pPr>
    <w:proofErr w:type="spellStart"/>
    <w:r>
      <w:rPr>
        <w:rStyle w:val="PageNumber"/>
      </w:rPr>
      <w:t>CAJ</w:t>
    </w:r>
    <w:proofErr w:type="spellEnd"/>
    <w:r>
      <w:rPr>
        <w:rStyle w:val="PageNumber"/>
      </w:rPr>
      <w:t>/77</w:t>
    </w:r>
    <w:r w:rsidRPr="000A23DC">
      <w:rPr>
        <w:rStyle w:val="PageNumber"/>
      </w:rPr>
      <w:t>/</w:t>
    </w:r>
  </w:p>
  <w:p w:rsidR="009F11CA" w:rsidRPr="00202E38" w:rsidRDefault="009F11CA" w:rsidP="008B3D8D">
    <w:pPr>
      <w:pStyle w:val="Header"/>
      <w:rPr>
        <w:lang w:val="de-DE"/>
      </w:rPr>
    </w:pP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C07EAA">
      <w:rPr>
        <w:rStyle w:val="PageNumber"/>
        <w:noProof/>
        <w:lang w:val="de-DE"/>
      </w:rPr>
      <w:t>6</w:t>
    </w:r>
    <w:r w:rsidRPr="00202E38">
      <w:rPr>
        <w:rStyle w:val="PageNumber"/>
        <w:lang w:val="de-DE"/>
      </w:rPr>
      <w:fldChar w:fldCharType="end"/>
    </w:r>
  </w:p>
  <w:p w:rsidR="009F11CA" w:rsidRPr="00202E38" w:rsidRDefault="009F11CA" w:rsidP="006655D3">
    <w:pP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1CA" w:rsidRPr="00AF32BD" w:rsidRDefault="009F11CA" w:rsidP="0018090B">
    <w:pPr>
      <w:pStyle w:val="Header"/>
      <w:rPr>
        <w:lang w:val="en-US"/>
      </w:rPr>
    </w:pPr>
    <w:proofErr w:type="spellStart"/>
    <w:r w:rsidRPr="00AF32BD">
      <w:rPr>
        <w:lang w:val="en-US"/>
      </w:rPr>
      <w:t>CAJ</w:t>
    </w:r>
    <w:proofErr w:type="spellEnd"/>
    <w:r w:rsidRPr="00AF32BD">
      <w:rPr>
        <w:lang w:val="en-US"/>
      </w:rPr>
      <w:t>/77/4</w:t>
    </w:r>
    <w:r w:rsidR="00A444FD">
      <w:rPr>
        <w:lang w:val="en-US"/>
      </w:rPr>
      <w:t xml:space="preserve"> </w:t>
    </w:r>
    <w:r w:rsidR="00A444FD" w:rsidRPr="00A444FD">
      <w:rPr>
        <w:highlight w:val="yellow"/>
        <w:u w:val="single"/>
        <w:lang w:val="es-ES"/>
      </w:rPr>
      <w:t>Rev.</w:t>
    </w:r>
  </w:p>
  <w:p w:rsidR="009F11CA" w:rsidRDefault="009F11CA" w:rsidP="0018090B">
    <w:pPr>
      <w:jc w:val="center"/>
    </w:pPr>
  </w:p>
  <w:p w:rsidR="009F11CA" w:rsidRPr="00AF32BD" w:rsidRDefault="009F11CA" w:rsidP="00211989">
    <w:pPr>
      <w:jc w:val="center"/>
      <w:rPr>
        <w:lang w:val="en-US"/>
      </w:rPr>
    </w:pPr>
    <w:r>
      <w:t>ANEXO II</w:t>
    </w:r>
  </w:p>
  <w:p w:rsidR="009F11CA" w:rsidRPr="00AF32BD" w:rsidRDefault="009F11C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9B5"/>
    <w:multiLevelType w:val="hybridMultilevel"/>
    <w:tmpl w:val="9186550E"/>
    <w:lvl w:ilvl="0" w:tplc="A75E6AA4">
      <w:start w:val="1"/>
      <w:numFmt w:val="lowerLetter"/>
      <w:lvlText w:val="(%1)"/>
      <w:lvlJc w:val="left"/>
      <w:pPr>
        <w:ind w:left="5948" w:hanging="564"/>
      </w:pPr>
      <w:rPr>
        <w:rFonts w:hint="default"/>
      </w:rPr>
    </w:lvl>
    <w:lvl w:ilvl="1" w:tplc="04090019" w:tentative="1">
      <w:start w:val="1"/>
      <w:numFmt w:val="lowerLetter"/>
      <w:lvlText w:val="%2."/>
      <w:lvlJc w:val="left"/>
      <w:pPr>
        <w:ind w:left="6464" w:hanging="360"/>
      </w:pPr>
    </w:lvl>
    <w:lvl w:ilvl="2" w:tplc="0409001B" w:tentative="1">
      <w:start w:val="1"/>
      <w:numFmt w:val="lowerRoman"/>
      <w:lvlText w:val="%3."/>
      <w:lvlJc w:val="right"/>
      <w:pPr>
        <w:ind w:left="7184" w:hanging="180"/>
      </w:pPr>
    </w:lvl>
    <w:lvl w:ilvl="3" w:tplc="0409000F" w:tentative="1">
      <w:start w:val="1"/>
      <w:numFmt w:val="decimal"/>
      <w:lvlText w:val="%4."/>
      <w:lvlJc w:val="left"/>
      <w:pPr>
        <w:ind w:left="7904" w:hanging="360"/>
      </w:pPr>
    </w:lvl>
    <w:lvl w:ilvl="4" w:tplc="04090019" w:tentative="1">
      <w:start w:val="1"/>
      <w:numFmt w:val="lowerLetter"/>
      <w:lvlText w:val="%5."/>
      <w:lvlJc w:val="left"/>
      <w:pPr>
        <w:ind w:left="8624" w:hanging="360"/>
      </w:pPr>
    </w:lvl>
    <w:lvl w:ilvl="5" w:tplc="0409001B" w:tentative="1">
      <w:start w:val="1"/>
      <w:numFmt w:val="lowerRoman"/>
      <w:lvlText w:val="%6."/>
      <w:lvlJc w:val="right"/>
      <w:pPr>
        <w:ind w:left="9344" w:hanging="180"/>
      </w:pPr>
    </w:lvl>
    <w:lvl w:ilvl="6" w:tplc="0409000F" w:tentative="1">
      <w:start w:val="1"/>
      <w:numFmt w:val="decimal"/>
      <w:lvlText w:val="%7."/>
      <w:lvlJc w:val="left"/>
      <w:pPr>
        <w:ind w:left="10064" w:hanging="360"/>
      </w:pPr>
    </w:lvl>
    <w:lvl w:ilvl="7" w:tplc="04090019" w:tentative="1">
      <w:start w:val="1"/>
      <w:numFmt w:val="lowerLetter"/>
      <w:lvlText w:val="%8."/>
      <w:lvlJc w:val="left"/>
      <w:pPr>
        <w:ind w:left="10784" w:hanging="360"/>
      </w:pPr>
    </w:lvl>
    <w:lvl w:ilvl="8" w:tplc="0409001B" w:tentative="1">
      <w:start w:val="1"/>
      <w:numFmt w:val="lowerRoman"/>
      <w:lvlText w:val="%9."/>
      <w:lvlJc w:val="right"/>
      <w:pPr>
        <w:ind w:left="11504" w:hanging="180"/>
      </w:pPr>
    </w:lvl>
  </w:abstractNum>
  <w:abstractNum w:abstractNumId="1" w15:restartNumberingAfterBreak="0">
    <w:nsid w:val="06BD3D18"/>
    <w:multiLevelType w:val="hybridMultilevel"/>
    <w:tmpl w:val="1C9E5454"/>
    <w:lvl w:ilvl="0" w:tplc="BE8A24AC">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A4EAF"/>
    <w:multiLevelType w:val="hybridMultilevel"/>
    <w:tmpl w:val="B55C1E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76A25B4"/>
    <w:multiLevelType w:val="hybridMultilevel"/>
    <w:tmpl w:val="6AEC3858"/>
    <w:lvl w:ilvl="0" w:tplc="3B1282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06B9B"/>
    <w:multiLevelType w:val="hybridMultilevel"/>
    <w:tmpl w:val="67FA5CFE"/>
    <w:lvl w:ilvl="0" w:tplc="A202C230">
      <w:start w:val="4"/>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C460EE8"/>
    <w:multiLevelType w:val="hybridMultilevel"/>
    <w:tmpl w:val="2E5277F8"/>
    <w:lvl w:ilvl="0" w:tplc="BAC23F0C">
      <w:start w:val="9"/>
      <w:numFmt w:val="lowerLetter"/>
      <w:lvlText w:val="(%1)"/>
      <w:lvlJc w:val="left"/>
      <w:pPr>
        <w:ind w:left="2007" w:hanging="36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6" w15:restartNumberingAfterBreak="0">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1633AEE"/>
    <w:multiLevelType w:val="hybridMultilevel"/>
    <w:tmpl w:val="7A941162"/>
    <w:lvl w:ilvl="0" w:tplc="9F424946">
      <w:start w:val="9"/>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8" w15:restartNumberingAfterBreak="0">
    <w:nsid w:val="144E323E"/>
    <w:multiLevelType w:val="hybridMultilevel"/>
    <w:tmpl w:val="7F6A7DEA"/>
    <w:lvl w:ilvl="0" w:tplc="DBDE67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7B576E"/>
    <w:multiLevelType w:val="hybridMultilevel"/>
    <w:tmpl w:val="D1C04F46"/>
    <w:lvl w:ilvl="0" w:tplc="7B9C9AC4">
      <w:start w:val="2"/>
      <w:numFmt w:val="lowerRoman"/>
      <w:lvlText w:val="(%1)"/>
      <w:lvlJc w:val="left"/>
      <w:pPr>
        <w:ind w:left="1647"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16057589"/>
    <w:multiLevelType w:val="hybridMultilevel"/>
    <w:tmpl w:val="DFD23042"/>
    <w:lvl w:ilvl="0" w:tplc="3B92D4A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A86504"/>
    <w:multiLevelType w:val="hybridMultilevel"/>
    <w:tmpl w:val="68168630"/>
    <w:lvl w:ilvl="0" w:tplc="E14A6F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F4472B"/>
    <w:multiLevelType w:val="hybridMultilevel"/>
    <w:tmpl w:val="7F9289CC"/>
    <w:lvl w:ilvl="0" w:tplc="1C820274">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13" w15:restartNumberingAfterBreak="0">
    <w:nsid w:val="1BA37545"/>
    <w:multiLevelType w:val="hybridMultilevel"/>
    <w:tmpl w:val="3138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BA638D"/>
    <w:multiLevelType w:val="hybridMultilevel"/>
    <w:tmpl w:val="AEDCD394"/>
    <w:lvl w:ilvl="0" w:tplc="5AB4178E">
      <w:numFmt w:val="bullet"/>
      <w:lvlText w:val="-"/>
      <w:lvlJc w:val="left"/>
      <w:pPr>
        <w:ind w:left="1700" w:hanging="360"/>
      </w:pPr>
      <w:rPr>
        <w:rFonts w:ascii="Arial" w:eastAsia="Arial" w:hAnsi="Arial" w:cs="Arial" w:hint="default"/>
        <w:w w:val="100"/>
        <w:sz w:val="22"/>
        <w:szCs w:val="22"/>
      </w:rPr>
    </w:lvl>
    <w:lvl w:ilvl="1" w:tplc="219CA3DE">
      <w:numFmt w:val="bullet"/>
      <w:lvlText w:val="•"/>
      <w:lvlJc w:val="left"/>
      <w:pPr>
        <w:ind w:left="2626" w:hanging="360"/>
      </w:pPr>
      <w:rPr>
        <w:rFonts w:hint="default"/>
      </w:rPr>
    </w:lvl>
    <w:lvl w:ilvl="2" w:tplc="031C8780">
      <w:numFmt w:val="bullet"/>
      <w:lvlText w:val="•"/>
      <w:lvlJc w:val="left"/>
      <w:pPr>
        <w:ind w:left="3553" w:hanging="360"/>
      </w:pPr>
      <w:rPr>
        <w:rFonts w:hint="default"/>
      </w:rPr>
    </w:lvl>
    <w:lvl w:ilvl="3" w:tplc="B59A6658">
      <w:numFmt w:val="bullet"/>
      <w:lvlText w:val="•"/>
      <w:lvlJc w:val="left"/>
      <w:pPr>
        <w:ind w:left="4479" w:hanging="360"/>
      </w:pPr>
      <w:rPr>
        <w:rFonts w:hint="default"/>
      </w:rPr>
    </w:lvl>
    <w:lvl w:ilvl="4" w:tplc="9580DC40">
      <w:numFmt w:val="bullet"/>
      <w:lvlText w:val="•"/>
      <w:lvlJc w:val="left"/>
      <w:pPr>
        <w:ind w:left="5406" w:hanging="360"/>
      </w:pPr>
      <w:rPr>
        <w:rFonts w:hint="default"/>
      </w:rPr>
    </w:lvl>
    <w:lvl w:ilvl="5" w:tplc="066CD5B0">
      <w:numFmt w:val="bullet"/>
      <w:lvlText w:val="•"/>
      <w:lvlJc w:val="left"/>
      <w:pPr>
        <w:ind w:left="6333" w:hanging="360"/>
      </w:pPr>
      <w:rPr>
        <w:rFonts w:hint="default"/>
      </w:rPr>
    </w:lvl>
    <w:lvl w:ilvl="6" w:tplc="8146E6D4">
      <w:numFmt w:val="bullet"/>
      <w:lvlText w:val="•"/>
      <w:lvlJc w:val="left"/>
      <w:pPr>
        <w:ind w:left="7259" w:hanging="360"/>
      </w:pPr>
      <w:rPr>
        <w:rFonts w:hint="default"/>
      </w:rPr>
    </w:lvl>
    <w:lvl w:ilvl="7" w:tplc="DF763A88">
      <w:numFmt w:val="bullet"/>
      <w:lvlText w:val="•"/>
      <w:lvlJc w:val="left"/>
      <w:pPr>
        <w:ind w:left="8186" w:hanging="360"/>
      </w:pPr>
      <w:rPr>
        <w:rFonts w:hint="default"/>
      </w:rPr>
    </w:lvl>
    <w:lvl w:ilvl="8" w:tplc="CA84B0C2">
      <w:numFmt w:val="bullet"/>
      <w:lvlText w:val="•"/>
      <w:lvlJc w:val="left"/>
      <w:pPr>
        <w:ind w:left="9113" w:hanging="360"/>
      </w:pPr>
      <w:rPr>
        <w:rFonts w:hint="default"/>
      </w:rPr>
    </w:lvl>
  </w:abstractNum>
  <w:abstractNum w:abstractNumId="15" w15:restartNumberingAfterBreak="0">
    <w:nsid w:val="215A41AC"/>
    <w:multiLevelType w:val="hybridMultilevel"/>
    <w:tmpl w:val="714CD030"/>
    <w:lvl w:ilvl="0" w:tplc="6284EA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8F36BE"/>
    <w:multiLevelType w:val="hybridMultilevel"/>
    <w:tmpl w:val="5C5A44AE"/>
    <w:lvl w:ilvl="0" w:tplc="56569E10">
      <w:start w:val="2"/>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5F74138"/>
    <w:multiLevelType w:val="hybridMultilevel"/>
    <w:tmpl w:val="5BA67584"/>
    <w:lvl w:ilvl="0" w:tplc="34ECAA4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02297F"/>
    <w:multiLevelType w:val="hybridMultilevel"/>
    <w:tmpl w:val="C586213E"/>
    <w:lvl w:ilvl="0" w:tplc="C430ECB6">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6A0E9B"/>
    <w:multiLevelType w:val="hybridMultilevel"/>
    <w:tmpl w:val="F126C86E"/>
    <w:lvl w:ilvl="0" w:tplc="A08E02A6">
      <w:start w:val="1"/>
      <w:numFmt w:val="lowerLetter"/>
      <w:lvlText w:val="(%1)"/>
      <w:lvlJc w:val="left"/>
      <w:pPr>
        <w:ind w:left="6027" w:hanging="360"/>
      </w:pPr>
      <w:rPr>
        <w:rFonts w:hint="default"/>
      </w:rPr>
    </w:lvl>
    <w:lvl w:ilvl="1" w:tplc="04090019" w:tentative="1">
      <w:start w:val="1"/>
      <w:numFmt w:val="lowerLetter"/>
      <w:lvlText w:val="%2."/>
      <w:lvlJc w:val="left"/>
      <w:pPr>
        <w:ind w:left="6747" w:hanging="360"/>
      </w:pPr>
    </w:lvl>
    <w:lvl w:ilvl="2" w:tplc="0409001B" w:tentative="1">
      <w:start w:val="1"/>
      <w:numFmt w:val="lowerRoman"/>
      <w:lvlText w:val="%3."/>
      <w:lvlJc w:val="right"/>
      <w:pPr>
        <w:ind w:left="7467" w:hanging="180"/>
      </w:pPr>
    </w:lvl>
    <w:lvl w:ilvl="3" w:tplc="0409000F" w:tentative="1">
      <w:start w:val="1"/>
      <w:numFmt w:val="decimal"/>
      <w:lvlText w:val="%4."/>
      <w:lvlJc w:val="left"/>
      <w:pPr>
        <w:ind w:left="8187" w:hanging="360"/>
      </w:pPr>
    </w:lvl>
    <w:lvl w:ilvl="4" w:tplc="04090019" w:tentative="1">
      <w:start w:val="1"/>
      <w:numFmt w:val="lowerLetter"/>
      <w:lvlText w:val="%5."/>
      <w:lvlJc w:val="left"/>
      <w:pPr>
        <w:ind w:left="8907" w:hanging="360"/>
      </w:pPr>
    </w:lvl>
    <w:lvl w:ilvl="5" w:tplc="0409001B" w:tentative="1">
      <w:start w:val="1"/>
      <w:numFmt w:val="lowerRoman"/>
      <w:lvlText w:val="%6."/>
      <w:lvlJc w:val="right"/>
      <w:pPr>
        <w:ind w:left="9627" w:hanging="180"/>
      </w:pPr>
    </w:lvl>
    <w:lvl w:ilvl="6" w:tplc="0409000F" w:tentative="1">
      <w:start w:val="1"/>
      <w:numFmt w:val="decimal"/>
      <w:lvlText w:val="%7."/>
      <w:lvlJc w:val="left"/>
      <w:pPr>
        <w:ind w:left="10347" w:hanging="360"/>
      </w:pPr>
    </w:lvl>
    <w:lvl w:ilvl="7" w:tplc="04090019" w:tentative="1">
      <w:start w:val="1"/>
      <w:numFmt w:val="lowerLetter"/>
      <w:lvlText w:val="%8."/>
      <w:lvlJc w:val="left"/>
      <w:pPr>
        <w:ind w:left="11067" w:hanging="360"/>
      </w:pPr>
    </w:lvl>
    <w:lvl w:ilvl="8" w:tplc="0409001B" w:tentative="1">
      <w:start w:val="1"/>
      <w:numFmt w:val="lowerRoman"/>
      <w:lvlText w:val="%9."/>
      <w:lvlJc w:val="right"/>
      <w:pPr>
        <w:ind w:left="11787" w:hanging="180"/>
      </w:pPr>
    </w:lvl>
  </w:abstractNum>
  <w:abstractNum w:abstractNumId="21" w15:restartNumberingAfterBreak="0">
    <w:nsid w:val="31612456"/>
    <w:multiLevelType w:val="hybridMultilevel"/>
    <w:tmpl w:val="069A9C1C"/>
    <w:lvl w:ilvl="0" w:tplc="E3FAA5AA">
      <w:start w:val="9"/>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35646FAF"/>
    <w:multiLevelType w:val="hybridMultilevel"/>
    <w:tmpl w:val="2D928650"/>
    <w:lvl w:ilvl="0" w:tplc="4F722FDA">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37ED3C9B"/>
    <w:multiLevelType w:val="hybridMultilevel"/>
    <w:tmpl w:val="D5500204"/>
    <w:lvl w:ilvl="0" w:tplc="1228F0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B00147"/>
    <w:multiLevelType w:val="hybridMultilevel"/>
    <w:tmpl w:val="B49C35B4"/>
    <w:lvl w:ilvl="0" w:tplc="13E205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3C857576"/>
    <w:multiLevelType w:val="hybridMultilevel"/>
    <w:tmpl w:val="E0E0AF04"/>
    <w:lvl w:ilvl="0" w:tplc="D716FA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C72CA6"/>
    <w:multiLevelType w:val="hybridMultilevel"/>
    <w:tmpl w:val="6804B8D0"/>
    <w:lvl w:ilvl="0" w:tplc="C7A450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F137C90"/>
    <w:multiLevelType w:val="hybridMultilevel"/>
    <w:tmpl w:val="C54EDE04"/>
    <w:lvl w:ilvl="0" w:tplc="1152D39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3FCB7D8E"/>
    <w:multiLevelType w:val="hybridMultilevel"/>
    <w:tmpl w:val="5BE8401A"/>
    <w:lvl w:ilvl="0" w:tplc="F9805A3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9" w15:restartNumberingAfterBreak="0">
    <w:nsid w:val="4D7B3F35"/>
    <w:multiLevelType w:val="hybridMultilevel"/>
    <w:tmpl w:val="245411EC"/>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15:restartNumberingAfterBreak="0">
    <w:nsid w:val="55D476B3"/>
    <w:multiLevelType w:val="hybridMultilevel"/>
    <w:tmpl w:val="7C228526"/>
    <w:lvl w:ilvl="0" w:tplc="B14681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83069B"/>
    <w:multiLevelType w:val="hybridMultilevel"/>
    <w:tmpl w:val="51520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604D6B"/>
    <w:multiLevelType w:val="hybridMultilevel"/>
    <w:tmpl w:val="377E5A1A"/>
    <w:lvl w:ilvl="0" w:tplc="5AEEDE7E">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15:restartNumberingAfterBreak="0">
    <w:nsid w:val="5E775829"/>
    <w:multiLevelType w:val="hybridMultilevel"/>
    <w:tmpl w:val="72CEB122"/>
    <w:lvl w:ilvl="0" w:tplc="A17EE2E4">
      <w:start w:val="2"/>
      <w:numFmt w:val="lowerRoman"/>
      <w:lvlText w:val="(%1)"/>
      <w:lvlJc w:val="left"/>
      <w:pPr>
        <w:ind w:left="2367" w:hanging="72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34" w15:restartNumberingAfterBreak="0">
    <w:nsid w:val="61E8496A"/>
    <w:multiLevelType w:val="hybridMultilevel"/>
    <w:tmpl w:val="756C0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7762D9"/>
    <w:multiLevelType w:val="hybridMultilevel"/>
    <w:tmpl w:val="DBA4B7A0"/>
    <w:lvl w:ilvl="0" w:tplc="A45E3C72">
      <w:start w:val="1"/>
      <w:numFmt w:val="decimalZero"/>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15:restartNumberingAfterBreak="0">
    <w:nsid w:val="6D482E14"/>
    <w:multiLevelType w:val="hybridMultilevel"/>
    <w:tmpl w:val="7AA8DB0C"/>
    <w:lvl w:ilvl="0" w:tplc="04090001">
      <w:start w:val="1"/>
      <w:numFmt w:val="bullet"/>
      <w:lvlText w:val=""/>
      <w:lvlJc w:val="left"/>
      <w:pPr>
        <w:ind w:left="2988" w:hanging="360"/>
      </w:pPr>
      <w:rPr>
        <w:rFonts w:ascii="Symbol" w:hAnsi="Symbol" w:hint="default"/>
      </w:rPr>
    </w:lvl>
    <w:lvl w:ilvl="1" w:tplc="04090003" w:tentative="1">
      <w:start w:val="1"/>
      <w:numFmt w:val="bullet"/>
      <w:lvlText w:val="o"/>
      <w:lvlJc w:val="left"/>
      <w:pPr>
        <w:ind w:left="3708" w:hanging="360"/>
      </w:pPr>
      <w:rPr>
        <w:rFonts w:ascii="Courier New" w:hAnsi="Courier New" w:cs="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cs="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cs="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37" w15:restartNumberingAfterBreak="0">
    <w:nsid w:val="70000B86"/>
    <w:multiLevelType w:val="hybridMultilevel"/>
    <w:tmpl w:val="405A4FEE"/>
    <w:lvl w:ilvl="0" w:tplc="BB0AF6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691ECF"/>
    <w:multiLevelType w:val="hybridMultilevel"/>
    <w:tmpl w:val="14A45ECA"/>
    <w:lvl w:ilvl="0" w:tplc="F9A4D5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EE4233"/>
    <w:multiLevelType w:val="hybridMultilevel"/>
    <w:tmpl w:val="9054753C"/>
    <w:lvl w:ilvl="0" w:tplc="2F28985C">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616BF"/>
    <w:multiLevelType w:val="hybridMultilevel"/>
    <w:tmpl w:val="915E38E8"/>
    <w:lvl w:ilvl="0" w:tplc="9B70957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22"/>
  </w:num>
  <w:num w:numId="2">
    <w:abstractNumId w:val="28"/>
  </w:num>
  <w:num w:numId="3">
    <w:abstractNumId w:val="1"/>
  </w:num>
  <w:num w:numId="4">
    <w:abstractNumId w:val="13"/>
  </w:num>
  <w:num w:numId="5">
    <w:abstractNumId w:val="40"/>
  </w:num>
  <w:num w:numId="6">
    <w:abstractNumId w:val="18"/>
  </w:num>
  <w:num w:numId="7">
    <w:abstractNumId w:val="30"/>
  </w:num>
  <w:num w:numId="8">
    <w:abstractNumId w:val="39"/>
  </w:num>
  <w:num w:numId="9">
    <w:abstractNumId w:val="6"/>
  </w:num>
  <w:num w:numId="10">
    <w:abstractNumId w:val="27"/>
  </w:num>
  <w:num w:numId="11">
    <w:abstractNumId w:val="36"/>
  </w:num>
  <w:num w:numId="12">
    <w:abstractNumId w:val="34"/>
  </w:num>
  <w:num w:numId="13">
    <w:abstractNumId w:val="14"/>
  </w:num>
  <w:num w:numId="14">
    <w:abstractNumId w:val="2"/>
  </w:num>
  <w:num w:numId="15">
    <w:abstractNumId w:val="31"/>
  </w:num>
  <w:num w:numId="16">
    <w:abstractNumId w:val="38"/>
  </w:num>
  <w:num w:numId="17">
    <w:abstractNumId w:val="19"/>
  </w:num>
  <w:num w:numId="18">
    <w:abstractNumId w:val="15"/>
  </w:num>
  <w:num w:numId="19">
    <w:abstractNumId w:val="8"/>
  </w:num>
  <w:num w:numId="20">
    <w:abstractNumId w:val="23"/>
  </w:num>
  <w:num w:numId="21">
    <w:abstractNumId w:val="11"/>
  </w:num>
  <w:num w:numId="22">
    <w:abstractNumId w:val="3"/>
  </w:num>
  <w:num w:numId="23">
    <w:abstractNumId w:val="25"/>
  </w:num>
  <w:num w:numId="24">
    <w:abstractNumId w:val="10"/>
  </w:num>
  <w:num w:numId="25">
    <w:abstractNumId w:val="37"/>
  </w:num>
  <w:num w:numId="26">
    <w:abstractNumId w:val="7"/>
  </w:num>
  <w:num w:numId="27">
    <w:abstractNumId w:val="26"/>
  </w:num>
  <w:num w:numId="28">
    <w:abstractNumId w:val="5"/>
  </w:num>
  <w:num w:numId="29">
    <w:abstractNumId w:val="16"/>
  </w:num>
  <w:num w:numId="30">
    <w:abstractNumId w:val="33"/>
  </w:num>
  <w:num w:numId="31">
    <w:abstractNumId w:val="29"/>
  </w:num>
  <w:num w:numId="32">
    <w:abstractNumId w:val="35"/>
  </w:num>
  <w:num w:numId="33">
    <w:abstractNumId w:val="24"/>
  </w:num>
  <w:num w:numId="34">
    <w:abstractNumId w:val="17"/>
  </w:num>
  <w:num w:numId="35">
    <w:abstractNumId w:val="21"/>
  </w:num>
  <w:num w:numId="36">
    <w:abstractNumId w:val="9"/>
  </w:num>
  <w:num w:numId="37">
    <w:abstractNumId w:val="12"/>
  </w:num>
  <w:num w:numId="38">
    <w:abstractNumId w:val="4"/>
  </w:num>
  <w:num w:numId="39">
    <w:abstractNumId w:val="32"/>
  </w:num>
  <w:num w:numId="40">
    <w:abstractNumId w:val="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20"/>
  </w:docVars>
  <w:rsids>
    <w:rsidRoot w:val="00643668"/>
    <w:rsid w:val="00006FB6"/>
    <w:rsid w:val="00010CF3"/>
    <w:rsid w:val="00011E27"/>
    <w:rsid w:val="0001282C"/>
    <w:rsid w:val="000142B3"/>
    <w:rsid w:val="000148BC"/>
    <w:rsid w:val="00015CEF"/>
    <w:rsid w:val="000200BD"/>
    <w:rsid w:val="00021A43"/>
    <w:rsid w:val="00024AB8"/>
    <w:rsid w:val="00024D84"/>
    <w:rsid w:val="00026252"/>
    <w:rsid w:val="00030854"/>
    <w:rsid w:val="00031467"/>
    <w:rsid w:val="00036028"/>
    <w:rsid w:val="0004012E"/>
    <w:rsid w:val="000416B7"/>
    <w:rsid w:val="00043E8F"/>
    <w:rsid w:val="00044642"/>
    <w:rsid w:val="000446B9"/>
    <w:rsid w:val="00047E21"/>
    <w:rsid w:val="00050E16"/>
    <w:rsid w:val="00052570"/>
    <w:rsid w:val="00057350"/>
    <w:rsid w:val="00061C2A"/>
    <w:rsid w:val="000638A9"/>
    <w:rsid w:val="00065BE6"/>
    <w:rsid w:val="00083F12"/>
    <w:rsid w:val="00085505"/>
    <w:rsid w:val="00092A94"/>
    <w:rsid w:val="00094A10"/>
    <w:rsid w:val="00094EAF"/>
    <w:rsid w:val="000A23DC"/>
    <w:rsid w:val="000A54FC"/>
    <w:rsid w:val="000B1F22"/>
    <w:rsid w:val="000B5C28"/>
    <w:rsid w:val="000C4E25"/>
    <w:rsid w:val="000C6D15"/>
    <w:rsid w:val="000C7021"/>
    <w:rsid w:val="000D6BBC"/>
    <w:rsid w:val="000D7780"/>
    <w:rsid w:val="000E14EC"/>
    <w:rsid w:val="000E2D8E"/>
    <w:rsid w:val="000E636A"/>
    <w:rsid w:val="000E7592"/>
    <w:rsid w:val="000F004E"/>
    <w:rsid w:val="000F2F11"/>
    <w:rsid w:val="000F6B34"/>
    <w:rsid w:val="000F71FF"/>
    <w:rsid w:val="001013CF"/>
    <w:rsid w:val="00102079"/>
    <w:rsid w:val="00105929"/>
    <w:rsid w:val="00107C1E"/>
    <w:rsid w:val="00110A20"/>
    <w:rsid w:val="00110C36"/>
    <w:rsid w:val="001131D5"/>
    <w:rsid w:val="00113649"/>
    <w:rsid w:val="001139A0"/>
    <w:rsid w:val="001241A3"/>
    <w:rsid w:val="001271F0"/>
    <w:rsid w:val="00130001"/>
    <w:rsid w:val="00133B37"/>
    <w:rsid w:val="00141DB8"/>
    <w:rsid w:val="00150FF0"/>
    <w:rsid w:val="00151989"/>
    <w:rsid w:val="00170BA8"/>
    <w:rsid w:val="00172084"/>
    <w:rsid w:val="00172FAC"/>
    <w:rsid w:val="0017474A"/>
    <w:rsid w:val="00174E10"/>
    <w:rsid w:val="001757AF"/>
    <w:rsid w:val="001758C6"/>
    <w:rsid w:val="0018090B"/>
    <w:rsid w:val="00182B99"/>
    <w:rsid w:val="0018304C"/>
    <w:rsid w:val="00186ABA"/>
    <w:rsid w:val="00187361"/>
    <w:rsid w:val="001A05B5"/>
    <w:rsid w:val="001A2BA2"/>
    <w:rsid w:val="001A5F30"/>
    <w:rsid w:val="001A6AF0"/>
    <w:rsid w:val="001B0963"/>
    <w:rsid w:val="001C4080"/>
    <w:rsid w:val="001C5286"/>
    <w:rsid w:val="001D39F0"/>
    <w:rsid w:val="001D6FC3"/>
    <w:rsid w:val="001E5533"/>
    <w:rsid w:val="001F0114"/>
    <w:rsid w:val="001F053F"/>
    <w:rsid w:val="001F64BF"/>
    <w:rsid w:val="001F6F26"/>
    <w:rsid w:val="00202E38"/>
    <w:rsid w:val="00207BBB"/>
    <w:rsid w:val="00211989"/>
    <w:rsid w:val="0021265B"/>
    <w:rsid w:val="0021332C"/>
    <w:rsid w:val="00213982"/>
    <w:rsid w:val="00216E15"/>
    <w:rsid w:val="002215BF"/>
    <w:rsid w:val="0022766F"/>
    <w:rsid w:val="00230802"/>
    <w:rsid w:val="002324F2"/>
    <w:rsid w:val="0024416D"/>
    <w:rsid w:val="002442B8"/>
    <w:rsid w:val="0024555C"/>
    <w:rsid w:val="00245A89"/>
    <w:rsid w:val="002464A3"/>
    <w:rsid w:val="00251D53"/>
    <w:rsid w:val="00252C76"/>
    <w:rsid w:val="00255E68"/>
    <w:rsid w:val="00262ACE"/>
    <w:rsid w:val="00271911"/>
    <w:rsid w:val="00272C15"/>
    <w:rsid w:val="00275003"/>
    <w:rsid w:val="00275FE3"/>
    <w:rsid w:val="002800A0"/>
    <w:rsid w:val="002801B3"/>
    <w:rsid w:val="00281060"/>
    <w:rsid w:val="00284332"/>
    <w:rsid w:val="002872A1"/>
    <w:rsid w:val="0029090E"/>
    <w:rsid w:val="002940E8"/>
    <w:rsid w:val="002946C6"/>
    <w:rsid w:val="00294751"/>
    <w:rsid w:val="00297654"/>
    <w:rsid w:val="002A12F2"/>
    <w:rsid w:val="002A6E50"/>
    <w:rsid w:val="002B11B3"/>
    <w:rsid w:val="002B2FF6"/>
    <w:rsid w:val="002B4298"/>
    <w:rsid w:val="002B692A"/>
    <w:rsid w:val="002C256A"/>
    <w:rsid w:val="002C6869"/>
    <w:rsid w:val="002D1E13"/>
    <w:rsid w:val="002D55C3"/>
    <w:rsid w:val="002E046E"/>
    <w:rsid w:val="002E5944"/>
    <w:rsid w:val="002E6B9E"/>
    <w:rsid w:val="002E7115"/>
    <w:rsid w:val="00301E91"/>
    <w:rsid w:val="00305A7F"/>
    <w:rsid w:val="003152FE"/>
    <w:rsid w:val="00315BB7"/>
    <w:rsid w:val="00321A4C"/>
    <w:rsid w:val="00321D1D"/>
    <w:rsid w:val="00327436"/>
    <w:rsid w:val="00333A98"/>
    <w:rsid w:val="00343341"/>
    <w:rsid w:val="00344BD6"/>
    <w:rsid w:val="0035528D"/>
    <w:rsid w:val="00361059"/>
    <w:rsid w:val="003613F6"/>
    <w:rsid w:val="00361821"/>
    <w:rsid w:val="00361E9E"/>
    <w:rsid w:val="00362E14"/>
    <w:rsid w:val="00392E77"/>
    <w:rsid w:val="0039504E"/>
    <w:rsid w:val="003A0132"/>
    <w:rsid w:val="003A46A5"/>
    <w:rsid w:val="003A6F8B"/>
    <w:rsid w:val="003B031A"/>
    <w:rsid w:val="003C02DE"/>
    <w:rsid w:val="003C3F11"/>
    <w:rsid w:val="003C549C"/>
    <w:rsid w:val="003C7DBF"/>
    <w:rsid w:val="003C7FBE"/>
    <w:rsid w:val="003D04BE"/>
    <w:rsid w:val="003D227C"/>
    <w:rsid w:val="003D2B4D"/>
    <w:rsid w:val="003D404C"/>
    <w:rsid w:val="003D5DCC"/>
    <w:rsid w:val="003E1CF9"/>
    <w:rsid w:val="003E2C71"/>
    <w:rsid w:val="003E7D9C"/>
    <w:rsid w:val="00404329"/>
    <w:rsid w:val="0040557F"/>
    <w:rsid w:val="00406D7C"/>
    <w:rsid w:val="00407D12"/>
    <w:rsid w:val="004228EC"/>
    <w:rsid w:val="00432417"/>
    <w:rsid w:val="00435642"/>
    <w:rsid w:val="00441557"/>
    <w:rsid w:val="00444A88"/>
    <w:rsid w:val="00452DA5"/>
    <w:rsid w:val="00455531"/>
    <w:rsid w:val="00465C6D"/>
    <w:rsid w:val="00474DA4"/>
    <w:rsid w:val="00474E52"/>
    <w:rsid w:val="00476B4D"/>
    <w:rsid w:val="004805FA"/>
    <w:rsid w:val="00480E1F"/>
    <w:rsid w:val="00481788"/>
    <w:rsid w:val="00486C78"/>
    <w:rsid w:val="00487911"/>
    <w:rsid w:val="004935D2"/>
    <w:rsid w:val="00494716"/>
    <w:rsid w:val="0049595F"/>
    <w:rsid w:val="004962FF"/>
    <w:rsid w:val="004A27EA"/>
    <w:rsid w:val="004A4DC8"/>
    <w:rsid w:val="004A7925"/>
    <w:rsid w:val="004A7F6B"/>
    <w:rsid w:val="004B10BB"/>
    <w:rsid w:val="004B1215"/>
    <w:rsid w:val="004B1FE4"/>
    <w:rsid w:val="004B61CB"/>
    <w:rsid w:val="004C5BBB"/>
    <w:rsid w:val="004D047D"/>
    <w:rsid w:val="004D15DE"/>
    <w:rsid w:val="004D2B1A"/>
    <w:rsid w:val="004D2F7C"/>
    <w:rsid w:val="004E2ED0"/>
    <w:rsid w:val="004E2F87"/>
    <w:rsid w:val="004E6270"/>
    <w:rsid w:val="004E6D0C"/>
    <w:rsid w:val="004F1E9E"/>
    <w:rsid w:val="004F305A"/>
    <w:rsid w:val="004F50AA"/>
    <w:rsid w:val="004F7B55"/>
    <w:rsid w:val="00511494"/>
    <w:rsid w:val="00512164"/>
    <w:rsid w:val="0051279C"/>
    <w:rsid w:val="00520297"/>
    <w:rsid w:val="00520325"/>
    <w:rsid w:val="00525AB1"/>
    <w:rsid w:val="00531787"/>
    <w:rsid w:val="005338F9"/>
    <w:rsid w:val="0054281C"/>
    <w:rsid w:val="00544581"/>
    <w:rsid w:val="005449F3"/>
    <w:rsid w:val="005456A2"/>
    <w:rsid w:val="00545E42"/>
    <w:rsid w:val="0055268D"/>
    <w:rsid w:val="00553679"/>
    <w:rsid w:val="00554735"/>
    <w:rsid w:val="00555CFA"/>
    <w:rsid w:val="00556A0F"/>
    <w:rsid w:val="00557F3A"/>
    <w:rsid w:val="005639B5"/>
    <w:rsid w:val="00566C7E"/>
    <w:rsid w:val="00576BE4"/>
    <w:rsid w:val="00576DF8"/>
    <w:rsid w:val="00580C7B"/>
    <w:rsid w:val="00581A19"/>
    <w:rsid w:val="00594556"/>
    <w:rsid w:val="005A1291"/>
    <w:rsid w:val="005A3845"/>
    <w:rsid w:val="005A400A"/>
    <w:rsid w:val="005A43B2"/>
    <w:rsid w:val="005B6071"/>
    <w:rsid w:val="005C15B4"/>
    <w:rsid w:val="005D53E2"/>
    <w:rsid w:val="005F0FE2"/>
    <w:rsid w:val="005F7B92"/>
    <w:rsid w:val="00601687"/>
    <w:rsid w:val="00612379"/>
    <w:rsid w:val="006153B6"/>
    <w:rsid w:val="0061555F"/>
    <w:rsid w:val="00615839"/>
    <w:rsid w:val="00622EED"/>
    <w:rsid w:val="006240CB"/>
    <w:rsid w:val="00636CA6"/>
    <w:rsid w:val="0063790F"/>
    <w:rsid w:val="00637EDD"/>
    <w:rsid w:val="00641200"/>
    <w:rsid w:val="00642665"/>
    <w:rsid w:val="00643668"/>
    <w:rsid w:val="00645CA8"/>
    <w:rsid w:val="00651092"/>
    <w:rsid w:val="006548F4"/>
    <w:rsid w:val="006639BA"/>
    <w:rsid w:val="006655D3"/>
    <w:rsid w:val="00665A79"/>
    <w:rsid w:val="00665C58"/>
    <w:rsid w:val="00667404"/>
    <w:rsid w:val="00672AB2"/>
    <w:rsid w:val="00677CA1"/>
    <w:rsid w:val="00681236"/>
    <w:rsid w:val="00681539"/>
    <w:rsid w:val="006818F4"/>
    <w:rsid w:val="0068686E"/>
    <w:rsid w:val="00687EB4"/>
    <w:rsid w:val="00690D4E"/>
    <w:rsid w:val="00695C56"/>
    <w:rsid w:val="006A32E5"/>
    <w:rsid w:val="006A5CDE"/>
    <w:rsid w:val="006A644A"/>
    <w:rsid w:val="006A6746"/>
    <w:rsid w:val="006B17D2"/>
    <w:rsid w:val="006B76A1"/>
    <w:rsid w:val="006C224E"/>
    <w:rsid w:val="006D0918"/>
    <w:rsid w:val="006D1D98"/>
    <w:rsid w:val="006D3D27"/>
    <w:rsid w:val="006D59F6"/>
    <w:rsid w:val="006D780A"/>
    <w:rsid w:val="006E06F1"/>
    <w:rsid w:val="006E2AB0"/>
    <w:rsid w:val="006E4EE6"/>
    <w:rsid w:val="006E6AC3"/>
    <w:rsid w:val="006F064B"/>
    <w:rsid w:val="006F27F6"/>
    <w:rsid w:val="0071271E"/>
    <w:rsid w:val="0072771F"/>
    <w:rsid w:val="00731600"/>
    <w:rsid w:val="00732DEC"/>
    <w:rsid w:val="007353E6"/>
    <w:rsid w:val="007355C7"/>
    <w:rsid w:val="00735BD5"/>
    <w:rsid w:val="00737BBF"/>
    <w:rsid w:val="00750978"/>
    <w:rsid w:val="00750AA6"/>
    <w:rsid w:val="00751613"/>
    <w:rsid w:val="00752334"/>
    <w:rsid w:val="007537D1"/>
    <w:rsid w:val="007556F6"/>
    <w:rsid w:val="00760DAC"/>
    <w:rsid w:val="00760EEF"/>
    <w:rsid w:val="0076427F"/>
    <w:rsid w:val="00777519"/>
    <w:rsid w:val="00777EE5"/>
    <w:rsid w:val="00781C74"/>
    <w:rsid w:val="00782CF2"/>
    <w:rsid w:val="00783722"/>
    <w:rsid w:val="00784836"/>
    <w:rsid w:val="0079023E"/>
    <w:rsid w:val="0079307B"/>
    <w:rsid w:val="00794FBF"/>
    <w:rsid w:val="007A1F36"/>
    <w:rsid w:val="007A2854"/>
    <w:rsid w:val="007B3609"/>
    <w:rsid w:val="007B4980"/>
    <w:rsid w:val="007B4A80"/>
    <w:rsid w:val="007B4FA6"/>
    <w:rsid w:val="007C1D92"/>
    <w:rsid w:val="007C4CB9"/>
    <w:rsid w:val="007D0B9D"/>
    <w:rsid w:val="007D19B0"/>
    <w:rsid w:val="007D30F2"/>
    <w:rsid w:val="007D7F30"/>
    <w:rsid w:val="007F34A2"/>
    <w:rsid w:val="007F498F"/>
    <w:rsid w:val="0080679D"/>
    <w:rsid w:val="008108B0"/>
    <w:rsid w:val="00810E6B"/>
    <w:rsid w:val="00811B20"/>
    <w:rsid w:val="00814374"/>
    <w:rsid w:val="00820561"/>
    <w:rsid w:val="008211B5"/>
    <w:rsid w:val="00822770"/>
    <w:rsid w:val="0082296E"/>
    <w:rsid w:val="00824099"/>
    <w:rsid w:val="00824FF1"/>
    <w:rsid w:val="00833FAA"/>
    <w:rsid w:val="00834CE1"/>
    <w:rsid w:val="00846D7C"/>
    <w:rsid w:val="00851E26"/>
    <w:rsid w:val="008570E4"/>
    <w:rsid w:val="008574A4"/>
    <w:rsid w:val="00864A1A"/>
    <w:rsid w:val="00864C55"/>
    <w:rsid w:val="00867722"/>
    <w:rsid w:val="00867AC1"/>
    <w:rsid w:val="00872C6E"/>
    <w:rsid w:val="00882908"/>
    <w:rsid w:val="008835BE"/>
    <w:rsid w:val="00890DF8"/>
    <w:rsid w:val="008A0CEF"/>
    <w:rsid w:val="008A378B"/>
    <w:rsid w:val="008A45A8"/>
    <w:rsid w:val="008A5F82"/>
    <w:rsid w:val="008A743F"/>
    <w:rsid w:val="008B22CB"/>
    <w:rsid w:val="008B3D8D"/>
    <w:rsid w:val="008C0970"/>
    <w:rsid w:val="008C3761"/>
    <w:rsid w:val="008C6250"/>
    <w:rsid w:val="008C7B5A"/>
    <w:rsid w:val="008D0BC5"/>
    <w:rsid w:val="008D2CF7"/>
    <w:rsid w:val="008E66C2"/>
    <w:rsid w:val="008F1D74"/>
    <w:rsid w:val="008F47A4"/>
    <w:rsid w:val="008F752E"/>
    <w:rsid w:val="00900C26"/>
    <w:rsid w:val="0090197F"/>
    <w:rsid w:val="009048F5"/>
    <w:rsid w:val="00906DDC"/>
    <w:rsid w:val="00907721"/>
    <w:rsid w:val="009113E9"/>
    <w:rsid w:val="00920DA8"/>
    <w:rsid w:val="00922E91"/>
    <w:rsid w:val="0092652A"/>
    <w:rsid w:val="00934E09"/>
    <w:rsid w:val="00936253"/>
    <w:rsid w:val="00940D46"/>
    <w:rsid w:val="00943983"/>
    <w:rsid w:val="00943A7F"/>
    <w:rsid w:val="00943BFD"/>
    <w:rsid w:val="00952DD4"/>
    <w:rsid w:val="00954FDF"/>
    <w:rsid w:val="0096175D"/>
    <w:rsid w:val="00965AE7"/>
    <w:rsid w:val="00970FED"/>
    <w:rsid w:val="00971440"/>
    <w:rsid w:val="00977153"/>
    <w:rsid w:val="00983156"/>
    <w:rsid w:val="009918FA"/>
    <w:rsid w:val="00992D82"/>
    <w:rsid w:val="009949CE"/>
    <w:rsid w:val="00997029"/>
    <w:rsid w:val="009A7339"/>
    <w:rsid w:val="009B440E"/>
    <w:rsid w:val="009B48AE"/>
    <w:rsid w:val="009B6412"/>
    <w:rsid w:val="009D690D"/>
    <w:rsid w:val="009E20C5"/>
    <w:rsid w:val="009E51E3"/>
    <w:rsid w:val="009E65B6"/>
    <w:rsid w:val="009F11CA"/>
    <w:rsid w:val="00A01EC4"/>
    <w:rsid w:val="00A033C5"/>
    <w:rsid w:val="00A20F18"/>
    <w:rsid w:val="00A22289"/>
    <w:rsid w:val="00A2480A"/>
    <w:rsid w:val="00A24C10"/>
    <w:rsid w:val="00A24DF7"/>
    <w:rsid w:val="00A25859"/>
    <w:rsid w:val="00A31458"/>
    <w:rsid w:val="00A42AC3"/>
    <w:rsid w:val="00A430CF"/>
    <w:rsid w:val="00A4373D"/>
    <w:rsid w:val="00A444FD"/>
    <w:rsid w:val="00A54309"/>
    <w:rsid w:val="00A565EE"/>
    <w:rsid w:val="00A706D3"/>
    <w:rsid w:val="00A70DCF"/>
    <w:rsid w:val="00A7165E"/>
    <w:rsid w:val="00A71AFF"/>
    <w:rsid w:val="00A826E3"/>
    <w:rsid w:val="00A84D97"/>
    <w:rsid w:val="00A918A8"/>
    <w:rsid w:val="00AA134E"/>
    <w:rsid w:val="00AA2CA2"/>
    <w:rsid w:val="00AA4CF3"/>
    <w:rsid w:val="00AA4DBF"/>
    <w:rsid w:val="00AB2B93"/>
    <w:rsid w:val="00AB530F"/>
    <w:rsid w:val="00AB7E5B"/>
    <w:rsid w:val="00AC01A8"/>
    <w:rsid w:val="00AC2883"/>
    <w:rsid w:val="00AC2B21"/>
    <w:rsid w:val="00AC7A23"/>
    <w:rsid w:val="00AD0E50"/>
    <w:rsid w:val="00AE0EF1"/>
    <w:rsid w:val="00AE2937"/>
    <w:rsid w:val="00AE68FA"/>
    <w:rsid w:val="00B07301"/>
    <w:rsid w:val="00B07DEF"/>
    <w:rsid w:val="00B10D69"/>
    <w:rsid w:val="00B116B7"/>
    <w:rsid w:val="00B11DE0"/>
    <w:rsid w:val="00B11F3E"/>
    <w:rsid w:val="00B14F3E"/>
    <w:rsid w:val="00B15F93"/>
    <w:rsid w:val="00B21E6F"/>
    <w:rsid w:val="00B224DE"/>
    <w:rsid w:val="00B2585C"/>
    <w:rsid w:val="00B26092"/>
    <w:rsid w:val="00B324D4"/>
    <w:rsid w:val="00B37C73"/>
    <w:rsid w:val="00B415B6"/>
    <w:rsid w:val="00B46575"/>
    <w:rsid w:val="00B5571B"/>
    <w:rsid w:val="00B61777"/>
    <w:rsid w:val="00B813C9"/>
    <w:rsid w:val="00B84BBD"/>
    <w:rsid w:val="00B854CE"/>
    <w:rsid w:val="00B96E69"/>
    <w:rsid w:val="00B974ED"/>
    <w:rsid w:val="00BA43FB"/>
    <w:rsid w:val="00BB5152"/>
    <w:rsid w:val="00BB5AF6"/>
    <w:rsid w:val="00BC0BD4"/>
    <w:rsid w:val="00BC127D"/>
    <w:rsid w:val="00BC1FE6"/>
    <w:rsid w:val="00BC4F64"/>
    <w:rsid w:val="00BD1FDC"/>
    <w:rsid w:val="00BD3ABC"/>
    <w:rsid w:val="00BD6B78"/>
    <w:rsid w:val="00BE68A8"/>
    <w:rsid w:val="00BF4EA6"/>
    <w:rsid w:val="00C009A6"/>
    <w:rsid w:val="00C00D37"/>
    <w:rsid w:val="00C061B6"/>
    <w:rsid w:val="00C07EAA"/>
    <w:rsid w:val="00C12A1D"/>
    <w:rsid w:val="00C171D0"/>
    <w:rsid w:val="00C2446C"/>
    <w:rsid w:val="00C330F5"/>
    <w:rsid w:val="00C36AE5"/>
    <w:rsid w:val="00C41F17"/>
    <w:rsid w:val="00C527FA"/>
    <w:rsid w:val="00C5280D"/>
    <w:rsid w:val="00C53EB3"/>
    <w:rsid w:val="00C5791C"/>
    <w:rsid w:val="00C57F63"/>
    <w:rsid w:val="00C63925"/>
    <w:rsid w:val="00C64D48"/>
    <w:rsid w:val="00C66290"/>
    <w:rsid w:val="00C66EF8"/>
    <w:rsid w:val="00C72B7A"/>
    <w:rsid w:val="00C760DC"/>
    <w:rsid w:val="00C8016A"/>
    <w:rsid w:val="00C80859"/>
    <w:rsid w:val="00C8195B"/>
    <w:rsid w:val="00C81EFB"/>
    <w:rsid w:val="00C9081C"/>
    <w:rsid w:val="00C95EF3"/>
    <w:rsid w:val="00C973F2"/>
    <w:rsid w:val="00CA304C"/>
    <w:rsid w:val="00CA774A"/>
    <w:rsid w:val="00CB27B6"/>
    <w:rsid w:val="00CB608A"/>
    <w:rsid w:val="00CC11B0"/>
    <w:rsid w:val="00CC2841"/>
    <w:rsid w:val="00CC7D4D"/>
    <w:rsid w:val="00CD4193"/>
    <w:rsid w:val="00CD77A0"/>
    <w:rsid w:val="00CE4A32"/>
    <w:rsid w:val="00CE712E"/>
    <w:rsid w:val="00CF1330"/>
    <w:rsid w:val="00CF7E36"/>
    <w:rsid w:val="00D03591"/>
    <w:rsid w:val="00D23FE5"/>
    <w:rsid w:val="00D310C8"/>
    <w:rsid w:val="00D3120A"/>
    <w:rsid w:val="00D32BB8"/>
    <w:rsid w:val="00D34116"/>
    <w:rsid w:val="00D3708D"/>
    <w:rsid w:val="00D40426"/>
    <w:rsid w:val="00D42D26"/>
    <w:rsid w:val="00D44F93"/>
    <w:rsid w:val="00D45205"/>
    <w:rsid w:val="00D55C97"/>
    <w:rsid w:val="00D5694A"/>
    <w:rsid w:val="00D57C96"/>
    <w:rsid w:val="00D57D18"/>
    <w:rsid w:val="00D63B28"/>
    <w:rsid w:val="00D64223"/>
    <w:rsid w:val="00D7734D"/>
    <w:rsid w:val="00D859F7"/>
    <w:rsid w:val="00D91203"/>
    <w:rsid w:val="00D93FE3"/>
    <w:rsid w:val="00D95174"/>
    <w:rsid w:val="00DA4973"/>
    <w:rsid w:val="00DA4A67"/>
    <w:rsid w:val="00DA6F36"/>
    <w:rsid w:val="00DB596E"/>
    <w:rsid w:val="00DB7773"/>
    <w:rsid w:val="00DC00EA"/>
    <w:rsid w:val="00DC3802"/>
    <w:rsid w:val="00DD4E4F"/>
    <w:rsid w:val="00DE11CE"/>
    <w:rsid w:val="00DE270A"/>
    <w:rsid w:val="00DE7533"/>
    <w:rsid w:val="00DF6BB3"/>
    <w:rsid w:val="00DF75C8"/>
    <w:rsid w:val="00E04D93"/>
    <w:rsid w:val="00E07D87"/>
    <w:rsid w:val="00E1304C"/>
    <w:rsid w:val="00E20DAA"/>
    <w:rsid w:val="00E32F7E"/>
    <w:rsid w:val="00E3669C"/>
    <w:rsid w:val="00E43D05"/>
    <w:rsid w:val="00E47537"/>
    <w:rsid w:val="00E511BA"/>
    <w:rsid w:val="00E5267B"/>
    <w:rsid w:val="00E62627"/>
    <w:rsid w:val="00E63C0E"/>
    <w:rsid w:val="00E65E6C"/>
    <w:rsid w:val="00E6616A"/>
    <w:rsid w:val="00E67C2F"/>
    <w:rsid w:val="00E70E9C"/>
    <w:rsid w:val="00E72D49"/>
    <w:rsid w:val="00E75916"/>
    <w:rsid w:val="00E7593C"/>
    <w:rsid w:val="00E7678A"/>
    <w:rsid w:val="00E8348A"/>
    <w:rsid w:val="00E84067"/>
    <w:rsid w:val="00E935F1"/>
    <w:rsid w:val="00E94A81"/>
    <w:rsid w:val="00E9700A"/>
    <w:rsid w:val="00E9753B"/>
    <w:rsid w:val="00EA1FFB"/>
    <w:rsid w:val="00EA5883"/>
    <w:rsid w:val="00EB048E"/>
    <w:rsid w:val="00EB4E9C"/>
    <w:rsid w:val="00EB7224"/>
    <w:rsid w:val="00EC2265"/>
    <w:rsid w:val="00ED1854"/>
    <w:rsid w:val="00ED2055"/>
    <w:rsid w:val="00EE11A3"/>
    <w:rsid w:val="00EE2EE2"/>
    <w:rsid w:val="00EE34DF"/>
    <w:rsid w:val="00EE7016"/>
    <w:rsid w:val="00EF2F89"/>
    <w:rsid w:val="00EF67E7"/>
    <w:rsid w:val="00EF7F89"/>
    <w:rsid w:val="00F03E98"/>
    <w:rsid w:val="00F1237A"/>
    <w:rsid w:val="00F16F13"/>
    <w:rsid w:val="00F22CBD"/>
    <w:rsid w:val="00F26512"/>
    <w:rsid w:val="00F272F1"/>
    <w:rsid w:val="00F27EC1"/>
    <w:rsid w:val="00F4239A"/>
    <w:rsid w:val="00F45372"/>
    <w:rsid w:val="00F50BA5"/>
    <w:rsid w:val="00F53AEF"/>
    <w:rsid w:val="00F5564C"/>
    <w:rsid w:val="00F560F7"/>
    <w:rsid w:val="00F62F0E"/>
    <w:rsid w:val="00F6334D"/>
    <w:rsid w:val="00F6657B"/>
    <w:rsid w:val="00F70D87"/>
    <w:rsid w:val="00F74AFF"/>
    <w:rsid w:val="00F772F2"/>
    <w:rsid w:val="00FA1276"/>
    <w:rsid w:val="00FA2145"/>
    <w:rsid w:val="00FA2EA8"/>
    <w:rsid w:val="00FA49AB"/>
    <w:rsid w:val="00FB32A6"/>
    <w:rsid w:val="00FB5897"/>
    <w:rsid w:val="00FC0790"/>
    <w:rsid w:val="00FD03A1"/>
    <w:rsid w:val="00FD3F87"/>
    <w:rsid w:val="00FE39C7"/>
    <w:rsid w:val="00FE79C6"/>
    <w:rsid w:val="00FF054A"/>
    <w:rsid w:val="00FF2028"/>
    <w:rsid w:val="00FF265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5D4A6ED4"/>
  <w15:docId w15:val="{80CC4E3E-BEA9-4B37-B8C5-2A43D7D2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CD4193"/>
    <w:pPr>
      <w:keepNext/>
      <w:keepLines/>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211989"/>
    <w:pPr>
      <w:outlineLvl w:val="5"/>
    </w:pPr>
  </w:style>
  <w:style w:type="paragraph" w:styleId="Heading7">
    <w:name w:val="heading 7"/>
    <w:basedOn w:val="Normal"/>
    <w:next w:val="Normal"/>
    <w:link w:val="Heading7Char"/>
    <w:qFormat/>
    <w:rsid w:val="00211989"/>
    <w:pPr>
      <w:spacing w:before="240" w:after="60"/>
      <w:outlineLvl w:val="6"/>
    </w:pPr>
    <w:rPr>
      <w:szCs w:val="24"/>
      <w:lang w:val="en-US"/>
    </w:rPr>
  </w:style>
  <w:style w:type="paragraph" w:styleId="Heading8">
    <w:name w:val="heading 8"/>
    <w:basedOn w:val="Normal"/>
    <w:next w:val="Normal"/>
    <w:link w:val="Heading8Char"/>
    <w:qFormat/>
    <w:rsid w:val="00211989"/>
    <w:pPr>
      <w:keepNext/>
      <w:jc w:val="center"/>
      <w:outlineLvl w:val="7"/>
    </w:pPr>
    <w:rPr>
      <w:u w:val="single"/>
      <w:lang w:val="en-US"/>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A31458"/>
    <w:pPr>
      <w:tabs>
        <w:tab w:val="right" w:leader="dot" w:pos="9639"/>
      </w:tabs>
      <w:spacing w:before="60" w:after="60"/>
      <w:ind w:left="284" w:right="851"/>
    </w:pPr>
    <w:rPr>
      <w:rFonts w:ascii="Arial" w:hAnsi="Arial"/>
      <w:sz w:val="18"/>
    </w:rPr>
  </w:style>
  <w:style w:type="paragraph" w:styleId="TOC3">
    <w:name w:val="toc 3"/>
    <w:next w:val="Normal"/>
    <w:autoRedefine/>
    <w:uiPriority w:val="39"/>
    <w:rsid w:val="006F064B"/>
    <w:pPr>
      <w:tabs>
        <w:tab w:val="right" w:leader="dot" w:pos="9639"/>
      </w:tabs>
      <w:spacing w:after="60"/>
      <w:ind w:left="567" w:right="851"/>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A31458"/>
    <w:pPr>
      <w:tabs>
        <w:tab w:val="right" w:leader="dot" w:pos="9639"/>
      </w:tabs>
      <w:spacing w:after="60"/>
    </w:pPr>
    <w:rPr>
      <w:rFonts w:ascii="Arial" w:hAnsi="Arial"/>
      <w:caps/>
      <w:sz w:val="18"/>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11989"/>
    <w:rPr>
      <w:rFonts w:ascii="Arial" w:hAnsi="Arial"/>
      <w:lang w:val="es-ES_tradnl"/>
    </w:rPr>
  </w:style>
  <w:style w:type="character" w:customStyle="1" w:styleId="Heading7Char">
    <w:name w:val="Heading 7 Char"/>
    <w:basedOn w:val="DefaultParagraphFont"/>
    <w:link w:val="Heading7"/>
    <w:rsid w:val="00211989"/>
    <w:rPr>
      <w:rFonts w:ascii="Arial" w:hAnsi="Arial"/>
      <w:szCs w:val="24"/>
    </w:rPr>
  </w:style>
  <w:style w:type="character" w:customStyle="1" w:styleId="Heading8Char">
    <w:name w:val="Heading 8 Char"/>
    <w:basedOn w:val="DefaultParagraphFont"/>
    <w:link w:val="Heading8"/>
    <w:rsid w:val="00211989"/>
    <w:rPr>
      <w:rFonts w:ascii="Arial" w:hAnsi="Arial"/>
      <w:u w:val="single"/>
    </w:rPr>
  </w:style>
  <w:style w:type="character" w:customStyle="1" w:styleId="Heading1Char">
    <w:name w:val="Heading 1 Char"/>
    <w:basedOn w:val="DefaultParagraphFont"/>
    <w:link w:val="Heading1"/>
    <w:rsid w:val="00CD4193"/>
    <w:rPr>
      <w:rFonts w:ascii="Arial" w:hAnsi="Arial"/>
      <w:caps/>
    </w:rPr>
  </w:style>
  <w:style w:type="character" w:customStyle="1" w:styleId="Heading2Char">
    <w:name w:val="Heading 2 Char"/>
    <w:basedOn w:val="DefaultParagraphFont"/>
    <w:link w:val="Heading2"/>
    <w:rsid w:val="00211989"/>
    <w:rPr>
      <w:rFonts w:ascii="Arial" w:hAnsi="Arial"/>
      <w:u w:val="single"/>
    </w:rPr>
  </w:style>
  <w:style w:type="character" w:customStyle="1" w:styleId="Heading3Char">
    <w:name w:val="Heading 3 Char"/>
    <w:basedOn w:val="DefaultParagraphFont"/>
    <w:link w:val="Heading3"/>
    <w:rsid w:val="00211989"/>
    <w:rPr>
      <w:rFonts w:ascii="Arial" w:hAnsi="Arial"/>
      <w:i/>
    </w:rPr>
  </w:style>
  <w:style w:type="character" w:customStyle="1" w:styleId="Heading4Char">
    <w:name w:val="Heading 4 Char"/>
    <w:basedOn w:val="DefaultParagraphFont"/>
    <w:link w:val="Heading4"/>
    <w:rsid w:val="00211989"/>
    <w:rPr>
      <w:rFonts w:ascii="Arial" w:hAnsi="Arial"/>
      <w:u w:val="single"/>
      <w:lang w:val="fr-FR"/>
    </w:rPr>
  </w:style>
  <w:style w:type="character" w:customStyle="1" w:styleId="Heading5Char">
    <w:name w:val="Heading 5 Char"/>
    <w:basedOn w:val="DefaultParagraphFont"/>
    <w:link w:val="Heading5"/>
    <w:rsid w:val="00211989"/>
    <w:rPr>
      <w:rFonts w:ascii="Arial" w:hAnsi="Arial"/>
      <w:i/>
    </w:rPr>
  </w:style>
  <w:style w:type="character" w:customStyle="1" w:styleId="Heading9Char">
    <w:name w:val="Heading 9 Char"/>
    <w:basedOn w:val="DefaultParagraphFont"/>
    <w:link w:val="Heading9"/>
    <w:rsid w:val="00211989"/>
    <w:rPr>
      <w:rFonts w:ascii="Arial" w:hAnsi="Arial"/>
      <w:i/>
      <w:sz w:val="18"/>
      <w:lang w:val="es-ES_tradnl"/>
    </w:rPr>
  </w:style>
  <w:style w:type="character" w:customStyle="1" w:styleId="HeaderChar">
    <w:name w:val="Header Char"/>
    <w:basedOn w:val="DefaultParagraphFont"/>
    <w:link w:val="Header"/>
    <w:rsid w:val="00211989"/>
    <w:rPr>
      <w:rFonts w:ascii="Arial" w:hAnsi="Arial"/>
      <w:lang w:val="es-ES_tradnl"/>
    </w:rPr>
  </w:style>
  <w:style w:type="character" w:customStyle="1" w:styleId="FooterChar">
    <w:name w:val="Footer Char"/>
    <w:aliases w:val="doc_path_name Char"/>
    <w:basedOn w:val="DefaultParagraphFont"/>
    <w:link w:val="Footer"/>
    <w:rsid w:val="00211989"/>
    <w:rPr>
      <w:rFonts w:ascii="Arial" w:hAnsi="Arial"/>
      <w:sz w:val="14"/>
    </w:rPr>
  </w:style>
  <w:style w:type="character" w:customStyle="1" w:styleId="TitleChar">
    <w:name w:val="Title Char"/>
    <w:basedOn w:val="DefaultParagraphFont"/>
    <w:link w:val="Title"/>
    <w:rsid w:val="00211989"/>
    <w:rPr>
      <w:rFonts w:ascii="Arial" w:hAnsi="Arial"/>
      <w:b/>
      <w:caps/>
      <w:kern w:val="28"/>
      <w:sz w:val="30"/>
      <w:lang w:val="es-ES_tradnl"/>
    </w:rPr>
  </w:style>
  <w:style w:type="character" w:customStyle="1" w:styleId="FootnoteTextChar">
    <w:name w:val="Footnote Text Char"/>
    <w:basedOn w:val="DefaultParagraphFont"/>
    <w:link w:val="FootnoteText"/>
    <w:rsid w:val="00211989"/>
    <w:rPr>
      <w:rFonts w:ascii="Arial" w:hAnsi="Arial"/>
      <w:sz w:val="16"/>
      <w:lang w:val="es-ES_tradnl"/>
    </w:rPr>
  </w:style>
  <w:style w:type="character" w:customStyle="1" w:styleId="ClosingChar">
    <w:name w:val="Closing Char"/>
    <w:basedOn w:val="DefaultParagraphFont"/>
    <w:link w:val="Closing"/>
    <w:rsid w:val="00211989"/>
    <w:rPr>
      <w:rFonts w:ascii="Arial" w:hAnsi="Arial"/>
      <w:lang w:val="es-ES_tradnl"/>
    </w:rPr>
  </w:style>
  <w:style w:type="character" w:customStyle="1" w:styleId="MacroTextChar">
    <w:name w:val="Macro Text Char"/>
    <w:basedOn w:val="DefaultParagraphFont"/>
    <w:link w:val="MacroText"/>
    <w:semiHidden/>
    <w:rsid w:val="00211989"/>
    <w:rPr>
      <w:rFonts w:ascii="Courier New" w:hAnsi="Courier New"/>
      <w:sz w:val="16"/>
    </w:rPr>
  </w:style>
  <w:style w:type="character" w:customStyle="1" w:styleId="SignatureChar">
    <w:name w:val="Signature Char"/>
    <w:basedOn w:val="DefaultParagraphFont"/>
    <w:link w:val="Signature"/>
    <w:rsid w:val="00211989"/>
    <w:rPr>
      <w:rFonts w:ascii="Arial" w:hAnsi="Arial"/>
      <w:lang w:val="es-ES_tradnl"/>
    </w:rPr>
  </w:style>
  <w:style w:type="character" w:customStyle="1" w:styleId="BodyTextChar">
    <w:name w:val="Body Text Char"/>
    <w:basedOn w:val="DefaultParagraphFont"/>
    <w:link w:val="BodyText"/>
    <w:rsid w:val="00211989"/>
    <w:rPr>
      <w:rFonts w:ascii="Arial" w:hAnsi="Arial"/>
      <w:lang w:val="es-ES_tradnl"/>
    </w:rPr>
  </w:style>
  <w:style w:type="character" w:customStyle="1" w:styleId="EndnoteTextChar">
    <w:name w:val="Endnote Text Char"/>
    <w:basedOn w:val="DefaultParagraphFont"/>
    <w:link w:val="EndnoteText"/>
    <w:rsid w:val="00211989"/>
    <w:rPr>
      <w:rFonts w:ascii="Arial" w:hAnsi="Arial"/>
      <w:lang w:val="es-ES_tradnl"/>
    </w:rPr>
  </w:style>
  <w:style w:type="character" w:customStyle="1" w:styleId="DateChar">
    <w:name w:val="Date Char"/>
    <w:basedOn w:val="DefaultParagraphFont"/>
    <w:link w:val="Date"/>
    <w:rsid w:val="00211989"/>
    <w:rPr>
      <w:rFonts w:ascii="Arial" w:hAnsi="Arial"/>
      <w:b/>
      <w:sz w:val="22"/>
      <w:lang w:val="es-ES_tradnl"/>
    </w:rPr>
  </w:style>
  <w:style w:type="character" w:customStyle="1" w:styleId="DecisionParagraphsChar">
    <w:name w:val="DecisionParagraphs Char"/>
    <w:basedOn w:val="DefaultParagraphFont"/>
    <w:link w:val="DecisionParagraphs"/>
    <w:rsid w:val="00211989"/>
    <w:rPr>
      <w:rFonts w:ascii="Arial" w:hAnsi="Arial"/>
      <w:i/>
      <w:lang w:val="es-ES_tradnl"/>
    </w:rPr>
  </w:style>
  <w:style w:type="paragraph" w:styleId="ListParagraph">
    <w:name w:val="List Paragraph"/>
    <w:basedOn w:val="Normal"/>
    <w:uiPriority w:val="34"/>
    <w:qFormat/>
    <w:rsid w:val="00211989"/>
    <w:pPr>
      <w:ind w:left="720"/>
      <w:contextualSpacing/>
    </w:pPr>
    <w:rPr>
      <w:lang w:val="en-US"/>
    </w:rPr>
  </w:style>
  <w:style w:type="paragraph" w:styleId="NormalWeb">
    <w:name w:val="Normal (Web)"/>
    <w:basedOn w:val="Normal"/>
    <w:rsid w:val="00211989"/>
    <w:pPr>
      <w:spacing w:before="100" w:beforeAutospacing="1" w:after="100" w:afterAutospacing="1"/>
      <w:jc w:val="left"/>
    </w:pPr>
    <w:rPr>
      <w:szCs w:val="24"/>
      <w:lang w:val="en-US"/>
    </w:rPr>
  </w:style>
  <w:style w:type="paragraph" w:customStyle="1" w:styleId="pdflink">
    <w:name w:val="pdflink"/>
    <w:basedOn w:val="Normal"/>
    <w:next w:val="Normal"/>
    <w:rsid w:val="00211989"/>
    <w:rPr>
      <w:color w:val="800000"/>
      <w:u w:val="words"/>
      <w:lang w:val="en-US"/>
    </w:rPr>
  </w:style>
  <w:style w:type="paragraph" w:customStyle="1" w:styleId="Draft">
    <w:name w:val="Draft"/>
    <w:basedOn w:val="Normal"/>
    <w:next w:val="preparedby"/>
    <w:rsid w:val="00211989"/>
    <w:pPr>
      <w:spacing w:before="720" w:after="480"/>
      <w:jc w:val="center"/>
    </w:pPr>
    <w:rPr>
      <w:caps/>
      <w:sz w:val="28"/>
      <w:lang w:val="en-US"/>
    </w:rPr>
  </w:style>
  <w:style w:type="paragraph" w:customStyle="1" w:styleId="quote1">
    <w:name w:val="quote1"/>
    <w:basedOn w:val="Normal"/>
    <w:semiHidden/>
    <w:rsid w:val="00211989"/>
    <w:pPr>
      <w:ind w:left="567" w:right="565" w:firstLine="567"/>
    </w:pPr>
    <w:rPr>
      <w:snapToGrid w:val="0"/>
      <w:sz w:val="22"/>
      <w:szCs w:val="22"/>
      <w:lang w:val="en-US"/>
    </w:rPr>
  </w:style>
  <w:style w:type="paragraph" w:customStyle="1" w:styleId="tqparabox">
    <w:name w:val="tqparabox"/>
    <w:basedOn w:val="Normal"/>
    <w:rsid w:val="00211989"/>
    <w:pPr>
      <w:tabs>
        <w:tab w:val="left" w:pos="567"/>
        <w:tab w:val="left" w:pos="1134"/>
        <w:tab w:val="left" w:pos="2976"/>
        <w:tab w:val="left" w:pos="5856"/>
        <w:tab w:val="left" w:pos="7296"/>
      </w:tabs>
      <w:spacing w:before="40" w:after="40"/>
      <w:ind w:left="567"/>
      <w:jc w:val="left"/>
    </w:pPr>
    <w:rPr>
      <w:lang w:val="en-US"/>
    </w:rPr>
  </w:style>
  <w:style w:type="paragraph" w:styleId="TOC6">
    <w:name w:val="toc 6"/>
    <w:basedOn w:val="Normal"/>
    <w:next w:val="Normal"/>
    <w:autoRedefine/>
    <w:semiHidden/>
    <w:rsid w:val="00211989"/>
    <w:pPr>
      <w:ind w:left="1200"/>
    </w:pPr>
    <w:rPr>
      <w:lang w:val="en-US"/>
    </w:rPr>
  </w:style>
  <w:style w:type="paragraph" w:styleId="BodyTextIndent">
    <w:name w:val="Body Text Indent"/>
    <w:basedOn w:val="Normal"/>
    <w:link w:val="BodyTextIndentChar"/>
    <w:rsid w:val="00211989"/>
    <w:pPr>
      <w:ind w:left="567"/>
    </w:pPr>
  </w:style>
  <w:style w:type="character" w:customStyle="1" w:styleId="BodyTextIndentChar">
    <w:name w:val="Body Text Indent Char"/>
    <w:basedOn w:val="DefaultParagraphFont"/>
    <w:link w:val="BodyTextIndent"/>
    <w:rsid w:val="00211989"/>
    <w:rPr>
      <w:rFonts w:ascii="Arial" w:hAnsi="Arial"/>
      <w:lang w:val="es-ES_tradnl"/>
    </w:rPr>
  </w:style>
  <w:style w:type="paragraph" w:customStyle="1" w:styleId="twpcheck">
    <w:name w:val="twpcheck"/>
    <w:basedOn w:val="Normal"/>
    <w:rsid w:val="00211989"/>
    <w:pPr>
      <w:spacing w:before="80" w:after="80"/>
      <w:jc w:val="left"/>
    </w:pPr>
    <w:rPr>
      <w:rFonts w:cs="Arial"/>
      <w:snapToGrid w:val="0"/>
      <w:sz w:val="16"/>
      <w:szCs w:val="16"/>
      <w:lang w:val="en-US"/>
    </w:rPr>
  </w:style>
  <w:style w:type="paragraph" w:customStyle="1" w:styleId="DecisionInvitingPara">
    <w:name w:val="Decision Inviting Para."/>
    <w:basedOn w:val="Normal"/>
    <w:rsid w:val="00211989"/>
    <w:pPr>
      <w:ind w:left="4536"/>
    </w:pPr>
    <w:rPr>
      <w:i/>
    </w:rPr>
  </w:style>
  <w:style w:type="paragraph" w:customStyle="1" w:styleId="Enttepair">
    <w:name w:val="Entête_pair"/>
    <w:basedOn w:val="Normal"/>
    <w:next w:val="Normal"/>
    <w:rsid w:val="00211989"/>
    <w:pPr>
      <w:pBdr>
        <w:bottom w:val="single" w:sz="4" w:space="1" w:color="auto"/>
      </w:pBdr>
      <w:jc w:val="left"/>
    </w:pPr>
    <w:rPr>
      <w:szCs w:val="24"/>
      <w:lang w:val="en-US"/>
    </w:rPr>
  </w:style>
  <w:style w:type="paragraph" w:customStyle="1" w:styleId="Entteimpair">
    <w:name w:val="Entête_impair"/>
    <w:basedOn w:val="Normal"/>
    <w:next w:val="Normal"/>
    <w:rsid w:val="00211989"/>
    <w:pPr>
      <w:pBdr>
        <w:bottom w:val="single" w:sz="4" w:space="1" w:color="auto"/>
      </w:pBdr>
      <w:jc w:val="right"/>
    </w:pPr>
    <w:rPr>
      <w:lang w:val="en-US"/>
    </w:rPr>
  </w:style>
  <w:style w:type="table" w:styleId="TableGrid">
    <w:name w:val="Table Grid"/>
    <w:basedOn w:val="TableNormal"/>
    <w:rsid w:val="002119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semiHidden/>
    <w:rsid w:val="00211989"/>
    <w:rPr>
      <w:lang w:val="en-US"/>
    </w:rPr>
  </w:style>
  <w:style w:type="character" w:customStyle="1" w:styleId="E-mailSignatureChar">
    <w:name w:val="E-mail Signature Char"/>
    <w:basedOn w:val="DefaultParagraphFont"/>
    <w:link w:val="E-mailSignature"/>
    <w:semiHidden/>
    <w:rsid w:val="00211989"/>
    <w:rPr>
      <w:rFonts w:ascii="Arial" w:hAnsi="Arial"/>
    </w:rPr>
  </w:style>
  <w:style w:type="character" w:styleId="Emphasis">
    <w:name w:val="Emphasis"/>
    <w:basedOn w:val="DefaultParagraphFont"/>
    <w:qFormat/>
    <w:rsid w:val="00211989"/>
    <w:rPr>
      <w:i/>
      <w:iCs/>
    </w:rPr>
  </w:style>
  <w:style w:type="paragraph" w:styleId="EnvelopeAddress">
    <w:name w:val="envelope address"/>
    <w:basedOn w:val="Normal"/>
    <w:semiHidden/>
    <w:rsid w:val="00211989"/>
    <w:pPr>
      <w:framePr w:w="7920" w:h="1980" w:hRule="exact" w:hSpace="180" w:wrap="auto" w:hAnchor="page" w:xAlign="center" w:yAlign="bottom"/>
      <w:ind w:left="2880"/>
    </w:pPr>
    <w:rPr>
      <w:rFonts w:cs="Arial"/>
      <w:szCs w:val="24"/>
      <w:lang w:val="en-US"/>
    </w:rPr>
  </w:style>
  <w:style w:type="paragraph" w:styleId="EnvelopeReturn">
    <w:name w:val="envelope return"/>
    <w:basedOn w:val="Normal"/>
    <w:semiHidden/>
    <w:rsid w:val="00211989"/>
    <w:rPr>
      <w:rFonts w:cs="Arial"/>
      <w:lang w:val="en-US"/>
    </w:rPr>
  </w:style>
  <w:style w:type="character" w:styleId="HTMLAcronym">
    <w:name w:val="HTML Acronym"/>
    <w:basedOn w:val="DefaultParagraphFont"/>
    <w:semiHidden/>
    <w:rsid w:val="00211989"/>
  </w:style>
  <w:style w:type="paragraph" w:styleId="HTMLAddress">
    <w:name w:val="HTML Address"/>
    <w:basedOn w:val="Normal"/>
    <w:link w:val="HTMLAddressChar"/>
    <w:semiHidden/>
    <w:rsid w:val="00211989"/>
    <w:rPr>
      <w:i/>
      <w:iCs/>
      <w:lang w:val="en-US"/>
    </w:rPr>
  </w:style>
  <w:style w:type="character" w:customStyle="1" w:styleId="HTMLAddressChar">
    <w:name w:val="HTML Address Char"/>
    <w:basedOn w:val="DefaultParagraphFont"/>
    <w:link w:val="HTMLAddress"/>
    <w:semiHidden/>
    <w:rsid w:val="00211989"/>
    <w:rPr>
      <w:rFonts w:ascii="Arial" w:hAnsi="Arial"/>
      <w:i/>
      <w:iCs/>
    </w:rPr>
  </w:style>
  <w:style w:type="character" w:styleId="HTMLCite">
    <w:name w:val="HTML Cite"/>
    <w:basedOn w:val="DefaultParagraphFont"/>
    <w:semiHidden/>
    <w:rsid w:val="00211989"/>
    <w:rPr>
      <w:i/>
      <w:iCs/>
    </w:rPr>
  </w:style>
  <w:style w:type="character" w:styleId="HTMLCode">
    <w:name w:val="HTML Code"/>
    <w:basedOn w:val="DefaultParagraphFont"/>
    <w:semiHidden/>
    <w:rsid w:val="00211989"/>
    <w:rPr>
      <w:rFonts w:ascii="Courier New" w:hAnsi="Courier New" w:cs="Courier New"/>
      <w:sz w:val="20"/>
      <w:szCs w:val="20"/>
    </w:rPr>
  </w:style>
  <w:style w:type="character" w:styleId="HTMLDefinition">
    <w:name w:val="HTML Definition"/>
    <w:basedOn w:val="DefaultParagraphFont"/>
    <w:semiHidden/>
    <w:rsid w:val="00211989"/>
    <w:rPr>
      <w:i/>
      <w:iCs/>
    </w:rPr>
  </w:style>
  <w:style w:type="character" w:styleId="HTMLKeyboard">
    <w:name w:val="HTML Keyboard"/>
    <w:basedOn w:val="DefaultParagraphFont"/>
    <w:semiHidden/>
    <w:rsid w:val="00211989"/>
    <w:rPr>
      <w:rFonts w:ascii="Courier New" w:hAnsi="Courier New" w:cs="Courier New"/>
      <w:sz w:val="20"/>
      <w:szCs w:val="20"/>
    </w:rPr>
  </w:style>
  <w:style w:type="paragraph" w:styleId="HTMLPreformatted">
    <w:name w:val="HTML Preformatted"/>
    <w:basedOn w:val="Normal"/>
    <w:link w:val="HTMLPreformattedChar"/>
    <w:semiHidden/>
    <w:rsid w:val="00211989"/>
    <w:rPr>
      <w:rFonts w:ascii="Courier New" w:hAnsi="Courier New" w:cs="Courier New"/>
      <w:lang w:val="en-US"/>
    </w:rPr>
  </w:style>
  <w:style w:type="character" w:customStyle="1" w:styleId="HTMLPreformattedChar">
    <w:name w:val="HTML Preformatted Char"/>
    <w:basedOn w:val="DefaultParagraphFont"/>
    <w:link w:val="HTMLPreformatted"/>
    <w:semiHidden/>
    <w:rsid w:val="00211989"/>
    <w:rPr>
      <w:rFonts w:ascii="Courier New" w:hAnsi="Courier New" w:cs="Courier New"/>
    </w:rPr>
  </w:style>
  <w:style w:type="character" w:styleId="HTMLSample">
    <w:name w:val="HTML Sample"/>
    <w:basedOn w:val="DefaultParagraphFont"/>
    <w:semiHidden/>
    <w:rsid w:val="00211989"/>
    <w:rPr>
      <w:rFonts w:ascii="Courier New" w:hAnsi="Courier New" w:cs="Courier New"/>
    </w:rPr>
  </w:style>
  <w:style w:type="character" w:styleId="HTMLTypewriter">
    <w:name w:val="HTML Typewriter"/>
    <w:basedOn w:val="DefaultParagraphFont"/>
    <w:semiHidden/>
    <w:rsid w:val="00211989"/>
    <w:rPr>
      <w:rFonts w:ascii="Courier New" w:hAnsi="Courier New" w:cs="Courier New"/>
      <w:sz w:val="20"/>
      <w:szCs w:val="20"/>
    </w:rPr>
  </w:style>
  <w:style w:type="character" w:styleId="HTMLVariable">
    <w:name w:val="HTML Variable"/>
    <w:basedOn w:val="DefaultParagraphFont"/>
    <w:semiHidden/>
    <w:rsid w:val="00211989"/>
    <w:rPr>
      <w:i/>
      <w:iCs/>
    </w:rPr>
  </w:style>
  <w:style w:type="character" w:styleId="LineNumber">
    <w:name w:val="line number"/>
    <w:basedOn w:val="DefaultParagraphFont"/>
    <w:semiHidden/>
    <w:rsid w:val="00211989"/>
  </w:style>
  <w:style w:type="paragraph" w:styleId="List">
    <w:name w:val="List"/>
    <w:basedOn w:val="Normal"/>
    <w:semiHidden/>
    <w:rsid w:val="00211989"/>
    <w:pPr>
      <w:ind w:left="360" w:hanging="360"/>
    </w:pPr>
    <w:rPr>
      <w:lang w:val="en-US"/>
    </w:rPr>
  </w:style>
  <w:style w:type="paragraph" w:styleId="List2">
    <w:name w:val="List 2"/>
    <w:basedOn w:val="Normal"/>
    <w:semiHidden/>
    <w:rsid w:val="00211989"/>
    <w:pPr>
      <w:ind w:left="720" w:hanging="360"/>
    </w:pPr>
    <w:rPr>
      <w:lang w:val="en-US"/>
    </w:rPr>
  </w:style>
  <w:style w:type="paragraph" w:styleId="List3">
    <w:name w:val="List 3"/>
    <w:basedOn w:val="Normal"/>
    <w:semiHidden/>
    <w:rsid w:val="00211989"/>
    <w:pPr>
      <w:ind w:left="1080" w:hanging="360"/>
    </w:pPr>
    <w:rPr>
      <w:lang w:val="en-US"/>
    </w:rPr>
  </w:style>
  <w:style w:type="paragraph" w:styleId="List4">
    <w:name w:val="List 4"/>
    <w:basedOn w:val="Normal"/>
    <w:rsid w:val="00211989"/>
    <w:pPr>
      <w:ind w:left="1440" w:hanging="360"/>
    </w:pPr>
    <w:rPr>
      <w:lang w:val="en-US"/>
    </w:rPr>
  </w:style>
  <w:style w:type="paragraph" w:styleId="List5">
    <w:name w:val="List 5"/>
    <w:basedOn w:val="Normal"/>
    <w:rsid w:val="00211989"/>
    <w:pPr>
      <w:ind w:left="1800" w:hanging="360"/>
    </w:pPr>
    <w:rPr>
      <w:lang w:val="en-US"/>
    </w:rPr>
  </w:style>
  <w:style w:type="paragraph" w:styleId="ListBullet">
    <w:name w:val="List Bullet"/>
    <w:basedOn w:val="Normal"/>
    <w:autoRedefine/>
    <w:rsid w:val="00211989"/>
    <w:pPr>
      <w:tabs>
        <w:tab w:val="num" w:pos="360"/>
      </w:tabs>
      <w:ind w:left="360" w:hanging="360"/>
    </w:pPr>
    <w:rPr>
      <w:bCs/>
      <w:szCs w:val="24"/>
      <w:lang w:val="es-ES" w:eastAsia="zh-CN"/>
    </w:rPr>
  </w:style>
  <w:style w:type="paragraph" w:styleId="ListBullet2">
    <w:name w:val="List Bullet 2"/>
    <w:basedOn w:val="Normal"/>
    <w:semiHidden/>
    <w:rsid w:val="00211989"/>
    <w:pPr>
      <w:tabs>
        <w:tab w:val="num" w:pos="720"/>
      </w:tabs>
      <w:ind w:left="720" w:hanging="360"/>
    </w:pPr>
    <w:rPr>
      <w:lang w:val="en-US"/>
    </w:rPr>
  </w:style>
  <w:style w:type="paragraph" w:styleId="ListBullet3">
    <w:name w:val="List Bullet 3"/>
    <w:basedOn w:val="Normal"/>
    <w:semiHidden/>
    <w:rsid w:val="00211989"/>
    <w:pPr>
      <w:tabs>
        <w:tab w:val="num" w:pos="1080"/>
      </w:tabs>
      <w:ind w:left="1080" w:hanging="360"/>
    </w:pPr>
    <w:rPr>
      <w:lang w:val="en-US"/>
    </w:rPr>
  </w:style>
  <w:style w:type="paragraph" w:styleId="ListBullet4">
    <w:name w:val="List Bullet 4"/>
    <w:basedOn w:val="Normal"/>
    <w:semiHidden/>
    <w:rsid w:val="00211989"/>
    <w:pPr>
      <w:tabs>
        <w:tab w:val="num" w:pos="1440"/>
      </w:tabs>
      <w:ind w:left="1440" w:hanging="360"/>
    </w:pPr>
    <w:rPr>
      <w:lang w:val="en-US"/>
    </w:rPr>
  </w:style>
  <w:style w:type="paragraph" w:styleId="ListBullet5">
    <w:name w:val="List Bullet 5"/>
    <w:basedOn w:val="Normal"/>
    <w:semiHidden/>
    <w:rsid w:val="00211989"/>
    <w:pPr>
      <w:tabs>
        <w:tab w:val="num" w:pos="1800"/>
      </w:tabs>
      <w:ind w:left="1800" w:hanging="360"/>
    </w:pPr>
    <w:rPr>
      <w:lang w:val="en-US"/>
    </w:rPr>
  </w:style>
  <w:style w:type="paragraph" w:styleId="ListContinue">
    <w:name w:val="List Continue"/>
    <w:basedOn w:val="Normal"/>
    <w:semiHidden/>
    <w:rsid w:val="00211989"/>
    <w:pPr>
      <w:spacing w:after="120"/>
      <w:ind w:left="360"/>
    </w:pPr>
    <w:rPr>
      <w:lang w:val="en-US"/>
    </w:rPr>
  </w:style>
  <w:style w:type="paragraph" w:styleId="ListContinue2">
    <w:name w:val="List Continue 2"/>
    <w:basedOn w:val="Normal"/>
    <w:semiHidden/>
    <w:rsid w:val="00211989"/>
    <w:pPr>
      <w:spacing w:after="120"/>
      <w:ind w:left="720"/>
    </w:pPr>
    <w:rPr>
      <w:lang w:val="en-US"/>
    </w:rPr>
  </w:style>
  <w:style w:type="paragraph" w:styleId="ListContinue3">
    <w:name w:val="List Continue 3"/>
    <w:basedOn w:val="Normal"/>
    <w:semiHidden/>
    <w:rsid w:val="00211989"/>
    <w:pPr>
      <w:spacing w:after="120"/>
      <w:ind w:left="1080"/>
    </w:pPr>
    <w:rPr>
      <w:lang w:val="en-US"/>
    </w:rPr>
  </w:style>
  <w:style w:type="paragraph" w:styleId="ListContinue4">
    <w:name w:val="List Continue 4"/>
    <w:basedOn w:val="Normal"/>
    <w:semiHidden/>
    <w:rsid w:val="00211989"/>
    <w:pPr>
      <w:spacing w:after="120"/>
      <w:ind w:left="1440"/>
    </w:pPr>
    <w:rPr>
      <w:lang w:val="en-US"/>
    </w:rPr>
  </w:style>
  <w:style w:type="paragraph" w:styleId="ListContinue5">
    <w:name w:val="List Continue 5"/>
    <w:basedOn w:val="Normal"/>
    <w:semiHidden/>
    <w:rsid w:val="00211989"/>
    <w:pPr>
      <w:spacing w:after="120"/>
      <w:ind w:left="1800"/>
    </w:pPr>
    <w:rPr>
      <w:lang w:val="en-US"/>
    </w:rPr>
  </w:style>
  <w:style w:type="paragraph" w:styleId="ListNumber">
    <w:name w:val="List Number"/>
    <w:basedOn w:val="Normal"/>
    <w:rsid w:val="00211989"/>
    <w:pPr>
      <w:tabs>
        <w:tab w:val="num" w:pos="360"/>
      </w:tabs>
      <w:ind w:left="360" w:hanging="360"/>
    </w:pPr>
    <w:rPr>
      <w:lang w:val="en-US"/>
    </w:rPr>
  </w:style>
  <w:style w:type="paragraph" w:styleId="ListNumber2">
    <w:name w:val="List Number 2"/>
    <w:basedOn w:val="Normal"/>
    <w:semiHidden/>
    <w:rsid w:val="00211989"/>
    <w:pPr>
      <w:tabs>
        <w:tab w:val="num" w:pos="720"/>
      </w:tabs>
      <w:ind w:left="720" w:hanging="360"/>
    </w:pPr>
    <w:rPr>
      <w:lang w:val="en-US"/>
    </w:rPr>
  </w:style>
  <w:style w:type="paragraph" w:styleId="ListNumber3">
    <w:name w:val="List Number 3"/>
    <w:basedOn w:val="Normal"/>
    <w:semiHidden/>
    <w:rsid w:val="00211989"/>
    <w:pPr>
      <w:tabs>
        <w:tab w:val="num" w:pos="1080"/>
      </w:tabs>
      <w:ind w:left="1080" w:hanging="360"/>
    </w:pPr>
    <w:rPr>
      <w:lang w:val="en-US"/>
    </w:rPr>
  </w:style>
  <w:style w:type="paragraph" w:styleId="ListNumber4">
    <w:name w:val="List Number 4"/>
    <w:basedOn w:val="Normal"/>
    <w:semiHidden/>
    <w:rsid w:val="00211989"/>
    <w:pPr>
      <w:tabs>
        <w:tab w:val="num" w:pos="1440"/>
      </w:tabs>
      <w:ind w:left="1440" w:hanging="360"/>
    </w:pPr>
    <w:rPr>
      <w:lang w:val="en-US"/>
    </w:rPr>
  </w:style>
  <w:style w:type="paragraph" w:styleId="ListNumber5">
    <w:name w:val="List Number 5"/>
    <w:basedOn w:val="Normal"/>
    <w:semiHidden/>
    <w:rsid w:val="00211989"/>
    <w:pPr>
      <w:tabs>
        <w:tab w:val="num" w:pos="1800"/>
      </w:tabs>
      <w:ind w:left="1800" w:hanging="360"/>
    </w:pPr>
    <w:rPr>
      <w:lang w:val="en-US"/>
    </w:rPr>
  </w:style>
  <w:style w:type="paragraph" w:styleId="MessageHeader">
    <w:name w:val="Message Header"/>
    <w:basedOn w:val="Normal"/>
    <w:link w:val="MessageHeaderChar"/>
    <w:semiHidden/>
    <w:rsid w:val="00211989"/>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lang w:val="en-US"/>
    </w:rPr>
  </w:style>
  <w:style w:type="character" w:customStyle="1" w:styleId="MessageHeaderChar">
    <w:name w:val="Message Header Char"/>
    <w:basedOn w:val="DefaultParagraphFont"/>
    <w:link w:val="MessageHeader"/>
    <w:semiHidden/>
    <w:rsid w:val="00211989"/>
    <w:rPr>
      <w:rFonts w:ascii="Arial" w:hAnsi="Arial" w:cs="Arial"/>
      <w:szCs w:val="24"/>
      <w:shd w:val="pct20" w:color="auto" w:fill="auto"/>
    </w:rPr>
  </w:style>
  <w:style w:type="paragraph" w:styleId="NoteHeading">
    <w:name w:val="Note Heading"/>
    <w:basedOn w:val="Normal"/>
    <w:next w:val="Normal"/>
    <w:link w:val="NoteHeadingChar"/>
    <w:semiHidden/>
    <w:rsid w:val="00211989"/>
    <w:rPr>
      <w:lang w:val="en-US"/>
    </w:rPr>
  </w:style>
  <w:style w:type="character" w:customStyle="1" w:styleId="NoteHeadingChar">
    <w:name w:val="Note Heading Char"/>
    <w:basedOn w:val="DefaultParagraphFont"/>
    <w:link w:val="NoteHeading"/>
    <w:semiHidden/>
    <w:rsid w:val="00211989"/>
    <w:rPr>
      <w:rFonts w:ascii="Arial" w:hAnsi="Arial"/>
    </w:rPr>
  </w:style>
  <w:style w:type="paragraph" w:styleId="Salutation">
    <w:name w:val="Salutation"/>
    <w:basedOn w:val="Normal"/>
    <w:next w:val="Normal"/>
    <w:link w:val="SalutationChar"/>
    <w:rsid w:val="00211989"/>
    <w:rPr>
      <w:lang w:val="en-US"/>
    </w:rPr>
  </w:style>
  <w:style w:type="character" w:customStyle="1" w:styleId="SalutationChar">
    <w:name w:val="Salutation Char"/>
    <w:basedOn w:val="DefaultParagraphFont"/>
    <w:link w:val="Salutation"/>
    <w:rsid w:val="00211989"/>
    <w:rPr>
      <w:rFonts w:ascii="Arial" w:hAnsi="Arial"/>
    </w:rPr>
  </w:style>
  <w:style w:type="character" w:styleId="Strong">
    <w:name w:val="Strong"/>
    <w:basedOn w:val="DefaultParagraphFont"/>
    <w:qFormat/>
    <w:rsid w:val="00211989"/>
    <w:rPr>
      <w:b/>
      <w:bCs/>
    </w:rPr>
  </w:style>
  <w:style w:type="paragraph" w:styleId="Subtitle">
    <w:name w:val="Subtitle"/>
    <w:basedOn w:val="Normal"/>
    <w:link w:val="SubtitleChar"/>
    <w:qFormat/>
    <w:rsid w:val="00211989"/>
    <w:pPr>
      <w:spacing w:after="60"/>
      <w:jc w:val="center"/>
      <w:outlineLvl w:val="1"/>
    </w:pPr>
    <w:rPr>
      <w:rFonts w:cs="Arial"/>
      <w:szCs w:val="24"/>
      <w:lang w:val="en-US"/>
    </w:rPr>
  </w:style>
  <w:style w:type="character" w:customStyle="1" w:styleId="SubtitleChar">
    <w:name w:val="Subtitle Char"/>
    <w:basedOn w:val="DefaultParagraphFont"/>
    <w:link w:val="Subtitle"/>
    <w:rsid w:val="00211989"/>
    <w:rPr>
      <w:rFonts w:ascii="Arial" w:hAnsi="Arial" w:cs="Arial"/>
      <w:szCs w:val="24"/>
    </w:rPr>
  </w:style>
  <w:style w:type="table" w:styleId="Table3Deffects1">
    <w:name w:val="Table 3D effects 1"/>
    <w:basedOn w:val="TableNormal"/>
    <w:semiHidden/>
    <w:rsid w:val="00211989"/>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11989"/>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11989"/>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211989"/>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11989"/>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11989"/>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11989"/>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211989"/>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11989"/>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11989"/>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211989"/>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11989"/>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11989"/>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11989"/>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11989"/>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211989"/>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211989"/>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21198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11989"/>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11989"/>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11989"/>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11989"/>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11989"/>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11989"/>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11989"/>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211989"/>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11989"/>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11989"/>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11989"/>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11989"/>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11989"/>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11989"/>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11989"/>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11989"/>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211989"/>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11989"/>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11989"/>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211989"/>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11989"/>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21198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211989"/>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11989"/>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11989"/>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211989"/>
    <w:pPr>
      <w:ind w:left="1440"/>
    </w:pPr>
    <w:rPr>
      <w:lang w:val="en-US"/>
    </w:rPr>
  </w:style>
  <w:style w:type="paragraph" w:styleId="TOC8">
    <w:name w:val="toc 8"/>
    <w:basedOn w:val="Normal"/>
    <w:next w:val="Normal"/>
    <w:autoRedefine/>
    <w:semiHidden/>
    <w:rsid w:val="00211989"/>
    <w:pPr>
      <w:ind w:left="1680"/>
    </w:pPr>
    <w:rPr>
      <w:lang w:val="en-US"/>
    </w:rPr>
  </w:style>
  <w:style w:type="paragraph" w:styleId="TOC9">
    <w:name w:val="toc 9"/>
    <w:basedOn w:val="Normal"/>
    <w:next w:val="Normal"/>
    <w:autoRedefine/>
    <w:semiHidden/>
    <w:rsid w:val="00211989"/>
    <w:pPr>
      <w:ind w:left="1920"/>
    </w:pPr>
    <w:rPr>
      <w:lang w:val="en-US"/>
    </w:rPr>
  </w:style>
  <w:style w:type="character" w:styleId="FollowedHyperlink">
    <w:name w:val="FollowedHyperlink"/>
    <w:basedOn w:val="DefaultParagraphFont"/>
    <w:rsid w:val="00211989"/>
    <w:rPr>
      <w:color w:val="606420"/>
      <w:u w:val="single"/>
    </w:rPr>
  </w:style>
  <w:style w:type="paragraph" w:styleId="BlockText">
    <w:name w:val="Block Text"/>
    <w:basedOn w:val="Normal"/>
    <w:rsid w:val="00211989"/>
    <w:pPr>
      <w:ind w:left="567" w:right="566"/>
    </w:pPr>
    <w:rPr>
      <w:sz w:val="22"/>
      <w:lang w:val="en-US"/>
    </w:rPr>
  </w:style>
  <w:style w:type="paragraph" w:styleId="Caption">
    <w:name w:val="caption"/>
    <w:basedOn w:val="Normal"/>
    <w:next w:val="Normal"/>
    <w:qFormat/>
    <w:rsid w:val="00211989"/>
    <w:pPr>
      <w:framePr w:w="11102" w:hSpace="181" w:wrap="around" w:vAnchor="page" w:hAnchor="page" w:x="438" w:y="15985" w:anchorLock="1"/>
      <w:jc w:val="center"/>
    </w:pPr>
    <w:rPr>
      <w:b/>
      <w:snapToGrid w:val="0"/>
      <w:lang w:val="en-US"/>
    </w:rPr>
  </w:style>
  <w:style w:type="paragraph" w:styleId="CommentText">
    <w:name w:val="annotation text"/>
    <w:basedOn w:val="Normal"/>
    <w:link w:val="CommentTextChar"/>
    <w:semiHidden/>
    <w:rsid w:val="00211989"/>
    <w:rPr>
      <w:sz w:val="22"/>
    </w:rPr>
  </w:style>
  <w:style w:type="character" w:customStyle="1" w:styleId="CommentTextChar">
    <w:name w:val="Comment Text Char"/>
    <w:basedOn w:val="DefaultParagraphFont"/>
    <w:link w:val="CommentText"/>
    <w:semiHidden/>
    <w:rsid w:val="00211989"/>
    <w:rPr>
      <w:rFonts w:ascii="Arial" w:hAnsi="Arial"/>
      <w:sz w:val="22"/>
      <w:lang w:val="es-ES_tradnl"/>
    </w:rPr>
  </w:style>
  <w:style w:type="paragraph" w:customStyle="1" w:styleId="Committee">
    <w:name w:val="Committee"/>
    <w:basedOn w:val="Title"/>
    <w:rsid w:val="00211989"/>
    <w:rPr>
      <w:caps w:val="0"/>
      <w:lang w:val="en-US"/>
    </w:rPr>
  </w:style>
  <w:style w:type="paragraph" w:customStyle="1" w:styleId="n">
    <w:name w:val="n"/>
    <w:basedOn w:val="Header"/>
    <w:rsid w:val="00211989"/>
    <w:rPr>
      <w:lang w:val="fr-FR"/>
    </w:rPr>
  </w:style>
  <w:style w:type="paragraph" w:customStyle="1" w:styleId="TitleofSection">
    <w:name w:val="Title of Section"/>
    <w:basedOn w:val="TitleofDoc"/>
    <w:rsid w:val="00211989"/>
    <w:pPr>
      <w:spacing w:before="120" w:after="120"/>
    </w:pPr>
    <w:rPr>
      <w:b/>
      <w:caps w:val="0"/>
      <w:lang w:val="en-US" w:eastAsia="de-DE"/>
    </w:rPr>
  </w:style>
  <w:style w:type="paragraph" w:customStyle="1" w:styleId="TOCAnnex">
    <w:name w:val="TOC Annex"/>
    <w:basedOn w:val="Normal"/>
    <w:rsid w:val="00211989"/>
    <w:pPr>
      <w:tabs>
        <w:tab w:val="right" w:pos="9061"/>
      </w:tabs>
      <w:spacing w:before="240" w:after="120"/>
      <w:ind w:left="1021" w:right="567" w:hanging="1021"/>
      <w:jc w:val="left"/>
      <w:outlineLvl w:val="0"/>
    </w:pPr>
    <w:rPr>
      <w:b/>
      <w:noProof/>
      <w:sz w:val="22"/>
      <w:szCs w:val="22"/>
      <w:lang w:val="en-US"/>
    </w:rPr>
  </w:style>
  <w:style w:type="paragraph" w:customStyle="1" w:styleId="Chapter">
    <w:name w:val="Chapter"/>
    <w:basedOn w:val="Normal"/>
    <w:semiHidden/>
    <w:rsid w:val="00211989"/>
    <w:pPr>
      <w:jc w:val="center"/>
    </w:pPr>
    <w:rPr>
      <w:b/>
      <w:caps/>
      <w:szCs w:val="24"/>
      <w:lang w:val="en-US"/>
    </w:rPr>
  </w:style>
  <w:style w:type="paragraph" w:customStyle="1" w:styleId="Notetoarticle">
    <w:name w:val="Note to article"/>
    <w:basedOn w:val="Normal"/>
    <w:semiHidden/>
    <w:rsid w:val="00211989"/>
    <w:rPr>
      <w:lang w:val="en-US"/>
    </w:rPr>
  </w:style>
  <w:style w:type="paragraph" w:styleId="PlainText">
    <w:name w:val="Plain Text"/>
    <w:basedOn w:val="Normal"/>
    <w:link w:val="PlainTextChar"/>
    <w:rsid w:val="00211989"/>
    <w:rPr>
      <w:rFonts w:ascii="Courier New" w:hAnsi="Courier New" w:cs="Courier New"/>
      <w:lang w:val="en-US" w:eastAsia="fr-FR"/>
    </w:rPr>
  </w:style>
  <w:style w:type="character" w:customStyle="1" w:styleId="PlainTextChar">
    <w:name w:val="Plain Text Char"/>
    <w:basedOn w:val="DefaultParagraphFont"/>
    <w:link w:val="PlainText"/>
    <w:rsid w:val="00211989"/>
    <w:rPr>
      <w:rFonts w:ascii="Courier New" w:hAnsi="Courier New" w:cs="Courier New"/>
      <w:lang w:eastAsia="fr-FR"/>
    </w:rPr>
  </w:style>
  <w:style w:type="table" w:customStyle="1" w:styleId="TableGrid10">
    <w:name w:val="Table Grid1"/>
    <w:basedOn w:val="TableNormal"/>
    <w:next w:val="TableGrid"/>
    <w:rsid w:val="00211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11989"/>
    <w:rPr>
      <w:sz w:val="16"/>
      <w:szCs w:val="16"/>
    </w:rPr>
  </w:style>
  <w:style w:type="paragraph" w:styleId="CommentSubject">
    <w:name w:val="annotation subject"/>
    <w:basedOn w:val="CommentText"/>
    <w:next w:val="CommentText"/>
    <w:link w:val="CommentSubjectChar"/>
    <w:semiHidden/>
    <w:unhideWhenUsed/>
    <w:rsid w:val="00211989"/>
    <w:rPr>
      <w:b/>
      <w:bCs/>
      <w:sz w:val="20"/>
      <w:lang w:val="en-US"/>
    </w:rPr>
  </w:style>
  <w:style w:type="character" w:customStyle="1" w:styleId="CommentSubjectChar">
    <w:name w:val="Comment Subject Char"/>
    <w:basedOn w:val="CommentTextChar"/>
    <w:link w:val="CommentSubject"/>
    <w:semiHidden/>
    <w:rsid w:val="00211989"/>
    <w:rPr>
      <w:rFonts w:ascii="Arial" w:hAnsi="Arial"/>
      <w:b/>
      <w:bCs/>
      <w:sz w:val="22"/>
      <w:lang w:val="es-ES_tradnl"/>
    </w:rPr>
  </w:style>
  <w:style w:type="paragraph" w:styleId="DocumentMap">
    <w:name w:val="Document Map"/>
    <w:basedOn w:val="Normal"/>
    <w:link w:val="DocumentMapChar"/>
    <w:semiHidden/>
    <w:unhideWhenUsed/>
    <w:rsid w:val="00851E26"/>
    <w:rPr>
      <w:rFonts w:ascii="Tahoma" w:hAnsi="Tahoma" w:cs="Tahoma"/>
      <w:sz w:val="16"/>
      <w:szCs w:val="16"/>
    </w:rPr>
  </w:style>
  <w:style w:type="character" w:customStyle="1" w:styleId="DocumentMapChar">
    <w:name w:val="Document Map Char"/>
    <w:basedOn w:val="DefaultParagraphFont"/>
    <w:link w:val="DocumentMap"/>
    <w:semiHidden/>
    <w:rsid w:val="00851E26"/>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euroseeds.eu/app/uploads/2019/07/12.0838.pdf"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orldseed.org/our-work/trade-rules/" TargetMode="External"/><Relationship Id="rId10" Type="http://schemas.openxmlformats.org/officeDocument/2006/relationships/hyperlink" Target="https://www.upov.int/meetings/es/pages/caj77/e_20_093.html"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upov.int/meetings/en/pages/caj77/contributions.html" TargetMode="Externa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9294E-337D-4871-A1ED-AC90E987D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9110</Words>
  <Characters>51879</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CAJ/77/4</vt:lpstr>
    </vt:vector>
  </TitlesOfParts>
  <Company>UPOV</Company>
  <LinksUpToDate>false</LinksUpToDate>
  <CharactersWithSpaces>60868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CAJ/77/4</dc:title>
  <dc:creator>CEVALLOS DUQUE Nilo</dc:creator>
  <cp:lastModifiedBy>SANTOS Carla Marina</cp:lastModifiedBy>
  <cp:revision>29</cp:revision>
  <cp:lastPrinted>2016-11-22T15:41:00Z</cp:lastPrinted>
  <dcterms:created xsi:type="dcterms:W3CDTF">2020-08-19T15:09:00Z</dcterms:created>
  <dcterms:modified xsi:type="dcterms:W3CDTF">2020-10-08T12:14:00Z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8c4fd683-847f-4f28-a264-5e24fcdf3805</vt:lpwstr>
  </property>
</Properties>
</file>