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xml" ContentType="application/vnd.openxmlformats-officedocument.wordprocessingml.footer+xml"/>
  <Override PartName="/word/header18.xml" ContentType="application/vnd.openxmlformats-officedocument.wordprocessingml.header+xml"/>
  <Override PartName="/word/footer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310D26" w14:paraId="65BD9877" w14:textId="77777777" w:rsidTr="00EB4E9C">
        <w:tc>
          <w:tcPr>
            <w:tcW w:w="6522" w:type="dxa"/>
          </w:tcPr>
          <w:p w14:paraId="4F8DCA4C" w14:textId="77777777" w:rsidR="00DC3802" w:rsidRPr="00310D26" w:rsidRDefault="00DC3802" w:rsidP="00AC2883">
            <w:r w:rsidRPr="00310D26">
              <w:rPr>
                <w:noProof/>
                <w:lang w:val="en-US"/>
              </w:rPr>
              <w:drawing>
                <wp:inline distT="0" distB="0" distL="0" distR="0" wp14:anchorId="0DC152AB" wp14:editId="4C8D247D">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D969ACE" w14:textId="77777777" w:rsidR="00DC3802" w:rsidRPr="00310D26" w:rsidRDefault="002E5944" w:rsidP="00AC2883">
            <w:pPr>
              <w:pStyle w:val="Lettrine"/>
              <w:rPr>
                <w:lang w:val="es-ES"/>
              </w:rPr>
            </w:pPr>
            <w:r w:rsidRPr="00310D26">
              <w:rPr>
                <w:lang w:val="es-ES"/>
              </w:rPr>
              <w:t>S</w:t>
            </w:r>
          </w:p>
        </w:tc>
      </w:tr>
      <w:tr w:rsidR="00DC3802" w:rsidRPr="00310D26" w14:paraId="275F97B5" w14:textId="77777777" w:rsidTr="00645CA8">
        <w:trPr>
          <w:trHeight w:val="219"/>
        </w:trPr>
        <w:tc>
          <w:tcPr>
            <w:tcW w:w="6522" w:type="dxa"/>
          </w:tcPr>
          <w:p w14:paraId="358EFFF2" w14:textId="77777777" w:rsidR="00DC3802" w:rsidRPr="00310D26" w:rsidRDefault="002E5944" w:rsidP="00BC0BD4">
            <w:pPr>
              <w:pStyle w:val="upove"/>
              <w:rPr>
                <w:lang w:val="es-ES"/>
              </w:rPr>
            </w:pPr>
            <w:r w:rsidRPr="00310D26">
              <w:rPr>
                <w:lang w:val="es-ES"/>
              </w:rPr>
              <w:t>Unión Internacional para la Protección de las Obtenciones Vegetales</w:t>
            </w:r>
          </w:p>
        </w:tc>
        <w:tc>
          <w:tcPr>
            <w:tcW w:w="3117" w:type="dxa"/>
          </w:tcPr>
          <w:p w14:paraId="49FDC446" w14:textId="77777777" w:rsidR="00DC3802" w:rsidRPr="00310D26" w:rsidRDefault="00DC3802" w:rsidP="00DA4973"/>
        </w:tc>
      </w:tr>
    </w:tbl>
    <w:p w14:paraId="194BD246" w14:textId="77777777" w:rsidR="00DC3802" w:rsidRPr="00310D26" w:rsidRDefault="00DC3802" w:rsidP="00DC3802"/>
    <w:p w14:paraId="0CCE80E7" w14:textId="77777777" w:rsidR="00DA4973" w:rsidRPr="00310D26"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310D26" w14:paraId="60DD9542" w14:textId="77777777" w:rsidTr="00113D6B">
        <w:tc>
          <w:tcPr>
            <w:tcW w:w="6512" w:type="dxa"/>
            <w:tcBorders>
              <w:bottom w:val="single" w:sz="4" w:space="0" w:color="auto"/>
            </w:tcBorders>
          </w:tcPr>
          <w:p w14:paraId="6933DD9B" w14:textId="77777777" w:rsidR="00EB4E9C" w:rsidRPr="00310D26" w:rsidRDefault="002E5944" w:rsidP="00AC2883">
            <w:pPr>
              <w:pStyle w:val="Sessiontc"/>
              <w:spacing w:line="240" w:lineRule="auto"/>
              <w:rPr>
                <w:lang w:val="es-ES"/>
              </w:rPr>
            </w:pPr>
            <w:r w:rsidRPr="00310D26">
              <w:rPr>
                <w:lang w:val="es-ES"/>
              </w:rPr>
              <w:t xml:space="preserve">Comité </w:t>
            </w:r>
            <w:r w:rsidR="00752334" w:rsidRPr="00310D26">
              <w:rPr>
                <w:lang w:val="es-ES"/>
              </w:rPr>
              <w:t>Administrativo y Jurídico</w:t>
            </w:r>
          </w:p>
          <w:p w14:paraId="05C96C49" w14:textId="77777777" w:rsidR="00EB4E9C" w:rsidRPr="00310D26" w:rsidRDefault="00943983" w:rsidP="00642665">
            <w:pPr>
              <w:pStyle w:val="Sessiontcplacedate"/>
              <w:rPr>
                <w:sz w:val="22"/>
                <w:lang w:val="es-ES"/>
              </w:rPr>
            </w:pPr>
            <w:r w:rsidRPr="00310D26">
              <w:rPr>
                <w:lang w:val="es-ES"/>
              </w:rPr>
              <w:t xml:space="preserve">Septuagésima </w:t>
            </w:r>
            <w:r w:rsidR="008C6250" w:rsidRPr="00310D26">
              <w:rPr>
                <w:lang w:val="es-ES"/>
              </w:rPr>
              <w:t>s</w:t>
            </w:r>
            <w:r w:rsidR="00642665" w:rsidRPr="00310D26">
              <w:rPr>
                <w:lang w:val="es-ES"/>
              </w:rPr>
              <w:t>éptim</w:t>
            </w:r>
            <w:r w:rsidR="00404329" w:rsidRPr="00310D26">
              <w:rPr>
                <w:lang w:val="es-ES"/>
              </w:rPr>
              <w:t>a</w:t>
            </w:r>
            <w:r w:rsidR="002E5944" w:rsidRPr="00310D26">
              <w:rPr>
                <w:lang w:val="es-ES"/>
              </w:rPr>
              <w:t xml:space="preserve"> sesión</w:t>
            </w:r>
            <w:r w:rsidR="00EB4E9C" w:rsidRPr="00310D26">
              <w:rPr>
                <w:lang w:val="es-ES"/>
              </w:rPr>
              <w:br/>
            </w:r>
            <w:r w:rsidR="002E5944" w:rsidRPr="00310D26">
              <w:rPr>
                <w:lang w:val="es-ES"/>
              </w:rPr>
              <w:t>Ginebra</w:t>
            </w:r>
            <w:r w:rsidR="00EB4E9C" w:rsidRPr="00310D26">
              <w:rPr>
                <w:lang w:val="es-ES"/>
              </w:rPr>
              <w:t xml:space="preserve">, </w:t>
            </w:r>
            <w:r w:rsidR="00642665" w:rsidRPr="00310D26">
              <w:rPr>
                <w:lang w:val="es-ES"/>
              </w:rPr>
              <w:t>28</w:t>
            </w:r>
            <w:r w:rsidR="00A706D3" w:rsidRPr="00310D26">
              <w:rPr>
                <w:lang w:val="es-ES"/>
              </w:rPr>
              <w:t xml:space="preserve"> </w:t>
            </w:r>
            <w:r w:rsidR="002E5944" w:rsidRPr="00310D26">
              <w:rPr>
                <w:lang w:val="es-ES"/>
              </w:rPr>
              <w:t xml:space="preserve">de </w:t>
            </w:r>
            <w:r w:rsidR="00752334" w:rsidRPr="00310D26">
              <w:rPr>
                <w:lang w:val="es-ES"/>
              </w:rPr>
              <w:t xml:space="preserve">octubre </w:t>
            </w:r>
            <w:r w:rsidR="002E5944" w:rsidRPr="00310D26">
              <w:rPr>
                <w:lang w:val="es-ES"/>
              </w:rPr>
              <w:t>de</w:t>
            </w:r>
            <w:r w:rsidR="00A706D3" w:rsidRPr="00310D26">
              <w:rPr>
                <w:lang w:val="es-ES"/>
              </w:rPr>
              <w:t xml:space="preserve"> </w:t>
            </w:r>
            <w:r w:rsidR="00642665" w:rsidRPr="00310D26">
              <w:rPr>
                <w:lang w:val="es-ES"/>
              </w:rPr>
              <w:t>2020</w:t>
            </w:r>
          </w:p>
        </w:tc>
        <w:tc>
          <w:tcPr>
            <w:tcW w:w="3127" w:type="dxa"/>
            <w:tcBorders>
              <w:bottom w:val="single" w:sz="4" w:space="0" w:color="auto"/>
            </w:tcBorders>
          </w:tcPr>
          <w:p w14:paraId="1B4BF25B" w14:textId="3D81F498" w:rsidR="00EB4E9C" w:rsidRPr="00310D26" w:rsidRDefault="00642665" w:rsidP="003C7FBE">
            <w:pPr>
              <w:pStyle w:val="Doccode"/>
              <w:rPr>
                <w:lang w:val="es-ES"/>
              </w:rPr>
            </w:pPr>
            <w:r w:rsidRPr="00310D26">
              <w:rPr>
                <w:lang w:val="es-ES"/>
              </w:rPr>
              <w:t>CAJ/77</w:t>
            </w:r>
            <w:r w:rsidR="00EB4E9C" w:rsidRPr="00310D26">
              <w:rPr>
                <w:lang w:val="es-ES"/>
              </w:rPr>
              <w:t>/</w:t>
            </w:r>
            <w:r w:rsidR="00113D6B" w:rsidRPr="00310D26">
              <w:rPr>
                <w:lang w:val="es-ES"/>
              </w:rPr>
              <w:t>3</w:t>
            </w:r>
            <w:r w:rsidR="001A0B86">
              <w:rPr>
                <w:lang w:val="es-ES"/>
              </w:rPr>
              <w:t xml:space="preserve"> </w:t>
            </w:r>
            <w:r w:rsidR="001A0B86" w:rsidRPr="001A0B86">
              <w:rPr>
                <w:highlight w:val="yellow"/>
                <w:u w:val="single"/>
                <w:lang w:val="es-ES"/>
              </w:rPr>
              <w:t>Rev.</w:t>
            </w:r>
          </w:p>
          <w:p w14:paraId="4B9D4BA0" w14:textId="4D7AD2FA" w:rsidR="00EB4E9C" w:rsidRPr="00310D26" w:rsidRDefault="00EB4E9C" w:rsidP="003C7FBE">
            <w:pPr>
              <w:pStyle w:val="Docoriginal"/>
              <w:rPr>
                <w:lang w:val="es-ES"/>
              </w:rPr>
            </w:pPr>
            <w:r w:rsidRPr="00310D26">
              <w:rPr>
                <w:lang w:val="es-ES"/>
              </w:rPr>
              <w:t>Original:</w:t>
            </w:r>
            <w:r w:rsidR="00286A8D">
              <w:rPr>
                <w:lang w:val="es-ES"/>
              </w:rPr>
              <w:t xml:space="preserve"> </w:t>
            </w:r>
            <w:r w:rsidR="00C05526">
              <w:rPr>
                <w:b w:val="0"/>
                <w:spacing w:val="0"/>
                <w:lang w:val="es-ES"/>
              </w:rPr>
              <w:t xml:space="preserve"> </w:t>
            </w:r>
            <w:r w:rsidR="002E5944" w:rsidRPr="00310D26">
              <w:rPr>
                <w:b w:val="0"/>
                <w:spacing w:val="0"/>
                <w:lang w:val="es-ES"/>
              </w:rPr>
              <w:t>Inglés</w:t>
            </w:r>
          </w:p>
          <w:p w14:paraId="6C6B064C" w14:textId="5883693B" w:rsidR="00EB4E9C" w:rsidRPr="00310D26" w:rsidRDefault="002E5944" w:rsidP="001A0B86">
            <w:pPr>
              <w:pStyle w:val="Docoriginal"/>
              <w:ind w:left="720" w:hanging="720"/>
              <w:rPr>
                <w:lang w:val="es-ES"/>
              </w:rPr>
            </w:pPr>
            <w:r w:rsidRPr="00310D26">
              <w:rPr>
                <w:lang w:val="es-ES"/>
              </w:rPr>
              <w:t>Fecha</w:t>
            </w:r>
            <w:r w:rsidR="00EB4E9C" w:rsidRPr="00310D26">
              <w:rPr>
                <w:lang w:val="es-ES"/>
              </w:rPr>
              <w:t>:</w:t>
            </w:r>
            <w:r w:rsidR="00286A8D">
              <w:rPr>
                <w:lang w:val="es-ES"/>
              </w:rPr>
              <w:t xml:space="preserve"> </w:t>
            </w:r>
            <w:r w:rsidR="00C05526">
              <w:rPr>
                <w:b w:val="0"/>
                <w:spacing w:val="0"/>
                <w:lang w:val="es-ES"/>
              </w:rPr>
              <w:t xml:space="preserve"> </w:t>
            </w:r>
            <w:r w:rsidR="001A0B86">
              <w:rPr>
                <w:b w:val="0"/>
                <w:strike/>
                <w:spacing w:val="0"/>
                <w:highlight w:val="yellow"/>
                <w:lang w:val="es-419"/>
              </w:rPr>
              <w:t>8</w:t>
            </w:r>
            <w:r w:rsidR="001A0B86" w:rsidRPr="00F21EC1">
              <w:rPr>
                <w:b w:val="0"/>
                <w:strike/>
                <w:spacing w:val="0"/>
                <w:highlight w:val="yellow"/>
                <w:lang w:val="es-419"/>
              </w:rPr>
              <w:t xml:space="preserve"> de agosto</w:t>
            </w:r>
            <w:r w:rsidR="001A0B86" w:rsidRPr="0065784C">
              <w:rPr>
                <w:b w:val="0"/>
                <w:spacing w:val="0"/>
                <w:lang w:val="es-419"/>
              </w:rPr>
              <w:t xml:space="preserve"> </w:t>
            </w:r>
            <w:r w:rsidR="001A0B86">
              <w:rPr>
                <w:b w:val="0"/>
                <w:spacing w:val="0"/>
                <w:lang w:val="es-419"/>
              </w:rPr>
              <w:br/>
              <w:t xml:space="preserve"> </w:t>
            </w:r>
            <w:r w:rsidR="001A0B86" w:rsidRPr="00F21EC1">
              <w:rPr>
                <w:b w:val="0"/>
                <w:spacing w:val="0"/>
                <w:highlight w:val="yellow"/>
                <w:u w:val="single"/>
                <w:lang w:val="es-419"/>
              </w:rPr>
              <w:t>2</w:t>
            </w:r>
            <w:r w:rsidR="001A0B86">
              <w:rPr>
                <w:b w:val="0"/>
                <w:spacing w:val="0"/>
                <w:highlight w:val="yellow"/>
                <w:u w:val="single"/>
                <w:lang w:val="es-419"/>
              </w:rPr>
              <w:t>5</w:t>
            </w:r>
            <w:r w:rsidR="001A0B86" w:rsidRPr="00F21EC1">
              <w:rPr>
                <w:b w:val="0"/>
                <w:spacing w:val="0"/>
                <w:highlight w:val="yellow"/>
                <w:u w:val="single"/>
                <w:lang w:val="es-419"/>
              </w:rPr>
              <w:t xml:space="preserve"> de septiembre</w:t>
            </w:r>
            <w:r w:rsidR="001A0B86">
              <w:rPr>
                <w:b w:val="0"/>
                <w:spacing w:val="0"/>
                <w:lang w:val="es-419"/>
              </w:rPr>
              <w:t xml:space="preserve"> </w:t>
            </w:r>
            <w:r w:rsidR="001A0B86" w:rsidRPr="0065784C">
              <w:rPr>
                <w:b w:val="0"/>
                <w:spacing w:val="0"/>
                <w:lang w:val="es-419"/>
              </w:rPr>
              <w:t>de 2020</w:t>
            </w:r>
          </w:p>
        </w:tc>
      </w:tr>
      <w:tr w:rsidR="00113D6B" w:rsidRPr="00310D26" w14:paraId="48D867E1" w14:textId="77777777" w:rsidTr="004A632A">
        <w:tc>
          <w:tcPr>
            <w:tcW w:w="6512" w:type="dxa"/>
            <w:tcBorders>
              <w:top w:val="single" w:sz="4" w:space="0" w:color="auto"/>
              <w:bottom w:val="single" w:sz="4" w:space="0" w:color="auto"/>
            </w:tcBorders>
            <w:shd w:val="clear" w:color="auto" w:fill="FFFFFF" w:themeFill="background1"/>
          </w:tcPr>
          <w:p w14:paraId="2FB3E45D" w14:textId="2C9D1DC1" w:rsidR="00113D6B" w:rsidRPr="00310D26" w:rsidRDefault="004A632A" w:rsidP="004A632A">
            <w:pPr>
              <w:shd w:val="clear" w:color="auto" w:fill="FFFFFF" w:themeFill="background1"/>
              <w:jc w:val="left"/>
              <w:rPr>
                <w:b/>
                <w:bCs/>
                <w:i/>
                <w:kern w:val="28"/>
              </w:rPr>
            </w:pPr>
            <w:r w:rsidRPr="00310D26">
              <w:rPr>
                <w:b/>
                <w:bCs/>
                <w:i/>
                <w:kern w:val="28"/>
              </w:rPr>
              <w:t>Para examen por correspondencia</w:t>
            </w:r>
          </w:p>
        </w:tc>
        <w:tc>
          <w:tcPr>
            <w:tcW w:w="3127" w:type="dxa"/>
            <w:tcBorders>
              <w:top w:val="single" w:sz="4" w:space="0" w:color="auto"/>
              <w:bottom w:val="single" w:sz="4" w:space="0" w:color="auto"/>
            </w:tcBorders>
          </w:tcPr>
          <w:p w14:paraId="234C8008" w14:textId="77777777" w:rsidR="00113D6B" w:rsidRPr="00310D26" w:rsidRDefault="00113D6B" w:rsidP="004A632A">
            <w:pPr>
              <w:shd w:val="clear" w:color="auto" w:fill="FFFFFF" w:themeFill="background1"/>
              <w:jc w:val="left"/>
              <w:rPr>
                <w:b/>
                <w:bCs/>
                <w:spacing w:val="10"/>
                <w:sz w:val="18"/>
              </w:rPr>
            </w:pPr>
          </w:p>
        </w:tc>
      </w:tr>
    </w:tbl>
    <w:p w14:paraId="2C86A81B" w14:textId="352C94BD" w:rsidR="00390D7A" w:rsidRPr="00310D26" w:rsidRDefault="00390D7A" w:rsidP="004A632A">
      <w:pPr>
        <w:pStyle w:val="Titleofdoc0"/>
        <w:shd w:val="clear" w:color="auto" w:fill="FFFFFF" w:themeFill="background1"/>
        <w:rPr>
          <w:lang w:val="es-ES"/>
        </w:rPr>
      </w:pPr>
      <w:bookmarkStart w:id="0" w:name="TitleOfDoc"/>
      <w:bookmarkStart w:id="1" w:name="Prepared"/>
      <w:bookmarkEnd w:id="0"/>
      <w:bookmarkEnd w:id="1"/>
      <w:r w:rsidRPr="00310D26">
        <w:rPr>
          <w:lang w:val="es-ES"/>
        </w:rPr>
        <w:t xml:space="preserve">ELABORACIÓN DE </w:t>
      </w:r>
      <w:r w:rsidR="00501472" w:rsidRPr="00310D26">
        <w:rPr>
          <w:lang w:val="es-ES"/>
        </w:rPr>
        <w:t>orientaciones y material de información</w:t>
      </w:r>
    </w:p>
    <w:p w14:paraId="35F18FA2" w14:textId="77777777" w:rsidR="006A644A" w:rsidRPr="00310D26" w:rsidRDefault="000638A9" w:rsidP="00501472">
      <w:pPr>
        <w:pStyle w:val="preparedby1"/>
        <w:ind w:left="567" w:hanging="567"/>
        <w:jc w:val="left"/>
        <w:rPr>
          <w:lang w:val="es-ES"/>
        </w:rPr>
      </w:pPr>
      <w:r w:rsidRPr="00310D26">
        <w:rPr>
          <w:lang w:val="es-ES"/>
        </w:rPr>
        <w:t>Documento preparado por la Oficina de la Unión</w:t>
      </w:r>
    </w:p>
    <w:p w14:paraId="0F200F93" w14:textId="77777777" w:rsidR="00050E16" w:rsidRPr="00310D26" w:rsidRDefault="000638A9" w:rsidP="00B31F76">
      <w:pPr>
        <w:pStyle w:val="Disclaimer"/>
        <w:ind w:left="1134" w:hanging="1134"/>
        <w:rPr>
          <w:lang w:val="es-ES"/>
        </w:rPr>
      </w:pPr>
      <w:r w:rsidRPr="00310D26">
        <w:rPr>
          <w:lang w:val="es-ES"/>
        </w:rPr>
        <w:t>Descargo de responsabilidad: el presente documento no constituye un documento de política u orientación de la UPOV</w:t>
      </w:r>
    </w:p>
    <w:p w14:paraId="7049CB58" w14:textId="77777777" w:rsidR="00C83D36" w:rsidRPr="00310D26" w:rsidRDefault="00C83D36" w:rsidP="00C83D36">
      <w:pPr>
        <w:pStyle w:val="Heading1"/>
        <w:rPr>
          <w:snapToGrid w:val="0"/>
          <w:lang w:val="es-ES"/>
        </w:rPr>
      </w:pPr>
      <w:bookmarkStart w:id="2" w:name="_Toc15394174"/>
      <w:bookmarkStart w:id="3" w:name="_Toc52802606"/>
      <w:r w:rsidRPr="00310D26">
        <w:rPr>
          <w:snapToGrid w:val="0"/>
          <w:lang w:val="es-ES"/>
        </w:rPr>
        <w:t>RESUMEN</w:t>
      </w:r>
      <w:bookmarkEnd w:id="2"/>
      <w:bookmarkEnd w:id="3"/>
    </w:p>
    <w:p w14:paraId="597BEFDC" w14:textId="77777777" w:rsidR="00955AD5" w:rsidRPr="00310D26" w:rsidRDefault="00955AD5" w:rsidP="00955AD5">
      <w:pPr>
        <w:rPr>
          <w:caps/>
          <w:snapToGrid w:val="0"/>
        </w:rPr>
      </w:pPr>
    </w:p>
    <w:p w14:paraId="02ADAAE9" w14:textId="458E658B" w:rsidR="00955AD5" w:rsidRPr="00310D26" w:rsidRDefault="00955AD5" w:rsidP="004A632A">
      <w:r w:rsidRPr="00310D26">
        <w:fldChar w:fldCharType="begin"/>
      </w:r>
      <w:r w:rsidRPr="00310D26">
        <w:instrText xml:space="preserve"> AUTONUM  </w:instrText>
      </w:r>
      <w:r w:rsidRPr="00310D26">
        <w:fldChar w:fldCharType="end"/>
      </w:r>
      <w:r w:rsidRPr="00310D26">
        <w:tab/>
      </w:r>
      <w:r w:rsidR="00390D7A" w:rsidRPr="00310D26">
        <w:t>El presente documento tiene por objeto facilitar antecedentes para asistir al Comité Administrativo y Jurídico (</w:t>
      </w:r>
      <w:proofErr w:type="spellStart"/>
      <w:r w:rsidR="00390D7A" w:rsidRPr="00310D26">
        <w:t>CAJ</w:t>
      </w:r>
      <w:proofErr w:type="spellEnd"/>
      <w:r w:rsidR="00390D7A" w:rsidRPr="00310D26">
        <w:t>) en el examen</w:t>
      </w:r>
      <w:r w:rsidR="00881B25" w:rsidRPr="00310D26">
        <w:rPr>
          <w:rStyle w:val="FootnoteReference"/>
        </w:rPr>
        <w:footnoteReference w:id="2"/>
      </w:r>
      <w:r w:rsidR="00390D7A" w:rsidRPr="00310D26">
        <w:t xml:space="preserve"> de las cuestiones pertinentes respecto de la elaboración de </w:t>
      </w:r>
      <w:r w:rsidR="00501472" w:rsidRPr="00310D26">
        <w:t>orientaciones y material de información</w:t>
      </w:r>
      <w:r w:rsidR="00390D7A" w:rsidRPr="00310D26">
        <w:t>.</w:t>
      </w:r>
    </w:p>
    <w:p w14:paraId="5B8253E8" w14:textId="77777777" w:rsidR="00955AD5" w:rsidRPr="00310D26" w:rsidRDefault="00955AD5" w:rsidP="00955AD5"/>
    <w:p w14:paraId="31D9CC04" w14:textId="5D504BD8" w:rsidR="00955AD5" w:rsidRPr="00310D26" w:rsidRDefault="00955AD5" w:rsidP="00955AD5">
      <w:r w:rsidRPr="00310D26">
        <w:fldChar w:fldCharType="begin"/>
      </w:r>
      <w:r w:rsidRPr="00310D26">
        <w:instrText xml:space="preserve"> AUTONUM  </w:instrText>
      </w:r>
      <w:r w:rsidRPr="00310D26">
        <w:fldChar w:fldCharType="end"/>
      </w:r>
      <w:r w:rsidRPr="00310D26">
        <w:tab/>
      </w:r>
      <w:r w:rsidR="00743F9C" w:rsidRPr="00310D26">
        <w:t>Se invita al CAJ a</w:t>
      </w:r>
      <w:r w:rsidRPr="00310D26">
        <w:t>:</w:t>
      </w:r>
      <w:bookmarkStart w:id="4" w:name="_Ref46754969"/>
      <w:r w:rsidRPr="00310D26">
        <w:rPr>
          <w:rStyle w:val="FootnoteReference"/>
        </w:rPr>
        <w:t xml:space="preserve"> </w:t>
      </w:r>
      <w:bookmarkEnd w:id="4"/>
    </w:p>
    <w:p w14:paraId="0B74930B" w14:textId="77777777" w:rsidR="00955AD5" w:rsidRPr="00310D26" w:rsidRDefault="00955AD5" w:rsidP="00955AD5"/>
    <w:p w14:paraId="1239BB74" w14:textId="37DB8198" w:rsidR="00955AD5" w:rsidRPr="00310D26" w:rsidRDefault="00955AD5" w:rsidP="0088719D">
      <w:pPr>
        <w:spacing w:after="60"/>
      </w:pPr>
      <w:r w:rsidRPr="00310D26">
        <w:tab/>
        <w:t>a)</w:t>
      </w:r>
      <w:r w:rsidRPr="00310D26">
        <w:tab/>
      </w:r>
      <w:r w:rsidR="00743F9C" w:rsidRPr="00310D26">
        <w:t>examinar la propuesta de revisión del documento</w:t>
      </w:r>
      <w:r w:rsidRPr="00310D26">
        <w:t xml:space="preserve"> UPOV/INF/16/8</w:t>
      </w:r>
      <w:r w:rsidR="00D7683C" w:rsidRPr="00310D26">
        <w:t>:</w:t>
      </w:r>
      <w:r w:rsidRPr="00310D26">
        <w:t xml:space="preserve"> “</w:t>
      </w:r>
      <w:r w:rsidR="00567357" w:rsidRPr="00310D26">
        <w:rPr>
          <w:rFonts w:cs="Arial"/>
          <w:color w:val="000000"/>
          <w:shd w:val="clear" w:color="auto" w:fill="FFFFFF" w:themeFill="background1"/>
        </w:rPr>
        <w:t>Programas informáticos para intercambio</w:t>
      </w:r>
      <w:r w:rsidRPr="00310D26">
        <w:t xml:space="preserve">”, </w:t>
      </w:r>
      <w:r w:rsidR="00743F9C" w:rsidRPr="00310D26">
        <w:t>sobre la base del documento</w:t>
      </w:r>
      <w:r w:rsidRPr="00310D26">
        <w:t xml:space="preserve"> UPOV/</w:t>
      </w:r>
      <w:proofErr w:type="spellStart"/>
      <w:r w:rsidRPr="00310D26">
        <w:t>INF</w:t>
      </w:r>
      <w:proofErr w:type="spellEnd"/>
      <w:r w:rsidRPr="00310D26">
        <w:t>/16/9 </w:t>
      </w:r>
      <w:proofErr w:type="spellStart"/>
      <w:r w:rsidRPr="00310D26">
        <w:t>Draft</w:t>
      </w:r>
      <w:proofErr w:type="spellEnd"/>
      <w:r w:rsidRPr="00310D26">
        <w:t> </w:t>
      </w:r>
      <w:r w:rsidR="00796BCA" w:rsidRPr="00CE5020">
        <w:rPr>
          <w:strike/>
          <w:highlight w:val="yellow"/>
        </w:rPr>
        <w:t>1</w:t>
      </w:r>
      <w:r w:rsidR="00796BCA" w:rsidRPr="00CE5020">
        <w:rPr>
          <w:bCs/>
          <w:snapToGrid w:val="0"/>
          <w:szCs w:val="24"/>
          <w:highlight w:val="yellow"/>
          <w:u w:val="single"/>
        </w:rPr>
        <w:t>2</w:t>
      </w:r>
      <w:r w:rsidR="00796BCA" w:rsidRPr="00796BCA">
        <w:rPr>
          <w:rStyle w:val="EndnoteReference"/>
          <w:b/>
          <w:bCs/>
          <w:snapToGrid w:val="0"/>
          <w:szCs w:val="24"/>
          <w:highlight w:val="yellow"/>
          <w:u w:val="single"/>
        </w:rPr>
        <w:endnoteReference w:id="2"/>
      </w:r>
      <w:r w:rsidRPr="00310D26">
        <w:t>;</w:t>
      </w:r>
      <w:r w:rsidR="00C05526">
        <w:t xml:space="preserve"> </w:t>
      </w:r>
    </w:p>
    <w:p w14:paraId="4BD91C4B" w14:textId="64552F59" w:rsidR="00955AD5" w:rsidRPr="00310D26" w:rsidRDefault="00955AD5" w:rsidP="0088719D">
      <w:pPr>
        <w:spacing w:after="60"/>
      </w:pPr>
      <w:r w:rsidRPr="00310D26">
        <w:tab/>
        <w:t>b)</w:t>
      </w:r>
      <w:r w:rsidRPr="00310D26">
        <w:tab/>
      </w:r>
      <w:r w:rsidR="00743F9C" w:rsidRPr="00310D26">
        <w:rPr>
          <w:rFonts w:cs="Arial"/>
          <w:color w:val="000000"/>
        </w:rPr>
        <w:t>tomar nota de qu</w:t>
      </w:r>
      <w:r w:rsidR="00743F9C" w:rsidRPr="00310D26">
        <w:t xml:space="preserve">e, </w:t>
      </w:r>
      <w:r w:rsidR="00CE30EE" w:rsidRPr="00310D26">
        <w:t xml:space="preserve">a reserva del </w:t>
      </w:r>
      <w:r w:rsidR="00743F9C" w:rsidRPr="00310D26">
        <w:t>acuerdo del TC y el CAJ</w:t>
      </w:r>
      <w:r w:rsidRPr="00310D26">
        <w:t xml:space="preserve">, </w:t>
      </w:r>
      <w:r w:rsidR="007954B3" w:rsidRPr="00310D26">
        <w:t xml:space="preserve">en 2020 se someterá </w:t>
      </w:r>
      <w:r w:rsidR="00FA13D8" w:rsidRPr="00310D26">
        <w:t>al</w:t>
      </w:r>
      <w:r w:rsidR="00743F9C" w:rsidRPr="00310D26">
        <w:t xml:space="preserve"> </w:t>
      </w:r>
      <w:r w:rsidR="00567357" w:rsidRPr="00310D26">
        <w:t>Co</w:t>
      </w:r>
      <w:r w:rsidR="00743F9C" w:rsidRPr="00310D26">
        <w:t>nsejo</w:t>
      </w:r>
      <w:r w:rsidR="007954B3" w:rsidRPr="00310D26">
        <w:t>, para que considere su aprobación, u</w:t>
      </w:r>
      <w:r w:rsidR="00CC4314" w:rsidRPr="00310D26">
        <w:t xml:space="preserve">n </w:t>
      </w:r>
      <w:r w:rsidR="00CC1848" w:rsidRPr="00310D26">
        <w:t>proyecto acordado</w:t>
      </w:r>
      <w:r w:rsidR="00567357" w:rsidRPr="00310D26">
        <w:t xml:space="preserve"> de </w:t>
      </w:r>
      <w:r w:rsidR="00743F9C" w:rsidRPr="00310D26">
        <w:t>documento</w:t>
      </w:r>
      <w:r w:rsidRPr="00310D26">
        <w:t xml:space="preserve"> UPOV/INF/16/9;</w:t>
      </w:r>
    </w:p>
    <w:p w14:paraId="631F4A34" w14:textId="08AB3D12" w:rsidR="00955AD5" w:rsidRPr="00310D26" w:rsidRDefault="00955AD5" w:rsidP="0088719D">
      <w:pPr>
        <w:tabs>
          <w:tab w:val="left" w:pos="567"/>
          <w:tab w:val="left" w:pos="1134"/>
          <w:tab w:val="left" w:pos="5387"/>
        </w:tabs>
        <w:spacing w:after="60"/>
      </w:pPr>
      <w:r w:rsidRPr="00310D26">
        <w:tab/>
        <w:t>c)</w:t>
      </w:r>
      <w:r w:rsidRPr="00310D26">
        <w:tab/>
      </w:r>
      <w:r w:rsidR="00743F9C" w:rsidRPr="00310D26">
        <w:t>examinar la propuesta de revisión del documento</w:t>
      </w:r>
      <w:r w:rsidRPr="00310D26">
        <w:t xml:space="preserve"> UPOV/INF/22/6</w:t>
      </w:r>
      <w:r w:rsidR="00470BF3" w:rsidRPr="00310D26">
        <w:t>:</w:t>
      </w:r>
      <w:r w:rsidRPr="00310D26">
        <w:t xml:space="preserve"> “</w:t>
      </w:r>
      <w:r w:rsidR="00567357" w:rsidRPr="00310D26">
        <w:t>Programas informáticos y equipos utilizados por los miembros de la Unión</w:t>
      </w:r>
      <w:r w:rsidRPr="00310D26">
        <w:t xml:space="preserve">”, </w:t>
      </w:r>
      <w:r w:rsidR="00743F9C" w:rsidRPr="00310D26">
        <w:rPr>
          <w:lang w:eastAsia="ja-JP"/>
        </w:rPr>
        <w:t>sobre la base del documento</w:t>
      </w:r>
      <w:r w:rsidRPr="00310D26">
        <w:t xml:space="preserve"> UPOV/</w:t>
      </w:r>
      <w:proofErr w:type="spellStart"/>
      <w:r w:rsidRPr="00310D26">
        <w:t>INF</w:t>
      </w:r>
      <w:proofErr w:type="spellEnd"/>
      <w:r w:rsidRPr="00310D26">
        <w:t xml:space="preserve">/22/7 </w:t>
      </w:r>
      <w:proofErr w:type="spellStart"/>
      <w:r w:rsidRPr="00310D26">
        <w:t>Draft</w:t>
      </w:r>
      <w:proofErr w:type="spellEnd"/>
      <w:r w:rsidRPr="00310D26">
        <w:t xml:space="preserve"> 1;</w:t>
      </w:r>
      <w:r w:rsidR="00C05526">
        <w:t xml:space="preserve"> </w:t>
      </w:r>
    </w:p>
    <w:p w14:paraId="426E8861" w14:textId="2201837C" w:rsidR="00955AD5" w:rsidRPr="00310D26" w:rsidRDefault="00955AD5" w:rsidP="0088719D">
      <w:pPr>
        <w:tabs>
          <w:tab w:val="left" w:pos="567"/>
          <w:tab w:val="left" w:pos="1134"/>
          <w:tab w:val="left" w:pos="5387"/>
        </w:tabs>
        <w:spacing w:after="60"/>
        <w:rPr>
          <w:highlight w:val="yellow"/>
        </w:rPr>
      </w:pPr>
      <w:r w:rsidRPr="00310D26">
        <w:tab/>
        <w:t>d)</w:t>
      </w:r>
      <w:r w:rsidRPr="00310D26">
        <w:tab/>
      </w:r>
      <w:r w:rsidR="00567357" w:rsidRPr="00310D26">
        <w:rPr>
          <w:rFonts w:cs="Arial"/>
          <w:color w:val="000000"/>
        </w:rPr>
        <w:t>tomar nota de qu</w:t>
      </w:r>
      <w:r w:rsidR="00567357" w:rsidRPr="00310D26">
        <w:t xml:space="preserve">e, </w:t>
      </w:r>
      <w:r w:rsidR="00CE30EE" w:rsidRPr="00310D26">
        <w:t xml:space="preserve">a reserva del </w:t>
      </w:r>
      <w:r w:rsidR="00567357" w:rsidRPr="00310D26">
        <w:t>acuerdo del TC y el CAJ</w:t>
      </w:r>
      <w:r w:rsidR="00470BF3" w:rsidRPr="00310D26">
        <w:t>, en 2020 se someterá al Consejo, para que considere su aprobación,</w:t>
      </w:r>
      <w:r w:rsidR="00567357" w:rsidRPr="00310D26">
        <w:t xml:space="preserve"> un</w:t>
      </w:r>
      <w:r w:rsidR="00CC4314" w:rsidRPr="00310D26">
        <w:t xml:space="preserve"> texto acordado de</w:t>
      </w:r>
      <w:r w:rsidR="00567357" w:rsidRPr="00310D26">
        <w:t xml:space="preserve"> proyecto de documento </w:t>
      </w:r>
      <w:r w:rsidRPr="00310D26">
        <w:t>UPOV/INF/22/7;</w:t>
      </w:r>
    </w:p>
    <w:p w14:paraId="2572C2C3" w14:textId="2E140F69" w:rsidR="00955AD5" w:rsidRPr="00310D26" w:rsidRDefault="00955AD5" w:rsidP="0088719D">
      <w:pPr>
        <w:tabs>
          <w:tab w:val="left" w:pos="567"/>
          <w:tab w:val="left" w:pos="1134"/>
          <w:tab w:val="left" w:pos="5387"/>
        </w:tabs>
        <w:spacing w:after="60"/>
      </w:pPr>
      <w:r w:rsidRPr="00310D26">
        <w:tab/>
        <w:t>e)</w:t>
      </w:r>
      <w:r w:rsidRPr="00310D26">
        <w:tab/>
      </w:r>
      <w:r w:rsidR="00567357" w:rsidRPr="00310D26">
        <w:t>tomar nota de las respuestas recibidas de los miembros de la Unión en respuesta a la</w:t>
      </w:r>
      <w:r w:rsidR="00785C76">
        <w:t xml:space="preserve"> Circular </w:t>
      </w:r>
      <w:r w:rsidRPr="00310D26">
        <w:t>E</w:t>
      </w:r>
      <w:r w:rsidR="00785C76">
        <w:noBreakHyphen/>
      </w:r>
      <w:r w:rsidRPr="00310D26">
        <w:t xml:space="preserve">20/017, </w:t>
      </w:r>
      <w:r w:rsidR="00694E7F">
        <w:t>reproducidas</w:t>
      </w:r>
      <w:r w:rsidR="00567357" w:rsidRPr="00310D26">
        <w:t xml:space="preserve"> en el Anexo </w:t>
      </w:r>
      <w:r w:rsidRPr="00310D26">
        <w:t xml:space="preserve">I </w:t>
      </w:r>
      <w:r w:rsidR="00567357" w:rsidRPr="00310D26">
        <w:t>del presente documento</w:t>
      </w:r>
      <w:r w:rsidRPr="00310D26">
        <w:t>;</w:t>
      </w:r>
    </w:p>
    <w:p w14:paraId="3EA67E4B" w14:textId="75316A8A" w:rsidR="00955AD5" w:rsidRPr="00310D26" w:rsidRDefault="00955AD5" w:rsidP="0088719D">
      <w:pPr>
        <w:shd w:val="clear" w:color="auto" w:fill="FFFFFF" w:themeFill="background1"/>
        <w:tabs>
          <w:tab w:val="left" w:pos="567"/>
          <w:tab w:val="left" w:pos="1134"/>
          <w:tab w:val="left" w:pos="5387"/>
        </w:tabs>
        <w:spacing w:after="60"/>
      </w:pPr>
      <w:r w:rsidRPr="00310D26">
        <w:tab/>
        <w:t>f)</w:t>
      </w:r>
      <w:r w:rsidRPr="00310D26">
        <w:tab/>
      </w:r>
      <w:r w:rsidR="008F630A" w:rsidRPr="00310D26">
        <w:t xml:space="preserve">examinar la </w:t>
      </w:r>
      <w:r w:rsidR="00AD0014" w:rsidRPr="00310D26">
        <w:t>petición</w:t>
      </w:r>
      <w:r w:rsidR="00180EF3" w:rsidRPr="00310D26">
        <w:t xml:space="preserve"> </w:t>
      </w:r>
      <w:r w:rsidR="00AD0014" w:rsidRPr="00310D26">
        <w:t>formulada por el</w:t>
      </w:r>
      <w:r w:rsidR="00180EF3" w:rsidRPr="00310D26">
        <w:t xml:space="preserve"> </w:t>
      </w:r>
      <w:r w:rsidRPr="00310D26">
        <w:t>TWV</w:t>
      </w:r>
      <w:r w:rsidR="00180EF3" w:rsidRPr="00310D26">
        <w:t xml:space="preserve"> en su </w:t>
      </w:r>
      <w:r w:rsidR="00180EF3" w:rsidRPr="00310D26">
        <w:rPr>
          <w:rFonts w:cs="Arial"/>
          <w:color w:val="000000"/>
          <w:shd w:val="clear" w:color="auto" w:fill="FFFFFF" w:themeFill="background1"/>
        </w:rPr>
        <w:t xml:space="preserve">quincuagésima cuarta reunión de </w:t>
      </w:r>
      <w:r w:rsidR="00945836">
        <w:rPr>
          <w:rFonts w:cs="Arial"/>
          <w:color w:val="000000"/>
          <w:shd w:val="clear" w:color="auto" w:fill="FFFFFF" w:themeFill="background1"/>
        </w:rPr>
        <w:t>no introducir</w:t>
      </w:r>
      <w:r w:rsidR="00F106FC">
        <w:rPr>
          <w:rFonts w:cs="Arial"/>
          <w:color w:val="000000"/>
          <w:shd w:val="clear" w:color="auto" w:fill="FFFFFF" w:themeFill="background1"/>
        </w:rPr>
        <w:t xml:space="preserve"> </w:t>
      </w:r>
      <w:r w:rsidR="00180EF3" w:rsidRPr="00310D26">
        <w:t>la Clase</w:t>
      </w:r>
      <w:r w:rsidRPr="00310D26">
        <w:t xml:space="preserve"> 205B </w:t>
      </w:r>
      <w:r w:rsidR="00180EF3" w:rsidRPr="00310D26">
        <w:t>e</w:t>
      </w:r>
      <w:r w:rsidRPr="00310D26">
        <w:t xml:space="preserve">n </w:t>
      </w:r>
      <w:r w:rsidR="00180EF3" w:rsidRPr="00310D26">
        <w:t>el documento</w:t>
      </w:r>
      <w:r w:rsidRPr="00310D26">
        <w:t xml:space="preserve"> UPOV/EXN/DEN/1 (</w:t>
      </w:r>
      <w:r w:rsidR="00180EF3" w:rsidRPr="00310D26">
        <w:t>véase párrafo</w:t>
      </w:r>
      <w:r w:rsidRPr="00310D26">
        <w:t xml:space="preserve"> 25);</w:t>
      </w:r>
      <w:r w:rsidR="00C05526">
        <w:t xml:space="preserve"> </w:t>
      </w:r>
    </w:p>
    <w:p w14:paraId="1447D9B7" w14:textId="0733134B" w:rsidR="00955AD5" w:rsidRPr="00310D26" w:rsidRDefault="00955AD5" w:rsidP="0088719D">
      <w:pPr>
        <w:shd w:val="clear" w:color="auto" w:fill="FFFFFF" w:themeFill="background1"/>
        <w:tabs>
          <w:tab w:val="left" w:pos="567"/>
          <w:tab w:val="left" w:pos="1134"/>
          <w:tab w:val="left" w:pos="5387"/>
        </w:tabs>
        <w:spacing w:after="60"/>
      </w:pPr>
      <w:r w:rsidRPr="00310D26">
        <w:tab/>
        <w:t>g)</w:t>
      </w:r>
      <w:r w:rsidRPr="00310D26">
        <w:tab/>
      </w:r>
      <w:r w:rsidR="00743F9C" w:rsidRPr="00310D26">
        <w:t>examinar la propuesta de revisión del documento</w:t>
      </w:r>
      <w:r w:rsidRPr="00310D26">
        <w:t> UPOV/EXN/DEN</w:t>
      </w:r>
      <w:r w:rsidR="00F106FC">
        <w:t xml:space="preserve">: </w:t>
      </w:r>
      <w:r w:rsidRPr="00310D26">
        <w:t>“</w:t>
      </w:r>
      <w:r w:rsidR="00180EF3" w:rsidRPr="00310D26">
        <w:rPr>
          <w:rFonts w:cs="Arial"/>
          <w:color w:val="000000"/>
          <w:shd w:val="clear" w:color="auto" w:fill="FFFFFF" w:themeFill="background1"/>
        </w:rPr>
        <w:t>Notas explicativas sobre las denominaciones de variedades con arreglo al Convenio de la UPOV</w:t>
      </w:r>
      <w:r w:rsidRPr="00310D26">
        <w:t xml:space="preserve">”, </w:t>
      </w:r>
      <w:r w:rsidR="00743F9C" w:rsidRPr="00310D26">
        <w:t>sobre la base del documento</w:t>
      </w:r>
      <w:r w:rsidRPr="00310D26">
        <w:t xml:space="preserve"> UPOV/</w:t>
      </w:r>
      <w:proofErr w:type="spellStart"/>
      <w:r w:rsidRPr="00310D26">
        <w:t>EXN</w:t>
      </w:r>
      <w:proofErr w:type="spellEnd"/>
      <w:r w:rsidRPr="00310D26">
        <w:t xml:space="preserve">/DEN/1 </w:t>
      </w:r>
      <w:proofErr w:type="spellStart"/>
      <w:r w:rsidRPr="00310D26">
        <w:t>Draft</w:t>
      </w:r>
      <w:proofErr w:type="spellEnd"/>
      <w:r w:rsidRPr="00310D26">
        <w:t xml:space="preserve"> 4;</w:t>
      </w:r>
      <w:r w:rsidR="00C05526">
        <w:t xml:space="preserve"> </w:t>
      </w:r>
    </w:p>
    <w:p w14:paraId="23780C7C" w14:textId="16411085" w:rsidR="00955AD5" w:rsidRPr="00310D26" w:rsidRDefault="00955AD5" w:rsidP="0088719D">
      <w:pPr>
        <w:tabs>
          <w:tab w:val="left" w:pos="567"/>
          <w:tab w:val="left" w:pos="1134"/>
          <w:tab w:val="left" w:pos="5387"/>
        </w:tabs>
        <w:spacing w:after="60"/>
      </w:pPr>
      <w:r w:rsidRPr="00796BCA">
        <w:rPr>
          <w:strike/>
        </w:rPr>
        <w:tab/>
      </w:r>
      <w:r w:rsidRPr="00796BCA">
        <w:rPr>
          <w:strike/>
          <w:highlight w:val="yellow"/>
        </w:rPr>
        <w:t>h)</w:t>
      </w:r>
      <w:r w:rsidRPr="00796BCA">
        <w:rPr>
          <w:strike/>
          <w:highlight w:val="yellow"/>
        </w:rPr>
        <w:tab/>
      </w:r>
      <w:r w:rsidR="00567357" w:rsidRPr="00796BCA">
        <w:rPr>
          <w:strike/>
          <w:highlight w:val="yellow"/>
        </w:rPr>
        <w:t xml:space="preserve">tomar nota de que, </w:t>
      </w:r>
      <w:r w:rsidR="00CE30EE" w:rsidRPr="00796BCA">
        <w:rPr>
          <w:strike/>
          <w:highlight w:val="yellow"/>
        </w:rPr>
        <w:t>a reserva del</w:t>
      </w:r>
      <w:r w:rsidR="00567357" w:rsidRPr="00796BCA">
        <w:rPr>
          <w:strike/>
          <w:highlight w:val="yellow"/>
        </w:rPr>
        <w:t xml:space="preserve"> acuerdo del CAJ, </w:t>
      </w:r>
      <w:r w:rsidR="00AD0014" w:rsidRPr="00796BCA">
        <w:rPr>
          <w:strike/>
          <w:highlight w:val="yellow"/>
        </w:rPr>
        <w:t xml:space="preserve">en 2020 se someterá al Consejo, para que considere su aprobación, </w:t>
      </w:r>
      <w:r w:rsidR="00180EF3" w:rsidRPr="00796BCA">
        <w:rPr>
          <w:strike/>
          <w:highlight w:val="yellow"/>
        </w:rPr>
        <w:t>un</w:t>
      </w:r>
      <w:r w:rsidR="00567357" w:rsidRPr="00796BCA">
        <w:rPr>
          <w:strike/>
          <w:highlight w:val="yellow"/>
        </w:rPr>
        <w:t xml:space="preserve"> </w:t>
      </w:r>
      <w:r w:rsidR="00FA13D8" w:rsidRPr="00796BCA">
        <w:rPr>
          <w:strike/>
          <w:highlight w:val="yellow"/>
        </w:rPr>
        <w:t xml:space="preserve">texto acordado de </w:t>
      </w:r>
      <w:r w:rsidR="00567357" w:rsidRPr="00796BCA">
        <w:rPr>
          <w:strike/>
          <w:highlight w:val="yellow"/>
        </w:rPr>
        <w:t>proyecto de documento</w:t>
      </w:r>
      <w:r w:rsidR="00180EF3" w:rsidRPr="00796BCA">
        <w:rPr>
          <w:strike/>
          <w:highlight w:val="yellow"/>
        </w:rPr>
        <w:t xml:space="preserve"> </w:t>
      </w:r>
      <w:r w:rsidRPr="00796BCA">
        <w:rPr>
          <w:strike/>
          <w:highlight w:val="yellow"/>
        </w:rPr>
        <w:t>UPOV/EXN/DEN/1</w:t>
      </w:r>
      <w:r w:rsidR="00796BCA" w:rsidRPr="00796BCA">
        <w:rPr>
          <w:rStyle w:val="EndnoteReference"/>
          <w:b/>
          <w:highlight w:val="yellow"/>
          <w:u w:val="single"/>
        </w:rPr>
        <w:endnoteReference w:id="3"/>
      </w:r>
      <w:r w:rsidRPr="00796BCA">
        <w:rPr>
          <w:strike/>
          <w:highlight w:val="yellow"/>
        </w:rPr>
        <w:t>;</w:t>
      </w:r>
    </w:p>
    <w:p w14:paraId="4F83C411" w14:textId="7EE5B1FC" w:rsidR="00955AD5" w:rsidRPr="00310D26" w:rsidRDefault="00955AD5" w:rsidP="0088719D">
      <w:pPr>
        <w:tabs>
          <w:tab w:val="left" w:pos="567"/>
          <w:tab w:val="left" w:pos="1134"/>
          <w:tab w:val="left" w:pos="5387"/>
        </w:tabs>
        <w:spacing w:after="60"/>
      </w:pPr>
      <w:r w:rsidRPr="00310D26">
        <w:tab/>
        <w:t>i)</w:t>
      </w:r>
      <w:r w:rsidRPr="00310D26">
        <w:tab/>
      </w:r>
      <w:r w:rsidR="00180EF3" w:rsidRPr="00310D26">
        <w:t xml:space="preserve">examinar el </w:t>
      </w:r>
      <w:r w:rsidR="00180EF3" w:rsidRPr="00310D26">
        <w:rPr>
          <w:shd w:val="clear" w:color="auto" w:fill="FFFFFF" w:themeFill="background1"/>
        </w:rPr>
        <w:t>documento</w:t>
      </w:r>
      <w:r w:rsidR="00AD0014" w:rsidRPr="00310D26">
        <w:rPr>
          <w:shd w:val="clear" w:color="auto" w:fill="FFFFFF" w:themeFill="background1"/>
        </w:rPr>
        <w:t xml:space="preserve"> </w:t>
      </w:r>
      <w:proofErr w:type="spellStart"/>
      <w:r w:rsidR="00180EF3" w:rsidRPr="00310D26">
        <w:rPr>
          <w:rFonts w:cs="Arial"/>
          <w:color w:val="000000"/>
          <w:shd w:val="clear" w:color="auto" w:fill="FFFFFF" w:themeFill="background1"/>
        </w:rPr>
        <w:t>TGP</w:t>
      </w:r>
      <w:proofErr w:type="spellEnd"/>
      <w:r w:rsidR="00180EF3" w:rsidRPr="00310D26">
        <w:rPr>
          <w:rFonts w:cs="Arial"/>
          <w:color w:val="000000"/>
          <w:shd w:val="clear" w:color="auto" w:fill="FFFFFF" w:themeFill="background1"/>
        </w:rPr>
        <w:t xml:space="preserve">/5: </w:t>
      </w:r>
      <w:proofErr w:type="spellStart"/>
      <w:r w:rsidR="00180EF3" w:rsidRPr="00310D26">
        <w:rPr>
          <w:rFonts w:cs="Arial"/>
          <w:color w:val="000000"/>
          <w:shd w:val="clear" w:color="auto" w:fill="FFFFFF" w:themeFill="background1"/>
        </w:rPr>
        <w:t>Sec</w:t>
      </w:r>
      <w:r w:rsidR="00AD0014" w:rsidRPr="00310D26">
        <w:rPr>
          <w:rFonts w:cs="Arial"/>
          <w:color w:val="000000"/>
          <w:shd w:val="clear" w:color="auto" w:fill="FFFFFF" w:themeFill="background1"/>
        </w:rPr>
        <w:t>tion</w:t>
      </w:r>
      <w:proofErr w:type="spellEnd"/>
      <w:r w:rsidR="00180EF3" w:rsidRPr="00310D26">
        <w:rPr>
          <w:rFonts w:cs="Arial"/>
          <w:color w:val="000000"/>
          <w:shd w:val="clear" w:color="auto" w:fill="FFFFFF" w:themeFill="background1"/>
        </w:rPr>
        <w:t> 6/3: </w:t>
      </w:r>
      <w:r w:rsidR="00AD0014" w:rsidRPr="00310D26">
        <w:t>“</w:t>
      </w:r>
      <w:proofErr w:type="spellStart"/>
      <w:r w:rsidR="00AD0014" w:rsidRPr="00310D26">
        <w:t>TGP</w:t>
      </w:r>
      <w:proofErr w:type="spellEnd"/>
      <w:r w:rsidR="00AD0014" w:rsidRPr="00310D26">
        <w:t xml:space="preserve"> 5: Experiencia y cooperación en el examen DHE, sección 6: Informe de la UPOV sobre el examen técnico y formulario UPOV para la descripción de variedades</w:t>
      </w:r>
      <w:r w:rsidR="00180EF3" w:rsidRPr="00310D26">
        <w:rPr>
          <w:rFonts w:cs="Arial"/>
          <w:color w:val="000000"/>
          <w:shd w:val="clear" w:color="auto" w:fill="FFFFFF" w:themeFill="background1"/>
        </w:rPr>
        <w:t>”,</w:t>
      </w:r>
      <w:r w:rsidRPr="00310D26">
        <w:rPr>
          <w:shd w:val="clear" w:color="auto" w:fill="FFFFFF" w:themeFill="background1"/>
        </w:rPr>
        <w:t xml:space="preserve"> </w:t>
      </w:r>
      <w:r w:rsidR="00743F9C" w:rsidRPr="00310D26">
        <w:rPr>
          <w:shd w:val="clear" w:color="auto" w:fill="FFFFFF" w:themeFill="background1"/>
        </w:rPr>
        <w:t>sobre la base del documento</w:t>
      </w:r>
      <w:r w:rsidRPr="00310D26">
        <w:rPr>
          <w:shd w:val="clear" w:color="auto" w:fill="FFFFFF" w:themeFill="background1"/>
        </w:rPr>
        <w:t> </w:t>
      </w:r>
      <w:proofErr w:type="spellStart"/>
      <w:r w:rsidR="00180EF3" w:rsidRPr="00310D26">
        <w:rPr>
          <w:rFonts w:cs="Arial"/>
          <w:color w:val="000000"/>
          <w:shd w:val="clear" w:color="auto" w:fill="FFFFFF" w:themeFill="background1"/>
        </w:rPr>
        <w:t>TGP</w:t>
      </w:r>
      <w:proofErr w:type="spellEnd"/>
      <w:r w:rsidR="00180EF3" w:rsidRPr="00310D26">
        <w:rPr>
          <w:rFonts w:cs="Arial"/>
          <w:color w:val="000000"/>
          <w:shd w:val="clear" w:color="auto" w:fill="FFFFFF" w:themeFill="background1"/>
        </w:rPr>
        <w:t xml:space="preserve">/5: </w:t>
      </w:r>
      <w:proofErr w:type="spellStart"/>
      <w:r w:rsidR="00180EF3" w:rsidRPr="00310D26">
        <w:rPr>
          <w:rFonts w:cs="Arial"/>
          <w:color w:val="000000"/>
          <w:shd w:val="clear" w:color="auto" w:fill="FFFFFF" w:themeFill="background1"/>
        </w:rPr>
        <w:t>Sec</w:t>
      </w:r>
      <w:r w:rsidR="00AD0014" w:rsidRPr="00310D26">
        <w:rPr>
          <w:rFonts w:cs="Arial"/>
          <w:color w:val="000000"/>
          <w:shd w:val="clear" w:color="auto" w:fill="FFFFFF" w:themeFill="background1"/>
        </w:rPr>
        <w:t>tion</w:t>
      </w:r>
      <w:proofErr w:type="spellEnd"/>
      <w:r w:rsidR="00180EF3" w:rsidRPr="00310D26">
        <w:rPr>
          <w:rFonts w:cs="Arial"/>
          <w:color w:val="000000"/>
          <w:shd w:val="clear" w:color="auto" w:fill="FFFFFF" w:themeFill="background1"/>
        </w:rPr>
        <w:t> 6/3 </w:t>
      </w:r>
      <w:proofErr w:type="spellStart"/>
      <w:r w:rsidR="00180EF3" w:rsidRPr="00310D26">
        <w:rPr>
          <w:rFonts w:cs="Arial"/>
          <w:color w:val="000000"/>
          <w:shd w:val="clear" w:color="auto" w:fill="FFFFFF" w:themeFill="background1"/>
        </w:rPr>
        <w:t>Draft</w:t>
      </w:r>
      <w:proofErr w:type="spellEnd"/>
      <w:r w:rsidR="00180EF3" w:rsidRPr="00310D26">
        <w:rPr>
          <w:rFonts w:cs="Arial"/>
          <w:color w:val="000000"/>
          <w:shd w:val="clear" w:color="auto" w:fill="FFFFFF" w:themeFill="background1"/>
        </w:rPr>
        <w:t> 1</w:t>
      </w:r>
      <w:r w:rsidRPr="00310D26">
        <w:t>;</w:t>
      </w:r>
    </w:p>
    <w:p w14:paraId="0D05A3E9" w14:textId="07769E95" w:rsidR="00955AD5" w:rsidRPr="00310D26" w:rsidRDefault="00955AD5" w:rsidP="0088719D">
      <w:pPr>
        <w:tabs>
          <w:tab w:val="left" w:pos="567"/>
          <w:tab w:val="left" w:pos="1134"/>
          <w:tab w:val="left" w:pos="5387"/>
        </w:tabs>
        <w:spacing w:after="60"/>
      </w:pPr>
      <w:r w:rsidRPr="00310D26">
        <w:tab/>
        <w:t>j)</w:t>
      </w:r>
      <w:r w:rsidRPr="00310D26">
        <w:tab/>
      </w:r>
      <w:r w:rsidR="00567357" w:rsidRPr="00310D26">
        <w:t xml:space="preserve">tomar nota de que, </w:t>
      </w:r>
      <w:r w:rsidR="00CE30EE" w:rsidRPr="00310D26">
        <w:t>a reserva del</w:t>
      </w:r>
      <w:r w:rsidR="00567357" w:rsidRPr="00310D26">
        <w:t xml:space="preserve"> acuerdo </w:t>
      </w:r>
      <w:r w:rsidR="00E55A14" w:rsidRPr="00310D26">
        <w:t>del</w:t>
      </w:r>
      <w:r w:rsidR="00567357" w:rsidRPr="00310D26">
        <w:t xml:space="preserve"> CAJ, </w:t>
      </w:r>
      <w:r w:rsidR="00AD0014" w:rsidRPr="00310D26">
        <w:t xml:space="preserve">en 2020 se someterá al Consejo, para que considere su aprobación, </w:t>
      </w:r>
      <w:r w:rsidR="00567357" w:rsidRPr="00310D26">
        <w:t>un proyecto de documento</w:t>
      </w:r>
      <w:r w:rsidR="00AD0014" w:rsidRPr="00310D26">
        <w:t xml:space="preserve"> </w:t>
      </w:r>
      <w:proofErr w:type="spellStart"/>
      <w:r w:rsidRPr="00310D26">
        <w:t>TGP</w:t>
      </w:r>
      <w:proofErr w:type="spellEnd"/>
      <w:r w:rsidRPr="00310D26">
        <w:t>/5:</w:t>
      </w:r>
      <w:r w:rsidR="00C05526">
        <w:t xml:space="preserve"> </w:t>
      </w:r>
      <w:proofErr w:type="spellStart"/>
      <w:r w:rsidRPr="00310D26">
        <w:t>Section</w:t>
      </w:r>
      <w:proofErr w:type="spellEnd"/>
      <w:r w:rsidRPr="00310D26">
        <w:t xml:space="preserve"> 6/3;</w:t>
      </w:r>
    </w:p>
    <w:p w14:paraId="2C6DCC0E" w14:textId="70FB9188" w:rsidR="00955AD5" w:rsidRPr="00310D26" w:rsidRDefault="00955AD5" w:rsidP="0088719D">
      <w:pPr>
        <w:tabs>
          <w:tab w:val="left" w:pos="567"/>
          <w:tab w:val="left" w:pos="1134"/>
          <w:tab w:val="left" w:pos="5387"/>
        </w:tabs>
        <w:spacing w:after="60"/>
      </w:pPr>
      <w:r w:rsidRPr="00310D26">
        <w:tab/>
        <w:t>k)</w:t>
      </w:r>
      <w:r w:rsidRPr="00310D26">
        <w:tab/>
      </w:r>
      <w:r w:rsidR="00CC4314" w:rsidRPr="00310D26">
        <w:t>examinar el documento</w:t>
      </w:r>
      <w:r w:rsidRPr="00310D26">
        <w:t xml:space="preserve"> TGP/7/8</w:t>
      </w:r>
      <w:r w:rsidR="00F106FC">
        <w:t>:</w:t>
      </w:r>
      <w:r w:rsidRPr="00310D26">
        <w:t xml:space="preserve"> “</w:t>
      </w:r>
      <w:r w:rsidR="00CC4314" w:rsidRPr="00310D26">
        <w:rPr>
          <w:rFonts w:cs="Arial"/>
          <w:color w:val="000000"/>
          <w:shd w:val="clear" w:color="auto" w:fill="FFFFFF" w:themeFill="background1"/>
        </w:rPr>
        <w:t>Elaboración de las Directrices de Examen</w:t>
      </w:r>
      <w:r w:rsidRPr="00310D26">
        <w:t xml:space="preserve">”, </w:t>
      </w:r>
      <w:r w:rsidR="00743F9C" w:rsidRPr="00310D26">
        <w:t>sobre la base del documento</w:t>
      </w:r>
      <w:r w:rsidRPr="00310D26">
        <w:t> </w:t>
      </w:r>
      <w:proofErr w:type="spellStart"/>
      <w:r w:rsidRPr="00310D26">
        <w:t>TGP</w:t>
      </w:r>
      <w:proofErr w:type="spellEnd"/>
      <w:r w:rsidRPr="00310D26">
        <w:t>/7/8 </w:t>
      </w:r>
      <w:proofErr w:type="spellStart"/>
      <w:r w:rsidRPr="00310D26">
        <w:t>Draft</w:t>
      </w:r>
      <w:proofErr w:type="spellEnd"/>
      <w:r w:rsidRPr="00310D26">
        <w:t> 1;</w:t>
      </w:r>
    </w:p>
    <w:p w14:paraId="0B3A0796" w14:textId="5A54E34B" w:rsidR="00955AD5" w:rsidRPr="00310D26" w:rsidRDefault="00955AD5" w:rsidP="0088719D">
      <w:pPr>
        <w:tabs>
          <w:tab w:val="left" w:pos="567"/>
          <w:tab w:val="left" w:pos="1134"/>
          <w:tab w:val="left" w:pos="5387"/>
        </w:tabs>
        <w:spacing w:after="60"/>
      </w:pPr>
      <w:r w:rsidRPr="00310D26">
        <w:tab/>
        <w:t>l)</w:t>
      </w:r>
      <w:r w:rsidRPr="00310D26">
        <w:tab/>
      </w:r>
      <w:r w:rsidR="00567357" w:rsidRPr="00310D26">
        <w:t xml:space="preserve">tomar nota de que, </w:t>
      </w:r>
      <w:r w:rsidR="00CE30EE" w:rsidRPr="00310D26">
        <w:t xml:space="preserve">a reserva del </w:t>
      </w:r>
      <w:r w:rsidR="00567357" w:rsidRPr="00310D26">
        <w:t xml:space="preserve">acuerdo del CAJ, </w:t>
      </w:r>
      <w:r w:rsidR="00C4567F" w:rsidRPr="00310D26">
        <w:t>en 2020 se someterá al Consejo, para que considere su aprobación, un proyecto de documento</w:t>
      </w:r>
      <w:r w:rsidR="00567357" w:rsidRPr="00310D26">
        <w:t xml:space="preserve"> </w:t>
      </w:r>
      <w:r w:rsidRPr="00310D26">
        <w:t>TGP/7/8;</w:t>
      </w:r>
    </w:p>
    <w:p w14:paraId="4C41B871" w14:textId="6D3BAB94" w:rsidR="00955AD5" w:rsidRPr="00310D26" w:rsidRDefault="00955AD5" w:rsidP="0088719D">
      <w:pPr>
        <w:tabs>
          <w:tab w:val="left" w:pos="567"/>
          <w:tab w:val="left" w:pos="1134"/>
          <w:tab w:val="left" w:pos="5387"/>
        </w:tabs>
        <w:spacing w:after="60"/>
      </w:pPr>
      <w:r w:rsidRPr="00310D26">
        <w:lastRenderedPageBreak/>
        <w:tab/>
        <w:t>m)</w:t>
      </w:r>
      <w:r w:rsidRPr="00310D26">
        <w:tab/>
      </w:r>
      <w:r w:rsidR="00CC4314" w:rsidRPr="00310D26">
        <w:t>examinar el documento</w:t>
      </w:r>
      <w:r w:rsidRPr="00310D26">
        <w:t xml:space="preserve"> TGP/14/5</w:t>
      </w:r>
      <w:r w:rsidR="00F106FC">
        <w:t xml:space="preserve">: </w:t>
      </w:r>
      <w:r w:rsidRPr="00310D26">
        <w:t>“</w:t>
      </w:r>
      <w:r w:rsidR="00CC4314" w:rsidRPr="00310D26">
        <w:rPr>
          <w:rFonts w:cs="Arial"/>
          <w:color w:val="000000"/>
          <w:shd w:val="clear" w:color="auto" w:fill="FFFFFF" w:themeFill="background1"/>
        </w:rPr>
        <w:t>Glosario de términos utilizados en los documentos de la UPOV</w:t>
      </w:r>
      <w:r w:rsidRPr="00310D26">
        <w:t xml:space="preserve">”, </w:t>
      </w:r>
      <w:r w:rsidR="00743F9C" w:rsidRPr="00310D26">
        <w:t xml:space="preserve">sobre la base del documento </w:t>
      </w:r>
      <w:proofErr w:type="spellStart"/>
      <w:r w:rsidRPr="00310D26">
        <w:t>TGP</w:t>
      </w:r>
      <w:proofErr w:type="spellEnd"/>
      <w:r w:rsidRPr="00310D26">
        <w:t>/14/5 </w:t>
      </w:r>
      <w:proofErr w:type="spellStart"/>
      <w:r w:rsidRPr="00310D26">
        <w:t>Draft</w:t>
      </w:r>
      <w:proofErr w:type="spellEnd"/>
      <w:r w:rsidRPr="00310D26">
        <w:t> 1;</w:t>
      </w:r>
    </w:p>
    <w:p w14:paraId="104DB4AD" w14:textId="0E55139C" w:rsidR="00955AD5" w:rsidRPr="00310D26" w:rsidRDefault="00955AD5" w:rsidP="0088719D">
      <w:pPr>
        <w:tabs>
          <w:tab w:val="left" w:pos="567"/>
          <w:tab w:val="left" w:pos="1134"/>
          <w:tab w:val="left" w:pos="5387"/>
        </w:tabs>
        <w:spacing w:after="60"/>
      </w:pPr>
      <w:r w:rsidRPr="00310D26">
        <w:tab/>
        <w:t>n)</w:t>
      </w:r>
      <w:r w:rsidRPr="00310D26">
        <w:tab/>
      </w:r>
      <w:r w:rsidR="00567357" w:rsidRPr="00310D26">
        <w:t xml:space="preserve">tomar nota de que, </w:t>
      </w:r>
      <w:r w:rsidR="00CE30EE" w:rsidRPr="00310D26">
        <w:t>a reserva del</w:t>
      </w:r>
      <w:r w:rsidR="00567357" w:rsidRPr="00310D26">
        <w:t xml:space="preserve"> acuerdo del CAJ, </w:t>
      </w:r>
      <w:r w:rsidR="00C4567F" w:rsidRPr="00310D26">
        <w:t xml:space="preserve">en 2020 se someterá al Consejo, para que considere su aprobación, </w:t>
      </w:r>
      <w:r w:rsidR="00567357" w:rsidRPr="00310D26">
        <w:t>un proyecto de documento</w:t>
      </w:r>
      <w:r w:rsidR="007D1ED3" w:rsidRPr="00310D26">
        <w:t xml:space="preserve"> </w:t>
      </w:r>
      <w:r w:rsidRPr="00310D26">
        <w:t>TGP/14/5.</w:t>
      </w:r>
    </w:p>
    <w:p w14:paraId="1018FA5C" w14:textId="3BE5C969" w:rsidR="00955AD5" w:rsidRPr="00310D26" w:rsidRDefault="00955AD5" w:rsidP="0088719D">
      <w:pPr>
        <w:tabs>
          <w:tab w:val="left" w:pos="567"/>
          <w:tab w:val="left" w:pos="1134"/>
          <w:tab w:val="left" w:pos="5387"/>
        </w:tabs>
        <w:spacing w:after="60"/>
      </w:pPr>
      <w:r w:rsidRPr="00310D26">
        <w:tab/>
        <w:t>o)</w:t>
      </w:r>
      <w:r w:rsidRPr="00310D26">
        <w:tab/>
      </w:r>
      <w:r w:rsidR="00CC4314" w:rsidRPr="00310D26">
        <w:t>examinar el documento</w:t>
      </w:r>
      <w:r w:rsidRPr="00310D26">
        <w:t xml:space="preserve"> TGP/15/3</w:t>
      </w:r>
      <w:r w:rsidR="00F106FC">
        <w:t xml:space="preserve">: </w:t>
      </w:r>
      <w:r w:rsidRPr="00310D26">
        <w:t>“</w:t>
      </w:r>
      <w:r w:rsidR="009559B4" w:rsidRPr="00310D26">
        <w:t>Orientación sobre el uso de marcadores bioquímicos y moleculares en el examen de la distinción, la homogeneidad y la estabilidad (DHE)</w:t>
      </w:r>
      <w:r w:rsidRPr="00310D26">
        <w:t xml:space="preserve">”, </w:t>
      </w:r>
      <w:r w:rsidR="00743F9C" w:rsidRPr="00310D26">
        <w:t xml:space="preserve">sobre la base del documento </w:t>
      </w:r>
      <w:proofErr w:type="spellStart"/>
      <w:r w:rsidRPr="00310D26">
        <w:t>TGP</w:t>
      </w:r>
      <w:proofErr w:type="spellEnd"/>
      <w:r w:rsidRPr="00310D26">
        <w:t xml:space="preserve">/15/3 </w:t>
      </w:r>
      <w:proofErr w:type="spellStart"/>
      <w:r w:rsidRPr="00310D26">
        <w:t>Draft</w:t>
      </w:r>
      <w:proofErr w:type="spellEnd"/>
      <w:r w:rsidRPr="00310D26">
        <w:t xml:space="preserve"> 1;</w:t>
      </w:r>
    </w:p>
    <w:p w14:paraId="29496707" w14:textId="743FFD35" w:rsidR="00955AD5" w:rsidRPr="00310D26" w:rsidRDefault="00955AD5" w:rsidP="0088719D">
      <w:pPr>
        <w:tabs>
          <w:tab w:val="left" w:pos="567"/>
          <w:tab w:val="left" w:pos="1134"/>
          <w:tab w:val="left" w:pos="5387"/>
        </w:tabs>
        <w:spacing w:after="60"/>
      </w:pPr>
      <w:r w:rsidRPr="00310D26">
        <w:tab/>
        <w:t>p)</w:t>
      </w:r>
      <w:r w:rsidRPr="00310D26">
        <w:tab/>
      </w:r>
      <w:r w:rsidR="00567357" w:rsidRPr="00310D26">
        <w:t xml:space="preserve">tomar nota de que, </w:t>
      </w:r>
      <w:r w:rsidR="00CE30EE" w:rsidRPr="00310D26">
        <w:t>a reserva del</w:t>
      </w:r>
      <w:r w:rsidR="00567357" w:rsidRPr="00310D26">
        <w:t xml:space="preserve"> acuerdo </w:t>
      </w:r>
      <w:r w:rsidR="00C4567F" w:rsidRPr="00310D26">
        <w:t>del</w:t>
      </w:r>
      <w:r w:rsidR="00567357" w:rsidRPr="00310D26">
        <w:t xml:space="preserve"> CAJ, </w:t>
      </w:r>
      <w:r w:rsidR="00C4567F" w:rsidRPr="00310D26">
        <w:t xml:space="preserve">en 2020 se someterá al Consejo, para que considere su aprobación, </w:t>
      </w:r>
      <w:r w:rsidR="00567357" w:rsidRPr="00310D26">
        <w:t>un proyecto de documento</w:t>
      </w:r>
      <w:r w:rsidR="007D1ED3" w:rsidRPr="00310D26">
        <w:t xml:space="preserve"> </w:t>
      </w:r>
      <w:r w:rsidRPr="00310D26">
        <w:t>TGP/15/3.</w:t>
      </w:r>
    </w:p>
    <w:p w14:paraId="00023596" w14:textId="1A7A29DF" w:rsidR="00955AD5" w:rsidRPr="00310D26" w:rsidRDefault="00955AD5" w:rsidP="0088719D">
      <w:pPr>
        <w:tabs>
          <w:tab w:val="left" w:pos="567"/>
          <w:tab w:val="left" w:pos="1134"/>
          <w:tab w:val="left" w:pos="5387"/>
        </w:tabs>
        <w:spacing w:after="60"/>
      </w:pPr>
      <w:r w:rsidRPr="00310D26">
        <w:tab/>
        <w:t>q)</w:t>
      </w:r>
      <w:r w:rsidRPr="00310D26">
        <w:tab/>
      </w:r>
      <w:r w:rsidR="005A0189" w:rsidRPr="00310D26">
        <w:t>examinar la</w:t>
      </w:r>
      <w:r w:rsidRPr="00310D26">
        <w:t xml:space="preserve"> “</w:t>
      </w:r>
      <w:r w:rsidR="005A0189" w:rsidRPr="00310D26">
        <w:t>Orientación acerca del sistema de códigos de la UPOV</w:t>
      </w:r>
      <w:r w:rsidRPr="00310D26">
        <w:t xml:space="preserve">”, </w:t>
      </w:r>
      <w:r w:rsidR="00743F9C" w:rsidRPr="00310D26">
        <w:t>sobre la base del documento</w:t>
      </w:r>
      <w:r w:rsidRPr="00310D26">
        <w:t xml:space="preserve"> UPOV/</w:t>
      </w:r>
      <w:proofErr w:type="spellStart"/>
      <w:r w:rsidRPr="00310D26">
        <w:t>INF</w:t>
      </w:r>
      <w:proofErr w:type="spellEnd"/>
      <w:r w:rsidRPr="00310D26">
        <w:t xml:space="preserve">/23/1 </w:t>
      </w:r>
      <w:proofErr w:type="spellStart"/>
      <w:r w:rsidRPr="00310D26">
        <w:t>Draft</w:t>
      </w:r>
      <w:proofErr w:type="spellEnd"/>
      <w:r w:rsidRPr="00310D26">
        <w:t xml:space="preserve"> 1; </w:t>
      </w:r>
    </w:p>
    <w:p w14:paraId="6FCE7E40" w14:textId="50CB4BC1" w:rsidR="00955AD5" w:rsidRPr="00310D26" w:rsidRDefault="00955AD5" w:rsidP="0088719D">
      <w:pPr>
        <w:tabs>
          <w:tab w:val="left" w:pos="567"/>
          <w:tab w:val="left" w:pos="1134"/>
          <w:tab w:val="left" w:pos="5387"/>
        </w:tabs>
        <w:spacing w:after="60"/>
      </w:pPr>
      <w:r w:rsidRPr="00310D26">
        <w:rPr>
          <w:spacing w:val="-2"/>
        </w:rPr>
        <w:tab/>
        <w:t>r)</w:t>
      </w:r>
      <w:r w:rsidRPr="00310D26">
        <w:rPr>
          <w:spacing w:val="-2"/>
        </w:rPr>
        <w:tab/>
      </w:r>
      <w:r w:rsidR="005A0189" w:rsidRPr="00310D26">
        <w:rPr>
          <w:rFonts w:eastAsia="MS Mincho"/>
          <w:snapToGrid w:val="0"/>
          <w:lang w:eastAsia="ja-JP"/>
        </w:rPr>
        <w:t>proponer que el</w:t>
      </w:r>
      <w:r w:rsidRPr="00310D26">
        <w:t xml:space="preserve"> TC </w:t>
      </w:r>
      <w:r w:rsidR="005A0189" w:rsidRPr="00310D26">
        <w:rPr>
          <w:lang w:eastAsia="ja-JP"/>
        </w:rPr>
        <w:t>examine un nuevo proyecto de documento</w:t>
      </w:r>
      <w:r w:rsidRPr="00310D26">
        <w:rPr>
          <w:lang w:eastAsia="ja-JP"/>
        </w:rPr>
        <w:t xml:space="preserve"> </w:t>
      </w:r>
      <w:r w:rsidRPr="00310D26">
        <w:rPr>
          <w:rFonts w:eastAsia="MS Mincho"/>
          <w:snapToGrid w:val="0"/>
          <w:lang w:eastAsia="ja-JP"/>
        </w:rPr>
        <w:t>UPOV/INF/23/1</w:t>
      </w:r>
      <w:r w:rsidR="00E228E2" w:rsidRPr="00310D26">
        <w:rPr>
          <w:rFonts w:eastAsia="MS Mincho"/>
          <w:snapToGrid w:val="0"/>
          <w:lang w:eastAsia="ja-JP"/>
        </w:rPr>
        <w:t xml:space="preserve">: </w:t>
      </w:r>
      <w:r w:rsidRPr="00310D26">
        <w:rPr>
          <w:rFonts w:eastAsia="MS Mincho"/>
          <w:snapToGrid w:val="0"/>
          <w:lang w:eastAsia="ja-JP"/>
        </w:rPr>
        <w:t>“</w:t>
      </w:r>
      <w:r w:rsidR="005A0189" w:rsidRPr="00310D26">
        <w:rPr>
          <w:rFonts w:eastAsia="MS Mincho"/>
          <w:snapToGrid w:val="0"/>
          <w:lang w:eastAsia="ja-JP"/>
        </w:rPr>
        <w:t>Orientación acerca del sistema de códigos de la UPOV</w:t>
      </w:r>
      <w:r w:rsidRPr="00310D26">
        <w:rPr>
          <w:rFonts w:eastAsia="MS Mincho"/>
          <w:snapToGrid w:val="0"/>
          <w:lang w:eastAsia="ja-JP"/>
        </w:rPr>
        <w:t xml:space="preserve">” </w:t>
      </w:r>
      <w:r w:rsidR="00E228E2" w:rsidRPr="00310D26">
        <w:t>e</w:t>
      </w:r>
      <w:r w:rsidRPr="00310D26">
        <w:t>n 2021</w:t>
      </w:r>
      <w:r w:rsidRPr="00310D26">
        <w:rPr>
          <w:spacing w:val="-2"/>
        </w:rPr>
        <w:t>;</w:t>
      </w:r>
    </w:p>
    <w:p w14:paraId="5FCE5762" w14:textId="36B15EB7" w:rsidR="00955AD5" w:rsidRPr="00310D26" w:rsidRDefault="00955AD5" w:rsidP="0088719D">
      <w:pPr>
        <w:tabs>
          <w:tab w:val="left" w:pos="567"/>
          <w:tab w:val="left" w:pos="1134"/>
          <w:tab w:val="left" w:pos="5387"/>
        </w:tabs>
        <w:spacing w:after="60"/>
      </w:pPr>
      <w:r w:rsidRPr="00310D26">
        <w:tab/>
        <w:t>s)</w:t>
      </w:r>
      <w:r w:rsidRPr="00310D26">
        <w:tab/>
      </w:r>
      <w:r w:rsidR="007D1ED3" w:rsidRPr="00310D26">
        <w:t>examinar las propuestas de revisión de los documentos</w:t>
      </w:r>
      <w:r w:rsidRPr="00310D26">
        <w:t xml:space="preserve"> UPOV/</w:t>
      </w:r>
      <w:proofErr w:type="spellStart"/>
      <w:r w:rsidRPr="00310D26">
        <w:t>INF</w:t>
      </w:r>
      <w:proofErr w:type="spellEnd"/>
      <w:r w:rsidRPr="00310D26">
        <w:t xml:space="preserve">/6 </w:t>
      </w:r>
      <w:r w:rsidR="007D1ED3" w:rsidRPr="00310D26">
        <w:t>y</w:t>
      </w:r>
      <w:r w:rsidRPr="00310D26">
        <w:t xml:space="preserve"> </w:t>
      </w:r>
      <w:proofErr w:type="spellStart"/>
      <w:r w:rsidR="00E228E2" w:rsidRPr="00310D26">
        <w:t>TGP</w:t>
      </w:r>
      <w:proofErr w:type="spellEnd"/>
      <w:r w:rsidR="00E228E2" w:rsidRPr="00310D26">
        <w:t xml:space="preserve">/5 </w:t>
      </w:r>
      <w:proofErr w:type="spellStart"/>
      <w:r w:rsidR="00E228E2" w:rsidRPr="00310D26">
        <w:t>Section</w:t>
      </w:r>
      <w:proofErr w:type="spellEnd"/>
      <w:r w:rsidR="00E228E2" w:rsidRPr="00310D26">
        <w:t xml:space="preserve"> 2</w:t>
      </w:r>
      <w:r w:rsidR="007D1ED3" w:rsidRPr="00310D26">
        <w:t xml:space="preserve">, </w:t>
      </w:r>
      <w:r w:rsidR="005A0189" w:rsidRPr="00310D26">
        <w:t>según se propone</w:t>
      </w:r>
      <w:r w:rsidR="007D1ED3" w:rsidRPr="00310D26">
        <w:t xml:space="preserve"> en los párrafos </w:t>
      </w:r>
      <w:r w:rsidRPr="00310D26">
        <w:t xml:space="preserve">58 </w:t>
      </w:r>
      <w:r w:rsidR="007D1ED3" w:rsidRPr="00310D26">
        <w:t>y</w:t>
      </w:r>
      <w:r w:rsidRPr="00310D26">
        <w:t xml:space="preserve"> 59 </w:t>
      </w:r>
      <w:r w:rsidR="007D1ED3" w:rsidRPr="00310D26">
        <w:t>del presente documento</w:t>
      </w:r>
      <w:r w:rsidRPr="00310D26">
        <w:t>,</w:t>
      </w:r>
      <w:r w:rsidR="007D1ED3" w:rsidRPr="00310D26">
        <w:t xml:space="preserve"> para </w:t>
      </w:r>
      <w:r w:rsidR="00AF64E4">
        <w:t>someterlos a la aprobación del</w:t>
      </w:r>
      <w:r w:rsidR="007D1ED3" w:rsidRPr="00310D26">
        <w:t xml:space="preserve"> Consejo en su sesión de</w:t>
      </w:r>
      <w:r w:rsidRPr="00310D26">
        <w:t xml:space="preserve"> 2021;</w:t>
      </w:r>
    </w:p>
    <w:p w14:paraId="09FB353A" w14:textId="22BE06AF" w:rsidR="00955AD5" w:rsidRPr="00310D26" w:rsidRDefault="00955AD5" w:rsidP="0088719D">
      <w:pPr>
        <w:tabs>
          <w:tab w:val="left" w:pos="567"/>
          <w:tab w:val="left" w:pos="1134"/>
          <w:tab w:val="left" w:pos="5387"/>
        </w:tabs>
        <w:spacing w:after="60"/>
      </w:pPr>
      <w:r w:rsidRPr="00310D26">
        <w:tab/>
        <w:t>t)</w:t>
      </w:r>
      <w:r w:rsidRPr="00310D26">
        <w:tab/>
      </w:r>
      <w:r w:rsidR="00390D7A" w:rsidRPr="00310D26">
        <w:t xml:space="preserve">tomar nota de que las cuestiones relativas a las variedades esencialmente derivadas se examinan en el documento </w:t>
      </w:r>
      <w:r w:rsidRPr="00310D26">
        <w:t>CAJ/77/4;</w:t>
      </w:r>
    </w:p>
    <w:p w14:paraId="0535B7C2" w14:textId="16CEABD0" w:rsidR="00955AD5" w:rsidRPr="00310D26" w:rsidRDefault="00955AD5" w:rsidP="0088719D">
      <w:pPr>
        <w:tabs>
          <w:tab w:val="left" w:pos="567"/>
          <w:tab w:val="left" w:pos="1134"/>
          <w:tab w:val="left" w:pos="5387"/>
        </w:tabs>
        <w:spacing w:after="60"/>
      </w:pPr>
      <w:r w:rsidRPr="00310D26">
        <w:tab/>
        <w:t>u)</w:t>
      </w:r>
      <w:r w:rsidRPr="00310D26">
        <w:tab/>
      </w:r>
      <w:r w:rsidR="000C1EC4" w:rsidRPr="00310D26">
        <w:t xml:space="preserve">tomar nota de que las cuestiones relativas al producto de la cosecha se examinan en el documento </w:t>
      </w:r>
      <w:r w:rsidR="00AE012C" w:rsidRPr="00310D26">
        <w:t>CAJ/77/5</w:t>
      </w:r>
      <w:r w:rsidRPr="00310D26">
        <w:t>;</w:t>
      </w:r>
    </w:p>
    <w:p w14:paraId="78D73E1A" w14:textId="4EB07097" w:rsidR="00955AD5" w:rsidRPr="00310D26" w:rsidRDefault="00955AD5" w:rsidP="0088719D">
      <w:pPr>
        <w:tabs>
          <w:tab w:val="left" w:pos="567"/>
          <w:tab w:val="left" w:pos="1134"/>
          <w:tab w:val="left" w:pos="5387"/>
        </w:tabs>
        <w:spacing w:after="60"/>
      </w:pPr>
      <w:r w:rsidRPr="00310D26">
        <w:tab/>
        <w:t>v)</w:t>
      </w:r>
      <w:r w:rsidRPr="00310D26">
        <w:tab/>
      </w:r>
      <w:r w:rsidR="000C1EC4" w:rsidRPr="00310D26">
        <w:t>tomar nota de que las cuestiones relativas a la novedad de las líneas parentales en relación con la explotación de la variedad híbrida se examinan en el documento</w:t>
      </w:r>
      <w:r w:rsidRPr="00310D26">
        <w:t xml:space="preserve"> CAJ/77/6;</w:t>
      </w:r>
    </w:p>
    <w:p w14:paraId="74766739" w14:textId="2F49BC4D" w:rsidR="00955AD5" w:rsidRPr="00310D26" w:rsidRDefault="00955AD5" w:rsidP="0088719D">
      <w:pPr>
        <w:shd w:val="clear" w:color="auto" w:fill="FFFFFF" w:themeFill="background1"/>
        <w:tabs>
          <w:tab w:val="left" w:pos="567"/>
          <w:tab w:val="left" w:pos="1134"/>
          <w:tab w:val="left" w:pos="5387"/>
        </w:tabs>
        <w:spacing w:after="60"/>
      </w:pPr>
      <w:r w:rsidRPr="00310D26">
        <w:tab/>
        <w:t>w)</w:t>
      </w:r>
      <w:r w:rsidRPr="00310D26">
        <w:tab/>
      </w:r>
      <w:r w:rsidR="000C1EC4" w:rsidRPr="00310D26">
        <w:t>examinar el programa para la elaboración de material de información</w:t>
      </w:r>
      <w:r w:rsidR="00501472" w:rsidRPr="00310D26">
        <w:t xml:space="preserve"> que se propone</w:t>
      </w:r>
      <w:r w:rsidR="00785C76">
        <w:t xml:space="preserve"> en el Anexo </w:t>
      </w:r>
      <w:r w:rsidRPr="00310D26">
        <w:t>VI</w:t>
      </w:r>
      <w:r w:rsidR="000C1EC4" w:rsidRPr="00310D26">
        <w:t xml:space="preserve"> del presente documento</w:t>
      </w:r>
      <w:r w:rsidRPr="00310D26">
        <w:t xml:space="preserve">, </w:t>
      </w:r>
      <w:r w:rsidR="00501472" w:rsidRPr="00310D26">
        <w:rPr>
          <w:rFonts w:cs="Arial"/>
          <w:color w:val="000000"/>
          <w:shd w:val="clear" w:color="auto" w:fill="FFFFFF" w:themeFill="background1"/>
        </w:rPr>
        <w:t>teniendo en cuenta las</w:t>
      </w:r>
      <w:r w:rsidR="005A0189" w:rsidRPr="00310D26">
        <w:rPr>
          <w:rFonts w:cs="Arial"/>
          <w:color w:val="000000"/>
          <w:shd w:val="clear" w:color="auto" w:fill="FFFFFF" w:themeFill="background1"/>
        </w:rPr>
        <w:t xml:space="preserve"> conclusiones </w:t>
      </w:r>
      <w:r w:rsidR="00AF64E4">
        <w:t>a las que se haya llegado</w:t>
      </w:r>
      <w:r w:rsidR="005A0189" w:rsidRPr="00310D26">
        <w:t xml:space="preserve"> </w:t>
      </w:r>
      <w:r w:rsidR="005A0189" w:rsidRPr="00310D26">
        <w:rPr>
          <w:rFonts w:cs="Arial"/>
          <w:color w:val="000000"/>
          <w:shd w:val="clear" w:color="auto" w:fill="FFFFFF" w:themeFill="background1"/>
        </w:rPr>
        <w:t>en relación con los asuntos planteados más arriba</w:t>
      </w:r>
      <w:r w:rsidRPr="00310D26">
        <w:t xml:space="preserve">; </w:t>
      </w:r>
      <w:r w:rsidR="005A0189" w:rsidRPr="00310D26">
        <w:t>y</w:t>
      </w:r>
    </w:p>
    <w:p w14:paraId="7D62F89A" w14:textId="536B2708" w:rsidR="00955AD5" w:rsidRPr="00310D26" w:rsidRDefault="00955AD5" w:rsidP="0088719D">
      <w:pPr>
        <w:shd w:val="clear" w:color="auto" w:fill="FFFFFF" w:themeFill="background1"/>
        <w:tabs>
          <w:tab w:val="left" w:pos="567"/>
          <w:tab w:val="left" w:pos="1134"/>
          <w:tab w:val="left" w:pos="5387"/>
        </w:tabs>
        <w:spacing w:after="60"/>
      </w:pPr>
      <w:r w:rsidRPr="00310D26">
        <w:tab/>
        <w:t>x)</w:t>
      </w:r>
      <w:r w:rsidRPr="00310D26">
        <w:tab/>
      </w:r>
      <w:r w:rsidR="00390D7A" w:rsidRPr="00310D26">
        <w:t xml:space="preserve">examinar el programa para </w:t>
      </w:r>
      <w:r w:rsidR="00390D7A" w:rsidRPr="00310D26">
        <w:rPr>
          <w:shd w:val="clear" w:color="auto" w:fill="FFFFFF" w:themeFill="background1"/>
        </w:rPr>
        <w:t xml:space="preserve">la </w:t>
      </w:r>
      <w:r w:rsidR="00501472" w:rsidRPr="00310D26">
        <w:rPr>
          <w:rFonts w:cs="Arial"/>
          <w:color w:val="000000"/>
          <w:shd w:val="clear" w:color="auto" w:fill="FFFFFF" w:themeFill="background1"/>
        </w:rPr>
        <w:t>elaboración de los documentos TGP </w:t>
      </w:r>
      <w:r w:rsidR="005A0189" w:rsidRPr="00310D26">
        <w:t>que figura</w:t>
      </w:r>
      <w:r w:rsidR="005A0189" w:rsidRPr="00310D26">
        <w:rPr>
          <w:rFonts w:cs="Arial"/>
          <w:color w:val="000000"/>
          <w:shd w:val="clear" w:color="auto" w:fill="FFFFFF" w:themeFill="background1"/>
        </w:rPr>
        <w:t xml:space="preserve"> en el Anexo</w:t>
      </w:r>
      <w:r w:rsidR="005A0189" w:rsidRPr="00310D26">
        <w:rPr>
          <w:shd w:val="clear" w:color="auto" w:fill="FFFFFF" w:themeFill="background1"/>
        </w:rPr>
        <w:t xml:space="preserve"> </w:t>
      </w:r>
      <w:r w:rsidRPr="00310D26">
        <w:t xml:space="preserve">VII </w:t>
      </w:r>
      <w:r w:rsidR="005A0189" w:rsidRPr="00310D26">
        <w:t>del presente documento,</w:t>
      </w:r>
      <w:r w:rsidR="005A0189" w:rsidRPr="00310D26">
        <w:rPr>
          <w:rFonts w:cs="Arial"/>
          <w:color w:val="000000"/>
          <w:shd w:val="clear" w:color="auto" w:fill="FFFFFF" w:themeFill="background1"/>
        </w:rPr>
        <w:t xml:space="preserve"> teniendo en cuenta las conclusiones</w:t>
      </w:r>
      <w:r w:rsidR="005A0189" w:rsidRPr="00310D26">
        <w:t xml:space="preserve"> del </w:t>
      </w:r>
      <w:r w:rsidRPr="00310D26">
        <w:t>TC.</w:t>
      </w:r>
    </w:p>
    <w:p w14:paraId="58E838BC" w14:textId="77777777" w:rsidR="00955AD5" w:rsidRPr="008005DC" w:rsidRDefault="00955AD5" w:rsidP="00955AD5">
      <w:pPr>
        <w:tabs>
          <w:tab w:val="left" w:pos="567"/>
          <w:tab w:val="left" w:pos="1134"/>
          <w:tab w:val="left" w:pos="5387"/>
        </w:tabs>
        <w:rPr>
          <w:sz w:val="16"/>
          <w:highlight w:val="yellow"/>
        </w:rPr>
      </w:pPr>
    </w:p>
    <w:p w14:paraId="5FD569D3" w14:textId="3876EB6E" w:rsidR="00955AD5" w:rsidRPr="00310D26" w:rsidRDefault="00955AD5" w:rsidP="008005DC">
      <w:pPr>
        <w:spacing w:after="120"/>
        <w:rPr>
          <w:rFonts w:cs="Arial"/>
        </w:rPr>
      </w:pPr>
      <w:r w:rsidRPr="00310D26">
        <w:rPr>
          <w:rFonts w:cs="Arial"/>
        </w:rPr>
        <w:fldChar w:fldCharType="begin"/>
      </w:r>
      <w:r w:rsidRPr="00310D26">
        <w:rPr>
          <w:rFonts w:cs="Arial"/>
        </w:rPr>
        <w:instrText xml:space="preserve"> AUTONUM  </w:instrText>
      </w:r>
      <w:r w:rsidRPr="00310D26">
        <w:rPr>
          <w:rFonts w:cs="Arial"/>
        </w:rPr>
        <w:fldChar w:fldCharType="end"/>
      </w:r>
      <w:r w:rsidRPr="00310D26">
        <w:rPr>
          <w:rFonts w:cs="Arial"/>
        </w:rPr>
        <w:tab/>
      </w:r>
      <w:r w:rsidR="005A0189" w:rsidRPr="00310D26">
        <w:t>El presente documento se estructura del modo siguiente:</w:t>
      </w:r>
    </w:p>
    <w:p w14:paraId="178B1231" w14:textId="327AAA6D" w:rsidR="00AE4A1D" w:rsidRDefault="00955AD5" w:rsidP="004F2167">
      <w:pPr>
        <w:pStyle w:val="TOC1"/>
        <w:rPr>
          <w:rFonts w:asciiTheme="minorHAnsi" w:eastAsiaTheme="minorEastAsia" w:hAnsiTheme="minorHAnsi" w:cstheme="minorBidi"/>
          <w:sz w:val="22"/>
          <w:szCs w:val="22"/>
        </w:rPr>
      </w:pPr>
      <w:r w:rsidRPr="00310D26">
        <w:rPr>
          <w:rFonts w:cs="Arial"/>
          <w:bCs/>
          <w:noProof w:val="0"/>
          <w:snapToGrid w:val="0"/>
          <w:highlight w:val="yellow"/>
          <w:lang w:val="es-ES"/>
        </w:rPr>
        <w:fldChar w:fldCharType="begin"/>
      </w:r>
      <w:r w:rsidRPr="00310D26">
        <w:rPr>
          <w:rFonts w:cs="Arial"/>
          <w:bCs/>
          <w:noProof w:val="0"/>
          <w:snapToGrid w:val="0"/>
          <w:highlight w:val="yellow"/>
          <w:lang w:val="es-ES"/>
        </w:rPr>
        <w:instrText xml:space="preserve"> TOC \o "1-4" \h \z \u </w:instrText>
      </w:r>
      <w:r w:rsidRPr="00310D26">
        <w:rPr>
          <w:rFonts w:cs="Arial"/>
          <w:bCs/>
          <w:noProof w:val="0"/>
          <w:snapToGrid w:val="0"/>
          <w:highlight w:val="yellow"/>
          <w:lang w:val="es-ES"/>
        </w:rPr>
        <w:fldChar w:fldCharType="separate"/>
      </w:r>
      <w:hyperlink w:anchor="_Toc52802606" w:history="1">
        <w:r w:rsidR="00AE4A1D" w:rsidRPr="00B223C0">
          <w:rPr>
            <w:rStyle w:val="Hyperlink"/>
            <w:snapToGrid w:val="0"/>
            <w:lang w:val="es-ES"/>
          </w:rPr>
          <w:t>RESUMEN</w:t>
        </w:r>
        <w:r w:rsidR="00AE4A1D">
          <w:rPr>
            <w:webHidden/>
          </w:rPr>
          <w:tab/>
        </w:r>
        <w:r w:rsidR="00AE4A1D">
          <w:rPr>
            <w:webHidden/>
          </w:rPr>
          <w:fldChar w:fldCharType="begin"/>
        </w:r>
        <w:r w:rsidR="00AE4A1D">
          <w:rPr>
            <w:webHidden/>
          </w:rPr>
          <w:instrText xml:space="preserve"> PAGEREF _Toc52802606 \h </w:instrText>
        </w:r>
        <w:r w:rsidR="00AE4A1D">
          <w:rPr>
            <w:webHidden/>
          </w:rPr>
        </w:r>
        <w:r w:rsidR="00AE4A1D">
          <w:rPr>
            <w:webHidden/>
          </w:rPr>
          <w:fldChar w:fldCharType="separate"/>
        </w:r>
        <w:r w:rsidR="00024BFE">
          <w:rPr>
            <w:webHidden/>
          </w:rPr>
          <w:t>1</w:t>
        </w:r>
        <w:r w:rsidR="00AE4A1D">
          <w:rPr>
            <w:webHidden/>
          </w:rPr>
          <w:fldChar w:fldCharType="end"/>
        </w:r>
      </w:hyperlink>
    </w:p>
    <w:p w14:paraId="4D4596C6" w14:textId="4E360D61" w:rsidR="00AE4A1D" w:rsidRDefault="004F2167" w:rsidP="004F2167">
      <w:pPr>
        <w:pStyle w:val="TOC1"/>
        <w:rPr>
          <w:rFonts w:asciiTheme="minorHAnsi" w:eastAsiaTheme="minorEastAsia" w:hAnsiTheme="minorHAnsi" w:cstheme="minorBidi"/>
          <w:sz w:val="22"/>
          <w:szCs w:val="22"/>
        </w:rPr>
      </w:pPr>
      <w:hyperlink w:anchor="_Toc52802607" w:history="1">
        <w:r w:rsidR="00AE4A1D" w:rsidRPr="00B223C0">
          <w:rPr>
            <w:rStyle w:val="Hyperlink"/>
            <w:snapToGrid w:val="0"/>
            <w:lang w:val="es-419"/>
          </w:rPr>
          <w:t>ANTECEDENTES</w:t>
        </w:r>
        <w:r w:rsidR="00AE4A1D">
          <w:rPr>
            <w:webHidden/>
          </w:rPr>
          <w:tab/>
        </w:r>
        <w:r w:rsidR="00AE4A1D">
          <w:rPr>
            <w:webHidden/>
          </w:rPr>
          <w:fldChar w:fldCharType="begin"/>
        </w:r>
        <w:r w:rsidR="00AE4A1D">
          <w:rPr>
            <w:webHidden/>
          </w:rPr>
          <w:instrText xml:space="preserve"> PAGEREF _Toc52802607 \h </w:instrText>
        </w:r>
        <w:r w:rsidR="00AE4A1D">
          <w:rPr>
            <w:webHidden/>
          </w:rPr>
        </w:r>
        <w:r w:rsidR="00AE4A1D">
          <w:rPr>
            <w:webHidden/>
          </w:rPr>
          <w:fldChar w:fldCharType="separate"/>
        </w:r>
        <w:r w:rsidR="00024BFE">
          <w:rPr>
            <w:webHidden/>
          </w:rPr>
          <w:t>3</w:t>
        </w:r>
        <w:r w:rsidR="00AE4A1D">
          <w:rPr>
            <w:webHidden/>
          </w:rPr>
          <w:fldChar w:fldCharType="end"/>
        </w:r>
      </w:hyperlink>
    </w:p>
    <w:p w14:paraId="01B613E2" w14:textId="0B05572E" w:rsidR="00AE4A1D" w:rsidRDefault="004F2167" w:rsidP="004F2167">
      <w:pPr>
        <w:pStyle w:val="TOC1"/>
        <w:rPr>
          <w:rFonts w:asciiTheme="minorHAnsi" w:eastAsiaTheme="minorEastAsia" w:hAnsiTheme="minorHAnsi" w:cstheme="minorBidi"/>
          <w:sz w:val="22"/>
          <w:szCs w:val="22"/>
        </w:rPr>
      </w:pPr>
      <w:hyperlink w:anchor="_Toc52802608" w:history="1">
        <w:r w:rsidR="00AE4A1D" w:rsidRPr="00B223C0">
          <w:rPr>
            <w:rStyle w:val="Hyperlink"/>
            <w:snapToGrid w:val="0"/>
            <w:lang w:val="es-419"/>
          </w:rPr>
          <w:t>CUESTIONES que se proponen para su APROBACIÓN POR EL CONSEJO EN 2020</w:t>
        </w:r>
        <w:r w:rsidR="00AE4A1D">
          <w:rPr>
            <w:webHidden/>
          </w:rPr>
          <w:tab/>
        </w:r>
        <w:r w:rsidR="00AE4A1D">
          <w:rPr>
            <w:webHidden/>
          </w:rPr>
          <w:fldChar w:fldCharType="begin"/>
        </w:r>
        <w:r w:rsidR="00AE4A1D">
          <w:rPr>
            <w:webHidden/>
          </w:rPr>
          <w:instrText xml:space="preserve"> PAGEREF _Toc52802608 \h </w:instrText>
        </w:r>
        <w:r w:rsidR="00AE4A1D">
          <w:rPr>
            <w:webHidden/>
          </w:rPr>
        </w:r>
        <w:r w:rsidR="00AE4A1D">
          <w:rPr>
            <w:webHidden/>
          </w:rPr>
          <w:fldChar w:fldCharType="separate"/>
        </w:r>
        <w:r w:rsidR="00024BFE">
          <w:rPr>
            <w:webHidden/>
          </w:rPr>
          <w:t>3</w:t>
        </w:r>
        <w:r w:rsidR="00AE4A1D">
          <w:rPr>
            <w:webHidden/>
          </w:rPr>
          <w:fldChar w:fldCharType="end"/>
        </w:r>
      </w:hyperlink>
    </w:p>
    <w:p w14:paraId="4125726F" w14:textId="5900E333" w:rsidR="00AE4A1D" w:rsidRDefault="004F2167" w:rsidP="004F2167">
      <w:pPr>
        <w:pStyle w:val="TOC2"/>
        <w:rPr>
          <w:rFonts w:asciiTheme="minorHAnsi" w:eastAsiaTheme="minorEastAsia" w:hAnsiTheme="minorHAnsi" w:cstheme="minorBidi"/>
          <w:sz w:val="22"/>
          <w:szCs w:val="22"/>
        </w:rPr>
      </w:pPr>
      <w:hyperlink w:anchor="_Toc52802609" w:history="1">
        <w:r w:rsidR="00AE4A1D" w:rsidRPr="00B223C0">
          <w:rPr>
            <w:rStyle w:val="Hyperlink"/>
          </w:rPr>
          <w:t>a)</w:t>
        </w:r>
        <w:r w:rsidR="00AE4A1D">
          <w:rPr>
            <w:rFonts w:asciiTheme="minorHAnsi" w:eastAsiaTheme="minorEastAsia" w:hAnsiTheme="minorHAnsi" w:cstheme="minorBidi"/>
            <w:sz w:val="22"/>
            <w:szCs w:val="22"/>
          </w:rPr>
          <w:tab/>
        </w:r>
        <w:r w:rsidR="00AE4A1D" w:rsidRPr="00B223C0">
          <w:rPr>
            <w:rStyle w:val="Hyperlink"/>
          </w:rPr>
          <w:t>Material de información</w:t>
        </w:r>
        <w:r w:rsidR="00AE4A1D">
          <w:rPr>
            <w:webHidden/>
          </w:rPr>
          <w:tab/>
        </w:r>
        <w:r w:rsidR="00AE4A1D">
          <w:rPr>
            <w:webHidden/>
          </w:rPr>
          <w:fldChar w:fldCharType="begin"/>
        </w:r>
        <w:r w:rsidR="00AE4A1D">
          <w:rPr>
            <w:webHidden/>
          </w:rPr>
          <w:instrText xml:space="preserve"> PAGEREF _Toc52802609 \h </w:instrText>
        </w:r>
        <w:r w:rsidR="00AE4A1D">
          <w:rPr>
            <w:webHidden/>
          </w:rPr>
        </w:r>
        <w:r w:rsidR="00AE4A1D">
          <w:rPr>
            <w:webHidden/>
          </w:rPr>
          <w:fldChar w:fldCharType="separate"/>
        </w:r>
        <w:r w:rsidR="00024BFE">
          <w:rPr>
            <w:webHidden/>
          </w:rPr>
          <w:t>3</w:t>
        </w:r>
        <w:r w:rsidR="00AE4A1D">
          <w:rPr>
            <w:webHidden/>
          </w:rPr>
          <w:fldChar w:fldCharType="end"/>
        </w:r>
      </w:hyperlink>
    </w:p>
    <w:p w14:paraId="54A3E20B" w14:textId="618CF433" w:rsidR="00AE4A1D" w:rsidRDefault="004F2167" w:rsidP="004F2167">
      <w:pPr>
        <w:pStyle w:val="TOC3"/>
        <w:rPr>
          <w:rFonts w:asciiTheme="minorHAnsi" w:eastAsiaTheme="minorEastAsia" w:hAnsiTheme="minorHAnsi" w:cstheme="minorBidi"/>
          <w:noProof/>
          <w:sz w:val="22"/>
          <w:szCs w:val="22"/>
          <w:lang w:val="en-US"/>
        </w:rPr>
      </w:pPr>
      <w:hyperlink w:anchor="_Toc52802610" w:history="1">
        <w:r w:rsidR="00AE4A1D" w:rsidRPr="00B223C0">
          <w:rPr>
            <w:rStyle w:val="Hyperlink"/>
            <w:noProof/>
          </w:rPr>
          <w:t>Revisión del documento UPOV/INF/16 “Programas informáticos para intercambio”  (documento  UPOV/INF/16/9 Draft </w:t>
        </w:r>
        <w:r w:rsidR="00AE4A1D" w:rsidRPr="00B223C0">
          <w:rPr>
            <w:rStyle w:val="Hyperlink"/>
            <w:strike/>
            <w:noProof/>
            <w:highlight w:val="yellow"/>
          </w:rPr>
          <w:t>1</w:t>
        </w:r>
        <w:r w:rsidR="00AE4A1D" w:rsidRPr="00B223C0">
          <w:rPr>
            <w:rStyle w:val="Hyperlink"/>
            <w:bCs/>
            <w:noProof/>
            <w:snapToGrid w:val="0"/>
            <w:highlight w:val="yellow"/>
          </w:rPr>
          <w:t>2</w:t>
        </w:r>
        <w:r w:rsidR="00AE4A1D" w:rsidRPr="00B223C0">
          <w:rPr>
            <w:rStyle w:val="Hyperlink"/>
            <w:noProof/>
          </w:rPr>
          <w:t>)</w:t>
        </w:r>
        <w:r w:rsidR="00AE4A1D">
          <w:rPr>
            <w:noProof/>
            <w:webHidden/>
          </w:rPr>
          <w:tab/>
        </w:r>
        <w:r w:rsidR="00AE4A1D">
          <w:rPr>
            <w:noProof/>
            <w:webHidden/>
          </w:rPr>
          <w:fldChar w:fldCharType="begin"/>
        </w:r>
        <w:r w:rsidR="00AE4A1D">
          <w:rPr>
            <w:noProof/>
            <w:webHidden/>
          </w:rPr>
          <w:instrText xml:space="preserve"> PAGEREF _Toc52802610 \h </w:instrText>
        </w:r>
        <w:r w:rsidR="00AE4A1D">
          <w:rPr>
            <w:noProof/>
            <w:webHidden/>
          </w:rPr>
        </w:r>
        <w:r w:rsidR="00AE4A1D">
          <w:rPr>
            <w:noProof/>
            <w:webHidden/>
          </w:rPr>
          <w:fldChar w:fldCharType="separate"/>
        </w:r>
        <w:r w:rsidR="00024BFE">
          <w:rPr>
            <w:noProof/>
            <w:webHidden/>
          </w:rPr>
          <w:t>3</w:t>
        </w:r>
        <w:r w:rsidR="00AE4A1D">
          <w:rPr>
            <w:noProof/>
            <w:webHidden/>
          </w:rPr>
          <w:fldChar w:fldCharType="end"/>
        </w:r>
      </w:hyperlink>
    </w:p>
    <w:p w14:paraId="2E23A90C" w14:textId="3299E498" w:rsidR="00AE4A1D" w:rsidRDefault="004F2167">
      <w:pPr>
        <w:pStyle w:val="TOC4"/>
        <w:rPr>
          <w:rFonts w:asciiTheme="minorHAnsi" w:eastAsiaTheme="minorEastAsia" w:hAnsiTheme="minorHAnsi" w:cstheme="minorBidi"/>
          <w:noProof/>
          <w:sz w:val="22"/>
          <w:szCs w:val="22"/>
          <w:lang w:val="en-US"/>
        </w:rPr>
      </w:pPr>
      <w:hyperlink w:anchor="_Toc52802611" w:history="1">
        <w:r w:rsidR="00AE4A1D" w:rsidRPr="00B223C0">
          <w:rPr>
            <w:rStyle w:val="Hyperlink"/>
            <w:noProof/>
            <w:lang w:eastAsia="ja-JP"/>
          </w:rPr>
          <w:t>Inclusión de un nuevo programa en el documento UPOV/INF/16</w:t>
        </w:r>
        <w:r w:rsidR="00AE4A1D">
          <w:rPr>
            <w:noProof/>
            <w:webHidden/>
          </w:rPr>
          <w:tab/>
        </w:r>
        <w:r w:rsidR="00AE4A1D">
          <w:rPr>
            <w:noProof/>
            <w:webHidden/>
          </w:rPr>
          <w:fldChar w:fldCharType="begin"/>
        </w:r>
        <w:r w:rsidR="00AE4A1D">
          <w:rPr>
            <w:noProof/>
            <w:webHidden/>
          </w:rPr>
          <w:instrText xml:space="preserve"> PAGEREF _Toc52802611 \h </w:instrText>
        </w:r>
        <w:r w:rsidR="00AE4A1D">
          <w:rPr>
            <w:noProof/>
            <w:webHidden/>
          </w:rPr>
        </w:r>
        <w:r w:rsidR="00AE4A1D">
          <w:rPr>
            <w:noProof/>
            <w:webHidden/>
          </w:rPr>
          <w:fldChar w:fldCharType="separate"/>
        </w:r>
        <w:r w:rsidR="00024BFE">
          <w:rPr>
            <w:noProof/>
            <w:webHidden/>
          </w:rPr>
          <w:t>3</w:t>
        </w:r>
        <w:r w:rsidR="00AE4A1D">
          <w:rPr>
            <w:noProof/>
            <w:webHidden/>
          </w:rPr>
          <w:fldChar w:fldCharType="end"/>
        </w:r>
      </w:hyperlink>
    </w:p>
    <w:p w14:paraId="2918FE2A" w14:textId="33652543" w:rsidR="00AE4A1D" w:rsidRDefault="004F2167">
      <w:pPr>
        <w:pStyle w:val="TOC4"/>
        <w:rPr>
          <w:rFonts w:asciiTheme="minorHAnsi" w:eastAsiaTheme="minorEastAsia" w:hAnsiTheme="minorHAnsi" w:cstheme="minorBidi"/>
          <w:noProof/>
          <w:sz w:val="22"/>
          <w:szCs w:val="22"/>
          <w:lang w:val="en-US"/>
        </w:rPr>
      </w:pPr>
      <w:hyperlink w:anchor="_Toc52802612" w:history="1">
        <w:r w:rsidR="00AE4A1D" w:rsidRPr="00B223C0">
          <w:rPr>
            <w:rStyle w:val="Hyperlink"/>
            <w:noProof/>
          </w:rPr>
          <w:t>Invitación a proporcionar información sobre el uso de los programas incluidos en el documento UPOV/INF/16</w:t>
        </w:r>
        <w:r w:rsidR="00AE4A1D">
          <w:rPr>
            <w:noProof/>
            <w:webHidden/>
          </w:rPr>
          <w:tab/>
        </w:r>
        <w:r w:rsidR="00AE4A1D">
          <w:rPr>
            <w:noProof/>
            <w:webHidden/>
          </w:rPr>
          <w:fldChar w:fldCharType="begin"/>
        </w:r>
        <w:r w:rsidR="00AE4A1D">
          <w:rPr>
            <w:noProof/>
            <w:webHidden/>
          </w:rPr>
          <w:instrText xml:space="preserve"> PAGEREF _Toc52802612 \h </w:instrText>
        </w:r>
        <w:r w:rsidR="00AE4A1D">
          <w:rPr>
            <w:noProof/>
            <w:webHidden/>
          </w:rPr>
        </w:r>
        <w:r w:rsidR="00AE4A1D">
          <w:rPr>
            <w:noProof/>
            <w:webHidden/>
          </w:rPr>
          <w:fldChar w:fldCharType="separate"/>
        </w:r>
        <w:r w:rsidR="00024BFE">
          <w:rPr>
            <w:noProof/>
            <w:webHidden/>
          </w:rPr>
          <w:t>4</w:t>
        </w:r>
        <w:r w:rsidR="00AE4A1D">
          <w:rPr>
            <w:noProof/>
            <w:webHidden/>
          </w:rPr>
          <w:fldChar w:fldCharType="end"/>
        </w:r>
      </w:hyperlink>
    </w:p>
    <w:p w14:paraId="3EDB4BB4" w14:textId="7950DEE1" w:rsidR="00AE4A1D" w:rsidRDefault="004F2167" w:rsidP="004F2167">
      <w:pPr>
        <w:pStyle w:val="TOC3"/>
        <w:rPr>
          <w:rFonts w:asciiTheme="minorHAnsi" w:eastAsiaTheme="minorEastAsia" w:hAnsiTheme="minorHAnsi" w:cstheme="minorBidi"/>
          <w:noProof/>
          <w:sz w:val="22"/>
          <w:szCs w:val="22"/>
          <w:lang w:val="en-US"/>
        </w:rPr>
      </w:pPr>
      <w:hyperlink w:anchor="_Toc52802613" w:history="1">
        <w:r w:rsidR="00AE4A1D" w:rsidRPr="00B223C0">
          <w:rPr>
            <w:rStyle w:val="Hyperlink"/>
            <w:noProof/>
          </w:rPr>
          <w:t>Revisión del documento UPOV/INF/22: “Programas informáticos y equipos utilizados por los miembros de la Unión” (documento UPOV/INF/22/7 Draft 1)</w:t>
        </w:r>
        <w:r w:rsidR="00AE4A1D">
          <w:rPr>
            <w:noProof/>
            <w:webHidden/>
          </w:rPr>
          <w:tab/>
        </w:r>
        <w:r w:rsidR="00AE4A1D">
          <w:rPr>
            <w:noProof/>
            <w:webHidden/>
          </w:rPr>
          <w:fldChar w:fldCharType="begin"/>
        </w:r>
        <w:r w:rsidR="00AE4A1D">
          <w:rPr>
            <w:noProof/>
            <w:webHidden/>
          </w:rPr>
          <w:instrText xml:space="preserve"> PAGEREF _Toc52802613 \h </w:instrText>
        </w:r>
        <w:r w:rsidR="00AE4A1D">
          <w:rPr>
            <w:noProof/>
            <w:webHidden/>
          </w:rPr>
        </w:r>
        <w:r w:rsidR="00AE4A1D">
          <w:rPr>
            <w:noProof/>
            <w:webHidden/>
          </w:rPr>
          <w:fldChar w:fldCharType="separate"/>
        </w:r>
        <w:r w:rsidR="00024BFE">
          <w:rPr>
            <w:noProof/>
            <w:webHidden/>
          </w:rPr>
          <w:t>4</w:t>
        </w:r>
        <w:r w:rsidR="00AE4A1D">
          <w:rPr>
            <w:noProof/>
            <w:webHidden/>
          </w:rPr>
          <w:fldChar w:fldCharType="end"/>
        </w:r>
      </w:hyperlink>
    </w:p>
    <w:p w14:paraId="7DF405F0" w14:textId="01F9A9D1" w:rsidR="00AE4A1D" w:rsidRDefault="004F2167" w:rsidP="004F2167">
      <w:pPr>
        <w:pStyle w:val="TOC2"/>
        <w:rPr>
          <w:rFonts w:asciiTheme="minorHAnsi" w:eastAsiaTheme="minorEastAsia" w:hAnsiTheme="minorHAnsi" w:cstheme="minorBidi"/>
          <w:sz w:val="22"/>
          <w:szCs w:val="22"/>
        </w:rPr>
      </w:pPr>
      <w:hyperlink w:anchor="_Toc52802614" w:history="1">
        <w:r w:rsidR="00AE4A1D" w:rsidRPr="00B223C0">
          <w:rPr>
            <w:rStyle w:val="Hyperlink"/>
          </w:rPr>
          <w:t>b)</w:t>
        </w:r>
        <w:r w:rsidR="00AE4A1D">
          <w:rPr>
            <w:rFonts w:asciiTheme="minorHAnsi" w:eastAsiaTheme="minorEastAsia" w:hAnsiTheme="minorHAnsi" w:cstheme="minorBidi"/>
            <w:sz w:val="22"/>
            <w:szCs w:val="22"/>
          </w:rPr>
          <w:tab/>
        </w:r>
        <w:r w:rsidR="00AE4A1D" w:rsidRPr="00B223C0">
          <w:rPr>
            <w:rStyle w:val="Hyperlink"/>
          </w:rPr>
          <w:t>Notas explicativas</w:t>
        </w:r>
        <w:r w:rsidR="00AE4A1D">
          <w:rPr>
            <w:webHidden/>
          </w:rPr>
          <w:tab/>
        </w:r>
        <w:r w:rsidR="00AE4A1D">
          <w:rPr>
            <w:webHidden/>
          </w:rPr>
          <w:fldChar w:fldCharType="begin"/>
        </w:r>
        <w:r w:rsidR="00AE4A1D">
          <w:rPr>
            <w:webHidden/>
          </w:rPr>
          <w:instrText xml:space="preserve"> PAGEREF _Toc52802614 \h </w:instrText>
        </w:r>
        <w:r w:rsidR="00AE4A1D">
          <w:rPr>
            <w:webHidden/>
          </w:rPr>
        </w:r>
        <w:r w:rsidR="00AE4A1D">
          <w:rPr>
            <w:webHidden/>
          </w:rPr>
          <w:fldChar w:fldCharType="separate"/>
        </w:r>
        <w:r w:rsidR="00024BFE">
          <w:rPr>
            <w:webHidden/>
          </w:rPr>
          <w:t>5</w:t>
        </w:r>
        <w:r w:rsidR="00AE4A1D">
          <w:rPr>
            <w:webHidden/>
          </w:rPr>
          <w:fldChar w:fldCharType="end"/>
        </w:r>
      </w:hyperlink>
    </w:p>
    <w:p w14:paraId="1594C851" w14:textId="796ED9E8" w:rsidR="00AE4A1D" w:rsidRDefault="004F2167" w:rsidP="004F2167">
      <w:pPr>
        <w:pStyle w:val="TOC3"/>
        <w:rPr>
          <w:rFonts w:asciiTheme="minorHAnsi" w:eastAsiaTheme="minorEastAsia" w:hAnsiTheme="minorHAnsi" w:cstheme="minorBidi"/>
          <w:noProof/>
          <w:sz w:val="22"/>
          <w:szCs w:val="22"/>
          <w:lang w:val="en-US"/>
        </w:rPr>
      </w:pPr>
      <w:hyperlink w:anchor="_Toc52802615" w:history="1">
        <w:r w:rsidR="00AE4A1D" w:rsidRPr="00B223C0">
          <w:rPr>
            <w:rStyle w:val="Hyperlink"/>
            <w:noProof/>
          </w:rPr>
          <w:t xml:space="preserve">UPOV/EXN/DEN: Notas explicativas sobre las denominaciones de variedades con arreglo al Convenio de la UPOV (documento UPOV/EXN/DEN/1 Draft 4 </w:t>
        </w:r>
        <w:r w:rsidR="00AE4A1D" w:rsidRPr="00B223C0">
          <w:rPr>
            <w:rStyle w:val="Hyperlink"/>
            <w:noProof/>
            <w:shd w:val="clear" w:color="auto" w:fill="FFFF00"/>
          </w:rPr>
          <w:t>que será examinado en la sesión virtual del</w:t>
        </w:r>
        <w:r w:rsidR="00AE4A1D" w:rsidRPr="00B223C0">
          <w:rPr>
            <w:rStyle w:val="Hyperlink"/>
            <w:noProof/>
            <w:highlight w:val="yellow"/>
          </w:rPr>
          <w:t> CAJ)</w:t>
        </w:r>
        <w:r w:rsidR="00AE4A1D">
          <w:rPr>
            <w:noProof/>
            <w:webHidden/>
          </w:rPr>
          <w:tab/>
        </w:r>
        <w:r w:rsidR="00AE4A1D">
          <w:rPr>
            <w:noProof/>
            <w:webHidden/>
          </w:rPr>
          <w:fldChar w:fldCharType="begin"/>
        </w:r>
        <w:r w:rsidR="00AE4A1D">
          <w:rPr>
            <w:noProof/>
            <w:webHidden/>
          </w:rPr>
          <w:instrText xml:space="preserve"> PAGEREF _Toc52802615 \h </w:instrText>
        </w:r>
        <w:r w:rsidR="00AE4A1D">
          <w:rPr>
            <w:noProof/>
            <w:webHidden/>
          </w:rPr>
        </w:r>
        <w:r w:rsidR="00AE4A1D">
          <w:rPr>
            <w:noProof/>
            <w:webHidden/>
          </w:rPr>
          <w:fldChar w:fldCharType="separate"/>
        </w:r>
        <w:r w:rsidR="00024BFE">
          <w:rPr>
            <w:noProof/>
            <w:webHidden/>
          </w:rPr>
          <w:t>5</w:t>
        </w:r>
        <w:r w:rsidR="00AE4A1D">
          <w:rPr>
            <w:noProof/>
            <w:webHidden/>
          </w:rPr>
          <w:fldChar w:fldCharType="end"/>
        </w:r>
      </w:hyperlink>
    </w:p>
    <w:p w14:paraId="07D59648" w14:textId="27957E62" w:rsidR="00AE4A1D" w:rsidRDefault="004F2167" w:rsidP="004F2167">
      <w:pPr>
        <w:pStyle w:val="TOC2"/>
        <w:rPr>
          <w:rFonts w:asciiTheme="minorHAnsi" w:eastAsiaTheme="minorEastAsia" w:hAnsiTheme="minorHAnsi" w:cstheme="minorBidi"/>
          <w:sz w:val="22"/>
          <w:szCs w:val="22"/>
        </w:rPr>
      </w:pPr>
      <w:hyperlink w:anchor="_Toc52802616" w:history="1">
        <w:r w:rsidR="00AE4A1D" w:rsidRPr="00B223C0">
          <w:rPr>
            <w:rStyle w:val="Hyperlink"/>
          </w:rPr>
          <w:t>c)</w:t>
        </w:r>
        <w:r w:rsidR="00AE4A1D">
          <w:rPr>
            <w:rFonts w:asciiTheme="minorHAnsi" w:eastAsiaTheme="minorEastAsia" w:hAnsiTheme="minorHAnsi" w:cstheme="minorBidi"/>
            <w:sz w:val="22"/>
            <w:szCs w:val="22"/>
          </w:rPr>
          <w:tab/>
        </w:r>
        <w:r w:rsidR="00AE4A1D" w:rsidRPr="00B223C0">
          <w:rPr>
            <w:rStyle w:val="Hyperlink"/>
          </w:rPr>
          <w:t>Documentos TGP</w:t>
        </w:r>
        <w:r w:rsidR="00AE4A1D">
          <w:rPr>
            <w:webHidden/>
          </w:rPr>
          <w:tab/>
        </w:r>
        <w:r w:rsidR="00AE4A1D">
          <w:rPr>
            <w:webHidden/>
          </w:rPr>
          <w:fldChar w:fldCharType="begin"/>
        </w:r>
        <w:r w:rsidR="00AE4A1D">
          <w:rPr>
            <w:webHidden/>
          </w:rPr>
          <w:instrText xml:space="preserve"> PAGEREF _Toc52802616 \h </w:instrText>
        </w:r>
        <w:r w:rsidR="00AE4A1D">
          <w:rPr>
            <w:webHidden/>
          </w:rPr>
        </w:r>
        <w:r w:rsidR="00AE4A1D">
          <w:rPr>
            <w:webHidden/>
          </w:rPr>
          <w:fldChar w:fldCharType="separate"/>
        </w:r>
        <w:r w:rsidR="00024BFE">
          <w:rPr>
            <w:webHidden/>
          </w:rPr>
          <w:t>7</w:t>
        </w:r>
        <w:r w:rsidR="00AE4A1D">
          <w:rPr>
            <w:webHidden/>
          </w:rPr>
          <w:fldChar w:fldCharType="end"/>
        </w:r>
      </w:hyperlink>
    </w:p>
    <w:p w14:paraId="27F30D3E" w14:textId="7AEF40DB" w:rsidR="00AE4A1D" w:rsidRDefault="004F2167" w:rsidP="004F2167">
      <w:pPr>
        <w:pStyle w:val="TOC3"/>
        <w:rPr>
          <w:rFonts w:asciiTheme="minorHAnsi" w:eastAsiaTheme="minorEastAsia" w:hAnsiTheme="minorHAnsi" w:cstheme="minorBidi"/>
          <w:noProof/>
          <w:sz w:val="22"/>
          <w:szCs w:val="22"/>
          <w:lang w:val="en-US"/>
        </w:rPr>
      </w:pPr>
      <w:hyperlink w:anchor="_Toc52802617" w:history="1">
        <w:r w:rsidR="00AE4A1D" w:rsidRPr="00B223C0">
          <w:rPr>
            <w:rStyle w:val="Hyperlink"/>
            <w:noProof/>
          </w:rPr>
          <w:t>Revisión del documento TGP/5 “Experiencia y cooperación en el examen DHE”, sección 6 “Informe de la UPOV sobre el examen técnico y formulario UPOV para la descripción de variedades” (documento TGP/5: Section 6/3 Draft 1)</w:t>
        </w:r>
        <w:r w:rsidR="00AE4A1D">
          <w:rPr>
            <w:noProof/>
            <w:webHidden/>
          </w:rPr>
          <w:tab/>
        </w:r>
        <w:r w:rsidR="00AE4A1D">
          <w:rPr>
            <w:noProof/>
            <w:webHidden/>
          </w:rPr>
          <w:fldChar w:fldCharType="begin"/>
        </w:r>
        <w:r w:rsidR="00AE4A1D">
          <w:rPr>
            <w:noProof/>
            <w:webHidden/>
          </w:rPr>
          <w:instrText xml:space="preserve"> PAGEREF _Toc52802617 \h </w:instrText>
        </w:r>
        <w:r w:rsidR="00AE4A1D">
          <w:rPr>
            <w:noProof/>
            <w:webHidden/>
          </w:rPr>
        </w:r>
        <w:r w:rsidR="00AE4A1D">
          <w:rPr>
            <w:noProof/>
            <w:webHidden/>
          </w:rPr>
          <w:fldChar w:fldCharType="separate"/>
        </w:r>
        <w:r w:rsidR="00024BFE">
          <w:rPr>
            <w:noProof/>
            <w:webHidden/>
          </w:rPr>
          <w:t>7</w:t>
        </w:r>
        <w:r w:rsidR="00AE4A1D">
          <w:rPr>
            <w:noProof/>
            <w:webHidden/>
          </w:rPr>
          <w:fldChar w:fldCharType="end"/>
        </w:r>
      </w:hyperlink>
    </w:p>
    <w:p w14:paraId="324FC922" w14:textId="2CEEBA0B" w:rsidR="00AE4A1D" w:rsidRDefault="004F2167" w:rsidP="004F2167">
      <w:pPr>
        <w:pStyle w:val="TOC3"/>
        <w:rPr>
          <w:rFonts w:asciiTheme="minorHAnsi" w:eastAsiaTheme="minorEastAsia" w:hAnsiTheme="minorHAnsi" w:cstheme="minorBidi"/>
          <w:noProof/>
          <w:sz w:val="22"/>
          <w:szCs w:val="22"/>
          <w:lang w:val="en-US"/>
        </w:rPr>
      </w:pPr>
      <w:hyperlink w:anchor="_Toc52802618" w:history="1">
        <w:r w:rsidR="00AE4A1D" w:rsidRPr="00B223C0">
          <w:rPr>
            <w:rStyle w:val="Hyperlink"/>
            <w:noProof/>
          </w:rPr>
          <w:t>Revisión del documento TGP/7: “Elaboración de las directrices de examen” (documento TGP/7/8 Draft 1)</w:t>
        </w:r>
        <w:r w:rsidR="00AE4A1D">
          <w:rPr>
            <w:noProof/>
            <w:webHidden/>
          </w:rPr>
          <w:tab/>
        </w:r>
        <w:r w:rsidR="00AE4A1D">
          <w:rPr>
            <w:noProof/>
            <w:webHidden/>
          </w:rPr>
          <w:fldChar w:fldCharType="begin"/>
        </w:r>
        <w:r w:rsidR="00AE4A1D">
          <w:rPr>
            <w:noProof/>
            <w:webHidden/>
          </w:rPr>
          <w:instrText xml:space="preserve"> PAGEREF _Toc52802618 \h </w:instrText>
        </w:r>
        <w:r w:rsidR="00AE4A1D">
          <w:rPr>
            <w:noProof/>
            <w:webHidden/>
          </w:rPr>
        </w:r>
        <w:r w:rsidR="00AE4A1D">
          <w:rPr>
            <w:noProof/>
            <w:webHidden/>
          </w:rPr>
          <w:fldChar w:fldCharType="separate"/>
        </w:r>
        <w:r w:rsidR="00024BFE">
          <w:rPr>
            <w:noProof/>
            <w:webHidden/>
          </w:rPr>
          <w:t>7</w:t>
        </w:r>
        <w:r w:rsidR="00AE4A1D">
          <w:rPr>
            <w:noProof/>
            <w:webHidden/>
          </w:rPr>
          <w:fldChar w:fldCharType="end"/>
        </w:r>
      </w:hyperlink>
    </w:p>
    <w:p w14:paraId="39E3ED60" w14:textId="61274645" w:rsidR="00AE4A1D" w:rsidRDefault="004F2167" w:rsidP="004F2167">
      <w:pPr>
        <w:pStyle w:val="TOC3"/>
        <w:rPr>
          <w:rFonts w:asciiTheme="minorHAnsi" w:eastAsiaTheme="minorEastAsia" w:hAnsiTheme="minorHAnsi" w:cstheme="minorBidi"/>
          <w:noProof/>
          <w:sz w:val="22"/>
          <w:szCs w:val="22"/>
          <w:lang w:val="en-US"/>
        </w:rPr>
      </w:pPr>
      <w:hyperlink w:anchor="_Toc52802619" w:history="1">
        <w:r w:rsidR="00AE4A1D" w:rsidRPr="00B223C0">
          <w:rPr>
            <w:rStyle w:val="Hyperlink"/>
            <w:noProof/>
          </w:rPr>
          <w:t>Revisión del documento TGP/14 “Glosario de términos utilizados en los documentos de la UPOV” (documento TGP/14/5 Draft 1)</w:t>
        </w:r>
        <w:r w:rsidR="00AE4A1D">
          <w:rPr>
            <w:noProof/>
            <w:webHidden/>
          </w:rPr>
          <w:tab/>
        </w:r>
        <w:r w:rsidR="00AE4A1D">
          <w:rPr>
            <w:noProof/>
            <w:webHidden/>
          </w:rPr>
          <w:fldChar w:fldCharType="begin"/>
        </w:r>
        <w:r w:rsidR="00AE4A1D">
          <w:rPr>
            <w:noProof/>
            <w:webHidden/>
          </w:rPr>
          <w:instrText xml:space="preserve"> PAGEREF _Toc52802619 \h </w:instrText>
        </w:r>
        <w:r w:rsidR="00AE4A1D">
          <w:rPr>
            <w:noProof/>
            <w:webHidden/>
          </w:rPr>
        </w:r>
        <w:r w:rsidR="00AE4A1D">
          <w:rPr>
            <w:noProof/>
            <w:webHidden/>
          </w:rPr>
          <w:fldChar w:fldCharType="separate"/>
        </w:r>
        <w:r w:rsidR="00024BFE">
          <w:rPr>
            <w:noProof/>
            <w:webHidden/>
          </w:rPr>
          <w:t>8</w:t>
        </w:r>
        <w:r w:rsidR="00AE4A1D">
          <w:rPr>
            <w:noProof/>
            <w:webHidden/>
          </w:rPr>
          <w:fldChar w:fldCharType="end"/>
        </w:r>
      </w:hyperlink>
    </w:p>
    <w:p w14:paraId="78165569" w14:textId="6511D283" w:rsidR="00AE4A1D" w:rsidRDefault="004F2167" w:rsidP="004F2167">
      <w:pPr>
        <w:pStyle w:val="TOC3"/>
        <w:rPr>
          <w:rFonts w:asciiTheme="minorHAnsi" w:eastAsiaTheme="minorEastAsia" w:hAnsiTheme="minorHAnsi" w:cstheme="minorBidi"/>
          <w:noProof/>
          <w:sz w:val="22"/>
          <w:szCs w:val="22"/>
          <w:lang w:val="en-US"/>
        </w:rPr>
      </w:pPr>
      <w:hyperlink w:anchor="_Toc52802620" w:history="1">
        <w:r w:rsidR="00AE4A1D" w:rsidRPr="00B223C0">
          <w:rPr>
            <w:rStyle w:val="Hyperlink"/>
            <w:noProof/>
          </w:rPr>
          <w:t>Revisión del documento TGP/15: “Orientación sobre el uso de marcadores bioquímicos y moleculares en el examen de la distinción, la homogeneidad y la estabilidad (DHE)” (documento TGP/15/3 Draft 1)</w:t>
        </w:r>
        <w:r w:rsidR="00AE4A1D">
          <w:rPr>
            <w:noProof/>
            <w:webHidden/>
          </w:rPr>
          <w:tab/>
        </w:r>
        <w:r w:rsidR="00AE4A1D">
          <w:rPr>
            <w:noProof/>
            <w:webHidden/>
          </w:rPr>
          <w:fldChar w:fldCharType="begin"/>
        </w:r>
        <w:r w:rsidR="00AE4A1D">
          <w:rPr>
            <w:noProof/>
            <w:webHidden/>
          </w:rPr>
          <w:instrText xml:space="preserve"> PAGEREF _Toc52802620 \h </w:instrText>
        </w:r>
        <w:r w:rsidR="00AE4A1D">
          <w:rPr>
            <w:noProof/>
            <w:webHidden/>
          </w:rPr>
        </w:r>
        <w:r w:rsidR="00AE4A1D">
          <w:rPr>
            <w:noProof/>
            <w:webHidden/>
          </w:rPr>
          <w:fldChar w:fldCharType="separate"/>
        </w:r>
        <w:r w:rsidR="00024BFE">
          <w:rPr>
            <w:noProof/>
            <w:webHidden/>
          </w:rPr>
          <w:t>8</w:t>
        </w:r>
        <w:r w:rsidR="00AE4A1D">
          <w:rPr>
            <w:noProof/>
            <w:webHidden/>
          </w:rPr>
          <w:fldChar w:fldCharType="end"/>
        </w:r>
      </w:hyperlink>
    </w:p>
    <w:p w14:paraId="0BD79FAC" w14:textId="7A0B74EE" w:rsidR="00AE4A1D" w:rsidRDefault="004F2167" w:rsidP="004F2167">
      <w:pPr>
        <w:pStyle w:val="TOC1"/>
        <w:rPr>
          <w:rFonts w:asciiTheme="minorHAnsi" w:eastAsiaTheme="minorEastAsia" w:hAnsiTheme="minorHAnsi" w:cstheme="minorBidi"/>
          <w:sz w:val="22"/>
          <w:szCs w:val="22"/>
        </w:rPr>
      </w:pPr>
      <w:hyperlink w:anchor="_Toc52802621" w:history="1">
        <w:r w:rsidR="00AE4A1D" w:rsidRPr="00B223C0">
          <w:rPr>
            <w:rStyle w:val="Hyperlink"/>
            <w:lang w:val="es-ES"/>
          </w:rPr>
          <w:t>OTRAS CUESTIONES QUE DEBERÁ EXAMINAR EL cAJ</w:t>
        </w:r>
        <w:r w:rsidR="00AE4A1D">
          <w:rPr>
            <w:webHidden/>
          </w:rPr>
          <w:tab/>
        </w:r>
        <w:r w:rsidR="00AE4A1D">
          <w:rPr>
            <w:webHidden/>
          </w:rPr>
          <w:fldChar w:fldCharType="begin"/>
        </w:r>
        <w:r w:rsidR="00AE4A1D">
          <w:rPr>
            <w:webHidden/>
          </w:rPr>
          <w:instrText xml:space="preserve"> PAGEREF _Toc52802621 \h </w:instrText>
        </w:r>
        <w:r w:rsidR="00AE4A1D">
          <w:rPr>
            <w:webHidden/>
          </w:rPr>
        </w:r>
        <w:r w:rsidR="00AE4A1D">
          <w:rPr>
            <w:webHidden/>
          </w:rPr>
          <w:fldChar w:fldCharType="separate"/>
        </w:r>
        <w:r w:rsidR="00024BFE">
          <w:rPr>
            <w:webHidden/>
          </w:rPr>
          <w:t>9</w:t>
        </w:r>
        <w:r w:rsidR="00AE4A1D">
          <w:rPr>
            <w:webHidden/>
          </w:rPr>
          <w:fldChar w:fldCharType="end"/>
        </w:r>
      </w:hyperlink>
    </w:p>
    <w:p w14:paraId="6A154D24" w14:textId="085065E8" w:rsidR="00AE4A1D" w:rsidRPr="004F2167" w:rsidRDefault="004F2167" w:rsidP="004F2167">
      <w:pPr>
        <w:pStyle w:val="TOC2"/>
        <w:rPr>
          <w:rFonts w:asciiTheme="minorHAnsi" w:eastAsiaTheme="minorEastAsia" w:hAnsiTheme="minorHAnsi" w:cstheme="minorBidi"/>
          <w:sz w:val="22"/>
          <w:szCs w:val="22"/>
        </w:rPr>
      </w:pPr>
      <w:hyperlink w:anchor="_Toc52802622" w:history="1">
        <w:r w:rsidR="00AE4A1D" w:rsidRPr="004F2167">
          <w:rPr>
            <w:rStyle w:val="Hyperlink"/>
          </w:rPr>
          <w:t>D</w:t>
        </w:r>
        <w:r w:rsidR="00AE4A1D" w:rsidRPr="004F2167">
          <w:rPr>
            <w:rStyle w:val="Hyperlink"/>
            <w:spacing w:val="0"/>
          </w:rPr>
          <w:t>ocumento UPOV/INF/23: Orientación acerca del sistema de códigos de la UPOV (documento UPOV/INF/23/1 Draft 1)</w:t>
        </w:r>
        <w:r w:rsidR="00AE4A1D" w:rsidRPr="004F2167">
          <w:rPr>
            <w:webHidden/>
          </w:rPr>
          <w:tab/>
        </w:r>
        <w:r w:rsidR="00AE4A1D" w:rsidRPr="004F2167">
          <w:rPr>
            <w:webHidden/>
          </w:rPr>
          <w:fldChar w:fldCharType="begin"/>
        </w:r>
        <w:r w:rsidR="00AE4A1D" w:rsidRPr="004F2167">
          <w:rPr>
            <w:webHidden/>
          </w:rPr>
          <w:instrText xml:space="preserve"> PAGEREF _Toc52802622 \h </w:instrText>
        </w:r>
        <w:r w:rsidR="00AE4A1D" w:rsidRPr="004F2167">
          <w:rPr>
            <w:webHidden/>
          </w:rPr>
        </w:r>
        <w:r w:rsidR="00AE4A1D" w:rsidRPr="004F2167">
          <w:rPr>
            <w:webHidden/>
          </w:rPr>
          <w:fldChar w:fldCharType="separate"/>
        </w:r>
        <w:r w:rsidR="00024BFE">
          <w:rPr>
            <w:webHidden/>
          </w:rPr>
          <w:t>9</w:t>
        </w:r>
        <w:r w:rsidR="00AE4A1D" w:rsidRPr="004F2167">
          <w:rPr>
            <w:webHidden/>
          </w:rPr>
          <w:fldChar w:fldCharType="end"/>
        </w:r>
      </w:hyperlink>
    </w:p>
    <w:p w14:paraId="4E3D5F1B" w14:textId="42BCD7EB" w:rsidR="00AE4A1D" w:rsidRDefault="004F2167" w:rsidP="004F2167">
      <w:pPr>
        <w:pStyle w:val="TOC2"/>
        <w:rPr>
          <w:rFonts w:asciiTheme="minorHAnsi" w:eastAsiaTheme="minorEastAsia" w:hAnsiTheme="minorHAnsi" w:cstheme="minorBidi"/>
          <w:sz w:val="22"/>
          <w:szCs w:val="22"/>
        </w:rPr>
      </w:pPr>
      <w:hyperlink w:anchor="_Toc52802623" w:history="1">
        <w:r w:rsidR="00AE4A1D" w:rsidRPr="00B223C0">
          <w:rPr>
            <w:rStyle w:val="Hyperlink"/>
          </w:rPr>
          <w:t>Referencia a UPOV PRISMA en las orientaciones y el material de información de la UPOV</w:t>
        </w:r>
        <w:r w:rsidR="00AE4A1D">
          <w:rPr>
            <w:webHidden/>
          </w:rPr>
          <w:tab/>
        </w:r>
        <w:r w:rsidR="00AE4A1D">
          <w:rPr>
            <w:webHidden/>
          </w:rPr>
          <w:fldChar w:fldCharType="begin"/>
        </w:r>
        <w:r w:rsidR="00AE4A1D">
          <w:rPr>
            <w:webHidden/>
          </w:rPr>
          <w:instrText xml:space="preserve"> PAGEREF _Toc52802623 \h </w:instrText>
        </w:r>
        <w:r w:rsidR="00AE4A1D">
          <w:rPr>
            <w:webHidden/>
          </w:rPr>
        </w:r>
        <w:r w:rsidR="00AE4A1D">
          <w:rPr>
            <w:webHidden/>
          </w:rPr>
          <w:fldChar w:fldCharType="separate"/>
        </w:r>
        <w:r w:rsidR="00024BFE">
          <w:rPr>
            <w:webHidden/>
          </w:rPr>
          <w:t>10</w:t>
        </w:r>
        <w:r w:rsidR="00AE4A1D">
          <w:rPr>
            <w:webHidden/>
          </w:rPr>
          <w:fldChar w:fldCharType="end"/>
        </w:r>
      </w:hyperlink>
    </w:p>
    <w:p w14:paraId="23766068" w14:textId="56B514F0" w:rsidR="00AE4A1D" w:rsidRDefault="004F2167" w:rsidP="004F2167">
      <w:pPr>
        <w:pStyle w:val="TOC2"/>
        <w:rPr>
          <w:rFonts w:asciiTheme="minorHAnsi" w:eastAsiaTheme="minorEastAsia" w:hAnsiTheme="minorHAnsi" w:cstheme="minorBidi"/>
          <w:sz w:val="22"/>
          <w:szCs w:val="22"/>
        </w:rPr>
      </w:pPr>
      <w:hyperlink w:anchor="_Toc52802624" w:history="1">
        <w:r w:rsidR="00AE4A1D" w:rsidRPr="00B223C0">
          <w:rPr>
            <w:rStyle w:val="Hyperlink"/>
          </w:rPr>
          <w:t>Variedades esencialmente derivadas</w:t>
        </w:r>
        <w:r w:rsidR="00AE4A1D">
          <w:rPr>
            <w:webHidden/>
          </w:rPr>
          <w:tab/>
        </w:r>
        <w:r w:rsidR="00AE4A1D">
          <w:rPr>
            <w:webHidden/>
          </w:rPr>
          <w:fldChar w:fldCharType="begin"/>
        </w:r>
        <w:r w:rsidR="00AE4A1D">
          <w:rPr>
            <w:webHidden/>
          </w:rPr>
          <w:instrText xml:space="preserve"> PAGEREF _Toc52802624 \h </w:instrText>
        </w:r>
        <w:r w:rsidR="00AE4A1D">
          <w:rPr>
            <w:webHidden/>
          </w:rPr>
        </w:r>
        <w:r w:rsidR="00AE4A1D">
          <w:rPr>
            <w:webHidden/>
          </w:rPr>
          <w:fldChar w:fldCharType="separate"/>
        </w:r>
        <w:r w:rsidR="00024BFE">
          <w:rPr>
            <w:webHidden/>
          </w:rPr>
          <w:t>11</w:t>
        </w:r>
        <w:r w:rsidR="00AE4A1D">
          <w:rPr>
            <w:webHidden/>
          </w:rPr>
          <w:fldChar w:fldCharType="end"/>
        </w:r>
      </w:hyperlink>
    </w:p>
    <w:p w14:paraId="0F5D4835" w14:textId="6AAC601E" w:rsidR="00AE4A1D" w:rsidRDefault="004F2167" w:rsidP="004F2167">
      <w:pPr>
        <w:pStyle w:val="TOC2"/>
        <w:rPr>
          <w:rFonts w:asciiTheme="minorHAnsi" w:eastAsiaTheme="minorEastAsia" w:hAnsiTheme="minorHAnsi" w:cstheme="minorBidi"/>
          <w:sz w:val="22"/>
          <w:szCs w:val="22"/>
        </w:rPr>
      </w:pPr>
      <w:hyperlink w:anchor="_Toc52802625" w:history="1">
        <w:r w:rsidR="00AE4A1D" w:rsidRPr="00B223C0">
          <w:rPr>
            <w:rStyle w:val="Hyperlink"/>
          </w:rPr>
          <w:t>Novedad de las líneas parentales en relación con la explotación de la variedad híbrida</w:t>
        </w:r>
        <w:r w:rsidR="00AE4A1D">
          <w:rPr>
            <w:webHidden/>
          </w:rPr>
          <w:tab/>
        </w:r>
        <w:r w:rsidR="00AE4A1D">
          <w:rPr>
            <w:webHidden/>
          </w:rPr>
          <w:fldChar w:fldCharType="begin"/>
        </w:r>
        <w:r w:rsidR="00AE4A1D">
          <w:rPr>
            <w:webHidden/>
          </w:rPr>
          <w:instrText xml:space="preserve"> PAGEREF _Toc52802625 \h </w:instrText>
        </w:r>
        <w:r w:rsidR="00AE4A1D">
          <w:rPr>
            <w:webHidden/>
          </w:rPr>
        </w:r>
        <w:r w:rsidR="00AE4A1D">
          <w:rPr>
            <w:webHidden/>
          </w:rPr>
          <w:fldChar w:fldCharType="separate"/>
        </w:r>
        <w:r w:rsidR="00024BFE">
          <w:rPr>
            <w:webHidden/>
          </w:rPr>
          <w:t>12</w:t>
        </w:r>
        <w:r w:rsidR="00AE4A1D">
          <w:rPr>
            <w:webHidden/>
          </w:rPr>
          <w:fldChar w:fldCharType="end"/>
        </w:r>
      </w:hyperlink>
    </w:p>
    <w:p w14:paraId="08A7C53E" w14:textId="2C01CB31" w:rsidR="00AE4A1D" w:rsidRDefault="004F2167" w:rsidP="004F2167">
      <w:pPr>
        <w:pStyle w:val="TOC1"/>
        <w:rPr>
          <w:rFonts w:asciiTheme="minorHAnsi" w:eastAsiaTheme="minorEastAsia" w:hAnsiTheme="minorHAnsi" w:cstheme="minorBidi"/>
          <w:sz w:val="22"/>
          <w:szCs w:val="22"/>
        </w:rPr>
      </w:pPr>
      <w:hyperlink w:anchor="_Toc52802626" w:history="1">
        <w:r w:rsidR="00AE4A1D" w:rsidRPr="00B223C0">
          <w:rPr>
            <w:rStyle w:val="Hyperlink"/>
            <w:lang w:val="es-ES"/>
          </w:rPr>
          <w:t>PROGRAMA PROVISIONAL PARA LA ELABORACIÓN DE OrientaciONES Y MATERIAL DE INFORMACIÓN</w:t>
        </w:r>
        <w:r w:rsidR="00AE4A1D">
          <w:rPr>
            <w:webHidden/>
          </w:rPr>
          <w:tab/>
        </w:r>
        <w:r w:rsidR="00AE4A1D">
          <w:rPr>
            <w:webHidden/>
          </w:rPr>
          <w:fldChar w:fldCharType="begin"/>
        </w:r>
        <w:r w:rsidR="00AE4A1D">
          <w:rPr>
            <w:webHidden/>
          </w:rPr>
          <w:instrText xml:space="preserve"> PAGEREF _Toc52802626 \h </w:instrText>
        </w:r>
        <w:r w:rsidR="00AE4A1D">
          <w:rPr>
            <w:webHidden/>
          </w:rPr>
        </w:r>
        <w:r w:rsidR="00AE4A1D">
          <w:rPr>
            <w:webHidden/>
          </w:rPr>
          <w:fldChar w:fldCharType="separate"/>
        </w:r>
        <w:r w:rsidR="00024BFE">
          <w:rPr>
            <w:webHidden/>
          </w:rPr>
          <w:t>12</w:t>
        </w:r>
        <w:r w:rsidR="00AE4A1D">
          <w:rPr>
            <w:webHidden/>
          </w:rPr>
          <w:fldChar w:fldCharType="end"/>
        </w:r>
      </w:hyperlink>
    </w:p>
    <w:p w14:paraId="70BA2F2C" w14:textId="4CD5A56A" w:rsidR="00955AD5" w:rsidRPr="00C05526" w:rsidRDefault="00955AD5" w:rsidP="00492AA3">
      <w:pPr>
        <w:spacing w:before="120"/>
        <w:rPr>
          <w:spacing w:val="-4"/>
          <w:sz w:val="18"/>
        </w:rPr>
      </w:pPr>
      <w:r w:rsidRPr="00310D26">
        <w:rPr>
          <w:snapToGrid w:val="0"/>
          <w:highlight w:val="yellow"/>
        </w:rPr>
        <w:lastRenderedPageBreak/>
        <w:fldChar w:fldCharType="end"/>
      </w:r>
      <w:r w:rsidR="0076421E" w:rsidRPr="00310D26">
        <w:rPr>
          <w:sz w:val="18"/>
        </w:rPr>
        <w:t>ANEXO</w:t>
      </w:r>
      <w:r w:rsidRPr="00310D26">
        <w:rPr>
          <w:sz w:val="18"/>
        </w:rPr>
        <w:t xml:space="preserve"> I:</w:t>
      </w:r>
      <w:r w:rsidRPr="00310D26">
        <w:rPr>
          <w:sz w:val="18"/>
        </w:rPr>
        <w:tab/>
      </w:r>
      <w:r w:rsidR="0076421E" w:rsidRPr="00310D26">
        <w:rPr>
          <w:sz w:val="18"/>
        </w:rPr>
        <w:t xml:space="preserve">Respuestas a la </w:t>
      </w:r>
      <w:r w:rsidR="0076421E" w:rsidRPr="00310D26">
        <w:rPr>
          <w:spacing w:val="-4"/>
          <w:sz w:val="18"/>
        </w:rPr>
        <w:t>Circular E-20/017 de la UPOV</w:t>
      </w:r>
      <w:r w:rsidRPr="00310D26">
        <w:rPr>
          <w:spacing w:val="-4"/>
          <w:sz w:val="18"/>
        </w:rPr>
        <w:t xml:space="preserve"> </w:t>
      </w:r>
      <w:r w:rsidR="0009013D" w:rsidRPr="00310D26">
        <w:rPr>
          <w:spacing w:val="-4"/>
          <w:sz w:val="18"/>
        </w:rPr>
        <w:t>relativa</w:t>
      </w:r>
      <w:r w:rsidR="006B768D" w:rsidRPr="00310D26">
        <w:rPr>
          <w:spacing w:val="-4"/>
          <w:sz w:val="18"/>
        </w:rPr>
        <w:t xml:space="preserve"> </w:t>
      </w:r>
      <w:r w:rsidR="0009013D" w:rsidRPr="00310D26">
        <w:rPr>
          <w:spacing w:val="-4"/>
          <w:sz w:val="18"/>
        </w:rPr>
        <w:t>a</w:t>
      </w:r>
      <w:r w:rsidR="0076421E" w:rsidRPr="00310D26">
        <w:rPr>
          <w:spacing w:val="-4"/>
          <w:sz w:val="18"/>
        </w:rPr>
        <w:t xml:space="preserve">l examen </w:t>
      </w:r>
      <w:r w:rsidR="00D0040E" w:rsidRPr="00310D26">
        <w:rPr>
          <w:spacing w:val="-4"/>
          <w:sz w:val="18"/>
        </w:rPr>
        <w:t>del</w:t>
      </w:r>
      <w:r w:rsidR="00785C76">
        <w:rPr>
          <w:spacing w:val="-4"/>
          <w:sz w:val="18"/>
        </w:rPr>
        <w:t xml:space="preserve"> documento UPOV/</w:t>
      </w:r>
      <w:proofErr w:type="spellStart"/>
      <w:r w:rsidR="00785C76">
        <w:rPr>
          <w:spacing w:val="-4"/>
          <w:sz w:val="18"/>
        </w:rPr>
        <w:t>EXN</w:t>
      </w:r>
      <w:proofErr w:type="spellEnd"/>
      <w:r w:rsidR="00785C76">
        <w:rPr>
          <w:spacing w:val="-4"/>
          <w:sz w:val="18"/>
        </w:rPr>
        <w:t>/DEN/1 </w:t>
      </w:r>
      <w:proofErr w:type="spellStart"/>
      <w:r w:rsidR="00785C76">
        <w:rPr>
          <w:spacing w:val="-4"/>
          <w:sz w:val="18"/>
        </w:rPr>
        <w:t>Draft</w:t>
      </w:r>
      <w:proofErr w:type="spellEnd"/>
      <w:r w:rsidR="00785C76">
        <w:rPr>
          <w:spacing w:val="-4"/>
          <w:sz w:val="18"/>
        </w:rPr>
        <w:t> </w:t>
      </w:r>
      <w:r w:rsidR="00D0040E" w:rsidRPr="00310D26">
        <w:rPr>
          <w:spacing w:val="-4"/>
          <w:sz w:val="18"/>
        </w:rPr>
        <w:t xml:space="preserve">3 </w:t>
      </w:r>
      <w:r w:rsidR="007222AE" w:rsidRPr="00310D26">
        <w:rPr>
          <w:spacing w:val="-4"/>
          <w:sz w:val="18"/>
        </w:rPr>
        <w:t xml:space="preserve">efectuado </w:t>
      </w:r>
      <w:r w:rsidR="0076421E" w:rsidRPr="00310D26">
        <w:rPr>
          <w:spacing w:val="-4"/>
          <w:sz w:val="18"/>
        </w:rPr>
        <w:t>por el CAJ</w:t>
      </w:r>
      <w:r w:rsidR="007222AE" w:rsidRPr="00310D26">
        <w:rPr>
          <w:spacing w:val="-4"/>
          <w:sz w:val="18"/>
        </w:rPr>
        <w:t xml:space="preserve"> por </w:t>
      </w:r>
      <w:r w:rsidR="007222AE" w:rsidRPr="00C05526">
        <w:rPr>
          <w:spacing w:val="-4"/>
          <w:sz w:val="18"/>
        </w:rPr>
        <w:t>correspondencia</w:t>
      </w:r>
    </w:p>
    <w:p w14:paraId="31B09A2E" w14:textId="1EB7AC5D" w:rsidR="00955AD5" w:rsidRPr="00286A8D" w:rsidRDefault="00955AD5" w:rsidP="0088719D">
      <w:pPr>
        <w:keepNext/>
        <w:spacing w:before="60" w:after="60"/>
        <w:ind w:left="1418"/>
        <w:rPr>
          <w:sz w:val="18"/>
          <w:lang w:val="pt-PT"/>
        </w:rPr>
      </w:pPr>
      <w:r w:rsidRPr="00286A8D">
        <w:rPr>
          <w:sz w:val="18"/>
          <w:lang w:val="pt-PT"/>
        </w:rPr>
        <w:t>Ap</w:t>
      </w:r>
      <w:r w:rsidR="0076421E" w:rsidRPr="00286A8D">
        <w:rPr>
          <w:sz w:val="18"/>
          <w:lang w:val="pt-PT"/>
        </w:rPr>
        <w:t xml:space="preserve">éndice </w:t>
      </w:r>
      <w:r w:rsidRPr="00286A8D">
        <w:rPr>
          <w:sz w:val="18"/>
          <w:lang w:val="pt-PT"/>
        </w:rPr>
        <w:t>I:</w:t>
      </w:r>
      <w:r w:rsidR="00C05526" w:rsidRPr="00286A8D">
        <w:rPr>
          <w:sz w:val="18"/>
          <w:lang w:val="pt-PT"/>
        </w:rPr>
        <w:t xml:space="preserve"> </w:t>
      </w:r>
      <w:r w:rsidRPr="00286A8D">
        <w:rPr>
          <w:sz w:val="18"/>
          <w:lang w:val="pt-PT"/>
        </w:rPr>
        <w:t>Argentina</w:t>
      </w:r>
    </w:p>
    <w:p w14:paraId="5F179F77" w14:textId="78750D7A" w:rsidR="00955AD5" w:rsidRPr="004F2167" w:rsidRDefault="0076421E" w:rsidP="00955AD5">
      <w:pPr>
        <w:spacing w:before="60" w:after="60"/>
        <w:ind w:left="1418"/>
        <w:rPr>
          <w:sz w:val="18"/>
        </w:rPr>
      </w:pPr>
      <w:r w:rsidRPr="004F2167">
        <w:rPr>
          <w:sz w:val="18"/>
        </w:rPr>
        <w:t>Apéndice</w:t>
      </w:r>
      <w:r w:rsidR="00955AD5" w:rsidRPr="004F2167">
        <w:rPr>
          <w:sz w:val="18"/>
        </w:rPr>
        <w:t xml:space="preserve"> II:</w:t>
      </w:r>
      <w:r w:rsidR="00C05526" w:rsidRPr="004F2167">
        <w:rPr>
          <w:sz w:val="18"/>
        </w:rPr>
        <w:t xml:space="preserve"> </w:t>
      </w:r>
      <w:r w:rsidR="00955AD5" w:rsidRPr="004F2167">
        <w:rPr>
          <w:sz w:val="18"/>
        </w:rPr>
        <w:t>Canad</w:t>
      </w:r>
      <w:r w:rsidRPr="004F2167">
        <w:rPr>
          <w:sz w:val="18"/>
        </w:rPr>
        <w:t>á</w:t>
      </w:r>
      <w:r w:rsidR="00955AD5" w:rsidRPr="004F2167">
        <w:rPr>
          <w:sz w:val="18"/>
        </w:rPr>
        <w:t xml:space="preserve"> </w:t>
      </w:r>
    </w:p>
    <w:p w14:paraId="284D8062" w14:textId="4ACB2D91" w:rsidR="00955AD5" w:rsidRPr="00310D26" w:rsidRDefault="0076421E" w:rsidP="00955AD5">
      <w:pPr>
        <w:spacing w:before="60" w:after="60"/>
        <w:ind w:left="1418"/>
        <w:rPr>
          <w:sz w:val="18"/>
        </w:rPr>
      </w:pPr>
      <w:r w:rsidRPr="00310D26">
        <w:rPr>
          <w:sz w:val="18"/>
        </w:rPr>
        <w:t>Apéndice</w:t>
      </w:r>
      <w:r w:rsidR="00955AD5" w:rsidRPr="00310D26">
        <w:rPr>
          <w:sz w:val="18"/>
        </w:rPr>
        <w:t xml:space="preserve"> III:</w:t>
      </w:r>
      <w:r w:rsidR="00C05526">
        <w:rPr>
          <w:sz w:val="18"/>
        </w:rPr>
        <w:t xml:space="preserve"> </w:t>
      </w:r>
      <w:r w:rsidRPr="00310D26">
        <w:rPr>
          <w:sz w:val="18"/>
        </w:rPr>
        <w:t>Unión Europea</w:t>
      </w:r>
    </w:p>
    <w:p w14:paraId="4042F583" w14:textId="68223332" w:rsidR="00955AD5" w:rsidRPr="00310D26" w:rsidRDefault="0076421E" w:rsidP="00955AD5">
      <w:pPr>
        <w:spacing w:before="60" w:after="60"/>
        <w:ind w:left="1418"/>
        <w:rPr>
          <w:sz w:val="18"/>
        </w:rPr>
      </w:pPr>
      <w:r w:rsidRPr="00310D26">
        <w:rPr>
          <w:sz w:val="18"/>
        </w:rPr>
        <w:t>Apéndice</w:t>
      </w:r>
      <w:r w:rsidR="00955AD5" w:rsidRPr="00310D26">
        <w:rPr>
          <w:sz w:val="18"/>
        </w:rPr>
        <w:t xml:space="preserve"> IV:</w:t>
      </w:r>
      <w:r w:rsidR="00C05526">
        <w:rPr>
          <w:sz w:val="18"/>
        </w:rPr>
        <w:t xml:space="preserve"> </w:t>
      </w:r>
      <w:r w:rsidR="00955AD5" w:rsidRPr="00310D26">
        <w:rPr>
          <w:sz w:val="18"/>
        </w:rPr>
        <w:t>Franc</w:t>
      </w:r>
      <w:r w:rsidRPr="00310D26">
        <w:rPr>
          <w:sz w:val="18"/>
        </w:rPr>
        <w:t>ia</w:t>
      </w:r>
    </w:p>
    <w:p w14:paraId="63D1681F" w14:textId="0B1B0053" w:rsidR="00955AD5" w:rsidRPr="00310D26" w:rsidRDefault="0076421E" w:rsidP="00955AD5">
      <w:pPr>
        <w:spacing w:before="60" w:after="60"/>
        <w:ind w:left="1418"/>
        <w:rPr>
          <w:sz w:val="18"/>
        </w:rPr>
      </w:pPr>
      <w:r w:rsidRPr="00310D26">
        <w:rPr>
          <w:sz w:val="18"/>
        </w:rPr>
        <w:t>Apéndice</w:t>
      </w:r>
      <w:r w:rsidR="00955AD5" w:rsidRPr="00310D26">
        <w:rPr>
          <w:sz w:val="18"/>
        </w:rPr>
        <w:t xml:space="preserve"> V:</w:t>
      </w:r>
      <w:r w:rsidR="00C05526">
        <w:rPr>
          <w:sz w:val="18"/>
        </w:rPr>
        <w:t xml:space="preserve"> </w:t>
      </w:r>
      <w:r w:rsidRPr="00310D26">
        <w:rPr>
          <w:sz w:val="18"/>
        </w:rPr>
        <w:t>Nueva Zelandia</w:t>
      </w:r>
    </w:p>
    <w:p w14:paraId="73945CAD" w14:textId="1936ED6D" w:rsidR="00955AD5" w:rsidRPr="00310D26" w:rsidRDefault="00955AD5" w:rsidP="004F2167">
      <w:pPr>
        <w:spacing w:before="60"/>
        <w:rPr>
          <w:sz w:val="18"/>
        </w:rPr>
      </w:pPr>
      <w:r w:rsidRPr="00310D26">
        <w:rPr>
          <w:sz w:val="18"/>
        </w:rPr>
        <w:t>AN</w:t>
      </w:r>
      <w:r w:rsidR="009559B4" w:rsidRPr="00310D26">
        <w:rPr>
          <w:sz w:val="18"/>
        </w:rPr>
        <w:t>EXO</w:t>
      </w:r>
      <w:r w:rsidRPr="00310D26">
        <w:rPr>
          <w:sz w:val="18"/>
        </w:rPr>
        <w:t xml:space="preserve"> II:</w:t>
      </w:r>
      <w:r w:rsidRPr="00310D26">
        <w:rPr>
          <w:sz w:val="18"/>
        </w:rPr>
        <w:tab/>
      </w:r>
      <w:r w:rsidR="009559B4" w:rsidRPr="00310D26">
        <w:rPr>
          <w:sz w:val="18"/>
          <w:szCs w:val="18"/>
        </w:rPr>
        <w:t xml:space="preserve">Revisiones del documento </w:t>
      </w:r>
      <w:r w:rsidRPr="00310D26">
        <w:rPr>
          <w:sz w:val="18"/>
        </w:rPr>
        <w:t>TGP/5, Se</w:t>
      </w:r>
      <w:r w:rsidR="0076421E" w:rsidRPr="00310D26">
        <w:rPr>
          <w:sz w:val="18"/>
        </w:rPr>
        <w:t>cción</w:t>
      </w:r>
      <w:r w:rsidRPr="00310D26">
        <w:rPr>
          <w:sz w:val="18"/>
        </w:rPr>
        <w:t xml:space="preserve"> 6</w:t>
      </w:r>
    </w:p>
    <w:p w14:paraId="1DB45CE0" w14:textId="6A974E5B" w:rsidR="00955AD5" w:rsidRPr="00310D26" w:rsidRDefault="00955AD5" w:rsidP="004F2167">
      <w:pPr>
        <w:spacing w:before="60"/>
        <w:rPr>
          <w:sz w:val="18"/>
        </w:rPr>
      </w:pPr>
      <w:r w:rsidRPr="00310D26">
        <w:rPr>
          <w:sz w:val="18"/>
        </w:rPr>
        <w:t>AN</w:t>
      </w:r>
      <w:r w:rsidR="009559B4" w:rsidRPr="00310D26">
        <w:rPr>
          <w:sz w:val="18"/>
        </w:rPr>
        <w:t>EXO</w:t>
      </w:r>
      <w:r w:rsidRPr="00310D26">
        <w:rPr>
          <w:sz w:val="18"/>
        </w:rPr>
        <w:t xml:space="preserve"> III:</w:t>
      </w:r>
      <w:r w:rsidRPr="00310D26">
        <w:rPr>
          <w:sz w:val="18"/>
        </w:rPr>
        <w:tab/>
      </w:r>
      <w:r w:rsidR="009559B4" w:rsidRPr="00310D26">
        <w:rPr>
          <w:sz w:val="18"/>
        </w:rPr>
        <w:t xml:space="preserve">Revisiones del documento </w:t>
      </w:r>
      <w:r w:rsidRPr="00310D26">
        <w:rPr>
          <w:sz w:val="18"/>
        </w:rPr>
        <w:t>TGP/7</w:t>
      </w:r>
    </w:p>
    <w:p w14:paraId="2B5BB2F3" w14:textId="725620F3" w:rsidR="00955AD5" w:rsidRPr="00310D26" w:rsidRDefault="00955AD5" w:rsidP="004F2167">
      <w:pPr>
        <w:spacing w:before="60"/>
        <w:rPr>
          <w:sz w:val="18"/>
        </w:rPr>
      </w:pPr>
      <w:bookmarkStart w:id="5" w:name="_Toc386185971"/>
      <w:bookmarkStart w:id="6" w:name="_Toc419124859"/>
      <w:r w:rsidRPr="00310D26">
        <w:rPr>
          <w:sz w:val="18"/>
        </w:rPr>
        <w:t>AN</w:t>
      </w:r>
      <w:r w:rsidR="009559B4" w:rsidRPr="00310D26">
        <w:rPr>
          <w:sz w:val="18"/>
        </w:rPr>
        <w:t>EXO</w:t>
      </w:r>
      <w:r w:rsidRPr="00310D26">
        <w:rPr>
          <w:sz w:val="18"/>
        </w:rPr>
        <w:t xml:space="preserve"> IV:</w:t>
      </w:r>
      <w:r w:rsidRPr="00310D26">
        <w:rPr>
          <w:sz w:val="18"/>
        </w:rPr>
        <w:tab/>
      </w:r>
      <w:r w:rsidR="009559B4" w:rsidRPr="00310D26">
        <w:rPr>
          <w:sz w:val="18"/>
        </w:rPr>
        <w:t xml:space="preserve">Revisiones del documento </w:t>
      </w:r>
      <w:r w:rsidRPr="00310D26">
        <w:rPr>
          <w:sz w:val="18"/>
        </w:rPr>
        <w:t>TGP/14</w:t>
      </w:r>
    </w:p>
    <w:p w14:paraId="77ECE93E" w14:textId="47395557" w:rsidR="00955AD5" w:rsidRPr="00310D26" w:rsidRDefault="00955AD5" w:rsidP="004F2167">
      <w:pPr>
        <w:spacing w:before="60"/>
        <w:ind w:left="1134" w:hanging="1134"/>
        <w:rPr>
          <w:sz w:val="18"/>
        </w:rPr>
      </w:pPr>
      <w:r w:rsidRPr="00310D26">
        <w:rPr>
          <w:sz w:val="18"/>
        </w:rPr>
        <w:t>AN</w:t>
      </w:r>
      <w:r w:rsidR="009559B4" w:rsidRPr="00310D26">
        <w:rPr>
          <w:sz w:val="18"/>
        </w:rPr>
        <w:t xml:space="preserve">EXO </w:t>
      </w:r>
      <w:r w:rsidRPr="00310D26">
        <w:rPr>
          <w:sz w:val="18"/>
        </w:rPr>
        <w:t>V:</w:t>
      </w:r>
      <w:r w:rsidRPr="00310D26">
        <w:rPr>
          <w:sz w:val="18"/>
        </w:rPr>
        <w:tab/>
      </w:r>
      <w:r w:rsidR="009559B4" w:rsidRPr="00310D26">
        <w:rPr>
          <w:sz w:val="18"/>
        </w:rPr>
        <w:t xml:space="preserve">Revisiones del documento </w:t>
      </w:r>
      <w:r w:rsidRPr="00310D26">
        <w:rPr>
          <w:sz w:val="18"/>
        </w:rPr>
        <w:t>TGP/15</w:t>
      </w:r>
    </w:p>
    <w:p w14:paraId="56BCEEFA" w14:textId="637A5D92" w:rsidR="00955AD5" w:rsidRPr="00310D26" w:rsidRDefault="00955AD5" w:rsidP="004F2167">
      <w:pPr>
        <w:spacing w:before="60"/>
        <w:ind w:left="1134" w:hanging="1134"/>
        <w:rPr>
          <w:sz w:val="18"/>
        </w:rPr>
      </w:pPr>
      <w:r w:rsidRPr="00310D26">
        <w:rPr>
          <w:sz w:val="18"/>
        </w:rPr>
        <w:t>AN</w:t>
      </w:r>
      <w:r w:rsidR="009559B4" w:rsidRPr="00310D26">
        <w:rPr>
          <w:sz w:val="18"/>
        </w:rPr>
        <w:t xml:space="preserve">EXO </w:t>
      </w:r>
      <w:r w:rsidRPr="00310D26">
        <w:rPr>
          <w:sz w:val="18"/>
        </w:rPr>
        <w:t>VI:</w:t>
      </w:r>
      <w:r w:rsidRPr="00310D26">
        <w:rPr>
          <w:sz w:val="18"/>
        </w:rPr>
        <w:tab/>
      </w:r>
      <w:r w:rsidR="00FA13D8" w:rsidRPr="00310D26">
        <w:rPr>
          <w:sz w:val="18"/>
        </w:rPr>
        <w:t>Cuadro panorámico del proceso de elaboración de material de información</w:t>
      </w:r>
    </w:p>
    <w:p w14:paraId="2928C59D" w14:textId="7129AA2B" w:rsidR="00955AD5" w:rsidRPr="00310D26" w:rsidRDefault="00955AD5" w:rsidP="004F2167">
      <w:pPr>
        <w:spacing w:before="60"/>
        <w:ind w:left="1134" w:hanging="1134"/>
        <w:rPr>
          <w:sz w:val="18"/>
        </w:rPr>
      </w:pPr>
      <w:r w:rsidRPr="00310D26">
        <w:rPr>
          <w:sz w:val="18"/>
        </w:rPr>
        <w:t>AN</w:t>
      </w:r>
      <w:r w:rsidR="009559B4" w:rsidRPr="00310D26">
        <w:rPr>
          <w:sz w:val="18"/>
        </w:rPr>
        <w:t xml:space="preserve">EXO </w:t>
      </w:r>
      <w:r w:rsidRPr="00310D26">
        <w:rPr>
          <w:sz w:val="18"/>
        </w:rPr>
        <w:t>VII:</w:t>
      </w:r>
      <w:r w:rsidRPr="00310D26">
        <w:rPr>
          <w:sz w:val="18"/>
        </w:rPr>
        <w:tab/>
      </w:r>
      <w:r w:rsidR="009559B4" w:rsidRPr="00310D26">
        <w:rPr>
          <w:sz w:val="18"/>
        </w:rPr>
        <w:t>Programa para la elaboración de los documentos TGP</w:t>
      </w:r>
    </w:p>
    <w:p w14:paraId="1C31D4E1" w14:textId="77777777" w:rsidR="00955AD5" w:rsidRPr="00492AA3" w:rsidRDefault="00955AD5" w:rsidP="00955AD5">
      <w:pPr>
        <w:ind w:left="1134" w:hanging="1134"/>
        <w:rPr>
          <w:highlight w:val="yellow"/>
        </w:rPr>
      </w:pPr>
    </w:p>
    <w:p w14:paraId="3EC08219" w14:textId="146D4BA9" w:rsidR="00955AD5" w:rsidRPr="00492AA3" w:rsidRDefault="00955AD5" w:rsidP="00955AD5">
      <w:pPr>
        <w:keepNext/>
        <w:rPr>
          <w:rFonts w:cs="Arial"/>
        </w:rPr>
      </w:pPr>
      <w:r w:rsidRPr="00492AA3">
        <w:rPr>
          <w:rFonts w:cs="Arial"/>
        </w:rPr>
        <w:fldChar w:fldCharType="begin"/>
      </w:r>
      <w:r w:rsidRPr="00492AA3">
        <w:rPr>
          <w:rFonts w:cs="Arial"/>
        </w:rPr>
        <w:instrText xml:space="preserve"> AUTONUM  </w:instrText>
      </w:r>
      <w:r w:rsidRPr="00492AA3">
        <w:rPr>
          <w:rFonts w:cs="Arial"/>
        </w:rPr>
        <w:fldChar w:fldCharType="end"/>
      </w:r>
      <w:r w:rsidRPr="00492AA3">
        <w:rPr>
          <w:rFonts w:cs="Arial"/>
        </w:rPr>
        <w:tab/>
      </w:r>
      <w:r w:rsidR="006B768D" w:rsidRPr="00492AA3">
        <w:rPr>
          <w:rFonts w:cs="Arial"/>
        </w:rPr>
        <w:t>En el presente documento se utilizan las siguientes abreviaturas</w:t>
      </w:r>
      <w:r w:rsidRPr="00492AA3">
        <w:rPr>
          <w:rFonts w:cs="Arial"/>
        </w:rPr>
        <w:t>:</w:t>
      </w:r>
    </w:p>
    <w:p w14:paraId="7A4BC20F" w14:textId="77777777" w:rsidR="00955AD5" w:rsidRPr="00492AA3" w:rsidRDefault="00955AD5" w:rsidP="00955AD5">
      <w:pPr>
        <w:keepNext/>
        <w:ind w:left="1701" w:hanging="1134"/>
        <w:rPr>
          <w:rFonts w:cs="Arial"/>
        </w:rPr>
      </w:pPr>
    </w:p>
    <w:p w14:paraId="4760B681" w14:textId="06D47E3C" w:rsidR="00955AD5" w:rsidRPr="00492AA3" w:rsidRDefault="00955AD5" w:rsidP="006B768D">
      <w:pPr>
        <w:keepNext/>
        <w:shd w:val="clear" w:color="auto" w:fill="FFFFFF" w:themeFill="background1"/>
        <w:ind w:left="1701" w:hanging="1134"/>
        <w:rPr>
          <w:rFonts w:cs="Arial"/>
        </w:rPr>
      </w:pPr>
      <w:r w:rsidRPr="00492AA3">
        <w:rPr>
          <w:rFonts w:cs="Arial"/>
        </w:rPr>
        <w:t>CAJ:</w:t>
      </w:r>
      <w:r w:rsidRPr="00492AA3">
        <w:rPr>
          <w:rFonts w:cs="Arial"/>
        </w:rPr>
        <w:tab/>
      </w:r>
      <w:r w:rsidR="009559B4" w:rsidRPr="00492AA3">
        <w:t>Comité Administrativo y Jurídico</w:t>
      </w:r>
    </w:p>
    <w:p w14:paraId="644652D8" w14:textId="18786F3A" w:rsidR="00955AD5" w:rsidRPr="00492AA3" w:rsidRDefault="00955AD5" w:rsidP="006B768D">
      <w:pPr>
        <w:keepNext/>
        <w:shd w:val="clear" w:color="auto" w:fill="FFFFFF" w:themeFill="background1"/>
        <w:ind w:left="1701" w:hanging="1134"/>
        <w:rPr>
          <w:rFonts w:cs="Arial"/>
        </w:rPr>
      </w:pPr>
      <w:r w:rsidRPr="00492AA3">
        <w:rPr>
          <w:rFonts w:cs="Arial"/>
        </w:rPr>
        <w:t>CAJ</w:t>
      </w:r>
      <w:r w:rsidRPr="00492AA3">
        <w:rPr>
          <w:rFonts w:cs="Arial"/>
        </w:rPr>
        <w:noBreakHyphen/>
        <w:t>AG:</w:t>
      </w:r>
      <w:r w:rsidRPr="00492AA3">
        <w:rPr>
          <w:rFonts w:cs="Arial"/>
        </w:rPr>
        <w:tab/>
      </w:r>
      <w:r w:rsidR="00FA13D8" w:rsidRPr="00492AA3">
        <w:rPr>
          <w:rFonts w:cs="Arial"/>
          <w:color w:val="000000"/>
          <w:shd w:val="clear" w:color="auto" w:fill="FFFFFF" w:themeFill="background1"/>
        </w:rPr>
        <w:t>Grupo Asesor del Comité Administrativo y Jurídico</w:t>
      </w:r>
    </w:p>
    <w:p w14:paraId="78E51C74" w14:textId="31043AA4" w:rsidR="00955AD5" w:rsidRPr="00492AA3" w:rsidRDefault="00955AD5" w:rsidP="006B768D">
      <w:pPr>
        <w:shd w:val="clear" w:color="auto" w:fill="FFFFFF" w:themeFill="background1"/>
        <w:ind w:left="1701" w:hanging="1134"/>
        <w:rPr>
          <w:rFonts w:cs="Arial"/>
          <w:color w:val="000000"/>
        </w:rPr>
      </w:pPr>
      <w:r w:rsidRPr="00492AA3">
        <w:t>WG-DEN:</w:t>
      </w:r>
      <w:r w:rsidRPr="00492AA3">
        <w:tab/>
      </w:r>
      <w:r w:rsidR="00FA13D8" w:rsidRPr="00492AA3">
        <w:rPr>
          <w:rFonts w:cs="Arial"/>
          <w:color w:val="000000"/>
          <w:shd w:val="clear" w:color="auto" w:fill="FFFFFF" w:themeFill="background1"/>
        </w:rPr>
        <w:t>Grupo de Trabajo sobre Denominaciones de Variedades</w:t>
      </w:r>
    </w:p>
    <w:p w14:paraId="6F3A24AE" w14:textId="0DA66A01" w:rsidR="009559B4" w:rsidRPr="00492AA3" w:rsidRDefault="00955AD5" w:rsidP="006B768D">
      <w:pPr>
        <w:keepNext/>
        <w:shd w:val="clear" w:color="auto" w:fill="FFFFFF" w:themeFill="background1"/>
        <w:ind w:left="1701" w:hanging="1134"/>
        <w:rPr>
          <w:rFonts w:cs="Arial"/>
        </w:rPr>
      </w:pPr>
      <w:r w:rsidRPr="00492AA3">
        <w:rPr>
          <w:rFonts w:cs="Arial"/>
        </w:rPr>
        <w:t>TC:</w:t>
      </w:r>
      <w:r w:rsidR="00C05526" w:rsidRPr="00492AA3">
        <w:rPr>
          <w:rFonts w:cs="Arial"/>
        </w:rPr>
        <w:t xml:space="preserve"> </w:t>
      </w:r>
      <w:r w:rsidRPr="00492AA3">
        <w:rPr>
          <w:rFonts w:cs="Arial"/>
        </w:rPr>
        <w:tab/>
      </w:r>
      <w:r w:rsidR="009559B4" w:rsidRPr="00492AA3">
        <w:t>Comité Técnico</w:t>
      </w:r>
      <w:r w:rsidR="009559B4" w:rsidRPr="00492AA3">
        <w:rPr>
          <w:rFonts w:cs="Arial"/>
        </w:rPr>
        <w:t xml:space="preserve"> </w:t>
      </w:r>
    </w:p>
    <w:p w14:paraId="6E470BD1" w14:textId="67160A4A" w:rsidR="00955AD5" w:rsidRPr="00492AA3" w:rsidRDefault="00C05526" w:rsidP="006B768D">
      <w:pPr>
        <w:keepNext/>
        <w:shd w:val="clear" w:color="auto" w:fill="FFFFFF" w:themeFill="background1"/>
        <w:ind w:left="1701" w:hanging="1134"/>
        <w:rPr>
          <w:rFonts w:cs="Arial"/>
        </w:rPr>
      </w:pPr>
      <w:r w:rsidRPr="00492AA3">
        <w:rPr>
          <w:rFonts w:cs="Arial"/>
        </w:rPr>
        <w:t>TC-EDC:</w:t>
      </w:r>
      <w:r w:rsidR="00955AD5" w:rsidRPr="00492AA3">
        <w:rPr>
          <w:rFonts w:cs="Arial"/>
        </w:rPr>
        <w:tab/>
      </w:r>
      <w:r w:rsidR="009559B4" w:rsidRPr="00492AA3">
        <w:t>Comité de Redacción Ampliado</w:t>
      </w:r>
    </w:p>
    <w:p w14:paraId="369D35C8" w14:textId="7BE5265E" w:rsidR="00955AD5" w:rsidRPr="00492AA3" w:rsidRDefault="00955AD5" w:rsidP="006B768D">
      <w:pPr>
        <w:shd w:val="clear" w:color="auto" w:fill="FFFFFF" w:themeFill="background1"/>
        <w:ind w:left="1701" w:hanging="1134"/>
        <w:rPr>
          <w:rFonts w:cs="Arial"/>
          <w:color w:val="000000"/>
        </w:rPr>
      </w:pPr>
      <w:r w:rsidRPr="00492AA3">
        <w:rPr>
          <w:rFonts w:cs="Arial"/>
          <w:color w:val="000000"/>
        </w:rPr>
        <w:t>TWP:</w:t>
      </w:r>
      <w:r w:rsidRPr="00492AA3">
        <w:rPr>
          <w:rFonts w:cs="Arial"/>
          <w:color w:val="000000"/>
        </w:rPr>
        <w:tab/>
      </w:r>
      <w:bookmarkStart w:id="7" w:name="_Toc352678045"/>
      <w:bookmarkStart w:id="8" w:name="_Toc353797725"/>
      <w:bookmarkStart w:id="9" w:name="_Toc386185970"/>
      <w:bookmarkStart w:id="10" w:name="_Toc419124858"/>
      <w:r w:rsidR="009559B4" w:rsidRPr="00492AA3">
        <w:rPr>
          <w:color w:val="000000"/>
        </w:rPr>
        <w:t>Grupos de Trabajo Técnico</w:t>
      </w:r>
    </w:p>
    <w:p w14:paraId="48250004" w14:textId="77EBDAAE" w:rsidR="00955AD5" w:rsidRPr="00492AA3" w:rsidRDefault="00955AD5" w:rsidP="006B768D">
      <w:pPr>
        <w:shd w:val="clear" w:color="auto" w:fill="FFFFFF" w:themeFill="background1"/>
        <w:ind w:left="1701" w:hanging="1134"/>
        <w:rPr>
          <w:rFonts w:cs="Arial"/>
          <w:color w:val="000000"/>
        </w:rPr>
      </w:pPr>
      <w:r w:rsidRPr="00492AA3">
        <w:rPr>
          <w:rFonts w:cs="Arial"/>
          <w:color w:val="000000"/>
        </w:rPr>
        <w:t xml:space="preserve">TWC: </w:t>
      </w:r>
      <w:r w:rsidRPr="00492AA3">
        <w:rPr>
          <w:rFonts w:cs="Arial"/>
          <w:color w:val="000000"/>
        </w:rPr>
        <w:tab/>
      </w:r>
      <w:r w:rsidR="00FA13D8" w:rsidRPr="00492AA3">
        <w:rPr>
          <w:rFonts w:cs="Arial"/>
          <w:color w:val="000000"/>
          <w:shd w:val="clear" w:color="auto" w:fill="FFFFFF" w:themeFill="background1"/>
        </w:rPr>
        <w:t>Grupo de Trabajo Técnico sobre Automatización y Programas Informáticos</w:t>
      </w:r>
    </w:p>
    <w:p w14:paraId="61931304" w14:textId="77777777" w:rsidR="00955AD5" w:rsidRPr="00492AA3" w:rsidRDefault="00955AD5" w:rsidP="00955AD5">
      <w:pPr>
        <w:jc w:val="left"/>
        <w:rPr>
          <w:rFonts w:cs="Arial"/>
          <w:color w:val="000000"/>
        </w:rPr>
      </w:pPr>
    </w:p>
    <w:p w14:paraId="1562BCE0" w14:textId="68C9A281" w:rsidR="00412DCB" w:rsidRPr="00492AA3" w:rsidRDefault="00412DCB" w:rsidP="00955AD5">
      <w:pPr>
        <w:jc w:val="left"/>
        <w:rPr>
          <w:rFonts w:cs="Arial"/>
          <w:color w:val="000000"/>
        </w:rPr>
      </w:pPr>
    </w:p>
    <w:p w14:paraId="1A6C1A8A" w14:textId="77777777" w:rsidR="007C2166" w:rsidRPr="00492AA3" w:rsidRDefault="007C2166" w:rsidP="00955AD5">
      <w:pPr>
        <w:jc w:val="left"/>
        <w:rPr>
          <w:rFonts w:cs="Arial"/>
          <w:color w:val="000000"/>
        </w:rPr>
      </w:pPr>
    </w:p>
    <w:p w14:paraId="1471B0DD" w14:textId="77777777" w:rsidR="00817F4E" w:rsidRPr="00492AA3" w:rsidRDefault="00817F4E" w:rsidP="00817F4E">
      <w:pPr>
        <w:pStyle w:val="Heading1"/>
        <w:rPr>
          <w:snapToGrid w:val="0"/>
          <w:lang w:val="es-419"/>
        </w:rPr>
      </w:pPr>
      <w:bookmarkStart w:id="11" w:name="_Toc47773612"/>
      <w:bookmarkStart w:id="12" w:name="_Toc52802607"/>
      <w:r w:rsidRPr="00492AA3">
        <w:rPr>
          <w:snapToGrid w:val="0"/>
          <w:lang w:val="es-419"/>
        </w:rPr>
        <w:t>ANTECEDENTES</w:t>
      </w:r>
      <w:bookmarkEnd w:id="11"/>
      <w:bookmarkEnd w:id="12"/>
    </w:p>
    <w:p w14:paraId="597651E7" w14:textId="77777777" w:rsidR="00955AD5" w:rsidRPr="00492AA3" w:rsidRDefault="00955AD5" w:rsidP="00955AD5">
      <w:pPr>
        <w:rPr>
          <w:rFonts w:cs="Arial"/>
        </w:rPr>
      </w:pPr>
    </w:p>
    <w:bookmarkEnd w:id="7"/>
    <w:bookmarkEnd w:id="8"/>
    <w:bookmarkEnd w:id="9"/>
    <w:bookmarkEnd w:id="10"/>
    <w:p w14:paraId="2B30F77E" w14:textId="4EFB371C" w:rsidR="00955AD5" w:rsidRPr="00492AA3" w:rsidRDefault="00955AD5" w:rsidP="00D60821">
      <w:pPr>
        <w:rPr>
          <w:rFonts w:cs="Arial"/>
        </w:rPr>
      </w:pPr>
      <w:r w:rsidRPr="00492AA3">
        <w:rPr>
          <w:rFonts w:cs="Arial"/>
        </w:rPr>
        <w:fldChar w:fldCharType="begin"/>
      </w:r>
      <w:r w:rsidRPr="00492AA3">
        <w:rPr>
          <w:rFonts w:cs="Arial"/>
        </w:rPr>
        <w:instrText xml:space="preserve"> AUTONUM  </w:instrText>
      </w:r>
      <w:r w:rsidRPr="00492AA3">
        <w:rPr>
          <w:rFonts w:cs="Arial"/>
        </w:rPr>
        <w:fldChar w:fldCharType="end"/>
      </w:r>
      <w:r w:rsidRPr="00492AA3">
        <w:rPr>
          <w:rFonts w:cs="Arial"/>
        </w:rPr>
        <w:tab/>
      </w:r>
      <w:bookmarkStart w:id="13" w:name="_Ref42609340"/>
      <w:r w:rsidR="009559B4" w:rsidRPr="00492AA3">
        <w:t>El TC, en su quincuagésima quinta sesión</w:t>
      </w:r>
      <w:bookmarkStart w:id="14" w:name="_Ref48824131"/>
      <w:bookmarkEnd w:id="13"/>
      <w:r w:rsidR="00881B25" w:rsidRPr="00492AA3">
        <w:rPr>
          <w:rStyle w:val="FootnoteReference"/>
        </w:rPr>
        <w:footnoteReference w:id="3"/>
      </w:r>
      <w:bookmarkStart w:id="15" w:name="_Ref42609563"/>
      <w:bookmarkEnd w:id="14"/>
      <w:r w:rsidR="0024487F" w:rsidRPr="00492AA3">
        <w:t xml:space="preserve">, </w:t>
      </w:r>
      <w:r w:rsidR="009559B4" w:rsidRPr="00492AA3">
        <w:t>y el CAJ, en su septuagésima sexta sesión,</w:t>
      </w:r>
      <w:r w:rsidRPr="00492AA3">
        <w:rPr>
          <w:rStyle w:val="FootnoteReference"/>
        </w:rPr>
        <w:footnoteReference w:id="4"/>
      </w:r>
      <w:bookmarkEnd w:id="15"/>
      <w:r w:rsidRPr="00492AA3">
        <w:t xml:space="preserve"> </w:t>
      </w:r>
      <w:r w:rsidR="009559B4" w:rsidRPr="00492AA3">
        <w:t xml:space="preserve">aprobaron el programa para la elaboración de los documentos TGP que figura en </w:t>
      </w:r>
      <w:r w:rsidR="00C31FB5" w:rsidRPr="00492AA3">
        <w:t>el Anexo</w:t>
      </w:r>
      <w:r w:rsidR="009559B4" w:rsidRPr="00492AA3">
        <w:t xml:space="preserve"> de los documentos </w:t>
      </w:r>
      <w:r w:rsidRPr="00492AA3">
        <w:t xml:space="preserve">TC/55/4 </w:t>
      </w:r>
      <w:r w:rsidR="009559B4" w:rsidRPr="00492AA3">
        <w:t>y</w:t>
      </w:r>
      <w:r w:rsidRPr="00492AA3">
        <w:t xml:space="preserve"> CAJ/76/2, respecti</w:t>
      </w:r>
      <w:r w:rsidR="009559B4" w:rsidRPr="00492AA3">
        <w:t xml:space="preserve">vamente, </w:t>
      </w:r>
      <w:r w:rsidR="00C31FB5" w:rsidRPr="00492AA3">
        <w:t>teniendo en cuenta</w:t>
      </w:r>
      <w:r w:rsidR="009559B4" w:rsidRPr="00492AA3">
        <w:t xml:space="preserve"> las conclusiones </w:t>
      </w:r>
      <w:r w:rsidR="00C31FB5" w:rsidRPr="00492AA3">
        <w:t>alcanzadas en</w:t>
      </w:r>
      <w:r w:rsidR="009559B4" w:rsidRPr="00492AA3">
        <w:t xml:space="preserve"> sus sesiones </w:t>
      </w:r>
      <w:r w:rsidRPr="00492AA3">
        <w:t>(</w:t>
      </w:r>
      <w:r w:rsidR="009559B4" w:rsidRPr="00492AA3">
        <w:t>véanse el documento</w:t>
      </w:r>
      <w:r w:rsidRPr="00492AA3">
        <w:t xml:space="preserve"> TC/55/25 </w:t>
      </w:r>
      <w:proofErr w:type="spellStart"/>
      <w:r w:rsidRPr="00492AA3">
        <w:t>Corr</w:t>
      </w:r>
      <w:proofErr w:type="spellEnd"/>
      <w:r w:rsidR="007222AE" w:rsidRPr="00492AA3">
        <w:t>.</w:t>
      </w:r>
      <w:r w:rsidR="00C31FB5" w:rsidRPr="00492AA3">
        <w:t xml:space="preserve">: </w:t>
      </w:r>
      <w:r w:rsidRPr="00492AA3">
        <w:t>“</w:t>
      </w:r>
      <w:r w:rsidR="00FA13D8" w:rsidRPr="00492AA3">
        <w:rPr>
          <w:rFonts w:cs="Arial"/>
        </w:rPr>
        <w:t>Informe</w:t>
      </w:r>
      <w:r w:rsidRPr="00492AA3">
        <w:t>”, p</w:t>
      </w:r>
      <w:r w:rsidR="009559B4" w:rsidRPr="00492AA3">
        <w:t>árrafo</w:t>
      </w:r>
      <w:r w:rsidRPr="00492AA3">
        <w:t xml:space="preserve"> 176, </w:t>
      </w:r>
      <w:r w:rsidR="009559B4" w:rsidRPr="00492AA3">
        <w:t xml:space="preserve">y el documento </w:t>
      </w:r>
      <w:r w:rsidRPr="00492AA3">
        <w:t>CAJ/76/9</w:t>
      </w:r>
      <w:r w:rsidR="00C31FB5" w:rsidRPr="00492AA3">
        <w:t xml:space="preserve">: </w:t>
      </w:r>
      <w:r w:rsidR="00FA13D8" w:rsidRPr="00492AA3">
        <w:rPr>
          <w:rFonts w:cs="Arial"/>
          <w:color w:val="000000"/>
        </w:rPr>
        <w:t xml:space="preserve">“Informe”, </w:t>
      </w:r>
      <w:r w:rsidRPr="00492AA3">
        <w:t>p</w:t>
      </w:r>
      <w:r w:rsidR="009559B4" w:rsidRPr="00492AA3">
        <w:t xml:space="preserve">árrafo </w:t>
      </w:r>
      <w:r w:rsidRPr="00492AA3">
        <w:t>33).</w:t>
      </w:r>
    </w:p>
    <w:p w14:paraId="109357D2" w14:textId="77777777" w:rsidR="00955AD5" w:rsidRPr="00492AA3" w:rsidRDefault="00955AD5" w:rsidP="00955AD5"/>
    <w:p w14:paraId="7F9CCBDB" w14:textId="38B8FA66" w:rsidR="00955AD5" w:rsidRPr="00492AA3" w:rsidRDefault="00955AD5" w:rsidP="00955AD5">
      <w:pPr>
        <w:rPr>
          <w:spacing w:val="-2"/>
        </w:rPr>
      </w:pPr>
      <w:r w:rsidRPr="00492AA3">
        <w:rPr>
          <w:rFonts w:cs="Arial"/>
          <w:spacing w:val="-2"/>
        </w:rPr>
        <w:fldChar w:fldCharType="begin"/>
      </w:r>
      <w:r w:rsidRPr="00492AA3">
        <w:rPr>
          <w:rFonts w:cs="Arial"/>
          <w:spacing w:val="-2"/>
        </w:rPr>
        <w:instrText xml:space="preserve"> AUTONUM  </w:instrText>
      </w:r>
      <w:r w:rsidRPr="00492AA3">
        <w:rPr>
          <w:rFonts w:cs="Arial"/>
          <w:spacing w:val="-2"/>
        </w:rPr>
        <w:fldChar w:fldCharType="end"/>
      </w:r>
      <w:r w:rsidRPr="00492AA3">
        <w:rPr>
          <w:rFonts w:cs="Arial"/>
          <w:spacing w:val="-2"/>
        </w:rPr>
        <w:tab/>
      </w:r>
      <w:r w:rsidR="00310FB7" w:rsidRPr="00492AA3">
        <w:rPr>
          <w:rFonts w:cs="Arial"/>
          <w:spacing w:val="-2"/>
        </w:rPr>
        <w:t>Con arreglo al</w:t>
      </w:r>
      <w:r w:rsidR="008D47AC" w:rsidRPr="00492AA3">
        <w:rPr>
          <w:rFonts w:cs="Arial"/>
          <w:spacing w:val="-2"/>
        </w:rPr>
        <w:t xml:space="preserve"> proyecto de</w:t>
      </w:r>
      <w:r w:rsidR="00310FB7" w:rsidRPr="00492AA3">
        <w:rPr>
          <w:rFonts w:cs="Arial"/>
          <w:spacing w:val="-2"/>
        </w:rPr>
        <w:t xml:space="preserve"> orden del día de</w:t>
      </w:r>
      <w:r w:rsidR="008813A4" w:rsidRPr="00492AA3">
        <w:rPr>
          <w:rFonts w:cs="Arial"/>
          <w:spacing w:val="-2"/>
        </w:rPr>
        <w:t xml:space="preserve"> </w:t>
      </w:r>
      <w:r w:rsidR="00310FB7" w:rsidRPr="00492AA3">
        <w:rPr>
          <w:rFonts w:cs="Arial"/>
          <w:spacing w:val="-2"/>
        </w:rPr>
        <w:t>l</w:t>
      </w:r>
      <w:r w:rsidR="008813A4" w:rsidRPr="00492AA3">
        <w:rPr>
          <w:rFonts w:cs="Arial"/>
          <w:spacing w:val="-2"/>
        </w:rPr>
        <w:t>a</w:t>
      </w:r>
      <w:r w:rsidR="00D83A3F" w:rsidRPr="00492AA3">
        <w:rPr>
          <w:rFonts w:cs="Arial"/>
          <w:spacing w:val="-2"/>
        </w:rPr>
        <w:t xml:space="preserve"> 77.ª sesión del</w:t>
      </w:r>
      <w:r w:rsidR="008D47AC" w:rsidRPr="00492AA3">
        <w:rPr>
          <w:rFonts w:cs="Arial"/>
          <w:spacing w:val="-2"/>
        </w:rPr>
        <w:t xml:space="preserve"> </w:t>
      </w:r>
      <w:r w:rsidRPr="00492AA3">
        <w:rPr>
          <w:rFonts w:cs="Arial"/>
          <w:spacing w:val="-2"/>
        </w:rPr>
        <w:t>CAJ</w:t>
      </w:r>
      <w:r w:rsidR="00D83A3F" w:rsidRPr="00492AA3">
        <w:rPr>
          <w:rFonts w:cs="Arial"/>
          <w:spacing w:val="-2"/>
        </w:rPr>
        <w:t>,</w:t>
      </w:r>
      <w:r w:rsidRPr="00492AA3">
        <w:rPr>
          <w:rFonts w:cs="Arial"/>
          <w:color w:val="FF0000"/>
          <w:spacing w:val="-2"/>
        </w:rPr>
        <w:t xml:space="preserve"> </w:t>
      </w:r>
      <w:r w:rsidR="00310FB7" w:rsidRPr="00492AA3">
        <w:rPr>
          <w:rFonts w:cs="Arial"/>
          <w:spacing w:val="-2"/>
        </w:rPr>
        <w:t>el presente documento incluye cuestiones relativas a los “Documentos T</w:t>
      </w:r>
      <w:r w:rsidR="00C31FB5" w:rsidRPr="00492AA3">
        <w:rPr>
          <w:rFonts w:cs="Arial"/>
          <w:spacing w:val="-2"/>
        </w:rPr>
        <w:t>GP</w:t>
      </w:r>
      <w:r w:rsidRPr="00492AA3">
        <w:rPr>
          <w:rFonts w:cs="Arial"/>
          <w:spacing w:val="-2"/>
        </w:rPr>
        <w:t>”</w:t>
      </w:r>
      <w:r w:rsidR="00310FB7" w:rsidRPr="00492AA3">
        <w:rPr>
          <w:rFonts w:cs="Arial"/>
          <w:spacing w:val="-2"/>
        </w:rPr>
        <w:t xml:space="preserve">, a fin de abarcar todo el </w:t>
      </w:r>
      <w:r w:rsidR="00310FB7" w:rsidRPr="00492AA3">
        <w:rPr>
          <w:rFonts w:cs="Arial"/>
          <w:color w:val="000000"/>
          <w:spacing w:val="-2"/>
          <w:shd w:val="clear" w:color="auto" w:fill="FFFFFF" w:themeFill="background1"/>
        </w:rPr>
        <w:t>material de información </w:t>
      </w:r>
      <w:r w:rsidR="008813A4" w:rsidRPr="00492AA3">
        <w:rPr>
          <w:rFonts w:cs="Arial"/>
          <w:spacing w:val="-2"/>
        </w:rPr>
        <w:t>relacionado con</w:t>
      </w:r>
      <w:r w:rsidR="00154ADE" w:rsidRPr="00492AA3">
        <w:rPr>
          <w:rFonts w:cs="Arial"/>
          <w:spacing w:val="-2"/>
        </w:rPr>
        <w:t xml:space="preserve"> la</w:t>
      </w:r>
      <w:r w:rsidR="00310FB7" w:rsidRPr="00492AA3">
        <w:rPr>
          <w:rFonts w:cs="Arial"/>
          <w:spacing w:val="-2"/>
        </w:rPr>
        <w:t xml:space="preserve"> </w:t>
      </w:r>
      <w:r w:rsidRPr="00492AA3">
        <w:rPr>
          <w:rFonts w:cs="Arial"/>
          <w:spacing w:val="-2"/>
        </w:rPr>
        <w:t>“</w:t>
      </w:r>
      <w:r w:rsidR="00310FB7" w:rsidRPr="00492AA3">
        <w:rPr>
          <w:rFonts w:cs="Arial"/>
          <w:color w:val="000000"/>
          <w:spacing w:val="-2"/>
          <w:shd w:val="clear" w:color="auto" w:fill="FFFFFF" w:themeFill="background1"/>
        </w:rPr>
        <w:t>Elaboración de orientaciones y material de información</w:t>
      </w:r>
      <w:r w:rsidR="008813A4" w:rsidRPr="00492AA3">
        <w:rPr>
          <w:rFonts w:cs="Arial"/>
          <w:spacing w:val="-2"/>
          <w:shd w:val="clear" w:color="auto" w:fill="FFFFFF" w:themeFill="background1"/>
        </w:rPr>
        <w:t>” que se presentará</w:t>
      </w:r>
      <w:r w:rsidR="00310FB7" w:rsidRPr="00492AA3">
        <w:rPr>
          <w:rFonts w:cs="Arial"/>
          <w:spacing w:val="-2"/>
        </w:rPr>
        <w:t xml:space="preserve"> en las próximas sesiones del CAJ</w:t>
      </w:r>
      <w:r w:rsidRPr="00492AA3">
        <w:rPr>
          <w:rFonts w:cs="Arial"/>
          <w:spacing w:val="-2"/>
        </w:rPr>
        <w:t>.</w:t>
      </w:r>
    </w:p>
    <w:p w14:paraId="3D459615" w14:textId="77777777" w:rsidR="00955AD5" w:rsidRPr="00492AA3" w:rsidRDefault="00955AD5" w:rsidP="00955AD5">
      <w:pPr>
        <w:rPr>
          <w:rFonts w:cs="Arial"/>
        </w:rPr>
      </w:pPr>
    </w:p>
    <w:p w14:paraId="319B717B" w14:textId="2401AFD1" w:rsidR="00955AD5" w:rsidRPr="00492AA3" w:rsidRDefault="00955AD5" w:rsidP="00955AD5">
      <w:pPr>
        <w:rPr>
          <w:rFonts w:cs="Arial"/>
        </w:rPr>
      </w:pPr>
      <w:r w:rsidRPr="00492AA3">
        <w:rPr>
          <w:rFonts w:cs="Arial"/>
        </w:rPr>
        <w:fldChar w:fldCharType="begin"/>
      </w:r>
      <w:r w:rsidRPr="00492AA3">
        <w:rPr>
          <w:rFonts w:cs="Arial"/>
        </w:rPr>
        <w:instrText xml:space="preserve"> AUTONUM  </w:instrText>
      </w:r>
      <w:r w:rsidRPr="00492AA3">
        <w:rPr>
          <w:rFonts w:cs="Arial"/>
        </w:rPr>
        <w:fldChar w:fldCharType="end"/>
      </w:r>
      <w:r w:rsidRPr="00492AA3">
        <w:rPr>
          <w:rFonts w:cs="Arial"/>
          <w:color w:val="000000"/>
        </w:rPr>
        <w:tab/>
      </w:r>
      <w:r w:rsidR="00154ADE" w:rsidRPr="00492AA3">
        <w:t>Las orientaciones y el material de información aprobados</w:t>
      </w:r>
      <w:r w:rsidR="009559B4" w:rsidRPr="00492AA3">
        <w:t xml:space="preserve"> se publican en el sitio web de la UPOV en </w:t>
      </w:r>
      <w:hyperlink r:id="rId9" w:history="1">
        <w:r w:rsidR="00310FB7" w:rsidRPr="00492AA3">
          <w:rPr>
            <w:rStyle w:val="Hyperlink"/>
          </w:rPr>
          <w:t>https://www.upov.int/upov_collection/es</w:t>
        </w:r>
      </w:hyperlink>
      <w:r w:rsidRPr="00492AA3">
        <w:rPr>
          <w:rFonts w:cs="Arial"/>
        </w:rPr>
        <w:t>.</w:t>
      </w:r>
    </w:p>
    <w:bookmarkEnd w:id="5"/>
    <w:bookmarkEnd w:id="6"/>
    <w:p w14:paraId="335D4AF5" w14:textId="288CE0EF" w:rsidR="00955AD5" w:rsidRPr="00492AA3" w:rsidRDefault="00955AD5" w:rsidP="00F64DE5">
      <w:pPr>
        <w:tabs>
          <w:tab w:val="left" w:pos="1092"/>
        </w:tabs>
        <w:ind w:left="1092" w:hanging="1092"/>
      </w:pPr>
    </w:p>
    <w:p w14:paraId="42724E80" w14:textId="64DF759D" w:rsidR="00955AD5" w:rsidRPr="00492AA3" w:rsidRDefault="00955AD5" w:rsidP="00955AD5">
      <w:pPr>
        <w:ind w:left="567" w:hanging="567"/>
        <w:jc w:val="left"/>
        <w:rPr>
          <w:highlight w:val="yellow"/>
        </w:rPr>
      </w:pPr>
    </w:p>
    <w:p w14:paraId="6BB00098" w14:textId="77777777" w:rsidR="007C2166" w:rsidRPr="00492AA3" w:rsidRDefault="007C2166" w:rsidP="00955AD5">
      <w:pPr>
        <w:ind w:left="567" w:hanging="567"/>
        <w:jc w:val="left"/>
        <w:rPr>
          <w:highlight w:val="yellow"/>
        </w:rPr>
      </w:pPr>
    </w:p>
    <w:p w14:paraId="7A196C11" w14:textId="028234C4" w:rsidR="00955AD5" w:rsidRPr="00492AA3" w:rsidRDefault="00F64DE5" w:rsidP="007D5673">
      <w:pPr>
        <w:pStyle w:val="Heading1"/>
        <w:rPr>
          <w:snapToGrid w:val="0"/>
          <w:lang w:val="es-419"/>
        </w:rPr>
      </w:pPr>
      <w:bookmarkStart w:id="16" w:name="_Toc52802608"/>
      <w:r w:rsidRPr="00492AA3">
        <w:rPr>
          <w:snapToGrid w:val="0"/>
          <w:lang w:val="es-419"/>
        </w:rPr>
        <w:t xml:space="preserve">CUESTIONES </w:t>
      </w:r>
      <w:r w:rsidR="00CD1A1D" w:rsidRPr="00492AA3">
        <w:rPr>
          <w:snapToGrid w:val="0"/>
          <w:lang w:val="es-419"/>
        </w:rPr>
        <w:t>que se proponen para su</w:t>
      </w:r>
      <w:r w:rsidRPr="00492AA3">
        <w:rPr>
          <w:snapToGrid w:val="0"/>
          <w:lang w:val="es-419"/>
        </w:rPr>
        <w:t xml:space="preserve"> APROBACIÓN POR EL CONSEJO </w:t>
      </w:r>
      <w:r w:rsidR="00CD1A1D" w:rsidRPr="00492AA3">
        <w:rPr>
          <w:snapToGrid w:val="0"/>
          <w:lang w:val="es-419"/>
        </w:rPr>
        <w:t>EN 2020</w:t>
      </w:r>
      <w:bookmarkEnd w:id="16"/>
    </w:p>
    <w:p w14:paraId="24327493" w14:textId="77777777" w:rsidR="00F64DE5" w:rsidRPr="00492AA3" w:rsidRDefault="00F64DE5" w:rsidP="007D5673"/>
    <w:p w14:paraId="3C53B040" w14:textId="36F405B4" w:rsidR="00955AD5" w:rsidRPr="00492AA3" w:rsidRDefault="00FF2244" w:rsidP="00881B25">
      <w:pPr>
        <w:pStyle w:val="Heading2"/>
        <w:numPr>
          <w:ilvl w:val="0"/>
          <w:numId w:val="6"/>
        </w:numPr>
        <w:ind w:left="567" w:hanging="567"/>
        <w:rPr>
          <w:snapToGrid w:val="0"/>
          <w:lang w:val="es-ES"/>
        </w:rPr>
      </w:pPr>
      <w:bookmarkStart w:id="17" w:name="_Toc52802609"/>
      <w:r w:rsidRPr="00492AA3">
        <w:rPr>
          <w:snapToGrid w:val="0"/>
          <w:lang w:val="es-ES"/>
        </w:rPr>
        <w:t>Material de información</w:t>
      </w:r>
      <w:bookmarkEnd w:id="17"/>
    </w:p>
    <w:p w14:paraId="719D6CA0" w14:textId="77777777" w:rsidR="00955AD5" w:rsidRPr="00492AA3" w:rsidRDefault="00955AD5" w:rsidP="00955AD5">
      <w:pPr>
        <w:keepNext/>
      </w:pPr>
    </w:p>
    <w:p w14:paraId="3F5D2D1D" w14:textId="0065D219" w:rsidR="00955AD5" w:rsidRPr="00492AA3" w:rsidRDefault="00FF2244" w:rsidP="004F2167">
      <w:pPr>
        <w:pStyle w:val="Heading3"/>
      </w:pPr>
      <w:bookmarkStart w:id="18" w:name="_Toc52802610"/>
      <w:r w:rsidRPr="00492AA3">
        <w:t>Revisión del documento</w:t>
      </w:r>
      <w:r w:rsidR="00955AD5" w:rsidRPr="00492AA3">
        <w:t xml:space="preserve"> UPOV/INF/16 “</w:t>
      </w:r>
      <w:r w:rsidR="00567357" w:rsidRPr="00492AA3">
        <w:t>Programas informáticos para intercambio</w:t>
      </w:r>
      <w:r w:rsidR="00955AD5" w:rsidRPr="00492AA3">
        <w:t>” (document</w:t>
      </w:r>
      <w:r w:rsidRPr="00492AA3">
        <w:t>o</w:t>
      </w:r>
      <w:r w:rsidR="00796BCA" w:rsidRPr="00492AA3">
        <w:t> </w:t>
      </w:r>
      <w:r w:rsidR="00955AD5" w:rsidRPr="00492AA3">
        <w:t>UPOV/</w:t>
      </w:r>
      <w:proofErr w:type="spellStart"/>
      <w:r w:rsidR="00955AD5" w:rsidRPr="00492AA3">
        <w:t>INF</w:t>
      </w:r>
      <w:proofErr w:type="spellEnd"/>
      <w:r w:rsidR="00955AD5" w:rsidRPr="00492AA3">
        <w:t>/16/9 </w:t>
      </w:r>
      <w:proofErr w:type="spellStart"/>
      <w:r w:rsidR="00955AD5" w:rsidRPr="00492AA3">
        <w:t>Draft</w:t>
      </w:r>
      <w:proofErr w:type="spellEnd"/>
      <w:r w:rsidR="00955AD5" w:rsidRPr="00492AA3">
        <w:t> </w:t>
      </w:r>
      <w:r w:rsidR="00796BCA" w:rsidRPr="00492AA3">
        <w:rPr>
          <w:strike/>
          <w:highlight w:val="yellow"/>
        </w:rPr>
        <w:t>1</w:t>
      </w:r>
      <w:r w:rsidR="00796BCA" w:rsidRPr="00492AA3">
        <w:rPr>
          <w:bCs/>
          <w:snapToGrid w:val="0"/>
          <w:highlight w:val="yellow"/>
          <w:u w:val="single"/>
        </w:rPr>
        <w:t>2</w:t>
      </w:r>
      <w:r w:rsidR="00955AD5" w:rsidRPr="00492AA3">
        <w:t>)</w:t>
      </w:r>
      <w:bookmarkEnd w:id="18"/>
    </w:p>
    <w:p w14:paraId="74987617" w14:textId="77777777" w:rsidR="00955AD5" w:rsidRPr="00492AA3" w:rsidRDefault="00955AD5" w:rsidP="00955AD5">
      <w:pPr>
        <w:rPr>
          <w:snapToGrid w:val="0"/>
          <w:lang w:eastAsia="ja-JP"/>
        </w:rPr>
      </w:pPr>
    </w:p>
    <w:p w14:paraId="17F75847" w14:textId="0FEFD1C3" w:rsidR="00955AD5" w:rsidRPr="00492AA3" w:rsidRDefault="00FF2244" w:rsidP="007C2166">
      <w:pPr>
        <w:pStyle w:val="Heading4"/>
        <w:rPr>
          <w:lang w:eastAsia="ja-JP"/>
        </w:rPr>
      </w:pPr>
      <w:bookmarkStart w:id="19" w:name="_Toc46411604"/>
      <w:bookmarkStart w:id="20" w:name="_Toc52802611"/>
      <w:r w:rsidRPr="00492AA3">
        <w:rPr>
          <w:lang w:eastAsia="ja-JP"/>
        </w:rPr>
        <w:t xml:space="preserve">Inclusión de un nuevo programa en el documento </w:t>
      </w:r>
      <w:r w:rsidR="00955AD5" w:rsidRPr="00492AA3">
        <w:rPr>
          <w:lang w:eastAsia="ja-JP"/>
        </w:rPr>
        <w:t>UPOV/INF/16</w:t>
      </w:r>
      <w:bookmarkEnd w:id="19"/>
      <w:bookmarkEnd w:id="20"/>
    </w:p>
    <w:p w14:paraId="07026274" w14:textId="77777777" w:rsidR="00955AD5" w:rsidRPr="00492AA3" w:rsidRDefault="00955AD5" w:rsidP="007C2166">
      <w:pPr>
        <w:keepNext/>
        <w:rPr>
          <w:snapToGrid w:val="0"/>
          <w:lang w:eastAsia="ja-JP"/>
        </w:rPr>
      </w:pPr>
    </w:p>
    <w:p w14:paraId="0187BAA3" w14:textId="79D96E4A" w:rsidR="00955AD5" w:rsidRPr="00492AA3" w:rsidRDefault="00955AD5" w:rsidP="007C2166">
      <w:pPr>
        <w:keepNext/>
      </w:pPr>
      <w:r w:rsidRPr="00492AA3">
        <w:rPr>
          <w:snapToGrid w:val="0"/>
        </w:rPr>
        <w:fldChar w:fldCharType="begin"/>
      </w:r>
      <w:r w:rsidRPr="00492AA3">
        <w:rPr>
          <w:snapToGrid w:val="0"/>
        </w:rPr>
        <w:instrText xml:space="preserve"> AUTONUM  </w:instrText>
      </w:r>
      <w:r w:rsidRPr="00492AA3">
        <w:rPr>
          <w:snapToGrid w:val="0"/>
        </w:rPr>
        <w:fldChar w:fldCharType="end"/>
      </w:r>
      <w:r w:rsidRPr="00492AA3">
        <w:rPr>
          <w:snapToGrid w:val="0"/>
        </w:rPr>
        <w:tab/>
      </w:r>
      <w:r w:rsidR="00FF2244" w:rsidRPr="00492AA3">
        <w:rPr>
          <w:snapToGrid w:val="0"/>
        </w:rPr>
        <w:t>En la sección</w:t>
      </w:r>
      <w:r w:rsidRPr="00492AA3">
        <w:rPr>
          <w:snapToGrid w:val="0"/>
        </w:rPr>
        <w:t xml:space="preserve"> 2 </w:t>
      </w:r>
      <w:r w:rsidR="00FF2244" w:rsidRPr="00492AA3">
        <w:rPr>
          <w:snapToGrid w:val="0"/>
        </w:rPr>
        <w:t>del documento</w:t>
      </w:r>
      <w:r w:rsidRPr="00492AA3">
        <w:t xml:space="preserve"> UPOV/</w:t>
      </w:r>
      <w:proofErr w:type="spellStart"/>
      <w:r w:rsidRPr="00492AA3">
        <w:t>INF</w:t>
      </w:r>
      <w:proofErr w:type="spellEnd"/>
      <w:r w:rsidRPr="00492AA3">
        <w:t>/16</w:t>
      </w:r>
      <w:r w:rsidR="00707DC5" w:rsidRPr="00492AA3">
        <w:t xml:space="preserve">: </w:t>
      </w:r>
      <w:r w:rsidRPr="00492AA3">
        <w:t>“</w:t>
      </w:r>
      <w:r w:rsidR="00567357" w:rsidRPr="00492AA3">
        <w:t>Programas informáticos para intercambio</w:t>
      </w:r>
      <w:r w:rsidRPr="00492AA3">
        <w:t xml:space="preserve">” </w:t>
      </w:r>
      <w:r w:rsidR="00FF2244" w:rsidRPr="00492AA3">
        <w:t xml:space="preserve">se </w:t>
      </w:r>
      <w:r w:rsidR="00707DC5" w:rsidRPr="00492AA3">
        <w:t>dispone</w:t>
      </w:r>
      <w:r w:rsidR="00FF2244" w:rsidRPr="00492AA3">
        <w:t xml:space="preserve"> lo siguiente</w:t>
      </w:r>
      <w:r w:rsidRPr="00492AA3">
        <w:t>:</w:t>
      </w:r>
    </w:p>
    <w:p w14:paraId="4F0F9F0F" w14:textId="77777777" w:rsidR="00955AD5" w:rsidRPr="00492AA3" w:rsidRDefault="00955AD5" w:rsidP="00492AA3">
      <w:pPr>
        <w:rPr>
          <w:rFonts w:cs="Arial"/>
        </w:rPr>
      </w:pPr>
    </w:p>
    <w:p w14:paraId="2555E3DC" w14:textId="65BC853E" w:rsidR="00955AD5" w:rsidRPr="00310D26" w:rsidRDefault="00955AD5" w:rsidP="00955AD5">
      <w:pPr>
        <w:keepNext/>
        <w:ind w:left="567" w:right="567"/>
        <w:rPr>
          <w:rFonts w:cs="Arial"/>
          <w:snapToGrid w:val="0"/>
          <w:sz w:val="18"/>
          <w:u w:val="single"/>
        </w:rPr>
      </w:pPr>
      <w:r w:rsidRPr="00310D26">
        <w:rPr>
          <w:rFonts w:cs="Arial"/>
          <w:snapToGrid w:val="0"/>
          <w:sz w:val="18"/>
        </w:rPr>
        <w:lastRenderedPageBreak/>
        <w:t>“2.</w:t>
      </w:r>
      <w:r w:rsidRPr="00310D26">
        <w:rPr>
          <w:rFonts w:cs="Arial"/>
          <w:snapToGrid w:val="0"/>
          <w:sz w:val="18"/>
        </w:rPr>
        <w:tab/>
      </w:r>
      <w:r w:rsidR="00FF2244" w:rsidRPr="00310D26">
        <w:rPr>
          <w:rFonts w:cs="Arial"/>
          <w:snapToGrid w:val="0"/>
          <w:sz w:val="18"/>
          <w:u w:val="single"/>
        </w:rPr>
        <w:t>Procedimiento para la inclusión de los programas informáticos</w:t>
      </w:r>
    </w:p>
    <w:p w14:paraId="6B1332F4" w14:textId="77777777" w:rsidR="00955AD5" w:rsidRPr="004F2167" w:rsidRDefault="00955AD5" w:rsidP="00955AD5">
      <w:pPr>
        <w:keepNext/>
        <w:ind w:left="567" w:right="567"/>
        <w:rPr>
          <w:rFonts w:cs="Arial"/>
          <w:snapToGrid w:val="0"/>
          <w:sz w:val="16"/>
          <w:u w:val="single"/>
        </w:rPr>
      </w:pPr>
    </w:p>
    <w:p w14:paraId="5CC98C24" w14:textId="77777777" w:rsidR="00492AA3" w:rsidRDefault="00955AD5" w:rsidP="00492AA3">
      <w:pPr>
        <w:keepLines/>
        <w:ind w:left="567" w:right="567"/>
        <w:rPr>
          <w:rFonts w:cs="Arial"/>
          <w:snapToGrid w:val="0"/>
          <w:sz w:val="18"/>
        </w:rPr>
      </w:pPr>
      <w:r w:rsidRPr="00310D26">
        <w:rPr>
          <w:rFonts w:cs="Arial"/>
          <w:snapToGrid w:val="0"/>
          <w:sz w:val="18"/>
        </w:rPr>
        <w:t>“</w:t>
      </w:r>
      <w:r w:rsidR="00FF2244" w:rsidRPr="00310D26">
        <w:rPr>
          <w:rFonts w:cs="Arial"/>
          <w:snapToGrid w:val="0"/>
          <w:sz w:val="18"/>
        </w:rPr>
        <w:t>Los programas que los miembros de la Unión propongan incluir en el documento UPOV/INF/16 se someten, en primer lugar, al examen del Grupo de Trabajo Técnico sobre Automatización y Programas Informáticos (TWC); tras ese examen, combinado con la experiencia de uso en los miembros de la Unión, el TWC formula una recomendación al Comité Técnico (TC) sobre la eventual inclusión del programa informático en cuestión en el documento UPOV/INF/16. Si el Comité Técnico y el Comité Administrativo y Jurídico (CAJ) formulan una recomendación positiva, el programa informático formará parte de la lista incluida en el proyecto de documento UPOV/INF/16, cuya aprobación se someterá al examen del Consejo. El documento UPOV/INF/16 recibirá la aprobación del Consejo</w:t>
      </w:r>
      <w:r w:rsidRPr="00310D26">
        <w:rPr>
          <w:rFonts w:cs="Arial"/>
          <w:snapToGrid w:val="0"/>
          <w:sz w:val="18"/>
        </w:rPr>
        <w:t>.”</w:t>
      </w:r>
      <w:r w:rsidR="00C05526">
        <w:rPr>
          <w:rFonts w:cs="Arial"/>
          <w:snapToGrid w:val="0"/>
          <w:sz w:val="18"/>
        </w:rPr>
        <w:t xml:space="preserve"> </w:t>
      </w:r>
      <w:r w:rsidR="004F2167">
        <w:rPr>
          <w:rFonts w:cs="Arial"/>
          <w:snapToGrid w:val="0"/>
          <w:sz w:val="18"/>
        </w:rPr>
        <w:t xml:space="preserve">  </w:t>
      </w:r>
    </w:p>
    <w:p w14:paraId="5DBCD383" w14:textId="33CEC433" w:rsidR="004F2167" w:rsidRPr="00492AA3" w:rsidRDefault="004F2167" w:rsidP="00492AA3">
      <w:pPr>
        <w:keepLines/>
        <w:ind w:left="567" w:right="567"/>
        <w:rPr>
          <w:rFonts w:cs="Arial"/>
          <w:snapToGrid w:val="0"/>
        </w:rPr>
      </w:pPr>
    </w:p>
    <w:bookmarkStart w:id="21" w:name="_Toc380588287"/>
    <w:bookmarkStart w:id="22" w:name="_Toc10906376"/>
    <w:bookmarkStart w:id="23" w:name="_Toc14686108"/>
    <w:p w14:paraId="5B62B446" w14:textId="703CA896" w:rsidR="00955AD5" w:rsidRPr="00492AA3" w:rsidRDefault="00955AD5" w:rsidP="00955AD5">
      <w:pPr>
        <w:keepNext/>
        <w:rPr>
          <w:spacing w:val="-2"/>
          <w:lang w:eastAsia="ja-JP"/>
        </w:rPr>
      </w:pPr>
      <w:r w:rsidRPr="00492AA3">
        <w:rPr>
          <w:spacing w:val="-2"/>
          <w:lang w:eastAsia="ja-JP"/>
        </w:rPr>
        <w:fldChar w:fldCharType="begin"/>
      </w:r>
      <w:r w:rsidRPr="00492AA3">
        <w:rPr>
          <w:spacing w:val="-2"/>
          <w:lang w:eastAsia="ja-JP"/>
        </w:rPr>
        <w:instrText xml:space="preserve"> AUTONUM  </w:instrText>
      </w:r>
      <w:r w:rsidRPr="00492AA3">
        <w:rPr>
          <w:spacing w:val="-2"/>
          <w:lang w:eastAsia="ja-JP"/>
        </w:rPr>
        <w:fldChar w:fldCharType="end"/>
      </w:r>
      <w:r w:rsidRPr="00492AA3">
        <w:rPr>
          <w:spacing w:val="-2"/>
          <w:lang w:eastAsia="ja-JP"/>
        </w:rPr>
        <w:tab/>
      </w:r>
      <w:r w:rsidR="0063530C" w:rsidRPr="00492AA3">
        <w:rPr>
          <w:spacing w:val="-2"/>
          <w:lang w:eastAsia="ja-JP"/>
        </w:rPr>
        <w:t>Conforme a la recomendación formulada por el</w:t>
      </w:r>
      <w:r w:rsidRPr="00492AA3">
        <w:rPr>
          <w:spacing w:val="-2"/>
          <w:lang w:eastAsia="ja-JP"/>
        </w:rPr>
        <w:t xml:space="preserve"> </w:t>
      </w:r>
      <w:proofErr w:type="spellStart"/>
      <w:r w:rsidRPr="00492AA3">
        <w:rPr>
          <w:spacing w:val="-2"/>
          <w:lang w:eastAsia="ja-JP"/>
        </w:rPr>
        <w:t>TWC</w:t>
      </w:r>
      <w:proofErr w:type="spellEnd"/>
      <w:r w:rsidR="0063530C" w:rsidRPr="00492AA3">
        <w:rPr>
          <w:spacing w:val="-2"/>
          <w:lang w:eastAsia="ja-JP"/>
        </w:rPr>
        <w:t xml:space="preserve"> en su trigésima séptima sesión, se propone la inclusión del programa</w:t>
      </w:r>
      <w:r w:rsidRPr="00492AA3">
        <w:rPr>
          <w:spacing w:val="-2"/>
          <w:lang w:eastAsia="ja-JP"/>
        </w:rPr>
        <w:t xml:space="preserve"> “</w:t>
      </w:r>
      <w:r w:rsidR="0063530C" w:rsidRPr="00492AA3">
        <w:rPr>
          <w:spacing w:val="-2"/>
          <w:lang w:eastAsia="ja-JP"/>
        </w:rPr>
        <w:t>Calculadora de plantas fuera de tipo</w:t>
      </w:r>
      <w:r w:rsidRPr="00492AA3">
        <w:rPr>
          <w:spacing w:val="-2"/>
          <w:lang w:eastAsia="ja-JP"/>
        </w:rPr>
        <w:t xml:space="preserve">” </w:t>
      </w:r>
      <w:r w:rsidR="0063530C" w:rsidRPr="00492AA3">
        <w:rPr>
          <w:spacing w:val="-2"/>
          <w:lang w:eastAsia="ja-JP"/>
        </w:rPr>
        <w:t>en el documento</w:t>
      </w:r>
      <w:r w:rsidRPr="00492AA3">
        <w:rPr>
          <w:spacing w:val="-2"/>
          <w:lang w:eastAsia="ja-JP"/>
        </w:rPr>
        <w:t xml:space="preserve"> UPOV/</w:t>
      </w:r>
      <w:proofErr w:type="spellStart"/>
      <w:r w:rsidRPr="00492AA3">
        <w:rPr>
          <w:spacing w:val="-2"/>
          <w:lang w:eastAsia="ja-JP"/>
        </w:rPr>
        <w:t>INF</w:t>
      </w:r>
      <w:proofErr w:type="spellEnd"/>
      <w:r w:rsidRPr="00492AA3">
        <w:rPr>
          <w:spacing w:val="-2"/>
          <w:lang w:eastAsia="ja-JP"/>
        </w:rPr>
        <w:t>/16</w:t>
      </w:r>
      <w:r w:rsidR="00707DC5" w:rsidRPr="00492AA3">
        <w:rPr>
          <w:spacing w:val="-2"/>
          <w:lang w:eastAsia="ja-JP"/>
        </w:rPr>
        <w:t>, según se expone</w:t>
      </w:r>
      <w:r w:rsidR="0063530C" w:rsidRPr="00492AA3">
        <w:rPr>
          <w:spacing w:val="-2"/>
          <w:lang w:eastAsia="ja-JP"/>
        </w:rPr>
        <w:t xml:space="preserve"> en el documento</w:t>
      </w:r>
      <w:r w:rsidR="0063530C" w:rsidRPr="00492AA3">
        <w:rPr>
          <w:rFonts w:eastAsia="MS Mincho"/>
          <w:spacing w:val="-2"/>
          <w:lang w:eastAsia="ja-JP"/>
        </w:rPr>
        <w:t xml:space="preserve"> </w:t>
      </w:r>
      <w:r w:rsidRPr="00492AA3">
        <w:rPr>
          <w:rFonts w:eastAsia="MS Mincho"/>
          <w:spacing w:val="-2"/>
          <w:lang w:eastAsia="ja-JP"/>
        </w:rPr>
        <w:t>UPOV/</w:t>
      </w:r>
      <w:proofErr w:type="spellStart"/>
      <w:r w:rsidRPr="00492AA3">
        <w:rPr>
          <w:rFonts w:eastAsia="MS Mincho"/>
          <w:spacing w:val="-2"/>
          <w:lang w:eastAsia="ja-JP"/>
        </w:rPr>
        <w:t>INF</w:t>
      </w:r>
      <w:proofErr w:type="spellEnd"/>
      <w:r w:rsidRPr="00492AA3">
        <w:rPr>
          <w:rFonts w:eastAsia="MS Mincho"/>
          <w:spacing w:val="-2"/>
          <w:lang w:eastAsia="ja-JP"/>
        </w:rPr>
        <w:t>/16/9 </w:t>
      </w:r>
      <w:proofErr w:type="spellStart"/>
      <w:r w:rsidRPr="00492AA3">
        <w:rPr>
          <w:rFonts w:eastAsia="MS Mincho"/>
          <w:spacing w:val="-2"/>
          <w:lang w:eastAsia="ja-JP"/>
        </w:rPr>
        <w:t>Draft</w:t>
      </w:r>
      <w:proofErr w:type="spellEnd"/>
      <w:r w:rsidRPr="00492AA3">
        <w:rPr>
          <w:rFonts w:eastAsia="MS Mincho"/>
          <w:spacing w:val="-2"/>
          <w:lang w:eastAsia="ja-JP"/>
        </w:rPr>
        <w:t> </w:t>
      </w:r>
      <w:r w:rsidR="00796BCA" w:rsidRPr="00492AA3">
        <w:rPr>
          <w:strike/>
          <w:highlight w:val="yellow"/>
        </w:rPr>
        <w:t>1</w:t>
      </w:r>
      <w:r w:rsidR="00796BCA" w:rsidRPr="00492AA3">
        <w:rPr>
          <w:bCs/>
          <w:snapToGrid w:val="0"/>
          <w:highlight w:val="yellow"/>
          <w:u w:val="single"/>
        </w:rPr>
        <w:t>2</w:t>
      </w:r>
      <w:r w:rsidRPr="00492AA3">
        <w:rPr>
          <w:spacing w:val="-2"/>
          <w:lang w:eastAsia="ja-JP"/>
        </w:rPr>
        <w:t>:</w:t>
      </w:r>
    </w:p>
    <w:p w14:paraId="74AAC468" w14:textId="77777777" w:rsidR="00955AD5" w:rsidRPr="00492AA3" w:rsidRDefault="00955AD5" w:rsidP="00955AD5">
      <w:pPr>
        <w:keepNext/>
        <w:ind w:left="1134" w:hanging="720"/>
        <w:jc w:val="left"/>
        <w:rPr>
          <w:snapToGrid w:val="0"/>
          <w:lang w:eastAsia="ja-JP"/>
        </w:rPr>
      </w:pPr>
    </w:p>
    <w:p w14:paraId="563DC7F6" w14:textId="008292B3" w:rsidR="00955AD5" w:rsidRPr="00492AA3" w:rsidRDefault="0063530C" w:rsidP="00785C76">
      <w:pPr>
        <w:pStyle w:val="Heading4"/>
        <w:rPr>
          <w:lang w:eastAsia="ja-JP"/>
        </w:rPr>
      </w:pPr>
      <w:bookmarkStart w:id="24" w:name="_Toc46411606"/>
      <w:bookmarkStart w:id="25" w:name="_Toc52802612"/>
      <w:r w:rsidRPr="00492AA3">
        <w:t xml:space="preserve">Invitación a </w:t>
      </w:r>
      <w:r w:rsidR="00DB615B" w:rsidRPr="00492AA3">
        <w:t>proporcionar</w:t>
      </w:r>
      <w:r w:rsidRPr="00492AA3">
        <w:t xml:space="preserve"> información sobre el uso de los programas incluidos en el document</w:t>
      </w:r>
      <w:r w:rsidR="00DB615B" w:rsidRPr="00492AA3">
        <w:t>o</w:t>
      </w:r>
      <w:r w:rsidR="00785C76" w:rsidRPr="00492AA3">
        <w:t> </w:t>
      </w:r>
      <w:r w:rsidR="00955AD5" w:rsidRPr="00492AA3">
        <w:t>UPOV/INF/16</w:t>
      </w:r>
      <w:bookmarkEnd w:id="24"/>
      <w:bookmarkEnd w:id="25"/>
    </w:p>
    <w:p w14:paraId="1B2CFDB7" w14:textId="77777777" w:rsidR="00955AD5" w:rsidRPr="00492AA3" w:rsidRDefault="00955AD5" w:rsidP="00955AD5">
      <w:pPr>
        <w:keepNext/>
        <w:rPr>
          <w:snapToGrid w:val="0"/>
          <w:lang w:eastAsia="ja-JP"/>
        </w:rPr>
      </w:pPr>
    </w:p>
    <w:p w14:paraId="280E04B0" w14:textId="704F3172" w:rsidR="00955AD5" w:rsidRPr="00492AA3" w:rsidRDefault="00955AD5" w:rsidP="00955AD5">
      <w:pPr>
        <w:keepNext/>
      </w:pPr>
      <w:r w:rsidRPr="00492AA3">
        <w:rPr>
          <w:snapToGrid w:val="0"/>
        </w:rPr>
        <w:fldChar w:fldCharType="begin"/>
      </w:r>
      <w:r w:rsidRPr="00492AA3">
        <w:rPr>
          <w:snapToGrid w:val="0"/>
        </w:rPr>
        <w:instrText xml:space="preserve"> AUTONUM  </w:instrText>
      </w:r>
      <w:r w:rsidRPr="00492AA3">
        <w:rPr>
          <w:snapToGrid w:val="0"/>
        </w:rPr>
        <w:fldChar w:fldCharType="end"/>
      </w:r>
      <w:r w:rsidRPr="00492AA3">
        <w:rPr>
          <w:snapToGrid w:val="0"/>
        </w:rPr>
        <w:tab/>
      </w:r>
      <w:r w:rsidR="00DB615B" w:rsidRPr="00492AA3">
        <w:rPr>
          <w:snapToGrid w:val="0"/>
        </w:rPr>
        <w:t>En l</w:t>
      </w:r>
      <w:r w:rsidR="0063530C" w:rsidRPr="00492AA3">
        <w:rPr>
          <w:snapToGrid w:val="0"/>
        </w:rPr>
        <w:t>a sección</w:t>
      </w:r>
      <w:r w:rsidRPr="00492AA3">
        <w:rPr>
          <w:snapToGrid w:val="0"/>
        </w:rPr>
        <w:t xml:space="preserve"> 4 </w:t>
      </w:r>
      <w:r w:rsidR="0063530C" w:rsidRPr="00492AA3">
        <w:rPr>
          <w:snapToGrid w:val="0"/>
        </w:rPr>
        <w:t>del documento</w:t>
      </w:r>
      <w:r w:rsidRPr="00492AA3">
        <w:t xml:space="preserve"> UPOV/INF/16</w:t>
      </w:r>
      <w:r w:rsidR="008813A4" w:rsidRPr="00492AA3">
        <w:t xml:space="preserve">: </w:t>
      </w:r>
      <w:r w:rsidRPr="00492AA3">
        <w:t>“</w:t>
      </w:r>
      <w:r w:rsidR="00567357" w:rsidRPr="00492AA3">
        <w:t>Programas informáticos para intercambio</w:t>
      </w:r>
      <w:r w:rsidRPr="00492AA3">
        <w:t>”</w:t>
      </w:r>
      <w:r w:rsidR="00DB615B" w:rsidRPr="00492AA3">
        <w:t xml:space="preserve"> se</w:t>
      </w:r>
      <w:r w:rsidRPr="00492AA3">
        <w:t xml:space="preserve"> </w:t>
      </w:r>
      <w:r w:rsidR="00707DC5" w:rsidRPr="00492AA3">
        <w:t xml:space="preserve">prevé </w:t>
      </w:r>
      <w:r w:rsidR="00DB615B" w:rsidRPr="00492AA3">
        <w:t>lo siguiente</w:t>
      </w:r>
      <w:r w:rsidRPr="00492AA3">
        <w:t>:</w:t>
      </w:r>
    </w:p>
    <w:p w14:paraId="3CD6980C" w14:textId="77777777" w:rsidR="00955AD5" w:rsidRPr="00492AA3" w:rsidRDefault="00955AD5" w:rsidP="00955AD5">
      <w:pPr>
        <w:keepNext/>
      </w:pPr>
    </w:p>
    <w:p w14:paraId="0F93E279" w14:textId="200BDA07" w:rsidR="00955AD5" w:rsidRPr="00310D26" w:rsidRDefault="00955AD5" w:rsidP="00C12081">
      <w:pPr>
        <w:keepNext/>
        <w:ind w:left="567" w:right="566"/>
        <w:rPr>
          <w:snapToGrid w:val="0"/>
          <w:sz w:val="18"/>
          <w:szCs w:val="18"/>
          <w:u w:val="single"/>
        </w:rPr>
      </w:pPr>
      <w:r w:rsidRPr="00310D26">
        <w:rPr>
          <w:snapToGrid w:val="0"/>
          <w:sz w:val="18"/>
          <w:szCs w:val="18"/>
        </w:rPr>
        <w:t>“4.</w:t>
      </w:r>
      <w:r w:rsidRPr="00310D26">
        <w:rPr>
          <w:snapToGrid w:val="0"/>
          <w:sz w:val="18"/>
          <w:szCs w:val="18"/>
        </w:rPr>
        <w:tab/>
      </w:r>
      <w:r w:rsidR="00DB615B" w:rsidRPr="00310D26">
        <w:rPr>
          <w:snapToGrid w:val="0"/>
          <w:sz w:val="18"/>
          <w:szCs w:val="18"/>
          <w:u w:val="single"/>
        </w:rPr>
        <w:t>Información sobre el uso por los miembros de la Unión</w:t>
      </w:r>
    </w:p>
    <w:p w14:paraId="3763F4D4" w14:textId="77777777" w:rsidR="00955AD5" w:rsidRPr="00492AA3" w:rsidRDefault="00955AD5" w:rsidP="00C12081">
      <w:pPr>
        <w:keepNext/>
        <w:ind w:left="567" w:right="566"/>
        <w:rPr>
          <w:snapToGrid w:val="0"/>
          <w:sz w:val="18"/>
          <w:szCs w:val="18"/>
        </w:rPr>
      </w:pPr>
    </w:p>
    <w:p w14:paraId="3EBA30F0" w14:textId="77777777" w:rsidR="00DB615B" w:rsidRPr="00310D26" w:rsidRDefault="00955AD5" w:rsidP="00C12081">
      <w:pPr>
        <w:keepNext/>
        <w:ind w:left="567" w:right="566"/>
        <w:rPr>
          <w:snapToGrid w:val="0"/>
          <w:sz w:val="18"/>
          <w:szCs w:val="18"/>
        </w:rPr>
      </w:pPr>
      <w:r w:rsidRPr="00310D26">
        <w:rPr>
          <w:snapToGrid w:val="0"/>
          <w:sz w:val="18"/>
          <w:szCs w:val="18"/>
        </w:rPr>
        <w:t>“4.1</w:t>
      </w:r>
      <w:r w:rsidRPr="00310D26">
        <w:rPr>
          <w:snapToGrid w:val="0"/>
          <w:sz w:val="18"/>
          <w:szCs w:val="18"/>
        </w:rPr>
        <w:tab/>
      </w:r>
      <w:r w:rsidR="00DB615B" w:rsidRPr="00310D26">
        <w:rPr>
          <w:snapToGrid w:val="0"/>
          <w:sz w:val="18"/>
          <w:szCs w:val="18"/>
        </w:rPr>
        <w:t>Cada año se envía una circular a los miembros de la Unión, invitándolos a proporcionar información</w:t>
      </w:r>
    </w:p>
    <w:p w14:paraId="10B43DB0" w14:textId="414FB121" w:rsidR="00955AD5" w:rsidRPr="00310D26" w:rsidRDefault="00DB615B" w:rsidP="00C12081">
      <w:pPr>
        <w:keepNext/>
        <w:ind w:left="567" w:right="566"/>
        <w:rPr>
          <w:snapToGrid w:val="0"/>
          <w:sz w:val="18"/>
          <w:szCs w:val="18"/>
        </w:rPr>
      </w:pPr>
      <w:r w:rsidRPr="00310D26">
        <w:rPr>
          <w:snapToGrid w:val="0"/>
          <w:sz w:val="18"/>
          <w:szCs w:val="18"/>
        </w:rPr>
        <w:t>sobre el uso que hacen de los programas informáticos enumerados en el documento UPOV/INF/16.</w:t>
      </w:r>
    </w:p>
    <w:p w14:paraId="6DAF4627" w14:textId="77777777" w:rsidR="00955AD5" w:rsidRPr="00492AA3" w:rsidRDefault="00955AD5" w:rsidP="00C12081">
      <w:pPr>
        <w:keepNext/>
        <w:ind w:left="567" w:right="566"/>
        <w:rPr>
          <w:snapToGrid w:val="0"/>
          <w:sz w:val="18"/>
          <w:szCs w:val="18"/>
          <w:lang w:eastAsia="ja-JP"/>
        </w:rPr>
      </w:pPr>
    </w:p>
    <w:p w14:paraId="06EE5E8B" w14:textId="77777777" w:rsidR="00DB615B" w:rsidRPr="00310D26" w:rsidRDefault="00955AD5" w:rsidP="00C12081">
      <w:pPr>
        <w:ind w:left="567" w:right="566"/>
        <w:rPr>
          <w:snapToGrid w:val="0"/>
          <w:spacing w:val="-2"/>
          <w:sz w:val="18"/>
          <w:szCs w:val="18"/>
        </w:rPr>
      </w:pPr>
      <w:r w:rsidRPr="00310D26">
        <w:rPr>
          <w:snapToGrid w:val="0"/>
          <w:spacing w:val="-2"/>
          <w:sz w:val="18"/>
          <w:szCs w:val="18"/>
        </w:rPr>
        <w:t>“4.2</w:t>
      </w:r>
      <w:r w:rsidRPr="00310D26">
        <w:rPr>
          <w:snapToGrid w:val="0"/>
          <w:spacing w:val="-2"/>
          <w:sz w:val="18"/>
          <w:szCs w:val="18"/>
        </w:rPr>
        <w:tab/>
      </w:r>
      <w:r w:rsidR="00DB615B" w:rsidRPr="00310D26">
        <w:rPr>
          <w:snapToGrid w:val="0"/>
          <w:spacing w:val="-2"/>
          <w:sz w:val="18"/>
          <w:szCs w:val="18"/>
        </w:rPr>
        <w:t>La información sobre ese uso se indica en las columnas “Miembros de la Unión que utilizan el programa</w:t>
      </w:r>
    </w:p>
    <w:p w14:paraId="78232F5D" w14:textId="024F621E" w:rsidR="00955AD5" w:rsidRPr="00310D26" w:rsidRDefault="00DB615B" w:rsidP="00C12081">
      <w:pPr>
        <w:ind w:left="567" w:right="566"/>
        <w:rPr>
          <w:snapToGrid w:val="0"/>
          <w:spacing w:val="-2"/>
          <w:sz w:val="18"/>
          <w:szCs w:val="18"/>
        </w:rPr>
      </w:pPr>
      <w:r w:rsidRPr="00310D26">
        <w:rPr>
          <w:snapToGrid w:val="0"/>
          <w:spacing w:val="-2"/>
          <w:sz w:val="18"/>
          <w:szCs w:val="18"/>
        </w:rPr>
        <w:t>informático” y “Aplicación por los usuarios”. En el espacio destinado a la “Aplicación por los usuarios”, los</w:t>
      </w:r>
      <w:r w:rsidR="00C12081" w:rsidRPr="00310D26">
        <w:rPr>
          <w:snapToGrid w:val="0"/>
          <w:spacing w:val="-2"/>
          <w:sz w:val="18"/>
          <w:szCs w:val="18"/>
        </w:rPr>
        <w:t xml:space="preserve"> </w:t>
      </w:r>
      <w:r w:rsidRPr="00D83A3F">
        <w:rPr>
          <w:snapToGrid w:val="0"/>
          <w:spacing w:val="-2"/>
          <w:sz w:val="18"/>
          <w:szCs w:val="18"/>
        </w:rPr>
        <w:t>Mi</w:t>
      </w:r>
      <w:r w:rsidRPr="00310D26">
        <w:rPr>
          <w:snapToGrid w:val="0"/>
          <w:spacing w:val="-2"/>
          <w:sz w:val="18"/>
          <w:szCs w:val="18"/>
        </w:rPr>
        <w:t>embros de la Unión podrán indicar, por ejemplo, los cultivos o tipos de cultivo para los cuales se utiliza el</w:t>
      </w:r>
      <w:r w:rsidR="00C12081" w:rsidRPr="00310D26">
        <w:rPr>
          <w:snapToGrid w:val="0"/>
          <w:spacing w:val="-2"/>
          <w:sz w:val="18"/>
          <w:szCs w:val="18"/>
        </w:rPr>
        <w:t xml:space="preserve"> </w:t>
      </w:r>
      <w:r w:rsidRPr="00310D26">
        <w:rPr>
          <w:snapToGrid w:val="0"/>
          <w:spacing w:val="-2"/>
          <w:sz w:val="18"/>
          <w:szCs w:val="18"/>
        </w:rPr>
        <w:t>programa informático en cuestión.</w:t>
      </w:r>
    </w:p>
    <w:p w14:paraId="78DD03E2" w14:textId="77777777" w:rsidR="00955AD5" w:rsidRPr="00492AA3" w:rsidRDefault="00955AD5" w:rsidP="00955AD5">
      <w:pPr>
        <w:ind w:right="566"/>
        <w:rPr>
          <w:snapToGrid w:val="0"/>
          <w:spacing w:val="-2"/>
        </w:rPr>
      </w:pPr>
    </w:p>
    <w:p w14:paraId="51EAF41B" w14:textId="1E33A338" w:rsidR="00955AD5" w:rsidRPr="00492AA3" w:rsidRDefault="00955AD5" w:rsidP="00955AD5">
      <w:pPr>
        <w:rPr>
          <w:snapToGrid w:val="0"/>
          <w:lang w:eastAsia="ja-JP"/>
        </w:rPr>
      </w:pPr>
      <w:r w:rsidRPr="00492AA3">
        <w:rPr>
          <w:snapToGrid w:val="0"/>
        </w:rPr>
        <w:fldChar w:fldCharType="begin"/>
      </w:r>
      <w:r w:rsidRPr="00492AA3">
        <w:rPr>
          <w:snapToGrid w:val="0"/>
        </w:rPr>
        <w:instrText xml:space="preserve"> AUTONUM  </w:instrText>
      </w:r>
      <w:r w:rsidRPr="00492AA3">
        <w:rPr>
          <w:snapToGrid w:val="0"/>
        </w:rPr>
        <w:fldChar w:fldCharType="end"/>
      </w:r>
      <w:r w:rsidRPr="00492AA3">
        <w:rPr>
          <w:snapToGrid w:val="0"/>
        </w:rPr>
        <w:tab/>
      </w:r>
      <w:r w:rsidR="00DB615B" w:rsidRPr="00492AA3">
        <w:rPr>
          <w:snapToGrid w:val="0"/>
        </w:rPr>
        <w:t xml:space="preserve">El 14 de abril de </w:t>
      </w:r>
      <w:r w:rsidRPr="00492AA3">
        <w:rPr>
          <w:snapToGrid w:val="0"/>
        </w:rPr>
        <w:t xml:space="preserve">2020, </w:t>
      </w:r>
      <w:r w:rsidR="00DB615B" w:rsidRPr="00492AA3">
        <w:rPr>
          <w:snapToGrid w:val="0"/>
        </w:rPr>
        <w:t>la</w:t>
      </w:r>
      <w:r w:rsidRPr="00492AA3">
        <w:rPr>
          <w:snapToGrid w:val="0"/>
        </w:rPr>
        <w:t xml:space="preserve"> </w:t>
      </w:r>
      <w:r w:rsidR="00DB615B" w:rsidRPr="00492AA3">
        <w:rPr>
          <w:rFonts w:cs="Arial"/>
          <w:color w:val="000000"/>
        </w:rPr>
        <w:t xml:space="preserve">Oficina de la Unión envió la </w:t>
      </w:r>
      <w:r w:rsidR="007222AE" w:rsidRPr="00492AA3">
        <w:rPr>
          <w:rFonts w:cs="Arial"/>
        </w:rPr>
        <w:t>C</w:t>
      </w:r>
      <w:r w:rsidR="00DB615B" w:rsidRPr="00492AA3">
        <w:rPr>
          <w:rFonts w:cs="Arial"/>
        </w:rPr>
        <w:t>i</w:t>
      </w:r>
      <w:r w:rsidR="00DB615B" w:rsidRPr="00492AA3">
        <w:rPr>
          <w:rFonts w:cs="Arial"/>
          <w:color w:val="000000"/>
        </w:rPr>
        <w:t>rcular </w:t>
      </w:r>
      <w:r w:rsidRPr="00492AA3">
        <w:t xml:space="preserve">E-20/031 </w:t>
      </w:r>
      <w:r w:rsidR="00DB615B" w:rsidRPr="00492AA3">
        <w:rPr>
          <w:rFonts w:cs="Arial"/>
          <w:color w:val="000000"/>
        </w:rPr>
        <w:t>a las personas designadas por los miembros de la Unión para asistir al TC</w:t>
      </w:r>
      <w:r w:rsidRPr="00492AA3">
        <w:t xml:space="preserve">, </w:t>
      </w:r>
      <w:r w:rsidR="00680A1E" w:rsidRPr="00492AA3">
        <w:rPr>
          <w:rFonts w:cs="Arial"/>
          <w:color w:val="000000"/>
        </w:rPr>
        <w:t>invitándolas a proporcionar información</w:t>
      </w:r>
      <w:r w:rsidR="00977564" w:rsidRPr="00492AA3">
        <w:rPr>
          <w:rFonts w:cs="Arial"/>
          <w:color w:val="000000"/>
        </w:rPr>
        <w:t xml:space="preserve"> </w:t>
      </w:r>
      <w:r w:rsidR="00C12081" w:rsidRPr="00492AA3">
        <w:rPr>
          <w:rFonts w:cs="Arial"/>
          <w:color w:val="000000"/>
        </w:rPr>
        <w:t xml:space="preserve">nueva </w:t>
      </w:r>
      <w:r w:rsidR="00680A1E" w:rsidRPr="00492AA3">
        <w:rPr>
          <w:rFonts w:cs="Arial"/>
          <w:color w:val="000000"/>
        </w:rPr>
        <w:t>o</w:t>
      </w:r>
      <w:r w:rsidR="00977564" w:rsidRPr="00492AA3">
        <w:rPr>
          <w:rFonts w:cs="Arial"/>
          <w:color w:val="000000"/>
        </w:rPr>
        <w:t xml:space="preserve"> </w:t>
      </w:r>
      <w:r w:rsidR="00680A1E" w:rsidRPr="00492AA3">
        <w:rPr>
          <w:rFonts w:cs="Arial"/>
          <w:color w:val="000000"/>
        </w:rPr>
        <w:t>a</w:t>
      </w:r>
      <w:r w:rsidR="00C12081" w:rsidRPr="00492AA3">
        <w:rPr>
          <w:rFonts w:cs="Arial"/>
          <w:color w:val="000000"/>
        </w:rPr>
        <w:t>ctualizada</w:t>
      </w:r>
      <w:r w:rsidR="00977564" w:rsidRPr="00492AA3">
        <w:rPr>
          <w:rFonts w:cs="Arial"/>
          <w:color w:val="000000"/>
        </w:rPr>
        <w:t xml:space="preserve"> </w:t>
      </w:r>
      <w:r w:rsidR="00680A1E" w:rsidRPr="00492AA3">
        <w:rPr>
          <w:rFonts w:cs="Arial"/>
          <w:color w:val="000000"/>
        </w:rPr>
        <w:t xml:space="preserve">en relación con el uso </w:t>
      </w:r>
      <w:r w:rsidR="00680A1E" w:rsidRPr="00492AA3">
        <w:rPr>
          <w:snapToGrid w:val="0"/>
        </w:rPr>
        <w:t>de</w:t>
      </w:r>
      <w:r w:rsidR="00C12081" w:rsidRPr="00492AA3">
        <w:rPr>
          <w:snapToGrid w:val="0"/>
        </w:rPr>
        <w:t xml:space="preserve"> los</w:t>
      </w:r>
      <w:r w:rsidR="00680A1E" w:rsidRPr="00492AA3">
        <w:rPr>
          <w:snapToGrid w:val="0"/>
        </w:rPr>
        <w:t xml:space="preserve"> programa</w:t>
      </w:r>
      <w:r w:rsidR="00C12081" w:rsidRPr="00492AA3">
        <w:rPr>
          <w:snapToGrid w:val="0"/>
        </w:rPr>
        <w:t>s informáticos enumerados</w:t>
      </w:r>
      <w:r w:rsidR="00680A1E" w:rsidRPr="00492AA3">
        <w:rPr>
          <w:snapToGrid w:val="0"/>
        </w:rPr>
        <w:t xml:space="preserve"> en el documento</w:t>
      </w:r>
      <w:r w:rsidRPr="00492AA3">
        <w:t xml:space="preserve"> UPOV/INF/16.</w:t>
      </w:r>
      <w:r w:rsidR="00C05526" w:rsidRPr="00492AA3">
        <w:t xml:space="preserve"> </w:t>
      </w:r>
    </w:p>
    <w:p w14:paraId="3DA38527" w14:textId="77777777" w:rsidR="00955AD5" w:rsidRPr="00492AA3" w:rsidRDefault="00955AD5" w:rsidP="00955AD5">
      <w:pPr>
        <w:rPr>
          <w:snapToGrid w:val="0"/>
          <w:lang w:eastAsia="ja-JP"/>
        </w:rPr>
      </w:pPr>
    </w:p>
    <w:p w14:paraId="4537FEBC" w14:textId="34FF9E71" w:rsidR="00955AD5" w:rsidRPr="00492AA3" w:rsidRDefault="00955AD5" w:rsidP="00955AD5">
      <w:pPr>
        <w:rPr>
          <w:snapToGrid w:val="0"/>
          <w:lang w:eastAsia="ja-JP"/>
        </w:rPr>
      </w:pPr>
      <w:r w:rsidRPr="00492AA3">
        <w:rPr>
          <w:snapToGrid w:val="0"/>
        </w:rPr>
        <w:fldChar w:fldCharType="begin"/>
      </w:r>
      <w:r w:rsidRPr="00492AA3">
        <w:rPr>
          <w:snapToGrid w:val="0"/>
        </w:rPr>
        <w:instrText xml:space="preserve"> AUTONUM  </w:instrText>
      </w:r>
      <w:r w:rsidRPr="00492AA3">
        <w:rPr>
          <w:snapToGrid w:val="0"/>
        </w:rPr>
        <w:fldChar w:fldCharType="end"/>
      </w:r>
      <w:r w:rsidRPr="00492AA3">
        <w:rPr>
          <w:snapToGrid w:val="0"/>
        </w:rPr>
        <w:tab/>
      </w:r>
      <w:r w:rsidR="00680A1E" w:rsidRPr="00492AA3">
        <w:rPr>
          <w:rFonts w:cs="Arial"/>
          <w:color w:val="000000"/>
          <w:shd w:val="clear" w:color="auto" w:fill="FFFFFF" w:themeFill="background1"/>
        </w:rPr>
        <w:t xml:space="preserve">No se recibió </w:t>
      </w:r>
      <w:r w:rsidR="00C12081" w:rsidRPr="00492AA3">
        <w:rPr>
          <w:rFonts w:cs="Arial"/>
          <w:color w:val="000000"/>
          <w:shd w:val="clear" w:color="auto" w:fill="FFFFFF" w:themeFill="background1"/>
        </w:rPr>
        <w:t>nueva información</w:t>
      </w:r>
      <w:r w:rsidR="00680A1E" w:rsidRPr="00492AA3">
        <w:rPr>
          <w:rFonts w:cs="Arial"/>
          <w:color w:val="000000"/>
          <w:shd w:val="clear" w:color="auto" w:fill="FFFFFF" w:themeFill="background1"/>
        </w:rPr>
        <w:t xml:space="preserve"> de los miembros de la Unión </w:t>
      </w:r>
      <w:r w:rsidR="00680A1E" w:rsidRPr="00492AA3">
        <w:t>en respuesta a la Circular</w:t>
      </w:r>
      <w:r w:rsidRPr="00492AA3">
        <w:t xml:space="preserve"> E-20/031.</w:t>
      </w:r>
    </w:p>
    <w:p w14:paraId="10345CC6" w14:textId="77777777" w:rsidR="00955AD5" w:rsidRPr="00492AA3" w:rsidRDefault="00955AD5" w:rsidP="00955AD5">
      <w:pPr>
        <w:rPr>
          <w:snapToGrid w:val="0"/>
          <w:spacing w:val="-2"/>
          <w:lang w:eastAsia="ja-JP"/>
        </w:rPr>
      </w:pPr>
    </w:p>
    <w:p w14:paraId="43D7CFAD" w14:textId="779B9A07" w:rsidR="00955AD5" w:rsidRPr="00492AA3" w:rsidRDefault="00955AD5" w:rsidP="00955AD5">
      <w:pPr>
        <w:rPr>
          <w:snapToGrid w:val="0"/>
          <w:lang w:eastAsia="ja-JP"/>
        </w:rPr>
      </w:pPr>
      <w:r w:rsidRPr="00492AA3">
        <w:rPr>
          <w:lang w:eastAsia="ja-JP"/>
        </w:rPr>
        <w:fldChar w:fldCharType="begin"/>
      </w:r>
      <w:r w:rsidRPr="00492AA3">
        <w:rPr>
          <w:lang w:eastAsia="ja-JP"/>
        </w:rPr>
        <w:instrText xml:space="preserve"> AUTONUM  </w:instrText>
      </w:r>
      <w:r w:rsidRPr="00492AA3">
        <w:rPr>
          <w:lang w:eastAsia="ja-JP"/>
        </w:rPr>
        <w:fldChar w:fldCharType="end"/>
      </w:r>
      <w:r w:rsidRPr="00492AA3">
        <w:rPr>
          <w:lang w:eastAsia="ja-JP"/>
        </w:rPr>
        <w:tab/>
      </w:r>
      <w:r w:rsidR="00A80F90" w:rsidRPr="00492AA3">
        <w:rPr>
          <w:lang w:eastAsia="ja-JP"/>
        </w:rPr>
        <w:t>A reserva de que el</w:t>
      </w:r>
      <w:r w:rsidR="00DC02A5" w:rsidRPr="00492AA3">
        <w:rPr>
          <w:lang w:eastAsia="ja-JP"/>
        </w:rPr>
        <w:t xml:space="preserve"> TC y el CAJ </w:t>
      </w:r>
      <w:r w:rsidR="00A80F90" w:rsidRPr="00492AA3">
        <w:rPr>
          <w:lang w:eastAsia="ja-JP"/>
        </w:rPr>
        <w:t>acuerden</w:t>
      </w:r>
      <w:r w:rsidR="00DC02A5" w:rsidRPr="00492AA3">
        <w:rPr>
          <w:lang w:eastAsia="ja-JP"/>
        </w:rPr>
        <w:t xml:space="preserve"> </w:t>
      </w:r>
      <w:r w:rsidR="00DF04B3" w:rsidRPr="00492AA3">
        <w:rPr>
          <w:lang w:eastAsia="ja-JP"/>
        </w:rPr>
        <w:t>un</w:t>
      </w:r>
      <w:r w:rsidR="00867D80" w:rsidRPr="00492AA3">
        <w:rPr>
          <w:lang w:eastAsia="ja-JP"/>
        </w:rPr>
        <w:t xml:space="preserve"> proyecto de documento </w:t>
      </w:r>
      <w:r w:rsidRPr="00492AA3">
        <w:rPr>
          <w:lang w:eastAsia="ja-JP"/>
        </w:rPr>
        <w:t>UPOV/INF/16/9</w:t>
      </w:r>
      <w:r w:rsidR="00A80F90" w:rsidRPr="00492AA3">
        <w:rPr>
          <w:lang w:eastAsia="ja-JP"/>
        </w:rPr>
        <w:t xml:space="preserve"> sobre la base </w:t>
      </w:r>
      <w:r w:rsidR="00743F9C" w:rsidRPr="00492AA3">
        <w:rPr>
          <w:lang w:eastAsia="ja-JP"/>
        </w:rPr>
        <w:t>del documento</w:t>
      </w:r>
      <w:r w:rsidRPr="00492AA3">
        <w:rPr>
          <w:lang w:eastAsia="ja-JP"/>
        </w:rPr>
        <w:t xml:space="preserve"> UPOV/</w:t>
      </w:r>
      <w:proofErr w:type="spellStart"/>
      <w:r w:rsidRPr="00492AA3">
        <w:rPr>
          <w:lang w:eastAsia="ja-JP"/>
        </w:rPr>
        <w:t>INF</w:t>
      </w:r>
      <w:proofErr w:type="spellEnd"/>
      <w:r w:rsidRPr="00492AA3">
        <w:rPr>
          <w:lang w:eastAsia="ja-JP"/>
        </w:rPr>
        <w:t xml:space="preserve">/16/9 </w:t>
      </w:r>
      <w:proofErr w:type="spellStart"/>
      <w:r w:rsidRPr="00492AA3">
        <w:rPr>
          <w:lang w:eastAsia="ja-JP"/>
        </w:rPr>
        <w:t>Draft</w:t>
      </w:r>
      <w:proofErr w:type="spellEnd"/>
      <w:r w:rsidRPr="00492AA3">
        <w:rPr>
          <w:lang w:eastAsia="ja-JP"/>
        </w:rPr>
        <w:t xml:space="preserve"> 1, </w:t>
      </w:r>
      <w:r w:rsidR="00867D80" w:rsidRPr="00492AA3">
        <w:rPr>
          <w:lang w:eastAsia="ja-JP"/>
        </w:rPr>
        <w:t>que contiene una propuesta de inclusión del programa</w:t>
      </w:r>
      <w:r w:rsidRPr="00492AA3">
        <w:rPr>
          <w:lang w:eastAsia="ja-JP"/>
        </w:rPr>
        <w:t xml:space="preserve"> </w:t>
      </w:r>
      <w:r w:rsidR="00867D80" w:rsidRPr="00492AA3">
        <w:rPr>
          <w:spacing w:val="-2"/>
          <w:lang w:eastAsia="ja-JP"/>
        </w:rPr>
        <w:t>“Calculadora de plantas fuera de tipo”</w:t>
      </w:r>
      <w:r w:rsidRPr="00492AA3">
        <w:rPr>
          <w:lang w:eastAsia="ja-JP"/>
        </w:rPr>
        <w:t xml:space="preserve">, </w:t>
      </w:r>
      <w:r w:rsidR="00C12081" w:rsidRPr="00492AA3">
        <w:rPr>
          <w:lang w:eastAsia="ja-JP"/>
        </w:rPr>
        <w:t xml:space="preserve">en 2020 </w:t>
      </w:r>
      <w:r w:rsidR="00867D80" w:rsidRPr="00492AA3">
        <w:rPr>
          <w:shd w:val="clear" w:color="auto" w:fill="FFFFFF" w:themeFill="background1"/>
          <w:lang w:eastAsia="ja-JP"/>
        </w:rPr>
        <w:t>se</w:t>
      </w:r>
      <w:r w:rsidR="00BB07DC" w:rsidRPr="00492AA3">
        <w:rPr>
          <w:shd w:val="clear" w:color="auto" w:fill="FFFFFF" w:themeFill="background1"/>
          <w:lang w:eastAsia="ja-JP"/>
        </w:rPr>
        <w:t xml:space="preserve"> </w:t>
      </w:r>
      <w:r w:rsidR="00C12081" w:rsidRPr="00492AA3">
        <w:rPr>
          <w:shd w:val="clear" w:color="auto" w:fill="FFFFFF" w:themeFill="background1"/>
          <w:lang w:eastAsia="ja-JP"/>
        </w:rPr>
        <w:t>someterá al</w:t>
      </w:r>
      <w:r w:rsidR="00BB07DC" w:rsidRPr="00492AA3">
        <w:rPr>
          <w:shd w:val="clear" w:color="auto" w:fill="FFFFFF" w:themeFill="background1"/>
          <w:lang w:eastAsia="ja-JP"/>
        </w:rPr>
        <w:t xml:space="preserve"> Consejo</w:t>
      </w:r>
      <w:r w:rsidR="00C30B4B" w:rsidRPr="00492AA3">
        <w:rPr>
          <w:shd w:val="clear" w:color="auto" w:fill="FFFFFF" w:themeFill="background1"/>
          <w:lang w:eastAsia="ja-JP"/>
        </w:rPr>
        <w:t>, para que considere su aprobación,</w:t>
      </w:r>
      <w:r w:rsidR="00867D80" w:rsidRPr="00492AA3">
        <w:rPr>
          <w:shd w:val="clear" w:color="auto" w:fill="FFFFFF" w:themeFill="background1"/>
          <w:lang w:eastAsia="ja-JP"/>
        </w:rPr>
        <w:t xml:space="preserve"> un proyecto</w:t>
      </w:r>
      <w:r w:rsidR="00BB07DC" w:rsidRPr="00492AA3">
        <w:rPr>
          <w:shd w:val="clear" w:color="auto" w:fill="FFFFFF" w:themeFill="background1"/>
          <w:lang w:eastAsia="ja-JP"/>
        </w:rPr>
        <w:t xml:space="preserve"> acordado</w:t>
      </w:r>
      <w:r w:rsidR="00867D80" w:rsidRPr="00492AA3">
        <w:rPr>
          <w:shd w:val="clear" w:color="auto" w:fill="FFFFFF" w:themeFill="background1"/>
          <w:lang w:eastAsia="ja-JP"/>
        </w:rPr>
        <w:t xml:space="preserve"> de</w:t>
      </w:r>
      <w:r w:rsidR="00A80F90" w:rsidRPr="00492AA3">
        <w:rPr>
          <w:shd w:val="clear" w:color="auto" w:fill="FFFFFF" w:themeFill="background1"/>
          <w:lang w:eastAsia="ja-JP"/>
        </w:rPr>
        <w:t>l</w:t>
      </w:r>
      <w:r w:rsidR="00867D80" w:rsidRPr="00492AA3">
        <w:rPr>
          <w:shd w:val="clear" w:color="auto" w:fill="FFFFFF" w:themeFill="background1"/>
          <w:lang w:eastAsia="ja-JP"/>
        </w:rPr>
        <w:t xml:space="preserve"> documento </w:t>
      </w:r>
      <w:r w:rsidRPr="00492AA3">
        <w:rPr>
          <w:shd w:val="clear" w:color="auto" w:fill="FFFFFF" w:themeFill="background1"/>
          <w:lang w:eastAsia="ja-JP"/>
        </w:rPr>
        <w:t>UPOV/INF/16/9</w:t>
      </w:r>
      <w:r w:rsidR="00BB07DC" w:rsidRPr="00492AA3">
        <w:rPr>
          <w:shd w:val="clear" w:color="auto" w:fill="FFFFFF" w:themeFill="background1"/>
          <w:lang w:eastAsia="ja-JP"/>
        </w:rPr>
        <w:t>:</w:t>
      </w:r>
      <w:r w:rsidRPr="00492AA3">
        <w:rPr>
          <w:shd w:val="clear" w:color="auto" w:fill="FFFFFF" w:themeFill="background1"/>
          <w:lang w:eastAsia="ja-JP"/>
        </w:rPr>
        <w:t xml:space="preserve"> “</w:t>
      </w:r>
      <w:r w:rsidR="00567357" w:rsidRPr="00492AA3">
        <w:rPr>
          <w:shd w:val="clear" w:color="auto" w:fill="FFFFFF" w:themeFill="background1"/>
          <w:lang w:eastAsia="ja-JP"/>
        </w:rPr>
        <w:t>Programas informáticos para intercambio</w:t>
      </w:r>
      <w:r w:rsidR="00BB07DC" w:rsidRPr="00492AA3">
        <w:rPr>
          <w:shd w:val="clear" w:color="auto" w:fill="FFFFFF" w:themeFill="background1"/>
          <w:lang w:eastAsia="ja-JP"/>
        </w:rPr>
        <w:t>”</w:t>
      </w:r>
      <w:r w:rsidRPr="00492AA3">
        <w:rPr>
          <w:shd w:val="clear" w:color="auto" w:fill="FFFFFF" w:themeFill="background1"/>
          <w:lang w:eastAsia="ja-JP"/>
        </w:rPr>
        <w:t>.</w:t>
      </w:r>
      <w:r w:rsidRPr="00492AA3">
        <w:rPr>
          <w:lang w:eastAsia="ja-JP"/>
        </w:rPr>
        <w:t xml:space="preserve"> </w:t>
      </w:r>
    </w:p>
    <w:p w14:paraId="4946FF15" w14:textId="77777777" w:rsidR="00955AD5" w:rsidRPr="00492AA3" w:rsidRDefault="00955AD5" w:rsidP="00955AD5">
      <w:pPr>
        <w:rPr>
          <w:snapToGrid w:val="0"/>
          <w:spacing w:val="-2"/>
          <w:lang w:eastAsia="ja-JP"/>
        </w:rPr>
      </w:pPr>
    </w:p>
    <w:p w14:paraId="43B49D4C" w14:textId="769A2B3F" w:rsidR="00955AD5" w:rsidRPr="00492AA3" w:rsidRDefault="00955AD5" w:rsidP="00955AD5">
      <w:pPr>
        <w:pStyle w:val="DecisionParagraphs"/>
        <w:keepNext/>
        <w:rPr>
          <w:lang w:val="es-ES"/>
        </w:rPr>
      </w:pPr>
      <w:r w:rsidRPr="00492AA3">
        <w:rPr>
          <w:lang w:val="es-ES"/>
        </w:rPr>
        <w:fldChar w:fldCharType="begin"/>
      </w:r>
      <w:r w:rsidRPr="00492AA3">
        <w:rPr>
          <w:lang w:val="es-ES"/>
        </w:rPr>
        <w:instrText xml:space="preserve"> AUTONUM  </w:instrText>
      </w:r>
      <w:r w:rsidRPr="00492AA3">
        <w:rPr>
          <w:lang w:val="es-ES"/>
        </w:rPr>
        <w:fldChar w:fldCharType="end"/>
      </w:r>
      <w:r w:rsidRPr="00492AA3">
        <w:rPr>
          <w:lang w:val="es-ES"/>
        </w:rPr>
        <w:tab/>
      </w:r>
      <w:r w:rsidR="00BB07DC" w:rsidRPr="00492AA3">
        <w:rPr>
          <w:lang w:val="es-ES"/>
        </w:rPr>
        <w:t>Se invita al</w:t>
      </w:r>
      <w:r w:rsidRPr="00492AA3">
        <w:rPr>
          <w:lang w:val="es-ES"/>
        </w:rPr>
        <w:t xml:space="preserve"> CAJ </w:t>
      </w:r>
      <w:r w:rsidR="00BB07DC" w:rsidRPr="00492AA3">
        <w:rPr>
          <w:lang w:val="es-ES"/>
        </w:rPr>
        <w:t>a</w:t>
      </w:r>
      <w:r w:rsidRPr="00492AA3">
        <w:rPr>
          <w:lang w:val="es-ES"/>
        </w:rPr>
        <w:t>:</w:t>
      </w:r>
    </w:p>
    <w:p w14:paraId="03035031" w14:textId="77777777" w:rsidR="00955AD5" w:rsidRPr="00492AA3" w:rsidRDefault="00955AD5" w:rsidP="00955AD5">
      <w:pPr>
        <w:pStyle w:val="DecisionParagraphs"/>
        <w:keepNext/>
        <w:rPr>
          <w:lang w:val="es-ES"/>
        </w:rPr>
      </w:pPr>
    </w:p>
    <w:p w14:paraId="31282AA3" w14:textId="0A1EE403" w:rsidR="00955AD5" w:rsidRPr="00492AA3" w:rsidRDefault="00955AD5" w:rsidP="00955AD5">
      <w:pPr>
        <w:pStyle w:val="DecisionParagraphs"/>
        <w:rPr>
          <w:lang w:val="es-ES"/>
        </w:rPr>
      </w:pPr>
      <w:r w:rsidRPr="00492AA3">
        <w:rPr>
          <w:lang w:val="es-ES"/>
        </w:rPr>
        <w:tab/>
        <w:t>a)</w:t>
      </w:r>
      <w:r w:rsidRPr="00492AA3">
        <w:rPr>
          <w:lang w:val="es-ES"/>
        </w:rPr>
        <w:tab/>
      </w:r>
      <w:r w:rsidR="00743F9C" w:rsidRPr="00492AA3">
        <w:rPr>
          <w:lang w:val="es-ES"/>
        </w:rPr>
        <w:t>examinar la propuesta de revisión del documento</w:t>
      </w:r>
      <w:r w:rsidRPr="00492AA3">
        <w:rPr>
          <w:lang w:val="es-ES"/>
        </w:rPr>
        <w:t xml:space="preserve"> UPOV/INF/16/8 “</w:t>
      </w:r>
      <w:r w:rsidR="00567357" w:rsidRPr="00492AA3">
        <w:rPr>
          <w:lang w:val="es-ES"/>
        </w:rPr>
        <w:t>Programas informáticos para intercambio</w:t>
      </w:r>
      <w:r w:rsidRPr="00492AA3">
        <w:rPr>
          <w:lang w:val="es-ES"/>
        </w:rPr>
        <w:t xml:space="preserve">”, </w:t>
      </w:r>
      <w:r w:rsidR="00743F9C" w:rsidRPr="00492AA3">
        <w:rPr>
          <w:lang w:val="es-ES" w:eastAsia="ja-JP"/>
        </w:rPr>
        <w:t>sobre la base del documento</w:t>
      </w:r>
      <w:r w:rsidRPr="00492AA3">
        <w:rPr>
          <w:lang w:val="es-ES"/>
        </w:rPr>
        <w:t xml:space="preserve"> UPOV/</w:t>
      </w:r>
      <w:proofErr w:type="spellStart"/>
      <w:r w:rsidRPr="00492AA3">
        <w:rPr>
          <w:lang w:val="es-ES"/>
        </w:rPr>
        <w:t>INF</w:t>
      </w:r>
      <w:proofErr w:type="spellEnd"/>
      <w:r w:rsidRPr="00492AA3">
        <w:rPr>
          <w:lang w:val="es-ES"/>
        </w:rPr>
        <w:t>/16/9 </w:t>
      </w:r>
      <w:proofErr w:type="spellStart"/>
      <w:r w:rsidRPr="00492AA3">
        <w:rPr>
          <w:lang w:val="es-ES"/>
        </w:rPr>
        <w:t>Draft</w:t>
      </w:r>
      <w:proofErr w:type="spellEnd"/>
      <w:r w:rsidRPr="00492AA3">
        <w:rPr>
          <w:lang w:val="es-ES"/>
        </w:rPr>
        <w:t> </w:t>
      </w:r>
      <w:r w:rsidR="00796BCA" w:rsidRPr="00492AA3">
        <w:rPr>
          <w:strike/>
          <w:highlight w:val="yellow"/>
        </w:rPr>
        <w:t>1</w:t>
      </w:r>
      <w:r w:rsidR="00796BCA" w:rsidRPr="00492AA3">
        <w:rPr>
          <w:bCs/>
          <w:snapToGrid w:val="0"/>
          <w:highlight w:val="yellow"/>
          <w:u w:val="single"/>
        </w:rPr>
        <w:t>2</w:t>
      </w:r>
      <w:r w:rsidRPr="00492AA3">
        <w:rPr>
          <w:lang w:val="es-ES"/>
        </w:rPr>
        <w:t xml:space="preserve">; </w:t>
      </w:r>
      <w:r w:rsidR="00C37CAD" w:rsidRPr="00492AA3">
        <w:rPr>
          <w:lang w:val="es-ES"/>
        </w:rPr>
        <w:t>y</w:t>
      </w:r>
    </w:p>
    <w:p w14:paraId="6CF889F4" w14:textId="77777777" w:rsidR="00955AD5" w:rsidRPr="00492AA3" w:rsidRDefault="00955AD5" w:rsidP="00955AD5">
      <w:pPr>
        <w:pStyle w:val="DecisionParagraphs"/>
        <w:rPr>
          <w:lang w:val="es-ES"/>
        </w:rPr>
      </w:pPr>
    </w:p>
    <w:p w14:paraId="15D14536" w14:textId="184788DC" w:rsidR="00955AD5" w:rsidRPr="00492AA3" w:rsidRDefault="004F2167" w:rsidP="004F2167">
      <w:pPr>
        <w:pStyle w:val="DecisionParagraphs"/>
        <w:rPr>
          <w:lang w:val="es-ES"/>
        </w:rPr>
      </w:pPr>
      <w:r w:rsidRPr="00492AA3">
        <w:rPr>
          <w:i w:val="0"/>
          <w:lang w:val="es-ES"/>
        </w:rPr>
        <w:tab/>
        <w:t>b</w:t>
      </w:r>
      <w:r w:rsidRPr="00492AA3">
        <w:rPr>
          <w:lang w:val="es-ES"/>
        </w:rPr>
        <w:t>)</w:t>
      </w:r>
      <w:r w:rsidRPr="00492AA3">
        <w:rPr>
          <w:lang w:val="es-ES"/>
        </w:rPr>
        <w:tab/>
      </w:r>
      <w:r w:rsidR="00BB07DC" w:rsidRPr="00492AA3">
        <w:rPr>
          <w:lang w:val="es-ES"/>
        </w:rPr>
        <w:t xml:space="preserve">tomar nota </w:t>
      </w:r>
      <w:r w:rsidR="00BB07DC" w:rsidRPr="00492AA3">
        <w:rPr>
          <w:snapToGrid w:val="0"/>
          <w:lang w:val="es-ES" w:eastAsia="ja-JP"/>
        </w:rPr>
        <w:t xml:space="preserve">de que, </w:t>
      </w:r>
      <w:r w:rsidR="00CE30EE" w:rsidRPr="00492AA3">
        <w:rPr>
          <w:lang w:val="es-ES"/>
        </w:rPr>
        <w:t>a reserva del</w:t>
      </w:r>
      <w:r w:rsidR="00BB07DC" w:rsidRPr="00492AA3">
        <w:rPr>
          <w:snapToGrid w:val="0"/>
          <w:lang w:val="es-ES" w:eastAsia="ja-JP"/>
        </w:rPr>
        <w:t xml:space="preserve"> acuerdo del TC y el CAJ, </w:t>
      </w:r>
      <w:r w:rsidR="00C37CAD" w:rsidRPr="00492AA3">
        <w:rPr>
          <w:snapToGrid w:val="0"/>
          <w:lang w:val="es-ES" w:eastAsia="ja-JP"/>
        </w:rPr>
        <w:t>en 2020 se someterá</w:t>
      </w:r>
      <w:r w:rsidR="00BB07DC" w:rsidRPr="00492AA3">
        <w:rPr>
          <w:snapToGrid w:val="0"/>
          <w:lang w:val="es-ES" w:eastAsia="ja-JP"/>
        </w:rPr>
        <w:t xml:space="preserve"> al Consejo</w:t>
      </w:r>
      <w:r w:rsidR="00C30B4B" w:rsidRPr="00492AA3">
        <w:rPr>
          <w:snapToGrid w:val="0"/>
          <w:lang w:val="es-ES" w:eastAsia="ja-JP"/>
        </w:rPr>
        <w:t xml:space="preserve">, </w:t>
      </w:r>
      <w:r w:rsidR="00C30B4B" w:rsidRPr="00492AA3">
        <w:rPr>
          <w:lang w:val="es-ES"/>
        </w:rPr>
        <w:t>para que considere su aprobación,</w:t>
      </w:r>
      <w:r w:rsidR="00BB07DC" w:rsidRPr="00492AA3">
        <w:rPr>
          <w:snapToGrid w:val="0"/>
          <w:lang w:val="es-ES" w:eastAsia="ja-JP"/>
        </w:rPr>
        <w:t xml:space="preserve"> un proyecto de documento</w:t>
      </w:r>
      <w:r w:rsidR="00955AD5" w:rsidRPr="00492AA3">
        <w:rPr>
          <w:lang w:val="es-ES"/>
        </w:rPr>
        <w:t xml:space="preserve"> UPOV/</w:t>
      </w:r>
      <w:proofErr w:type="spellStart"/>
      <w:r w:rsidR="00955AD5" w:rsidRPr="00492AA3">
        <w:rPr>
          <w:lang w:val="es-ES"/>
        </w:rPr>
        <w:t>INF</w:t>
      </w:r>
      <w:proofErr w:type="spellEnd"/>
      <w:r w:rsidR="00955AD5" w:rsidRPr="00492AA3">
        <w:rPr>
          <w:lang w:val="es-ES"/>
        </w:rPr>
        <w:t>/16/9.</w:t>
      </w:r>
    </w:p>
    <w:p w14:paraId="1858EDEE" w14:textId="77777777" w:rsidR="00955AD5" w:rsidRPr="00492AA3" w:rsidRDefault="00955AD5" w:rsidP="00955AD5"/>
    <w:p w14:paraId="26AC779D" w14:textId="01600984" w:rsidR="00955AD5" w:rsidRPr="00492AA3" w:rsidRDefault="00BB07DC" w:rsidP="004F2167">
      <w:pPr>
        <w:pStyle w:val="Heading3"/>
      </w:pPr>
      <w:bookmarkStart w:id="26" w:name="_Toc52802613"/>
      <w:bookmarkEnd w:id="21"/>
      <w:bookmarkEnd w:id="22"/>
      <w:bookmarkEnd w:id="23"/>
      <w:r w:rsidRPr="00492AA3">
        <w:t>Revisión del documento</w:t>
      </w:r>
      <w:r w:rsidR="00955AD5" w:rsidRPr="00492AA3">
        <w:t xml:space="preserve"> UPOV/INF/22</w:t>
      </w:r>
      <w:r w:rsidRPr="00492AA3">
        <w:t>:</w:t>
      </w:r>
      <w:r w:rsidR="00955AD5" w:rsidRPr="00492AA3">
        <w:t xml:space="preserve"> “</w:t>
      </w:r>
      <w:r w:rsidR="00567357" w:rsidRPr="00492AA3">
        <w:t>Programas informáticos y equipos utilizados por los miembros de la Unión</w:t>
      </w:r>
      <w:r w:rsidR="00955AD5" w:rsidRPr="00492AA3">
        <w:t>” (document</w:t>
      </w:r>
      <w:r w:rsidRPr="00492AA3">
        <w:t>o</w:t>
      </w:r>
      <w:r w:rsidR="00955AD5" w:rsidRPr="00492AA3">
        <w:t> UPOV/</w:t>
      </w:r>
      <w:proofErr w:type="spellStart"/>
      <w:r w:rsidR="00955AD5" w:rsidRPr="00492AA3">
        <w:t>INF</w:t>
      </w:r>
      <w:proofErr w:type="spellEnd"/>
      <w:r w:rsidR="00955AD5" w:rsidRPr="00492AA3">
        <w:t>/22/7 </w:t>
      </w:r>
      <w:proofErr w:type="spellStart"/>
      <w:r w:rsidR="00955AD5" w:rsidRPr="00492AA3">
        <w:t>Draft</w:t>
      </w:r>
      <w:proofErr w:type="spellEnd"/>
      <w:r w:rsidR="00955AD5" w:rsidRPr="00492AA3">
        <w:t> 1)</w:t>
      </w:r>
      <w:bookmarkEnd w:id="26"/>
    </w:p>
    <w:p w14:paraId="417585B2" w14:textId="77777777" w:rsidR="00955AD5" w:rsidRPr="00492AA3" w:rsidRDefault="00955AD5" w:rsidP="00955AD5">
      <w:pPr>
        <w:rPr>
          <w:snapToGrid w:val="0"/>
        </w:rPr>
      </w:pPr>
    </w:p>
    <w:p w14:paraId="5496D854" w14:textId="3D33E4C0" w:rsidR="00955AD5" w:rsidRPr="00492AA3" w:rsidRDefault="00955AD5" w:rsidP="00955AD5">
      <w:r w:rsidRPr="00492AA3">
        <w:rPr>
          <w:snapToGrid w:val="0"/>
        </w:rPr>
        <w:fldChar w:fldCharType="begin"/>
      </w:r>
      <w:r w:rsidRPr="00492AA3">
        <w:rPr>
          <w:snapToGrid w:val="0"/>
        </w:rPr>
        <w:instrText xml:space="preserve"> AUTONUM  </w:instrText>
      </w:r>
      <w:r w:rsidRPr="00492AA3">
        <w:rPr>
          <w:snapToGrid w:val="0"/>
        </w:rPr>
        <w:fldChar w:fldCharType="end"/>
      </w:r>
      <w:r w:rsidRPr="00492AA3">
        <w:rPr>
          <w:snapToGrid w:val="0"/>
        </w:rPr>
        <w:tab/>
      </w:r>
      <w:r w:rsidR="0074584C" w:rsidRPr="00492AA3">
        <w:rPr>
          <w:snapToGrid w:val="0"/>
        </w:rPr>
        <w:t xml:space="preserve">El 14 de abril de 2020, la </w:t>
      </w:r>
      <w:r w:rsidR="0074584C" w:rsidRPr="00492AA3">
        <w:rPr>
          <w:rFonts w:cs="Arial"/>
          <w:color w:val="000000"/>
        </w:rPr>
        <w:t xml:space="preserve">Oficina de la Unión envió la </w:t>
      </w:r>
      <w:r w:rsidR="007222AE" w:rsidRPr="00492AA3">
        <w:rPr>
          <w:rFonts w:cs="Arial"/>
        </w:rPr>
        <w:t>C</w:t>
      </w:r>
      <w:r w:rsidR="0074584C" w:rsidRPr="00492AA3">
        <w:rPr>
          <w:rFonts w:cs="Arial"/>
        </w:rPr>
        <w:t>ircular</w:t>
      </w:r>
      <w:r w:rsidR="0074584C" w:rsidRPr="00492AA3">
        <w:rPr>
          <w:rFonts w:cs="Arial"/>
          <w:color w:val="000000"/>
        </w:rPr>
        <w:t> </w:t>
      </w:r>
      <w:r w:rsidR="0074584C" w:rsidRPr="00492AA3">
        <w:t xml:space="preserve">E-20/031 </w:t>
      </w:r>
      <w:r w:rsidR="0074584C" w:rsidRPr="00492AA3">
        <w:rPr>
          <w:rFonts w:cs="Arial"/>
          <w:color w:val="000000"/>
        </w:rPr>
        <w:t>a las personas designadas por los miembros de la Unión para asistir al TC</w:t>
      </w:r>
      <w:r w:rsidR="0074584C" w:rsidRPr="00492AA3">
        <w:t xml:space="preserve">, </w:t>
      </w:r>
      <w:r w:rsidR="0074584C" w:rsidRPr="00492AA3">
        <w:rPr>
          <w:rFonts w:cs="Arial"/>
          <w:color w:val="000000"/>
        </w:rPr>
        <w:t xml:space="preserve">invitándolas a proporcionar </w:t>
      </w:r>
      <w:r w:rsidR="00C37CAD" w:rsidRPr="00492AA3">
        <w:rPr>
          <w:rFonts w:cs="Arial"/>
          <w:color w:val="000000"/>
        </w:rPr>
        <w:t xml:space="preserve">información nueva o actualizada </w:t>
      </w:r>
      <w:r w:rsidR="0074584C" w:rsidRPr="00492AA3">
        <w:rPr>
          <w:rFonts w:cs="Arial"/>
          <w:color w:val="000000"/>
        </w:rPr>
        <w:t>para el documento</w:t>
      </w:r>
      <w:r w:rsidRPr="00492AA3">
        <w:rPr>
          <w:spacing w:val="-2"/>
        </w:rPr>
        <w:t xml:space="preserve"> UPOV/INF/</w:t>
      </w:r>
      <w:r w:rsidRPr="00492AA3">
        <w:rPr>
          <w:spacing w:val="-2"/>
          <w:lang w:eastAsia="ja-JP"/>
        </w:rPr>
        <w:t>22</w:t>
      </w:r>
      <w:r w:rsidRPr="00492AA3">
        <w:rPr>
          <w:spacing w:val="-2"/>
        </w:rPr>
        <w:t>.</w:t>
      </w:r>
      <w:r w:rsidR="00C05526" w:rsidRPr="00492AA3">
        <w:t xml:space="preserve"> </w:t>
      </w:r>
    </w:p>
    <w:p w14:paraId="39F5E01D" w14:textId="77777777" w:rsidR="00955AD5" w:rsidRPr="00492AA3" w:rsidRDefault="00955AD5" w:rsidP="00955AD5"/>
    <w:p w14:paraId="28A38AF5" w14:textId="02D7680F" w:rsidR="00955AD5" w:rsidRPr="00492AA3" w:rsidRDefault="00955AD5" w:rsidP="00955AD5">
      <w:r w:rsidRPr="00492AA3">
        <w:fldChar w:fldCharType="begin"/>
      </w:r>
      <w:r w:rsidRPr="00492AA3">
        <w:instrText xml:space="preserve"> AUTONUM  </w:instrText>
      </w:r>
      <w:r w:rsidRPr="00492AA3">
        <w:fldChar w:fldCharType="end"/>
      </w:r>
      <w:r w:rsidRPr="00492AA3">
        <w:tab/>
      </w:r>
      <w:r w:rsidR="00DF04B3" w:rsidRPr="00492AA3">
        <w:t xml:space="preserve">La información recibida de Lituania y el Uruguay en respuesta a la </w:t>
      </w:r>
      <w:r w:rsidR="007222AE" w:rsidRPr="00492AA3">
        <w:t>C</w:t>
      </w:r>
      <w:r w:rsidR="00DF04B3" w:rsidRPr="00492AA3">
        <w:t>ircular</w:t>
      </w:r>
      <w:r w:rsidRPr="00492AA3">
        <w:t xml:space="preserve"> E-20/031 </w:t>
      </w:r>
      <w:r w:rsidR="00D83A5E" w:rsidRPr="00492AA3">
        <w:t>ha sido incluida</w:t>
      </w:r>
      <w:r w:rsidR="00DF04B3" w:rsidRPr="00492AA3">
        <w:t xml:space="preserve"> en el documento</w:t>
      </w:r>
      <w:r w:rsidRPr="00492AA3">
        <w:t xml:space="preserve"> UPOV/</w:t>
      </w:r>
      <w:proofErr w:type="spellStart"/>
      <w:r w:rsidRPr="00492AA3">
        <w:t>INF</w:t>
      </w:r>
      <w:proofErr w:type="spellEnd"/>
      <w:r w:rsidRPr="00492AA3">
        <w:t>/22/7 </w:t>
      </w:r>
      <w:proofErr w:type="spellStart"/>
      <w:r w:rsidRPr="00492AA3">
        <w:t>Draft</w:t>
      </w:r>
      <w:proofErr w:type="spellEnd"/>
      <w:r w:rsidRPr="00492AA3">
        <w:t> 1.</w:t>
      </w:r>
    </w:p>
    <w:p w14:paraId="2516AB5A" w14:textId="77777777" w:rsidR="00955AD5" w:rsidRPr="004F2167" w:rsidRDefault="00955AD5" w:rsidP="00955AD5">
      <w:pPr>
        <w:rPr>
          <w:rFonts w:eastAsia="MS Mincho"/>
          <w:snapToGrid w:val="0"/>
          <w:sz w:val="18"/>
          <w:lang w:eastAsia="ja-JP"/>
        </w:rPr>
      </w:pPr>
    </w:p>
    <w:p w14:paraId="71B86712" w14:textId="1E8B0A34" w:rsidR="00955AD5" w:rsidRPr="00492AA3" w:rsidRDefault="00955AD5" w:rsidP="00955AD5">
      <w:pPr>
        <w:rPr>
          <w:snapToGrid w:val="0"/>
          <w:lang w:eastAsia="ja-JP"/>
        </w:rPr>
      </w:pPr>
      <w:r w:rsidRPr="00492AA3">
        <w:rPr>
          <w:lang w:eastAsia="ja-JP"/>
        </w:rPr>
        <w:lastRenderedPageBreak/>
        <w:fldChar w:fldCharType="begin"/>
      </w:r>
      <w:r w:rsidRPr="00492AA3">
        <w:rPr>
          <w:lang w:eastAsia="ja-JP"/>
        </w:rPr>
        <w:instrText xml:space="preserve"> AUTONUM  </w:instrText>
      </w:r>
      <w:r w:rsidRPr="00492AA3">
        <w:rPr>
          <w:lang w:eastAsia="ja-JP"/>
        </w:rPr>
        <w:fldChar w:fldCharType="end"/>
      </w:r>
      <w:r w:rsidRPr="00492AA3">
        <w:rPr>
          <w:lang w:eastAsia="ja-JP"/>
        </w:rPr>
        <w:tab/>
      </w:r>
      <w:r w:rsidR="00A80F90" w:rsidRPr="00492AA3">
        <w:rPr>
          <w:lang w:eastAsia="ja-JP"/>
        </w:rPr>
        <w:t>A reserva de que el</w:t>
      </w:r>
      <w:r w:rsidR="00DF04B3" w:rsidRPr="00492AA3">
        <w:rPr>
          <w:lang w:eastAsia="ja-JP"/>
        </w:rPr>
        <w:t xml:space="preserve"> TC y el CAJ </w:t>
      </w:r>
      <w:r w:rsidR="00A80F90" w:rsidRPr="00492AA3">
        <w:rPr>
          <w:lang w:eastAsia="ja-JP"/>
        </w:rPr>
        <w:t>acuerden</w:t>
      </w:r>
      <w:r w:rsidR="00DF04B3" w:rsidRPr="00492AA3">
        <w:rPr>
          <w:lang w:eastAsia="ja-JP"/>
        </w:rPr>
        <w:t xml:space="preserve"> un proyecto de documento </w:t>
      </w:r>
      <w:r w:rsidRPr="00492AA3">
        <w:rPr>
          <w:lang w:eastAsia="ja-JP"/>
        </w:rPr>
        <w:t>UPOV/INF/22/7</w:t>
      </w:r>
      <w:r w:rsidR="00A80F90" w:rsidRPr="00492AA3">
        <w:rPr>
          <w:lang w:eastAsia="ja-JP"/>
        </w:rPr>
        <w:t>,</w:t>
      </w:r>
      <w:r w:rsidR="00EE4004" w:rsidRPr="00492AA3">
        <w:rPr>
          <w:lang w:eastAsia="ja-JP"/>
        </w:rPr>
        <w:t xml:space="preserve"> </w:t>
      </w:r>
      <w:r w:rsidR="00A80F90" w:rsidRPr="00492AA3">
        <w:rPr>
          <w:lang w:eastAsia="ja-JP"/>
        </w:rPr>
        <w:t>sobre la base</w:t>
      </w:r>
      <w:r w:rsidR="00743F9C" w:rsidRPr="00492AA3">
        <w:rPr>
          <w:lang w:eastAsia="ja-JP"/>
        </w:rPr>
        <w:t xml:space="preserve"> del documento</w:t>
      </w:r>
      <w:r w:rsidRPr="00492AA3">
        <w:rPr>
          <w:lang w:eastAsia="ja-JP"/>
        </w:rPr>
        <w:t xml:space="preserve"> UPOV/</w:t>
      </w:r>
      <w:proofErr w:type="spellStart"/>
      <w:r w:rsidRPr="00492AA3">
        <w:rPr>
          <w:lang w:eastAsia="ja-JP"/>
        </w:rPr>
        <w:t>INF</w:t>
      </w:r>
      <w:proofErr w:type="spellEnd"/>
      <w:r w:rsidRPr="00492AA3">
        <w:rPr>
          <w:lang w:eastAsia="ja-JP"/>
        </w:rPr>
        <w:t xml:space="preserve">/22/7 </w:t>
      </w:r>
      <w:proofErr w:type="spellStart"/>
      <w:r w:rsidRPr="00492AA3">
        <w:rPr>
          <w:lang w:eastAsia="ja-JP"/>
        </w:rPr>
        <w:t>Draft</w:t>
      </w:r>
      <w:proofErr w:type="spellEnd"/>
      <w:r w:rsidRPr="00492AA3">
        <w:rPr>
          <w:lang w:eastAsia="ja-JP"/>
        </w:rPr>
        <w:t xml:space="preserve"> 1, </w:t>
      </w:r>
      <w:r w:rsidR="00C37CAD" w:rsidRPr="00492AA3">
        <w:rPr>
          <w:lang w:eastAsia="ja-JP"/>
        </w:rPr>
        <w:t xml:space="preserve">en 2020 se someterá </w:t>
      </w:r>
      <w:r w:rsidR="00DF04B3" w:rsidRPr="00492AA3">
        <w:rPr>
          <w:lang w:eastAsia="ja-JP"/>
        </w:rPr>
        <w:t>al Consejo</w:t>
      </w:r>
      <w:r w:rsidR="00C30B4B" w:rsidRPr="00492AA3">
        <w:rPr>
          <w:lang w:eastAsia="ja-JP"/>
        </w:rPr>
        <w:t>, para que considere su aprobación,</w:t>
      </w:r>
      <w:r w:rsidR="00DF04B3" w:rsidRPr="00492AA3">
        <w:rPr>
          <w:lang w:eastAsia="ja-JP"/>
        </w:rPr>
        <w:t xml:space="preserve"> </w:t>
      </w:r>
      <w:r w:rsidR="00A80F90" w:rsidRPr="00492AA3">
        <w:rPr>
          <w:lang w:eastAsia="ja-JP"/>
        </w:rPr>
        <w:t>un</w:t>
      </w:r>
      <w:r w:rsidR="00DF04B3" w:rsidRPr="00492AA3">
        <w:rPr>
          <w:lang w:eastAsia="ja-JP"/>
        </w:rPr>
        <w:t xml:space="preserve"> proyecto acordado de documento </w:t>
      </w:r>
      <w:r w:rsidRPr="00492AA3">
        <w:rPr>
          <w:lang w:eastAsia="ja-JP"/>
        </w:rPr>
        <w:t>UPOV/INF/22/7</w:t>
      </w:r>
      <w:r w:rsidR="00A80F90" w:rsidRPr="00492AA3">
        <w:rPr>
          <w:lang w:eastAsia="ja-JP"/>
        </w:rPr>
        <w:t xml:space="preserve">: </w:t>
      </w:r>
      <w:r w:rsidRPr="00492AA3">
        <w:rPr>
          <w:lang w:eastAsia="ja-JP"/>
        </w:rPr>
        <w:t>“</w:t>
      </w:r>
      <w:r w:rsidR="00567357" w:rsidRPr="00492AA3">
        <w:rPr>
          <w:lang w:eastAsia="ja-JP"/>
        </w:rPr>
        <w:t>Programas informáticos y equipos utilizados por los miembros de la Unión</w:t>
      </w:r>
      <w:r w:rsidRPr="00492AA3">
        <w:rPr>
          <w:lang w:eastAsia="ja-JP"/>
        </w:rPr>
        <w:t>”</w:t>
      </w:r>
      <w:r w:rsidR="00C37CAD" w:rsidRPr="00492AA3">
        <w:rPr>
          <w:lang w:eastAsia="ja-JP"/>
        </w:rPr>
        <w:t>.</w:t>
      </w:r>
    </w:p>
    <w:p w14:paraId="4A571367" w14:textId="77777777" w:rsidR="00955AD5" w:rsidRPr="00492AA3" w:rsidRDefault="00955AD5" w:rsidP="00955AD5">
      <w:pPr>
        <w:rPr>
          <w:rFonts w:eastAsia="MS Mincho"/>
          <w:snapToGrid w:val="0"/>
          <w:lang w:eastAsia="ja-JP"/>
        </w:rPr>
      </w:pPr>
    </w:p>
    <w:p w14:paraId="0990259F" w14:textId="1288A90F" w:rsidR="00955AD5" w:rsidRPr="00492AA3" w:rsidRDefault="00955AD5" w:rsidP="00706F51">
      <w:pPr>
        <w:pStyle w:val="DecisionParagraphs"/>
        <w:keepNext/>
        <w:keepLines/>
        <w:rPr>
          <w:lang w:val="es-ES"/>
        </w:rPr>
      </w:pPr>
      <w:r w:rsidRPr="00492AA3">
        <w:rPr>
          <w:lang w:val="es-ES"/>
        </w:rPr>
        <w:fldChar w:fldCharType="begin"/>
      </w:r>
      <w:r w:rsidRPr="00492AA3">
        <w:rPr>
          <w:lang w:val="es-ES"/>
        </w:rPr>
        <w:instrText xml:space="preserve"> AUTONUM  </w:instrText>
      </w:r>
      <w:r w:rsidRPr="00492AA3">
        <w:rPr>
          <w:lang w:val="es-ES"/>
        </w:rPr>
        <w:fldChar w:fldCharType="end"/>
      </w:r>
      <w:r w:rsidRPr="00492AA3">
        <w:rPr>
          <w:lang w:val="es-ES"/>
        </w:rPr>
        <w:tab/>
      </w:r>
      <w:r w:rsidR="00DC02A5" w:rsidRPr="00492AA3">
        <w:rPr>
          <w:lang w:val="es-ES"/>
        </w:rPr>
        <w:t>Se invita al CAJ a:</w:t>
      </w:r>
    </w:p>
    <w:p w14:paraId="79FFF802" w14:textId="77777777" w:rsidR="00955AD5" w:rsidRPr="00492AA3" w:rsidRDefault="00955AD5" w:rsidP="00706F51">
      <w:pPr>
        <w:pStyle w:val="DecisionParagraphs"/>
        <w:keepNext/>
        <w:keepLines/>
        <w:rPr>
          <w:lang w:val="es-ES"/>
        </w:rPr>
      </w:pPr>
    </w:p>
    <w:p w14:paraId="6BDA6E38" w14:textId="65C8AAC2" w:rsidR="00955AD5" w:rsidRPr="00492AA3" w:rsidRDefault="00955AD5" w:rsidP="00706F51">
      <w:pPr>
        <w:pStyle w:val="DecisionParagraphs"/>
        <w:keepNext/>
        <w:keepLines/>
        <w:rPr>
          <w:spacing w:val="-2"/>
          <w:lang w:val="es-ES"/>
        </w:rPr>
      </w:pPr>
      <w:r w:rsidRPr="00492AA3">
        <w:rPr>
          <w:spacing w:val="-2"/>
          <w:lang w:val="es-ES"/>
        </w:rPr>
        <w:tab/>
        <w:t>a)</w:t>
      </w:r>
      <w:r w:rsidRPr="00492AA3">
        <w:rPr>
          <w:spacing w:val="-2"/>
          <w:lang w:val="es-ES"/>
        </w:rPr>
        <w:tab/>
      </w:r>
      <w:r w:rsidR="00743F9C" w:rsidRPr="00492AA3">
        <w:rPr>
          <w:spacing w:val="-2"/>
          <w:lang w:val="es-ES"/>
        </w:rPr>
        <w:t>examinar la propuesta de revisión del documento</w:t>
      </w:r>
      <w:r w:rsidRPr="00492AA3">
        <w:rPr>
          <w:spacing w:val="-2"/>
          <w:lang w:val="es-ES"/>
        </w:rPr>
        <w:t xml:space="preserve"> UPOV/INF/22/6</w:t>
      </w:r>
      <w:r w:rsidR="00C37CAD" w:rsidRPr="00492AA3">
        <w:rPr>
          <w:spacing w:val="-2"/>
          <w:lang w:val="es-ES"/>
        </w:rPr>
        <w:t xml:space="preserve">: </w:t>
      </w:r>
      <w:r w:rsidRPr="00492AA3">
        <w:rPr>
          <w:spacing w:val="-2"/>
          <w:lang w:val="es-ES"/>
        </w:rPr>
        <w:t>“</w:t>
      </w:r>
      <w:r w:rsidR="00567357" w:rsidRPr="00492AA3">
        <w:rPr>
          <w:spacing w:val="-2"/>
          <w:lang w:val="es-ES"/>
        </w:rPr>
        <w:t>Programas informáticos y equipos utilizados por los miembros de la Unión</w:t>
      </w:r>
      <w:r w:rsidRPr="00492AA3">
        <w:rPr>
          <w:spacing w:val="-2"/>
          <w:lang w:val="es-ES"/>
        </w:rPr>
        <w:t xml:space="preserve">”, </w:t>
      </w:r>
      <w:r w:rsidR="00743F9C" w:rsidRPr="00492AA3">
        <w:rPr>
          <w:spacing w:val="-2"/>
          <w:lang w:val="es-ES" w:eastAsia="ja-JP"/>
        </w:rPr>
        <w:t>sobre la base del documento</w:t>
      </w:r>
      <w:r w:rsidRPr="00492AA3">
        <w:rPr>
          <w:spacing w:val="-2"/>
          <w:lang w:val="es-ES"/>
        </w:rPr>
        <w:t xml:space="preserve"> UPOV/</w:t>
      </w:r>
      <w:proofErr w:type="spellStart"/>
      <w:r w:rsidRPr="00492AA3">
        <w:rPr>
          <w:spacing w:val="-2"/>
          <w:lang w:val="es-ES"/>
        </w:rPr>
        <w:t>INF</w:t>
      </w:r>
      <w:proofErr w:type="spellEnd"/>
      <w:r w:rsidRPr="00492AA3">
        <w:rPr>
          <w:spacing w:val="-2"/>
          <w:lang w:val="es-ES"/>
        </w:rPr>
        <w:t>/22/7 </w:t>
      </w:r>
      <w:proofErr w:type="spellStart"/>
      <w:r w:rsidRPr="00492AA3">
        <w:rPr>
          <w:spacing w:val="-2"/>
          <w:lang w:val="es-ES"/>
        </w:rPr>
        <w:t>Draft</w:t>
      </w:r>
      <w:proofErr w:type="spellEnd"/>
      <w:r w:rsidRPr="00492AA3">
        <w:rPr>
          <w:spacing w:val="-2"/>
          <w:lang w:val="es-ES"/>
        </w:rPr>
        <w:t> 1;</w:t>
      </w:r>
      <w:r w:rsidR="007C2166" w:rsidRPr="00492AA3">
        <w:rPr>
          <w:spacing w:val="-2"/>
          <w:lang w:val="es-ES"/>
        </w:rPr>
        <w:t xml:space="preserve"> </w:t>
      </w:r>
      <w:r w:rsidRPr="00492AA3">
        <w:rPr>
          <w:spacing w:val="-2"/>
          <w:lang w:val="es-ES"/>
        </w:rPr>
        <w:t xml:space="preserve"> </w:t>
      </w:r>
      <w:r w:rsidR="0074584C" w:rsidRPr="00492AA3">
        <w:rPr>
          <w:spacing w:val="-2"/>
          <w:lang w:val="es-ES"/>
        </w:rPr>
        <w:t>y</w:t>
      </w:r>
    </w:p>
    <w:p w14:paraId="35C3402C" w14:textId="77777777" w:rsidR="00955AD5" w:rsidRPr="00492AA3" w:rsidRDefault="00955AD5" w:rsidP="004F2167">
      <w:pPr>
        <w:pStyle w:val="DecisionParagraphs"/>
        <w:keepNext/>
        <w:rPr>
          <w:lang w:val="es-ES"/>
        </w:rPr>
      </w:pPr>
    </w:p>
    <w:p w14:paraId="1E81AC22" w14:textId="66E489B7" w:rsidR="00955AD5" w:rsidRPr="00492AA3" w:rsidRDefault="00955AD5" w:rsidP="00955AD5">
      <w:pPr>
        <w:pStyle w:val="DecisionParagraphs"/>
        <w:rPr>
          <w:lang w:val="es-ES"/>
        </w:rPr>
      </w:pPr>
      <w:r w:rsidRPr="00492AA3">
        <w:rPr>
          <w:lang w:val="es-ES"/>
        </w:rPr>
        <w:tab/>
        <w:t>b)</w:t>
      </w:r>
      <w:r w:rsidRPr="00492AA3">
        <w:rPr>
          <w:lang w:val="es-ES"/>
        </w:rPr>
        <w:tab/>
      </w:r>
      <w:r w:rsidR="00FA29E4" w:rsidRPr="00492AA3">
        <w:rPr>
          <w:lang w:val="es-ES"/>
        </w:rPr>
        <w:t xml:space="preserve">tomar nota </w:t>
      </w:r>
      <w:r w:rsidR="00FA29E4" w:rsidRPr="00492AA3">
        <w:rPr>
          <w:snapToGrid w:val="0"/>
          <w:lang w:val="es-ES" w:eastAsia="ja-JP"/>
        </w:rPr>
        <w:t xml:space="preserve">de que, </w:t>
      </w:r>
      <w:r w:rsidR="00CE30EE" w:rsidRPr="00492AA3">
        <w:rPr>
          <w:snapToGrid w:val="0"/>
          <w:lang w:val="es-ES" w:eastAsia="ja-JP"/>
        </w:rPr>
        <w:t>a reserva del</w:t>
      </w:r>
      <w:r w:rsidR="00FA29E4" w:rsidRPr="00492AA3">
        <w:rPr>
          <w:snapToGrid w:val="0"/>
          <w:lang w:val="es-ES" w:eastAsia="ja-JP"/>
        </w:rPr>
        <w:t xml:space="preserve"> acuerdo del TC y el CAJ, </w:t>
      </w:r>
      <w:r w:rsidR="00C37CAD" w:rsidRPr="00492AA3">
        <w:rPr>
          <w:snapToGrid w:val="0"/>
          <w:lang w:val="es-ES" w:eastAsia="ja-JP"/>
        </w:rPr>
        <w:t>en 2020 se someterá al Consejo</w:t>
      </w:r>
      <w:r w:rsidR="00C30B4B" w:rsidRPr="00492AA3">
        <w:rPr>
          <w:snapToGrid w:val="0"/>
          <w:lang w:val="es-ES" w:eastAsia="ja-JP"/>
        </w:rPr>
        <w:t>,</w:t>
      </w:r>
      <w:r w:rsidR="00C30B4B" w:rsidRPr="00492AA3">
        <w:rPr>
          <w:lang w:val="es-ES"/>
        </w:rPr>
        <w:t xml:space="preserve"> para que considere su aprobación, </w:t>
      </w:r>
      <w:r w:rsidR="00C37CAD" w:rsidRPr="00492AA3">
        <w:rPr>
          <w:snapToGrid w:val="0"/>
          <w:lang w:val="es-ES" w:eastAsia="ja-JP"/>
        </w:rPr>
        <w:t xml:space="preserve">un proyecto de documento </w:t>
      </w:r>
      <w:r w:rsidRPr="00492AA3">
        <w:rPr>
          <w:lang w:val="es-ES"/>
        </w:rPr>
        <w:t>UPOV/INF/22/7.</w:t>
      </w:r>
      <w:r w:rsidR="00C05526" w:rsidRPr="00492AA3">
        <w:rPr>
          <w:lang w:val="es-ES"/>
        </w:rPr>
        <w:t xml:space="preserve"> </w:t>
      </w:r>
    </w:p>
    <w:p w14:paraId="6FB54726" w14:textId="77777777" w:rsidR="00955AD5" w:rsidRPr="00492AA3" w:rsidRDefault="00955AD5" w:rsidP="00955AD5">
      <w:pPr>
        <w:pStyle w:val="DecisionParagraphs"/>
        <w:rPr>
          <w:i w:val="0"/>
          <w:lang w:val="es-ES"/>
        </w:rPr>
      </w:pPr>
    </w:p>
    <w:p w14:paraId="187782DB" w14:textId="77777777" w:rsidR="00955AD5" w:rsidRPr="00492AA3" w:rsidRDefault="00955AD5" w:rsidP="00955AD5">
      <w:pPr>
        <w:pStyle w:val="DecisionParagraphs"/>
        <w:rPr>
          <w:i w:val="0"/>
          <w:lang w:val="es-ES"/>
        </w:rPr>
      </w:pPr>
    </w:p>
    <w:p w14:paraId="0BD75EE1" w14:textId="0C4F9950" w:rsidR="00D83A5E" w:rsidRPr="00492AA3" w:rsidRDefault="00D83A5E" w:rsidP="00D83A5E">
      <w:pPr>
        <w:pStyle w:val="Heading2"/>
        <w:numPr>
          <w:ilvl w:val="0"/>
          <w:numId w:val="6"/>
        </w:numPr>
        <w:ind w:left="567" w:hanging="567"/>
        <w:rPr>
          <w:lang w:val="es-ES"/>
        </w:rPr>
      </w:pPr>
      <w:bookmarkStart w:id="27" w:name="_Toc52802614"/>
      <w:r w:rsidRPr="00492AA3">
        <w:rPr>
          <w:lang w:val="es-ES"/>
        </w:rPr>
        <w:t>Notas explicativas</w:t>
      </w:r>
      <w:bookmarkEnd w:id="27"/>
    </w:p>
    <w:p w14:paraId="2AE550CA" w14:textId="77777777" w:rsidR="00955AD5" w:rsidRPr="00492AA3" w:rsidRDefault="00955AD5" w:rsidP="00955AD5">
      <w:pPr>
        <w:keepNext/>
        <w:tabs>
          <w:tab w:val="left" w:pos="5387"/>
        </w:tabs>
        <w:rPr>
          <w:highlight w:val="green"/>
        </w:rPr>
      </w:pPr>
    </w:p>
    <w:p w14:paraId="3A591659" w14:textId="71F2A638" w:rsidR="00955AD5" w:rsidRPr="00492AA3" w:rsidRDefault="00955AD5" w:rsidP="004F2167">
      <w:pPr>
        <w:pStyle w:val="Heading3"/>
        <w:rPr>
          <w:b/>
          <w:u w:val="single"/>
        </w:rPr>
      </w:pPr>
      <w:bookmarkStart w:id="28" w:name="_Toc42523418"/>
      <w:bookmarkStart w:id="29" w:name="_Toc52802615"/>
      <w:r w:rsidRPr="00492AA3">
        <w:t>UPOV/EXN/DEN:</w:t>
      </w:r>
      <w:r w:rsidR="00C05526" w:rsidRPr="00492AA3">
        <w:t xml:space="preserve"> </w:t>
      </w:r>
      <w:bookmarkEnd w:id="28"/>
      <w:r w:rsidR="00DC02A5" w:rsidRPr="00492AA3">
        <w:t xml:space="preserve">Notas explicativas sobre las denominaciones de variedades con arreglo al Convenio de la UPOV </w:t>
      </w:r>
      <w:r w:rsidRPr="00492AA3">
        <w:t>(document</w:t>
      </w:r>
      <w:r w:rsidR="00DC02A5" w:rsidRPr="00492AA3">
        <w:t>o</w:t>
      </w:r>
      <w:r w:rsidR="00785C76" w:rsidRPr="00492AA3">
        <w:t> UPOV/</w:t>
      </w:r>
      <w:proofErr w:type="spellStart"/>
      <w:r w:rsidR="00785C76" w:rsidRPr="00492AA3">
        <w:t>EXN</w:t>
      </w:r>
      <w:proofErr w:type="spellEnd"/>
      <w:r w:rsidR="00785C76" w:rsidRPr="00492AA3">
        <w:t>/DEN/1 </w:t>
      </w:r>
      <w:proofErr w:type="spellStart"/>
      <w:r w:rsidRPr="00492AA3">
        <w:t>Draft</w:t>
      </w:r>
      <w:proofErr w:type="spellEnd"/>
      <w:r w:rsidR="00785C76" w:rsidRPr="00492AA3">
        <w:t> </w:t>
      </w:r>
      <w:r w:rsidRPr="00492AA3">
        <w:t>4</w:t>
      </w:r>
      <w:r w:rsidR="00DF411E" w:rsidRPr="00492AA3">
        <w:t xml:space="preserve"> </w:t>
      </w:r>
      <w:r w:rsidR="00DF411E" w:rsidRPr="00492AA3">
        <w:rPr>
          <w:color w:val="000000"/>
          <w:u w:val="single"/>
          <w:shd w:val="clear" w:color="auto" w:fill="FFFF00"/>
        </w:rPr>
        <w:t>que será examinado en la sesión virtual del</w:t>
      </w:r>
      <w:r w:rsidR="00DF411E" w:rsidRPr="00492AA3">
        <w:rPr>
          <w:highlight w:val="yellow"/>
          <w:u w:val="single"/>
        </w:rPr>
        <w:t> CAJ</w:t>
      </w:r>
      <w:r w:rsidR="00DF411E" w:rsidRPr="00492AA3">
        <w:t>)</w:t>
      </w:r>
      <w:r w:rsidR="00796BCA" w:rsidRPr="00492AA3">
        <w:rPr>
          <w:rStyle w:val="EndnoteReference"/>
          <w:b/>
          <w:highlight w:val="yellow"/>
          <w:u w:val="single"/>
        </w:rPr>
        <w:endnoteReference w:id="4"/>
      </w:r>
      <w:bookmarkEnd w:id="29"/>
    </w:p>
    <w:p w14:paraId="06BB1A52" w14:textId="77777777" w:rsidR="00955AD5" w:rsidRPr="00492AA3" w:rsidRDefault="00955AD5" w:rsidP="00955AD5"/>
    <w:p w14:paraId="52ED61ED" w14:textId="1E7DF243" w:rsidR="00955AD5" w:rsidRPr="00492AA3" w:rsidRDefault="00955AD5" w:rsidP="00955AD5">
      <w:pPr>
        <w:keepLines/>
        <w:rPr>
          <w:spacing w:val="-2"/>
        </w:rPr>
      </w:pPr>
      <w:r w:rsidRPr="00492AA3">
        <w:rPr>
          <w:spacing w:val="-2"/>
        </w:rPr>
        <w:fldChar w:fldCharType="begin"/>
      </w:r>
      <w:r w:rsidRPr="00492AA3">
        <w:rPr>
          <w:spacing w:val="-2"/>
        </w:rPr>
        <w:instrText xml:space="preserve"> AUTONUM  </w:instrText>
      </w:r>
      <w:r w:rsidRPr="00492AA3">
        <w:rPr>
          <w:spacing w:val="-2"/>
        </w:rPr>
        <w:fldChar w:fldCharType="end"/>
      </w:r>
      <w:r w:rsidRPr="00492AA3">
        <w:rPr>
          <w:spacing w:val="-2"/>
        </w:rPr>
        <w:tab/>
      </w:r>
      <w:r w:rsidR="00BB2BB5" w:rsidRPr="00492AA3">
        <w:rPr>
          <w:spacing w:val="-2"/>
        </w:rPr>
        <w:t>En</w:t>
      </w:r>
      <w:r w:rsidR="00DC02A5" w:rsidRPr="00492AA3">
        <w:rPr>
          <w:spacing w:val="-2"/>
        </w:rPr>
        <w:t xml:space="preserve"> su septuagésima sexta sesión</w:t>
      </w:r>
      <w:r w:rsidRPr="00492AA3">
        <w:rPr>
          <w:spacing w:val="-2"/>
          <w:vertAlign w:val="superscript"/>
        </w:rPr>
        <w:fldChar w:fldCharType="begin"/>
      </w:r>
      <w:r w:rsidRPr="00492AA3">
        <w:rPr>
          <w:spacing w:val="-2"/>
          <w:vertAlign w:val="superscript"/>
        </w:rPr>
        <w:instrText xml:space="preserve"> NOTEREF _Ref42609563 \h  \* MERGEFORMAT </w:instrText>
      </w:r>
      <w:r w:rsidRPr="00492AA3">
        <w:rPr>
          <w:spacing w:val="-2"/>
          <w:vertAlign w:val="superscript"/>
        </w:rPr>
      </w:r>
      <w:r w:rsidRPr="00492AA3">
        <w:rPr>
          <w:spacing w:val="-2"/>
          <w:vertAlign w:val="superscript"/>
        </w:rPr>
        <w:fldChar w:fldCharType="separate"/>
      </w:r>
      <w:r w:rsidR="00024BFE">
        <w:rPr>
          <w:spacing w:val="-2"/>
          <w:vertAlign w:val="superscript"/>
        </w:rPr>
        <w:t>3</w:t>
      </w:r>
      <w:r w:rsidRPr="00492AA3">
        <w:rPr>
          <w:spacing w:val="-2"/>
          <w:vertAlign w:val="superscript"/>
        </w:rPr>
        <w:fldChar w:fldCharType="end"/>
      </w:r>
      <w:r w:rsidR="00D10BB4" w:rsidRPr="00492AA3">
        <w:rPr>
          <w:spacing w:val="-2"/>
        </w:rPr>
        <w:t xml:space="preserve">, </w:t>
      </w:r>
      <w:r w:rsidR="00BB2BB5" w:rsidRPr="00492AA3">
        <w:rPr>
          <w:spacing w:val="-2"/>
        </w:rPr>
        <w:t xml:space="preserve">el </w:t>
      </w:r>
      <w:proofErr w:type="spellStart"/>
      <w:r w:rsidR="00BB2BB5" w:rsidRPr="00492AA3">
        <w:rPr>
          <w:spacing w:val="-2"/>
        </w:rPr>
        <w:t>CAJ</w:t>
      </w:r>
      <w:proofErr w:type="spellEnd"/>
      <w:r w:rsidR="00BB2BB5" w:rsidRPr="00492AA3">
        <w:rPr>
          <w:spacing w:val="-2"/>
        </w:rPr>
        <w:t xml:space="preserve"> </w:t>
      </w:r>
      <w:r w:rsidR="00DC02A5" w:rsidRPr="00492AA3">
        <w:rPr>
          <w:spacing w:val="-2"/>
        </w:rPr>
        <w:t>tomó nota de las revisiones del documento</w:t>
      </w:r>
      <w:r w:rsidRPr="00492AA3">
        <w:rPr>
          <w:spacing w:val="-2"/>
        </w:rPr>
        <w:t> UPOV/INF/12/5</w:t>
      </w:r>
      <w:r w:rsidR="00CC1848" w:rsidRPr="00492AA3">
        <w:rPr>
          <w:spacing w:val="-2"/>
        </w:rPr>
        <w:t xml:space="preserve"> que</w:t>
      </w:r>
      <w:r w:rsidR="00DC02A5" w:rsidRPr="00492AA3">
        <w:rPr>
          <w:spacing w:val="-2"/>
        </w:rPr>
        <w:t xml:space="preserve"> </w:t>
      </w:r>
      <w:r w:rsidR="00CC1848" w:rsidRPr="00492AA3">
        <w:rPr>
          <w:spacing w:val="-2"/>
        </w:rPr>
        <w:t>figuran</w:t>
      </w:r>
      <w:r w:rsidR="00DC02A5" w:rsidRPr="00492AA3">
        <w:rPr>
          <w:spacing w:val="-2"/>
        </w:rPr>
        <w:t xml:space="preserve"> en el documento</w:t>
      </w:r>
      <w:r w:rsidRPr="00492AA3">
        <w:rPr>
          <w:spacing w:val="-2"/>
        </w:rPr>
        <w:t xml:space="preserve"> UPOV/</w:t>
      </w:r>
      <w:proofErr w:type="spellStart"/>
      <w:r w:rsidRPr="00492AA3">
        <w:rPr>
          <w:spacing w:val="-2"/>
        </w:rPr>
        <w:t>EXN</w:t>
      </w:r>
      <w:proofErr w:type="spellEnd"/>
      <w:r w:rsidRPr="00492AA3">
        <w:rPr>
          <w:spacing w:val="-2"/>
        </w:rPr>
        <w:t>/DEN/1 </w:t>
      </w:r>
      <w:proofErr w:type="spellStart"/>
      <w:r w:rsidRPr="00492AA3">
        <w:rPr>
          <w:spacing w:val="-2"/>
        </w:rPr>
        <w:t>Draft</w:t>
      </w:r>
      <w:proofErr w:type="spellEnd"/>
      <w:r w:rsidRPr="00492AA3">
        <w:rPr>
          <w:spacing w:val="-2"/>
        </w:rPr>
        <w:t> 2</w:t>
      </w:r>
      <w:r w:rsidRPr="00492AA3">
        <w:rPr>
          <w:rStyle w:val="FootnoteReference"/>
          <w:spacing w:val="-2"/>
        </w:rPr>
        <w:footnoteReference w:id="5"/>
      </w:r>
      <w:r w:rsidR="00EE4004" w:rsidRPr="00492AA3">
        <w:rPr>
          <w:spacing w:val="-2"/>
        </w:rPr>
        <w:t xml:space="preserve">, </w:t>
      </w:r>
      <w:r w:rsidR="00BB2BB5" w:rsidRPr="00492AA3">
        <w:rPr>
          <w:spacing w:val="-2"/>
        </w:rPr>
        <w:t xml:space="preserve">así como de </w:t>
      </w:r>
      <w:r w:rsidR="00DC02A5" w:rsidRPr="00492AA3">
        <w:rPr>
          <w:spacing w:val="-2"/>
        </w:rPr>
        <w:t xml:space="preserve">las </w:t>
      </w:r>
      <w:r w:rsidR="00D83A5E" w:rsidRPr="00492AA3">
        <w:rPr>
          <w:spacing w:val="-2"/>
        </w:rPr>
        <w:t>modificacione</w:t>
      </w:r>
      <w:r w:rsidR="00DC02A5" w:rsidRPr="00492AA3">
        <w:rPr>
          <w:spacing w:val="-2"/>
        </w:rPr>
        <w:t>s propuestas por el</w:t>
      </w:r>
      <w:r w:rsidRPr="00492AA3">
        <w:rPr>
          <w:spacing w:val="-2"/>
        </w:rPr>
        <w:t xml:space="preserve"> </w:t>
      </w:r>
      <w:r w:rsidR="00D83A3F" w:rsidRPr="00492AA3">
        <w:rPr>
          <w:rFonts w:cs="Arial"/>
          <w:color w:val="000000"/>
          <w:shd w:val="clear" w:color="auto" w:fill="FFFFFF" w:themeFill="background1"/>
        </w:rPr>
        <w:t>WG</w:t>
      </w:r>
      <w:r w:rsidR="00D83A3F" w:rsidRPr="00492AA3">
        <w:rPr>
          <w:rFonts w:cs="Arial"/>
          <w:color w:val="000000"/>
          <w:shd w:val="clear" w:color="auto" w:fill="FFFFFF" w:themeFill="background1"/>
        </w:rPr>
        <w:noBreakHyphen/>
      </w:r>
      <w:r w:rsidR="00DC02A5" w:rsidRPr="00492AA3">
        <w:rPr>
          <w:rFonts w:cs="Arial"/>
          <w:color w:val="000000"/>
          <w:shd w:val="clear" w:color="auto" w:fill="FFFFFF" w:themeFill="background1"/>
        </w:rPr>
        <w:t>DEN</w:t>
      </w:r>
      <w:r w:rsidRPr="00492AA3">
        <w:rPr>
          <w:spacing w:val="-2"/>
          <w:shd w:val="clear" w:color="auto" w:fill="FFFFFF" w:themeFill="background1"/>
        </w:rPr>
        <w:t xml:space="preserve"> </w:t>
      </w:r>
      <w:r w:rsidR="00DC02A5" w:rsidRPr="00492AA3">
        <w:rPr>
          <w:rFonts w:cs="Arial"/>
          <w:color w:val="000000"/>
          <w:shd w:val="clear" w:color="auto" w:fill="FFFFFF" w:themeFill="background1"/>
        </w:rPr>
        <w:t>en su sexta reunión</w:t>
      </w:r>
      <w:r w:rsidRPr="00492AA3">
        <w:rPr>
          <w:rStyle w:val="FootnoteReference"/>
          <w:spacing w:val="-2"/>
        </w:rPr>
        <w:footnoteReference w:id="6"/>
      </w:r>
      <w:r w:rsidRPr="00492AA3">
        <w:rPr>
          <w:spacing w:val="-2"/>
        </w:rPr>
        <w:t>.</w:t>
      </w:r>
    </w:p>
    <w:p w14:paraId="77D2AC64" w14:textId="77777777" w:rsidR="00955AD5" w:rsidRPr="00492AA3" w:rsidRDefault="00955AD5" w:rsidP="00955AD5"/>
    <w:p w14:paraId="682C7CB9" w14:textId="24045A12" w:rsidR="00955AD5" w:rsidRPr="00492AA3" w:rsidRDefault="00955AD5" w:rsidP="00955AD5">
      <w:r w:rsidRPr="00492AA3">
        <w:fldChar w:fldCharType="begin"/>
      </w:r>
      <w:r w:rsidRPr="00492AA3">
        <w:instrText xml:space="preserve"> AUTONUM  </w:instrText>
      </w:r>
      <w:r w:rsidRPr="00492AA3">
        <w:fldChar w:fldCharType="end"/>
      </w:r>
      <w:r w:rsidRPr="00492AA3">
        <w:tab/>
      </w:r>
      <w:r w:rsidR="001D7BB2" w:rsidRPr="00492AA3">
        <w:t>El</w:t>
      </w:r>
      <w:r w:rsidRPr="00492AA3">
        <w:t xml:space="preserve"> CAJ </w:t>
      </w:r>
      <w:r w:rsidR="001D7BB2" w:rsidRPr="00492AA3">
        <w:t>tomó nota de que el</w:t>
      </w:r>
      <w:r w:rsidRPr="00492AA3">
        <w:t xml:space="preserve"> WG-DEN </w:t>
      </w:r>
      <w:r w:rsidR="001D7BB2" w:rsidRPr="00492AA3">
        <w:t>había pedido a la Oficina de la Unión que se aclar</w:t>
      </w:r>
      <w:r w:rsidR="0007037A" w:rsidRPr="00492AA3">
        <w:t>e</w:t>
      </w:r>
      <w:r w:rsidR="001D7BB2" w:rsidRPr="00492AA3">
        <w:t xml:space="preserve"> el texto siguiente</w:t>
      </w:r>
      <w:r w:rsidRPr="00492AA3">
        <w:t>:</w:t>
      </w:r>
    </w:p>
    <w:p w14:paraId="0DB9C3EA" w14:textId="77777777" w:rsidR="00955AD5" w:rsidRPr="00492AA3" w:rsidRDefault="00955AD5" w:rsidP="00955AD5"/>
    <w:p w14:paraId="2A9DA168" w14:textId="05E7B98B" w:rsidR="00955AD5" w:rsidRPr="00310D26" w:rsidRDefault="00955AD5" w:rsidP="00955AD5">
      <w:pPr>
        <w:ind w:left="567" w:right="567"/>
        <w:rPr>
          <w:sz w:val="18"/>
        </w:rPr>
      </w:pPr>
      <w:r w:rsidRPr="00310D26">
        <w:rPr>
          <w:sz w:val="18"/>
        </w:rPr>
        <w:t>“</w:t>
      </w:r>
      <w:r w:rsidR="001D7BB2" w:rsidRPr="00310D26">
        <w:rPr>
          <w:sz w:val="18"/>
        </w:rPr>
        <w:t>Sección 5.3.a):</w:t>
      </w:r>
    </w:p>
    <w:p w14:paraId="7C45CB80" w14:textId="4C60E507" w:rsidR="00955AD5" w:rsidRPr="00310D26" w:rsidRDefault="00955AD5" w:rsidP="00955AD5">
      <w:pPr>
        <w:ind w:left="567" w:right="567"/>
        <w:rPr>
          <w:sz w:val="18"/>
        </w:rPr>
      </w:pPr>
      <w:r w:rsidRPr="00310D26">
        <w:rPr>
          <w:sz w:val="18"/>
        </w:rPr>
        <w:t>“</w:t>
      </w:r>
      <w:r w:rsidR="001D7BB2" w:rsidRPr="00310D26">
        <w:rPr>
          <w:sz w:val="18"/>
        </w:rPr>
        <w:t>no está conforme con las disposiciones de los párrafos 2) (por ejemplo, la denominación propuesta no es diferente de la denominación de una variedad existente de la misma especie vegetal o de una especie vecina en su territorio) y 4) (por ejemplo, la denominación propuesta es idéntica a una marca registrada para un producto idéntico);</w:t>
      </w:r>
      <w:r w:rsidRPr="00310D26">
        <w:rPr>
          <w:sz w:val="18"/>
        </w:rPr>
        <w:t>”</w:t>
      </w:r>
    </w:p>
    <w:p w14:paraId="1C9CDA99" w14:textId="77777777" w:rsidR="00955AD5" w:rsidRPr="00492AA3" w:rsidRDefault="00955AD5" w:rsidP="00955AD5"/>
    <w:p w14:paraId="487AE50A" w14:textId="08994931" w:rsidR="00955AD5" w:rsidRPr="00492AA3" w:rsidRDefault="00955AD5" w:rsidP="00955AD5">
      <w:r w:rsidRPr="00492AA3">
        <w:fldChar w:fldCharType="begin"/>
      </w:r>
      <w:r w:rsidRPr="00492AA3">
        <w:instrText xml:space="preserve"> AUTONUM  </w:instrText>
      </w:r>
      <w:r w:rsidRPr="00492AA3">
        <w:fldChar w:fldCharType="end"/>
      </w:r>
      <w:r w:rsidRPr="00492AA3">
        <w:tab/>
      </w:r>
      <w:r w:rsidR="001D7BB2" w:rsidRPr="00492AA3">
        <w:t>El CAJ tomó nota de que la delegación de la Unión Europea habí</w:t>
      </w:r>
      <w:r w:rsidR="00D60821" w:rsidRPr="00492AA3">
        <w:t>a solicitado que, en la sección </w:t>
      </w:r>
      <w:r w:rsidR="001D7BB2" w:rsidRPr="00492AA3">
        <w:t>2.3.3.</w:t>
      </w:r>
      <w:r w:rsidR="0007037A" w:rsidRPr="00492AA3">
        <w:t> </w:t>
      </w:r>
      <w:r w:rsidR="001D7BB2" w:rsidRPr="00492AA3">
        <w:t>a)</w:t>
      </w:r>
      <w:r w:rsidR="0007037A" w:rsidRPr="00492AA3">
        <w:t> </w:t>
      </w:r>
      <w:r w:rsidR="001D7BB2" w:rsidRPr="00492AA3">
        <w:t>i), se consider</w:t>
      </w:r>
      <w:r w:rsidR="0007037A" w:rsidRPr="00492AA3">
        <w:t>e</w:t>
      </w:r>
      <w:r w:rsidR="001D7BB2" w:rsidRPr="00492AA3">
        <w:t xml:space="preserve"> la posibilidad de reemplazar “visual y fonética” por “visual o</w:t>
      </w:r>
      <w:r w:rsidR="00EB49BD" w:rsidRPr="00492AA3">
        <w:t xml:space="preserve"> fonética</w:t>
      </w:r>
      <w:r w:rsidR="001D7BB2" w:rsidRPr="00492AA3">
        <w:t>” y de introducir el “concepto” como criterio adicional. La Oficina de la Unión indicó que el WG-DEN había considerado dichas propuestas, pero no las había aceptado porque podrían dar a lugar a incongruencias sin otras modificaciones.</w:t>
      </w:r>
    </w:p>
    <w:p w14:paraId="2DB19916" w14:textId="77777777" w:rsidR="00955AD5" w:rsidRPr="00492AA3" w:rsidRDefault="00955AD5" w:rsidP="00955AD5"/>
    <w:p w14:paraId="114A9C6A" w14:textId="7B0EC55A" w:rsidR="00955AD5" w:rsidRPr="00492AA3" w:rsidRDefault="00955AD5" w:rsidP="00955AD5">
      <w:r w:rsidRPr="00492AA3">
        <w:fldChar w:fldCharType="begin"/>
      </w:r>
      <w:r w:rsidRPr="00492AA3">
        <w:instrText xml:space="preserve"> AUTONUM  </w:instrText>
      </w:r>
      <w:r w:rsidRPr="00492AA3">
        <w:fldChar w:fldCharType="end"/>
      </w:r>
      <w:r w:rsidRPr="00492AA3">
        <w:tab/>
      </w:r>
      <w:r w:rsidR="00EE4004" w:rsidRPr="00492AA3">
        <w:t>El CAJ convino en que la Oficina de la Unión invite a los miembros y los observadores a formular observaciones por correspondencia sobre el documento UPOV/EXN/DEN</w:t>
      </w:r>
      <w:r w:rsidR="008813A4" w:rsidRPr="00492AA3">
        <w:t xml:space="preserve">: </w:t>
      </w:r>
      <w:r w:rsidR="00EE4004" w:rsidRPr="00492AA3">
        <w:t>“Notas explicativas sobre las denominaciones de variedades con arreglo al Convenio de la UPOV”</w:t>
      </w:r>
      <w:r w:rsidRPr="00492AA3">
        <w:t xml:space="preserve"> (document</w:t>
      </w:r>
      <w:r w:rsidR="00EE4004" w:rsidRPr="00492AA3">
        <w:t>o</w:t>
      </w:r>
      <w:r w:rsidRPr="00492AA3">
        <w:t xml:space="preserve"> UPOV/</w:t>
      </w:r>
      <w:proofErr w:type="spellStart"/>
      <w:r w:rsidRPr="00492AA3">
        <w:t>EXN</w:t>
      </w:r>
      <w:proofErr w:type="spellEnd"/>
      <w:r w:rsidRPr="00492AA3">
        <w:t>/DEN/1 </w:t>
      </w:r>
      <w:proofErr w:type="spellStart"/>
      <w:r w:rsidRPr="00492AA3">
        <w:t>Draft</w:t>
      </w:r>
      <w:proofErr w:type="spellEnd"/>
      <w:r w:rsidRPr="00492AA3">
        <w:t xml:space="preserve"> 3) </w:t>
      </w:r>
      <w:r w:rsidR="00EE4004" w:rsidRPr="00492AA3">
        <w:t>en relación con las cuestiones mencionadas en los párrafos</w:t>
      </w:r>
      <w:r w:rsidR="00C05526" w:rsidRPr="00492AA3">
        <w:t xml:space="preserve"> </w:t>
      </w:r>
      <w:r w:rsidRPr="00492AA3">
        <w:t xml:space="preserve">20 </w:t>
      </w:r>
      <w:r w:rsidR="00EE4004" w:rsidRPr="00492AA3">
        <w:t>y</w:t>
      </w:r>
      <w:r w:rsidRPr="00492AA3">
        <w:t xml:space="preserve"> 21.</w:t>
      </w:r>
      <w:r w:rsidR="00C05526" w:rsidRPr="00492AA3">
        <w:t xml:space="preserve"> </w:t>
      </w:r>
      <w:r w:rsidR="00EE4004" w:rsidRPr="00492AA3">
        <w:t>A partir de las observaciones recibidas por correspondencia, la Oficina de la Unión preparará un proyecto del documento</w:t>
      </w:r>
      <w:r w:rsidRPr="00492AA3">
        <w:t xml:space="preserve"> UPOV/</w:t>
      </w:r>
      <w:proofErr w:type="spellStart"/>
      <w:r w:rsidRPr="00492AA3">
        <w:t>EXN</w:t>
      </w:r>
      <w:proofErr w:type="spellEnd"/>
      <w:r w:rsidRPr="00492AA3">
        <w:t>/DEN</w:t>
      </w:r>
      <w:r w:rsidR="008813A4" w:rsidRPr="00492AA3">
        <w:t xml:space="preserve">: </w:t>
      </w:r>
      <w:r w:rsidRPr="00492AA3">
        <w:t>“</w:t>
      </w:r>
      <w:r w:rsidR="00492AA3" w:rsidRPr="00492AA3">
        <w:t>Notas </w:t>
      </w:r>
      <w:r w:rsidR="00EE4004" w:rsidRPr="00492AA3">
        <w:t>explicativas sobre las denominaciones de variedades con arreglo al Convenio de la UPOV</w:t>
      </w:r>
      <w:r w:rsidRPr="00492AA3">
        <w:t>” (document</w:t>
      </w:r>
      <w:r w:rsidR="00EE4004" w:rsidRPr="00492AA3">
        <w:t xml:space="preserve">o </w:t>
      </w:r>
      <w:r w:rsidRPr="00492AA3">
        <w:t>UPOV/</w:t>
      </w:r>
      <w:proofErr w:type="spellStart"/>
      <w:r w:rsidRPr="00492AA3">
        <w:t>EXN</w:t>
      </w:r>
      <w:proofErr w:type="spellEnd"/>
      <w:r w:rsidRPr="00492AA3">
        <w:t>/DEN/1 </w:t>
      </w:r>
      <w:proofErr w:type="spellStart"/>
      <w:r w:rsidRPr="00492AA3">
        <w:t>Draft</w:t>
      </w:r>
      <w:proofErr w:type="spellEnd"/>
      <w:r w:rsidRPr="00492AA3">
        <w:t xml:space="preserve"> 4) </w:t>
      </w:r>
      <w:r w:rsidR="00BB11E5" w:rsidRPr="00492AA3">
        <w:t>para que el CAJ lo examine</w:t>
      </w:r>
      <w:r w:rsidRPr="00492AA3">
        <w:t>.</w:t>
      </w:r>
      <w:r w:rsidR="00C05526" w:rsidRPr="00492AA3">
        <w:t xml:space="preserve"> </w:t>
      </w:r>
      <w:r w:rsidR="00BB11E5" w:rsidRPr="00492AA3">
        <w:t>El</w:t>
      </w:r>
      <w:r w:rsidRPr="00492AA3">
        <w:t xml:space="preserve"> CAJ </w:t>
      </w:r>
      <w:r w:rsidR="00BB11E5" w:rsidRPr="00492AA3">
        <w:t>tomó nota de</w:t>
      </w:r>
      <w:r w:rsidR="004158CD" w:rsidRPr="00492AA3">
        <w:t xml:space="preserve"> que</w:t>
      </w:r>
      <w:r w:rsidR="00BB11E5" w:rsidRPr="00492AA3">
        <w:t xml:space="preserve"> </w:t>
      </w:r>
      <w:r w:rsidR="00EB49BD" w:rsidRPr="00492AA3">
        <w:t xml:space="preserve">en 2020 </w:t>
      </w:r>
      <w:r w:rsidR="00BB11E5" w:rsidRPr="00492AA3">
        <w:t xml:space="preserve">se invitará al CAJ y al Consejo a examinar la revisión del documento </w:t>
      </w:r>
      <w:r w:rsidRPr="00492AA3">
        <w:t>UPOV/EXN/DEN/1</w:t>
      </w:r>
      <w:r w:rsidR="008813A4" w:rsidRPr="00492AA3">
        <w:t xml:space="preserve">: </w:t>
      </w:r>
      <w:r w:rsidRPr="00492AA3">
        <w:t>“</w:t>
      </w:r>
      <w:r w:rsidR="00BB11E5" w:rsidRPr="00492AA3">
        <w:t>Notas explicativas sobre las denominaciones de variedades con arreglo al Convenio de la UPOV</w:t>
      </w:r>
      <w:r w:rsidRPr="00492AA3">
        <w:t>”.</w:t>
      </w:r>
    </w:p>
    <w:p w14:paraId="765F438E" w14:textId="77777777" w:rsidR="00955AD5" w:rsidRPr="00492AA3" w:rsidRDefault="00955AD5" w:rsidP="00955AD5">
      <w:pPr>
        <w:rPr>
          <w:strike/>
        </w:rPr>
      </w:pPr>
    </w:p>
    <w:p w14:paraId="3FAF8F81" w14:textId="0C516A2E" w:rsidR="00955AD5" w:rsidRPr="00492AA3" w:rsidRDefault="00955AD5" w:rsidP="00492AA3">
      <w:pPr>
        <w:keepNext/>
        <w:keepLines/>
        <w:rPr>
          <w:rFonts w:eastAsia="MS Mincho"/>
          <w:snapToGrid w:val="0"/>
          <w:lang w:eastAsia="ja-JP"/>
        </w:rPr>
      </w:pPr>
      <w:r w:rsidRPr="00492AA3">
        <w:rPr>
          <w:rFonts w:eastAsia="MS Mincho"/>
          <w:snapToGrid w:val="0"/>
          <w:lang w:eastAsia="ja-JP"/>
        </w:rPr>
        <w:lastRenderedPageBreak/>
        <w:fldChar w:fldCharType="begin"/>
      </w:r>
      <w:r w:rsidRPr="00492AA3">
        <w:rPr>
          <w:rFonts w:eastAsia="MS Mincho"/>
          <w:snapToGrid w:val="0"/>
          <w:lang w:eastAsia="ja-JP"/>
        </w:rPr>
        <w:instrText xml:space="preserve"> AUTONUM  </w:instrText>
      </w:r>
      <w:r w:rsidRPr="00492AA3">
        <w:rPr>
          <w:rFonts w:eastAsia="MS Mincho"/>
          <w:snapToGrid w:val="0"/>
          <w:lang w:eastAsia="ja-JP"/>
        </w:rPr>
        <w:fldChar w:fldCharType="end"/>
      </w:r>
      <w:r w:rsidRPr="00492AA3">
        <w:rPr>
          <w:rFonts w:eastAsia="MS Mincho"/>
          <w:snapToGrid w:val="0"/>
          <w:lang w:eastAsia="ja-JP"/>
        </w:rPr>
        <w:tab/>
      </w:r>
      <w:r w:rsidR="000B1ECA" w:rsidRPr="00492AA3">
        <w:rPr>
          <w:rFonts w:eastAsia="MS Mincho"/>
          <w:snapToGrid w:val="0"/>
          <w:lang w:eastAsia="ja-JP"/>
        </w:rPr>
        <w:t xml:space="preserve">El 3 de abril de 2020, la Oficina de la Unión envió la </w:t>
      </w:r>
      <w:r w:rsidR="007222AE" w:rsidRPr="00492AA3">
        <w:rPr>
          <w:rFonts w:eastAsia="MS Mincho"/>
          <w:snapToGrid w:val="0"/>
          <w:lang w:eastAsia="ja-JP"/>
        </w:rPr>
        <w:t>C</w:t>
      </w:r>
      <w:r w:rsidR="000B1ECA" w:rsidRPr="00492AA3">
        <w:rPr>
          <w:rFonts w:eastAsia="MS Mincho"/>
          <w:snapToGrid w:val="0"/>
          <w:lang w:eastAsia="ja-JP"/>
        </w:rPr>
        <w:t xml:space="preserve">ircular E-20/017 a las personas designadas por los miembros y </w:t>
      </w:r>
      <w:r w:rsidR="00EB49BD" w:rsidRPr="00492AA3">
        <w:rPr>
          <w:rFonts w:eastAsia="MS Mincho"/>
          <w:snapToGrid w:val="0"/>
          <w:color w:val="000000" w:themeColor="text1"/>
          <w:lang w:eastAsia="ja-JP"/>
        </w:rPr>
        <w:t>a</w:t>
      </w:r>
      <w:r w:rsidR="00EB49BD" w:rsidRPr="00492AA3">
        <w:rPr>
          <w:rFonts w:eastAsia="MS Mincho"/>
          <w:snapToGrid w:val="0"/>
          <w:lang w:eastAsia="ja-JP"/>
        </w:rPr>
        <w:t xml:space="preserve"> </w:t>
      </w:r>
      <w:r w:rsidR="000B1ECA" w:rsidRPr="00492AA3">
        <w:rPr>
          <w:rFonts w:eastAsia="MS Mincho"/>
          <w:snapToGrid w:val="0"/>
          <w:lang w:eastAsia="ja-JP"/>
        </w:rPr>
        <w:t xml:space="preserve">los observadores </w:t>
      </w:r>
      <w:r w:rsidR="00376FA7" w:rsidRPr="00492AA3">
        <w:rPr>
          <w:rFonts w:eastAsia="MS Mincho"/>
          <w:snapToGrid w:val="0"/>
          <w:lang w:eastAsia="ja-JP"/>
        </w:rPr>
        <w:t>d</w:t>
      </w:r>
      <w:r w:rsidR="000B1ECA" w:rsidRPr="00492AA3">
        <w:rPr>
          <w:rFonts w:eastAsia="MS Mincho"/>
          <w:snapToGrid w:val="0"/>
          <w:lang w:eastAsia="ja-JP"/>
        </w:rPr>
        <w:t xml:space="preserve">el CAJ, </w:t>
      </w:r>
      <w:r w:rsidR="00076228" w:rsidRPr="00492AA3">
        <w:rPr>
          <w:rFonts w:eastAsia="MS Mincho"/>
          <w:snapToGrid w:val="0"/>
          <w:lang w:eastAsia="ja-JP"/>
        </w:rPr>
        <w:t>en la que los invitaba</w:t>
      </w:r>
      <w:r w:rsidR="000B1ECA" w:rsidRPr="00492AA3">
        <w:rPr>
          <w:rFonts w:eastAsia="MS Mincho"/>
          <w:snapToGrid w:val="0"/>
          <w:lang w:eastAsia="ja-JP"/>
        </w:rPr>
        <w:t xml:space="preserve"> </w:t>
      </w:r>
      <w:r w:rsidR="00694E7F" w:rsidRPr="00492AA3">
        <w:rPr>
          <w:rFonts w:eastAsia="MS Mincho"/>
          <w:snapToGrid w:val="0"/>
          <w:lang w:eastAsia="ja-JP"/>
        </w:rPr>
        <w:t xml:space="preserve">a que examinaran </w:t>
      </w:r>
      <w:r w:rsidR="000B1ECA" w:rsidRPr="00492AA3">
        <w:rPr>
          <w:rFonts w:eastAsia="MS Mincho"/>
          <w:snapToGrid w:val="0"/>
          <w:lang w:eastAsia="ja-JP"/>
        </w:rPr>
        <w:t xml:space="preserve">el documento </w:t>
      </w:r>
      <w:r w:rsidR="000B1ECA" w:rsidRPr="00492AA3">
        <w:t>UPOV/</w:t>
      </w:r>
      <w:proofErr w:type="spellStart"/>
      <w:r w:rsidR="000B1ECA" w:rsidRPr="00492AA3">
        <w:t>EXN</w:t>
      </w:r>
      <w:proofErr w:type="spellEnd"/>
      <w:r w:rsidR="000B1ECA" w:rsidRPr="00492AA3">
        <w:t>/DEN/1 </w:t>
      </w:r>
      <w:proofErr w:type="spellStart"/>
      <w:r w:rsidR="000B1ECA" w:rsidRPr="00492AA3">
        <w:t>Draft</w:t>
      </w:r>
      <w:proofErr w:type="spellEnd"/>
      <w:r w:rsidR="000B1ECA" w:rsidRPr="00492AA3">
        <w:t xml:space="preserve"> 3, que </w:t>
      </w:r>
      <w:r w:rsidR="00376FA7" w:rsidRPr="00492AA3">
        <w:t>contiene</w:t>
      </w:r>
      <w:r w:rsidR="000B1ECA" w:rsidRPr="00492AA3">
        <w:t xml:space="preserve"> las modificaciones </w:t>
      </w:r>
      <w:r w:rsidR="00376FA7" w:rsidRPr="00492AA3">
        <w:t xml:space="preserve">acordadas por </w:t>
      </w:r>
      <w:r w:rsidR="000B1ECA" w:rsidRPr="00492AA3">
        <w:t>el WG-DEN para el documento UPOV/INF/12/5, y las propuestas de la Oficina Comunitaria de Variedad</w:t>
      </w:r>
      <w:r w:rsidR="00D60821" w:rsidRPr="00492AA3">
        <w:t>es Vegetales (OCVV) de la Unión </w:t>
      </w:r>
      <w:r w:rsidR="000B1ECA" w:rsidRPr="00492AA3">
        <w:t>Europea para la modificación de la sección 2.3.3 del documento UPOV/</w:t>
      </w:r>
      <w:proofErr w:type="spellStart"/>
      <w:r w:rsidR="000B1ECA" w:rsidRPr="00492AA3">
        <w:t>EXN</w:t>
      </w:r>
      <w:proofErr w:type="spellEnd"/>
      <w:r w:rsidR="000B1ECA" w:rsidRPr="00492AA3">
        <w:t xml:space="preserve">/DEN/1 </w:t>
      </w:r>
      <w:proofErr w:type="spellStart"/>
      <w:r w:rsidR="000B1ECA" w:rsidRPr="00492AA3">
        <w:t>Draft</w:t>
      </w:r>
      <w:proofErr w:type="spellEnd"/>
      <w:r w:rsidR="000B1ECA" w:rsidRPr="00492AA3">
        <w:t xml:space="preserve"> 3</w:t>
      </w:r>
      <w:r w:rsidR="00376FA7" w:rsidRPr="00492AA3">
        <w:t>,</w:t>
      </w:r>
      <w:r w:rsidR="000B1ECA" w:rsidRPr="00492AA3">
        <w:t xml:space="preserve"> </w:t>
      </w:r>
      <w:r w:rsidR="00376FA7" w:rsidRPr="00492AA3">
        <w:t>reproducidas</w:t>
      </w:r>
      <w:r w:rsidR="000B1ECA" w:rsidRPr="00492AA3">
        <w:t xml:space="preserve"> en el Anexo de la </w:t>
      </w:r>
      <w:r w:rsidR="007222AE" w:rsidRPr="00492AA3">
        <w:rPr>
          <w:shd w:val="clear" w:color="auto" w:fill="FFFFFF" w:themeFill="background1"/>
        </w:rPr>
        <w:t>Cir</w:t>
      </w:r>
      <w:r w:rsidR="000B1ECA" w:rsidRPr="00492AA3">
        <w:t>cular E</w:t>
      </w:r>
      <w:r w:rsidR="000B1ECA" w:rsidRPr="00492AA3">
        <w:noBreakHyphen/>
        <w:t>20/017</w:t>
      </w:r>
      <w:r w:rsidR="00376FA7" w:rsidRPr="00492AA3">
        <w:t xml:space="preserve">, </w:t>
      </w:r>
      <w:r w:rsidR="00376FA7" w:rsidRPr="00492AA3">
        <w:rPr>
          <w:rFonts w:eastAsia="MS Mincho"/>
          <w:snapToGrid w:val="0"/>
          <w:lang w:eastAsia="ja-JP"/>
        </w:rPr>
        <w:t xml:space="preserve">y </w:t>
      </w:r>
      <w:r w:rsidR="00694E7F" w:rsidRPr="00492AA3">
        <w:rPr>
          <w:rFonts w:eastAsia="MS Mincho"/>
          <w:snapToGrid w:val="0"/>
          <w:lang w:eastAsia="ja-JP"/>
        </w:rPr>
        <w:t>a que formularan</w:t>
      </w:r>
      <w:r w:rsidR="00376FA7" w:rsidRPr="00492AA3">
        <w:rPr>
          <w:rFonts w:eastAsia="MS Mincho"/>
          <w:snapToGrid w:val="0"/>
          <w:lang w:eastAsia="ja-JP"/>
        </w:rPr>
        <w:t xml:space="preserve"> observaciones al respecto</w:t>
      </w:r>
      <w:r w:rsidR="000B1ECA" w:rsidRPr="00492AA3">
        <w:t xml:space="preserve">. </w:t>
      </w:r>
    </w:p>
    <w:p w14:paraId="4D211783" w14:textId="77777777" w:rsidR="00955AD5" w:rsidRPr="00492AA3" w:rsidRDefault="00955AD5" w:rsidP="00955AD5"/>
    <w:p w14:paraId="098FD9A8" w14:textId="7F4E6A8B" w:rsidR="00955AD5" w:rsidRPr="00492AA3" w:rsidRDefault="00955AD5" w:rsidP="00955AD5">
      <w:pPr>
        <w:rPr>
          <w:rFonts w:eastAsia="MS Mincho"/>
          <w:snapToGrid w:val="0"/>
          <w:lang w:eastAsia="ja-JP"/>
        </w:rPr>
      </w:pPr>
      <w:r w:rsidRPr="00492AA3">
        <w:rPr>
          <w:rFonts w:eastAsia="MS Mincho"/>
          <w:snapToGrid w:val="0"/>
          <w:lang w:eastAsia="ja-JP"/>
        </w:rPr>
        <w:fldChar w:fldCharType="begin"/>
      </w:r>
      <w:r w:rsidRPr="00492AA3">
        <w:rPr>
          <w:rFonts w:eastAsia="MS Mincho"/>
          <w:snapToGrid w:val="0"/>
          <w:lang w:eastAsia="ja-JP"/>
        </w:rPr>
        <w:instrText xml:space="preserve"> AUTONUM  </w:instrText>
      </w:r>
      <w:r w:rsidRPr="00492AA3">
        <w:rPr>
          <w:rFonts w:eastAsia="MS Mincho"/>
          <w:snapToGrid w:val="0"/>
          <w:lang w:eastAsia="ja-JP"/>
        </w:rPr>
        <w:fldChar w:fldCharType="end"/>
      </w:r>
      <w:r w:rsidRPr="00492AA3">
        <w:rPr>
          <w:rFonts w:eastAsia="MS Mincho"/>
          <w:snapToGrid w:val="0"/>
          <w:lang w:eastAsia="ja-JP"/>
        </w:rPr>
        <w:tab/>
      </w:r>
      <w:r w:rsidR="00FA29E4" w:rsidRPr="00492AA3">
        <w:rPr>
          <w:rFonts w:eastAsia="MS Mincho"/>
          <w:snapToGrid w:val="0"/>
          <w:lang w:eastAsia="ja-JP"/>
        </w:rPr>
        <w:t xml:space="preserve">En respuesta a la </w:t>
      </w:r>
      <w:r w:rsidR="007222AE" w:rsidRPr="00492AA3">
        <w:rPr>
          <w:rFonts w:eastAsia="MS Mincho"/>
          <w:snapToGrid w:val="0"/>
          <w:lang w:eastAsia="ja-JP"/>
        </w:rPr>
        <w:t>C</w:t>
      </w:r>
      <w:r w:rsidR="00FA29E4" w:rsidRPr="00492AA3">
        <w:rPr>
          <w:rFonts w:eastAsia="MS Mincho"/>
          <w:snapToGrid w:val="0"/>
          <w:lang w:eastAsia="ja-JP"/>
        </w:rPr>
        <w:t xml:space="preserve">ircular </w:t>
      </w:r>
      <w:r w:rsidRPr="00492AA3">
        <w:rPr>
          <w:rFonts w:eastAsia="MS Mincho"/>
          <w:snapToGrid w:val="0"/>
          <w:lang w:eastAsia="ja-JP"/>
        </w:rPr>
        <w:t xml:space="preserve">E-20/017, </w:t>
      </w:r>
      <w:r w:rsidR="00FA29E4" w:rsidRPr="00492AA3">
        <w:rPr>
          <w:rFonts w:eastAsia="MS Mincho"/>
          <w:snapToGrid w:val="0"/>
          <w:lang w:eastAsia="ja-JP"/>
        </w:rPr>
        <w:t xml:space="preserve">se recibieron observaciones de la </w:t>
      </w:r>
      <w:r w:rsidRPr="00492AA3">
        <w:rPr>
          <w:rFonts w:eastAsia="MS Mincho"/>
          <w:snapToGrid w:val="0"/>
          <w:lang w:eastAsia="ja-JP"/>
        </w:rPr>
        <w:t>Argentina,</w:t>
      </w:r>
      <w:r w:rsidR="00FA29E4" w:rsidRPr="00492AA3">
        <w:rPr>
          <w:rFonts w:eastAsia="MS Mincho"/>
          <w:snapToGrid w:val="0"/>
          <w:lang w:eastAsia="ja-JP"/>
        </w:rPr>
        <w:t xml:space="preserve"> el</w:t>
      </w:r>
      <w:r w:rsidRPr="00492AA3">
        <w:rPr>
          <w:rFonts w:eastAsia="MS Mincho"/>
          <w:snapToGrid w:val="0"/>
          <w:lang w:eastAsia="ja-JP"/>
        </w:rPr>
        <w:t xml:space="preserve"> Canad</w:t>
      </w:r>
      <w:r w:rsidR="00FA29E4" w:rsidRPr="00492AA3">
        <w:rPr>
          <w:rFonts w:eastAsia="MS Mincho"/>
          <w:snapToGrid w:val="0"/>
          <w:lang w:eastAsia="ja-JP"/>
        </w:rPr>
        <w:t>á</w:t>
      </w:r>
      <w:r w:rsidRPr="00492AA3">
        <w:rPr>
          <w:rFonts w:eastAsia="MS Mincho"/>
          <w:snapToGrid w:val="0"/>
          <w:lang w:eastAsia="ja-JP"/>
        </w:rPr>
        <w:t xml:space="preserve">, </w:t>
      </w:r>
      <w:r w:rsidR="00D60821" w:rsidRPr="00492AA3">
        <w:rPr>
          <w:rFonts w:eastAsia="MS Mincho"/>
          <w:snapToGrid w:val="0"/>
          <w:lang w:eastAsia="ja-JP"/>
        </w:rPr>
        <w:t>la Unión </w:t>
      </w:r>
      <w:r w:rsidR="00FA29E4" w:rsidRPr="00492AA3">
        <w:rPr>
          <w:rFonts w:eastAsia="MS Mincho"/>
          <w:snapToGrid w:val="0"/>
          <w:lang w:eastAsia="ja-JP"/>
        </w:rPr>
        <w:t>Europea</w:t>
      </w:r>
      <w:r w:rsidRPr="00492AA3">
        <w:rPr>
          <w:rFonts w:eastAsia="MS Mincho"/>
          <w:snapToGrid w:val="0"/>
          <w:lang w:eastAsia="ja-JP"/>
        </w:rPr>
        <w:t>, Franc</w:t>
      </w:r>
      <w:r w:rsidR="00FA29E4" w:rsidRPr="00492AA3">
        <w:rPr>
          <w:rFonts w:eastAsia="MS Mincho"/>
          <w:snapToGrid w:val="0"/>
          <w:lang w:eastAsia="ja-JP"/>
        </w:rPr>
        <w:t>ia</w:t>
      </w:r>
      <w:r w:rsidRPr="00492AA3">
        <w:rPr>
          <w:rFonts w:eastAsia="MS Mincho"/>
          <w:snapToGrid w:val="0"/>
          <w:lang w:eastAsia="ja-JP"/>
        </w:rPr>
        <w:t xml:space="preserve"> </w:t>
      </w:r>
      <w:r w:rsidR="00FA29E4" w:rsidRPr="00492AA3">
        <w:rPr>
          <w:rFonts w:eastAsia="MS Mincho"/>
          <w:snapToGrid w:val="0"/>
          <w:lang w:eastAsia="ja-JP"/>
        </w:rPr>
        <w:t>y Nueva Zelandia</w:t>
      </w:r>
      <w:r w:rsidRPr="00492AA3">
        <w:t xml:space="preserve">. </w:t>
      </w:r>
      <w:r w:rsidR="00FA29E4" w:rsidRPr="00492AA3">
        <w:t>Esas observaciones se reproducen en el Anexo</w:t>
      </w:r>
      <w:r w:rsidRPr="00492AA3">
        <w:t xml:space="preserve"> I </w:t>
      </w:r>
      <w:r w:rsidR="00FA29E4" w:rsidRPr="00492AA3">
        <w:t>del presente documento</w:t>
      </w:r>
      <w:r w:rsidRPr="00492AA3">
        <w:t>.</w:t>
      </w:r>
      <w:r w:rsidRPr="00492AA3">
        <w:rPr>
          <w:rFonts w:eastAsia="MS Mincho"/>
          <w:snapToGrid w:val="0"/>
          <w:lang w:eastAsia="ja-JP"/>
        </w:rPr>
        <w:t xml:space="preserve"> </w:t>
      </w:r>
    </w:p>
    <w:p w14:paraId="6E9DA612" w14:textId="77777777" w:rsidR="00955AD5" w:rsidRPr="00492AA3" w:rsidRDefault="00955AD5" w:rsidP="00955AD5">
      <w:pPr>
        <w:rPr>
          <w:rFonts w:eastAsia="MS Mincho"/>
          <w:snapToGrid w:val="0"/>
          <w:lang w:eastAsia="ja-JP"/>
        </w:rPr>
      </w:pPr>
    </w:p>
    <w:p w14:paraId="30F8E88A" w14:textId="500F1A32" w:rsidR="00955AD5" w:rsidRPr="00492AA3" w:rsidRDefault="00955AD5" w:rsidP="008355BC">
      <w:pPr>
        <w:keepLines/>
        <w:rPr>
          <w:rFonts w:eastAsia="MS Mincho"/>
        </w:rPr>
      </w:pPr>
      <w:r w:rsidRPr="00492AA3">
        <w:rPr>
          <w:rFonts w:eastAsia="MS Mincho"/>
          <w:snapToGrid w:val="0"/>
          <w:lang w:eastAsia="ja-JP"/>
        </w:rPr>
        <w:fldChar w:fldCharType="begin"/>
      </w:r>
      <w:r w:rsidRPr="00492AA3">
        <w:rPr>
          <w:rFonts w:eastAsia="MS Mincho"/>
          <w:snapToGrid w:val="0"/>
          <w:lang w:eastAsia="ja-JP"/>
        </w:rPr>
        <w:instrText xml:space="preserve"> AUTONUM  </w:instrText>
      </w:r>
      <w:r w:rsidRPr="00492AA3">
        <w:rPr>
          <w:rFonts w:eastAsia="MS Mincho"/>
          <w:snapToGrid w:val="0"/>
          <w:lang w:eastAsia="ja-JP"/>
        </w:rPr>
        <w:fldChar w:fldCharType="end"/>
      </w:r>
      <w:r w:rsidRPr="00492AA3">
        <w:rPr>
          <w:rFonts w:eastAsia="MS Mincho"/>
          <w:snapToGrid w:val="0"/>
          <w:lang w:eastAsia="ja-JP"/>
        </w:rPr>
        <w:tab/>
      </w:r>
      <w:r w:rsidR="00FA29E4" w:rsidRPr="00492AA3">
        <w:t xml:space="preserve">En relación con la propuesta de dividir la denominación </w:t>
      </w:r>
      <w:r w:rsidR="00376FA7" w:rsidRPr="00492AA3">
        <w:t xml:space="preserve">actual </w:t>
      </w:r>
      <w:r w:rsidR="00FA29E4" w:rsidRPr="00492AA3">
        <w:t>de la clase 205</w:t>
      </w:r>
      <w:r w:rsidRPr="00492AA3">
        <w:t xml:space="preserve"> (</w:t>
      </w:r>
      <w:proofErr w:type="spellStart"/>
      <w:r w:rsidRPr="00492AA3">
        <w:rPr>
          <w:i/>
          <w:iCs/>
        </w:rPr>
        <w:t>Cichorium</w:t>
      </w:r>
      <w:proofErr w:type="spellEnd"/>
      <w:r w:rsidRPr="00492AA3">
        <w:t xml:space="preserve"> </w:t>
      </w:r>
      <w:r w:rsidR="004775AB" w:rsidRPr="00492AA3">
        <w:t>y</w:t>
      </w:r>
      <w:r w:rsidRPr="00492AA3">
        <w:t xml:space="preserve"> </w:t>
      </w:r>
      <w:proofErr w:type="spellStart"/>
      <w:r w:rsidRPr="00492AA3">
        <w:rPr>
          <w:i/>
          <w:iCs/>
        </w:rPr>
        <w:t>Lactuca</w:t>
      </w:r>
      <w:proofErr w:type="spellEnd"/>
      <w:r w:rsidRPr="00492AA3">
        <w:t xml:space="preserve">) </w:t>
      </w:r>
      <w:r w:rsidR="004775AB" w:rsidRPr="00492AA3">
        <w:t>en dos clases</w:t>
      </w:r>
      <w:r w:rsidRPr="00492AA3">
        <w:t xml:space="preserve">, </w:t>
      </w:r>
      <w:r w:rsidR="004775AB" w:rsidRPr="00492AA3">
        <w:t>conforme a lo acordado por el</w:t>
      </w:r>
      <w:r w:rsidRPr="00492AA3">
        <w:t xml:space="preserve"> TC </w:t>
      </w:r>
      <w:r w:rsidR="004775AB" w:rsidRPr="00492AA3">
        <w:t>en su quincuagésima quinta sesión</w:t>
      </w:r>
      <w:r w:rsidR="0024487F" w:rsidRPr="00492AA3">
        <w:rPr>
          <w:vertAlign w:val="superscript"/>
        </w:rPr>
        <w:fldChar w:fldCharType="begin"/>
      </w:r>
      <w:r w:rsidR="0024487F" w:rsidRPr="00492AA3">
        <w:rPr>
          <w:vertAlign w:val="superscript"/>
        </w:rPr>
        <w:instrText xml:space="preserve"> NOTEREF _Ref48824131 \h  \* MERGEFORMAT </w:instrText>
      </w:r>
      <w:r w:rsidR="0024487F" w:rsidRPr="00492AA3">
        <w:rPr>
          <w:vertAlign w:val="superscript"/>
        </w:rPr>
      </w:r>
      <w:r w:rsidR="0024487F" w:rsidRPr="00492AA3">
        <w:rPr>
          <w:vertAlign w:val="superscript"/>
        </w:rPr>
        <w:fldChar w:fldCharType="separate"/>
      </w:r>
      <w:r w:rsidR="00024BFE">
        <w:rPr>
          <w:vertAlign w:val="superscript"/>
        </w:rPr>
        <w:t>2</w:t>
      </w:r>
      <w:r w:rsidR="0024487F" w:rsidRPr="00492AA3">
        <w:rPr>
          <w:vertAlign w:val="superscript"/>
        </w:rPr>
        <w:fldChar w:fldCharType="end"/>
      </w:r>
      <w:r w:rsidR="004775AB" w:rsidRPr="00492AA3">
        <w:t>,</w:t>
      </w:r>
      <w:r w:rsidRPr="00492AA3">
        <w:t xml:space="preserve"> </w:t>
      </w:r>
      <w:r w:rsidR="004775AB" w:rsidRPr="00492AA3">
        <w:t>el Grupo de Trabajo Técnico sobre Hortalizas</w:t>
      </w:r>
      <w:r w:rsidR="004775AB" w:rsidRPr="00492AA3">
        <w:rPr>
          <w:rFonts w:eastAsia="MS Mincho"/>
        </w:rPr>
        <w:t xml:space="preserve"> </w:t>
      </w:r>
      <w:r w:rsidRPr="00492AA3">
        <w:rPr>
          <w:rFonts w:eastAsia="MS Mincho"/>
          <w:snapToGrid w:val="0"/>
          <w:lang w:eastAsia="ja-JP"/>
        </w:rPr>
        <w:t xml:space="preserve">(TWV), </w:t>
      </w:r>
      <w:r w:rsidR="004775AB" w:rsidRPr="00492AA3">
        <w:rPr>
          <w:rFonts w:eastAsia="MS Mincho"/>
          <w:snapToGrid w:val="0"/>
          <w:lang w:eastAsia="ja-JP"/>
        </w:rPr>
        <w:t>en su quincuagésima cuarta sesión</w:t>
      </w:r>
      <w:r w:rsidRPr="00492AA3">
        <w:rPr>
          <w:rFonts w:eastAsia="MS Mincho"/>
          <w:snapToGrid w:val="0"/>
          <w:lang w:eastAsia="ja-JP"/>
        </w:rPr>
        <w:t xml:space="preserve">, </w:t>
      </w:r>
      <w:r w:rsidR="004775AB" w:rsidRPr="00492AA3">
        <w:rPr>
          <w:rFonts w:eastAsia="MS Mincho"/>
          <w:snapToGrid w:val="0"/>
          <w:lang w:eastAsia="ja-JP"/>
        </w:rPr>
        <w:t>celebrada del</w:t>
      </w:r>
      <w:r w:rsidRPr="00492AA3">
        <w:rPr>
          <w:rFonts w:eastAsia="MS Mincho"/>
          <w:snapToGrid w:val="0"/>
          <w:lang w:eastAsia="ja-JP"/>
        </w:rPr>
        <w:t xml:space="preserve"> 11 </w:t>
      </w:r>
      <w:r w:rsidR="004775AB" w:rsidRPr="00492AA3">
        <w:rPr>
          <w:rFonts w:eastAsia="MS Mincho"/>
          <w:snapToGrid w:val="0"/>
          <w:lang w:eastAsia="ja-JP"/>
        </w:rPr>
        <w:t>al</w:t>
      </w:r>
      <w:r w:rsidRPr="00492AA3">
        <w:rPr>
          <w:rFonts w:eastAsia="MS Mincho"/>
          <w:snapToGrid w:val="0"/>
          <w:lang w:eastAsia="ja-JP"/>
        </w:rPr>
        <w:t xml:space="preserve"> 15</w:t>
      </w:r>
      <w:r w:rsidR="004775AB" w:rsidRPr="00492AA3">
        <w:rPr>
          <w:rFonts w:eastAsia="MS Mincho"/>
          <w:snapToGrid w:val="0"/>
          <w:lang w:eastAsia="ja-JP"/>
        </w:rPr>
        <w:t xml:space="preserve"> de mayo de</w:t>
      </w:r>
      <w:r w:rsidRPr="00492AA3">
        <w:rPr>
          <w:rFonts w:eastAsia="MS Mincho"/>
          <w:snapToGrid w:val="0"/>
          <w:lang w:eastAsia="ja-JP"/>
        </w:rPr>
        <w:t xml:space="preserve"> 2020, </w:t>
      </w:r>
      <w:r w:rsidR="00821B46" w:rsidRPr="00492AA3">
        <w:rPr>
          <w:rFonts w:eastAsia="MS Mincho"/>
          <w:snapToGrid w:val="0"/>
          <w:lang w:eastAsia="ja-JP"/>
        </w:rPr>
        <w:t>señal</w:t>
      </w:r>
      <w:r w:rsidR="004775AB" w:rsidRPr="00492AA3">
        <w:rPr>
          <w:rFonts w:eastAsia="MS Mincho"/>
          <w:snapToGrid w:val="0"/>
          <w:lang w:eastAsia="ja-JP"/>
        </w:rPr>
        <w:t xml:space="preserve">ó que </w:t>
      </w:r>
      <w:r w:rsidR="00977564" w:rsidRPr="00492AA3">
        <w:rPr>
          <w:rFonts w:eastAsia="MS Mincho"/>
          <w:snapToGrid w:val="0"/>
          <w:lang w:eastAsia="ja-JP"/>
        </w:rPr>
        <w:t xml:space="preserve">la </w:t>
      </w:r>
      <w:r w:rsidR="00977564" w:rsidRPr="00492AA3">
        <w:rPr>
          <w:rFonts w:cs="Arial"/>
          <w:color w:val="000000"/>
          <w:shd w:val="clear" w:color="auto" w:fill="FFFFFF" w:themeFill="background1"/>
        </w:rPr>
        <w:t xml:space="preserve">base de datos PLUTO </w:t>
      </w:r>
      <w:r w:rsidR="00D60821" w:rsidRPr="00492AA3">
        <w:rPr>
          <w:rFonts w:cs="Arial"/>
          <w:color w:val="000000"/>
          <w:shd w:val="clear" w:color="auto" w:fill="FFFFFF" w:themeFill="background1"/>
        </w:rPr>
        <w:t>contiene</w:t>
      </w:r>
      <w:r w:rsidR="00821B46" w:rsidRPr="00492AA3">
        <w:rPr>
          <w:rFonts w:cs="Arial"/>
          <w:color w:val="000000"/>
          <w:shd w:val="clear" w:color="auto" w:fill="FFFFFF" w:themeFill="background1"/>
        </w:rPr>
        <w:t xml:space="preserve"> </w:t>
      </w:r>
      <w:r w:rsidR="004775AB" w:rsidRPr="00492AA3">
        <w:rPr>
          <w:rFonts w:eastAsia="MS Mincho"/>
          <w:snapToGrid w:val="0"/>
          <w:lang w:eastAsia="ja-JP"/>
        </w:rPr>
        <w:t>unas</w:t>
      </w:r>
      <w:r w:rsidRPr="00492AA3">
        <w:rPr>
          <w:rFonts w:eastAsia="MS Mincho"/>
          <w:snapToGrid w:val="0"/>
          <w:lang w:eastAsia="ja-JP"/>
        </w:rPr>
        <w:t xml:space="preserve"> 1</w:t>
      </w:r>
      <w:r w:rsidR="00D361DD" w:rsidRPr="00492AA3">
        <w:rPr>
          <w:rFonts w:eastAsia="MS Mincho"/>
          <w:snapToGrid w:val="0"/>
          <w:lang w:eastAsia="ja-JP"/>
        </w:rPr>
        <w:t>.</w:t>
      </w:r>
      <w:r w:rsidRPr="00492AA3">
        <w:rPr>
          <w:rFonts w:eastAsia="MS Mincho"/>
          <w:snapToGrid w:val="0"/>
          <w:lang w:eastAsia="ja-JP"/>
        </w:rPr>
        <w:t>200 varie</w:t>
      </w:r>
      <w:r w:rsidR="004775AB" w:rsidRPr="00492AA3">
        <w:rPr>
          <w:rFonts w:eastAsia="MS Mincho"/>
          <w:snapToGrid w:val="0"/>
          <w:lang w:eastAsia="ja-JP"/>
        </w:rPr>
        <w:t>dades</w:t>
      </w:r>
      <w:r w:rsidR="005525B8" w:rsidRPr="00492AA3">
        <w:rPr>
          <w:rFonts w:eastAsia="MS Mincho"/>
          <w:snapToGrid w:val="0"/>
          <w:lang w:eastAsia="ja-JP"/>
        </w:rPr>
        <w:t xml:space="preserve"> con </w:t>
      </w:r>
      <w:r w:rsidR="004775AB" w:rsidRPr="00492AA3">
        <w:rPr>
          <w:rFonts w:eastAsia="MS Mincho"/>
          <w:snapToGrid w:val="0"/>
          <w:lang w:eastAsia="ja-JP"/>
        </w:rPr>
        <w:t xml:space="preserve">el </w:t>
      </w:r>
      <w:r w:rsidR="004775AB" w:rsidRPr="00492AA3">
        <w:rPr>
          <w:rFonts w:cs="Arial"/>
          <w:color w:val="000000"/>
          <w:shd w:val="clear" w:color="auto" w:fill="FFFFFF" w:themeFill="background1"/>
        </w:rPr>
        <w:t xml:space="preserve">código </w:t>
      </w:r>
      <w:r w:rsidR="00B6115C" w:rsidRPr="00492AA3">
        <w:rPr>
          <w:rFonts w:cs="Arial"/>
          <w:color w:val="000000"/>
          <w:shd w:val="clear" w:color="auto" w:fill="FFFFFF" w:themeFill="background1"/>
        </w:rPr>
        <w:t>UPOV “</w:t>
      </w:r>
      <w:r w:rsidR="004775AB" w:rsidRPr="00492AA3">
        <w:rPr>
          <w:rFonts w:cs="Arial"/>
          <w:color w:val="000000"/>
          <w:shd w:val="clear" w:color="auto" w:fill="FFFFFF" w:themeFill="background1"/>
        </w:rPr>
        <w:t>CICHO_INT</w:t>
      </w:r>
      <w:r w:rsidR="00B6115C" w:rsidRPr="00492AA3">
        <w:rPr>
          <w:rFonts w:cs="Arial"/>
          <w:color w:val="000000"/>
          <w:shd w:val="clear" w:color="auto" w:fill="FFFFFF" w:themeFill="background1"/>
        </w:rPr>
        <w:t>”</w:t>
      </w:r>
      <w:r w:rsidR="00977564" w:rsidRPr="00492AA3">
        <w:rPr>
          <w:rFonts w:cs="Arial"/>
          <w:color w:val="000000"/>
          <w:shd w:val="clear" w:color="auto" w:fill="FFFFFF" w:themeFill="background1"/>
        </w:rPr>
        <w:t xml:space="preserve"> </w:t>
      </w:r>
      <w:r w:rsidR="00977564" w:rsidRPr="00492AA3">
        <w:rPr>
          <w:rFonts w:eastAsia="MS Mincho"/>
          <w:snapToGrid w:val="0"/>
          <w:lang w:eastAsia="ja-JP"/>
        </w:rPr>
        <w:t xml:space="preserve">que </w:t>
      </w:r>
      <w:r w:rsidR="00821B46" w:rsidRPr="00492AA3">
        <w:rPr>
          <w:rFonts w:eastAsia="MS Mincho"/>
          <w:snapToGrid w:val="0"/>
          <w:lang w:eastAsia="ja-JP"/>
        </w:rPr>
        <w:t>no pueden clasificarse</w:t>
      </w:r>
      <w:r w:rsidR="00977564" w:rsidRPr="00492AA3">
        <w:rPr>
          <w:rFonts w:eastAsia="MS Mincho"/>
          <w:snapToGrid w:val="0"/>
          <w:lang w:eastAsia="ja-JP"/>
        </w:rPr>
        <w:t xml:space="preserve"> </w:t>
      </w:r>
      <w:r w:rsidR="004775AB" w:rsidRPr="00492AA3">
        <w:rPr>
          <w:rFonts w:eastAsia="MS Mincho"/>
          <w:snapToGrid w:val="0"/>
          <w:lang w:eastAsia="ja-JP"/>
        </w:rPr>
        <w:t xml:space="preserve">con certeza </w:t>
      </w:r>
      <w:r w:rsidR="00821B46" w:rsidRPr="00492AA3">
        <w:rPr>
          <w:rFonts w:eastAsia="MS Mincho"/>
          <w:snapToGrid w:val="0"/>
          <w:lang w:eastAsia="ja-JP"/>
        </w:rPr>
        <w:t xml:space="preserve">en </w:t>
      </w:r>
      <w:r w:rsidR="00B6115C" w:rsidRPr="00492AA3">
        <w:rPr>
          <w:rFonts w:eastAsia="MS Mincho"/>
          <w:snapToGrid w:val="0"/>
          <w:lang w:eastAsia="ja-JP"/>
        </w:rPr>
        <w:t>ning</w:t>
      </w:r>
      <w:r w:rsidR="00821B46" w:rsidRPr="00492AA3">
        <w:rPr>
          <w:rFonts w:eastAsia="MS Mincho"/>
          <w:snapToGrid w:val="0"/>
          <w:lang w:eastAsia="ja-JP"/>
        </w:rPr>
        <w:t>una</w:t>
      </w:r>
      <w:r w:rsidR="004775AB" w:rsidRPr="00492AA3">
        <w:rPr>
          <w:rFonts w:eastAsia="MS Mincho"/>
          <w:snapToGrid w:val="0"/>
          <w:lang w:eastAsia="ja-JP"/>
        </w:rPr>
        <w:t xml:space="preserve"> de las dos clases</w:t>
      </w:r>
      <w:r w:rsidRPr="00492AA3">
        <w:rPr>
          <w:rFonts w:eastAsia="MS Mincho"/>
          <w:snapToGrid w:val="0"/>
          <w:lang w:eastAsia="ja-JP"/>
        </w:rPr>
        <w:t xml:space="preserve"> (</w:t>
      </w:r>
      <w:r w:rsidR="004775AB" w:rsidRPr="00492AA3">
        <w:rPr>
          <w:rFonts w:eastAsia="MS Mincho"/>
          <w:snapToGrid w:val="0"/>
          <w:lang w:eastAsia="ja-JP"/>
        </w:rPr>
        <w:t>clase</w:t>
      </w:r>
      <w:r w:rsidRPr="00492AA3">
        <w:rPr>
          <w:rFonts w:eastAsia="MS Mincho"/>
          <w:snapToGrid w:val="0"/>
          <w:lang w:eastAsia="ja-JP"/>
        </w:rPr>
        <w:t xml:space="preserve"> 205 o </w:t>
      </w:r>
      <w:r w:rsidR="004775AB" w:rsidRPr="00492AA3">
        <w:rPr>
          <w:rFonts w:eastAsia="MS Mincho"/>
          <w:snapToGrid w:val="0"/>
          <w:lang w:eastAsia="ja-JP"/>
        </w:rPr>
        <w:t>c</w:t>
      </w:r>
      <w:r w:rsidRPr="00492AA3">
        <w:rPr>
          <w:rFonts w:eastAsia="MS Mincho"/>
          <w:snapToGrid w:val="0"/>
          <w:lang w:eastAsia="ja-JP"/>
        </w:rPr>
        <w:t>las</w:t>
      </w:r>
      <w:r w:rsidR="004775AB" w:rsidRPr="00492AA3">
        <w:rPr>
          <w:rFonts w:eastAsia="MS Mincho"/>
          <w:snapToGrid w:val="0"/>
          <w:lang w:eastAsia="ja-JP"/>
        </w:rPr>
        <w:t>e</w:t>
      </w:r>
      <w:r w:rsidRPr="00492AA3">
        <w:rPr>
          <w:rFonts w:eastAsia="MS Mincho"/>
          <w:snapToGrid w:val="0"/>
          <w:lang w:eastAsia="ja-JP"/>
        </w:rPr>
        <w:t xml:space="preserve"> 205B) </w:t>
      </w:r>
      <w:r w:rsidR="004775AB" w:rsidRPr="00492AA3">
        <w:rPr>
          <w:rFonts w:eastAsia="MS Mincho"/>
          <w:snapToGrid w:val="0"/>
          <w:lang w:eastAsia="ja-JP"/>
        </w:rPr>
        <w:t>y acordó no respaldar la propuesta</w:t>
      </w:r>
      <w:r w:rsidR="00C05526" w:rsidRPr="00492AA3">
        <w:rPr>
          <w:rFonts w:eastAsia="MS Mincho"/>
          <w:snapToGrid w:val="0"/>
          <w:lang w:eastAsia="ja-JP"/>
        </w:rPr>
        <w:t xml:space="preserve"> </w:t>
      </w:r>
      <w:r w:rsidR="005525B8" w:rsidRPr="00492AA3">
        <w:rPr>
          <w:rFonts w:eastAsia="MS Mincho"/>
          <w:snapToGrid w:val="0"/>
          <w:lang w:eastAsia="ja-JP"/>
        </w:rPr>
        <w:t>de dividir la denominación de la clase</w:t>
      </w:r>
      <w:r w:rsidRPr="00492AA3">
        <w:rPr>
          <w:rFonts w:eastAsia="MS Mincho"/>
          <w:snapToGrid w:val="0"/>
          <w:lang w:eastAsia="ja-JP"/>
        </w:rPr>
        <w:t xml:space="preserve"> 205 </w:t>
      </w:r>
      <w:r w:rsidR="005525B8" w:rsidRPr="00492AA3">
        <w:rPr>
          <w:rFonts w:eastAsia="MS Mincho"/>
          <w:snapToGrid w:val="0"/>
          <w:lang w:eastAsia="ja-JP"/>
        </w:rPr>
        <w:t>en esta etapa</w:t>
      </w:r>
      <w:r w:rsidRPr="00492AA3">
        <w:rPr>
          <w:rFonts w:eastAsia="MS Mincho"/>
          <w:snapToGrid w:val="0"/>
          <w:lang w:eastAsia="ja-JP"/>
        </w:rPr>
        <w:t>.</w:t>
      </w:r>
      <w:r w:rsidR="00C05526" w:rsidRPr="00492AA3">
        <w:rPr>
          <w:rFonts w:eastAsia="MS Mincho"/>
          <w:snapToGrid w:val="0"/>
          <w:lang w:eastAsia="ja-JP"/>
        </w:rPr>
        <w:t xml:space="preserve"> </w:t>
      </w:r>
      <w:r w:rsidR="00821B46" w:rsidRPr="00492AA3">
        <w:rPr>
          <w:rFonts w:eastAsia="MS Mincho"/>
          <w:snapToGrid w:val="0"/>
          <w:lang w:eastAsia="ja-JP"/>
        </w:rPr>
        <w:t>Teniendo esto en cuenta</w:t>
      </w:r>
      <w:r w:rsidRPr="00492AA3">
        <w:rPr>
          <w:rFonts w:eastAsia="MS Mincho"/>
          <w:snapToGrid w:val="0"/>
          <w:lang w:eastAsia="ja-JP"/>
        </w:rPr>
        <w:t xml:space="preserve">, </w:t>
      </w:r>
      <w:r w:rsidR="005525B8" w:rsidRPr="00492AA3">
        <w:rPr>
          <w:rFonts w:eastAsia="MS Mincho"/>
          <w:snapToGrid w:val="0"/>
          <w:lang w:eastAsia="ja-JP"/>
        </w:rPr>
        <w:t xml:space="preserve">se propone no revisar la clase </w:t>
      </w:r>
      <w:r w:rsidRPr="00492AA3">
        <w:rPr>
          <w:rFonts w:eastAsia="MS Mincho"/>
          <w:snapToGrid w:val="0"/>
          <w:lang w:eastAsia="ja-JP"/>
        </w:rPr>
        <w:t xml:space="preserve">205 </w:t>
      </w:r>
      <w:r w:rsidR="005525B8" w:rsidRPr="00492AA3">
        <w:rPr>
          <w:rFonts w:eastAsia="MS Mincho"/>
          <w:snapToGrid w:val="0"/>
          <w:lang w:eastAsia="ja-JP"/>
        </w:rPr>
        <w:t>en este momento</w:t>
      </w:r>
      <w:r w:rsidRPr="00492AA3">
        <w:rPr>
          <w:rFonts w:eastAsia="MS Mincho"/>
          <w:snapToGrid w:val="0"/>
          <w:lang w:eastAsia="ja-JP"/>
        </w:rPr>
        <w:t xml:space="preserve">, </w:t>
      </w:r>
      <w:r w:rsidR="005525B8" w:rsidRPr="00492AA3">
        <w:rPr>
          <w:rFonts w:eastAsia="MS Mincho"/>
          <w:snapToGrid w:val="0"/>
          <w:lang w:eastAsia="ja-JP"/>
        </w:rPr>
        <w:t>en espera de que el TC y el CAJ examinen la cuestión con más de</w:t>
      </w:r>
      <w:r w:rsidR="00977564" w:rsidRPr="00492AA3">
        <w:rPr>
          <w:rFonts w:eastAsia="MS Mincho"/>
          <w:snapToGrid w:val="0"/>
          <w:lang w:eastAsia="ja-JP"/>
        </w:rPr>
        <w:t>tenimiento.</w:t>
      </w:r>
    </w:p>
    <w:p w14:paraId="57FDD477" w14:textId="77777777" w:rsidR="00955AD5" w:rsidRPr="00492AA3" w:rsidRDefault="00955AD5" w:rsidP="00955AD5">
      <w:pPr>
        <w:rPr>
          <w:rFonts w:eastAsia="MS Mincho"/>
          <w:snapToGrid w:val="0"/>
          <w:lang w:eastAsia="ja-JP"/>
        </w:rPr>
      </w:pPr>
    </w:p>
    <w:p w14:paraId="3FCCCD5F" w14:textId="5E5D7C3B" w:rsidR="00955AD5" w:rsidRPr="00492AA3" w:rsidRDefault="00955AD5" w:rsidP="00955AD5">
      <w:pPr>
        <w:rPr>
          <w:spacing w:val="2"/>
        </w:rPr>
      </w:pPr>
      <w:r w:rsidRPr="00492AA3">
        <w:rPr>
          <w:spacing w:val="2"/>
        </w:rPr>
        <w:fldChar w:fldCharType="begin"/>
      </w:r>
      <w:r w:rsidRPr="00492AA3">
        <w:rPr>
          <w:spacing w:val="2"/>
        </w:rPr>
        <w:instrText xml:space="preserve"> AUTONUM  </w:instrText>
      </w:r>
      <w:r w:rsidRPr="00492AA3">
        <w:rPr>
          <w:spacing w:val="2"/>
        </w:rPr>
        <w:fldChar w:fldCharType="end"/>
      </w:r>
      <w:r w:rsidRPr="00492AA3">
        <w:rPr>
          <w:spacing w:val="2"/>
        </w:rPr>
        <w:tab/>
      </w:r>
      <w:r w:rsidR="00EB06CC" w:rsidRPr="00492AA3">
        <w:rPr>
          <w:spacing w:val="2"/>
        </w:rPr>
        <w:t xml:space="preserve">Conforme a </w:t>
      </w:r>
      <w:r w:rsidR="005A4862" w:rsidRPr="00492AA3">
        <w:rPr>
          <w:spacing w:val="2"/>
        </w:rPr>
        <w:t>lo solicitado por</w:t>
      </w:r>
      <w:r w:rsidR="00EB06CC" w:rsidRPr="00492AA3">
        <w:rPr>
          <w:spacing w:val="2"/>
        </w:rPr>
        <w:t xml:space="preserve"> el </w:t>
      </w:r>
      <w:r w:rsidRPr="00492AA3">
        <w:rPr>
          <w:spacing w:val="2"/>
        </w:rPr>
        <w:t xml:space="preserve">CAJ </w:t>
      </w:r>
      <w:r w:rsidR="005525B8" w:rsidRPr="00492AA3">
        <w:rPr>
          <w:spacing w:val="2"/>
        </w:rPr>
        <w:t>en su septuagésima sexta sesión</w:t>
      </w:r>
      <w:r w:rsidRPr="00492AA3">
        <w:rPr>
          <w:spacing w:val="-2"/>
          <w:vertAlign w:val="superscript"/>
        </w:rPr>
        <w:fldChar w:fldCharType="begin"/>
      </w:r>
      <w:r w:rsidRPr="00492AA3">
        <w:rPr>
          <w:spacing w:val="-2"/>
          <w:vertAlign w:val="superscript"/>
        </w:rPr>
        <w:instrText xml:space="preserve"> NOTEREF _Ref42609563 \h  \* MERGEFORMAT </w:instrText>
      </w:r>
      <w:r w:rsidRPr="00492AA3">
        <w:rPr>
          <w:spacing w:val="-2"/>
          <w:vertAlign w:val="superscript"/>
        </w:rPr>
      </w:r>
      <w:r w:rsidRPr="00492AA3">
        <w:rPr>
          <w:spacing w:val="-2"/>
          <w:vertAlign w:val="superscript"/>
        </w:rPr>
        <w:fldChar w:fldCharType="separate"/>
      </w:r>
      <w:r w:rsidR="00024BFE">
        <w:rPr>
          <w:spacing w:val="-2"/>
          <w:vertAlign w:val="superscript"/>
        </w:rPr>
        <w:t>3</w:t>
      </w:r>
      <w:r w:rsidRPr="00492AA3">
        <w:rPr>
          <w:spacing w:val="-2"/>
          <w:vertAlign w:val="superscript"/>
        </w:rPr>
        <w:fldChar w:fldCharType="end"/>
      </w:r>
      <w:r w:rsidR="0024487F" w:rsidRPr="00492AA3">
        <w:rPr>
          <w:spacing w:val="-2"/>
        </w:rPr>
        <w:t xml:space="preserve">, </w:t>
      </w:r>
      <w:r w:rsidR="005525B8" w:rsidRPr="00492AA3">
        <w:rPr>
          <w:spacing w:val="-2"/>
        </w:rPr>
        <w:t xml:space="preserve">el </w:t>
      </w:r>
      <w:r w:rsidRPr="00492AA3">
        <w:rPr>
          <w:spacing w:val="2"/>
        </w:rPr>
        <w:t>document</w:t>
      </w:r>
      <w:r w:rsidR="005525B8" w:rsidRPr="00492AA3">
        <w:rPr>
          <w:spacing w:val="2"/>
        </w:rPr>
        <w:t>o</w:t>
      </w:r>
      <w:r w:rsidRPr="00492AA3">
        <w:rPr>
          <w:spacing w:val="2"/>
        </w:rPr>
        <w:t xml:space="preserve"> UPOV/</w:t>
      </w:r>
      <w:proofErr w:type="spellStart"/>
      <w:r w:rsidRPr="00492AA3">
        <w:rPr>
          <w:spacing w:val="2"/>
        </w:rPr>
        <w:t>EXN</w:t>
      </w:r>
      <w:proofErr w:type="spellEnd"/>
      <w:r w:rsidRPr="00492AA3">
        <w:rPr>
          <w:spacing w:val="2"/>
        </w:rPr>
        <w:t>/DEN</w:t>
      </w:r>
      <w:r w:rsidR="005A4862" w:rsidRPr="00492AA3">
        <w:rPr>
          <w:spacing w:val="2"/>
        </w:rPr>
        <w:t>:</w:t>
      </w:r>
      <w:r w:rsidRPr="00492AA3">
        <w:rPr>
          <w:spacing w:val="2"/>
        </w:rPr>
        <w:t xml:space="preserve"> “</w:t>
      </w:r>
      <w:r w:rsidR="005525B8" w:rsidRPr="00492AA3">
        <w:rPr>
          <w:rFonts w:cs="Arial"/>
          <w:shd w:val="clear" w:color="auto" w:fill="FFFFFF" w:themeFill="background1"/>
        </w:rPr>
        <w:t>Notas explicativas sobre las denominaciones de variedades con arreglo al Convenio de la UPOV</w:t>
      </w:r>
      <w:r w:rsidRPr="00492AA3">
        <w:rPr>
          <w:spacing w:val="2"/>
        </w:rPr>
        <w:t>” (document</w:t>
      </w:r>
      <w:r w:rsidR="005525B8" w:rsidRPr="00492AA3">
        <w:rPr>
          <w:spacing w:val="2"/>
        </w:rPr>
        <w:t>o</w:t>
      </w:r>
      <w:r w:rsidRPr="00492AA3">
        <w:rPr>
          <w:spacing w:val="2"/>
        </w:rPr>
        <w:t xml:space="preserve"> UPOV/</w:t>
      </w:r>
      <w:proofErr w:type="spellStart"/>
      <w:r w:rsidRPr="00492AA3">
        <w:rPr>
          <w:spacing w:val="2"/>
        </w:rPr>
        <w:t>EXN</w:t>
      </w:r>
      <w:proofErr w:type="spellEnd"/>
      <w:r w:rsidRPr="00492AA3">
        <w:rPr>
          <w:spacing w:val="2"/>
        </w:rPr>
        <w:t>/DEN/1 </w:t>
      </w:r>
      <w:proofErr w:type="spellStart"/>
      <w:r w:rsidRPr="00492AA3">
        <w:rPr>
          <w:spacing w:val="2"/>
        </w:rPr>
        <w:t>Draft</w:t>
      </w:r>
      <w:proofErr w:type="spellEnd"/>
      <w:r w:rsidRPr="00492AA3">
        <w:rPr>
          <w:spacing w:val="2"/>
        </w:rPr>
        <w:t xml:space="preserve"> 4)</w:t>
      </w:r>
      <w:r w:rsidR="00821B46" w:rsidRPr="00492AA3">
        <w:rPr>
          <w:spacing w:val="2"/>
        </w:rPr>
        <w:t xml:space="preserve"> refleja </w:t>
      </w:r>
      <w:r w:rsidR="005525B8" w:rsidRPr="00492AA3">
        <w:rPr>
          <w:spacing w:val="2"/>
        </w:rPr>
        <w:t>las modifi</w:t>
      </w:r>
      <w:r w:rsidR="00846334" w:rsidRPr="00492AA3">
        <w:rPr>
          <w:spacing w:val="2"/>
        </w:rPr>
        <w:t>c</w:t>
      </w:r>
      <w:r w:rsidR="005525B8" w:rsidRPr="00492AA3">
        <w:rPr>
          <w:spacing w:val="2"/>
        </w:rPr>
        <w:t>aciones del documento</w:t>
      </w:r>
      <w:r w:rsidRPr="00492AA3">
        <w:rPr>
          <w:spacing w:val="2"/>
        </w:rPr>
        <w:t xml:space="preserve"> UPOV/INF/12/5 </w:t>
      </w:r>
      <w:r w:rsidR="005525B8" w:rsidRPr="00492AA3">
        <w:rPr>
          <w:spacing w:val="2"/>
        </w:rPr>
        <w:t xml:space="preserve">examinadas </w:t>
      </w:r>
      <w:r w:rsidR="005525B8" w:rsidRPr="00492AA3">
        <w:rPr>
          <w:rFonts w:cs="Arial"/>
          <w:color w:val="000000"/>
          <w:shd w:val="clear" w:color="auto" w:fill="FFFFFF" w:themeFill="background1"/>
        </w:rPr>
        <w:t>por correspondencia</w:t>
      </w:r>
      <w:r w:rsidR="00821B46" w:rsidRPr="00492AA3">
        <w:rPr>
          <w:rFonts w:cs="Arial"/>
          <w:color w:val="000000"/>
          <w:shd w:val="clear" w:color="auto" w:fill="FFFFFF" w:themeFill="background1"/>
        </w:rPr>
        <w:t xml:space="preserve"> </w:t>
      </w:r>
      <w:r w:rsidR="00821B46" w:rsidRPr="00492AA3">
        <w:rPr>
          <w:spacing w:val="2"/>
        </w:rPr>
        <w:t>por el CAJ</w:t>
      </w:r>
      <w:r w:rsidR="00C05526" w:rsidRPr="00492AA3">
        <w:rPr>
          <w:spacing w:val="2"/>
          <w:shd w:val="clear" w:color="auto" w:fill="FFFFFF" w:themeFill="background1"/>
        </w:rPr>
        <w:t xml:space="preserve"> </w:t>
      </w:r>
      <w:r w:rsidRPr="00492AA3">
        <w:rPr>
          <w:spacing w:val="2"/>
        </w:rPr>
        <w:t>(Circular E-20/017)</w:t>
      </w:r>
      <w:r w:rsidR="00821B46" w:rsidRPr="00492AA3">
        <w:rPr>
          <w:spacing w:val="2"/>
        </w:rPr>
        <w:t xml:space="preserve">, así como </w:t>
      </w:r>
      <w:r w:rsidR="00846334" w:rsidRPr="00492AA3">
        <w:rPr>
          <w:spacing w:val="2"/>
        </w:rPr>
        <w:t xml:space="preserve">las propuestas </w:t>
      </w:r>
      <w:r w:rsidR="00821B46" w:rsidRPr="00492AA3">
        <w:rPr>
          <w:spacing w:val="2"/>
        </w:rPr>
        <w:t xml:space="preserve">basadas en las respuestas </w:t>
      </w:r>
      <w:r w:rsidR="00846334" w:rsidRPr="00492AA3">
        <w:rPr>
          <w:spacing w:val="2"/>
        </w:rPr>
        <w:t xml:space="preserve">a la </w:t>
      </w:r>
      <w:r w:rsidR="007222AE" w:rsidRPr="00492AA3">
        <w:rPr>
          <w:spacing w:val="2"/>
        </w:rPr>
        <w:t>C</w:t>
      </w:r>
      <w:r w:rsidR="00846334" w:rsidRPr="00492AA3">
        <w:rPr>
          <w:spacing w:val="2"/>
        </w:rPr>
        <w:t xml:space="preserve">ircular </w:t>
      </w:r>
      <w:r w:rsidRPr="00492AA3">
        <w:rPr>
          <w:spacing w:val="2"/>
        </w:rPr>
        <w:t xml:space="preserve">E-20/017 </w:t>
      </w:r>
      <w:r w:rsidR="00846334" w:rsidRPr="00492AA3">
        <w:rPr>
          <w:spacing w:val="2"/>
        </w:rPr>
        <w:t xml:space="preserve">y </w:t>
      </w:r>
      <w:r w:rsidR="005A4862" w:rsidRPr="00492AA3">
        <w:rPr>
          <w:spacing w:val="2"/>
        </w:rPr>
        <w:t>las novedades en relación</w:t>
      </w:r>
      <w:r w:rsidR="00071B1F" w:rsidRPr="00492AA3">
        <w:rPr>
          <w:spacing w:val="2"/>
        </w:rPr>
        <w:t xml:space="preserve"> con el proyecto de</w:t>
      </w:r>
      <w:r w:rsidR="00977564" w:rsidRPr="00492AA3">
        <w:rPr>
          <w:spacing w:val="2"/>
        </w:rPr>
        <w:t xml:space="preserve"> establecimiento de la</w:t>
      </w:r>
      <w:r w:rsidR="00071B1F" w:rsidRPr="00492AA3">
        <w:rPr>
          <w:spacing w:val="2"/>
        </w:rPr>
        <w:t xml:space="preserve"> clase</w:t>
      </w:r>
      <w:r w:rsidRPr="00492AA3">
        <w:rPr>
          <w:spacing w:val="2"/>
        </w:rPr>
        <w:t xml:space="preserve"> 205B.</w:t>
      </w:r>
    </w:p>
    <w:p w14:paraId="2EEF7DD2" w14:textId="77777777" w:rsidR="00955AD5" w:rsidRPr="00492AA3" w:rsidRDefault="00955AD5" w:rsidP="00955AD5">
      <w:pPr>
        <w:rPr>
          <w:spacing w:val="2"/>
        </w:rPr>
      </w:pPr>
    </w:p>
    <w:p w14:paraId="34BA9FA1" w14:textId="0A963208" w:rsidR="00955AD5" w:rsidRPr="00492AA3" w:rsidRDefault="00955AD5" w:rsidP="00955AD5">
      <w:pPr>
        <w:rPr>
          <w:spacing w:val="2"/>
        </w:rPr>
      </w:pPr>
      <w:r w:rsidRPr="00492AA3">
        <w:rPr>
          <w:spacing w:val="2"/>
        </w:rPr>
        <w:fldChar w:fldCharType="begin"/>
      </w:r>
      <w:r w:rsidRPr="00492AA3">
        <w:rPr>
          <w:spacing w:val="2"/>
        </w:rPr>
        <w:instrText xml:space="preserve"> AUTONUM  </w:instrText>
      </w:r>
      <w:r w:rsidRPr="00492AA3">
        <w:rPr>
          <w:spacing w:val="2"/>
        </w:rPr>
        <w:fldChar w:fldCharType="end"/>
      </w:r>
      <w:r w:rsidRPr="00492AA3">
        <w:rPr>
          <w:spacing w:val="2"/>
        </w:rPr>
        <w:tab/>
      </w:r>
      <w:r w:rsidR="00CE30EE" w:rsidRPr="00492AA3">
        <w:rPr>
          <w:lang w:eastAsia="ja-JP"/>
        </w:rPr>
        <w:t>A reserva de que el</w:t>
      </w:r>
      <w:r w:rsidR="00071B1F" w:rsidRPr="00492AA3">
        <w:rPr>
          <w:lang w:eastAsia="ja-JP"/>
        </w:rPr>
        <w:t xml:space="preserve"> CAJ </w:t>
      </w:r>
      <w:r w:rsidR="00CE30EE" w:rsidRPr="00492AA3">
        <w:rPr>
          <w:lang w:eastAsia="ja-JP"/>
        </w:rPr>
        <w:t xml:space="preserve">acuerde un </w:t>
      </w:r>
      <w:r w:rsidR="00071B1F" w:rsidRPr="00492AA3">
        <w:rPr>
          <w:lang w:eastAsia="ja-JP"/>
        </w:rPr>
        <w:t xml:space="preserve">proyecto de documento </w:t>
      </w:r>
      <w:r w:rsidR="00071B1F" w:rsidRPr="00492AA3">
        <w:t>UPOV/EXN/DEN/1</w:t>
      </w:r>
      <w:r w:rsidR="00CE30EE" w:rsidRPr="00492AA3">
        <w:t xml:space="preserve">, sobre la base del </w:t>
      </w:r>
      <w:r w:rsidR="00071B1F" w:rsidRPr="00492AA3">
        <w:rPr>
          <w:lang w:eastAsia="ja-JP"/>
        </w:rPr>
        <w:t xml:space="preserve">documento </w:t>
      </w:r>
      <w:r w:rsidR="00071B1F" w:rsidRPr="00492AA3">
        <w:t>UPOV/</w:t>
      </w:r>
      <w:proofErr w:type="spellStart"/>
      <w:r w:rsidR="00071B1F" w:rsidRPr="00492AA3">
        <w:t>EXN</w:t>
      </w:r>
      <w:proofErr w:type="spellEnd"/>
      <w:r w:rsidR="00071B1F" w:rsidRPr="00492AA3">
        <w:t>/DEN/1 </w:t>
      </w:r>
      <w:proofErr w:type="spellStart"/>
      <w:r w:rsidR="00071B1F" w:rsidRPr="00492AA3">
        <w:t>Draft</w:t>
      </w:r>
      <w:proofErr w:type="spellEnd"/>
      <w:r w:rsidR="00071B1F" w:rsidRPr="00492AA3">
        <w:t> 4</w:t>
      </w:r>
      <w:r w:rsidR="00071B1F" w:rsidRPr="00492AA3">
        <w:rPr>
          <w:lang w:eastAsia="ja-JP"/>
        </w:rPr>
        <w:t xml:space="preserve">, </w:t>
      </w:r>
      <w:r w:rsidR="005A4862" w:rsidRPr="00492AA3">
        <w:rPr>
          <w:lang w:eastAsia="ja-JP"/>
        </w:rPr>
        <w:t xml:space="preserve">en 2020 </w:t>
      </w:r>
      <w:r w:rsidR="00071B1F" w:rsidRPr="00492AA3">
        <w:rPr>
          <w:lang w:eastAsia="ja-JP"/>
        </w:rPr>
        <w:t xml:space="preserve">se </w:t>
      </w:r>
      <w:r w:rsidR="005A4862" w:rsidRPr="00492AA3">
        <w:rPr>
          <w:lang w:eastAsia="ja-JP"/>
        </w:rPr>
        <w:t xml:space="preserve">someterá </w:t>
      </w:r>
      <w:r w:rsidR="00071B1F" w:rsidRPr="00492AA3">
        <w:rPr>
          <w:lang w:eastAsia="ja-JP"/>
        </w:rPr>
        <w:t>al Consejo</w:t>
      </w:r>
      <w:r w:rsidR="00C30B4B" w:rsidRPr="00492AA3">
        <w:rPr>
          <w:lang w:eastAsia="ja-JP"/>
        </w:rPr>
        <w:t>, para que considere su aprobación,</w:t>
      </w:r>
      <w:r w:rsidR="00071B1F" w:rsidRPr="00492AA3">
        <w:rPr>
          <w:lang w:eastAsia="ja-JP"/>
        </w:rPr>
        <w:t xml:space="preserve"> un proyecto acordado de documento </w:t>
      </w:r>
      <w:r w:rsidR="00071B1F" w:rsidRPr="00492AA3">
        <w:t>UPOV/EXN/DEN/1</w:t>
      </w:r>
      <w:r w:rsidR="005A4862" w:rsidRPr="00492AA3">
        <w:t>:</w:t>
      </w:r>
      <w:r w:rsidR="00071B1F" w:rsidRPr="00492AA3">
        <w:rPr>
          <w:rFonts w:cs="Arial"/>
          <w:snapToGrid w:val="0"/>
          <w:spacing w:val="2"/>
        </w:rPr>
        <w:t xml:space="preserve"> </w:t>
      </w:r>
      <w:r w:rsidR="00071B1F" w:rsidRPr="00492AA3">
        <w:rPr>
          <w:lang w:eastAsia="ja-JP"/>
        </w:rPr>
        <w:t xml:space="preserve">“Notas explicativas sobre las denominaciones de variedades con arreglo al Convenio de la UPOV” </w:t>
      </w:r>
      <w:r w:rsidRPr="00492AA3">
        <w:rPr>
          <w:spacing w:val="2"/>
        </w:rPr>
        <w:t>(</w:t>
      </w:r>
      <w:r w:rsidR="00071B1F" w:rsidRPr="00492AA3">
        <w:rPr>
          <w:spacing w:val="2"/>
        </w:rPr>
        <w:t>véase el documento</w:t>
      </w:r>
      <w:r w:rsidRPr="00492AA3">
        <w:rPr>
          <w:spacing w:val="2"/>
        </w:rPr>
        <w:t xml:space="preserve"> </w:t>
      </w:r>
      <w:r w:rsidRPr="00492AA3">
        <w:t>CAJ/76/9 “</w:t>
      </w:r>
      <w:r w:rsidR="00EB06CC" w:rsidRPr="00492AA3">
        <w:rPr>
          <w:snapToGrid w:val="0"/>
        </w:rPr>
        <w:t>Informe</w:t>
      </w:r>
      <w:r w:rsidRPr="00492AA3">
        <w:rPr>
          <w:snapToGrid w:val="0"/>
          <w:lang w:eastAsia="ja-JP"/>
        </w:rPr>
        <w:t>”, p</w:t>
      </w:r>
      <w:r w:rsidR="00EB06CC" w:rsidRPr="00492AA3">
        <w:rPr>
          <w:snapToGrid w:val="0"/>
          <w:lang w:eastAsia="ja-JP"/>
        </w:rPr>
        <w:t xml:space="preserve">árrafos </w:t>
      </w:r>
      <w:r w:rsidRPr="00492AA3">
        <w:rPr>
          <w:snapToGrid w:val="0"/>
          <w:lang w:eastAsia="ja-JP"/>
        </w:rPr>
        <w:t xml:space="preserve">34 </w:t>
      </w:r>
      <w:r w:rsidR="00EB06CC" w:rsidRPr="00492AA3">
        <w:rPr>
          <w:snapToGrid w:val="0"/>
          <w:lang w:eastAsia="ja-JP"/>
        </w:rPr>
        <w:t>a</w:t>
      </w:r>
      <w:r w:rsidRPr="00492AA3">
        <w:rPr>
          <w:snapToGrid w:val="0"/>
          <w:lang w:eastAsia="ja-JP"/>
        </w:rPr>
        <w:t xml:space="preserve"> 39</w:t>
      </w:r>
      <w:r w:rsidRPr="00492AA3">
        <w:rPr>
          <w:spacing w:val="2"/>
        </w:rPr>
        <w:t xml:space="preserve">). </w:t>
      </w:r>
    </w:p>
    <w:p w14:paraId="768AC21F" w14:textId="77777777" w:rsidR="00955AD5" w:rsidRPr="00492AA3" w:rsidRDefault="00955AD5" w:rsidP="00955AD5">
      <w:pPr>
        <w:jc w:val="left"/>
      </w:pPr>
    </w:p>
    <w:p w14:paraId="3A4BE832" w14:textId="77777777" w:rsidR="000648A3" w:rsidRPr="003C5471" w:rsidRDefault="00955AD5" w:rsidP="000648A3">
      <w:pPr>
        <w:pStyle w:val="DecisionParagraphs"/>
        <w:keepNext/>
        <w:rPr>
          <w:rFonts w:eastAsia="MS Mincho"/>
          <w:snapToGrid w:val="0"/>
          <w:highlight w:val="cyan"/>
          <w:lang w:val="es-ES" w:eastAsia="ja-JP"/>
        </w:rPr>
      </w:pPr>
      <w:r w:rsidRPr="00492AA3">
        <w:rPr>
          <w:rFonts w:eastAsia="MS Mincho"/>
          <w:lang w:val="es-ES"/>
        </w:rPr>
        <w:fldChar w:fldCharType="begin"/>
      </w:r>
      <w:r w:rsidRPr="00492AA3">
        <w:rPr>
          <w:rFonts w:eastAsia="MS Mincho"/>
          <w:lang w:val="es-ES"/>
        </w:rPr>
        <w:instrText xml:space="preserve"> AUTONUM  </w:instrText>
      </w:r>
      <w:r w:rsidRPr="00492AA3">
        <w:rPr>
          <w:rFonts w:eastAsia="MS Mincho"/>
          <w:lang w:val="es-ES"/>
        </w:rPr>
        <w:fldChar w:fldCharType="end"/>
      </w:r>
      <w:r w:rsidRPr="000648A3">
        <w:rPr>
          <w:rFonts w:eastAsia="MS Mincho"/>
          <w:lang w:val="es-ES"/>
        </w:rPr>
        <w:tab/>
      </w:r>
      <w:r w:rsidR="00071B1F" w:rsidRPr="000648A3">
        <w:rPr>
          <w:lang w:val="es-ES"/>
        </w:rPr>
        <w:t xml:space="preserve">Se invita al </w:t>
      </w:r>
      <w:proofErr w:type="spellStart"/>
      <w:r w:rsidR="000648A3" w:rsidRPr="003C5471">
        <w:rPr>
          <w:lang w:val="es-ES"/>
        </w:rPr>
        <w:t>CAJ</w:t>
      </w:r>
      <w:proofErr w:type="spellEnd"/>
      <w:r w:rsidR="000648A3" w:rsidRPr="003C5471">
        <w:rPr>
          <w:lang w:val="es-ES"/>
        </w:rPr>
        <w:t xml:space="preserve">, </w:t>
      </w:r>
      <w:r w:rsidR="000648A3" w:rsidRPr="003C5471">
        <w:rPr>
          <w:highlight w:val="yellow"/>
          <w:u w:val="single"/>
          <w:lang w:val="es-ES"/>
        </w:rPr>
        <w:t xml:space="preserve">en su </w:t>
      </w:r>
      <w:proofErr w:type="spellStart"/>
      <w:r w:rsidR="000648A3" w:rsidRPr="003C5471">
        <w:rPr>
          <w:highlight w:val="yellow"/>
          <w:u w:val="single"/>
          <w:lang w:val="es-ES"/>
        </w:rPr>
        <w:t>session</w:t>
      </w:r>
      <w:proofErr w:type="spellEnd"/>
      <w:r w:rsidR="000648A3" w:rsidRPr="003C5471">
        <w:rPr>
          <w:highlight w:val="yellow"/>
          <w:u w:val="single"/>
          <w:lang w:val="es-ES"/>
        </w:rPr>
        <w:t xml:space="preserve"> virtual,</w:t>
      </w:r>
      <w:r w:rsidR="000648A3" w:rsidRPr="003C5471">
        <w:rPr>
          <w:lang w:val="es-ES"/>
        </w:rPr>
        <w:t xml:space="preserve"> a:</w:t>
      </w:r>
    </w:p>
    <w:p w14:paraId="4DD0B0FB" w14:textId="77777777" w:rsidR="00955AD5" w:rsidRPr="000648A3" w:rsidRDefault="00955AD5" w:rsidP="00955AD5">
      <w:pPr>
        <w:keepNext/>
        <w:rPr>
          <w:i/>
          <w:snapToGrid w:val="0"/>
          <w:lang w:eastAsia="ja-JP"/>
        </w:rPr>
      </w:pPr>
    </w:p>
    <w:p w14:paraId="5A225AF5" w14:textId="2B09DC5A" w:rsidR="00955AD5" w:rsidRPr="00310D26" w:rsidRDefault="00955AD5" w:rsidP="00955AD5">
      <w:pPr>
        <w:pStyle w:val="DecisionParagraphs"/>
        <w:keepLines/>
        <w:rPr>
          <w:snapToGrid w:val="0"/>
          <w:lang w:val="es-ES" w:eastAsia="ja-JP"/>
        </w:rPr>
      </w:pPr>
      <w:r w:rsidRPr="000648A3">
        <w:rPr>
          <w:snapToGrid w:val="0"/>
          <w:lang w:val="es-ES" w:eastAsia="ja-JP"/>
        </w:rPr>
        <w:tab/>
      </w:r>
      <w:r w:rsidRPr="00310D26">
        <w:rPr>
          <w:snapToGrid w:val="0"/>
          <w:lang w:val="es-ES" w:eastAsia="ja-JP"/>
        </w:rPr>
        <w:t>a)</w:t>
      </w:r>
      <w:r w:rsidRPr="00310D26">
        <w:rPr>
          <w:snapToGrid w:val="0"/>
          <w:lang w:val="es-ES" w:eastAsia="ja-JP"/>
        </w:rPr>
        <w:tab/>
      </w:r>
      <w:r w:rsidR="00EB06CC" w:rsidRPr="00310D26">
        <w:rPr>
          <w:snapToGrid w:val="0"/>
          <w:lang w:val="es-ES" w:eastAsia="ja-JP"/>
        </w:rPr>
        <w:t xml:space="preserve">tomar nota de las respuestas recibidas de los miembros de la Unión en respuesta a la </w:t>
      </w:r>
      <w:r w:rsidR="004158CD" w:rsidRPr="00310D26">
        <w:rPr>
          <w:snapToGrid w:val="0"/>
          <w:lang w:val="es-ES" w:eastAsia="ja-JP"/>
        </w:rPr>
        <w:t>C</w:t>
      </w:r>
      <w:r w:rsidR="00EB06CC" w:rsidRPr="00310D26">
        <w:rPr>
          <w:snapToGrid w:val="0"/>
          <w:lang w:val="es-ES" w:eastAsia="ja-JP"/>
        </w:rPr>
        <w:t>ircular</w:t>
      </w:r>
      <w:r w:rsidRPr="00310D26">
        <w:rPr>
          <w:snapToGrid w:val="0"/>
          <w:lang w:val="es-ES" w:eastAsia="ja-JP"/>
        </w:rPr>
        <w:t> E</w:t>
      </w:r>
      <w:r w:rsidRPr="00310D26">
        <w:rPr>
          <w:snapToGrid w:val="0"/>
          <w:lang w:val="es-ES" w:eastAsia="ja-JP"/>
        </w:rPr>
        <w:noBreakHyphen/>
        <w:t xml:space="preserve">20/017, </w:t>
      </w:r>
      <w:r w:rsidR="00694E7F">
        <w:rPr>
          <w:snapToGrid w:val="0"/>
          <w:lang w:val="es-ES" w:eastAsia="ja-JP"/>
        </w:rPr>
        <w:t>reproducidas</w:t>
      </w:r>
      <w:r w:rsidR="00EB06CC" w:rsidRPr="00310D26">
        <w:rPr>
          <w:snapToGrid w:val="0"/>
          <w:lang w:val="es-ES" w:eastAsia="ja-JP"/>
        </w:rPr>
        <w:t xml:space="preserve"> en el</w:t>
      </w:r>
      <w:r w:rsidRPr="00310D26">
        <w:rPr>
          <w:snapToGrid w:val="0"/>
          <w:lang w:val="es-ES" w:eastAsia="ja-JP"/>
        </w:rPr>
        <w:t xml:space="preserve"> Anex</w:t>
      </w:r>
      <w:r w:rsidR="00EB06CC" w:rsidRPr="00310D26">
        <w:rPr>
          <w:snapToGrid w:val="0"/>
          <w:lang w:val="es-ES" w:eastAsia="ja-JP"/>
        </w:rPr>
        <w:t>o</w:t>
      </w:r>
      <w:r w:rsidRPr="00310D26">
        <w:rPr>
          <w:snapToGrid w:val="0"/>
          <w:lang w:val="es-ES" w:eastAsia="ja-JP"/>
        </w:rPr>
        <w:t xml:space="preserve"> I</w:t>
      </w:r>
      <w:r w:rsidR="00EB06CC" w:rsidRPr="00310D26">
        <w:rPr>
          <w:snapToGrid w:val="0"/>
          <w:lang w:val="es-ES" w:eastAsia="ja-JP"/>
        </w:rPr>
        <w:t xml:space="preserve"> del presente documento</w:t>
      </w:r>
      <w:r w:rsidRPr="00310D26">
        <w:rPr>
          <w:snapToGrid w:val="0"/>
          <w:lang w:val="es-ES" w:eastAsia="ja-JP"/>
        </w:rPr>
        <w:t>;</w:t>
      </w:r>
    </w:p>
    <w:p w14:paraId="730857AC" w14:textId="77777777" w:rsidR="00955AD5" w:rsidRPr="00310D26" w:rsidRDefault="00955AD5" w:rsidP="00955AD5">
      <w:pPr>
        <w:pStyle w:val="DecisionParagraphs"/>
        <w:keepLines/>
        <w:rPr>
          <w:snapToGrid w:val="0"/>
          <w:lang w:val="es-ES" w:eastAsia="ja-JP"/>
        </w:rPr>
      </w:pPr>
    </w:p>
    <w:p w14:paraId="22184631" w14:textId="3110E328" w:rsidR="00955AD5" w:rsidRPr="00466024" w:rsidRDefault="00955AD5" w:rsidP="00955AD5">
      <w:pPr>
        <w:pStyle w:val="DecisionParagraphs"/>
        <w:keepLines/>
        <w:rPr>
          <w:spacing w:val="-4"/>
          <w:u w:val="single"/>
          <w:lang w:val="es-ES"/>
        </w:rPr>
      </w:pPr>
      <w:r w:rsidRPr="00310D26">
        <w:rPr>
          <w:spacing w:val="-4"/>
          <w:lang w:val="es-ES"/>
        </w:rPr>
        <w:tab/>
        <w:t>b)</w:t>
      </w:r>
      <w:r w:rsidRPr="00310D26">
        <w:rPr>
          <w:spacing w:val="-4"/>
          <w:lang w:val="es-ES"/>
        </w:rPr>
        <w:tab/>
      </w:r>
      <w:r w:rsidR="00EB06CC" w:rsidRPr="00310D26">
        <w:rPr>
          <w:lang w:val="es-ES"/>
        </w:rPr>
        <w:t>examinar la petición formulada por el</w:t>
      </w:r>
      <w:r w:rsidRPr="00310D26">
        <w:rPr>
          <w:lang w:val="es-ES"/>
        </w:rPr>
        <w:t xml:space="preserve"> TWV</w:t>
      </w:r>
      <w:r w:rsidR="00EB06CC" w:rsidRPr="00310D26">
        <w:rPr>
          <w:lang w:val="es-ES"/>
        </w:rPr>
        <w:t xml:space="preserve"> en su quincuagésima cuarta sesión</w:t>
      </w:r>
      <w:r w:rsidRPr="00310D26">
        <w:rPr>
          <w:lang w:val="es-ES"/>
        </w:rPr>
        <w:t xml:space="preserve"> </w:t>
      </w:r>
      <w:r w:rsidR="00EB06CC" w:rsidRPr="00310D26">
        <w:rPr>
          <w:rFonts w:eastAsia="MS Mincho"/>
          <w:snapToGrid w:val="0"/>
          <w:lang w:val="es-ES" w:eastAsia="ja-JP"/>
        </w:rPr>
        <w:t xml:space="preserve">de no introducir la clase </w:t>
      </w:r>
      <w:r w:rsidRPr="00310D26">
        <w:rPr>
          <w:rFonts w:eastAsia="MS Mincho"/>
          <w:snapToGrid w:val="0"/>
          <w:lang w:val="es-ES" w:eastAsia="ja-JP"/>
        </w:rPr>
        <w:t xml:space="preserve">205B </w:t>
      </w:r>
      <w:r w:rsidR="00EB06CC" w:rsidRPr="00310D26">
        <w:rPr>
          <w:rFonts w:eastAsia="MS Mincho"/>
          <w:snapToGrid w:val="0"/>
          <w:lang w:val="es-ES" w:eastAsia="ja-JP"/>
        </w:rPr>
        <w:t>en el documento</w:t>
      </w:r>
      <w:r w:rsidRPr="00310D26">
        <w:rPr>
          <w:rFonts w:eastAsia="MS Mincho"/>
          <w:snapToGrid w:val="0"/>
          <w:lang w:val="es-ES" w:eastAsia="ja-JP"/>
        </w:rPr>
        <w:t xml:space="preserve"> </w:t>
      </w:r>
      <w:r w:rsidRPr="00310D26">
        <w:rPr>
          <w:lang w:val="es-ES"/>
        </w:rPr>
        <w:t xml:space="preserve">UPOV/EXN/DEN/1 </w:t>
      </w:r>
      <w:r w:rsidRPr="00310D26">
        <w:rPr>
          <w:snapToGrid w:val="0"/>
          <w:lang w:val="es-ES" w:eastAsia="ja-JP"/>
        </w:rPr>
        <w:t>(</w:t>
      </w:r>
      <w:r w:rsidR="00EB06CC" w:rsidRPr="00310D26">
        <w:rPr>
          <w:snapToGrid w:val="0"/>
          <w:lang w:val="es-ES" w:eastAsia="ja-JP"/>
        </w:rPr>
        <w:t>véase el párrafo</w:t>
      </w:r>
      <w:r w:rsidRPr="00310D26">
        <w:rPr>
          <w:snapToGrid w:val="0"/>
          <w:lang w:val="es-ES" w:eastAsia="ja-JP"/>
        </w:rPr>
        <w:t xml:space="preserve"> 25)</w:t>
      </w:r>
      <w:r w:rsidRPr="00310D26">
        <w:rPr>
          <w:lang w:val="es-ES"/>
        </w:rPr>
        <w:t>;</w:t>
      </w:r>
      <w:r w:rsidR="00C05526">
        <w:rPr>
          <w:spacing w:val="-4"/>
          <w:lang w:val="es-ES"/>
        </w:rPr>
        <w:t xml:space="preserve"> </w:t>
      </w:r>
      <w:r w:rsidR="00492AA3">
        <w:rPr>
          <w:spacing w:val="-4"/>
          <w:lang w:val="es-ES"/>
        </w:rPr>
        <w:t xml:space="preserve"> </w:t>
      </w:r>
      <w:r w:rsidR="00466024" w:rsidRPr="00466024">
        <w:rPr>
          <w:spacing w:val="-4"/>
          <w:highlight w:val="yellow"/>
          <w:u w:val="single"/>
          <w:lang w:val="es-ES"/>
        </w:rPr>
        <w:t>y</w:t>
      </w:r>
    </w:p>
    <w:p w14:paraId="18497E13" w14:textId="77777777" w:rsidR="00955AD5" w:rsidRPr="00310D26" w:rsidRDefault="00955AD5" w:rsidP="00955AD5">
      <w:pPr>
        <w:pStyle w:val="DecisionParagraphs"/>
        <w:keepLines/>
        <w:rPr>
          <w:spacing w:val="-4"/>
          <w:lang w:val="es-ES"/>
        </w:rPr>
      </w:pPr>
    </w:p>
    <w:p w14:paraId="56766230" w14:textId="2FBC2BD7" w:rsidR="00955AD5" w:rsidRPr="000648A3" w:rsidRDefault="00955AD5" w:rsidP="000648A3">
      <w:pPr>
        <w:pStyle w:val="DecisionParagraphs"/>
        <w:keepLines/>
        <w:rPr>
          <w:i w:val="0"/>
          <w:strike/>
          <w:highlight w:val="yellow"/>
        </w:rPr>
      </w:pPr>
      <w:r w:rsidRPr="000648A3">
        <w:rPr>
          <w:snapToGrid w:val="0"/>
          <w:lang w:val="es-ES" w:eastAsia="ja-JP"/>
        </w:rPr>
        <w:tab/>
        <w:t>c)</w:t>
      </w:r>
      <w:r w:rsidRPr="000648A3">
        <w:rPr>
          <w:snapToGrid w:val="0"/>
          <w:lang w:val="es-ES" w:eastAsia="ja-JP"/>
        </w:rPr>
        <w:tab/>
      </w:r>
      <w:r w:rsidR="00743F9C" w:rsidRPr="000648A3">
        <w:rPr>
          <w:snapToGrid w:val="0"/>
          <w:lang w:val="es-ES" w:eastAsia="ja-JP"/>
        </w:rPr>
        <w:t>examinar la propuesta de revisión del documento</w:t>
      </w:r>
      <w:r w:rsidRPr="000648A3">
        <w:rPr>
          <w:lang w:val="es-ES"/>
        </w:rPr>
        <w:t> UPOV/EXN/DEN</w:t>
      </w:r>
      <w:r w:rsidR="005A4862" w:rsidRPr="000648A3">
        <w:rPr>
          <w:lang w:val="es-ES"/>
        </w:rPr>
        <w:t xml:space="preserve">: </w:t>
      </w:r>
      <w:r w:rsidRPr="000648A3">
        <w:rPr>
          <w:lang w:val="es-ES"/>
        </w:rPr>
        <w:t>“</w:t>
      </w:r>
      <w:r w:rsidR="00EB06CC" w:rsidRPr="000648A3">
        <w:rPr>
          <w:lang w:val="es-ES"/>
        </w:rPr>
        <w:t>Notas explicativas sobre las denominaciones de variedades con arreglo al Convenio de la UPOV</w:t>
      </w:r>
      <w:r w:rsidRPr="000648A3">
        <w:rPr>
          <w:lang w:val="es-ES"/>
        </w:rPr>
        <w:t xml:space="preserve">”, </w:t>
      </w:r>
      <w:r w:rsidR="00743F9C" w:rsidRPr="000648A3">
        <w:rPr>
          <w:lang w:val="es-ES"/>
        </w:rPr>
        <w:t>sobre la base del documento</w:t>
      </w:r>
      <w:r w:rsidR="000648A3" w:rsidRPr="000648A3">
        <w:rPr>
          <w:lang w:val="es-ES"/>
        </w:rPr>
        <w:t> UPOV/</w:t>
      </w:r>
      <w:proofErr w:type="spellStart"/>
      <w:r w:rsidR="000648A3" w:rsidRPr="000648A3">
        <w:rPr>
          <w:lang w:val="es-ES"/>
        </w:rPr>
        <w:t>EXN</w:t>
      </w:r>
      <w:proofErr w:type="spellEnd"/>
      <w:r w:rsidR="000648A3" w:rsidRPr="000648A3">
        <w:rPr>
          <w:lang w:val="es-ES"/>
        </w:rPr>
        <w:t xml:space="preserve">/DEN/1 </w:t>
      </w:r>
      <w:proofErr w:type="spellStart"/>
      <w:r w:rsidR="000648A3" w:rsidRPr="000648A3">
        <w:rPr>
          <w:lang w:val="es-ES"/>
        </w:rPr>
        <w:t>Draft</w:t>
      </w:r>
      <w:proofErr w:type="spellEnd"/>
      <w:r w:rsidR="000648A3" w:rsidRPr="000648A3">
        <w:rPr>
          <w:lang w:val="es-ES"/>
        </w:rPr>
        <w:t> </w:t>
      </w:r>
      <w:r w:rsidRPr="000648A3">
        <w:rPr>
          <w:lang w:val="es-ES"/>
        </w:rPr>
        <w:t>4</w:t>
      </w:r>
      <w:r w:rsidR="000648A3" w:rsidRPr="000648A3">
        <w:rPr>
          <w:highlight w:val="yellow"/>
          <w:u w:val="single"/>
        </w:rPr>
        <w:t xml:space="preserve"> junto con las observaciones so</w:t>
      </w:r>
      <w:r w:rsidR="000648A3">
        <w:rPr>
          <w:highlight w:val="yellow"/>
          <w:u w:val="single"/>
        </w:rPr>
        <w:t xml:space="preserve">bre el documento </w:t>
      </w:r>
      <w:r w:rsidR="000648A3" w:rsidRPr="000648A3">
        <w:rPr>
          <w:highlight w:val="yellow"/>
          <w:u w:val="single"/>
        </w:rPr>
        <w:t>UPOV/</w:t>
      </w:r>
      <w:proofErr w:type="spellStart"/>
      <w:r w:rsidR="000648A3" w:rsidRPr="000648A3">
        <w:rPr>
          <w:highlight w:val="yellow"/>
          <w:u w:val="single"/>
        </w:rPr>
        <w:t>EXN</w:t>
      </w:r>
      <w:proofErr w:type="spellEnd"/>
      <w:r w:rsidR="000648A3" w:rsidRPr="000648A3">
        <w:rPr>
          <w:highlight w:val="yellow"/>
          <w:u w:val="single"/>
        </w:rPr>
        <w:t>/DEN/1 </w:t>
      </w:r>
      <w:proofErr w:type="spellStart"/>
      <w:r w:rsidR="000648A3" w:rsidRPr="000648A3">
        <w:rPr>
          <w:highlight w:val="yellow"/>
          <w:u w:val="single"/>
        </w:rPr>
        <w:t>Draft</w:t>
      </w:r>
      <w:proofErr w:type="spellEnd"/>
      <w:r w:rsidR="000648A3" w:rsidRPr="000648A3">
        <w:rPr>
          <w:highlight w:val="yellow"/>
          <w:u w:val="single"/>
        </w:rPr>
        <w:t xml:space="preserve"> 4 recibidas </w:t>
      </w:r>
      <w:r w:rsidR="000648A3">
        <w:rPr>
          <w:highlight w:val="yellow"/>
          <w:u w:val="single"/>
        </w:rPr>
        <w:t>en respuesta a la Circular E</w:t>
      </w:r>
      <w:r w:rsidR="000648A3">
        <w:rPr>
          <w:highlight w:val="yellow"/>
          <w:u w:val="single"/>
        </w:rPr>
        <w:noBreakHyphen/>
      </w:r>
      <w:r w:rsidR="000648A3" w:rsidRPr="000648A3">
        <w:rPr>
          <w:highlight w:val="yellow"/>
          <w:u w:val="single"/>
        </w:rPr>
        <w:t xml:space="preserve">20/120, que se exponen en el documento CAJ/77/9 </w:t>
      </w:r>
      <w:r w:rsidR="000648A3" w:rsidRPr="00492AA3">
        <w:rPr>
          <w:highlight w:val="yellow"/>
          <w:u w:val="single"/>
        </w:rPr>
        <w:t>“</w:t>
      </w:r>
      <w:r w:rsidR="000648A3" w:rsidRPr="00492AA3">
        <w:rPr>
          <w:color w:val="000000"/>
          <w:u w:val="single"/>
          <w:shd w:val="clear" w:color="auto" w:fill="FFFF00"/>
        </w:rPr>
        <w:t>Resultado del examen de los documentos por correspondencia</w:t>
      </w:r>
      <w:r w:rsidR="000648A3" w:rsidRPr="000648A3">
        <w:rPr>
          <w:i w:val="0"/>
          <w:highlight w:val="yellow"/>
          <w:u w:val="single"/>
        </w:rPr>
        <w:t>”.</w:t>
      </w:r>
      <w:r w:rsidR="000648A3" w:rsidRPr="000648A3">
        <w:rPr>
          <w:i w:val="0"/>
          <w:strike/>
          <w:highlight w:val="yellow"/>
        </w:rPr>
        <w:t>;  </w:t>
      </w:r>
      <w:r w:rsidR="00EB06CC" w:rsidRPr="000648A3">
        <w:rPr>
          <w:strike/>
          <w:snapToGrid w:val="0"/>
          <w:highlight w:val="yellow"/>
          <w:lang w:val="es-ES" w:eastAsia="ja-JP"/>
        </w:rPr>
        <w:t>y</w:t>
      </w:r>
    </w:p>
    <w:p w14:paraId="16A1A9A0" w14:textId="77777777" w:rsidR="00955AD5" w:rsidRPr="00466024" w:rsidRDefault="00955AD5" w:rsidP="00955AD5">
      <w:pPr>
        <w:pStyle w:val="DecisionParagraphs"/>
        <w:keepNext/>
        <w:rPr>
          <w:strike/>
          <w:snapToGrid w:val="0"/>
          <w:highlight w:val="yellow"/>
          <w:lang w:val="es-ES" w:eastAsia="ja-JP"/>
        </w:rPr>
      </w:pPr>
    </w:p>
    <w:p w14:paraId="52F51EF7" w14:textId="370E822D" w:rsidR="00955AD5" w:rsidRPr="00466024" w:rsidRDefault="00955AD5" w:rsidP="00955AD5">
      <w:pPr>
        <w:pStyle w:val="DecisionParagraphs"/>
        <w:keepNext/>
        <w:keepLines/>
        <w:rPr>
          <w:strike/>
          <w:snapToGrid w:val="0"/>
          <w:lang w:val="es-ES" w:eastAsia="ja-JP"/>
        </w:rPr>
      </w:pPr>
      <w:r w:rsidRPr="00466024">
        <w:rPr>
          <w:strike/>
          <w:snapToGrid w:val="0"/>
          <w:highlight w:val="yellow"/>
          <w:lang w:val="es-ES" w:eastAsia="ja-JP"/>
        </w:rPr>
        <w:tab/>
        <w:t>d)</w:t>
      </w:r>
      <w:r w:rsidRPr="00466024">
        <w:rPr>
          <w:strike/>
          <w:snapToGrid w:val="0"/>
          <w:highlight w:val="yellow"/>
          <w:lang w:val="es-ES" w:eastAsia="ja-JP"/>
        </w:rPr>
        <w:tab/>
      </w:r>
      <w:r w:rsidR="00567357" w:rsidRPr="00466024">
        <w:rPr>
          <w:strike/>
          <w:snapToGrid w:val="0"/>
          <w:highlight w:val="yellow"/>
          <w:lang w:val="es-ES" w:eastAsia="ja-JP"/>
        </w:rPr>
        <w:t xml:space="preserve">tomar nota de que, </w:t>
      </w:r>
      <w:r w:rsidR="00CE30EE" w:rsidRPr="00466024">
        <w:rPr>
          <w:strike/>
          <w:snapToGrid w:val="0"/>
          <w:highlight w:val="yellow"/>
          <w:lang w:val="es-ES" w:eastAsia="ja-JP"/>
        </w:rPr>
        <w:t>a reserva del</w:t>
      </w:r>
      <w:r w:rsidR="00567357" w:rsidRPr="00466024">
        <w:rPr>
          <w:strike/>
          <w:snapToGrid w:val="0"/>
          <w:highlight w:val="yellow"/>
          <w:lang w:val="es-ES" w:eastAsia="ja-JP"/>
        </w:rPr>
        <w:t xml:space="preserve"> acuerdo </w:t>
      </w:r>
      <w:r w:rsidR="005A4862" w:rsidRPr="00466024">
        <w:rPr>
          <w:strike/>
          <w:snapToGrid w:val="0"/>
          <w:highlight w:val="yellow"/>
          <w:lang w:val="es-ES" w:eastAsia="ja-JP"/>
        </w:rPr>
        <w:t>d</w:t>
      </w:r>
      <w:r w:rsidR="00567357" w:rsidRPr="00466024">
        <w:rPr>
          <w:strike/>
          <w:snapToGrid w:val="0"/>
          <w:highlight w:val="yellow"/>
          <w:lang w:val="es-ES" w:eastAsia="ja-JP"/>
        </w:rPr>
        <w:t xml:space="preserve">el CAJ, </w:t>
      </w:r>
      <w:r w:rsidR="005A4862" w:rsidRPr="00466024">
        <w:rPr>
          <w:strike/>
          <w:snapToGrid w:val="0"/>
          <w:highlight w:val="yellow"/>
          <w:lang w:val="es-ES" w:eastAsia="ja-JP"/>
        </w:rPr>
        <w:t>en 2020 se someterá</w:t>
      </w:r>
      <w:r w:rsidR="00BB07DC" w:rsidRPr="00466024">
        <w:rPr>
          <w:strike/>
          <w:snapToGrid w:val="0"/>
          <w:highlight w:val="yellow"/>
          <w:lang w:val="es-ES" w:eastAsia="ja-JP"/>
        </w:rPr>
        <w:t xml:space="preserve"> al</w:t>
      </w:r>
      <w:r w:rsidR="00567357" w:rsidRPr="00466024">
        <w:rPr>
          <w:strike/>
          <w:snapToGrid w:val="0"/>
          <w:highlight w:val="yellow"/>
          <w:lang w:val="es-ES" w:eastAsia="ja-JP"/>
        </w:rPr>
        <w:t xml:space="preserve"> Consejo</w:t>
      </w:r>
      <w:r w:rsidR="00C30B4B" w:rsidRPr="00466024">
        <w:rPr>
          <w:strike/>
          <w:snapToGrid w:val="0"/>
          <w:highlight w:val="yellow"/>
          <w:lang w:val="es-ES" w:eastAsia="ja-JP"/>
        </w:rPr>
        <w:t>,</w:t>
      </w:r>
      <w:r w:rsidR="00C30B4B" w:rsidRPr="00466024">
        <w:rPr>
          <w:strike/>
          <w:highlight w:val="yellow"/>
          <w:lang w:val="es-ES"/>
        </w:rPr>
        <w:t xml:space="preserve"> para que considere su aprobación,</w:t>
      </w:r>
      <w:r w:rsidR="00567357" w:rsidRPr="00466024">
        <w:rPr>
          <w:strike/>
          <w:snapToGrid w:val="0"/>
          <w:highlight w:val="yellow"/>
          <w:lang w:val="es-ES" w:eastAsia="ja-JP"/>
        </w:rPr>
        <w:t xml:space="preserve"> un proyecto de documento</w:t>
      </w:r>
      <w:r w:rsidR="00BB07DC" w:rsidRPr="00466024">
        <w:rPr>
          <w:strike/>
          <w:snapToGrid w:val="0"/>
          <w:highlight w:val="yellow"/>
          <w:lang w:val="es-ES" w:eastAsia="ja-JP"/>
        </w:rPr>
        <w:t xml:space="preserve"> </w:t>
      </w:r>
      <w:r w:rsidRPr="00466024">
        <w:rPr>
          <w:strike/>
          <w:highlight w:val="yellow"/>
          <w:lang w:val="es-ES"/>
        </w:rPr>
        <w:t>UPOV/EXN/DEN/1</w:t>
      </w:r>
      <w:r w:rsidRPr="00466024">
        <w:rPr>
          <w:strike/>
          <w:snapToGrid w:val="0"/>
          <w:highlight w:val="yellow"/>
          <w:lang w:val="es-ES" w:eastAsia="ja-JP"/>
        </w:rPr>
        <w:t>.</w:t>
      </w:r>
    </w:p>
    <w:p w14:paraId="20B1BA48" w14:textId="77777777" w:rsidR="00955AD5" w:rsidRPr="00310D26" w:rsidRDefault="00955AD5" w:rsidP="00955AD5"/>
    <w:p w14:paraId="5D4419BF" w14:textId="77777777" w:rsidR="00955AD5" w:rsidRPr="00310D26" w:rsidRDefault="00955AD5" w:rsidP="00955AD5">
      <w:pPr>
        <w:jc w:val="left"/>
      </w:pPr>
    </w:p>
    <w:p w14:paraId="7F39A513" w14:textId="42BED641" w:rsidR="00C30B4B" w:rsidRPr="00310D26" w:rsidRDefault="00C30B4B" w:rsidP="007C2166">
      <w:pPr>
        <w:pStyle w:val="Heading2"/>
        <w:numPr>
          <w:ilvl w:val="0"/>
          <w:numId w:val="6"/>
        </w:numPr>
        <w:ind w:left="567" w:hanging="567"/>
        <w:rPr>
          <w:lang w:val="es-ES"/>
        </w:rPr>
      </w:pPr>
      <w:bookmarkStart w:id="30" w:name="_Toc52802616"/>
      <w:r w:rsidRPr="00310D26">
        <w:rPr>
          <w:lang w:val="es-ES"/>
        </w:rPr>
        <w:lastRenderedPageBreak/>
        <w:t>Documentos TGP</w:t>
      </w:r>
      <w:bookmarkEnd w:id="30"/>
      <w:r w:rsidRPr="00310D26">
        <w:rPr>
          <w:lang w:val="es-ES"/>
        </w:rPr>
        <w:t xml:space="preserve"> </w:t>
      </w:r>
    </w:p>
    <w:p w14:paraId="4ACF444F" w14:textId="77777777" w:rsidR="00955AD5" w:rsidRPr="00310D26" w:rsidRDefault="00955AD5" w:rsidP="007C2166">
      <w:pPr>
        <w:keepNext/>
      </w:pPr>
    </w:p>
    <w:p w14:paraId="0C7C6524" w14:textId="4EE2820B" w:rsidR="00955AD5" w:rsidRPr="00310D26" w:rsidRDefault="00955AD5" w:rsidP="007C2166">
      <w:pPr>
        <w:keepNext/>
        <w:rPr>
          <w:spacing w:val="-2"/>
        </w:rPr>
      </w:pPr>
      <w:r w:rsidRPr="00310D26">
        <w:rPr>
          <w:spacing w:val="-2"/>
        </w:rPr>
        <w:fldChar w:fldCharType="begin"/>
      </w:r>
      <w:r w:rsidRPr="00310D26">
        <w:rPr>
          <w:spacing w:val="-2"/>
        </w:rPr>
        <w:instrText xml:space="preserve"> AUTONUM  </w:instrText>
      </w:r>
      <w:r w:rsidRPr="00310D26">
        <w:rPr>
          <w:spacing w:val="-2"/>
        </w:rPr>
        <w:fldChar w:fldCharType="end"/>
      </w:r>
      <w:r w:rsidRPr="00310D26">
        <w:rPr>
          <w:spacing w:val="-2"/>
        </w:rPr>
        <w:tab/>
      </w:r>
      <w:r w:rsidR="005A4862" w:rsidRPr="00310D26">
        <w:rPr>
          <w:spacing w:val="-2"/>
        </w:rPr>
        <w:t xml:space="preserve">En su </w:t>
      </w:r>
      <w:r w:rsidR="005A4862" w:rsidRPr="00310D26">
        <w:t>quincuagésima quinta sesión</w:t>
      </w:r>
      <w:r w:rsidR="0024487F" w:rsidRPr="0024487F">
        <w:rPr>
          <w:vertAlign w:val="superscript"/>
        </w:rPr>
        <w:fldChar w:fldCharType="begin"/>
      </w:r>
      <w:r w:rsidR="0024487F" w:rsidRPr="0024487F">
        <w:rPr>
          <w:vertAlign w:val="superscript"/>
        </w:rPr>
        <w:instrText xml:space="preserve"> NOTEREF _Ref48824131 \h </w:instrText>
      </w:r>
      <w:r w:rsidR="0024487F">
        <w:rPr>
          <w:vertAlign w:val="superscript"/>
        </w:rPr>
        <w:instrText xml:space="preserve"> \* MERGEFORMAT </w:instrText>
      </w:r>
      <w:r w:rsidR="0024487F" w:rsidRPr="0024487F">
        <w:rPr>
          <w:vertAlign w:val="superscript"/>
        </w:rPr>
      </w:r>
      <w:r w:rsidR="0024487F" w:rsidRPr="0024487F">
        <w:rPr>
          <w:vertAlign w:val="superscript"/>
        </w:rPr>
        <w:fldChar w:fldCharType="separate"/>
      </w:r>
      <w:r w:rsidR="00024BFE">
        <w:rPr>
          <w:vertAlign w:val="superscript"/>
        </w:rPr>
        <w:t>2</w:t>
      </w:r>
      <w:r w:rsidR="0024487F" w:rsidRPr="0024487F">
        <w:rPr>
          <w:vertAlign w:val="superscript"/>
        </w:rPr>
        <w:fldChar w:fldCharType="end"/>
      </w:r>
      <w:r w:rsidR="005A4862" w:rsidRPr="00310D26">
        <w:t>,</w:t>
      </w:r>
      <w:r w:rsidR="00BE482B" w:rsidRPr="00310D26">
        <w:rPr>
          <w:spacing w:val="-2"/>
        </w:rPr>
        <w:t xml:space="preserve"> el TC acordó proponer que en 2020 se sometieran a la aprobación del Consejo las siguientes revisiones de los documentos TGP, a reserva de la aprobación del CAJ</w:t>
      </w:r>
      <w:r w:rsidRPr="00310D26">
        <w:rPr>
          <w:spacing w:val="-2"/>
        </w:rPr>
        <w:t>.</w:t>
      </w:r>
    </w:p>
    <w:p w14:paraId="1B40D2C6" w14:textId="77777777" w:rsidR="00955AD5" w:rsidRPr="00310D26" w:rsidRDefault="00955AD5" w:rsidP="00955AD5">
      <w:pPr>
        <w:ind w:left="567" w:hanging="567"/>
        <w:jc w:val="left"/>
        <w:rPr>
          <w:highlight w:val="yellow"/>
        </w:rPr>
      </w:pPr>
    </w:p>
    <w:p w14:paraId="20E2AE5A" w14:textId="0FD1C5A2" w:rsidR="00955AD5" w:rsidRPr="00310D26" w:rsidRDefault="00BE482B" w:rsidP="004F2167">
      <w:pPr>
        <w:pStyle w:val="Heading3"/>
      </w:pPr>
      <w:bookmarkStart w:id="31" w:name="_Toc15566517"/>
      <w:bookmarkStart w:id="32" w:name="_Toc21683347"/>
      <w:bookmarkStart w:id="33" w:name="_Toc52802617"/>
      <w:r w:rsidRPr="00310D26">
        <w:t>Revisión del documento</w:t>
      </w:r>
      <w:r w:rsidR="00955AD5" w:rsidRPr="00310D26">
        <w:t xml:space="preserve"> TGP/5 “</w:t>
      </w:r>
      <w:bookmarkEnd w:id="31"/>
      <w:bookmarkEnd w:id="32"/>
      <w:r w:rsidRPr="00310D26">
        <w:t>Experiencia y cooperación en el examen DHE</w:t>
      </w:r>
      <w:r w:rsidR="00955AD5" w:rsidRPr="00310D26">
        <w:t xml:space="preserve">”, </w:t>
      </w:r>
      <w:r w:rsidRPr="00310D26">
        <w:t>s</w:t>
      </w:r>
      <w:r w:rsidR="00955AD5" w:rsidRPr="00310D26">
        <w:t>ec</w:t>
      </w:r>
      <w:r w:rsidRPr="00310D26">
        <w:t>ció</w:t>
      </w:r>
      <w:r w:rsidR="00955AD5" w:rsidRPr="00310D26">
        <w:t>n 6 “</w:t>
      </w:r>
      <w:r w:rsidR="00CF6CDB">
        <w:t xml:space="preserve">Informe de la </w:t>
      </w:r>
      <w:r w:rsidRPr="00310D26">
        <w:t>UPOV sobre el examen técnico y formulario UPOV para la descripción de variedades</w:t>
      </w:r>
      <w:r w:rsidR="00955AD5" w:rsidRPr="00310D26">
        <w:t>” (document</w:t>
      </w:r>
      <w:r w:rsidRPr="00310D26">
        <w:t>o</w:t>
      </w:r>
      <w:r w:rsidR="00955AD5" w:rsidRPr="00310D26">
        <w:t> </w:t>
      </w:r>
      <w:proofErr w:type="spellStart"/>
      <w:r w:rsidR="00955AD5" w:rsidRPr="00310D26">
        <w:t>TGP</w:t>
      </w:r>
      <w:proofErr w:type="spellEnd"/>
      <w:r w:rsidR="00955AD5" w:rsidRPr="00310D26">
        <w:t>/5: </w:t>
      </w:r>
      <w:proofErr w:type="spellStart"/>
      <w:r w:rsidR="00955AD5" w:rsidRPr="00310D26">
        <w:t>Section</w:t>
      </w:r>
      <w:proofErr w:type="spellEnd"/>
      <w:r w:rsidR="00955AD5" w:rsidRPr="00310D26">
        <w:t> 6/3 </w:t>
      </w:r>
      <w:proofErr w:type="spellStart"/>
      <w:r w:rsidR="00955AD5" w:rsidRPr="00310D26">
        <w:t>Draft</w:t>
      </w:r>
      <w:proofErr w:type="spellEnd"/>
      <w:r w:rsidR="00955AD5" w:rsidRPr="00310D26">
        <w:t> 1)</w:t>
      </w:r>
      <w:bookmarkEnd w:id="33"/>
    </w:p>
    <w:p w14:paraId="334783EB" w14:textId="77777777" w:rsidR="00955AD5" w:rsidRPr="00310D26" w:rsidRDefault="00955AD5" w:rsidP="00955AD5">
      <w:pPr>
        <w:keepNext/>
        <w:ind w:left="567" w:hanging="567"/>
        <w:jc w:val="left"/>
        <w:rPr>
          <w:highlight w:val="lightGray"/>
        </w:rPr>
      </w:pPr>
    </w:p>
    <w:p w14:paraId="599CA450" w14:textId="7158A715" w:rsidR="00955AD5" w:rsidRPr="00310D26" w:rsidRDefault="00955AD5" w:rsidP="00955AD5">
      <w:pPr>
        <w:keepLines/>
        <w:rPr>
          <w:spacing w:val="-2"/>
        </w:rPr>
      </w:pPr>
      <w:r w:rsidRPr="00310D26">
        <w:rPr>
          <w:spacing w:val="-2"/>
        </w:rPr>
        <w:fldChar w:fldCharType="begin"/>
      </w:r>
      <w:r w:rsidRPr="00310D26">
        <w:rPr>
          <w:spacing w:val="-2"/>
        </w:rPr>
        <w:instrText xml:space="preserve"> AUTONUM  </w:instrText>
      </w:r>
      <w:r w:rsidRPr="00310D26">
        <w:rPr>
          <w:spacing w:val="-2"/>
        </w:rPr>
        <w:fldChar w:fldCharType="end"/>
      </w:r>
      <w:r w:rsidRPr="00310D26">
        <w:rPr>
          <w:spacing w:val="-2"/>
        </w:rPr>
        <w:tab/>
      </w:r>
      <w:r w:rsidR="00BE482B" w:rsidRPr="00310D26">
        <w:t xml:space="preserve">En su quincuagésima quinta </w:t>
      </w:r>
      <w:proofErr w:type="spellStart"/>
      <w:r w:rsidR="00BE482B" w:rsidRPr="00310D26">
        <w:t>sesión,</w:t>
      </w:r>
      <w:r w:rsidR="00881B25" w:rsidRPr="00310D26">
        <w:rPr>
          <w:vertAlign w:val="superscript"/>
        </w:rPr>
        <w:fldChar w:fldCharType="begin"/>
      </w:r>
      <w:r w:rsidR="00881B25" w:rsidRPr="00310D26">
        <w:rPr>
          <w:vertAlign w:val="superscript"/>
        </w:rPr>
        <w:instrText xml:space="preserve"> NOTEREF _Ref42609340 \f \h  \* MERGEFORMAT </w:instrText>
      </w:r>
      <w:r w:rsidR="00881B25" w:rsidRPr="00310D26">
        <w:rPr>
          <w:vertAlign w:val="superscript"/>
        </w:rPr>
        <w:fldChar w:fldCharType="separate"/>
      </w:r>
      <w:r w:rsidR="00024BFE" w:rsidRPr="00024BFE">
        <w:rPr>
          <w:b/>
          <w:bCs/>
          <w:vertAlign w:val="superscript"/>
        </w:rPr>
        <w:t>Error</w:t>
      </w:r>
      <w:proofErr w:type="spellEnd"/>
      <w:r w:rsidR="00024BFE" w:rsidRPr="00024BFE">
        <w:rPr>
          <w:b/>
          <w:bCs/>
          <w:vertAlign w:val="superscript"/>
        </w:rPr>
        <w:t xml:space="preserve">! </w:t>
      </w:r>
      <w:proofErr w:type="spellStart"/>
      <w:r w:rsidR="00024BFE" w:rsidRPr="00024BFE">
        <w:rPr>
          <w:b/>
          <w:bCs/>
          <w:vertAlign w:val="superscript"/>
        </w:rPr>
        <w:t>Bookmark</w:t>
      </w:r>
      <w:proofErr w:type="spellEnd"/>
      <w:r w:rsidR="00024BFE" w:rsidRPr="00024BFE">
        <w:rPr>
          <w:b/>
          <w:bCs/>
          <w:vertAlign w:val="superscript"/>
        </w:rPr>
        <w:t xml:space="preserve"> </w:t>
      </w:r>
      <w:proofErr w:type="spellStart"/>
      <w:r w:rsidR="00024BFE" w:rsidRPr="00024BFE">
        <w:rPr>
          <w:b/>
          <w:bCs/>
          <w:vertAlign w:val="superscript"/>
        </w:rPr>
        <w:t>not</w:t>
      </w:r>
      <w:proofErr w:type="spellEnd"/>
      <w:r w:rsidR="00024BFE" w:rsidRPr="00024BFE">
        <w:rPr>
          <w:b/>
          <w:bCs/>
          <w:vertAlign w:val="superscript"/>
        </w:rPr>
        <w:t xml:space="preserve"> </w:t>
      </w:r>
      <w:proofErr w:type="spellStart"/>
      <w:r w:rsidR="00024BFE" w:rsidRPr="00024BFE">
        <w:rPr>
          <w:b/>
          <w:bCs/>
          <w:vertAlign w:val="superscript"/>
        </w:rPr>
        <w:t>defined</w:t>
      </w:r>
      <w:proofErr w:type="spellEnd"/>
      <w:r w:rsidR="00024BFE" w:rsidRPr="00024BFE">
        <w:rPr>
          <w:b/>
          <w:bCs/>
          <w:vertAlign w:val="superscript"/>
        </w:rPr>
        <w:t>.</w:t>
      </w:r>
      <w:r w:rsidR="00881B25" w:rsidRPr="00310D26">
        <w:rPr>
          <w:vertAlign w:val="superscript"/>
        </w:rPr>
        <w:fldChar w:fldCharType="end"/>
      </w:r>
      <w:r w:rsidRPr="00310D26">
        <w:rPr>
          <w:spacing w:val="-2"/>
        </w:rPr>
        <w:t xml:space="preserve"> </w:t>
      </w:r>
      <w:r w:rsidR="00BE482B" w:rsidRPr="00310D26">
        <w:t>el TC convino en proponer una revisión de la sección 6 “Informe de la UPOV sobre el examen técnico y formulario UPOV para la descripción de variedades” del documento TGP/5 “Experiencia y cooperación en el examen DHE”, a fin de incluir orientaciones sobre la finalidad de la descripción de las variedades elaborada en el momento en que se concede el derecho de obtentor y la situación de la descripción original de la variedad, en lo que se refiere a la comprobación de que el material vegetal corresponde a una variedad protegida a efectos de la defensa del derecho de obtentor. La propuesta de revisión de la sección 6 del documento TGP/5 se reproduce en el Anexo II del presente documento</w:t>
      </w:r>
      <w:r w:rsidR="00BE482B" w:rsidRPr="00310D26">
        <w:rPr>
          <w:spacing w:val="-2"/>
        </w:rPr>
        <w:t>.</w:t>
      </w:r>
    </w:p>
    <w:p w14:paraId="69587803" w14:textId="77777777" w:rsidR="00955AD5" w:rsidRPr="00310D26" w:rsidRDefault="00955AD5" w:rsidP="00955AD5">
      <w:pPr>
        <w:rPr>
          <w:spacing w:val="-2"/>
        </w:rPr>
      </w:pPr>
    </w:p>
    <w:p w14:paraId="0200FAF6" w14:textId="3BA8F5DB" w:rsidR="00955AD5" w:rsidRPr="00310D26" w:rsidRDefault="00955AD5" w:rsidP="008355BC">
      <w:pPr>
        <w:keepLines/>
        <w:rPr>
          <w:bCs/>
          <w:snapToGrid w:val="0"/>
          <w:szCs w:val="24"/>
          <w:highlight w:val="lightGray"/>
        </w:rPr>
      </w:pPr>
      <w:r w:rsidRPr="00310D26">
        <w:rPr>
          <w:spacing w:val="-2"/>
        </w:rPr>
        <w:fldChar w:fldCharType="begin"/>
      </w:r>
      <w:r w:rsidRPr="00310D26">
        <w:rPr>
          <w:spacing w:val="-2"/>
        </w:rPr>
        <w:instrText xml:space="preserve"> AUTONUM  </w:instrText>
      </w:r>
      <w:r w:rsidRPr="00310D26">
        <w:rPr>
          <w:spacing w:val="-2"/>
        </w:rPr>
        <w:fldChar w:fldCharType="end"/>
      </w:r>
      <w:r w:rsidRPr="00310D26">
        <w:rPr>
          <w:spacing w:val="-2"/>
        </w:rPr>
        <w:tab/>
      </w:r>
      <w:r w:rsidR="00C30B4B" w:rsidRPr="00310D26">
        <w:t xml:space="preserve">Los respectivos miembros del Comité de Redacción revisaron las traducciones al alemán, español y francés del texto original en inglés antes de que el proyecto de la sección 6 del documento TGP/5 se presentara al Consejo. El documento </w:t>
      </w:r>
      <w:proofErr w:type="spellStart"/>
      <w:r w:rsidR="00C30B4B" w:rsidRPr="00310D26">
        <w:t>TGP</w:t>
      </w:r>
      <w:proofErr w:type="spellEnd"/>
      <w:r w:rsidR="00C30B4B" w:rsidRPr="00310D26">
        <w:t xml:space="preserve">/5: </w:t>
      </w:r>
      <w:proofErr w:type="spellStart"/>
      <w:r w:rsidR="00C30B4B" w:rsidRPr="00310D26">
        <w:t>Section</w:t>
      </w:r>
      <w:proofErr w:type="spellEnd"/>
      <w:r w:rsidR="00C30B4B" w:rsidRPr="00310D26">
        <w:t> 6/3 </w:t>
      </w:r>
      <w:proofErr w:type="spellStart"/>
      <w:r w:rsidR="00C30B4B" w:rsidRPr="00310D26">
        <w:t>Draft</w:t>
      </w:r>
      <w:proofErr w:type="spellEnd"/>
      <w:r w:rsidR="00C30B4B" w:rsidRPr="00310D26">
        <w:t> 1 incorpora las enmiendas acordadas por el TC, expuestas en el Anexo II del presente documento (con marcas de revisión), y los cambios lingüísticos efectuados por los respectivos miembros del Comité de Redacción.</w:t>
      </w:r>
    </w:p>
    <w:p w14:paraId="7AA86A1C" w14:textId="77777777" w:rsidR="00955AD5" w:rsidRPr="00310D26" w:rsidRDefault="00955AD5" w:rsidP="00955AD5">
      <w:pPr>
        <w:rPr>
          <w:highlight w:val="lightGray"/>
        </w:rPr>
      </w:pPr>
    </w:p>
    <w:p w14:paraId="378AE849" w14:textId="6273CF29" w:rsidR="00C30B4B" w:rsidRPr="00310D26" w:rsidRDefault="00955AD5" w:rsidP="00C30B4B">
      <w:r w:rsidRPr="00310D26">
        <w:rPr>
          <w:spacing w:val="-2"/>
        </w:rPr>
        <w:fldChar w:fldCharType="begin"/>
      </w:r>
      <w:r w:rsidRPr="00310D26">
        <w:rPr>
          <w:spacing w:val="-2"/>
        </w:rPr>
        <w:instrText xml:space="preserve"> AUTONUM  </w:instrText>
      </w:r>
      <w:r w:rsidRPr="00310D26">
        <w:rPr>
          <w:spacing w:val="-2"/>
        </w:rPr>
        <w:fldChar w:fldCharType="end"/>
      </w:r>
      <w:r w:rsidRPr="00310D26">
        <w:rPr>
          <w:spacing w:val="-2"/>
        </w:rPr>
        <w:tab/>
      </w:r>
      <w:r w:rsidR="00C30B4B" w:rsidRPr="00310D26">
        <w:t>A reserva de que el CAJ acuerde un proyecto del documento </w:t>
      </w:r>
      <w:proofErr w:type="spellStart"/>
      <w:r w:rsidR="00C30B4B" w:rsidRPr="00310D26">
        <w:t>TGP</w:t>
      </w:r>
      <w:proofErr w:type="spellEnd"/>
      <w:r w:rsidR="00C30B4B" w:rsidRPr="00310D26">
        <w:t>/5: </w:t>
      </w:r>
      <w:proofErr w:type="spellStart"/>
      <w:r w:rsidR="00C30B4B" w:rsidRPr="00310D26">
        <w:t>Section</w:t>
      </w:r>
      <w:proofErr w:type="spellEnd"/>
      <w:r w:rsidR="00C30B4B" w:rsidRPr="00310D26">
        <w:t> 6/3, sobre la base del documento </w:t>
      </w:r>
      <w:proofErr w:type="spellStart"/>
      <w:r w:rsidR="00C30B4B" w:rsidRPr="00310D26">
        <w:t>TGP</w:t>
      </w:r>
      <w:proofErr w:type="spellEnd"/>
      <w:r w:rsidR="00C30B4B" w:rsidRPr="00310D26">
        <w:t xml:space="preserve">/5: </w:t>
      </w:r>
      <w:proofErr w:type="spellStart"/>
      <w:r w:rsidR="00C30B4B" w:rsidRPr="00310D26">
        <w:t>Section</w:t>
      </w:r>
      <w:proofErr w:type="spellEnd"/>
      <w:r w:rsidR="00C30B4B" w:rsidRPr="00310D26">
        <w:t xml:space="preserve"> 6/3 </w:t>
      </w:r>
      <w:proofErr w:type="spellStart"/>
      <w:r w:rsidR="00C30B4B" w:rsidRPr="00310D26">
        <w:t>Draft</w:t>
      </w:r>
      <w:proofErr w:type="spellEnd"/>
      <w:r w:rsidR="00C30B4B" w:rsidRPr="00310D26">
        <w:t> 1, en 2020 se someterá al Consejo, para que considere su aprobación, un proyecto acordado del documento </w:t>
      </w:r>
      <w:proofErr w:type="spellStart"/>
      <w:r w:rsidR="00C30B4B" w:rsidRPr="00310D26">
        <w:t>TGP</w:t>
      </w:r>
      <w:proofErr w:type="spellEnd"/>
      <w:r w:rsidR="00C30B4B" w:rsidRPr="00310D26">
        <w:t xml:space="preserve">/5: </w:t>
      </w:r>
      <w:proofErr w:type="spellStart"/>
      <w:r w:rsidR="00C30B4B" w:rsidRPr="00310D26">
        <w:t>Section</w:t>
      </w:r>
      <w:proofErr w:type="spellEnd"/>
      <w:r w:rsidR="00C30B4B" w:rsidRPr="00310D26">
        <w:t xml:space="preserve"> 6/3: “</w:t>
      </w:r>
      <w:proofErr w:type="spellStart"/>
      <w:r w:rsidR="00C30B4B" w:rsidRPr="00310D26">
        <w:t>TGP</w:t>
      </w:r>
      <w:proofErr w:type="spellEnd"/>
      <w:r w:rsidR="00C30B4B" w:rsidRPr="00310D26">
        <w:t xml:space="preserve"> 5: Experiencia y cooperación en el examen DHE, sección 6: Informe de la UPOV sobre el examen técnico y formulario UPOV para la descripción de variedades”.</w:t>
      </w:r>
    </w:p>
    <w:p w14:paraId="34D9D6DE" w14:textId="01AC9D19" w:rsidR="00955AD5" w:rsidRPr="00310D26" w:rsidRDefault="00955AD5" w:rsidP="008355BC">
      <w:pPr>
        <w:jc w:val="left"/>
        <w:rPr>
          <w:highlight w:val="lightGray"/>
        </w:rPr>
      </w:pPr>
    </w:p>
    <w:p w14:paraId="2414C5C9" w14:textId="1C8472A8" w:rsidR="00955AD5" w:rsidRPr="00310D26" w:rsidRDefault="00955AD5" w:rsidP="00955AD5">
      <w:pPr>
        <w:pStyle w:val="DecisionParagraphs"/>
        <w:keepNext/>
        <w:keepLines/>
        <w:rPr>
          <w:lang w:val="es-ES"/>
        </w:rPr>
      </w:pPr>
      <w:r w:rsidRPr="00310D26">
        <w:rPr>
          <w:lang w:val="es-ES"/>
        </w:rPr>
        <w:fldChar w:fldCharType="begin"/>
      </w:r>
      <w:r w:rsidRPr="00310D26">
        <w:rPr>
          <w:lang w:val="es-ES"/>
        </w:rPr>
        <w:instrText xml:space="preserve"> AUTONUM  </w:instrText>
      </w:r>
      <w:r w:rsidRPr="00310D26">
        <w:rPr>
          <w:lang w:val="es-ES"/>
        </w:rPr>
        <w:fldChar w:fldCharType="end"/>
      </w:r>
      <w:r w:rsidRPr="00310D26">
        <w:rPr>
          <w:lang w:val="es-ES"/>
        </w:rPr>
        <w:tab/>
      </w:r>
      <w:r w:rsidR="00C30B4B" w:rsidRPr="00310D26">
        <w:rPr>
          <w:lang w:val="es-ES"/>
        </w:rPr>
        <w:t>Se invita al CAJ a</w:t>
      </w:r>
      <w:r w:rsidRPr="00310D26">
        <w:rPr>
          <w:lang w:val="es-ES"/>
        </w:rPr>
        <w:t>:</w:t>
      </w:r>
    </w:p>
    <w:p w14:paraId="4BF48044" w14:textId="77777777" w:rsidR="00955AD5" w:rsidRPr="00310D26" w:rsidRDefault="00955AD5" w:rsidP="00955AD5">
      <w:pPr>
        <w:pStyle w:val="DecisionParagraphs"/>
        <w:keepNext/>
        <w:keepLines/>
        <w:rPr>
          <w:lang w:val="es-ES"/>
        </w:rPr>
      </w:pPr>
    </w:p>
    <w:p w14:paraId="7DE99F25" w14:textId="4E662D5D" w:rsidR="00955AD5" w:rsidRPr="00310D26" w:rsidRDefault="00955AD5" w:rsidP="00955AD5">
      <w:pPr>
        <w:pStyle w:val="DecisionParagraphs"/>
        <w:keepNext/>
        <w:keepLines/>
        <w:rPr>
          <w:lang w:val="es-ES"/>
        </w:rPr>
      </w:pPr>
      <w:r w:rsidRPr="00310D26">
        <w:rPr>
          <w:lang w:val="es-ES"/>
        </w:rPr>
        <w:tab/>
        <w:t>a)</w:t>
      </w:r>
      <w:r w:rsidRPr="00310D26">
        <w:rPr>
          <w:lang w:val="es-ES"/>
        </w:rPr>
        <w:tab/>
      </w:r>
      <w:r w:rsidR="00C30B4B" w:rsidRPr="00310D26">
        <w:rPr>
          <w:lang w:val="es-ES"/>
        </w:rPr>
        <w:t>examinar el documento</w:t>
      </w:r>
      <w:r w:rsidRPr="00310D26">
        <w:rPr>
          <w:lang w:val="es-ES"/>
        </w:rPr>
        <w:t xml:space="preserve"> </w:t>
      </w:r>
      <w:proofErr w:type="spellStart"/>
      <w:r w:rsidRPr="00310D26">
        <w:rPr>
          <w:lang w:val="es-ES"/>
        </w:rPr>
        <w:t>TGP</w:t>
      </w:r>
      <w:proofErr w:type="spellEnd"/>
      <w:r w:rsidRPr="00310D26">
        <w:rPr>
          <w:lang w:val="es-ES"/>
        </w:rPr>
        <w:t>/5:</w:t>
      </w:r>
      <w:r w:rsidR="00C05526">
        <w:rPr>
          <w:lang w:val="es-ES"/>
        </w:rPr>
        <w:t xml:space="preserve"> </w:t>
      </w:r>
      <w:proofErr w:type="spellStart"/>
      <w:r w:rsidRPr="00310D26">
        <w:rPr>
          <w:lang w:val="es-ES"/>
        </w:rPr>
        <w:t>Section</w:t>
      </w:r>
      <w:proofErr w:type="spellEnd"/>
      <w:r w:rsidRPr="00310D26">
        <w:rPr>
          <w:lang w:val="es-ES"/>
        </w:rPr>
        <w:t> 6/3</w:t>
      </w:r>
      <w:r w:rsidR="00C30B4B" w:rsidRPr="00310D26">
        <w:rPr>
          <w:lang w:val="es-ES"/>
        </w:rPr>
        <w:t>: “</w:t>
      </w:r>
      <w:proofErr w:type="spellStart"/>
      <w:r w:rsidR="00C30B4B" w:rsidRPr="00310D26">
        <w:rPr>
          <w:lang w:val="es-ES"/>
        </w:rPr>
        <w:t>TGP</w:t>
      </w:r>
      <w:proofErr w:type="spellEnd"/>
      <w:r w:rsidR="00C30B4B" w:rsidRPr="00310D26">
        <w:rPr>
          <w:lang w:val="es-ES"/>
        </w:rPr>
        <w:t xml:space="preserve"> 5: Experiencia y cooperación en el examen DHE, sección 6: Informe de la UPOV sobre el examen técnico y formulario UPOV para la descripción de variedades”</w:t>
      </w:r>
      <w:r w:rsidRPr="00310D26">
        <w:rPr>
          <w:lang w:val="es-ES"/>
        </w:rPr>
        <w:t xml:space="preserve">, </w:t>
      </w:r>
      <w:r w:rsidR="00743F9C" w:rsidRPr="00310D26">
        <w:rPr>
          <w:lang w:val="es-ES"/>
        </w:rPr>
        <w:t>sobre la base del documento</w:t>
      </w:r>
      <w:r w:rsidRPr="00310D26">
        <w:rPr>
          <w:lang w:val="es-ES"/>
        </w:rPr>
        <w:t> </w:t>
      </w:r>
      <w:proofErr w:type="spellStart"/>
      <w:r w:rsidRPr="00310D26">
        <w:rPr>
          <w:spacing w:val="-2"/>
          <w:lang w:val="es-ES"/>
        </w:rPr>
        <w:t>TGP</w:t>
      </w:r>
      <w:proofErr w:type="spellEnd"/>
      <w:r w:rsidRPr="00310D26">
        <w:rPr>
          <w:spacing w:val="-2"/>
          <w:lang w:val="es-ES"/>
        </w:rPr>
        <w:t>/5:</w:t>
      </w:r>
      <w:r w:rsidR="00C05526">
        <w:rPr>
          <w:spacing w:val="-2"/>
          <w:lang w:val="es-ES"/>
        </w:rPr>
        <w:t xml:space="preserve"> </w:t>
      </w:r>
      <w:proofErr w:type="spellStart"/>
      <w:r w:rsidRPr="00310D26">
        <w:rPr>
          <w:spacing w:val="-2"/>
          <w:lang w:val="es-ES"/>
        </w:rPr>
        <w:t>Section</w:t>
      </w:r>
      <w:proofErr w:type="spellEnd"/>
      <w:r w:rsidRPr="00310D26">
        <w:rPr>
          <w:spacing w:val="-2"/>
          <w:lang w:val="es-ES"/>
        </w:rPr>
        <w:t> 6/3 </w:t>
      </w:r>
      <w:proofErr w:type="spellStart"/>
      <w:r w:rsidRPr="00310D26">
        <w:rPr>
          <w:spacing w:val="-2"/>
          <w:lang w:val="es-ES"/>
        </w:rPr>
        <w:t>Draft</w:t>
      </w:r>
      <w:proofErr w:type="spellEnd"/>
      <w:r w:rsidRPr="00310D26">
        <w:rPr>
          <w:spacing w:val="-2"/>
          <w:lang w:val="es-ES"/>
        </w:rPr>
        <w:t> 1;</w:t>
      </w:r>
      <w:r w:rsidRPr="00310D26">
        <w:rPr>
          <w:lang w:val="es-ES"/>
        </w:rPr>
        <w:t xml:space="preserve"> </w:t>
      </w:r>
      <w:r w:rsidR="00C30B4B" w:rsidRPr="00310D26">
        <w:rPr>
          <w:lang w:val="es-ES"/>
        </w:rPr>
        <w:t>y</w:t>
      </w:r>
    </w:p>
    <w:p w14:paraId="068B449B" w14:textId="77777777" w:rsidR="00955AD5" w:rsidRPr="00310D26" w:rsidRDefault="00955AD5" w:rsidP="00955AD5"/>
    <w:p w14:paraId="27D3B305" w14:textId="7FC3334D" w:rsidR="00955AD5" w:rsidRPr="00310D26" w:rsidRDefault="00955AD5" w:rsidP="00955AD5">
      <w:pPr>
        <w:pStyle w:val="DecisionParagraphs"/>
        <w:keepLines/>
        <w:rPr>
          <w:lang w:val="es-ES"/>
        </w:rPr>
      </w:pPr>
      <w:r w:rsidRPr="00310D26">
        <w:rPr>
          <w:lang w:val="es-ES"/>
        </w:rPr>
        <w:tab/>
        <w:t>b)</w:t>
      </w:r>
      <w:r w:rsidRPr="00310D26">
        <w:rPr>
          <w:lang w:val="es-ES"/>
        </w:rPr>
        <w:tab/>
      </w:r>
      <w:r w:rsidR="00567357" w:rsidRPr="00310D26">
        <w:rPr>
          <w:lang w:val="es-ES"/>
        </w:rPr>
        <w:t xml:space="preserve">tomar nota de que, </w:t>
      </w:r>
      <w:r w:rsidR="00CE30EE" w:rsidRPr="00310D26">
        <w:rPr>
          <w:lang w:val="es-ES"/>
        </w:rPr>
        <w:t xml:space="preserve">a reserva del </w:t>
      </w:r>
      <w:r w:rsidR="00567357" w:rsidRPr="00310D26">
        <w:rPr>
          <w:lang w:val="es-ES"/>
        </w:rPr>
        <w:t xml:space="preserve">acuerdo </w:t>
      </w:r>
      <w:r w:rsidR="00562DEE" w:rsidRPr="00310D26">
        <w:rPr>
          <w:lang w:val="es-ES"/>
        </w:rPr>
        <w:t>d</w:t>
      </w:r>
      <w:r w:rsidR="00567357" w:rsidRPr="00310D26">
        <w:rPr>
          <w:lang w:val="es-ES"/>
        </w:rPr>
        <w:t xml:space="preserve">el CAJ, </w:t>
      </w:r>
      <w:r w:rsidR="00C30B4B" w:rsidRPr="00310D26">
        <w:rPr>
          <w:lang w:val="es-ES"/>
        </w:rPr>
        <w:t xml:space="preserve">en 2020 se someterá </w:t>
      </w:r>
      <w:r w:rsidR="00567357" w:rsidRPr="00310D26">
        <w:rPr>
          <w:lang w:val="es-ES"/>
        </w:rPr>
        <w:t>al Consejo</w:t>
      </w:r>
      <w:r w:rsidR="00C30B4B" w:rsidRPr="00310D26">
        <w:rPr>
          <w:lang w:val="es-ES"/>
        </w:rPr>
        <w:t>, para que considere su aprobación,</w:t>
      </w:r>
      <w:r w:rsidR="00567357" w:rsidRPr="00310D26">
        <w:rPr>
          <w:lang w:val="es-ES"/>
        </w:rPr>
        <w:t xml:space="preserve"> un proyecto de documento</w:t>
      </w:r>
      <w:r w:rsidR="00562DEE" w:rsidRPr="00310D26">
        <w:rPr>
          <w:lang w:val="es-ES"/>
        </w:rPr>
        <w:t xml:space="preserve"> </w:t>
      </w:r>
      <w:proofErr w:type="spellStart"/>
      <w:r w:rsidRPr="00310D26">
        <w:rPr>
          <w:lang w:val="es-ES"/>
        </w:rPr>
        <w:t>TGP</w:t>
      </w:r>
      <w:proofErr w:type="spellEnd"/>
      <w:r w:rsidRPr="00310D26">
        <w:rPr>
          <w:lang w:val="es-ES"/>
        </w:rPr>
        <w:t>/5:</w:t>
      </w:r>
      <w:r w:rsidR="00C05526">
        <w:rPr>
          <w:lang w:val="es-ES"/>
        </w:rPr>
        <w:t xml:space="preserve"> </w:t>
      </w:r>
      <w:proofErr w:type="spellStart"/>
      <w:r w:rsidRPr="00310D26">
        <w:rPr>
          <w:lang w:val="es-ES"/>
        </w:rPr>
        <w:t>Section</w:t>
      </w:r>
      <w:proofErr w:type="spellEnd"/>
      <w:r w:rsidRPr="00310D26">
        <w:rPr>
          <w:lang w:val="es-ES"/>
        </w:rPr>
        <w:t> 6/3</w:t>
      </w:r>
      <w:r w:rsidRPr="00310D26">
        <w:rPr>
          <w:rFonts w:eastAsia="MS Mincho"/>
          <w:spacing w:val="-2"/>
          <w:lang w:val="es-ES" w:eastAsia="ja-JP"/>
        </w:rPr>
        <w:t xml:space="preserve">. </w:t>
      </w:r>
    </w:p>
    <w:p w14:paraId="7F878FF1" w14:textId="77777777" w:rsidR="00955AD5" w:rsidRPr="00310D26" w:rsidRDefault="00955AD5" w:rsidP="00955AD5"/>
    <w:p w14:paraId="0EAA1B8C" w14:textId="6A1D2E19" w:rsidR="00955AD5" w:rsidRPr="00310D26" w:rsidRDefault="00C30B4B" w:rsidP="004F2167">
      <w:pPr>
        <w:pStyle w:val="Heading3"/>
      </w:pPr>
      <w:bookmarkStart w:id="34" w:name="_Toc52802618"/>
      <w:r w:rsidRPr="00310D26">
        <w:t>Revisión del documento</w:t>
      </w:r>
      <w:r w:rsidR="00955AD5" w:rsidRPr="00310D26">
        <w:t xml:space="preserve"> TGP/7</w:t>
      </w:r>
      <w:r w:rsidRPr="00310D26">
        <w:t xml:space="preserve">: </w:t>
      </w:r>
      <w:r w:rsidR="00955AD5" w:rsidRPr="00310D26">
        <w:t>“</w:t>
      </w:r>
      <w:r w:rsidRPr="00310D26">
        <w:t>Elaboración de las directrices de examen</w:t>
      </w:r>
      <w:r w:rsidR="00955AD5" w:rsidRPr="00310D26">
        <w:t>” (document</w:t>
      </w:r>
      <w:r w:rsidRPr="00310D26">
        <w:t>o</w:t>
      </w:r>
      <w:r w:rsidR="00955AD5" w:rsidRPr="00310D26">
        <w:t> </w:t>
      </w:r>
      <w:proofErr w:type="spellStart"/>
      <w:r w:rsidR="00955AD5" w:rsidRPr="00310D26">
        <w:t>TGP</w:t>
      </w:r>
      <w:proofErr w:type="spellEnd"/>
      <w:r w:rsidR="00955AD5" w:rsidRPr="00310D26">
        <w:t>/7/8 </w:t>
      </w:r>
      <w:proofErr w:type="spellStart"/>
      <w:r w:rsidR="00955AD5" w:rsidRPr="00310D26">
        <w:t>Draft</w:t>
      </w:r>
      <w:proofErr w:type="spellEnd"/>
      <w:r w:rsidR="00955AD5" w:rsidRPr="00310D26">
        <w:t> 1)</w:t>
      </w:r>
      <w:bookmarkEnd w:id="34"/>
    </w:p>
    <w:p w14:paraId="2EEF7B3D" w14:textId="77777777" w:rsidR="00955AD5" w:rsidRPr="00310D26" w:rsidRDefault="00955AD5" w:rsidP="00955AD5">
      <w:pPr>
        <w:keepNext/>
      </w:pPr>
    </w:p>
    <w:p w14:paraId="3457A189" w14:textId="612924A5" w:rsidR="00955AD5" w:rsidRPr="00310D26" w:rsidRDefault="00955AD5" w:rsidP="00955AD5">
      <w:pPr>
        <w:keepNext/>
        <w:rPr>
          <w:highlight w:val="lightGray"/>
        </w:rPr>
      </w:pPr>
      <w:r w:rsidRPr="00310D26">
        <w:fldChar w:fldCharType="begin"/>
      </w:r>
      <w:r w:rsidRPr="00310D26">
        <w:instrText xml:space="preserve"> AUTONUM  </w:instrText>
      </w:r>
      <w:r w:rsidRPr="00310D26">
        <w:fldChar w:fldCharType="end"/>
      </w:r>
      <w:r w:rsidRPr="00310D26">
        <w:tab/>
      </w:r>
      <w:r w:rsidR="00C30B4B" w:rsidRPr="00310D26">
        <w:t>En su quincuagésima quinta sesión</w:t>
      </w:r>
      <w:r w:rsidR="0024487F" w:rsidRPr="0024487F">
        <w:rPr>
          <w:vertAlign w:val="superscript"/>
        </w:rPr>
        <w:fldChar w:fldCharType="begin"/>
      </w:r>
      <w:r w:rsidR="0024487F" w:rsidRPr="0024487F">
        <w:rPr>
          <w:vertAlign w:val="superscript"/>
        </w:rPr>
        <w:instrText xml:space="preserve"> NOTEREF _Ref48824131 \h </w:instrText>
      </w:r>
      <w:r w:rsidR="0024487F">
        <w:rPr>
          <w:vertAlign w:val="superscript"/>
        </w:rPr>
        <w:instrText xml:space="preserve"> \* MERGEFORMAT </w:instrText>
      </w:r>
      <w:r w:rsidR="0024487F" w:rsidRPr="0024487F">
        <w:rPr>
          <w:vertAlign w:val="superscript"/>
        </w:rPr>
      </w:r>
      <w:r w:rsidR="0024487F" w:rsidRPr="0024487F">
        <w:rPr>
          <w:vertAlign w:val="superscript"/>
        </w:rPr>
        <w:fldChar w:fldCharType="separate"/>
      </w:r>
      <w:r w:rsidR="00024BFE">
        <w:rPr>
          <w:vertAlign w:val="superscript"/>
        </w:rPr>
        <w:t>2</w:t>
      </w:r>
      <w:r w:rsidR="0024487F" w:rsidRPr="0024487F">
        <w:rPr>
          <w:vertAlign w:val="superscript"/>
        </w:rPr>
        <w:fldChar w:fldCharType="end"/>
      </w:r>
      <w:r w:rsidR="00C30B4B" w:rsidRPr="00310D26">
        <w:t>,</w:t>
      </w:r>
      <w:r w:rsidRPr="00310D26">
        <w:t xml:space="preserve"> </w:t>
      </w:r>
      <w:r w:rsidR="00C30B4B" w:rsidRPr="00310D26">
        <w:t xml:space="preserve">el TC acordó modificar la orientación que se ofrece en la nota orientativa 18 (GN 18) del documento TGP/7, a fin de permitir la exclusión de un carácter de la observación sobre la base del nivel de expresión de un carácter </w:t>
      </w:r>
      <w:proofErr w:type="spellStart"/>
      <w:r w:rsidR="00C30B4B" w:rsidRPr="00310D26">
        <w:t>pseudocualitativo</w:t>
      </w:r>
      <w:proofErr w:type="spellEnd"/>
      <w:r w:rsidR="00C30B4B" w:rsidRPr="00310D26">
        <w:t xml:space="preserve"> o cuantitativo anterior, expuesta en el Anexo </w:t>
      </w:r>
      <w:r w:rsidRPr="00310D26">
        <w:t>III</w:t>
      </w:r>
      <w:r w:rsidR="00C30B4B" w:rsidRPr="00310D26">
        <w:t xml:space="preserve"> del presente documento</w:t>
      </w:r>
      <w:r w:rsidRPr="00310D26">
        <w:t xml:space="preserve">. </w:t>
      </w:r>
    </w:p>
    <w:p w14:paraId="20DCDE76" w14:textId="77777777" w:rsidR="00955AD5" w:rsidRPr="00310D26" w:rsidRDefault="00955AD5" w:rsidP="00955AD5">
      <w:pPr>
        <w:rPr>
          <w:highlight w:val="lightGray"/>
        </w:rPr>
      </w:pPr>
    </w:p>
    <w:p w14:paraId="544F189A" w14:textId="0F3EB5B9" w:rsidR="00955AD5" w:rsidRPr="00310D26" w:rsidRDefault="00955AD5" w:rsidP="00955AD5">
      <w:r w:rsidRPr="00310D26">
        <w:fldChar w:fldCharType="begin"/>
      </w:r>
      <w:r w:rsidRPr="00310D26">
        <w:instrText xml:space="preserve"> AUTONUM  </w:instrText>
      </w:r>
      <w:r w:rsidRPr="00310D26">
        <w:fldChar w:fldCharType="end"/>
      </w:r>
      <w:r w:rsidRPr="00310D26">
        <w:tab/>
      </w:r>
      <w:r w:rsidR="0083442D" w:rsidRPr="00310D26">
        <w:t>El TC convino en revisar el documento TGP/7 para que en las directrices de examen se presenten todos los niveles de expresión de los caracteres cuantitativos</w:t>
      </w:r>
      <w:r w:rsidRPr="00310D26">
        <w:t>.</w:t>
      </w:r>
      <w:r w:rsidR="00C05526">
        <w:t xml:space="preserve"> </w:t>
      </w:r>
    </w:p>
    <w:p w14:paraId="796FAD93" w14:textId="77777777" w:rsidR="00955AD5" w:rsidRPr="00310D26" w:rsidRDefault="00955AD5" w:rsidP="00955AD5">
      <w:pPr>
        <w:rPr>
          <w:spacing w:val="-2"/>
        </w:rPr>
      </w:pPr>
    </w:p>
    <w:p w14:paraId="4C62D43E" w14:textId="2C624308" w:rsidR="00955AD5" w:rsidRPr="00310D26" w:rsidRDefault="00955AD5" w:rsidP="00955AD5">
      <w:pPr>
        <w:rPr>
          <w:bCs/>
          <w:snapToGrid w:val="0"/>
          <w:szCs w:val="24"/>
          <w:highlight w:val="lightGray"/>
        </w:rPr>
      </w:pPr>
      <w:r w:rsidRPr="00310D26">
        <w:rPr>
          <w:spacing w:val="-2"/>
        </w:rPr>
        <w:fldChar w:fldCharType="begin"/>
      </w:r>
      <w:r w:rsidRPr="00310D26">
        <w:rPr>
          <w:spacing w:val="-2"/>
        </w:rPr>
        <w:instrText xml:space="preserve"> AUTONUM  </w:instrText>
      </w:r>
      <w:r w:rsidRPr="00310D26">
        <w:rPr>
          <w:spacing w:val="-2"/>
        </w:rPr>
        <w:fldChar w:fldCharType="end"/>
      </w:r>
      <w:r w:rsidRPr="00310D26">
        <w:rPr>
          <w:spacing w:val="-2"/>
        </w:rPr>
        <w:tab/>
      </w:r>
      <w:r w:rsidR="0083442D" w:rsidRPr="00310D26">
        <w:t xml:space="preserve">Los respectivos miembros del Comité de Redacción revisaron las traducciones al alemán, español y francés del texto original en inglés antes de que el proyecto de documento TGP/7/8 se presentara al Consejo. El documento </w:t>
      </w:r>
      <w:proofErr w:type="spellStart"/>
      <w:r w:rsidR="0083442D" w:rsidRPr="00310D26">
        <w:t>TGP</w:t>
      </w:r>
      <w:proofErr w:type="spellEnd"/>
      <w:r w:rsidR="0083442D" w:rsidRPr="00310D26">
        <w:t>/7/8 </w:t>
      </w:r>
      <w:proofErr w:type="spellStart"/>
      <w:r w:rsidR="0083442D" w:rsidRPr="00310D26">
        <w:t>Draft</w:t>
      </w:r>
      <w:proofErr w:type="spellEnd"/>
      <w:r w:rsidR="0083442D" w:rsidRPr="00310D26">
        <w:t> 1 incorpora las enmiendas acordadas por el TC, expuestas en el Anexo III del presente documento (con marcas de revisión), y los cambios lingüísticos efectuados por los respectivos miembros del Comité de Redacción.</w:t>
      </w:r>
    </w:p>
    <w:p w14:paraId="06752179" w14:textId="77777777" w:rsidR="00955AD5" w:rsidRPr="00310D26" w:rsidRDefault="00955AD5" w:rsidP="00955AD5">
      <w:pPr>
        <w:rPr>
          <w:highlight w:val="lightGray"/>
        </w:rPr>
      </w:pPr>
    </w:p>
    <w:p w14:paraId="1EBA17AA" w14:textId="728BBA6C" w:rsidR="00492AA3" w:rsidRDefault="00955AD5" w:rsidP="00492AA3">
      <w:r w:rsidRPr="00310D26">
        <w:rPr>
          <w:spacing w:val="-2"/>
        </w:rPr>
        <w:fldChar w:fldCharType="begin"/>
      </w:r>
      <w:r w:rsidRPr="00310D26">
        <w:rPr>
          <w:spacing w:val="-2"/>
        </w:rPr>
        <w:instrText xml:space="preserve"> AUTONUM  </w:instrText>
      </w:r>
      <w:r w:rsidRPr="00310D26">
        <w:rPr>
          <w:spacing w:val="-2"/>
        </w:rPr>
        <w:fldChar w:fldCharType="end"/>
      </w:r>
      <w:r w:rsidRPr="00310D26">
        <w:rPr>
          <w:spacing w:val="-2"/>
        </w:rPr>
        <w:tab/>
      </w:r>
      <w:r w:rsidR="0083442D" w:rsidRPr="00310D26">
        <w:t>A reserva de que el CAJ acuerde un proyecto del documento TGP/7/8, sobre la base del documento </w:t>
      </w:r>
      <w:proofErr w:type="spellStart"/>
      <w:r w:rsidR="0083442D" w:rsidRPr="00310D26">
        <w:t>TGP</w:t>
      </w:r>
      <w:proofErr w:type="spellEnd"/>
      <w:r w:rsidR="0083442D" w:rsidRPr="00310D26">
        <w:t>/7/8 </w:t>
      </w:r>
      <w:proofErr w:type="spellStart"/>
      <w:r w:rsidR="0083442D" w:rsidRPr="00310D26">
        <w:t>Draft</w:t>
      </w:r>
      <w:proofErr w:type="spellEnd"/>
      <w:r w:rsidR="0083442D" w:rsidRPr="00310D26">
        <w:t> 1, en 2020 se someterá al Consejo, para que considere su aprobación, un proyecto acordado del documento TGP/7/8 “Elaboración de las directrices de examen”.</w:t>
      </w:r>
      <w:r w:rsidR="00492AA3">
        <w:t xml:space="preserve"> </w:t>
      </w:r>
      <w:r w:rsidR="00492AA3">
        <w:br w:type="page"/>
      </w:r>
    </w:p>
    <w:p w14:paraId="6F39DAC2" w14:textId="26931D66" w:rsidR="00955AD5" w:rsidRPr="00310D26" w:rsidRDefault="00955AD5" w:rsidP="00C05526">
      <w:pPr>
        <w:pStyle w:val="DecisionParagraphs"/>
        <w:keepNext/>
        <w:keepLines/>
        <w:rPr>
          <w:lang w:val="es-ES"/>
        </w:rPr>
      </w:pPr>
      <w:r w:rsidRPr="00310D26">
        <w:rPr>
          <w:lang w:val="es-ES"/>
        </w:rPr>
        <w:lastRenderedPageBreak/>
        <w:fldChar w:fldCharType="begin"/>
      </w:r>
      <w:r w:rsidRPr="00310D26">
        <w:rPr>
          <w:lang w:val="es-ES"/>
        </w:rPr>
        <w:instrText xml:space="preserve"> AUTONUM  </w:instrText>
      </w:r>
      <w:r w:rsidRPr="00310D26">
        <w:rPr>
          <w:lang w:val="es-ES"/>
        </w:rPr>
        <w:fldChar w:fldCharType="end"/>
      </w:r>
      <w:r w:rsidRPr="00310D26">
        <w:rPr>
          <w:lang w:val="es-ES"/>
        </w:rPr>
        <w:tab/>
      </w:r>
      <w:r w:rsidR="0083442D" w:rsidRPr="00310D26">
        <w:rPr>
          <w:lang w:val="es-ES"/>
        </w:rPr>
        <w:t xml:space="preserve">Se invita al </w:t>
      </w:r>
      <w:proofErr w:type="spellStart"/>
      <w:r w:rsidR="0083442D" w:rsidRPr="00310D26">
        <w:rPr>
          <w:lang w:val="es-ES"/>
        </w:rPr>
        <w:t>CAJ</w:t>
      </w:r>
      <w:proofErr w:type="spellEnd"/>
      <w:r w:rsidR="0083442D" w:rsidRPr="00310D26">
        <w:rPr>
          <w:lang w:val="es-ES"/>
        </w:rPr>
        <w:t xml:space="preserve"> a:</w:t>
      </w:r>
    </w:p>
    <w:p w14:paraId="198A47AE" w14:textId="77777777" w:rsidR="00955AD5" w:rsidRPr="00310D26" w:rsidRDefault="00955AD5" w:rsidP="00C05526">
      <w:pPr>
        <w:pStyle w:val="DecisionParagraphs"/>
        <w:keepNext/>
        <w:keepLines/>
        <w:rPr>
          <w:lang w:val="es-ES"/>
        </w:rPr>
      </w:pPr>
    </w:p>
    <w:p w14:paraId="68EC93C8" w14:textId="48398AB4" w:rsidR="00955AD5" w:rsidRPr="00310D26" w:rsidRDefault="00955AD5" w:rsidP="00955AD5">
      <w:pPr>
        <w:pStyle w:val="DecisionParagraphs"/>
        <w:keepLines/>
        <w:rPr>
          <w:lang w:val="es-ES"/>
        </w:rPr>
      </w:pPr>
      <w:r w:rsidRPr="00310D26">
        <w:rPr>
          <w:lang w:val="es-ES"/>
        </w:rPr>
        <w:tab/>
        <w:t>a)</w:t>
      </w:r>
      <w:r w:rsidRPr="00310D26">
        <w:rPr>
          <w:lang w:val="es-ES"/>
        </w:rPr>
        <w:tab/>
      </w:r>
      <w:r w:rsidR="007D1246" w:rsidRPr="00310D26">
        <w:rPr>
          <w:lang w:val="es-ES"/>
        </w:rPr>
        <w:t>examinar el documento</w:t>
      </w:r>
      <w:r w:rsidRPr="00310D26">
        <w:rPr>
          <w:lang w:val="es-ES"/>
        </w:rPr>
        <w:t xml:space="preserve"> </w:t>
      </w:r>
      <w:r w:rsidRPr="00310D26">
        <w:rPr>
          <w:spacing w:val="-2"/>
          <w:lang w:val="es-ES"/>
        </w:rPr>
        <w:t xml:space="preserve">TGP/7/8 </w:t>
      </w:r>
      <w:r w:rsidRPr="00310D26">
        <w:rPr>
          <w:lang w:val="es-ES"/>
        </w:rPr>
        <w:t>“</w:t>
      </w:r>
      <w:r w:rsidR="007D1246" w:rsidRPr="00310D26">
        <w:rPr>
          <w:lang w:val="es-ES"/>
        </w:rPr>
        <w:t>Elaboración de las directrices de examen</w:t>
      </w:r>
      <w:r w:rsidRPr="00310D26">
        <w:rPr>
          <w:lang w:val="es-ES"/>
        </w:rPr>
        <w:t xml:space="preserve">”, </w:t>
      </w:r>
      <w:r w:rsidR="00743F9C" w:rsidRPr="00310D26">
        <w:rPr>
          <w:lang w:val="es-ES"/>
        </w:rPr>
        <w:t>sobre la base del documento</w:t>
      </w:r>
      <w:r w:rsidRPr="00310D26">
        <w:rPr>
          <w:lang w:val="es-ES"/>
        </w:rPr>
        <w:t> </w:t>
      </w:r>
      <w:proofErr w:type="spellStart"/>
      <w:r w:rsidRPr="00310D26">
        <w:rPr>
          <w:spacing w:val="-2"/>
          <w:lang w:val="es-ES"/>
        </w:rPr>
        <w:t>TGP</w:t>
      </w:r>
      <w:proofErr w:type="spellEnd"/>
      <w:r w:rsidRPr="00310D26">
        <w:rPr>
          <w:spacing w:val="-2"/>
          <w:lang w:val="es-ES"/>
        </w:rPr>
        <w:t>/7/8 </w:t>
      </w:r>
      <w:proofErr w:type="spellStart"/>
      <w:r w:rsidRPr="00310D26">
        <w:rPr>
          <w:spacing w:val="-2"/>
          <w:lang w:val="es-ES"/>
        </w:rPr>
        <w:t>Draft</w:t>
      </w:r>
      <w:proofErr w:type="spellEnd"/>
      <w:r w:rsidRPr="00310D26">
        <w:rPr>
          <w:spacing w:val="-2"/>
          <w:lang w:val="es-ES"/>
        </w:rPr>
        <w:t> 1;</w:t>
      </w:r>
      <w:r w:rsidRPr="00310D26">
        <w:rPr>
          <w:lang w:val="es-ES"/>
        </w:rPr>
        <w:t xml:space="preserve"> </w:t>
      </w:r>
      <w:r w:rsidR="007D1246" w:rsidRPr="00310D26">
        <w:rPr>
          <w:lang w:val="es-ES"/>
        </w:rPr>
        <w:t>y</w:t>
      </w:r>
    </w:p>
    <w:p w14:paraId="56EE5AFD" w14:textId="77777777" w:rsidR="00955AD5" w:rsidRPr="00310D26" w:rsidRDefault="00955AD5" w:rsidP="00955AD5"/>
    <w:p w14:paraId="11257501" w14:textId="078DF593" w:rsidR="00955AD5" w:rsidRPr="00310D26" w:rsidRDefault="00955AD5" w:rsidP="00955AD5">
      <w:pPr>
        <w:pStyle w:val="DecisionParagraphs"/>
        <w:keepLines/>
        <w:rPr>
          <w:lang w:val="es-ES"/>
        </w:rPr>
      </w:pPr>
      <w:r w:rsidRPr="00310D26">
        <w:rPr>
          <w:lang w:val="es-ES"/>
        </w:rPr>
        <w:tab/>
        <w:t>b)</w:t>
      </w:r>
      <w:r w:rsidRPr="00310D26">
        <w:rPr>
          <w:lang w:val="es-ES"/>
        </w:rPr>
        <w:tab/>
      </w:r>
      <w:r w:rsidR="00567357" w:rsidRPr="00310D26">
        <w:rPr>
          <w:lang w:val="es-ES"/>
        </w:rPr>
        <w:t xml:space="preserve">tomar nota de que, </w:t>
      </w:r>
      <w:r w:rsidR="00CE30EE" w:rsidRPr="00310D26">
        <w:rPr>
          <w:lang w:val="es-ES"/>
        </w:rPr>
        <w:t>a reserva del</w:t>
      </w:r>
      <w:r w:rsidR="00567357" w:rsidRPr="00310D26">
        <w:rPr>
          <w:lang w:val="es-ES"/>
        </w:rPr>
        <w:t xml:space="preserve"> acuerdo </w:t>
      </w:r>
      <w:r w:rsidR="00562DEE" w:rsidRPr="00310D26">
        <w:rPr>
          <w:lang w:val="es-ES"/>
        </w:rPr>
        <w:t>del</w:t>
      </w:r>
      <w:r w:rsidR="00567357" w:rsidRPr="00310D26">
        <w:rPr>
          <w:lang w:val="es-ES"/>
        </w:rPr>
        <w:t xml:space="preserve"> CAJ, </w:t>
      </w:r>
      <w:r w:rsidR="007D1246" w:rsidRPr="00310D26">
        <w:rPr>
          <w:lang w:val="es-ES"/>
        </w:rPr>
        <w:t xml:space="preserve">en 2020 se someterá al </w:t>
      </w:r>
      <w:r w:rsidR="00567357" w:rsidRPr="00310D26">
        <w:rPr>
          <w:lang w:val="es-ES"/>
        </w:rPr>
        <w:t>Consejo</w:t>
      </w:r>
      <w:r w:rsidR="007D1246" w:rsidRPr="00310D26">
        <w:rPr>
          <w:lang w:val="es-ES"/>
        </w:rPr>
        <w:t>, para</w:t>
      </w:r>
      <w:r w:rsidR="00562DEE" w:rsidRPr="00310D26">
        <w:rPr>
          <w:lang w:val="es-ES"/>
        </w:rPr>
        <w:t xml:space="preserve"> que considere</w:t>
      </w:r>
      <w:r w:rsidR="007D1246" w:rsidRPr="00310D26">
        <w:rPr>
          <w:lang w:val="es-ES"/>
        </w:rPr>
        <w:t xml:space="preserve"> su aprobación,</w:t>
      </w:r>
      <w:r w:rsidR="00567357" w:rsidRPr="00310D26">
        <w:rPr>
          <w:lang w:val="es-ES"/>
        </w:rPr>
        <w:t xml:space="preserve"> un proyecto de documento</w:t>
      </w:r>
      <w:r w:rsidR="007D1246" w:rsidRPr="00310D26">
        <w:rPr>
          <w:lang w:val="es-ES"/>
        </w:rPr>
        <w:t xml:space="preserve"> </w:t>
      </w:r>
      <w:r w:rsidRPr="00310D26">
        <w:rPr>
          <w:spacing w:val="-2"/>
          <w:lang w:val="es-ES"/>
        </w:rPr>
        <w:t>TGP/7/8</w:t>
      </w:r>
      <w:r w:rsidR="007D1246" w:rsidRPr="00310D26">
        <w:rPr>
          <w:spacing w:val="-2"/>
          <w:lang w:val="es-ES"/>
        </w:rPr>
        <w:t>.</w:t>
      </w:r>
    </w:p>
    <w:p w14:paraId="650659B7" w14:textId="77777777" w:rsidR="00955AD5" w:rsidRPr="00310D26" w:rsidRDefault="00955AD5" w:rsidP="00955AD5"/>
    <w:p w14:paraId="3FAC9DB8" w14:textId="59588C89" w:rsidR="00955AD5" w:rsidRPr="00310D26" w:rsidRDefault="00432363" w:rsidP="004F2167">
      <w:pPr>
        <w:pStyle w:val="Heading3"/>
      </w:pPr>
      <w:bookmarkStart w:id="35" w:name="_Toc52802619"/>
      <w:r w:rsidRPr="00310D26">
        <w:t>Revisión del documento</w:t>
      </w:r>
      <w:r w:rsidR="00955AD5" w:rsidRPr="00310D26">
        <w:t xml:space="preserve"> TGP/14 “</w:t>
      </w:r>
      <w:r w:rsidRPr="00310D26">
        <w:t>Glosario de términos utilizados en los documentos de la UPOV</w:t>
      </w:r>
      <w:r w:rsidR="00CD1A1D" w:rsidRPr="00310D26">
        <w:t>”</w:t>
      </w:r>
      <w:r w:rsidRPr="00310D26">
        <w:t xml:space="preserve"> </w:t>
      </w:r>
      <w:r w:rsidR="00955AD5" w:rsidRPr="00310D26">
        <w:t>(document</w:t>
      </w:r>
      <w:r w:rsidRPr="00310D26">
        <w:t>o</w:t>
      </w:r>
      <w:r w:rsidR="00955AD5" w:rsidRPr="00310D26">
        <w:t> </w:t>
      </w:r>
      <w:proofErr w:type="spellStart"/>
      <w:r w:rsidR="00955AD5" w:rsidRPr="00310D26">
        <w:t>TGP</w:t>
      </w:r>
      <w:proofErr w:type="spellEnd"/>
      <w:r w:rsidR="00955AD5" w:rsidRPr="00310D26">
        <w:t>/14/5 </w:t>
      </w:r>
      <w:proofErr w:type="spellStart"/>
      <w:r w:rsidR="00955AD5" w:rsidRPr="00310D26">
        <w:t>Draft</w:t>
      </w:r>
      <w:proofErr w:type="spellEnd"/>
      <w:r w:rsidR="00955AD5" w:rsidRPr="00310D26">
        <w:t> 1)</w:t>
      </w:r>
      <w:bookmarkEnd w:id="35"/>
    </w:p>
    <w:p w14:paraId="5C2B6652" w14:textId="77777777" w:rsidR="00955AD5" w:rsidRPr="00310D26" w:rsidRDefault="00955AD5" w:rsidP="00955AD5">
      <w:pPr>
        <w:keepNext/>
        <w:rPr>
          <w:highlight w:val="lightGray"/>
        </w:rPr>
      </w:pPr>
    </w:p>
    <w:p w14:paraId="080146C3" w14:textId="108FF4D0" w:rsidR="00955AD5" w:rsidRPr="00A91463" w:rsidRDefault="00955AD5" w:rsidP="00955AD5">
      <w:pPr>
        <w:keepNext/>
        <w:rPr>
          <w:rFonts w:cs="Arial"/>
        </w:rPr>
      </w:pPr>
      <w:r w:rsidRPr="00310D26">
        <w:fldChar w:fldCharType="begin"/>
      </w:r>
      <w:r w:rsidRPr="00310D26">
        <w:instrText xml:space="preserve"> AUTONUM  </w:instrText>
      </w:r>
      <w:r w:rsidRPr="00310D26">
        <w:fldChar w:fldCharType="end"/>
      </w:r>
      <w:r w:rsidRPr="00310D26">
        <w:tab/>
      </w:r>
      <w:r w:rsidR="00432363" w:rsidRPr="00310D26">
        <w:t>En su quincuagésima quinta sesión</w:t>
      </w:r>
      <w:r w:rsidR="0024487F" w:rsidRPr="0024487F">
        <w:rPr>
          <w:vertAlign w:val="superscript"/>
        </w:rPr>
        <w:fldChar w:fldCharType="begin"/>
      </w:r>
      <w:r w:rsidR="0024487F" w:rsidRPr="0024487F">
        <w:rPr>
          <w:vertAlign w:val="superscript"/>
        </w:rPr>
        <w:instrText xml:space="preserve"> NOTEREF _Ref48824131 \h </w:instrText>
      </w:r>
      <w:r w:rsidR="0024487F">
        <w:rPr>
          <w:vertAlign w:val="superscript"/>
        </w:rPr>
        <w:instrText xml:space="preserve"> \* MERGEFORMAT </w:instrText>
      </w:r>
      <w:r w:rsidR="0024487F" w:rsidRPr="0024487F">
        <w:rPr>
          <w:vertAlign w:val="superscript"/>
        </w:rPr>
      </w:r>
      <w:r w:rsidR="0024487F" w:rsidRPr="0024487F">
        <w:rPr>
          <w:vertAlign w:val="superscript"/>
        </w:rPr>
        <w:fldChar w:fldCharType="separate"/>
      </w:r>
      <w:r w:rsidR="00024BFE">
        <w:rPr>
          <w:vertAlign w:val="superscript"/>
        </w:rPr>
        <w:t>2</w:t>
      </w:r>
      <w:r w:rsidR="0024487F" w:rsidRPr="0024487F">
        <w:rPr>
          <w:vertAlign w:val="superscript"/>
        </w:rPr>
        <w:fldChar w:fldCharType="end"/>
      </w:r>
      <w:r w:rsidR="00432363" w:rsidRPr="00310D26">
        <w:t>,</w:t>
      </w:r>
      <w:r w:rsidRPr="00310D26">
        <w:t xml:space="preserve"> </w:t>
      </w:r>
      <w:r w:rsidR="00432363" w:rsidRPr="00310D26">
        <w:t xml:space="preserve">el TC convino en revisar la lista de grupos de color UPOV del documento TGP/14 “Glosario de términos utilizados en los documentos de la UPOV” conforme a los grupos de color que figuran en el Anexo IV del presente documento. </w:t>
      </w:r>
    </w:p>
    <w:p w14:paraId="34045AB1" w14:textId="77777777" w:rsidR="00955AD5" w:rsidRPr="00310D26" w:rsidRDefault="00955AD5" w:rsidP="00955AD5">
      <w:pPr>
        <w:rPr>
          <w:highlight w:val="lightGray"/>
        </w:rPr>
      </w:pPr>
    </w:p>
    <w:p w14:paraId="26180674" w14:textId="7C96659A" w:rsidR="00955AD5" w:rsidRPr="00310D26" w:rsidRDefault="00955AD5" w:rsidP="00955AD5">
      <w:r w:rsidRPr="00310D26">
        <w:rPr>
          <w:rFonts w:cs="Arial"/>
        </w:rPr>
        <w:fldChar w:fldCharType="begin"/>
      </w:r>
      <w:r w:rsidRPr="00310D26">
        <w:rPr>
          <w:rFonts w:cs="Arial"/>
        </w:rPr>
        <w:instrText xml:space="preserve"> AUTONUM  </w:instrText>
      </w:r>
      <w:r w:rsidRPr="00310D26">
        <w:rPr>
          <w:rFonts w:cs="Arial"/>
        </w:rPr>
        <w:fldChar w:fldCharType="end"/>
      </w:r>
      <w:r w:rsidRPr="00310D26">
        <w:rPr>
          <w:rFonts w:cs="Arial"/>
        </w:rPr>
        <w:tab/>
      </w:r>
      <w:r w:rsidR="00432363" w:rsidRPr="00310D26">
        <w:t xml:space="preserve">El TC convino en revisar el documento TGP/14, sección 2, subsección 3: “Color” y subsección 3: Anexo: “Nombres de los colores de la carta de colores RHS”, a fin de reflejar la incorporación de la lista revisada de grupos de color UPOV, que figura en el Anexo </w:t>
      </w:r>
      <w:r w:rsidRPr="00310D26">
        <w:t xml:space="preserve">IV </w:t>
      </w:r>
      <w:r w:rsidR="00432363" w:rsidRPr="00310D26">
        <w:t>del presente documento.</w:t>
      </w:r>
    </w:p>
    <w:p w14:paraId="02BC54EE" w14:textId="77777777" w:rsidR="00955AD5" w:rsidRPr="00310D26" w:rsidRDefault="00955AD5" w:rsidP="00955AD5">
      <w:pPr>
        <w:rPr>
          <w:spacing w:val="-2"/>
        </w:rPr>
      </w:pPr>
    </w:p>
    <w:p w14:paraId="375EDE74" w14:textId="13952FDA" w:rsidR="00432363" w:rsidRPr="00310D26" w:rsidRDefault="00955AD5" w:rsidP="00432363">
      <w:pPr>
        <w:rPr>
          <w:bCs/>
          <w:snapToGrid w:val="0"/>
          <w:szCs w:val="24"/>
        </w:rPr>
      </w:pPr>
      <w:r w:rsidRPr="00310D26">
        <w:rPr>
          <w:spacing w:val="-2"/>
        </w:rPr>
        <w:fldChar w:fldCharType="begin"/>
      </w:r>
      <w:r w:rsidRPr="00310D26">
        <w:rPr>
          <w:spacing w:val="-2"/>
        </w:rPr>
        <w:instrText xml:space="preserve"> AUTONUM  </w:instrText>
      </w:r>
      <w:r w:rsidRPr="00310D26">
        <w:rPr>
          <w:spacing w:val="-2"/>
        </w:rPr>
        <w:fldChar w:fldCharType="end"/>
      </w:r>
      <w:r w:rsidRPr="00310D26">
        <w:rPr>
          <w:spacing w:val="-2"/>
        </w:rPr>
        <w:tab/>
      </w:r>
      <w:r w:rsidR="00432363" w:rsidRPr="00310D26">
        <w:t>Los respectivos miembros del Comité de Redacción revisaron las traducciones al alemán, español y francés del texto original en inglés antes de que el proyecto de documento TGP/14/5 se presentara al Consejo. El documento </w:t>
      </w:r>
      <w:proofErr w:type="spellStart"/>
      <w:r w:rsidR="00432363" w:rsidRPr="00310D26">
        <w:t>TGP</w:t>
      </w:r>
      <w:proofErr w:type="spellEnd"/>
      <w:r w:rsidR="00432363" w:rsidRPr="00310D26">
        <w:t>/14/5 </w:t>
      </w:r>
      <w:proofErr w:type="spellStart"/>
      <w:r w:rsidR="00432363" w:rsidRPr="00310D26">
        <w:t>Draft</w:t>
      </w:r>
      <w:proofErr w:type="spellEnd"/>
      <w:r w:rsidR="00432363" w:rsidRPr="00310D26">
        <w:t> 1 incorpora las enmiendas acordadas por el TC, expuestas en el Anexo IV del presente documento, y los cambios lingüísticos efectuados por los respectivos miembros del Comité de Redacción.</w:t>
      </w:r>
    </w:p>
    <w:p w14:paraId="03FCD6AE" w14:textId="4D88DE9B" w:rsidR="00955AD5" w:rsidRPr="00310D26" w:rsidRDefault="00955AD5" w:rsidP="00955AD5">
      <w:pPr>
        <w:rPr>
          <w:highlight w:val="yellow"/>
        </w:rPr>
      </w:pPr>
    </w:p>
    <w:p w14:paraId="2C90E33A" w14:textId="6FCF2ACF" w:rsidR="00955AD5" w:rsidRPr="00310D26" w:rsidRDefault="00955AD5" w:rsidP="00955AD5">
      <w:r w:rsidRPr="00310D26">
        <w:rPr>
          <w:spacing w:val="-2"/>
        </w:rPr>
        <w:fldChar w:fldCharType="begin"/>
      </w:r>
      <w:r w:rsidRPr="00310D26">
        <w:rPr>
          <w:spacing w:val="-2"/>
        </w:rPr>
        <w:instrText xml:space="preserve"> AUTONUM  </w:instrText>
      </w:r>
      <w:r w:rsidRPr="00310D26">
        <w:rPr>
          <w:spacing w:val="-2"/>
        </w:rPr>
        <w:fldChar w:fldCharType="end"/>
      </w:r>
      <w:r w:rsidRPr="00310D26">
        <w:rPr>
          <w:spacing w:val="-2"/>
        </w:rPr>
        <w:tab/>
      </w:r>
      <w:r w:rsidR="00432363" w:rsidRPr="00310D26">
        <w:t>A reserva de que el CAJ acuerde un proyecto del documento TGP/14/5, sobre la base del documento </w:t>
      </w:r>
      <w:proofErr w:type="spellStart"/>
      <w:r w:rsidR="00432363" w:rsidRPr="00310D26">
        <w:t>TGP</w:t>
      </w:r>
      <w:proofErr w:type="spellEnd"/>
      <w:r w:rsidR="00432363" w:rsidRPr="00310D26">
        <w:t>/14/5 </w:t>
      </w:r>
      <w:proofErr w:type="spellStart"/>
      <w:r w:rsidR="00432363" w:rsidRPr="00310D26">
        <w:t>Draft</w:t>
      </w:r>
      <w:proofErr w:type="spellEnd"/>
      <w:r w:rsidR="00432363" w:rsidRPr="00310D26">
        <w:t> 1, en 2020 se someterá al Consejo, para que considere su aprobación, un proyecto acordado del documento TGP/14/5 “Glosario de términos utilizados en los documentos de la UPOV”.</w:t>
      </w:r>
    </w:p>
    <w:p w14:paraId="79AA484C" w14:textId="77777777" w:rsidR="00CD1A1D" w:rsidRPr="00310D26" w:rsidRDefault="00CD1A1D" w:rsidP="00955AD5">
      <w:pPr>
        <w:rPr>
          <w:highlight w:val="lightGray"/>
        </w:rPr>
      </w:pPr>
    </w:p>
    <w:p w14:paraId="4D69F219" w14:textId="09FAFAFE" w:rsidR="00955AD5" w:rsidRPr="00310D26" w:rsidRDefault="00955AD5" w:rsidP="00955AD5">
      <w:pPr>
        <w:pStyle w:val="DecisionParagraphs"/>
        <w:keepLines/>
        <w:rPr>
          <w:lang w:val="es-ES"/>
        </w:rPr>
      </w:pPr>
      <w:r w:rsidRPr="00310D26">
        <w:rPr>
          <w:lang w:val="es-ES"/>
        </w:rPr>
        <w:fldChar w:fldCharType="begin"/>
      </w:r>
      <w:r w:rsidRPr="00310D26">
        <w:rPr>
          <w:lang w:val="es-ES"/>
        </w:rPr>
        <w:instrText xml:space="preserve"> AUTONUM  </w:instrText>
      </w:r>
      <w:r w:rsidRPr="00310D26">
        <w:rPr>
          <w:lang w:val="es-ES"/>
        </w:rPr>
        <w:fldChar w:fldCharType="end"/>
      </w:r>
      <w:r w:rsidRPr="00310D26">
        <w:rPr>
          <w:lang w:val="es-ES"/>
        </w:rPr>
        <w:tab/>
      </w:r>
      <w:r w:rsidR="00CD1A1D" w:rsidRPr="00310D26">
        <w:rPr>
          <w:lang w:val="es-ES"/>
        </w:rPr>
        <w:t>se invita al CAJ a</w:t>
      </w:r>
      <w:r w:rsidRPr="00310D26">
        <w:rPr>
          <w:lang w:val="es-ES"/>
        </w:rPr>
        <w:t>:</w:t>
      </w:r>
    </w:p>
    <w:p w14:paraId="7479949A" w14:textId="77777777" w:rsidR="00955AD5" w:rsidRPr="00310D26" w:rsidRDefault="00955AD5" w:rsidP="00955AD5">
      <w:pPr>
        <w:pStyle w:val="DecisionParagraphs"/>
        <w:keepLines/>
        <w:rPr>
          <w:lang w:val="es-ES"/>
        </w:rPr>
      </w:pPr>
    </w:p>
    <w:p w14:paraId="7746CAE2" w14:textId="7AF06230" w:rsidR="00955AD5" w:rsidRPr="00310D26" w:rsidRDefault="00955AD5" w:rsidP="00955AD5">
      <w:pPr>
        <w:pStyle w:val="DecisionParagraphs"/>
        <w:keepLines/>
        <w:rPr>
          <w:lang w:val="es-ES"/>
        </w:rPr>
      </w:pPr>
      <w:r w:rsidRPr="00310D26">
        <w:rPr>
          <w:lang w:val="es-ES"/>
        </w:rPr>
        <w:tab/>
        <w:t>a)</w:t>
      </w:r>
      <w:r w:rsidRPr="00310D26">
        <w:rPr>
          <w:lang w:val="es-ES"/>
        </w:rPr>
        <w:tab/>
      </w:r>
      <w:r w:rsidR="00CD1A1D" w:rsidRPr="00310D26">
        <w:rPr>
          <w:lang w:val="es-ES"/>
        </w:rPr>
        <w:t>examinar el documento</w:t>
      </w:r>
      <w:r w:rsidRPr="00310D26">
        <w:rPr>
          <w:lang w:val="es-ES"/>
        </w:rPr>
        <w:t xml:space="preserve"> </w:t>
      </w:r>
      <w:r w:rsidRPr="00310D26">
        <w:rPr>
          <w:spacing w:val="-2"/>
          <w:lang w:val="es-ES"/>
        </w:rPr>
        <w:t xml:space="preserve">TGP/14/5 </w:t>
      </w:r>
      <w:r w:rsidRPr="00310D26">
        <w:rPr>
          <w:lang w:val="es-ES"/>
        </w:rPr>
        <w:t>“</w:t>
      </w:r>
      <w:r w:rsidR="00CD1A1D" w:rsidRPr="00310D26">
        <w:rPr>
          <w:rFonts w:eastAsiaTheme="minorEastAsia"/>
          <w:lang w:val="es-ES"/>
        </w:rPr>
        <w:t>Glosario de términos utilizados en los documentos de la UPOV</w:t>
      </w:r>
      <w:r w:rsidRPr="00310D26">
        <w:rPr>
          <w:lang w:val="es-ES"/>
        </w:rPr>
        <w:t xml:space="preserve">”, </w:t>
      </w:r>
      <w:r w:rsidR="00743F9C" w:rsidRPr="00310D26">
        <w:rPr>
          <w:lang w:val="es-ES"/>
        </w:rPr>
        <w:t>sobre la base del documento</w:t>
      </w:r>
      <w:r w:rsidRPr="00310D26">
        <w:rPr>
          <w:lang w:val="es-ES"/>
        </w:rPr>
        <w:t> </w:t>
      </w:r>
      <w:proofErr w:type="spellStart"/>
      <w:r w:rsidRPr="00310D26">
        <w:rPr>
          <w:spacing w:val="-2"/>
          <w:lang w:val="es-ES"/>
        </w:rPr>
        <w:t>TGP</w:t>
      </w:r>
      <w:proofErr w:type="spellEnd"/>
      <w:r w:rsidRPr="00310D26">
        <w:rPr>
          <w:spacing w:val="-2"/>
          <w:lang w:val="es-ES"/>
        </w:rPr>
        <w:t>/14/5 </w:t>
      </w:r>
      <w:proofErr w:type="spellStart"/>
      <w:r w:rsidRPr="00310D26">
        <w:rPr>
          <w:spacing w:val="-2"/>
          <w:lang w:val="es-ES"/>
        </w:rPr>
        <w:t>Draft</w:t>
      </w:r>
      <w:proofErr w:type="spellEnd"/>
      <w:r w:rsidRPr="00310D26">
        <w:rPr>
          <w:spacing w:val="-2"/>
          <w:lang w:val="es-ES"/>
        </w:rPr>
        <w:t> 1;</w:t>
      </w:r>
      <w:r w:rsidRPr="00310D26">
        <w:rPr>
          <w:lang w:val="es-ES"/>
        </w:rPr>
        <w:t xml:space="preserve"> </w:t>
      </w:r>
      <w:r w:rsidR="000D28D8" w:rsidRPr="00310D26">
        <w:rPr>
          <w:lang w:val="es-ES"/>
        </w:rPr>
        <w:t>y</w:t>
      </w:r>
    </w:p>
    <w:p w14:paraId="71E23284" w14:textId="77777777" w:rsidR="00955AD5" w:rsidRPr="00310D26" w:rsidRDefault="00955AD5" w:rsidP="00955AD5">
      <w:pPr>
        <w:pStyle w:val="DecisionParagraphs"/>
        <w:keepLines/>
        <w:rPr>
          <w:lang w:val="es-ES"/>
        </w:rPr>
      </w:pPr>
    </w:p>
    <w:p w14:paraId="0DB8D9E2" w14:textId="488A89F8" w:rsidR="00955AD5" w:rsidRPr="00310D26" w:rsidRDefault="00955AD5" w:rsidP="00955AD5">
      <w:pPr>
        <w:pStyle w:val="DecisionParagraphs"/>
        <w:keepLines/>
        <w:rPr>
          <w:lang w:val="es-ES"/>
        </w:rPr>
      </w:pPr>
      <w:r w:rsidRPr="00310D26">
        <w:rPr>
          <w:lang w:val="es-ES"/>
        </w:rPr>
        <w:tab/>
        <w:t>b)</w:t>
      </w:r>
      <w:r w:rsidRPr="00310D26">
        <w:rPr>
          <w:lang w:val="es-ES"/>
        </w:rPr>
        <w:tab/>
      </w:r>
      <w:r w:rsidR="00567357" w:rsidRPr="00310D26">
        <w:rPr>
          <w:lang w:val="es-ES"/>
        </w:rPr>
        <w:t xml:space="preserve">tomar nota de que, </w:t>
      </w:r>
      <w:r w:rsidR="00CE30EE" w:rsidRPr="00310D26">
        <w:rPr>
          <w:lang w:val="es-ES"/>
        </w:rPr>
        <w:t>a reserva del</w:t>
      </w:r>
      <w:r w:rsidR="00567357" w:rsidRPr="00310D26">
        <w:rPr>
          <w:lang w:val="es-ES"/>
        </w:rPr>
        <w:t xml:space="preserve"> acuerdo </w:t>
      </w:r>
      <w:r w:rsidR="00562DEE" w:rsidRPr="00310D26">
        <w:rPr>
          <w:lang w:val="es-ES"/>
        </w:rPr>
        <w:t>d</w:t>
      </w:r>
      <w:r w:rsidR="00567357" w:rsidRPr="00310D26">
        <w:rPr>
          <w:lang w:val="es-ES"/>
        </w:rPr>
        <w:t xml:space="preserve">el CAJ, </w:t>
      </w:r>
      <w:r w:rsidR="00CD1A1D" w:rsidRPr="00310D26">
        <w:rPr>
          <w:lang w:val="es-ES"/>
        </w:rPr>
        <w:t xml:space="preserve">en 2020 </w:t>
      </w:r>
      <w:r w:rsidR="00567357" w:rsidRPr="00310D26">
        <w:rPr>
          <w:lang w:val="es-ES"/>
        </w:rPr>
        <w:t xml:space="preserve">se </w:t>
      </w:r>
      <w:r w:rsidR="00562DEE" w:rsidRPr="00310D26">
        <w:rPr>
          <w:lang w:val="es-ES"/>
        </w:rPr>
        <w:t xml:space="preserve">someterá </w:t>
      </w:r>
      <w:r w:rsidR="008049BE" w:rsidRPr="00310D26">
        <w:rPr>
          <w:lang w:val="es-ES"/>
        </w:rPr>
        <w:t>al</w:t>
      </w:r>
      <w:r w:rsidR="00562DEE" w:rsidRPr="00310D26">
        <w:rPr>
          <w:lang w:val="es-ES"/>
        </w:rPr>
        <w:t xml:space="preserve"> Consejo, para que considere su aprobación,</w:t>
      </w:r>
      <w:r w:rsidR="00567357" w:rsidRPr="00310D26">
        <w:rPr>
          <w:lang w:val="es-ES"/>
        </w:rPr>
        <w:t xml:space="preserve"> un proyecto de documento</w:t>
      </w:r>
      <w:r w:rsidR="00061DA5" w:rsidRPr="00310D26">
        <w:rPr>
          <w:lang w:val="es-ES"/>
        </w:rPr>
        <w:t xml:space="preserve"> </w:t>
      </w:r>
      <w:r w:rsidRPr="00310D26">
        <w:rPr>
          <w:spacing w:val="-2"/>
          <w:lang w:val="es-ES"/>
        </w:rPr>
        <w:t>TGP/14/5</w:t>
      </w:r>
      <w:r w:rsidRPr="00310D26">
        <w:rPr>
          <w:rFonts w:eastAsia="MS Mincho"/>
          <w:spacing w:val="-2"/>
          <w:lang w:val="es-ES" w:eastAsia="ja-JP"/>
        </w:rPr>
        <w:t xml:space="preserve">. </w:t>
      </w:r>
    </w:p>
    <w:p w14:paraId="078B642F" w14:textId="77777777" w:rsidR="00955AD5" w:rsidRPr="00310D26" w:rsidRDefault="00955AD5" w:rsidP="00955AD5">
      <w:pPr>
        <w:rPr>
          <w:rFonts w:eastAsia="MS Mincho"/>
        </w:rPr>
      </w:pPr>
    </w:p>
    <w:p w14:paraId="098F1194" w14:textId="696C7E23" w:rsidR="00955AD5" w:rsidRPr="00310D26" w:rsidRDefault="00955AD5" w:rsidP="004F2167">
      <w:pPr>
        <w:pStyle w:val="Heading3"/>
      </w:pPr>
      <w:bookmarkStart w:id="36" w:name="_Toc52802620"/>
      <w:r w:rsidRPr="00310D26">
        <w:t>Revis</w:t>
      </w:r>
      <w:r w:rsidR="00CD1A1D" w:rsidRPr="00310D26">
        <w:t xml:space="preserve">ión del documento </w:t>
      </w:r>
      <w:r w:rsidRPr="00310D26">
        <w:t>TGP/15</w:t>
      </w:r>
      <w:r w:rsidR="00CD1A1D" w:rsidRPr="00310D26">
        <w:t xml:space="preserve">: </w:t>
      </w:r>
      <w:r w:rsidRPr="00310D26">
        <w:t>“</w:t>
      </w:r>
      <w:r w:rsidR="00CD1A1D" w:rsidRPr="00310D26">
        <w:t>Orientación sobre el uso de marcadores bioquímicos y moleculares en el examen de la distinción, la homogeneidad y la estabilidad (</w:t>
      </w:r>
      <w:proofErr w:type="spellStart"/>
      <w:r w:rsidR="00CD1A1D" w:rsidRPr="00310D26">
        <w:t>DHE</w:t>
      </w:r>
      <w:proofErr w:type="spellEnd"/>
      <w:r w:rsidR="00CD1A1D" w:rsidRPr="00310D26">
        <w:t>)</w:t>
      </w:r>
      <w:r w:rsidRPr="00310D26">
        <w:t>” (document</w:t>
      </w:r>
      <w:r w:rsidR="00CD1A1D" w:rsidRPr="00310D26">
        <w:t>o</w:t>
      </w:r>
      <w:r w:rsidRPr="00310D26">
        <w:t> </w:t>
      </w:r>
      <w:proofErr w:type="spellStart"/>
      <w:r w:rsidRPr="00310D26">
        <w:t>TGP</w:t>
      </w:r>
      <w:proofErr w:type="spellEnd"/>
      <w:r w:rsidRPr="00310D26">
        <w:t>/15/3 </w:t>
      </w:r>
      <w:proofErr w:type="spellStart"/>
      <w:r w:rsidRPr="00310D26">
        <w:t>Draft</w:t>
      </w:r>
      <w:proofErr w:type="spellEnd"/>
      <w:r w:rsidRPr="00310D26">
        <w:t> 1)</w:t>
      </w:r>
      <w:bookmarkEnd w:id="36"/>
    </w:p>
    <w:p w14:paraId="50A21E93" w14:textId="77777777" w:rsidR="00955AD5" w:rsidRPr="00310D26" w:rsidRDefault="00955AD5" w:rsidP="00955AD5">
      <w:pPr>
        <w:keepNext/>
        <w:keepLines/>
        <w:rPr>
          <w:highlight w:val="lightGray"/>
        </w:rPr>
      </w:pPr>
    </w:p>
    <w:p w14:paraId="767BD600" w14:textId="54791A52" w:rsidR="00955AD5" w:rsidRPr="00310D26" w:rsidRDefault="00955AD5" w:rsidP="00955AD5">
      <w:pPr>
        <w:keepNext/>
        <w:keepLines/>
        <w:rPr>
          <w:rFonts w:eastAsia="Calibri" w:cs="Arial"/>
          <w:sz w:val="18"/>
          <w:szCs w:val="18"/>
        </w:rPr>
      </w:pPr>
      <w:r w:rsidRPr="00310D26">
        <w:fldChar w:fldCharType="begin"/>
      </w:r>
      <w:r w:rsidRPr="00310D26">
        <w:instrText xml:space="preserve"> AUTONUM  </w:instrText>
      </w:r>
      <w:r w:rsidRPr="00310D26">
        <w:fldChar w:fldCharType="end"/>
      </w:r>
      <w:r w:rsidRPr="00310D26">
        <w:tab/>
      </w:r>
      <w:r w:rsidR="00CD1A1D" w:rsidRPr="00310D26">
        <w:t>En su quincuagésima quinta sesión</w:t>
      </w:r>
      <w:r w:rsidR="0024487F" w:rsidRPr="0024487F">
        <w:rPr>
          <w:vertAlign w:val="superscript"/>
        </w:rPr>
        <w:fldChar w:fldCharType="begin"/>
      </w:r>
      <w:r w:rsidR="0024487F" w:rsidRPr="0024487F">
        <w:rPr>
          <w:vertAlign w:val="superscript"/>
        </w:rPr>
        <w:instrText xml:space="preserve"> NOTEREF _Ref48824131 \h </w:instrText>
      </w:r>
      <w:r w:rsidR="0024487F">
        <w:rPr>
          <w:vertAlign w:val="superscript"/>
        </w:rPr>
        <w:instrText xml:space="preserve"> \* MERGEFORMAT </w:instrText>
      </w:r>
      <w:r w:rsidR="0024487F" w:rsidRPr="0024487F">
        <w:rPr>
          <w:vertAlign w:val="superscript"/>
        </w:rPr>
      </w:r>
      <w:r w:rsidR="0024487F" w:rsidRPr="0024487F">
        <w:rPr>
          <w:vertAlign w:val="superscript"/>
        </w:rPr>
        <w:fldChar w:fldCharType="separate"/>
      </w:r>
      <w:r w:rsidR="00024BFE">
        <w:rPr>
          <w:vertAlign w:val="superscript"/>
        </w:rPr>
        <w:t>2</w:t>
      </w:r>
      <w:r w:rsidR="0024487F" w:rsidRPr="0024487F">
        <w:rPr>
          <w:vertAlign w:val="superscript"/>
        </w:rPr>
        <w:fldChar w:fldCharType="end"/>
      </w:r>
      <w:r w:rsidR="00562DEE" w:rsidRPr="00310D26">
        <w:t>,</w:t>
      </w:r>
      <w:r w:rsidR="00562DEE" w:rsidRPr="00310D26">
        <w:rPr>
          <w:vertAlign w:val="superscript"/>
        </w:rPr>
        <w:t xml:space="preserve"> </w:t>
      </w:r>
      <w:r w:rsidR="00CD1A1D" w:rsidRPr="00310D26">
        <w:t>el TC convino en añadir un nuevo ejemplo al documento TGP/15 a fin de ilustrar el caso en que un marcador ligado a un carácter no proporcione información completa sobre el nivel de expresión de un carácter, expuesto en el Anexo V del presente documento</w:t>
      </w:r>
      <w:r w:rsidRPr="00310D26">
        <w:t>.</w:t>
      </w:r>
    </w:p>
    <w:p w14:paraId="07CDADB9" w14:textId="77777777" w:rsidR="00955AD5" w:rsidRPr="00310D26" w:rsidRDefault="00955AD5" w:rsidP="00955AD5">
      <w:pPr>
        <w:keepNext/>
        <w:rPr>
          <w:highlight w:val="lightGray"/>
        </w:rPr>
      </w:pPr>
    </w:p>
    <w:p w14:paraId="788E3F16" w14:textId="67B2A3AA" w:rsidR="00955AD5" w:rsidRPr="00310D26" w:rsidRDefault="00955AD5" w:rsidP="00955AD5">
      <w:pPr>
        <w:rPr>
          <w:highlight w:val="lightGray"/>
        </w:rPr>
      </w:pPr>
      <w:r w:rsidRPr="00310D26">
        <w:fldChar w:fldCharType="begin"/>
      </w:r>
      <w:r w:rsidRPr="00310D26">
        <w:instrText xml:space="preserve"> AUTONUM  </w:instrText>
      </w:r>
      <w:r w:rsidRPr="00310D26">
        <w:fldChar w:fldCharType="end"/>
      </w:r>
      <w:r w:rsidRPr="00310D26">
        <w:tab/>
      </w:r>
      <w:r w:rsidR="00562DEE" w:rsidRPr="00310D26">
        <w:t>El TC tomó nota de que el nuevo ejemplo “Marcador ligado a un carácter con información incompleta sobre el nivel de expresión” pasará a ser un segundo ejemplo del modelo “Marcadores moleculares ligados a caracteres” del documento TGP/15.</w:t>
      </w:r>
    </w:p>
    <w:p w14:paraId="041727A1" w14:textId="77777777" w:rsidR="00955AD5" w:rsidRPr="00310D26" w:rsidRDefault="00955AD5" w:rsidP="00955AD5">
      <w:pPr>
        <w:rPr>
          <w:highlight w:val="lightGray"/>
        </w:rPr>
      </w:pPr>
    </w:p>
    <w:p w14:paraId="0758100D" w14:textId="004F2D22" w:rsidR="00955AD5" w:rsidRPr="00310D26" w:rsidRDefault="00955AD5" w:rsidP="00955AD5">
      <w:pPr>
        <w:keepLines/>
      </w:pPr>
      <w:r w:rsidRPr="00310D26">
        <w:rPr>
          <w:shd w:val="clear" w:color="auto" w:fill="FFFFFF" w:themeFill="background1"/>
        </w:rPr>
        <w:fldChar w:fldCharType="begin"/>
      </w:r>
      <w:r w:rsidRPr="00310D26">
        <w:rPr>
          <w:shd w:val="clear" w:color="auto" w:fill="FFFFFF" w:themeFill="background1"/>
        </w:rPr>
        <w:instrText xml:space="preserve"> AUTONUM  </w:instrText>
      </w:r>
      <w:r w:rsidRPr="00310D26">
        <w:rPr>
          <w:shd w:val="clear" w:color="auto" w:fill="FFFFFF" w:themeFill="background1"/>
        </w:rPr>
        <w:fldChar w:fldCharType="end"/>
      </w:r>
      <w:r w:rsidRPr="00310D26">
        <w:rPr>
          <w:shd w:val="clear" w:color="auto" w:fill="FFFFFF" w:themeFill="background1"/>
        </w:rPr>
        <w:tab/>
      </w:r>
      <w:r w:rsidR="00562DEE" w:rsidRPr="00310D26">
        <w:t>El TC convino en que el modelo “Selección genética de variedades similares para el primer ciclo de cultivo” se ha de presentar en el documento TGP/15 como un segundo ejemplo del modelo “Combinación de distancias fenotípicas y moleculares en la gestión de las colecciones de variedades”. El TC convino en que en el documento se ha de revisar la terminología sobre los diferentes “modelos”.</w:t>
      </w:r>
    </w:p>
    <w:p w14:paraId="586C7DEA" w14:textId="77777777" w:rsidR="00955AD5" w:rsidRPr="00310D26" w:rsidRDefault="00955AD5" w:rsidP="00955AD5">
      <w:pPr>
        <w:keepLines/>
      </w:pPr>
    </w:p>
    <w:p w14:paraId="552766E1" w14:textId="4F981611" w:rsidR="00955AD5" w:rsidRPr="00310D26" w:rsidRDefault="00955AD5" w:rsidP="00492AA3">
      <w:pPr>
        <w:keepLines/>
        <w:rPr>
          <w:bCs/>
          <w:snapToGrid w:val="0"/>
          <w:szCs w:val="24"/>
        </w:rPr>
      </w:pPr>
      <w:r w:rsidRPr="00310D26">
        <w:rPr>
          <w:spacing w:val="-2"/>
        </w:rPr>
        <w:lastRenderedPageBreak/>
        <w:fldChar w:fldCharType="begin"/>
      </w:r>
      <w:r w:rsidRPr="00310D26">
        <w:rPr>
          <w:spacing w:val="-2"/>
        </w:rPr>
        <w:instrText xml:space="preserve"> AUTONUM  </w:instrText>
      </w:r>
      <w:r w:rsidRPr="00310D26">
        <w:rPr>
          <w:spacing w:val="-2"/>
        </w:rPr>
        <w:fldChar w:fldCharType="end"/>
      </w:r>
      <w:r w:rsidRPr="00310D26">
        <w:rPr>
          <w:spacing w:val="-2"/>
        </w:rPr>
        <w:tab/>
      </w:r>
      <w:r w:rsidR="00562DEE" w:rsidRPr="00310D26">
        <w:t xml:space="preserve">Los respectivos miembros del Comité de Redacción revisaron las traducciones al alemán, español y francés del texto original en inglés antes de que el proyecto de documento TGP/15/3 se presentara al Consejo. El documento </w:t>
      </w:r>
      <w:proofErr w:type="spellStart"/>
      <w:r w:rsidR="00562DEE" w:rsidRPr="00310D26">
        <w:t>TGP</w:t>
      </w:r>
      <w:proofErr w:type="spellEnd"/>
      <w:r w:rsidR="00562DEE" w:rsidRPr="00310D26">
        <w:t xml:space="preserve">/15/3 </w:t>
      </w:r>
      <w:proofErr w:type="spellStart"/>
      <w:r w:rsidR="00562DEE" w:rsidRPr="00310D26">
        <w:t>Draft</w:t>
      </w:r>
      <w:proofErr w:type="spellEnd"/>
      <w:r w:rsidR="00562DEE" w:rsidRPr="00310D26">
        <w:t xml:space="preserve"> 1 incorpora las enmiendas acordadas por el TC, expuestas en el Anexo IV del presente documento, y los cambios lingüísticos efectuados por los respectivos miembros del Comité de Redacción.</w:t>
      </w:r>
    </w:p>
    <w:p w14:paraId="63A29CA7" w14:textId="77777777" w:rsidR="00955AD5" w:rsidRPr="00310D26" w:rsidRDefault="00955AD5" w:rsidP="00955AD5"/>
    <w:p w14:paraId="7060A77B" w14:textId="49E08FFD" w:rsidR="00955AD5" w:rsidRPr="00310D26" w:rsidRDefault="00955AD5" w:rsidP="00955AD5">
      <w:r w:rsidRPr="00310D26">
        <w:rPr>
          <w:spacing w:val="-2"/>
        </w:rPr>
        <w:fldChar w:fldCharType="begin"/>
      </w:r>
      <w:r w:rsidRPr="00310D26">
        <w:rPr>
          <w:spacing w:val="-2"/>
        </w:rPr>
        <w:instrText xml:space="preserve"> AUTONUM  </w:instrText>
      </w:r>
      <w:r w:rsidRPr="00310D26">
        <w:rPr>
          <w:spacing w:val="-2"/>
        </w:rPr>
        <w:fldChar w:fldCharType="end"/>
      </w:r>
      <w:r w:rsidRPr="00310D26">
        <w:rPr>
          <w:spacing w:val="-2"/>
        </w:rPr>
        <w:tab/>
      </w:r>
      <w:r w:rsidR="00562DEE" w:rsidRPr="00310D26">
        <w:t xml:space="preserve">A reserva de que el CAJ acuerde un proyecto del documento TGP/15/3, sobre la base del documento </w:t>
      </w:r>
      <w:proofErr w:type="spellStart"/>
      <w:r w:rsidR="00562DEE" w:rsidRPr="00310D26">
        <w:t>TGP</w:t>
      </w:r>
      <w:proofErr w:type="spellEnd"/>
      <w:r w:rsidR="00562DEE" w:rsidRPr="00310D26">
        <w:t xml:space="preserve">/15/3 </w:t>
      </w:r>
      <w:proofErr w:type="spellStart"/>
      <w:r w:rsidR="00562DEE" w:rsidRPr="00310D26">
        <w:t>Draft</w:t>
      </w:r>
      <w:proofErr w:type="spellEnd"/>
      <w:r w:rsidR="00562DEE" w:rsidRPr="00310D26">
        <w:t xml:space="preserve"> 1, en 2020 se someterá al Consejo, para que considere su aprobación, un proyecto acordado del documento TGP/15/3 “Orientación sobre el uso de marcadores bioquímicos y moleculares en el examen de la distinción, la homogeneidad y la estabilidad (DHE)”.</w:t>
      </w:r>
    </w:p>
    <w:p w14:paraId="4705FA57" w14:textId="77777777" w:rsidR="00955AD5" w:rsidRPr="00310D26" w:rsidRDefault="00955AD5" w:rsidP="00955AD5">
      <w:pPr>
        <w:rPr>
          <w:highlight w:val="yellow"/>
        </w:rPr>
      </w:pPr>
    </w:p>
    <w:p w14:paraId="4B61C1BB" w14:textId="5B209ED7" w:rsidR="00955AD5" w:rsidRPr="00310D26" w:rsidRDefault="00955AD5" w:rsidP="00955AD5">
      <w:pPr>
        <w:pStyle w:val="DecisionParagraphs"/>
        <w:keepLines/>
        <w:rPr>
          <w:lang w:val="es-ES"/>
        </w:rPr>
      </w:pPr>
      <w:r w:rsidRPr="00310D26">
        <w:rPr>
          <w:lang w:val="es-ES"/>
        </w:rPr>
        <w:fldChar w:fldCharType="begin"/>
      </w:r>
      <w:r w:rsidRPr="00310D26">
        <w:rPr>
          <w:lang w:val="es-ES"/>
        </w:rPr>
        <w:instrText xml:space="preserve"> AUTONUM  </w:instrText>
      </w:r>
      <w:r w:rsidRPr="00310D26">
        <w:rPr>
          <w:lang w:val="es-ES"/>
        </w:rPr>
        <w:fldChar w:fldCharType="end"/>
      </w:r>
      <w:r w:rsidRPr="00310D26">
        <w:rPr>
          <w:lang w:val="es-ES"/>
        </w:rPr>
        <w:tab/>
      </w:r>
      <w:r w:rsidR="005D1768" w:rsidRPr="00310D26">
        <w:rPr>
          <w:lang w:val="es-ES"/>
        </w:rPr>
        <w:t>Se invita al CAJ a</w:t>
      </w:r>
      <w:r w:rsidRPr="00310D26">
        <w:rPr>
          <w:lang w:val="es-ES"/>
        </w:rPr>
        <w:t>:</w:t>
      </w:r>
    </w:p>
    <w:p w14:paraId="005212E1" w14:textId="77777777" w:rsidR="00955AD5" w:rsidRPr="00310D26" w:rsidRDefault="00955AD5" w:rsidP="00955AD5">
      <w:pPr>
        <w:pStyle w:val="DecisionParagraphs"/>
        <w:keepLines/>
        <w:rPr>
          <w:lang w:val="es-ES"/>
        </w:rPr>
      </w:pPr>
    </w:p>
    <w:p w14:paraId="67AB0373" w14:textId="30FCC936" w:rsidR="00955AD5" w:rsidRPr="00310D26" w:rsidRDefault="00955AD5" w:rsidP="00955AD5">
      <w:pPr>
        <w:pStyle w:val="DecisionParagraphs"/>
        <w:keepLines/>
        <w:rPr>
          <w:spacing w:val="-4"/>
          <w:lang w:val="es-ES"/>
        </w:rPr>
      </w:pPr>
      <w:r w:rsidRPr="00310D26">
        <w:rPr>
          <w:spacing w:val="-4"/>
          <w:lang w:val="es-ES"/>
        </w:rPr>
        <w:tab/>
        <w:t>a)</w:t>
      </w:r>
      <w:r w:rsidRPr="00310D26">
        <w:rPr>
          <w:spacing w:val="-4"/>
          <w:lang w:val="es-ES"/>
        </w:rPr>
        <w:tab/>
      </w:r>
      <w:r w:rsidR="005D1768" w:rsidRPr="00310D26">
        <w:rPr>
          <w:lang w:val="es-ES"/>
        </w:rPr>
        <w:t xml:space="preserve">examinar el documento </w:t>
      </w:r>
      <w:r w:rsidRPr="00310D26">
        <w:rPr>
          <w:spacing w:val="-2"/>
          <w:lang w:val="es-ES"/>
        </w:rPr>
        <w:t>TGP/15/3 </w:t>
      </w:r>
      <w:r w:rsidR="005D1768" w:rsidRPr="00310D26">
        <w:rPr>
          <w:caps/>
          <w:lang w:val="es-ES"/>
        </w:rPr>
        <w:t>“</w:t>
      </w:r>
      <w:r w:rsidR="005D1768" w:rsidRPr="00310D26">
        <w:rPr>
          <w:lang w:val="es-ES"/>
        </w:rPr>
        <w:t>Orientación sobre el uso de marcadores bioquímicos y moleculares en el examen de la distinción, la homogeneidad y la estabilidad (DHE)”, sobre la base del documento</w:t>
      </w:r>
      <w:r w:rsidR="005D1768" w:rsidRPr="00310D26">
        <w:rPr>
          <w:spacing w:val="-4"/>
          <w:lang w:val="es-ES"/>
        </w:rPr>
        <w:t xml:space="preserve"> </w:t>
      </w:r>
      <w:proofErr w:type="spellStart"/>
      <w:r w:rsidRPr="00310D26">
        <w:rPr>
          <w:spacing w:val="-4"/>
          <w:lang w:val="es-ES"/>
        </w:rPr>
        <w:t>TGP</w:t>
      </w:r>
      <w:proofErr w:type="spellEnd"/>
      <w:r w:rsidRPr="00310D26">
        <w:rPr>
          <w:spacing w:val="-4"/>
          <w:lang w:val="es-ES"/>
        </w:rPr>
        <w:t>/15/3 </w:t>
      </w:r>
      <w:proofErr w:type="spellStart"/>
      <w:r w:rsidRPr="00310D26">
        <w:rPr>
          <w:spacing w:val="-4"/>
          <w:lang w:val="es-ES"/>
        </w:rPr>
        <w:t>Draft</w:t>
      </w:r>
      <w:proofErr w:type="spellEnd"/>
      <w:r w:rsidRPr="00310D26">
        <w:rPr>
          <w:spacing w:val="-4"/>
          <w:lang w:val="es-ES"/>
        </w:rPr>
        <w:t> 1;</w:t>
      </w:r>
    </w:p>
    <w:p w14:paraId="26B03815" w14:textId="77777777" w:rsidR="00955AD5" w:rsidRPr="00310D26" w:rsidRDefault="00955AD5" w:rsidP="00955AD5"/>
    <w:p w14:paraId="04B660F8" w14:textId="77777777" w:rsidR="007C2166" w:rsidRDefault="00955AD5" w:rsidP="008355BC">
      <w:pPr>
        <w:pStyle w:val="DecisionParagraphs"/>
        <w:keepLines/>
        <w:rPr>
          <w:rFonts w:eastAsia="MS Mincho"/>
          <w:spacing w:val="-2"/>
          <w:lang w:val="es-ES" w:eastAsia="ja-JP"/>
        </w:rPr>
      </w:pPr>
      <w:r w:rsidRPr="00310D26">
        <w:rPr>
          <w:lang w:val="es-ES"/>
        </w:rPr>
        <w:tab/>
      </w:r>
      <w:r w:rsidR="00633158" w:rsidRPr="00633158">
        <w:rPr>
          <w:lang w:val="es-ES"/>
        </w:rPr>
        <w:t>b</w:t>
      </w:r>
      <w:r w:rsidRPr="00633158">
        <w:rPr>
          <w:lang w:val="es-ES"/>
        </w:rPr>
        <w:t>)</w:t>
      </w:r>
      <w:r w:rsidRPr="00310D26">
        <w:rPr>
          <w:lang w:val="es-ES"/>
        </w:rPr>
        <w:tab/>
      </w:r>
      <w:r w:rsidR="00567357" w:rsidRPr="00310D26">
        <w:rPr>
          <w:lang w:val="es-ES"/>
        </w:rPr>
        <w:t xml:space="preserve">tomar nota de que, </w:t>
      </w:r>
      <w:r w:rsidR="00CE30EE" w:rsidRPr="00310D26">
        <w:rPr>
          <w:lang w:val="es-ES"/>
        </w:rPr>
        <w:t>a reserva del</w:t>
      </w:r>
      <w:r w:rsidR="00567357" w:rsidRPr="00310D26">
        <w:rPr>
          <w:lang w:val="es-ES"/>
        </w:rPr>
        <w:t xml:space="preserve"> acuerdo </w:t>
      </w:r>
      <w:r w:rsidR="00562DEE" w:rsidRPr="00310D26">
        <w:rPr>
          <w:lang w:val="es-ES"/>
        </w:rPr>
        <w:t>d</w:t>
      </w:r>
      <w:r w:rsidR="00567357" w:rsidRPr="00310D26">
        <w:rPr>
          <w:lang w:val="es-ES"/>
        </w:rPr>
        <w:t xml:space="preserve">el CAJ, </w:t>
      </w:r>
      <w:r w:rsidR="00562DEE" w:rsidRPr="00310D26">
        <w:rPr>
          <w:lang w:val="es-ES"/>
        </w:rPr>
        <w:t xml:space="preserve">en 2020 </w:t>
      </w:r>
      <w:r w:rsidR="00567357" w:rsidRPr="00310D26">
        <w:rPr>
          <w:lang w:val="es-ES"/>
        </w:rPr>
        <w:t xml:space="preserve">se </w:t>
      </w:r>
      <w:r w:rsidR="00AF64E4">
        <w:rPr>
          <w:lang w:val="es-ES"/>
        </w:rPr>
        <w:t xml:space="preserve">someterá </w:t>
      </w:r>
      <w:r w:rsidR="00AF64E4" w:rsidRPr="00AF64E4">
        <w:rPr>
          <w:lang w:val="es-ES"/>
        </w:rPr>
        <w:t>al Consejo, para que considere su aprobación, un proyecto de documento</w:t>
      </w:r>
      <w:r w:rsidR="0063530C" w:rsidRPr="00310D26">
        <w:rPr>
          <w:lang w:val="es-ES"/>
        </w:rPr>
        <w:t xml:space="preserve"> </w:t>
      </w:r>
      <w:r w:rsidRPr="00310D26">
        <w:rPr>
          <w:spacing w:val="-2"/>
          <w:lang w:val="es-ES"/>
        </w:rPr>
        <w:t>TGP/15/3</w:t>
      </w:r>
      <w:r w:rsidRPr="00310D26">
        <w:rPr>
          <w:rFonts w:eastAsia="MS Mincho"/>
          <w:spacing w:val="-2"/>
          <w:lang w:val="es-ES" w:eastAsia="ja-JP"/>
        </w:rPr>
        <w:t xml:space="preserve">. </w:t>
      </w:r>
    </w:p>
    <w:p w14:paraId="18A7A233" w14:textId="4152ADCF" w:rsidR="008355BC" w:rsidRDefault="008355BC" w:rsidP="008355BC">
      <w:pPr>
        <w:pStyle w:val="DecisionParagraphs"/>
        <w:keepLines/>
        <w:rPr>
          <w:rFonts w:eastAsia="MS Mincho"/>
          <w:i w:val="0"/>
          <w:spacing w:val="-2"/>
          <w:lang w:eastAsia="ja-JP"/>
        </w:rPr>
      </w:pPr>
    </w:p>
    <w:p w14:paraId="1BE2C8AD" w14:textId="1735E8F8" w:rsidR="007C2166" w:rsidRDefault="007C2166" w:rsidP="008355BC">
      <w:pPr>
        <w:pStyle w:val="DecisionParagraphs"/>
        <w:keepLines/>
        <w:rPr>
          <w:rFonts w:eastAsia="MS Mincho"/>
          <w:i w:val="0"/>
          <w:spacing w:val="-2"/>
          <w:lang w:eastAsia="ja-JP"/>
        </w:rPr>
      </w:pPr>
    </w:p>
    <w:p w14:paraId="0A373C20" w14:textId="77777777" w:rsidR="007C2166" w:rsidRDefault="007C2166" w:rsidP="008355BC">
      <w:pPr>
        <w:pStyle w:val="DecisionParagraphs"/>
        <w:keepLines/>
        <w:rPr>
          <w:rFonts w:eastAsia="MS Mincho"/>
          <w:i w:val="0"/>
          <w:spacing w:val="-2"/>
          <w:lang w:eastAsia="ja-JP"/>
        </w:rPr>
      </w:pPr>
    </w:p>
    <w:p w14:paraId="3E5CCED0" w14:textId="570DAF6E" w:rsidR="00955AD5" w:rsidRPr="00310D26" w:rsidRDefault="000D28D8" w:rsidP="00955AD5">
      <w:pPr>
        <w:pStyle w:val="Heading1"/>
        <w:rPr>
          <w:lang w:val="es-ES"/>
        </w:rPr>
      </w:pPr>
      <w:bookmarkStart w:id="37" w:name="_Toc52802621"/>
      <w:r w:rsidRPr="00310D26">
        <w:rPr>
          <w:lang w:val="es-ES"/>
        </w:rPr>
        <w:t>OTRAS CUESTIONES QUE DEBERÁ EXAMINAR EL cAJ</w:t>
      </w:r>
      <w:bookmarkEnd w:id="37"/>
    </w:p>
    <w:p w14:paraId="0976C959" w14:textId="77777777" w:rsidR="00955AD5" w:rsidRPr="00310D26" w:rsidRDefault="00955AD5" w:rsidP="00955AD5">
      <w:pPr>
        <w:keepNext/>
      </w:pPr>
    </w:p>
    <w:p w14:paraId="2D170F42" w14:textId="3047CFAB" w:rsidR="00955AD5" w:rsidRPr="00310D26" w:rsidRDefault="00955AD5" w:rsidP="00881B25">
      <w:pPr>
        <w:pStyle w:val="Heading2"/>
        <w:rPr>
          <w:snapToGrid w:val="0"/>
          <w:lang w:val="es-ES"/>
        </w:rPr>
      </w:pPr>
      <w:bookmarkStart w:id="38" w:name="_Toc42523416"/>
      <w:bookmarkStart w:id="39" w:name="_Toc52802622"/>
      <w:r w:rsidRPr="00310D26">
        <w:rPr>
          <w:snapToGrid w:val="0"/>
          <w:lang w:val="es-ES"/>
        </w:rPr>
        <w:t>Document</w:t>
      </w:r>
      <w:r w:rsidR="000D28D8" w:rsidRPr="00310D26">
        <w:rPr>
          <w:snapToGrid w:val="0"/>
          <w:lang w:val="es-ES"/>
        </w:rPr>
        <w:t>o</w:t>
      </w:r>
      <w:r w:rsidRPr="00310D26">
        <w:rPr>
          <w:snapToGrid w:val="0"/>
          <w:lang w:val="es-ES"/>
        </w:rPr>
        <w:t xml:space="preserve"> UPOV/INF/23:</w:t>
      </w:r>
      <w:r w:rsidR="00C05526">
        <w:rPr>
          <w:snapToGrid w:val="0"/>
          <w:lang w:val="es-ES"/>
        </w:rPr>
        <w:t xml:space="preserve"> </w:t>
      </w:r>
      <w:r w:rsidR="000D28D8" w:rsidRPr="00310D26">
        <w:rPr>
          <w:snapToGrid w:val="0"/>
          <w:lang w:val="es-ES"/>
        </w:rPr>
        <w:t xml:space="preserve">Orientación acerca del sistema de códigos de la UPOV </w:t>
      </w:r>
      <w:r w:rsidRPr="00310D26">
        <w:rPr>
          <w:snapToGrid w:val="0"/>
          <w:lang w:val="es-ES"/>
        </w:rPr>
        <w:t>(document</w:t>
      </w:r>
      <w:r w:rsidR="000D28D8" w:rsidRPr="00310D26">
        <w:rPr>
          <w:snapToGrid w:val="0"/>
          <w:lang w:val="es-ES"/>
        </w:rPr>
        <w:t>o</w:t>
      </w:r>
      <w:r w:rsidR="00785C76">
        <w:rPr>
          <w:snapToGrid w:val="0"/>
          <w:lang w:val="es-ES"/>
        </w:rPr>
        <w:t> UPOV/</w:t>
      </w:r>
      <w:proofErr w:type="spellStart"/>
      <w:r w:rsidR="00785C76">
        <w:rPr>
          <w:snapToGrid w:val="0"/>
          <w:lang w:val="es-ES"/>
        </w:rPr>
        <w:t>INF</w:t>
      </w:r>
      <w:proofErr w:type="spellEnd"/>
      <w:r w:rsidR="00785C76">
        <w:rPr>
          <w:snapToGrid w:val="0"/>
          <w:lang w:val="es-ES"/>
        </w:rPr>
        <w:t>/23/1 </w:t>
      </w:r>
      <w:proofErr w:type="spellStart"/>
      <w:r w:rsidRPr="00310D26">
        <w:rPr>
          <w:snapToGrid w:val="0"/>
          <w:lang w:val="es-ES"/>
        </w:rPr>
        <w:t>Draft</w:t>
      </w:r>
      <w:proofErr w:type="spellEnd"/>
      <w:r w:rsidRPr="00310D26">
        <w:rPr>
          <w:snapToGrid w:val="0"/>
          <w:lang w:val="es-ES"/>
        </w:rPr>
        <w:t> 1)</w:t>
      </w:r>
      <w:bookmarkEnd w:id="38"/>
      <w:bookmarkEnd w:id="39"/>
      <w:r w:rsidRPr="00310D26">
        <w:rPr>
          <w:snapToGrid w:val="0"/>
          <w:lang w:val="es-ES"/>
        </w:rPr>
        <w:t xml:space="preserve"> </w:t>
      </w:r>
    </w:p>
    <w:p w14:paraId="68B12C18" w14:textId="77777777" w:rsidR="00955AD5" w:rsidRPr="00310D26" w:rsidRDefault="00955AD5" w:rsidP="00955AD5">
      <w:pPr>
        <w:keepNext/>
        <w:jc w:val="left"/>
      </w:pPr>
    </w:p>
    <w:p w14:paraId="6FF57BBE" w14:textId="39F3EB6A" w:rsidR="00955AD5" w:rsidRPr="00310D26" w:rsidRDefault="00955AD5" w:rsidP="00955AD5">
      <w:pPr>
        <w:rPr>
          <w:rFonts w:cs="Arial"/>
          <w:snapToGrid w:val="0"/>
          <w:spacing w:val="2"/>
        </w:rPr>
      </w:pPr>
      <w:r w:rsidRPr="00310D26">
        <w:rPr>
          <w:spacing w:val="2"/>
        </w:rPr>
        <w:fldChar w:fldCharType="begin"/>
      </w:r>
      <w:r w:rsidRPr="00310D26">
        <w:rPr>
          <w:spacing w:val="2"/>
        </w:rPr>
        <w:instrText xml:space="preserve"> AUTONUM  </w:instrText>
      </w:r>
      <w:r w:rsidRPr="00310D26">
        <w:rPr>
          <w:spacing w:val="2"/>
        </w:rPr>
        <w:fldChar w:fldCharType="end"/>
      </w:r>
      <w:r w:rsidRPr="00310D26">
        <w:rPr>
          <w:spacing w:val="2"/>
        </w:rPr>
        <w:tab/>
      </w:r>
      <w:r w:rsidR="000D28D8" w:rsidRPr="00310D26">
        <w:rPr>
          <w:rFonts w:cs="Arial"/>
          <w:snapToGrid w:val="0"/>
          <w:spacing w:val="2"/>
        </w:rPr>
        <w:t>La</w:t>
      </w:r>
      <w:r w:rsidRPr="00310D26">
        <w:rPr>
          <w:rFonts w:cs="Arial"/>
          <w:snapToGrid w:val="0"/>
          <w:spacing w:val="2"/>
        </w:rPr>
        <w:t xml:space="preserve"> “</w:t>
      </w:r>
      <w:r w:rsidR="000D28D8" w:rsidRPr="00310D26">
        <w:rPr>
          <w:snapToGrid w:val="0"/>
        </w:rPr>
        <w:t>Orientación acerca del sistema de códigos de la UPOV</w:t>
      </w:r>
      <w:r w:rsidRPr="00310D26">
        <w:rPr>
          <w:rFonts w:cs="Arial"/>
          <w:snapToGrid w:val="0"/>
          <w:spacing w:val="2"/>
        </w:rPr>
        <w:t>”</w:t>
      </w:r>
      <w:r w:rsidRPr="00310D26">
        <w:rPr>
          <w:rFonts w:cs="Arial"/>
          <w:spacing w:val="2"/>
        </w:rPr>
        <w:t xml:space="preserve">, </w:t>
      </w:r>
      <w:r w:rsidR="000D28D8" w:rsidRPr="00310D26">
        <w:rPr>
          <w:rFonts w:cs="Arial"/>
          <w:spacing w:val="2"/>
        </w:rPr>
        <w:t>modificada por el</w:t>
      </w:r>
      <w:r w:rsidRPr="00310D26">
        <w:rPr>
          <w:rFonts w:cs="Arial"/>
          <w:spacing w:val="2"/>
        </w:rPr>
        <w:t xml:space="preserve"> TC</w:t>
      </w:r>
      <w:r w:rsidR="000D28D8" w:rsidRPr="00310D26">
        <w:rPr>
          <w:rFonts w:cs="Arial"/>
          <w:spacing w:val="2"/>
        </w:rPr>
        <w:t xml:space="preserve"> en su cuadragésima octava sesión</w:t>
      </w:r>
      <w:r w:rsidRPr="00310D26">
        <w:rPr>
          <w:rStyle w:val="FootnoteReference"/>
          <w:rFonts w:cs="Arial"/>
          <w:spacing w:val="2"/>
        </w:rPr>
        <w:footnoteReference w:id="7"/>
      </w:r>
      <w:r w:rsidR="000D28D8" w:rsidRPr="00310D26">
        <w:rPr>
          <w:rFonts w:cs="Arial"/>
          <w:spacing w:val="2"/>
        </w:rPr>
        <w:t xml:space="preserve"> y por el</w:t>
      </w:r>
      <w:r w:rsidRPr="00310D26">
        <w:rPr>
          <w:rFonts w:cs="Arial"/>
          <w:spacing w:val="2"/>
        </w:rPr>
        <w:t xml:space="preserve"> </w:t>
      </w:r>
      <w:r w:rsidR="000D28D8" w:rsidRPr="00310D26">
        <w:rPr>
          <w:rFonts w:cs="Arial"/>
          <w:spacing w:val="2"/>
        </w:rPr>
        <w:t xml:space="preserve">CAJ </w:t>
      </w:r>
      <w:r w:rsidR="000D28D8" w:rsidRPr="00310D26">
        <w:rPr>
          <w:rFonts w:cs="Arial"/>
          <w:color w:val="000000"/>
          <w:shd w:val="clear" w:color="auto" w:fill="FFFFFF" w:themeFill="background1"/>
        </w:rPr>
        <w:t>en su sexagésima quinta sesión</w:t>
      </w:r>
      <w:r w:rsidR="000D28D8" w:rsidRPr="00310D26">
        <w:rPr>
          <w:rStyle w:val="FootnoteReference"/>
          <w:rFonts w:cs="Arial"/>
          <w:bCs/>
          <w:snapToGrid w:val="0"/>
          <w:spacing w:val="2"/>
          <w:shd w:val="clear" w:color="auto" w:fill="FFFFFF" w:themeFill="background1"/>
        </w:rPr>
        <w:t xml:space="preserve"> </w:t>
      </w:r>
      <w:r w:rsidRPr="00310D26">
        <w:rPr>
          <w:rStyle w:val="FootnoteReference"/>
          <w:rFonts w:cs="Arial"/>
          <w:bCs/>
          <w:snapToGrid w:val="0"/>
          <w:spacing w:val="2"/>
          <w:shd w:val="clear" w:color="auto" w:fill="FFFFFF" w:themeFill="background1"/>
        </w:rPr>
        <w:footnoteReference w:id="8"/>
      </w:r>
      <w:r w:rsidR="00D10BB4">
        <w:rPr>
          <w:rFonts w:cs="Arial"/>
          <w:bCs/>
          <w:snapToGrid w:val="0"/>
          <w:spacing w:val="2"/>
          <w:shd w:val="clear" w:color="auto" w:fill="FFFFFF" w:themeFill="background1"/>
        </w:rPr>
        <w:t>,</w:t>
      </w:r>
      <w:r w:rsidR="00C05526">
        <w:rPr>
          <w:rFonts w:cs="Arial"/>
          <w:bCs/>
          <w:snapToGrid w:val="0"/>
          <w:spacing w:val="2"/>
          <w:shd w:val="clear" w:color="auto" w:fill="FFFFFF" w:themeFill="background1"/>
        </w:rPr>
        <w:t xml:space="preserve"> </w:t>
      </w:r>
      <w:r w:rsidR="000D28D8" w:rsidRPr="00310D26">
        <w:rPr>
          <w:rFonts w:cs="Arial"/>
          <w:color w:val="000000"/>
          <w:shd w:val="clear" w:color="auto" w:fill="FFFFFF" w:themeFill="background1"/>
        </w:rPr>
        <w:t xml:space="preserve">se reproduce en el Anexo I de los documentos TC/49/6 y CAJ/67/6 y </w:t>
      </w:r>
      <w:r w:rsidR="008627A3" w:rsidRPr="00310D26">
        <w:rPr>
          <w:rFonts w:cs="Arial"/>
          <w:color w:val="000000"/>
          <w:shd w:val="clear" w:color="auto" w:fill="FFFFFF" w:themeFill="background1"/>
        </w:rPr>
        <w:t xml:space="preserve">está disponible en el </w:t>
      </w:r>
      <w:r w:rsidR="000D28D8" w:rsidRPr="00310D26">
        <w:rPr>
          <w:rFonts w:cs="Arial"/>
          <w:color w:val="000000"/>
          <w:shd w:val="clear" w:color="auto" w:fill="FFFFFF" w:themeFill="background1"/>
        </w:rPr>
        <w:t>sitio web de la</w:t>
      </w:r>
      <w:r w:rsidR="00C05526">
        <w:rPr>
          <w:rFonts w:cs="Arial"/>
          <w:color w:val="000000"/>
          <w:shd w:val="clear" w:color="auto" w:fill="FFFFFF" w:themeFill="background1"/>
        </w:rPr>
        <w:t xml:space="preserve"> </w:t>
      </w:r>
      <w:r w:rsidR="000D28D8" w:rsidRPr="00310D26">
        <w:rPr>
          <w:rFonts w:cs="Arial"/>
          <w:color w:val="000000"/>
          <w:shd w:val="clear" w:color="auto" w:fill="FFFFFF" w:themeFill="background1"/>
        </w:rPr>
        <w:t>UPOV</w:t>
      </w:r>
      <w:r w:rsidR="000D28D8" w:rsidRPr="00310D26">
        <w:rPr>
          <w:rFonts w:cs="Arial"/>
          <w:spacing w:val="2"/>
        </w:rPr>
        <w:t xml:space="preserve"> </w:t>
      </w:r>
      <w:r w:rsidRPr="00310D26">
        <w:rPr>
          <w:rFonts w:cs="Arial"/>
          <w:spacing w:val="2"/>
        </w:rPr>
        <w:t>(</w:t>
      </w:r>
      <w:r w:rsidR="000D28D8" w:rsidRPr="00310D26">
        <w:rPr>
          <w:rFonts w:cs="Arial"/>
          <w:spacing w:val="2"/>
        </w:rPr>
        <w:t>véase</w:t>
      </w:r>
      <w:r w:rsidRPr="00310D26">
        <w:rPr>
          <w:rFonts w:cs="Arial"/>
          <w:spacing w:val="2"/>
        </w:rPr>
        <w:t> </w:t>
      </w:r>
      <w:hyperlink r:id="rId10" w:history="1">
        <w:r w:rsidR="000D28D8" w:rsidRPr="00310D26">
          <w:rPr>
            <w:rStyle w:val="Hyperlink"/>
          </w:rPr>
          <w:t>https://www.upov.int/genie/resources/pdfs/upov_code_system_es.pdf</w:t>
        </w:r>
      </w:hyperlink>
      <w:r w:rsidRPr="00310D26">
        <w:rPr>
          <w:rStyle w:val="Hyperlink"/>
          <w:spacing w:val="2"/>
        </w:rPr>
        <w:t>)</w:t>
      </w:r>
      <w:r w:rsidRPr="00310D26">
        <w:rPr>
          <w:rFonts w:cs="Arial"/>
          <w:snapToGrid w:val="0"/>
          <w:spacing w:val="2"/>
        </w:rPr>
        <w:t>.</w:t>
      </w:r>
    </w:p>
    <w:p w14:paraId="37991EDC" w14:textId="77777777" w:rsidR="00955AD5" w:rsidRPr="00310D26" w:rsidRDefault="00955AD5" w:rsidP="00955AD5">
      <w:pPr>
        <w:rPr>
          <w:rFonts w:cs="Arial"/>
          <w:snapToGrid w:val="0"/>
          <w:spacing w:val="-2"/>
        </w:rPr>
      </w:pPr>
    </w:p>
    <w:p w14:paraId="0841BB10" w14:textId="4FEE1117" w:rsidR="00955AD5" w:rsidRPr="008355BC" w:rsidRDefault="00955AD5" w:rsidP="00955AD5">
      <w:pPr>
        <w:rPr>
          <w:i/>
          <w:spacing w:val="-2"/>
        </w:rPr>
      </w:pPr>
      <w:r w:rsidRPr="008355BC">
        <w:rPr>
          <w:spacing w:val="-2"/>
        </w:rPr>
        <w:fldChar w:fldCharType="begin"/>
      </w:r>
      <w:r w:rsidRPr="008355BC">
        <w:rPr>
          <w:spacing w:val="-2"/>
        </w:rPr>
        <w:instrText xml:space="preserve"> AUTONUM  </w:instrText>
      </w:r>
      <w:r w:rsidRPr="008355BC">
        <w:rPr>
          <w:spacing w:val="-2"/>
        </w:rPr>
        <w:fldChar w:fldCharType="end"/>
      </w:r>
      <w:r w:rsidRPr="008355BC">
        <w:rPr>
          <w:spacing w:val="-2"/>
        </w:rPr>
        <w:tab/>
      </w:r>
      <w:r w:rsidR="001727A4" w:rsidRPr="008355BC">
        <w:rPr>
          <w:rFonts w:cs="Arial"/>
          <w:color w:val="000000"/>
          <w:spacing w:val="-2"/>
          <w:shd w:val="clear" w:color="auto" w:fill="FFFFFF" w:themeFill="background1"/>
        </w:rPr>
        <w:t>En su quincuagésima quinta sesión</w:t>
      </w:r>
      <w:r w:rsidR="0024487F" w:rsidRPr="0024487F">
        <w:rPr>
          <w:spacing w:val="-2"/>
          <w:shd w:val="clear" w:color="auto" w:fill="FFFFFF" w:themeFill="background1"/>
          <w:vertAlign w:val="superscript"/>
        </w:rPr>
        <w:fldChar w:fldCharType="begin"/>
      </w:r>
      <w:r w:rsidR="0024487F" w:rsidRPr="0024487F">
        <w:rPr>
          <w:rFonts w:cs="Arial"/>
          <w:color w:val="000000"/>
          <w:spacing w:val="-2"/>
          <w:shd w:val="clear" w:color="auto" w:fill="FFFFFF" w:themeFill="background1"/>
          <w:vertAlign w:val="superscript"/>
        </w:rPr>
        <w:instrText xml:space="preserve"> NOTEREF _Ref48824131 \h </w:instrText>
      </w:r>
      <w:r w:rsidR="0024487F" w:rsidRPr="0024487F">
        <w:rPr>
          <w:spacing w:val="-2"/>
          <w:shd w:val="clear" w:color="auto" w:fill="FFFFFF" w:themeFill="background1"/>
          <w:vertAlign w:val="superscript"/>
        </w:rPr>
        <w:instrText xml:space="preserve"> \* MERGEFORMAT </w:instrText>
      </w:r>
      <w:r w:rsidR="0024487F" w:rsidRPr="0024487F">
        <w:rPr>
          <w:spacing w:val="-2"/>
          <w:shd w:val="clear" w:color="auto" w:fill="FFFFFF" w:themeFill="background1"/>
          <w:vertAlign w:val="superscript"/>
        </w:rPr>
      </w:r>
      <w:r w:rsidR="0024487F" w:rsidRPr="0024487F">
        <w:rPr>
          <w:spacing w:val="-2"/>
          <w:shd w:val="clear" w:color="auto" w:fill="FFFFFF" w:themeFill="background1"/>
          <w:vertAlign w:val="superscript"/>
        </w:rPr>
        <w:fldChar w:fldCharType="separate"/>
      </w:r>
      <w:r w:rsidR="00024BFE">
        <w:rPr>
          <w:rFonts w:cs="Arial"/>
          <w:color w:val="000000"/>
          <w:spacing w:val="-2"/>
          <w:shd w:val="clear" w:color="auto" w:fill="FFFFFF" w:themeFill="background1"/>
          <w:vertAlign w:val="superscript"/>
        </w:rPr>
        <w:t>2</w:t>
      </w:r>
      <w:r w:rsidR="0024487F" w:rsidRPr="0024487F">
        <w:rPr>
          <w:spacing w:val="-2"/>
          <w:shd w:val="clear" w:color="auto" w:fill="FFFFFF" w:themeFill="background1"/>
          <w:vertAlign w:val="superscript"/>
        </w:rPr>
        <w:fldChar w:fldCharType="end"/>
      </w:r>
      <w:r w:rsidR="001727A4" w:rsidRPr="008355BC">
        <w:rPr>
          <w:spacing w:val="-2"/>
          <w:shd w:val="clear" w:color="auto" w:fill="FFFFFF" w:themeFill="background1"/>
        </w:rPr>
        <w:t>,</w:t>
      </w:r>
      <w:r w:rsidR="00C05526" w:rsidRPr="008355BC">
        <w:rPr>
          <w:rFonts w:cs="Arial"/>
          <w:color w:val="000000"/>
          <w:spacing w:val="-2"/>
          <w:shd w:val="clear" w:color="auto" w:fill="FFFFFF" w:themeFill="background1"/>
        </w:rPr>
        <w:t xml:space="preserve"> </w:t>
      </w:r>
      <w:r w:rsidR="001727A4" w:rsidRPr="008355BC">
        <w:rPr>
          <w:spacing w:val="-2"/>
        </w:rPr>
        <w:t xml:space="preserve">el TC </w:t>
      </w:r>
      <w:r w:rsidR="00DB3CF4" w:rsidRPr="008355BC">
        <w:rPr>
          <w:spacing w:val="-2"/>
        </w:rPr>
        <w:t>examinó las propuestas de modificación de la “Orientación acerca del sistema de códigos de la UPOV</w:t>
      </w:r>
      <w:r w:rsidR="001727A4" w:rsidRPr="008355BC">
        <w:rPr>
          <w:spacing w:val="-2"/>
        </w:rPr>
        <w:t>” a efectos de reflejar</w:t>
      </w:r>
      <w:r w:rsidR="00DB3CF4" w:rsidRPr="008355BC">
        <w:rPr>
          <w:spacing w:val="-2"/>
        </w:rPr>
        <w:t xml:space="preserve"> las excepciones admitidas para los códigos UPO</w:t>
      </w:r>
      <w:r w:rsidR="00061DA5" w:rsidRPr="008355BC">
        <w:rPr>
          <w:spacing w:val="-2"/>
        </w:rPr>
        <w:t>V</w:t>
      </w:r>
      <w:r w:rsidR="00DB3CF4" w:rsidRPr="008355BC">
        <w:rPr>
          <w:spacing w:val="-2"/>
        </w:rPr>
        <w:t xml:space="preserve"> del maíz palomero</w:t>
      </w:r>
      <w:r w:rsidR="00670EBF" w:rsidRPr="008355BC">
        <w:rPr>
          <w:spacing w:val="-2"/>
        </w:rPr>
        <w:t>/maíz</w:t>
      </w:r>
      <w:r w:rsidR="00DB3CF4" w:rsidRPr="008355BC">
        <w:rPr>
          <w:spacing w:val="-2"/>
        </w:rPr>
        <w:t xml:space="preserve"> reventón, el maíz dulce y </w:t>
      </w:r>
      <w:proofErr w:type="spellStart"/>
      <w:r w:rsidR="00DB3CF4" w:rsidRPr="008355BC">
        <w:rPr>
          <w:i/>
          <w:iCs/>
          <w:spacing w:val="-2"/>
        </w:rPr>
        <w:t>Brassica</w:t>
      </w:r>
      <w:proofErr w:type="spellEnd"/>
      <w:r w:rsidR="00DB3CF4" w:rsidRPr="008355BC">
        <w:rPr>
          <w:i/>
          <w:iCs/>
          <w:spacing w:val="-2"/>
        </w:rPr>
        <w:t xml:space="preserve"> </w:t>
      </w:r>
      <w:proofErr w:type="spellStart"/>
      <w:r w:rsidR="00DB3CF4" w:rsidRPr="008355BC">
        <w:rPr>
          <w:i/>
          <w:iCs/>
          <w:spacing w:val="-2"/>
        </w:rPr>
        <w:t>oleracea</w:t>
      </w:r>
      <w:proofErr w:type="spellEnd"/>
      <w:r w:rsidRPr="008355BC">
        <w:rPr>
          <w:spacing w:val="-2"/>
        </w:rPr>
        <w:t>.</w:t>
      </w:r>
      <w:r w:rsidR="00C05526" w:rsidRPr="008355BC">
        <w:rPr>
          <w:spacing w:val="-2"/>
        </w:rPr>
        <w:t xml:space="preserve"> </w:t>
      </w:r>
      <w:r w:rsidR="00786EED" w:rsidRPr="008355BC">
        <w:rPr>
          <w:spacing w:val="-2"/>
        </w:rPr>
        <w:t xml:space="preserve">El </w:t>
      </w:r>
      <w:r w:rsidRPr="008355BC">
        <w:rPr>
          <w:spacing w:val="-2"/>
        </w:rPr>
        <w:t xml:space="preserve">TC </w:t>
      </w:r>
      <w:r w:rsidR="00786EED" w:rsidRPr="008355BC">
        <w:rPr>
          <w:spacing w:val="-2"/>
        </w:rPr>
        <w:t xml:space="preserve">recordó que </w:t>
      </w:r>
      <w:r w:rsidR="00670EBF" w:rsidRPr="008355BC">
        <w:rPr>
          <w:spacing w:val="-2"/>
        </w:rPr>
        <w:t>el</w:t>
      </w:r>
      <w:r w:rsidRPr="008355BC">
        <w:rPr>
          <w:spacing w:val="-2"/>
        </w:rPr>
        <w:t xml:space="preserve"> </w:t>
      </w:r>
      <w:r w:rsidR="00786EED" w:rsidRPr="008355BC">
        <w:rPr>
          <w:rFonts w:cs="Arial"/>
          <w:color w:val="000000"/>
          <w:spacing w:val="-2"/>
          <w:shd w:val="clear" w:color="auto" w:fill="FFFFFF" w:themeFill="background1"/>
        </w:rPr>
        <w:t>sistema de códigos</w:t>
      </w:r>
      <w:r w:rsidR="00786EED" w:rsidRPr="008355BC">
        <w:rPr>
          <w:spacing w:val="-2"/>
        </w:rPr>
        <w:t xml:space="preserve"> de la </w:t>
      </w:r>
      <w:r w:rsidRPr="008355BC">
        <w:rPr>
          <w:spacing w:val="-2"/>
        </w:rPr>
        <w:t xml:space="preserve">UPOV </w:t>
      </w:r>
      <w:r w:rsidR="00670EBF" w:rsidRPr="008355BC">
        <w:rPr>
          <w:spacing w:val="-2"/>
        </w:rPr>
        <w:t xml:space="preserve">tiene por objetivo principal resolver </w:t>
      </w:r>
      <w:r w:rsidR="00786EED" w:rsidRPr="008355BC">
        <w:rPr>
          <w:spacing w:val="-2"/>
        </w:rPr>
        <w:t xml:space="preserve">los problemas </w:t>
      </w:r>
      <w:r w:rsidR="00670EBF" w:rsidRPr="008355BC">
        <w:rPr>
          <w:spacing w:val="-2"/>
        </w:rPr>
        <w:t>de sinonimia entre</w:t>
      </w:r>
      <w:r w:rsidR="00786EED" w:rsidRPr="008355BC">
        <w:rPr>
          <w:spacing w:val="-2"/>
        </w:rPr>
        <w:t xml:space="preserve"> taxones vegetales y </w:t>
      </w:r>
      <w:r w:rsidR="00670EBF" w:rsidRPr="008355BC">
        <w:rPr>
          <w:spacing w:val="-2"/>
        </w:rPr>
        <w:t>ha de</w:t>
      </w:r>
      <w:r w:rsidR="00786EED" w:rsidRPr="008355BC">
        <w:rPr>
          <w:spacing w:val="-2"/>
        </w:rPr>
        <w:t xml:space="preserve"> basarse en criterios taxonómicos</w:t>
      </w:r>
      <w:r w:rsidR="00AA1DB5" w:rsidRPr="008355BC">
        <w:rPr>
          <w:spacing w:val="-2"/>
        </w:rPr>
        <w:t>, teniendo también en cuenta</w:t>
      </w:r>
      <w:r w:rsidR="00CE30EE" w:rsidRPr="008355BC">
        <w:rPr>
          <w:spacing w:val="-2"/>
        </w:rPr>
        <w:t xml:space="preserve"> que </w:t>
      </w:r>
      <w:r w:rsidR="00AA1DB5" w:rsidRPr="008355BC">
        <w:rPr>
          <w:spacing w:val="-2"/>
        </w:rPr>
        <w:t xml:space="preserve">hay </w:t>
      </w:r>
      <w:r w:rsidR="00670EBF" w:rsidRPr="008355BC">
        <w:rPr>
          <w:spacing w:val="-2"/>
        </w:rPr>
        <w:t>otras</w:t>
      </w:r>
      <w:r w:rsidR="00CE30EE" w:rsidRPr="008355BC">
        <w:rPr>
          <w:spacing w:val="-2"/>
        </w:rPr>
        <w:t xml:space="preserve"> organizaciones internacionales</w:t>
      </w:r>
      <w:r w:rsidR="00AA1DB5" w:rsidRPr="008355BC">
        <w:rPr>
          <w:spacing w:val="-2"/>
        </w:rPr>
        <w:t>,</w:t>
      </w:r>
      <w:r w:rsidR="00670EBF" w:rsidRPr="008355BC">
        <w:rPr>
          <w:spacing w:val="-2"/>
        </w:rPr>
        <w:t xml:space="preserve"> </w:t>
      </w:r>
      <w:r w:rsidR="00CE30EE" w:rsidRPr="008355BC">
        <w:rPr>
          <w:spacing w:val="-2"/>
        </w:rPr>
        <w:t>como la</w:t>
      </w:r>
      <w:r w:rsidRPr="008355BC">
        <w:rPr>
          <w:spacing w:val="-2"/>
        </w:rPr>
        <w:t xml:space="preserve"> ISTA</w:t>
      </w:r>
      <w:r w:rsidR="00AA1DB5" w:rsidRPr="008355BC">
        <w:rPr>
          <w:spacing w:val="-2"/>
        </w:rPr>
        <w:t>, que</w:t>
      </w:r>
      <w:r w:rsidR="00670EBF" w:rsidRPr="008355BC">
        <w:rPr>
          <w:spacing w:val="-2"/>
        </w:rPr>
        <w:t xml:space="preserve"> utilizan este sistema</w:t>
      </w:r>
      <w:r w:rsidRPr="008355BC">
        <w:rPr>
          <w:spacing w:val="-2"/>
        </w:rPr>
        <w:t>.</w:t>
      </w:r>
      <w:r w:rsidR="00C05526" w:rsidRPr="008355BC">
        <w:rPr>
          <w:spacing w:val="-2"/>
        </w:rPr>
        <w:t xml:space="preserve"> </w:t>
      </w:r>
      <w:r w:rsidR="00CE30EE" w:rsidRPr="008355BC">
        <w:rPr>
          <w:spacing w:val="-2"/>
        </w:rPr>
        <w:t>El</w:t>
      </w:r>
      <w:r w:rsidRPr="008355BC">
        <w:rPr>
          <w:spacing w:val="-2"/>
        </w:rPr>
        <w:t xml:space="preserve"> TC </w:t>
      </w:r>
      <w:r w:rsidR="00CE30EE" w:rsidRPr="008355BC">
        <w:rPr>
          <w:spacing w:val="-2"/>
        </w:rPr>
        <w:t xml:space="preserve">convino en que las excepciones </w:t>
      </w:r>
      <w:r w:rsidR="001727A4" w:rsidRPr="008355BC">
        <w:rPr>
          <w:spacing w:val="-2"/>
        </w:rPr>
        <w:t>a la</w:t>
      </w:r>
      <w:r w:rsidRPr="008355BC">
        <w:rPr>
          <w:spacing w:val="-2"/>
        </w:rPr>
        <w:t xml:space="preserve"> </w:t>
      </w:r>
      <w:r w:rsidR="00CE30EE" w:rsidRPr="008355BC">
        <w:rPr>
          <w:spacing w:val="-2"/>
        </w:rPr>
        <w:t>“</w:t>
      </w:r>
      <w:r w:rsidR="00CE30EE" w:rsidRPr="008355BC">
        <w:rPr>
          <w:snapToGrid w:val="0"/>
          <w:spacing w:val="-2"/>
        </w:rPr>
        <w:t>Orientación acerca del sistema de códigos de la UPOV</w:t>
      </w:r>
      <w:r w:rsidRPr="008355BC">
        <w:rPr>
          <w:spacing w:val="-2"/>
        </w:rPr>
        <w:t xml:space="preserve">” </w:t>
      </w:r>
      <w:r w:rsidR="001727A4" w:rsidRPr="008355BC">
        <w:rPr>
          <w:spacing w:val="-2"/>
        </w:rPr>
        <w:t>propuestas diverg</w:t>
      </w:r>
      <w:r w:rsidR="00670EBF" w:rsidRPr="008355BC">
        <w:rPr>
          <w:spacing w:val="-2"/>
        </w:rPr>
        <w:t>en</w:t>
      </w:r>
      <w:r w:rsidR="001727A4" w:rsidRPr="008355BC">
        <w:rPr>
          <w:spacing w:val="-2"/>
        </w:rPr>
        <w:t xml:space="preserve"> de</w:t>
      </w:r>
      <w:r w:rsidR="00670EBF" w:rsidRPr="008355BC">
        <w:rPr>
          <w:spacing w:val="-2"/>
        </w:rPr>
        <w:t xml:space="preserve"> la taxonomía de la</w:t>
      </w:r>
      <w:r w:rsidR="00022D2D" w:rsidRPr="008355BC">
        <w:rPr>
          <w:spacing w:val="-2"/>
        </w:rPr>
        <w:t xml:space="preserve"> </w:t>
      </w:r>
      <w:proofErr w:type="spellStart"/>
      <w:r w:rsidR="00022D2D" w:rsidRPr="008355BC">
        <w:rPr>
          <w:rFonts w:cs="Arial"/>
          <w:i/>
          <w:iCs/>
          <w:color w:val="000000"/>
          <w:spacing w:val="-2"/>
          <w:shd w:val="clear" w:color="auto" w:fill="FFFFFF" w:themeFill="background1"/>
        </w:rPr>
        <w:t>Germplasm</w:t>
      </w:r>
      <w:proofErr w:type="spellEnd"/>
      <w:r w:rsidR="00022D2D" w:rsidRPr="008355BC">
        <w:rPr>
          <w:rFonts w:cs="Arial"/>
          <w:i/>
          <w:iCs/>
          <w:color w:val="000000"/>
          <w:spacing w:val="-2"/>
          <w:shd w:val="clear" w:color="auto" w:fill="FFFFFF" w:themeFill="background1"/>
        </w:rPr>
        <w:t xml:space="preserve"> </w:t>
      </w:r>
      <w:proofErr w:type="spellStart"/>
      <w:r w:rsidR="00022D2D" w:rsidRPr="008355BC">
        <w:rPr>
          <w:rFonts w:cs="Arial"/>
          <w:i/>
          <w:iCs/>
          <w:color w:val="000000"/>
          <w:spacing w:val="-2"/>
          <w:shd w:val="clear" w:color="auto" w:fill="FFFFFF" w:themeFill="background1"/>
        </w:rPr>
        <w:t>Resources</w:t>
      </w:r>
      <w:proofErr w:type="spellEnd"/>
      <w:r w:rsidR="00022D2D" w:rsidRPr="008355BC">
        <w:rPr>
          <w:rFonts w:cs="Arial"/>
          <w:i/>
          <w:iCs/>
          <w:color w:val="000000"/>
          <w:spacing w:val="-2"/>
          <w:shd w:val="clear" w:color="auto" w:fill="FFFFFF" w:themeFill="background1"/>
        </w:rPr>
        <w:t xml:space="preserve"> </w:t>
      </w:r>
      <w:proofErr w:type="spellStart"/>
      <w:r w:rsidR="00022D2D" w:rsidRPr="008355BC">
        <w:rPr>
          <w:rFonts w:cs="Arial"/>
          <w:i/>
          <w:iCs/>
          <w:color w:val="000000"/>
          <w:spacing w:val="-2"/>
          <w:shd w:val="clear" w:color="auto" w:fill="FFFFFF" w:themeFill="background1"/>
        </w:rPr>
        <w:t>Information</w:t>
      </w:r>
      <w:proofErr w:type="spellEnd"/>
      <w:r w:rsidR="00022D2D" w:rsidRPr="008355BC">
        <w:rPr>
          <w:rFonts w:cs="Arial"/>
          <w:i/>
          <w:iCs/>
          <w:color w:val="000000"/>
          <w:spacing w:val="-2"/>
          <w:shd w:val="clear" w:color="auto" w:fill="FFFFFF" w:themeFill="background1"/>
        </w:rPr>
        <w:t xml:space="preserve"> Network</w:t>
      </w:r>
      <w:r w:rsidR="00022D2D" w:rsidRPr="008355BC">
        <w:rPr>
          <w:rFonts w:cs="Arial"/>
          <w:color w:val="000000"/>
          <w:spacing w:val="-2"/>
          <w:shd w:val="clear" w:color="auto" w:fill="FFFFFF" w:themeFill="background1"/>
        </w:rPr>
        <w:t xml:space="preserve"> </w:t>
      </w:r>
      <w:r w:rsidR="00022D2D" w:rsidRPr="008355BC">
        <w:rPr>
          <w:rFonts w:cs="Arial"/>
          <w:spacing w:val="-2"/>
          <w:shd w:val="clear" w:color="auto" w:fill="FFFFFF" w:themeFill="background1"/>
        </w:rPr>
        <w:t>(</w:t>
      </w:r>
      <w:r w:rsidR="00CE30EE" w:rsidRPr="008355BC">
        <w:rPr>
          <w:rFonts w:cs="Arial"/>
          <w:spacing w:val="-2"/>
          <w:shd w:val="clear" w:color="auto" w:fill="FFFFFF" w:themeFill="background1"/>
        </w:rPr>
        <w:t>Red de Información de Recursos de Germoplasma</w:t>
      </w:r>
      <w:r w:rsidR="00022D2D" w:rsidRPr="008355BC">
        <w:rPr>
          <w:rFonts w:cs="Arial"/>
          <w:spacing w:val="-2"/>
          <w:shd w:val="clear" w:color="auto" w:fill="FFFFFF" w:themeFill="background1"/>
        </w:rPr>
        <w:t xml:space="preserve">, </w:t>
      </w:r>
      <w:r w:rsidR="00CE30EE" w:rsidRPr="008355BC">
        <w:rPr>
          <w:rFonts w:cs="Arial"/>
          <w:spacing w:val="-2"/>
          <w:shd w:val="clear" w:color="auto" w:fill="FFFFFF" w:themeFill="background1"/>
        </w:rPr>
        <w:t>GRIN)</w:t>
      </w:r>
      <w:r w:rsidR="00086565" w:rsidRPr="008355BC">
        <w:rPr>
          <w:rFonts w:cs="Arial"/>
          <w:spacing w:val="-2"/>
          <w:shd w:val="clear" w:color="auto" w:fill="FFFFFF" w:themeFill="background1"/>
        </w:rPr>
        <w:t>.</w:t>
      </w:r>
      <w:r w:rsidR="00CE30EE" w:rsidRPr="008355BC">
        <w:rPr>
          <w:spacing w:val="-2"/>
        </w:rPr>
        <w:t> </w:t>
      </w:r>
      <w:r w:rsidR="00086565" w:rsidRPr="008355BC">
        <w:rPr>
          <w:spacing w:val="-2"/>
        </w:rPr>
        <w:t xml:space="preserve">El TC convino en que los Códigos </w:t>
      </w:r>
      <w:r w:rsidRPr="008355BC">
        <w:rPr>
          <w:spacing w:val="-2"/>
        </w:rPr>
        <w:t xml:space="preserve">UPOV </w:t>
      </w:r>
      <w:r w:rsidR="00086565" w:rsidRPr="008355BC">
        <w:rPr>
          <w:spacing w:val="-2"/>
        </w:rPr>
        <w:t>debe</w:t>
      </w:r>
      <w:r w:rsidR="00670EBF" w:rsidRPr="008355BC">
        <w:rPr>
          <w:spacing w:val="-2"/>
        </w:rPr>
        <w:t xml:space="preserve">n </w:t>
      </w:r>
      <w:r w:rsidR="00AF64E4" w:rsidRPr="008355BC">
        <w:rPr>
          <w:spacing w:val="-2"/>
        </w:rPr>
        <w:t>segui</w:t>
      </w:r>
      <w:r w:rsidR="00086565" w:rsidRPr="008355BC">
        <w:rPr>
          <w:spacing w:val="-2"/>
        </w:rPr>
        <w:t>r ajustándose a la taxonomía de la</w:t>
      </w:r>
      <w:r w:rsidRPr="008355BC">
        <w:rPr>
          <w:spacing w:val="-2"/>
        </w:rPr>
        <w:t xml:space="preserve"> GRIN</w:t>
      </w:r>
      <w:r w:rsidR="00086565" w:rsidRPr="008355BC">
        <w:rPr>
          <w:spacing w:val="-2"/>
        </w:rPr>
        <w:t xml:space="preserve"> en la medida de lo posible</w:t>
      </w:r>
      <w:r w:rsidRPr="008355BC">
        <w:rPr>
          <w:spacing w:val="-2"/>
        </w:rPr>
        <w:t xml:space="preserve">. </w:t>
      </w:r>
    </w:p>
    <w:p w14:paraId="5CB1FFD2" w14:textId="77777777" w:rsidR="00955AD5" w:rsidRPr="00310D26" w:rsidRDefault="00955AD5" w:rsidP="00955AD5"/>
    <w:p w14:paraId="33AFFF2B" w14:textId="1791FE75" w:rsidR="00955AD5" w:rsidRPr="00310D26" w:rsidRDefault="00955AD5" w:rsidP="00955AD5">
      <w:pPr>
        <w:keepLines/>
        <w:rPr>
          <w:i/>
        </w:rPr>
      </w:pPr>
      <w:r w:rsidRPr="00310D26">
        <w:rPr>
          <w:spacing w:val="2"/>
        </w:rPr>
        <w:fldChar w:fldCharType="begin"/>
      </w:r>
      <w:r w:rsidRPr="00310D26">
        <w:rPr>
          <w:spacing w:val="2"/>
        </w:rPr>
        <w:instrText xml:space="preserve"> AUTONUM  </w:instrText>
      </w:r>
      <w:r w:rsidRPr="00310D26">
        <w:rPr>
          <w:spacing w:val="2"/>
        </w:rPr>
        <w:fldChar w:fldCharType="end"/>
      </w:r>
      <w:r w:rsidRPr="00310D26">
        <w:rPr>
          <w:spacing w:val="2"/>
        </w:rPr>
        <w:tab/>
      </w:r>
      <w:r w:rsidR="00670EBF" w:rsidRPr="00310D26">
        <w:t xml:space="preserve">El TC convino en posponer la modificación de la “Orientación acerca del sistema de códigos de la UPOV” y estudiar soluciones alternativas para que los códigos UPOV puedan proporcionar información útil sobre grupos o tipos de variedades a los fines del examen DHE. El TC convino en invitar a la Oficina de la Unión a elaborar un documento con propuestas, </w:t>
      </w:r>
      <w:r w:rsidR="00061DA5" w:rsidRPr="00310D26">
        <w:t>con miras a examinarlo</w:t>
      </w:r>
      <w:r w:rsidR="00670EBF" w:rsidRPr="00310D26">
        <w:t xml:space="preserve"> en su quincuagésima sexta sesión </w:t>
      </w:r>
      <w:r w:rsidRPr="00310D26">
        <w:t>(document</w:t>
      </w:r>
      <w:r w:rsidR="001727A4" w:rsidRPr="00310D26">
        <w:t>o</w:t>
      </w:r>
      <w:r w:rsidRPr="00310D26">
        <w:t xml:space="preserve"> TC/55/25 “</w:t>
      </w:r>
      <w:r w:rsidR="001727A4" w:rsidRPr="00310D26">
        <w:t>Informe</w:t>
      </w:r>
      <w:r w:rsidRPr="00310D26">
        <w:t xml:space="preserve">”, </w:t>
      </w:r>
      <w:r w:rsidR="001727A4" w:rsidRPr="00310D26">
        <w:t xml:space="preserve">párrafos </w:t>
      </w:r>
      <w:r w:rsidRPr="00310D26">
        <w:t xml:space="preserve">208 </w:t>
      </w:r>
      <w:r w:rsidR="001727A4" w:rsidRPr="00310D26">
        <w:t>a</w:t>
      </w:r>
      <w:r w:rsidRPr="00310D26">
        <w:t xml:space="preserve"> 210). </w:t>
      </w:r>
    </w:p>
    <w:p w14:paraId="01DCF356" w14:textId="77777777" w:rsidR="00955AD5" w:rsidRPr="00310D26" w:rsidRDefault="00955AD5" w:rsidP="00955AD5">
      <w:pPr>
        <w:keepLines/>
        <w:rPr>
          <w:i/>
        </w:rPr>
      </w:pPr>
    </w:p>
    <w:p w14:paraId="146FCE23" w14:textId="382D520E" w:rsidR="00955AD5" w:rsidRPr="00310D26" w:rsidRDefault="00955AD5" w:rsidP="00955AD5">
      <w:pPr>
        <w:pStyle w:val="Default"/>
        <w:jc w:val="both"/>
        <w:rPr>
          <w:sz w:val="20"/>
          <w:szCs w:val="20"/>
          <w:lang w:val="es-ES"/>
        </w:rPr>
      </w:pPr>
      <w:r w:rsidRPr="00310D26">
        <w:rPr>
          <w:sz w:val="20"/>
          <w:szCs w:val="20"/>
          <w:lang w:val="es-ES"/>
        </w:rPr>
        <w:fldChar w:fldCharType="begin"/>
      </w:r>
      <w:r w:rsidRPr="00310D26">
        <w:rPr>
          <w:sz w:val="20"/>
          <w:szCs w:val="20"/>
          <w:lang w:val="es-ES"/>
        </w:rPr>
        <w:instrText xml:space="preserve"> AUTONUM  </w:instrText>
      </w:r>
      <w:r w:rsidRPr="00310D26">
        <w:rPr>
          <w:sz w:val="20"/>
          <w:szCs w:val="20"/>
          <w:lang w:val="es-ES"/>
        </w:rPr>
        <w:fldChar w:fldCharType="end"/>
      </w:r>
      <w:r w:rsidRPr="00310D26">
        <w:rPr>
          <w:sz w:val="20"/>
          <w:szCs w:val="20"/>
          <w:lang w:val="es-ES"/>
        </w:rPr>
        <w:tab/>
      </w:r>
      <w:r w:rsidR="00670EBF" w:rsidRPr="008E3675">
        <w:rPr>
          <w:color w:val="auto"/>
          <w:sz w:val="20"/>
          <w:szCs w:val="20"/>
          <w:lang w:val="es-ES"/>
        </w:rPr>
        <w:t>En su nonagésima sexta sesión celebrada en Ginebra el 31 de octubre de 2019, el Comité Consultivo</w:t>
      </w:r>
      <w:r w:rsidRPr="008E3675">
        <w:rPr>
          <w:color w:val="auto"/>
          <w:sz w:val="20"/>
          <w:szCs w:val="20"/>
          <w:lang w:val="es-ES"/>
        </w:rPr>
        <w:t xml:space="preserve"> </w:t>
      </w:r>
      <w:r w:rsidR="00310D26" w:rsidRPr="008E3675">
        <w:rPr>
          <w:color w:val="auto"/>
          <w:sz w:val="20"/>
          <w:szCs w:val="20"/>
          <w:lang w:val="es-ES"/>
        </w:rPr>
        <w:t>observó</w:t>
      </w:r>
      <w:r w:rsidR="00670EBF" w:rsidRPr="008E3675">
        <w:rPr>
          <w:color w:val="auto"/>
          <w:sz w:val="20"/>
          <w:szCs w:val="20"/>
          <w:lang w:val="es-ES"/>
        </w:rPr>
        <w:t xml:space="preserve"> que</w:t>
      </w:r>
      <w:r w:rsidRPr="00310D26">
        <w:rPr>
          <w:sz w:val="20"/>
          <w:szCs w:val="20"/>
          <w:lang w:val="es-ES"/>
        </w:rPr>
        <w:t xml:space="preserve">, </w:t>
      </w:r>
      <w:r w:rsidR="00670EBF" w:rsidRPr="00310D26">
        <w:rPr>
          <w:sz w:val="20"/>
          <w:szCs w:val="20"/>
          <w:lang w:val="es-ES"/>
        </w:rPr>
        <w:t>en el momento apropiado, se invitar</w:t>
      </w:r>
      <w:r w:rsidR="008627A3" w:rsidRPr="00310D26">
        <w:rPr>
          <w:sz w:val="20"/>
          <w:szCs w:val="20"/>
          <w:lang w:val="es-ES"/>
        </w:rPr>
        <w:t>á</w:t>
      </w:r>
      <w:r w:rsidR="00670EBF" w:rsidRPr="00310D26">
        <w:rPr>
          <w:sz w:val="20"/>
          <w:szCs w:val="20"/>
          <w:lang w:val="es-ES"/>
        </w:rPr>
        <w:t xml:space="preserve"> al Consejo </w:t>
      </w:r>
      <w:r w:rsidR="00612839" w:rsidRPr="00310D26">
        <w:rPr>
          <w:sz w:val="20"/>
          <w:szCs w:val="20"/>
          <w:lang w:val="es-ES"/>
        </w:rPr>
        <w:t>a aprobar el</w:t>
      </w:r>
      <w:r w:rsidRPr="00310D26">
        <w:rPr>
          <w:sz w:val="20"/>
          <w:szCs w:val="20"/>
          <w:lang w:val="es-ES"/>
        </w:rPr>
        <w:t xml:space="preserve"> “</w:t>
      </w:r>
      <w:r w:rsidR="00670EBF" w:rsidRPr="00310D26">
        <w:rPr>
          <w:sz w:val="20"/>
          <w:szCs w:val="20"/>
          <w:lang w:val="es-ES"/>
        </w:rPr>
        <w:t>Programa de mejoras de la base de datos PLUTO</w:t>
      </w:r>
      <w:r w:rsidRPr="00310D26">
        <w:rPr>
          <w:sz w:val="20"/>
          <w:szCs w:val="20"/>
          <w:lang w:val="es-ES"/>
        </w:rPr>
        <w:t xml:space="preserve">” </w:t>
      </w:r>
      <w:r w:rsidR="00612839" w:rsidRPr="00310D26">
        <w:rPr>
          <w:sz w:val="20"/>
          <w:szCs w:val="20"/>
          <w:lang w:val="es-ES"/>
        </w:rPr>
        <w:t>y la</w:t>
      </w:r>
      <w:r w:rsidRPr="00310D26">
        <w:rPr>
          <w:sz w:val="20"/>
          <w:szCs w:val="20"/>
          <w:lang w:val="es-ES"/>
        </w:rPr>
        <w:t xml:space="preserve"> “</w:t>
      </w:r>
      <w:r w:rsidR="008627A3" w:rsidRPr="00310D26">
        <w:rPr>
          <w:sz w:val="20"/>
          <w:szCs w:val="20"/>
          <w:lang w:val="es-ES"/>
        </w:rPr>
        <w:t>Orientación acerca del sistema de códigos de la UPOV</w:t>
      </w:r>
      <w:r w:rsidRPr="00310D26">
        <w:rPr>
          <w:sz w:val="20"/>
          <w:szCs w:val="20"/>
          <w:lang w:val="es-ES"/>
        </w:rPr>
        <w:t xml:space="preserve">”, </w:t>
      </w:r>
      <w:r w:rsidR="008627A3" w:rsidRPr="00310D26">
        <w:rPr>
          <w:sz w:val="20"/>
          <w:szCs w:val="20"/>
          <w:lang w:val="es-ES"/>
        </w:rPr>
        <w:t>que se publicará</w:t>
      </w:r>
      <w:r w:rsidR="00AA1DB5" w:rsidRPr="00310D26">
        <w:rPr>
          <w:sz w:val="20"/>
          <w:szCs w:val="20"/>
          <w:lang w:val="es-ES"/>
        </w:rPr>
        <w:t>n</w:t>
      </w:r>
      <w:r w:rsidR="008627A3" w:rsidRPr="00310D26">
        <w:rPr>
          <w:sz w:val="20"/>
          <w:szCs w:val="20"/>
          <w:lang w:val="es-ES"/>
        </w:rPr>
        <w:t xml:space="preserve"> en la serie de documentos UPOV/INF de la Colección de la UPOV </w:t>
      </w:r>
      <w:r w:rsidRPr="00310D26">
        <w:rPr>
          <w:sz w:val="20"/>
          <w:szCs w:val="20"/>
          <w:lang w:val="es-ES"/>
        </w:rPr>
        <w:t>(document</w:t>
      </w:r>
      <w:r w:rsidR="00612839" w:rsidRPr="00310D26">
        <w:rPr>
          <w:sz w:val="20"/>
          <w:szCs w:val="20"/>
          <w:lang w:val="es-ES"/>
        </w:rPr>
        <w:t>o</w:t>
      </w:r>
      <w:r w:rsidRPr="00310D26">
        <w:rPr>
          <w:sz w:val="20"/>
          <w:szCs w:val="20"/>
          <w:lang w:val="es-ES"/>
        </w:rPr>
        <w:t xml:space="preserve"> </w:t>
      </w:r>
      <w:r w:rsidRPr="00310D26">
        <w:rPr>
          <w:rFonts w:cstheme="minorBidi"/>
          <w:color w:val="auto"/>
          <w:sz w:val="20"/>
          <w:lang w:val="es-ES"/>
        </w:rPr>
        <w:t>CC/96/14, “</w:t>
      </w:r>
      <w:r w:rsidR="00612839" w:rsidRPr="00310D26">
        <w:rPr>
          <w:rFonts w:cstheme="minorBidi"/>
          <w:color w:val="auto"/>
          <w:sz w:val="20"/>
          <w:lang w:val="es-ES"/>
        </w:rPr>
        <w:t>Informe</w:t>
      </w:r>
      <w:r w:rsidRPr="00310D26">
        <w:rPr>
          <w:rFonts w:cstheme="minorBidi"/>
          <w:color w:val="auto"/>
          <w:sz w:val="20"/>
          <w:lang w:val="es-ES"/>
        </w:rPr>
        <w:t xml:space="preserve">”, </w:t>
      </w:r>
      <w:r w:rsidRPr="00310D26">
        <w:rPr>
          <w:rFonts w:cstheme="minorBidi"/>
          <w:sz w:val="20"/>
          <w:lang w:val="es-ES"/>
        </w:rPr>
        <w:t>p</w:t>
      </w:r>
      <w:r w:rsidR="00612839" w:rsidRPr="00310D26">
        <w:rPr>
          <w:rFonts w:cstheme="minorBidi"/>
          <w:sz w:val="20"/>
          <w:lang w:val="es-ES"/>
        </w:rPr>
        <w:t>árrafo</w:t>
      </w:r>
      <w:r w:rsidRPr="00310D26">
        <w:rPr>
          <w:rFonts w:cstheme="minorBidi"/>
          <w:sz w:val="20"/>
          <w:lang w:val="es-ES"/>
        </w:rPr>
        <w:t xml:space="preserve"> 85)</w:t>
      </w:r>
      <w:r w:rsidRPr="00310D26">
        <w:rPr>
          <w:sz w:val="20"/>
          <w:szCs w:val="20"/>
          <w:lang w:val="es-ES"/>
        </w:rPr>
        <w:t xml:space="preserve">. </w:t>
      </w:r>
    </w:p>
    <w:p w14:paraId="2043C86C" w14:textId="77777777" w:rsidR="00955AD5" w:rsidRPr="00310D26" w:rsidRDefault="00955AD5" w:rsidP="00955AD5">
      <w:pPr>
        <w:rPr>
          <w:rFonts w:cs="Arial"/>
          <w:snapToGrid w:val="0"/>
          <w:spacing w:val="-2"/>
        </w:rPr>
      </w:pPr>
    </w:p>
    <w:p w14:paraId="636C8816" w14:textId="6435CC48" w:rsidR="00955AD5" w:rsidRPr="00310D26" w:rsidRDefault="00955AD5" w:rsidP="00492AA3">
      <w:pPr>
        <w:keepLines/>
        <w:rPr>
          <w:lang w:eastAsia="ja-JP"/>
        </w:rPr>
      </w:pPr>
      <w:r w:rsidRPr="00310D26">
        <w:rPr>
          <w:lang w:eastAsia="ja-JP"/>
        </w:rPr>
        <w:fldChar w:fldCharType="begin"/>
      </w:r>
      <w:r w:rsidRPr="00310D26">
        <w:rPr>
          <w:lang w:eastAsia="ja-JP"/>
        </w:rPr>
        <w:instrText xml:space="preserve"> AUTONUM  </w:instrText>
      </w:r>
      <w:r w:rsidRPr="00310D26">
        <w:rPr>
          <w:lang w:eastAsia="ja-JP"/>
        </w:rPr>
        <w:fldChar w:fldCharType="end"/>
      </w:r>
      <w:r w:rsidRPr="00310D26">
        <w:rPr>
          <w:lang w:eastAsia="ja-JP"/>
        </w:rPr>
        <w:tab/>
        <w:t xml:space="preserve"> </w:t>
      </w:r>
      <w:r w:rsidR="00F83361" w:rsidRPr="00310D26">
        <w:rPr>
          <w:lang w:eastAsia="ja-JP"/>
        </w:rPr>
        <w:t xml:space="preserve">Se invitará al </w:t>
      </w:r>
      <w:r w:rsidRPr="00310D26">
        <w:rPr>
          <w:lang w:eastAsia="ja-JP"/>
        </w:rPr>
        <w:t xml:space="preserve">CAJ </w:t>
      </w:r>
      <w:r w:rsidR="00F83361" w:rsidRPr="00310D26">
        <w:rPr>
          <w:lang w:eastAsia="ja-JP"/>
        </w:rPr>
        <w:t>a examinar el documento</w:t>
      </w:r>
      <w:r w:rsidRPr="00310D26">
        <w:rPr>
          <w:lang w:eastAsia="ja-JP"/>
        </w:rPr>
        <w:t xml:space="preserve"> UPOV/INF/23/1, </w:t>
      </w:r>
      <w:r w:rsidR="00743F9C" w:rsidRPr="00310D26">
        <w:rPr>
          <w:lang w:eastAsia="ja-JP"/>
        </w:rPr>
        <w:t>sobre la base del documento</w:t>
      </w:r>
      <w:r w:rsidRPr="00310D26">
        <w:rPr>
          <w:lang w:eastAsia="ja-JP"/>
        </w:rPr>
        <w:t xml:space="preserve"> UPOV/</w:t>
      </w:r>
      <w:proofErr w:type="spellStart"/>
      <w:r w:rsidRPr="00310D26">
        <w:rPr>
          <w:lang w:eastAsia="ja-JP"/>
        </w:rPr>
        <w:t>INF</w:t>
      </w:r>
      <w:proofErr w:type="spellEnd"/>
      <w:r w:rsidRPr="00310D26">
        <w:rPr>
          <w:lang w:eastAsia="ja-JP"/>
        </w:rPr>
        <w:t>/23/1 </w:t>
      </w:r>
      <w:proofErr w:type="spellStart"/>
      <w:r w:rsidRPr="00310D26">
        <w:rPr>
          <w:lang w:eastAsia="ja-JP"/>
        </w:rPr>
        <w:t>Draft</w:t>
      </w:r>
      <w:proofErr w:type="spellEnd"/>
      <w:r w:rsidRPr="00310D26">
        <w:rPr>
          <w:lang w:eastAsia="ja-JP"/>
        </w:rPr>
        <w:t xml:space="preserve"> 1 </w:t>
      </w:r>
      <w:r w:rsidRPr="00310D26">
        <w:rPr>
          <w:snapToGrid w:val="0"/>
          <w:lang w:eastAsia="ja-JP"/>
        </w:rPr>
        <w:t>“</w:t>
      </w:r>
      <w:r w:rsidR="00F83361" w:rsidRPr="00310D26">
        <w:t>Orientación acerca del sistema de códigos de la UPOV</w:t>
      </w:r>
      <w:r w:rsidRPr="00310D26">
        <w:rPr>
          <w:snapToGrid w:val="0"/>
          <w:lang w:eastAsia="ja-JP"/>
        </w:rPr>
        <w:t>”</w:t>
      </w:r>
      <w:r w:rsidRPr="00310D26">
        <w:rPr>
          <w:lang w:eastAsia="ja-JP"/>
        </w:rPr>
        <w:t xml:space="preserve">. </w:t>
      </w:r>
    </w:p>
    <w:p w14:paraId="55AD9E50" w14:textId="77777777" w:rsidR="00955AD5" w:rsidRPr="00310D26" w:rsidRDefault="00955AD5" w:rsidP="00955AD5">
      <w:pPr>
        <w:rPr>
          <w:lang w:eastAsia="ja-JP"/>
        </w:rPr>
      </w:pPr>
    </w:p>
    <w:p w14:paraId="009F599A" w14:textId="06E98A7F" w:rsidR="00955AD5" w:rsidRPr="00310D26" w:rsidRDefault="00955AD5" w:rsidP="00955AD5">
      <w:pPr>
        <w:rPr>
          <w:lang w:eastAsia="ja-JP"/>
        </w:rPr>
      </w:pPr>
      <w:r w:rsidRPr="00310D26">
        <w:rPr>
          <w:lang w:eastAsia="ja-JP"/>
        </w:rPr>
        <w:fldChar w:fldCharType="begin"/>
      </w:r>
      <w:r w:rsidRPr="00310D26">
        <w:rPr>
          <w:lang w:eastAsia="ja-JP"/>
        </w:rPr>
        <w:instrText xml:space="preserve"> AUTONUM  </w:instrText>
      </w:r>
      <w:r w:rsidRPr="00310D26">
        <w:rPr>
          <w:lang w:eastAsia="ja-JP"/>
        </w:rPr>
        <w:fldChar w:fldCharType="end"/>
      </w:r>
      <w:r w:rsidRPr="00310D26">
        <w:rPr>
          <w:lang w:eastAsia="ja-JP"/>
        </w:rPr>
        <w:tab/>
      </w:r>
      <w:r w:rsidR="00AA1DB5" w:rsidRPr="00310D26">
        <w:rPr>
          <w:rFonts w:cs="Arial"/>
          <w:color w:val="000000"/>
          <w:shd w:val="clear" w:color="auto" w:fill="FFFFFF" w:themeFill="background1"/>
        </w:rPr>
        <w:t>En función de las</w:t>
      </w:r>
      <w:r w:rsidR="00F83361" w:rsidRPr="00310D26">
        <w:rPr>
          <w:rFonts w:cs="Arial"/>
          <w:color w:val="000000"/>
          <w:shd w:val="clear" w:color="auto" w:fill="FFFFFF" w:themeFill="background1"/>
        </w:rPr>
        <w:t xml:space="preserve"> conclusiones </w:t>
      </w:r>
      <w:r w:rsidR="00AA1DB5" w:rsidRPr="00310D26">
        <w:rPr>
          <w:rFonts w:cs="Arial"/>
          <w:color w:val="000000"/>
          <w:shd w:val="clear" w:color="auto" w:fill="FFFFFF" w:themeFill="background1"/>
        </w:rPr>
        <w:t>de</w:t>
      </w:r>
      <w:r w:rsidR="00F83361" w:rsidRPr="00310D26">
        <w:rPr>
          <w:rFonts w:cs="Arial"/>
          <w:color w:val="000000"/>
          <w:shd w:val="clear" w:color="auto" w:fill="FFFFFF" w:themeFill="background1"/>
        </w:rPr>
        <w:t xml:space="preserve"> su sesión </w:t>
      </w:r>
      <w:r w:rsidR="00AA1DB5" w:rsidRPr="00310D26">
        <w:rPr>
          <w:rFonts w:cs="Arial"/>
          <w:color w:val="000000"/>
          <w:shd w:val="clear" w:color="auto" w:fill="FFFFFF" w:themeFill="background1"/>
        </w:rPr>
        <w:t>de</w:t>
      </w:r>
      <w:r w:rsidR="00AA1DB5" w:rsidRPr="00310D26">
        <w:t xml:space="preserve"> </w:t>
      </w:r>
      <w:r w:rsidR="00F83361" w:rsidRPr="00310D26">
        <w:t>2020</w:t>
      </w:r>
      <w:r w:rsidR="00F83361" w:rsidRPr="00310D26">
        <w:rPr>
          <w:lang w:eastAsia="ja-JP"/>
        </w:rPr>
        <w:t xml:space="preserve">, </w:t>
      </w:r>
      <w:r w:rsidR="00AA1DB5" w:rsidRPr="00310D26">
        <w:rPr>
          <w:lang w:eastAsia="ja-JP"/>
        </w:rPr>
        <w:t>el CAJ podrá</w:t>
      </w:r>
      <w:r w:rsidR="00F83361" w:rsidRPr="00310D26">
        <w:rPr>
          <w:lang w:eastAsia="ja-JP"/>
        </w:rPr>
        <w:t xml:space="preserve"> </w:t>
      </w:r>
      <w:r w:rsidR="00D7683C" w:rsidRPr="00310D26">
        <w:rPr>
          <w:lang w:eastAsia="ja-JP"/>
        </w:rPr>
        <w:t>invit</w:t>
      </w:r>
      <w:r w:rsidR="00AA1DB5" w:rsidRPr="00310D26">
        <w:rPr>
          <w:lang w:eastAsia="ja-JP"/>
        </w:rPr>
        <w:t>ar</w:t>
      </w:r>
      <w:r w:rsidR="00F83361" w:rsidRPr="00310D26">
        <w:rPr>
          <w:lang w:eastAsia="ja-JP"/>
        </w:rPr>
        <w:t xml:space="preserve"> al</w:t>
      </w:r>
      <w:r w:rsidRPr="00310D26">
        <w:t xml:space="preserve"> TC </w:t>
      </w:r>
      <w:r w:rsidR="00F83361" w:rsidRPr="00310D26">
        <w:rPr>
          <w:lang w:eastAsia="ja-JP"/>
        </w:rPr>
        <w:t>a examinar un nuevo proyecto de</w:t>
      </w:r>
      <w:r w:rsidR="00D7683C" w:rsidRPr="00310D26">
        <w:rPr>
          <w:lang w:eastAsia="ja-JP"/>
        </w:rPr>
        <w:t xml:space="preserve"> </w:t>
      </w:r>
      <w:r w:rsidR="00F83361" w:rsidRPr="00310D26">
        <w:rPr>
          <w:lang w:eastAsia="ja-JP"/>
        </w:rPr>
        <w:t>documento</w:t>
      </w:r>
      <w:r w:rsidRPr="00310D26">
        <w:rPr>
          <w:lang w:eastAsia="ja-JP"/>
        </w:rPr>
        <w:t xml:space="preserve"> UPOV/INF/23/1</w:t>
      </w:r>
      <w:r w:rsidR="00D7683C" w:rsidRPr="00310D26">
        <w:rPr>
          <w:lang w:eastAsia="ja-JP"/>
        </w:rPr>
        <w:t xml:space="preserve"> </w:t>
      </w:r>
      <w:r w:rsidR="00D7683C" w:rsidRPr="00310D26">
        <w:t>en 2021</w:t>
      </w:r>
      <w:r w:rsidRPr="00310D26">
        <w:rPr>
          <w:lang w:eastAsia="ja-JP"/>
        </w:rPr>
        <w:t xml:space="preserve">. </w:t>
      </w:r>
    </w:p>
    <w:p w14:paraId="7C3D2A0E" w14:textId="77777777" w:rsidR="00955AD5" w:rsidRPr="00310D26" w:rsidRDefault="00955AD5" w:rsidP="00955AD5">
      <w:pPr>
        <w:rPr>
          <w:rFonts w:cs="Arial"/>
          <w:snapToGrid w:val="0"/>
          <w:spacing w:val="-2"/>
        </w:rPr>
      </w:pPr>
    </w:p>
    <w:p w14:paraId="5183555F" w14:textId="00BAB5BF" w:rsidR="00955AD5" w:rsidRPr="00310D26" w:rsidRDefault="00955AD5" w:rsidP="00955AD5">
      <w:pPr>
        <w:pStyle w:val="DecisionParagraphs"/>
        <w:keepNext/>
        <w:rPr>
          <w:rFonts w:eastAsia="MS Mincho"/>
          <w:lang w:val="es-ES"/>
        </w:rPr>
      </w:pPr>
      <w:r w:rsidRPr="00310D26">
        <w:rPr>
          <w:rFonts w:eastAsia="MS Mincho"/>
          <w:lang w:val="es-ES"/>
        </w:rPr>
        <w:fldChar w:fldCharType="begin"/>
      </w:r>
      <w:r w:rsidRPr="00310D26">
        <w:rPr>
          <w:rFonts w:eastAsia="MS Mincho"/>
          <w:lang w:val="es-ES"/>
        </w:rPr>
        <w:instrText xml:space="preserve"> AUTONUM  </w:instrText>
      </w:r>
      <w:r w:rsidRPr="00310D26">
        <w:rPr>
          <w:rFonts w:eastAsia="MS Mincho"/>
          <w:lang w:val="es-ES"/>
        </w:rPr>
        <w:fldChar w:fldCharType="end"/>
      </w:r>
      <w:r w:rsidRPr="00310D26">
        <w:rPr>
          <w:rFonts w:eastAsia="MS Mincho"/>
          <w:lang w:val="es-ES"/>
        </w:rPr>
        <w:tab/>
      </w:r>
      <w:r w:rsidR="00D7683C" w:rsidRPr="00310D26">
        <w:rPr>
          <w:lang w:val="es-ES"/>
        </w:rPr>
        <w:t>Se invita al CAJ a</w:t>
      </w:r>
      <w:r w:rsidRPr="00310D26">
        <w:rPr>
          <w:rFonts w:eastAsia="MS Mincho"/>
          <w:lang w:val="es-ES"/>
        </w:rPr>
        <w:t>:</w:t>
      </w:r>
    </w:p>
    <w:p w14:paraId="366EED50" w14:textId="77777777" w:rsidR="00955AD5" w:rsidRPr="00310D26" w:rsidRDefault="00955AD5" w:rsidP="00955AD5">
      <w:pPr>
        <w:pStyle w:val="DecisionParagraphs"/>
        <w:keepNext/>
        <w:rPr>
          <w:rFonts w:eastAsia="MS Mincho"/>
          <w:lang w:val="es-ES"/>
        </w:rPr>
      </w:pPr>
    </w:p>
    <w:p w14:paraId="5892DAB2" w14:textId="339A7BAD" w:rsidR="00955AD5" w:rsidRPr="00310D26" w:rsidRDefault="00955AD5" w:rsidP="00955AD5">
      <w:pPr>
        <w:pStyle w:val="DecisionParagraphs"/>
        <w:keepNext/>
        <w:rPr>
          <w:rFonts w:eastAsia="MS Mincho"/>
          <w:snapToGrid w:val="0"/>
          <w:lang w:val="es-ES" w:eastAsia="ja-JP"/>
        </w:rPr>
      </w:pPr>
      <w:r w:rsidRPr="00310D26">
        <w:rPr>
          <w:snapToGrid w:val="0"/>
          <w:lang w:val="es-ES" w:eastAsia="ja-JP"/>
        </w:rPr>
        <w:tab/>
        <w:t>a)</w:t>
      </w:r>
      <w:r w:rsidRPr="00310D26">
        <w:rPr>
          <w:snapToGrid w:val="0"/>
          <w:lang w:val="es-ES" w:eastAsia="ja-JP"/>
        </w:rPr>
        <w:tab/>
      </w:r>
      <w:r w:rsidR="00D60821">
        <w:rPr>
          <w:snapToGrid w:val="0"/>
          <w:lang w:val="es-ES" w:eastAsia="ja-JP"/>
        </w:rPr>
        <w:t xml:space="preserve">examinar </w:t>
      </w:r>
      <w:r w:rsidR="00D7683C" w:rsidRPr="00310D26">
        <w:rPr>
          <w:snapToGrid w:val="0"/>
          <w:lang w:val="es-ES" w:eastAsia="ja-JP"/>
        </w:rPr>
        <w:t>la</w:t>
      </w:r>
      <w:r w:rsidRPr="00310D26">
        <w:rPr>
          <w:snapToGrid w:val="0"/>
          <w:lang w:val="es-ES" w:eastAsia="ja-JP"/>
        </w:rPr>
        <w:t xml:space="preserve"> “</w:t>
      </w:r>
      <w:r w:rsidR="00D7683C" w:rsidRPr="00310D26">
        <w:rPr>
          <w:lang w:val="es-ES"/>
        </w:rPr>
        <w:t>Orientación acerca del sistema de códigos de la UPOV</w:t>
      </w:r>
      <w:r w:rsidRPr="00310D26">
        <w:rPr>
          <w:snapToGrid w:val="0"/>
          <w:lang w:val="es-ES" w:eastAsia="ja-JP"/>
        </w:rPr>
        <w:t xml:space="preserve">”, </w:t>
      </w:r>
      <w:r w:rsidR="00743F9C" w:rsidRPr="00310D26">
        <w:rPr>
          <w:snapToGrid w:val="0"/>
          <w:lang w:val="es-ES" w:eastAsia="ja-JP"/>
        </w:rPr>
        <w:t>sobre la base del documento</w:t>
      </w:r>
      <w:r w:rsidRPr="00310D26">
        <w:rPr>
          <w:snapToGrid w:val="0"/>
          <w:lang w:val="es-ES" w:eastAsia="ja-JP"/>
        </w:rPr>
        <w:t xml:space="preserve"> UPOV/</w:t>
      </w:r>
      <w:proofErr w:type="spellStart"/>
      <w:r w:rsidRPr="00310D26">
        <w:rPr>
          <w:snapToGrid w:val="0"/>
          <w:lang w:val="es-ES" w:eastAsia="ja-JP"/>
        </w:rPr>
        <w:t>INF</w:t>
      </w:r>
      <w:proofErr w:type="spellEnd"/>
      <w:r w:rsidRPr="00310D26">
        <w:rPr>
          <w:snapToGrid w:val="0"/>
          <w:lang w:val="es-ES" w:eastAsia="ja-JP"/>
        </w:rPr>
        <w:t>/23/1 </w:t>
      </w:r>
      <w:proofErr w:type="spellStart"/>
      <w:r w:rsidRPr="00310D26">
        <w:rPr>
          <w:snapToGrid w:val="0"/>
          <w:lang w:val="es-ES" w:eastAsia="ja-JP"/>
        </w:rPr>
        <w:t>Draft</w:t>
      </w:r>
      <w:proofErr w:type="spellEnd"/>
      <w:r w:rsidRPr="00310D26">
        <w:rPr>
          <w:snapToGrid w:val="0"/>
          <w:lang w:val="es-ES" w:eastAsia="ja-JP"/>
        </w:rPr>
        <w:t xml:space="preserve"> 1; </w:t>
      </w:r>
      <w:r w:rsidR="00D7683C" w:rsidRPr="00310D26">
        <w:rPr>
          <w:snapToGrid w:val="0"/>
          <w:lang w:val="es-ES" w:eastAsia="ja-JP"/>
        </w:rPr>
        <w:t>y</w:t>
      </w:r>
    </w:p>
    <w:p w14:paraId="14DCC731" w14:textId="77777777" w:rsidR="00955AD5" w:rsidRPr="00310D26" w:rsidRDefault="00955AD5" w:rsidP="00955AD5">
      <w:pPr>
        <w:pStyle w:val="DecisionParagraphs"/>
        <w:keepNext/>
        <w:tabs>
          <w:tab w:val="clear" w:pos="5387"/>
          <w:tab w:val="clear" w:pos="5954"/>
          <w:tab w:val="left" w:pos="4962"/>
          <w:tab w:val="left" w:pos="5670"/>
        </w:tabs>
        <w:rPr>
          <w:rFonts w:eastAsia="MS Mincho"/>
          <w:snapToGrid w:val="0"/>
          <w:lang w:val="es-ES" w:eastAsia="ja-JP"/>
        </w:rPr>
      </w:pPr>
    </w:p>
    <w:p w14:paraId="74D2652F" w14:textId="170EB252" w:rsidR="00955AD5" w:rsidRPr="00310D26" w:rsidRDefault="00955AD5" w:rsidP="00955AD5">
      <w:pPr>
        <w:pStyle w:val="DecisionParagraphs"/>
        <w:keepNext/>
        <w:rPr>
          <w:rFonts w:eastAsia="MS Mincho"/>
          <w:snapToGrid w:val="0"/>
          <w:lang w:val="es-ES" w:eastAsia="ja-JP"/>
        </w:rPr>
      </w:pPr>
      <w:r w:rsidRPr="00310D26">
        <w:rPr>
          <w:rFonts w:eastAsia="MS Mincho"/>
          <w:snapToGrid w:val="0"/>
          <w:lang w:val="es-ES" w:eastAsia="ja-JP"/>
        </w:rPr>
        <w:tab/>
        <w:t>b)</w:t>
      </w:r>
      <w:r w:rsidRPr="00310D26">
        <w:rPr>
          <w:rFonts w:eastAsia="MS Mincho"/>
          <w:snapToGrid w:val="0"/>
          <w:lang w:val="es-ES" w:eastAsia="ja-JP"/>
        </w:rPr>
        <w:tab/>
      </w:r>
      <w:r w:rsidR="00D7683C" w:rsidRPr="00310D26">
        <w:rPr>
          <w:rFonts w:eastAsia="MS Mincho"/>
          <w:snapToGrid w:val="0"/>
          <w:lang w:val="es-ES" w:eastAsia="ja-JP"/>
        </w:rPr>
        <w:t>proponer que el</w:t>
      </w:r>
      <w:r w:rsidRPr="00310D26">
        <w:rPr>
          <w:lang w:val="es-ES"/>
        </w:rPr>
        <w:t xml:space="preserve"> TC </w:t>
      </w:r>
      <w:r w:rsidR="00D7683C" w:rsidRPr="00310D26">
        <w:rPr>
          <w:lang w:val="es-ES" w:eastAsia="ja-JP"/>
        </w:rPr>
        <w:t>examine un nuevo proyecto de documento</w:t>
      </w:r>
      <w:r w:rsidRPr="00310D26">
        <w:rPr>
          <w:rFonts w:eastAsia="MS Mincho"/>
          <w:snapToGrid w:val="0"/>
          <w:lang w:val="es-ES" w:eastAsia="ja-JP"/>
        </w:rPr>
        <w:t xml:space="preserve"> UPOV/INF/23/1 “</w:t>
      </w:r>
      <w:r w:rsidR="00D7683C" w:rsidRPr="00310D26">
        <w:rPr>
          <w:lang w:val="es-ES"/>
        </w:rPr>
        <w:t>Orientación acerca del sistema de códigos de la UPOV</w:t>
      </w:r>
      <w:r w:rsidRPr="00310D26">
        <w:rPr>
          <w:rFonts w:eastAsia="MS Mincho"/>
          <w:snapToGrid w:val="0"/>
          <w:lang w:val="es-ES" w:eastAsia="ja-JP"/>
        </w:rPr>
        <w:t xml:space="preserve">” </w:t>
      </w:r>
      <w:r w:rsidR="00D7683C" w:rsidRPr="00310D26">
        <w:rPr>
          <w:lang w:val="es-ES"/>
        </w:rPr>
        <w:t>e</w:t>
      </w:r>
      <w:r w:rsidRPr="00310D26">
        <w:rPr>
          <w:lang w:val="es-ES"/>
        </w:rPr>
        <w:t>n 2021</w:t>
      </w:r>
      <w:r w:rsidRPr="00310D26">
        <w:rPr>
          <w:rFonts w:eastAsia="MS Mincho"/>
          <w:snapToGrid w:val="0"/>
          <w:lang w:val="es-ES" w:eastAsia="ja-JP"/>
        </w:rPr>
        <w:t xml:space="preserve">. </w:t>
      </w:r>
    </w:p>
    <w:p w14:paraId="4680B9BB" w14:textId="77777777" w:rsidR="00955AD5" w:rsidRPr="00310D26" w:rsidRDefault="00955AD5" w:rsidP="00955AD5"/>
    <w:p w14:paraId="536205F0" w14:textId="77777777" w:rsidR="00955AD5" w:rsidRPr="00310D26" w:rsidRDefault="00955AD5" w:rsidP="00955AD5"/>
    <w:p w14:paraId="728A9B35" w14:textId="5B65411F" w:rsidR="00955AD5" w:rsidRPr="00310D26" w:rsidRDefault="00D7683C" w:rsidP="00881B25">
      <w:pPr>
        <w:pStyle w:val="Heading2"/>
        <w:rPr>
          <w:snapToGrid w:val="0"/>
          <w:lang w:val="es-ES"/>
        </w:rPr>
      </w:pPr>
      <w:bookmarkStart w:id="40" w:name="_Toc52802623"/>
      <w:r w:rsidRPr="00310D26">
        <w:rPr>
          <w:snapToGrid w:val="0"/>
          <w:lang w:val="es-ES"/>
        </w:rPr>
        <w:t>Referencia a UPOV PRISMA en las orientaciones y el material de información de la UPOV</w:t>
      </w:r>
      <w:bookmarkEnd w:id="40"/>
    </w:p>
    <w:p w14:paraId="4A7123FC" w14:textId="77777777" w:rsidR="00955AD5" w:rsidRPr="00310D26" w:rsidRDefault="00955AD5" w:rsidP="00955AD5"/>
    <w:p w14:paraId="717E4B64" w14:textId="104CF2FE" w:rsidR="00955AD5" w:rsidRPr="00310D26" w:rsidRDefault="00955AD5" w:rsidP="00955AD5">
      <w:pPr>
        <w:keepLines/>
        <w:rPr>
          <w:spacing w:val="-2"/>
        </w:rPr>
      </w:pPr>
      <w:r w:rsidRPr="00310D26">
        <w:rPr>
          <w:i/>
          <w:spacing w:val="-2"/>
        </w:rPr>
        <w:fldChar w:fldCharType="begin"/>
      </w:r>
      <w:r w:rsidRPr="00310D26">
        <w:rPr>
          <w:spacing w:val="-2"/>
        </w:rPr>
        <w:instrText xml:space="preserve"> AUTONUM  </w:instrText>
      </w:r>
      <w:r w:rsidRPr="00310D26">
        <w:rPr>
          <w:i/>
          <w:spacing w:val="-2"/>
        </w:rPr>
        <w:fldChar w:fldCharType="end"/>
      </w:r>
      <w:r w:rsidRPr="00310D26">
        <w:rPr>
          <w:spacing w:val="-2"/>
        </w:rPr>
        <w:tab/>
      </w:r>
      <w:r w:rsidR="00D7683C" w:rsidRPr="00310D26">
        <w:rPr>
          <w:spacing w:val="-2"/>
        </w:rPr>
        <w:t xml:space="preserve">En su septuagésima sexta </w:t>
      </w:r>
      <w:r w:rsidR="00D7683C" w:rsidRPr="008E3675">
        <w:rPr>
          <w:spacing w:val="-2"/>
        </w:rPr>
        <w:t>sesión</w:t>
      </w:r>
      <w:r w:rsidRPr="008E3675">
        <w:rPr>
          <w:spacing w:val="-2"/>
          <w:vertAlign w:val="superscript"/>
        </w:rPr>
        <w:fldChar w:fldCharType="begin"/>
      </w:r>
      <w:r w:rsidRPr="008E3675">
        <w:rPr>
          <w:spacing w:val="-2"/>
          <w:vertAlign w:val="superscript"/>
        </w:rPr>
        <w:instrText xml:space="preserve"> NOTEREF _Ref42609563 \h  \* MERGEFORMAT </w:instrText>
      </w:r>
      <w:r w:rsidRPr="008E3675">
        <w:rPr>
          <w:spacing w:val="-2"/>
          <w:vertAlign w:val="superscript"/>
        </w:rPr>
      </w:r>
      <w:r w:rsidRPr="008E3675">
        <w:rPr>
          <w:spacing w:val="-2"/>
          <w:vertAlign w:val="superscript"/>
        </w:rPr>
        <w:fldChar w:fldCharType="separate"/>
      </w:r>
      <w:r w:rsidR="00024BFE">
        <w:rPr>
          <w:spacing w:val="-2"/>
          <w:vertAlign w:val="superscript"/>
        </w:rPr>
        <w:t>3</w:t>
      </w:r>
      <w:r w:rsidRPr="008E3675">
        <w:rPr>
          <w:spacing w:val="-2"/>
          <w:vertAlign w:val="superscript"/>
        </w:rPr>
        <w:fldChar w:fldCharType="end"/>
      </w:r>
      <w:r w:rsidR="00D10BB4">
        <w:rPr>
          <w:spacing w:val="-2"/>
        </w:rPr>
        <w:t xml:space="preserve">, </w:t>
      </w:r>
      <w:r w:rsidR="00AA1DB5" w:rsidRPr="008E3675">
        <w:rPr>
          <w:spacing w:val="-2"/>
        </w:rPr>
        <w:t xml:space="preserve">el </w:t>
      </w:r>
      <w:proofErr w:type="spellStart"/>
      <w:r w:rsidR="00AA1DB5" w:rsidRPr="008E3675">
        <w:rPr>
          <w:spacing w:val="-2"/>
        </w:rPr>
        <w:t>CAJ</w:t>
      </w:r>
      <w:proofErr w:type="spellEnd"/>
      <w:r w:rsidR="00AA1DB5" w:rsidRPr="008E3675">
        <w:rPr>
          <w:spacing w:val="-2"/>
        </w:rPr>
        <w:t xml:space="preserve"> </w:t>
      </w:r>
      <w:r w:rsidR="009648C4" w:rsidRPr="008E3675">
        <w:rPr>
          <w:rFonts w:cs="Arial"/>
          <w:shd w:val="clear" w:color="auto" w:fill="FFFFFF" w:themeFill="background1"/>
        </w:rPr>
        <w:t xml:space="preserve">convino en que la Oficina de la Unión indique el material de información de la UPOV en que sea pertinente </w:t>
      </w:r>
      <w:r w:rsidR="009648C4" w:rsidRPr="00310D26">
        <w:rPr>
          <w:rFonts w:cs="Arial"/>
          <w:color w:val="000000"/>
          <w:shd w:val="clear" w:color="auto" w:fill="FFFFFF" w:themeFill="background1"/>
        </w:rPr>
        <w:t>incluir referencias a UPOV PRISMA (por ejemplo, la sección 2 “Formulario tipo de la UPOV para las solicitudes de derecho de obtentor” del documento TGP/5 y la correspondiente actualización del documento UPOV/INF/6</w:t>
      </w:r>
      <w:r w:rsidR="00AF64E4">
        <w:rPr>
          <w:rFonts w:cs="Arial"/>
          <w:color w:val="000000"/>
          <w:shd w:val="clear" w:color="auto" w:fill="FFFFFF" w:themeFill="background1"/>
        </w:rPr>
        <w:t xml:space="preserve">: </w:t>
      </w:r>
      <w:r w:rsidR="009648C4" w:rsidRPr="00310D26">
        <w:rPr>
          <w:rFonts w:cs="Arial"/>
          <w:color w:val="000000"/>
          <w:shd w:val="clear" w:color="auto" w:fill="FFFFFF" w:themeFill="background1"/>
        </w:rPr>
        <w:t>“Orientaciones para la redacción de leyes basadas en el Acta de 1991 del Convenio de la UPOV”) y presente las consiguientes propuestas de revisión</w:t>
      </w:r>
      <w:r w:rsidRPr="00310D26">
        <w:rPr>
          <w:spacing w:val="-2"/>
        </w:rPr>
        <w:t xml:space="preserve"> (</w:t>
      </w:r>
      <w:r w:rsidR="00330DC5" w:rsidRPr="00310D26">
        <w:rPr>
          <w:spacing w:val="-2"/>
        </w:rPr>
        <w:t>véase el documento</w:t>
      </w:r>
      <w:r w:rsidRPr="00310D26">
        <w:rPr>
          <w:spacing w:val="-2"/>
        </w:rPr>
        <w:t xml:space="preserve"> CAJ/76/9</w:t>
      </w:r>
      <w:r w:rsidR="00330DC5" w:rsidRPr="00310D26">
        <w:rPr>
          <w:spacing w:val="-2"/>
        </w:rPr>
        <w:t>:</w:t>
      </w:r>
      <w:r w:rsidRPr="00310D26">
        <w:rPr>
          <w:spacing w:val="-2"/>
        </w:rPr>
        <w:t xml:space="preserve"> “</w:t>
      </w:r>
      <w:r w:rsidR="009648C4" w:rsidRPr="00310D26">
        <w:rPr>
          <w:spacing w:val="-2"/>
        </w:rPr>
        <w:t>Informe</w:t>
      </w:r>
      <w:r w:rsidRPr="00310D26">
        <w:rPr>
          <w:spacing w:val="-2"/>
        </w:rPr>
        <w:t>”, p</w:t>
      </w:r>
      <w:r w:rsidR="009648C4" w:rsidRPr="00310D26">
        <w:rPr>
          <w:spacing w:val="-2"/>
        </w:rPr>
        <w:t xml:space="preserve">árrafo </w:t>
      </w:r>
      <w:r w:rsidRPr="00310D26">
        <w:rPr>
          <w:spacing w:val="-2"/>
        </w:rPr>
        <w:t>56).</w:t>
      </w:r>
    </w:p>
    <w:p w14:paraId="151F3B29" w14:textId="77777777" w:rsidR="00955AD5" w:rsidRPr="00310D26" w:rsidRDefault="00955AD5" w:rsidP="00955AD5"/>
    <w:p w14:paraId="6A2D42DF" w14:textId="0DA8E054" w:rsidR="00955AD5" w:rsidRPr="00310D26" w:rsidRDefault="00955AD5" w:rsidP="00955AD5">
      <w:pPr>
        <w:keepNext/>
        <w:keepLines/>
        <w:rPr>
          <w:spacing w:val="-2"/>
        </w:rPr>
      </w:pPr>
      <w:r w:rsidRPr="00310D26">
        <w:rPr>
          <w:i/>
          <w:spacing w:val="-2"/>
        </w:rPr>
        <w:fldChar w:fldCharType="begin"/>
      </w:r>
      <w:r w:rsidRPr="00310D26">
        <w:rPr>
          <w:spacing w:val="-2"/>
        </w:rPr>
        <w:instrText xml:space="preserve"> AUTONUM  </w:instrText>
      </w:r>
      <w:r w:rsidRPr="00310D26">
        <w:rPr>
          <w:i/>
          <w:spacing w:val="-2"/>
        </w:rPr>
        <w:fldChar w:fldCharType="end"/>
      </w:r>
      <w:r w:rsidRPr="00310D26">
        <w:rPr>
          <w:spacing w:val="-2"/>
        </w:rPr>
        <w:tab/>
      </w:r>
      <w:r w:rsidR="009648C4" w:rsidRPr="00310D26">
        <w:rPr>
          <w:spacing w:val="-2"/>
        </w:rPr>
        <w:t>En relación con el documento</w:t>
      </w:r>
      <w:r w:rsidRPr="00310D26">
        <w:rPr>
          <w:spacing w:val="-2"/>
        </w:rPr>
        <w:t> UPOV/INF/6</w:t>
      </w:r>
      <w:r w:rsidR="00330DC5" w:rsidRPr="00310D26">
        <w:rPr>
          <w:spacing w:val="-2"/>
        </w:rPr>
        <w:t>:</w:t>
      </w:r>
      <w:r w:rsidRPr="00310D26">
        <w:rPr>
          <w:spacing w:val="-2"/>
        </w:rPr>
        <w:t xml:space="preserve"> “</w:t>
      </w:r>
      <w:r w:rsidR="009648C4" w:rsidRPr="00310D26">
        <w:rPr>
          <w:rFonts w:cs="Arial"/>
          <w:color w:val="000000"/>
          <w:shd w:val="clear" w:color="auto" w:fill="FFFFFF" w:themeFill="background1"/>
        </w:rPr>
        <w:t>Orientaciones para la redacción de leyes basadas en el Acta de 1991 del Convenio de la UPOV</w:t>
      </w:r>
      <w:r w:rsidRPr="00310D26">
        <w:rPr>
          <w:spacing w:val="-2"/>
        </w:rPr>
        <w:t xml:space="preserve">”, </w:t>
      </w:r>
      <w:r w:rsidR="009648C4" w:rsidRPr="00310D26">
        <w:rPr>
          <w:spacing w:val="-2"/>
        </w:rPr>
        <w:t xml:space="preserve">se propone añadir una referencia a </w:t>
      </w:r>
      <w:r w:rsidRPr="00310D26">
        <w:rPr>
          <w:spacing w:val="-2"/>
        </w:rPr>
        <w:t xml:space="preserve">UPOV PRISMA </w:t>
      </w:r>
      <w:r w:rsidR="009648C4" w:rsidRPr="00310D26">
        <w:rPr>
          <w:spacing w:val="-2"/>
        </w:rPr>
        <w:t>en las Notas sobre el</w:t>
      </w:r>
      <w:r w:rsidRPr="00310D26">
        <w:rPr>
          <w:spacing w:val="-2"/>
        </w:rPr>
        <w:t xml:space="preserve"> </w:t>
      </w:r>
      <w:r w:rsidR="009648C4" w:rsidRPr="00310D26">
        <w:rPr>
          <w:spacing w:val="-2"/>
        </w:rPr>
        <w:t>Artículo</w:t>
      </w:r>
      <w:r w:rsidRPr="00310D26">
        <w:rPr>
          <w:spacing w:val="-2"/>
        </w:rPr>
        <w:t xml:space="preserve"> 10</w:t>
      </w:r>
      <w:r w:rsidR="00330DC5" w:rsidRPr="00310D26">
        <w:rPr>
          <w:spacing w:val="-2"/>
        </w:rPr>
        <w:t xml:space="preserve">: </w:t>
      </w:r>
      <w:r w:rsidRPr="00310D26">
        <w:rPr>
          <w:spacing w:val="-2"/>
        </w:rPr>
        <w:t>“</w:t>
      </w:r>
      <w:r w:rsidR="009648C4" w:rsidRPr="00310D26">
        <w:t>Presentación de solicitudes</w:t>
      </w:r>
      <w:r w:rsidRPr="00310D26">
        <w:rPr>
          <w:spacing w:val="-2"/>
        </w:rPr>
        <w:t>”.</w:t>
      </w:r>
      <w:r w:rsidR="00C05526">
        <w:rPr>
          <w:spacing w:val="-2"/>
        </w:rPr>
        <w:t xml:space="preserve"> </w:t>
      </w:r>
      <w:r w:rsidR="009648C4" w:rsidRPr="00310D26">
        <w:rPr>
          <w:spacing w:val="-2"/>
        </w:rPr>
        <w:t>La propuesta consi</w:t>
      </w:r>
      <w:r w:rsidR="00330DC5" w:rsidRPr="00310D26">
        <w:rPr>
          <w:spacing w:val="-2"/>
        </w:rPr>
        <w:t>s</w:t>
      </w:r>
      <w:r w:rsidR="009648C4" w:rsidRPr="00310D26">
        <w:rPr>
          <w:spacing w:val="-2"/>
        </w:rPr>
        <w:t xml:space="preserve">te en utilizar el texto aprobado recientemente por el Consejo en </w:t>
      </w:r>
      <w:r w:rsidRPr="00310D26">
        <w:rPr>
          <w:spacing w:val="-2"/>
        </w:rPr>
        <w:t>2019</w:t>
      </w:r>
      <w:r w:rsidR="009648C4" w:rsidRPr="00310D26">
        <w:rPr>
          <w:spacing w:val="-2"/>
        </w:rPr>
        <w:t xml:space="preserve"> para el documento</w:t>
      </w:r>
      <w:r w:rsidRPr="00310D26">
        <w:rPr>
          <w:spacing w:val="-2"/>
        </w:rPr>
        <w:t xml:space="preserve"> UPOV/INF/5, Part</w:t>
      </w:r>
      <w:r w:rsidR="009648C4" w:rsidRPr="00310D26">
        <w:rPr>
          <w:spacing w:val="-2"/>
        </w:rPr>
        <w:t>e</w:t>
      </w:r>
      <w:r w:rsidRPr="00310D26">
        <w:rPr>
          <w:spacing w:val="-2"/>
        </w:rPr>
        <w:t xml:space="preserve"> II</w:t>
      </w:r>
      <w:r w:rsidR="009648C4" w:rsidRPr="00310D26">
        <w:rPr>
          <w:spacing w:val="-2"/>
        </w:rPr>
        <w:t xml:space="preserve">: </w:t>
      </w:r>
      <w:r w:rsidRPr="00310D26">
        <w:rPr>
          <w:spacing w:val="-2"/>
        </w:rPr>
        <w:t>“</w:t>
      </w:r>
      <w:r w:rsidR="009648C4" w:rsidRPr="00310D26">
        <w:rPr>
          <w:spacing w:val="-2"/>
        </w:rPr>
        <w:t>Ejemplo de publicación sobre los derechos de obtentor</w:t>
      </w:r>
      <w:r w:rsidRPr="00310D26">
        <w:rPr>
          <w:spacing w:val="-2"/>
        </w:rPr>
        <w:t>”, p</w:t>
      </w:r>
      <w:r w:rsidR="009648C4" w:rsidRPr="00310D26">
        <w:rPr>
          <w:spacing w:val="-2"/>
        </w:rPr>
        <w:t>árrafo</w:t>
      </w:r>
      <w:r w:rsidRPr="00310D26">
        <w:rPr>
          <w:spacing w:val="-2"/>
        </w:rPr>
        <w:t xml:space="preserve"> 11</w:t>
      </w:r>
      <w:r w:rsidR="009648C4" w:rsidRPr="00310D26">
        <w:rPr>
          <w:spacing w:val="-2"/>
        </w:rPr>
        <w:t>,</w:t>
      </w:r>
      <w:r w:rsidRPr="00310D26">
        <w:rPr>
          <w:spacing w:val="-2"/>
        </w:rPr>
        <w:t xml:space="preserve"> </w:t>
      </w:r>
      <w:r w:rsidR="009648C4" w:rsidRPr="00310D26">
        <w:rPr>
          <w:spacing w:val="-2"/>
        </w:rPr>
        <w:t xml:space="preserve">y añadir un nuevo párrafo </w:t>
      </w:r>
      <w:r w:rsidR="00DA6C64" w:rsidRPr="00310D26">
        <w:rPr>
          <w:spacing w:val="-2"/>
        </w:rPr>
        <w:t>que</w:t>
      </w:r>
      <w:r w:rsidR="00E84391" w:rsidRPr="00310D26">
        <w:rPr>
          <w:spacing w:val="-2"/>
        </w:rPr>
        <w:t xml:space="preserve"> </w:t>
      </w:r>
      <w:r w:rsidR="009648C4" w:rsidRPr="00310D26">
        <w:rPr>
          <w:spacing w:val="-2"/>
        </w:rPr>
        <w:t>se reproduce a continuación</w:t>
      </w:r>
      <w:r w:rsidRPr="00310D26">
        <w:rPr>
          <w:spacing w:val="-2"/>
        </w:rPr>
        <w:t xml:space="preserve"> (</w:t>
      </w:r>
      <w:r w:rsidR="009648C4" w:rsidRPr="00310D26">
        <w:rPr>
          <w:spacing w:val="-2"/>
        </w:rPr>
        <w:t>véase el texto nuevo</w:t>
      </w:r>
      <w:r w:rsidRPr="00310D26">
        <w:rPr>
          <w:spacing w:val="-2"/>
        </w:rPr>
        <w:t xml:space="preserve"> </w:t>
      </w:r>
      <w:r w:rsidR="009648C4" w:rsidRPr="00310D26">
        <w:rPr>
          <w:spacing w:val="-2"/>
          <w:highlight w:val="lightGray"/>
        </w:rPr>
        <w:t>resaltado en gris</w:t>
      </w:r>
      <w:r w:rsidRPr="00310D26">
        <w:rPr>
          <w:spacing w:val="-2"/>
        </w:rPr>
        <w:t xml:space="preserve">): </w:t>
      </w:r>
    </w:p>
    <w:p w14:paraId="656B60F1" w14:textId="77777777" w:rsidR="00955AD5" w:rsidRPr="00310D26" w:rsidRDefault="00955AD5" w:rsidP="00955AD5">
      <w:pPr>
        <w:keepNext/>
        <w:rPr>
          <w:rFonts w:cs="Arial"/>
        </w:rPr>
      </w:pPr>
    </w:p>
    <w:p w14:paraId="6372E806" w14:textId="3AA1941E" w:rsidR="00955AD5" w:rsidRPr="00310D26" w:rsidRDefault="00DA6C64" w:rsidP="00955AD5">
      <w:pPr>
        <w:pStyle w:val="Inf6Titre4"/>
        <w:keepNext/>
        <w:ind w:left="567" w:right="567"/>
        <w:rPr>
          <w:sz w:val="18"/>
          <w:lang w:val="es-ES"/>
        </w:rPr>
      </w:pPr>
      <w:bookmarkStart w:id="41" w:name="_Toc208994181"/>
      <w:bookmarkStart w:id="42" w:name="_Toc221094640"/>
      <w:bookmarkStart w:id="43" w:name="_Toc482107806"/>
      <w:bookmarkStart w:id="44" w:name="_Toc482107831"/>
      <w:bookmarkStart w:id="45" w:name="Note_article_"/>
      <w:bookmarkStart w:id="46" w:name="Note_article_10"/>
      <w:r w:rsidRPr="00310D26">
        <w:rPr>
          <w:sz w:val="18"/>
          <w:lang w:val="es-ES"/>
        </w:rPr>
        <w:t>NOTAS SOBRE EL ARTÍCULO</w:t>
      </w:r>
      <w:r w:rsidR="00955AD5" w:rsidRPr="00310D26">
        <w:rPr>
          <w:sz w:val="18"/>
          <w:lang w:val="es-ES"/>
        </w:rPr>
        <w:t xml:space="preserve"> </w:t>
      </w:r>
      <w:bookmarkEnd w:id="41"/>
      <w:bookmarkEnd w:id="42"/>
      <w:bookmarkEnd w:id="43"/>
      <w:bookmarkEnd w:id="44"/>
      <w:r w:rsidRPr="00310D26">
        <w:rPr>
          <w:sz w:val="18"/>
          <w:lang w:val="es-ES"/>
        </w:rPr>
        <w:t>10</w:t>
      </w:r>
      <w:r w:rsidR="00C05526">
        <w:rPr>
          <w:sz w:val="18"/>
          <w:lang w:val="es-ES"/>
        </w:rPr>
        <w:t xml:space="preserve"> </w:t>
      </w:r>
      <w:r w:rsidRPr="00310D26">
        <w:rPr>
          <w:sz w:val="18"/>
          <w:lang w:val="es-ES"/>
        </w:rPr>
        <w:t>PRESENTACIÓN DE SOLICITUDES</w:t>
      </w:r>
    </w:p>
    <w:bookmarkEnd w:id="45"/>
    <w:bookmarkEnd w:id="46"/>
    <w:p w14:paraId="4A3C0C4A" w14:textId="1CF2EDC1" w:rsidR="00955AD5" w:rsidRPr="00310D26" w:rsidRDefault="00955AD5" w:rsidP="00955AD5">
      <w:pPr>
        <w:pStyle w:val="Inf6normal"/>
        <w:ind w:left="567" w:right="567"/>
        <w:rPr>
          <w:b/>
          <w:sz w:val="18"/>
          <w:lang w:val="es-ES"/>
        </w:rPr>
      </w:pPr>
      <w:r w:rsidRPr="00310D26">
        <w:rPr>
          <w:b/>
          <w:sz w:val="18"/>
          <w:lang w:val="es-ES"/>
        </w:rPr>
        <w:tab/>
        <w:t>(1)</w:t>
      </w:r>
      <w:r w:rsidRPr="00310D26">
        <w:rPr>
          <w:b/>
          <w:sz w:val="18"/>
          <w:lang w:val="es-ES"/>
        </w:rPr>
        <w:tab/>
        <w:t>[</w:t>
      </w:r>
      <w:r w:rsidR="00DA6C64" w:rsidRPr="00310D26">
        <w:rPr>
          <w:b/>
          <w:i/>
          <w:iCs/>
          <w:sz w:val="18"/>
          <w:lang w:val="es-ES"/>
        </w:rPr>
        <w:t>Lugar de</w:t>
      </w:r>
      <w:r w:rsidR="00DA6C64" w:rsidRPr="00310D26">
        <w:rPr>
          <w:b/>
          <w:i/>
          <w:sz w:val="18"/>
          <w:lang w:val="es-ES"/>
        </w:rPr>
        <w:t xml:space="preserve"> la primera solicitud</w:t>
      </w:r>
      <w:r w:rsidRPr="00310D26">
        <w:rPr>
          <w:b/>
          <w:sz w:val="18"/>
          <w:lang w:val="es-ES"/>
        </w:rPr>
        <w:t>]</w:t>
      </w:r>
      <w:r w:rsidR="00C05526">
        <w:rPr>
          <w:b/>
          <w:sz w:val="18"/>
          <w:lang w:val="es-ES"/>
        </w:rPr>
        <w:t xml:space="preserve"> </w:t>
      </w:r>
      <w:r w:rsidR="00DA6C64" w:rsidRPr="00310D26">
        <w:rPr>
          <w:b/>
          <w:sz w:val="18"/>
          <w:lang w:val="es-ES"/>
        </w:rPr>
        <w:t>El obtentor tendrá la facultad de elegir la Parte Contratante ante cuya autoridad desea presentar su primera solicitud de derecho de obtentor.</w:t>
      </w:r>
    </w:p>
    <w:p w14:paraId="7CB0521D" w14:textId="77777777" w:rsidR="00955AD5" w:rsidRPr="00310D26" w:rsidRDefault="00955AD5" w:rsidP="00955AD5">
      <w:pPr>
        <w:pStyle w:val="Inf6normal"/>
        <w:ind w:left="567" w:right="567"/>
        <w:rPr>
          <w:b/>
          <w:sz w:val="18"/>
          <w:lang w:val="es-ES"/>
        </w:rPr>
      </w:pPr>
    </w:p>
    <w:p w14:paraId="134B1D92" w14:textId="03931608" w:rsidR="00955AD5" w:rsidRPr="00310D26" w:rsidRDefault="00955AD5" w:rsidP="00DA6C64">
      <w:pPr>
        <w:pStyle w:val="Inf6normal"/>
        <w:ind w:left="567" w:right="567"/>
        <w:rPr>
          <w:b/>
          <w:sz w:val="18"/>
          <w:lang w:val="es-ES"/>
        </w:rPr>
      </w:pPr>
      <w:r w:rsidRPr="00310D26">
        <w:rPr>
          <w:b/>
          <w:sz w:val="18"/>
          <w:lang w:val="es-ES"/>
        </w:rPr>
        <w:tab/>
        <w:t>(2)</w:t>
      </w:r>
      <w:r w:rsidRPr="00310D26">
        <w:rPr>
          <w:b/>
          <w:sz w:val="18"/>
          <w:lang w:val="es-ES"/>
        </w:rPr>
        <w:tab/>
      </w:r>
      <w:r w:rsidR="00DA6C64" w:rsidRPr="00310D26">
        <w:rPr>
          <w:b/>
          <w:sz w:val="18"/>
          <w:lang w:val="es-ES"/>
        </w:rPr>
        <w:t>[</w:t>
      </w:r>
      <w:r w:rsidR="00DA6C64" w:rsidRPr="00310D26">
        <w:rPr>
          <w:b/>
          <w:i/>
          <w:iCs/>
          <w:sz w:val="18"/>
          <w:lang w:val="es-ES"/>
        </w:rPr>
        <w:t>Fecha de las solicitudes subsiguientes</w:t>
      </w:r>
      <w:r w:rsidR="00DA6C64" w:rsidRPr="00310D26">
        <w:rPr>
          <w:b/>
          <w:sz w:val="18"/>
          <w:lang w:val="es-ES"/>
        </w:rPr>
        <w:t>]</w:t>
      </w:r>
      <w:r w:rsidR="00C05526">
        <w:rPr>
          <w:b/>
          <w:sz w:val="18"/>
          <w:lang w:val="es-ES"/>
        </w:rPr>
        <w:t xml:space="preserve"> </w:t>
      </w:r>
      <w:r w:rsidR="00DA6C64" w:rsidRPr="00310D26">
        <w:rPr>
          <w:b/>
          <w:sz w:val="18"/>
          <w:lang w:val="es-ES"/>
        </w:rPr>
        <w:t>El obtentor podrá solicitar la concesión de un</w:t>
      </w:r>
      <w:r w:rsidR="00330DC5" w:rsidRPr="00310D26">
        <w:rPr>
          <w:b/>
          <w:sz w:val="18"/>
          <w:lang w:val="es-ES"/>
        </w:rPr>
        <w:t xml:space="preserve"> </w:t>
      </w:r>
      <w:r w:rsidR="00DA6C64" w:rsidRPr="00310D26">
        <w:rPr>
          <w:b/>
          <w:sz w:val="18"/>
          <w:lang w:val="es-ES"/>
        </w:rPr>
        <w:t>derecho de obtentor ante las autoridades de otras Partes Contratantes, sin esperar que se le haya concedido un derecho de obtentor por la autoridad de la Parte Contratante que haya recibido la primera solicitud.</w:t>
      </w:r>
    </w:p>
    <w:p w14:paraId="43BA2768" w14:textId="77777777" w:rsidR="00955AD5" w:rsidRPr="00310D26" w:rsidRDefault="00955AD5" w:rsidP="00955AD5">
      <w:pPr>
        <w:pStyle w:val="Inf6normal"/>
        <w:ind w:left="567" w:right="567"/>
        <w:rPr>
          <w:b/>
          <w:sz w:val="18"/>
          <w:lang w:val="es-ES"/>
        </w:rPr>
      </w:pPr>
    </w:p>
    <w:p w14:paraId="5786918E" w14:textId="52485036" w:rsidR="00955AD5" w:rsidRPr="00310D26" w:rsidRDefault="00955AD5" w:rsidP="00DA6C64">
      <w:pPr>
        <w:pStyle w:val="Inf6normal"/>
        <w:ind w:left="567" w:right="567"/>
        <w:rPr>
          <w:b/>
          <w:sz w:val="18"/>
          <w:lang w:val="es-ES"/>
        </w:rPr>
      </w:pPr>
      <w:r w:rsidRPr="00310D26">
        <w:rPr>
          <w:b/>
          <w:sz w:val="18"/>
          <w:lang w:val="es-ES"/>
        </w:rPr>
        <w:tab/>
        <w:t>(3)</w:t>
      </w:r>
      <w:r w:rsidRPr="00310D26">
        <w:rPr>
          <w:b/>
          <w:sz w:val="18"/>
          <w:lang w:val="es-ES"/>
        </w:rPr>
        <w:tab/>
        <w:t>[</w:t>
      </w:r>
      <w:r w:rsidR="00DA6C64" w:rsidRPr="00310D26">
        <w:rPr>
          <w:b/>
          <w:i/>
          <w:sz w:val="18"/>
          <w:lang w:val="es-ES"/>
        </w:rPr>
        <w:t>[Independencia de la protección</w:t>
      </w:r>
      <w:r w:rsidRPr="00310D26">
        <w:rPr>
          <w:b/>
          <w:sz w:val="18"/>
          <w:lang w:val="es-ES"/>
        </w:rPr>
        <w:t>]</w:t>
      </w:r>
      <w:r w:rsidR="00C05526">
        <w:rPr>
          <w:b/>
          <w:sz w:val="18"/>
          <w:lang w:val="es-ES"/>
        </w:rPr>
        <w:t xml:space="preserve"> </w:t>
      </w:r>
      <w:r w:rsidR="00DA6C64" w:rsidRPr="00310D26">
        <w:rPr>
          <w:b/>
          <w:sz w:val="18"/>
          <w:lang w:val="es-ES"/>
        </w:rPr>
        <w:t>Ninguna Parte Contratante podrá denegar la concesión de un derecho de obtentor o limitar su duración por el motivo de que la protección para la misma variedad no ha sido solicitada, se ha denegado o ha expirado en otro Estado o en otra organización intergubernamental.</w:t>
      </w:r>
    </w:p>
    <w:p w14:paraId="608AC715" w14:textId="77777777" w:rsidR="00955AD5" w:rsidRPr="00310D26" w:rsidRDefault="00955AD5" w:rsidP="00955AD5">
      <w:pPr>
        <w:ind w:left="567" w:right="567"/>
        <w:rPr>
          <w:rFonts w:cs="Arial"/>
          <w:sz w:val="18"/>
        </w:rPr>
      </w:pPr>
    </w:p>
    <w:p w14:paraId="470449F1" w14:textId="3C04C5D2" w:rsidR="00955AD5" w:rsidRPr="00310D26" w:rsidRDefault="00955AD5" w:rsidP="00955AD5">
      <w:pPr>
        <w:ind w:left="567" w:right="567"/>
        <w:rPr>
          <w:rFonts w:cs="Arial"/>
          <w:sz w:val="18"/>
        </w:rPr>
      </w:pPr>
      <w:r w:rsidRPr="00310D26">
        <w:rPr>
          <w:rFonts w:cs="Arial"/>
          <w:sz w:val="18"/>
        </w:rPr>
        <w:t>1.1</w:t>
      </w:r>
      <w:r w:rsidRPr="00310D26">
        <w:rPr>
          <w:rFonts w:cs="Arial"/>
          <w:sz w:val="18"/>
        </w:rPr>
        <w:tab/>
      </w:r>
      <w:r w:rsidR="00E84391" w:rsidRPr="00310D26">
        <w:rPr>
          <w:rFonts w:cs="Arial"/>
          <w:sz w:val="18"/>
        </w:rPr>
        <w:t xml:space="preserve">El </w:t>
      </w:r>
      <w:bookmarkStart w:id="47" w:name="_Hlk48227730"/>
      <w:r w:rsidR="00E84391" w:rsidRPr="00310D26">
        <w:rPr>
          <w:rFonts w:cs="Arial"/>
          <w:sz w:val="18"/>
        </w:rPr>
        <w:t>Formulario tipo de la UPOV para las solicitudes de derecho de obtentor</w:t>
      </w:r>
      <w:bookmarkEnd w:id="47"/>
      <w:r w:rsidRPr="00310D26">
        <w:rPr>
          <w:rFonts w:cs="Arial"/>
          <w:sz w:val="18"/>
        </w:rPr>
        <w:t xml:space="preserve"> (</w:t>
      </w:r>
      <w:r w:rsidR="00FD47AC" w:rsidRPr="00310D26">
        <w:rPr>
          <w:rFonts w:cs="Arial"/>
          <w:sz w:val="18"/>
        </w:rPr>
        <w:t>d</w:t>
      </w:r>
      <w:r w:rsidRPr="00310D26">
        <w:rPr>
          <w:rFonts w:cs="Arial"/>
          <w:sz w:val="18"/>
        </w:rPr>
        <w:t>ocument</w:t>
      </w:r>
      <w:r w:rsidR="00E84391" w:rsidRPr="00310D26">
        <w:rPr>
          <w:rFonts w:cs="Arial"/>
          <w:sz w:val="18"/>
        </w:rPr>
        <w:t>o</w:t>
      </w:r>
      <w:r w:rsidRPr="00310D26">
        <w:rPr>
          <w:rFonts w:cs="Arial"/>
          <w:sz w:val="18"/>
        </w:rPr>
        <w:t> </w:t>
      </w:r>
      <w:proofErr w:type="spellStart"/>
      <w:r w:rsidR="004F2167">
        <w:fldChar w:fldCharType="begin"/>
      </w:r>
      <w:r w:rsidR="004F2167">
        <w:instrText xml:space="preserve"> HYPERLINK "http://www.upov.int/tgp/en/list.jsp" </w:instrText>
      </w:r>
      <w:r w:rsidR="004F2167">
        <w:fldChar w:fldCharType="separate"/>
      </w:r>
      <w:r w:rsidRPr="00310D26">
        <w:rPr>
          <w:rStyle w:val="Hyperlink"/>
          <w:rFonts w:cs="Arial"/>
          <w:sz w:val="18"/>
        </w:rPr>
        <w:t>TGP</w:t>
      </w:r>
      <w:proofErr w:type="spellEnd"/>
      <w:r w:rsidRPr="00310D26">
        <w:rPr>
          <w:rStyle w:val="Hyperlink"/>
          <w:rFonts w:cs="Arial"/>
          <w:sz w:val="18"/>
        </w:rPr>
        <w:t>/5</w:t>
      </w:r>
      <w:r w:rsidR="004F2167">
        <w:rPr>
          <w:rStyle w:val="Hyperlink"/>
          <w:rFonts w:cs="Arial"/>
          <w:sz w:val="18"/>
        </w:rPr>
        <w:fldChar w:fldCharType="end"/>
      </w:r>
      <w:r w:rsidR="00E84391" w:rsidRPr="00310D26">
        <w:rPr>
          <w:rFonts w:cs="Arial"/>
          <w:sz w:val="18"/>
        </w:rPr>
        <w:t xml:space="preserve">: </w:t>
      </w:r>
      <w:r w:rsidR="00FD47AC" w:rsidRPr="00310D26">
        <w:t>“</w:t>
      </w:r>
      <w:r w:rsidR="00FD47AC" w:rsidRPr="00310D26">
        <w:rPr>
          <w:sz w:val="18"/>
          <w:szCs w:val="18"/>
        </w:rPr>
        <w:t xml:space="preserve">Experiencia y cooperación en el examen </w:t>
      </w:r>
      <w:proofErr w:type="spellStart"/>
      <w:r w:rsidR="00FD47AC" w:rsidRPr="00310D26">
        <w:rPr>
          <w:sz w:val="18"/>
          <w:szCs w:val="18"/>
        </w:rPr>
        <w:t>DHE</w:t>
      </w:r>
      <w:proofErr w:type="spellEnd"/>
      <w:r w:rsidRPr="00310D26">
        <w:rPr>
          <w:rFonts w:cs="Arial"/>
          <w:sz w:val="18"/>
          <w:szCs w:val="18"/>
        </w:rPr>
        <w:t>”</w:t>
      </w:r>
      <w:r w:rsidR="00F55DE7" w:rsidRPr="00310D26">
        <w:rPr>
          <w:rFonts w:cs="Arial"/>
          <w:sz w:val="18"/>
          <w:szCs w:val="18"/>
        </w:rPr>
        <w:t>,</w:t>
      </w:r>
      <w:r w:rsidR="00640531" w:rsidRPr="00310D26">
        <w:rPr>
          <w:rFonts w:cs="Arial"/>
          <w:sz w:val="18"/>
          <w:szCs w:val="18"/>
        </w:rPr>
        <w:t xml:space="preserve"> </w:t>
      </w:r>
      <w:hyperlink r:id="rId11" w:history="1">
        <w:r w:rsidR="00640531" w:rsidRPr="00310D26">
          <w:rPr>
            <w:rStyle w:val="Hyperlink"/>
            <w:rFonts w:cs="Arial"/>
            <w:sz w:val="18"/>
          </w:rPr>
          <w:t>Sección 2</w:t>
        </w:r>
      </w:hyperlink>
      <w:r w:rsidRPr="00310D26">
        <w:rPr>
          <w:rFonts w:cs="Arial"/>
          <w:sz w:val="18"/>
          <w:szCs w:val="18"/>
        </w:rPr>
        <w:t>),</w:t>
      </w:r>
      <w:r w:rsidRPr="00310D26">
        <w:rPr>
          <w:rFonts w:cs="Arial"/>
          <w:sz w:val="18"/>
        </w:rPr>
        <w:t xml:space="preserve"> </w:t>
      </w:r>
      <w:r w:rsidR="00FD47AC" w:rsidRPr="00310D26">
        <w:rPr>
          <w:rFonts w:cs="Arial"/>
          <w:sz w:val="18"/>
        </w:rPr>
        <w:t xml:space="preserve">aporta </w:t>
      </w:r>
      <w:r w:rsidR="00640531" w:rsidRPr="00310D26">
        <w:rPr>
          <w:rFonts w:cs="Arial"/>
          <w:sz w:val="18"/>
        </w:rPr>
        <w:t xml:space="preserve">orientación sobre </w:t>
      </w:r>
      <w:r w:rsidR="008049BE" w:rsidRPr="00310D26">
        <w:rPr>
          <w:rFonts w:cs="Arial"/>
          <w:sz w:val="18"/>
        </w:rPr>
        <w:t>cómo</w:t>
      </w:r>
      <w:r w:rsidR="00640531" w:rsidRPr="00310D26">
        <w:rPr>
          <w:rFonts w:cs="Arial"/>
          <w:sz w:val="18"/>
        </w:rPr>
        <w:t xml:space="preserve"> preparar formularios de solicitud de derechos de obtentor</w:t>
      </w:r>
      <w:r w:rsidRPr="00310D26">
        <w:rPr>
          <w:rFonts w:cs="Arial"/>
          <w:sz w:val="18"/>
        </w:rPr>
        <w:t>.</w:t>
      </w:r>
    </w:p>
    <w:p w14:paraId="0A95902D" w14:textId="77777777" w:rsidR="00955AD5" w:rsidRPr="00310D26" w:rsidRDefault="00955AD5" w:rsidP="00955AD5">
      <w:pPr>
        <w:ind w:left="567" w:right="567"/>
        <w:rPr>
          <w:rFonts w:cs="Arial"/>
          <w:b/>
          <w:sz w:val="18"/>
        </w:rPr>
      </w:pPr>
    </w:p>
    <w:p w14:paraId="26C8B7DC" w14:textId="2AD58536" w:rsidR="00955AD5" w:rsidRPr="00310D26" w:rsidRDefault="00955AD5" w:rsidP="00955AD5">
      <w:pPr>
        <w:ind w:left="567" w:right="567"/>
        <w:rPr>
          <w:rFonts w:cs="Arial"/>
          <w:sz w:val="18"/>
        </w:rPr>
      </w:pPr>
      <w:r w:rsidRPr="00310D26">
        <w:rPr>
          <w:rFonts w:cs="Arial"/>
          <w:sz w:val="18"/>
        </w:rPr>
        <w:t>1.2</w:t>
      </w:r>
      <w:r w:rsidRPr="00310D26">
        <w:rPr>
          <w:rFonts w:cs="Arial"/>
          <w:sz w:val="18"/>
        </w:rPr>
        <w:tab/>
      </w:r>
      <w:r w:rsidR="00FD47AC" w:rsidRPr="00310D26">
        <w:rPr>
          <w:rFonts w:cs="Arial"/>
          <w:sz w:val="18"/>
        </w:rPr>
        <w:t xml:space="preserve">Para consultar el cuestionario técnico de la UPOV que </w:t>
      </w:r>
      <w:r w:rsidR="00F55DE7" w:rsidRPr="00310D26">
        <w:rPr>
          <w:rFonts w:cs="Arial"/>
          <w:sz w:val="18"/>
        </w:rPr>
        <w:t>ha de completarse</w:t>
      </w:r>
      <w:r w:rsidR="00FD47AC" w:rsidRPr="00310D26">
        <w:rPr>
          <w:rFonts w:cs="Arial"/>
          <w:sz w:val="18"/>
        </w:rPr>
        <w:t xml:space="preserve"> </w:t>
      </w:r>
      <w:r w:rsidR="00F55DE7" w:rsidRPr="00310D26">
        <w:rPr>
          <w:rFonts w:cs="Arial"/>
          <w:sz w:val="18"/>
        </w:rPr>
        <w:t>junto con la</w:t>
      </w:r>
      <w:r w:rsidR="00FD47AC" w:rsidRPr="00310D26">
        <w:rPr>
          <w:rFonts w:cs="Arial"/>
          <w:sz w:val="18"/>
        </w:rPr>
        <w:t xml:space="preserve"> solicitud de derechos de obtentor, véase el documento </w:t>
      </w:r>
      <w:hyperlink r:id="rId12" w:history="1">
        <w:proofErr w:type="spellStart"/>
        <w:r w:rsidR="00FD47AC" w:rsidRPr="00310D26">
          <w:rPr>
            <w:rStyle w:val="Hyperlink"/>
            <w:rFonts w:cs="Arial"/>
            <w:sz w:val="18"/>
          </w:rPr>
          <w:t>TGP</w:t>
        </w:r>
        <w:proofErr w:type="spellEnd"/>
        <w:r w:rsidR="00FD47AC" w:rsidRPr="00310D26">
          <w:rPr>
            <w:rStyle w:val="Hyperlink"/>
            <w:rFonts w:cs="Arial"/>
            <w:sz w:val="18"/>
          </w:rPr>
          <w:t>/5</w:t>
        </w:r>
      </w:hyperlink>
      <w:r w:rsidR="00FD47AC" w:rsidRPr="00310D26">
        <w:rPr>
          <w:rFonts w:cs="Arial"/>
          <w:sz w:val="18"/>
        </w:rPr>
        <w:t xml:space="preserve"> "Experiencia y cooperación en el examen </w:t>
      </w:r>
      <w:proofErr w:type="spellStart"/>
      <w:r w:rsidR="00FD47AC" w:rsidRPr="00310D26">
        <w:rPr>
          <w:rFonts w:cs="Arial"/>
          <w:sz w:val="18"/>
        </w:rPr>
        <w:t>DHE</w:t>
      </w:r>
      <w:proofErr w:type="spellEnd"/>
      <w:r w:rsidR="00FD47AC" w:rsidRPr="00310D26">
        <w:rPr>
          <w:rFonts w:cs="Arial"/>
          <w:sz w:val="18"/>
        </w:rPr>
        <w:t>"</w:t>
      </w:r>
      <w:r w:rsidR="00F55DE7" w:rsidRPr="00310D26">
        <w:rPr>
          <w:rFonts w:cs="Arial"/>
          <w:sz w:val="18"/>
        </w:rPr>
        <w:t>,</w:t>
      </w:r>
      <w:r w:rsidR="00FD47AC" w:rsidRPr="00310D26">
        <w:rPr>
          <w:rFonts w:cs="Arial"/>
          <w:sz w:val="18"/>
        </w:rPr>
        <w:t xml:space="preserve"> </w:t>
      </w:r>
      <w:hyperlink r:id="rId13" w:history="1">
        <w:r w:rsidR="00D60821">
          <w:rPr>
            <w:rStyle w:val="Hyperlink"/>
            <w:rFonts w:cs="Arial"/>
            <w:sz w:val="18"/>
          </w:rPr>
          <w:t>Sección </w:t>
        </w:r>
        <w:r w:rsidR="00FD47AC" w:rsidRPr="00310D26">
          <w:rPr>
            <w:rStyle w:val="Hyperlink"/>
            <w:rFonts w:cs="Arial"/>
            <w:sz w:val="18"/>
          </w:rPr>
          <w:t>3</w:t>
        </w:r>
      </w:hyperlink>
      <w:r w:rsidR="00640531" w:rsidRPr="00310D26">
        <w:rPr>
          <w:rFonts w:cs="Arial"/>
          <w:sz w:val="18"/>
        </w:rPr>
        <w:t>.</w:t>
      </w:r>
    </w:p>
    <w:p w14:paraId="7D423E85" w14:textId="5C6428C1" w:rsidR="00955AD5" w:rsidRPr="00310D26" w:rsidRDefault="00955AD5" w:rsidP="00955AD5">
      <w:pPr>
        <w:spacing w:before="240"/>
        <w:ind w:left="567" w:right="567"/>
        <w:rPr>
          <w:rFonts w:cs="Arial"/>
          <w:sz w:val="18"/>
        </w:rPr>
      </w:pPr>
      <w:r w:rsidRPr="00310D26">
        <w:rPr>
          <w:rFonts w:cs="Arial"/>
          <w:sz w:val="18"/>
          <w:highlight w:val="lightGray"/>
        </w:rPr>
        <w:t>1.3</w:t>
      </w:r>
      <w:r w:rsidRPr="00310D26">
        <w:rPr>
          <w:rFonts w:cs="Arial"/>
          <w:sz w:val="18"/>
          <w:highlight w:val="lightGray"/>
        </w:rPr>
        <w:tab/>
      </w:r>
      <w:r w:rsidR="002B7296" w:rsidRPr="00310D26">
        <w:rPr>
          <w:rFonts w:cs="Arial"/>
          <w:sz w:val="18"/>
          <w:highlight w:val="lightGray"/>
        </w:rPr>
        <w:t>Con objeto de facilitar la presentación de solicitudes, la UPOV ha desarrollado UPOV PRISMA, la herramienta de solicitud de derechos de obtentor que permite a los solicitantes transmitir los datos de sus solicitudes a los miembros de la Unión participantes a través del sitio web de la UPOV (UPOV PRISMA está disponible en</w:t>
      </w:r>
      <w:r w:rsidR="00C05526">
        <w:rPr>
          <w:rFonts w:cs="Arial"/>
          <w:sz w:val="18"/>
          <w:highlight w:val="lightGray"/>
        </w:rPr>
        <w:t xml:space="preserve"> </w:t>
      </w:r>
      <w:hyperlink r:id="rId14" w:history="1">
        <w:r w:rsidRPr="00310D26">
          <w:rPr>
            <w:rStyle w:val="Hyperlink"/>
            <w:rFonts w:cs="Arial"/>
            <w:sz w:val="18"/>
            <w:highlight w:val="lightGray"/>
          </w:rPr>
          <w:t>http://www.upov.int/upovprisma</w:t>
        </w:r>
      </w:hyperlink>
      <w:r w:rsidRPr="00310D26">
        <w:rPr>
          <w:rFonts w:cs="Arial"/>
          <w:sz w:val="18"/>
          <w:highlight w:val="lightGray"/>
        </w:rPr>
        <w:t>).</w:t>
      </w:r>
      <w:r w:rsidR="00C05526">
        <w:rPr>
          <w:rFonts w:cs="Arial"/>
          <w:sz w:val="18"/>
        </w:rPr>
        <w:t xml:space="preserve"> </w:t>
      </w:r>
    </w:p>
    <w:p w14:paraId="71657F15" w14:textId="77777777" w:rsidR="00955AD5" w:rsidRPr="00310D26" w:rsidRDefault="00955AD5" w:rsidP="00955AD5">
      <w:pPr>
        <w:rPr>
          <w:rFonts w:cs="Arial"/>
        </w:rPr>
      </w:pPr>
    </w:p>
    <w:p w14:paraId="5DC931C0" w14:textId="7F704101" w:rsidR="00955AD5" w:rsidRPr="00310D26" w:rsidRDefault="00955AD5" w:rsidP="00955AD5">
      <w:pPr>
        <w:keepNext/>
        <w:keepLines/>
        <w:rPr>
          <w:spacing w:val="-2"/>
        </w:rPr>
      </w:pPr>
      <w:r w:rsidRPr="00310D26">
        <w:rPr>
          <w:i/>
          <w:spacing w:val="-2"/>
        </w:rPr>
        <w:lastRenderedPageBreak/>
        <w:fldChar w:fldCharType="begin"/>
      </w:r>
      <w:r w:rsidRPr="00310D26">
        <w:rPr>
          <w:spacing w:val="-2"/>
        </w:rPr>
        <w:instrText xml:space="preserve"> AUTONUM  </w:instrText>
      </w:r>
      <w:r w:rsidRPr="00310D26">
        <w:rPr>
          <w:i/>
          <w:spacing w:val="-2"/>
        </w:rPr>
        <w:fldChar w:fldCharType="end"/>
      </w:r>
      <w:r w:rsidRPr="00310D26">
        <w:rPr>
          <w:spacing w:val="-2"/>
        </w:rPr>
        <w:tab/>
      </w:r>
      <w:r w:rsidR="00DD30FF" w:rsidRPr="00310D26">
        <w:rPr>
          <w:spacing w:val="-2"/>
        </w:rPr>
        <w:t xml:space="preserve">En relación con la Sección 2 </w:t>
      </w:r>
      <w:r w:rsidRPr="00310D26">
        <w:rPr>
          <w:spacing w:val="-2"/>
        </w:rPr>
        <w:t>“</w:t>
      </w:r>
      <w:r w:rsidR="00DD30FF" w:rsidRPr="00310D26">
        <w:rPr>
          <w:spacing w:val="-2"/>
        </w:rPr>
        <w:t>Formulario tipo de la UPOV para las solicitudes de derecho de obtentor</w:t>
      </w:r>
      <w:r w:rsidRPr="00310D26">
        <w:rPr>
          <w:spacing w:val="-2"/>
        </w:rPr>
        <w:t>”</w:t>
      </w:r>
      <w:r w:rsidR="00F55DE7" w:rsidRPr="00310D26">
        <w:rPr>
          <w:spacing w:val="-2"/>
        </w:rPr>
        <w:t xml:space="preserve"> del documento TGP/5</w:t>
      </w:r>
      <w:r w:rsidRPr="00310D26">
        <w:rPr>
          <w:spacing w:val="-2"/>
        </w:rPr>
        <w:t xml:space="preserve">, </w:t>
      </w:r>
      <w:r w:rsidR="00DD30FF" w:rsidRPr="00310D26">
        <w:rPr>
          <w:spacing w:val="-2"/>
        </w:rPr>
        <w:t>se propone añadir</w:t>
      </w:r>
      <w:r w:rsidR="00391576" w:rsidRPr="00310D26">
        <w:rPr>
          <w:spacing w:val="-2"/>
        </w:rPr>
        <w:t xml:space="preserve"> al apartado A: “Instrucciones Generales” del</w:t>
      </w:r>
      <w:r w:rsidR="00DD30FF" w:rsidRPr="00310D26">
        <w:rPr>
          <w:spacing w:val="-2"/>
        </w:rPr>
        <w:t xml:space="preserve"> </w:t>
      </w:r>
      <w:r w:rsidRPr="00310D26">
        <w:rPr>
          <w:spacing w:val="-2"/>
        </w:rPr>
        <w:t>Anex</w:t>
      </w:r>
      <w:r w:rsidR="00DD30FF" w:rsidRPr="00310D26">
        <w:rPr>
          <w:spacing w:val="-2"/>
        </w:rPr>
        <w:t>o</w:t>
      </w:r>
      <w:r w:rsidRPr="00310D26">
        <w:rPr>
          <w:spacing w:val="-2"/>
        </w:rPr>
        <w:t xml:space="preserve"> I</w:t>
      </w:r>
      <w:r w:rsidR="00DD30FF" w:rsidRPr="00310D26">
        <w:rPr>
          <w:spacing w:val="-2"/>
        </w:rPr>
        <w:t>:</w:t>
      </w:r>
      <w:r w:rsidRPr="00310D26">
        <w:rPr>
          <w:spacing w:val="-2"/>
        </w:rPr>
        <w:t xml:space="preserve"> “</w:t>
      </w:r>
      <w:r w:rsidR="00DD30FF" w:rsidRPr="00310D26">
        <w:t>Instrucciones para la Conversión del Formulario tipo de la UPOV para la Solicitud de Derecho de Obtentor en Formularios Específicos de las Autoridades</w:t>
      </w:r>
      <w:r w:rsidRPr="00310D26">
        <w:rPr>
          <w:spacing w:val="-2"/>
        </w:rPr>
        <w:t xml:space="preserve">” </w:t>
      </w:r>
      <w:r w:rsidR="00DD30FF" w:rsidRPr="00310D26">
        <w:rPr>
          <w:spacing w:val="-2"/>
        </w:rPr>
        <w:t>el siguiente párrafo</w:t>
      </w:r>
      <w:r w:rsidRPr="00310D26">
        <w:rPr>
          <w:spacing w:val="-2"/>
        </w:rPr>
        <w:t xml:space="preserve"> (</w:t>
      </w:r>
      <w:r w:rsidR="00DD30FF" w:rsidRPr="00310D26">
        <w:rPr>
          <w:spacing w:val="-2"/>
        </w:rPr>
        <w:t xml:space="preserve">véase el texto nuevo </w:t>
      </w:r>
      <w:r w:rsidR="00DD30FF" w:rsidRPr="00310D26">
        <w:rPr>
          <w:spacing w:val="-2"/>
          <w:highlight w:val="lightGray"/>
        </w:rPr>
        <w:t>resaltado en gris</w:t>
      </w:r>
      <w:r w:rsidRPr="00310D26">
        <w:rPr>
          <w:spacing w:val="-2"/>
        </w:rPr>
        <w:t>):</w:t>
      </w:r>
    </w:p>
    <w:p w14:paraId="0A868CF6" w14:textId="77777777" w:rsidR="00955AD5" w:rsidRPr="00310D26" w:rsidRDefault="00955AD5" w:rsidP="00955AD5">
      <w:pPr>
        <w:keepNext/>
        <w:rPr>
          <w:spacing w:val="-2"/>
        </w:rPr>
      </w:pPr>
    </w:p>
    <w:p w14:paraId="66DA76A8" w14:textId="475A76BA" w:rsidR="00955AD5" w:rsidRPr="00310D26" w:rsidRDefault="00955AD5" w:rsidP="00955AD5">
      <w:pPr>
        <w:keepNext/>
        <w:ind w:left="567" w:right="567"/>
        <w:rPr>
          <w:sz w:val="18"/>
        </w:rPr>
      </w:pPr>
      <w:r w:rsidRPr="00310D26">
        <w:rPr>
          <w:sz w:val="18"/>
        </w:rPr>
        <w:t>A.</w:t>
      </w:r>
      <w:r w:rsidRPr="00310D26">
        <w:rPr>
          <w:sz w:val="18"/>
        </w:rPr>
        <w:tab/>
      </w:r>
      <w:r w:rsidR="00DD30FF" w:rsidRPr="00310D26">
        <w:rPr>
          <w:sz w:val="18"/>
          <w:u w:val="single"/>
        </w:rPr>
        <w:t>Instrucciones generales</w:t>
      </w:r>
    </w:p>
    <w:p w14:paraId="6606FB32" w14:textId="77777777" w:rsidR="00955AD5" w:rsidRPr="00310D26" w:rsidRDefault="00955AD5" w:rsidP="00955AD5">
      <w:pPr>
        <w:keepNext/>
        <w:ind w:left="567" w:right="567"/>
        <w:rPr>
          <w:sz w:val="18"/>
        </w:rPr>
      </w:pPr>
    </w:p>
    <w:p w14:paraId="34DFAA25" w14:textId="3D4D8F03" w:rsidR="00955AD5" w:rsidRPr="00310D26" w:rsidRDefault="00955AD5" w:rsidP="00DD30FF">
      <w:pPr>
        <w:keepLines/>
        <w:ind w:left="567" w:right="567"/>
        <w:rPr>
          <w:sz w:val="18"/>
        </w:rPr>
      </w:pPr>
      <w:r w:rsidRPr="00310D26">
        <w:rPr>
          <w:sz w:val="18"/>
        </w:rPr>
        <w:t>0.1</w:t>
      </w:r>
      <w:r w:rsidRPr="00310D26">
        <w:rPr>
          <w:sz w:val="18"/>
        </w:rPr>
        <w:tab/>
      </w:r>
      <w:r w:rsidR="00DD30FF" w:rsidRPr="00310D26">
        <w:rPr>
          <w:sz w:val="18"/>
        </w:rPr>
        <w:t>Al convertir el formulario tipo de la UPOV en un formulario específico de la autoridad y al redactar las explicaciones para rellenar dicho formulario (“explicaciones”), se deben tener particularmente en cuenta el contenido y la terminología de la legislación aplicable. Por consiguiente, señalamos ciertas particularidades al respecto. Para asegurarse de que el formulario tipo cumple su función, es importante reproducir en los formularios específicos de las autoridades la estructura general, el contenido y la numeración de las distintas partes del formulario tipo.</w:t>
      </w:r>
    </w:p>
    <w:p w14:paraId="038F2663" w14:textId="77777777" w:rsidR="00955AD5" w:rsidRPr="00310D26" w:rsidRDefault="00955AD5" w:rsidP="00955AD5">
      <w:pPr>
        <w:ind w:left="567" w:right="567"/>
        <w:rPr>
          <w:sz w:val="18"/>
        </w:rPr>
      </w:pPr>
    </w:p>
    <w:p w14:paraId="25C04862" w14:textId="66D4D49F" w:rsidR="00955AD5" w:rsidRPr="00310D26" w:rsidRDefault="00955AD5" w:rsidP="00731BBF">
      <w:pPr>
        <w:ind w:left="567" w:right="567"/>
        <w:rPr>
          <w:sz w:val="18"/>
        </w:rPr>
      </w:pPr>
      <w:r w:rsidRPr="00310D26">
        <w:rPr>
          <w:sz w:val="18"/>
        </w:rPr>
        <w:t>0.2</w:t>
      </w:r>
      <w:r w:rsidRPr="00310D26">
        <w:rPr>
          <w:sz w:val="18"/>
        </w:rPr>
        <w:tab/>
      </w:r>
      <w:r w:rsidR="00731BBF" w:rsidRPr="00310D26">
        <w:rPr>
          <w:sz w:val="18"/>
          <w:szCs w:val="18"/>
        </w:rPr>
        <w:t>El margen derecho se reserva para uso oficial; también puede utilizarse para indicar referencias a las instrucciones que figuren en las explicaciones</w:t>
      </w:r>
      <w:r w:rsidRPr="00310D26">
        <w:rPr>
          <w:sz w:val="18"/>
        </w:rPr>
        <w:t>.</w:t>
      </w:r>
    </w:p>
    <w:p w14:paraId="5CA595B7" w14:textId="77777777" w:rsidR="00955AD5" w:rsidRPr="00310D26" w:rsidRDefault="00955AD5" w:rsidP="00955AD5">
      <w:pPr>
        <w:ind w:left="567" w:right="567"/>
        <w:rPr>
          <w:sz w:val="18"/>
        </w:rPr>
      </w:pPr>
    </w:p>
    <w:p w14:paraId="576D7D92" w14:textId="6A892A84" w:rsidR="00955AD5" w:rsidRPr="00310D26" w:rsidRDefault="00955AD5" w:rsidP="00294EDA">
      <w:pPr>
        <w:keepNext/>
        <w:ind w:left="567" w:right="567"/>
        <w:rPr>
          <w:sz w:val="18"/>
        </w:rPr>
      </w:pPr>
      <w:r w:rsidRPr="00310D26">
        <w:rPr>
          <w:sz w:val="18"/>
        </w:rPr>
        <w:t>0.3</w:t>
      </w:r>
      <w:r w:rsidRPr="00310D26">
        <w:rPr>
          <w:sz w:val="18"/>
        </w:rPr>
        <w:tab/>
      </w:r>
      <w:r w:rsidR="00294EDA" w:rsidRPr="00310D26">
        <w:rPr>
          <w:sz w:val="18"/>
        </w:rPr>
        <w:t>En las explicaciones, se deberán dar instrucciones sobre la forma de indicar las fechas y mencionar los miembros de la Unión. Se proponen las siguientes instrucciones a tal efecto</w:t>
      </w:r>
      <w:r w:rsidRPr="00310D26">
        <w:rPr>
          <w:sz w:val="18"/>
        </w:rPr>
        <w:t>:</w:t>
      </w:r>
    </w:p>
    <w:p w14:paraId="1E77400E" w14:textId="77777777" w:rsidR="00955AD5" w:rsidRPr="00310D26" w:rsidRDefault="00955AD5" w:rsidP="00955AD5">
      <w:pPr>
        <w:ind w:left="567" w:right="567"/>
        <w:rPr>
          <w:sz w:val="18"/>
        </w:rPr>
      </w:pPr>
    </w:p>
    <w:p w14:paraId="5FE10FC8" w14:textId="366DE993" w:rsidR="00955AD5" w:rsidRPr="00310D26" w:rsidRDefault="00955AD5" w:rsidP="00294EDA">
      <w:pPr>
        <w:ind w:left="1134" w:right="567" w:hanging="567"/>
        <w:rPr>
          <w:sz w:val="18"/>
          <w:u w:val="single"/>
        </w:rPr>
      </w:pPr>
      <w:r w:rsidRPr="00310D26">
        <w:rPr>
          <w:sz w:val="18"/>
        </w:rPr>
        <w:t>-</w:t>
      </w:r>
      <w:r w:rsidRPr="00310D26">
        <w:rPr>
          <w:sz w:val="18"/>
        </w:rPr>
        <w:tab/>
      </w:r>
      <w:r w:rsidR="00294EDA" w:rsidRPr="00310D26">
        <w:rPr>
          <w:sz w:val="18"/>
        </w:rPr>
        <w:t>“Deberá especificarse el formato de fecha, señalando que el año deberá escribirse con cuatro dígitos (ejemplo: 2007);”</w:t>
      </w:r>
    </w:p>
    <w:p w14:paraId="58275C6C" w14:textId="77777777" w:rsidR="00955AD5" w:rsidRPr="00310D26" w:rsidRDefault="00955AD5" w:rsidP="00955AD5">
      <w:pPr>
        <w:ind w:left="1134" w:right="567" w:hanging="567"/>
        <w:rPr>
          <w:sz w:val="18"/>
        </w:rPr>
      </w:pPr>
    </w:p>
    <w:p w14:paraId="7911833B" w14:textId="404E9EDB" w:rsidR="00955AD5" w:rsidRPr="00310D26" w:rsidRDefault="00955AD5" w:rsidP="00294EDA">
      <w:pPr>
        <w:ind w:left="1134" w:right="567" w:hanging="567"/>
        <w:rPr>
          <w:sz w:val="18"/>
          <w:u w:val="single"/>
        </w:rPr>
      </w:pPr>
      <w:r w:rsidRPr="00310D26">
        <w:rPr>
          <w:sz w:val="18"/>
        </w:rPr>
        <w:t>-</w:t>
      </w:r>
      <w:r w:rsidRPr="00310D26">
        <w:rPr>
          <w:sz w:val="18"/>
        </w:rPr>
        <w:tab/>
      </w:r>
      <w:r w:rsidR="00294EDA" w:rsidRPr="00310D26">
        <w:rPr>
          <w:sz w:val="18"/>
        </w:rPr>
        <w:t>“los miembros de la Unión deberán indicarse utilizando los códigos ISO de dos letras que se aplican a los Estados y a las organizaciones intergubernamentales (por ejemplo, AL (Albania), QZ (Comunidad Europea) (Oficina Comunitaria de Variedades Vegetales (OCVV)).”</w:t>
      </w:r>
      <w:r w:rsidR="00294EDA" w:rsidRPr="00310D26">
        <w:rPr>
          <w:sz w:val="18"/>
        </w:rPr>
        <w:cr/>
      </w:r>
    </w:p>
    <w:p w14:paraId="2FE47322" w14:textId="77777777" w:rsidR="00955AD5" w:rsidRPr="00310D26" w:rsidRDefault="00955AD5" w:rsidP="00955AD5">
      <w:pPr>
        <w:ind w:left="1134" w:right="567"/>
        <w:rPr>
          <w:sz w:val="18"/>
        </w:rPr>
      </w:pPr>
    </w:p>
    <w:p w14:paraId="28FE732B" w14:textId="05D644D1" w:rsidR="00955AD5" w:rsidRPr="00310D26" w:rsidRDefault="00955AD5" w:rsidP="00294EDA">
      <w:pPr>
        <w:keepNext/>
        <w:ind w:left="1134" w:right="567" w:hanging="567"/>
        <w:rPr>
          <w:snapToGrid w:val="0"/>
          <w:sz w:val="18"/>
        </w:rPr>
      </w:pPr>
      <w:r w:rsidRPr="00310D26">
        <w:rPr>
          <w:sz w:val="18"/>
        </w:rPr>
        <w:t>0.4</w:t>
      </w:r>
      <w:r w:rsidRPr="00310D26">
        <w:rPr>
          <w:sz w:val="18"/>
        </w:rPr>
        <w:tab/>
      </w:r>
      <w:r w:rsidR="00294EDA" w:rsidRPr="00310D26">
        <w:rPr>
          <w:snapToGrid w:val="0"/>
          <w:sz w:val="18"/>
        </w:rPr>
        <w:t>Se ha proporcionado una referencia estándar para cada campo del formulario tipo de</w:t>
      </w:r>
      <w:r w:rsidR="006B4497" w:rsidRPr="00310D26">
        <w:rPr>
          <w:snapToGrid w:val="0"/>
          <w:sz w:val="18"/>
        </w:rPr>
        <w:t xml:space="preserve"> </w:t>
      </w:r>
      <w:r w:rsidR="00294EDA" w:rsidRPr="00310D26">
        <w:rPr>
          <w:snapToGrid w:val="0"/>
          <w:sz w:val="18"/>
        </w:rPr>
        <w:t>la UPOV. Por ejemplo:</w:t>
      </w:r>
    </w:p>
    <w:p w14:paraId="2BEC7129" w14:textId="551CE04F" w:rsidR="00294EDA" w:rsidRPr="00310D26" w:rsidRDefault="00294EDA" w:rsidP="00294EDA">
      <w:pPr>
        <w:keepNext/>
        <w:ind w:left="1134" w:right="567" w:hanging="567"/>
        <w:rPr>
          <w:snapToGrid w:val="0"/>
          <w:sz w:val="18"/>
        </w:rPr>
      </w:pPr>
    </w:p>
    <w:p w14:paraId="4494F2D7" w14:textId="7B8E61F2" w:rsidR="00955AD5" w:rsidRPr="00310D26" w:rsidRDefault="00955AD5" w:rsidP="00955AD5">
      <w:pPr>
        <w:keepNext/>
        <w:ind w:left="567" w:right="567"/>
        <w:rPr>
          <w:snapToGrid w:val="0"/>
          <w:sz w:val="18"/>
        </w:rPr>
      </w:pPr>
      <w:r w:rsidRPr="00310D26">
        <w:rPr>
          <w:snapToGrid w:val="0"/>
          <w:sz w:val="18"/>
        </w:rPr>
        <w:tab/>
      </w:r>
      <w:r w:rsidR="00294EDA" w:rsidRPr="00310D26">
        <w:rPr>
          <w:snapToGrid w:val="0"/>
          <w:sz w:val="18"/>
        </w:rPr>
        <w:t>para el campo 1.(a) Solicitante: Nombre(s),</w:t>
      </w:r>
    </w:p>
    <w:p w14:paraId="2135011E" w14:textId="77777777" w:rsidR="00955AD5" w:rsidRPr="00310D26" w:rsidRDefault="00955AD5" w:rsidP="00955AD5">
      <w:pPr>
        <w:keepNext/>
        <w:ind w:left="567" w:right="567"/>
        <w:rPr>
          <w:snapToGrid w:val="0"/>
          <w:sz w:val="18"/>
        </w:rPr>
      </w:pPr>
    </w:p>
    <w:p w14:paraId="09789BAB" w14:textId="0F07C630" w:rsidR="00955AD5" w:rsidRPr="00310D26" w:rsidRDefault="00955AD5" w:rsidP="00955AD5">
      <w:pPr>
        <w:keepNext/>
        <w:ind w:left="567" w:right="567"/>
        <w:rPr>
          <w:snapToGrid w:val="0"/>
          <w:sz w:val="18"/>
        </w:rPr>
      </w:pPr>
      <w:r w:rsidRPr="00310D26">
        <w:rPr>
          <w:snapToGrid w:val="0"/>
          <w:sz w:val="18"/>
        </w:rPr>
        <w:tab/>
      </w:r>
      <w:r w:rsidR="00294EDA" w:rsidRPr="00310D26">
        <w:rPr>
          <w:snapToGrid w:val="0"/>
          <w:sz w:val="18"/>
        </w:rPr>
        <w:t>la referencia estándar de la UPOV es UPOV A1: 1(a)(i)</w:t>
      </w:r>
    </w:p>
    <w:p w14:paraId="72F89256" w14:textId="77777777" w:rsidR="00955AD5" w:rsidRPr="00310D26" w:rsidRDefault="00955AD5" w:rsidP="00955AD5">
      <w:pPr>
        <w:ind w:left="567" w:right="567"/>
        <w:rPr>
          <w:snapToGrid w:val="0"/>
          <w:sz w:val="18"/>
        </w:rPr>
      </w:pPr>
    </w:p>
    <w:p w14:paraId="4512D551" w14:textId="53564816" w:rsidR="00955AD5" w:rsidRPr="00310D26" w:rsidRDefault="00294EDA" w:rsidP="00294EDA">
      <w:pPr>
        <w:ind w:left="567" w:right="567"/>
        <w:rPr>
          <w:sz w:val="18"/>
        </w:rPr>
      </w:pPr>
      <w:r w:rsidRPr="00310D26">
        <w:rPr>
          <w:snapToGrid w:val="0"/>
          <w:sz w:val="18"/>
        </w:rPr>
        <w:t>Para facilitar la armonización y ayudar a los solicitantes, una autoridad puede incluir esta referencia estándar de la UPOV en el campo correspondiente del formulario específico de las autoridades. Incumbiría a cada autoridad decidir si el campo de su formulario corresponde suficientemente a un campo que figure en el formulario tipo de solicitud de la UPOV como para incluir esa referencia.</w:t>
      </w:r>
    </w:p>
    <w:p w14:paraId="7E8E69CD" w14:textId="77777777" w:rsidR="00955AD5" w:rsidRPr="00310D26" w:rsidRDefault="00955AD5" w:rsidP="00955AD5">
      <w:pPr>
        <w:ind w:right="567"/>
        <w:rPr>
          <w:spacing w:val="-2"/>
        </w:rPr>
      </w:pPr>
    </w:p>
    <w:p w14:paraId="387DD476" w14:textId="097C608A" w:rsidR="00955AD5" w:rsidRPr="00310D26" w:rsidRDefault="00955AD5" w:rsidP="00955AD5">
      <w:pPr>
        <w:keepLines/>
        <w:ind w:left="567" w:right="567"/>
        <w:rPr>
          <w:spacing w:val="-2"/>
          <w:sz w:val="18"/>
        </w:rPr>
      </w:pPr>
      <w:r w:rsidRPr="00310D26">
        <w:rPr>
          <w:spacing w:val="-2"/>
          <w:sz w:val="18"/>
          <w:highlight w:val="lightGray"/>
        </w:rPr>
        <w:t>0.5</w:t>
      </w:r>
      <w:r w:rsidRPr="00310D26">
        <w:rPr>
          <w:spacing w:val="-2"/>
          <w:sz w:val="18"/>
          <w:highlight w:val="lightGray"/>
        </w:rPr>
        <w:tab/>
      </w:r>
      <w:r w:rsidR="006F1C46" w:rsidRPr="00310D26">
        <w:rPr>
          <w:rFonts w:cs="Arial"/>
          <w:sz w:val="18"/>
          <w:highlight w:val="lightGray"/>
        </w:rPr>
        <w:t xml:space="preserve">Con objeto de facilitar la presentación de solicitudes, la UPOV ha desarrollado UPOV PRISMA, la herramienta de solicitud de derechos de obtentor que permite a los solicitantes transmitir los datos de sus solicitudes a los miembros de la Unión participantes a través del sitio web de la UPOV (UPOV PRISMA está disponible en </w:t>
      </w:r>
      <w:hyperlink r:id="rId15" w:history="1">
        <w:r w:rsidR="006F1C46" w:rsidRPr="00310D26">
          <w:rPr>
            <w:rStyle w:val="Hyperlink"/>
            <w:spacing w:val="-2"/>
            <w:sz w:val="18"/>
            <w:highlight w:val="lightGray"/>
          </w:rPr>
          <w:t>http://www.upov.int/upovprisma</w:t>
        </w:r>
      </w:hyperlink>
      <w:r w:rsidRPr="00310D26">
        <w:rPr>
          <w:spacing w:val="-2"/>
          <w:sz w:val="18"/>
          <w:highlight w:val="lightGray"/>
        </w:rPr>
        <w:t xml:space="preserve">). </w:t>
      </w:r>
      <w:r w:rsidR="00BB47EC" w:rsidRPr="00310D26">
        <w:rPr>
          <w:spacing w:val="-2"/>
          <w:sz w:val="18"/>
          <w:highlight w:val="lightGray"/>
        </w:rPr>
        <w:t>A fin de facilitar la armonización</w:t>
      </w:r>
      <w:r w:rsidRPr="00310D26">
        <w:rPr>
          <w:snapToGrid w:val="0"/>
          <w:sz w:val="18"/>
          <w:highlight w:val="lightGray"/>
        </w:rPr>
        <w:t xml:space="preserve">, </w:t>
      </w:r>
      <w:r w:rsidR="00BB47EC" w:rsidRPr="00310D26">
        <w:rPr>
          <w:snapToGrid w:val="0"/>
          <w:sz w:val="18"/>
          <w:highlight w:val="lightGray"/>
        </w:rPr>
        <w:t xml:space="preserve">se recomienda a los miembros de la Unión participantes en la </w:t>
      </w:r>
      <w:r w:rsidRPr="00310D26">
        <w:rPr>
          <w:snapToGrid w:val="0"/>
          <w:sz w:val="18"/>
          <w:highlight w:val="lightGray"/>
        </w:rPr>
        <w:t xml:space="preserve">UPOV PRISMA </w:t>
      </w:r>
      <w:r w:rsidR="00BB47EC" w:rsidRPr="00310D26">
        <w:rPr>
          <w:snapToGrid w:val="0"/>
          <w:sz w:val="18"/>
          <w:highlight w:val="lightGray"/>
        </w:rPr>
        <w:t>que utilicen</w:t>
      </w:r>
      <w:r w:rsidRPr="00310D26">
        <w:rPr>
          <w:snapToGrid w:val="0"/>
          <w:sz w:val="18"/>
          <w:highlight w:val="lightGray"/>
        </w:rPr>
        <w:t xml:space="preserve"> </w:t>
      </w:r>
      <w:r w:rsidR="00D60821">
        <w:rPr>
          <w:snapToGrid w:val="0"/>
          <w:sz w:val="18"/>
          <w:highlight w:val="lightGray"/>
        </w:rPr>
        <w:t xml:space="preserve">el </w:t>
      </w:r>
      <w:r w:rsidR="00BB47EC" w:rsidRPr="00310D26">
        <w:rPr>
          <w:snapToGrid w:val="0"/>
          <w:sz w:val="18"/>
          <w:highlight w:val="lightGray"/>
        </w:rPr>
        <w:t>Formulario tipo de la UPOV</w:t>
      </w:r>
      <w:r w:rsidRPr="00310D26">
        <w:rPr>
          <w:snapToGrid w:val="0"/>
          <w:sz w:val="18"/>
          <w:highlight w:val="lightGray"/>
        </w:rPr>
        <w:t>.</w:t>
      </w:r>
    </w:p>
    <w:p w14:paraId="4E4C776D" w14:textId="77777777" w:rsidR="00955AD5" w:rsidRPr="00310D26" w:rsidRDefault="00955AD5" w:rsidP="00955AD5">
      <w:pPr>
        <w:rPr>
          <w:spacing w:val="-2"/>
        </w:rPr>
      </w:pPr>
    </w:p>
    <w:p w14:paraId="668E7227" w14:textId="1A71223F" w:rsidR="00955AD5" w:rsidRPr="00310D26" w:rsidRDefault="00955AD5" w:rsidP="00955AD5">
      <w:pPr>
        <w:pStyle w:val="DecisionParagraphs"/>
        <w:rPr>
          <w:rFonts w:eastAsia="MS Mincho"/>
          <w:spacing w:val="-4"/>
          <w:lang w:val="es-ES"/>
        </w:rPr>
      </w:pPr>
      <w:r w:rsidRPr="00310D26">
        <w:rPr>
          <w:rFonts w:eastAsia="MS Mincho"/>
          <w:spacing w:val="-4"/>
          <w:lang w:val="es-ES"/>
        </w:rPr>
        <w:fldChar w:fldCharType="begin"/>
      </w:r>
      <w:r w:rsidRPr="00310D26">
        <w:rPr>
          <w:rFonts w:eastAsia="MS Mincho"/>
          <w:spacing w:val="-4"/>
          <w:lang w:val="es-ES"/>
        </w:rPr>
        <w:instrText xml:space="preserve"> AUTONUM  </w:instrText>
      </w:r>
      <w:r w:rsidRPr="00310D26">
        <w:rPr>
          <w:rFonts w:eastAsia="MS Mincho"/>
          <w:spacing w:val="-4"/>
          <w:lang w:val="es-ES"/>
        </w:rPr>
        <w:fldChar w:fldCharType="end"/>
      </w:r>
      <w:r w:rsidRPr="00310D26">
        <w:rPr>
          <w:rFonts w:eastAsia="MS Mincho"/>
          <w:spacing w:val="-4"/>
          <w:lang w:val="es-ES"/>
        </w:rPr>
        <w:tab/>
      </w:r>
      <w:r w:rsidR="00BB47EC" w:rsidRPr="00310D26">
        <w:rPr>
          <w:rFonts w:eastAsia="MS Mincho"/>
          <w:spacing w:val="-4"/>
          <w:lang w:val="es-ES"/>
        </w:rPr>
        <w:t>Se invita al</w:t>
      </w:r>
      <w:r w:rsidRPr="00310D26">
        <w:rPr>
          <w:rFonts w:eastAsia="MS Mincho"/>
          <w:spacing w:val="-4"/>
          <w:lang w:val="es-ES"/>
        </w:rPr>
        <w:t xml:space="preserve"> CAJ </w:t>
      </w:r>
      <w:r w:rsidR="00BB47EC" w:rsidRPr="00310D26">
        <w:rPr>
          <w:rFonts w:eastAsia="MS Mincho"/>
          <w:spacing w:val="-4"/>
          <w:lang w:val="es-ES"/>
        </w:rPr>
        <w:t>a</w:t>
      </w:r>
      <w:r w:rsidRPr="00310D26">
        <w:rPr>
          <w:rFonts w:eastAsia="MS Mincho"/>
          <w:spacing w:val="-4"/>
          <w:lang w:val="es-ES"/>
        </w:rPr>
        <w:t xml:space="preserve"> </w:t>
      </w:r>
      <w:r w:rsidR="00BB47EC" w:rsidRPr="00310D26">
        <w:rPr>
          <w:rFonts w:eastAsia="MS Mincho"/>
          <w:spacing w:val="-4"/>
          <w:lang w:val="es-ES"/>
        </w:rPr>
        <w:t>examinar las propuestas de</w:t>
      </w:r>
      <w:r w:rsidRPr="00310D26">
        <w:rPr>
          <w:rFonts w:eastAsia="MS Mincho"/>
          <w:spacing w:val="-4"/>
          <w:lang w:val="es-ES"/>
        </w:rPr>
        <w:t xml:space="preserve"> </w:t>
      </w:r>
      <w:r w:rsidR="00BB47EC" w:rsidRPr="00310D26">
        <w:rPr>
          <w:rFonts w:eastAsia="MS Mincho"/>
          <w:spacing w:val="-4"/>
          <w:lang w:val="es-ES"/>
        </w:rPr>
        <w:t xml:space="preserve">revisión de los </w:t>
      </w:r>
      <w:r w:rsidRPr="00310D26">
        <w:rPr>
          <w:rFonts w:eastAsia="MS Mincho"/>
          <w:spacing w:val="-4"/>
          <w:lang w:val="es-ES"/>
        </w:rPr>
        <w:t>document</w:t>
      </w:r>
      <w:r w:rsidR="00BB47EC" w:rsidRPr="00310D26">
        <w:rPr>
          <w:rFonts w:eastAsia="MS Mincho"/>
          <w:spacing w:val="-4"/>
          <w:lang w:val="es-ES"/>
        </w:rPr>
        <w:t>o</w:t>
      </w:r>
      <w:r w:rsidRPr="00310D26">
        <w:rPr>
          <w:rFonts w:eastAsia="MS Mincho"/>
          <w:spacing w:val="-4"/>
          <w:lang w:val="es-ES"/>
        </w:rPr>
        <w:t>s UPOV/</w:t>
      </w:r>
      <w:proofErr w:type="spellStart"/>
      <w:r w:rsidRPr="00310D26">
        <w:rPr>
          <w:rFonts w:eastAsia="MS Mincho"/>
          <w:spacing w:val="-4"/>
          <w:lang w:val="es-ES"/>
        </w:rPr>
        <w:t>INF</w:t>
      </w:r>
      <w:proofErr w:type="spellEnd"/>
      <w:r w:rsidRPr="00310D26">
        <w:rPr>
          <w:rFonts w:eastAsia="MS Mincho"/>
          <w:spacing w:val="-4"/>
          <w:lang w:val="es-ES"/>
        </w:rPr>
        <w:t xml:space="preserve">/6 </w:t>
      </w:r>
      <w:r w:rsidR="00BB47EC" w:rsidRPr="00310D26">
        <w:rPr>
          <w:rFonts w:eastAsia="MS Mincho"/>
          <w:spacing w:val="-4"/>
          <w:lang w:val="es-ES"/>
        </w:rPr>
        <w:t>y</w:t>
      </w:r>
      <w:r w:rsidRPr="00310D26">
        <w:rPr>
          <w:rFonts w:eastAsia="MS Mincho"/>
          <w:spacing w:val="-4"/>
          <w:lang w:val="es-ES"/>
        </w:rPr>
        <w:t xml:space="preserve"> </w:t>
      </w:r>
      <w:proofErr w:type="spellStart"/>
      <w:r w:rsidRPr="00310D26">
        <w:rPr>
          <w:spacing w:val="-4"/>
          <w:lang w:val="es-ES"/>
        </w:rPr>
        <w:t>TGP</w:t>
      </w:r>
      <w:proofErr w:type="spellEnd"/>
      <w:r w:rsidRPr="00310D26">
        <w:rPr>
          <w:spacing w:val="-4"/>
          <w:lang w:val="es-ES"/>
        </w:rPr>
        <w:t>/5 </w:t>
      </w:r>
      <w:proofErr w:type="spellStart"/>
      <w:r w:rsidRPr="00310D26">
        <w:rPr>
          <w:spacing w:val="-4"/>
          <w:lang w:val="es-ES"/>
        </w:rPr>
        <w:t>Sec</w:t>
      </w:r>
      <w:r w:rsidR="00B87E53" w:rsidRPr="00310D26">
        <w:rPr>
          <w:spacing w:val="-4"/>
          <w:lang w:val="es-ES"/>
        </w:rPr>
        <w:t>tio</w:t>
      </w:r>
      <w:r w:rsidR="00BB47EC" w:rsidRPr="00310D26">
        <w:rPr>
          <w:spacing w:val="-4"/>
          <w:lang w:val="es-ES"/>
        </w:rPr>
        <w:t>n</w:t>
      </w:r>
      <w:proofErr w:type="spellEnd"/>
      <w:r w:rsidRPr="00310D26">
        <w:rPr>
          <w:spacing w:val="-4"/>
          <w:lang w:val="es-ES"/>
        </w:rPr>
        <w:t> 2</w:t>
      </w:r>
      <w:r w:rsidRPr="00310D26">
        <w:rPr>
          <w:rFonts w:eastAsia="MS Mincho"/>
          <w:spacing w:val="-4"/>
          <w:lang w:val="es-ES"/>
        </w:rPr>
        <w:t xml:space="preserve">, </w:t>
      </w:r>
      <w:r w:rsidR="00BB47EC" w:rsidRPr="00310D26">
        <w:rPr>
          <w:rFonts w:cs="Arial"/>
          <w:color w:val="000000"/>
          <w:shd w:val="clear" w:color="auto" w:fill="FFFFFF" w:themeFill="background1"/>
          <w:lang w:val="es-ES"/>
        </w:rPr>
        <w:t>según se propone en los</w:t>
      </w:r>
      <w:r w:rsidR="00BB47EC" w:rsidRPr="00310D26">
        <w:rPr>
          <w:rFonts w:cs="Arial"/>
          <w:i w:val="0"/>
          <w:iCs/>
          <w:color w:val="000000"/>
          <w:shd w:val="clear" w:color="auto" w:fill="FFFFFF" w:themeFill="background1"/>
          <w:lang w:val="es-ES"/>
        </w:rPr>
        <w:t xml:space="preserve"> </w:t>
      </w:r>
      <w:r w:rsidR="00BB47EC" w:rsidRPr="00310D26">
        <w:rPr>
          <w:rFonts w:cs="Arial"/>
          <w:color w:val="000000"/>
          <w:shd w:val="clear" w:color="auto" w:fill="FFFFFF" w:themeFill="background1"/>
          <w:lang w:val="es-ES"/>
        </w:rPr>
        <w:t>párrafos</w:t>
      </w:r>
      <w:r w:rsidRPr="00310D26">
        <w:rPr>
          <w:rFonts w:eastAsia="MS Mincho"/>
          <w:spacing w:val="-4"/>
          <w:lang w:val="es-ES"/>
        </w:rPr>
        <w:t xml:space="preserve"> 58 </w:t>
      </w:r>
      <w:r w:rsidR="00BB47EC" w:rsidRPr="00310D26">
        <w:rPr>
          <w:rFonts w:eastAsia="MS Mincho"/>
          <w:spacing w:val="-4"/>
          <w:lang w:val="es-ES"/>
        </w:rPr>
        <w:t>y</w:t>
      </w:r>
      <w:r w:rsidRPr="00310D26">
        <w:rPr>
          <w:rFonts w:eastAsia="MS Mincho"/>
          <w:spacing w:val="-4"/>
          <w:lang w:val="es-ES"/>
        </w:rPr>
        <w:t xml:space="preserve"> 59 </w:t>
      </w:r>
      <w:r w:rsidR="00BB47EC" w:rsidRPr="00310D26">
        <w:rPr>
          <w:rFonts w:eastAsia="MS Mincho"/>
          <w:spacing w:val="-4"/>
          <w:lang w:val="es-ES"/>
        </w:rPr>
        <w:t>del presente documento</w:t>
      </w:r>
      <w:r w:rsidR="00B87E53" w:rsidRPr="00310D26">
        <w:rPr>
          <w:rFonts w:eastAsia="MS Mincho"/>
          <w:spacing w:val="-4"/>
          <w:lang w:val="es-ES"/>
        </w:rPr>
        <w:t>,</w:t>
      </w:r>
      <w:r w:rsidR="00BB47EC" w:rsidRPr="00310D26">
        <w:rPr>
          <w:rFonts w:eastAsia="MS Mincho"/>
          <w:spacing w:val="-4"/>
          <w:lang w:val="es-ES"/>
        </w:rPr>
        <w:t xml:space="preserve"> para </w:t>
      </w:r>
      <w:r w:rsidR="00B87E53" w:rsidRPr="00310D26">
        <w:rPr>
          <w:rFonts w:eastAsia="MS Mincho"/>
          <w:spacing w:val="-4"/>
          <w:lang w:val="es-ES"/>
        </w:rPr>
        <w:t>someterlos a la aprobación del</w:t>
      </w:r>
      <w:r w:rsidR="00BB47EC" w:rsidRPr="00310D26">
        <w:rPr>
          <w:rFonts w:eastAsia="MS Mincho"/>
          <w:spacing w:val="-4"/>
          <w:lang w:val="es-ES"/>
        </w:rPr>
        <w:t xml:space="preserve"> Consejo en su sesión de</w:t>
      </w:r>
      <w:r w:rsidRPr="00310D26">
        <w:rPr>
          <w:rFonts w:eastAsia="MS Mincho"/>
          <w:spacing w:val="-4"/>
          <w:lang w:val="es-ES"/>
        </w:rPr>
        <w:t xml:space="preserve"> 2021.</w:t>
      </w:r>
    </w:p>
    <w:p w14:paraId="01BE2F0B" w14:textId="77777777" w:rsidR="00955AD5" w:rsidRPr="00310D26" w:rsidRDefault="00955AD5" w:rsidP="00955AD5">
      <w:pPr>
        <w:rPr>
          <w:rFonts w:cs="Arial"/>
        </w:rPr>
      </w:pPr>
    </w:p>
    <w:p w14:paraId="781F698C" w14:textId="77777777" w:rsidR="00955AD5" w:rsidRPr="00310D26" w:rsidRDefault="00955AD5" w:rsidP="00955AD5"/>
    <w:p w14:paraId="46F33B5F" w14:textId="77777777" w:rsidR="00390D7A" w:rsidRPr="00310D26" w:rsidRDefault="00390D7A" w:rsidP="00881B25">
      <w:pPr>
        <w:pStyle w:val="Heading2"/>
        <w:rPr>
          <w:lang w:val="es-ES"/>
        </w:rPr>
      </w:pPr>
      <w:bookmarkStart w:id="48" w:name="_Toc15394178"/>
      <w:bookmarkStart w:id="49" w:name="_Toc52802624"/>
      <w:bookmarkStart w:id="50" w:name="_Hlk48242822"/>
      <w:r w:rsidRPr="00310D26">
        <w:rPr>
          <w:lang w:val="es-ES"/>
        </w:rPr>
        <w:t>Variedades esencialmente derivadas</w:t>
      </w:r>
      <w:bookmarkEnd w:id="48"/>
      <w:bookmarkEnd w:id="49"/>
    </w:p>
    <w:bookmarkEnd w:id="50"/>
    <w:p w14:paraId="58230225" w14:textId="77777777" w:rsidR="00955AD5" w:rsidRPr="00310D26" w:rsidRDefault="00955AD5" w:rsidP="00955AD5"/>
    <w:p w14:paraId="5216225A" w14:textId="0FA111E8" w:rsidR="00955AD5" w:rsidRPr="00310D26" w:rsidRDefault="00955AD5" w:rsidP="00955AD5">
      <w:r w:rsidRPr="00310D26">
        <w:fldChar w:fldCharType="begin"/>
      </w:r>
      <w:r w:rsidRPr="00310D26">
        <w:instrText xml:space="preserve"> AUTONUM  </w:instrText>
      </w:r>
      <w:r w:rsidRPr="00310D26">
        <w:fldChar w:fldCharType="end"/>
      </w:r>
      <w:r w:rsidRPr="00310D26">
        <w:tab/>
      </w:r>
      <w:r w:rsidR="00BB47EC" w:rsidRPr="00310D26">
        <w:t xml:space="preserve">Las cuestiones relativas a las variedades esencialmente derivadas se examinan en el documento </w:t>
      </w:r>
      <w:r w:rsidRPr="00310D26">
        <w:t>CAJ/77/4</w:t>
      </w:r>
      <w:r w:rsidR="00CD61AF" w:rsidRPr="00310D26">
        <w:t xml:space="preserve">: </w:t>
      </w:r>
      <w:r w:rsidR="004158CD" w:rsidRPr="00310D26">
        <w:t>“</w:t>
      </w:r>
      <w:r w:rsidR="00A325D3" w:rsidRPr="00310D26">
        <w:t>Variedades esencialmente derivadas</w:t>
      </w:r>
      <w:r w:rsidRPr="00310D26">
        <w:t>”.</w:t>
      </w:r>
    </w:p>
    <w:p w14:paraId="3630B987" w14:textId="77777777" w:rsidR="00955AD5" w:rsidRPr="00310D26" w:rsidRDefault="00955AD5" w:rsidP="00955AD5"/>
    <w:p w14:paraId="064A39ED" w14:textId="4E64F6D4" w:rsidR="00955AD5" w:rsidRPr="00310D26" w:rsidRDefault="00955AD5" w:rsidP="00955AD5">
      <w:pPr>
        <w:pStyle w:val="DecisionParagraphs"/>
        <w:rPr>
          <w:lang w:val="es-ES"/>
        </w:rPr>
      </w:pPr>
      <w:r w:rsidRPr="00310D26">
        <w:rPr>
          <w:lang w:val="es-ES"/>
        </w:rPr>
        <w:fldChar w:fldCharType="begin"/>
      </w:r>
      <w:r w:rsidRPr="00310D26">
        <w:rPr>
          <w:lang w:val="es-ES"/>
        </w:rPr>
        <w:instrText xml:space="preserve"> AUTONUM  </w:instrText>
      </w:r>
      <w:r w:rsidRPr="00310D26">
        <w:rPr>
          <w:lang w:val="es-ES"/>
        </w:rPr>
        <w:fldChar w:fldCharType="end"/>
      </w:r>
      <w:r w:rsidRPr="00310D26">
        <w:rPr>
          <w:lang w:val="es-ES"/>
        </w:rPr>
        <w:tab/>
      </w:r>
      <w:r w:rsidR="00390D7A" w:rsidRPr="00310D26">
        <w:rPr>
          <w:lang w:val="es-ES"/>
        </w:rPr>
        <w:t xml:space="preserve">Se invita al CAJ a tomar nota de que las cuestiones relativas a las variedades esencialmente derivadas se examinan en el documento </w:t>
      </w:r>
      <w:r w:rsidRPr="00310D26">
        <w:rPr>
          <w:lang w:val="es-ES"/>
        </w:rPr>
        <w:t>CAJ/77/4.</w:t>
      </w:r>
    </w:p>
    <w:p w14:paraId="689CF051" w14:textId="77777777" w:rsidR="00955AD5" w:rsidRPr="00310D26" w:rsidRDefault="00955AD5" w:rsidP="00955AD5"/>
    <w:p w14:paraId="67BC4E9B" w14:textId="77777777" w:rsidR="00955AD5" w:rsidRPr="00310D26" w:rsidRDefault="00955AD5" w:rsidP="00955AD5"/>
    <w:p w14:paraId="00215C9D" w14:textId="2B660758" w:rsidR="00955AD5" w:rsidRPr="00310D26" w:rsidRDefault="00A325D3" w:rsidP="007C2166">
      <w:pPr>
        <w:keepNext/>
        <w:rPr>
          <w:u w:val="single"/>
        </w:rPr>
      </w:pPr>
      <w:r w:rsidRPr="00310D26">
        <w:rPr>
          <w:u w:val="single"/>
        </w:rPr>
        <w:lastRenderedPageBreak/>
        <w:t>Producto de la cosecha</w:t>
      </w:r>
    </w:p>
    <w:p w14:paraId="043493EA" w14:textId="77777777" w:rsidR="00A325D3" w:rsidRPr="00310D26" w:rsidRDefault="00A325D3" w:rsidP="007C2166">
      <w:pPr>
        <w:keepNext/>
      </w:pPr>
    </w:p>
    <w:p w14:paraId="1AEAA829" w14:textId="641E7AA0" w:rsidR="00955AD5" w:rsidRPr="00310D26" w:rsidRDefault="00955AD5" w:rsidP="007C2166">
      <w:pPr>
        <w:keepNext/>
      </w:pPr>
      <w:r w:rsidRPr="00310D26">
        <w:fldChar w:fldCharType="begin"/>
      </w:r>
      <w:r w:rsidRPr="00310D26">
        <w:instrText xml:space="preserve"> AUTONUM  </w:instrText>
      </w:r>
      <w:r w:rsidRPr="00310D26">
        <w:fldChar w:fldCharType="end"/>
      </w:r>
      <w:r w:rsidRPr="00310D26">
        <w:tab/>
      </w:r>
      <w:r w:rsidR="00A325D3" w:rsidRPr="00310D26">
        <w:t xml:space="preserve">Las cuestiones relativas al producto de la cosecha se examinan en el documento </w:t>
      </w:r>
      <w:proofErr w:type="spellStart"/>
      <w:r w:rsidRPr="00310D26">
        <w:t>CAJ</w:t>
      </w:r>
      <w:proofErr w:type="spellEnd"/>
      <w:r w:rsidRPr="00310D26">
        <w:t>/77/5</w:t>
      </w:r>
      <w:r w:rsidR="0009013D" w:rsidRPr="00310D26">
        <w:t xml:space="preserve">: </w:t>
      </w:r>
      <w:r w:rsidR="004158CD" w:rsidRPr="00310D26">
        <w:t>“</w:t>
      </w:r>
      <w:r w:rsidR="00492AA3">
        <w:t>Producto </w:t>
      </w:r>
      <w:r w:rsidR="00A325D3" w:rsidRPr="00310D26">
        <w:t>de la cosecha</w:t>
      </w:r>
      <w:r w:rsidRPr="00310D26">
        <w:t>”</w:t>
      </w:r>
      <w:r w:rsidR="004158CD" w:rsidRPr="00310D26">
        <w:t>.</w:t>
      </w:r>
    </w:p>
    <w:p w14:paraId="3741FE6B" w14:textId="77777777" w:rsidR="00955AD5" w:rsidRPr="00310D26" w:rsidRDefault="00955AD5" w:rsidP="007C2166">
      <w:pPr>
        <w:keepNext/>
      </w:pPr>
    </w:p>
    <w:p w14:paraId="79CA28B5" w14:textId="7F38A0F5" w:rsidR="00955AD5" w:rsidRPr="00310D26" w:rsidRDefault="00955AD5" w:rsidP="00955AD5">
      <w:pPr>
        <w:pStyle w:val="DecisionParagraphs"/>
        <w:rPr>
          <w:lang w:val="es-ES"/>
        </w:rPr>
      </w:pPr>
      <w:r w:rsidRPr="00310D26">
        <w:rPr>
          <w:lang w:val="es-ES"/>
        </w:rPr>
        <w:fldChar w:fldCharType="begin"/>
      </w:r>
      <w:r w:rsidRPr="00310D26">
        <w:rPr>
          <w:lang w:val="es-ES"/>
        </w:rPr>
        <w:instrText xml:space="preserve"> AUTONUM  </w:instrText>
      </w:r>
      <w:r w:rsidRPr="00310D26">
        <w:rPr>
          <w:lang w:val="es-ES"/>
        </w:rPr>
        <w:fldChar w:fldCharType="end"/>
      </w:r>
      <w:r w:rsidRPr="00310D26">
        <w:rPr>
          <w:lang w:val="es-ES"/>
        </w:rPr>
        <w:tab/>
      </w:r>
      <w:r w:rsidR="00A325D3" w:rsidRPr="00310D26">
        <w:rPr>
          <w:lang w:val="es-ES"/>
        </w:rPr>
        <w:t>Se invita al CAJ a tomar nota de que las cuestiones relativas al producto de la cosecha se examinan en el documento CAJ/77/5</w:t>
      </w:r>
      <w:r w:rsidRPr="00310D26">
        <w:rPr>
          <w:lang w:val="es-ES"/>
        </w:rPr>
        <w:t>.</w:t>
      </w:r>
    </w:p>
    <w:p w14:paraId="5B889FCA" w14:textId="77777777" w:rsidR="00955AD5" w:rsidRPr="00310D26" w:rsidRDefault="00955AD5" w:rsidP="00955AD5"/>
    <w:p w14:paraId="2366E1ED" w14:textId="77777777" w:rsidR="00955AD5" w:rsidRPr="00310D26" w:rsidRDefault="00955AD5" w:rsidP="00955AD5"/>
    <w:p w14:paraId="3CF5F6E6" w14:textId="1A2E7C1B" w:rsidR="00955AD5" w:rsidRPr="00310D26" w:rsidRDefault="00A325D3" w:rsidP="00881B25">
      <w:pPr>
        <w:pStyle w:val="Heading2"/>
        <w:rPr>
          <w:lang w:val="es-ES"/>
        </w:rPr>
      </w:pPr>
      <w:bookmarkStart w:id="51" w:name="_Toc52802625"/>
      <w:r w:rsidRPr="00310D26">
        <w:rPr>
          <w:lang w:val="es-ES"/>
        </w:rPr>
        <w:t>Novedad de las líneas parentales en relación con la explotación de la variedad híbrida</w:t>
      </w:r>
      <w:bookmarkEnd w:id="51"/>
    </w:p>
    <w:p w14:paraId="430D9911" w14:textId="77777777" w:rsidR="00955AD5" w:rsidRPr="00310D26" w:rsidRDefault="00955AD5" w:rsidP="00785C76">
      <w:pPr>
        <w:pStyle w:val="Heading4"/>
      </w:pPr>
    </w:p>
    <w:p w14:paraId="7BB5EDE6" w14:textId="6547B4CE" w:rsidR="00955AD5" w:rsidRPr="00310D26" w:rsidRDefault="00955AD5" w:rsidP="00955AD5">
      <w:r w:rsidRPr="00310D26">
        <w:fldChar w:fldCharType="begin"/>
      </w:r>
      <w:r w:rsidRPr="00310D26">
        <w:instrText xml:space="preserve"> AUTONUM  </w:instrText>
      </w:r>
      <w:r w:rsidRPr="00310D26">
        <w:fldChar w:fldCharType="end"/>
      </w:r>
      <w:r w:rsidRPr="00310D26">
        <w:tab/>
      </w:r>
      <w:r w:rsidR="00A325D3" w:rsidRPr="00310D26">
        <w:t xml:space="preserve">Las cuestiones relativas a la novedad de las líneas parentales en relación con la explotación de la variedad híbrida se examinan en el documento </w:t>
      </w:r>
      <w:r w:rsidRPr="00310D26">
        <w:t>CAJ/77/6</w:t>
      </w:r>
      <w:r w:rsidR="0009013D" w:rsidRPr="00310D26">
        <w:t>: “</w:t>
      </w:r>
      <w:r w:rsidR="00A325D3" w:rsidRPr="00310D26">
        <w:t>Novedad de las líneas parentales en relación con la explotación de la variedad híbrida</w:t>
      </w:r>
      <w:r w:rsidRPr="00310D26">
        <w:t>”.</w:t>
      </w:r>
    </w:p>
    <w:p w14:paraId="0D7490C3" w14:textId="77777777" w:rsidR="00955AD5" w:rsidRPr="00310D26" w:rsidRDefault="00955AD5" w:rsidP="00955AD5"/>
    <w:p w14:paraId="4BE23439" w14:textId="74A64C6A" w:rsidR="00955AD5" w:rsidRPr="00310D26" w:rsidRDefault="00955AD5" w:rsidP="00955AD5">
      <w:pPr>
        <w:pStyle w:val="DecisionParagraphs"/>
        <w:rPr>
          <w:lang w:val="es-ES"/>
        </w:rPr>
      </w:pPr>
      <w:r w:rsidRPr="00310D26">
        <w:rPr>
          <w:lang w:val="es-ES"/>
        </w:rPr>
        <w:fldChar w:fldCharType="begin"/>
      </w:r>
      <w:r w:rsidRPr="00310D26">
        <w:rPr>
          <w:lang w:val="es-ES"/>
        </w:rPr>
        <w:instrText xml:space="preserve"> AUTONUM  </w:instrText>
      </w:r>
      <w:r w:rsidRPr="00310D26">
        <w:rPr>
          <w:lang w:val="es-ES"/>
        </w:rPr>
        <w:fldChar w:fldCharType="end"/>
      </w:r>
      <w:r w:rsidRPr="00310D26">
        <w:rPr>
          <w:lang w:val="es-ES"/>
        </w:rPr>
        <w:tab/>
      </w:r>
      <w:r w:rsidR="00101837" w:rsidRPr="00310D26">
        <w:rPr>
          <w:lang w:val="es-ES"/>
        </w:rPr>
        <w:t>Se invita al CAJ a tomar nota de que las cuestiones relativas a la novedad de las líneas parentales en relación con la explotación de la variedad híbrida se examinan en el documento CAJ/77/6</w:t>
      </w:r>
      <w:r w:rsidRPr="00310D26">
        <w:rPr>
          <w:lang w:val="es-ES"/>
        </w:rPr>
        <w:t>.</w:t>
      </w:r>
    </w:p>
    <w:p w14:paraId="3FFA4F11" w14:textId="77777777" w:rsidR="00955AD5" w:rsidRPr="00310D26" w:rsidRDefault="00955AD5" w:rsidP="00955AD5"/>
    <w:p w14:paraId="00B80949" w14:textId="77777777" w:rsidR="00955AD5" w:rsidRPr="00310D26" w:rsidRDefault="00955AD5" w:rsidP="00955AD5"/>
    <w:p w14:paraId="2F48DB49" w14:textId="77777777" w:rsidR="00955AD5" w:rsidRPr="00310D26" w:rsidRDefault="00955AD5" w:rsidP="00955AD5">
      <w:pPr>
        <w:jc w:val="left"/>
      </w:pPr>
      <w:bookmarkStart w:id="52" w:name="_Toc522523021"/>
      <w:bookmarkStart w:id="53" w:name="_Toc42523412"/>
    </w:p>
    <w:p w14:paraId="2DE350E4" w14:textId="39035BCB" w:rsidR="00390D7A" w:rsidRPr="00310D26" w:rsidRDefault="00390D7A" w:rsidP="00390D7A">
      <w:pPr>
        <w:pStyle w:val="Heading1"/>
        <w:rPr>
          <w:lang w:val="es-ES"/>
        </w:rPr>
      </w:pPr>
      <w:bookmarkStart w:id="54" w:name="_Toc15394180"/>
      <w:bookmarkStart w:id="55" w:name="_Toc52802626"/>
      <w:bookmarkEnd w:id="52"/>
      <w:bookmarkEnd w:id="53"/>
      <w:r w:rsidRPr="00310D26">
        <w:rPr>
          <w:lang w:val="es-ES"/>
        </w:rPr>
        <w:t>PROGRAMA PROVISIONAL PARA LA ELABORACIÓN DE Orientaci</w:t>
      </w:r>
      <w:r w:rsidR="0009013D" w:rsidRPr="00310D26">
        <w:rPr>
          <w:lang w:val="es-ES"/>
        </w:rPr>
        <w:t>ONES</w:t>
      </w:r>
      <w:r w:rsidRPr="00310D26">
        <w:rPr>
          <w:lang w:val="es-ES"/>
        </w:rPr>
        <w:t xml:space="preserve"> </w:t>
      </w:r>
      <w:r w:rsidR="0009013D" w:rsidRPr="00310D26">
        <w:rPr>
          <w:lang w:val="es-ES"/>
        </w:rPr>
        <w:t>Y MATERIAL DE</w:t>
      </w:r>
      <w:r w:rsidRPr="00310D26">
        <w:rPr>
          <w:lang w:val="es-ES"/>
        </w:rPr>
        <w:t xml:space="preserve"> INFORMACIÓN</w:t>
      </w:r>
      <w:bookmarkEnd w:id="54"/>
      <w:bookmarkEnd w:id="55"/>
      <w:r w:rsidRPr="00310D26">
        <w:rPr>
          <w:lang w:val="es-ES"/>
        </w:rPr>
        <w:t xml:space="preserve"> </w:t>
      </w:r>
    </w:p>
    <w:p w14:paraId="47031999" w14:textId="77777777" w:rsidR="00955AD5" w:rsidRPr="00310D26" w:rsidRDefault="00955AD5" w:rsidP="00955AD5">
      <w:pPr>
        <w:keepNext/>
        <w:outlineLvl w:val="1"/>
        <w:rPr>
          <w:rFonts w:cs="Arial"/>
          <w:u w:val="single"/>
        </w:rPr>
      </w:pPr>
    </w:p>
    <w:p w14:paraId="5CF9E79F" w14:textId="13AED31B" w:rsidR="00955AD5" w:rsidRPr="00310D26" w:rsidRDefault="00955AD5" w:rsidP="00955AD5">
      <w:pPr>
        <w:keepNext/>
      </w:pPr>
      <w:r w:rsidRPr="00310D26">
        <w:rPr>
          <w:rFonts w:eastAsia="MS Mincho"/>
        </w:rPr>
        <w:fldChar w:fldCharType="begin"/>
      </w:r>
      <w:r w:rsidRPr="00310D26">
        <w:rPr>
          <w:rFonts w:eastAsia="MS Mincho"/>
        </w:rPr>
        <w:instrText xml:space="preserve"> AUTONUM  </w:instrText>
      </w:r>
      <w:r w:rsidRPr="00310D26">
        <w:rPr>
          <w:rFonts w:eastAsia="MS Mincho"/>
        </w:rPr>
        <w:fldChar w:fldCharType="end"/>
      </w:r>
      <w:r w:rsidRPr="00310D26">
        <w:rPr>
          <w:rFonts w:eastAsia="MS Mincho"/>
        </w:rPr>
        <w:tab/>
      </w:r>
      <w:r w:rsidR="0009013D" w:rsidRPr="00310D26">
        <w:rPr>
          <w:rFonts w:eastAsia="MS Mincho"/>
        </w:rPr>
        <w:t>En</w:t>
      </w:r>
      <w:r w:rsidR="007273ED" w:rsidRPr="00310D26">
        <w:rPr>
          <w:rFonts w:eastAsia="MS Mincho"/>
        </w:rPr>
        <w:t xml:space="preserve"> el Anexo VI del presente documento</w:t>
      </w:r>
      <w:r w:rsidR="0009013D" w:rsidRPr="00310D26">
        <w:rPr>
          <w:rFonts w:eastAsia="MS Mincho"/>
        </w:rPr>
        <w:t xml:space="preserve"> </w:t>
      </w:r>
      <w:r w:rsidR="0009013D" w:rsidRPr="00310D26">
        <w:t>se aporta un cuadro panorámico del material de información</w:t>
      </w:r>
      <w:r w:rsidRPr="00310D26">
        <w:t>.</w:t>
      </w:r>
    </w:p>
    <w:p w14:paraId="7A37A99B" w14:textId="77777777" w:rsidR="00955AD5" w:rsidRPr="00310D26" w:rsidRDefault="00955AD5" w:rsidP="00955AD5">
      <w:pPr>
        <w:keepNext/>
        <w:rPr>
          <w:rFonts w:eastAsia="MS Mincho"/>
        </w:rPr>
      </w:pPr>
    </w:p>
    <w:p w14:paraId="4472A043" w14:textId="0D2B0692" w:rsidR="00955AD5" w:rsidRPr="00310D26" w:rsidRDefault="00955AD5" w:rsidP="00955AD5">
      <w:pPr>
        <w:pStyle w:val="DecisionParagraphs"/>
        <w:keepLines/>
        <w:rPr>
          <w:rFonts w:eastAsia="MS Mincho"/>
          <w:lang w:val="es-ES"/>
        </w:rPr>
      </w:pPr>
      <w:r w:rsidRPr="00310D26">
        <w:rPr>
          <w:rFonts w:eastAsia="MS Mincho"/>
          <w:lang w:val="es-ES"/>
        </w:rPr>
        <w:fldChar w:fldCharType="begin"/>
      </w:r>
      <w:r w:rsidRPr="00310D26">
        <w:rPr>
          <w:rFonts w:eastAsia="MS Mincho"/>
          <w:lang w:val="es-ES"/>
        </w:rPr>
        <w:instrText xml:space="preserve"> AUTONUM  </w:instrText>
      </w:r>
      <w:r w:rsidRPr="00310D26">
        <w:rPr>
          <w:rFonts w:eastAsia="MS Mincho"/>
          <w:lang w:val="es-ES"/>
        </w:rPr>
        <w:fldChar w:fldCharType="end"/>
      </w:r>
      <w:r w:rsidRPr="00310D26">
        <w:rPr>
          <w:rFonts w:eastAsia="MS Mincho"/>
          <w:lang w:val="es-ES"/>
        </w:rPr>
        <w:tab/>
      </w:r>
      <w:r w:rsidR="00390D7A" w:rsidRPr="00310D26">
        <w:rPr>
          <w:rFonts w:eastAsia="MS Mincho"/>
          <w:lang w:val="es-ES"/>
        </w:rPr>
        <w:t>Se invita al CAJ a examinar el programa para la elaboración de material de información que se propone en el Anexo VI del presente documento, teniendo en cuenta las conclusiones</w:t>
      </w:r>
      <w:r w:rsidR="0009013D" w:rsidRPr="00310D26">
        <w:rPr>
          <w:rFonts w:eastAsia="MS Mincho"/>
          <w:lang w:val="es-ES"/>
        </w:rPr>
        <w:t xml:space="preserve"> a las que se haya llegado</w:t>
      </w:r>
      <w:r w:rsidR="00390D7A" w:rsidRPr="00310D26">
        <w:rPr>
          <w:rFonts w:eastAsia="MS Mincho"/>
          <w:lang w:val="es-ES"/>
        </w:rPr>
        <w:t xml:space="preserve"> </w:t>
      </w:r>
      <w:r w:rsidR="0009013D" w:rsidRPr="00310D26">
        <w:rPr>
          <w:rFonts w:eastAsia="MS Mincho"/>
          <w:lang w:val="es-ES"/>
        </w:rPr>
        <w:t>en relación</w:t>
      </w:r>
      <w:r w:rsidR="00390D7A" w:rsidRPr="00310D26">
        <w:rPr>
          <w:rFonts w:eastAsia="MS Mincho"/>
          <w:lang w:val="es-ES"/>
        </w:rPr>
        <w:t xml:space="preserve"> los asuntos planteados más arriba.</w:t>
      </w:r>
    </w:p>
    <w:p w14:paraId="7C7AF50A" w14:textId="77777777" w:rsidR="00955AD5" w:rsidRPr="00310D26" w:rsidRDefault="00955AD5" w:rsidP="00955AD5">
      <w:pPr>
        <w:jc w:val="left"/>
      </w:pPr>
    </w:p>
    <w:p w14:paraId="14178482" w14:textId="095DF0C4" w:rsidR="00955AD5" w:rsidRPr="00310D26" w:rsidRDefault="00955AD5" w:rsidP="00955AD5">
      <w:pPr>
        <w:keepNext/>
        <w:keepLines/>
      </w:pPr>
      <w:r w:rsidRPr="00310D26">
        <w:rPr>
          <w:rFonts w:cs="Arial"/>
        </w:rPr>
        <w:fldChar w:fldCharType="begin"/>
      </w:r>
      <w:r w:rsidRPr="00310D26">
        <w:rPr>
          <w:rFonts w:cs="Arial"/>
        </w:rPr>
        <w:instrText xml:space="preserve"> AUTONUM  </w:instrText>
      </w:r>
      <w:r w:rsidRPr="00310D26">
        <w:rPr>
          <w:rFonts w:cs="Arial"/>
        </w:rPr>
        <w:fldChar w:fldCharType="end"/>
      </w:r>
      <w:r w:rsidRPr="00310D26">
        <w:rPr>
          <w:rFonts w:cs="Arial"/>
        </w:rPr>
        <w:tab/>
      </w:r>
      <w:bookmarkStart w:id="56" w:name="OLE_LINK10"/>
      <w:r w:rsidR="007273ED" w:rsidRPr="00310D26">
        <w:rPr>
          <w:rFonts w:cs="Arial"/>
          <w:color w:val="000000"/>
          <w:lang w:eastAsia="ja-JP"/>
        </w:rPr>
        <w:t>En el Anexo</w:t>
      </w:r>
      <w:r w:rsidRPr="00310D26">
        <w:rPr>
          <w:rFonts w:cs="Arial"/>
          <w:color w:val="000000"/>
          <w:lang w:eastAsia="ja-JP"/>
        </w:rPr>
        <w:t xml:space="preserve"> VII </w:t>
      </w:r>
      <w:r w:rsidR="007273ED" w:rsidRPr="00310D26">
        <w:t>del presente documento figura el programa para la elaboración de documentos TGP</w:t>
      </w:r>
      <w:r w:rsidR="00856958" w:rsidRPr="00310D26">
        <w:t xml:space="preserve"> acordado por el </w:t>
      </w:r>
      <w:r w:rsidRPr="00310D26">
        <w:t xml:space="preserve">TC </w:t>
      </w:r>
      <w:r w:rsidR="00856958" w:rsidRPr="00310D26">
        <w:t>y el</w:t>
      </w:r>
      <w:r w:rsidRPr="00310D26">
        <w:t xml:space="preserve"> CAJ.</w:t>
      </w:r>
    </w:p>
    <w:p w14:paraId="65433D13" w14:textId="77777777" w:rsidR="00955AD5" w:rsidRPr="00310D26" w:rsidRDefault="00955AD5" w:rsidP="00955AD5">
      <w:pPr>
        <w:keepNext/>
        <w:keepLines/>
      </w:pPr>
    </w:p>
    <w:bookmarkEnd w:id="56"/>
    <w:p w14:paraId="5F8AF78A" w14:textId="3AB1DD34" w:rsidR="00955AD5" w:rsidRPr="00310D26" w:rsidRDefault="00955AD5" w:rsidP="00955AD5">
      <w:pPr>
        <w:keepNext/>
        <w:keepLines/>
        <w:rPr>
          <w:rFonts w:cs="Arial"/>
          <w:color w:val="000000"/>
          <w:lang w:eastAsia="ja-JP"/>
        </w:rPr>
      </w:pPr>
      <w:r w:rsidRPr="00310D26">
        <w:rPr>
          <w:rFonts w:cs="Arial"/>
        </w:rPr>
        <w:fldChar w:fldCharType="begin"/>
      </w:r>
      <w:r w:rsidRPr="00310D26">
        <w:rPr>
          <w:rFonts w:cs="Arial"/>
        </w:rPr>
        <w:instrText xml:space="preserve"> AUTONUM  </w:instrText>
      </w:r>
      <w:r w:rsidRPr="00310D26">
        <w:rPr>
          <w:rFonts w:cs="Arial"/>
        </w:rPr>
        <w:fldChar w:fldCharType="end"/>
      </w:r>
      <w:r w:rsidRPr="00310D26">
        <w:rPr>
          <w:rFonts w:cs="Arial"/>
        </w:rPr>
        <w:tab/>
      </w:r>
      <w:r w:rsidR="004158CD" w:rsidRPr="00310D26">
        <w:t>En el documento CAJ/77/2: “</w:t>
      </w:r>
      <w:r w:rsidR="004158CD" w:rsidRPr="00310D26">
        <w:rPr>
          <w:rFonts w:cs="Arial"/>
        </w:rPr>
        <w:t>Informe sobre las novedades acaecidas en el Comité Técnico</w:t>
      </w:r>
      <w:r w:rsidR="004158CD" w:rsidRPr="00310D26">
        <w:t xml:space="preserve">” se </w:t>
      </w:r>
      <w:r w:rsidR="004158CD" w:rsidRPr="00310D26">
        <w:rPr>
          <w:rFonts w:cs="Arial"/>
        </w:rPr>
        <w:t>aportará</w:t>
      </w:r>
      <w:r w:rsidR="00192E71" w:rsidRPr="00310D26">
        <w:rPr>
          <w:rFonts w:cs="Arial"/>
        </w:rPr>
        <w:t xml:space="preserve"> un informe de las conclusiones del</w:t>
      </w:r>
      <w:r w:rsidRPr="00310D26">
        <w:rPr>
          <w:rFonts w:cs="Arial"/>
        </w:rPr>
        <w:t xml:space="preserve"> TC</w:t>
      </w:r>
      <w:r w:rsidR="004158CD" w:rsidRPr="00310D26">
        <w:t>.</w:t>
      </w:r>
    </w:p>
    <w:p w14:paraId="714749B6" w14:textId="77777777" w:rsidR="00955AD5" w:rsidRPr="00310D26" w:rsidRDefault="00955AD5" w:rsidP="00955AD5"/>
    <w:p w14:paraId="56E3D07D" w14:textId="1A41EDFF" w:rsidR="00955AD5" w:rsidRPr="00310D26" w:rsidRDefault="00955AD5" w:rsidP="00955AD5">
      <w:pPr>
        <w:tabs>
          <w:tab w:val="left" w:pos="5387"/>
          <w:tab w:val="left" w:pos="5954"/>
        </w:tabs>
        <w:ind w:left="4820"/>
        <w:rPr>
          <w:i/>
        </w:rPr>
      </w:pPr>
      <w:r w:rsidRPr="00310D26">
        <w:rPr>
          <w:i/>
        </w:rPr>
        <w:fldChar w:fldCharType="begin"/>
      </w:r>
      <w:r w:rsidRPr="00310D26">
        <w:rPr>
          <w:i/>
        </w:rPr>
        <w:instrText xml:space="preserve"> AUTONUM  </w:instrText>
      </w:r>
      <w:r w:rsidRPr="00310D26">
        <w:rPr>
          <w:i/>
        </w:rPr>
        <w:fldChar w:fldCharType="end"/>
      </w:r>
      <w:r w:rsidRPr="00310D26">
        <w:rPr>
          <w:i/>
        </w:rPr>
        <w:tab/>
      </w:r>
      <w:r w:rsidR="00192E71" w:rsidRPr="00310D26">
        <w:rPr>
          <w:i/>
        </w:rPr>
        <w:t xml:space="preserve">Se invita al CAJ a examinar el programa para la elaboración de documentos TGP que </w:t>
      </w:r>
      <w:r w:rsidR="00687FCC" w:rsidRPr="00310D26">
        <w:rPr>
          <w:i/>
        </w:rPr>
        <w:t>figura</w:t>
      </w:r>
      <w:r w:rsidR="00192E71" w:rsidRPr="00310D26">
        <w:rPr>
          <w:i/>
        </w:rPr>
        <w:t xml:space="preserve"> en el Anexo</w:t>
      </w:r>
      <w:r w:rsidRPr="00310D26">
        <w:rPr>
          <w:i/>
        </w:rPr>
        <w:t xml:space="preserve"> VII </w:t>
      </w:r>
      <w:r w:rsidR="00192E71" w:rsidRPr="00310D26">
        <w:rPr>
          <w:i/>
        </w:rPr>
        <w:t>del presente documento</w:t>
      </w:r>
      <w:r w:rsidRPr="00310D26">
        <w:rPr>
          <w:i/>
        </w:rPr>
        <w:t xml:space="preserve">, </w:t>
      </w:r>
      <w:r w:rsidR="00192E71" w:rsidRPr="00310D26">
        <w:rPr>
          <w:i/>
          <w:spacing w:val="-2"/>
        </w:rPr>
        <w:t>teniendo en cuenta las conclusiones del</w:t>
      </w:r>
      <w:r w:rsidRPr="00310D26">
        <w:rPr>
          <w:i/>
          <w:spacing w:val="-2"/>
        </w:rPr>
        <w:t xml:space="preserve"> TC</w:t>
      </w:r>
      <w:r w:rsidRPr="00310D26">
        <w:rPr>
          <w:i/>
        </w:rPr>
        <w:t>.</w:t>
      </w:r>
    </w:p>
    <w:p w14:paraId="7CC23189" w14:textId="77777777" w:rsidR="00955AD5" w:rsidRPr="00310D26" w:rsidRDefault="00955AD5" w:rsidP="00955AD5">
      <w:pPr>
        <w:jc w:val="left"/>
      </w:pPr>
    </w:p>
    <w:p w14:paraId="40F344B6" w14:textId="77777777" w:rsidR="00955AD5" w:rsidRPr="00310D26" w:rsidRDefault="00955AD5" w:rsidP="00955AD5">
      <w:pPr>
        <w:jc w:val="left"/>
      </w:pPr>
    </w:p>
    <w:p w14:paraId="43BB16D8" w14:textId="29E54985" w:rsidR="00955AD5" w:rsidRPr="00310D26" w:rsidRDefault="00192E71" w:rsidP="00955AD5">
      <w:pPr>
        <w:pStyle w:val="DecisionParagraphs"/>
        <w:jc w:val="right"/>
        <w:rPr>
          <w:i w:val="0"/>
          <w:lang w:val="es-ES"/>
        </w:rPr>
      </w:pPr>
      <w:r w:rsidRPr="00310D26">
        <w:rPr>
          <w:i w:val="0"/>
          <w:lang w:val="es-ES"/>
        </w:rPr>
        <w:t>[Siguen los Anexos]</w:t>
      </w:r>
    </w:p>
    <w:p w14:paraId="7B68443E" w14:textId="77777777" w:rsidR="00955AD5" w:rsidRPr="00310D26" w:rsidRDefault="00955AD5" w:rsidP="00955AD5">
      <w:pPr>
        <w:pStyle w:val="DecisionParagraphs"/>
        <w:jc w:val="left"/>
        <w:rPr>
          <w:i w:val="0"/>
          <w:lang w:val="es-ES"/>
        </w:rPr>
      </w:pPr>
    </w:p>
    <w:p w14:paraId="6A0EEE50" w14:textId="77777777" w:rsidR="00955AD5" w:rsidRPr="00310D26" w:rsidRDefault="00955AD5" w:rsidP="00955AD5">
      <w:pPr>
        <w:pStyle w:val="DecisionParagraphs"/>
        <w:jc w:val="right"/>
        <w:rPr>
          <w:i w:val="0"/>
          <w:lang w:val="es-ES"/>
        </w:rPr>
        <w:sectPr w:rsidR="00955AD5" w:rsidRPr="00310D26" w:rsidSect="004F2167">
          <w:headerReference w:type="default" r:id="rId16"/>
          <w:endnotePr>
            <w:numFmt w:val="lowerLetter"/>
          </w:endnotePr>
          <w:pgSz w:w="11907" w:h="16840" w:code="9"/>
          <w:pgMar w:top="454" w:right="1134" w:bottom="1134" w:left="1134" w:header="510" w:footer="680" w:gutter="0"/>
          <w:cols w:space="720"/>
          <w:titlePg/>
        </w:sectPr>
      </w:pPr>
    </w:p>
    <w:p w14:paraId="59D97390" w14:textId="11E2ABE2" w:rsidR="00955AD5" w:rsidRPr="00310D26" w:rsidRDefault="00D0040E" w:rsidP="00955AD5">
      <w:pPr>
        <w:jc w:val="center"/>
      </w:pPr>
      <w:r w:rsidRPr="00310D26">
        <w:lastRenderedPageBreak/>
        <w:t xml:space="preserve">RESPUESTAS A LA CIRCULAR E-20/017 DE LA UPOV RELATIVA AL EXAMEN </w:t>
      </w:r>
      <w:r w:rsidR="003E673D" w:rsidRPr="00310D26">
        <w:t xml:space="preserve">DEL DOCUMENTO </w:t>
      </w:r>
      <w:r w:rsidRPr="00310D26">
        <w:t>UPOV/EXN/DEN/1 DRAFT </w:t>
      </w:r>
      <w:r w:rsidR="007222AE" w:rsidRPr="00310D26">
        <w:t xml:space="preserve">3 EFECTUADO </w:t>
      </w:r>
      <w:r w:rsidR="00687FCC" w:rsidRPr="00310D26">
        <w:t>POR</w:t>
      </w:r>
      <w:r w:rsidRPr="00310D26">
        <w:t xml:space="preserve"> EL CAJ </w:t>
      </w:r>
      <w:r w:rsidR="007222AE" w:rsidRPr="00310D26">
        <w:t>POR CORRESPONDENCIA</w:t>
      </w:r>
    </w:p>
    <w:p w14:paraId="063348DD" w14:textId="77777777" w:rsidR="00955AD5" w:rsidRPr="00310D26" w:rsidRDefault="00955AD5" w:rsidP="00955AD5">
      <w:pPr>
        <w:ind w:left="1134" w:right="283" w:hanging="1134"/>
        <w:rPr>
          <w:spacing w:val="-4"/>
          <w:sz w:val="18"/>
        </w:rPr>
      </w:pPr>
    </w:p>
    <w:p w14:paraId="787EE8D3" w14:textId="77777777" w:rsidR="00955AD5" w:rsidRPr="00310D26" w:rsidRDefault="00955AD5" w:rsidP="00955AD5"/>
    <w:p w14:paraId="17A35F4B" w14:textId="2BEB664D" w:rsidR="00192E71" w:rsidRPr="00310D26" w:rsidRDefault="007222AE" w:rsidP="00192E71">
      <w:pPr>
        <w:keepNext/>
        <w:keepLines/>
        <w:rPr>
          <w:rFonts w:eastAsia="MS Mincho"/>
          <w:snapToGrid w:val="0"/>
          <w:lang w:eastAsia="ja-JP"/>
        </w:rPr>
      </w:pPr>
      <w:r w:rsidRPr="00310D26">
        <w:rPr>
          <w:rFonts w:eastAsia="MS Mincho"/>
          <w:snapToGrid w:val="0"/>
          <w:lang w:eastAsia="ja-JP"/>
        </w:rPr>
        <w:t xml:space="preserve">El 3 de abril de 2020, la Oficina de la Unión envió </w:t>
      </w:r>
      <w:r w:rsidR="00076228" w:rsidRPr="00310D26">
        <w:rPr>
          <w:rFonts w:eastAsia="MS Mincho"/>
          <w:snapToGrid w:val="0"/>
          <w:lang w:eastAsia="ja-JP"/>
        </w:rPr>
        <w:t xml:space="preserve">la Circular E-20/017 </w:t>
      </w:r>
      <w:r w:rsidRPr="00310D26">
        <w:rPr>
          <w:rFonts w:eastAsia="MS Mincho"/>
          <w:snapToGrid w:val="0"/>
          <w:lang w:eastAsia="ja-JP"/>
        </w:rPr>
        <w:t xml:space="preserve">a las personas designadas por los miembros y </w:t>
      </w:r>
      <w:r w:rsidRPr="00310D26">
        <w:rPr>
          <w:rFonts w:eastAsia="MS Mincho"/>
          <w:snapToGrid w:val="0"/>
          <w:color w:val="000000" w:themeColor="text1"/>
          <w:lang w:eastAsia="ja-JP"/>
        </w:rPr>
        <w:t>a</w:t>
      </w:r>
      <w:r w:rsidRPr="00310D26">
        <w:rPr>
          <w:rFonts w:eastAsia="MS Mincho"/>
          <w:snapToGrid w:val="0"/>
          <w:lang w:eastAsia="ja-JP"/>
        </w:rPr>
        <w:t xml:space="preserve"> los observadores del CAJ, </w:t>
      </w:r>
      <w:r w:rsidR="00387BF9" w:rsidRPr="00310D26">
        <w:rPr>
          <w:rFonts w:eastAsia="MS Mincho"/>
          <w:snapToGrid w:val="0"/>
          <w:lang w:eastAsia="ja-JP"/>
        </w:rPr>
        <w:t>en la que los</w:t>
      </w:r>
      <w:r w:rsidR="00076228" w:rsidRPr="00310D26">
        <w:rPr>
          <w:rFonts w:eastAsia="MS Mincho"/>
          <w:snapToGrid w:val="0"/>
          <w:lang w:eastAsia="ja-JP"/>
        </w:rPr>
        <w:t xml:space="preserve"> invitaba a</w:t>
      </w:r>
      <w:r w:rsidRPr="00310D26">
        <w:rPr>
          <w:rFonts w:eastAsia="MS Mincho"/>
          <w:snapToGrid w:val="0"/>
          <w:lang w:eastAsia="ja-JP"/>
        </w:rPr>
        <w:t xml:space="preserve"> </w:t>
      </w:r>
      <w:r w:rsidR="00387BF9" w:rsidRPr="00310D26">
        <w:rPr>
          <w:rFonts w:eastAsia="MS Mincho"/>
          <w:snapToGrid w:val="0"/>
          <w:lang w:eastAsia="ja-JP"/>
        </w:rPr>
        <w:t>que examinaran</w:t>
      </w:r>
      <w:r w:rsidRPr="00310D26">
        <w:rPr>
          <w:rFonts w:eastAsia="MS Mincho"/>
          <w:snapToGrid w:val="0"/>
          <w:lang w:eastAsia="ja-JP"/>
        </w:rPr>
        <w:t xml:space="preserve"> el documento </w:t>
      </w:r>
      <w:r w:rsidRPr="00310D26">
        <w:t>UPOV/</w:t>
      </w:r>
      <w:proofErr w:type="spellStart"/>
      <w:r w:rsidRPr="00310D26">
        <w:t>EXN</w:t>
      </w:r>
      <w:proofErr w:type="spellEnd"/>
      <w:r w:rsidRPr="00310D26">
        <w:t>/DEN/1 </w:t>
      </w:r>
      <w:proofErr w:type="spellStart"/>
      <w:r w:rsidRPr="00310D26">
        <w:t>Draft</w:t>
      </w:r>
      <w:proofErr w:type="spellEnd"/>
      <w:r w:rsidRPr="00310D26">
        <w:t> 3, que contiene las modificaciones acordadas por el WG-DEN para el documento UPOV/INF/12/5</w:t>
      </w:r>
      <w:r w:rsidR="00694E7F">
        <w:t>,</w:t>
      </w:r>
      <w:r w:rsidRPr="00310D26">
        <w:t xml:space="preserve"> y las propuestas de la Oficina Comunitaria de Variedad</w:t>
      </w:r>
      <w:r w:rsidR="00492AA3">
        <w:t>es Vegetales (</w:t>
      </w:r>
      <w:proofErr w:type="spellStart"/>
      <w:r w:rsidR="00492AA3">
        <w:t>OCVV</w:t>
      </w:r>
      <w:proofErr w:type="spellEnd"/>
      <w:r w:rsidR="00492AA3">
        <w:t>) de la Unión </w:t>
      </w:r>
      <w:r w:rsidRPr="00310D26">
        <w:t>Europea para la modificación de la sección 2.3.3 del documento UPOV/</w:t>
      </w:r>
      <w:proofErr w:type="spellStart"/>
      <w:r w:rsidRPr="00310D26">
        <w:t>EXN</w:t>
      </w:r>
      <w:proofErr w:type="spellEnd"/>
      <w:r w:rsidRPr="00310D26">
        <w:t xml:space="preserve">/DEN/1 </w:t>
      </w:r>
      <w:proofErr w:type="spellStart"/>
      <w:r w:rsidRPr="00310D26">
        <w:t>Draft</w:t>
      </w:r>
      <w:proofErr w:type="spellEnd"/>
      <w:r w:rsidRPr="00310D26">
        <w:t xml:space="preserve"> 3, reproducidas en el Anexo de la </w:t>
      </w:r>
      <w:r w:rsidRPr="00310D26">
        <w:rPr>
          <w:shd w:val="clear" w:color="auto" w:fill="FFFFFF" w:themeFill="background1"/>
        </w:rPr>
        <w:t>Cir</w:t>
      </w:r>
      <w:r w:rsidRPr="00310D26">
        <w:t>cular E</w:t>
      </w:r>
      <w:r w:rsidRPr="00310D26">
        <w:noBreakHyphen/>
        <w:t xml:space="preserve">20/017, </w:t>
      </w:r>
      <w:r w:rsidR="00387BF9" w:rsidRPr="00310D26">
        <w:rPr>
          <w:rFonts w:eastAsia="MS Mincho"/>
          <w:snapToGrid w:val="0"/>
          <w:lang w:eastAsia="ja-JP"/>
        </w:rPr>
        <w:t xml:space="preserve">y </w:t>
      </w:r>
      <w:r w:rsidR="00694E7F">
        <w:rPr>
          <w:rFonts w:eastAsia="MS Mincho"/>
          <w:snapToGrid w:val="0"/>
          <w:lang w:eastAsia="ja-JP"/>
        </w:rPr>
        <w:t xml:space="preserve">a </w:t>
      </w:r>
      <w:r w:rsidR="00387BF9" w:rsidRPr="00310D26">
        <w:rPr>
          <w:rFonts w:eastAsia="MS Mincho"/>
          <w:snapToGrid w:val="0"/>
          <w:lang w:eastAsia="ja-JP"/>
        </w:rPr>
        <w:t xml:space="preserve">que formularan </w:t>
      </w:r>
      <w:r w:rsidRPr="00310D26">
        <w:rPr>
          <w:rFonts w:eastAsia="MS Mincho"/>
          <w:snapToGrid w:val="0"/>
          <w:lang w:eastAsia="ja-JP"/>
        </w:rPr>
        <w:t>observaciones al respecto</w:t>
      </w:r>
      <w:r w:rsidR="00192E71" w:rsidRPr="00310D26">
        <w:t xml:space="preserve">. </w:t>
      </w:r>
    </w:p>
    <w:p w14:paraId="7D3F22B0" w14:textId="77777777" w:rsidR="00955AD5" w:rsidRPr="00310D26" w:rsidRDefault="00955AD5" w:rsidP="00955AD5">
      <w:pPr>
        <w:ind w:left="1134" w:right="283" w:hanging="1134"/>
        <w:rPr>
          <w:spacing w:val="-4"/>
          <w:sz w:val="18"/>
        </w:rPr>
      </w:pPr>
    </w:p>
    <w:p w14:paraId="7A22A695" w14:textId="71A782C1" w:rsidR="00955AD5" w:rsidRPr="00310D26" w:rsidRDefault="00316A32" w:rsidP="00955AD5">
      <w:r w:rsidRPr="00310D26">
        <w:rPr>
          <w:rFonts w:eastAsia="MS Mincho"/>
          <w:snapToGrid w:val="0"/>
          <w:lang w:eastAsia="ja-JP"/>
        </w:rPr>
        <w:t xml:space="preserve">En respuesta a la </w:t>
      </w:r>
      <w:r w:rsidR="007222AE" w:rsidRPr="00310D26">
        <w:rPr>
          <w:rFonts w:eastAsia="MS Mincho"/>
          <w:snapToGrid w:val="0"/>
          <w:lang w:eastAsia="ja-JP"/>
        </w:rPr>
        <w:t>C</w:t>
      </w:r>
      <w:r w:rsidR="00955AD5" w:rsidRPr="00310D26">
        <w:rPr>
          <w:rFonts w:eastAsia="MS Mincho"/>
          <w:snapToGrid w:val="0"/>
          <w:lang w:eastAsia="ja-JP"/>
        </w:rPr>
        <w:t xml:space="preserve">ircular E-20/017, </w:t>
      </w:r>
      <w:r w:rsidRPr="00310D26">
        <w:rPr>
          <w:rFonts w:eastAsia="MS Mincho"/>
          <w:snapToGrid w:val="0"/>
          <w:lang w:eastAsia="ja-JP"/>
        </w:rPr>
        <w:t>se recibieron observaciones de la</w:t>
      </w:r>
      <w:r w:rsidR="00955AD5" w:rsidRPr="00310D26">
        <w:rPr>
          <w:rFonts w:eastAsia="MS Mincho"/>
          <w:snapToGrid w:val="0"/>
          <w:lang w:eastAsia="ja-JP"/>
        </w:rPr>
        <w:t xml:space="preserve"> Argentina, </w:t>
      </w:r>
      <w:r w:rsidRPr="00310D26">
        <w:rPr>
          <w:rFonts w:eastAsia="MS Mincho"/>
          <w:snapToGrid w:val="0"/>
          <w:lang w:eastAsia="ja-JP"/>
        </w:rPr>
        <w:t xml:space="preserve">el </w:t>
      </w:r>
      <w:r w:rsidR="00955AD5" w:rsidRPr="00310D26">
        <w:rPr>
          <w:rFonts w:eastAsia="MS Mincho"/>
          <w:snapToGrid w:val="0"/>
          <w:lang w:eastAsia="ja-JP"/>
        </w:rPr>
        <w:t>Canad</w:t>
      </w:r>
      <w:r w:rsidRPr="00310D26">
        <w:rPr>
          <w:rFonts w:eastAsia="MS Mincho"/>
          <w:snapToGrid w:val="0"/>
          <w:lang w:eastAsia="ja-JP"/>
        </w:rPr>
        <w:t>á</w:t>
      </w:r>
      <w:r w:rsidR="00955AD5" w:rsidRPr="00310D26">
        <w:rPr>
          <w:rFonts w:eastAsia="MS Mincho"/>
          <w:snapToGrid w:val="0"/>
          <w:lang w:eastAsia="ja-JP"/>
        </w:rPr>
        <w:t xml:space="preserve">, </w:t>
      </w:r>
      <w:r w:rsidR="00492AA3">
        <w:rPr>
          <w:rFonts w:eastAsia="MS Mincho"/>
          <w:snapToGrid w:val="0"/>
          <w:lang w:eastAsia="ja-JP"/>
        </w:rPr>
        <w:t>la Unión </w:t>
      </w:r>
      <w:r w:rsidRPr="00310D26">
        <w:rPr>
          <w:rFonts w:eastAsia="MS Mincho"/>
          <w:snapToGrid w:val="0"/>
          <w:lang w:eastAsia="ja-JP"/>
        </w:rPr>
        <w:t>Europea</w:t>
      </w:r>
      <w:r w:rsidR="00955AD5" w:rsidRPr="00310D26">
        <w:rPr>
          <w:rFonts w:eastAsia="MS Mincho"/>
          <w:snapToGrid w:val="0"/>
          <w:lang w:eastAsia="ja-JP"/>
        </w:rPr>
        <w:t>, Franc</w:t>
      </w:r>
      <w:r w:rsidRPr="00310D26">
        <w:rPr>
          <w:rFonts w:eastAsia="MS Mincho"/>
          <w:snapToGrid w:val="0"/>
          <w:lang w:eastAsia="ja-JP"/>
        </w:rPr>
        <w:t>ia</w:t>
      </w:r>
      <w:r w:rsidR="00955AD5" w:rsidRPr="00310D26">
        <w:rPr>
          <w:rFonts w:eastAsia="MS Mincho"/>
          <w:snapToGrid w:val="0"/>
          <w:lang w:eastAsia="ja-JP"/>
        </w:rPr>
        <w:t xml:space="preserve"> </w:t>
      </w:r>
      <w:r w:rsidRPr="00310D26">
        <w:rPr>
          <w:rFonts w:eastAsia="MS Mincho"/>
          <w:snapToGrid w:val="0"/>
          <w:lang w:eastAsia="ja-JP"/>
        </w:rPr>
        <w:t>y Nueva Zeland</w:t>
      </w:r>
      <w:r w:rsidR="007222AE" w:rsidRPr="00310D26">
        <w:rPr>
          <w:rFonts w:eastAsia="MS Mincho"/>
          <w:snapToGrid w:val="0"/>
          <w:lang w:eastAsia="ja-JP"/>
        </w:rPr>
        <w:t>i</w:t>
      </w:r>
      <w:r w:rsidRPr="00310D26">
        <w:rPr>
          <w:rFonts w:eastAsia="MS Mincho"/>
          <w:snapToGrid w:val="0"/>
          <w:lang w:eastAsia="ja-JP"/>
        </w:rPr>
        <w:t>a</w:t>
      </w:r>
      <w:r w:rsidR="00955AD5" w:rsidRPr="00310D26">
        <w:t>.</w:t>
      </w:r>
      <w:r w:rsidR="00C05526">
        <w:t xml:space="preserve"> </w:t>
      </w:r>
    </w:p>
    <w:p w14:paraId="1E5D8AA8" w14:textId="77777777" w:rsidR="00955AD5" w:rsidRPr="00310D26" w:rsidRDefault="00955AD5" w:rsidP="00955AD5"/>
    <w:p w14:paraId="059D117F" w14:textId="7E902105" w:rsidR="00955AD5" w:rsidRPr="00310D26" w:rsidRDefault="00316A32" w:rsidP="00955AD5">
      <w:pPr>
        <w:rPr>
          <w:rFonts w:eastAsia="MS Mincho"/>
          <w:snapToGrid w:val="0"/>
          <w:lang w:eastAsia="ja-JP"/>
        </w:rPr>
      </w:pPr>
      <w:r w:rsidRPr="00310D26">
        <w:t xml:space="preserve">Las respuestas a la </w:t>
      </w:r>
      <w:r w:rsidR="007222AE" w:rsidRPr="00310D26">
        <w:t>C</w:t>
      </w:r>
      <w:r w:rsidRPr="00310D26">
        <w:t>ircular</w:t>
      </w:r>
      <w:r w:rsidR="00955AD5" w:rsidRPr="00310D26">
        <w:t xml:space="preserve"> E-20/017 </w:t>
      </w:r>
      <w:r w:rsidRPr="00310D26">
        <w:t xml:space="preserve">se </w:t>
      </w:r>
      <w:r w:rsidR="008049BE" w:rsidRPr="00310D26">
        <w:t>reproducen</w:t>
      </w:r>
      <w:r w:rsidRPr="00310D26">
        <w:t xml:space="preserve"> en el Anexo</w:t>
      </w:r>
      <w:r w:rsidR="00955AD5" w:rsidRPr="00310D26">
        <w:t xml:space="preserve"> I </w:t>
      </w:r>
      <w:r w:rsidR="00022D2D" w:rsidRPr="00310D26">
        <w:t>por el siguiente orden</w:t>
      </w:r>
      <w:r w:rsidR="00955AD5" w:rsidRPr="00310D26">
        <w:t>:</w:t>
      </w:r>
      <w:r w:rsidR="00955AD5" w:rsidRPr="00310D26">
        <w:rPr>
          <w:rFonts w:eastAsia="MS Mincho"/>
          <w:snapToGrid w:val="0"/>
          <w:lang w:eastAsia="ja-JP"/>
        </w:rPr>
        <w:t xml:space="preserve"> </w:t>
      </w:r>
    </w:p>
    <w:p w14:paraId="75B4ED08" w14:textId="77777777" w:rsidR="00955AD5" w:rsidRPr="00310D26" w:rsidRDefault="00955AD5" w:rsidP="00955AD5">
      <w:pPr>
        <w:rPr>
          <w:rFonts w:eastAsia="MS Mincho"/>
          <w:snapToGrid w:val="0"/>
          <w:lang w:eastAsia="ja-JP"/>
        </w:rPr>
      </w:pPr>
    </w:p>
    <w:p w14:paraId="38F63914" w14:textId="4E852463" w:rsidR="00955AD5" w:rsidRPr="00310D26" w:rsidRDefault="00316A32" w:rsidP="00955AD5">
      <w:pPr>
        <w:pStyle w:val="ListParagraph"/>
        <w:numPr>
          <w:ilvl w:val="0"/>
          <w:numId w:val="22"/>
        </w:numPr>
        <w:spacing w:before="60" w:after="60"/>
        <w:ind w:left="567" w:hanging="283"/>
        <w:rPr>
          <w:lang w:val="es-ES"/>
        </w:rPr>
      </w:pPr>
      <w:r w:rsidRPr="00310D26">
        <w:rPr>
          <w:lang w:val="es-ES"/>
        </w:rPr>
        <w:t>Apéndice I</w:t>
      </w:r>
      <w:r w:rsidR="00955AD5" w:rsidRPr="00310D26">
        <w:rPr>
          <w:lang w:val="es-ES"/>
        </w:rPr>
        <w:t>:</w:t>
      </w:r>
      <w:r w:rsidR="00C05526">
        <w:rPr>
          <w:lang w:val="es-ES"/>
        </w:rPr>
        <w:t xml:space="preserve"> </w:t>
      </w:r>
      <w:r w:rsidR="00955AD5" w:rsidRPr="00310D26">
        <w:rPr>
          <w:lang w:val="es-ES"/>
        </w:rPr>
        <w:t>Argentina</w:t>
      </w:r>
    </w:p>
    <w:p w14:paraId="58F880C4" w14:textId="77777777" w:rsidR="00955AD5" w:rsidRPr="00310D26" w:rsidRDefault="00955AD5" w:rsidP="00955AD5">
      <w:pPr>
        <w:pStyle w:val="ListParagraph"/>
        <w:spacing w:before="60" w:after="60"/>
        <w:ind w:left="567" w:hanging="283"/>
        <w:rPr>
          <w:lang w:val="es-ES"/>
        </w:rPr>
      </w:pPr>
    </w:p>
    <w:p w14:paraId="5070CA80" w14:textId="5EF28044" w:rsidR="00955AD5" w:rsidRPr="00310D26" w:rsidRDefault="00316A32" w:rsidP="00955AD5">
      <w:pPr>
        <w:pStyle w:val="ListParagraph"/>
        <w:numPr>
          <w:ilvl w:val="0"/>
          <w:numId w:val="22"/>
        </w:numPr>
        <w:spacing w:before="60" w:after="60"/>
        <w:ind w:left="567" w:hanging="283"/>
        <w:rPr>
          <w:lang w:val="es-ES"/>
        </w:rPr>
      </w:pPr>
      <w:r w:rsidRPr="00310D26">
        <w:rPr>
          <w:lang w:val="es-ES"/>
        </w:rPr>
        <w:t>Apéndice</w:t>
      </w:r>
      <w:r w:rsidR="00955AD5" w:rsidRPr="00310D26">
        <w:rPr>
          <w:lang w:val="es-ES"/>
        </w:rPr>
        <w:t xml:space="preserve"> II:</w:t>
      </w:r>
      <w:r w:rsidR="00C05526">
        <w:rPr>
          <w:lang w:val="es-ES"/>
        </w:rPr>
        <w:t xml:space="preserve"> </w:t>
      </w:r>
      <w:r w:rsidR="00955AD5" w:rsidRPr="00310D26">
        <w:rPr>
          <w:lang w:val="es-ES"/>
        </w:rPr>
        <w:t>Canad</w:t>
      </w:r>
      <w:r w:rsidRPr="00310D26">
        <w:rPr>
          <w:lang w:val="es-ES"/>
        </w:rPr>
        <w:t>á</w:t>
      </w:r>
    </w:p>
    <w:p w14:paraId="12156E8A" w14:textId="77777777" w:rsidR="00955AD5" w:rsidRPr="00310D26" w:rsidRDefault="00955AD5" w:rsidP="00955AD5">
      <w:pPr>
        <w:pStyle w:val="ListParagraph"/>
        <w:spacing w:before="60" w:after="60"/>
        <w:ind w:left="567" w:hanging="283"/>
        <w:rPr>
          <w:lang w:val="es-ES"/>
        </w:rPr>
      </w:pPr>
    </w:p>
    <w:p w14:paraId="5B3E5609" w14:textId="72BA89FA" w:rsidR="00955AD5" w:rsidRPr="00310D26" w:rsidRDefault="00316A32" w:rsidP="00955AD5">
      <w:pPr>
        <w:pStyle w:val="ListParagraph"/>
        <w:numPr>
          <w:ilvl w:val="0"/>
          <w:numId w:val="22"/>
        </w:numPr>
        <w:spacing w:before="60" w:after="60"/>
        <w:ind w:left="567" w:hanging="283"/>
        <w:rPr>
          <w:lang w:val="es-ES"/>
        </w:rPr>
      </w:pPr>
      <w:r w:rsidRPr="00310D26">
        <w:rPr>
          <w:lang w:val="es-ES"/>
        </w:rPr>
        <w:t xml:space="preserve">Apéndice </w:t>
      </w:r>
      <w:r w:rsidR="00955AD5" w:rsidRPr="00310D26">
        <w:rPr>
          <w:lang w:val="es-ES"/>
        </w:rPr>
        <w:t>III:</w:t>
      </w:r>
      <w:r w:rsidR="00C05526">
        <w:rPr>
          <w:lang w:val="es-ES"/>
        </w:rPr>
        <w:t xml:space="preserve"> </w:t>
      </w:r>
      <w:r w:rsidRPr="00310D26">
        <w:rPr>
          <w:lang w:val="es-ES"/>
        </w:rPr>
        <w:t>Unión Europea</w:t>
      </w:r>
    </w:p>
    <w:p w14:paraId="01777010" w14:textId="77777777" w:rsidR="00955AD5" w:rsidRPr="00310D26" w:rsidRDefault="00955AD5" w:rsidP="00955AD5">
      <w:pPr>
        <w:pStyle w:val="ListParagraph"/>
        <w:spacing w:before="60" w:after="60"/>
        <w:ind w:left="567" w:hanging="283"/>
        <w:rPr>
          <w:lang w:val="es-ES"/>
        </w:rPr>
      </w:pPr>
    </w:p>
    <w:p w14:paraId="5E12D2A7" w14:textId="79BC258C" w:rsidR="00955AD5" w:rsidRPr="00310D26" w:rsidRDefault="00316A32" w:rsidP="00955AD5">
      <w:pPr>
        <w:pStyle w:val="ListParagraph"/>
        <w:numPr>
          <w:ilvl w:val="0"/>
          <w:numId w:val="22"/>
        </w:numPr>
        <w:spacing w:before="60" w:after="60"/>
        <w:ind w:left="567" w:hanging="283"/>
        <w:rPr>
          <w:lang w:val="es-ES"/>
        </w:rPr>
      </w:pPr>
      <w:r w:rsidRPr="00310D26">
        <w:rPr>
          <w:lang w:val="es-ES"/>
        </w:rPr>
        <w:t xml:space="preserve">Apéndice </w:t>
      </w:r>
      <w:r w:rsidR="00955AD5" w:rsidRPr="00310D26">
        <w:rPr>
          <w:lang w:val="es-ES"/>
        </w:rPr>
        <w:t>IV:</w:t>
      </w:r>
      <w:r w:rsidR="00C05526">
        <w:rPr>
          <w:lang w:val="es-ES"/>
        </w:rPr>
        <w:t xml:space="preserve"> </w:t>
      </w:r>
      <w:r w:rsidR="00955AD5" w:rsidRPr="00310D26">
        <w:rPr>
          <w:lang w:val="es-ES"/>
        </w:rPr>
        <w:t>Franc</w:t>
      </w:r>
      <w:r w:rsidRPr="00310D26">
        <w:rPr>
          <w:lang w:val="es-ES"/>
        </w:rPr>
        <w:t>ia</w:t>
      </w:r>
    </w:p>
    <w:p w14:paraId="13283D65" w14:textId="77777777" w:rsidR="00955AD5" w:rsidRPr="00310D26" w:rsidRDefault="00955AD5" w:rsidP="00955AD5">
      <w:pPr>
        <w:pStyle w:val="ListParagraph"/>
        <w:spacing w:before="60" w:after="60"/>
        <w:ind w:left="567" w:hanging="283"/>
        <w:rPr>
          <w:lang w:val="es-ES"/>
        </w:rPr>
      </w:pPr>
    </w:p>
    <w:p w14:paraId="09C7F9C7" w14:textId="1948ECD6" w:rsidR="00955AD5" w:rsidRPr="00310D26" w:rsidRDefault="00316A32" w:rsidP="00955AD5">
      <w:pPr>
        <w:pStyle w:val="ListParagraph"/>
        <w:numPr>
          <w:ilvl w:val="0"/>
          <w:numId w:val="22"/>
        </w:numPr>
        <w:spacing w:before="60" w:after="60"/>
        <w:ind w:left="567" w:hanging="283"/>
        <w:rPr>
          <w:lang w:val="es-ES"/>
        </w:rPr>
      </w:pPr>
      <w:r w:rsidRPr="00310D26">
        <w:rPr>
          <w:lang w:val="es-ES"/>
        </w:rPr>
        <w:t>Apéndice</w:t>
      </w:r>
      <w:r w:rsidR="00955AD5" w:rsidRPr="00310D26">
        <w:rPr>
          <w:lang w:val="es-ES"/>
        </w:rPr>
        <w:t xml:space="preserve"> V:</w:t>
      </w:r>
      <w:r w:rsidR="00C05526">
        <w:rPr>
          <w:lang w:val="es-ES"/>
        </w:rPr>
        <w:t xml:space="preserve"> </w:t>
      </w:r>
      <w:r w:rsidR="00955AD5" w:rsidRPr="00310D26">
        <w:rPr>
          <w:lang w:val="es-ES"/>
        </w:rPr>
        <w:t>N</w:t>
      </w:r>
      <w:r w:rsidRPr="00310D26">
        <w:rPr>
          <w:lang w:val="es-ES"/>
        </w:rPr>
        <w:t>ueva Zelandia</w:t>
      </w:r>
    </w:p>
    <w:p w14:paraId="57C5EF9A" w14:textId="77777777" w:rsidR="00955AD5" w:rsidRPr="00310D26" w:rsidRDefault="00955AD5" w:rsidP="00955AD5">
      <w:pPr>
        <w:pStyle w:val="ListParagraph"/>
        <w:spacing w:before="60" w:after="60"/>
        <w:ind w:left="1211"/>
        <w:rPr>
          <w:lang w:val="es-ES"/>
        </w:rPr>
      </w:pPr>
    </w:p>
    <w:p w14:paraId="5F85DC82" w14:textId="77777777" w:rsidR="00955AD5" w:rsidRPr="00310D26" w:rsidRDefault="00955AD5" w:rsidP="00955AD5">
      <w:pPr>
        <w:pStyle w:val="DecisionParagraphs"/>
        <w:jc w:val="right"/>
        <w:rPr>
          <w:i w:val="0"/>
          <w:lang w:val="es-ES"/>
        </w:rPr>
      </w:pPr>
    </w:p>
    <w:p w14:paraId="2D6940D8" w14:textId="77777777" w:rsidR="00955AD5" w:rsidRPr="00310D26" w:rsidRDefault="00955AD5" w:rsidP="00955AD5">
      <w:pPr>
        <w:pStyle w:val="DecisionParagraphs"/>
        <w:jc w:val="right"/>
        <w:rPr>
          <w:i w:val="0"/>
          <w:lang w:val="es-ES"/>
        </w:rPr>
      </w:pPr>
    </w:p>
    <w:p w14:paraId="485DF28D" w14:textId="16DE174D" w:rsidR="00955AD5" w:rsidRPr="00310D26" w:rsidRDefault="00FD36B1" w:rsidP="00955AD5">
      <w:pPr>
        <w:pStyle w:val="DecisionParagraphs"/>
        <w:jc w:val="right"/>
        <w:rPr>
          <w:i w:val="0"/>
          <w:lang w:val="es-ES"/>
        </w:rPr>
      </w:pPr>
      <w:r w:rsidRPr="00310D26">
        <w:rPr>
          <w:i w:val="0"/>
          <w:lang w:val="es-ES"/>
        </w:rPr>
        <w:t>[Sigue el Apéndice I]</w:t>
      </w:r>
    </w:p>
    <w:p w14:paraId="572ED853" w14:textId="77777777" w:rsidR="00955AD5" w:rsidRPr="00310D26" w:rsidRDefault="00955AD5" w:rsidP="00955AD5">
      <w:pPr>
        <w:pStyle w:val="DecisionParagraphs"/>
        <w:jc w:val="right"/>
        <w:rPr>
          <w:i w:val="0"/>
          <w:lang w:val="es-ES"/>
        </w:rPr>
        <w:sectPr w:rsidR="00955AD5" w:rsidRPr="00310D26" w:rsidSect="00955AD5">
          <w:headerReference w:type="first" r:id="rId17"/>
          <w:endnotePr>
            <w:numFmt w:val="lowerLetter"/>
          </w:endnotePr>
          <w:pgSz w:w="11907" w:h="16840" w:code="9"/>
          <w:pgMar w:top="510" w:right="1134" w:bottom="851" w:left="1134" w:header="510" w:footer="680" w:gutter="0"/>
          <w:cols w:space="720"/>
          <w:titlePg/>
        </w:sectPr>
      </w:pPr>
    </w:p>
    <w:p w14:paraId="7B7B0921" w14:textId="0A50F767" w:rsidR="00E7205D" w:rsidRPr="00310D26" w:rsidRDefault="00E7205D" w:rsidP="00E7205D">
      <w:pPr>
        <w:jc w:val="center"/>
      </w:pPr>
      <w:r>
        <w:lastRenderedPageBreak/>
        <w:t>Respuesta de</w:t>
      </w:r>
      <w:r w:rsidRPr="00310D26">
        <w:t xml:space="preserve"> </w:t>
      </w:r>
      <w:r>
        <w:t>Argentina</w:t>
      </w:r>
      <w:r w:rsidRPr="00310D26">
        <w:t xml:space="preserve"> a la Circular E-20/017</w:t>
      </w:r>
    </w:p>
    <w:p w14:paraId="068C7C64" w14:textId="77777777" w:rsidR="00E7205D" w:rsidRPr="00E7205D" w:rsidRDefault="00E7205D" w:rsidP="008355BC">
      <w:pPr>
        <w:pStyle w:val="DecisionParagraphs"/>
        <w:tabs>
          <w:tab w:val="clear" w:pos="5387"/>
          <w:tab w:val="clear" w:pos="5954"/>
        </w:tabs>
        <w:ind w:left="-142"/>
        <w:jc w:val="center"/>
        <w:rPr>
          <w:i w:val="0"/>
          <w:lang w:val="es-ES"/>
        </w:rPr>
      </w:pPr>
    </w:p>
    <w:p w14:paraId="6B32B79C" w14:textId="477C4C6B" w:rsidR="00235894" w:rsidRPr="00DF411E" w:rsidRDefault="00E7205D" w:rsidP="008355BC">
      <w:pPr>
        <w:pStyle w:val="DecisionParagraphs"/>
        <w:tabs>
          <w:tab w:val="clear" w:pos="5387"/>
          <w:tab w:val="clear" w:pos="5954"/>
        </w:tabs>
        <w:ind w:left="-142"/>
        <w:jc w:val="center"/>
        <w:rPr>
          <w:rFonts w:cs="Arial"/>
          <w:i w:val="0"/>
          <w:lang w:val="es-ES"/>
        </w:rPr>
      </w:pPr>
      <w:r>
        <w:rPr>
          <w:i w:val="0"/>
        </w:rPr>
        <w:t xml:space="preserve">[Original: </w:t>
      </w:r>
      <w:r w:rsidR="008355BC" w:rsidRPr="008355BC">
        <w:rPr>
          <w:i w:val="0"/>
        </w:rPr>
        <w:t xml:space="preserve"> </w:t>
      </w:r>
      <w:r w:rsidR="008355BC">
        <w:rPr>
          <w:i w:val="0"/>
        </w:rPr>
        <w:t>español</w:t>
      </w:r>
      <w:r w:rsidR="008355BC" w:rsidRPr="008355BC">
        <w:rPr>
          <w:i w:val="0"/>
        </w:rPr>
        <w:t>]</w:t>
      </w:r>
    </w:p>
    <w:p w14:paraId="13BACCAB" w14:textId="1CAD7716" w:rsidR="00235894" w:rsidRPr="00DF411E" w:rsidRDefault="00235894" w:rsidP="00235894">
      <w:pPr>
        <w:pStyle w:val="DecisionParagraphs"/>
        <w:rPr>
          <w:rFonts w:cs="Arial"/>
          <w:i w:val="0"/>
          <w:lang w:val="es-ES"/>
        </w:rPr>
      </w:pPr>
    </w:p>
    <w:p w14:paraId="45BE4E66" w14:textId="77777777" w:rsidR="008355BC" w:rsidRPr="00DF411E" w:rsidRDefault="008355BC" w:rsidP="00235894">
      <w:pPr>
        <w:pStyle w:val="DecisionParagraphs"/>
        <w:rPr>
          <w:rFonts w:cs="Arial"/>
          <w:i w:val="0"/>
          <w:lang w:val="es-ES"/>
        </w:rPr>
      </w:pPr>
    </w:p>
    <w:p w14:paraId="004A6C4E" w14:textId="77777777" w:rsidR="00235894" w:rsidRPr="00013CDE" w:rsidRDefault="00235894" w:rsidP="00235894">
      <w:pPr>
        <w:widowControl w:val="0"/>
        <w:autoSpaceDE w:val="0"/>
        <w:autoSpaceDN w:val="0"/>
        <w:spacing w:before="19" w:line="276" w:lineRule="auto"/>
        <w:ind w:left="3245" w:right="3254"/>
        <w:jc w:val="center"/>
        <w:rPr>
          <w:rFonts w:cs="Arial"/>
        </w:rPr>
      </w:pPr>
      <w:r w:rsidRPr="00013CDE">
        <w:rPr>
          <w:rFonts w:cs="Arial"/>
        </w:rPr>
        <w:t>República Argentina - Poder Ejecutivo Nacional 2020 - Año del General Manuel Belgrano</w:t>
      </w:r>
    </w:p>
    <w:p w14:paraId="422997F2" w14:textId="77777777" w:rsidR="00235894" w:rsidRPr="00013CDE" w:rsidRDefault="00235894" w:rsidP="00235894">
      <w:pPr>
        <w:widowControl w:val="0"/>
        <w:autoSpaceDE w:val="0"/>
        <w:autoSpaceDN w:val="0"/>
        <w:spacing w:before="5"/>
        <w:jc w:val="left"/>
        <w:rPr>
          <w:rFonts w:cs="Arial"/>
        </w:rPr>
      </w:pPr>
    </w:p>
    <w:p w14:paraId="50B6EDD0" w14:textId="77777777" w:rsidR="00235894" w:rsidRPr="00013CDE" w:rsidRDefault="00235894" w:rsidP="00235894">
      <w:pPr>
        <w:widowControl w:val="0"/>
        <w:autoSpaceDE w:val="0"/>
        <w:autoSpaceDN w:val="0"/>
        <w:spacing w:before="1"/>
        <w:ind w:left="3245" w:right="3253"/>
        <w:jc w:val="center"/>
        <w:rPr>
          <w:rFonts w:cs="Arial"/>
          <w:b/>
        </w:rPr>
      </w:pPr>
      <w:r w:rsidRPr="00013CDE">
        <w:rPr>
          <w:rFonts w:cs="Arial"/>
          <w:b/>
        </w:rPr>
        <w:t>Nota</w:t>
      </w:r>
    </w:p>
    <w:p w14:paraId="14CE370E" w14:textId="77777777" w:rsidR="00235894" w:rsidRPr="00013CDE" w:rsidRDefault="00235894" w:rsidP="00235894">
      <w:pPr>
        <w:widowControl w:val="0"/>
        <w:autoSpaceDE w:val="0"/>
        <w:autoSpaceDN w:val="0"/>
        <w:jc w:val="left"/>
        <w:rPr>
          <w:rFonts w:cs="Arial"/>
          <w:b/>
        </w:rPr>
      </w:pPr>
    </w:p>
    <w:p w14:paraId="4622DC8B" w14:textId="77777777" w:rsidR="00235894" w:rsidRPr="00013CDE" w:rsidRDefault="00235894" w:rsidP="00235894">
      <w:pPr>
        <w:widowControl w:val="0"/>
        <w:autoSpaceDE w:val="0"/>
        <w:autoSpaceDN w:val="0"/>
        <w:jc w:val="left"/>
        <w:rPr>
          <w:rFonts w:cs="Arial"/>
          <w:b/>
        </w:rPr>
      </w:pPr>
    </w:p>
    <w:p w14:paraId="42738CC6" w14:textId="77777777" w:rsidR="00235894" w:rsidRPr="00013CDE" w:rsidRDefault="00235894" w:rsidP="00235894">
      <w:pPr>
        <w:widowControl w:val="0"/>
        <w:autoSpaceDE w:val="0"/>
        <w:autoSpaceDN w:val="0"/>
        <w:spacing w:before="10"/>
        <w:jc w:val="left"/>
        <w:rPr>
          <w:rFonts w:cs="Arial"/>
          <w:b/>
        </w:rPr>
      </w:pPr>
    </w:p>
    <w:p w14:paraId="65EC5E52" w14:textId="77777777" w:rsidR="00235894" w:rsidRPr="00013CDE" w:rsidRDefault="00235894" w:rsidP="00235894">
      <w:pPr>
        <w:widowControl w:val="0"/>
        <w:autoSpaceDE w:val="0"/>
        <w:autoSpaceDN w:val="0"/>
        <w:spacing w:before="1"/>
        <w:jc w:val="left"/>
        <w:rPr>
          <w:rFonts w:cs="Arial"/>
        </w:rPr>
      </w:pPr>
      <w:r w:rsidRPr="00013CDE">
        <w:rPr>
          <w:rFonts w:cs="Arial"/>
          <w:b/>
        </w:rPr>
        <w:t xml:space="preserve">Número: </w:t>
      </w:r>
      <w:r w:rsidRPr="00013CDE">
        <w:rPr>
          <w:rFonts w:cs="Arial"/>
        </w:rPr>
        <w:t>NO-2020-31293107-APN-INASE#MAGYP</w:t>
      </w:r>
    </w:p>
    <w:p w14:paraId="37EB5A30" w14:textId="77777777" w:rsidR="00235894" w:rsidRPr="00013CDE" w:rsidRDefault="00235894" w:rsidP="00235894">
      <w:pPr>
        <w:widowControl w:val="0"/>
        <w:autoSpaceDE w:val="0"/>
        <w:autoSpaceDN w:val="0"/>
        <w:spacing w:before="4"/>
        <w:jc w:val="left"/>
        <w:rPr>
          <w:rFonts w:cs="Arial"/>
        </w:rPr>
      </w:pPr>
    </w:p>
    <w:p w14:paraId="5AEFBA94" w14:textId="77777777" w:rsidR="00235894" w:rsidRPr="00013CDE" w:rsidRDefault="00235894" w:rsidP="00235894">
      <w:pPr>
        <w:widowControl w:val="0"/>
        <w:autoSpaceDE w:val="0"/>
        <w:autoSpaceDN w:val="0"/>
        <w:spacing w:before="91"/>
        <w:ind w:right="147"/>
        <w:jc w:val="right"/>
        <w:rPr>
          <w:rFonts w:cs="Arial"/>
        </w:rPr>
      </w:pPr>
      <w:r w:rsidRPr="00013CDE">
        <w:rPr>
          <w:rFonts w:cs="Arial"/>
        </w:rPr>
        <w:t>CIUDAD DE BUENOS AIRES</w:t>
      </w:r>
    </w:p>
    <w:p w14:paraId="39D5A31F" w14:textId="4AB128CD" w:rsidR="00235894" w:rsidRPr="00013CDE" w:rsidRDefault="00235894" w:rsidP="00235894">
      <w:pPr>
        <w:widowControl w:val="0"/>
        <w:autoSpaceDE w:val="0"/>
        <w:autoSpaceDN w:val="0"/>
        <w:spacing w:before="77"/>
        <w:ind w:right="148"/>
        <w:jc w:val="right"/>
        <w:rPr>
          <w:rFonts w:cs="Arial"/>
        </w:rPr>
      </w:pPr>
      <w:r w:rsidRPr="00013CDE">
        <w:rPr>
          <w:rFonts w:cs="Arial"/>
        </w:rPr>
        <w:t>Lunes 11 de mayo de 2020</w:t>
      </w:r>
    </w:p>
    <w:p w14:paraId="53DFB08E" w14:textId="77777777" w:rsidR="00235894" w:rsidRPr="00013CDE" w:rsidRDefault="00235894" w:rsidP="00235894">
      <w:pPr>
        <w:widowControl w:val="0"/>
        <w:autoSpaceDE w:val="0"/>
        <w:autoSpaceDN w:val="0"/>
        <w:jc w:val="left"/>
        <w:rPr>
          <w:rFonts w:cs="Arial"/>
        </w:rPr>
      </w:pPr>
    </w:p>
    <w:p w14:paraId="47851EB0" w14:textId="77777777" w:rsidR="00235894" w:rsidRPr="00013CDE" w:rsidRDefault="00235894" w:rsidP="00235894">
      <w:pPr>
        <w:widowControl w:val="0"/>
        <w:autoSpaceDE w:val="0"/>
        <w:autoSpaceDN w:val="0"/>
        <w:spacing w:before="95"/>
        <w:jc w:val="left"/>
        <w:rPr>
          <w:rFonts w:cs="Arial"/>
        </w:rPr>
      </w:pPr>
      <w:r w:rsidRPr="00013CDE">
        <w:rPr>
          <w:rFonts w:cs="Arial"/>
          <w:b/>
        </w:rPr>
        <w:t xml:space="preserve">Referencia: </w:t>
      </w:r>
      <w:r w:rsidRPr="00013CDE">
        <w:rPr>
          <w:rFonts w:cs="Arial"/>
        </w:rPr>
        <w:t>Respuesta a la Circular E-20/017</w:t>
      </w:r>
    </w:p>
    <w:p w14:paraId="58F71D61" w14:textId="77777777" w:rsidR="00235894" w:rsidRPr="00013CDE" w:rsidRDefault="00235894" w:rsidP="00235894">
      <w:pPr>
        <w:widowControl w:val="0"/>
        <w:autoSpaceDE w:val="0"/>
        <w:autoSpaceDN w:val="0"/>
        <w:jc w:val="left"/>
        <w:rPr>
          <w:rFonts w:cs="Arial"/>
        </w:rPr>
      </w:pPr>
    </w:p>
    <w:p w14:paraId="1B2EEB1B" w14:textId="77777777" w:rsidR="00235894" w:rsidRPr="00013CDE" w:rsidRDefault="00235894" w:rsidP="00235894">
      <w:pPr>
        <w:widowControl w:val="0"/>
        <w:autoSpaceDE w:val="0"/>
        <w:autoSpaceDN w:val="0"/>
        <w:spacing w:before="1"/>
        <w:jc w:val="left"/>
        <w:rPr>
          <w:rFonts w:cs="Arial"/>
        </w:rPr>
      </w:pPr>
    </w:p>
    <w:p w14:paraId="71FE2E9E" w14:textId="77777777" w:rsidR="00235894" w:rsidRPr="00013CDE" w:rsidRDefault="00235894" w:rsidP="00235894">
      <w:pPr>
        <w:widowControl w:val="0"/>
        <w:autoSpaceDE w:val="0"/>
        <w:autoSpaceDN w:val="0"/>
        <w:jc w:val="left"/>
        <w:rPr>
          <w:rFonts w:cs="Arial"/>
        </w:rPr>
      </w:pPr>
      <w:r w:rsidRPr="00013CDE">
        <w:rPr>
          <w:rFonts w:cs="Arial"/>
          <w:b/>
        </w:rPr>
        <w:t xml:space="preserve">A: </w:t>
      </w:r>
      <w:r w:rsidRPr="00013CDE">
        <w:rPr>
          <w:rFonts w:cs="Arial"/>
        </w:rPr>
        <w:t>Peter Button (UPOV),</w:t>
      </w:r>
    </w:p>
    <w:p w14:paraId="3F4F4C00" w14:textId="77777777" w:rsidR="00235894" w:rsidRPr="00013CDE" w:rsidRDefault="00235894" w:rsidP="00235894">
      <w:pPr>
        <w:widowControl w:val="0"/>
        <w:autoSpaceDE w:val="0"/>
        <w:autoSpaceDN w:val="0"/>
        <w:spacing w:before="8"/>
        <w:jc w:val="left"/>
        <w:rPr>
          <w:rFonts w:cs="Arial"/>
        </w:rPr>
      </w:pPr>
    </w:p>
    <w:p w14:paraId="6023655A" w14:textId="77777777" w:rsidR="00235894" w:rsidRPr="00013CDE" w:rsidRDefault="00235894" w:rsidP="00235894">
      <w:pPr>
        <w:widowControl w:val="0"/>
        <w:autoSpaceDE w:val="0"/>
        <w:autoSpaceDN w:val="0"/>
        <w:spacing w:before="1"/>
        <w:jc w:val="left"/>
        <w:rPr>
          <w:rFonts w:cs="Arial"/>
        </w:rPr>
      </w:pPr>
      <w:r w:rsidRPr="00013CDE">
        <w:rPr>
          <w:rFonts w:cs="Arial"/>
          <w:b/>
        </w:rPr>
        <w:t xml:space="preserve">Con Copia A: </w:t>
      </w:r>
      <w:r w:rsidRPr="00013CDE">
        <w:rPr>
          <w:rFonts w:cs="Arial"/>
        </w:rPr>
        <w:t>María Laura Villamayor (</w:t>
      </w:r>
      <w:proofErr w:type="spellStart"/>
      <w:r w:rsidRPr="00013CDE">
        <w:rPr>
          <w:rFonts w:cs="Arial"/>
        </w:rPr>
        <w:t>INASE#MAGYP</w:t>
      </w:r>
      <w:proofErr w:type="spellEnd"/>
      <w:r w:rsidRPr="00013CDE">
        <w:rPr>
          <w:rFonts w:cs="Arial"/>
        </w:rPr>
        <w:t xml:space="preserve">), Hernando </w:t>
      </w:r>
      <w:proofErr w:type="spellStart"/>
      <w:r w:rsidRPr="00013CDE">
        <w:rPr>
          <w:rFonts w:cs="Arial"/>
        </w:rPr>
        <w:t>Pecci</w:t>
      </w:r>
      <w:proofErr w:type="spellEnd"/>
      <w:r w:rsidRPr="00013CDE">
        <w:rPr>
          <w:rFonts w:cs="Arial"/>
        </w:rPr>
        <w:t xml:space="preserve"> (</w:t>
      </w:r>
      <w:proofErr w:type="spellStart"/>
      <w:r w:rsidRPr="00013CDE">
        <w:rPr>
          <w:rFonts w:cs="Arial"/>
        </w:rPr>
        <w:t>DRV#INASE</w:t>
      </w:r>
      <w:proofErr w:type="spellEnd"/>
      <w:r w:rsidRPr="00013CDE">
        <w:rPr>
          <w:rFonts w:cs="Arial"/>
        </w:rPr>
        <w:t>),</w:t>
      </w:r>
    </w:p>
    <w:p w14:paraId="48F4273B" w14:textId="77777777" w:rsidR="00235894" w:rsidRPr="00013CDE" w:rsidRDefault="00235894" w:rsidP="00235894">
      <w:pPr>
        <w:widowControl w:val="0"/>
        <w:autoSpaceDE w:val="0"/>
        <w:autoSpaceDN w:val="0"/>
        <w:jc w:val="left"/>
        <w:rPr>
          <w:rFonts w:cs="Arial"/>
        </w:rPr>
      </w:pPr>
    </w:p>
    <w:p w14:paraId="5991CDBC" w14:textId="77777777" w:rsidR="00235894" w:rsidRPr="00013CDE" w:rsidRDefault="00235894" w:rsidP="00235894">
      <w:pPr>
        <w:widowControl w:val="0"/>
        <w:autoSpaceDE w:val="0"/>
        <w:autoSpaceDN w:val="0"/>
        <w:spacing w:before="8"/>
        <w:jc w:val="left"/>
        <w:rPr>
          <w:rFonts w:cs="Arial"/>
        </w:rPr>
      </w:pPr>
      <w:r w:rsidRPr="00013CDE">
        <w:rPr>
          <w:rFonts w:cs="Arial"/>
          <w:noProof/>
          <w:lang w:val="en-US"/>
        </w:rPr>
        <mc:AlternateContent>
          <mc:Choice Requires="wpg">
            <w:drawing>
              <wp:anchor distT="0" distB="0" distL="0" distR="0" simplePos="0" relativeHeight="251659264" behindDoc="1" locked="0" layoutInCell="1" allowOverlap="1" wp14:anchorId="2B0406D9" wp14:editId="5487790A">
                <wp:simplePos x="0" y="0"/>
                <wp:positionH relativeFrom="page">
                  <wp:posOffset>762000</wp:posOffset>
                </wp:positionH>
                <wp:positionV relativeFrom="paragraph">
                  <wp:posOffset>132715</wp:posOffset>
                </wp:positionV>
                <wp:extent cx="6725285" cy="19050"/>
                <wp:effectExtent l="9525" t="11430" r="8890" b="762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5285" cy="19050"/>
                          <a:chOff x="1200" y="209"/>
                          <a:chExt cx="10591" cy="30"/>
                        </a:xfrm>
                      </wpg:grpSpPr>
                      <wps:wsp>
                        <wps:cNvPr id="14" name="Line 12"/>
                        <wps:cNvCnPr>
                          <a:cxnSpLocks noChangeShapeType="1"/>
                        </wps:cNvCnPr>
                        <wps:spPr bwMode="auto">
                          <a:xfrm>
                            <a:off x="1208" y="220"/>
                            <a:ext cx="10575" cy="0"/>
                          </a:xfrm>
                          <a:prstGeom prst="line">
                            <a:avLst/>
                          </a:prstGeom>
                          <a:noFill/>
                          <a:ln w="4826">
                            <a:solidFill>
                              <a:srgbClr val="7F7D78"/>
                            </a:solidFill>
                            <a:prstDash val="solid"/>
                            <a:round/>
                            <a:headEnd/>
                            <a:tailEnd/>
                          </a:ln>
                          <a:extLst>
                            <a:ext uri="{909E8E84-426E-40DD-AFC4-6F175D3DCCD1}">
                              <a14:hiddenFill xmlns:a14="http://schemas.microsoft.com/office/drawing/2010/main">
                                <a:noFill/>
                              </a14:hiddenFill>
                            </a:ext>
                          </a:extLst>
                        </wps:spPr>
                        <wps:bodyPr/>
                      </wps:wsp>
                      <wps:wsp>
                        <wps:cNvPr id="15" name="Line 13"/>
                        <wps:cNvCnPr>
                          <a:cxnSpLocks noChangeShapeType="1"/>
                        </wps:cNvCnPr>
                        <wps:spPr bwMode="auto">
                          <a:xfrm>
                            <a:off x="1200" y="213"/>
                            <a:ext cx="10591" cy="0"/>
                          </a:xfrm>
                          <a:prstGeom prst="line">
                            <a:avLst/>
                          </a:prstGeom>
                          <a:noFill/>
                          <a:ln w="4699">
                            <a:solidFill>
                              <a:srgbClr val="7F7D78"/>
                            </a:solidFill>
                            <a:prstDash val="solid"/>
                            <a:round/>
                            <a:headEnd/>
                            <a:tailEnd/>
                          </a:ln>
                          <a:extLst>
                            <a:ext uri="{909E8E84-426E-40DD-AFC4-6F175D3DCCD1}">
                              <a14:hiddenFill xmlns:a14="http://schemas.microsoft.com/office/drawing/2010/main">
                                <a:noFill/>
                              </a14:hiddenFill>
                            </a:ext>
                          </a:extLst>
                        </wps:spPr>
                        <wps:bodyPr/>
                      </wps:wsp>
                      <wps:wsp>
                        <wps:cNvPr id="16" name="Freeform 14"/>
                        <wps:cNvSpPr>
                          <a:spLocks/>
                        </wps:cNvSpPr>
                        <wps:spPr bwMode="auto">
                          <a:xfrm>
                            <a:off x="11776" y="216"/>
                            <a:ext cx="8" cy="15"/>
                          </a:xfrm>
                          <a:custGeom>
                            <a:avLst/>
                            <a:gdLst>
                              <a:gd name="T0" fmla="+- 0 11783 11776"/>
                              <a:gd name="T1" fmla="*/ T0 w 8"/>
                              <a:gd name="T2" fmla="+- 0 217 217"/>
                              <a:gd name="T3" fmla="*/ 217 h 15"/>
                              <a:gd name="T4" fmla="+- 0 11776 11776"/>
                              <a:gd name="T5" fmla="*/ T4 w 8"/>
                              <a:gd name="T6" fmla="+- 0 224 217"/>
                              <a:gd name="T7" fmla="*/ 224 h 15"/>
                              <a:gd name="T8" fmla="+- 0 11783 11776"/>
                              <a:gd name="T9" fmla="*/ T8 w 8"/>
                              <a:gd name="T10" fmla="+- 0 232 217"/>
                              <a:gd name="T11" fmla="*/ 232 h 15"/>
                              <a:gd name="T12" fmla="+- 0 11783 11776"/>
                              <a:gd name="T13" fmla="*/ T12 w 8"/>
                              <a:gd name="T14" fmla="+- 0 217 217"/>
                              <a:gd name="T15" fmla="*/ 217 h 15"/>
                            </a:gdLst>
                            <a:ahLst/>
                            <a:cxnLst>
                              <a:cxn ang="0">
                                <a:pos x="T1" y="T3"/>
                              </a:cxn>
                              <a:cxn ang="0">
                                <a:pos x="T5" y="T7"/>
                              </a:cxn>
                              <a:cxn ang="0">
                                <a:pos x="T9" y="T11"/>
                              </a:cxn>
                              <a:cxn ang="0">
                                <a:pos x="T13" y="T15"/>
                              </a:cxn>
                            </a:cxnLst>
                            <a:rect l="0" t="0" r="r" b="b"/>
                            <a:pathLst>
                              <a:path w="8" h="15">
                                <a:moveTo>
                                  <a:pt x="7" y="0"/>
                                </a:moveTo>
                                <a:lnTo>
                                  <a:pt x="0" y="7"/>
                                </a:lnTo>
                                <a:lnTo>
                                  <a:pt x="7" y="15"/>
                                </a:lnTo>
                                <a:lnTo>
                                  <a:pt x="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5"/>
                        <wps:cNvSpPr>
                          <a:spLocks/>
                        </wps:cNvSpPr>
                        <wps:spPr bwMode="auto">
                          <a:xfrm>
                            <a:off x="11783" y="209"/>
                            <a:ext cx="8" cy="30"/>
                          </a:xfrm>
                          <a:custGeom>
                            <a:avLst/>
                            <a:gdLst>
                              <a:gd name="T0" fmla="+- 0 11791 11783"/>
                              <a:gd name="T1" fmla="*/ T0 w 8"/>
                              <a:gd name="T2" fmla="+- 0 209 209"/>
                              <a:gd name="T3" fmla="*/ 209 h 30"/>
                              <a:gd name="T4" fmla="+- 0 11783 11783"/>
                              <a:gd name="T5" fmla="*/ T4 w 8"/>
                              <a:gd name="T6" fmla="+- 0 217 209"/>
                              <a:gd name="T7" fmla="*/ 217 h 30"/>
                              <a:gd name="T8" fmla="+- 0 11783 11783"/>
                              <a:gd name="T9" fmla="*/ T8 w 8"/>
                              <a:gd name="T10" fmla="+- 0 232 209"/>
                              <a:gd name="T11" fmla="*/ 232 h 30"/>
                              <a:gd name="T12" fmla="+- 0 11791 11783"/>
                              <a:gd name="T13" fmla="*/ T12 w 8"/>
                              <a:gd name="T14" fmla="+- 0 239 209"/>
                              <a:gd name="T15" fmla="*/ 239 h 30"/>
                              <a:gd name="T16" fmla="+- 0 11791 11783"/>
                              <a:gd name="T17" fmla="*/ T16 w 8"/>
                              <a:gd name="T18" fmla="+- 0 209 209"/>
                              <a:gd name="T19" fmla="*/ 209 h 30"/>
                            </a:gdLst>
                            <a:ahLst/>
                            <a:cxnLst>
                              <a:cxn ang="0">
                                <a:pos x="T1" y="T3"/>
                              </a:cxn>
                              <a:cxn ang="0">
                                <a:pos x="T5" y="T7"/>
                              </a:cxn>
                              <a:cxn ang="0">
                                <a:pos x="T9" y="T11"/>
                              </a:cxn>
                              <a:cxn ang="0">
                                <a:pos x="T13" y="T15"/>
                              </a:cxn>
                              <a:cxn ang="0">
                                <a:pos x="T17" y="T19"/>
                              </a:cxn>
                            </a:cxnLst>
                            <a:rect l="0" t="0" r="r" b="b"/>
                            <a:pathLst>
                              <a:path w="8" h="30">
                                <a:moveTo>
                                  <a:pt x="8" y="0"/>
                                </a:moveTo>
                                <a:lnTo>
                                  <a:pt x="0" y="8"/>
                                </a:lnTo>
                                <a:lnTo>
                                  <a:pt x="0" y="23"/>
                                </a:lnTo>
                                <a:lnTo>
                                  <a:pt x="8" y="30"/>
                                </a:lnTo>
                                <a:lnTo>
                                  <a:pt x="8"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Line 16"/>
                        <wps:cNvCnPr>
                          <a:cxnSpLocks noChangeShapeType="1"/>
                        </wps:cNvCnPr>
                        <wps:spPr bwMode="auto">
                          <a:xfrm>
                            <a:off x="1208" y="228"/>
                            <a:ext cx="10575" cy="0"/>
                          </a:xfrm>
                          <a:prstGeom prst="line">
                            <a:avLst/>
                          </a:prstGeom>
                          <a:noFill/>
                          <a:ln w="4699">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19" name="Line 17"/>
                        <wps:cNvCnPr>
                          <a:cxnSpLocks noChangeShapeType="1"/>
                        </wps:cNvCnPr>
                        <wps:spPr bwMode="auto">
                          <a:xfrm>
                            <a:off x="1200" y="235"/>
                            <a:ext cx="10591" cy="0"/>
                          </a:xfrm>
                          <a:prstGeom prst="line">
                            <a:avLst/>
                          </a:prstGeom>
                          <a:noFill/>
                          <a:ln w="4826">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20" name="Freeform 18"/>
                        <wps:cNvSpPr>
                          <a:spLocks/>
                        </wps:cNvSpPr>
                        <wps:spPr bwMode="auto">
                          <a:xfrm>
                            <a:off x="1207" y="216"/>
                            <a:ext cx="8" cy="15"/>
                          </a:xfrm>
                          <a:custGeom>
                            <a:avLst/>
                            <a:gdLst>
                              <a:gd name="T0" fmla="+- 0 1208 1208"/>
                              <a:gd name="T1" fmla="*/ T0 w 8"/>
                              <a:gd name="T2" fmla="+- 0 217 217"/>
                              <a:gd name="T3" fmla="*/ 217 h 15"/>
                              <a:gd name="T4" fmla="+- 0 1208 1208"/>
                              <a:gd name="T5" fmla="*/ T4 w 8"/>
                              <a:gd name="T6" fmla="+- 0 232 217"/>
                              <a:gd name="T7" fmla="*/ 232 h 15"/>
                              <a:gd name="T8" fmla="+- 0 1215 1208"/>
                              <a:gd name="T9" fmla="*/ T8 w 8"/>
                              <a:gd name="T10" fmla="+- 0 224 217"/>
                              <a:gd name="T11" fmla="*/ 224 h 15"/>
                              <a:gd name="T12" fmla="+- 0 1208 1208"/>
                              <a:gd name="T13" fmla="*/ T12 w 8"/>
                              <a:gd name="T14" fmla="+- 0 217 217"/>
                              <a:gd name="T15" fmla="*/ 217 h 15"/>
                            </a:gdLst>
                            <a:ahLst/>
                            <a:cxnLst>
                              <a:cxn ang="0">
                                <a:pos x="T1" y="T3"/>
                              </a:cxn>
                              <a:cxn ang="0">
                                <a:pos x="T5" y="T7"/>
                              </a:cxn>
                              <a:cxn ang="0">
                                <a:pos x="T9" y="T11"/>
                              </a:cxn>
                              <a:cxn ang="0">
                                <a:pos x="T13" y="T15"/>
                              </a:cxn>
                            </a:cxnLst>
                            <a:rect l="0" t="0" r="r" b="b"/>
                            <a:pathLst>
                              <a:path w="8" h="15">
                                <a:moveTo>
                                  <a:pt x="0" y="0"/>
                                </a:moveTo>
                                <a:lnTo>
                                  <a:pt x="0" y="15"/>
                                </a:lnTo>
                                <a:lnTo>
                                  <a:pt x="7" y="7"/>
                                </a:lnTo>
                                <a:lnTo>
                                  <a:pt x="0" y="0"/>
                                </a:lnTo>
                                <a:close/>
                              </a:path>
                            </a:pathLst>
                          </a:custGeom>
                          <a:solidFill>
                            <a:srgbClr val="7F7D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9"/>
                        <wps:cNvSpPr>
                          <a:spLocks/>
                        </wps:cNvSpPr>
                        <wps:spPr bwMode="auto">
                          <a:xfrm>
                            <a:off x="1200" y="209"/>
                            <a:ext cx="8" cy="30"/>
                          </a:xfrm>
                          <a:custGeom>
                            <a:avLst/>
                            <a:gdLst>
                              <a:gd name="T0" fmla="+- 0 1200 1200"/>
                              <a:gd name="T1" fmla="*/ T0 w 8"/>
                              <a:gd name="T2" fmla="+- 0 209 209"/>
                              <a:gd name="T3" fmla="*/ 209 h 30"/>
                              <a:gd name="T4" fmla="+- 0 1200 1200"/>
                              <a:gd name="T5" fmla="*/ T4 w 8"/>
                              <a:gd name="T6" fmla="+- 0 239 209"/>
                              <a:gd name="T7" fmla="*/ 239 h 30"/>
                              <a:gd name="T8" fmla="+- 0 1208 1200"/>
                              <a:gd name="T9" fmla="*/ T8 w 8"/>
                              <a:gd name="T10" fmla="+- 0 232 209"/>
                              <a:gd name="T11" fmla="*/ 232 h 30"/>
                              <a:gd name="T12" fmla="+- 0 1208 1200"/>
                              <a:gd name="T13" fmla="*/ T12 w 8"/>
                              <a:gd name="T14" fmla="+- 0 217 209"/>
                              <a:gd name="T15" fmla="*/ 217 h 30"/>
                              <a:gd name="T16" fmla="+- 0 1200 1200"/>
                              <a:gd name="T17" fmla="*/ T16 w 8"/>
                              <a:gd name="T18" fmla="+- 0 209 209"/>
                              <a:gd name="T19" fmla="*/ 209 h 30"/>
                            </a:gdLst>
                            <a:ahLst/>
                            <a:cxnLst>
                              <a:cxn ang="0">
                                <a:pos x="T1" y="T3"/>
                              </a:cxn>
                              <a:cxn ang="0">
                                <a:pos x="T5" y="T7"/>
                              </a:cxn>
                              <a:cxn ang="0">
                                <a:pos x="T9" y="T11"/>
                              </a:cxn>
                              <a:cxn ang="0">
                                <a:pos x="T13" y="T15"/>
                              </a:cxn>
                              <a:cxn ang="0">
                                <a:pos x="T17" y="T19"/>
                              </a:cxn>
                            </a:cxnLst>
                            <a:rect l="0" t="0" r="r" b="b"/>
                            <a:pathLst>
                              <a:path w="8" h="30">
                                <a:moveTo>
                                  <a:pt x="0" y="0"/>
                                </a:moveTo>
                                <a:lnTo>
                                  <a:pt x="0" y="30"/>
                                </a:lnTo>
                                <a:lnTo>
                                  <a:pt x="8" y="23"/>
                                </a:lnTo>
                                <a:lnTo>
                                  <a:pt x="8" y="8"/>
                                </a:lnTo>
                                <a:lnTo>
                                  <a:pt x="0" y="0"/>
                                </a:lnTo>
                                <a:close/>
                              </a:path>
                            </a:pathLst>
                          </a:custGeom>
                          <a:solidFill>
                            <a:srgbClr val="7F7D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4D101C" id="Group 13" o:spid="_x0000_s1026" style="position:absolute;margin-left:60pt;margin-top:10.45pt;width:529.55pt;height:1.5pt;z-index:-251657216;mso-wrap-distance-left:0;mso-wrap-distance-right:0;mso-position-horizontal-relative:page" coordorigin="1200,209" coordsize="1059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Mk8jAcAAD0tAAAOAAAAZHJzL2Uyb0RvYy54bWzsWuFuo0YQ/l+p77DiZyufWYKNsc453dnx&#10;qdK1PencByCAjVUMFEictOq795tdFi8YJ3YuybWVT7oA3mF2dmZ25ptZ3r6728TsNsyLdZpMDP7G&#10;NFiY+GmwTlYT47fFvDcyWFF6SeDFaRJOjPuwMN5dfv/d2202Dq00SuMgzBmYJMV4m02MqCyzcb9f&#10;+FG48Yo3aRYmGFym+cYr8Ziv+kHubcF9E/ct0xz2t2keZHnqh0WBX2dy0LgU/JfL0C9/XS6LsGTx&#10;xIBspfibi7/X9Ld/+dYbr3Ivi9Z+JYb3BCk23jrBpDWrmVd67CZf77HarP08LdJl+cZPN/10uVz7&#10;oVgDVsPN1mo+5ulNJtayGm9XWa0mqLalpyez9X+5/ZyzdQDbXRgs8TawkZiW4RnK2WarMWg+5tmX&#10;7HMuV4jbT6n/e4HhfnucnleSmF1vf04D8PNuylQo526Zb4gFls3uhA3uaxuEdyXz8ePQsQbWaGAw&#10;H2PcNQeVjfwIhqS3OMxuMAxapivN50dX1cvcHLhcvnoh3ut7YzmpELQSjFYFbyt2Ci2+TqFfIi8L&#10;hZ0KUpZSqK0U+mmdhIxbUp+CZJpIZfp3SaVMlqTTyEtWoWC2uM+gOE5vQHLtFXooYIlHlQs1YeuR&#10;mqxKg0rDUJJT6bepI2+c5UX5MUw3jG4mRgy5heG8209FSbLsSMiOSTpfxzF+98ZxwrYTwx5ZQ/FC&#10;kcbrgAZprMhX19M4Z7ceNqEzd2bOSCwMIzoZzTnzikjSiSFpX+yCJBCzRKEXXFX3pbeO5T2kihOa&#10;CCuEnNWd3H5/uaZ7Nboa2T3bGl71bHM2672fT+3ecM6dwexiNp3O+N8kM7fH0ToIwoTEVqGA28d5&#10;RhWU5Caug0Gtn36Tu1AkhFVXIbSwM5lWuud1Gtx/zpX94ayv5bVwDRkGpNdWUUBzQW/8ol5bbW4Z&#10;foRNRVzQtvaze+3Qdc9e+9/22qHy2nkehgQXGLcpelTBUyWvQs9cwqflyPFhlTsO5qK4yocyPKm4&#10;inArctaAfq4TD3bLjQyqFJdUIAVQCKpQtQqq/baA5y83MeDHjz1mMs6d0QX9xXwi+O0IkeIk4Q99&#10;tjDZlol4SjwVK0tRCFYWdxj+t9kg4ddsiCRiXMiuM0IOa8rkDLtlQtiomS3sLpmgNo2VZdldMjmK&#10;CEsjki6ZoGiN0QN6chUh6WnUJRNv6ty6sLqE4rrCiaZLKuT3I8UipLXTFbc6BWsq/oAFYa8dJ92E&#10;cL/awbxIJm8RtyunQwRnABuEvsgts7QgaLXAOuHZCxHzwQJUNHqAGHMTsXCrR4lhCiKGJuXmeJg1&#10;aUiQq70kyOUk1QpyQPs2qM8NBlB/Lf0880pauFgebgmewHEioKqBWPMmvQ0XqRguafHwPEypcstu&#10;NE50Kpmd1JrVmLpmGie5lyCzGlRXnUhNp8b8OC1CqSGSXyIutRBavxZLGuCpgbEAa8ypkrFBJnGS&#10;hkseQk7css0PltubD0dOz57bg57rmKOeyd0P7tC0XXs2byIngRhkLQfA81TkRJZyB5a0UkP6xiJN&#10;8a9ypwbZ43ixxnoksUJh6iqcphONsTwFKoYLoODFTZTmfxpsi+JxYhR/3Hh5aLD4pwTFhMttG2Sl&#10;eLAHDiA4y/WRa33ES3ywmhilgT1Jt9NSVqg3Wb5eRZiJC49N0veopJZrgcQpY0mMCLnp4RUhIraK&#10;hIi7ZCs26gsk25GMBHWt10q2rSqvuUFOS7Yulym3nSX12H9UsjVdVou7y8h6zMcwUoiU/cFkKwEA&#10;dNACAHrYPyrZEgBQ5fJOpkayFQBgX6YDyXZfpqcl232hOpLtvlT7yfag+XTFL45LthedFmwmW9B0&#10;mRCgsIUCDgqma3/Bh50ooKl98psOM3Jd9bpvIWH8/1DAQTwCgCtBg2gLSbAgYjrAw1eDBrggQYUd&#10;LJBZHPY5GjSopofK9eoqOUlgYSnopQbVVZ9OboeDyKIpk2JwRhYJcvUZWfy7kQV8V28+icq3QhWv&#10;2jKtCmqFNl6yZfp48+kwnD+3TGU3/Bu3TJF/da8Vlddreq3KHVX3RvNadRqi6kx1AvMKjf6z19Lp&#10;B7I0zKGuh0tLqvlft4qjmrRdxYmw9+xVnGVKZPbiHVMceeGYDederXLp5BLu2fqlhyQ6uYDrbkzq&#10;JcShvmSzhOAWH3TqSK8hjuuVWp0N3Gb5BppjeqWH1HTulIpq54Em7LfolMp0o1LKriRSpYZe0BzV&#10;BVWtSsVAXXVGajo19jz1zOHT6HOnVLShz53S4z7V6f4ExELmaedY0Z14gRxbgUDVUFMgEOGfTiXr&#10;noFCgPpJwimNUnx9Q/lDbEe9d3lyju3uZendOr2VpU/VPBojYTolOj3HdnbXmjm2u+vXzrESh+zp&#10;6PQcS2lfWXTXt23mWHEe+XiLtMqxe0I9Ncd2iKVrXJ5GdojVapAesh5187RD0nN7dP+wVh6NLOoU&#10;+8iZqgThC3SLRWSXp7uyTfpS7dFTkEIdoVSGV1eJArDFEMaO6o8e02g9w4n9T9bO7dGnH7yieBff&#10;6IpKv/qemD4C1p9Fib/76vnyHwAAAP//AwBQSwMEFAAGAAgAAAAhAHESNozfAAAACgEAAA8AAABk&#10;cnMvZG93bnJldi54bWxMj01rwzAMhu+D/QejwW6r45Z9JItTStl2KoO2g7GbG6tJaCyH2E3Sfz/1&#10;tB1f6eXRo3w5uVYM2IfGkwY1S0Agld42VGn42r8/vIAI0ZA1rSfUcMEAy+L2JjeZ9SNtcdjFSjCE&#10;QmY01DF2mZShrNGZMPMdEu+OvncmcuwraXszMty1cp4kT9KZhvhCbTpc11iedmen4WM042qh3obN&#10;6bi+/OwfP783CrW+v5tWryAiTvGvDFd9VoeCnQ7+TDaIljPjuaphnqQgrgX1nCoQB54sUpBFLv+/&#10;UPwCAAD//wMAUEsBAi0AFAAGAAgAAAAhALaDOJL+AAAA4QEAABMAAAAAAAAAAAAAAAAAAAAAAFtD&#10;b250ZW50X1R5cGVzXS54bWxQSwECLQAUAAYACAAAACEAOP0h/9YAAACUAQAACwAAAAAAAAAAAAAA&#10;AAAvAQAAX3JlbHMvLnJlbHNQSwECLQAUAAYACAAAACEAEujJPIwHAAA9LQAADgAAAAAAAAAAAAAA&#10;AAAuAgAAZHJzL2Uyb0RvYy54bWxQSwECLQAUAAYACAAAACEAcRI2jN8AAAAKAQAADwAAAAAAAAAA&#10;AAAAAADmCQAAZHJzL2Rvd25yZXYueG1sUEsFBgAAAAAEAAQA8wAAAPIKAAAAAA==&#10;">
                <v:line id="Line 12" o:spid="_x0000_s1027" style="position:absolute;visibility:visible;mso-wrap-style:square" from="1208,220" to="1178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ydwAAAANsAAAAPAAAAZHJzL2Rvd25yZXYueG1sRE9Li8Iw&#10;EL4v+B/CCF4WTRUpWo0iguJlD6sePI7N9IHNpCTR1n+/WVjY23x8z1lve9OIFzlfW1YwnSQgiHOr&#10;ay4VXC+H8QKED8gaG8uk4E0etpvBxxozbTv+ptc5lCKGsM9QQRVCm0np84oM+oltiSNXWGcwROhK&#10;qR12Mdw0cpYkqTRYc2yosKV9Rfnj/DQK5HJZfB4Lh6HuqLml/e0rvc+VGg373QpEoD78i//cJx3n&#10;z+H3l3iA3PwAAAD//wMAUEsBAi0AFAAGAAgAAAAhANvh9svuAAAAhQEAABMAAAAAAAAAAAAAAAAA&#10;AAAAAFtDb250ZW50X1R5cGVzXS54bWxQSwECLQAUAAYACAAAACEAWvQsW78AAAAVAQAACwAAAAAA&#10;AAAAAAAAAAAfAQAAX3JlbHMvLnJlbHNQSwECLQAUAAYACAAAACEAlnP8ncAAAADbAAAADwAAAAAA&#10;AAAAAAAAAAAHAgAAZHJzL2Rvd25yZXYueG1sUEsFBgAAAAADAAMAtwAAAPQCAAAAAA==&#10;" strokecolor="#7f7d78" strokeweight=".38pt"/>
                <v:line id="Line 13" o:spid="_x0000_s1028" style="position:absolute;visibility:visible;mso-wrap-style:square" from="1200,213" to="11791,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ySQwgAAANsAAAAPAAAAZHJzL2Rvd25yZXYueG1sRE/basJA&#10;EH0v+A/LCH2rG0NvRFcRMVDyIjX5gDE7JtHsbMiuSfr3XaHQtzmc66y3k2nFQL1rLCtYLiIQxKXV&#10;DVcKijx9+QThPLLG1jIp+CEH283saY2JtiN/03DylQgh7BJUUHvfJVK6siaDbmE74sBdbG/QB9hX&#10;Uvc4hnDTyjiK3qXBhkNDjR3taypvp7tR0NrDsYjL7PUcD2l2yK8f6f5+Vup5Pu1WIDxN/l/85/7S&#10;Yf4bPH4JB8jNLwAAAP//AwBQSwECLQAUAAYACAAAACEA2+H2y+4AAACFAQAAEwAAAAAAAAAAAAAA&#10;AAAAAAAAW0NvbnRlbnRfVHlwZXNdLnhtbFBLAQItABQABgAIAAAAIQBa9CxbvwAAABUBAAALAAAA&#10;AAAAAAAAAAAAAB8BAABfcmVscy8ucmVsc1BLAQItABQABgAIAAAAIQCvwySQwgAAANsAAAAPAAAA&#10;AAAAAAAAAAAAAAcCAABkcnMvZG93bnJldi54bWxQSwUGAAAAAAMAAwC3AAAA9gIAAAAA&#10;" strokecolor="#7f7d78" strokeweight=".37pt"/>
                <v:shape id="Freeform 14" o:spid="_x0000_s1029" style="position:absolute;left:11776;top:216;width:8;height:15;visibility:visible;mso-wrap-style:square;v-text-anchor:top" coordsize="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h1OwAAAANsAAAAPAAAAZHJzL2Rvd25yZXYueG1sRE/JasMw&#10;EL0X8g9iAr01cnowxo0SkkCh7a1OmvNgTWwTaeRI8tK/rwqF3ubx1tnsZmvESD50jhWsVxkI4trp&#10;jhsF59PrUwEiRGSNxjEp+KYAu+3iYYOldhN/0ljFRqQQDiUqaGPsSylD3ZLFsHI9ceKuzluMCfpG&#10;ao9TCrdGPmdZLi12nBpa7OnYUn2rBquguXx0vti7d6MPX0N2v4yzKUalHpfz/gVEpDn+i//cbzrN&#10;z+H3l3SA3P4AAAD//wMAUEsBAi0AFAAGAAgAAAAhANvh9svuAAAAhQEAABMAAAAAAAAAAAAAAAAA&#10;AAAAAFtDb250ZW50X1R5cGVzXS54bWxQSwECLQAUAAYACAAAACEAWvQsW78AAAAVAQAACwAAAAAA&#10;AAAAAAAAAAAfAQAAX3JlbHMvLnJlbHNQSwECLQAUAAYACAAAACEAbT4dTsAAAADbAAAADwAAAAAA&#10;AAAAAAAAAAAHAgAAZHJzL2Rvd25yZXYueG1sUEsFBgAAAAADAAMAtwAAAPQCAAAAAA==&#10;" path="m7,l,7r7,8l7,xe" fillcolor="#d3d0c7" stroked="f">
                  <v:path arrowok="t" o:connecttype="custom" o:connectlocs="7,217;0,224;7,232;7,217" o:connectangles="0,0,0,0"/>
                </v:shape>
                <v:shape id="Freeform 15" o:spid="_x0000_s1030" style="position:absolute;left:11783;top:209;width:8;height:30;visibility:visible;mso-wrap-style:square;v-text-anchor:top" coordsize="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HxzwAAAANsAAAAPAAAAZHJzL2Rvd25yZXYueG1sRE9Na8JA&#10;EL0X/A/LFHprNu2hauoq2lLoRYJG70N2mgSzs+numsR/7wqCt3m8z1msRtOKnpxvLCt4S1IQxKXV&#10;DVcKDsXP6wyED8gaW8uk4EIeVsvJ0wIzbQfeUb8PlYgh7DNUUIfQZVL6siaDPrEdceT+rDMYInSV&#10;1A6HGG5a+Z6mH9Jgw7Ghxo6+aipP+7NRcMyNM/O0/B7azazL7RaL8fyv1MvzuP4EEWgMD/Hd/avj&#10;/CncfokHyOUVAAD//wMAUEsBAi0AFAAGAAgAAAAhANvh9svuAAAAhQEAABMAAAAAAAAAAAAAAAAA&#10;AAAAAFtDb250ZW50X1R5cGVzXS54bWxQSwECLQAUAAYACAAAACEAWvQsW78AAAAVAQAACwAAAAAA&#10;AAAAAAAAAAAfAQAAX3JlbHMvLnJlbHNQSwECLQAUAAYACAAAACEAEcx8c8AAAADbAAAADwAAAAAA&#10;AAAAAAAAAAAHAgAAZHJzL2Rvd25yZXYueG1sUEsFBgAAAAADAAMAtwAAAPQCAAAAAA==&#10;" path="m8,l,8,,23r8,7l8,xe" fillcolor="#d3d0c7" stroked="f">
                  <v:path arrowok="t" o:connecttype="custom" o:connectlocs="8,209;0,217;0,232;8,239;8,209" o:connectangles="0,0,0,0,0"/>
                </v:shape>
                <v:line id="Line 16" o:spid="_x0000_s1031" style="position:absolute;visibility:visible;mso-wrap-style:square" from="1208,228" to="11783,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5ltxAAAANsAAAAPAAAAZHJzL2Rvd25yZXYueG1sRI9Pa8JA&#10;EMXvBb/DMoK3uknBP0RXEUGoUqRNBa9DdkyC2dmQXTV++85B6G2G9+a93yzXvWvUnbpQezaQjhNQ&#10;xIW3NZcGTr+79zmoEJEtNp7JwJMCrFeDtyVm1j/4h+55LJWEcMjQQBVjm2kdioochrFviUW7+M5h&#10;lLUrte3wIeGu0R9JMtUOa5aGClvaVlRc85szcJhdi8kxn6Vb/dxPv+b783ca2JjRsN8sQEXq47/5&#10;df1pBV9g5RcZQK/+AAAA//8DAFBLAQItABQABgAIAAAAIQDb4fbL7gAAAIUBAAATAAAAAAAAAAAA&#10;AAAAAAAAAABbQ29udGVudF9UeXBlc10ueG1sUEsBAi0AFAAGAAgAAAAhAFr0LFu/AAAAFQEAAAsA&#10;AAAAAAAAAAAAAAAAHwEAAF9yZWxzLy5yZWxzUEsBAi0AFAAGAAgAAAAhAB4jmW3EAAAA2wAAAA8A&#10;AAAAAAAAAAAAAAAABwIAAGRycy9kb3ducmV2LnhtbFBLBQYAAAAAAwADALcAAAD4AgAAAAA=&#10;" strokecolor="#d3d0c7" strokeweight=".37pt"/>
                <v:line id="Line 17" o:spid="_x0000_s1032" style="position:absolute;visibility:visible;mso-wrap-style:square" from="1200,235" to="11791,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AvMwgAAANsAAAAPAAAAZHJzL2Rvd25yZXYueG1sRE9Na8JA&#10;EL0L/odlhN5001CKja6hCqVF6sGkF29jdswGs7MhuzXpv+8WCt7m8T5nnY+2FTfqfeNYweMiAUFc&#10;Od1wreCrfJsvQfiArLF1TAp+yEO+mU7WmGk38JFuRahFDGGfoQITQpdJ6StDFv3CdcSRu7jeYoiw&#10;r6XucYjhtpVpkjxLiw3HBoMd7QxV1+LbKhhKZ877d5d+Nrg9LPeXTj9VJ6UeZuPrCkSgMdzF/+4P&#10;Hee/wN8v8QC5+QUAAP//AwBQSwECLQAUAAYACAAAACEA2+H2y+4AAACFAQAAEwAAAAAAAAAAAAAA&#10;AAAAAAAAW0NvbnRlbnRfVHlwZXNdLnhtbFBLAQItABQABgAIAAAAIQBa9CxbvwAAABUBAAALAAAA&#10;AAAAAAAAAAAAAB8BAABfcmVscy8ucmVsc1BLAQItABQABgAIAAAAIQCXaAvMwgAAANsAAAAPAAAA&#10;AAAAAAAAAAAAAAcCAABkcnMvZG93bnJldi54bWxQSwUGAAAAAAMAAwC3AAAA9gIAAAAA&#10;" strokecolor="#d3d0c7" strokeweight=".38pt"/>
                <v:shape id="Freeform 18" o:spid="_x0000_s1033" style="position:absolute;left:1207;top:216;width:8;height:15;visibility:visible;mso-wrap-style:square;v-text-anchor:top" coordsize="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WJHwgAAANsAAAAPAAAAZHJzL2Rvd25yZXYueG1sRE/LisIw&#10;FN0L8w/hDsxGxtQu1KlGEZkBEUF8LFxemmtTbG5qk9Hq15uF4PJw3pNZaytxpcaXjhX0ewkI4tzp&#10;kgsFh/3f9wiED8gaK8ek4E4eZtOPzgQz7W68pesuFCKGsM9QgQmhzqT0uSGLvudq4sidXGMxRNgU&#10;Ujd4i+G2kmmSDKTFkmODwZoWhvLz7t8qcPufx/C4Wf0W6SDdmiXl3UuyVurrs52PQQRqw1v8ci+1&#10;gjSuj1/iD5DTJwAAAP//AwBQSwECLQAUAAYACAAAACEA2+H2y+4AAACFAQAAEwAAAAAAAAAAAAAA&#10;AAAAAAAAW0NvbnRlbnRfVHlwZXNdLnhtbFBLAQItABQABgAIAAAAIQBa9CxbvwAAABUBAAALAAAA&#10;AAAAAAAAAAAAAB8BAABfcmVscy8ucmVsc1BLAQItABQABgAIAAAAIQAUCWJHwgAAANsAAAAPAAAA&#10;AAAAAAAAAAAAAAcCAABkcnMvZG93bnJldi54bWxQSwUGAAAAAAMAAwC3AAAA9gIAAAAA&#10;" path="m,l,15,7,7,,xe" fillcolor="#7f7d78" stroked="f">
                  <v:path arrowok="t" o:connecttype="custom" o:connectlocs="0,217;0,232;7,224;0,217" o:connectangles="0,0,0,0"/>
                </v:shape>
                <v:shape id="Freeform 19" o:spid="_x0000_s1034" style="position:absolute;left:1200;top:209;width:8;height:30;visibility:visible;mso-wrap-style:square;v-text-anchor:top" coordsize="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I64wgAAANsAAAAPAAAAZHJzL2Rvd25yZXYueG1sRI9Bi8Iw&#10;FITvC/6H8AQvi6b2sEjXKIsgehJsXc+P5tmWbV5qErX66zeC4HGYmW+Y+bI3rbiS841lBdNJAoK4&#10;tLrhSsGhWI9nIHxA1thaJgV38rBcDD7mmGl74z1d81CJCGGfoYI6hC6T0pc1GfQT2xFH72SdwRCl&#10;q6R2eItw08o0Sb6kwYbjQo0drWoq//KLUdA+jrw5Fw/a3N3uN++b42dxSJUaDfufbxCB+vAOv9pb&#10;rSCdwvNL/AFy8Q8AAP//AwBQSwECLQAUAAYACAAAACEA2+H2y+4AAACFAQAAEwAAAAAAAAAAAAAA&#10;AAAAAAAAW0NvbnRlbnRfVHlwZXNdLnhtbFBLAQItABQABgAIAAAAIQBa9CxbvwAAABUBAAALAAAA&#10;AAAAAAAAAAAAAB8BAABfcmVscy8ucmVsc1BLAQItABQABgAIAAAAIQADTI64wgAAANsAAAAPAAAA&#10;AAAAAAAAAAAAAAcCAABkcnMvZG93bnJldi54bWxQSwUGAAAAAAMAAwC3AAAA9gIAAAAA&#10;" path="m,l,30,8,23,8,8,,xe" fillcolor="#7f7d78" stroked="f">
                  <v:path arrowok="t" o:connecttype="custom" o:connectlocs="0,209;0,239;8,232;8,217;0,209" o:connectangles="0,0,0,0,0"/>
                </v:shape>
                <w10:wrap type="topAndBottom" anchorx="page"/>
              </v:group>
            </w:pict>
          </mc:Fallback>
        </mc:AlternateContent>
      </w:r>
    </w:p>
    <w:p w14:paraId="498E9431" w14:textId="77777777" w:rsidR="00235894" w:rsidRPr="00013CDE" w:rsidRDefault="00235894" w:rsidP="00235894">
      <w:pPr>
        <w:widowControl w:val="0"/>
        <w:autoSpaceDE w:val="0"/>
        <w:autoSpaceDN w:val="0"/>
        <w:spacing w:before="7"/>
        <w:jc w:val="left"/>
        <w:rPr>
          <w:rFonts w:cs="Arial"/>
        </w:rPr>
      </w:pPr>
    </w:p>
    <w:p w14:paraId="7DD7EF0B" w14:textId="77777777" w:rsidR="00235894" w:rsidRPr="00013CDE" w:rsidRDefault="00235894" w:rsidP="00235894">
      <w:pPr>
        <w:widowControl w:val="0"/>
        <w:autoSpaceDE w:val="0"/>
        <w:autoSpaceDN w:val="0"/>
        <w:spacing w:before="95"/>
        <w:jc w:val="left"/>
        <w:rPr>
          <w:rFonts w:cs="Arial"/>
          <w:b/>
        </w:rPr>
      </w:pPr>
      <w:r w:rsidRPr="00013CDE">
        <w:rPr>
          <w:rFonts w:cs="Arial"/>
          <w:b/>
        </w:rPr>
        <w:t>De mi mayor consideración:</w:t>
      </w:r>
    </w:p>
    <w:p w14:paraId="5FFA71A1" w14:textId="77777777" w:rsidR="00235894" w:rsidRPr="00013CDE" w:rsidRDefault="00235894" w:rsidP="00235894">
      <w:pPr>
        <w:widowControl w:val="0"/>
        <w:autoSpaceDE w:val="0"/>
        <w:autoSpaceDN w:val="0"/>
        <w:jc w:val="left"/>
        <w:rPr>
          <w:rFonts w:cs="Arial"/>
          <w:b/>
        </w:rPr>
      </w:pPr>
    </w:p>
    <w:p w14:paraId="25E6186A" w14:textId="77777777" w:rsidR="00235894" w:rsidRPr="00013CDE" w:rsidRDefault="00235894" w:rsidP="00235894">
      <w:pPr>
        <w:widowControl w:val="0"/>
        <w:autoSpaceDE w:val="0"/>
        <w:autoSpaceDN w:val="0"/>
        <w:jc w:val="left"/>
        <w:rPr>
          <w:rFonts w:cs="Arial"/>
          <w:b/>
        </w:rPr>
      </w:pPr>
    </w:p>
    <w:p w14:paraId="074355B4" w14:textId="77777777" w:rsidR="00235894" w:rsidRPr="00013CDE" w:rsidRDefault="00235894" w:rsidP="00235894">
      <w:pPr>
        <w:widowControl w:val="0"/>
        <w:autoSpaceDE w:val="0"/>
        <w:autoSpaceDN w:val="0"/>
        <w:spacing w:before="7"/>
        <w:jc w:val="left"/>
        <w:rPr>
          <w:rFonts w:cs="Arial"/>
          <w:b/>
        </w:rPr>
      </w:pPr>
    </w:p>
    <w:p w14:paraId="3D3BA0E6" w14:textId="77777777" w:rsidR="00235894" w:rsidRPr="00013CDE" w:rsidRDefault="00235894" w:rsidP="00235894">
      <w:pPr>
        <w:widowControl w:val="0"/>
        <w:autoSpaceDE w:val="0"/>
        <w:autoSpaceDN w:val="0"/>
        <w:jc w:val="left"/>
        <w:rPr>
          <w:rFonts w:cs="Arial"/>
        </w:rPr>
      </w:pPr>
      <w:r w:rsidRPr="00013CDE">
        <w:rPr>
          <w:rFonts w:cs="Arial"/>
        </w:rPr>
        <w:t>Peter Button,</w:t>
      </w:r>
    </w:p>
    <w:p w14:paraId="33986E79" w14:textId="77777777" w:rsidR="00235894" w:rsidRPr="00013CDE" w:rsidRDefault="00235894" w:rsidP="00235894">
      <w:pPr>
        <w:widowControl w:val="0"/>
        <w:autoSpaceDE w:val="0"/>
        <w:autoSpaceDN w:val="0"/>
        <w:spacing w:before="11"/>
        <w:jc w:val="left"/>
        <w:rPr>
          <w:rFonts w:cs="Arial"/>
        </w:rPr>
      </w:pPr>
    </w:p>
    <w:p w14:paraId="79D2E667" w14:textId="77777777" w:rsidR="00235894" w:rsidRPr="00013CDE" w:rsidRDefault="00235894" w:rsidP="00235894">
      <w:pPr>
        <w:widowControl w:val="0"/>
        <w:autoSpaceDE w:val="0"/>
        <w:autoSpaceDN w:val="0"/>
        <w:jc w:val="left"/>
        <w:rPr>
          <w:rFonts w:cs="Arial"/>
        </w:rPr>
      </w:pPr>
      <w:r w:rsidRPr="00013CDE">
        <w:rPr>
          <w:rFonts w:cs="Arial"/>
        </w:rPr>
        <w:t>Secretario General Adjunto</w:t>
      </w:r>
    </w:p>
    <w:p w14:paraId="2ADE0471" w14:textId="77777777" w:rsidR="00235894" w:rsidRPr="00013CDE" w:rsidRDefault="00235894" w:rsidP="00235894">
      <w:pPr>
        <w:widowControl w:val="0"/>
        <w:autoSpaceDE w:val="0"/>
        <w:autoSpaceDN w:val="0"/>
        <w:spacing w:before="10"/>
        <w:jc w:val="left"/>
        <w:rPr>
          <w:rFonts w:cs="Arial"/>
        </w:rPr>
      </w:pPr>
    </w:p>
    <w:p w14:paraId="225D22D1" w14:textId="77777777" w:rsidR="00235894" w:rsidRPr="00013CDE" w:rsidRDefault="00235894" w:rsidP="00235894">
      <w:pPr>
        <w:widowControl w:val="0"/>
        <w:autoSpaceDE w:val="0"/>
        <w:autoSpaceDN w:val="0"/>
        <w:spacing w:before="1"/>
        <w:jc w:val="left"/>
        <w:rPr>
          <w:rFonts w:cs="Arial"/>
        </w:rPr>
      </w:pPr>
      <w:r w:rsidRPr="00013CDE">
        <w:rPr>
          <w:rFonts w:cs="Arial"/>
        </w:rPr>
        <w:t>UNIÓN INTERNACIONAL PARA LA PROTECCIÓN DE LAS OBTENCIONES VEGETALES</w:t>
      </w:r>
    </w:p>
    <w:p w14:paraId="6A0D7581" w14:textId="77777777" w:rsidR="00235894" w:rsidRPr="00013CDE" w:rsidRDefault="00235894" w:rsidP="00235894">
      <w:pPr>
        <w:widowControl w:val="0"/>
        <w:autoSpaceDE w:val="0"/>
        <w:autoSpaceDN w:val="0"/>
        <w:jc w:val="left"/>
        <w:rPr>
          <w:rFonts w:cs="Arial"/>
        </w:rPr>
      </w:pPr>
    </w:p>
    <w:p w14:paraId="2161BDF1" w14:textId="77777777" w:rsidR="00235894" w:rsidRPr="00013CDE" w:rsidRDefault="00235894" w:rsidP="00235894">
      <w:pPr>
        <w:widowControl w:val="0"/>
        <w:autoSpaceDE w:val="0"/>
        <w:autoSpaceDN w:val="0"/>
        <w:jc w:val="left"/>
        <w:rPr>
          <w:rFonts w:cs="Arial"/>
        </w:rPr>
      </w:pPr>
    </w:p>
    <w:p w14:paraId="3DC0857E" w14:textId="77777777" w:rsidR="00235894" w:rsidRPr="00013CDE" w:rsidRDefault="00235894" w:rsidP="00235894">
      <w:pPr>
        <w:widowControl w:val="0"/>
        <w:autoSpaceDE w:val="0"/>
        <w:autoSpaceDN w:val="0"/>
        <w:spacing w:before="9"/>
        <w:jc w:val="left"/>
        <w:rPr>
          <w:rFonts w:cs="Arial"/>
        </w:rPr>
      </w:pPr>
    </w:p>
    <w:p w14:paraId="1DCDFC6E" w14:textId="77777777" w:rsidR="00235894" w:rsidRPr="00013CDE" w:rsidRDefault="00235894" w:rsidP="00235894">
      <w:pPr>
        <w:widowControl w:val="0"/>
        <w:autoSpaceDE w:val="0"/>
        <w:autoSpaceDN w:val="0"/>
        <w:jc w:val="left"/>
        <w:rPr>
          <w:rFonts w:cs="Arial"/>
        </w:rPr>
      </w:pPr>
      <w:r w:rsidRPr="00013CDE">
        <w:rPr>
          <w:rFonts w:cs="Arial"/>
        </w:rPr>
        <w:t>Estimado Sr. Button,</w:t>
      </w:r>
    </w:p>
    <w:p w14:paraId="0259D0A5" w14:textId="77777777" w:rsidR="00235894" w:rsidRPr="00013CDE" w:rsidRDefault="00235894" w:rsidP="00235894">
      <w:pPr>
        <w:widowControl w:val="0"/>
        <w:autoSpaceDE w:val="0"/>
        <w:autoSpaceDN w:val="0"/>
        <w:spacing w:before="11"/>
        <w:jc w:val="left"/>
        <w:rPr>
          <w:rFonts w:cs="Arial"/>
        </w:rPr>
      </w:pPr>
    </w:p>
    <w:p w14:paraId="4AA604C3" w14:textId="77777777" w:rsidR="00235894" w:rsidRPr="00013CDE" w:rsidRDefault="00235894" w:rsidP="00235894">
      <w:pPr>
        <w:widowControl w:val="0"/>
        <w:autoSpaceDE w:val="0"/>
        <w:autoSpaceDN w:val="0"/>
        <w:spacing w:line="276" w:lineRule="auto"/>
        <w:ind w:right="526"/>
        <w:jc w:val="left"/>
        <w:rPr>
          <w:rFonts w:cs="Arial"/>
        </w:rPr>
      </w:pPr>
      <w:r w:rsidRPr="00013CDE">
        <w:rPr>
          <w:rFonts w:cs="Arial"/>
        </w:rPr>
        <w:t>Me dirijo a Ud. en respuesta a la Circular E-20/017 en la cual solicitan comentarios sobre el documento UPOV/</w:t>
      </w:r>
      <w:proofErr w:type="spellStart"/>
      <w:r w:rsidRPr="00013CDE">
        <w:rPr>
          <w:rFonts w:cs="Arial"/>
        </w:rPr>
        <w:t>EXN</w:t>
      </w:r>
      <w:proofErr w:type="spellEnd"/>
      <w:r w:rsidRPr="00013CDE">
        <w:rPr>
          <w:rFonts w:cs="Arial"/>
        </w:rPr>
        <w:t xml:space="preserve">/DEN/1 </w:t>
      </w:r>
      <w:proofErr w:type="spellStart"/>
      <w:r w:rsidRPr="00013CDE">
        <w:rPr>
          <w:rFonts w:cs="Arial"/>
        </w:rPr>
        <w:t>Draft</w:t>
      </w:r>
      <w:proofErr w:type="spellEnd"/>
      <w:r w:rsidRPr="00013CDE">
        <w:rPr>
          <w:rFonts w:cs="Arial"/>
        </w:rPr>
        <w:t xml:space="preserve"> 3 y las propuestas de la Oficina Comunitaria de Variedades Vegetales (OCVV) de la Unión Europea para la modificación de la sección 2.3.3 del documento UPOV/</w:t>
      </w:r>
      <w:proofErr w:type="spellStart"/>
      <w:r w:rsidRPr="00013CDE">
        <w:rPr>
          <w:rFonts w:cs="Arial"/>
        </w:rPr>
        <w:t>EXN</w:t>
      </w:r>
      <w:proofErr w:type="spellEnd"/>
      <w:r w:rsidRPr="00013CDE">
        <w:rPr>
          <w:rFonts w:cs="Arial"/>
        </w:rPr>
        <w:t xml:space="preserve">/DEN/1 </w:t>
      </w:r>
      <w:proofErr w:type="spellStart"/>
      <w:r w:rsidRPr="00013CDE">
        <w:rPr>
          <w:rFonts w:cs="Arial"/>
        </w:rPr>
        <w:t>Draft</w:t>
      </w:r>
      <w:proofErr w:type="spellEnd"/>
      <w:r w:rsidRPr="00013CDE">
        <w:rPr>
          <w:rFonts w:cs="Arial"/>
        </w:rPr>
        <w:t xml:space="preserve"> 3.</w:t>
      </w:r>
    </w:p>
    <w:p w14:paraId="5E1176DF" w14:textId="77777777" w:rsidR="00235894" w:rsidRPr="00013CDE" w:rsidRDefault="00235894" w:rsidP="00235894">
      <w:pPr>
        <w:widowControl w:val="0"/>
        <w:autoSpaceDE w:val="0"/>
        <w:autoSpaceDN w:val="0"/>
        <w:spacing w:before="8"/>
        <w:jc w:val="left"/>
        <w:rPr>
          <w:rFonts w:cs="Arial"/>
        </w:rPr>
      </w:pPr>
    </w:p>
    <w:p w14:paraId="5F0A252C" w14:textId="77777777" w:rsidR="00235894" w:rsidRPr="00013CDE" w:rsidRDefault="00235894" w:rsidP="00235894">
      <w:pPr>
        <w:widowControl w:val="0"/>
        <w:autoSpaceDE w:val="0"/>
        <w:autoSpaceDN w:val="0"/>
        <w:spacing w:before="1"/>
        <w:jc w:val="left"/>
        <w:rPr>
          <w:rFonts w:cs="Arial"/>
        </w:rPr>
      </w:pPr>
      <w:r w:rsidRPr="00013CDE">
        <w:rPr>
          <w:rFonts w:cs="Arial"/>
        </w:rPr>
        <w:t>En tal sentido, me complace enviarle la respuesta de Argentina a dicha solicitud.</w:t>
      </w:r>
    </w:p>
    <w:p w14:paraId="2340F2DC" w14:textId="77777777" w:rsidR="00235894" w:rsidRPr="00013CDE" w:rsidRDefault="00235894" w:rsidP="00235894">
      <w:pPr>
        <w:widowControl w:val="0"/>
        <w:autoSpaceDE w:val="0"/>
        <w:autoSpaceDN w:val="0"/>
        <w:spacing w:before="10"/>
        <w:jc w:val="left"/>
        <w:rPr>
          <w:rFonts w:cs="Arial"/>
        </w:rPr>
      </w:pPr>
    </w:p>
    <w:p w14:paraId="0DB1AEA7" w14:textId="77777777" w:rsidR="00235894" w:rsidRPr="00013CDE" w:rsidRDefault="00235894" w:rsidP="00235894">
      <w:pPr>
        <w:rPr>
          <w:rFonts w:cs="Arial"/>
          <w:b/>
          <w:u w:val="single"/>
        </w:rPr>
      </w:pPr>
      <w:r w:rsidRPr="00013CDE">
        <w:rPr>
          <w:rFonts w:cs="Arial"/>
          <w:b/>
          <w:u w:val="single"/>
        </w:rPr>
        <w:t>Párrafo 1.3</w:t>
      </w:r>
    </w:p>
    <w:p w14:paraId="7485F024" w14:textId="77777777" w:rsidR="00235894" w:rsidRPr="00013CDE" w:rsidRDefault="00235894" w:rsidP="00235894">
      <w:pPr>
        <w:widowControl w:val="0"/>
        <w:autoSpaceDE w:val="0"/>
        <w:autoSpaceDN w:val="0"/>
        <w:spacing w:before="8"/>
        <w:jc w:val="left"/>
        <w:rPr>
          <w:rFonts w:cs="Arial"/>
          <w:b/>
        </w:rPr>
      </w:pPr>
    </w:p>
    <w:p w14:paraId="515A8D1D" w14:textId="77777777" w:rsidR="00235894" w:rsidRPr="00013CDE" w:rsidRDefault="00235894" w:rsidP="00235894">
      <w:pPr>
        <w:widowControl w:val="0"/>
        <w:autoSpaceDE w:val="0"/>
        <w:autoSpaceDN w:val="0"/>
        <w:spacing w:before="95"/>
        <w:jc w:val="left"/>
        <w:rPr>
          <w:rFonts w:cs="Arial"/>
        </w:rPr>
      </w:pPr>
      <w:r w:rsidRPr="00013CDE">
        <w:rPr>
          <w:rFonts w:cs="Arial"/>
        </w:rPr>
        <w:t xml:space="preserve">Se repite dos veces el texto “si tiene conocimiento” al inicio de dicho párrafo y a mitad del mismo, es </w:t>
      </w:r>
      <w:proofErr w:type="spellStart"/>
      <w:r w:rsidRPr="00013CDE">
        <w:rPr>
          <w:rFonts w:cs="Arial"/>
        </w:rPr>
        <w:t>reduntante</w:t>
      </w:r>
      <w:proofErr w:type="spellEnd"/>
      <w:r w:rsidRPr="00013CDE">
        <w:rPr>
          <w:rFonts w:cs="Arial"/>
        </w:rPr>
        <w:t>, correspondería eliminar una de las dos.</w:t>
      </w:r>
    </w:p>
    <w:p w14:paraId="19E46B14" w14:textId="77777777" w:rsidR="00235894" w:rsidRPr="00013CDE" w:rsidRDefault="00235894" w:rsidP="00235894">
      <w:pPr>
        <w:widowControl w:val="0"/>
        <w:autoSpaceDE w:val="0"/>
        <w:autoSpaceDN w:val="0"/>
        <w:spacing w:before="11"/>
        <w:jc w:val="left"/>
        <w:rPr>
          <w:rFonts w:cs="Arial"/>
        </w:rPr>
      </w:pPr>
    </w:p>
    <w:p w14:paraId="6AEC9410" w14:textId="77777777" w:rsidR="00235894" w:rsidRPr="00013CDE" w:rsidRDefault="00235894" w:rsidP="00235894">
      <w:pPr>
        <w:keepNext/>
        <w:rPr>
          <w:rFonts w:cs="Arial"/>
          <w:b/>
          <w:u w:val="single"/>
        </w:rPr>
      </w:pPr>
      <w:r w:rsidRPr="00013CDE">
        <w:rPr>
          <w:rFonts w:cs="Arial"/>
          <w:b/>
          <w:u w:val="single"/>
        </w:rPr>
        <w:lastRenderedPageBreak/>
        <w:t>Propuestas de ejemplos en idioma español:</w:t>
      </w:r>
    </w:p>
    <w:p w14:paraId="10F913B0" w14:textId="77777777" w:rsidR="00235894" w:rsidRPr="00235894" w:rsidRDefault="00235894" w:rsidP="00235894">
      <w:pPr>
        <w:keepNext/>
        <w:autoSpaceDE w:val="0"/>
        <w:autoSpaceDN w:val="0"/>
        <w:spacing w:before="7"/>
        <w:jc w:val="left"/>
        <w:rPr>
          <w:rFonts w:cs="Arial"/>
          <w:b/>
        </w:rPr>
      </w:pPr>
    </w:p>
    <w:p w14:paraId="3E7513BD" w14:textId="77777777" w:rsidR="00235894" w:rsidRPr="00235894" w:rsidRDefault="00235894" w:rsidP="00235894">
      <w:pPr>
        <w:keepNext/>
        <w:numPr>
          <w:ilvl w:val="1"/>
          <w:numId w:val="24"/>
        </w:numPr>
        <w:tabs>
          <w:tab w:val="left" w:pos="438"/>
        </w:tabs>
        <w:autoSpaceDE w:val="0"/>
        <w:autoSpaceDN w:val="0"/>
        <w:spacing w:before="95"/>
        <w:ind w:left="0" w:firstLine="0"/>
        <w:rPr>
          <w:rFonts w:cs="Arial"/>
        </w:rPr>
      </w:pPr>
      <w:r w:rsidRPr="00235894">
        <w:rPr>
          <w:rFonts w:cs="Arial"/>
        </w:rPr>
        <w:t>Susceptibles de inducir en error o de prestarse a</w:t>
      </w:r>
      <w:r w:rsidRPr="00235894">
        <w:rPr>
          <w:rFonts w:cs="Arial"/>
          <w:spacing w:val="18"/>
        </w:rPr>
        <w:t xml:space="preserve"> </w:t>
      </w:r>
      <w:r w:rsidRPr="00235894">
        <w:rPr>
          <w:rFonts w:cs="Arial"/>
        </w:rPr>
        <w:t>confusión</w:t>
      </w:r>
    </w:p>
    <w:p w14:paraId="2C831A78" w14:textId="77777777" w:rsidR="00235894" w:rsidRPr="00235894" w:rsidRDefault="00235894" w:rsidP="00235894">
      <w:pPr>
        <w:keepNext/>
        <w:autoSpaceDE w:val="0"/>
        <w:autoSpaceDN w:val="0"/>
        <w:spacing w:before="11"/>
        <w:jc w:val="left"/>
        <w:rPr>
          <w:rFonts w:cs="Arial"/>
        </w:rPr>
      </w:pPr>
    </w:p>
    <w:p w14:paraId="3C9B3B25" w14:textId="77777777" w:rsidR="00235894" w:rsidRPr="00235894" w:rsidRDefault="00235894" w:rsidP="00235894">
      <w:pPr>
        <w:keepNext/>
        <w:autoSpaceDE w:val="0"/>
        <w:autoSpaceDN w:val="0"/>
        <w:ind w:left="775"/>
        <w:jc w:val="left"/>
        <w:rPr>
          <w:rFonts w:cs="Arial"/>
        </w:rPr>
      </w:pPr>
      <w:r w:rsidRPr="00235894">
        <w:rPr>
          <w:rFonts w:cs="Arial"/>
        </w:rPr>
        <w:t>2.3.1 Características de la variedad</w:t>
      </w:r>
    </w:p>
    <w:p w14:paraId="2A38D435" w14:textId="77777777" w:rsidR="00235894" w:rsidRPr="00013CDE" w:rsidRDefault="00235894" w:rsidP="00235894">
      <w:pPr>
        <w:widowControl w:val="0"/>
        <w:autoSpaceDE w:val="0"/>
        <w:autoSpaceDN w:val="0"/>
        <w:spacing w:before="10"/>
        <w:jc w:val="left"/>
        <w:rPr>
          <w:rFonts w:cs="Arial"/>
        </w:rPr>
      </w:pPr>
    </w:p>
    <w:p w14:paraId="6131BFF5" w14:textId="77777777" w:rsidR="00235894" w:rsidRPr="00013CDE" w:rsidRDefault="00235894" w:rsidP="00235894">
      <w:pPr>
        <w:widowControl w:val="0"/>
        <w:autoSpaceDE w:val="0"/>
        <w:autoSpaceDN w:val="0"/>
        <w:spacing w:before="1"/>
        <w:ind w:left="1450"/>
        <w:jc w:val="left"/>
        <w:rPr>
          <w:rFonts w:cs="Arial"/>
        </w:rPr>
      </w:pPr>
      <w:r w:rsidRPr="00013CDE">
        <w:rPr>
          <w:rFonts w:cs="Arial"/>
        </w:rPr>
        <w:t>c) Ejemplos:</w:t>
      </w:r>
    </w:p>
    <w:p w14:paraId="4C9DF784" w14:textId="77777777" w:rsidR="00235894" w:rsidRPr="00013CDE" w:rsidRDefault="00235894" w:rsidP="00235894">
      <w:pPr>
        <w:widowControl w:val="0"/>
        <w:autoSpaceDE w:val="0"/>
        <w:autoSpaceDN w:val="0"/>
        <w:spacing w:before="10"/>
        <w:jc w:val="left"/>
        <w:rPr>
          <w:rFonts w:cs="Arial"/>
        </w:rPr>
      </w:pPr>
    </w:p>
    <w:p w14:paraId="632D50CD" w14:textId="77777777" w:rsidR="00235894" w:rsidRPr="00013CDE" w:rsidRDefault="00235894" w:rsidP="00235894">
      <w:pPr>
        <w:widowControl w:val="0"/>
        <w:autoSpaceDE w:val="0"/>
        <w:autoSpaceDN w:val="0"/>
        <w:ind w:left="2125"/>
        <w:jc w:val="left"/>
        <w:rPr>
          <w:rFonts w:cs="Arial"/>
        </w:rPr>
      </w:pPr>
      <w:r w:rsidRPr="00013CDE">
        <w:rPr>
          <w:rFonts w:cs="Arial"/>
        </w:rPr>
        <w:t>Denominaciones adecuadas: “A 5409” y “A 5409 RG”</w:t>
      </w:r>
    </w:p>
    <w:p w14:paraId="5C81BE1C" w14:textId="77777777" w:rsidR="00235894" w:rsidRPr="00013CDE" w:rsidRDefault="00235894" w:rsidP="00235894">
      <w:pPr>
        <w:widowControl w:val="0"/>
        <w:autoSpaceDE w:val="0"/>
        <w:autoSpaceDN w:val="0"/>
        <w:spacing w:before="11"/>
        <w:jc w:val="left"/>
        <w:rPr>
          <w:rFonts w:cs="Arial"/>
        </w:rPr>
      </w:pPr>
    </w:p>
    <w:p w14:paraId="786718C0" w14:textId="77777777" w:rsidR="00235894" w:rsidRPr="00013CDE" w:rsidRDefault="00235894" w:rsidP="00235894">
      <w:pPr>
        <w:widowControl w:val="0"/>
        <w:autoSpaceDE w:val="0"/>
        <w:autoSpaceDN w:val="0"/>
        <w:spacing w:line="276" w:lineRule="auto"/>
        <w:jc w:val="left"/>
        <w:rPr>
          <w:rFonts w:cs="Arial"/>
        </w:rPr>
      </w:pPr>
      <w:r w:rsidRPr="00013CDE">
        <w:rPr>
          <w:rFonts w:cs="Arial"/>
          <w:u w:val="single"/>
        </w:rPr>
        <w:t>Explicación:</w:t>
      </w:r>
      <w:r w:rsidRPr="00013CDE">
        <w:rPr>
          <w:rFonts w:cs="Arial"/>
        </w:rPr>
        <w:t xml:space="preserve"> corresponden a denominaciones de variedades de la especie soja donde la primera corresponde a una variedad no obtenida por recombinación de ADN y la segunda corresponde a la variedad mencionada a la cual se le introdujo el gen de resistencia a glifosato.</w:t>
      </w:r>
    </w:p>
    <w:p w14:paraId="262D8320" w14:textId="77777777" w:rsidR="00235894" w:rsidRPr="00013CDE" w:rsidRDefault="00235894" w:rsidP="00235894">
      <w:pPr>
        <w:widowControl w:val="0"/>
        <w:autoSpaceDE w:val="0"/>
        <w:autoSpaceDN w:val="0"/>
        <w:spacing w:before="8"/>
        <w:jc w:val="left"/>
        <w:rPr>
          <w:rFonts w:cs="Arial"/>
        </w:rPr>
      </w:pPr>
    </w:p>
    <w:p w14:paraId="3B0C2264" w14:textId="77777777" w:rsidR="00235894" w:rsidRPr="00013CDE" w:rsidRDefault="00235894" w:rsidP="00235894">
      <w:pPr>
        <w:widowControl w:val="0"/>
        <w:autoSpaceDE w:val="0"/>
        <w:autoSpaceDN w:val="0"/>
        <w:spacing w:before="1" w:line="276" w:lineRule="auto"/>
        <w:ind w:firstLine="2127"/>
        <w:jc w:val="left"/>
        <w:rPr>
          <w:rFonts w:cs="Arial"/>
        </w:rPr>
      </w:pPr>
      <w:r w:rsidRPr="00013CDE">
        <w:rPr>
          <w:rFonts w:cs="Arial"/>
        </w:rPr>
        <w:t>Denominaciones inadecuadas: “DELTA II”, si la variedad de acelga “DELTA” no ha sido empleada en la obtención de “DELTA II”.</w:t>
      </w:r>
    </w:p>
    <w:p w14:paraId="5B901FE8" w14:textId="77777777" w:rsidR="00235894" w:rsidRPr="00013CDE" w:rsidRDefault="00235894" w:rsidP="00235894">
      <w:pPr>
        <w:widowControl w:val="0"/>
        <w:autoSpaceDE w:val="0"/>
        <w:autoSpaceDN w:val="0"/>
        <w:spacing w:before="7"/>
        <w:jc w:val="left"/>
        <w:rPr>
          <w:rFonts w:cs="Arial"/>
        </w:rPr>
      </w:pPr>
    </w:p>
    <w:p w14:paraId="4324EF5B" w14:textId="77777777" w:rsidR="00235894" w:rsidRPr="00013CDE" w:rsidRDefault="00235894" w:rsidP="00235894">
      <w:pPr>
        <w:rPr>
          <w:rFonts w:cs="Arial"/>
          <w:b/>
          <w:u w:val="single"/>
        </w:rPr>
      </w:pPr>
      <w:r w:rsidRPr="00013CDE">
        <w:rPr>
          <w:rFonts w:cs="Arial"/>
          <w:b/>
          <w:u w:val="single"/>
        </w:rPr>
        <w:t>Párrafo 2.3.3</w:t>
      </w:r>
    </w:p>
    <w:p w14:paraId="7AFF5B5C" w14:textId="77777777" w:rsidR="00235894" w:rsidRPr="00013CDE" w:rsidRDefault="00235894" w:rsidP="00235894">
      <w:pPr>
        <w:widowControl w:val="0"/>
        <w:autoSpaceDE w:val="0"/>
        <w:autoSpaceDN w:val="0"/>
        <w:spacing w:before="8"/>
        <w:jc w:val="left"/>
        <w:rPr>
          <w:rFonts w:cs="Arial"/>
          <w:b/>
        </w:rPr>
      </w:pPr>
    </w:p>
    <w:p w14:paraId="3160C871" w14:textId="77777777" w:rsidR="00235894" w:rsidRPr="00013CDE" w:rsidRDefault="00235894" w:rsidP="00235894">
      <w:pPr>
        <w:widowControl w:val="0"/>
        <w:autoSpaceDE w:val="0"/>
        <w:autoSpaceDN w:val="0"/>
        <w:spacing w:before="95" w:line="276" w:lineRule="auto"/>
        <w:jc w:val="left"/>
        <w:rPr>
          <w:rFonts w:cs="Arial"/>
        </w:rPr>
      </w:pPr>
      <w:r w:rsidRPr="00013CDE">
        <w:rPr>
          <w:rFonts w:cs="Arial"/>
        </w:rPr>
        <w:t xml:space="preserve">Modificar el texto, agregar </w:t>
      </w:r>
      <w:r w:rsidRPr="00013CDE">
        <w:rPr>
          <w:rFonts w:cs="Arial"/>
          <w:i/>
        </w:rPr>
        <w:t>“que no resultan taxativos”</w:t>
      </w:r>
      <w:r w:rsidRPr="00013CDE">
        <w:rPr>
          <w:rFonts w:cs="Arial"/>
        </w:rPr>
        <w:t>, con el objetivo de aclarar que puede haber otros casos, y quedando redactado de la siguiente manera</w:t>
      </w:r>
    </w:p>
    <w:p w14:paraId="68F65FCE" w14:textId="77777777" w:rsidR="00235894" w:rsidRPr="00013CDE" w:rsidRDefault="00235894" w:rsidP="00235894">
      <w:pPr>
        <w:widowControl w:val="0"/>
        <w:autoSpaceDE w:val="0"/>
        <w:autoSpaceDN w:val="0"/>
        <w:spacing w:before="8"/>
        <w:jc w:val="left"/>
        <w:rPr>
          <w:rFonts w:cs="Arial"/>
        </w:rPr>
      </w:pPr>
    </w:p>
    <w:p w14:paraId="4EC649FC" w14:textId="77777777" w:rsidR="00235894" w:rsidRPr="00013CDE" w:rsidRDefault="00235894" w:rsidP="00235894">
      <w:pPr>
        <w:widowControl w:val="0"/>
        <w:autoSpaceDE w:val="0"/>
        <w:autoSpaceDN w:val="0"/>
        <w:ind w:left="426"/>
        <w:jc w:val="left"/>
        <w:rPr>
          <w:rFonts w:cs="Arial"/>
          <w:i/>
        </w:rPr>
      </w:pPr>
      <w:r w:rsidRPr="00013CDE">
        <w:rPr>
          <w:rFonts w:cs="Arial"/>
          <w:i/>
        </w:rPr>
        <w:t>“2.3.3 Identidad de la variedad</w:t>
      </w:r>
    </w:p>
    <w:p w14:paraId="281134D2" w14:textId="77777777" w:rsidR="00235894" w:rsidRPr="00013CDE" w:rsidRDefault="00235894" w:rsidP="00235894">
      <w:pPr>
        <w:widowControl w:val="0"/>
        <w:autoSpaceDE w:val="0"/>
        <w:autoSpaceDN w:val="0"/>
        <w:spacing w:before="10"/>
        <w:ind w:left="426"/>
        <w:jc w:val="left"/>
        <w:rPr>
          <w:rFonts w:cs="Arial"/>
          <w:i/>
        </w:rPr>
      </w:pPr>
    </w:p>
    <w:p w14:paraId="372421D3" w14:textId="6ABD1CF9" w:rsidR="00235894" w:rsidRPr="00013CDE" w:rsidRDefault="00235894" w:rsidP="00235894">
      <w:pPr>
        <w:widowControl w:val="0"/>
        <w:numPr>
          <w:ilvl w:val="2"/>
          <w:numId w:val="24"/>
        </w:numPr>
        <w:tabs>
          <w:tab w:val="left" w:pos="851"/>
        </w:tabs>
        <w:autoSpaceDE w:val="0"/>
        <w:autoSpaceDN w:val="0"/>
        <w:spacing w:before="1" w:line="276" w:lineRule="auto"/>
        <w:ind w:left="426" w:right="341" w:firstLine="0"/>
        <w:rPr>
          <w:rFonts w:cs="Arial"/>
          <w:i/>
        </w:rPr>
      </w:pPr>
      <w:r w:rsidRPr="00013CDE">
        <w:rPr>
          <w:rFonts w:cs="Arial"/>
          <w:i/>
        </w:rPr>
        <w:t xml:space="preserve">Una diferencia de solo una letra o un número podrá considerarse susceptible de inducir en error o prestarse   a confusión en relación con la identidad de la variedad. Sin embargo, los casos </w:t>
      </w:r>
      <w:r w:rsidR="00B31F76">
        <w:rPr>
          <w:rFonts w:cs="Arial"/>
          <w:i/>
        </w:rPr>
        <w:t xml:space="preserve">[ejemplos] </w:t>
      </w:r>
      <w:r w:rsidRPr="00013CDE">
        <w:rPr>
          <w:rFonts w:cs="Arial"/>
          <w:i/>
        </w:rPr>
        <w:t>siguientes, que no resultan taxativos, en los que la diferencia es de solo una letra o un número, podrán considerarse no susceptibles de inducir en error o prestarse a confusión:</w:t>
      </w:r>
      <w:r w:rsidRPr="00013CDE">
        <w:rPr>
          <w:rFonts w:cs="Arial"/>
          <w:i/>
          <w:spacing w:val="12"/>
        </w:rPr>
        <w:t xml:space="preserve"> </w:t>
      </w:r>
      <w:r w:rsidRPr="00013CDE">
        <w:rPr>
          <w:rFonts w:cs="Arial"/>
          <w:i/>
        </w:rPr>
        <w:t>….”</w:t>
      </w:r>
    </w:p>
    <w:p w14:paraId="003264B6" w14:textId="77777777" w:rsidR="00235894" w:rsidRPr="00013CDE" w:rsidRDefault="00235894" w:rsidP="00235894">
      <w:pPr>
        <w:widowControl w:val="0"/>
        <w:autoSpaceDE w:val="0"/>
        <w:autoSpaceDN w:val="0"/>
        <w:spacing w:before="9"/>
        <w:jc w:val="left"/>
        <w:rPr>
          <w:rFonts w:cs="Arial"/>
          <w:i/>
        </w:rPr>
      </w:pPr>
    </w:p>
    <w:p w14:paraId="284E516B" w14:textId="77777777" w:rsidR="00235894" w:rsidRPr="00013CDE" w:rsidRDefault="00235894" w:rsidP="00235894">
      <w:pPr>
        <w:rPr>
          <w:rFonts w:cs="Arial"/>
          <w:b/>
          <w:u w:val="single"/>
        </w:rPr>
      </w:pPr>
      <w:r w:rsidRPr="00013CDE">
        <w:rPr>
          <w:rFonts w:cs="Arial"/>
          <w:b/>
          <w:u w:val="single"/>
        </w:rPr>
        <w:t>Propuestas de ejemplos en español:</w:t>
      </w:r>
    </w:p>
    <w:p w14:paraId="5F962B4B" w14:textId="77777777" w:rsidR="00235894" w:rsidRPr="00013CDE" w:rsidRDefault="00235894" w:rsidP="00235894">
      <w:pPr>
        <w:widowControl w:val="0"/>
        <w:autoSpaceDE w:val="0"/>
        <w:autoSpaceDN w:val="0"/>
        <w:spacing w:before="7"/>
        <w:jc w:val="left"/>
        <w:rPr>
          <w:rFonts w:cs="Arial"/>
          <w:b/>
        </w:rPr>
      </w:pPr>
    </w:p>
    <w:p w14:paraId="1F07D808" w14:textId="77777777" w:rsidR="00235894" w:rsidRPr="00013CDE" w:rsidRDefault="00235894" w:rsidP="00235894">
      <w:pPr>
        <w:widowControl w:val="0"/>
        <w:autoSpaceDE w:val="0"/>
        <w:autoSpaceDN w:val="0"/>
        <w:spacing w:before="95"/>
        <w:jc w:val="left"/>
        <w:rPr>
          <w:rFonts w:cs="Arial"/>
        </w:rPr>
      </w:pPr>
      <w:r w:rsidRPr="00013CDE">
        <w:rPr>
          <w:rFonts w:cs="Arial"/>
        </w:rPr>
        <w:t>2.3.3 Identidad de la variedad</w:t>
      </w:r>
    </w:p>
    <w:p w14:paraId="0AF76115" w14:textId="77777777" w:rsidR="00235894" w:rsidRPr="00013CDE" w:rsidRDefault="00235894" w:rsidP="00235894">
      <w:pPr>
        <w:widowControl w:val="0"/>
        <w:autoSpaceDE w:val="0"/>
        <w:autoSpaceDN w:val="0"/>
        <w:spacing w:before="11"/>
        <w:jc w:val="left"/>
        <w:rPr>
          <w:rFonts w:cs="Arial"/>
        </w:rPr>
      </w:pPr>
    </w:p>
    <w:p w14:paraId="4F54229E" w14:textId="77777777" w:rsidR="00235894" w:rsidRPr="00013CDE" w:rsidRDefault="00235894" w:rsidP="00235894">
      <w:pPr>
        <w:pStyle w:val="ListParagraph"/>
        <w:widowControl w:val="0"/>
        <w:numPr>
          <w:ilvl w:val="0"/>
          <w:numId w:val="25"/>
        </w:numPr>
        <w:autoSpaceDE w:val="0"/>
        <w:autoSpaceDN w:val="0"/>
        <w:ind w:left="284" w:hanging="284"/>
        <w:jc w:val="left"/>
        <w:rPr>
          <w:rFonts w:cs="Arial"/>
          <w:lang w:val="es-ES"/>
        </w:rPr>
      </w:pPr>
      <w:r w:rsidRPr="00013CDE">
        <w:rPr>
          <w:rFonts w:cs="Arial"/>
          <w:lang w:val="es-ES"/>
        </w:rPr>
        <w:t>Ejemplos:</w:t>
      </w:r>
    </w:p>
    <w:p w14:paraId="69C0E5E1" w14:textId="77777777" w:rsidR="00235894" w:rsidRPr="00013CDE" w:rsidRDefault="00235894" w:rsidP="00235894">
      <w:pPr>
        <w:widowControl w:val="0"/>
        <w:autoSpaceDE w:val="0"/>
        <w:autoSpaceDN w:val="0"/>
        <w:spacing w:before="10"/>
        <w:jc w:val="left"/>
        <w:rPr>
          <w:rFonts w:cs="Arial"/>
        </w:rPr>
      </w:pPr>
    </w:p>
    <w:p w14:paraId="283FEAD1" w14:textId="77777777" w:rsidR="00235894" w:rsidRPr="00013CDE" w:rsidRDefault="00235894" w:rsidP="00235894">
      <w:pPr>
        <w:widowControl w:val="0"/>
        <w:numPr>
          <w:ilvl w:val="0"/>
          <w:numId w:val="23"/>
        </w:numPr>
        <w:tabs>
          <w:tab w:val="left" w:pos="294"/>
        </w:tabs>
        <w:autoSpaceDE w:val="0"/>
        <w:autoSpaceDN w:val="0"/>
        <w:spacing w:before="1"/>
        <w:ind w:left="284" w:hanging="284"/>
        <w:rPr>
          <w:rFonts w:cs="Arial"/>
        </w:rPr>
      </w:pPr>
      <w:r w:rsidRPr="00013CDE">
        <w:rPr>
          <w:rFonts w:cs="Arial"/>
        </w:rPr>
        <w:t>Denominaciones inadecuadas: “TACUARA” y “THACUARA”; “SELVA” y</w:t>
      </w:r>
      <w:r w:rsidRPr="00013CDE">
        <w:rPr>
          <w:rFonts w:cs="Arial"/>
          <w:spacing w:val="29"/>
        </w:rPr>
        <w:t xml:space="preserve"> </w:t>
      </w:r>
      <w:r w:rsidRPr="00013CDE">
        <w:rPr>
          <w:rFonts w:cs="Arial"/>
        </w:rPr>
        <w:t>“SELBA”.</w:t>
      </w:r>
    </w:p>
    <w:p w14:paraId="372013FE" w14:textId="77777777" w:rsidR="00235894" w:rsidRPr="00013CDE" w:rsidRDefault="00235894" w:rsidP="00235894">
      <w:pPr>
        <w:widowControl w:val="0"/>
        <w:autoSpaceDE w:val="0"/>
        <w:autoSpaceDN w:val="0"/>
        <w:spacing w:before="10"/>
        <w:jc w:val="left"/>
        <w:rPr>
          <w:rFonts w:cs="Arial"/>
        </w:rPr>
      </w:pPr>
    </w:p>
    <w:p w14:paraId="64ABB65C" w14:textId="77777777" w:rsidR="00235894" w:rsidRPr="00013CDE" w:rsidRDefault="00235894" w:rsidP="00235894">
      <w:pPr>
        <w:widowControl w:val="0"/>
        <w:autoSpaceDE w:val="0"/>
        <w:autoSpaceDN w:val="0"/>
        <w:ind w:left="1450"/>
        <w:jc w:val="left"/>
        <w:rPr>
          <w:rFonts w:cs="Arial"/>
        </w:rPr>
      </w:pPr>
      <w:r w:rsidRPr="00013CDE">
        <w:rPr>
          <w:rFonts w:cs="Arial"/>
        </w:rPr>
        <w:t>Denominaciones adecuadas: “MARINA” y “MARTINA”.</w:t>
      </w:r>
    </w:p>
    <w:p w14:paraId="2A7FE561" w14:textId="77777777" w:rsidR="00235894" w:rsidRPr="00013CDE" w:rsidRDefault="00235894" w:rsidP="00235894">
      <w:pPr>
        <w:widowControl w:val="0"/>
        <w:autoSpaceDE w:val="0"/>
        <w:autoSpaceDN w:val="0"/>
        <w:spacing w:before="11"/>
        <w:jc w:val="left"/>
        <w:rPr>
          <w:rFonts w:cs="Arial"/>
        </w:rPr>
      </w:pPr>
    </w:p>
    <w:p w14:paraId="078F7AAE" w14:textId="77777777" w:rsidR="00235894" w:rsidRPr="00013CDE" w:rsidRDefault="00235894" w:rsidP="00235894">
      <w:pPr>
        <w:widowControl w:val="0"/>
        <w:numPr>
          <w:ilvl w:val="0"/>
          <w:numId w:val="23"/>
        </w:numPr>
        <w:autoSpaceDE w:val="0"/>
        <w:autoSpaceDN w:val="0"/>
        <w:ind w:left="284" w:hanging="284"/>
        <w:rPr>
          <w:rFonts w:cs="Arial"/>
        </w:rPr>
      </w:pPr>
      <w:r w:rsidRPr="00013CDE">
        <w:rPr>
          <w:rFonts w:cs="Arial"/>
        </w:rPr>
        <w:t>Denominaciones adecuadas: “PLATO” y</w:t>
      </w:r>
      <w:r w:rsidRPr="00013CDE">
        <w:rPr>
          <w:rFonts w:cs="Arial"/>
          <w:spacing w:val="8"/>
        </w:rPr>
        <w:t xml:space="preserve"> </w:t>
      </w:r>
      <w:r w:rsidRPr="00013CDE">
        <w:rPr>
          <w:rFonts w:cs="Arial"/>
        </w:rPr>
        <w:t>“PLATA”.</w:t>
      </w:r>
    </w:p>
    <w:p w14:paraId="266220C8" w14:textId="77777777" w:rsidR="00235894" w:rsidRPr="00013CDE" w:rsidRDefault="00235894" w:rsidP="00235894">
      <w:pPr>
        <w:widowControl w:val="0"/>
        <w:autoSpaceDE w:val="0"/>
        <w:autoSpaceDN w:val="0"/>
        <w:spacing w:before="10"/>
        <w:jc w:val="left"/>
        <w:rPr>
          <w:rFonts w:cs="Arial"/>
        </w:rPr>
      </w:pPr>
    </w:p>
    <w:p w14:paraId="1D905BA5" w14:textId="77777777" w:rsidR="00235894" w:rsidRPr="00013CDE" w:rsidRDefault="00235894" w:rsidP="00235894">
      <w:pPr>
        <w:widowControl w:val="0"/>
        <w:autoSpaceDE w:val="0"/>
        <w:autoSpaceDN w:val="0"/>
        <w:spacing w:before="1" w:line="276" w:lineRule="auto"/>
        <w:ind w:right="526"/>
        <w:jc w:val="left"/>
        <w:rPr>
          <w:rFonts w:cs="Arial"/>
        </w:rPr>
      </w:pPr>
      <w:r w:rsidRPr="00013CDE">
        <w:rPr>
          <w:rFonts w:cs="Arial"/>
          <w:u w:val="single"/>
        </w:rPr>
        <w:t>Comentario:</w:t>
      </w:r>
      <w:r w:rsidRPr="00013CDE">
        <w:rPr>
          <w:rFonts w:cs="Arial"/>
        </w:rPr>
        <w:t xml:space="preserve"> en este ítem (2.3.3.i) modificar el texto para que se lea de la siguiente manera:  </w:t>
      </w:r>
      <w:r w:rsidRPr="00013CDE">
        <w:rPr>
          <w:rFonts w:cs="Arial"/>
          <w:i/>
        </w:rPr>
        <w:t xml:space="preserve">“ …la diferencia de  una letra indica una diferencia fonética y visual clara..” </w:t>
      </w:r>
      <w:r w:rsidRPr="00013CDE">
        <w:rPr>
          <w:rFonts w:cs="Arial"/>
        </w:rPr>
        <w:t xml:space="preserve">dado que consideramos que el análisis fonético y </w:t>
      </w:r>
      <w:r w:rsidRPr="00013CDE">
        <w:rPr>
          <w:rFonts w:cs="Arial"/>
          <w:spacing w:val="-3"/>
        </w:rPr>
        <w:t xml:space="preserve">visual  </w:t>
      </w:r>
      <w:r w:rsidRPr="00013CDE">
        <w:rPr>
          <w:rFonts w:cs="Arial"/>
        </w:rPr>
        <w:t>son independientes de la ubicación en la palabra de esa letra de</w:t>
      </w:r>
      <w:r w:rsidRPr="00013CDE">
        <w:rPr>
          <w:rFonts w:cs="Arial"/>
          <w:spacing w:val="33"/>
        </w:rPr>
        <w:t xml:space="preserve"> </w:t>
      </w:r>
      <w:r w:rsidRPr="00013CDE">
        <w:rPr>
          <w:rFonts w:cs="Arial"/>
        </w:rPr>
        <w:t>diferencia.</w:t>
      </w:r>
    </w:p>
    <w:p w14:paraId="46188B41" w14:textId="77777777" w:rsidR="00235894" w:rsidRPr="00013CDE" w:rsidRDefault="00235894" w:rsidP="00235894">
      <w:pPr>
        <w:widowControl w:val="0"/>
        <w:autoSpaceDE w:val="0"/>
        <w:autoSpaceDN w:val="0"/>
        <w:spacing w:before="8"/>
        <w:jc w:val="left"/>
        <w:rPr>
          <w:rFonts w:cs="Arial"/>
        </w:rPr>
      </w:pPr>
    </w:p>
    <w:p w14:paraId="36A30CF0" w14:textId="77777777" w:rsidR="00235894" w:rsidRPr="00013CDE" w:rsidRDefault="00235894" w:rsidP="00235894">
      <w:pPr>
        <w:rPr>
          <w:rFonts w:cs="Arial"/>
          <w:b/>
          <w:u w:val="single"/>
        </w:rPr>
      </w:pPr>
      <w:r w:rsidRPr="00013CDE">
        <w:rPr>
          <w:rFonts w:cs="Arial"/>
          <w:b/>
          <w:u w:val="single"/>
        </w:rPr>
        <w:t>Párrafo 2.6</w:t>
      </w:r>
    </w:p>
    <w:p w14:paraId="2834223D" w14:textId="77777777" w:rsidR="00235894" w:rsidRPr="00013CDE" w:rsidRDefault="00235894" w:rsidP="00235894">
      <w:pPr>
        <w:widowControl w:val="0"/>
        <w:autoSpaceDE w:val="0"/>
        <w:autoSpaceDN w:val="0"/>
        <w:spacing w:before="7"/>
        <w:jc w:val="left"/>
        <w:rPr>
          <w:rFonts w:cs="Arial"/>
          <w:b/>
        </w:rPr>
      </w:pPr>
    </w:p>
    <w:p w14:paraId="731249D6" w14:textId="77777777" w:rsidR="00235894" w:rsidRPr="00013CDE" w:rsidRDefault="00235894" w:rsidP="00235894">
      <w:pPr>
        <w:widowControl w:val="0"/>
        <w:autoSpaceDE w:val="0"/>
        <w:autoSpaceDN w:val="0"/>
        <w:spacing w:before="96"/>
        <w:jc w:val="left"/>
        <w:rPr>
          <w:rFonts w:cs="Arial"/>
        </w:rPr>
      </w:pPr>
      <w:r w:rsidRPr="00013CDE">
        <w:rPr>
          <w:rFonts w:cs="Arial"/>
        </w:rPr>
        <w:t>El siguiente texto de la segunda oración puede dar a entender que el uso de la herramienta de la UPOV es obligatoria, “…Se hace hincapié en que la utilización del instrumento de la UPOV para la búsqueda de denominaciones similares constituye un paso previo en el proceso..”</w:t>
      </w:r>
    </w:p>
    <w:p w14:paraId="1FA7821E" w14:textId="77777777" w:rsidR="00235894" w:rsidRPr="00013CDE" w:rsidRDefault="00235894" w:rsidP="00235894">
      <w:pPr>
        <w:widowControl w:val="0"/>
        <w:autoSpaceDE w:val="0"/>
        <w:autoSpaceDN w:val="0"/>
        <w:spacing w:before="8"/>
        <w:jc w:val="left"/>
        <w:rPr>
          <w:rFonts w:cs="Arial"/>
        </w:rPr>
      </w:pPr>
    </w:p>
    <w:p w14:paraId="7837779C" w14:textId="77777777" w:rsidR="00235894" w:rsidRPr="00013CDE" w:rsidRDefault="00235894" w:rsidP="00235894">
      <w:pPr>
        <w:widowControl w:val="0"/>
        <w:autoSpaceDE w:val="0"/>
        <w:autoSpaceDN w:val="0"/>
        <w:jc w:val="left"/>
        <w:rPr>
          <w:rFonts w:cs="Arial"/>
        </w:rPr>
      </w:pPr>
      <w:r w:rsidRPr="00013CDE">
        <w:rPr>
          <w:rFonts w:cs="Arial"/>
        </w:rPr>
        <w:t>Tal vez se podría modificar diciendo “puede constituir” en lugar de “constituye”.</w:t>
      </w:r>
    </w:p>
    <w:p w14:paraId="02F49D27" w14:textId="77777777" w:rsidR="00235894" w:rsidRPr="00013CDE" w:rsidRDefault="00235894" w:rsidP="00235894">
      <w:pPr>
        <w:widowControl w:val="0"/>
        <w:autoSpaceDE w:val="0"/>
        <w:autoSpaceDN w:val="0"/>
        <w:spacing w:before="10"/>
        <w:jc w:val="left"/>
        <w:rPr>
          <w:rFonts w:cs="Arial"/>
        </w:rPr>
      </w:pPr>
    </w:p>
    <w:p w14:paraId="7D3D8FD8" w14:textId="77777777" w:rsidR="00235894" w:rsidRPr="00013CDE" w:rsidRDefault="00235894" w:rsidP="00235894">
      <w:pPr>
        <w:keepNext/>
        <w:rPr>
          <w:rFonts w:cs="Arial"/>
          <w:b/>
          <w:u w:val="single"/>
        </w:rPr>
      </w:pPr>
      <w:r w:rsidRPr="00013CDE">
        <w:rPr>
          <w:rFonts w:cs="Arial"/>
          <w:b/>
          <w:u w:val="single"/>
        </w:rPr>
        <w:t>Párrafos 4 (a) y 6.8</w:t>
      </w:r>
    </w:p>
    <w:p w14:paraId="3DC457E5" w14:textId="77777777" w:rsidR="00235894" w:rsidRPr="00013CDE" w:rsidRDefault="00235894" w:rsidP="00235894">
      <w:pPr>
        <w:keepNext/>
        <w:widowControl w:val="0"/>
        <w:autoSpaceDE w:val="0"/>
        <w:autoSpaceDN w:val="0"/>
        <w:spacing w:before="7"/>
        <w:jc w:val="left"/>
        <w:rPr>
          <w:rFonts w:cs="Arial"/>
          <w:b/>
        </w:rPr>
      </w:pPr>
    </w:p>
    <w:p w14:paraId="306CB180" w14:textId="77777777" w:rsidR="00235894" w:rsidRPr="00013CDE" w:rsidRDefault="00235894" w:rsidP="00235894">
      <w:pPr>
        <w:widowControl w:val="0"/>
        <w:autoSpaceDE w:val="0"/>
        <w:autoSpaceDN w:val="0"/>
        <w:spacing w:before="95"/>
        <w:jc w:val="left"/>
        <w:rPr>
          <w:rFonts w:cs="Arial"/>
        </w:rPr>
      </w:pPr>
      <w:r w:rsidRPr="00013CDE">
        <w:rPr>
          <w:rFonts w:cs="Arial"/>
        </w:rPr>
        <w:t>Reemplazar el verbo “instar” por “invitar” o “invitar”. En español, instar es casi una obligación.</w:t>
      </w:r>
    </w:p>
    <w:p w14:paraId="54E25603" w14:textId="77777777" w:rsidR="00235894" w:rsidRPr="00013CDE" w:rsidRDefault="00235894" w:rsidP="00235894">
      <w:pPr>
        <w:widowControl w:val="0"/>
        <w:autoSpaceDE w:val="0"/>
        <w:autoSpaceDN w:val="0"/>
        <w:spacing w:before="11"/>
        <w:jc w:val="left"/>
        <w:rPr>
          <w:rFonts w:cs="Arial"/>
        </w:rPr>
      </w:pPr>
    </w:p>
    <w:p w14:paraId="0A0A9B1E" w14:textId="77777777" w:rsidR="00235894" w:rsidRPr="00013CDE" w:rsidRDefault="00235894" w:rsidP="00235894">
      <w:pPr>
        <w:rPr>
          <w:rFonts w:cs="Arial"/>
          <w:b/>
          <w:u w:val="single"/>
        </w:rPr>
      </w:pPr>
      <w:r w:rsidRPr="00013CDE">
        <w:rPr>
          <w:rFonts w:cs="Arial"/>
          <w:b/>
          <w:u w:val="single"/>
        </w:rPr>
        <w:lastRenderedPageBreak/>
        <w:t>Propuestas de la Oficina Comunitaria de Variedades Vegetales (OCVV) de la Unión Europea para la modificación de la sección 2.3.3 del documento UPOV/</w:t>
      </w:r>
      <w:proofErr w:type="spellStart"/>
      <w:r w:rsidRPr="00013CDE">
        <w:rPr>
          <w:rFonts w:cs="Arial"/>
          <w:b/>
          <w:u w:val="single"/>
        </w:rPr>
        <w:t>EXN</w:t>
      </w:r>
      <w:proofErr w:type="spellEnd"/>
      <w:r w:rsidRPr="00013CDE">
        <w:rPr>
          <w:rFonts w:cs="Arial"/>
          <w:b/>
          <w:u w:val="single"/>
        </w:rPr>
        <w:t xml:space="preserve">/DEN/1 </w:t>
      </w:r>
      <w:proofErr w:type="spellStart"/>
      <w:r w:rsidRPr="00013CDE">
        <w:rPr>
          <w:rFonts w:cs="Arial"/>
          <w:b/>
          <w:u w:val="single"/>
        </w:rPr>
        <w:t>Draft</w:t>
      </w:r>
      <w:proofErr w:type="spellEnd"/>
      <w:r w:rsidRPr="00013CDE">
        <w:rPr>
          <w:rFonts w:cs="Arial"/>
          <w:b/>
          <w:u w:val="single"/>
        </w:rPr>
        <w:t xml:space="preserve"> 3</w:t>
      </w:r>
    </w:p>
    <w:p w14:paraId="53ED8233" w14:textId="77777777" w:rsidR="00235894" w:rsidRPr="00013CDE" w:rsidRDefault="00235894" w:rsidP="00235894">
      <w:pPr>
        <w:rPr>
          <w:rFonts w:cs="Arial"/>
          <w:b/>
          <w:u w:val="single"/>
        </w:rPr>
      </w:pPr>
    </w:p>
    <w:p w14:paraId="59A8B01F" w14:textId="77777777" w:rsidR="00235894" w:rsidRPr="00013CDE" w:rsidRDefault="00235894" w:rsidP="00235894">
      <w:pPr>
        <w:widowControl w:val="0"/>
        <w:autoSpaceDE w:val="0"/>
        <w:autoSpaceDN w:val="0"/>
        <w:spacing w:before="96" w:line="276" w:lineRule="auto"/>
        <w:ind w:right="526"/>
        <w:jc w:val="left"/>
        <w:rPr>
          <w:rFonts w:cs="Arial"/>
        </w:rPr>
      </w:pPr>
      <w:r w:rsidRPr="00013CDE">
        <w:rPr>
          <w:rFonts w:cs="Arial"/>
        </w:rPr>
        <w:t>Estamos de acuerdo con lo propuesto para el ítem 2.3.3 ii) por lo cual proponemos dos alternativas: la primera es reemplazar el texto del documento de la UPOV de este ítem por el propuesto por la OCVV; y como segunda alternativa es unificar los ítems i) y ii) porque creemos que se debería evaluar la diferencia fonética y visual independientemente del lugar donde se encuentren las letras que hacen la diferencia</w:t>
      </w:r>
    </w:p>
    <w:p w14:paraId="37798E0C" w14:textId="77777777" w:rsidR="00235894" w:rsidRPr="00013CDE" w:rsidRDefault="00235894" w:rsidP="00235894">
      <w:pPr>
        <w:widowControl w:val="0"/>
        <w:autoSpaceDE w:val="0"/>
        <w:autoSpaceDN w:val="0"/>
        <w:spacing w:before="9"/>
        <w:jc w:val="left"/>
        <w:rPr>
          <w:rFonts w:cs="Arial"/>
        </w:rPr>
      </w:pPr>
    </w:p>
    <w:p w14:paraId="4D4B34B5" w14:textId="1DC49B37" w:rsidR="00235894" w:rsidRPr="00013CDE" w:rsidRDefault="00235894" w:rsidP="00235894">
      <w:pPr>
        <w:widowControl w:val="0"/>
        <w:autoSpaceDE w:val="0"/>
        <w:autoSpaceDN w:val="0"/>
        <w:spacing w:line="276" w:lineRule="auto"/>
        <w:ind w:right="526"/>
        <w:jc w:val="left"/>
        <w:rPr>
          <w:rFonts w:cs="Arial"/>
        </w:rPr>
      </w:pPr>
      <w:r w:rsidRPr="00013CDE">
        <w:rPr>
          <w:rFonts w:cs="Arial"/>
        </w:rPr>
        <w:t>En cuan</w:t>
      </w:r>
      <w:r>
        <w:rPr>
          <w:rFonts w:cs="Arial"/>
        </w:rPr>
        <w:t>to a la propuesta para el ítem “</w:t>
      </w:r>
      <w:r w:rsidRPr="00013CDE">
        <w:rPr>
          <w:rFonts w:cs="Arial"/>
        </w:rPr>
        <w:t>b” estamos de acuerdo con la “Alternativa 2 de la sección 2.3.3.b” coincidimos que si no existe una diferencia fonética clara pero sí existe una diferencia de significado claramente apreciable la denominación analizada debería ser aceptada.</w:t>
      </w:r>
    </w:p>
    <w:p w14:paraId="5931CF21" w14:textId="77777777" w:rsidR="00235894" w:rsidRPr="00013CDE" w:rsidRDefault="00235894" w:rsidP="00235894">
      <w:pPr>
        <w:widowControl w:val="0"/>
        <w:autoSpaceDE w:val="0"/>
        <w:autoSpaceDN w:val="0"/>
        <w:jc w:val="left"/>
        <w:rPr>
          <w:rFonts w:cs="Arial"/>
        </w:rPr>
      </w:pPr>
    </w:p>
    <w:p w14:paraId="66E41AD9" w14:textId="77777777" w:rsidR="00235894" w:rsidRPr="00013CDE" w:rsidRDefault="00235894" w:rsidP="00235894">
      <w:pPr>
        <w:widowControl w:val="0"/>
        <w:autoSpaceDE w:val="0"/>
        <w:autoSpaceDN w:val="0"/>
        <w:jc w:val="left"/>
        <w:rPr>
          <w:rFonts w:cs="Arial"/>
        </w:rPr>
      </w:pPr>
    </w:p>
    <w:p w14:paraId="57E6EC52" w14:textId="77777777" w:rsidR="00235894" w:rsidRPr="00013CDE" w:rsidRDefault="00235894" w:rsidP="00235894">
      <w:pPr>
        <w:widowControl w:val="0"/>
        <w:autoSpaceDE w:val="0"/>
        <w:autoSpaceDN w:val="0"/>
        <w:jc w:val="left"/>
        <w:rPr>
          <w:rFonts w:cs="Arial"/>
        </w:rPr>
      </w:pPr>
    </w:p>
    <w:p w14:paraId="5104D86F" w14:textId="77777777" w:rsidR="00235894" w:rsidRPr="00013CDE" w:rsidRDefault="00235894" w:rsidP="00235894">
      <w:pPr>
        <w:widowControl w:val="0"/>
        <w:autoSpaceDE w:val="0"/>
        <w:autoSpaceDN w:val="0"/>
        <w:jc w:val="left"/>
        <w:rPr>
          <w:rFonts w:cs="Arial"/>
        </w:rPr>
      </w:pPr>
    </w:p>
    <w:p w14:paraId="41F00193" w14:textId="77777777" w:rsidR="00235894" w:rsidRPr="00013CDE" w:rsidRDefault="00235894" w:rsidP="00235894">
      <w:pPr>
        <w:widowControl w:val="0"/>
        <w:autoSpaceDE w:val="0"/>
        <w:autoSpaceDN w:val="0"/>
        <w:jc w:val="left"/>
        <w:rPr>
          <w:rFonts w:cs="Arial"/>
        </w:rPr>
      </w:pPr>
    </w:p>
    <w:p w14:paraId="2F7949C8" w14:textId="77777777" w:rsidR="00235894" w:rsidRPr="00013CDE" w:rsidRDefault="00235894" w:rsidP="00235894">
      <w:pPr>
        <w:widowControl w:val="0"/>
        <w:autoSpaceDE w:val="0"/>
        <w:autoSpaceDN w:val="0"/>
        <w:spacing w:before="6"/>
        <w:jc w:val="left"/>
        <w:rPr>
          <w:rFonts w:cs="Arial"/>
        </w:rPr>
      </w:pPr>
    </w:p>
    <w:p w14:paraId="5B104E47" w14:textId="77777777" w:rsidR="00235894" w:rsidRPr="00013CDE" w:rsidRDefault="00235894" w:rsidP="00235894">
      <w:pPr>
        <w:widowControl w:val="0"/>
        <w:autoSpaceDE w:val="0"/>
        <w:autoSpaceDN w:val="0"/>
        <w:jc w:val="left"/>
        <w:rPr>
          <w:rFonts w:cs="Arial"/>
        </w:rPr>
      </w:pPr>
      <w:r w:rsidRPr="00013CDE">
        <w:rPr>
          <w:rFonts w:cs="Arial"/>
        </w:rPr>
        <w:t>Sin otro particular saluda atte.</w:t>
      </w:r>
    </w:p>
    <w:p w14:paraId="1B97E4B8" w14:textId="77777777" w:rsidR="00235894" w:rsidRPr="00013CDE" w:rsidRDefault="00235894" w:rsidP="00235894">
      <w:pPr>
        <w:widowControl w:val="0"/>
        <w:autoSpaceDE w:val="0"/>
        <w:autoSpaceDN w:val="0"/>
        <w:jc w:val="left"/>
        <w:rPr>
          <w:rFonts w:cs="Arial"/>
        </w:rPr>
      </w:pPr>
    </w:p>
    <w:p w14:paraId="2D2E220A" w14:textId="77777777" w:rsidR="00235894" w:rsidRPr="00013CDE" w:rsidRDefault="00235894" w:rsidP="00235894">
      <w:pPr>
        <w:widowControl w:val="0"/>
        <w:autoSpaceDE w:val="0"/>
        <w:autoSpaceDN w:val="0"/>
        <w:jc w:val="left"/>
        <w:rPr>
          <w:rFonts w:cs="Arial"/>
        </w:rPr>
      </w:pPr>
    </w:p>
    <w:p w14:paraId="5DDCA024" w14:textId="77777777" w:rsidR="00235894" w:rsidRPr="00013CDE" w:rsidRDefault="00235894" w:rsidP="00235894">
      <w:pPr>
        <w:widowControl w:val="0"/>
        <w:autoSpaceDE w:val="0"/>
        <w:autoSpaceDN w:val="0"/>
        <w:jc w:val="left"/>
        <w:rPr>
          <w:rFonts w:cs="Arial"/>
        </w:rPr>
      </w:pPr>
    </w:p>
    <w:p w14:paraId="73F85BFE" w14:textId="77777777" w:rsidR="00235894" w:rsidRPr="00013CDE" w:rsidRDefault="00235894" w:rsidP="00235894">
      <w:pPr>
        <w:widowControl w:val="0"/>
        <w:autoSpaceDE w:val="0"/>
        <w:autoSpaceDN w:val="0"/>
        <w:spacing w:before="6"/>
        <w:jc w:val="left"/>
        <w:rPr>
          <w:rFonts w:cs="Arial"/>
        </w:rPr>
      </w:pPr>
    </w:p>
    <w:p w14:paraId="19EE1417" w14:textId="77777777" w:rsidR="00235894" w:rsidRPr="00235894" w:rsidRDefault="00235894" w:rsidP="00235894">
      <w:pPr>
        <w:widowControl w:val="0"/>
        <w:autoSpaceDE w:val="0"/>
        <w:autoSpaceDN w:val="0"/>
        <w:spacing w:line="223" w:lineRule="auto"/>
        <w:jc w:val="left"/>
        <w:rPr>
          <w:rFonts w:cs="Arial"/>
          <w:w w:val="105"/>
          <w:lang w:val="en-US"/>
        </w:rPr>
      </w:pPr>
      <w:r w:rsidRPr="00235894">
        <w:rPr>
          <w:rFonts w:cs="Arial"/>
          <w:w w:val="105"/>
          <w:lang w:val="en-US"/>
        </w:rPr>
        <w:t xml:space="preserve">Digitally signed by GESTION DOCUMENTAL ELECTRONICA - GDE </w:t>
      </w:r>
    </w:p>
    <w:p w14:paraId="5D8570B9" w14:textId="77777777" w:rsidR="00235894" w:rsidRPr="00013CDE" w:rsidRDefault="00235894" w:rsidP="00235894">
      <w:pPr>
        <w:widowControl w:val="0"/>
        <w:autoSpaceDE w:val="0"/>
        <w:autoSpaceDN w:val="0"/>
        <w:spacing w:line="223" w:lineRule="auto"/>
        <w:jc w:val="left"/>
        <w:rPr>
          <w:rFonts w:cs="Arial"/>
        </w:rPr>
      </w:pPr>
      <w:r w:rsidRPr="00013CDE">
        <w:rPr>
          <w:rFonts w:cs="Arial"/>
          <w:w w:val="105"/>
        </w:rPr>
        <w:t>Date: 2020.05.11 19:03:02 -03:00</w:t>
      </w:r>
    </w:p>
    <w:p w14:paraId="63425627" w14:textId="77777777" w:rsidR="00235894" w:rsidRPr="00013CDE" w:rsidRDefault="00235894" w:rsidP="00235894">
      <w:pPr>
        <w:widowControl w:val="0"/>
        <w:autoSpaceDE w:val="0"/>
        <w:autoSpaceDN w:val="0"/>
        <w:jc w:val="left"/>
        <w:rPr>
          <w:rFonts w:cs="Arial"/>
        </w:rPr>
      </w:pPr>
    </w:p>
    <w:p w14:paraId="02EFF40F" w14:textId="77777777" w:rsidR="00235894" w:rsidRPr="00013CDE" w:rsidRDefault="00235894" w:rsidP="00235894">
      <w:pPr>
        <w:rPr>
          <w:rFonts w:cs="Arial"/>
        </w:rPr>
      </w:pPr>
      <w:r w:rsidRPr="00013CDE">
        <w:rPr>
          <w:rFonts w:cs="Arial"/>
        </w:rPr>
        <w:t>Raimundo Lavignolle Presidente</w:t>
      </w:r>
    </w:p>
    <w:p w14:paraId="4A72876A" w14:textId="77777777" w:rsidR="00235894" w:rsidRPr="00013CDE" w:rsidRDefault="00235894" w:rsidP="00235894">
      <w:pPr>
        <w:rPr>
          <w:rFonts w:cs="Arial"/>
        </w:rPr>
      </w:pPr>
      <w:r w:rsidRPr="00013CDE">
        <w:rPr>
          <w:rFonts w:cs="Arial"/>
        </w:rPr>
        <w:t>Instituto Nacional de Semillas</w:t>
      </w:r>
    </w:p>
    <w:p w14:paraId="26C1CE8B" w14:textId="77777777" w:rsidR="00235894" w:rsidRPr="00013CDE" w:rsidRDefault="00235894" w:rsidP="00235894">
      <w:pPr>
        <w:widowControl w:val="0"/>
        <w:autoSpaceDE w:val="0"/>
        <w:autoSpaceDN w:val="0"/>
        <w:jc w:val="left"/>
        <w:rPr>
          <w:rFonts w:cs="Arial"/>
        </w:rPr>
      </w:pPr>
    </w:p>
    <w:p w14:paraId="741D7D97" w14:textId="77777777" w:rsidR="00235894" w:rsidRPr="00013CDE" w:rsidRDefault="00235894" w:rsidP="00235894">
      <w:pPr>
        <w:widowControl w:val="0"/>
        <w:autoSpaceDE w:val="0"/>
        <w:autoSpaceDN w:val="0"/>
        <w:jc w:val="left"/>
        <w:rPr>
          <w:rFonts w:cs="Arial"/>
        </w:rPr>
      </w:pPr>
    </w:p>
    <w:p w14:paraId="2A67F48E" w14:textId="77777777" w:rsidR="00235894" w:rsidRPr="00013CDE" w:rsidRDefault="00235894" w:rsidP="00235894">
      <w:pPr>
        <w:widowControl w:val="0"/>
        <w:autoSpaceDE w:val="0"/>
        <w:autoSpaceDN w:val="0"/>
        <w:jc w:val="left"/>
        <w:rPr>
          <w:rFonts w:cs="Arial"/>
        </w:rPr>
      </w:pPr>
    </w:p>
    <w:p w14:paraId="711DB83C" w14:textId="77777777" w:rsidR="00235894" w:rsidRPr="00013CDE" w:rsidRDefault="00235894" w:rsidP="00235894">
      <w:pPr>
        <w:widowControl w:val="0"/>
        <w:autoSpaceDE w:val="0"/>
        <w:autoSpaceDN w:val="0"/>
        <w:jc w:val="left"/>
        <w:rPr>
          <w:rFonts w:cs="Arial"/>
        </w:rPr>
      </w:pPr>
    </w:p>
    <w:p w14:paraId="1C31CF09" w14:textId="77777777" w:rsidR="00235894" w:rsidRPr="00013CDE" w:rsidRDefault="00235894" w:rsidP="00235894">
      <w:pPr>
        <w:widowControl w:val="0"/>
        <w:autoSpaceDE w:val="0"/>
        <w:autoSpaceDN w:val="0"/>
        <w:jc w:val="left"/>
        <w:rPr>
          <w:rFonts w:cs="Arial"/>
        </w:rPr>
      </w:pPr>
    </w:p>
    <w:p w14:paraId="3DE03BD9" w14:textId="77777777" w:rsidR="00235894" w:rsidRPr="00013CDE" w:rsidRDefault="00235894" w:rsidP="00235894">
      <w:pPr>
        <w:widowControl w:val="0"/>
        <w:autoSpaceDE w:val="0"/>
        <w:autoSpaceDN w:val="0"/>
        <w:jc w:val="left"/>
        <w:rPr>
          <w:rFonts w:cs="Arial"/>
        </w:rPr>
      </w:pPr>
    </w:p>
    <w:p w14:paraId="5E64DAC8" w14:textId="77777777" w:rsidR="00235894" w:rsidRPr="00013CDE" w:rsidRDefault="00235894" w:rsidP="00235894">
      <w:pPr>
        <w:widowControl w:val="0"/>
        <w:autoSpaceDE w:val="0"/>
        <w:autoSpaceDN w:val="0"/>
        <w:jc w:val="left"/>
        <w:rPr>
          <w:rFonts w:cs="Arial"/>
        </w:rPr>
      </w:pPr>
    </w:p>
    <w:p w14:paraId="5E2A1A86" w14:textId="77777777" w:rsidR="00235894" w:rsidRPr="00013CDE" w:rsidRDefault="00235894" w:rsidP="00235894">
      <w:pPr>
        <w:widowControl w:val="0"/>
        <w:autoSpaceDE w:val="0"/>
        <w:autoSpaceDN w:val="0"/>
        <w:jc w:val="left"/>
        <w:rPr>
          <w:rFonts w:cs="Arial"/>
        </w:rPr>
      </w:pPr>
    </w:p>
    <w:p w14:paraId="104867CA" w14:textId="77777777" w:rsidR="00235894" w:rsidRPr="00013CDE" w:rsidRDefault="00235894" w:rsidP="00235894">
      <w:pPr>
        <w:widowControl w:val="0"/>
        <w:autoSpaceDE w:val="0"/>
        <w:autoSpaceDN w:val="0"/>
        <w:jc w:val="left"/>
        <w:rPr>
          <w:rFonts w:cs="Arial"/>
        </w:rPr>
      </w:pPr>
    </w:p>
    <w:p w14:paraId="44C27372" w14:textId="77777777" w:rsidR="00235894" w:rsidRPr="00013CDE" w:rsidRDefault="00235894" w:rsidP="00235894">
      <w:pPr>
        <w:widowControl w:val="0"/>
        <w:autoSpaceDE w:val="0"/>
        <w:autoSpaceDN w:val="0"/>
        <w:jc w:val="left"/>
        <w:rPr>
          <w:rFonts w:cs="Arial"/>
        </w:rPr>
      </w:pPr>
    </w:p>
    <w:p w14:paraId="72D3A5B1" w14:textId="77777777" w:rsidR="00235894" w:rsidRPr="00013CDE" w:rsidRDefault="00235894" w:rsidP="00235894">
      <w:pPr>
        <w:widowControl w:val="0"/>
        <w:autoSpaceDE w:val="0"/>
        <w:autoSpaceDN w:val="0"/>
        <w:jc w:val="left"/>
        <w:rPr>
          <w:rFonts w:cs="Arial"/>
        </w:rPr>
      </w:pPr>
    </w:p>
    <w:p w14:paraId="3C8869DE" w14:textId="77777777" w:rsidR="00235894" w:rsidRPr="00013CDE" w:rsidRDefault="00235894" w:rsidP="00235894">
      <w:pPr>
        <w:widowControl w:val="0"/>
        <w:autoSpaceDE w:val="0"/>
        <w:autoSpaceDN w:val="0"/>
        <w:jc w:val="left"/>
        <w:rPr>
          <w:rFonts w:cs="Arial"/>
        </w:rPr>
      </w:pPr>
    </w:p>
    <w:p w14:paraId="58523925" w14:textId="77777777" w:rsidR="00235894" w:rsidRPr="00013CDE" w:rsidRDefault="00235894" w:rsidP="00235894">
      <w:pPr>
        <w:widowControl w:val="0"/>
        <w:autoSpaceDE w:val="0"/>
        <w:autoSpaceDN w:val="0"/>
        <w:jc w:val="left"/>
        <w:rPr>
          <w:rFonts w:cs="Arial"/>
        </w:rPr>
      </w:pPr>
    </w:p>
    <w:p w14:paraId="656735ED" w14:textId="77777777" w:rsidR="00235894" w:rsidRPr="00013CDE" w:rsidRDefault="00235894" w:rsidP="00235894">
      <w:pPr>
        <w:widowControl w:val="0"/>
        <w:autoSpaceDE w:val="0"/>
        <w:autoSpaceDN w:val="0"/>
        <w:jc w:val="left"/>
        <w:rPr>
          <w:rFonts w:cs="Arial"/>
        </w:rPr>
      </w:pPr>
    </w:p>
    <w:p w14:paraId="438CBE1B" w14:textId="77777777" w:rsidR="00235894" w:rsidRPr="00013CDE" w:rsidRDefault="00235894" w:rsidP="00235894">
      <w:pPr>
        <w:widowControl w:val="0"/>
        <w:autoSpaceDE w:val="0"/>
        <w:autoSpaceDN w:val="0"/>
        <w:jc w:val="left"/>
        <w:rPr>
          <w:rFonts w:cs="Arial"/>
        </w:rPr>
      </w:pPr>
    </w:p>
    <w:p w14:paraId="0965F910" w14:textId="77777777" w:rsidR="00235894" w:rsidRPr="00013CDE" w:rsidRDefault="00235894" w:rsidP="00235894">
      <w:pPr>
        <w:widowControl w:val="0"/>
        <w:autoSpaceDE w:val="0"/>
        <w:autoSpaceDN w:val="0"/>
        <w:jc w:val="left"/>
        <w:rPr>
          <w:rFonts w:cs="Arial"/>
        </w:rPr>
      </w:pPr>
    </w:p>
    <w:p w14:paraId="281099D4" w14:textId="77777777" w:rsidR="00235894" w:rsidRPr="00013CDE" w:rsidRDefault="00235894" w:rsidP="00235894">
      <w:pPr>
        <w:widowControl w:val="0"/>
        <w:autoSpaceDE w:val="0"/>
        <w:autoSpaceDN w:val="0"/>
        <w:jc w:val="left"/>
        <w:rPr>
          <w:rFonts w:cs="Arial"/>
        </w:rPr>
      </w:pPr>
    </w:p>
    <w:p w14:paraId="1FEA2AA4" w14:textId="77777777" w:rsidR="00235894" w:rsidRPr="00013CDE" w:rsidRDefault="00235894" w:rsidP="00235894">
      <w:pPr>
        <w:widowControl w:val="0"/>
        <w:autoSpaceDE w:val="0"/>
        <w:autoSpaceDN w:val="0"/>
        <w:jc w:val="left"/>
        <w:rPr>
          <w:rFonts w:cs="Arial"/>
        </w:rPr>
      </w:pPr>
    </w:p>
    <w:p w14:paraId="75729A22" w14:textId="77777777" w:rsidR="00235894" w:rsidRPr="00013CDE" w:rsidRDefault="00235894" w:rsidP="00235894">
      <w:pPr>
        <w:widowControl w:val="0"/>
        <w:autoSpaceDE w:val="0"/>
        <w:autoSpaceDN w:val="0"/>
        <w:jc w:val="left"/>
        <w:rPr>
          <w:rFonts w:cs="Arial"/>
        </w:rPr>
      </w:pPr>
    </w:p>
    <w:p w14:paraId="48901245" w14:textId="77777777" w:rsidR="00235894" w:rsidRPr="004F2167" w:rsidRDefault="00235894" w:rsidP="00235894">
      <w:pPr>
        <w:widowControl w:val="0"/>
        <w:tabs>
          <w:tab w:val="left" w:pos="5245"/>
        </w:tabs>
        <w:autoSpaceDE w:val="0"/>
        <w:autoSpaceDN w:val="0"/>
        <w:spacing w:line="218" w:lineRule="auto"/>
        <w:ind w:left="5245"/>
        <w:rPr>
          <w:rFonts w:cs="Arial"/>
          <w:w w:val="105"/>
        </w:rPr>
      </w:pPr>
      <w:proofErr w:type="spellStart"/>
      <w:r w:rsidRPr="004F2167">
        <w:rPr>
          <w:rFonts w:cs="Arial"/>
          <w:w w:val="105"/>
        </w:rPr>
        <w:t>Digitally</w:t>
      </w:r>
      <w:proofErr w:type="spellEnd"/>
      <w:r w:rsidRPr="004F2167">
        <w:rPr>
          <w:rFonts w:cs="Arial"/>
          <w:w w:val="105"/>
        </w:rPr>
        <w:t xml:space="preserve"> </w:t>
      </w:r>
      <w:proofErr w:type="spellStart"/>
      <w:r w:rsidRPr="004F2167">
        <w:rPr>
          <w:rFonts w:cs="Arial"/>
          <w:w w:val="105"/>
        </w:rPr>
        <w:t>signed</w:t>
      </w:r>
      <w:proofErr w:type="spellEnd"/>
      <w:r w:rsidRPr="004F2167">
        <w:rPr>
          <w:rFonts w:cs="Arial"/>
          <w:w w:val="105"/>
        </w:rPr>
        <w:t xml:space="preserve"> </w:t>
      </w:r>
      <w:proofErr w:type="spellStart"/>
      <w:r w:rsidRPr="004F2167">
        <w:rPr>
          <w:rFonts w:cs="Arial"/>
          <w:w w:val="105"/>
        </w:rPr>
        <w:t>by</w:t>
      </w:r>
      <w:proofErr w:type="spellEnd"/>
      <w:r w:rsidRPr="004F2167">
        <w:rPr>
          <w:rFonts w:cs="Arial"/>
          <w:w w:val="105"/>
        </w:rPr>
        <w:t xml:space="preserve"> </w:t>
      </w:r>
      <w:proofErr w:type="spellStart"/>
      <w:r w:rsidRPr="004F2167">
        <w:rPr>
          <w:rFonts w:cs="Arial"/>
          <w:w w:val="105"/>
        </w:rPr>
        <w:t>GESTION</w:t>
      </w:r>
      <w:proofErr w:type="spellEnd"/>
      <w:r w:rsidRPr="004F2167">
        <w:rPr>
          <w:rFonts w:cs="Arial"/>
          <w:w w:val="105"/>
        </w:rPr>
        <w:t xml:space="preserve"> DOCUMENTAL </w:t>
      </w:r>
      <w:proofErr w:type="spellStart"/>
      <w:r w:rsidRPr="004F2167">
        <w:rPr>
          <w:rFonts w:cs="Arial"/>
          <w:w w:val="105"/>
        </w:rPr>
        <w:t>ELECTRONICA</w:t>
      </w:r>
      <w:proofErr w:type="spellEnd"/>
      <w:r w:rsidRPr="004F2167">
        <w:rPr>
          <w:rFonts w:cs="Arial"/>
          <w:w w:val="105"/>
        </w:rPr>
        <w:t xml:space="preserve"> – </w:t>
      </w:r>
      <w:proofErr w:type="spellStart"/>
      <w:r w:rsidRPr="004F2167">
        <w:rPr>
          <w:rFonts w:cs="Arial"/>
          <w:w w:val="105"/>
        </w:rPr>
        <w:t>GDE</w:t>
      </w:r>
      <w:proofErr w:type="spellEnd"/>
    </w:p>
    <w:p w14:paraId="5A19CE16" w14:textId="77777777" w:rsidR="00235894" w:rsidRPr="00013CDE" w:rsidRDefault="00235894" w:rsidP="00235894">
      <w:pPr>
        <w:widowControl w:val="0"/>
        <w:tabs>
          <w:tab w:val="left" w:pos="5245"/>
        </w:tabs>
        <w:autoSpaceDE w:val="0"/>
        <w:autoSpaceDN w:val="0"/>
        <w:ind w:left="5245"/>
        <w:rPr>
          <w:rFonts w:cs="Arial"/>
        </w:rPr>
      </w:pPr>
      <w:r w:rsidRPr="00013CDE">
        <w:rPr>
          <w:rFonts w:cs="Arial"/>
          <w:w w:val="105"/>
        </w:rPr>
        <w:t>Date: 2020.05.11 19:03:59 -03:00</w:t>
      </w:r>
    </w:p>
    <w:p w14:paraId="64F0E506" w14:textId="77777777" w:rsidR="00955AD5" w:rsidRPr="005E4DB0" w:rsidRDefault="00955AD5" w:rsidP="00955AD5">
      <w:pPr>
        <w:pStyle w:val="DecisionParagraphs"/>
        <w:jc w:val="right"/>
        <w:rPr>
          <w:i w:val="0"/>
          <w:lang w:val="es-ES"/>
        </w:rPr>
      </w:pPr>
    </w:p>
    <w:p w14:paraId="088EF272" w14:textId="77777777" w:rsidR="00955AD5" w:rsidRPr="005E4DB0" w:rsidRDefault="00955AD5" w:rsidP="00955AD5">
      <w:pPr>
        <w:pStyle w:val="DecisionParagraphs"/>
        <w:jc w:val="right"/>
        <w:rPr>
          <w:i w:val="0"/>
          <w:lang w:val="es-ES"/>
        </w:rPr>
      </w:pPr>
    </w:p>
    <w:p w14:paraId="6EF7BC07" w14:textId="77777777" w:rsidR="00955AD5" w:rsidRPr="005E4DB0" w:rsidRDefault="00955AD5" w:rsidP="00955AD5">
      <w:pPr>
        <w:pStyle w:val="DecisionParagraphs"/>
        <w:jc w:val="right"/>
        <w:rPr>
          <w:i w:val="0"/>
          <w:lang w:val="es-ES"/>
        </w:rPr>
      </w:pPr>
    </w:p>
    <w:p w14:paraId="4F0CCC8D" w14:textId="2895CDD3" w:rsidR="00955AD5" w:rsidRPr="00310D26" w:rsidRDefault="00FD36B1" w:rsidP="00955AD5">
      <w:pPr>
        <w:pStyle w:val="DecisionParagraphs"/>
        <w:jc w:val="right"/>
        <w:rPr>
          <w:i w:val="0"/>
          <w:lang w:val="es-ES"/>
        </w:rPr>
        <w:sectPr w:rsidR="00955AD5" w:rsidRPr="00310D26" w:rsidSect="00955AD5">
          <w:headerReference w:type="default" r:id="rId18"/>
          <w:headerReference w:type="first" r:id="rId19"/>
          <w:endnotePr>
            <w:numFmt w:val="lowerLetter"/>
          </w:endnotePr>
          <w:pgSz w:w="11907" w:h="16840" w:code="9"/>
          <w:pgMar w:top="510" w:right="1134" w:bottom="851" w:left="1134" w:header="510" w:footer="680" w:gutter="0"/>
          <w:pgNumType w:start="1"/>
          <w:cols w:space="720"/>
          <w:titlePg/>
        </w:sectPr>
      </w:pPr>
      <w:r w:rsidRPr="00310D26">
        <w:rPr>
          <w:i w:val="0"/>
          <w:lang w:val="es-ES"/>
        </w:rPr>
        <w:t>[Sigue el Apéndice II]</w:t>
      </w:r>
    </w:p>
    <w:p w14:paraId="391012CB" w14:textId="7C2E7815" w:rsidR="00955AD5" w:rsidRPr="00310D26" w:rsidRDefault="00FD36B1" w:rsidP="00955AD5">
      <w:pPr>
        <w:jc w:val="center"/>
      </w:pPr>
      <w:r w:rsidRPr="00310D26">
        <w:lastRenderedPageBreak/>
        <w:t xml:space="preserve">Respuesta del Canadá a la </w:t>
      </w:r>
      <w:r w:rsidR="007222AE" w:rsidRPr="00310D26">
        <w:t>C</w:t>
      </w:r>
      <w:r w:rsidRPr="00310D26">
        <w:t>ircular</w:t>
      </w:r>
      <w:r w:rsidR="00955AD5" w:rsidRPr="00310D26">
        <w:t xml:space="preserve"> E-20/017</w:t>
      </w:r>
    </w:p>
    <w:p w14:paraId="38ADB9DB" w14:textId="77777777" w:rsidR="00955AD5" w:rsidRPr="00310D26" w:rsidRDefault="00955AD5" w:rsidP="00955AD5">
      <w:pPr>
        <w:jc w:val="center"/>
      </w:pPr>
    </w:p>
    <w:p w14:paraId="7BBFE4AA" w14:textId="77777777" w:rsidR="00955AD5" w:rsidRPr="00310D26" w:rsidRDefault="00955AD5" w:rsidP="00955AD5">
      <w:pPr>
        <w:pStyle w:val="DecisionParagraphs"/>
        <w:tabs>
          <w:tab w:val="clear" w:pos="5387"/>
          <w:tab w:val="clear" w:pos="5954"/>
        </w:tabs>
        <w:ind w:left="0"/>
        <w:jc w:val="center"/>
        <w:rPr>
          <w:i w:val="0"/>
          <w:lang w:val="es-ES"/>
        </w:rPr>
      </w:pPr>
    </w:p>
    <w:p w14:paraId="0BB4535C" w14:textId="5528179C" w:rsidR="00955AD5" w:rsidRPr="00310D26" w:rsidRDefault="00E93CC5" w:rsidP="00955AD5">
      <w:pPr>
        <w:pStyle w:val="DecisionParagraphs"/>
        <w:ind w:left="0"/>
        <w:rPr>
          <w:i w:val="0"/>
          <w:lang w:val="es-ES"/>
        </w:rPr>
      </w:pPr>
      <w:r w:rsidRPr="00310D26">
        <w:rPr>
          <w:i w:val="0"/>
          <w:lang w:val="es-ES"/>
        </w:rPr>
        <w:t xml:space="preserve">A la atención de la </w:t>
      </w:r>
      <w:r w:rsidR="00955AD5" w:rsidRPr="00310D26">
        <w:rPr>
          <w:i w:val="0"/>
          <w:lang w:val="es-ES"/>
        </w:rPr>
        <w:t>UPOV</w:t>
      </w:r>
      <w:r w:rsidRPr="00310D26">
        <w:rPr>
          <w:i w:val="0"/>
          <w:lang w:val="es-ES"/>
        </w:rPr>
        <w:t>:</w:t>
      </w:r>
    </w:p>
    <w:p w14:paraId="1FEE9ECE" w14:textId="77777777" w:rsidR="00955AD5" w:rsidRPr="00310D26" w:rsidRDefault="00955AD5" w:rsidP="00955AD5">
      <w:pPr>
        <w:pStyle w:val="DecisionParagraphs"/>
        <w:ind w:left="0"/>
        <w:rPr>
          <w:i w:val="0"/>
          <w:lang w:val="es-ES"/>
        </w:rPr>
      </w:pPr>
    </w:p>
    <w:p w14:paraId="204F0906" w14:textId="5AE72E52" w:rsidR="00955AD5" w:rsidRPr="00310D26" w:rsidRDefault="00172E81" w:rsidP="00955AD5">
      <w:pPr>
        <w:pStyle w:val="DecisionParagraphs"/>
        <w:ind w:left="0"/>
        <w:rPr>
          <w:i w:val="0"/>
          <w:lang w:val="es-ES"/>
        </w:rPr>
      </w:pPr>
      <w:r w:rsidRPr="00310D26">
        <w:rPr>
          <w:i w:val="0"/>
          <w:lang w:val="es-ES"/>
        </w:rPr>
        <w:t xml:space="preserve">El </w:t>
      </w:r>
      <w:r w:rsidR="00955AD5" w:rsidRPr="00310D26">
        <w:rPr>
          <w:i w:val="0"/>
          <w:lang w:val="es-ES"/>
        </w:rPr>
        <w:t>Canad</w:t>
      </w:r>
      <w:r w:rsidRPr="00310D26">
        <w:rPr>
          <w:i w:val="0"/>
          <w:lang w:val="es-ES"/>
        </w:rPr>
        <w:t xml:space="preserve">á </w:t>
      </w:r>
      <w:r w:rsidR="00022D2D" w:rsidRPr="00310D26">
        <w:rPr>
          <w:i w:val="0"/>
          <w:lang w:val="es-ES"/>
        </w:rPr>
        <w:t>desea formular</w:t>
      </w:r>
      <w:r w:rsidR="00691A9E" w:rsidRPr="00310D26">
        <w:rPr>
          <w:i w:val="0"/>
          <w:lang w:val="es-ES"/>
        </w:rPr>
        <w:t xml:space="preserve"> varias observaciones </w:t>
      </w:r>
      <w:r w:rsidR="00022D2D" w:rsidRPr="00310D26">
        <w:rPr>
          <w:i w:val="0"/>
          <w:lang w:val="es-ES"/>
        </w:rPr>
        <w:t>en relación con</w:t>
      </w:r>
      <w:r w:rsidR="00691A9E" w:rsidRPr="00310D26">
        <w:rPr>
          <w:i w:val="0"/>
          <w:lang w:val="es-ES"/>
        </w:rPr>
        <w:t xml:space="preserve"> el</w:t>
      </w:r>
      <w:r w:rsidR="00955AD5" w:rsidRPr="00310D26">
        <w:rPr>
          <w:i w:val="0"/>
          <w:lang w:val="es-ES"/>
        </w:rPr>
        <w:t xml:space="preserve"> </w:t>
      </w:r>
      <w:proofErr w:type="spellStart"/>
      <w:r w:rsidR="00955AD5" w:rsidRPr="00310D26">
        <w:rPr>
          <w:i w:val="0"/>
          <w:lang w:val="es-ES"/>
        </w:rPr>
        <w:t>Draft</w:t>
      </w:r>
      <w:proofErr w:type="spellEnd"/>
      <w:r w:rsidR="00955AD5" w:rsidRPr="00310D26">
        <w:rPr>
          <w:i w:val="0"/>
          <w:lang w:val="es-ES"/>
        </w:rPr>
        <w:t xml:space="preserve"> 3 </w:t>
      </w:r>
      <w:r w:rsidR="00691A9E" w:rsidRPr="00310D26">
        <w:rPr>
          <w:i w:val="0"/>
          <w:lang w:val="es-ES"/>
        </w:rPr>
        <w:t>de las Notas explicativas sobre las denominaciones de variedades con arreglo al Convenio de la UPOV</w:t>
      </w:r>
      <w:r w:rsidR="00955AD5" w:rsidRPr="00310D26">
        <w:rPr>
          <w:i w:val="0"/>
          <w:lang w:val="es-ES"/>
        </w:rPr>
        <w:t>.</w:t>
      </w:r>
      <w:r w:rsidR="00C05526">
        <w:rPr>
          <w:i w:val="0"/>
          <w:lang w:val="es-ES"/>
        </w:rPr>
        <w:t xml:space="preserve"> </w:t>
      </w:r>
      <w:r w:rsidR="00955AD5" w:rsidRPr="00310D26">
        <w:rPr>
          <w:i w:val="0"/>
          <w:lang w:val="es-ES"/>
        </w:rPr>
        <w:br/>
      </w:r>
      <w:r w:rsidR="00691A9E" w:rsidRPr="00310D26">
        <w:rPr>
          <w:i w:val="0"/>
          <w:lang w:val="es-ES"/>
        </w:rPr>
        <w:t>Se trata de l</w:t>
      </w:r>
      <w:r w:rsidR="00B00E39" w:rsidRPr="00310D26">
        <w:rPr>
          <w:i w:val="0"/>
          <w:lang w:val="es-ES"/>
        </w:rPr>
        <w:t>a</w:t>
      </w:r>
      <w:r w:rsidR="00691A9E" w:rsidRPr="00310D26">
        <w:rPr>
          <w:i w:val="0"/>
          <w:lang w:val="es-ES"/>
        </w:rPr>
        <w:t>s siguientes</w:t>
      </w:r>
      <w:r w:rsidR="00955AD5" w:rsidRPr="00310D26">
        <w:rPr>
          <w:i w:val="0"/>
          <w:lang w:val="es-ES"/>
        </w:rPr>
        <w:t>:</w:t>
      </w:r>
    </w:p>
    <w:p w14:paraId="1319E9E6" w14:textId="77777777" w:rsidR="00955AD5" w:rsidRPr="00310D26" w:rsidRDefault="00955AD5" w:rsidP="00955AD5">
      <w:pPr>
        <w:pStyle w:val="DecisionParagraphs"/>
        <w:ind w:left="0"/>
        <w:rPr>
          <w:i w:val="0"/>
          <w:lang w:val="es-ES"/>
        </w:rPr>
      </w:pPr>
      <w:r w:rsidRPr="00310D26">
        <w:rPr>
          <w:i w:val="0"/>
          <w:lang w:val="es-ES"/>
        </w:rPr>
        <w:t xml:space="preserve"> </w:t>
      </w:r>
    </w:p>
    <w:p w14:paraId="642ED14D" w14:textId="6E45DE7C" w:rsidR="00955AD5" w:rsidRPr="00310D26" w:rsidRDefault="00955AD5" w:rsidP="00955AD5">
      <w:pPr>
        <w:pStyle w:val="DecisionParagraphs"/>
        <w:tabs>
          <w:tab w:val="left" w:pos="567"/>
        </w:tabs>
        <w:ind w:left="0"/>
        <w:rPr>
          <w:i w:val="0"/>
          <w:lang w:val="es-ES"/>
        </w:rPr>
      </w:pPr>
      <w:r w:rsidRPr="00310D26">
        <w:rPr>
          <w:i w:val="0"/>
          <w:lang w:val="es-ES"/>
        </w:rPr>
        <w:t>1.</w:t>
      </w:r>
      <w:r w:rsidRPr="00310D26">
        <w:rPr>
          <w:i w:val="0"/>
          <w:lang w:val="es-ES"/>
        </w:rPr>
        <w:tab/>
      </w:r>
      <w:r w:rsidR="00791C34" w:rsidRPr="00310D26">
        <w:rPr>
          <w:i w:val="0"/>
          <w:lang w:val="es-ES"/>
        </w:rPr>
        <w:t>En</w:t>
      </w:r>
      <w:r w:rsidRPr="00310D26">
        <w:rPr>
          <w:i w:val="0"/>
          <w:lang w:val="es-ES"/>
        </w:rPr>
        <w:t xml:space="preserve"> 2.3.3</w:t>
      </w:r>
      <w:r w:rsidR="00022D2D" w:rsidRPr="00310D26">
        <w:rPr>
          <w:i w:val="0"/>
          <w:lang w:val="es-ES"/>
        </w:rPr>
        <w:t> </w:t>
      </w:r>
      <w:r w:rsidRPr="00310D26">
        <w:rPr>
          <w:i w:val="0"/>
          <w:lang w:val="es-ES"/>
        </w:rPr>
        <w:t>a)</w:t>
      </w:r>
      <w:r w:rsidR="00791C34" w:rsidRPr="00310D26">
        <w:rPr>
          <w:i w:val="0"/>
          <w:lang w:val="es-ES"/>
        </w:rPr>
        <w:t>, el Canadá desearía mantener la observación o declaración inicial</w:t>
      </w:r>
      <w:r w:rsidR="00EB06CC" w:rsidRPr="00310D26">
        <w:rPr>
          <w:i w:val="0"/>
          <w:lang w:val="es-ES"/>
        </w:rPr>
        <w:t xml:space="preserve"> “</w:t>
      </w:r>
      <w:r w:rsidR="00791C34" w:rsidRPr="00310D26">
        <w:rPr>
          <w:i w:val="0"/>
          <w:lang w:val="es-ES"/>
        </w:rPr>
        <w:t>Como recomendación general</w:t>
      </w:r>
      <w:r w:rsidR="00EB06CC" w:rsidRPr="00310D26">
        <w:rPr>
          <w:i w:val="0"/>
          <w:lang w:val="es-ES"/>
        </w:rPr>
        <w:t>”</w:t>
      </w:r>
      <w:r w:rsidRPr="00310D26">
        <w:rPr>
          <w:i w:val="0"/>
          <w:lang w:val="es-ES"/>
        </w:rPr>
        <w:t xml:space="preserve">. </w:t>
      </w:r>
      <w:r w:rsidR="00791C34" w:rsidRPr="00310D26">
        <w:rPr>
          <w:i w:val="0"/>
          <w:lang w:val="es-ES"/>
        </w:rPr>
        <w:t xml:space="preserve">El Canadá entiende </w:t>
      </w:r>
      <w:r w:rsidR="00022D2D" w:rsidRPr="00310D26">
        <w:rPr>
          <w:i w:val="0"/>
          <w:lang w:val="es-ES"/>
        </w:rPr>
        <w:t>que es necesario</w:t>
      </w:r>
      <w:r w:rsidR="00791C34" w:rsidRPr="00310D26">
        <w:rPr>
          <w:i w:val="0"/>
          <w:lang w:val="es-ES"/>
        </w:rPr>
        <w:t xml:space="preserve"> aportar más orientaciones normativas para garantizar una mayor armonización. No obstante, debería </w:t>
      </w:r>
      <w:r w:rsidR="00022D2D" w:rsidRPr="00310D26">
        <w:rPr>
          <w:i w:val="0"/>
          <w:lang w:val="es-ES"/>
        </w:rPr>
        <w:t xml:space="preserve">preservarse </w:t>
      </w:r>
      <w:r w:rsidR="00791C34" w:rsidRPr="00310D26">
        <w:rPr>
          <w:i w:val="0"/>
          <w:lang w:val="es-ES"/>
        </w:rPr>
        <w:t xml:space="preserve">cierto margen de autonomía y discrecionalidad </w:t>
      </w:r>
      <w:r w:rsidR="00022D2D" w:rsidRPr="00310D26">
        <w:rPr>
          <w:i w:val="0"/>
          <w:lang w:val="es-ES"/>
        </w:rPr>
        <w:t>nacional para que cada autoridad establezca sus</w:t>
      </w:r>
      <w:r w:rsidR="00791C34" w:rsidRPr="00310D26">
        <w:rPr>
          <w:i w:val="0"/>
          <w:lang w:val="es-ES"/>
        </w:rPr>
        <w:t xml:space="preserve"> </w:t>
      </w:r>
      <w:r w:rsidR="00190245" w:rsidRPr="00310D26">
        <w:rPr>
          <w:i w:val="0"/>
          <w:lang w:val="es-ES"/>
        </w:rPr>
        <w:t xml:space="preserve">orientaciones </w:t>
      </w:r>
      <w:r w:rsidR="001B5571" w:rsidRPr="00310D26">
        <w:rPr>
          <w:i w:val="0"/>
          <w:lang w:val="es-ES"/>
        </w:rPr>
        <w:t>sobre las</w:t>
      </w:r>
      <w:r w:rsidR="00791C34" w:rsidRPr="00310D26">
        <w:rPr>
          <w:i w:val="0"/>
          <w:lang w:val="es-ES"/>
        </w:rPr>
        <w:t xml:space="preserve"> </w:t>
      </w:r>
      <w:r w:rsidR="001B5571" w:rsidRPr="00310D26">
        <w:rPr>
          <w:i w:val="0"/>
          <w:lang w:val="es-ES"/>
        </w:rPr>
        <w:t>d</w:t>
      </w:r>
      <w:r w:rsidR="00791C34" w:rsidRPr="00310D26">
        <w:rPr>
          <w:i w:val="0"/>
          <w:lang w:val="es-ES"/>
        </w:rPr>
        <w:t>e</w:t>
      </w:r>
      <w:r w:rsidR="00380EF8" w:rsidRPr="00310D26">
        <w:rPr>
          <w:i w:val="0"/>
          <w:lang w:val="es-ES"/>
        </w:rPr>
        <w:t>nominaci</w:t>
      </w:r>
      <w:r w:rsidR="001B5571" w:rsidRPr="00310D26">
        <w:rPr>
          <w:i w:val="0"/>
          <w:lang w:val="es-ES"/>
        </w:rPr>
        <w:t>ones</w:t>
      </w:r>
      <w:r w:rsidR="00791C34" w:rsidRPr="00310D26">
        <w:rPr>
          <w:i w:val="0"/>
          <w:lang w:val="es-ES"/>
        </w:rPr>
        <w:t xml:space="preserve"> de </w:t>
      </w:r>
      <w:r w:rsidR="001B5571" w:rsidRPr="00310D26">
        <w:rPr>
          <w:i w:val="0"/>
          <w:lang w:val="es-ES"/>
        </w:rPr>
        <w:t>v</w:t>
      </w:r>
      <w:r w:rsidR="00791C34" w:rsidRPr="00310D26">
        <w:rPr>
          <w:i w:val="0"/>
          <w:lang w:val="es-ES"/>
        </w:rPr>
        <w:t>ariedades</w:t>
      </w:r>
      <w:r w:rsidR="00022D2D" w:rsidRPr="00310D26">
        <w:rPr>
          <w:i w:val="0"/>
          <w:lang w:val="es-ES"/>
        </w:rPr>
        <w:t>.</w:t>
      </w:r>
    </w:p>
    <w:p w14:paraId="73207260" w14:textId="77777777" w:rsidR="00955AD5" w:rsidRPr="00310D26" w:rsidRDefault="00955AD5" w:rsidP="00955AD5">
      <w:pPr>
        <w:pStyle w:val="DecisionParagraphs"/>
        <w:ind w:left="0"/>
        <w:rPr>
          <w:i w:val="0"/>
          <w:lang w:val="es-ES"/>
        </w:rPr>
      </w:pPr>
      <w:r w:rsidRPr="00310D26">
        <w:rPr>
          <w:i w:val="0"/>
          <w:lang w:val="es-ES"/>
        </w:rPr>
        <w:t xml:space="preserve"> </w:t>
      </w:r>
    </w:p>
    <w:p w14:paraId="3ED0D34C" w14:textId="05A19169" w:rsidR="00955AD5" w:rsidRPr="00310D26" w:rsidRDefault="00955AD5" w:rsidP="00955AD5">
      <w:pPr>
        <w:pStyle w:val="DecisionParagraphs"/>
        <w:tabs>
          <w:tab w:val="left" w:pos="567"/>
        </w:tabs>
        <w:ind w:left="0"/>
        <w:rPr>
          <w:i w:val="0"/>
          <w:lang w:val="es-ES"/>
        </w:rPr>
      </w:pPr>
      <w:r w:rsidRPr="00310D26">
        <w:rPr>
          <w:i w:val="0"/>
          <w:lang w:val="es-ES"/>
        </w:rPr>
        <w:t>2.</w:t>
      </w:r>
      <w:r w:rsidRPr="00310D26">
        <w:rPr>
          <w:i w:val="0"/>
          <w:lang w:val="es-ES"/>
        </w:rPr>
        <w:tab/>
      </w:r>
      <w:r w:rsidR="00022D2D" w:rsidRPr="00310D26">
        <w:rPr>
          <w:i w:val="0"/>
          <w:lang w:val="es-ES"/>
        </w:rPr>
        <w:t>El</w:t>
      </w:r>
      <w:r w:rsidRPr="00310D26">
        <w:rPr>
          <w:i w:val="0"/>
          <w:lang w:val="es-ES"/>
        </w:rPr>
        <w:t xml:space="preserve"> </w:t>
      </w:r>
      <w:r w:rsidR="00380EF8" w:rsidRPr="00310D26">
        <w:rPr>
          <w:i w:val="0"/>
          <w:lang w:val="es-ES"/>
        </w:rPr>
        <w:t>concepto</w:t>
      </w:r>
      <w:r w:rsidR="00603921" w:rsidRPr="00310D26">
        <w:rPr>
          <w:i w:val="0"/>
          <w:lang w:val="es-ES"/>
        </w:rPr>
        <w:t xml:space="preserve"> y la evaluación de las</w:t>
      </w:r>
      <w:r w:rsidR="00380EF8" w:rsidRPr="00310D26">
        <w:rPr>
          <w:i w:val="0"/>
          <w:lang w:val="es-ES"/>
        </w:rPr>
        <w:t xml:space="preserve"> diferencia</w:t>
      </w:r>
      <w:r w:rsidR="00603921" w:rsidRPr="00310D26">
        <w:rPr>
          <w:i w:val="0"/>
          <w:lang w:val="es-ES"/>
        </w:rPr>
        <w:t>s</w:t>
      </w:r>
      <w:r w:rsidR="00380EF8" w:rsidRPr="00310D26">
        <w:rPr>
          <w:i w:val="0"/>
          <w:lang w:val="es-ES"/>
        </w:rPr>
        <w:t xml:space="preserve"> fonétic</w:t>
      </w:r>
      <w:r w:rsidR="00603921" w:rsidRPr="00310D26">
        <w:rPr>
          <w:i w:val="0"/>
          <w:lang w:val="es-ES"/>
        </w:rPr>
        <w:t>as</w:t>
      </w:r>
      <w:r w:rsidR="00380EF8" w:rsidRPr="00310D26">
        <w:rPr>
          <w:i w:val="0"/>
          <w:lang w:val="es-ES"/>
        </w:rPr>
        <w:t xml:space="preserve"> </w:t>
      </w:r>
      <w:r w:rsidR="00603921" w:rsidRPr="00310D26">
        <w:rPr>
          <w:i w:val="0"/>
          <w:lang w:val="es-ES"/>
        </w:rPr>
        <w:t>puede presentar complejidad</w:t>
      </w:r>
      <w:r w:rsidR="00380EF8" w:rsidRPr="00310D26">
        <w:rPr>
          <w:i w:val="0"/>
          <w:lang w:val="es-ES"/>
        </w:rPr>
        <w:t xml:space="preserve">, y </w:t>
      </w:r>
      <w:r w:rsidR="00022D2D" w:rsidRPr="00310D26">
        <w:rPr>
          <w:i w:val="0"/>
          <w:lang w:val="es-ES"/>
        </w:rPr>
        <w:t>la imposición de</w:t>
      </w:r>
      <w:r w:rsidR="00603921" w:rsidRPr="00310D26">
        <w:rPr>
          <w:i w:val="0"/>
          <w:lang w:val="es-ES"/>
        </w:rPr>
        <w:t xml:space="preserve"> las</w:t>
      </w:r>
      <w:r w:rsidR="00380EF8" w:rsidRPr="00310D26">
        <w:rPr>
          <w:i w:val="0"/>
          <w:lang w:val="es-ES"/>
        </w:rPr>
        <w:t xml:space="preserve"> restricciones fonéticas </w:t>
      </w:r>
      <w:r w:rsidR="00022D2D" w:rsidRPr="00310D26">
        <w:rPr>
          <w:i w:val="0"/>
          <w:lang w:val="es-ES"/>
        </w:rPr>
        <w:t xml:space="preserve">previstas en la sección 2.3.3 a) i) a todos los miembros de la Unión resulta </w:t>
      </w:r>
      <w:r w:rsidR="00603921" w:rsidRPr="00310D26">
        <w:rPr>
          <w:i w:val="0"/>
          <w:lang w:val="es-ES"/>
        </w:rPr>
        <w:t>aún</w:t>
      </w:r>
      <w:r w:rsidR="00022D2D" w:rsidRPr="00310D26">
        <w:rPr>
          <w:i w:val="0"/>
          <w:lang w:val="es-ES"/>
        </w:rPr>
        <w:t xml:space="preserve"> más difícil, </w:t>
      </w:r>
      <w:r w:rsidR="00603921" w:rsidRPr="00310D26">
        <w:rPr>
          <w:i w:val="0"/>
          <w:lang w:val="es-ES"/>
        </w:rPr>
        <w:t>teniendo en cuenta las diferencias entre idiomas</w:t>
      </w:r>
      <w:r w:rsidRPr="00310D26">
        <w:rPr>
          <w:i w:val="0"/>
          <w:lang w:val="es-ES"/>
        </w:rPr>
        <w:t xml:space="preserve">. </w:t>
      </w:r>
      <w:r w:rsidR="00512E25" w:rsidRPr="00310D26">
        <w:rPr>
          <w:i w:val="0"/>
          <w:lang w:val="es-ES"/>
        </w:rPr>
        <w:t>Por es</w:t>
      </w:r>
      <w:r w:rsidR="00603921" w:rsidRPr="00310D26">
        <w:rPr>
          <w:i w:val="0"/>
          <w:lang w:val="es-ES"/>
        </w:rPr>
        <w:t>t</w:t>
      </w:r>
      <w:r w:rsidR="00512E25" w:rsidRPr="00310D26">
        <w:rPr>
          <w:i w:val="0"/>
          <w:lang w:val="es-ES"/>
        </w:rPr>
        <w:t>a razón, el</w:t>
      </w:r>
      <w:r w:rsidRPr="00310D26">
        <w:rPr>
          <w:i w:val="0"/>
          <w:lang w:val="es-ES"/>
        </w:rPr>
        <w:t xml:space="preserve"> Canad</w:t>
      </w:r>
      <w:r w:rsidR="00512E25" w:rsidRPr="00310D26">
        <w:rPr>
          <w:i w:val="0"/>
          <w:lang w:val="es-ES"/>
        </w:rPr>
        <w:t>á</w:t>
      </w:r>
      <w:r w:rsidRPr="00310D26">
        <w:rPr>
          <w:i w:val="0"/>
          <w:lang w:val="es-ES"/>
        </w:rPr>
        <w:t xml:space="preserve"> recom</w:t>
      </w:r>
      <w:r w:rsidR="00512E25" w:rsidRPr="00310D26">
        <w:rPr>
          <w:i w:val="0"/>
          <w:lang w:val="es-ES"/>
        </w:rPr>
        <w:t xml:space="preserve">ienda mantener </w:t>
      </w:r>
      <w:r w:rsidR="00022D2D" w:rsidRPr="00310D26">
        <w:rPr>
          <w:i w:val="0"/>
          <w:lang w:val="es-ES"/>
        </w:rPr>
        <w:t>la f</w:t>
      </w:r>
      <w:r w:rsidR="00603921" w:rsidRPr="00310D26">
        <w:rPr>
          <w:i w:val="0"/>
          <w:lang w:val="es-ES"/>
        </w:rPr>
        <w:t>órmula</w:t>
      </w:r>
      <w:r w:rsidRPr="00310D26">
        <w:rPr>
          <w:i w:val="0"/>
          <w:lang w:val="es-ES"/>
        </w:rPr>
        <w:t xml:space="preserve"> “</w:t>
      </w:r>
      <w:r w:rsidR="00512E25" w:rsidRPr="00310D26">
        <w:rPr>
          <w:i w:val="0"/>
          <w:lang w:val="es-ES"/>
        </w:rPr>
        <w:t>Como recomendación general</w:t>
      </w:r>
      <w:r w:rsidRPr="00310D26">
        <w:rPr>
          <w:i w:val="0"/>
          <w:lang w:val="es-ES"/>
        </w:rPr>
        <w:t xml:space="preserve">” </w:t>
      </w:r>
      <w:r w:rsidR="00B6115C" w:rsidRPr="00310D26">
        <w:rPr>
          <w:i w:val="0"/>
          <w:lang w:val="es-ES"/>
        </w:rPr>
        <w:t>en</w:t>
      </w:r>
      <w:r w:rsidRPr="00310D26">
        <w:rPr>
          <w:i w:val="0"/>
          <w:lang w:val="es-ES"/>
        </w:rPr>
        <w:t xml:space="preserve"> </w:t>
      </w:r>
      <w:r w:rsidR="00B94402" w:rsidRPr="00310D26">
        <w:rPr>
          <w:i w:val="0"/>
          <w:lang w:val="es-ES"/>
        </w:rPr>
        <w:t>la sección 2</w:t>
      </w:r>
      <w:r w:rsidRPr="00310D26">
        <w:rPr>
          <w:i w:val="0"/>
          <w:lang w:val="es-ES"/>
        </w:rPr>
        <w:t>.3.3</w:t>
      </w:r>
      <w:r w:rsidR="00022D2D" w:rsidRPr="00310D26">
        <w:rPr>
          <w:i w:val="0"/>
          <w:lang w:val="es-ES"/>
        </w:rPr>
        <w:t> </w:t>
      </w:r>
      <w:r w:rsidRPr="00310D26">
        <w:rPr>
          <w:i w:val="0"/>
          <w:lang w:val="es-ES"/>
        </w:rPr>
        <w:t>a).</w:t>
      </w:r>
    </w:p>
    <w:p w14:paraId="6C46DF5A" w14:textId="77777777" w:rsidR="00955AD5" w:rsidRPr="00310D26" w:rsidRDefault="00955AD5" w:rsidP="00955AD5">
      <w:pPr>
        <w:pStyle w:val="DecisionParagraphs"/>
        <w:ind w:left="0"/>
        <w:rPr>
          <w:i w:val="0"/>
          <w:lang w:val="es-ES"/>
        </w:rPr>
      </w:pPr>
      <w:r w:rsidRPr="00310D26">
        <w:rPr>
          <w:i w:val="0"/>
          <w:lang w:val="es-ES"/>
        </w:rPr>
        <w:t xml:space="preserve"> </w:t>
      </w:r>
    </w:p>
    <w:p w14:paraId="75F36A3E" w14:textId="722261AC" w:rsidR="00955AD5" w:rsidRPr="00310D26" w:rsidRDefault="00955AD5" w:rsidP="00955AD5">
      <w:pPr>
        <w:pStyle w:val="DecisionParagraphs"/>
        <w:tabs>
          <w:tab w:val="left" w:pos="567"/>
        </w:tabs>
        <w:ind w:left="0"/>
        <w:rPr>
          <w:i w:val="0"/>
          <w:lang w:val="es-ES"/>
        </w:rPr>
      </w:pPr>
      <w:r w:rsidRPr="00310D26">
        <w:rPr>
          <w:i w:val="0"/>
          <w:lang w:val="es-ES"/>
        </w:rPr>
        <w:t>3.</w:t>
      </w:r>
      <w:r w:rsidRPr="00310D26">
        <w:rPr>
          <w:i w:val="0"/>
          <w:lang w:val="es-ES"/>
        </w:rPr>
        <w:tab/>
      </w:r>
      <w:r w:rsidR="00490F28" w:rsidRPr="00310D26">
        <w:rPr>
          <w:i w:val="0"/>
          <w:lang w:val="es-ES"/>
        </w:rPr>
        <w:t xml:space="preserve">En relación con las adiciones </w:t>
      </w:r>
      <w:r w:rsidR="00603921" w:rsidRPr="00310D26">
        <w:rPr>
          <w:i w:val="0"/>
          <w:lang w:val="es-ES"/>
        </w:rPr>
        <w:t xml:space="preserve">propuestas </w:t>
      </w:r>
      <w:r w:rsidR="00490F28" w:rsidRPr="00310D26">
        <w:rPr>
          <w:i w:val="0"/>
          <w:lang w:val="es-ES"/>
        </w:rPr>
        <w:t>por la OCVV</w:t>
      </w:r>
      <w:r w:rsidRPr="00310D26">
        <w:rPr>
          <w:i w:val="0"/>
          <w:lang w:val="es-ES"/>
        </w:rPr>
        <w:t xml:space="preserve">, </w:t>
      </w:r>
      <w:r w:rsidR="009E4B87" w:rsidRPr="00310D26">
        <w:rPr>
          <w:i w:val="0"/>
          <w:lang w:val="es-ES"/>
        </w:rPr>
        <w:t xml:space="preserve">al </w:t>
      </w:r>
      <w:r w:rsidRPr="00310D26">
        <w:rPr>
          <w:i w:val="0"/>
          <w:lang w:val="es-ES"/>
        </w:rPr>
        <w:t>Canad</w:t>
      </w:r>
      <w:r w:rsidR="009E4B87" w:rsidRPr="00310D26">
        <w:rPr>
          <w:i w:val="0"/>
          <w:lang w:val="es-ES"/>
        </w:rPr>
        <w:t xml:space="preserve">á le preocupa la inserción de cualquiera de las </w:t>
      </w:r>
      <w:r w:rsidR="00190245" w:rsidRPr="00310D26">
        <w:rPr>
          <w:i w:val="0"/>
          <w:lang w:val="es-ES"/>
        </w:rPr>
        <w:t>versiones alternativas de la sección</w:t>
      </w:r>
      <w:r w:rsidR="009E4B87" w:rsidRPr="00310D26">
        <w:rPr>
          <w:i w:val="0"/>
          <w:lang w:val="es-ES"/>
        </w:rPr>
        <w:t xml:space="preserve"> 2.3.3</w:t>
      </w:r>
      <w:r w:rsidR="00603921" w:rsidRPr="00310D26">
        <w:rPr>
          <w:i w:val="0"/>
          <w:lang w:val="es-ES"/>
        </w:rPr>
        <w:t> </w:t>
      </w:r>
      <w:r w:rsidR="009E4B87" w:rsidRPr="00310D26">
        <w:rPr>
          <w:i w:val="0"/>
          <w:lang w:val="es-ES"/>
        </w:rPr>
        <w:t>b)</w:t>
      </w:r>
      <w:r w:rsidRPr="00310D26">
        <w:rPr>
          <w:i w:val="0"/>
          <w:lang w:val="es-ES"/>
        </w:rPr>
        <w:t>.</w:t>
      </w:r>
      <w:r w:rsidR="00C05526">
        <w:rPr>
          <w:i w:val="0"/>
          <w:lang w:val="es-ES"/>
        </w:rPr>
        <w:t xml:space="preserve"> </w:t>
      </w:r>
      <w:r w:rsidR="009E4B87" w:rsidRPr="00310D26">
        <w:rPr>
          <w:i w:val="0"/>
          <w:lang w:val="es-ES"/>
        </w:rPr>
        <w:t>Una vez más</w:t>
      </w:r>
      <w:r w:rsidRPr="00310D26">
        <w:rPr>
          <w:i w:val="0"/>
          <w:lang w:val="es-ES"/>
        </w:rPr>
        <w:t xml:space="preserve">, </w:t>
      </w:r>
      <w:r w:rsidR="00B6115C" w:rsidRPr="00310D26">
        <w:rPr>
          <w:i w:val="0"/>
          <w:lang w:val="es-ES"/>
        </w:rPr>
        <w:t>abordar</w:t>
      </w:r>
      <w:r w:rsidR="00603921" w:rsidRPr="00310D26">
        <w:rPr>
          <w:i w:val="0"/>
          <w:lang w:val="es-ES"/>
        </w:rPr>
        <w:t xml:space="preserve"> </w:t>
      </w:r>
      <w:r w:rsidR="009E4B87" w:rsidRPr="00310D26">
        <w:rPr>
          <w:i w:val="0"/>
          <w:lang w:val="es-ES"/>
        </w:rPr>
        <w:t xml:space="preserve">las diferencias fonéticas puede </w:t>
      </w:r>
      <w:r w:rsidR="00603921" w:rsidRPr="00310D26">
        <w:rPr>
          <w:i w:val="0"/>
          <w:lang w:val="es-ES"/>
        </w:rPr>
        <w:t>resultar</w:t>
      </w:r>
      <w:r w:rsidR="009E4B87" w:rsidRPr="00310D26">
        <w:rPr>
          <w:i w:val="0"/>
          <w:lang w:val="es-ES"/>
        </w:rPr>
        <w:t xml:space="preserve"> difícil</w:t>
      </w:r>
      <w:r w:rsidRPr="00310D26">
        <w:rPr>
          <w:i w:val="0"/>
          <w:lang w:val="es-ES"/>
        </w:rPr>
        <w:t xml:space="preserve"> </w:t>
      </w:r>
      <w:r w:rsidR="009E4B87" w:rsidRPr="00310D26">
        <w:rPr>
          <w:i w:val="0"/>
          <w:lang w:val="es-ES"/>
        </w:rPr>
        <w:t xml:space="preserve">en un idioma, y todavía </w:t>
      </w:r>
      <w:r w:rsidR="00B6115C" w:rsidRPr="00310D26">
        <w:rPr>
          <w:i w:val="0"/>
          <w:lang w:val="es-ES"/>
        </w:rPr>
        <w:t xml:space="preserve">es </w:t>
      </w:r>
      <w:r w:rsidR="009E4B87" w:rsidRPr="00310D26">
        <w:rPr>
          <w:i w:val="0"/>
          <w:lang w:val="es-ES"/>
        </w:rPr>
        <w:t xml:space="preserve">más complicado entre </w:t>
      </w:r>
      <w:r w:rsidR="00603921" w:rsidRPr="00310D26">
        <w:rPr>
          <w:i w:val="0"/>
          <w:lang w:val="es-ES"/>
        </w:rPr>
        <w:t xml:space="preserve">diversos </w:t>
      </w:r>
      <w:r w:rsidR="009E4B87" w:rsidRPr="00310D26">
        <w:rPr>
          <w:i w:val="0"/>
          <w:lang w:val="es-ES"/>
        </w:rPr>
        <w:t>idiomas</w:t>
      </w:r>
      <w:r w:rsidRPr="00310D26">
        <w:rPr>
          <w:i w:val="0"/>
          <w:lang w:val="es-ES"/>
        </w:rPr>
        <w:t xml:space="preserve">. </w:t>
      </w:r>
      <w:r w:rsidR="00B6115C" w:rsidRPr="00310D26">
        <w:rPr>
          <w:i w:val="0"/>
          <w:lang w:val="es-ES"/>
        </w:rPr>
        <w:t>Como alternativa</w:t>
      </w:r>
      <w:r w:rsidR="001B5571" w:rsidRPr="00310D26">
        <w:rPr>
          <w:i w:val="0"/>
          <w:lang w:val="es-ES"/>
        </w:rPr>
        <w:t xml:space="preserve">, el </w:t>
      </w:r>
      <w:r w:rsidRPr="00310D26">
        <w:rPr>
          <w:i w:val="0"/>
          <w:lang w:val="es-ES"/>
        </w:rPr>
        <w:t>Canad</w:t>
      </w:r>
      <w:r w:rsidR="001B5571" w:rsidRPr="00310D26">
        <w:rPr>
          <w:i w:val="0"/>
          <w:lang w:val="es-ES"/>
        </w:rPr>
        <w:t xml:space="preserve">á </w:t>
      </w:r>
      <w:r w:rsidR="00B6115C" w:rsidRPr="00310D26">
        <w:rPr>
          <w:i w:val="0"/>
          <w:lang w:val="es-ES"/>
        </w:rPr>
        <w:t xml:space="preserve">acepta </w:t>
      </w:r>
      <w:r w:rsidR="001B5571" w:rsidRPr="00310D26">
        <w:rPr>
          <w:i w:val="0"/>
          <w:lang w:val="es-ES"/>
        </w:rPr>
        <w:t xml:space="preserve">la inserción siempre y cuando se mantenga </w:t>
      </w:r>
      <w:r w:rsidR="00603921" w:rsidRPr="00310D26">
        <w:rPr>
          <w:i w:val="0"/>
          <w:lang w:val="es-ES"/>
        </w:rPr>
        <w:t xml:space="preserve">la fórmula </w:t>
      </w:r>
      <w:r w:rsidR="001B5571" w:rsidRPr="00310D26">
        <w:rPr>
          <w:i w:val="0"/>
          <w:lang w:val="es-ES"/>
        </w:rPr>
        <w:t>“Como recomendación general</w:t>
      </w:r>
      <w:r w:rsidRPr="00310D26">
        <w:rPr>
          <w:i w:val="0"/>
          <w:lang w:val="es-ES"/>
        </w:rPr>
        <w:t xml:space="preserve">” </w:t>
      </w:r>
      <w:r w:rsidR="00FC333D" w:rsidRPr="00310D26">
        <w:rPr>
          <w:i w:val="0"/>
          <w:lang w:val="es-ES"/>
        </w:rPr>
        <w:t>de la sección</w:t>
      </w:r>
      <w:r w:rsidR="00235894">
        <w:rPr>
          <w:i w:val="0"/>
          <w:lang w:val="es-ES"/>
        </w:rPr>
        <w:t> </w:t>
      </w:r>
      <w:r w:rsidRPr="00310D26">
        <w:rPr>
          <w:i w:val="0"/>
          <w:lang w:val="es-ES"/>
        </w:rPr>
        <w:t>2.3.3</w:t>
      </w:r>
      <w:r w:rsidR="00603921" w:rsidRPr="00310D26">
        <w:rPr>
          <w:i w:val="0"/>
          <w:lang w:val="es-ES"/>
        </w:rPr>
        <w:t> </w:t>
      </w:r>
      <w:r w:rsidRPr="00310D26">
        <w:rPr>
          <w:i w:val="0"/>
          <w:lang w:val="es-ES"/>
        </w:rPr>
        <w:t xml:space="preserve">a). </w:t>
      </w:r>
    </w:p>
    <w:p w14:paraId="163FB1C1" w14:textId="77777777" w:rsidR="00955AD5" w:rsidRPr="00310D26" w:rsidRDefault="00955AD5" w:rsidP="00955AD5">
      <w:pPr>
        <w:pStyle w:val="DecisionParagraphs"/>
        <w:ind w:left="0"/>
        <w:rPr>
          <w:i w:val="0"/>
          <w:lang w:val="es-ES"/>
        </w:rPr>
      </w:pPr>
      <w:r w:rsidRPr="00310D26">
        <w:rPr>
          <w:i w:val="0"/>
          <w:lang w:val="es-ES"/>
        </w:rPr>
        <w:t xml:space="preserve"> </w:t>
      </w:r>
    </w:p>
    <w:p w14:paraId="2492FBE0" w14:textId="47EA8E62" w:rsidR="00955AD5" w:rsidRPr="00310D26" w:rsidRDefault="00955AD5" w:rsidP="00955AD5">
      <w:pPr>
        <w:pStyle w:val="DecisionParagraphs"/>
        <w:tabs>
          <w:tab w:val="left" w:pos="567"/>
        </w:tabs>
        <w:ind w:left="0"/>
        <w:rPr>
          <w:i w:val="0"/>
          <w:lang w:val="es-ES"/>
        </w:rPr>
      </w:pPr>
      <w:r w:rsidRPr="00310D26">
        <w:rPr>
          <w:i w:val="0"/>
          <w:lang w:val="es-ES"/>
        </w:rPr>
        <w:t>4.</w:t>
      </w:r>
      <w:r w:rsidRPr="00310D26">
        <w:rPr>
          <w:i w:val="0"/>
          <w:lang w:val="es-ES"/>
        </w:rPr>
        <w:tab/>
      </w:r>
      <w:r w:rsidR="001B5571" w:rsidRPr="00310D26">
        <w:rPr>
          <w:i w:val="0"/>
          <w:lang w:val="es-ES"/>
        </w:rPr>
        <w:t xml:space="preserve">En </w:t>
      </w:r>
      <w:r w:rsidR="00603921" w:rsidRPr="00310D26">
        <w:rPr>
          <w:i w:val="0"/>
          <w:lang w:val="es-ES"/>
        </w:rPr>
        <w:t xml:space="preserve">lo que respecta </w:t>
      </w:r>
      <w:r w:rsidR="00B6115C" w:rsidRPr="00310D26">
        <w:rPr>
          <w:i w:val="0"/>
          <w:lang w:val="es-ES"/>
        </w:rPr>
        <w:t xml:space="preserve">a la </w:t>
      </w:r>
      <w:r w:rsidR="00603921" w:rsidRPr="00310D26">
        <w:rPr>
          <w:i w:val="0"/>
          <w:lang w:val="es-ES"/>
        </w:rPr>
        <w:t>inserción</w:t>
      </w:r>
      <w:r w:rsidR="00694E7F">
        <w:rPr>
          <w:i w:val="0"/>
          <w:lang w:val="es-ES"/>
        </w:rPr>
        <w:t>,</w:t>
      </w:r>
      <w:r w:rsidR="00603921" w:rsidRPr="00310D26">
        <w:rPr>
          <w:i w:val="0"/>
          <w:lang w:val="es-ES"/>
        </w:rPr>
        <w:t xml:space="preserve"> </w:t>
      </w:r>
      <w:r w:rsidR="00190245" w:rsidRPr="00310D26">
        <w:rPr>
          <w:i w:val="0"/>
          <w:lang w:val="es-ES"/>
        </w:rPr>
        <w:t>en</w:t>
      </w:r>
      <w:r w:rsidR="001B5571" w:rsidRPr="00310D26">
        <w:rPr>
          <w:i w:val="0"/>
          <w:lang w:val="es-ES"/>
        </w:rPr>
        <w:t xml:space="preserve"> </w:t>
      </w:r>
      <w:r w:rsidR="00FC333D" w:rsidRPr="00310D26">
        <w:rPr>
          <w:i w:val="0"/>
          <w:lang w:val="es-ES"/>
        </w:rPr>
        <w:t>la sección</w:t>
      </w:r>
      <w:r w:rsidR="00190245" w:rsidRPr="00310D26">
        <w:rPr>
          <w:i w:val="0"/>
          <w:lang w:val="es-ES"/>
        </w:rPr>
        <w:t xml:space="preserve"> </w:t>
      </w:r>
      <w:r w:rsidRPr="00310D26">
        <w:rPr>
          <w:i w:val="0"/>
          <w:lang w:val="es-ES"/>
        </w:rPr>
        <w:t>5.2</w:t>
      </w:r>
      <w:r w:rsidR="00603921" w:rsidRPr="00310D26">
        <w:rPr>
          <w:i w:val="0"/>
          <w:lang w:val="es-ES"/>
        </w:rPr>
        <w:t> </w:t>
      </w:r>
      <w:r w:rsidRPr="00310D26">
        <w:rPr>
          <w:i w:val="0"/>
          <w:lang w:val="es-ES"/>
        </w:rPr>
        <w:t>b</w:t>
      </w:r>
      <w:r w:rsidR="00190245" w:rsidRPr="00310D26">
        <w:rPr>
          <w:i w:val="0"/>
          <w:lang w:val="es-ES"/>
        </w:rPr>
        <w:t>)</w:t>
      </w:r>
      <w:r w:rsidR="00694E7F">
        <w:rPr>
          <w:i w:val="0"/>
          <w:lang w:val="es-ES"/>
        </w:rPr>
        <w:t xml:space="preserve">, </w:t>
      </w:r>
      <w:r w:rsidR="00603921" w:rsidRPr="00310D26">
        <w:rPr>
          <w:i w:val="0"/>
          <w:lang w:val="es-ES"/>
        </w:rPr>
        <w:t>de</w:t>
      </w:r>
      <w:r w:rsidR="00B549A7">
        <w:rPr>
          <w:i w:val="0"/>
          <w:lang w:val="es-ES"/>
        </w:rPr>
        <w:t>:</w:t>
      </w:r>
    </w:p>
    <w:p w14:paraId="35D59425" w14:textId="77777777" w:rsidR="00955AD5" w:rsidRPr="00310D26" w:rsidRDefault="00955AD5" w:rsidP="00955AD5">
      <w:pPr>
        <w:pStyle w:val="DecisionParagraphs"/>
        <w:ind w:left="851"/>
        <w:rPr>
          <w:lang w:val="es-ES"/>
        </w:rPr>
      </w:pPr>
    </w:p>
    <w:p w14:paraId="5DA12C20" w14:textId="771DA492" w:rsidR="00955AD5" w:rsidRPr="00310D26" w:rsidRDefault="00955AD5" w:rsidP="00955AD5">
      <w:pPr>
        <w:pStyle w:val="DecisionParagraphs"/>
        <w:ind w:left="851"/>
        <w:rPr>
          <w:lang w:val="es-ES"/>
        </w:rPr>
      </w:pPr>
      <w:r w:rsidRPr="00310D26">
        <w:rPr>
          <w:lang w:val="es-ES"/>
        </w:rPr>
        <w:t>“</w:t>
      </w:r>
      <w:r w:rsidR="00190245" w:rsidRPr="00310D26">
        <w:rPr>
          <w:lang w:val="es-ES"/>
        </w:rPr>
        <w:t>En aquellos casos en que distintos miembros de la Unión hayan aceptado diferentes denominaciones para la misma variedad, las autoridades deberán aceptar la denominación que haya sido propuesta y registrada junto con la primera solicitud, a menos que dicha denominación sea inadecuada en su territorio</w:t>
      </w:r>
      <w:r w:rsidRPr="00310D26">
        <w:rPr>
          <w:lang w:val="es-ES"/>
        </w:rPr>
        <w:t>”</w:t>
      </w:r>
    </w:p>
    <w:p w14:paraId="0B26BBEB" w14:textId="77777777" w:rsidR="00955AD5" w:rsidRPr="00310D26" w:rsidRDefault="00955AD5" w:rsidP="00955AD5">
      <w:pPr>
        <w:pStyle w:val="DecisionParagraphs"/>
        <w:ind w:left="0"/>
        <w:rPr>
          <w:i w:val="0"/>
          <w:lang w:val="es-ES"/>
        </w:rPr>
      </w:pPr>
      <w:r w:rsidRPr="00310D26">
        <w:rPr>
          <w:i w:val="0"/>
          <w:lang w:val="es-ES"/>
        </w:rPr>
        <w:t xml:space="preserve"> </w:t>
      </w:r>
    </w:p>
    <w:p w14:paraId="6803D640" w14:textId="1E6FB522" w:rsidR="00955AD5" w:rsidRPr="00310D26" w:rsidRDefault="00603921" w:rsidP="00955AD5">
      <w:pPr>
        <w:pStyle w:val="DecisionParagraphs"/>
        <w:ind w:left="851"/>
        <w:rPr>
          <w:i w:val="0"/>
          <w:lang w:val="es-ES"/>
        </w:rPr>
      </w:pPr>
      <w:r w:rsidRPr="00310D26">
        <w:rPr>
          <w:i w:val="0"/>
          <w:lang w:val="es-ES"/>
        </w:rPr>
        <w:t>e</w:t>
      </w:r>
      <w:r w:rsidR="00190245" w:rsidRPr="00310D26">
        <w:rPr>
          <w:i w:val="0"/>
          <w:lang w:val="es-ES"/>
        </w:rPr>
        <w:t xml:space="preserve">l </w:t>
      </w:r>
      <w:r w:rsidR="00955AD5" w:rsidRPr="00310D26">
        <w:rPr>
          <w:i w:val="0"/>
          <w:lang w:val="es-ES"/>
        </w:rPr>
        <w:t>Canad</w:t>
      </w:r>
      <w:r w:rsidR="00190245" w:rsidRPr="00310D26">
        <w:rPr>
          <w:i w:val="0"/>
          <w:lang w:val="es-ES"/>
        </w:rPr>
        <w:t>á</w:t>
      </w:r>
      <w:r w:rsidR="00955AD5" w:rsidRPr="00310D26">
        <w:rPr>
          <w:i w:val="0"/>
          <w:lang w:val="es-ES"/>
        </w:rPr>
        <w:t xml:space="preserve"> </w:t>
      </w:r>
      <w:r w:rsidR="00190245" w:rsidRPr="00310D26">
        <w:rPr>
          <w:i w:val="0"/>
          <w:lang w:val="es-ES"/>
        </w:rPr>
        <w:t xml:space="preserve">apoya la inserción en el entendimiento de que </w:t>
      </w:r>
      <w:r w:rsidR="00955AD5" w:rsidRPr="00310D26">
        <w:rPr>
          <w:i w:val="0"/>
          <w:lang w:val="es-ES"/>
        </w:rPr>
        <w:t>“</w:t>
      </w:r>
      <w:r w:rsidR="00190245" w:rsidRPr="00310D26">
        <w:rPr>
          <w:i w:val="0"/>
          <w:lang w:val="es-ES"/>
        </w:rPr>
        <w:t>inadecuada</w:t>
      </w:r>
      <w:r w:rsidR="00955AD5" w:rsidRPr="00310D26">
        <w:rPr>
          <w:i w:val="0"/>
          <w:lang w:val="es-ES"/>
        </w:rPr>
        <w:t xml:space="preserve">” </w:t>
      </w:r>
      <w:r w:rsidR="00190245" w:rsidRPr="00310D26">
        <w:rPr>
          <w:i w:val="0"/>
          <w:lang w:val="es-ES"/>
        </w:rPr>
        <w:t xml:space="preserve">se interpreta y </w:t>
      </w:r>
      <w:r w:rsidR="00B549A7">
        <w:rPr>
          <w:i w:val="0"/>
          <w:lang w:val="es-ES"/>
        </w:rPr>
        <w:t>admite ser interpretada</w:t>
      </w:r>
      <w:r w:rsidR="00190245" w:rsidRPr="00310D26">
        <w:rPr>
          <w:i w:val="0"/>
          <w:lang w:val="es-ES"/>
        </w:rPr>
        <w:t xml:space="preserve"> en sentido amplio.</w:t>
      </w:r>
    </w:p>
    <w:p w14:paraId="763F31B5" w14:textId="77777777" w:rsidR="00955AD5" w:rsidRPr="00310D26" w:rsidRDefault="00955AD5" w:rsidP="00955AD5">
      <w:pPr>
        <w:pStyle w:val="DecisionParagraphs"/>
        <w:ind w:left="0"/>
        <w:rPr>
          <w:i w:val="0"/>
          <w:lang w:val="es-ES"/>
        </w:rPr>
      </w:pPr>
    </w:p>
    <w:p w14:paraId="7162F280" w14:textId="29458C59" w:rsidR="00955AD5" w:rsidRPr="00310D26" w:rsidRDefault="00E93CC5" w:rsidP="00955AD5">
      <w:pPr>
        <w:pStyle w:val="DecisionParagraphs"/>
        <w:ind w:left="0"/>
        <w:rPr>
          <w:i w:val="0"/>
          <w:lang w:val="es-ES"/>
        </w:rPr>
      </w:pPr>
      <w:r w:rsidRPr="00310D26">
        <w:rPr>
          <w:i w:val="0"/>
          <w:lang w:val="es-ES"/>
        </w:rPr>
        <w:t>Atentamente</w:t>
      </w:r>
      <w:r w:rsidR="00955AD5" w:rsidRPr="00310D26">
        <w:rPr>
          <w:i w:val="0"/>
          <w:lang w:val="es-ES"/>
        </w:rPr>
        <w:t>,</w:t>
      </w:r>
    </w:p>
    <w:p w14:paraId="7BFDFB2D" w14:textId="77777777" w:rsidR="00955AD5" w:rsidRPr="00310D26" w:rsidRDefault="00955AD5" w:rsidP="00955AD5">
      <w:pPr>
        <w:pStyle w:val="DecisionParagraphs"/>
        <w:ind w:left="0"/>
        <w:rPr>
          <w:i w:val="0"/>
          <w:lang w:val="es-ES"/>
        </w:rPr>
      </w:pPr>
    </w:p>
    <w:p w14:paraId="5999F617" w14:textId="77777777" w:rsidR="00955AD5" w:rsidRPr="00310D26" w:rsidRDefault="00955AD5" w:rsidP="00955AD5">
      <w:pPr>
        <w:pStyle w:val="DecisionParagraphs"/>
        <w:tabs>
          <w:tab w:val="clear" w:pos="5387"/>
          <w:tab w:val="clear" w:pos="5954"/>
        </w:tabs>
        <w:ind w:left="0"/>
        <w:rPr>
          <w:i w:val="0"/>
          <w:lang w:val="es-ES"/>
        </w:rPr>
      </w:pPr>
      <w:r w:rsidRPr="00310D26">
        <w:rPr>
          <w:i w:val="0"/>
          <w:lang w:val="es-ES"/>
        </w:rPr>
        <w:t>Anthony Parker</w:t>
      </w:r>
    </w:p>
    <w:p w14:paraId="0282BD3B" w14:textId="77777777" w:rsidR="00955AD5" w:rsidRPr="00310D26" w:rsidRDefault="00955AD5" w:rsidP="00955AD5">
      <w:pPr>
        <w:pStyle w:val="DecisionParagraphs"/>
        <w:tabs>
          <w:tab w:val="clear" w:pos="5387"/>
          <w:tab w:val="clear" w:pos="5954"/>
        </w:tabs>
        <w:ind w:left="0"/>
        <w:rPr>
          <w:i w:val="0"/>
          <w:lang w:val="es-ES"/>
        </w:rPr>
      </w:pPr>
    </w:p>
    <w:p w14:paraId="6CA230FC" w14:textId="77777777" w:rsidR="00955AD5" w:rsidRPr="00310D26" w:rsidRDefault="00955AD5" w:rsidP="00955AD5">
      <w:pPr>
        <w:pStyle w:val="DecisionParagraphs"/>
        <w:tabs>
          <w:tab w:val="clear" w:pos="5387"/>
          <w:tab w:val="clear" w:pos="5954"/>
        </w:tabs>
        <w:ind w:left="0"/>
        <w:rPr>
          <w:i w:val="0"/>
          <w:lang w:val="es-ES"/>
        </w:rPr>
      </w:pPr>
    </w:p>
    <w:p w14:paraId="253E285D" w14:textId="77777777" w:rsidR="00955AD5" w:rsidRPr="00310D26" w:rsidRDefault="00955AD5" w:rsidP="00955AD5">
      <w:pPr>
        <w:pStyle w:val="DecisionParagraphs"/>
        <w:tabs>
          <w:tab w:val="clear" w:pos="5387"/>
          <w:tab w:val="clear" w:pos="5954"/>
        </w:tabs>
        <w:ind w:left="0"/>
        <w:rPr>
          <w:i w:val="0"/>
          <w:lang w:val="es-ES"/>
        </w:rPr>
      </w:pPr>
    </w:p>
    <w:p w14:paraId="65C3878A" w14:textId="6483803B" w:rsidR="00955AD5" w:rsidRPr="00310D26" w:rsidRDefault="00E93CC5" w:rsidP="00E93CC5">
      <w:pPr>
        <w:pStyle w:val="DecisionParagraphs"/>
        <w:jc w:val="right"/>
        <w:rPr>
          <w:i w:val="0"/>
          <w:lang w:val="es-ES"/>
        </w:rPr>
      </w:pPr>
      <w:r w:rsidRPr="00310D26">
        <w:rPr>
          <w:i w:val="0"/>
          <w:lang w:val="es-ES"/>
        </w:rPr>
        <w:t>[Sigue el Apéndice III]</w:t>
      </w:r>
    </w:p>
    <w:p w14:paraId="19339BF7" w14:textId="77777777" w:rsidR="00955AD5" w:rsidRPr="00310D26" w:rsidRDefault="00955AD5" w:rsidP="00955AD5">
      <w:pPr>
        <w:pStyle w:val="DecisionParagraphs"/>
        <w:tabs>
          <w:tab w:val="clear" w:pos="5387"/>
          <w:tab w:val="clear" w:pos="5954"/>
        </w:tabs>
        <w:ind w:left="0"/>
        <w:rPr>
          <w:i w:val="0"/>
          <w:lang w:val="es-ES"/>
        </w:rPr>
        <w:sectPr w:rsidR="00955AD5" w:rsidRPr="00310D26" w:rsidSect="00955AD5">
          <w:headerReference w:type="first" r:id="rId20"/>
          <w:endnotePr>
            <w:numFmt w:val="lowerLetter"/>
          </w:endnotePr>
          <w:pgSz w:w="11907" w:h="16840" w:code="9"/>
          <w:pgMar w:top="510" w:right="1134" w:bottom="851" w:left="1134" w:header="510" w:footer="680" w:gutter="0"/>
          <w:cols w:space="720"/>
          <w:titlePg/>
        </w:sectPr>
      </w:pPr>
    </w:p>
    <w:p w14:paraId="119DC851" w14:textId="47325441" w:rsidR="00E93CC5" w:rsidRPr="00310D26" w:rsidRDefault="00E93CC5" w:rsidP="00E93CC5">
      <w:pPr>
        <w:jc w:val="center"/>
      </w:pPr>
      <w:r w:rsidRPr="00310D26">
        <w:lastRenderedPageBreak/>
        <w:t xml:space="preserve">Respuesta de la Unión Europea a la </w:t>
      </w:r>
      <w:r w:rsidR="007222AE" w:rsidRPr="00310D26">
        <w:t>C</w:t>
      </w:r>
      <w:r w:rsidRPr="00310D26">
        <w:t>ircular E-20/017</w:t>
      </w:r>
    </w:p>
    <w:p w14:paraId="689D6A41" w14:textId="77777777" w:rsidR="00955AD5" w:rsidRPr="00310D26" w:rsidRDefault="00955AD5" w:rsidP="00955AD5">
      <w:pPr>
        <w:jc w:val="center"/>
        <w:rPr>
          <w:sz w:val="18"/>
        </w:rPr>
      </w:pPr>
    </w:p>
    <w:p w14:paraId="42994F22" w14:textId="77777777" w:rsidR="00955AD5" w:rsidRPr="00310D26" w:rsidRDefault="00955AD5" w:rsidP="00955AD5">
      <w:pPr>
        <w:rPr>
          <w:rFonts w:cs="Arial"/>
          <w:szCs w:val="22"/>
        </w:rPr>
      </w:pPr>
    </w:p>
    <w:p w14:paraId="0E7DA831" w14:textId="697C8D2A" w:rsidR="00955AD5" w:rsidRPr="00310D26" w:rsidRDefault="00E93CC5" w:rsidP="00955AD5">
      <w:pPr>
        <w:rPr>
          <w:rFonts w:cs="Arial"/>
          <w:szCs w:val="22"/>
        </w:rPr>
      </w:pPr>
      <w:r w:rsidRPr="00310D26">
        <w:rPr>
          <w:rFonts w:cs="Arial"/>
          <w:szCs w:val="22"/>
        </w:rPr>
        <w:t xml:space="preserve">Gracias por consultarnos las propuestas de modificación de la </w:t>
      </w:r>
      <w:r w:rsidRPr="00310D26">
        <w:t>Nota explicativa sobre las denominaciones de variedade</w:t>
      </w:r>
      <w:r w:rsidR="00B00E39" w:rsidRPr="00310D26">
        <w:t>s</w:t>
      </w:r>
      <w:r w:rsidR="00955AD5" w:rsidRPr="00310D26">
        <w:rPr>
          <w:rFonts w:cs="Arial"/>
          <w:szCs w:val="22"/>
        </w:rPr>
        <w:t xml:space="preserve"> </w:t>
      </w:r>
      <w:r w:rsidRPr="00310D26">
        <w:rPr>
          <w:rFonts w:cs="Arial"/>
          <w:szCs w:val="22"/>
        </w:rPr>
        <w:t>que se someterá al examen del CAJ y el Consejo en octubre de este año</w:t>
      </w:r>
      <w:r w:rsidR="00955AD5" w:rsidRPr="00310D26">
        <w:rPr>
          <w:rFonts w:cs="Arial"/>
          <w:szCs w:val="22"/>
        </w:rPr>
        <w:t>.</w:t>
      </w:r>
    </w:p>
    <w:p w14:paraId="05AA154E" w14:textId="77777777" w:rsidR="00955AD5" w:rsidRPr="00310D26" w:rsidRDefault="00955AD5" w:rsidP="00955AD5">
      <w:pPr>
        <w:rPr>
          <w:rFonts w:cs="Arial"/>
          <w:szCs w:val="22"/>
        </w:rPr>
      </w:pPr>
    </w:p>
    <w:p w14:paraId="68FFF8F9" w14:textId="2AC04663" w:rsidR="00955AD5" w:rsidRPr="00310D26" w:rsidRDefault="00AA5AD6" w:rsidP="00955AD5">
      <w:pPr>
        <w:rPr>
          <w:rFonts w:cs="Arial"/>
          <w:szCs w:val="22"/>
        </w:rPr>
      </w:pPr>
      <w:r w:rsidRPr="00310D26">
        <w:rPr>
          <w:rFonts w:cs="Arial"/>
          <w:szCs w:val="22"/>
        </w:rPr>
        <w:t>En l</w:t>
      </w:r>
      <w:r w:rsidR="00E93CC5" w:rsidRPr="00310D26">
        <w:rPr>
          <w:rFonts w:cs="Arial"/>
          <w:szCs w:val="22"/>
        </w:rPr>
        <w:t xml:space="preserve">a </w:t>
      </w:r>
      <w:r w:rsidR="004158CD" w:rsidRPr="00310D26">
        <w:rPr>
          <w:rFonts w:cs="Arial"/>
          <w:szCs w:val="22"/>
        </w:rPr>
        <w:t>C</w:t>
      </w:r>
      <w:r w:rsidR="00E93CC5" w:rsidRPr="00310D26">
        <w:rPr>
          <w:rFonts w:cs="Arial"/>
          <w:szCs w:val="22"/>
        </w:rPr>
        <w:t xml:space="preserve">ircular de la </w:t>
      </w:r>
      <w:r w:rsidR="00955AD5" w:rsidRPr="00310D26">
        <w:rPr>
          <w:rFonts w:cs="Arial"/>
          <w:szCs w:val="22"/>
        </w:rPr>
        <w:t xml:space="preserve">UPOV </w:t>
      </w:r>
      <w:r w:rsidRPr="00310D26">
        <w:rPr>
          <w:rFonts w:cs="Arial"/>
          <w:szCs w:val="22"/>
        </w:rPr>
        <w:t>se da curso a las</w:t>
      </w:r>
      <w:r w:rsidR="00E93CC5" w:rsidRPr="00310D26">
        <w:rPr>
          <w:rFonts w:cs="Arial"/>
          <w:szCs w:val="22"/>
        </w:rPr>
        <w:t xml:space="preserve"> observaciones </w:t>
      </w:r>
      <w:r w:rsidR="008049BE" w:rsidRPr="00310D26">
        <w:rPr>
          <w:rFonts w:cs="Arial"/>
          <w:szCs w:val="22"/>
        </w:rPr>
        <w:t>planteadas</w:t>
      </w:r>
      <w:r w:rsidR="00E93CC5" w:rsidRPr="00310D26">
        <w:rPr>
          <w:rFonts w:cs="Arial"/>
          <w:szCs w:val="22"/>
        </w:rPr>
        <w:t xml:space="preserve"> </w:t>
      </w:r>
      <w:r w:rsidRPr="00310D26">
        <w:rPr>
          <w:rFonts w:cs="Arial"/>
          <w:szCs w:val="22"/>
        </w:rPr>
        <w:t>ante</w:t>
      </w:r>
      <w:r w:rsidR="00E93CC5" w:rsidRPr="00310D26">
        <w:rPr>
          <w:rFonts w:cs="Arial"/>
          <w:szCs w:val="22"/>
        </w:rPr>
        <w:t xml:space="preserve"> el CAJ por la Unión Europea</w:t>
      </w:r>
      <w:r w:rsidR="00955AD5" w:rsidRPr="00310D26">
        <w:rPr>
          <w:rFonts w:cs="Arial"/>
          <w:szCs w:val="22"/>
        </w:rPr>
        <w:t xml:space="preserve">. </w:t>
      </w:r>
      <w:r w:rsidR="00167095" w:rsidRPr="00310D26">
        <w:rPr>
          <w:rFonts w:cs="Arial"/>
          <w:szCs w:val="22"/>
        </w:rPr>
        <w:t xml:space="preserve">El </w:t>
      </w:r>
      <w:r w:rsidR="00167095" w:rsidRPr="00310D26">
        <w:rPr>
          <w:rFonts w:cs="Arial"/>
          <w:color w:val="000000"/>
          <w:shd w:val="clear" w:color="auto" w:fill="FFFFFF" w:themeFill="background1"/>
        </w:rPr>
        <w:t xml:space="preserve">Grupo de Trabajo </w:t>
      </w:r>
      <w:r w:rsidR="00B00E39" w:rsidRPr="00310D26">
        <w:rPr>
          <w:rFonts w:cs="Arial"/>
          <w:color w:val="000000"/>
          <w:shd w:val="clear" w:color="auto" w:fill="FFFFFF" w:themeFill="background1"/>
        </w:rPr>
        <w:t>encargado de</w:t>
      </w:r>
      <w:r w:rsidR="00167095" w:rsidRPr="00310D26">
        <w:rPr>
          <w:rFonts w:cs="Arial"/>
          <w:color w:val="000000"/>
          <w:shd w:val="clear" w:color="auto" w:fill="FFFFFF" w:themeFill="background1"/>
        </w:rPr>
        <w:t xml:space="preserve"> la revisión de la Nota </w:t>
      </w:r>
      <w:r w:rsidR="00B00E39" w:rsidRPr="00310D26">
        <w:rPr>
          <w:rFonts w:cs="Arial"/>
          <w:color w:val="000000"/>
          <w:shd w:val="clear" w:color="auto" w:fill="FFFFFF" w:themeFill="background1"/>
        </w:rPr>
        <w:t>e</w:t>
      </w:r>
      <w:r w:rsidR="00167095" w:rsidRPr="00310D26">
        <w:rPr>
          <w:rFonts w:cs="Arial"/>
          <w:color w:val="000000"/>
          <w:shd w:val="clear" w:color="auto" w:fill="FFFFFF" w:themeFill="background1"/>
        </w:rPr>
        <w:t>xplicativa</w:t>
      </w:r>
      <w:r w:rsidR="00955AD5" w:rsidRPr="00310D26">
        <w:rPr>
          <w:rFonts w:cs="Arial"/>
          <w:szCs w:val="22"/>
        </w:rPr>
        <w:t xml:space="preserve"> </w:t>
      </w:r>
      <w:r w:rsidR="00167095" w:rsidRPr="00310D26">
        <w:rPr>
          <w:rFonts w:cs="Arial"/>
          <w:szCs w:val="22"/>
        </w:rPr>
        <w:t xml:space="preserve">concluyó su mandato y, desafortunadamente, no se llegó a un acuerdo sobre la cuestión de la </w:t>
      </w:r>
      <w:proofErr w:type="spellStart"/>
      <w:r w:rsidR="00167095" w:rsidRPr="00310D26">
        <w:rPr>
          <w:rFonts w:cs="Arial"/>
          <w:szCs w:val="22"/>
        </w:rPr>
        <w:t>similaridad</w:t>
      </w:r>
      <w:proofErr w:type="spellEnd"/>
      <w:r w:rsidR="00167095" w:rsidRPr="00310D26">
        <w:rPr>
          <w:rFonts w:cs="Arial"/>
          <w:szCs w:val="22"/>
        </w:rPr>
        <w:t xml:space="preserve"> conceptual</w:t>
      </w:r>
      <w:r w:rsidR="00955AD5" w:rsidRPr="00310D26">
        <w:rPr>
          <w:rFonts w:cs="Arial"/>
          <w:szCs w:val="22"/>
        </w:rPr>
        <w:t xml:space="preserve">. </w:t>
      </w:r>
    </w:p>
    <w:p w14:paraId="3EFF45AB" w14:textId="77777777" w:rsidR="00955AD5" w:rsidRPr="00310D26" w:rsidRDefault="00955AD5" w:rsidP="00955AD5">
      <w:pPr>
        <w:rPr>
          <w:rFonts w:cs="Arial"/>
          <w:szCs w:val="22"/>
        </w:rPr>
      </w:pPr>
    </w:p>
    <w:p w14:paraId="62208976" w14:textId="62A14980" w:rsidR="00955AD5" w:rsidRPr="00310D26" w:rsidRDefault="00167095" w:rsidP="00955AD5">
      <w:pPr>
        <w:rPr>
          <w:rFonts w:cs="Arial"/>
          <w:szCs w:val="22"/>
        </w:rPr>
      </w:pPr>
      <w:r w:rsidRPr="00310D26">
        <w:rPr>
          <w:rFonts w:cs="Arial"/>
          <w:szCs w:val="22"/>
        </w:rPr>
        <w:t xml:space="preserve">La </w:t>
      </w:r>
      <w:r w:rsidR="006B02D2" w:rsidRPr="00310D26">
        <w:rPr>
          <w:rFonts w:cs="Arial"/>
          <w:szCs w:val="22"/>
        </w:rPr>
        <w:t>OCVV</w:t>
      </w:r>
      <w:r w:rsidR="00B00E39" w:rsidRPr="00310D26">
        <w:rPr>
          <w:rFonts w:cs="Arial"/>
          <w:szCs w:val="22"/>
        </w:rPr>
        <w:t xml:space="preserve"> se ha</w:t>
      </w:r>
      <w:r w:rsidRPr="00310D26">
        <w:rPr>
          <w:rFonts w:cs="Arial"/>
          <w:szCs w:val="22"/>
        </w:rPr>
        <w:t xml:space="preserve"> </w:t>
      </w:r>
      <w:r w:rsidR="000C1763" w:rsidRPr="00310D26">
        <w:rPr>
          <w:rFonts w:cs="Arial"/>
          <w:szCs w:val="22"/>
        </w:rPr>
        <w:t>mantenido</w:t>
      </w:r>
      <w:r w:rsidR="00B00E39" w:rsidRPr="00310D26">
        <w:rPr>
          <w:rFonts w:cs="Arial"/>
          <w:szCs w:val="22"/>
        </w:rPr>
        <w:t xml:space="preserve"> en</w:t>
      </w:r>
      <w:r w:rsidR="000C1763" w:rsidRPr="00310D26">
        <w:rPr>
          <w:rFonts w:cs="Arial"/>
          <w:szCs w:val="22"/>
        </w:rPr>
        <w:t xml:space="preserve"> </w:t>
      </w:r>
      <w:r w:rsidRPr="00310D26">
        <w:rPr>
          <w:rFonts w:cs="Arial"/>
          <w:szCs w:val="22"/>
        </w:rPr>
        <w:t xml:space="preserve">contacto con ustedes </w:t>
      </w:r>
      <w:r w:rsidR="000C1763" w:rsidRPr="00310D26">
        <w:rPr>
          <w:rFonts w:cs="Arial"/>
          <w:szCs w:val="22"/>
        </w:rPr>
        <w:t>para abordar</w:t>
      </w:r>
      <w:r w:rsidRPr="00310D26">
        <w:rPr>
          <w:rFonts w:cs="Arial"/>
          <w:szCs w:val="22"/>
        </w:rPr>
        <w:t xml:space="preserve"> </w:t>
      </w:r>
      <w:r w:rsidR="00B00E39" w:rsidRPr="00310D26">
        <w:rPr>
          <w:rFonts w:cs="Arial"/>
          <w:szCs w:val="22"/>
        </w:rPr>
        <w:t xml:space="preserve">posibles </w:t>
      </w:r>
      <w:r w:rsidRPr="00310D26">
        <w:rPr>
          <w:rFonts w:cs="Arial"/>
          <w:szCs w:val="22"/>
        </w:rPr>
        <w:t xml:space="preserve">opciones </w:t>
      </w:r>
      <w:r w:rsidR="00AA5AD6" w:rsidRPr="00310D26">
        <w:rPr>
          <w:rFonts w:cs="Arial"/>
          <w:szCs w:val="22"/>
        </w:rPr>
        <w:t xml:space="preserve">que presentar </w:t>
      </w:r>
      <w:r w:rsidRPr="00310D26">
        <w:rPr>
          <w:rFonts w:cs="Arial"/>
          <w:szCs w:val="22"/>
        </w:rPr>
        <w:t>a</w:t>
      </w:r>
      <w:r w:rsidR="000C1763" w:rsidRPr="00310D26">
        <w:rPr>
          <w:rFonts w:cs="Arial"/>
          <w:szCs w:val="22"/>
        </w:rPr>
        <w:t xml:space="preserve">l </w:t>
      </w:r>
      <w:r w:rsidR="00955AD5" w:rsidRPr="00310D26">
        <w:rPr>
          <w:rFonts w:cs="Arial"/>
          <w:szCs w:val="22"/>
        </w:rPr>
        <w:t xml:space="preserve">CAJ </w:t>
      </w:r>
      <w:r w:rsidRPr="00310D26">
        <w:rPr>
          <w:rFonts w:cs="Arial"/>
          <w:szCs w:val="22"/>
        </w:rPr>
        <w:t>con el objetivo de modificar el párrafo</w:t>
      </w:r>
      <w:r w:rsidR="00955AD5" w:rsidRPr="00310D26">
        <w:rPr>
          <w:rFonts w:cs="Arial"/>
          <w:szCs w:val="22"/>
        </w:rPr>
        <w:t xml:space="preserve"> 2.3.3. </w:t>
      </w:r>
      <w:r w:rsidRPr="00310D26">
        <w:rPr>
          <w:rFonts w:cs="Arial"/>
          <w:szCs w:val="22"/>
        </w:rPr>
        <w:t xml:space="preserve">de la Nota </w:t>
      </w:r>
      <w:r w:rsidR="00AA5AD6" w:rsidRPr="00310D26">
        <w:rPr>
          <w:rFonts w:cs="Arial"/>
          <w:szCs w:val="22"/>
        </w:rPr>
        <w:t>e</w:t>
      </w:r>
      <w:r w:rsidRPr="00310D26">
        <w:rPr>
          <w:rFonts w:cs="Arial"/>
          <w:szCs w:val="22"/>
        </w:rPr>
        <w:t>xplicativa</w:t>
      </w:r>
      <w:r w:rsidR="00955AD5" w:rsidRPr="00310D26">
        <w:rPr>
          <w:rFonts w:cs="Arial"/>
          <w:szCs w:val="22"/>
        </w:rPr>
        <w:t xml:space="preserve">. </w:t>
      </w:r>
    </w:p>
    <w:p w14:paraId="154653A1" w14:textId="77777777" w:rsidR="00955AD5" w:rsidRPr="00310D26" w:rsidRDefault="00955AD5" w:rsidP="00955AD5">
      <w:pPr>
        <w:rPr>
          <w:rFonts w:cs="Arial"/>
          <w:szCs w:val="22"/>
        </w:rPr>
      </w:pPr>
    </w:p>
    <w:p w14:paraId="46030035" w14:textId="1DF872B7" w:rsidR="00955AD5" w:rsidRPr="00310D26" w:rsidRDefault="000C1763" w:rsidP="00955AD5">
      <w:pPr>
        <w:rPr>
          <w:rFonts w:cs="Arial"/>
          <w:szCs w:val="22"/>
        </w:rPr>
      </w:pPr>
      <w:r w:rsidRPr="00310D26">
        <w:rPr>
          <w:rFonts w:cs="Arial"/>
          <w:szCs w:val="22"/>
        </w:rPr>
        <w:t xml:space="preserve">Para evitar </w:t>
      </w:r>
      <w:r w:rsidR="00B549A7">
        <w:rPr>
          <w:rFonts w:cs="Arial"/>
          <w:szCs w:val="22"/>
        </w:rPr>
        <w:t>poner en riesgo</w:t>
      </w:r>
      <w:r w:rsidRPr="00310D26">
        <w:rPr>
          <w:rFonts w:cs="Arial"/>
          <w:szCs w:val="22"/>
        </w:rPr>
        <w:t xml:space="preserve"> la aprobación de la Nota </w:t>
      </w:r>
      <w:r w:rsidR="00B00E39" w:rsidRPr="00310D26">
        <w:rPr>
          <w:rFonts w:cs="Arial"/>
          <w:szCs w:val="22"/>
        </w:rPr>
        <w:t>e</w:t>
      </w:r>
      <w:r w:rsidRPr="00310D26">
        <w:rPr>
          <w:rFonts w:cs="Arial"/>
          <w:szCs w:val="22"/>
        </w:rPr>
        <w:t>xplicativa, se han propuesto dos alternativas</w:t>
      </w:r>
      <w:r w:rsidR="00955AD5" w:rsidRPr="00310D26">
        <w:rPr>
          <w:rFonts w:cs="Arial"/>
          <w:szCs w:val="22"/>
        </w:rPr>
        <w:t>.</w:t>
      </w:r>
    </w:p>
    <w:p w14:paraId="7C2BDE59" w14:textId="77777777" w:rsidR="00955AD5" w:rsidRPr="00310D26" w:rsidRDefault="00955AD5" w:rsidP="00955AD5">
      <w:pPr>
        <w:rPr>
          <w:rFonts w:cs="Arial"/>
          <w:szCs w:val="22"/>
        </w:rPr>
      </w:pPr>
    </w:p>
    <w:p w14:paraId="39FDE828" w14:textId="2EAC8700" w:rsidR="00955AD5" w:rsidRPr="00310D26" w:rsidRDefault="00B00E39" w:rsidP="00955AD5">
      <w:pPr>
        <w:rPr>
          <w:rFonts w:cs="Arial"/>
          <w:szCs w:val="22"/>
        </w:rPr>
      </w:pPr>
      <w:r w:rsidRPr="00310D26">
        <w:rPr>
          <w:rFonts w:cs="Arial"/>
          <w:szCs w:val="22"/>
        </w:rPr>
        <w:t xml:space="preserve">La Unión Europea desearía respaldar la aprobación de la </w:t>
      </w:r>
      <w:r w:rsidR="00955AD5" w:rsidRPr="00310D26">
        <w:rPr>
          <w:rFonts w:cs="Arial"/>
          <w:szCs w:val="22"/>
          <w:u w:val="single"/>
        </w:rPr>
        <w:t>alternativ</w:t>
      </w:r>
      <w:r w:rsidRPr="00310D26">
        <w:rPr>
          <w:rFonts w:cs="Arial"/>
          <w:szCs w:val="22"/>
          <w:u w:val="single"/>
        </w:rPr>
        <w:t>a</w:t>
      </w:r>
      <w:r w:rsidR="00955AD5" w:rsidRPr="00310D26">
        <w:rPr>
          <w:rFonts w:cs="Arial"/>
          <w:szCs w:val="22"/>
          <w:u w:val="single"/>
        </w:rPr>
        <w:t xml:space="preserve"> n</w:t>
      </w:r>
      <w:r w:rsidRPr="00310D26">
        <w:rPr>
          <w:rFonts w:cs="Arial"/>
          <w:szCs w:val="22"/>
          <w:u w:val="single"/>
        </w:rPr>
        <w:t>º</w:t>
      </w:r>
      <w:r w:rsidR="00955AD5" w:rsidRPr="00310D26">
        <w:rPr>
          <w:rFonts w:cs="Arial"/>
          <w:szCs w:val="22"/>
          <w:u w:val="single"/>
        </w:rPr>
        <w:t xml:space="preserve"> 2</w:t>
      </w:r>
      <w:r w:rsidRPr="00310D26">
        <w:rPr>
          <w:rFonts w:cs="Arial"/>
          <w:szCs w:val="22"/>
        </w:rPr>
        <w:t xml:space="preserve">, en la que hay una referencia adicional al criterio conceptual a través de la </w:t>
      </w:r>
      <w:r w:rsidR="00B549A7">
        <w:rPr>
          <w:rFonts w:cs="Arial"/>
          <w:szCs w:val="22"/>
        </w:rPr>
        <w:t>mención de</w:t>
      </w:r>
      <w:r w:rsidR="006B02D2" w:rsidRPr="00310D26">
        <w:rPr>
          <w:rFonts w:cs="Arial"/>
          <w:szCs w:val="22"/>
        </w:rPr>
        <w:t xml:space="preserve"> </w:t>
      </w:r>
      <w:r w:rsidR="00955AD5" w:rsidRPr="00310D26">
        <w:rPr>
          <w:rFonts w:cs="Arial"/>
          <w:szCs w:val="22"/>
        </w:rPr>
        <w:t>“</w:t>
      </w:r>
      <w:r w:rsidRPr="00310D26">
        <w:rPr>
          <w:rFonts w:cs="Arial"/>
          <w:szCs w:val="22"/>
        </w:rPr>
        <w:t>una diferencia de significado claramente apreciable</w:t>
      </w:r>
      <w:r w:rsidR="00955AD5" w:rsidRPr="00310D26">
        <w:rPr>
          <w:rFonts w:cs="Arial"/>
          <w:szCs w:val="22"/>
        </w:rPr>
        <w:t xml:space="preserve">”. </w:t>
      </w:r>
      <w:r w:rsidRPr="00310D26">
        <w:rPr>
          <w:rFonts w:cs="Arial"/>
          <w:szCs w:val="22"/>
        </w:rPr>
        <w:t xml:space="preserve">Este elemento se propone como alternativa al criterio fonético exclusivo, y tiene en cuenta el significado de las palabras </w:t>
      </w:r>
      <w:r w:rsidR="006B02D2" w:rsidRPr="00310D26">
        <w:rPr>
          <w:rFonts w:cs="Arial"/>
          <w:szCs w:val="22"/>
        </w:rPr>
        <w:t xml:space="preserve">que son </w:t>
      </w:r>
      <w:r w:rsidRPr="00310D26">
        <w:rPr>
          <w:rFonts w:cs="Arial"/>
          <w:szCs w:val="22"/>
        </w:rPr>
        <w:t>ampliamente conocidas en varios idiomas</w:t>
      </w:r>
      <w:r w:rsidR="00955AD5" w:rsidRPr="00310D26">
        <w:rPr>
          <w:rFonts w:cs="Arial"/>
          <w:szCs w:val="22"/>
        </w:rPr>
        <w:t>.</w:t>
      </w:r>
    </w:p>
    <w:p w14:paraId="5CC008B1" w14:textId="77777777" w:rsidR="00955AD5" w:rsidRPr="00310D26" w:rsidRDefault="00955AD5" w:rsidP="00955AD5">
      <w:pPr>
        <w:rPr>
          <w:rFonts w:cs="Arial"/>
          <w:szCs w:val="22"/>
        </w:rPr>
      </w:pPr>
    </w:p>
    <w:p w14:paraId="4E1A570D" w14:textId="557FB786" w:rsidR="00955AD5" w:rsidRPr="00310D26" w:rsidRDefault="00DB7D02" w:rsidP="00955AD5">
      <w:pPr>
        <w:rPr>
          <w:rFonts w:cs="Arial"/>
          <w:szCs w:val="22"/>
        </w:rPr>
      </w:pPr>
      <w:r w:rsidRPr="00310D26">
        <w:rPr>
          <w:rFonts w:cs="Arial"/>
          <w:szCs w:val="22"/>
        </w:rPr>
        <w:t>Se adjunta</w:t>
      </w:r>
      <w:r w:rsidR="00955AD5" w:rsidRPr="00310D26">
        <w:rPr>
          <w:rFonts w:cs="Arial"/>
          <w:szCs w:val="22"/>
        </w:rPr>
        <w:t xml:space="preserve"> [</w:t>
      </w:r>
      <w:r w:rsidRPr="00310D26">
        <w:rPr>
          <w:rFonts w:cs="Arial"/>
          <w:szCs w:val="22"/>
        </w:rPr>
        <w:t>a contin</w:t>
      </w:r>
      <w:r w:rsidR="00B6115C" w:rsidRPr="00310D26">
        <w:rPr>
          <w:rFonts w:cs="Arial"/>
          <w:szCs w:val="22"/>
        </w:rPr>
        <w:t>ua</w:t>
      </w:r>
      <w:r w:rsidRPr="00310D26">
        <w:rPr>
          <w:rFonts w:cs="Arial"/>
          <w:szCs w:val="22"/>
        </w:rPr>
        <w:t>ción</w:t>
      </w:r>
      <w:r w:rsidR="00955AD5" w:rsidRPr="00310D26">
        <w:rPr>
          <w:rFonts w:cs="Arial"/>
          <w:szCs w:val="22"/>
        </w:rPr>
        <w:t xml:space="preserve">] </w:t>
      </w:r>
      <w:r w:rsidRPr="00310D26">
        <w:rPr>
          <w:rFonts w:cs="Arial"/>
          <w:szCs w:val="22"/>
        </w:rPr>
        <w:t>un proyecto de texto de Nota explicativa acompañado de observaciones más detalladas</w:t>
      </w:r>
      <w:r w:rsidR="00955AD5" w:rsidRPr="00310D26">
        <w:rPr>
          <w:rFonts w:cs="Arial"/>
          <w:szCs w:val="22"/>
        </w:rPr>
        <w:t>.</w:t>
      </w:r>
    </w:p>
    <w:p w14:paraId="638A6503" w14:textId="77777777" w:rsidR="00955AD5" w:rsidRPr="00310D26" w:rsidRDefault="00955AD5" w:rsidP="00955AD5">
      <w:pPr>
        <w:rPr>
          <w:rFonts w:cs="Arial"/>
          <w:szCs w:val="22"/>
        </w:rPr>
      </w:pPr>
    </w:p>
    <w:p w14:paraId="4F521561" w14:textId="0C1A3C8C" w:rsidR="00955AD5" w:rsidRPr="00310D26" w:rsidRDefault="00DB7D02" w:rsidP="00955AD5">
      <w:pPr>
        <w:rPr>
          <w:rFonts w:cs="Arial"/>
          <w:szCs w:val="22"/>
        </w:rPr>
      </w:pPr>
      <w:r w:rsidRPr="00310D26">
        <w:rPr>
          <w:rFonts w:cs="Arial"/>
          <w:szCs w:val="22"/>
        </w:rPr>
        <w:t>Atentamente</w:t>
      </w:r>
      <w:r w:rsidR="00955AD5" w:rsidRPr="00310D26">
        <w:rPr>
          <w:rFonts w:cs="Arial"/>
          <w:szCs w:val="22"/>
        </w:rPr>
        <w:t>,</w:t>
      </w:r>
    </w:p>
    <w:p w14:paraId="1B0B1CA8" w14:textId="77777777" w:rsidR="00955AD5" w:rsidRPr="00310D26" w:rsidRDefault="00955AD5" w:rsidP="00955AD5">
      <w:pPr>
        <w:rPr>
          <w:rFonts w:cs="Arial"/>
          <w:szCs w:val="22"/>
        </w:rPr>
      </w:pPr>
      <w:proofErr w:type="spellStart"/>
      <w:r w:rsidRPr="00310D26">
        <w:rPr>
          <w:rFonts w:cs="Arial"/>
          <w:szCs w:val="22"/>
        </w:rPr>
        <w:t>Päivi</w:t>
      </w:r>
      <w:proofErr w:type="spellEnd"/>
      <w:r w:rsidRPr="00310D26">
        <w:rPr>
          <w:rFonts w:cs="Arial"/>
          <w:szCs w:val="22"/>
        </w:rPr>
        <w:t xml:space="preserve"> </w:t>
      </w:r>
      <w:proofErr w:type="spellStart"/>
      <w:r w:rsidRPr="00310D26">
        <w:rPr>
          <w:rFonts w:cs="Arial"/>
          <w:szCs w:val="22"/>
        </w:rPr>
        <w:t>Mannerkorpi</w:t>
      </w:r>
      <w:proofErr w:type="spellEnd"/>
    </w:p>
    <w:p w14:paraId="14571A86" w14:textId="77777777" w:rsidR="00955AD5" w:rsidRPr="00310D26" w:rsidRDefault="00955AD5" w:rsidP="00955AD5">
      <w:pPr>
        <w:jc w:val="center"/>
        <w:rPr>
          <w:rFonts w:cs="Arial"/>
          <w:szCs w:val="22"/>
        </w:rPr>
      </w:pPr>
    </w:p>
    <w:p w14:paraId="1C2F6114" w14:textId="77777777" w:rsidR="00235894" w:rsidRDefault="00DB7D02" w:rsidP="00955AD5">
      <w:pPr>
        <w:jc w:val="center"/>
      </w:pPr>
      <w:r w:rsidRPr="00310D26">
        <w:t>Propuestas de la</w:t>
      </w:r>
      <w:r w:rsidR="00955AD5" w:rsidRPr="00310D26">
        <w:t xml:space="preserve"> </w:t>
      </w:r>
      <w:r w:rsidRPr="00310D26">
        <w:t>Oficina Comunitaria de Variedades Vegetales (OC</w:t>
      </w:r>
      <w:r w:rsidR="006B02D2" w:rsidRPr="00310D26">
        <w:t>V</w:t>
      </w:r>
      <w:r w:rsidRPr="00310D26">
        <w:t>V) de la Unión Europea</w:t>
      </w:r>
    </w:p>
    <w:p w14:paraId="7459F361" w14:textId="7D4D973A" w:rsidR="00235894" w:rsidRDefault="00DB7D02" w:rsidP="00955AD5">
      <w:pPr>
        <w:jc w:val="center"/>
      </w:pPr>
      <w:r w:rsidRPr="00310D26">
        <w:t xml:space="preserve">para modificar </w:t>
      </w:r>
      <w:r w:rsidR="00B94402" w:rsidRPr="00310D26">
        <w:t>la sección</w:t>
      </w:r>
      <w:r w:rsidR="00955AD5" w:rsidRPr="00310D26">
        <w:t xml:space="preserve"> 2.3.3 </w:t>
      </w:r>
      <w:r w:rsidRPr="00310D26">
        <w:t>del documento</w:t>
      </w:r>
      <w:r w:rsidR="00955AD5" w:rsidRPr="00310D26">
        <w:t xml:space="preserve"> UPOV/</w:t>
      </w:r>
      <w:proofErr w:type="spellStart"/>
      <w:r w:rsidR="00955AD5" w:rsidRPr="00310D26">
        <w:t>EXN</w:t>
      </w:r>
      <w:proofErr w:type="spellEnd"/>
      <w:r w:rsidR="00955AD5" w:rsidRPr="00310D26">
        <w:t xml:space="preserve">/DEN/1 </w:t>
      </w:r>
      <w:proofErr w:type="spellStart"/>
      <w:r w:rsidR="00955AD5" w:rsidRPr="00310D26">
        <w:t>Draft</w:t>
      </w:r>
      <w:proofErr w:type="spellEnd"/>
      <w:r w:rsidR="00955AD5" w:rsidRPr="00310D26">
        <w:t xml:space="preserve"> 3</w:t>
      </w:r>
    </w:p>
    <w:p w14:paraId="6CA130B6" w14:textId="5C564607" w:rsidR="00955AD5" w:rsidRPr="00310D26" w:rsidRDefault="00955AD5" w:rsidP="00955AD5">
      <w:pPr>
        <w:jc w:val="center"/>
        <w:rPr>
          <w:sz w:val="18"/>
        </w:rPr>
      </w:pPr>
      <w:r w:rsidRPr="00310D26">
        <w:t>(</w:t>
      </w:r>
      <w:r w:rsidR="00DB7D02" w:rsidRPr="00310D26">
        <w:t>las propuestas de la OC</w:t>
      </w:r>
      <w:r w:rsidR="006B02D2" w:rsidRPr="00310D26">
        <w:t>V</w:t>
      </w:r>
      <w:r w:rsidR="00DB7D02" w:rsidRPr="00310D26">
        <w:t>V aparecen</w:t>
      </w:r>
      <w:r w:rsidRPr="00310D26">
        <w:t xml:space="preserve"> </w:t>
      </w:r>
      <w:r w:rsidR="00DB7D02" w:rsidRPr="00310D26">
        <w:rPr>
          <w:highlight w:val="yellow"/>
        </w:rPr>
        <w:t>resaltadas en amarillo</w:t>
      </w:r>
      <w:r w:rsidRPr="00310D26">
        <w:rPr>
          <w:sz w:val="18"/>
        </w:rPr>
        <w:t>)</w:t>
      </w:r>
    </w:p>
    <w:p w14:paraId="7ED6B27F" w14:textId="77777777" w:rsidR="00955AD5" w:rsidRPr="00310D26" w:rsidRDefault="00955AD5" w:rsidP="00955AD5">
      <w:pPr>
        <w:jc w:val="center"/>
        <w:rPr>
          <w:sz w:val="18"/>
        </w:rPr>
      </w:pPr>
    </w:p>
    <w:p w14:paraId="0D8AA00F" w14:textId="5B2C703E" w:rsidR="00955AD5" w:rsidRPr="00310D26" w:rsidRDefault="00955AD5" w:rsidP="00955AD5">
      <w:pPr>
        <w:jc w:val="center"/>
      </w:pPr>
      <w:r w:rsidRPr="00310D26">
        <w:t>[</w:t>
      </w:r>
      <w:r w:rsidR="00DB7D02" w:rsidRPr="00310D26">
        <w:t xml:space="preserve">extraído del Anexo de la </w:t>
      </w:r>
      <w:r w:rsidR="004158CD" w:rsidRPr="00310D26">
        <w:t>C</w:t>
      </w:r>
      <w:r w:rsidR="00DB7D02" w:rsidRPr="00310D26">
        <w:t>ircular</w:t>
      </w:r>
      <w:r w:rsidRPr="00310D26">
        <w:t xml:space="preserve"> E-20/017]</w:t>
      </w:r>
    </w:p>
    <w:p w14:paraId="1A2B24E9" w14:textId="77777777" w:rsidR="00955AD5" w:rsidRPr="00310D26" w:rsidRDefault="00955AD5" w:rsidP="00955AD5">
      <w:pPr>
        <w:jc w:val="center"/>
        <w:rPr>
          <w:sz w:val="18"/>
        </w:rPr>
      </w:pPr>
    </w:p>
    <w:p w14:paraId="0433C0BC" w14:textId="37184370" w:rsidR="00955AD5" w:rsidRPr="00310D26" w:rsidRDefault="00DB7D02" w:rsidP="00955AD5">
      <w:pPr>
        <w:jc w:val="left"/>
        <w:rPr>
          <w:i/>
          <w:sz w:val="16"/>
        </w:rPr>
      </w:pPr>
      <w:r w:rsidRPr="00310D26">
        <w:rPr>
          <w:i/>
        </w:rPr>
        <w:t xml:space="preserve">Propuestas de la Unión Europea para modificar </w:t>
      </w:r>
      <w:r w:rsidR="00272F5B" w:rsidRPr="00310D26">
        <w:rPr>
          <w:i/>
        </w:rPr>
        <w:t>la sección</w:t>
      </w:r>
      <w:r w:rsidRPr="00310D26">
        <w:rPr>
          <w:i/>
        </w:rPr>
        <w:t xml:space="preserve"> </w:t>
      </w:r>
      <w:r w:rsidR="00955AD5" w:rsidRPr="00310D26">
        <w:rPr>
          <w:i/>
        </w:rPr>
        <w:t xml:space="preserve">2.3.3 </w:t>
      </w:r>
      <w:r w:rsidRPr="00310D26">
        <w:rPr>
          <w:i/>
        </w:rPr>
        <w:t>del documento</w:t>
      </w:r>
      <w:r w:rsidR="00955AD5" w:rsidRPr="00310D26">
        <w:rPr>
          <w:i/>
        </w:rPr>
        <w:t xml:space="preserve"> UPOV/</w:t>
      </w:r>
      <w:proofErr w:type="spellStart"/>
      <w:r w:rsidR="00955AD5" w:rsidRPr="00310D26">
        <w:rPr>
          <w:i/>
        </w:rPr>
        <w:t>EXN</w:t>
      </w:r>
      <w:proofErr w:type="spellEnd"/>
      <w:r w:rsidR="00955AD5" w:rsidRPr="00310D26">
        <w:rPr>
          <w:i/>
        </w:rPr>
        <w:t xml:space="preserve">/DEN/1 </w:t>
      </w:r>
      <w:proofErr w:type="spellStart"/>
      <w:r w:rsidR="00955AD5" w:rsidRPr="00310D26">
        <w:rPr>
          <w:i/>
        </w:rPr>
        <w:t>Draft</w:t>
      </w:r>
      <w:proofErr w:type="spellEnd"/>
      <w:r w:rsidR="00955AD5" w:rsidRPr="00310D26">
        <w:rPr>
          <w:i/>
        </w:rPr>
        <w:t xml:space="preserve"> 3 (</w:t>
      </w:r>
      <w:r w:rsidRPr="00310D26">
        <w:rPr>
          <w:i/>
        </w:rPr>
        <w:t>las propuestas aparecen</w:t>
      </w:r>
      <w:r w:rsidR="00955AD5" w:rsidRPr="00310D26">
        <w:rPr>
          <w:i/>
        </w:rPr>
        <w:t xml:space="preserve"> </w:t>
      </w:r>
      <w:r w:rsidRPr="00310D26">
        <w:rPr>
          <w:i/>
          <w:highlight w:val="yellow"/>
        </w:rPr>
        <w:t>resaltadas en amarillo</w:t>
      </w:r>
      <w:r w:rsidR="00955AD5" w:rsidRPr="00310D26">
        <w:rPr>
          <w:i/>
          <w:sz w:val="16"/>
        </w:rPr>
        <w:t>)</w:t>
      </w:r>
    </w:p>
    <w:p w14:paraId="5075A7B7" w14:textId="77777777" w:rsidR="00955AD5" w:rsidRPr="00310D26" w:rsidRDefault="00955AD5" w:rsidP="00955AD5">
      <w:pPr>
        <w:rPr>
          <w:sz w:val="18"/>
        </w:rPr>
      </w:pPr>
    </w:p>
    <w:tbl>
      <w:tblPr>
        <w:tblW w:w="0" w:type="auto"/>
        <w:shd w:val="clear" w:color="auto" w:fill="F2F2F2" w:themeFill="background1" w:themeFillShade="F2"/>
        <w:tblCellMar>
          <w:top w:w="113" w:type="dxa"/>
          <w:bottom w:w="113" w:type="dxa"/>
        </w:tblCellMar>
        <w:tblLook w:val="04A0" w:firstRow="1" w:lastRow="0" w:firstColumn="1" w:lastColumn="0" w:noHBand="0" w:noVBand="1"/>
      </w:tblPr>
      <w:tblGrid>
        <w:gridCol w:w="9629"/>
      </w:tblGrid>
      <w:tr w:rsidR="00955AD5" w:rsidRPr="00310D26" w14:paraId="504AFD1C" w14:textId="77777777" w:rsidTr="00955AD5">
        <w:tc>
          <w:tcPr>
            <w:tcW w:w="9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AFF2E4" w14:textId="77777777" w:rsidR="00955AD5" w:rsidRPr="00310D26" w:rsidRDefault="00955AD5" w:rsidP="00955AD5">
            <w:pPr>
              <w:rPr>
                <w:i/>
                <w:sz w:val="12"/>
                <w:lang w:eastAsia="ja-JP"/>
              </w:rPr>
            </w:pPr>
          </w:p>
          <w:p w14:paraId="150605BF" w14:textId="52B58A53" w:rsidR="00955AD5" w:rsidRPr="00310D26" w:rsidRDefault="00955AD5" w:rsidP="00955AD5">
            <w:pPr>
              <w:rPr>
                <w:i/>
                <w:lang w:eastAsia="ja-JP"/>
              </w:rPr>
            </w:pPr>
            <w:r w:rsidRPr="00310D26">
              <w:rPr>
                <w:i/>
                <w:lang w:eastAsia="ja-JP"/>
              </w:rPr>
              <w:t>2.3.3</w:t>
            </w:r>
            <w:r w:rsidRPr="00310D26">
              <w:rPr>
                <w:i/>
                <w:lang w:eastAsia="ja-JP"/>
              </w:rPr>
              <w:tab/>
            </w:r>
            <w:r w:rsidR="006B02D2" w:rsidRPr="00310D26">
              <w:rPr>
                <w:i/>
                <w:lang w:eastAsia="ja-JP"/>
              </w:rPr>
              <w:t>Identidad de la variedad</w:t>
            </w:r>
          </w:p>
          <w:p w14:paraId="23173FF6" w14:textId="77777777" w:rsidR="00955AD5" w:rsidRPr="00310D26" w:rsidRDefault="00955AD5" w:rsidP="00955AD5">
            <w:pPr>
              <w:rPr>
                <w:sz w:val="18"/>
              </w:rPr>
            </w:pPr>
          </w:p>
          <w:p w14:paraId="4DFD9676" w14:textId="4E95AECE" w:rsidR="00955AD5" w:rsidRPr="00310D26" w:rsidRDefault="00955AD5" w:rsidP="00955AD5">
            <w:pPr>
              <w:ind w:firstLine="567"/>
            </w:pPr>
            <w:r w:rsidRPr="00310D26">
              <w:t>a)</w:t>
            </w:r>
            <w:r w:rsidRPr="00310D26">
              <w:tab/>
            </w:r>
            <w:r w:rsidR="007D66DB" w:rsidRPr="00310D26">
              <w:rPr>
                <w:rFonts w:cs="Arial"/>
                <w:strike/>
                <w:color w:val="000000"/>
                <w:highlight w:val="lightGray"/>
                <w:shd w:val="clear" w:color="auto" w:fill="FFFF00"/>
              </w:rPr>
              <w:t xml:space="preserve">Como recomendación general, </w:t>
            </w:r>
            <w:r w:rsidR="007D66DB" w:rsidRPr="00310D26">
              <w:rPr>
                <w:strike/>
                <w:highlight w:val="lightGray"/>
              </w:rPr>
              <w:t>una</w:t>
            </w:r>
            <w:r w:rsidRPr="00310D26">
              <w:rPr>
                <w:strike/>
                <w:highlight w:val="lightGray"/>
              </w:rPr>
              <w:t xml:space="preserve"> </w:t>
            </w:r>
            <w:proofErr w:type="spellStart"/>
            <w:r w:rsidR="00DB7D02" w:rsidRPr="00310D26">
              <w:rPr>
                <w:rFonts w:cs="Arial"/>
                <w:color w:val="000000"/>
                <w:highlight w:val="lightGray"/>
                <w:u w:val="single"/>
                <w:shd w:val="clear" w:color="auto" w:fill="FFFF00"/>
              </w:rPr>
              <w:t>Una</w:t>
            </w:r>
            <w:proofErr w:type="spellEnd"/>
            <w:r w:rsidR="00DB7D02" w:rsidRPr="00B549A7">
              <w:rPr>
                <w:rFonts w:cs="Arial"/>
                <w:color w:val="000000"/>
                <w:u w:val="single"/>
                <w:shd w:val="clear" w:color="auto" w:fill="F2F2F2" w:themeFill="background1" w:themeFillShade="F2"/>
              </w:rPr>
              <w:t> </w:t>
            </w:r>
            <w:r w:rsidR="00DB7D02" w:rsidRPr="00B549A7">
              <w:rPr>
                <w:rFonts w:cs="Arial"/>
                <w:color w:val="000000"/>
                <w:shd w:val="clear" w:color="auto" w:fill="F2F2F2" w:themeFill="background1" w:themeFillShade="F2"/>
              </w:rPr>
              <w:t xml:space="preserve">diferencia de solo una letra o un número podrá considerarse susceptible de inducir </w:t>
            </w:r>
            <w:r w:rsidR="008935C5">
              <w:rPr>
                <w:rFonts w:cs="Arial"/>
                <w:color w:val="000000"/>
                <w:shd w:val="clear" w:color="auto" w:fill="F2F2F2" w:themeFill="background1" w:themeFillShade="F2"/>
              </w:rPr>
              <w:t>a</w:t>
            </w:r>
            <w:r w:rsidR="00DB7D02" w:rsidRPr="00B549A7">
              <w:rPr>
                <w:rFonts w:cs="Arial"/>
                <w:color w:val="000000"/>
                <w:shd w:val="clear" w:color="auto" w:fill="F2F2F2" w:themeFill="background1" w:themeFillShade="F2"/>
              </w:rPr>
              <w:t xml:space="preserve"> error o prestarse a confusión en relación con la identidad de la variedad</w:t>
            </w:r>
            <w:r w:rsidR="006B02D2" w:rsidRPr="00B549A7">
              <w:rPr>
                <w:rFonts w:cs="Arial"/>
                <w:strike/>
                <w:color w:val="000000"/>
                <w:shd w:val="clear" w:color="auto" w:fill="D9D9D9" w:themeFill="background1" w:themeFillShade="D9"/>
              </w:rPr>
              <w:t>,</w:t>
            </w:r>
            <w:r w:rsidR="006B02D2" w:rsidRPr="00B549A7">
              <w:rPr>
                <w:rFonts w:cs="Arial"/>
                <w:color w:val="000000"/>
                <w:shd w:val="clear" w:color="auto" w:fill="D9D9D9" w:themeFill="background1" w:themeFillShade="D9"/>
              </w:rPr>
              <w:t>.</w:t>
            </w:r>
            <w:r w:rsidR="00DB7D02" w:rsidRPr="00B549A7">
              <w:rPr>
                <w:rFonts w:cs="Arial"/>
                <w:color w:val="000000"/>
                <w:shd w:val="clear" w:color="auto" w:fill="D9D9D9" w:themeFill="background1" w:themeFillShade="D9"/>
              </w:rPr>
              <w:t xml:space="preserve"> </w:t>
            </w:r>
            <w:r w:rsidR="00DB7D02" w:rsidRPr="00B549A7">
              <w:rPr>
                <w:rFonts w:cs="Arial"/>
                <w:strike/>
                <w:color w:val="000000"/>
                <w:shd w:val="clear" w:color="auto" w:fill="D9D9D9" w:themeFill="background1" w:themeFillShade="D9"/>
              </w:rPr>
              <w:t xml:space="preserve">salvo </w:t>
            </w:r>
            <w:proofErr w:type="spellStart"/>
            <w:r w:rsidR="00DB7D02" w:rsidRPr="00B549A7">
              <w:rPr>
                <w:rFonts w:cs="Arial"/>
                <w:strike/>
                <w:color w:val="000000"/>
                <w:shd w:val="clear" w:color="auto" w:fill="D9D9D9" w:themeFill="background1" w:themeFillShade="D9"/>
              </w:rPr>
              <w:t>cuando</w:t>
            </w:r>
            <w:r w:rsidR="00DB7D02" w:rsidRPr="00B549A7">
              <w:rPr>
                <w:rFonts w:cs="Arial"/>
                <w:color w:val="000000"/>
                <w:u w:val="single"/>
                <w:shd w:val="clear" w:color="auto" w:fill="D9D9D9" w:themeFill="background1" w:themeFillShade="D9"/>
              </w:rPr>
              <w:t>Sin</w:t>
            </w:r>
            <w:proofErr w:type="spellEnd"/>
            <w:r w:rsidR="00DB7D02" w:rsidRPr="00B549A7">
              <w:rPr>
                <w:rFonts w:cs="Arial"/>
                <w:color w:val="000000"/>
                <w:u w:val="single"/>
                <w:shd w:val="clear" w:color="auto" w:fill="D9D9D9" w:themeFill="background1" w:themeFillShade="D9"/>
              </w:rPr>
              <w:t xml:space="preserve"> embargo, los casos siguientes, en los que la diferencia es de solo una letra o un número, podrán considerarse no susceptibles de inducir </w:t>
            </w:r>
            <w:r w:rsidR="008935C5">
              <w:rPr>
                <w:rFonts w:cs="Arial"/>
                <w:color w:val="000000"/>
                <w:u w:val="single"/>
                <w:shd w:val="clear" w:color="auto" w:fill="D9D9D9" w:themeFill="background1" w:themeFillShade="D9"/>
              </w:rPr>
              <w:t>a</w:t>
            </w:r>
            <w:r w:rsidR="00DB7D02" w:rsidRPr="00B549A7">
              <w:rPr>
                <w:rFonts w:cs="Arial"/>
                <w:color w:val="000000"/>
                <w:u w:val="single"/>
                <w:shd w:val="clear" w:color="auto" w:fill="D9D9D9" w:themeFill="background1" w:themeFillShade="D9"/>
              </w:rPr>
              <w:t xml:space="preserve"> error o prestarse a confusión:</w:t>
            </w:r>
          </w:p>
          <w:p w14:paraId="1481FB65" w14:textId="77777777" w:rsidR="00955AD5" w:rsidRPr="00310D26" w:rsidRDefault="00955AD5" w:rsidP="00955AD5"/>
          <w:p w14:paraId="599612F4" w14:textId="6173E754" w:rsidR="00955AD5" w:rsidRPr="00310D26" w:rsidRDefault="00955AD5" w:rsidP="00955AD5">
            <w:pPr>
              <w:tabs>
                <w:tab w:val="right" w:pos="1022"/>
              </w:tabs>
              <w:ind w:left="1163" w:hanging="1163"/>
            </w:pPr>
            <w:r w:rsidRPr="00310D26">
              <w:tab/>
              <w:t>i)</w:t>
            </w:r>
            <w:r w:rsidRPr="00310D26">
              <w:tab/>
            </w:r>
            <w:r w:rsidR="007D66DB" w:rsidRPr="00310D26">
              <w:t xml:space="preserve">la diferencia de una letra indica una diferencia visual </w:t>
            </w:r>
            <w:r w:rsidR="00B31F76" w:rsidRPr="00B31F76">
              <w:rPr>
                <w:strike/>
                <w:highlight w:val="lightGray"/>
              </w:rPr>
              <w:t>o</w:t>
            </w:r>
            <w:r w:rsidR="00B31F76" w:rsidRPr="00B31F76">
              <w:rPr>
                <w:highlight w:val="lightGray"/>
              </w:rPr>
              <w:t xml:space="preserve"> </w:t>
            </w:r>
            <w:r w:rsidR="00B31F76" w:rsidRPr="00B31F76">
              <w:rPr>
                <w:highlight w:val="lightGray"/>
                <w:u w:val="single"/>
              </w:rPr>
              <w:t>y</w:t>
            </w:r>
            <w:r w:rsidR="00B31F76">
              <w:t xml:space="preserve"> </w:t>
            </w:r>
            <w:r w:rsidR="007D66DB" w:rsidRPr="00310D26">
              <w:t>fonética clara; por ejemplo, si se trata de una letra al comienzo de una palabra</w:t>
            </w:r>
            <w:r w:rsidRPr="00310D26">
              <w:t>:</w:t>
            </w:r>
          </w:p>
          <w:p w14:paraId="6D61FC7F" w14:textId="77777777" w:rsidR="00955AD5" w:rsidRPr="00310D26" w:rsidRDefault="00955AD5" w:rsidP="00955AD5">
            <w:pPr>
              <w:rPr>
                <w:sz w:val="14"/>
              </w:rPr>
            </w:pPr>
          </w:p>
          <w:p w14:paraId="3D80C9C5" w14:textId="5F20FF0A" w:rsidR="007D66DB" w:rsidRPr="00310D26" w:rsidRDefault="00955AD5" w:rsidP="00955AD5">
            <w:pPr>
              <w:spacing w:before="120"/>
              <w:ind w:left="567"/>
              <w:rPr>
                <w:strike/>
                <w:color w:val="000000"/>
              </w:rPr>
            </w:pPr>
            <w:r w:rsidRPr="00310D26">
              <w:rPr>
                <w:i/>
                <w:color w:val="000000"/>
              </w:rPr>
              <w:t>E</w:t>
            </w:r>
            <w:r w:rsidR="007D66DB" w:rsidRPr="00310D26">
              <w:rPr>
                <w:i/>
                <w:color w:val="000000"/>
              </w:rPr>
              <w:t>jemplo</w:t>
            </w:r>
            <w:r w:rsidRPr="00310D26">
              <w:rPr>
                <w:i/>
                <w:strike/>
                <w:color w:val="000000"/>
              </w:rPr>
              <w:t xml:space="preserve"> </w:t>
            </w:r>
            <w:r w:rsidRPr="00310D26">
              <w:rPr>
                <w:i/>
                <w:strike/>
                <w:color w:val="000000"/>
                <w:highlight w:val="lightGray"/>
                <w:u w:val="single"/>
              </w:rPr>
              <w:t>1</w:t>
            </w:r>
            <w:r w:rsidRPr="00310D26">
              <w:rPr>
                <w:i/>
                <w:color w:val="000000"/>
                <w:u w:val="single"/>
                <w:shd w:val="pct15" w:color="auto" w:fill="FFFFFF"/>
              </w:rPr>
              <w:t>s</w:t>
            </w:r>
            <w:r w:rsidRPr="00310D26">
              <w:rPr>
                <w:i/>
                <w:color w:val="000000"/>
                <w:u w:val="single"/>
              </w:rPr>
              <w:t xml:space="preserve"> </w:t>
            </w:r>
            <w:r w:rsidR="007D66DB" w:rsidRPr="00310D26">
              <w:rPr>
                <w:i/>
                <w:color w:val="000000"/>
                <w:u w:val="single"/>
                <w:shd w:val="pct15" w:color="auto" w:fill="FFFFFF"/>
              </w:rPr>
              <w:t>de denominaciones adecuadas</w:t>
            </w:r>
            <w:r w:rsidRPr="00310D26">
              <w:rPr>
                <w:i/>
                <w:color w:val="000000"/>
              </w:rPr>
              <w:t>:</w:t>
            </w:r>
            <w:r w:rsidRPr="00310D26">
              <w:rPr>
                <w:color w:val="000000"/>
              </w:rPr>
              <w:t xml:space="preserve"> </w:t>
            </w:r>
            <w:r w:rsidR="007D66DB" w:rsidRPr="00310D26">
              <w:rPr>
                <w:strike/>
                <w:color w:val="000000"/>
              </w:rPr>
              <w:t xml:space="preserve">en el idioma inglés, </w:t>
            </w:r>
            <w:r w:rsidR="00C86AA9" w:rsidRPr="00310D26">
              <w:rPr>
                <w:color w:val="000000"/>
              </w:rPr>
              <w:t>“</w:t>
            </w:r>
            <w:r w:rsidRPr="00310D26">
              <w:rPr>
                <w:color w:val="000000"/>
                <w:u w:val="single"/>
              </w:rPr>
              <w:t>H</w:t>
            </w:r>
            <w:r w:rsidRPr="00310D26">
              <w:rPr>
                <w:color w:val="000000"/>
              </w:rPr>
              <w:t>arry</w:t>
            </w:r>
            <w:r w:rsidR="00C86AA9" w:rsidRPr="00310D26">
              <w:rPr>
                <w:color w:val="000000"/>
              </w:rPr>
              <w:t>”</w:t>
            </w:r>
            <w:r w:rsidRPr="00310D26">
              <w:rPr>
                <w:color w:val="000000"/>
              </w:rPr>
              <w:t xml:space="preserve"> </w:t>
            </w:r>
            <w:r w:rsidR="007D66DB" w:rsidRPr="00310D26">
              <w:rPr>
                <w:color w:val="000000"/>
              </w:rPr>
              <w:t>y</w:t>
            </w:r>
            <w:r w:rsidRPr="00310D26">
              <w:rPr>
                <w:color w:val="000000"/>
              </w:rPr>
              <w:t xml:space="preserve"> </w:t>
            </w:r>
            <w:r w:rsidR="00C86AA9" w:rsidRPr="00310D26">
              <w:rPr>
                <w:color w:val="000000"/>
              </w:rPr>
              <w:t>“</w:t>
            </w:r>
            <w:r w:rsidRPr="00310D26">
              <w:rPr>
                <w:color w:val="000000"/>
                <w:u w:val="single"/>
              </w:rPr>
              <w:t>L</w:t>
            </w:r>
            <w:r w:rsidRPr="00310D26">
              <w:rPr>
                <w:color w:val="000000"/>
              </w:rPr>
              <w:t>arry</w:t>
            </w:r>
            <w:r w:rsidR="00C86AA9" w:rsidRPr="00310D26">
              <w:rPr>
                <w:color w:val="000000"/>
              </w:rPr>
              <w:t>”</w:t>
            </w:r>
            <w:r w:rsidRPr="00310D26">
              <w:rPr>
                <w:color w:val="000000"/>
                <w:highlight w:val="lightGray"/>
                <w:u w:val="single"/>
                <w:shd w:val="pct15" w:color="auto" w:fill="FFFFFF"/>
              </w:rPr>
              <w:t xml:space="preserve">; </w:t>
            </w:r>
            <w:r w:rsidR="00C86AA9" w:rsidRPr="00310D26">
              <w:rPr>
                <w:color w:val="000000"/>
                <w:highlight w:val="lightGray"/>
                <w:u w:val="single"/>
                <w:shd w:val="pct15" w:color="auto" w:fill="FFFFFF"/>
              </w:rPr>
              <w:t>“</w:t>
            </w:r>
            <w:proofErr w:type="spellStart"/>
            <w:r w:rsidRPr="00310D26">
              <w:rPr>
                <w:color w:val="000000"/>
                <w:highlight w:val="lightGray"/>
                <w:u w:val="single"/>
                <w:shd w:val="pct15" w:color="auto" w:fill="FFFFFF"/>
              </w:rPr>
              <w:t>Meagan</w:t>
            </w:r>
            <w:proofErr w:type="spellEnd"/>
            <w:r w:rsidR="00C86AA9" w:rsidRPr="00310D26">
              <w:rPr>
                <w:color w:val="000000"/>
                <w:highlight w:val="lightGray"/>
                <w:u w:val="single"/>
                <w:shd w:val="pct15" w:color="auto" w:fill="FFFFFF"/>
              </w:rPr>
              <w:t>”</w:t>
            </w:r>
            <w:r w:rsidRPr="00310D26">
              <w:rPr>
                <w:color w:val="000000"/>
                <w:highlight w:val="lightGray"/>
                <w:u w:val="single"/>
                <w:shd w:val="pct15" w:color="auto" w:fill="FFFFFF"/>
              </w:rPr>
              <w:t xml:space="preserve"> </w:t>
            </w:r>
            <w:r w:rsidR="007D66DB" w:rsidRPr="00310D26">
              <w:rPr>
                <w:color w:val="000000"/>
                <w:highlight w:val="lightGray"/>
                <w:u w:val="single"/>
                <w:shd w:val="pct15" w:color="auto" w:fill="FFFFFF"/>
              </w:rPr>
              <w:t>y</w:t>
            </w:r>
            <w:r w:rsidRPr="00310D26">
              <w:rPr>
                <w:color w:val="000000"/>
                <w:highlight w:val="lightGray"/>
                <w:u w:val="single"/>
                <w:shd w:val="pct15" w:color="auto" w:fill="FFFFFF"/>
              </w:rPr>
              <w:t xml:space="preserve"> </w:t>
            </w:r>
            <w:r w:rsidR="00C86AA9" w:rsidRPr="00310D26">
              <w:rPr>
                <w:color w:val="000000"/>
                <w:highlight w:val="lightGray"/>
                <w:u w:val="single"/>
                <w:shd w:val="pct15" w:color="auto" w:fill="FFFFFF"/>
              </w:rPr>
              <w:t>“</w:t>
            </w:r>
            <w:r w:rsidRPr="00310D26">
              <w:rPr>
                <w:color w:val="000000"/>
                <w:highlight w:val="lightGray"/>
                <w:u w:val="single"/>
                <w:shd w:val="pct15" w:color="auto" w:fill="FFFFFF"/>
              </w:rPr>
              <w:t>Reagan</w:t>
            </w:r>
            <w:r w:rsidR="00C86AA9" w:rsidRPr="00310D26">
              <w:rPr>
                <w:color w:val="000000"/>
                <w:highlight w:val="lightGray"/>
                <w:u w:val="single"/>
                <w:shd w:val="pct15" w:color="auto" w:fill="FFFFFF"/>
              </w:rPr>
              <w:t>”</w:t>
            </w:r>
            <w:r w:rsidRPr="00310D26">
              <w:rPr>
                <w:color w:val="000000"/>
                <w:highlight w:val="lightGray"/>
                <w:u w:val="single"/>
                <w:shd w:val="pct15" w:color="auto" w:fill="FFFFFF"/>
              </w:rPr>
              <w:t xml:space="preserve">; </w:t>
            </w:r>
            <w:r w:rsidR="00C86AA9" w:rsidRPr="00310D26">
              <w:rPr>
                <w:color w:val="000000"/>
                <w:highlight w:val="lightGray"/>
                <w:u w:val="single"/>
                <w:shd w:val="pct15" w:color="auto" w:fill="FFFFFF"/>
              </w:rPr>
              <w:t>“</w:t>
            </w:r>
            <w:proofErr w:type="spellStart"/>
            <w:r w:rsidRPr="00310D26">
              <w:rPr>
                <w:color w:val="000000"/>
                <w:highlight w:val="lightGray"/>
                <w:u w:val="single"/>
                <w:shd w:val="pct15" w:color="auto" w:fill="FFFFFF"/>
              </w:rPr>
              <w:t>Kinky</w:t>
            </w:r>
            <w:proofErr w:type="spellEnd"/>
            <w:r w:rsidR="00C86AA9" w:rsidRPr="00310D26">
              <w:rPr>
                <w:color w:val="000000"/>
                <w:highlight w:val="lightGray"/>
                <w:u w:val="single"/>
                <w:shd w:val="pct15" w:color="auto" w:fill="FFFFFF"/>
              </w:rPr>
              <w:t>”</w:t>
            </w:r>
            <w:r w:rsidRPr="00310D26">
              <w:rPr>
                <w:color w:val="000000"/>
                <w:highlight w:val="lightGray"/>
                <w:u w:val="single"/>
                <w:shd w:val="pct15" w:color="auto" w:fill="FFFFFF"/>
              </w:rPr>
              <w:t xml:space="preserve"> </w:t>
            </w:r>
            <w:r w:rsidR="007D66DB" w:rsidRPr="00310D26">
              <w:rPr>
                <w:color w:val="000000"/>
                <w:highlight w:val="lightGray"/>
                <w:u w:val="single"/>
                <w:shd w:val="pct15" w:color="auto" w:fill="FFFFFF"/>
              </w:rPr>
              <w:t>y</w:t>
            </w:r>
            <w:r w:rsidRPr="00310D26">
              <w:rPr>
                <w:color w:val="000000"/>
                <w:highlight w:val="lightGray"/>
                <w:u w:val="single"/>
                <w:shd w:val="pct15" w:color="auto" w:fill="FFFFFF"/>
              </w:rPr>
              <w:t xml:space="preserve"> </w:t>
            </w:r>
            <w:r w:rsidR="00C86AA9" w:rsidRPr="00310D26">
              <w:rPr>
                <w:color w:val="000000"/>
                <w:highlight w:val="lightGray"/>
                <w:u w:val="single"/>
                <w:shd w:val="pct15" w:color="auto" w:fill="FFFFFF"/>
              </w:rPr>
              <w:t>“</w:t>
            </w:r>
            <w:proofErr w:type="spellStart"/>
            <w:r w:rsidRPr="00310D26">
              <w:rPr>
                <w:color w:val="000000"/>
                <w:highlight w:val="lightGray"/>
                <w:u w:val="single"/>
                <w:shd w:val="pct15" w:color="auto" w:fill="FFFFFF"/>
              </w:rPr>
              <w:t>Binky</w:t>
            </w:r>
            <w:proofErr w:type="spellEnd"/>
            <w:r w:rsidR="00C86AA9" w:rsidRPr="00310D26">
              <w:rPr>
                <w:color w:val="000000"/>
                <w:highlight w:val="lightGray"/>
                <w:u w:val="single"/>
                <w:shd w:val="pct15" w:color="auto" w:fill="FFFFFF"/>
              </w:rPr>
              <w:t>”</w:t>
            </w:r>
            <w:r w:rsidRPr="00310D26">
              <w:rPr>
                <w:color w:val="000000"/>
                <w:highlight w:val="lightGray"/>
                <w:u w:val="single"/>
                <w:shd w:val="pct15" w:color="auto" w:fill="FFFFFF"/>
              </w:rPr>
              <w:t xml:space="preserve">; </w:t>
            </w:r>
            <w:r w:rsidR="007D66DB" w:rsidRPr="00310D26">
              <w:rPr>
                <w:color w:val="000000"/>
                <w:highlight w:val="lightGray"/>
                <w:u w:val="single"/>
                <w:shd w:val="pct15" w:color="auto" w:fill="FFFFFF"/>
              </w:rPr>
              <w:t>y</w:t>
            </w:r>
            <w:r w:rsidRPr="00310D26">
              <w:rPr>
                <w:color w:val="000000"/>
                <w:highlight w:val="lightGray"/>
                <w:u w:val="single"/>
                <w:shd w:val="pct15" w:color="auto" w:fill="FFFFFF"/>
              </w:rPr>
              <w:t xml:space="preserve"> </w:t>
            </w:r>
            <w:r w:rsidR="00C86AA9" w:rsidRPr="00310D26">
              <w:rPr>
                <w:color w:val="000000"/>
                <w:highlight w:val="lightGray"/>
                <w:u w:val="single"/>
                <w:shd w:val="pct15" w:color="auto" w:fill="FFFFFF"/>
              </w:rPr>
              <w:t>“</w:t>
            </w:r>
            <w:proofErr w:type="spellStart"/>
            <w:r w:rsidRPr="00310D26">
              <w:rPr>
                <w:color w:val="000000"/>
                <w:highlight w:val="lightGray"/>
                <w:u w:val="single"/>
                <w:shd w:val="pct15" w:color="auto" w:fill="FFFFFF"/>
              </w:rPr>
              <w:t>Hagar</w:t>
            </w:r>
            <w:proofErr w:type="spellEnd"/>
            <w:r w:rsidR="00C86AA9" w:rsidRPr="00310D26">
              <w:rPr>
                <w:color w:val="000000"/>
                <w:highlight w:val="lightGray"/>
                <w:u w:val="single"/>
                <w:shd w:val="pct15" w:color="auto" w:fill="FFFFFF"/>
              </w:rPr>
              <w:t>”</w:t>
            </w:r>
            <w:r w:rsidRPr="00310D26">
              <w:rPr>
                <w:color w:val="000000"/>
                <w:highlight w:val="lightGray"/>
                <w:u w:val="single"/>
                <w:shd w:val="pct15" w:color="auto" w:fill="FFFFFF"/>
              </w:rPr>
              <w:t xml:space="preserve"> </w:t>
            </w:r>
            <w:r w:rsidR="007D66DB" w:rsidRPr="00310D26">
              <w:rPr>
                <w:color w:val="000000"/>
                <w:highlight w:val="lightGray"/>
                <w:u w:val="single"/>
                <w:shd w:val="pct15" w:color="auto" w:fill="FFFFFF"/>
              </w:rPr>
              <w:t>y</w:t>
            </w:r>
            <w:r w:rsidR="000C7448" w:rsidRPr="00310D26">
              <w:rPr>
                <w:color w:val="000000"/>
                <w:highlight w:val="lightGray"/>
                <w:u w:val="single"/>
                <w:shd w:val="pct15" w:color="auto" w:fill="FFFFFF"/>
              </w:rPr>
              <w:t xml:space="preserve"> </w:t>
            </w:r>
            <w:r w:rsidR="00C86AA9" w:rsidRPr="00310D26">
              <w:rPr>
                <w:color w:val="000000"/>
                <w:highlight w:val="lightGray"/>
                <w:u w:val="single"/>
                <w:shd w:val="pct15" w:color="auto" w:fill="FFFFFF"/>
              </w:rPr>
              <w:t>“</w:t>
            </w:r>
            <w:proofErr w:type="spellStart"/>
            <w:r w:rsidRPr="00310D26">
              <w:rPr>
                <w:color w:val="000000"/>
                <w:highlight w:val="lightGray"/>
                <w:u w:val="single"/>
                <w:shd w:val="pct15" w:color="auto" w:fill="FFFFFF"/>
              </w:rPr>
              <w:t>Magar</w:t>
            </w:r>
            <w:proofErr w:type="spellEnd"/>
            <w:r w:rsidR="00C86AA9" w:rsidRPr="00310D26">
              <w:rPr>
                <w:color w:val="000000"/>
                <w:highlight w:val="lightGray"/>
                <w:u w:val="single"/>
                <w:shd w:val="pct15" w:color="auto" w:fill="FFFFFF"/>
              </w:rPr>
              <w:t>”</w:t>
            </w:r>
            <w:r w:rsidRPr="00310D26">
              <w:rPr>
                <w:strike/>
                <w:color w:val="000000"/>
                <w:highlight w:val="lightGray"/>
                <w:shd w:val="pct15" w:color="auto" w:fill="FFFFFF"/>
              </w:rPr>
              <w:t xml:space="preserve"> </w:t>
            </w:r>
            <w:r w:rsidR="007D66DB" w:rsidRPr="00310D26">
              <w:rPr>
                <w:strike/>
                <w:color w:val="000000"/>
                <w:highlight w:val="lightGray"/>
              </w:rPr>
              <w:t>no se prestarían a confusión;</w:t>
            </w:r>
            <w:r w:rsidR="007D66DB" w:rsidRPr="00310D26">
              <w:rPr>
                <w:color w:val="000000"/>
                <w:highlight w:val="lightGray"/>
              </w:rPr>
              <w:t xml:space="preserve"> </w:t>
            </w:r>
            <w:r w:rsidR="007D66DB" w:rsidRPr="00310D26">
              <w:rPr>
                <w:strike/>
                <w:color w:val="000000"/>
                <w:highlight w:val="lightGray"/>
              </w:rPr>
              <w:t>sin embargo, “</w:t>
            </w:r>
            <w:proofErr w:type="spellStart"/>
            <w:r w:rsidR="007D66DB" w:rsidRPr="00310D26">
              <w:rPr>
                <w:strike/>
                <w:color w:val="000000"/>
                <w:highlight w:val="lightGray"/>
              </w:rPr>
              <w:t>Bough</w:t>
            </w:r>
            <w:proofErr w:type="spellEnd"/>
            <w:r w:rsidR="007D66DB" w:rsidRPr="00310D26">
              <w:rPr>
                <w:strike/>
                <w:color w:val="000000"/>
                <w:highlight w:val="lightGray"/>
              </w:rPr>
              <w:t>” y “</w:t>
            </w:r>
            <w:proofErr w:type="spellStart"/>
            <w:r w:rsidR="007D66DB" w:rsidRPr="00310D26">
              <w:rPr>
                <w:strike/>
                <w:color w:val="000000"/>
                <w:highlight w:val="lightGray"/>
              </w:rPr>
              <w:t>Bow</w:t>
            </w:r>
            <w:proofErr w:type="spellEnd"/>
            <w:r w:rsidR="007D66DB" w:rsidRPr="00310D26">
              <w:rPr>
                <w:strike/>
                <w:color w:val="000000"/>
                <w:highlight w:val="lightGray"/>
              </w:rPr>
              <w:t>” podrían causar confusión (en términos fonéticos);</w:t>
            </w:r>
          </w:p>
          <w:p w14:paraId="26607F92" w14:textId="05F2288C" w:rsidR="00955AD5" w:rsidRPr="00310D26" w:rsidRDefault="00955AD5" w:rsidP="00955AD5">
            <w:pPr>
              <w:spacing w:before="120"/>
              <w:ind w:left="567"/>
              <w:rPr>
                <w:u w:val="single"/>
              </w:rPr>
            </w:pPr>
            <w:r w:rsidRPr="00310D26">
              <w:rPr>
                <w:i/>
                <w:highlight w:val="lightGray"/>
                <w:shd w:val="pct15" w:color="auto" w:fill="FFFFFF"/>
              </w:rPr>
              <w:t>E</w:t>
            </w:r>
            <w:r w:rsidR="001A3B8B" w:rsidRPr="00310D26">
              <w:rPr>
                <w:i/>
                <w:highlight w:val="lightGray"/>
                <w:shd w:val="pct15" w:color="auto" w:fill="FFFFFF"/>
              </w:rPr>
              <w:t>jemplo</w:t>
            </w:r>
            <w:r w:rsidRPr="00310D26">
              <w:rPr>
                <w:i/>
                <w:strike/>
                <w:highlight w:val="lightGray"/>
                <w:shd w:val="pct15" w:color="auto" w:fill="FFFFFF"/>
              </w:rPr>
              <w:t xml:space="preserve"> 2</w:t>
            </w:r>
            <w:r w:rsidRPr="00310D26">
              <w:rPr>
                <w:i/>
                <w:highlight w:val="lightGray"/>
                <w:u w:val="single"/>
              </w:rPr>
              <w:t xml:space="preserve">s </w:t>
            </w:r>
            <w:r w:rsidR="000C7448" w:rsidRPr="00310D26">
              <w:rPr>
                <w:i/>
                <w:highlight w:val="lightGray"/>
                <w:u w:val="single"/>
              </w:rPr>
              <w:t>de denominaciones inadecuadas:</w:t>
            </w:r>
            <w:r w:rsidRPr="00310D26">
              <w:rPr>
                <w:highlight w:val="lightGray"/>
              </w:rPr>
              <w:t xml:space="preserve"> </w:t>
            </w:r>
            <w:r w:rsidR="000C7448" w:rsidRPr="00310D26">
              <w:rPr>
                <w:strike/>
                <w:highlight w:val="lightGray"/>
              </w:rPr>
              <w:t>en los idiomas japonés y coreano, no hay diferencia entre los sonidos de las letras “L” y “R”, por lo que “Lion” y “</w:t>
            </w:r>
            <w:proofErr w:type="spellStart"/>
            <w:r w:rsidR="000C7448" w:rsidRPr="00310D26">
              <w:rPr>
                <w:strike/>
                <w:highlight w:val="lightGray"/>
              </w:rPr>
              <w:t>Raion</w:t>
            </w:r>
            <w:proofErr w:type="spellEnd"/>
            <w:r w:rsidR="000C7448" w:rsidRPr="00310D26">
              <w:rPr>
                <w:strike/>
                <w:highlight w:val="lightGray"/>
              </w:rPr>
              <w:t xml:space="preserve">” suenan exactamente lo mismo, aunque sean palabras que las personas de habla inglesa pueden distinguirlas perfectamente </w:t>
            </w:r>
            <w:r w:rsidR="00C86AA9" w:rsidRPr="00310D26">
              <w:rPr>
                <w:highlight w:val="lightGray"/>
                <w:u w:val="single"/>
              </w:rPr>
              <w:t>“</w:t>
            </w:r>
            <w:r w:rsidRPr="00310D26">
              <w:rPr>
                <w:highlight w:val="lightGray"/>
                <w:u w:val="single"/>
              </w:rPr>
              <w:t>Helena</w:t>
            </w:r>
            <w:r w:rsidR="00C86AA9" w:rsidRPr="00310D26">
              <w:rPr>
                <w:highlight w:val="lightGray"/>
                <w:u w:val="single"/>
              </w:rPr>
              <w:t>”</w:t>
            </w:r>
            <w:r w:rsidRPr="00310D26">
              <w:rPr>
                <w:highlight w:val="lightGray"/>
                <w:u w:val="single"/>
              </w:rPr>
              <w:t xml:space="preserve"> </w:t>
            </w:r>
            <w:r w:rsidR="00C86AA9" w:rsidRPr="00310D26">
              <w:rPr>
                <w:highlight w:val="lightGray"/>
                <w:u w:val="single"/>
              </w:rPr>
              <w:t>y “</w:t>
            </w:r>
            <w:r w:rsidRPr="00310D26">
              <w:rPr>
                <w:highlight w:val="lightGray"/>
                <w:u w:val="single"/>
              </w:rPr>
              <w:t>Elena</w:t>
            </w:r>
            <w:r w:rsidR="00C86AA9" w:rsidRPr="00310D26">
              <w:rPr>
                <w:highlight w:val="lightGray"/>
                <w:u w:val="single"/>
              </w:rPr>
              <w:t>”</w:t>
            </w:r>
            <w:r w:rsidRPr="00310D26">
              <w:rPr>
                <w:highlight w:val="lightGray"/>
                <w:u w:val="single"/>
              </w:rPr>
              <w:t>;</w:t>
            </w:r>
            <w:r w:rsidR="006B02D2" w:rsidRPr="00310D26">
              <w:rPr>
                <w:highlight w:val="lightGray"/>
                <w:u w:val="single"/>
              </w:rPr>
              <w:t xml:space="preserve"> </w:t>
            </w:r>
            <w:r w:rsidR="00C86AA9" w:rsidRPr="00310D26">
              <w:rPr>
                <w:highlight w:val="lightGray"/>
                <w:u w:val="single"/>
              </w:rPr>
              <w:t>“</w:t>
            </w:r>
            <w:proofErr w:type="spellStart"/>
            <w:r w:rsidRPr="00310D26">
              <w:rPr>
                <w:highlight w:val="lightGray"/>
                <w:u w:val="single"/>
              </w:rPr>
              <w:t>Paqou</w:t>
            </w:r>
            <w:proofErr w:type="spellEnd"/>
            <w:r w:rsidR="00C86AA9" w:rsidRPr="00310D26">
              <w:rPr>
                <w:highlight w:val="lightGray"/>
                <w:u w:val="single"/>
              </w:rPr>
              <w:t>”</w:t>
            </w:r>
            <w:r w:rsidRPr="00310D26">
              <w:rPr>
                <w:highlight w:val="lightGray"/>
                <w:u w:val="single"/>
              </w:rPr>
              <w:t xml:space="preserve">, </w:t>
            </w:r>
            <w:r w:rsidR="00C86AA9" w:rsidRPr="00310D26">
              <w:rPr>
                <w:highlight w:val="lightGray"/>
                <w:u w:val="single"/>
              </w:rPr>
              <w:t>“</w:t>
            </w:r>
            <w:proofErr w:type="spellStart"/>
            <w:r w:rsidRPr="00310D26">
              <w:rPr>
                <w:highlight w:val="lightGray"/>
                <w:u w:val="single"/>
              </w:rPr>
              <w:t>Pacou</w:t>
            </w:r>
            <w:proofErr w:type="spellEnd"/>
            <w:r w:rsidR="00C86AA9" w:rsidRPr="00310D26">
              <w:rPr>
                <w:highlight w:val="lightGray"/>
                <w:u w:val="single"/>
              </w:rPr>
              <w:t>”</w:t>
            </w:r>
            <w:r w:rsidRPr="00310D26">
              <w:rPr>
                <w:highlight w:val="lightGray"/>
                <w:u w:val="single"/>
              </w:rPr>
              <w:t xml:space="preserve"> </w:t>
            </w:r>
            <w:r w:rsidR="00C86AA9" w:rsidRPr="00310D26">
              <w:rPr>
                <w:highlight w:val="lightGray"/>
                <w:u w:val="single"/>
              </w:rPr>
              <w:t>y</w:t>
            </w:r>
            <w:r w:rsidRPr="00310D26">
              <w:rPr>
                <w:highlight w:val="lightGray"/>
                <w:u w:val="single"/>
              </w:rPr>
              <w:t xml:space="preserve"> </w:t>
            </w:r>
            <w:r w:rsidR="00C86AA9" w:rsidRPr="00310D26">
              <w:rPr>
                <w:highlight w:val="lightGray"/>
                <w:u w:val="single"/>
              </w:rPr>
              <w:t>“</w:t>
            </w:r>
            <w:proofErr w:type="spellStart"/>
            <w:r w:rsidRPr="00310D26">
              <w:rPr>
                <w:highlight w:val="lightGray"/>
                <w:u w:val="single"/>
              </w:rPr>
              <w:t>Pakou</w:t>
            </w:r>
            <w:proofErr w:type="spellEnd"/>
            <w:r w:rsidR="00C86AA9" w:rsidRPr="00310D26">
              <w:rPr>
                <w:highlight w:val="lightGray"/>
                <w:u w:val="single"/>
              </w:rPr>
              <w:t>”</w:t>
            </w:r>
            <w:r w:rsidRPr="00310D26">
              <w:rPr>
                <w:highlight w:val="lightGray"/>
                <w:u w:val="single"/>
              </w:rPr>
              <w:t xml:space="preserve">; </w:t>
            </w:r>
            <w:r w:rsidR="00C86AA9" w:rsidRPr="00310D26">
              <w:rPr>
                <w:highlight w:val="lightGray"/>
                <w:u w:val="single"/>
              </w:rPr>
              <w:t>“</w:t>
            </w:r>
            <w:proofErr w:type="spellStart"/>
            <w:r w:rsidRPr="00310D26">
              <w:rPr>
                <w:highlight w:val="lightGray"/>
                <w:u w:val="single"/>
              </w:rPr>
              <w:t>Poge</w:t>
            </w:r>
            <w:proofErr w:type="spellEnd"/>
            <w:r w:rsidR="00C86AA9" w:rsidRPr="00310D26">
              <w:rPr>
                <w:highlight w:val="lightGray"/>
                <w:u w:val="single"/>
              </w:rPr>
              <w:t>”</w:t>
            </w:r>
            <w:r w:rsidRPr="00310D26">
              <w:rPr>
                <w:highlight w:val="lightGray"/>
                <w:u w:val="single"/>
              </w:rPr>
              <w:t xml:space="preserve"> </w:t>
            </w:r>
            <w:r w:rsidR="00C86AA9" w:rsidRPr="00310D26">
              <w:rPr>
                <w:highlight w:val="lightGray"/>
                <w:u w:val="single"/>
              </w:rPr>
              <w:t>y “</w:t>
            </w:r>
            <w:r w:rsidRPr="00310D26">
              <w:rPr>
                <w:highlight w:val="lightGray"/>
                <w:u w:val="single"/>
              </w:rPr>
              <w:t>Poje</w:t>
            </w:r>
            <w:r w:rsidR="00C86AA9" w:rsidRPr="00310D26">
              <w:rPr>
                <w:highlight w:val="lightGray"/>
                <w:u w:val="single"/>
              </w:rPr>
              <w:t>”</w:t>
            </w:r>
            <w:r w:rsidRPr="00310D26">
              <w:rPr>
                <w:highlight w:val="lightGray"/>
                <w:u w:val="single"/>
              </w:rPr>
              <w:t xml:space="preserve">, </w:t>
            </w:r>
            <w:r w:rsidR="00C86AA9" w:rsidRPr="00310D26">
              <w:rPr>
                <w:highlight w:val="lightGray"/>
                <w:u w:val="single"/>
              </w:rPr>
              <w:t>y</w:t>
            </w:r>
            <w:r w:rsidRPr="00310D26">
              <w:rPr>
                <w:highlight w:val="lightGray"/>
                <w:u w:val="single"/>
              </w:rPr>
              <w:t xml:space="preserve"> </w:t>
            </w:r>
            <w:r w:rsidR="00C86AA9" w:rsidRPr="00310D26">
              <w:rPr>
                <w:highlight w:val="lightGray"/>
                <w:u w:val="single"/>
              </w:rPr>
              <w:t>“</w:t>
            </w:r>
            <w:proofErr w:type="spellStart"/>
            <w:r w:rsidRPr="00310D26">
              <w:rPr>
                <w:highlight w:val="lightGray"/>
                <w:u w:val="single"/>
              </w:rPr>
              <w:t>Zophia</w:t>
            </w:r>
            <w:proofErr w:type="spellEnd"/>
            <w:r w:rsidR="00C86AA9" w:rsidRPr="00310D26">
              <w:rPr>
                <w:highlight w:val="lightGray"/>
                <w:u w:val="single"/>
              </w:rPr>
              <w:t>”</w:t>
            </w:r>
            <w:r w:rsidRPr="00310D26">
              <w:rPr>
                <w:highlight w:val="lightGray"/>
                <w:u w:val="single"/>
              </w:rPr>
              <w:t xml:space="preserve"> </w:t>
            </w:r>
            <w:r w:rsidR="00C86AA9" w:rsidRPr="00310D26">
              <w:rPr>
                <w:highlight w:val="lightGray"/>
                <w:u w:val="single"/>
              </w:rPr>
              <w:t>y</w:t>
            </w:r>
            <w:r w:rsidRPr="00310D26">
              <w:rPr>
                <w:highlight w:val="lightGray"/>
                <w:u w:val="single"/>
              </w:rPr>
              <w:t xml:space="preserve"> </w:t>
            </w:r>
            <w:r w:rsidR="00C86AA9" w:rsidRPr="00310D26">
              <w:rPr>
                <w:highlight w:val="lightGray"/>
                <w:u w:val="single"/>
              </w:rPr>
              <w:t>“</w:t>
            </w:r>
            <w:proofErr w:type="spellStart"/>
            <w:r w:rsidRPr="00310D26">
              <w:rPr>
                <w:highlight w:val="lightGray"/>
                <w:u w:val="single"/>
              </w:rPr>
              <w:t>Sophia</w:t>
            </w:r>
            <w:proofErr w:type="spellEnd"/>
            <w:r w:rsidR="00C86AA9" w:rsidRPr="00310D26">
              <w:rPr>
                <w:highlight w:val="lightGray"/>
                <w:u w:val="single"/>
              </w:rPr>
              <w:t>”</w:t>
            </w:r>
            <w:r w:rsidRPr="00310D26">
              <w:rPr>
                <w:highlight w:val="lightGray"/>
                <w:u w:val="single"/>
              </w:rPr>
              <w:t>.</w:t>
            </w:r>
            <w:r w:rsidRPr="00310D26">
              <w:rPr>
                <w:strike/>
                <w:highlight w:val="lightGray"/>
              </w:rPr>
              <w:t xml:space="preserve"> </w:t>
            </w:r>
            <w:r w:rsidR="00C86AA9" w:rsidRPr="00310D26">
              <w:rPr>
                <w:strike/>
                <w:highlight w:val="lightGray"/>
              </w:rPr>
              <w:t>podrían prestarse a confusión fonéticamente, pero no visualmente</w:t>
            </w:r>
            <w:r w:rsidRPr="00310D26">
              <w:rPr>
                <w:strike/>
                <w:highlight w:val="lightGray"/>
              </w:rPr>
              <w:t>;</w:t>
            </w:r>
          </w:p>
          <w:p w14:paraId="5F0AD27D" w14:textId="77777777" w:rsidR="00955AD5" w:rsidRPr="00310D26" w:rsidRDefault="00955AD5" w:rsidP="00955AD5">
            <w:pPr>
              <w:rPr>
                <w:lang w:eastAsia="ja-JP"/>
              </w:rPr>
            </w:pPr>
          </w:p>
          <w:p w14:paraId="3D39E611" w14:textId="37890E1C" w:rsidR="00955AD5" w:rsidRPr="00310D26" w:rsidRDefault="00955AD5" w:rsidP="00955AD5">
            <w:pPr>
              <w:tabs>
                <w:tab w:val="right" w:pos="1022"/>
              </w:tabs>
              <w:ind w:left="1163" w:hanging="1163"/>
              <w:rPr>
                <w:highlight w:val="yellow"/>
                <w:u w:val="single"/>
              </w:rPr>
            </w:pPr>
            <w:r w:rsidRPr="00310D26">
              <w:tab/>
            </w:r>
            <w:r w:rsidRPr="00310D26">
              <w:rPr>
                <w:highlight w:val="yellow"/>
                <w:u w:val="single"/>
              </w:rPr>
              <w:t>ii)</w:t>
            </w:r>
            <w:r w:rsidRPr="00310D26">
              <w:rPr>
                <w:highlight w:val="yellow"/>
                <w:u w:val="single"/>
              </w:rPr>
              <w:tab/>
            </w:r>
            <w:r w:rsidR="00C86AA9" w:rsidRPr="00310D26">
              <w:rPr>
                <w:iCs/>
                <w:highlight w:val="yellow"/>
                <w:u w:val="single"/>
              </w:rPr>
              <w:t xml:space="preserve">la diferencia de una letra que no va a comienzo de palabra indica una diferencia </w:t>
            </w:r>
            <w:r w:rsidR="00CD2884" w:rsidRPr="00310D26">
              <w:rPr>
                <w:iCs/>
                <w:highlight w:val="yellow"/>
                <w:u w:val="single"/>
              </w:rPr>
              <w:t xml:space="preserve">visual </w:t>
            </w:r>
            <w:r w:rsidR="00C86AA9" w:rsidRPr="00310D26">
              <w:rPr>
                <w:iCs/>
                <w:highlight w:val="yellow"/>
                <w:u w:val="single"/>
              </w:rPr>
              <w:t>y fonética clara</w:t>
            </w:r>
            <w:r w:rsidRPr="00310D26">
              <w:rPr>
                <w:iCs/>
                <w:highlight w:val="yellow"/>
                <w:u w:val="single"/>
              </w:rPr>
              <w:t>:</w:t>
            </w:r>
          </w:p>
          <w:p w14:paraId="713C0027" w14:textId="77777777" w:rsidR="00955AD5" w:rsidRPr="00310D26" w:rsidRDefault="00955AD5" w:rsidP="00955AD5">
            <w:pPr>
              <w:tabs>
                <w:tab w:val="right" w:pos="1022"/>
              </w:tabs>
              <w:ind w:left="1163" w:hanging="1163"/>
              <w:rPr>
                <w:sz w:val="14"/>
                <w:highlight w:val="yellow"/>
                <w:u w:val="double"/>
              </w:rPr>
            </w:pPr>
          </w:p>
          <w:p w14:paraId="25DEBA2D" w14:textId="3D78DE9B" w:rsidR="00955AD5" w:rsidRPr="00310D26" w:rsidRDefault="00955AD5" w:rsidP="00955AD5">
            <w:pPr>
              <w:rPr>
                <w:u w:val="single"/>
                <w:lang w:eastAsia="ja-JP"/>
              </w:rPr>
            </w:pPr>
            <w:r w:rsidRPr="00310D26">
              <w:rPr>
                <w:highlight w:val="yellow"/>
                <w:lang w:eastAsia="ja-JP"/>
              </w:rPr>
              <w:tab/>
            </w:r>
            <w:r w:rsidRPr="00310D26">
              <w:rPr>
                <w:i/>
                <w:highlight w:val="yellow"/>
                <w:u w:val="single"/>
                <w:lang w:eastAsia="ja-JP"/>
              </w:rPr>
              <w:t>E</w:t>
            </w:r>
            <w:r w:rsidR="001A3B8B" w:rsidRPr="00310D26">
              <w:rPr>
                <w:i/>
                <w:highlight w:val="yellow"/>
                <w:u w:val="single"/>
                <w:lang w:eastAsia="ja-JP"/>
              </w:rPr>
              <w:t>jemplos de denominaciones adecuadas</w:t>
            </w:r>
            <w:r w:rsidRPr="00310D26">
              <w:rPr>
                <w:highlight w:val="yellow"/>
                <w:u w:val="single"/>
                <w:lang w:eastAsia="ja-JP"/>
              </w:rPr>
              <w:t xml:space="preserve">: </w:t>
            </w:r>
            <w:r w:rsidR="00CD2884" w:rsidRPr="00310D26">
              <w:rPr>
                <w:highlight w:val="yellow"/>
                <w:u w:val="single"/>
                <w:shd w:val="pct15" w:color="auto" w:fill="FFFFFF"/>
                <w:lang w:eastAsia="ja-JP"/>
              </w:rPr>
              <w:t>“</w:t>
            </w:r>
            <w:proofErr w:type="spellStart"/>
            <w:r w:rsidRPr="00310D26">
              <w:rPr>
                <w:highlight w:val="yellow"/>
                <w:u w:val="single"/>
                <w:shd w:val="pct15" w:color="auto" w:fill="FFFFFF"/>
                <w:lang w:eastAsia="ja-JP"/>
              </w:rPr>
              <w:t>Pict</w:t>
            </w:r>
            <w:proofErr w:type="spellEnd"/>
            <w:r w:rsidR="00CD2884" w:rsidRPr="00310D26">
              <w:rPr>
                <w:highlight w:val="yellow"/>
                <w:u w:val="single"/>
                <w:shd w:val="pct15" w:color="auto" w:fill="FFFFFF"/>
                <w:lang w:eastAsia="ja-JP"/>
              </w:rPr>
              <w:t>”</w:t>
            </w:r>
            <w:r w:rsidRPr="00310D26">
              <w:rPr>
                <w:highlight w:val="yellow"/>
                <w:u w:val="single"/>
                <w:shd w:val="pct15" w:color="auto" w:fill="FFFFFF"/>
                <w:lang w:eastAsia="ja-JP"/>
              </w:rPr>
              <w:t xml:space="preserve"> </w:t>
            </w:r>
            <w:r w:rsidR="001A3B8B" w:rsidRPr="00310D26">
              <w:rPr>
                <w:highlight w:val="yellow"/>
                <w:u w:val="single"/>
                <w:shd w:val="pct15" w:color="auto" w:fill="FFFFFF"/>
                <w:lang w:eastAsia="ja-JP"/>
              </w:rPr>
              <w:t>y</w:t>
            </w:r>
            <w:r w:rsidRPr="00310D26">
              <w:rPr>
                <w:highlight w:val="yellow"/>
                <w:u w:val="single"/>
                <w:shd w:val="pct15" w:color="auto" w:fill="FFFFFF"/>
                <w:lang w:eastAsia="ja-JP"/>
              </w:rPr>
              <w:t xml:space="preserve"> </w:t>
            </w:r>
            <w:r w:rsidR="00CD2884" w:rsidRPr="00310D26">
              <w:rPr>
                <w:highlight w:val="yellow"/>
                <w:u w:val="single"/>
                <w:shd w:val="pct15" w:color="auto" w:fill="FFFFFF"/>
                <w:lang w:eastAsia="ja-JP"/>
              </w:rPr>
              <w:t>“</w:t>
            </w:r>
            <w:proofErr w:type="spellStart"/>
            <w:r w:rsidRPr="00310D26">
              <w:rPr>
                <w:highlight w:val="yellow"/>
                <w:u w:val="single"/>
                <w:shd w:val="pct15" w:color="auto" w:fill="FFFFFF"/>
                <w:lang w:eastAsia="ja-JP"/>
              </w:rPr>
              <w:t>Picto</w:t>
            </w:r>
            <w:proofErr w:type="spellEnd"/>
            <w:r w:rsidR="00CD2884" w:rsidRPr="00310D26">
              <w:rPr>
                <w:highlight w:val="yellow"/>
                <w:u w:val="single"/>
                <w:shd w:val="pct15" w:color="auto" w:fill="FFFFFF"/>
                <w:lang w:eastAsia="ja-JP"/>
              </w:rPr>
              <w:t>”</w:t>
            </w:r>
            <w:r w:rsidRPr="00310D26">
              <w:rPr>
                <w:highlight w:val="yellow"/>
                <w:u w:val="single"/>
                <w:shd w:val="pct15" w:color="auto" w:fill="FFFFFF"/>
                <w:lang w:eastAsia="ja-JP"/>
              </w:rPr>
              <w:t xml:space="preserve">; </w:t>
            </w:r>
            <w:r w:rsidR="00CD2884" w:rsidRPr="00310D26">
              <w:rPr>
                <w:highlight w:val="yellow"/>
                <w:u w:val="single"/>
                <w:shd w:val="pct15" w:color="auto" w:fill="FFFFFF"/>
                <w:lang w:eastAsia="ja-JP"/>
              </w:rPr>
              <w:t>“</w:t>
            </w:r>
            <w:proofErr w:type="spellStart"/>
            <w:r w:rsidRPr="00310D26">
              <w:rPr>
                <w:highlight w:val="yellow"/>
                <w:u w:val="single"/>
                <w:shd w:val="pct15" w:color="auto" w:fill="FFFFFF"/>
                <w:lang w:eastAsia="ja-JP"/>
              </w:rPr>
              <w:t>Tetral</w:t>
            </w:r>
            <w:proofErr w:type="spellEnd"/>
            <w:r w:rsidR="00CD2884" w:rsidRPr="00310D26">
              <w:rPr>
                <w:highlight w:val="yellow"/>
                <w:u w:val="single"/>
                <w:shd w:val="pct15" w:color="auto" w:fill="FFFFFF"/>
                <w:lang w:eastAsia="ja-JP"/>
              </w:rPr>
              <w:t>”</w:t>
            </w:r>
            <w:r w:rsidRPr="00310D26">
              <w:rPr>
                <w:highlight w:val="yellow"/>
                <w:u w:val="single"/>
                <w:shd w:val="pct15" w:color="auto" w:fill="FFFFFF"/>
                <w:lang w:eastAsia="ja-JP"/>
              </w:rPr>
              <w:t xml:space="preserve"> </w:t>
            </w:r>
            <w:r w:rsidR="001A3B8B" w:rsidRPr="00310D26">
              <w:rPr>
                <w:highlight w:val="yellow"/>
                <w:u w:val="single"/>
                <w:shd w:val="pct15" w:color="auto" w:fill="FFFFFF"/>
                <w:lang w:eastAsia="ja-JP"/>
              </w:rPr>
              <w:t>y</w:t>
            </w:r>
            <w:r w:rsidRPr="00310D26">
              <w:rPr>
                <w:highlight w:val="yellow"/>
                <w:u w:val="single"/>
                <w:shd w:val="pct15" w:color="auto" w:fill="FFFFFF"/>
                <w:lang w:eastAsia="ja-JP"/>
              </w:rPr>
              <w:t xml:space="preserve"> </w:t>
            </w:r>
            <w:r w:rsidR="00CD2884" w:rsidRPr="00310D26">
              <w:rPr>
                <w:highlight w:val="yellow"/>
                <w:u w:val="single"/>
                <w:shd w:val="pct15" w:color="auto" w:fill="FFFFFF"/>
                <w:lang w:eastAsia="ja-JP"/>
              </w:rPr>
              <w:t>“</w:t>
            </w:r>
            <w:proofErr w:type="spellStart"/>
            <w:r w:rsidRPr="00310D26">
              <w:rPr>
                <w:highlight w:val="yellow"/>
                <w:u w:val="single"/>
                <w:shd w:val="pct15" w:color="auto" w:fill="FFFFFF"/>
                <w:lang w:eastAsia="ja-JP"/>
              </w:rPr>
              <w:t>Tetrax</w:t>
            </w:r>
            <w:proofErr w:type="spellEnd"/>
            <w:r w:rsidR="00CD2884" w:rsidRPr="00310D26">
              <w:rPr>
                <w:highlight w:val="yellow"/>
                <w:u w:val="single"/>
                <w:shd w:val="pct15" w:color="auto" w:fill="FFFFFF"/>
                <w:lang w:eastAsia="ja-JP"/>
              </w:rPr>
              <w:t>”</w:t>
            </w:r>
            <w:r w:rsidRPr="00310D26">
              <w:rPr>
                <w:highlight w:val="yellow"/>
                <w:u w:val="single"/>
                <w:shd w:val="pct15" w:color="auto" w:fill="FFFFFF"/>
                <w:lang w:eastAsia="ja-JP"/>
              </w:rPr>
              <w:t xml:space="preserve">; </w:t>
            </w:r>
            <w:r w:rsidR="00CD2884" w:rsidRPr="00310D26">
              <w:rPr>
                <w:highlight w:val="yellow"/>
                <w:u w:val="single"/>
                <w:shd w:val="pct15" w:color="auto" w:fill="FFFFFF"/>
                <w:lang w:eastAsia="ja-JP"/>
              </w:rPr>
              <w:t>“</w:t>
            </w:r>
            <w:r w:rsidRPr="00310D26">
              <w:rPr>
                <w:highlight w:val="yellow"/>
                <w:u w:val="single"/>
                <w:shd w:val="pct15" w:color="auto" w:fill="FFFFFF"/>
                <w:lang w:eastAsia="ja-JP"/>
              </w:rPr>
              <w:t>Dora</w:t>
            </w:r>
            <w:r w:rsidR="00CD2884" w:rsidRPr="00310D26">
              <w:rPr>
                <w:highlight w:val="yellow"/>
                <w:u w:val="single"/>
                <w:shd w:val="pct15" w:color="auto" w:fill="FFFFFF"/>
                <w:lang w:eastAsia="ja-JP"/>
              </w:rPr>
              <w:t>”</w:t>
            </w:r>
            <w:r w:rsidRPr="00310D26">
              <w:rPr>
                <w:highlight w:val="yellow"/>
                <w:u w:val="single"/>
                <w:shd w:val="pct15" w:color="auto" w:fill="FFFFFF"/>
                <w:lang w:eastAsia="ja-JP"/>
              </w:rPr>
              <w:t xml:space="preserve"> </w:t>
            </w:r>
            <w:r w:rsidR="001A3B8B" w:rsidRPr="00310D26">
              <w:rPr>
                <w:highlight w:val="yellow"/>
                <w:u w:val="single"/>
                <w:shd w:val="pct15" w:color="auto" w:fill="FFFFFF"/>
                <w:lang w:eastAsia="ja-JP"/>
              </w:rPr>
              <w:t xml:space="preserve">y </w:t>
            </w:r>
            <w:r w:rsidR="00CD2884" w:rsidRPr="00310D26">
              <w:rPr>
                <w:highlight w:val="yellow"/>
                <w:u w:val="single"/>
                <w:shd w:val="pct15" w:color="auto" w:fill="FFFFFF"/>
                <w:lang w:eastAsia="ja-JP"/>
              </w:rPr>
              <w:t>“</w:t>
            </w:r>
            <w:proofErr w:type="spellStart"/>
            <w:r w:rsidRPr="00310D26">
              <w:rPr>
                <w:highlight w:val="yellow"/>
                <w:u w:val="single"/>
                <w:shd w:val="pct15" w:color="auto" w:fill="FFFFFF"/>
                <w:lang w:eastAsia="ja-JP"/>
              </w:rPr>
              <w:t>Dorka</w:t>
            </w:r>
            <w:proofErr w:type="spellEnd"/>
            <w:r w:rsidR="00CD2884" w:rsidRPr="00310D26">
              <w:rPr>
                <w:highlight w:val="yellow"/>
                <w:u w:val="single"/>
                <w:shd w:val="pct15" w:color="auto" w:fill="FFFFFF"/>
                <w:lang w:eastAsia="ja-JP"/>
              </w:rPr>
              <w:t>”</w:t>
            </w:r>
            <w:r w:rsidRPr="00310D26">
              <w:rPr>
                <w:highlight w:val="yellow"/>
                <w:u w:val="single"/>
                <w:shd w:val="pct15" w:color="auto" w:fill="FFFFFF"/>
                <w:lang w:eastAsia="ja-JP"/>
              </w:rPr>
              <w:t xml:space="preserve">; </w:t>
            </w:r>
            <w:r w:rsidR="00CD2884" w:rsidRPr="00310D26">
              <w:rPr>
                <w:highlight w:val="yellow"/>
                <w:u w:val="single"/>
                <w:shd w:val="pct15" w:color="auto" w:fill="FFFFFF"/>
                <w:lang w:eastAsia="ja-JP"/>
              </w:rPr>
              <w:t>“</w:t>
            </w:r>
            <w:proofErr w:type="spellStart"/>
            <w:r w:rsidRPr="00310D26">
              <w:rPr>
                <w:highlight w:val="yellow"/>
                <w:u w:val="single"/>
                <w:shd w:val="pct15" w:color="auto" w:fill="FFFFFF"/>
                <w:lang w:eastAsia="ja-JP"/>
              </w:rPr>
              <w:t>Agasi</w:t>
            </w:r>
            <w:proofErr w:type="spellEnd"/>
            <w:r w:rsidR="00CD2884" w:rsidRPr="00310D26">
              <w:rPr>
                <w:highlight w:val="yellow"/>
                <w:u w:val="single"/>
                <w:shd w:val="pct15" w:color="auto" w:fill="FFFFFF"/>
                <w:lang w:eastAsia="ja-JP"/>
              </w:rPr>
              <w:t>”</w:t>
            </w:r>
            <w:r w:rsidRPr="00310D26">
              <w:rPr>
                <w:highlight w:val="yellow"/>
                <w:u w:val="single"/>
                <w:shd w:val="pct15" w:color="auto" w:fill="FFFFFF"/>
                <w:lang w:eastAsia="ja-JP"/>
              </w:rPr>
              <w:t xml:space="preserve"> </w:t>
            </w:r>
            <w:r w:rsidR="00CD2884" w:rsidRPr="00310D26">
              <w:rPr>
                <w:highlight w:val="yellow"/>
                <w:u w:val="single"/>
                <w:shd w:val="pct15" w:color="auto" w:fill="FFFFFF"/>
                <w:lang w:eastAsia="ja-JP"/>
              </w:rPr>
              <w:t>y</w:t>
            </w:r>
            <w:r w:rsidRPr="00310D26">
              <w:rPr>
                <w:highlight w:val="yellow"/>
                <w:u w:val="single"/>
                <w:shd w:val="pct15" w:color="auto" w:fill="FFFFFF"/>
                <w:lang w:eastAsia="ja-JP"/>
              </w:rPr>
              <w:t xml:space="preserve"> </w:t>
            </w:r>
            <w:r w:rsidR="00CD2884" w:rsidRPr="00310D26">
              <w:rPr>
                <w:highlight w:val="yellow"/>
                <w:u w:val="single"/>
                <w:shd w:val="pct15" w:color="auto" w:fill="FFFFFF"/>
                <w:lang w:eastAsia="ja-JP"/>
              </w:rPr>
              <w:t>“</w:t>
            </w:r>
            <w:proofErr w:type="spellStart"/>
            <w:r w:rsidRPr="00310D26">
              <w:rPr>
                <w:highlight w:val="yellow"/>
                <w:u w:val="single"/>
                <w:shd w:val="pct15" w:color="auto" w:fill="FFFFFF"/>
                <w:lang w:eastAsia="ja-JP"/>
              </w:rPr>
              <w:t>Agapi</w:t>
            </w:r>
            <w:proofErr w:type="spellEnd"/>
            <w:r w:rsidR="00CD2884" w:rsidRPr="00310D26">
              <w:rPr>
                <w:highlight w:val="yellow"/>
                <w:u w:val="single"/>
                <w:shd w:val="pct15" w:color="auto" w:fill="FFFFFF"/>
                <w:lang w:eastAsia="ja-JP"/>
              </w:rPr>
              <w:t>”</w:t>
            </w:r>
            <w:r w:rsidRPr="00310D26">
              <w:rPr>
                <w:highlight w:val="yellow"/>
                <w:u w:val="single"/>
                <w:shd w:val="pct15" w:color="auto" w:fill="FFFFFF"/>
                <w:lang w:eastAsia="ja-JP"/>
              </w:rPr>
              <w:t xml:space="preserve">; </w:t>
            </w:r>
            <w:r w:rsidR="00CD2884" w:rsidRPr="00310D26">
              <w:rPr>
                <w:highlight w:val="yellow"/>
                <w:u w:val="single"/>
                <w:shd w:val="pct15" w:color="auto" w:fill="FFFFFF"/>
                <w:lang w:eastAsia="ja-JP"/>
              </w:rPr>
              <w:t>“</w:t>
            </w:r>
            <w:r w:rsidRPr="00310D26">
              <w:rPr>
                <w:highlight w:val="yellow"/>
                <w:u w:val="single"/>
                <w:shd w:val="pct15" w:color="auto" w:fill="FFFFFF"/>
                <w:lang w:eastAsia="ja-JP"/>
              </w:rPr>
              <w:t>Alexandra</w:t>
            </w:r>
            <w:r w:rsidR="00CD2884" w:rsidRPr="00310D26">
              <w:rPr>
                <w:highlight w:val="yellow"/>
                <w:u w:val="single"/>
                <w:shd w:val="pct15" w:color="auto" w:fill="FFFFFF"/>
                <w:lang w:eastAsia="ja-JP"/>
              </w:rPr>
              <w:t>”</w:t>
            </w:r>
            <w:r w:rsidRPr="00310D26">
              <w:rPr>
                <w:highlight w:val="yellow"/>
                <w:u w:val="single"/>
                <w:shd w:val="pct15" w:color="auto" w:fill="FFFFFF"/>
                <w:lang w:eastAsia="ja-JP"/>
              </w:rPr>
              <w:t xml:space="preserve"> </w:t>
            </w:r>
            <w:r w:rsidR="001A3B8B" w:rsidRPr="00310D26">
              <w:rPr>
                <w:highlight w:val="yellow"/>
                <w:u w:val="single"/>
                <w:shd w:val="pct15" w:color="auto" w:fill="FFFFFF"/>
                <w:lang w:eastAsia="ja-JP"/>
              </w:rPr>
              <w:t>y</w:t>
            </w:r>
            <w:r w:rsidRPr="00310D26">
              <w:rPr>
                <w:highlight w:val="yellow"/>
                <w:u w:val="single"/>
                <w:shd w:val="pct15" w:color="auto" w:fill="FFFFFF"/>
                <w:lang w:eastAsia="ja-JP"/>
              </w:rPr>
              <w:t xml:space="preserve"> </w:t>
            </w:r>
            <w:r w:rsidR="00CD2884" w:rsidRPr="00310D26">
              <w:rPr>
                <w:highlight w:val="yellow"/>
                <w:u w:val="single"/>
                <w:shd w:val="pct15" w:color="auto" w:fill="FFFFFF"/>
                <w:lang w:eastAsia="ja-JP"/>
              </w:rPr>
              <w:t>“</w:t>
            </w:r>
            <w:proofErr w:type="spellStart"/>
            <w:r w:rsidRPr="00310D26">
              <w:rPr>
                <w:highlight w:val="yellow"/>
                <w:u w:val="single"/>
                <w:shd w:val="pct15" w:color="auto" w:fill="FFFFFF"/>
                <w:lang w:eastAsia="ja-JP"/>
              </w:rPr>
              <w:t>Alexandru</w:t>
            </w:r>
            <w:proofErr w:type="spellEnd"/>
            <w:r w:rsidR="00CD2884" w:rsidRPr="00310D26">
              <w:rPr>
                <w:highlight w:val="yellow"/>
                <w:u w:val="single"/>
                <w:shd w:val="pct15" w:color="auto" w:fill="FFFFFF"/>
                <w:lang w:eastAsia="ja-JP"/>
              </w:rPr>
              <w:t>”</w:t>
            </w:r>
            <w:r w:rsidRPr="00310D26">
              <w:rPr>
                <w:highlight w:val="yellow"/>
                <w:u w:val="single"/>
                <w:shd w:val="pct15" w:color="auto" w:fill="FFFFFF"/>
                <w:lang w:eastAsia="ja-JP"/>
              </w:rPr>
              <w:t xml:space="preserve">; </w:t>
            </w:r>
            <w:r w:rsidR="00CD2884" w:rsidRPr="00310D26">
              <w:rPr>
                <w:highlight w:val="yellow"/>
                <w:u w:val="single"/>
                <w:shd w:val="pct15" w:color="auto" w:fill="FFFFFF"/>
                <w:lang w:eastAsia="ja-JP"/>
              </w:rPr>
              <w:t>“</w:t>
            </w:r>
            <w:proofErr w:type="spellStart"/>
            <w:r w:rsidRPr="00310D26">
              <w:rPr>
                <w:highlight w:val="yellow"/>
                <w:u w:val="single"/>
                <w:shd w:val="pct15" w:color="auto" w:fill="FFFFFF"/>
                <w:lang w:eastAsia="ja-JP"/>
              </w:rPr>
              <w:t>Goran</w:t>
            </w:r>
            <w:proofErr w:type="spellEnd"/>
            <w:r w:rsidR="00CD2884" w:rsidRPr="00310D26">
              <w:rPr>
                <w:highlight w:val="yellow"/>
                <w:u w:val="single"/>
                <w:shd w:val="pct15" w:color="auto" w:fill="FFFFFF"/>
                <w:lang w:eastAsia="ja-JP"/>
              </w:rPr>
              <w:t>”</w:t>
            </w:r>
            <w:r w:rsidRPr="00310D26">
              <w:rPr>
                <w:highlight w:val="yellow"/>
                <w:u w:val="single"/>
                <w:shd w:val="pct15" w:color="auto" w:fill="FFFFFF"/>
                <w:lang w:eastAsia="ja-JP"/>
              </w:rPr>
              <w:t xml:space="preserve"> </w:t>
            </w:r>
            <w:r w:rsidR="001A3B8B" w:rsidRPr="00310D26">
              <w:rPr>
                <w:highlight w:val="yellow"/>
                <w:u w:val="single"/>
                <w:shd w:val="pct15" w:color="auto" w:fill="FFFFFF"/>
                <w:lang w:eastAsia="ja-JP"/>
              </w:rPr>
              <w:t>y</w:t>
            </w:r>
            <w:r w:rsidRPr="00310D26">
              <w:rPr>
                <w:highlight w:val="yellow"/>
                <w:u w:val="single"/>
                <w:shd w:val="pct15" w:color="auto" w:fill="FFFFFF"/>
                <w:lang w:eastAsia="ja-JP"/>
              </w:rPr>
              <w:t xml:space="preserve"> </w:t>
            </w:r>
            <w:r w:rsidR="00CD2884" w:rsidRPr="00310D26">
              <w:rPr>
                <w:highlight w:val="yellow"/>
                <w:u w:val="single"/>
                <w:shd w:val="pct15" w:color="auto" w:fill="FFFFFF"/>
                <w:lang w:eastAsia="ja-JP"/>
              </w:rPr>
              <w:t>“</w:t>
            </w:r>
            <w:r w:rsidRPr="00310D26">
              <w:rPr>
                <w:highlight w:val="yellow"/>
                <w:u w:val="single"/>
                <w:shd w:val="pct15" w:color="auto" w:fill="FFFFFF"/>
                <w:lang w:eastAsia="ja-JP"/>
              </w:rPr>
              <w:t>Gran</w:t>
            </w:r>
            <w:r w:rsidR="00CD2884" w:rsidRPr="00310D26">
              <w:rPr>
                <w:highlight w:val="yellow"/>
                <w:u w:val="single"/>
                <w:shd w:val="pct15" w:color="auto" w:fill="FFFFFF"/>
                <w:lang w:eastAsia="ja-JP"/>
              </w:rPr>
              <w:t>”</w:t>
            </w:r>
            <w:r w:rsidRPr="00310D26">
              <w:rPr>
                <w:highlight w:val="yellow"/>
                <w:u w:val="single"/>
                <w:shd w:val="pct15" w:color="auto" w:fill="FFFFFF"/>
                <w:lang w:eastAsia="ja-JP"/>
              </w:rPr>
              <w:t xml:space="preserve">; </w:t>
            </w:r>
            <w:r w:rsidR="001A3B8B" w:rsidRPr="00310D26">
              <w:rPr>
                <w:highlight w:val="yellow"/>
                <w:u w:val="single"/>
                <w:shd w:val="pct15" w:color="auto" w:fill="FFFFFF"/>
                <w:lang w:eastAsia="ja-JP"/>
              </w:rPr>
              <w:t>y</w:t>
            </w:r>
            <w:r w:rsidRPr="00310D26">
              <w:rPr>
                <w:highlight w:val="yellow"/>
                <w:u w:val="single"/>
                <w:shd w:val="pct15" w:color="auto" w:fill="FFFFFF"/>
                <w:lang w:eastAsia="ja-JP"/>
              </w:rPr>
              <w:t xml:space="preserve"> </w:t>
            </w:r>
            <w:r w:rsidR="00CD2884" w:rsidRPr="00310D26">
              <w:rPr>
                <w:highlight w:val="yellow"/>
                <w:u w:val="single"/>
                <w:shd w:val="pct15" w:color="auto" w:fill="FFFFFF"/>
                <w:lang w:eastAsia="ja-JP"/>
              </w:rPr>
              <w:t>“</w:t>
            </w:r>
            <w:r w:rsidRPr="00310D26">
              <w:rPr>
                <w:highlight w:val="yellow"/>
                <w:u w:val="single"/>
                <w:shd w:val="pct15" w:color="auto" w:fill="FFFFFF"/>
                <w:lang w:eastAsia="ja-JP"/>
              </w:rPr>
              <w:t>Lila</w:t>
            </w:r>
            <w:r w:rsidR="00CD2884" w:rsidRPr="00310D26">
              <w:rPr>
                <w:highlight w:val="yellow"/>
                <w:u w:val="single"/>
                <w:shd w:val="pct15" w:color="auto" w:fill="FFFFFF"/>
                <w:lang w:eastAsia="ja-JP"/>
              </w:rPr>
              <w:t>”</w:t>
            </w:r>
            <w:r w:rsidRPr="00310D26">
              <w:rPr>
                <w:highlight w:val="yellow"/>
                <w:u w:val="single"/>
                <w:shd w:val="pct15" w:color="auto" w:fill="FFFFFF"/>
                <w:lang w:eastAsia="ja-JP"/>
              </w:rPr>
              <w:t xml:space="preserve"> </w:t>
            </w:r>
            <w:r w:rsidR="001A3B8B" w:rsidRPr="00310D26">
              <w:rPr>
                <w:highlight w:val="yellow"/>
                <w:u w:val="single"/>
                <w:shd w:val="pct15" w:color="auto" w:fill="FFFFFF"/>
                <w:lang w:eastAsia="ja-JP"/>
              </w:rPr>
              <w:t xml:space="preserve">y </w:t>
            </w:r>
            <w:r w:rsidR="00CD2884" w:rsidRPr="00310D26">
              <w:rPr>
                <w:highlight w:val="yellow"/>
                <w:u w:val="single"/>
                <w:shd w:val="pct15" w:color="auto" w:fill="FFFFFF"/>
                <w:lang w:eastAsia="ja-JP"/>
              </w:rPr>
              <w:t>“</w:t>
            </w:r>
            <w:r w:rsidRPr="00310D26">
              <w:rPr>
                <w:highlight w:val="yellow"/>
                <w:u w:val="single"/>
                <w:shd w:val="pct15" w:color="auto" w:fill="FFFFFF"/>
                <w:lang w:eastAsia="ja-JP"/>
              </w:rPr>
              <w:t>Leila</w:t>
            </w:r>
            <w:r w:rsidR="00CD2884" w:rsidRPr="00310D26">
              <w:rPr>
                <w:highlight w:val="yellow"/>
                <w:u w:val="single"/>
                <w:shd w:val="pct15" w:color="auto" w:fill="FFFFFF"/>
                <w:lang w:eastAsia="ja-JP"/>
              </w:rPr>
              <w:t>”</w:t>
            </w:r>
            <w:r w:rsidRPr="00310D26">
              <w:rPr>
                <w:highlight w:val="yellow"/>
                <w:u w:val="single"/>
                <w:lang w:eastAsia="ja-JP"/>
              </w:rPr>
              <w:t>;</w:t>
            </w:r>
            <w:r w:rsidR="00C05526">
              <w:rPr>
                <w:u w:val="single"/>
                <w:lang w:eastAsia="ja-JP"/>
              </w:rPr>
              <w:t xml:space="preserve"> </w:t>
            </w:r>
          </w:p>
          <w:p w14:paraId="6C991A4D" w14:textId="77777777" w:rsidR="00955AD5" w:rsidRPr="00310D26" w:rsidRDefault="00955AD5" w:rsidP="00955AD5">
            <w:pPr>
              <w:rPr>
                <w:lang w:eastAsia="ja-JP"/>
              </w:rPr>
            </w:pPr>
          </w:p>
          <w:p w14:paraId="45BC6BE4" w14:textId="6C1EC336" w:rsidR="00955AD5" w:rsidRPr="00310D26" w:rsidRDefault="00955AD5" w:rsidP="00955AD5">
            <w:pPr>
              <w:tabs>
                <w:tab w:val="right" w:pos="1022"/>
              </w:tabs>
              <w:ind w:left="1163" w:hanging="1163"/>
              <w:rPr>
                <w:highlight w:val="lightGray"/>
                <w:u w:val="single"/>
              </w:rPr>
            </w:pPr>
            <w:r w:rsidRPr="00310D26">
              <w:lastRenderedPageBreak/>
              <w:tab/>
            </w:r>
            <w:r w:rsidRPr="00310D26">
              <w:rPr>
                <w:highlight w:val="yellow"/>
                <w:u w:val="single"/>
              </w:rPr>
              <w:t>iii)</w:t>
            </w:r>
            <w:r w:rsidRPr="00310D26">
              <w:rPr>
                <w:highlight w:val="lightGray"/>
                <w:u w:val="single"/>
              </w:rPr>
              <w:tab/>
            </w:r>
            <w:r w:rsidR="00965545" w:rsidRPr="00310D26">
              <w:rPr>
                <w:highlight w:val="lightGray"/>
                <w:u w:val="single"/>
              </w:rPr>
              <w:t>la diferencia de una letra indica una diferencia de significado claramente apreciable</w:t>
            </w:r>
          </w:p>
          <w:p w14:paraId="77FACB02" w14:textId="77777777" w:rsidR="00965545" w:rsidRPr="00310D26" w:rsidRDefault="00965545" w:rsidP="00955AD5">
            <w:pPr>
              <w:tabs>
                <w:tab w:val="right" w:pos="1022"/>
              </w:tabs>
              <w:ind w:left="1163" w:hanging="1163"/>
              <w:rPr>
                <w:sz w:val="14"/>
                <w:highlight w:val="lightGray"/>
                <w:u w:val="double"/>
              </w:rPr>
            </w:pPr>
          </w:p>
          <w:p w14:paraId="6883E34A" w14:textId="71853169" w:rsidR="00955AD5" w:rsidRPr="00310D26" w:rsidRDefault="00955AD5" w:rsidP="00955AD5">
            <w:pPr>
              <w:rPr>
                <w:u w:val="single"/>
                <w:lang w:eastAsia="ja-JP"/>
              </w:rPr>
            </w:pPr>
            <w:r w:rsidRPr="00310D26">
              <w:rPr>
                <w:lang w:eastAsia="ja-JP"/>
              </w:rPr>
              <w:tab/>
            </w:r>
            <w:r w:rsidR="00965545" w:rsidRPr="00310D26">
              <w:rPr>
                <w:i/>
                <w:highlight w:val="lightGray"/>
                <w:u w:val="single"/>
                <w:lang w:eastAsia="ja-JP"/>
              </w:rPr>
              <w:t>Ejemplos de denominaciones adecuadas</w:t>
            </w:r>
            <w:r w:rsidR="00965545" w:rsidRPr="00310D26">
              <w:rPr>
                <w:highlight w:val="lightGray"/>
                <w:u w:val="single"/>
                <w:lang w:eastAsia="ja-JP"/>
              </w:rPr>
              <w:t xml:space="preserve">: </w:t>
            </w:r>
            <w:proofErr w:type="spellStart"/>
            <w:r w:rsidR="00965545" w:rsidRPr="00310D26">
              <w:rPr>
                <w:highlight w:val="lightGray"/>
                <w:u w:val="single"/>
                <w:lang w:eastAsia="ja-JP"/>
              </w:rPr>
              <w:t>Power</w:t>
            </w:r>
            <w:proofErr w:type="spellEnd"/>
            <w:r w:rsidR="00965545" w:rsidRPr="00310D26">
              <w:rPr>
                <w:highlight w:val="lightGray"/>
                <w:u w:val="single"/>
                <w:lang w:eastAsia="ja-JP"/>
              </w:rPr>
              <w:t>” y “</w:t>
            </w:r>
            <w:proofErr w:type="spellStart"/>
            <w:r w:rsidR="00965545" w:rsidRPr="00310D26">
              <w:rPr>
                <w:highlight w:val="lightGray"/>
                <w:u w:val="single"/>
                <w:lang w:eastAsia="ja-JP"/>
              </w:rPr>
              <w:t>Poker</w:t>
            </w:r>
            <w:proofErr w:type="spellEnd"/>
            <w:r w:rsidR="00965545" w:rsidRPr="00310D26">
              <w:rPr>
                <w:highlight w:val="lightGray"/>
                <w:u w:val="single"/>
                <w:lang w:eastAsia="ja-JP"/>
              </w:rPr>
              <w:t>”, “</w:t>
            </w:r>
            <w:proofErr w:type="spellStart"/>
            <w:r w:rsidR="00965545" w:rsidRPr="00310D26">
              <w:rPr>
                <w:highlight w:val="lightGray"/>
                <w:u w:val="single"/>
                <w:lang w:eastAsia="ja-JP"/>
              </w:rPr>
              <w:t>Angle</w:t>
            </w:r>
            <w:proofErr w:type="spellEnd"/>
            <w:r w:rsidR="00965545" w:rsidRPr="00310D26">
              <w:rPr>
                <w:highlight w:val="lightGray"/>
                <w:u w:val="single"/>
                <w:lang w:eastAsia="ja-JP"/>
              </w:rPr>
              <w:t>” y “</w:t>
            </w:r>
            <w:proofErr w:type="spellStart"/>
            <w:r w:rsidR="00965545" w:rsidRPr="00310D26">
              <w:rPr>
                <w:highlight w:val="lightGray"/>
                <w:u w:val="single"/>
                <w:lang w:eastAsia="ja-JP"/>
              </w:rPr>
              <w:t>Ankle</w:t>
            </w:r>
            <w:proofErr w:type="spellEnd"/>
            <w:r w:rsidR="00965545" w:rsidRPr="00310D26">
              <w:rPr>
                <w:highlight w:val="lightGray"/>
                <w:u w:val="single"/>
                <w:lang w:eastAsia="ja-JP"/>
              </w:rPr>
              <w:t>”</w:t>
            </w:r>
            <w:r w:rsidRPr="00310D26">
              <w:rPr>
                <w:highlight w:val="lightGray"/>
                <w:u w:val="single"/>
                <w:lang w:eastAsia="ja-JP"/>
              </w:rPr>
              <w:t>;</w:t>
            </w:r>
            <w:r w:rsidR="00C05526">
              <w:rPr>
                <w:u w:val="single"/>
                <w:lang w:eastAsia="ja-JP"/>
              </w:rPr>
              <w:t xml:space="preserve"> </w:t>
            </w:r>
          </w:p>
          <w:p w14:paraId="26B38971" w14:textId="77777777" w:rsidR="00955AD5" w:rsidRPr="00310D26" w:rsidRDefault="00955AD5" w:rsidP="00955AD5">
            <w:pPr>
              <w:tabs>
                <w:tab w:val="right" w:pos="1022"/>
              </w:tabs>
              <w:ind w:left="1306" w:hanging="1306"/>
            </w:pPr>
          </w:p>
          <w:p w14:paraId="50AC7BAE" w14:textId="7333DB2F" w:rsidR="00955AD5" w:rsidRPr="00310D26" w:rsidRDefault="00955AD5" w:rsidP="00955AD5">
            <w:pPr>
              <w:tabs>
                <w:tab w:val="right" w:pos="1022"/>
              </w:tabs>
              <w:ind w:left="1163" w:hanging="1163"/>
              <w:rPr>
                <w:highlight w:val="lightGray"/>
                <w:lang w:eastAsia="ja-JP"/>
              </w:rPr>
            </w:pPr>
            <w:r w:rsidRPr="00310D26">
              <w:tab/>
            </w:r>
            <w:r w:rsidRPr="00310D26">
              <w:rPr>
                <w:highlight w:val="yellow"/>
                <w:u w:val="single"/>
              </w:rPr>
              <w:t>iv)</w:t>
            </w:r>
            <w:r w:rsidRPr="00310D26">
              <w:tab/>
            </w:r>
            <w:r w:rsidR="00965545" w:rsidRPr="00310D26">
              <w:rPr>
                <w:highlight w:val="lightGray"/>
                <w:u w:val="single"/>
                <w:lang w:eastAsia="ja-JP"/>
              </w:rPr>
              <w:t>denominaciones compuestas únicamente de letras que no forman palabras</w:t>
            </w:r>
          </w:p>
          <w:p w14:paraId="0411B4EE" w14:textId="50792497" w:rsidR="00955AD5" w:rsidRPr="00310D26" w:rsidRDefault="00C05526" w:rsidP="00955AD5">
            <w:pPr>
              <w:rPr>
                <w:sz w:val="14"/>
                <w:highlight w:val="lightGray"/>
                <w:lang w:eastAsia="ja-JP"/>
              </w:rPr>
            </w:pPr>
            <w:r>
              <w:rPr>
                <w:highlight w:val="lightGray"/>
                <w:lang w:eastAsia="ja-JP"/>
              </w:rPr>
              <w:t xml:space="preserve"> </w:t>
            </w:r>
          </w:p>
          <w:p w14:paraId="3656C576" w14:textId="72B9D6DD" w:rsidR="00955AD5" w:rsidRPr="00310D26" w:rsidRDefault="00955AD5" w:rsidP="00955AD5">
            <w:pPr>
              <w:rPr>
                <w:u w:val="single"/>
                <w:lang w:eastAsia="ja-JP"/>
              </w:rPr>
            </w:pPr>
            <w:r w:rsidRPr="00310D26">
              <w:rPr>
                <w:lang w:eastAsia="ja-JP"/>
              </w:rPr>
              <w:tab/>
            </w:r>
            <w:r w:rsidR="00B94402" w:rsidRPr="00310D26">
              <w:rPr>
                <w:i/>
                <w:u w:val="single"/>
                <w:shd w:val="clear" w:color="auto" w:fill="D9D9D9" w:themeFill="background1" w:themeFillShade="D9"/>
                <w:lang w:eastAsia="ja-JP"/>
              </w:rPr>
              <w:t xml:space="preserve">Ejemplos de denominaciones adecuadas: </w:t>
            </w:r>
            <w:r w:rsidR="00965545" w:rsidRPr="00310D26">
              <w:rPr>
                <w:highlight w:val="lightGray"/>
                <w:u w:val="single"/>
                <w:shd w:val="clear" w:color="auto" w:fill="D9D9D9" w:themeFill="background1" w:themeFillShade="D9"/>
                <w:lang w:eastAsia="ja-JP"/>
              </w:rPr>
              <w:t>ABCD</w:t>
            </w:r>
            <w:r w:rsidR="00965545" w:rsidRPr="00310D26">
              <w:rPr>
                <w:highlight w:val="lightGray"/>
                <w:u w:val="single"/>
                <w:lang w:eastAsia="ja-JP"/>
              </w:rPr>
              <w:t>” y “ABCE”</w:t>
            </w:r>
            <w:r w:rsidRPr="00310D26">
              <w:rPr>
                <w:highlight w:val="lightGray"/>
                <w:u w:val="single"/>
                <w:lang w:eastAsia="ja-JP"/>
              </w:rPr>
              <w:t>;</w:t>
            </w:r>
          </w:p>
          <w:p w14:paraId="39E1FFC8" w14:textId="77777777" w:rsidR="00955AD5" w:rsidRPr="00310D26" w:rsidRDefault="00955AD5" w:rsidP="00955AD5">
            <w:pPr>
              <w:rPr>
                <w:lang w:eastAsia="ja-JP"/>
              </w:rPr>
            </w:pPr>
          </w:p>
          <w:p w14:paraId="2E1E732D" w14:textId="0DFFC639" w:rsidR="00955AD5" w:rsidRPr="00310D26" w:rsidRDefault="00955AD5" w:rsidP="00955AD5">
            <w:pPr>
              <w:tabs>
                <w:tab w:val="right" w:pos="1021"/>
              </w:tabs>
              <w:ind w:left="1163" w:hanging="1163"/>
            </w:pPr>
            <w:r w:rsidRPr="00310D26">
              <w:tab/>
            </w:r>
            <w:r w:rsidRPr="00310D26">
              <w:rPr>
                <w:strike/>
                <w:highlight w:val="yellow"/>
              </w:rPr>
              <w:t>ii)</w:t>
            </w:r>
            <w:r w:rsidRPr="00310D26">
              <w:rPr>
                <w:highlight w:val="yellow"/>
                <w:u w:val="single"/>
              </w:rPr>
              <w:t>v)</w:t>
            </w:r>
            <w:r w:rsidRPr="00310D26">
              <w:tab/>
            </w:r>
            <w:r w:rsidR="00B94402" w:rsidRPr="00310D26">
              <w:t xml:space="preserve">denominaciones </w:t>
            </w:r>
            <w:r w:rsidR="00B94402" w:rsidRPr="00310D26">
              <w:rPr>
                <w:highlight w:val="lightGray"/>
                <w:u w:val="single"/>
              </w:rPr>
              <w:t>compuestas</w:t>
            </w:r>
            <w:r w:rsidR="00B94402" w:rsidRPr="00310D26">
              <w:t xml:space="preserve"> de una combinación de letras y cifras</w:t>
            </w:r>
          </w:p>
          <w:p w14:paraId="61353ED1" w14:textId="3698ABAC" w:rsidR="00955AD5" w:rsidRPr="00310D26" w:rsidRDefault="00C05526" w:rsidP="00955AD5">
            <w:pPr>
              <w:rPr>
                <w:sz w:val="14"/>
                <w:lang w:eastAsia="ja-JP"/>
              </w:rPr>
            </w:pPr>
            <w:r>
              <w:rPr>
                <w:lang w:eastAsia="ja-JP"/>
              </w:rPr>
              <w:t xml:space="preserve"> </w:t>
            </w:r>
          </w:p>
          <w:p w14:paraId="52B7BDFA" w14:textId="641DD0ED" w:rsidR="00955AD5" w:rsidRPr="00310D26" w:rsidRDefault="00955AD5" w:rsidP="00955AD5">
            <w:pPr>
              <w:rPr>
                <w:highlight w:val="yellow"/>
                <w:shd w:val="pct15" w:color="auto" w:fill="FFFFFF"/>
                <w:vertAlign w:val="superscript"/>
              </w:rPr>
            </w:pPr>
            <w:r w:rsidRPr="00310D26">
              <w:rPr>
                <w:lang w:eastAsia="ja-JP"/>
              </w:rPr>
              <w:tab/>
            </w:r>
            <w:r w:rsidR="00CD2884" w:rsidRPr="00310D26">
              <w:rPr>
                <w:i/>
                <w:u w:val="single"/>
                <w:shd w:val="clear" w:color="auto" w:fill="D9D9D9" w:themeFill="background1" w:themeFillShade="D9"/>
                <w:lang w:eastAsia="ja-JP"/>
              </w:rPr>
              <w:t>Ejemplos de denominaciones adecuadas</w:t>
            </w:r>
            <w:r w:rsidRPr="00310D26">
              <w:rPr>
                <w:highlight w:val="lightGray"/>
                <w:u w:val="single"/>
                <w:lang w:eastAsia="ja-JP"/>
              </w:rPr>
              <w:t xml:space="preserve">: </w:t>
            </w:r>
            <w:r w:rsidR="00CD2884" w:rsidRPr="00310D26">
              <w:rPr>
                <w:highlight w:val="lightGray"/>
                <w:u w:val="single"/>
                <w:lang w:eastAsia="ja-JP"/>
              </w:rPr>
              <w:t>“</w:t>
            </w:r>
            <w:r w:rsidRPr="00310D26">
              <w:rPr>
                <w:highlight w:val="lightGray"/>
                <w:u w:val="single"/>
                <w:lang w:eastAsia="ja-JP"/>
              </w:rPr>
              <w:t>ABC678</w:t>
            </w:r>
            <w:r w:rsidR="00CD2884" w:rsidRPr="00310D26">
              <w:rPr>
                <w:highlight w:val="lightGray"/>
                <w:u w:val="single"/>
                <w:lang w:eastAsia="ja-JP"/>
              </w:rPr>
              <w:t>”</w:t>
            </w:r>
            <w:r w:rsidRPr="00310D26">
              <w:rPr>
                <w:highlight w:val="lightGray"/>
                <w:u w:val="single"/>
                <w:lang w:eastAsia="ja-JP"/>
              </w:rPr>
              <w:t xml:space="preserve"> </w:t>
            </w:r>
            <w:r w:rsidR="00CD2884" w:rsidRPr="00310D26">
              <w:rPr>
                <w:highlight w:val="lightGray"/>
                <w:u w:val="single"/>
                <w:lang w:eastAsia="ja-JP"/>
              </w:rPr>
              <w:t>y</w:t>
            </w:r>
            <w:r w:rsidRPr="00310D26">
              <w:rPr>
                <w:highlight w:val="lightGray"/>
                <w:u w:val="single"/>
                <w:lang w:eastAsia="ja-JP"/>
              </w:rPr>
              <w:t xml:space="preserve"> </w:t>
            </w:r>
            <w:r w:rsidR="00CD2884" w:rsidRPr="00310D26">
              <w:rPr>
                <w:highlight w:val="lightGray"/>
                <w:u w:val="single"/>
                <w:lang w:eastAsia="ja-JP"/>
              </w:rPr>
              <w:t>“</w:t>
            </w:r>
            <w:r w:rsidRPr="00310D26">
              <w:rPr>
                <w:highlight w:val="lightGray"/>
                <w:u w:val="single"/>
                <w:lang w:eastAsia="ja-JP"/>
              </w:rPr>
              <w:t>ABC688</w:t>
            </w:r>
            <w:r w:rsidR="00CD2884" w:rsidRPr="00310D26">
              <w:rPr>
                <w:highlight w:val="lightGray"/>
                <w:u w:val="single"/>
                <w:lang w:eastAsia="ja-JP"/>
              </w:rPr>
              <w:t>”</w:t>
            </w:r>
            <w:r w:rsidRPr="00310D26">
              <w:rPr>
                <w:highlight w:val="lightGray"/>
                <w:u w:val="single"/>
                <w:lang w:eastAsia="ja-JP"/>
              </w:rPr>
              <w:t xml:space="preserve">; </w:t>
            </w:r>
            <w:r w:rsidR="00CD2884" w:rsidRPr="00310D26">
              <w:rPr>
                <w:highlight w:val="lightGray"/>
                <w:u w:val="single"/>
                <w:lang w:eastAsia="ja-JP"/>
              </w:rPr>
              <w:t>y “</w:t>
            </w:r>
            <w:r w:rsidRPr="00310D26">
              <w:rPr>
                <w:highlight w:val="lightGray"/>
                <w:u w:val="single"/>
                <w:lang w:eastAsia="ja-JP"/>
              </w:rPr>
              <w:t>PremP009</w:t>
            </w:r>
            <w:r w:rsidR="00CD2884" w:rsidRPr="00310D26">
              <w:rPr>
                <w:highlight w:val="lightGray"/>
                <w:u w:val="single"/>
                <w:lang w:eastAsia="ja-JP"/>
              </w:rPr>
              <w:t>”</w:t>
            </w:r>
            <w:r w:rsidRPr="00310D26">
              <w:rPr>
                <w:highlight w:val="lightGray"/>
                <w:u w:val="single"/>
                <w:lang w:eastAsia="ja-JP"/>
              </w:rPr>
              <w:t xml:space="preserve"> </w:t>
            </w:r>
            <w:r w:rsidR="00CD2884" w:rsidRPr="00310D26">
              <w:rPr>
                <w:highlight w:val="lightGray"/>
                <w:u w:val="single"/>
                <w:lang w:eastAsia="ja-JP"/>
              </w:rPr>
              <w:t>y</w:t>
            </w:r>
            <w:r w:rsidRPr="00310D26">
              <w:rPr>
                <w:highlight w:val="lightGray"/>
                <w:u w:val="single"/>
                <w:lang w:eastAsia="ja-JP"/>
              </w:rPr>
              <w:t xml:space="preserve"> </w:t>
            </w:r>
            <w:r w:rsidR="00CD2884" w:rsidRPr="00310D26">
              <w:rPr>
                <w:highlight w:val="lightGray"/>
                <w:u w:val="single"/>
                <w:lang w:eastAsia="ja-JP"/>
              </w:rPr>
              <w:t>“</w:t>
            </w:r>
            <w:r w:rsidRPr="00310D26">
              <w:rPr>
                <w:highlight w:val="lightGray"/>
                <w:u w:val="single"/>
                <w:lang w:eastAsia="ja-JP"/>
              </w:rPr>
              <w:t>PremP109</w:t>
            </w:r>
            <w:r w:rsidR="00CD2884" w:rsidRPr="00310D26">
              <w:rPr>
                <w:u w:val="single"/>
                <w:lang w:eastAsia="ja-JP"/>
              </w:rPr>
              <w:t>”</w:t>
            </w:r>
            <w:r w:rsidRPr="00310D26">
              <w:rPr>
                <w:u w:val="double"/>
                <w:lang w:eastAsia="ja-JP"/>
              </w:rPr>
              <w:t>;</w:t>
            </w:r>
          </w:p>
          <w:p w14:paraId="6E0008CB" w14:textId="77777777" w:rsidR="00955AD5" w:rsidRPr="00310D26" w:rsidRDefault="00955AD5" w:rsidP="00955AD5">
            <w:pPr>
              <w:tabs>
                <w:tab w:val="right" w:pos="1134"/>
                <w:tab w:val="left" w:pos="1418"/>
              </w:tabs>
            </w:pPr>
          </w:p>
          <w:p w14:paraId="125E3FF2" w14:textId="20DEDFB6" w:rsidR="00955AD5" w:rsidRPr="008935C5" w:rsidRDefault="00955AD5" w:rsidP="00955AD5">
            <w:pPr>
              <w:tabs>
                <w:tab w:val="right" w:pos="1021"/>
              </w:tabs>
              <w:ind w:left="1163" w:hanging="1163"/>
              <w:rPr>
                <w:highlight w:val="lightGray"/>
              </w:rPr>
            </w:pPr>
            <w:r w:rsidRPr="00310D26">
              <w:tab/>
            </w:r>
            <w:r w:rsidRPr="00310D26">
              <w:rPr>
                <w:strike/>
                <w:highlight w:val="yellow"/>
              </w:rPr>
              <w:t>iii)</w:t>
            </w:r>
            <w:r w:rsidRPr="00310D26">
              <w:rPr>
                <w:highlight w:val="yellow"/>
                <w:u w:val="single"/>
              </w:rPr>
              <w:t>vi)</w:t>
            </w:r>
            <w:r w:rsidRPr="00310D26">
              <w:tab/>
            </w:r>
            <w:r w:rsidR="00B94402" w:rsidRPr="00310D26">
              <w:t xml:space="preserve">denominaciones compuestas </w:t>
            </w:r>
            <w:r w:rsidR="00500317" w:rsidRPr="008935C5">
              <w:t>“</w:t>
            </w:r>
            <w:r w:rsidR="00B94402" w:rsidRPr="008935C5">
              <w:t>únicamente</w:t>
            </w:r>
            <w:r w:rsidR="00CD2884" w:rsidRPr="008935C5">
              <w:t>”</w:t>
            </w:r>
            <w:r w:rsidR="00B94402" w:rsidRPr="008935C5">
              <w:t xml:space="preserve"> de cifras</w:t>
            </w:r>
          </w:p>
          <w:p w14:paraId="44C7E57B" w14:textId="5BCB12A9" w:rsidR="00955AD5" w:rsidRPr="008935C5" w:rsidRDefault="00C05526" w:rsidP="00955AD5">
            <w:pPr>
              <w:rPr>
                <w:sz w:val="14"/>
                <w:lang w:eastAsia="ja-JP"/>
              </w:rPr>
            </w:pPr>
            <w:r>
              <w:rPr>
                <w:lang w:eastAsia="ja-JP"/>
              </w:rPr>
              <w:t xml:space="preserve"> </w:t>
            </w:r>
          </w:p>
          <w:p w14:paraId="43BB6CDC" w14:textId="43D1C227" w:rsidR="00955AD5" w:rsidRPr="00310D26" w:rsidRDefault="00955AD5" w:rsidP="00955AD5">
            <w:pPr>
              <w:rPr>
                <w:u w:val="single"/>
                <w:lang w:eastAsia="ja-JP"/>
              </w:rPr>
            </w:pPr>
            <w:r w:rsidRPr="00310D26">
              <w:rPr>
                <w:i/>
                <w:lang w:eastAsia="ja-JP"/>
              </w:rPr>
              <w:tab/>
            </w:r>
            <w:r w:rsidR="00B94402" w:rsidRPr="00310D26">
              <w:rPr>
                <w:i/>
                <w:highlight w:val="lightGray"/>
                <w:u w:val="single"/>
                <w:lang w:eastAsia="ja-JP"/>
              </w:rPr>
              <w:t xml:space="preserve">Ejemplos de denominaciones adecuadas: </w:t>
            </w:r>
            <w:r w:rsidR="00500317" w:rsidRPr="00310D26">
              <w:rPr>
                <w:i/>
                <w:highlight w:val="lightGray"/>
                <w:u w:val="single"/>
                <w:lang w:eastAsia="ja-JP"/>
              </w:rPr>
              <w:t>“</w:t>
            </w:r>
            <w:r w:rsidR="00B94402" w:rsidRPr="00310D26">
              <w:rPr>
                <w:i/>
                <w:highlight w:val="lightGray"/>
                <w:u w:val="single"/>
                <w:lang w:eastAsia="ja-JP"/>
              </w:rPr>
              <w:t>411” y “412</w:t>
            </w:r>
            <w:r w:rsidR="00500317" w:rsidRPr="00310D26">
              <w:rPr>
                <w:i/>
                <w:u w:val="single"/>
                <w:lang w:eastAsia="ja-JP"/>
              </w:rPr>
              <w:t>”</w:t>
            </w:r>
          </w:p>
          <w:p w14:paraId="084C1136" w14:textId="77777777" w:rsidR="00955AD5" w:rsidRPr="00310D26" w:rsidRDefault="00955AD5" w:rsidP="00955AD5">
            <w:pPr>
              <w:rPr>
                <w:lang w:eastAsia="ja-JP"/>
              </w:rPr>
            </w:pPr>
          </w:p>
          <w:p w14:paraId="693CFD8F" w14:textId="77777777" w:rsidR="00955AD5" w:rsidRPr="00310D26" w:rsidRDefault="00955AD5" w:rsidP="00955AD5">
            <w:pPr>
              <w:rPr>
                <w:lang w:eastAsia="ja-JP"/>
              </w:rPr>
            </w:pPr>
          </w:p>
          <w:p w14:paraId="63D858F3" w14:textId="54BF4C1E" w:rsidR="00955AD5" w:rsidRPr="00310D26" w:rsidRDefault="00955AD5" w:rsidP="00955AD5">
            <w:pPr>
              <w:rPr>
                <w:highlight w:val="yellow"/>
                <w:u w:val="single"/>
              </w:rPr>
            </w:pPr>
            <w:r w:rsidRPr="00310D26">
              <w:rPr>
                <w:b/>
              </w:rPr>
              <w:t>[Alternativ</w:t>
            </w:r>
            <w:r w:rsidR="00B94402" w:rsidRPr="00310D26">
              <w:rPr>
                <w:b/>
              </w:rPr>
              <w:t>a</w:t>
            </w:r>
            <w:r w:rsidRPr="00310D26">
              <w:rPr>
                <w:b/>
              </w:rPr>
              <w:t xml:space="preserve"> 1 </w:t>
            </w:r>
            <w:r w:rsidR="00272F5B" w:rsidRPr="00310D26">
              <w:rPr>
                <w:b/>
              </w:rPr>
              <w:t>para</w:t>
            </w:r>
            <w:r w:rsidR="00FC333D" w:rsidRPr="00310D26">
              <w:rPr>
                <w:b/>
              </w:rPr>
              <w:t xml:space="preserve"> la sección </w:t>
            </w:r>
            <w:r w:rsidRPr="00310D26">
              <w:rPr>
                <w:b/>
              </w:rPr>
              <w:t>2.3.3 b)]</w:t>
            </w:r>
            <w:r w:rsidR="00C05526">
              <w:rPr>
                <w:b/>
              </w:rPr>
              <w:t xml:space="preserve"> </w:t>
            </w:r>
            <w:r w:rsidRPr="00310D26">
              <w:rPr>
                <w:highlight w:val="yellow"/>
                <w:u w:val="single"/>
              </w:rPr>
              <w:t>b)</w:t>
            </w:r>
            <w:r w:rsidR="00C05526">
              <w:rPr>
                <w:highlight w:val="yellow"/>
                <w:u w:val="single"/>
              </w:rPr>
              <w:t xml:space="preserve"> </w:t>
            </w:r>
            <w:r w:rsidR="00FC333D" w:rsidRPr="00310D26">
              <w:rPr>
                <w:highlight w:val="yellow"/>
                <w:u w:val="single"/>
              </w:rPr>
              <w:t>Una diferencia de dos o más letras podrá considerarse susceptible de inducir a error o</w:t>
            </w:r>
            <w:r w:rsidR="00272F5B" w:rsidRPr="00310D26">
              <w:rPr>
                <w:highlight w:val="yellow"/>
                <w:u w:val="single"/>
              </w:rPr>
              <w:t xml:space="preserve"> </w:t>
            </w:r>
            <w:r w:rsidR="00FC333D" w:rsidRPr="00310D26">
              <w:rPr>
                <w:highlight w:val="yellow"/>
                <w:u w:val="single"/>
              </w:rPr>
              <w:t xml:space="preserve">prestarse a </w:t>
            </w:r>
            <w:r w:rsidR="00FC333D" w:rsidRPr="008935C5">
              <w:rPr>
                <w:highlight w:val="yellow"/>
                <w:u w:val="single"/>
              </w:rPr>
              <w:t xml:space="preserve">confusión </w:t>
            </w:r>
            <w:r w:rsidR="00272F5B" w:rsidRPr="008935C5">
              <w:rPr>
                <w:highlight w:val="yellow"/>
                <w:u w:val="single"/>
              </w:rPr>
              <w:t>respecto de la</w:t>
            </w:r>
            <w:r w:rsidR="00FC333D" w:rsidRPr="008935C5">
              <w:rPr>
                <w:highlight w:val="yellow"/>
                <w:u w:val="single"/>
              </w:rPr>
              <w:t xml:space="preserve"> </w:t>
            </w:r>
            <w:r w:rsidR="00FC333D" w:rsidRPr="00310D26">
              <w:rPr>
                <w:highlight w:val="yellow"/>
                <w:u w:val="single"/>
              </w:rPr>
              <w:t>identidad de la variedad si la diferencia no implica una clara diferencia fonética</w:t>
            </w:r>
            <w:r w:rsidR="00272F5B" w:rsidRPr="00310D26">
              <w:rPr>
                <w:highlight w:val="yellow"/>
                <w:u w:val="single"/>
              </w:rPr>
              <w:t>:</w:t>
            </w:r>
          </w:p>
          <w:p w14:paraId="7DD941BC" w14:textId="77777777" w:rsidR="00955AD5" w:rsidRPr="00310D26" w:rsidRDefault="00955AD5" w:rsidP="00955AD5">
            <w:pPr>
              <w:rPr>
                <w:highlight w:val="yellow"/>
                <w:u w:val="single"/>
              </w:rPr>
            </w:pPr>
          </w:p>
          <w:p w14:paraId="12BBB2E0" w14:textId="3DE931D8" w:rsidR="00955AD5" w:rsidRPr="00310D26" w:rsidRDefault="00955AD5" w:rsidP="00955AD5">
            <w:pPr>
              <w:rPr>
                <w:u w:val="single"/>
                <w:lang w:eastAsia="ja-JP"/>
              </w:rPr>
            </w:pPr>
            <w:r w:rsidRPr="00310D26">
              <w:rPr>
                <w:i/>
                <w:lang w:eastAsia="ja-JP"/>
              </w:rPr>
              <w:tab/>
            </w:r>
            <w:r w:rsidR="00FC333D" w:rsidRPr="00310D26">
              <w:rPr>
                <w:i/>
                <w:highlight w:val="yellow"/>
                <w:u w:val="single"/>
                <w:lang w:eastAsia="ja-JP"/>
              </w:rPr>
              <w:t>Ejemplos de denominaciones inadecuadas: “</w:t>
            </w:r>
            <w:proofErr w:type="spellStart"/>
            <w:r w:rsidR="00FC333D" w:rsidRPr="00310D26">
              <w:rPr>
                <w:iCs/>
                <w:highlight w:val="yellow"/>
                <w:u w:val="single"/>
                <w:lang w:eastAsia="ja-JP"/>
              </w:rPr>
              <w:t>Antelope</w:t>
            </w:r>
            <w:proofErr w:type="spellEnd"/>
            <w:r w:rsidR="00FC333D" w:rsidRPr="00310D26">
              <w:rPr>
                <w:iCs/>
                <w:highlight w:val="yellow"/>
                <w:u w:val="single"/>
                <w:lang w:eastAsia="ja-JP"/>
              </w:rPr>
              <w:t>” y “</w:t>
            </w:r>
            <w:proofErr w:type="spellStart"/>
            <w:r w:rsidR="00FC333D" w:rsidRPr="00310D26">
              <w:rPr>
                <w:iCs/>
                <w:highlight w:val="yellow"/>
                <w:u w:val="single"/>
                <w:lang w:eastAsia="ja-JP"/>
              </w:rPr>
              <w:t>Antilop</w:t>
            </w:r>
            <w:proofErr w:type="spellEnd"/>
            <w:r w:rsidR="00FC333D" w:rsidRPr="00310D26">
              <w:rPr>
                <w:iCs/>
                <w:highlight w:val="yellow"/>
                <w:u w:val="single"/>
                <w:lang w:eastAsia="ja-JP"/>
              </w:rPr>
              <w:t>”</w:t>
            </w:r>
            <w:r w:rsidR="00272F5B" w:rsidRPr="00310D26">
              <w:rPr>
                <w:iCs/>
                <w:highlight w:val="yellow"/>
                <w:u w:val="single"/>
                <w:lang w:eastAsia="ja-JP"/>
              </w:rPr>
              <w:t>;</w:t>
            </w:r>
            <w:r w:rsidR="00FC333D" w:rsidRPr="00310D26">
              <w:rPr>
                <w:iCs/>
                <w:highlight w:val="yellow"/>
                <w:u w:val="single"/>
                <w:lang w:eastAsia="ja-JP"/>
              </w:rPr>
              <w:t xml:space="preserve"> “</w:t>
            </w:r>
            <w:proofErr w:type="spellStart"/>
            <w:r w:rsidR="00FC333D" w:rsidRPr="00310D26">
              <w:rPr>
                <w:iCs/>
                <w:highlight w:val="yellow"/>
                <w:u w:val="single"/>
                <w:lang w:eastAsia="ja-JP"/>
              </w:rPr>
              <w:t>Sharlene</w:t>
            </w:r>
            <w:proofErr w:type="spellEnd"/>
            <w:r w:rsidR="00FC333D" w:rsidRPr="00310D26">
              <w:rPr>
                <w:iCs/>
                <w:highlight w:val="yellow"/>
                <w:u w:val="single"/>
                <w:lang w:eastAsia="ja-JP"/>
              </w:rPr>
              <w:t>” y “Charleen”</w:t>
            </w:r>
            <w:r w:rsidR="00272F5B" w:rsidRPr="00310D26">
              <w:rPr>
                <w:iCs/>
                <w:highlight w:val="yellow"/>
                <w:u w:val="single"/>
                <w:lang w:eastAsia="ja-JP"/>
              </w:rPr>
              <w:t>;</w:t>
            </w:r>
            <w:r w:rsidR="00FC333D" w:rsidRPr="00310D26">
              <w:rPr>
                <w:iCs/>
                <w:highlight w:val="yellow"/>
                <w:u w:val="single"/>
                <w:lang w:eastAsia="ja-JP"/>
              </w:rPr>
              <w:t xml:space="preserve"> “</w:t>
            </w:r>
            <w:proofErr w:type="spellStart"/>
            <w:r w:rsidR="00FC333D" w:rsidRPr="00310D26">
              <w:rPr>
                <w:iCs/>
                <w:highlight w:val="yellow"/>
                <w:u w:val="single"/>
                <w:lang w:eastAsia="ja-JP"/>
              </w:rPr>
              <w:t>Kapricio</w:t>
            </w:r>
            <w:proofErr w:type="spellEnd"/>
            <w:r w:rsidR="00FC333D" w:rsidRPr="00310D26">
              <w:rPr>
                <w:iCs/>
                <w:highlight w:val="yellow"/>
                <w:u w:val="single"/>
                <w:lang w:eastAsia="ja-JP"/>
              </w:rPr>
              <w:t>” y “Capricho”</w:t>
            </w:r>
            <w:r w:rsidR="00272F5B" w:rsidRPr="00310D26">
              <w:rPr>
                <w:iCs/>
                <w:highlight w:val="yellow"/>
                <w:u w:val="single"/>
                <w:lang w:eastAsia="ja-JP"/>
              </w:rPr>
              <w:t>;</w:t>
            </w:r>
            <w:r w:rsidR="00FC333D" w:rsidRPr="00310D26">
              <w:rPr>
                <w:iCs/>
                <w:highlight w:val="yellow"/>
                <w:u w:val="single"/>
                <w:lang w:eastAsia="ja-JP"/>
              </w:rPr>
              <w:t xml:space="preserve"> y “</w:t>
            </w:r>
            <w:proofErr w:type="spellStart"/>
            <w:r w:rsidR="00FC333D" w:rsidRPr="00310D26">
              <w:rPr>
                <w:iCs/>
                <w:highlight w:val="yellow"/>
                <w:u w:val="single"/>
                <w:lang w:eastAsia="ja-JP"/>
              </w:rPr>
              <w:t>Sophie</w:t>
            </w:r>
            <w:proofErr w:type="spellEnd"/>
            <w:r w:rsidR="00FC333D" w:rsidRPr="00310D26">
              <w:rPr>
                <w:iCs/>
                <w:highlight w:val="yellow"/>
                <w:u w:val="single"/>
                <w:lang w:eastAsia="ja-JP"/>
              </w:rPr>
              <w:t>” y “</w:t>
            </w:r>
            <w:proofErr w:type="spellStart"/>
            <w:r w:rsidR="00FC333D" w:rsidRPr="00310D26">
              <w:rPr>
                <w:iCs/>
                <w:highlight w:val="yellow"/>
                <w:u w:val="single"/>
                <w:lang w:eastAsia="ja-JP"/>
              </w:rPr>
              <w:t>Sofie</w:t>
            </w:r>
            <w:proofErr w:type="spellEnd"/>
            <w:r w:rsidR="00FC333D" w:rsidRPr="00310D26">
              <w:rPr>
                <w:iCs/>
                <w:highlight w:val="yellow"/>
                <w:u w:val="single"/>
                <w:lang w:eastAsia="ja-JP"/>
              </w:rPr>
              <w:t>”</w:t>
            </w:r>
            <w:r w:rsidRPr="00310D26">
              <w:rPr>
                <w:iCs/>
                <w:highlight w:val="yellow"/>
                <w:u w:val="single"/>
                <w:lang w:eastAsia="ja-JP"/>
              </w:rPr>
              <w:t>.</w:t>
            </w:r>
          </w:p>
          <w:p w14:paraId="45C9EC4E" w14:textId="77777777" w:rsidR="00955AD5" w:rsidRPr="00310D26" w:rsidRDefault="00955AD5" w:rsidP="00955AD5">
            <w:pPr>
              <w:rPr>
                <w:u w:val="single"/>
              </w:rPr>
            </w:pPr>
          </w:p>
          <w:p w14:paraId="6E7B3743" w14:textId="77777777" w:rsidR="00955AD5" w:rsidRPr="00310D26" w:rsidRDefault="00955AD5" w:rsidP="00955AD5">
            <w:pPr>
              <w:rPr>
                <w:u w:val="single"/>
              </w:rPr>
            </w:pPr>
          </w:p>
          <w:p w14:paraId="0803F7C2" w14:textId="490E52E6" w:rsidR="00955AD5" w:rsidRPr="00310D26" w:rsidRDefault="00955AD5" w:rsidP="00955AD5">
            <w:pPr>
              <w:rPr>
                <w:u w:val="single"/>
              </w:rPr>
            </w:pPr>
            <w:r w:rsidRPr="00310D26">
              <w:rPr>
                <w:b/>
              </w:rPr>
              <w:t>[Alternativ</w:t>
            </w:r>
            <w:r w:rsidR="00FC333D" w:rsidRPr="00310D26">
              <w:rPr>
                <w:b/>
              </w:rPr>
              <w:t>a</w:t>
            </w:r>
            <w:r w:rsidRPr="00310D26">
              <w:rPr>
                <w:b/>
              </w:rPr>
              <w:t xml:space="preserve"> 2 </w:t>
            </w:r>
            <w:r w:rsidR="00FC333D" w:rsidRPr="00310D26">
              <w:rPr>
                <w:b/>
              </w:rPr>
              <w:t xml:space="preserve">de la sección </w:t>
            </w:r>
            <w:r w:rsidRPr="00310D26">
              <w:rPr>
                <w:b/>
              </w:rPr>
              <w:t>2.3.3 b)]</w:t>
            </w:r>
            <w:r w:rsidRPr="00310D26">
              <w:rPr>
                <w:iCs/>
                <w:highlight w:val="yellow"/>
              </w:rPr>
              <w:t xml:space="preserve"> </w:t>
            </w:r>
            <w:r w:rsidRPr="00310D26">
              <w:rPr>
                <w:iCs/>
                <w:highlight w:val="yellow"/>
                <w:u w:val="single"/>
              </w:rPr>
              <w:t>b)</w:t>
            </w:r>
            <w:r w:rsidR="00C05526">
              <w:rPr>
                <w:iCs/>
                <w:highlight w:val="yellow"/>
                <w:u w:val="single"/>
              </w:rPr>
              <w:t xml:space="preserve"> </w:t>
            </w:r>
            <w:r w:rsidR="00FC333D" w:rsidRPr="00310D26">
              <w:rPr>
                <w:iCs/>
                <w:highlight w:val="yellow"/>
                <w:u w:val="single"/>
              </w:rPr>
              <w:t>Una diferencia de dos o más letras podrá considerarse susceptible de inducir a error o</w:t>
            </w:r>
            <w:r w:rsidR="00272F5B" w:rsidRPr="00310D26">
              <w:rPr>
                <w:iCs/>
                <w:highlight w:val="yellow"/>
                <w:u w:val="single"/>
              </w:rPr>
              <w:t xml:space="preserve"> </w:t>
            </w:r>
            <w:r w:rsidR="00FC333D" w:rsidRPr="00310D26">
              <w:rPr>
                <w:iCs/>
                <w:highlight w:val="yellow"/>
                <w:u w:val="single"/>
              </w:rPr>
              <w:t xml:space="preserve">prestarse a </w:t>
            </w:r>
            <w:r w:rsidR="00FC333D" w:rsidRPr="008935C5">
              <w:rPr>
                <w:iCs/>
                <w:highlight w:val="yellow"/>
                <w:u w:val="single"/>
              </w:rPr>
              <w:t xml:space="preserve">confusión </w:t>
            </w:r>
            <w:r w:rsidR="00272F5B" w:rsidRPr="008935C5">
              <w:rPr>
                <w:iCs/>
                <w:highlight w:val="yellow"/>
                <w:u w:val="single"/>
              </w:rPr>
              <w:t xml:space="preserve">respecto de </w:t>
            </w:r>
            <w:r w:rsidR="00FC333D" w:rsidRPr="008935C5">
              <w:rPr>
                <w:iCs/>
                <w:highlight w:val="yellow"/>
                <w:u w:val="single"/>
              </w:rPr>
              <w:t xml:space="preserve">la identidad </w:t>
            </w:r>
            <w:r w:rsidR="00FC333D" w:rsidRPr="00310D26">
              <w:rPr>
                <w:iCs/>
                <w:highlight w:val="yellow"/>
                <w:u w:val="single"/>
              </w:rPr>
              <w:t>de la variedad si la diferencia no implica una clara diferencia fonética o una diferencia de significado claramente apreciable</w:t>
            </w:r>
            <w:r w:rsidRPr="00310D26">
              <w:rPr>
                <w:highlight w:val="yellow"/>
                <w:u w:val="single"/>
              </w:rPr>
              <w:t>:</w:t>
            </w:r>
          </w:p>
          <w:p w14:paraId="1B448F0B" w14:textId="77777777" w:rsidR="00955AD5" w:rsidRPr="00310D26" w:rsidRDefault="00955AD5" w:rsidP="00955AD5">
            <w:pPr>
              <w:rPr>
                <w:lang w:eastAsia="ja-JP"/>
              </w:rPr>
            </w:pPr>
          </w:p>
          <w:p w14:paraId="30304A00" w14:textId="5FD6A61A" w:rsidR="00955AD5" w:rsidRPr="00310D26" w:rsidRDefault="00955AD5" w:rsidP="00955AD5">
            <w:pPr>
              <w:rPr>
                <w:iCs/>
                <w:u w:val="single"/>
                <w:lang w:eastAsia="ja-JP"/>
              </w:rPr>
            </w:pPr>
            <w:r w:rsidRPr="00310D26">
              <w:rPr>
                <w:i/>
                <w:lang w:eastAsia="ja-JP"/>
              </w:rPr>
              <w:tab/>
            </w:r>
            <w:r w:rsidR="00FC333D" w:rsidRPr="00310D26">
              <w:rPr>
                <w:i/>
                <w:highlight w:val="yellow"/>
                <w:u w:val="single"/>
                <w:lang w:eastAsia="ja-JP"/>
              </w:rPr>
              <w:t xml:space="preserve">Ejemplos de denominaciones inadecuadas: </w:t>
            </w:r>
            <w:r w:rsidR="00FC333D" w:rsidRPr="00310D26">
              <w:rPr>
                <w:iCs/>
                <w:highlight w:val="yellow"/>
                <w:u w:val="single"/>
                <w:lang w:eastAsia="ja-JP"/>
              </w:rPr>
              <w:t>“</w:t>
            </w:r>
            <w:proofErr w:type="spellStart"/>
            <w:r w:rsidR="00FC333D" w:rsidRPr="00310D26">
              <w:rPr>
                <w:iCs/>
                <w:highlight w:val="yellow"/>
                <w:u w:val="single"/>
                <w:lang w:eastAsia="ja-JP"/>
              </w:rPr>
              <w:t>Antelope</w:t>
            </w:r>
            <w:proofErr w:type="spellEnd"/>
            <w:r w:rsidR="00FC333D" w:rsidRPr="00310D26">
              <w:rPr>
                <w:iCs/>
                <w:highlight w:val="yellow"/>
                <w:u w:val="single"/>
                <w:lang w:eastAsia="ja-JP"/>
              </w:rPr>
              <w:t>” y “</w:t>
            </w:r>
            <w:proofErr w:type="spellStart"/>
            <w:r w:rsidR="00FC333D" w:rsidRPr="00310D26">
              <w:rPr>
                <w:iCs/>
                <w:highlight w:val="yellow"/>
                <w:u w:val="single"/>
                <w:lang w:eastAsia="ja-JP"/>
              </w:rPr>
              <w:t>Antilop</w:t>
            </w:r>
            <w:proofErr w:type="spellEnd"/>
            <w:r w:rsidR="00FC333D" w:rsidRPr="00310D26">
              <w:rPr>
                <w:iCs/>
                <w:highlight w:val="yellow"/>
                <w:u w:val="single"/>
                <w:lang w:eastAsia="ja-JP"/>
              </w:rPr>
              <w:t>”</w:t>
            </w:r>
            <w:r w:rsidR="00272F5B" w:rsidRPr="00310D26">
              <w:rPr>
                <w:iCs/>
                <w:highlight w:val="yellow"/>
                <w:u w:val="single"/>
                <w:lang w:eastAsia="ja-JP"/>
              </w:rPr>
              <w:t>;</w:t>
            </w:r>
            <w:r w:rsidR="00FC333D" w:rsidRPr="00310D26">
              <w:rPr>
                <w:iCs/>
                <w:highlight w:val="yellow"/>
                <w:u w:val="single"/>
                <w:lang w:eastAsia="ja-JP"/>
              </w:rPr>
              <w:t xml:space="preserve"> “</w:t>
            </w:r>
            <w:proofErr w:type="spellStart"/>
            <w:r w:rsidR="00FC333D" w:rsidRPr="00310D26">
              <w:rPr>
                <w:iCs/>
                <w:highlight w:val="yellow"/>
                <w:u w:val="single"/>
                <w:lang w:eastAsia="ja-JP"/>
              </w:rPr>
              <w:t>Sharlene</w:t>
            </w:r>
            <w:proofErr w:type="spellEnd"/>
            <w:r w:rsidR="00FC333D" w:rsidRPr="00310D26">
              <w:rPr>
                <w:iCs/>
                <w:highlight w:val="yellow"/>
                <w:u w:val="single"/>
                <w:lang w:eastAsia="ja-JP"/>
              </w:rPr>
              <w:t>” y “Charleen”</w:t>
            </w:r>
            <w:r w:rsidR="00272F5B" w:rsidRPr="00310D26">
              <w:rPr>
                <w:iCs/>
                <w:highlight w:val="yellow"/>
                <w:u w:val="single"/>
                <w:lang w:eastAsia="ja-JP"/>
              </w:rPr>
              <w:t>;</w:t>
            </w:r>
            <w:r w:rsidR="00FC333D" w:rsidRPr="00310D26">
              <w:rPr>
                <w:iCs/>
                <w:highlight w:val="yellow"/>
                <w:u w:val="single"/>
                <w:lang w:eastAsia="ja-JP"/>
              </w:rPr>
              <w:t xml:space="preserve"> “</w:t>
            </w:r>
            <w:proofErr w:type="spellStart"/>
            <w:r w:rsidR="00FC333D" w:rsidRPr="00310D26">
              <w:rPr>
                <w:iCs/>
                <w:highlight w:val="yellow"/>
                <w:u w:val="single"/>
                <w:lang w:eastAsia="ja-JP"/>
              </w:rPr>
              <w:t>Kapricio</w:t>
            </w:r>
            <w:proofErr w:type="spellEnd"/>
            <w:r w:rsidR="00FC333D" w:rsidRPr="00310D26">
              <w:rPr>
                <w:iCs/>
                <w:highlight w:val="yellow"/>
                <w:u w:val="single"/>
                <w:lang w:eastAsia="ja-JP"/>
              </w:rPr>
              <w:t>” y “Capricho”</w:t>
            </w:r>
            <w:r w:rsidR="00272F5B" w:rsidRPr="00310D26">
              <w:rPr>
                <w:iCs/>
                <w:highlight w:val="yellow"/>
                <w:u w:val="single"/>
                <w:lang w:eastAsia="ja-JP"/>
              </w:rPr>
              <w:t>;</w:t>
            </w:r>
            <w:r w:rsidR="00FC333D" w:rsidRPr="00310D26">
              <w:rPr>
                <w:iCs/>
                <w:highlight w:val="yellow"/>
                <w:u w:val="single"/>
                <w:lang w:eastAsia="ja-JP"/>
              </w:rPr>
              <w:t xml:space="preserve"> y “</w:t>
            </w:r>
            <w:proofErr w:type="spellStart"/>
            <w:r w:rsidR="00FC333D" w:rsidRPr="00310D26">
              <w:rPr>
                <w:iCs/>
                <w:highlight w:val="yellow"/>
                <w:u w:val="single"/>
                <w:lang w:eastAsia="ja-JP"/>
              </w:rPr>
              <w:t>Sophie</w:t>
            </w:r>
            <w:proofErr w:type="spellEnd"/>
            <w:r w:rsidR="00FC333D" w:rsidRPr="00310D26">
              <w:rPr>
                <w:iCs/>
                <w:highlight w:val="yellow"/>
                <w:u w:val="single"/>
                <w:lang w:eastAsia="ja-JP"/>
              </w:rPr>
              <w:t>” y “</w:t>
            </w:r>
            <w:proofErr w:type="spellStart"/>
            <w:r w:rsidR="00FC333D" w:rsidRPr="00310D26">
              <w:rPr>
                <w:iCs/>
                <w:highlight w:val="yellow"/>
                <w:u w:val="single"/>
                <w:lang w:eastAsia="ja-JP"/>
              </w:rPr>
              <w:t>Sofie</w:t>
            </w:r>
            <w:proofErr w:type="spellEnd"/>
            <w:r w:rsidR="00FC333D" w:rsidRPr="00310D26">
              <w:rPr>
                <w:iCs/>
                <w:highlight w:val="yellow"/>
                <w:u w:val="single"/>
                <w:lang w:eastAsia="ja-JP"/>
              </w:rPr>
              <w:t>”</w:t>
            </w:r>
            <w:r w:rsidR="00272F5B" w:rsidRPr="00310D26">
              <w:rPr>
                <w:iCs/>
                <w:u w:val="single"/>
                <w:lang w:eastAsia="ja-JP"/>
              </w:rPr>
              <w:t>.</w:t>
            </w:r>
          </w:p>
          <w:p w14:paraId="4793B3E6" w14:textId="77777777" w:rsidR="00955AD5" w:rsidRPr="00310D26" w:rsidRDefault="00955AD5" w:rsidP="00955AD5">
            <w:pPr>
              <w:rPr>
                <w:lang w:eastAsia="ja-JP"/>
              </w:rPr>
            </w:pPr>
          </w:p>
          <w:p w14:paraId="0869467D" w14:textId="2855E554" w:rsidR="00955AD5" w:rsidRPr="00310D26" w:rsidRDefault="00955AD5" w:rsidP="00955AD5">
            <w:r w:rsidRPr="00310D26">
              <w:tab/>
            </w:r>
            <w:r w:rsidRPr="00310D26">
              <w:rPr>
                <w:strike/>
                <w:highlight w:val="yellow"/>
              </w:rPr>
              <w:t>b)</w:t>
            </w:r>
            <w:r w:rsidR="00FC333D" w:rsidRPr="00310D26">
              <w:rPr>
                <w:strike/>
                <w:highlight w:val="yellow"/>
              </w:rPr>
              <w:t xml:space="preserve"> </w:t>
            </w:r>
            <w:r w:rsidRPr="00310D26">
              <w:rPr>
                <w:highlight w:val="yellow"/>
                <w:u w:val="single"/>
              </w:rPr>
              <w:t>c)</w:t>
            </w:r>
            <w:r w:rsidRPr="00310D26">
              <w:tab/>
            </w:r>
            <w:r w:rsidR="00FC333D" w:rsidRPr="00310D26">
              <w:t>La utilización de una denominación que es similar a la utilizada para una variedad de otra especie o género de la misma clase de denominación (véase la sección 2.5) puede prestarse a confusión</w:t>
            </w:r>
            <w:r w:rsidRPr="00310D26">
              <w:t>.</w:t>
            </w:r>
          </w:p>
          <w:p w14:paraId="49C1EB46" w14:textId="77777777" w:rsidR="00955AD5" w:rsidRPr="00310D26" w:rsidRDefault="00955AD5" w:rsidP="00955AD5"/>
          <w:p w14:paraId="2F6BA94F" w14:textId="64409E51" w:rsidR="00955AD5" w:rsidRPr="00310D26" w:rsidRDefault="00955AD5" w:rsidP="00310D26">
            <w:pPr>
              <w:spacing w:line="240" w:lineRule="atLeast"/>
              <w:ind w:firstLine="567"/>
            </w:pPr>
            <w:r w:rsidRPr="00310D26">
              <w:rPr>
                <w:strike/>
                <w:highlight w:val="yellow"/>
              </w:rPr>
              <w:t>c)</w:t>
            </w:r>
            <w:r w:rsidR="00FC333D" w:rsidRPr="00310D26">
              <w:rPr>
                <w:strike/>
                <w:highlight w:val="yellow"/>
              </w:rPr>
              <w:t xml:space="preserve"> </w:t>
            </w:r>
            <w:r w:rsidRPr="00310D26">
              <w:rPr>
                <w:highlight w:val="yellow"/>
                <w:u w:val="single"/>
              </w:rPr>
              <w:t>d)</w:t>
            </w:r>
            <w:r w:rsidRPr="00310D26">
              <w:tab/>
            </w:r>
            <w:r w:rsidR="00FC333D" w:rsidRPr="00310D26">
              <w:t xml:space="preserve">Para mayor claridad y certidumbre en relación con las </w:t>
            </w:r>
            <w:r w:rsidR="00FC333D" w:rsidRPr="008935C5">
              <w:t>denominaciones de variedades, por lo general, se desaconseja la reutilización de denominaciones</w:t>
            </w:r>
            <w:r w:rsidR="00272F5B" w:rsidRPr="008935C5">
              <w:t xml:space="preserve"> puesto que</w:t>
            </w:r>
            <w:r w:rsidR="00FC333D" w:rsidRPr="008935C5">
              <w:t xml:space="preserve"> al volver </w:t>
            </w:r>
            <w:r w:rsidR="00FC333D" w:rsidRPr="00310D26">
              <w:t>a utilizar una denominación, aun cuando esta se relacione con una variedad que ya no exista (véase la sección 2.4.2), se puede no obstante causar confusión. En ciertos casos limitados, se puede aceptar una excepción, por ejemplo, una variedad que nunca haya sido comercializada o que solo haya sido comercializada en forma limitada y durante un corto período de tiempo. En esos casos, se exigiría que pase cierto tiempo después de suprimida la comercialización de la variedad antes de poder volver a utilizar la denominación y ello con el fin de evitar causar confusión en relación con la identidad y/o las características de la variedad.</w:t>
            </w:r>
          </w:p>
        </w:tc>
      </w:tr>
    </w:tbl>
    <w:p w14:paraId="67DD0AF6" w14:textId="77777777" w:rsidR="00955AD5" w:rsidRPr="00310D26" w:rsidRDefault="00955AD5" w:rsidP="00955AD5">
      <w:pPr>
        <w:rPr>
          <w:lang w:eastAsia="ja-JP"/>
        </w:rPr>
      </w:pPr>
    </w:p>
    <w:p w14:paraId="25FA7FDF" w14:textId="77777777" w:rsidR="00955AD5" w:rsidRPr="00310D26" w:rsidRDefault="00955AD5" w:rsidP="00955AD5">
      <w:pPr>
        <w:pStyle w:val="DecisionParagraphs"/>
        <w:tabs>
          <w:tab w:val="clear" w:pos="5387"/>
          <w:tab w:val="clear" w:pos="5954"/>
        </w:tabs>
        <w:ind w:left="0"/>
        <w:rPr>
          <w:i w:val="0"/>
          <w:lang w:val="es-ES"/>
        </w:rPr>
      </w:pPr>
    </w:p>
    <w:p w14:paraId="16085532" w14:textId="77777777" w:rsidR="00955AD5" w:rsidRPr="00310D26" w:rsidRDefault="00955AD5" w:rsidP="00955AD5">
      <w:pPr>
        <w:pStyle w:val="DecisionParagraphs"/>
        <w:tabs>
          <w:tab w:val="clear" w:pos="5387"/>
          <w:tab w:val="clear" w:pos="5954"/>
        </w:tabs>
        <w:ind w:left="0"/>
        <w:rPr>
          <w:i w:val="0"/>
          <w:lang w:val="es-ES"/>
        </w:rPr>
      </w:pPr>
    </w:p>
    <w:p w14:paraId="1786A955" w14:textId="7F3EB08F" w:rsidR="00FC333D" w:rsidRPr="00D60821" w:rsidRDefault="00FC333D" w:rsidP="00FC333D">
      <w:pPr>
        <w:pStyle w:val="DecisionParagraphs"/>
        <w:jc w:val="right"/>
        <w:rPr>
          <w:i w:val="0"/>
          <w:lang w:val="es-AR"/>
        </w:rPr>
      </w:pPr>
      <w:r w:rsidRPr="00D60821">
        <w:rPr>
          <w:i w:val="0"/>
          <w:lang w:val="es-AR"/>
        </w:rPr>
        <w:t>[Sigue el Apéndice IV]</w:t>
      </w:r>
    </w:p>
    <w:p w14:paraId="52430A43" w14:textId="77777777" w:rsidR="00955AD5" w:rsidRPr="00D60821" w:rsidRDefault="00955AD5" w:rsidP="00955AD5">
      <w:pPr>
        <w:pStyle w:val="DecisionParagraphs"/>
        <w:tabs>
          <w:tab w:val="clear" w:pos="5387"/>
          <w:tab w:val="clear" w:pos="5954"/>
        </w:tabs>
        <w:ind w:left="0"/>
        <w:rPr>
          <w:i w:val="0"/>
          <w:lang w:val="es-AR"/>
        </w:rPr>
      </w:pPr>
    </w:p>
    <w:p w14:paraId="70ED905E" w14:textId="77777777" w:rsidR="00955AD5" w:rsidRPr="00D60821" w:rsidRDefault="00955AD5" w:rsidP="00955AD5">
      <w:pPr>
        <w:pStyle w:val="DecisionParagraphs"/>
        <w:tabs>
          <w:tab w:val="clear" w:pos="5387"/>
          <w:tab w:val="clear" w:pos="5954"/>
        </w:tabs>
        <w:ind w:left="0"/>
        <w:rPr>
          <w:i w:val="0"/>
          <w:lang w:val="es-AR"/>
        </w:rPr>
      </w:pPr>
    </w:p>
    <w:p w14:paraId="64C852CB" w14:textId="77777777" w:rsidR="00955AD5" w:rsidRPr="00D60821" w:rsidRDefault="00955AD5" w:rsidP="00955AD5">
      <w:pPr>
        <w:pStyle w:val="DecisionParagraphs"/>
        <w:tabs>
          <w:tab w:val="clear" w:pos="5387"/>
          <w:tab w:val="clear" w:pos="5954"/>
        </w:tabs>
        <w:ind w:left="0"/>
        <w:rPr>
          <w:i w:val="0"/>
          <w:lang w:val="es-AR"/>
        </w:rPr>
        <w:sectPr w:rsidR="00955AD5" w:rsidRPr="00D60821" w:rsidSect="00955AD5">
          <w:headerReference w:type="default" r:id="rId21"/>
          <w:headerReference w:type="first" r:id="rId22"/>
          <w:endnotePr>
            <w:numFmt w:val="lowerLetter"/>
          </w:endnotePr>
          <w:pgSz w:w="11907" w:h="16840" w:code="9"/>
          <w:pgMar w:top="510" w:right="1134" w:bottom="851" w:left="1134" w:header="510" w:footer="680" w:gutter="0"/>
          <w:pgNumType w:start="1"/>
          <w:cols w:space="720"/>
          <w:titlePg/>
        </w:sectPr>
      </w:pPr>
    </w:p>
    <w:p w14:paraId="092B0203" w14:textId="5328EB9D" w:rsidR="00E7205D" w:rsidRPr="00310D26" w:rsidRDefault="00E7205D" w:rsidP="00E7205D">
      <w:pPr>
        <w:jc w:val="center"/>
      </w:pPr>
      <w:r w:rsidRPr="00310D26">
        <w:lastRenderedPageBreak/>
        <w:t xml:space="preserve">Respuesta de </w:t>
      </w:r>
      <w:r>
        <w:t xml:space="preserve">Francia </w:t>
      </w:r>
      <w:r w:rsidRPr="00310D26">
        <w:t>a la Circular E-20/017</w:t>
      </w:r>
    </w:p>
    <w:p w14:paraId="51F8E0CA" w14:textId="77777777" w:rsidR="00E7205D" w:rsidRPr="00310D26" w:rsidRDefault="00E7205D" w:rsidP="00E7205D">
      <w:pPr>
        <w:jc w:val="center"/>
        <w:rPr>
          <w:sz w:val="18"/>
        </w:rPr>
      </w:pPr>
    </w:p>
    <w:p w14:paraId="0A395852" w14:textId="757E44DA" w:rsidR="008355BC" w:rsidRPr="008355BC" w:rsidRDefault="00E7205D" w:rsidP="00E7205D">
      <w:pPr>
        <w:jc w:val="center"/>
      </w:pPr>
      <w:r>
        <w:t xml:space="preserve"> [Original:  </w:t>
      </w:r>
      <w:r w:rsidR="008355BC" w:rsidRPr="008355BC">
        <w:t>francés</w:t>
      </w:r>
      <w:r w:rsidR="008355BC">
        <w:t>]</w:t>
      </w:r>
    </w:p>
    <w:p w14:paraId="321507DA" w14:textId="77777777" w:rsidR="008355BC" w:rsidRPr="008355BC" w:rsidRDefault="008355BC" w:rsidP="008355BC"/>
    <w:p w14:paraId="06FEA844" w14:textId="77777777" w:rsidR="00235894" w:rsidRPr="00474C29" w:rsidRDefault="00235894" w:rsidP="00235894">
      <w:pPr>
        <w:spacing w:after="240"/>
        <w:rPr>
          <w:rFonts w:cs="Arial"/>
          <w:szCs w:val="22"/>
          <w:lang w:val="es-419"/>
        </w:rPr>
      </w:pPr>
      <w:r w:rsidRPr="00474C29">
        <w:rPr>
          <w:rFonts w:cs="Arial"/>
          <w:szCs w:val="22"/>
          <w:lang w:val="es-419"/>
        </w:rPr>
        <w:t xml:space="preserve">En respuesta a la circular E-20/017, entre las dos variantes propuestas por la OCVV en la </w:t>
      </w:r>
      <w:r>
        <w:rPr>
          <w:rFonts w:cs="Arial"/>
          <w:szCs w:val="22"/>
          <w:lang w:val="es-419"/>
        </w:rPr>
        <w:t>S</w:t>
      </w:r>
      <w:r w:rsidRPr="00474C29">
        <w:rPr>
          <w:rFonts w:cs="Arial"/>
          <w:szCs w:val="22"/>
          <w:lang w:val="es-419"/>
        </w:rPr>
        <w:t xml:space="preserve">ección 2.3.3.b), es preferible la </w:t>
      </w:r>
      <w:r w:rsidRPr="00474C29">
        <w:rPr>
          <w:rFonts w:cs="Arial"/>
          <w:b/>
          <w:bCs/>
          <w:szCs w:val="22"/>
          <w:lang w:val="es-419"/>
        </w:rPr>
        <w:t>variante 2</w:t>
      </w:r>
      <w:r w:rsidRPr="00474C29">
        <w:rPr>
          <w:rFonts w:cs="Arial"/>
          <w:szCs w:val="22"/>
          <w:lang w:val="es-419"/>
        </w:rPr>
        <w:t>, pues tiene en cuentas las 3 dimensiones (visual, fonética y conceptual).</w:t>
      </w:r>
    </w:p>
    <w:p w14:paraId="30D48B45" w14:textId="77777777" w:rsidR="00235894" w:rsidRPr="00A20F1E" w:rsidRDefault="00235894" w:rsidP="00235894">
      <w:pPr>
        <w:spacing w:after="240"/>
        <w:rPr>
          <w:rFonts w:cs="Arial"/>
          <w:szCs w:val="22"/>
          <w:lang w:val="es-419"/>
        </w:rPr>
      </w:pPr>
      <w:proofErr w:type="spellStart"/>
      <w:r w:rsidRPr="00474C29">
        <w:rPr>
          <w:rFonts w:cs="Arial"/>
          <w:szCs w:val="22"/>
          <w:lang w:val="es-419"/>
        </w:rPr>
        <w:t>Yvane</w:t>
      </w:r>
      <w:proofErr w:type="spellEnd"/>
      <w:r w:rsidRPr="00474C29">
        <w:rPr>
          <w:rFonts w:cs="Arial"/>
          <w:szCs w:val="22"/>
          <w:lang w:val="es-419"/>
        </w:rPr>
        <w:t xml:space="preserve"> </w:t>
      </w:r>
      <w:proofErr w:type="spellStart"/>
      <w:r w:rsidRPr="00474C29">
        <w:rPr>
          <w:rFonts w:cs="Arial"/>
          <w:szCs w:val="22"/>
          <w:lang w:val="es-419"/>
        </w:rPr>
        <w:t>MERESSE</w:t>
      </w:r>
      <w:proofErr w:type="spellEnd"/>
    </w:p>
    <w:p w14:paraId="3600E104" w14:textId="77777777" w:rsidR="00955AD5" w:rsidRPr="005E4DB0" w:rsidRDefault="00955AD5" w:rsidP="00955AD5"/>
    <w:p w14:paraId="5AC51A69" w14:textId="77777777" w:rsidR="00955AD5" w:rsidRPr="005E4DB0" w:rsidRDefault="00955AD5" w:rsidP="00955AD5"/>
    <w:p w14:paraId="569324AE" w14:textId="6BF043C9" w:rsidR="00955AD5" w:rsidRPr="00310D26" w:rsidRDefault="00955AD5" w:rsidP="00955AD5">
      <w:pPr>
        <w:jc w:val="right"/>
      </w:pPr>
      <w:r w:rsidRPr="00310D26">
        <w:t>[</w:t>
      </w:r>
      <w:r w:rsidR="007C65E8" w:rsidRPr="00310D26">
        <w:t xml:space="preserve">Sigue el Apéndice </w:t>
      </w:r>
      <w:r w:rsidRPr="00310D26">
        <w:t>V]</w:t>
      </w:r>
    </w:p>
    <w:p w14:paraId="65F30EAF" w14:textId="77777777" w:rsidR="00955AD5" w:rsidRPr="00310D26" w:rsidRDefault="00955AD5" w:rsidP="00955AD5"/>
    <w:p w14:paraId="388749DC" w14:textId="77777777" w:rsidR="00955AD5" w:rsidRPr="00310D26" w:rsidRDefault="00955AD5" w:rsidP="00955AD5">
      <w:pPr>
        <w:spacing w:before="60" w:after="60"/>
      </w:pPr>
    </w:p>
    <w:p w14:paraId="3929412F" w14:textId="77777777" w:rsidR="00955AD5" w:rsidRPr="00310D26" w:rsidRDefault="00955AD5" w:rsidP="00955AD5">
      <w:pPr>
        <w:spacing w:before="60" w:after="60"/>
        <w:sectPr w:rsidR="00955AD5" w:rsidRPr="00310D26" w:rsidSect="00955AD5">
          <w:headerReference w:type="first" r:id="rId23"/>
          <w:endnotePr>
            <w:numFmt w:val="lowerLetter"/>
          </w:endnotePr>
          <w:pgSz w:w="11907" w:h="16840" w:code="9"/>
          <w:pgMar w:top="510" w:right="1134" w:bottom="851" w:left="1134" w:header="510" w:footer="680" w:gutter="0"/>
          <w:cols w:space="720"/>
          <w:titlePg/>
        </w:sectPr>
      </w:pPr>
    </w:p>
    <w:p w14:paraId="7EB66DC1" w14:textId="33D1DA43" w:rsidR="00955AD5" w:rsidRPr="00310D26" w:rsidRDefault="00F0765A" w:rsidP="00955AD5">
      <w:pPr>
        <w:jc w:val="center"/>
      </w:pPr>
      <w:r w:rsidRPr="00310D26">
        <w:lastRenderedPageBreak/>
        <w:t xml:space="preserve">Respuesta de Nueva Zelandia a la </w:t>
      </w:r>
      <w:r w:rsidR="004158CD" w:rsidRPr="00310D26">
        <w:t>C</w:t>
      </w:r>
      <w:r w:rsidRPr="00310D26">
        <w:t>ircular</w:t>
      </w:r>
      <w:r w:rsidR="00955AD5" w:rsidRPr="00310D26">
        <w:t xml:space="preserve"> E-20/017</w:t>
      </w:r>
    </w:p>
    <w:p w14:paraId="379D8278" w14:textId="77777777" w:rsidR="00955AD5" w:rsidRPr="00310D26" w:rsidRDefault="00955AD5" w:rsidP="00955AD5">
      <w:pPr>
        <w:jc w:val="center"/>
      </w:pPr>
    </w:p>
    <w:p w14:paraId="30A30B17" w14:textId="77777777" w:rsidR="00955AD5" w:rsidRPr="00310D26" w:rsidRDefault="00955AD5" w:rsidP="00955AD5">
      <w:pPr>
        <w:jc w:val="center"/>
        <w:rPr>
          <w:rFonts w:cs="Arial"/>
        </w:rPr>
      </w:pPr>
    </w:p>
    <w:p w14:paraId="79ED2E7E" w14:textId="3E1B4E5F" w:rsidR="00955AD5" w:rsidRPr="00310D26" w:rsidRDefault="00955AD5" w:rsidP="00955AD5">
      <w:pPr>
        <w:rPr>
          <w:rFonts w:eastAsiaTheme="minorHAnsi" w:cs="Arial"/>
          <w:b/>
          <w:lang w:eastAsia="en-NZ"/>
        </w:rPr>
      </w:pPr>
      <w:r w:rsidRPr="00310D26">
        <w:rPr>
          <w:rFonts w:eastAsiaTheme="minorHAnsi" w:cs="Arial"/>
          <w:b/>
          <w:lang w:eastAsia="en-NZ"/>
        </w:rPr>
        <w:t>UPOV/</w:t>
      </w:r>
      <w:proofErr w:type="spellStart"/>
      <w:r w:rsidRPr="00310D26">
        <w:rPr>
          <w:rFonts w:eastAsiaTheme="minorHAnsi" w:cs="Arial"/>
          <w:b/>
          <w:lang w:eastAsia="en-NZ"/>
        </w:rPr>
        <w:t>EXN</w:t>
      </w:r>
      <w:proofErr w:type="spellEnd"/>
      <w:r w:rsidRPr="00310D26">
        <w:rPr>
          <w:rFonts w:eastAsiaTheme="minorHAnsi" w:cs="Arial"/>
          <w:b/>
          <w:lang w:eastAsia="en-NZ"/>
        </w:rPr>
        <w:t>/DEN/1</w:t>
      </w:r>
      <w:r w:rsidR="00C05526">
        <w:rPr>
          <w:rFonts w:eastAsiaTheme="minorHAnsi" w:cs="Arial"/>
          <w:b/>
          <w:lang w:eastAsia="en-NZ"/>
        </w:rPr>
        <w:t xml:space="preserve"> </w:t>
      </w:r>
      <w:proofErr w:type="spellStart"/>
      <w:r w:rsidRPr="00310D26">
        <w:rPr>
          <w:rFonts w:eastAsiaTheme="minorHAnsi" w:cs="Arial"/>
          <w:b/>
          <w:lang w:eastAsia="en-NZ"/>
        </w:rPr>
        <w:t>Draft</w:t>
      </w:r>
      <w:proofErr w:type="spellEnd"/>
      <w:r w:rsidRPr="00310D26">
        <w:rPr>
          <w:rFonts w:eastAsiaTheme="minorHAnsi" w:cs="Arial"/>
          <w:b/>
          <w:lang w:eastAsia="en-NZ"/>
        </w:rPr>
        <w:t xml:space="preserve"> 3</w:t>
      </w:r>
    </w:p>
    <w:p w14:paraId="23CEB4C8" w14:textId="77777777" w:rsidR="00310D26" w:rsidRPr="00310D26" w:rsidRDefault="00310D26" w:rsidP="00955AD5">
      <w:pPr>
        <w:rPr>
          <w:rFonts w:eastAsiaTheme="minorHAnsi" w:cs="Arial"/>
          <w:b/>
          <w:lang w:eastAsia="en-NZ"/>
        </w:rPr>
      </w:pPr>
    </w:p>
    <w:p w14:paraId="5A9E1515" w14:textId="4704F242" w:rsidR="00955AD5" w:rsidRPr="00310D26" w:rsidRDefault="00B268A3" w:rsidP="00955AD5">
      <w:pPr>
        <w:rPr>
          <w:rFonts w:eastAsiaTheme="minorHAnsi" w:cs="Arial"/>
          <w:u w:val="single"/>
          <w:lang w:eastAsia="en-NZ"/>
        </w:rPr>
      </w:pPr>
      <w:r w:rsidRPr="00310D26">
        <w:rPr>
          <w:rFonts w:eastAsiaTheme="minorHAnsi" w:cs="Arial"/>
          <w:u w:val="single"/>
          <w:lang w:eastAsia="en-NZ"/>
        </w:rPr>
        <w:t>Nueva Zelandia ha formulado las observaciones siguientes:</w:t>
      </w:r>
    </w:p>
    <w:p w14:paraId="7D9BA5C9" w14:textId="77777777" w:rsidR="00955AD5" w:rsidRPr="00310D26" w:rsidRDefault="00955AD5" w:rsidP="00955AD5">
      <w:pPr>
        <w:rPr>
          <w:rFonts w:eastAsiaTheme="minorHAnsi" w:cs="Arial"/>
          <w:lang w:eastAsia="en-NZ"/>
        </w:rPr>
      </w:pPr>
    </w:p>
    <w:p w14:paraId="57340415" w14:textId="5D6011DB" w:rsidR="00955AD5" w:rsidRPr="00310D26" w:rsidRDefault="00955AD5" w:rsidP="00955AD5">
      <w:pPr>
        <w:rPr>
          <w:rFonts w:eastAsiaTheme="minorHAnsi" w:cs="Arial"/>
          <w:lang w:eastAsia="en-NZ"/>
        </w:rPr>
      </w:pPr>
      <w:r w:rsidRPr="00310D26">
        <w:rPr>
          <w:rFonts w:eastAsiaTheme="minorHAnsi" w:cs="Arial"/>
          <w:b/>
          <w:lang w:eastAsia="en-NZ"/>
        </w:rPr>
        <w:t>P</w:t>
      </w:r>
      <w:r w:rsidR="00B268A3" w:rsidRPr="00310D26">
        <w:rPr>
          <w:rFonts w:eastAsiaTheme="minorHAnsi" w:cs="Arial"/>
          <w:b/>
          <w:lang w:eastAsia="en-NZ"/>
        </w:rPr>
        <w:t>ágina</w:t>
      </w:r>
      <w:r w:rsidRPr="00310D26">
        <w:rPr>
          <w:rFonts w:eastAsiaTheme="minorHAnsi" w:cs="Arial"/>
          <w:b/>
          <w:lang w:eastAsia="en-NZ"/>
        </w:rPr>
        <w:t xml:space="preserve"> 6</w:t>
      </w:r>
      <w:r w:rsidR="00C05526">
        <w:rPr>
          <w:rFonts w:eastAsiaTheme="minorHAnsi" w:cs="Arial"/>
          <w:b/>
          <w:lang w:eastAsia="en-NZ"/>
        </w:rPr>
        <w:t xml:space="preserve"> </w:t>
      </w:r>
      <w:r w:rsidRPr="00310D26">
        <w:rPr>
          <w:rFonts w:eastAsiaTheme="minorHAnsi" w:cs="Arial"/>
          <w:b/>
          <w:lang w:eastAsia="en-NZ"/>
        </w:rPr>
        <w:t>2.3.2</w:t>
      </w:r>
      <w:r w:rsidR="00C05526">
        <w:rPr>
          <w:rFonts w:eastAsiaTheme="minorHAnsi" w:cs="Arial"/>
          <w:b/>
          <w:lang w:eastAsia="en-NZ"/>
        </w:rPr>
        <w:t xml:space="preserve"> </w:t>
      </w:r>
      <w:r w:rsidRPr="00310D26">
        <w:rPr>
          <w:rFonts w:eastAsiaTheme="minorHAnsi" w:cs="Arial"/>
          <w:lang w:eastAsia="en-NZ"/>
        </w:rPr>
        <w:t>“</w:t>
      </w:r>
      <w:r w:rsidR="00B268A3" w:rsidRPr="00310D26">
        <w:rPr>
          <w:rFonts w:eastAsiaTheme="minorHAnsi" w:cs="Arial"/>
          <w:lang w:eastAsia="en-NZ"/>
        </w:rPr>
        <w:t>La denominación no deberá componerse de […] comparativas […] o contener estas</w:t>
      </w:r>
      <w:r w:rsidRPr="00310D26">
        <w:rPr>
          <w:rFonts w:eastAsiaTheme="minorHAnsi" w:cs="Arial"/>
          <w:lang w:eastAsia="en-NZ"/>
        </w:rPr>
        <w:t>”</w:t>
      </w:r>
      <w:r w:rsidR="00C05526">
        <w:rPr>
          <w:rFonts w:eastAsiaTheme="minorHAnsi" w:cs="Arial"/>
          <w:lang w:eastAsia="en-NZ"/>
        </w:rPr>
        <w:t xml:space="preserve"> </w:t>
      </w:r>
    </w:p>
    <w:p w14:paraId="018D8169" w14:textId="77777777" w:rsidR="00955AD5" w:rsidRPr="00310D26" w:rsidRDefault="00955AD5" w:rsidP="00955AD5">
      <w:pPr>
        <w:rPr>
          <w:rFonts w:eastAsiaTheme="minorHAnsi" w:cs="Arial"/>
          <w:lang w:eastAsia="en-NZ"/>
        </w:rPr>
      </w:pPr>
    </w:p>
    <w:p w14:paraId="2CAA3C36" w14:textId="19368955" w:rsidR="00955AD5" w:rsidRPr="00310D26" w:rsidRDefault="00310D26" w:rsidP="00955AD5">
      <w:pPr>
        <w:rPr>
          <w:rFonts w:eastAsiaTheme="minorHAnsi" w:cs="Arial"/>
          <w:lang w:eastAsia="en-NZ"/>
        </w:rPr>
      </w:pPr>
      <w:r w:rsidRPr="00310D26">
        <w:rPr>
          <w:rFonts w:eastAsiaTheme="minorHAnsi" w:cs="Arial"/>
          <w:lang w:eastAsia="en-NZ"/>
        </w:rPr>
        <w:t>Se p</w:t>
      </w:r>
      <w:r w:rsidR="00B268A3" w:rsidRPr="00310D26">
        <w:rPr>
          <w:rFonts w:eastAsiaTheme="minorHAnsi" w:cs="Arial"/>
          <w:lang w:eastAsia="en-NZ"/>
        </w:rPr>
        <w:t xml:space="preserve">ropone </w:t>
      </w:r>
      <w:r w:rsidRPr="00310D26">
        <w:rPr>
          <w:rFonts w:eastAsiaTheme="minorHAnsi" w:cs="Arial"/>
          <w:lang w:eastAsia="en-NZ"/>
        </w:rPr>
        <w:t>eliminar</w:t>
      </w:r>
      <w:r w:rsidR="00B268A3" w:rsidRPr="00310D26">
        <w:rPr>
          <w:rFonts w:eastAsiaTheme="minorHAnsi" w:cs="Arial"/>
          <w:lang w:eastAsia="en-NZ"/>
        </w:rPr>
        <w:t xml:space="preserve"> </w:t>
      </w:r>
      <w:r w:rsidR="007C6B6C" w:rsidRPr="00310D26">
        <w:rPr>
          <w:rFonts w:eastAsiaTheme="minorHAnsi" w:cs="Arial"/>
          <w:lang w:eastAsia="en-NZ"/>
        </w:rPr>
        <w:t>la fórmula</w:t>
      </w:r>
      <w:r w:rsidR="00955AD5" w:rsidRPr="00310D26">
        <w:rPr>
          <w:rFonts w:eastAsiaTheme="minorHAnsi" w:cs="Arial"/>
          <w:lang w:eastAsia="en-NZ"/>
        </w:rPr>
        <w:t xml:space="preserve"> </w:t>
      </w:r>
      <w:r w:rsidR="00955AD5" w:rsidRPr="00310D26">
        <w:rPr>
          <w:rFonts w:eastAsiaTheme="minorHAnsi" w:cs="Arial"/>
          <w:u w:val="single"/>
          <w:lang w:eastAsia="en-NZ"/>
        </w:rPr>
        <w:t>o cont</w:t>
      </w:r>
      <w:r w:rsidR="00B268A3" w:rsidRPr="00310D26">
        <w:rPr>
          <w:rFonts w:eastAsiaTheme="minorHAnsi" w:cs="Arial"/>
          <w:u w:val="single"/>
          <w:lang w:eastAsia="en-NZ"/>
        </w:rPr>
        <w:t>ener</w:t>
      </w:r>
      <w:r w:rsidR="00500317" w:rsidRPr="00310D26">
        <w:rPr>
          <w:rFonts w:eastAsiaTheme="minorHAnsi" w:cs="Arial"/>
          <w:lang w:eastAsia="en-NZ"/>
        </w:rPr>
        <w:t>,</w:t>
      </w:r>
      <w:r w:rsidR="00955AD5" w:rsidRPr="00310D26">
        <w:rPr>
          <w:rFonts w:eastAsiaTheme="minorHAnsi" w:cs="Arial"/>
          <w:lang w:eastAsia="en-NZ"/>
        </w:rPr>
        <w:t xml:space="preserve"> </w:t>
      </w:r>
      <w:r w:rsidR="00B268A3" w:rsidRPr="00310D26">
        <w:rPr>
          <w:rFonts w:eastAsiaTheme="minorHAnsi" w:cs="Arial"/>
          <w:lang w:eastAsia="en-NZ"/>
        </w:rPr>
        <w:t xml:space="preserve">porque la mera presencia de una palabra no </w:t>
      </w:r>
      <w:r w:rsidRPr="00310D26">
        <w:rPr>
          <w:rFonts w:eastAsiaTheme="minorHAnsi" w:cs="Arial"/>
          <w:lang w:eastAsia="en-NZ"/>
        </w:rPr>
        <w:t>justifica por sí misma</w:t>
      </w:r>
      <w:r w:rsidR="00B268A3" w:rsidRPr="00310D26">
        <w:rPr>
          <w:rFonts w:eastAsiaTheme="minorHAnsi" w:cs="Arial"/>
          <w:lang w:eastAsia="en-NZ"/>
        </w:rPr>
        <w:t xml:space="preserve"> </w:t>
      </w:r>
      <w:r w:rsidRPr="00310D26">
        <w:rPr>
          <w:rFonts w:eastAsiaTheme="minorHAnsi" w:cs="Arial"/>
          <w:lang w:eastAsia="en-NZ"/>
        </w:rPr>
        <w:t>que se rechace la</w:t>
      </w:r>
      <w:r w:rsidR="007C6B6C" w:rsidRPr="00310D26">
        <w:rPr>
          <w:rFonts w:eastAsiaTheme="minorHAnsi" w:cs="Arial"/>
          <w:lang w:eastAsia="en-NZ"/>
        </w:rPr>
        <w:t xml:space="preserve"> denominación</w:t>
      </w:r>
      <w:r w:rsidR="00955AD5" w:rsidRPr="00310D26">
        <w:rPr>
          <w:rFonts w:eastAsiaTheme="minorHAnsi" w:cs="Arial"/>
          <w:lang w:eastAsia="en-NZ"/>
        </w:rPr>
        <w:t>.</w:t>
      </w:r>
      <w:r w:rsidR="00C05526">
        <w:rPr>
          <w:rFonts w:eastAsiaTheme="minorHAnsi" w:cs="Arial"/>
          <w:lang w:eastAsia="en-NZ"/>
        </w:rPr>
        <w:t xml:space="preserve"> </w:t>
      </w:r>
      <w:r w:rsidR="00500317" w:rsidRPr="00310D26">
        <w:rPr>
          <w:rFonts w:eastAsiaTheme="minorHAnsi" w:cs="Arial"/>
          <w:lang w:eastAsia="en-NZ"/>
        </w:rPr>
        <w:t xml:space="preserve">Para </w:t>
      </w:r>
      <w:r w:rsidRPr="00310D26">
        <w:rPr>
          <w:rFonts w:eastAsiaTheme="minorHAnsi" w:cs="Arial"/>
          <w:lang w:eastAsia="en-NZ"/>
        </w:rPr>
        <w:t>valorar</w:t>
      </w:r>
      <w:r w:rsidR="00B268A3" w:rsidRPr="00310D26">
        <w:rPr>
          <w:rFonts w:eastAsiaTheme="minorHAnsi" w:cs="Arial"/>
          <w:lang w:eastAsia="en-NZ"/>
        </w:rPr>
        <w:t xml:space="preserve"> </w:t>
      </w:r>
      <w:r w:rsidRPr="00310D26">
        <w:rPr>
          <w:rFonts w:eastAsiaTheme="minorHAnsi" w:cs="Arial"/>
          <w:lang w:eastAsia="en-NZ"/>
        </w:rPr>
        <w:t xml:space="preserve">la </w:t>
      </w:r>
      <w:r w:rsidR="007C6B6C" w:rsidRPr="00310D26">
        <w:rPr>
          <w:rFonts w:eastAsiaTheme="minorHAnsi" w:cs="Arial"/>
          <w:lang w:eastAsia="en-NZ"/>
        </w:rPr>
        <w:t xml:space="preserve">capacidad de </w:t>
      </w:r>
      <w:r w:rsidRPr="00310D26">
        <w:rPr>
          <w:rFonts w:eastAsiaTheme="minorHAnsi" w:cs="Arial"/>
          <w:lang w:eastAsia="en-NZ"/>
        </w:rPr>
        <w:t>prestarse a</w:t>
      </w:r>
      <w:r w:rsidR="00B268A3" w:rsidRPr="00310D26">
        <w:rPr>
          <w:rFonts w:eastAsiaTheme="minorHAnsi" w:cs="Arial"/>
          <w:lang w:eastAsia="en-NZ"/>
        </w:rPr>
        <w:t xml:space="preserve"> confusión o </w:t>
      </w:r>
      <w:r w:rsidRPr="00310D26">
        <w:rPr>
          <w:rFonts w:eastAsiaTheme="minorHAnsi" w:cs="Arial"/>
          <w:lang w:eastAsia="en-NZ"/>
        </w:rPr>
        <w:t xml:space="preserve">de </w:t>
      </w:r>
      <w:r w:rsidR="00B268A3" w:rsidRPr="00310D26">
        <w:rPr>
          <w:rFonts w:eastAsiaTheme="minorHAnsi" w:cs="Arial"/>
          <w:lang w:eastAsia="en-NZ"/>
        </w:rPr>
        <w:t>induc</w:t>
      </w:r>
      <w:r w:rsidR="007C6B6C" w:rsidRPr="00310D26">
        <w:rPr>
          <w:rFonts w:eastAsiaTheme="minorHAnsi" w:cs="Arial"/>
          <w:lang w:eastAsia="en-NZ"/>
        </w:rPr>
        <w:t>i</w:t>
      </w:r>
      <w:r w:rsidR="00B268A3" w:rsidRPr="00310D26">
        <w:rPr>
          <w:rFonts w:eastAsiaTheme="minorHAnsi" w:cs="Arial"/>
          <w:lang w:eastAsia="en-NZ"/>
        </w:rPr>
        <w:t>r a</w:t>
      </w:r>
      <w:r w:rsidR="007C6B6C" w:rsidRPr="00310D26">
        <w:rPr>
          <w:rFonts w:eastAsiaTheme="minorHAnsi" w:cs="Arial"/>
          <w:lang w:eastAsia="en-NZ"/>
        </w:rPr>
        <w:t xml:space="preserve"> </w:t>
      </w:r>
      <w:r w:rsidR="00B268A3" w:rsidRPr="00310D26">
        <w:rPr>
          <w:rFonts w:eastAsiaTheme="minorHAnsi" w:cs="Arial"/>
          <w:lang w:eastAsia="en-NZ"/>
        </w:rPr>
        <w:t xml:space="preserve">error debe </w:t>
      </w:r>
      <w:r w:rsidR="00500317" w:rsidRPr="00310D26">
        <w:rPr>
          <w:rFonts w:eastAsiaTheme="minorHAnsi" w:cs="Arial"/>
          <w:lang w:eastAsia="en-NZ"/>
        </w:rPr>
        <w:t>tenerse en cuenta</w:t>
      </w:r>
      <w:r w:rsidR="007C6B6C" w:rsidRPr="00310D26">
        <w:rPr>
          <w:rFonts w:eastAsiaTheme="minorHAnsi" w:cs="Arial"/>
          <w:lang w:eastAsia="en-NZ"/>
        </w:rPr>
        <w:t xml:space="preserve"> </w:t>
      </w:r>
      <w:r w:rsidR="00B268A3" w:rsidRPr="00310D26">
        <w:rPr>
          <w:rFonts w:eastAsiaTheme="minorHAnsi" w:cs="Arial"/>
          <w:lang w:eastAsia="en-NZ"/>
        </w:rPr>
        <w:t xml:space="preserve">la denominación en su conjunto, </w:t>
      </w:r>
      <w:r w:rsidR="00500317" w:rsidRPr="00310D26">
        <w:rPr>
          <w:rFonts w:eastAsiaTheme="minorHAnsi" w:cs="Arial"/>
          <w:lang w:eastAsia="en-NZ"/>
        </w:rPr>
        <w:t>lo que abarca</w:t>
      </w:r>
      <w:r w:rsidR="00B268A3" w:rsidRPr="00310D26">
        <w:rPr>
          <w:rFonts w:eastAsiaTheme="minorHAnsi" w:cs="Arial"/>
          <w:lang w:eastAsia="en-NZ"/>
        </w:rPr>
        <w:t xml:space="preserve"> la combinación de palabras y la posición/el énfasis de la palabra </w:t>
      </w:r>
      <w:r w:rsidR="00500317" w:rsidRPr="00310D26">
        <w:rPr>
          <w:rFonts w:eastAsiaTheme="minorHAnsi" w:cs="Arial"/>
          <w:lang w:eastAsia="en-NZ"/>
        </w:rPr>
        <w:t>dentro</w:t>
      </w:r>
      <w:r w:rsidR="007C6B6C" w:rsidRPr="00310D26">
        <w:rPr>
          <w:rFonts w:eastAsiaTheme="minorHAnsi" w:cs="Arial"/>
          <w:lang w:eastAsia="en-NZ"/>
        </w:rPr>
        <w:t xml:space="preserve"> </w:t>
      </w:r>
      <w:r w:rsidR="00B268A3" w:rsidRPr="00310D26">
        <w:rPr>
          <w:rFonts w:eastAsiaTheme="minorHAnsi" w:cs="Arial"/>
          <w:lang w:eastAsia="en-NZ"/>
        </w:rPr>
        <w:t>la denominación</w:t>
      </w:r>
      <w:r w:rsidR="00955AD5" w:rsidRPr="00310D26">
        <w:rPr>
          <w:rFonts w:eastAsiaTheme="minorHAnsi" w:cs="Arial"/>
          <w:lang w:eastAsia="en-NZ"/>
        </w:rPr>
        <w:t xml:space="preserve">. </w:t>
      </w:r>
      <w:r w:rsidR="00F550E4" w:rsidRPr="00310D26">
        <w:rPr>
          <w:rFonts w:eastAsiaTheme="minorHAnsi" w:cs="Arial"/>
          <w:lang w:eastAsia="en-NZ"/>
        </w:rPr>
        <w:t xml:space="preserve">Si se aplicase </w:t>
      </w:r>
      <w:r w:rsidR="007C6B6C" w:rsidRPr="00310D26">
        <w:rPr>
          <w:rFonts w:eastAsiaTheme="minorHAnsi" w:cs="Arial"/>
          <w:lang w:eastAsia="en-NZ"/>
        </w:rPr>
        <w:t>de manera estricta</w:t>
      </w:r>
      <w:r w:rsidR="00F550E4" w:rsidRPr="00310D26">
        <w:rPr>
          <w:rFonts w:eastAsiaTheme="minorHAnsi" w:cs="Arial"/>
          <w:lang w:eastAsia="en-NZ"/>
        </w:rPr>
        <w:t xml:space="preserve"> el </w:t>
      </w:r>
      <w:r w:rsidR="007C6B6C" w:rsidRPr="00310D26">
        <w:rPr>
          <w:rFonts w:eastAsiaTheme="minorHAnsi" w:cs="Arial"/>
          <w:lang w:eastAsia="en-NZ"/>
        </w:rPr>
        <w:t xml:space="preserve">criterio </w:t>
      </w:r>
      <w:r w:rsidRPr="00310D26">
        <w:rPr>
          <w:rFonts w:eastAsiaTheme="minorHAnsi" w:cs="Arial"/>
          <w:lang w:eastAsia="en-NZ"/>
        </w:rPr>
        <w:t>exclusiv</w:t>
      </w:r>
      <w:r>
        <w:rPr>
          <w:rFonts w:eastAsiaTheme="minorHAnsi" w:cs="Arial"/>
          <w:lang w:eastAsia="en-NZ"/>
        </w:rPr>
        <w:t>o</w:t>
      </w:r>
      <w:r w:rsidRPr="00310D26">
        <w:rPr>
          <w:rFonts w:eastAsiaTheme="minorHAnsi" w:cs="Arial"/>
          <w:lang w:eastAsia="en-NZ"/>
        </w:rPr>
        <w:t xml:space="preserve"> de</w:t>
      </w:r>
      <w:r>
        <w:rPr>
          <w:rFonts w:eastAsiaTheme="minorHAnsi" w:cs="Arial"/>
          <w:lang w:eastAsia="en-NZ"/>
        </w:rPr>
        <w:t xml:space="preserve"> la</w:t>
      </w:r>
      <w:r w:rsidR="007C6B6C" w:rsidRPr="00310D26">
        <w:rPr>
          <w:rFonts w:eastAsiaTheme="minorHAnsi" w:cs="Arial"/>
          <w:lang w:eastAsia="en-NZ"/>
        </w:rPr>
        <w:t xml:space="preserve"> </w:t>
      </w:r>
      <w:r w:rsidR="00F550E4" w:rsidRPr="00310D26">
        <w:rPr>
          <w:rFonts w:eastAsiaTheme="minorHAnsi" w:cs="Arial"/>
          <w:lang w:eastAsia="en-NZ"/>
        </w:rPr>
        <w:t>presencia</w:t>
      </w:r>
      <w:r w:rsidR="007C6B6C" w:rsidRPr="00310D26">
        <w:rPr>
          <w:rFonts w:eastAsiaTheme="minorHAnsi" w:cs="Arial"/>
          <w:lang w:eastAsia="en-NZ"/>
        </w:rPr>
        <w:t>, los ejemplos de denominación que se señalan como aceptables dejarían de serlo, puesto que contienen superlativos, como “</w:t>
      </w:r>
      <w:r w:rsidR="00165E10" w:rsidRPr="00310D26">
        <w:rPr>
          <w:rFonts w:eastAsiaTheme="minorHAnsi" w:cs="Arial"/>
          <w:lang w:eastAsia="en-NZ"/>
        </w:rPr>
        <w:t>S</w:t>
      </w:r>
      <w:r w:rsidR="007C6B6C" w:rsidRPr="00310D26">
        <w:rPr>
          <w:rFonts w:eastAsiaTheme="minorHAnsi" w:cs="Arial"/>
          <w:lang w:eastAsia="en-NZ"/>
        </w:rPr>
        <w:t>uperior” o “</w:t>
      </w:r>
      <w:r w:rsidR="00165E10" w:rsidRPr="00310D26">
        <w:rPr>
          <w:rFonts w:eastAsiaTheme="minorHAnsi" w:cs="Arial"/>
          <w:lang w:eastAsia="en-NZ"/>
        </w:rPr>
        <w:t>M</w:t>
      </w:r>
      <w:r w:rsidR="007C6B6C" w:rsidRPr="00310D26">
        <w:rPr>
          <w:rFonts w:eastAsiaTheme="minorHAnsi" w:cs="Arial"/>
          <w:lang w:eastAsia="en-NZ"/>
        </w:rPr>
        <w:t>ejor</w:t>
      </w:r>
      <w:r w:rsidR="00165E10" w:rsidRPr="00310D26">
        <w:rPr>
          <w:rFonts w:eastAsiaTheme="minorHAnsi" w:cs="Arial"/>
          <w:lang w:eastAsia="en-NZ"/>
        </w:rPr>
        <w:t>es</w:t>
      </w:r>
      <w:r w:rsidR="007C6B6C" w:rsidRPr="00310D26">
        <w:rPr>
          <w:rFonts w:eastAsiaTheme="minorHAnsi" w:cs="Arial"/>
          <w:lang w:eastAsia="en-NZ"/>
        </w:rPr>
        <w:t>”.</w:t>
      </w:r>
      <w:r w:rsidR="00955AD5" w:rsidRPr="00310D26">
        <w:rPr>
          <w:rFonts w:eastAsiaTheme="minorHAnsi" w:cs="Arial"/>
          <w:lang w:eastAsia="en-NZ"/>
        </w:rPr>
        <w:t xml:space="preserve"> </w:t>
      </w:r>
    </w:p>
    <w:p w14:paraId="19D4BDC2" w14:textId="77777777" w:rsidR="00955AD5" w:rsidRPr="00310D26" w:rsidRDefault="00955AD5" w:rsidP="00955AD5">
      <w:pPr>
        <w:ind w:left="720"/>
        <w:rPr>
          <w:rFonts w:eastAsiaTheme="minorHAnsi" w:cs="Arial"/>
          <w:b/>
          <w:lang w:eastAsia="en-NZ"/>
        </w:rPr>
      </w:pPr>
    </w:p>
    <w:p w14:paraId="11808E2A" w14:textId="00CEEBA6" w:rsidR="00955AD5" w:rsidRPr="00310D26" w:rsidRDefault="00955AD5" w:rsidP="00955AD5">
      <w:pPr>
        <w:ind w:left="2160" w:hanging="2160"/>
        <w:rPr>
          <w:rFonts w:eastAsiaTheme="minorHAnsi" w:cs="Arial"/>
          <w:lang w:eastAsia="en-NZ"/>
        </w:rPr>
      </w:pPr>
      <w:r w:rsidRPr="00310D26">
        <w:rPr>
          <w:rFonts w:eastAsiaTheme="minorHAnsi" w:cs="Arial"/>
          <w:b/>
          <w:lang w:eastAsia="en-NZ"/>
        </w:rPr>
        <w:t>An</w:t>
      </w:r>
      <w:r w:rsidR="00500317" w:rsidRPr="00310D26">
        <w:rPr>
          <w:rFonts w:eastAsiaTheme="minorHAnsi" w:cs="Arial"/>
          <w:b/>
          <w:lang w:eastAsia="en-NZ"/>
        </w:rPr>
        <w:t>e</w:t>
      </w:r>
      <w:r w:rsidRPr="00310D26">
        <w:rPr>
          <w:rFonts w:eastAsiaTheme="minorHAnsi" w:cs="Arial"/>
          <w:b/>
          <w:lang w:eastAsia="en-NZ"/>
        </w:rPr>
        <w:t>x</w:t>
      </w:r>
      <w:r w:rsidR="00500317" w:rsidRPr="00310D26">
        <w:rPr>
          <w:rFonts w:eastAsiaTheme="minorHAnsi" w:cs="Arial"/>
          <w:b/>
          <w:lang w:eastAsia="en-NZ"/>
        </w:rPr>
        <w:t>o</w:t>
      </w:r>
      <w:r w:rsidRPr="00310D26">
        <w:rPr>
          <w:rFonts w:eastAsiaTheme="minorHAnsi" w:cs="Arial"/>
          <w:b/>
          <w:lang w:eastAsia="en-NZ"/>
        </w:rPr>
        <w:t xml:space="preserve"> 1, p</w:t>
      </w:r>
      <w:r w:rsidR="00500317" w:rsidRPr="00310D26">
        <w:rPr>
          <w:rFonts w:eastAsiaTheme="minorHAnsi" w:cs="Arial"/>
          <w:b/>
          <w:lang w:eastAsia="en-NZ"/>
        </w:rPr>
        <w:t>ágina</w:t>
      </w:r>
      <w:r w:rsidRPr="00310D26">
        <w:rPr>
          <w:rFonts w:eastAsiaTheme="minorHAnsi" w:cs="Arial"/>
          <w:b/>
          <w:lang w:eastAsia="en-NZ"/>
        </w:rPr>
        <w:t xml:space="preserve"> 3</w:t>
      </w:r>
      <w:r w:rsidRPr="00310D26">
        <w:rPr>
          <w:rFonts w:eastAsiaTheme="minorHAnsi" w:cs="Arial"/>
          <w:lang w:eastAsia="en-NZ"/>
        </w:rPr>
        <w:tab/>
      </w:r>
      <w:proofErr w:type="spellStart"/>
      <w:r w:rsidRPr="00310D26">
        <w:rPr>
          <w:rFonts w:eastAsiaTheme="minorHAnsi" w:cs="Arial"/>
          <w:i/>
          <w:lang w:eastAsia="en-NZ"/>
        </w:rPr>
        <w:t>Neotyphodium</w:t>
      </w:r>
      <w:proofErr w:type="spellEnd"/>
      <w:r w:rsidRPr="00310D26">
        <w:rPr>
          <w:rFonts w:eastAsiaTheme="minorHAnsi" w:cs="Arial"/>
          <w:lang w:eastAsia="en-NZ"/>
        </w:rPr>
        <w:t xml:space="preserve"> </w:t>
      </w:r>
      <w:r w:rsidR="007C6B6C" w:rsidRPr="00310D26">
        <w:rPr>
          <w:rFonts w:eastAsiaTheme="minorHAnsi" w:cs="Arial"/>
          <w:lang w:eastAsia="en-NZ"/>
        </w:rPr>
        <w:t>es un sinónimo botánico de</w:t>
      </w:r>
      <w:r w:rsidRPr="00310D26">
        <w:rPr>
          <w:rFonts w:eastAsiaTheme="minorHAnsi" w:cs="Arial"/>
          <w:lang w:eastAsia="en-NZ"/>
        </w:rPr>
        <w:t xml:space="preserve"> </w:t>
      </w:r>
      <w:proofErr w:type="spellStart"/>
      <w:r w:rsidRPr="00310D26">
        <w:rPr>
          <w:rFonts w:eastAsiaTheme="minorHAnsi" w:cs="Arial"/>
          <w:i/>
          <w:lang w:eastAsia="en-NZ"/>
        </w:rPr>
        <w:t>Epichloe</w:t>
      </w:r>
      <w:proofErr w:type="spellEnd"/>
      <w:r w:rsidRPr="00310D26">
        <w:rPr>
          <w:rFonts w:eastAsiaTheme="minorHAnsi" w:cs="Arial"/>
          <w:lang w:eastAsia="en-NZ"/>
        </w:rPr>
        <w:t>.</w:t>
      </w:r>
      <w:r w:rsidR="00C05526">
        <w:rPr>
          <w:rFonts w:eastAsiaTheme="minorHAnsi" w:cs="Arial"/>
          <w:lang w:eastAsia="en-NZ"/>
        </w:rPr>
        <w:t xml:space="preserve"> </w:t>
      </w:r>
      <w:r w:rsidR="007C6B6C" w:rsidRPr="00310D26">
        <w:rPr>
          <w:rFonts w:eastAsiaTheme="minorHAnsi" w:cs="Arial"/>
          <w:lang w:eastAsia="en-NZ"/>
        </w:rPr>
        <w:t>El código</w:t>
      </w:r>
      <w:r w:rsidRPr="00310D26">
        <w:rPr>
          <w:rFonts w:eastAsiaTheme="minorHAnsi" w:cs="Arial"/>
          <w:lang w:eastAsia="en-NZ"/>
        </w:rPr>
        <w:t xml:space="preserve"> EPICH </w:t>
      </w:r>
      <w:r w:rsidR="007C6B6C" w:rsidRPr="00310D26">
        <w:rPr>
          <w:rFonts w:eastAsiaTheme="minorHAnsi" w:cs="Arial"/>
          <w:lang w:eastAsia="en-NZ"/>
        </w:rPr>
        <w:t xml:space="preserve">de la UPOV incluye </w:t>
      </w:r>
      <w:r w:rsidRPr="00310D26">
        <w:rPr>
          <w:rFonts w:eastAsiaTheme="minorHAnsi" w:cs="Arial"/>
          <w:lang w:eastAsia="en-NZ"/>
        </w:rPr>
        <w:t>NEOTY.</w:t>
      </w:r>
    </w:p>
    <w:p w14:paraId="0BDA9274" w14:textId="4DCD77FD" w:rsidR="00955AD5" w:rsidRPr="00310D26" w:rsidRDefault="008A6895" w:rsidP="00955AD5">
      <w:pPr>
        <w:ind w:left="1440" w:firstLine="720"/>
        <w:rPr>
          <w:rFonts w:eastAsiaTheme="minorHAnsi" w:cs="Arial"/>
          <w:lang w:eastAsia="en-NZ"/>
        </w:rPr>
      </w:pPr>
      <w:r>
        <w:rPr>
          <w:rFonts w:eastAsiaTheme="minorHAnsi" w:cs="Arial"/>
          <w:lang w:eastAsia="en-NZ"/>
        </w:rPr>
        <w:t>Se p</w:t>
      </w:r>
      <w:r w:rsidR="007C6B6C" w:rsidRPr="00310D26">
        <w:rPr>
          <w:rFonts w:eastAsiaTheme="minorHAnsi" w:cs="Arial"/>
          <w:lang w:eastAsia="en-NZ"/>
        </w:rPr>
        <w:t>ropone eliminar</w:t>
      </w:r>
      <w:r w:rsidR="00955AD5" w:rsidRPr="00310D26">
        <w:rPr>
          <w:rFonts w:eastAsiaTheme="minorHAnsi" w:cs="Arial"/>
          <w:lang w:eastAsia="en-NZ"/>
        </w:rPr>
        <w:t xml:space="preserve"> </w:t>
      </w:r>
      <w:proofErr w:type="spellStart"/>
      <w:r w:rsidR="00955AD5" w:rsidRPr="00310D26">
        <w:rPr>
          <w:rFonts w:eastAsiaTheme="minorHAnsi" w:cs="Arial"/>
          <w:i/>
          <w:lang w:eastAsia="en-NZ"/>
        </w:rPr>
        <w:t>Neotyphodium</w:t>
      </w:r>
      <w:proofErr w:type="spellEnd"/>
      <w:r w:rsidR="00955AD5" w:rsidRPr="00310D26">
        <w:rPr>
          <w:rFonts w:eastAsiaTheme="minorHAnsi" w:cs="Arial"/>
          <w:lang w:eastAsia="en-NZ"/>
        </w:rPr>
        <w:t xml:space="preserve"> </w:t>
      </w:r>
      <w:r w:rsidR="007C6B6C" w:rsidRPr="00310D26">
        <w:rPr>
          <w:rFonts w:eastAsiaTheme="minorHAnsi" w:cs="Arial"/>
          <w:lang w:eastAsia="en-NZ"/>
        </w:rPr>
        <w:t xml:space="preserve">y </w:t>
      </w:r>
      <w:proofErr w:type="spellStart"/>
      <w:r w:rsidR="00955AD5" w:rsidRPr="00310D26">
        <w:rPr>
          <w:rFonts w:eastAsiaTheme="minorHAnsi" w:cs="Arial"/>
          <w:lang w:eastAsia="en-NZ"/>
        </w:rPr>
        <w:t>NEOTY</w:t>
      </w:r>
      <w:proofErr w:type="spellEnd"/>
    </w:p>
    <w:p w14:paraId="5B3115E9" w14:textId="77777777" w:rsidR="00955AD5" w:rsidRPr="00310D26" w:rsidRDefault="00955AD5" w:rsidP="00955AD5">
      <w:pPr>
        <w:ind w:left="1440" w:firstLine="720"/>
        <w:rPr>
          <w:rFonts w:eastAsiaTheme="minorHAnsi" w:cs="Arial"/>
          <w:lang w:eastAsia="en-NZ"/>
        </w:rPr>
      </w:pPr>
    </w:p>
    <w:p w14:paraId="052282D2" w14:textId="40081737" w:rsidR="00955AD5" w:rsidRPr="00310D26" w:rsidRDefault="00955AD5" w:rsidP="00955AD5">
      <w:pPr>
        <w:rPr>
          <w:rFonts w:eastAsiaTheme="minorHAnsi" w:cs="Arial"/>
          <w:b/>
          <w:lang w:eastAsia="en-NZ"/>
        </w:rPr>
      </w:pPr>
      <w:r w:rsidRPr="00310D26">
        <w:rPr>
          <w:rFonts w:eastAsiaTheme="minorHAnsi" w:cs="Arial"/>
          <w:b/>
          <w:lang w:eastAsia="en-NZ"/>
        </w:rPr>
        <w:t xml:space="preserve">b) </w:t>
      </w:r>
      <w:r w:rsidR="00500317" w:rsidRPr="00310D26">
        <w:rPr>
          <w:rFonts w:eastAsiaTheme="minorHAnsi" w:cs="Arial"/>
          <w:b/>
          <w:lang w:eastAsia="en-NZ"/>
        </w:rPr>
        <w:t>propuesta de la</w:t>
      </w:r>
      <w:r w:rsidRPr="00310D26">
        <w:rPr>
          <w:rFonts w:eastAsiaTheme="minorHAnsi" w:cs="Arial"/>
          <w:b/>
          <w:lang w:eastAsia="en-NZ"/>
        </w:rPr>
        <w:t xml:space="preserve"> </w:t>
      </w:r>
      <w:r w:rsidR="00500317" w:rsidRPr="00310D26">
        <w:rPr>
          <w:rFonts w:eastAsiaTheme="minorHAnsi" w:cs="Arial"/>
          <w:b/>
          <w:lang w:eastAsia="en-NZ"/>
        </w:rPr>
        <w:t>OC</w:t>
      </w:r>
      <w:r w:rsidR="006B02D2" w:rsidRPr="00310D26">
        <w:rPr>
          <w:rFonts w:eastAsiaTheme="minorHAnsi" w:cs="Arial"/>
          <w:b/>
          <w:lang w:eastAsia="en-NZ"/>
        </w:rPr>
        <w:t>V</w:t>
      </w:r>
      <w:r w:rsidR="00500317" w:rsidRPr="00310D26">
        <w:rPr>
          <w:rFonts w:eastAsiaTheme="minorHAnsi" w:cs="Arial"/>
          <w:b/>
          <w:lang w:eastAsia="en-NZ"/>
        </w:rPr>
        <w:t>V</w:t>
      </w:r>
    </w:p>
    <w:p w14:paraId="50145BD8" w14:textId="77777777" w:rsidR="00165E10" w:rsidRPr="00310D26" w:rsidRDefault="00165E10" w:rsidP="00955AD5">
      <w:pPr>
        <w:rPr>
          <w:rFonts w:eastAsiaTheme="minorHAnsi" w:cs="Arial"/>
          <w:lang w:eastAsia="en-NZ"/>
        </w:rPr>
      </w:pPr>
    </w:p>
    <w:p w14:paraId="0AF7275E" w14:textId="15759349" w:rsidR="00955AD5" w:rsidRPr="00310D26" w:rsidRDefault="00165E10" w:rsidP="00955AD5">
      <w:pPr>
        <w:rPr>
          <w:rFonts w:eastAsiaTheme="minorHAnsi" w:cs="Arial"/>
          <w:lang w:eastAsia="en-NZ"/>
        </w:rPr>
      </w:pPr>
      <w:r w:rsidRPr="00310D26">
        <w:rPr>
          <w:rFonts w:eastAsiaTheme="minorHAnsi" w:cs="Arial"/>
          <w:lang w:eastAsia="en-NZ"/>
        </w:rPr>
        <w:t xml:space="preserve">El </w:t>
      </w:r>
      <w:r w:rsidR="00A228EC" w:rsidRPr="00310D26">
        <w:rPr>
          <w:rFonts w:eastAsiaTheme="minorHAnsi" w:cs="Arial"/>
          <w:lang w:eastAsia="en-NZ"/>
        </w:rPr>
        <w:t xml:space="preserve">nuevo </w:t>
      </w:r>
      <w:r w:rsidRPr="00310D26">
        <w:rPr>
          <w:rFonts w:eastAsiaTheme="minorHAnsi" w:cs="Arial"/>
          <w:lang w:eastAsia="en-NZ"/>
        </w:rPr>
        <w:t>apartado</w:t>
      </w:r>
      <w:r w:rsidR="00955AD5" w:rsidRPr="00310D26">
        <w:rPr>
          <w:rFonts w:eastAsiaTheme="minorHAnsi" w:cs="Arial"/>
          <w:lang w:eastAsia="en-NZ"/>
        </w:rPr>
        <w:t xml:space="preserve"> ii) </w:t>
      </w:r>
      <w:r w:rsidRPr="00310D26">
        <w:rPr>
          <w:rFonts w:eastAsiaTheme="minorHAnsi" w:cs="Arial"/>
          <w:lang w:eastAsia="en-NZ"/>
        </w:rPr>
        <w:t>y el apartado</w:t>
      </w:r>
      <w:r w:rsidR="00955AD5" w:rsidRPr="00310D26">
        <w:rPr>
          <w:rFonts w:eastAsiaTheme="minorHAnsi" w:cs="Arial"/>
          <w:lang w:eastAsia="en-NZ"/>
        </w:rPr>
        <w:t xml:space="preserve"> iii)</w:t>
      </w:r>
      <w:r w:rsidRPr="00310D26">
        <w:rPr>
          <w:rFonts w:eastAsiaTheme="minorHAnsi" w:cs="Arial"/>
          <w:lang w:eastAsia="en-NZ"/>
        </w:rPr>
        <w:t xml:space="preserve"> </w:t>
      </w:r>
      <w:r w:rsidR="00FF2785">
        <w:rPr>
          <w:rFonts w:eastAsiaTheme="minorHAnsi" w:cs="Arial"/>
          <w:lang w:eastAsia="en-NZ"/>
        </w:rPr>
        <w:t>que existía anteriormente</w:t>
      </w:r>
      <w:r w:rsidRPr="00310D26">
        <w:rPr>
          <w:rFonts w:eastAsiaTheme="minorHAnsi" w:cs="Arial"/>
          <w:lang w:eastAsia="en-NZ"/>
        </w:rPr>
        <w:t xml:space="preserve"> tienen un objetivo similar; ambos señalan excepciones al principio general</w:t>
      </w:r>
      <w:r w:rsidR="00955AD5" w:rsidRPr="00310D26">
        <w:rPr>
          <w:rFonts w:eastAsiaTheme="minorHAnsi" w:cs="Arial"/>
          <w:lang w:eastAsia="en-NZ"/>
        </w:rPr>
        <w:t xml:space="preserve">. </w:t>
      </w:r>
      <w:r w:rsidRPr="00310D26">
        <w:rPr>
          <w:rFonts w:eastAsiaTheme="minorHAnsi" w:cs="Arial"/>
          <w:lang w:eastAsia="en-NZ"/>
        </w:rPr>
        <w:t>El texto podría mejorarse combinándolos, de modo que quedasen abarcadas todas las palabras que presentan diferencias de significado, uso o pronunciación</w:t>
      </w:r>
      <w:r w:rsidR="00955AD5" w:rsidRPr="00310D26">
        <w:rPr>
          <w:rFonts w:eastAsiaTheme="minorHAnsi" w:cs="Arial"/>
          <w:lang w:eastAsia="en-NZ"/>
        </w:rPr>
        <w:t xml:space="preserve">. </w:t>
      </w:r>
    </w:p>
    <w:p w14:paraId="46ADF35A" w14:textId="77777777" w:rsidR="00955AD5" w:rsidRPr="00310D26" w:rsidRDefault="00955AD5" w:rsidP="00955AD5">
      <w:pPr>
        <w:rPr>
          <w:rFonts w:eastAsiaTheme="minorHAnsi" w:cs="Arial"/>
          <w:lang w:eastAsia="en-NZ"/>
        </w:rPr>
      </w:pPr>
    </w:p>
    <w:p w14:paraId="1A5D91FF" w14:textId="39D3D4A5" w:rsidR="00955AD5" w:rsidRPr="00310D26" w:rsidRDefault="00A228EC" w:rsidP="00955AD5">
      <w:pPr>
        <w:rPr>
          <w:rFonts w:eastAsiaTheme="minorHAnsi" w:cs="Arial"/>
          <w:lang w:eastAsia="en-NZ"/>
        </w:rPr>
      </w:pPr>
      <w:r w:rsidRPr="00310D26">
        <w:rPr>
          <w:rFonts w:eastAsiaTheme="minorHAnsi" w:cs="Arial"/>
          <w:lang w:eastAsia="en-NZ"/>
        </w:rPr>
        <w:t>Para</w:t>
      </w:r>
      <w:r w:rsidR="0052049A" w:rsidRPr="00310D26">
        <w:rPr>
          <w:rFonts w:eastAsiaTheme="minorHAnsi" w:cs="Arial"/>
          <w:lang w:eastAsia="en-NZ"/>
        </w:rPr>
        <w:t xml:space="preserve"> el</w:t>
      </w:r>
      <w:r w:rsidR="00165E10" w:rsidRPr="00310D26">
        <w:rPr>
          <w:rFonts w:eastAsiaTheme="minorHAnsi" w:cs="Arial"/>
          <w:lang w:eastAsia="en-NZ"/>
        </w:rPr>
        <w:t xml:space="preserve"> apartado</w:t>
      </w:r>
      <w:r w:rsidR="00955AD5" w:rsidRPr="00310D26">
        <w:rPr>
          <w:rFonts w:eastAsiaTheme="minorHAnsi" w:cs="Arial"/>
          <w:lang w:eastAsia="en-NZ"/>
        </w:rPr>
        <w:t xml:space="preserve"> iii)</w:t>
      </w:r>
      <w:r w:rsidR="00165E10" w:rsidRPr="00310D26">
        <w:rPr>
          <w:rFonts w:eastAsiaTheme="minorHAnsi" w:cs="Arial"/>
          <w:lang w:eastAsia="en-NZ"/>
        </w:rPr>
        <w:t xml:space="preserve"> </w:t>
      </w:r>
      <w:r w:rsidRPr="00310D26">
        <w:rPr>
          <w:rFonts w:eastAsiaTheme="minorHAnsi" w:cs="Arial"/>
          <w:lang w:eastAsia="en-NZ"/>
        </w:rPr>
        <w:t xml:space="preserve">se sugiere: </w:t>
      </w:r>
      <w:r w:rsidR="00955AD5" w:rsidRPr="00310D26">
        <w:rPr>
          <w:rFonts w:eastAsiaTheme="minorHAnsi" w:cs="Arial"/>
          <w:lang w:eastAsia="en-NZ"/>
        </w:rPr>
        <w:t>“</w:t>
      </w:r>
      <w:r w:rsidR="0052049A" w:rsidRPr="00310D26">
        <w:rPr>
          <w:rFonts w:eastAsiaTheme="minorHAnsi" w:cs="Arial"/>
          <w:lang w:eastAsia="en-NZ"/>
        </w:rPr>
        <w:t xml:space="preserve">la </w:t>
      </w:r>
      <w:r w:rsidR="00500317" w:rsidRPr="008A6895">
        <w:rPr>
          <w:rFonts w:cs="Arial"/>
          <w:color w:val="000000"/>
          <w:shd w:val="clear" w:color="auto" w:fill="FFFFFF" w:themeFill="background1"/>
        </w:rPr>
        <w:t>diferencia de una letra indi</w:t>
      </w:r>
      <w:r w:rsidR="00165E10" w:rsidRPr="008A6895">
        <w:rPr>
          <w:rFonts w:cs="Arial"/>
          <w:color w:val="000000"/>
          <w:shd w:val="clear" w:color="auto" w:fill="FFFFFF" w:themeFill="background1"/>
        </w:rPr>
        <w:t>ca</w:t>
      </w:r>
      <w:r w:rsidR="00500317" w:rsidRPr="008A6895">
        <w:rPr>
          <w:rFonts w:cs="Arial"/>
          <w:color w:val="000000"/>
          <w:shd w:val="clear" w:color="auto" w:fill="FFFFFF" w:themeFill="background1"/>
        </w:rPr>
        <w:t xml:space="preserve"> una diferencia visual o fonética clara</w:t>
      </w:r>
      <w:r w:rsidR="00955AD5" w:rsidRPr="00310D26">
        <w:rPr>
          <w:rFonts w:eastAsiaTheme="minorHAnsi" w:cs="Arial"/>
          <w:lang w:eastAsia="en-NZ"/>
        </w:rPr>
        <w:t xml:space="preserve"> </w:t>
      </w:r>
      <w:r w:rsidR="00165E10" w:rsidRPr="00310D26">
        <w:rPr>
          <w:rFonts w:eastAsiaTheme="minorHAnsi" w:cs="Arial"/>
          <w:lang w:eastAsia="en-NZ"/>
        </w:rPr>
        <w:t>o una diferencia de significado claramente apreciable</w:t>
      </w:r>
      <w:r w:rsidR="00955AD5" w:rsidRPr="00310D26">
        <w:rPr>
          <w:rFonts w:eastAsiaTheme="minorHAnsi" w:cs="Arial"/>
          <w:lang w:eastAsia="en-NZ"/>
        </w:rPr>
        <w:t>”</w:t>
      </w:r>
      <w:r w:rsidR="0052049A" w:rsidRPr="00310D26">
        <w:rPr>
          <w:rFonts w:eastAsiaTheme="minorHAnsi" w:cs="Arial"/>
          <w:lang w:eastAsia="en-NZ"/>
        </w:rPr>
        <w:t>.</w:t>
      </w:r>
    </w:p>
    <w:p w14:paraId="12B6B65C" w14:textId="77777777" w:rsidR="00955AD5" w:rsidRPr="00310D26" w:rsidRDefault="00955AD5" w:rsidP="00955AD5">
      <w:pPr>
        <w:rPr>
          <w:rFonts w:eastAsiaTheme="minorHAnsi" w:cs="Arial"/>
          <w:lang w:eastAsia="en-NZ"/>
        </w:rPr>
      </w:pPr>
    </w:p>
    <w:p w14:paraId="067EAF48" w14:textId="007C216F" w:rsidR="00955AD5" w:rsidRPr="00310D26" w:rsidRDefault="002E7DB1" w:rsidP="00955AD5">
      <w:pPr>
        <w:rPr>
          <w:rFonts w:eastAsiaTheme="minorHAnsi" w:cs="Arial"/>
          <w:lang w:eastAsia="en-NZ"/>
        </w:rPr>
      </w:pPr>
      <w:r>
        <w:rPr>
          <w:rFonts w:eastAsiaTheme="minorHAnsi" w:cs="Arial"/>
          <w:lang w:eastAsia="en-NZ"/>
        </w:rPr>
        <w:t xml:space="preserve">La diferencia puede expresarse mediante </w:t>
      </w:r>
      <w:r w:rsidR="00ED17F0" w:rsidRPr="008935C5">
        <w:rPr>
          <w:rFonts w:eastAsiaTheme="minorHAnsi" w:cs="Arial"/>
          <w:lang w:eastAsia="en-NZ"/>
        </w:rPr>
        <w:t>muchas varia</w:t>
      </w:r>
      <w:r w:rsidR="00526D0D" w:rsidRPr="008935C5">
        <w:rPr>
          <w:rFonts w:eastAsiaTheme="minorHAnsi" w:cs="Arial"/>
          <w:lang w:eastAsia="en-NZ"/>
        </w:rPr>
        <w:t>ciones</w:t>
      </w:r>
      <w:r w:rsidR="0052049A" w:rsidRPr="008935C5">
        <w:rPr>
          <w:rFonts w:eastAsiaTheme="minorHAnsi" w:cs="Arial"/>
          <w:lang w:eastAsia="en-NZ"/>
        </w:rPr>
        <w:t xml:space="preserve">, </w:t>
      </w:r>
      <w:r>
        <w:rPr>
          <w:rFonts w:eastAsiaTheme="minorHAnsi" w:cs="Arial"/>
          <w:lang w:eastAsia="en-NZ"/>
        </w:rPr>
        <w:t>entre ellas</w:t>
      </w:r>
      <w:r w:rsidR="00FF2785">
        <w:rPr>
          <w:rFonts w:eastAsiaTheme="minorHAnsi" w:cs="Arial"/>
          <w:lang w:eastAsia="en-NZ"/>
        </w:rPr>
        <w:t xml:space="preserve"> las </w:t>
      </w:r>
      <w:r w:rsidR="00A228EC" w:rsidRPr="00310D26">
        <w:rPr>
          <w:rFonts w:eastAsiaTheme="minorHAnsi" w:cs="Arial"/>
          <w:lang w:eastAsia="en-NZ"/>
        </w:rPr>
        <w:t>combinaciones, y es más fácil aglutinarl</w:t>
      </w:r>
      <w:r w:rsidR="00ED17F0">
        <w:rPr>
          <w:rFonts w:eastAsiaTheme="minorHAnsi" w:cs="Arial"/>
          <w:lang w:eastAsia="en-NZ"/>
        </w:rPr>
        <w:t>as</w:t>
      </w:r>
      <w:r w:rsidR="00A228EC" w:rsidRPr="00310D26">
        <w:rPr>
          <w:rFonts w:eastAsiaTheme="minorHAnsi" w:cs="Arial"/>
          <w:lang w:eastAsia="en-NZ"/>
        </w:rPr>
        <w:t xml:space="preserve"> tod</w:t>
      </w:r>
      <w:r w:rsidR="00ED17F0">
        <w:rPr>
          <w:rFonts w:eastAsiaTheme="minorHAnsi" w:cs="Arial"/>
          <w:lang w:eastAsia="en-NZ"/>
        </w:rPr>
        <w:t>a</w:t>
      </w:r>
      <w:r w:rsidR="00A228EC" w:rsidRPr="00310D26">
        <w:rPr>
          <w:rFonts w:eastAsiaTheme="minorHAnsi" w:cs="Arial"/>
          <w:lang w:eastAsia="en-NZ"/>
        </w:rPr>
        <w:t>s en una frase más general que tratar de separarl</w:t>
      </w:r>
      <w:r w:rsidR="00ED17F0">
        <w:rPr>
          <w:rFonts w:eastAsiaTheme="minorHAnsi" w:cs="Arial"/>
          <w:lang w:eastAsia="en-NZ"/>
        </w:rPr>
        <w:t>a</w:t>
      </w:r>
      <w:r w:rsidR="00A228EC" w:rsidRPr="00310D26">
        <w:rPr>
          <w:rFonts w:eastAsiaTheme="minorHAnsi" w:cs="Arial"/>
          <w:lang w:eastAsia="en-NZ"/>
        </w:rPr>
        <w:t>s</w:t>
      </w:r>
      <w:r w:rsidR="00955AD5" w:rsidRPr="00310D26">
        <w:rPr>
          <w:rFonts w:eastAsiaTheme="minorHAnsi" w:cs="Arial"/>
          <w:lang w:eastAsia="en-NZ"/>
        </w:rPr>
        <w:t xml:space="preserve">. </w:t>
      </w:r>
      <w:r w:rsidR="00A228EC" w:rsidRPr="00310D26">
        <w:rPr>
          <w:rFonts w:eastAsiaTheme="minorHAnsi" w:cs="Arial"/>
          <w:lang w:eastAsia="en-NZ"/>
        </w:rPr>
        <w:t>Por ejemplo</w:t>
      </w:r>
      <w:r w:rsidR="00955AD5" w:rsidRPr="00310D26">
        <w:rPr>
          <w:rFonts w:eastAsiaTheme="minorHAnsi" w:cs="Arial"/>
          <w:lang w:eastAsia="en-NZ"/>
        </w:rPr>
        <w:t>,</w:t>
      </w:r>
      <w:r w:rsidR="00A228EC" w:rsidRPr="00310D26">
        <w:rPr>
          <w:rFonts w:eastAsiaTheme="minorHAnsi" w:cs="Arial"/>
          <w:lang w:eastAsia="en-NZ"/>
        </w:rPr>
        <w:t xml:space="preserve"> el significado puede depender de la pronunciación/la fonética</w:t>
      </w:r>
      <w:r w:rsidR="00955AD5" w:rsidRPr="00310D26">
        <w:rPr>
          <w:rFonts w:eastAsiaTheme="minorHAnsi" w:cs="Arial"/>
          <w:lang w:eastAsia="en-NZ"/>
        </w:rPr>
        <w:t xml:space="preserve">. </w:t>
      </w:r>
    </w:p>
    <w:p w14:paraId="4517180D" w14:textId="77777777" w:rsidR="00955AD5" w:rsidRPr="00310D26" w:rsidRDefault="00955AD5" w:rsidP="00955AD5">
      <w:pPr>
        <w:rPr>
          <w:rFonts w:eastAsiaTheme="minorHAnsi" w:cs="Arial"/>
          <w:lang w:eastAsia="en-NZ"/>
        </w:rPr>
      </w:pPr>
    </w:p>
    <w:p w14:paraId="22027BB9" w14:textId="1D86357E" w:rsidR="00955AD5" w:rsidRPr="00310D26" w:rsidRDefault="00955AD5" w:rsidP="00955AD5">
      <w:pPr>
        <w:rPr>
          <w:rFonts w:eastAsiaTheme="minorHAnsi" w:cs="Arial"/>
          <w:lang w:eastAsia="en-NZ"/>
        </w:rPr>
      </w:pPr>
      <w:r w:rsidRPr="00310D26">
        <w:rPr>
          <w:rFonts w:eastAsiaTheme="minorHAnsi" w:cs="Arial"/>
          <w:b/>
          <w:lang w:eastAsia="en-NZ"/>
        </w:rPr>
        <w:t xml:space="preserve">2.3.3 </w:t>
      </w:r>
      <w:r w:rsidR="008049BE" w:rsidRPr="00310D26">
        <w:rPr>
          <w:rFonts w:eastAsiaTheme="minorHAnsi" w:cs="Arial"/>
          <w:b/>
          <w:lang w:eastAsia="en-NZ"/>
        </w:rPr>
        <w:t>b)</w:t>
      </w:r>
      <w:r w:rsidR="008049BE" w:rsidRPr="00310D26">
        <w:rPr>
          <w:rFonts w:eastAsiaTheme="minorHAnsi" w:cs="Arial"/>
          <w:lang w:eastAsia="en-NZ"/>
        </w:rPr>
        <w:t xml:space="preserve"> Se</w:t>
      </w:r>
      <w:r w:rsidR="00A228EC" w:rsidRPr="00310D26">
        <w:rPr>
          <w:rFonts w:eastAsiaTheme="minorHAnsi" w:cs="Arial"/>
          <w:lang w:eastAsia="en-NZ"/>
        </w:rPr>
        <w:t xml:space="preserve"> </w:t>
      </w:r>
      <w:r w:rsidR="00240AA7" w:rsidRPr="00310D26">
        <w:rPr>
          <w:rFonts w:eastAsiaTheme="minorHAnsi" w:cs="Arial"/>
          <w:lang w:eastAsia="en-NZ"/>
        </w:rPr>
        <w:t>respalda</w:t>
      </w:r>
      <w:r w:rsidR="00A228EC" w:rsidRPr="00310D26">
        <w:rPr>
          <w:rFonts w:eastAsiaTheme="minorHAnsi" w:cs="Arial"/>
          <w:lang w:eastAsia="en-NZ"/>
        </w:rPr>
        <w:t xml:space="preserve"> la inclusió</w:t>
      </w:r>
      <w:r w:rsidR="00240AA7" w:rsidRPr="00310D26">
        <w:rPr>
          <w:rFonts w:eastAsiaTheme="minorHAnsi" w:cs="Arial"/>
          <w:lang w:eastAsia="en-NZ"/>
        </w:rPr>
        <w:t>n</w:t>
      </w:r>
      <w:r w:rsidR="00A228EC" w:rsidRPr="00310D26">
        <w:rPr>
          <w:rFonts w:eastAsiaTheme="minorHAnsi" w:cs="Arial"/>
          <w:lang w:eastAsia="en-NZ"/>
        </w:rPr>
        <w:t xml:space="preserve"> de la Alternativa </w:t>
      </w:r>
      <w:r w:rsidRPr="00310D26">
        <w:rPr>
          <w:rFonts w:eastAsiaTheme="minorHAnsi" w:cs="Arial"/>
          <w:lang w:eastAsia="en-NZ"/>
        </w:rPr>
        <w:t xml:space="preserve">2 </w:t>
      </w:r>
      <w:r w:rsidR="00A228EC" w:rsidRPr="00310D26">
        <w:rPr>
          <w:rFonts w:eastAsiaTheme="minorHAnsi" w:cs="Arial"/>
          <w:lang w:eastAsia="en-NZ"/>
        </w:rPr>
        <w:t>y se propone además la eliminación de “</w:t>
      </w:r>
      <w:proofErr w:type="spellStart"/>
      <w:r w:rsidRPr="00310D26">
        <w:rPr>
          <w:rFonts w:eastAsiaTheme="minorHAnsi" w:cs="Arial"/>
          <w:lang w:eastAsia="en-NZ"/>
        </w:rPr>
        <w:t>Antelope</w:t>
      </w:r>
      <w:proofErr w:type="spellEnd"/>
      <w:r w:rsidR="00A228EC" w:rsidRPr="00310D26">
        <w:rPr>
          <w:rFonts w:eastAsiaTheme="minorHAnsi" w:cs="Arial"/>
          <w:lang w:eastAsia="en-NZ"/>
        </w:rPr>
        <w:t>”</w:t>
      </w:r>
      <w:r w:rsidRPr="00310D26">
        <w:rPr>
          <w:rFonts w:eastAsiaTheme="minorHAnsi" w:cs="Arial"/>
          <w:lang w:eastAsia="en-NZ"/>
        </w:rPr>
        <w:t xml:space="preserve"> </w:t>
      </w:r>
      <w:r w:rsidR="00A228EC" w:rsidRPr="00310D26">
        <w:rPr>
          <w:rFonts w:eastAsiaTheme="minorHAnsi" w:cs="Arial"/>
          <w:lang w:eastAsia="en-NZ"/>
        </w:rPr>
        <w:t>y “</w:t>
      </w:r>
      <w:proofErr w:type="spellStart"/>
      <w:r w:rsidRPr="00310D26">
        <w:rPr>
          <w:rFonts w:eastAsiaTheme="minorHAnsi" w:cs="Arial"/>
          <w:lang w:eastAsia="en-NZ"/>
        </w:rPr>
        <w:t>Antilop</w:t>
      </w:r>
      <w:proofErr w:type="spellEnd"/>
      <w:r w:rsidR="00A228EC" w:rsidRPr="00310D26">
        <w:rPr>
          <w:rFonts w:eastAsiaTheme="minorHAnsi" w:cs="Arial"/>
          <w:lang w:eastAsia="en-NZ"/>
        </w:rPr>
        <w:t>” como ejemplo. Existe una diferencia clara de significado</w:t>
      </w:r>
      <w:r w:rsidR="00240AA7" w:rsidRPr="00310D26">
        <w:rPr>
          <w:rFonts w:eastAsiaTheme="minorHAnsi" w:cs="Arial"/>
          <w:lang w:eastAsia="en-NZ"/>
        </w:rPr>
        <w:t>.</w:t>
      </w:r>
    </w:p>
    <w:p w14:paraId="5451293E" w14:textId="77777777" w:rsidR="00955AD5" w:rsidRPr="00310D26" w:rsidRDefault="00955AD5" w:rsidP="00955AD5">
      <w:pPr>
        <w:rPr>
          <w:rFonts w:eastAsiaTheme="minorHAnsi" w:cs="Arial"/>
          <w:lang w:eastAsia="en-NZ"/>
        </w:rPr>
      </w:pPr>
    </w:p>
    <w:p w14:paraId="48A822D6" w14:textId="77777777" w:rsidR="00955AD5" w:rsidRPr="00310D26" w:rsidRDefault="00955AD5" w:rsidP="00955AD5">
      <w:pPr>
        <w:rPr>
          <w:rFonts w:cs="Arial"/>
        </w:rPr>
      </w:pPr>
    </w:p>
    <w:p w14:paraId="754D5A7C" w14:textId="77777777" w:rsidR="00955AD5" w:rsidRPr="00310D26" w:rsidRDefault="00955AD5" w:rsidP="00955AD5">
      <w:pPr>
        <w:rPr>
          <w:rFonts w:cs="Arial"/>
        </w:rPr>
      </w:pPr>
    </w:p>
    <w:p w14:paraId="339532B8" w14:textId="2BFE7489" w:rsidR="00955AD5" w:rsidRPr="00310D26" w:rsidRDefault="00955AD5" w:rsidP="00955AD5">
      <w:pPr>
        <w:jc w:val="right"/>
        <w:rPr>
          <w:rFonts w:cs="Arial"/>
        </w:rPr>
      </w:pPr>
      <w:r w:rsidRPr="00310D26">
        <w:rPr>
          <w:rFonts w:cs="Arial"/>
        </w:rPr>
        <w:t>[</w:t>
      </w:r>
      <w:r w:rsidR="007C65E8" w:rsidRPr="00310D26">
        <w:t>Sigue el Anexo</w:t>
      </w:r>
      <w:r w:rsidRPr="00310D26">
        <w:rPr>
          <w:rFonts w:cs="Arial"/>
        </w:rPr>
        <w:t xml:space="preserve"> II]</w:t>
      </w:r>
    </w:p>
    <w:p w14:paraId="7DC7976E" w14:textId="77777777" w:rsidR="00955AD5" w:rsidRPr="00310D26" w:rsidRDefault="00955AD5" w:rsidP="00955AD5"/>
    <w:p w14:paraId="6D0947F3" w14:textId="77777777" w:rsidR="00955AD5" w:rsidRPr="00310D26" w:rsidRDefault="00955AD5" w:rsidP="00955AD5">
      <w:pPr>
        <w:jc w:val="left"/>
      </w:pPr>
    </w:p>
    <w:p w14:paraId="181A3230" w14:textId="77777777" w:rsidR="00955AD5" w:rsidRPr="00310D26" w:rsidRDefault="00955AD5" w:rsidP="00955AD5">
      <w:pPr>
        <w:jc w:val="left"/>
        <w:sectPr w:rsidR="00955AD5" w:rsidRPr="00310D26" w:rsidSect="00955AD5">
          <w:headerReference w:type="first" r:id="rId24"/>
          <w:endnotePr>
            <w:numFmt w:val="lowerLetter"/>
          </w:endnotePr>
          <w:pgSz w:w="11907" w:h="16840" w:code="9"/>
          <w:pgMar w:top="510" w:right="1134" w:bottom="851" w:left="1134" w:header="510" w:footer="680" w:gutter="0"/>
          <w:cols w:space="720"/>
          <w:titlePg/>
        </w:sectPr>
      </w:pPr>
    </w:p>
    <w:p w14:paraId="727C005D" w14:textId="77777777" w:rsidR="006B6FA8" w:rsidRDefault="006B6FA8" w:rsidP="006B6FA8">
      <w:pPr>
        <w:jc w:val="center"/>
        <w:rPr>
          <w:rFonts w:cs="Arial"/>
          <w:caps/>
          <w:lang w:val="es-ES_tradnl" w:eastAsia="ja-JP"/>
        </w:rPr>
      </w:pPr>
    </w:p>
    <w:p w14:paraId="53D41D9A" w14:textId="5304995A" w:rsidR="006B6FA8" w:rsidRPr="006B6FA8" w:rsidRDefault="006B6FA8" w:rsidP="006B6FA8">
      <w:pPr>
        <w:jc w:val="center"/>
        <w:rPr>
          <w:rFonts w:cs="Arial"/>
          <w:caps/>
          <w:lang w:val="es-ES_tradnl" w:eastAsia="ja-JP"/>
        </w:rPr>
      </w:pPr>
      <w:r w:rsidRPr="006B6FA8">
        <w:rPr>
          <w:rFonts w:cs="Arial"/>
          <w:caps/>
          <w:lang w:val="es-ES_tradnl" w:eastAsia="ja-JP"/>
        </w:rPr>
        <w:t xml:space="preserve">REVISIÓn DEL DocumentO TGP/5, SecCIÓn 6 </w:t>
      </w:r>
      <w:r w:rsidRPr="006B6FA8">
        <w:rPr>
          <w:rFonts w:cs="Arial"/>
          <w:caps/>
          <w:lang w:val="es-ES_tradnl" w:eastAsia="ja-JP"/>
        </w:rPr>
        <w:br/>
        <w:t>“Informe de la UPOV sobre el examen técnico y Formulario UPOV para la descripción de variedades”</w:t>
      </w:r>
    </w:p>
    <w:p w14:paraId="0B80725F" w14:textId="77777777" w:rsidR="006B6FA8" w:rsidRPr="006B6FA8" w:rsidRDefault="006B6FA8" w:rsidP="006B6FA8">
      <w:pPr>
        <w:jc w:val="center"/>
        <w:rPr>
          <w:rFonts w:cs="Arial"/>
          <w:caps/>
          <w:lang w:val="es-ES_tradnl" w:eastAsia="ja-JP"/>
        </w:rPr>
      </w:pPr>
    </w:p>
    <w:p w14:paraId="59B04D53" w14:textId="77777777" w:rsidR="006B6FA8" w:rsidRPr="006B6FA8" w:rsidRDefault="006B6FA8" w:rsidP="006B6FA8">
      <w:pPr>
        <w:jc w:val="center"/>
        <w:rPr>
          <w:lang w:val="es-ES_tradnl"/>
        </w:rPr>
      </w:pPr>
    </w:p>
    <w:p w14:paraId="5B934670" w14:textId="77777777" w:rsidR="006B6FA8" w:rsidRPr="006B6FA8" w:rsidRDefault="006B6FA8" w:rsidP="006B6FA8">
      <w:pPr>
        <w:rPr>
          <w:rFonts w:cs="Arial"/>
          <w:lang w:val="es-ES_tradnl"/>
        </w:rPr>
      </w:pPr>
      <w:r w:rsidRPr="006B6FA8">
        <w:rPr>
          <w:lang w:val="es-ES_tradnl"/>
        </w:rPr>
        <w:t xml:space="preserve">En su quincuagésima quinta sesión, el TC examinó el </w:t>
      </w:r>
      <w:r w:rsidRPr="006B6FA8">
        <w:rPr>
          <w:rFonts w:cs="Arial"/>
          <w:lang w:val="es-ES_tradnl"/>
        </w:rPr>
        <w:t xml:space="preserve">documento TC/55/11 (véanse los párrafos 231 y 232 del documento </w:t>
      </w:r>
      <w:r w:rsidRPr="006B6FA8">
        <w:rPr>
          <w:spacing w:val="-2"/>
          <w:lang w:val="es-ES_tradnl"/>
        </w:rPr>
        <w:t>TC/55/25 “Informe”</w:t>
      </w:r>
      <w:r w:rsidRPr="006B6FA8">
        <w:rPr>
          <w:rFonts w:cs="Arial"/>
          <w:lang w:val="es-ES_tradnl"/>
        </w:rPr>
        <w:t>).</w:t>
      </w:r>
    </w:p>
    <w:p w14:paraId="3C0215FF" w14:textId="77777777" w:rsidR="006B6FA8" w:rsidRPr="006B6FA8" w:rsidRDefault="006B6FA8" w:rsidP="006B6FA8">
      <w:pPr>
        <w:rPr>
          <w:lang w:val="es-ES_tradnl"/>
        </w:rPr>
      </w:pPr>
    </w:p>
    <w:p w14:paraId="3712B346" w14:textId="77777777" w:rsidR="006B6FA8" w:rsidRPr="006B6FA8" w:rsidRDefault="006B6FA8" w:rsidP="006B6FA8">
      <w:pPr>
        <w:rPr>
          <w:lang w:val="es-ES_tradnl"/>
        </w:rPr>
      </w:pPr>
      <w:r w:rsidRPr="006B6FA8">
        <w:rPr>
          <w:lang w:val="es-ES_tradnl"/>
        </w:rPr>
        <w:t xml:space="preserve">El TC convino en que la siguiente revisión del documento TGP/5 “Experiencia y cooperación en el examen DHE”, Sección 6 “Informe de la UPOV sobre el examen técnico y Formulario UPOV para la descripción de variedades” se someta a la aprobación del Consejo en su quincuagésima cuarta sesión ordinaria, que se celebrará en Ginebra el 30 de octubre de 2020, a reserva de la aprobación del CAJ en su septuagésima séptima sesión, que se celebrará en Ginebra el 28 de octubre de 2020 (se indican las eliminaciones mediante </w:t>
      </w:r>
      <w:r w:rsidRPr="006B6FA8">
        <w:rPr>
          <w:strike/>
          <w:highlight w:val="lightGray"/>
          <w:lang w:val="es-ES_tradnl"/>
        </w:rPr>
        <w:t>sombreado y tachado</w:t>
      </w:r>
      <w:r w:rsidRPr="006B6FA8">
        <w:rPr>
          <w:lang w:val="es-ES_tradnl"/>
        </w:rPr>
        <w:t xml:space="preserve"> y los añadidos mediante </w:t>
      </w:r>
      <w:r w:rsidRPr="006B6FA8">
        <w:rPr>
          <w:highlight w:val="lightGray"/>
          <w:u w:val="single"/>
          <w:lang w:val="es-ES_tradnl"/>
        </w:rPr>
        <w:t>sombreado y subrayado</w:t>
      </w:r>
      <w:r w:rsidRPr="006B6FA8">
        <w:rPr>
          <w:lang w:val="es-ES_tradnl"/>
        </w:rPr>
        <w:t>):</w:t>
      </w:r>
    </w:p>
    <w:p w14:paraId="637463E3" w14:textId="77777777" w:rsidR="006B6FA8" w:rsidRPr="006B6FA8" w:rsidRDefault="006B6FA8" w:rsidP="006B6FA8">
      <w:pPr>
        <w:rPr>
          <w:lang w:val="es-ES_tradnl"/>
        </w:rPr>
      </w:pPr>
    </w:p>
    <w:p w14:paraId="0328E50B" w14:textId="77777777" w:rsidR="006B6FA8" w:rsidRPr="006B6FA8" w:rsidRDefault="006B6FA8" w:rsidP="006B6FA8">
      <w:pPr>
        <w:rPr>
          <w:rFonts w:cs="Arial"/>
        </w:rPr>
      </w:pPr>
      <w:r w:rsidRPr="006B6FA8">
        <w:rPr>
          <w:rFonts w:cs="Arial"/>
        </w:rPr>
        <w:t>[…]</w:t>
      </w:r>
    </w:p>
    <w:p w14:paraId="52E787D9" w14:textId="77777777" w:rsidR="006B6FA8" w:rsidRPr="006B6FA8" w:rsidRDefault="006B6FA8" w:rsidP="006B6FA8"/>
    <w:p w14:paraId="17537A29" w14:textId="77777777" w:rsidR="006B6FA8" w:rsidRPr="006B6FA8" w:rsidRDefault="006B6FA8" w:rsidP="006B6FA8">
      <w:pPr>
        <w:jc w:val="center"/>
        <w:rPr>
          <w:rFonts w:cs="Arial"/>
          <w:sz w:val="24"/>
          <w:lang w:val="es-ES_tradnl"/>
        </w:rPr>
      </w:pPr>
      <w:r w:rsidRPr="006B6FA8">
        <w:rPr>
          <w:sz w:val="24"/>
          <w:lang w:val="es-ES_tradnl"/>
        </w:rPr>
        <w:t>FORMULARIO UPOV PARA LA DESCRIPCIÓN DE VARIEDADES</w:t>
      </w:r>
    </w:p>
    <w:p w14:paraId="788237B4" w14:textId="77777777" w:rsidR="006B6FA8" w:rsidRPr="006B6FA8" w:rsidRDefault="006B6FA8" w:rsidP="006B6FA8">
      <w:pPr>
        <w:jc w:val="left"/>
        <w:rPr>
          <w:rFonts w:cs="Arial"/>
          <w:lang w:val="es-ES_tradnl"/>
        </w:rPr>
      </w:pPr>
    </w:p>
    <w:p w14:paraId="369FF92A" w14:textId="77777777" w:rsidR="006B6FA8" w:rsidRPr="006B6FA8" w:rsidRDefault="006B6FA8" w:rsidP="006B6FA8">
      <w:pPr>
        <w:rPr>
          <w:rFonts w:cs="Arial"/>
        </w:rPr>
      </w:pPr>
      <w:r w:rsidRPr="006B6FA8">
        <w:rPr>
          <w:rFonts w:cs="Arial"/>
        </w:rPr>
        <w:t>[…]</w:t>
      </w:r>
    </w:p>
    <w:p w14:paraId="32269501" w14:textId="77777777" w:rsidR="006B6FA8" w:rsidRPr="006B6FA8" w:rsidRDefault="006B6FA8" w:rsidP="006B6FA8"/>
    <w:p w14:paraId="0D2F0B8D" w14:textId="77777777" w:rsidR="006B6FA8" w:rsidRPr="006B6FA8" w:rsidRDefault="006B6FA8" w:rsidP="006B6FA8"/>
    <w:p w14:paraId="60DADEF0" w14:textId="77777777" w:rsidR="006B6FA8" w:rsidRPr="006B6FA8" w:rsidRDefault="006B6FA8" w:rsidP="006B6FA8">
      <w:pPr>
        <w:jc w:val="left"/>
        <w:rPr>
          <w:rFonts w:cs="Arial"/>
          <w:lang w:val="es-ES_tradnl"/>
        </w:rPr>
      </w:pPr>
      <w:r w:rsidRPr="006B6FA8">
        <w:rPr>
          <w:lang w:val="es-ES_tradnl"/>
        </w:rPr>
        <w:t>16.</w:t>
      </w:r>
      <w:r w:rsidRPr="006B6FA8">
        <w:rPr>
          <w:lang w:val="es-ES_tradnl"/>
        </w:rPr>
        <w:tab/>
      </w:r>
      <w:r w:rsidRPr="006B6FA8">
        <w:rPr>
          <w:u w:val="single"/>
          <w:lang w:val="es-ES_tradnl"/>
        </w:rPr>
        <w:t>Variedades similares y diferencias en relación con esas variedades:</w:t>
      </w:r>
    </w:p>
    <w:p w14:paraId="47A7784D" w14:textId="77777777" w:rsidR="006B6FA8" w:rsidRPr="006B6FA8" w:rsidRDefault="006B6FA8" w:rsidP="006B6FA8">
      <w:pPr>
        <w:jc w:val="left"/>
        <w:rPr>
          <w:rFonts w:cs="Arial"/>
          <w:lang w:val="es-ES_tradnl"/>
        </w:rPr>
      </w:pPr>
    </w:p>
    <w:tbl>
      <w:tblPr>
        <w:tblW w:w="9214"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0A0" w:firstRow="1" w:lastRow="0" w:firstColumn="1" w:lastColumn="0" w:noHBand="0" w:noVBand="0"/>
      </w:tblPr>
      <w:tblGrid>
        <w:gridCol w:w="2303"/>
        <w:gridCol w:w="2304"/>
        <w:gridCol w:w="2303"/>
        <w:gridCol w:w="2304"/>
      </w:tblGrid>
      <w:tr w:rsidR="006B6FA8" w:rsidRPr="006B6FA8" w14:paraId="07EA6F8D" w14:textId="77777777" w:rsidTr="00D60821">
        <w:tc>
          <w:tcPr>
            <w:tcW w:w="2303" w:type="dxa"/>
            <w:vAlign w:val="center"/>
          </w:tcPr>
          <w:p w14:paraId="7EBEF703" w14:textId="77777777" w:rsidR="006B6FA8" w:rsidRPr="006B6FA8" w:rsidRDefault="006B6FA8" w:rsidP="006B6FA8">
            <w:pPr>
              <w:jc w:val="center"/>
              <w:rPr>
                <w:rFonts w:cs="Arial"/>
                <w:lang w:val="es-ES_tradnl"/>
              </w:rPr>
            </w:pPr>
            <w:r w:rsidRPr="006B6FA8">
              <w:rPr>
                <w:lang w:val="es-ES_tradnl"/>
              </w:rPr>
              <w:t>Denominaciones de las variedades similares a la variedad candidata</w:t>
            </w:r>
          </w:p>
        </w:tc>
        <w:tc>
          <w:tcPr>
            <w:tcW w:w="2304" w:type="dxa"/>
            <w:vAlign w:val="center"/>
          </w:tcPr>
          <w:p w14:paraId="7F173482" w14:textId="77777777" w:rsidR="006B6FA8" w:rsidRPr="006B6FA8" w:rsidRDefault="006B6FA8" w:rsidP="006B6FA8">
            <w:pPr>
              <w:jc w:val="center"/>
              <w:rPr>
                <w:rFonts w:cs="Arial"/>
                <w:lang w:val="es-ES_tradnl"/>
              </w:rPr>
            </w:pPr>
            <w:r w:rsidRPr="006B6FA8">
              <w:rPr>
                <w:lang w:val="es-ES_tradnl"/>
              </w:rPr>
              <w:t>Caracteres por los que la variedad candidata difiere de las variedades similares)</w:t>
            </w:r>
            <w:r w:rsidRPr="006B6FA8">
              <w:rPr>
                <w:highlight w:val="lightGray"/>
                <w:vertAlign w:val="superscript"/>
                <w:lang w:val="es-ES_tradnl"/>
              </w:rPr>
              <w:t>1</w:t>
            </w:r>
            <w:r w:rsidRPr="006B6FA8">
              <w:rPr>
                <w:vertAlign w:val="superscript"/>
                <w:lang w:val="es-ES_tradnl"/>
              </w:rPr>
              <w:t>)</w:t>
            </w:r>
          </w:p>
        </w:tc>
        <w:tc>
          <w:tcPr>
            <w:tcW w:w="2303" w:type="dxa"/>
            <w:vAlign w:val="center"/>
          </w:tcPr>
          <w:p w14:paraId="38465A56" w14:textId="77777777" w:rsidR="006B6FA8" w:rsidRPr="006B6FA8" w:rsidRDefault="006B6FA8" w:rsidP="006B6FA8">
            <w:pPr>
              <w:jc w:val="center"/>
              <w:rPr>
                <w:rFonts w:cs="Arial"/>
                <w:lang w:val="es-ES_tradnl"/>
              </w:rPr>
            </w:pPr>
            <w:r w:rsidRPr="006B6FA8">
              <w:rPr>
                <w:lang w:val="es-ES_tradnl"/>
              </w:rPr>
              <w:t>Nivel de expresión de los caracteres de las variedades similares</w:t>
            </w:r>
            <w:r w:rsidRPr="006B6FA8">
              <w:rPr>
                <w:highlight w:val="lightGray"/>
                <w:u w:val="single"/>
                <w:vertAlign w:val="superscript"/>
                <w:lang w:val="es-ES_tradnl"/>
              </w:rPr>
              <w:t>2)</w:t>
            </w:r>
          </w:p>
        </w:tc>
        <w:tc>
          <w:tcPr>
            <w:tcW w:w="2304" w:type="dxa"/>
            <w:vAlign w:val="center"/>
          </w:tcPr>
          <w:p w14:paraId="7E045980" w14:textId="77777777" w:rsidR="006B6FA8" w:rsidRPr="006B6FA8" w:rsidRDefault="006B6FA8" w:rsidP="006B6FA8">
            <w:pPr>
              <w:jc w:val="center"/>
              <w:rPr>
                <w:rFonts w:cs="Arial"/>
                <w:lang w:val="es-ES_tradnl"/>
              </w:rPr>
            </w:pPr>
            <w:r w:rsidRPr="006B6FA8">
              <w:rPr>
                <w:lang w:val="es-ES_tradnl"/>
              </w:rPr>
              <w:t>Nivel de expresión de los caracteres de la variedad candidata</w:t>
            </w:r>
            <w:r w:rsidRPr="006B6FA8">
              <w:rPr>
                <w:highlight w:val="lightGray"/>
                <w:u w:val="single"/>
                <w:vertAlign w:val="superscript"/>
                <w:lang w:val="es-ES_tradnl"/>
              </w:rPr>
              <w:t>2)</w:t>
            </w:r>
          </w:p>
        </w:tc>
      </w:tr>
    </w:tbl>
    <w:p w14:paraId="47C62500" w14:textId="77777777" w:rsidR="006B6FA8" w:rsidRPr="006B6FA8" w:rsidRDefault="006B6FA8" w:rsidP="006B6FA8">
      <w:pPr>
        <w:jc w:val="left"/>
        <w:rPr>
          <w:rFonts w:cs="Arial"/>
          <w:lang w:val="es-ES_tradnl"/>
        </w:rPr>
      </w:pPr>
    </w:p>
    <w:p w14:paraId="1786545C" w14:textId="77777777" w:rsidR="006B6FA8" w:rsidRPr="006B6FA8" w:rsidRDefault="006B6FA8" w:rsidP="006B6FA8">
      <w:pPr>
        <w:jc w:val="left"/>
        <w:rPr>
          <w:rFonts w:cs="Arial"/>
          <w:lang w:val="es-ES_tradnl"/>
        </w:rPr>
      </w:pPr>
    </w:p>
    <w:p w14:paraId="175EFB5B" w14:textId="77777777" w:rsidR="006B6FA8" w:rsidRPr="006B6FA8" w:rsidRDefault="006B6FA8" w:rsidP="006B6FA8">
      <w:pPr>
        <w:jc w:val="left"/>
        <w:rPr>
          <w:rFonts w:cs="Arial"/>
          <w:lang w:val="es-ES_tradnl"/>
        </w:rPr>
      </w:pPr>
    </w:p>
    <w:p w14:paraId="31DD92CC" w14:textId="77777777" w:rsidR="006B6FA8" w:rsidRPr="006B6FA8" w:rsidRDefault="006B6FA8" w:rsidP="006B6FA8">
      <w:pPr>
        <w:jc w:val="left"/>
        <w:rPr>
          <w:rFonts w:cs="Arial"/>
          <w:lang w:val="es-ES_tradnl"/>
        </w:rPr>
      </w:pPr>
    </w:p>
    <w:p w14:paraId="1C55738E" w14:textId="77777777" w:rsidR="006B6FA8" w:rsidRPr="006B6FA8" w:rsidRDefault="006B6FA8" w:rsidP="006B6FA8">
      <w:pPr>
        <w:jc w:val="left"/>
        <w:rPr>
          <w:rFonts w:cs="Arial"/>
          <w:lang w:val="es-ES_tradnl"/>
        </w:rPr>
      </w:pPr>
    </w:p>
    <w:p w14:paraId="153EC117" w14:textId="77777777" w:rsidR="006B6FA8" w:rsidRPr="006B6FA8" w:rsidRDefault="006B6FA8" w:rsidP="006B6FA8">
      <w:pPr>
        <w:ind w:left="567" w:hanging="567"/>
        <w:rPr>
          <w:rFonts w:cs="Arial"/>
          <w:lang w:val="es-ES_tradnl"/>
        </w:rPr>
      </w:pPr>
      <w:r w:rsidRPr="006B6FA8">
        <w:rPr>
          <w:highlight w:val="lightGray"/>
          <w:lang w:val="es-ES_tradnl"/>
        </w:rPr>
        <w:t>1</w:t>
      </w:r>
      <w:r w:rsidRPr="006B6FA8">
        <w:rPr>
          <w:lang w:val="es-ES_tradnl"/>
        </w:rPr>
        <w:t>)</w:t>
      </w:r>
      <w:r w:rsidRPr="006B6FA8">
        <w:rPr>
          <w:lang w:val="es-ES_tradnl"/>
        </w:rPr>
        <w:tab/>
        <w:t>En caso de que los niveles de expresión de ambas variedades sean idénticos, sírvase indicar la amplitud de la diferencia.</w:t>
      </w:r>
    </w:p>
    <w:p w14:paraId="2382532B" w14:textId="77777777" w:rsidR="006B6FA8" w:rsidRPr="006B6FA8" w:rsidRDefault="006B6FA8" w:rsidP="006B6FA8">
      <w:pPr>
        <w:ind w:left="567" w:hanging="567"/>
        <w:jc w:val="left"/>
        <w:rPr>
          <w:rFonts w:cs="Arial"/>
          <w:lang w:val="es-ES_tradnl"/>
        </w:rPr>
      </w:pPr>
    </w:p>
    <w:p w14:paraId="59BD5ADB" w14:textId="77777777" w:rsidR="006B6FA8" w:rsidRPr="006B6FA8" w:rsidRDefault="006B6FA8" w:rsidP="006B6FA8">
      <w:pPr>
        <w:ind w:left="567" w:hanging="567"/>
        <w:rPr>
          <w:lang w:val="es-ES_tradnl"/>
        </w:rPr>
      </w:pPr>
      <w:r w:rsidRPr="006B6FA8">
        <w:rPr>
          <w:highlight w:val="lightGray"/>
          <w:u w:val="single"/>
          <w:lang w:val="es-ES_tradnl"/>
        </w:rPr>
        <w:t>2)</w:t>
      </w:r>
      <w:r w:rsidRPr="006B6FA8">
        <w:rPr>
          <w:lang w:val="es-ES_tradnl"/>
        </w:rPr>
        <w:tab/>
      </w:r>
      <w:r w:rsidRPr="006B6FA8">
        <w:rPr>
          <w:highlight w:val="lightGray"/>
          <w:u w:val="single"/>
          <w:lang w:val="es-ES_tradnl"/>
        </w:rPr>
        <w:t>El nivel de expresión de la variedad candidata y la(s) variedad(es) similar(es) corresponden a los del examen DHE realizado en la estación de examen, el lugar y el período de examen indicado en 11 y 12.</w:t>
      </w:r>
      <w:r w:rsidRPr="006B6FA8">
        <w:rPr>
          <w:lang w:val="es-ES_tradnl"/>
        </w:rPr>
        <w:t xml:space="preserve"> </w:t>
      </w:r>
    </w:p>
    <w:p w14:paraId="50537347" w14:textId="77777777" w:rsidR="006B6FA8" w:rsidRPr="006B6FA8" w:rsidRDefault="006B6FA8" w:rsidP="006B6FA8">
      <w:pPr>
        <w:ind w:left="567" w:hanging="567"/>
        <w:rPr>
          <w:rFonts w:cs="Arial"/>
          <w:lang w:val="es-ES_tradnl"/>
        </w:rPr>
      </w:pPr>
    </w:p>
    <w:p w14:paraId="2C7A3DF7" w14:textId="77777777" w:rsidR="006B6FA8" w:rsidRPr="006B6FA8" w:rsidRDefault="006B6FA8" w:rsidP="006B6FA8">
      <w:pPr>
        <w:tabs>
          <w:tab w:val="left" w:leader="underscore" w:pos="9752"/>
        </w:tabs>
        <w:spacing w:after="120" w:line="360" w:lineRule="auto"/>
        <w:ind w:left="-113" w:right="-113"/>
        <w:rPr>
          <w:rFonts w:cs="Arial"/>
          <w:lang w:val="es-ES_tradnl"/>
        </w:rPr>
      </w:pPr>
      <w:r w:rsidRPr="006B6FA8">
        <w:rPr>
          <w:rFonts w:cs="Arial"/>
          <w:lang w:val="es-ES_tradnl"/>
        </w:rPr>
        <w:tab/>
      </w:r>
    </w:p>
    <w:p w14:paraId="68A7F808" w14:textId="77777777" w:rsidR="006B6FA8" w:rsidRPr="006B6FA8" w:rsidRDefault="006B6FA8" w:rsidP="006B6FA8">
      <w:pPr>
        <w:jc w:val="left"/>
        <w:rPr>
          <w:rFonts w:cs="Arial"/>
          <w:lang w:val="es-ES_tradnl"/>
        </w:rPr>
      </w:pPr>
    </w:p>
    <w:p w14:paraId="0EE339CE" w14:textId="77777777" w:rsidR="006B6FA8" w:rsidRPr="006B6FA8" w:rsidRDefault="006B6FA8" w:rsidP="006B6FA8">
      <w:pPr>
        <w:jc w:val="left"/>
        <w:rPr>
          <w:rFonts w:cs="Arial"/>
          <w:lang w:val="es-ES_tradnl"/>
        </w:rPr>
      </w:pPr>
    </w:p>
    <w:p w14:paraId="3E2D40B8" w14:textId="77777777" w:rsidR="006B6FA8" w:rsidRPr="006B6FA8" w:rsidRDefault="006B6FA8" w:rsidP="006B6FA8">
      <w:pPr>
        <w:jc w:val="left"/>
        <w:rPr>
          <w:rFonts w:cs="Arial"/>
          <w:lang w:val="es-ES_tradnl"/>
        </w:rPr>
      </w:pPr>
      <w:r w:rsidRPr="006B6FA8">
        <w:rPr>
          <w:lang w:val="es-ES_tradnl"/>
        </w:rPr>
        <w:t>17.</w:t>
      </w:r>
      <w:r w:rsidRPr="006B6FA8">
        <w:rPr>
          <w:lang w:val="es-ES_tradnl"/>
        </w:rPr>
        <w:tab/>
      </w:r>
      <w:r w:rsidRPr="006B6FA8">
        <w:rPr>
          <w:u w:val="single"/>
          <w:lang w:val="es-ES_tradnl"/>
        </w:rPr>
        <w:t>Información adicional</w:t>
      </w:r>
    </w:p>
    <w:p w14:paraId="6918A51D" w14:textId="77777777" w:rsidR="006B6FA8" w:rsidRPr="006B6FA8" w:rsidRDefault="006B6FA8" w:rsidP="006B6FA8">
      <w:pPr>
        <w:jc w:val="left"/>
        <w:rPr>
          <w:rFonts w:cs="Arial"/>
          <w:lang w:val="es-ES_tradnl"/>
        </w:rPr>
      </w:pPr>
    </w:p>
    <w:p w14:paraId="7183344E" w14:textId="77777777" w:rsidR="006B6FA8" w:rsidRPr="006B6FA8" w:rsidRDefault="006B6FA8" w:rsidP="006B6FA8">
      <w:pPr>
        <w:jc w:val="left"/>
        <w:rPr>
          <w:rFonts w:cs="Arial"/>
          <w:lang w:val="es-ES_tradnl"/>
        </w:rPr>
      </w:pPr>
      <w:r w:rsidRPr="006B6FA8">
        <w:rPr>
          <w:lang w:val="es-ES_tradnl"/>
        </w:rPr>
        <w:tab/>
        <w:t>a)</w:t>
      </w:r>
      <w:r w:rsidRPr="006B6FA8">
        <w:rPr>
          <w:lang w:val="es-ES_tradnl"/>
        </w:rPr>
        <w:tab/>
        <w:t>datos adicionales</w:t>
      </w:r>
    </w:p>
    <w:p w14:paraId="517A8E52" w14:textId="77777777" w:rsidR="006B6FA8" w:rsidRPr="006B6FA8" w:rsidRDefault="006B6FA8" w:rsidP="006B6FA8">
      <w:pPr>
        <w:jc w:val="left"/>
        <w:rPr>
          <w:rFonts w:cs="Arial"/>
          <w:lang w:val="es-ES_tradnl"/>
        </w:rPr>
      </w:pPr>
    </w:p>
    <w:p w14:paraId="65B2AE89" w14:textId="77777777" w:rsidR="006B6FA8" w:rsidRPr="006B6FA8" w:rsidRDefault="006B6FA8" w:rsidP="006B6FA8">
      <w:pPr>
        <w:jc w:val="left"/>
        <w:rPr>
          <w:rFonts w:cs="Arial"/>
          <w:color w:val="000000"/>
          <w:lang w:val="es-ES_tradnl"/>
        </w:rPr>
      </w:pPr>
      <w:r w:rsidRPr="006B6FA8">
        <w:rPr>
          <w:lang w:val="es-ES_tradnl"/>
        </w:rPr>
        <w:tab/>
      </w:r>
      <w:r w:rsidRPr="006B6FA8">
        <w:rPr>
          <w:color w:val="000000"/>
          <w:lang w:val="es-ES_tradnl"/>
        </w:rPr>
        <w:t>b)</w:t>
      </w:r>
      <w:r w:rsidRPr="006B6FA8">
        <w:rPr>
          <w:lang w:val="es-ES_tradnl"/>
        </w:rPr>
        <w:tab/>
      </w:r>
      <w:r w:rsidRPr="006B6FA8">
        <w:rPr>
          <w:color w:val="000000"/>
          <w:lang w:val="es-ES_tradnl"/>
        </w:rPr>
        <w:t>fotografía (si procede)</w:t>
      </w:r>
    </w:p>
    <w:p w14:paraId="12DEBA4E" w14:textId="77777777" w:rsidR="006B6FA8" w:rsidRPr="006B6FA8" w:rsidRDefault="006B6FA8" w:rsidP="006B6FA8">
      <w:pPr>
        <w:jc w:val="left"/>
        <w:rPr>
          <w:rFonts w:cs="Arial"/>
          <w:lang w:val="es-ES_tradnl"/>
        </w:rPr>
      </w:pPr>
    </w:p>
    <w:p w14:paraId="059DF178" w14:textId="77777777" w:rsidR="006B6FA8" w:rsidRPr="006B6FA8" w:rsidRDefault="006B6FA8" w:rsidP="006B6FA8">
      <w:pPr>
        <w:jc w:val="left"/>
        <w:rPr>
          <w:rFonts w:cs="Arial"/>
          <w:color w:val="000000"/>
          <w:lang w:val="es-ES_tradnl"/>
        </w:rPr>
      </w:pPr>
      <w:r w:rsidRPr="006B6FA8">
        <w:rPr>
          <w:lang w:val="es-ES_tradnl"/>
        </w:rPr>
        <w:tab/>
      </w:r>
      <w:r w:rsidRPr="006B6FA8">
        <w:rPr>
          <w:color w:val="000000"/>
          <w:lang w:val="es-ES_tradnl"/>
        </w:rPr>
        <w:t>c)</w:t>
      </w:r>
      <w:r w:rsidRPr="006B6FA8">
        <w:rPr>
          <w:lang w:val="es-ES_tradnl"/>
        </w:rPr>
        <w:tab/>
      </w:r>
      <w:r w:rsidRPr="006B6FA8">
        <w:rPr>
          <w:color w:val="000000"/>
          <w:lang w:val="es-ES_tradnl"/>
        </w:rPr>
        <w:t>versión de la carta de colores RHS empleada (cuando proceda)</w:t>
      </w:r>
    </w:p>
    <w:p w14:paraId="174545BD" w14:textId="77777777" w:rsidR="006B6FA8" w:rsidRPr="006B6FA8" w:rsidRDefault="006B6FA8" w:rsidP="006B6FA8">
      <w:pPr>
        <w:jc w:val="left"/>
        <w:rPr>
          <w:rFonts w:cs="Arial"/>
          <w:lang w:val="es-ES_tradnl"/>
        </w:rPr>
      </w:pPr>
    </w:p>
    <w:p w14:paraId="57911F87" w14:textId="77777777" w:rsidR="006B6FA8" w:rsidRPr="006B6FA8" w:rsidRDefault="006B6FA8" w:rsidP="006B6FA8">
      <w:pPr>
        <w:tabs>
          <w:tab w:val="left" w:pos="284"/>
        </w:tabs>
        <w:jc w:val="left"/>
        <w:rPr>
          <w:lang w:val="es-ES_tradnl"/>
        </w:rPr>
      </w:pPr>
      <w:r w:rsidRPr="006B6FA8">
        <w:rPr>
          <w:lang w:val="es-ES_tradnl"/>
        </w:rPr>
        <w:tab/>
      </w:r>
      <w:r w:rsidRPr="006B6FA8">
        <w:rPr>
          <w:lang w:val="es-ES_tradnl"/>
        </w:rPr>
        <w:tab/>
        <w:t>d)</w:t>
      </w:r>
      <w:r w:rsidRPr="006B6FA8">
        <w:rPr>
          <w:lang w:val="es-ES_tradnl"/>
        </w:rPr>
        <w:tab/>
        <w:t>observaciones</w:t>
      </w:r>
    </w:p>
    <w:p w14:paraId="75735CE6" w14:textId="77777777" w:rsidR="006B6FA8" w:rsidRPr="006B6FA8" w:rsidRDefault="006B6FA8" w:rsidP="006B6FA8">
      <w:pPr>
        <w:tabs>
          <w:tab w:val="left" w:pos="284"/>
        </w:tabs>
        <w:jc w:val="left"/>
        <w:rPr>
          <w:rFonts w:cs="Arial"/>
          <w:lang w:val="es-ES_tradnl"/>
        </w:rPr>
      </w:pPr>
    </w:p>
    <w:p w14:paraId="65BFE21B" w14:textId="77777777" w:rsidR="006B6FA8" w:rsidRPr="006B6FA8" w:rsidRDefault="006B6FA8" w:rsidP="006B6FA8">
      <w:pPr>
        <w:tabs>
          <w:tab w:val="left" w:leader="underscore" w:pos="9752"/>
        </w:tabs>
        <w:spacing w:after="120" w:line="360" w:lineRule="auto"/>
        <w:ind w:left="-113" w:right="-113"/>
        <w:rPr>
          <w:rFonts w:cs="Arial"/>
          <w:lang w:val="es-ES_tradnl"/>
        </w:rPr>
      </w:pPr>
      <w:r w:rsidRPr="006B6FA8">
        <w:rPr>
          <w:rFonts w:cs="Arial"/>
          <w:lang w:val="es-ES_tradnl"/>
        </w:rPr>
        <w:tab/>
      </w:r>
    </w:p>
    <w:p w14:paraId="3379C3D2" w14:textId="77777777" w:rsidR="006B6FA8" w:rsidRPr="006B6FA8" w:rsidRDefault="006B6FA8" w:rsidP="006B6FA8">
      <w:pPr>
        <w:jc w:val="left"/>
        <w:rPr>
          <w:rFonts w:ascii="Times New Roman" w:hAnsi="Times New Roman"/>
          <w:strike/>
          <w:sz w:val="22"/>
          <w:lang w:val="es-ES_tradnl"/>
        </w:rPr>
      </w:pPr>
    </w:p>
    <w:p w14:paraId="615A1C2A" w14:textId="77777777" w:rsidR="006B6FA8" w:rsidRPr="006B6FA8" w:rsidRDefault="006B6FA8" w:rsidP="006B6FA8">
      <w:pPr>
        <w:jc w:val="left"/>
        <w:rPr>
          <w:rFonts w:ascii="Times New Roman" w:hAnsi="Times New Roman"/>
          <w:strike/>
          <w:sz w:val="22"/>
          <w:lang w:val="es-ES_tradnl"/>
        </w:rPr>
      </w:pPr>
    </w:p>
    <w:p w14:paraId="58F75F08" w14:textId="77777777" w:rsidR="006B6FA8" w:rsidRPr="006B6FA8" w:rsidRDefault="006B6FA8" w:rsidP="006B6FA8">
      <w:pPr>
        <w:jc w:val="center"/>
        <w:rPr>
          <w:rFonts w:cs="Arial"/>
          <w:lang w:val="es-ES_tradnl"/>
        </w:rPr>
      </w:pPr>
      <w:r w:rsidRPr="006B6FA8">
        <w:rPr>
          <w:rFonts w:ascii="Times New Roman" w:hAnsi="Times New Roman"/>
          <w:strike/>
          <w:sz w:val="22"/>
          <w:lang w:val="es-ES_tradnl"/>
        </w:rPr>
        <w:br w:type="page"/>
      </w:r>
    </w:p>
    <w:p w14:paraId="2505A5B4" w14:textId="77777777" w:rsidR="006B6FA8" w:rsidRPr="006B6FA8" w:rsidRDefault="006B6FA8" w:rsidP="006B6FA8">
      <w:pPr>
        <w:rPr>
          <w:rFonts w:cs="Arial"/>
          <w:lang w:val="es-ES_tradnl"/>
        </w:rPr>
      </w:pPr>
      <w:r w:rsidRPr="006B6FA8">
        <w:rPr>
          <w:lang w:val="es-ES_tradnl"/>
        </w:rPr>
        <w:lastRenderedPageBreak/>
        <w:t>18.</w:t>
      </w:r>
      <w:r w:rsidRPr="006B6FA8">
        <w:rPr>
          <w:lang w:val="es-ES_tradnl"/>
        </w:rPr>
        <w:tab/>
      </w:r>
      <w:r w:rsidRPr="006B6FA8">
        <w:rPr>
          <w:u w:val="single"/>
          <w:lang w:val="es-ES_tradnl"/>
        </w:rPr>
        <w:t>Notas explicativas al Anexo: Formulario UPOV para la descripción de variedades</w:t>
      </w:r>
    </w:p>
    <w:p w14:paraId="64B29E2A" w14:textId="77777777" w:rsidR="006B6FA8" w:rsidRPr="006B6FA8" w:rsidRDefault="006B6FA8" w:rsidP="006B6FA8">
      <w:pPr>
        <w:rPr>
          <w:rFonts w:cs="Arial"/>
          <w:lang w:val="es-ES_tradnl"/>
        </w:rPr>
      </w:pPr>
    </w:p>
    <w:p w14:paraId="336A9ECE" w14:textId="77777777" w:rsidR="006B6FA8" w:rsidRPr="006B6FA8" w:rsidRDefault="006B6FA8" w:rsidP="006B6FA8">
      <w:pPr>
        <w:rPr>
          <w:rFonts w:cs="Arial"/>
          <w:lang w:val="es-ES_tradnl"/>
        </w:rPr>
      </w:pPr>
      <w:r w:rsidRPr="006B6FA8">
        <w:rPr>
          <w:lang w:val="es-ES_tradnl"/>
        </w:rPr>
        <w:t>a)</w:t>
      </w:r>
      <w:r w:rsidRPr="006B6FA8">
        <w:rPr>
          <w:lang w:val="es-ES_tradnl"/>
        </w:rPr>
        <w:tab/>
      </w:r>
      <w:r w:rsidRPr="006B6FA8">
        <w:rPr>
          <w:u w:val="single"/>
          <w:lang w:val="es-ES_tradnl"/>
        </w:rPr>
        <w:t>Generalidades (Anexo: Formulario UPOV para la descripción de variedades)</w:t>
      </w:r>
    </w:p>
    <w:p w14:paraId="1C5B0DBE" w14:textId="77777777" w:rsidR="006B6FA8" w:rsidRPr="006B6FA8" w:rsidRDefault="006B6FA8" w:rsidP="006B6FA8">
      <w:pPr>
        <w:jc w:val="left"/>
        <w:rPr>
          <w:rFonts w:cs="Arial"/>
          <w:lang w:val="es-ES_tradnl"/>
        </w:rPr>
      </w:pPr>
    </w:p>
    <w:p w14:paraId="6C2B01BF" w14:textId="77777777" w:rsidR="006B6FA8" w:rsidRPr="006B6FA8" w:rsidRDefault="006B6FA8" w:rsidP="006B6FA8">
      <w:pPr>
        <w:rPr>
          <w:i/>
          <w:highlight w:val="lightGray"/>
          <w:u w:val="single"/>
          <w:lang w:val="es-ES_tradnl"/>
        </w:rPr>
      </w:pPr>
      <w:r w:rsidRPr="006B6FA8">
        <w:rPr>
          <w:i/>
          <w:highlight w:val="lightGray"/>
          <w:u w:val="single"/>
          <w:lang w:val="es-ES_tradnl"/>
        </w:rPr>
        <w:t>i)</w:t>
      </w:r>
      <w:r w:rsidRPr="006B6FA8">
        <w:rPr>
          <w:i/>
          <w:highlight w:val="lightGray"/>
          <w:u w:val="single"/>
          <w:lang w:val="es-ES_tradnl"/>
        </w:rPr>
        <w:tab/>
        <w:t xml:space="preserve">Finalidad de la descripción original de la variedad </w:t>
      </w:r>
    </w:p>
    <w:p w14:paraId="48EEE06A" w14:textId="77777777" w:rsidR="006B6FA8" w:rsidRPr="006B6FA8" w:rsidRDefault="006B6FA8" w:rsidP="006B6FA8">
      <w:pPr>
        <w:rPr>
          <w:highlight w:val="lightGray"/>
          <w:u w:val="single"/>
          <w:lang w:val="es-ES_tradnl"/>
        </w:rPr>
      </w:pPr>
    </w:p>
    <w:p w14:paraId="0F242F3B" w14:textId="77777777" w:rsidR="006B6FA8" w:rsidRPr="006B6FA8" w:rsidRDefault="006B6FA8" w:rsidP="006B6FA8">
      <w:pPr>
        <w:rPr>
          <w:highlight w:val="lightGray"/>
          <w:u w:val="single"/>
          <w:lang w:val="es-ES_tradnl"/>
        </w:rPr>
      </w:pPr>
      <w:r w:rsidRPr="006B6FA8">
        <w:rPr>
          <w:highlight w:val="lightGray"/>
          <w:u w:val="single"/>
          <w:lang w:val="es-ES_tradnl"/>
        </w:rPr>
        <w:t>Las finalidades de la descripción de la variedad que se elaboró cuando se concedió el derecho de obtentor (descripción original de la variedad) pueden resumirse como:</w:t>
      </w:r>
    </w:p>
    <w:p w14:paraId="7A34B369" w14:textId="77777777" w:rsidR="006B6FA8" w:rsidRPr="006B6FA8" w:rsidRDefault="006B6FA8" w:rsidP="006B6FA8">
      <w:pPr>
        <w:ind w:left="567" w:right="567"/>
        <w:rPr>
          <w:highlight w:val="lightGray"/>
          <w:u w:val="single"/>
          <w:lang w:val="es-ES_tradnl"/>
        </w:rPr>
      </w:pPr>
    </w:p>
    <w:p w14:paraId="52D3C033" w14:textId="77777777" w:rsidR="006B6FA8" w:rsidRPr="006B6FA8" w:rsidRDefault="006B6FA8" w:rsidP="006B6FA8">
      <w:pPr>
        <w:keepNext/>
        <w:ind w:left="567" w:right="-1"/>
        <w:rPr>
          <w:highlight w:val="lightGray"/>
          <w:u w:val="single"/>
          <w:lang w:val="es-ES_tradnl"/>
        </w:rPr>
      </w:pPr>
      <w:r w:rsidRPr="006B6FA8">
        <w:rPr>
          <w:highlight w:val="lightGray"/>
          <w:u w:val="single"/>
          <w:lang w:val="es-ES_tradnl"/>
        </w:rPr>
        <w:t>a)</w:t>
      </w:r>
      <w:r w:rsidRPr="006B6FA8">
        <w:rPr>
          <w:highlight w:val="lightGray"/>
          <w:u w:val="single"/>
          <w:lang w:val="es-ES_tradnl"/>
        </w:rPr>
        <w:tab/>
        <w:t>describir los caracteres de la variedad, e</w:t>
      </w:r>
    </w:p>
    <w:p w14:paraId="20814483" w14:textId="77777777" w:rsidR="006B6FA8" w:rsidRPr="006B6FA8" w:rsidRDefault="006B6FA8" w:rsidP="006B6FA8">
      <w:pPr>
        <w:ind w:left="1134" w:right="-1" w:hanging="567"/>
        <w:rPr>
          <w:highlight w:val="lightGray"/>
          <w:u w:val="single"/>
          <w:lang w:val="es-ES_tradnl"/>
        </w:rPr>
      </w:pPr>
      <w:r w:rsidRPr="006B6FA8">
        <w:rPr>
          <w:highlight w:val="lightGray"/>
          <w:u w:val="single"/>
          <w:lang w:val="es-ES_tradnl"/>
        </w:rPr>
        <w:t>b)</w:t>
      </w:r>
      <w:r w:rsidRPr="006B6FA8">
        <w:rPr>
          <w:highlight w:val="lightGray"/>
          <w:u w:val="single"/>
          <w:lang w:val="es-ES_tradnl"/>
        </w:rPr>
        <w:tab/>
        <w:t xml:space="preserve">identificar y enumerar las variedades similares y las diferencias con respecto a esas variedades; </w:t>
      </w:r>
      <w:r w:rsidRPr="006B6FA8">
        <w:rPr>
          <w:highlight w:val="lightGray"/>
          <w:u w:val="single"/>
          <w:lang w:val="es-ES_tradnl"/>
        </w:rPr>
        <w:br/>
        <w:t>junto con la siguiente información basada en a) y b):</w:t>
      </w:r>
    </w:p>
    <w:p w14:paraId="1A2E2338" w14:textId="77777777" w:rsidR="006B6FA8" w:rsidRPr="006B6FA8" w:rsidRDefault="006B6FA8" w:rsidP="006B6FA8">
      <w:pPr>
        <w:ind w:left="1134" w:right="-1"/>
        <w:rPr>
          <w:highlight w:val="lightGray"/>
          <w:u w:val="single"/>
          <w:lang w:val="es-ES_tradnl"/>
        </w:rPr>
      </w:pPr>
      <w:r w:rsidRPr="006B6FA8">
        <w:rPr>
          <w:highlight w:val="lightGray"/>
          <w:u w:val="single"/>
          <w:lang w:val="es-ES_tradnl"/>
        </w:rPr>
        <w:t>▪</w:t>
      </w:r>
      <w:r w:rsidRPr="006B6FA8">
        <w:rPr>
          <w:highlight w:val="lightGray"/>
          <w:u w:val="single"/>
          <w:lang w:val="es-ES_tradnl"/>
        </w:rPr>
        <w:tab/>
        <w:t>Fecha y número de documento de las directrices de examen de la UPOV;</w:t>
      </w:r>
    </w:p>
    <w:p w14:paraId="7709D5B6" w14:textId="77777777" w:rsidR="006B6FA8" w:rsidRPr="006B6FA8" w:rsidRDefault="006B6FA8" w:rsidP="006B6FA8">
      <w:pPr>
        <w:ind w:left="1701" w:right="-1" w:hanging="567"/>
        <w:rPr>
          <w:highlight w:val="lightGray"/>
          <w:u w:val="single"/>
          <w:lang w:val="es-ES_tradnl"/>
        </w:rPr>
      </w:pPr>
      <w:r w:rsidRPr="006B6FA8">
        <w:rPr>
          <w:highlight w:val="lightGray"/>
          <w:u w:val="single"/>
          <w:lang w:val="es-ES_tradnl"/>
        </w:rPr>
        <w:t>▪</w:t>
      </w:r>
      <w:r w:rsidRPr="006B6FA8">
        <w:rPr>
          <w:highlight w:val="lightGray"/>
          <w:u w:val="single"/>
          <w:lang w:val="es-ES_tradnl"/>
        </w:rPr>
        <w:tab/>
        <w:t>Fecha y/o número de documento de las directrices de examen de la autoridad informante;</w:t>
      </w:r>
    </w:p>
    <w:p w14:paraId="4F589410" w14:textId="77777777" w:rsidR="006B6FA8" w:rsidRPr="006B6FA8" w:rsidRDefault="006B6FA8" w:rsidP="006B6FA8">
      <w:pPr>
        <w:ind w:left="1134" w:right="-1"/>
        <w:rPr>
          <w:highlight w:val="lightGray"/>
          <w:u w:val="single"/>
          <w:lang w:val="es-ES_tradnl"/>
        </w:rPr>
      </w:pPr>
      <w:r w:rsidRPr="006B6FA8">
        <w:rPr>
          <w:highlight w:val="lightGray"/>
          <w:u w:val="single"/>
          <w:lang w:val="es-ES_tradnl"/>
        </w:rPr>
        <w:t>▪</w:t>
      </w:r>
      <w:r w:rsidRPr="006B6FA8">
        <w:rPr>
          <w:highlight w:val="lightGray"/>
          <w:u w:val="single"/>
          <w:lang w:val="es-ES_tradnl"/>
        </w:rPr>
        <w:tab/>
        <w:t>Autoridad informante;</w:t>
      </w:r>
    </w:p>
    <w:p w14:paraId="143507DA" w14:textId="77777777" w:rsidR="006B6FA8" w:rsidRPr="006B6FA8" w:rsidRDefault="006B6FA8" w:rsidP="006B6FA8">
      <w:pPr>
        <w:ind w:left="1134" w:right="-1"/>
        <w:rPr>
          <w:highlight w:val="lightGray"/>
          <w:u w:val="single"/>
          <w:lang w:val="es-ES_tradnl"/>
        </w:rPr>
      </w:pPr>
      <w:r w:rsidRPr="006B6FA8">
        <w:rPr>
          <w:highlight w:val="lightGray"/>
          <w:u w:val="single"/>
          <w:lang w:val="es-ES_tradnl"/>
        </w:rPr>
        <w:t>▪</w:t>
      </w:r>
      <w:r w:rsidRPr="006B6FA8">
        <w:rPr>
          <w:highlight w:val="lightGray"/>
          <w:u w:val="single"/>
          <w:lang w:val="es-ES_tradnl"/>
        </w:rPr>
        <w:tab/>
        <w:t>Estación(es) y lugar(es) del examen;</w:t>
      </w:r>
    </w:p>
    <w:p w14:paraId="517AE819" w14:textId="77777777" w:rsidR="006B6FA8" w:rsidRPr="006B6FA8" w:rsidRDefault="006B6FA8" w:rsidP="006B6FA8">
      <w:pPr>
        <w:ind w:left="1134" w:right="-1"/>
        <w:rPr>
          <w:highlight w:val="lightGray"/>
          <w:u w:val="single"/>
          <w:lang w:val="es-ES_tradnl"/>
        </w:rPr>
      </w:pPr>
      <w:r w:rsidRPr="006B6FA8">
        <w:rPr>
          <w:highlight w:val="lightGray"/>
          <w:u w:val="single"/>
          <w:lang w:val="es-ES_tradnl"/>
        </w:rPr>
        <w:t>▪</w:t>
      </w:r>
      <w:r w:rsidRPr="006B6FA8">
        <w:rPr>
          <w:highlight w:val="lightGray"/>
          <w:u w:val="single"/>
          <w:lang w:val="es-ES_tradnl"/>
        </w:rPr>
        <w:tab/>
        <w:t>Período de realización del examen;</w:t>
      </w:r>
    </w:p>
    <w:p w14:paraId="7326DFDF" w14:textId="77777777" w:rsidR="006B6FA8" w:rsidRPr="006B6FA8" w:rsidRDefault="006B6FA8" w:rsidP="006B6FA8">
      <w:pPr>
        <w:ind w:left="1134" w:right="-1"/>
        <w:rPr>
          <w:highlight w:val="lightGray"/>
          <w:u w:val="single"/>
          <w:lang w:val="es-ES_tradnl"/>
        </w:rPr>
      </w:pPr>
      <w:r w:rsidRPr="006B6FA8">
        <w:rPr>
          <w:highlight w:val="lightGray"/>
          <w:u w:val="single"/>
          <w:lang w:val="es-ES_tradnl"/>
        </w:rPr>
        <w:t>▪</w:t>
      </w:r>
      <w:r w:rsidRPr="006B6FA8">
        <w:rPr>
          <w:highlight w:val="lightGray"/>
          <w:u w:val="single"/>
          <w:lang w:val="es-ES_tradnl"/>
        </w:rPr>
        <w:tab/>
        <w:t>Fecha y lugar de emisión del documento;</w:t>
      </w:r>
    </w:p>
    <w:p w14:paraId="35675138" w14:textId="77777777" w:rsidR="006B6FA8" w:rsidRPr="006B6FA8" w:rsidRDefault="006B6FA8" w:rsidP="006B6FA8">
      <w:pPr>
        <w:ind w:left="1134" w:right="-1"/>
        <w:rPr>
          <w:highlight w:val="lightGray"/>
          <w:u w:val="single"/>
          <w:lang w:val="es-ES_tradnl"/>
        </w:rPr>
      </w:pPr>
      <w:r w:rsidRPr="006B6FA8">
        <w:rPr>
          <w:highlight w:val="lightGray"/>
          <w:u w:val="single"/>
          <w:lang w:val="es-ES_tradnl"/>
        </w:rPr>
        <w:t>▪</w:t>
      </w:r>
      <w:r w:rsidRPr="006B6FA8">
        <w:rPr>
          <w:highlight w:val="lightGray"/>
          <w:u w:val="single"/>
          <w:lang w:val="es-ES_tradnl"/>
        </w:rPr>
        <w:tab/>
        <w:t>Grupo: (Cuadro: Caracteres; Niveles de expresión; Nota; Observaciones);</w:t>
      </w:r>
    </w:p>
    <w:p w14:paraId="57A397B3" w14:textId="77777777" w:rsidR="006B6FA8" w:rsidRPr="006B6FA8" w:rsidRDefault="006B6FA8" w:rsidP="006B6FA8">
      <w:pPr>
        <w:ind w:left="1134" w:right="-1"/>
        <w:rPr>
          <w:highlight w:val="lightGray"/>
          <w:u w:val="single"/>
          <w:lang w:val="es-ES_tradnl"/>
        </w:rPr>
      </w:pPr>
      <w:r w:rsidRPr="006B6FA8">
        <w:rPr>
          <w:highlight w:val="lightGray"/>
          <w:u w:val="single"/>
          <w:lang w:val="es-ES_tradnl"/>
        </w:rPr>
        <w:t>▪</w:t>
      </w:r>
      <w:r w:rsidRPr="006B6FA8">
        <w:rPr>
          <w:highlight w:val="lightGray"/>
          <w:u w:val="single"/>
          <w:lang w:val="es-ES_tradnl"/>
        </w:rPr>
        <w:tab/>
        <w:t>Información adicional:</w:t>
      </w:r>
    </w:p>
    <w:p w14:paraId="39FF9D5F" w14:textId="77777777" w:rsidR="006B6FA8" w:rsidRPr="006B6FA8" w:rsidRDefault="006B6FA8" w:rsidP="006B6FA8">
      <w:pPr>
        <w:tabs>
          <w:tab w:val="left" w:pos="2268"/>
          <w:tab w:val="left" w:pos="2835"/>
        </w:tabs>
        <w:ind w:left="1134" w:right="-1"/>
        <w:rPr>
          <w:highlight w:val="lightGray"/>
          <w:u w:val="single"/>
          <w:lang w:val="es-ES_tradnl"/>
        </w:rPr>
      </w:pPr>
      <w:r w:rsidRPr="006B6FA8">
        <w:rPr>
          <w:highlight w:val="lightGray"/>
          <w:u w:val="single"/>
          <w:lang w:val="es-ES_tradnl"/>
        </w:rPr>
        <w:tab/>
        <w:t>a)</w:t>
      </w:r>
      <w:r w:rsidRPr="006B6FA8">
        <w:rPr>
          <w:highlight w:val="lightGray"/>
          <w:u w:val="single"/>
          <w:lang w:val="es-ES_tradnl"/>
        </w:rPr>
        <w:tab/>
        <w:t>datos adicionales</w:t>
      </w:r>
    </w:p>
    <w:p w14:paraId="1E451C35" w14:textId="77777777" w:rsidR="006B6FA8" w:rsidRPr="006B6FA8" w:rsidRDefault="006B6FA8" w:rsidP="006B6FA8">
      <w:pPr>
        <w:tabs>
          <w:tab w:val="left" w:pos="2268"/>
          <w:tab w:val="left" w:pos="2835"/>
        </w:tabs>
        <w:ind w:left="1134" w:right="-1"/>
        <w:rPr>
          <w:highlight w:val="lightGray"/>
          <w:u w:val="single"/>
          <w:lang w:val="es-ES_tradnl"/>
        </w:rPr>
      </w:pPr>
      <w:r w:rsidRPr="006B6FA8">
        <w:rPr>
          <w:highlight w:val="lightGray"/>
          <w:u w:val="single"/>
          <w:lang w:val="es-ES_tradnl"/>
        </w:rPr>
        <w:tab/>
        <w:t>b)</w:t>
      </w:r>
      <w:r w:rsidRPr="006B6FA8">
        <w:rPr>
          <w:highlight w:val="lightGray"/>
          <w:u w:val="single"/>
          <w:lang w:val="es-ES_tradnl"/>
        </w:rPr>
        <w:tab/>
        <w:t>fotografía (si procede)</w:t>
      </w:r>
    </w:p>
    <w:p w14:paraId="5C57D6CC" w14:textId="77777777" w:rsidR="006B6FA8" w:rsidRPr="006B6FA8" w:rsidRDefault="006B6FA8" w:rsidP="006B6FA8">
      <w:pPr>
        <w:tabs>
          <w:tab w:val="left" w:pos="2268"/>
          <w:tab w:val="left" w:pos="2835"/>
        </w:tabs>
        <w:ind w:left="1134" w:right="-1"/>
        <w:rPr>
          <w:highlight w:val="lightGray"/>
          <w:u w:val="single"/>
          <w:lang w:val="es-ES_tradnl"/>
        </w:rPr>
      </w:pPr>
      <w:r w:rsidRPr="006B6FA8">
        <w:rPr>
          <w:highlight w:val="lightGray"/>
          <w:u w:val="single"/>
          <w:lang w:val="es-ES_tradnl"/>
        </w:rPr>
        <w:tab/>
        <w:t>c)</w:t>
      </w:r>
      <w:r w:rsidRPr="006B6FA8">
        <w:rPr>
          <w:highlight w:val="lightGray"/>
          <w:u w:val="single"/>
          <w:lang w:val="es-ES_tradnl"/>
        </w:rPr>
        <w:tab/>
        <w:t>versión de la carta de colores RHS empleada (cuando proceda)</w:t>
      </w:r>
    </w:p>
    <w:p w14:paraId="30D83D22" w14:textId="77777777" w:rsidR="006B6FA8" w:rsidRPr="006B6FA8" w:rsidRDefault="006B6FA8" w:rsidP="006B6FA8">
      <w:pPr>
        <w:tabs>
          <w:tab w:val="left" w:pos="2268"/>
          <w:tab w:val="left" w:pos="2835"/>
        </w:tabs>
        <w:ind w:left="1134" w:right="-1"/>
        <w:rPr>
          <w:highlight w:val="lightGray"/>
          <w:u w:val="single"/>
          <w:lang w:val="es-ES_tradnl"/>
        </w:rPr>
      </w:pPr>
      <w:r w:rsidRPr="006B6FA8">
        <w:rPr>
          <w:highlight w:val="lightGray"/>
          <w:u w:val="single"/>
          <w:lang w:val="es-ES_tradnl"/>
        </w:rPr>
        <w:tab/>
        <w:t>d)</w:t>
      </w:r>
      <w:r w:rsidRPr="006B6FA8">
        <w:rPr>
          <w:highlight w:val="lightGray"/>
          <w:u w:val="single"/>
          <w:lang w:val="es-ES_tradnl"/>
        </w:rPr>
        <w:tab/>
        <w:t>observaciones.</w:t>
      </w:r>
    </w:p>
    <w:p w14:paraId="72ADFFD7" w14:textId="77777777" w:rsidR="006B6FA8" w:rsidRPr="006B6FA8" w:rsidRDefault="006B6FA8" w:rsidP="006B6FA8">
      <w:pPr>
        <w:tabs>
          <w:tab w:val="left" w:pos="2268"/>
          <w:tab w:val="left" w:pos="2835"/>
        </w:tabs>
        <w:ind w:left="1701" w:right="567"/>
        <w:rPr>
          <w:highlight w:val="lightGray"/>
          <w:u w:val="single"/>
          <w:lang w:val="es-ES_tradnl"/>
        </w:rPr>
      </w:pPr>
    </w:p>
    <w:p w14:paraId="183CC7AE" w14:textId="77777777" w:rsidR="006B6FA8" w:rsidRPr="006B6FA8" w:rsidRDefault="006B6FA8" w:rsidP="006B6FA8">
      <w:pPr>
        <w:rPr>
          <w:i/>
          <w:highlight w:val="lightGray"/>
          <w:u w:val="single"/>
          <w:lang w:val="es-ES_tradnl"/>
        </w:rPr>
      </w:pPr>
      <w:r w:rsidRPr="006B6FA8">
        <w:rPr>
          <w:i/>
          <w:highlight w:val="lightGray"/>
          <w:u w:val="single"/>
          <w:lang w:val="es-ES_tradnl"/>
        </w:rPr>
        <w:t>ii)</w:t>
      </w:r>
      <w:r w:rsidRPr="006B6FA8">
        <w:rPr>
          <w:i/>
          <w:highlight w:val="lightGray"/>
          <w:u w:val="single"/>
          <w:lang w:val="es-ES_tradnl"/>
        </w:rPr>
        <w:tab/>
        <w:t>Situación de la descripción original de la variedad con respecto a la defensa del derecho de obtentor</w:t>
      </w:r>
    </w:p>
    <w:p w14:paraId="6EC51954" w14:textId="77777777" w:rsidR="006B6FA8" w:rsidRPr="006B6FA8" w:rsidRDefault="006B6FA8" w:rsidP="006B6FA8">
      <w:pPr>
        <w:rPr>
          <w:highlight w:val="lightGray"/>
          <w:u w:val="single"/>
          <w:lang w:val="es-ES_tradnl"/>
        </w:rPr>
      </w:pPr>
    </w:p>
    <w:p w14:paraId="1A69916C" w14:textId="77777777" w:rsidR="006B6FA8" w:rsidRPr="006B6FA8" w:rsidRDefault="006B6FA8" w:rsidP="006B6FA8">
      <w:pPr>
        <w:rPr>
          <w:snapToGrid w:val="0"/>
          <w:spacing w:val="-2"/>
          <w:szCs w:val="18"/>
          <w:highlight w:val="lightGray"/>
          <w:u w:val="single"/>
          <w:lang w:val="es-ES_tradnl"/>
        </w:rPr>
      </w:pPr>
      <w:r w:rsidRPr="006B6FA8">
        <w:rPr>
          <w:snapToGrid w:val="0"/>
          <w:spacing w:val="-2"/>
          <w:highlight w:val="lightGray"/>
          <w:u w:val="single"/>
          <w:lang w:val="es-ES_tradnl"/>
        </w:rPr>
        <w:t>En el documento UPOV/EXN/ENF/1 “Notas explicativas sobre la defensa de los derechos del obtentor con arreglo al Convenio de la UPOV” se ofrece la siguiente explicación:</w:t>
      </w:r>
    </w:p>
    <w:p w14:paraId="5EFC90E8" w14:textId="77777777" w:rsidR="006B6FA8" w:rsidRPr="006B6FA8" w:rsidRDefault="006B6FA8" w:rsidP="006B6FA8">
      <w:pPr>
        <w:contextualSpacing/>
        <w:rPr>
          <w:snapToGrid w:val="0"/>
          <w:szCs w:val="18"/>
          <w:highlight w:val="lightGray"/>
          <w:u w:val="single"/>
          <w:lang w:val="es-ES_tradnl"/>
        </w:rPr>
      </w:pPr>
    </w:p>
    <w:p w14:paraId="1A5008B9" w14:textId="77777777" w:rsidR="006B6FA8" w:rsidRPr="006B6FA8" w:rsidRDefault="006B6FA8" w:rsidP="006B6FA8">
      <w:pPr>
        <w:ind w:left="567" w:right="567"/>
        <w:contextualSpacing/>
        <w:rPr>
          <w:rFonts w:cs="Arial"/>
          <w:snapToGrid w:val="0"/>
          <w:sz w:val="18"/>
          <w:szCs w:val="18"/>
          <w:highlight w:val="lightGray"/>
          <w:u w:val="single"/>
          <w:lang w:val="es-ES_tradnl"/>
        </w:rPr>
      </w:pPr>
      <w:r w:rsidRPr="006B6FA8">
        <w:rPr>
          <w:snapToGrid w:val="0"/>
          <w:sz w:val="18"/>
          <w:highlight w:val="lightGray"/>
          <w:u w:val="single"/>
          <w:lang w:val="es-ES_tradnl"/>
        </w:rPr>
        <w:t xml:space="preserve">“SECCIÓN II: Algunas medidas posibles para la defensa de los derechos de obtentor </w:t>
      </w:r>
    </w:p>
    <w:p w14:paraId="0B6B5F07" w14:textId="77777777" w:rsidR="006B6FA8" w:rsidRPr="006B6FA8" w:rsidRDefault="006B6FA8" w:rsidP="006B6FA8">
      <w:pPr>
        <w:ind w:left="567" w:right="567"/>
        <w:contextualSpacing/>
        <w:rPr>
          <w:rFonts w:cs="Arial"/>
          <w:snapToGrid w:val="0"/>
          <w:sz w:val="18"/>
          <w:szCs w:val="18"/>
          <w:highlight w:val="lightGray"/>
          <w:u w:val="single"/>
          <w:lang w:val="es-ES_tradnl"/>
        </w:rPr>
      </w:pPr>
    </w:p>
    <w:p w14:paraId="31293D66" w14:textId="77777777" w:rsidR="006B6FA8" w:rsidRPr="006B6FA8" w:rsidRDefault="006B6FA8" w:rsidP="006B6FA8">
      <w:pPr>
        <w:ind w:left="567" w:right="567"/>
        <w:contextualSpacing/>
        <w:rPr>
          <w:rFonts w:cs="Arial"/>
          <w:snapToGrid w:val="0"/>
          <w:sz w:val="18"/>
          <w:szCs w:val="18"/>
          <w:highlight w:val="lightGray"/>
          <w:u w:val="single"/>
          <w:lang w:val="es-ES_tradnl"/>
        </w:rPr>
      </w:pPr>
      <w:r w:rsidRPr="006B6FA8">
        <w:rPr>
          <w:snapToGrid w:val="0"/>
          <w:sz w:val="18"/>
          <w:highlight w:val="lightGray"/>
          <w:u w:val="single"/>
          <w:lang w:val="es-ES_tradnl"/>
        </w:rPr>
        <w:t>Si bien el Convenio de la UPOV exige a los miembros de la Unión que prevean los recursos legales apropiados que permitan defender eficazmente los derechos de obtentor, corresponde a los obtentores la defensa de sus derechos.”</w:t>
      </w:r>
    </w:p>
    <w:p w14:paraId="16255231" w14:textId="77777777" w:rsidR="006B6FA8" w:rsidRPr="006B6FA8" w:rsidRDefault="006B6FA8" w:rsidP="006B6FA8">
      <w:pPr>
        <w:contextualSpacing/>
        <w:rPr>
          <w:rFonts w:cs="Arial"/>
          <w:snapToGrid w:val="0"/>
          <w:szCs w:val="18"/>
          <w:highlight w:val="lightGray"/>
          <w:u w:val="single"/>
          <w:lang w:val="es-ES_tradnl"/>
        </w:rPr>
      </w:pPr>
    </w:p>
    <w:p w14:paraId="30CED700" w14:textId="77777777" w:rsidR="006B6FA8" w:rsidRPr="006B6FA8" w:rsidRDefault="006B6FA8" w:rsidP="006B6FA8">
      <w:pPr>
        <w:rPr>
          <w:rFonts w:cs="Arial"/>
          <w:snapToGrid w:val="0"/>
          <w:szCs w:val="18"/>
          <w:highlight w:val="lightGray"/>
          <w:u w:val="single"/>
          <w:lang w:val="es-ES_tradnl"/>
        </w:rPr>
      </w:pPr>
      <w:r w:rsidRPr="006B6FA8">
        <w:rPr>
          <w:snapToGrid w:val="0"/>
          <w:highlight w:val="lightGray"/>
          <w:u w:val="single"/>
          <w:lang w:val="es-ES_tradnl"/>
        </w:rPr>
        <w:t xml:space="preserve">En relación con la </w:t>
      </w:r>
      <w:r w:rsidRPr="006B6FA8">
        <w:rPr>
          <w:highlight w:val="lightGray"/>
          <w:u w:val="single"/>
          <w:lang w:val="es-ES_tradnl"/>
        </w:rPr>
        <w:t>comprobación del material vegetal de una variedad protegida a efectos de la defensa del derecho de obtentor, debe recordarse que la descripción de los caracteres de la variedad en la descripción original de la variedad y la base para la distinción respecto de la variedad más similar están vinculadas a las circunstancias del examen DHE, a saber:</w:t>
      </w:r>
    </w:p>
    <w:p w14:paraId="0A1AF37E" w14:textId="77777777" w:rsidR="006B6FA8" w:rsidRPr="006B6FA8" w:rsidRDefault="006B6FA8" w:rsidP="006B6FA8">
      <w:pPr>
        <w:ind w:left="567" w:right="567"/>
        <w:rPr>
          <w:rFonts w:cs="Arial"/>
          <w:snapToGrid w:val="0"/>
          <w:szCs w:val="18"/>
          <w:highlight w:val="lightGray"/>
          <w:u w:val="single"/>
          <w:lang w:val="es-ES_tradnl"/>
        </w:rPr>
      </w:pPr>
    </w:p>
    <w:p w14:paraId="46FBF01B" w14:textId="77777777" w:rsidR="006B6FA8" w:rsidRPr="006B6FA8" w:rsidRDefault="006B6FA8" w:rsidP="006B6FA8">
      <w:pPr>
        <w:keepNext/>
        <w:tabs>
          <w:tab w:val="left" w:pos="1134"/>
          <w:tab w:val="left" w:pos="1701"/>
        </w:tabs>
        <w:ind w:left="1701" w:hanging="1134"/>
        <w:jc w:val="left"/>
        <w:rPr>
          <w:rFonts w:cs="Arial"/>
          <w:szCs w:val="18"/>
          <w:highlight w:val="lightGray"/>
          <w:u w:val="single"/>
          <w:lang w:val="es-ES_tradnl"/>
        </w:rPr>
      </w:pPr>
      <w:r w:rsidRPr="006B6FA8">
        <w:rPr>
          <w:highlight w:val="lightGray"/>
          <w:u w:val="single"/>
          <w:lang w:val="es-ES_tradnl"/>
        </w:rPr>
        <w:t>▪</w:t>
      </w:r>
      <w:r w:rsidRPr="006B6FA8">
        <w:rPr>
          <w:highlight w:val="lightGray"/>
          <w:u w:val="single"/>
          <w:lang w:val="es-ES_tradnl"/>
        </w:rPr>
        <w:tab/>
        <w:t>Fecha y número de documento de las directrices de examen de la UPOV;</w:t>
      </w:r>
    </w:p>
    <w:p w14:paraId="4A3712A6" w14:textId="77777777" w:rsidR="006B6FA8" w:rsidRPr="006B6FA8" w:rsidRDefault="006B6FA8" w:rsidP="006B6FA8">
      <w:pPr>
        <w:tabs>
          <w:tab w:val="left" w:pos="1134"/>
          <w:tab w:val="left" w:pos="1701"/>
          <w:tab w:val="left" w:pos="5103"/>
        </w:tabs>
        <w:ind w:left="1701" w:hanging="1134"/>
        <w:jc w:val="left"/>
        <w:rPr>
          <w:rFonts w:cs="Arial"/>
          <w:szCs w:val="18"/>
          <w:highlight w:val="lightGray"/>
          <w:u w:val="single"/>
          <w:lang w:val="es-ES_tradnl"/>
        </w:rPr>
      </w:pPr>
      <w:r w:rsidRPr="006B6FA8">
        <w:rPr>
          <w:highlight w:val="lightGray"/>
          <w:u w:val="single"/>
          <w:lang w:val="es-ES_tradnl"/>
        </w:rPr>
        <w:t>▪</w:t>
      </w:r>
      <w:r w:rsidRPr="006B6FA8">
        <w:rPr>
          <w:highlight w:val="lightGray"/>
          <w:u w:val="single"/>
          <w:lang w:val="es-ES_tradnl"/>
        </w:rPr>
        <w:tab/>
        <w:t>Fecha y/o número de documento de las directrices de examen de la autoridad informante;</w:t>
      </w:r>
    </w:p>
    <w:p w14:paraId="3DD35826" w14:textId="77777777" w:rsidR="006B6FA8" w:rsidRPr="006B6FA8" w:rsidRDefault="006B6FA8" w:rsidP="006B6FA8">
      <w:pPr>
        <w:tabs>
          <w:tab w:val="left" w:pos="1134"/>
          <w:tab w:val="left" w:pos="1701"/>
          <w:tab w:val="left" w:pos="5103"/>
        </w:tabs>
        <w:ind w:left="1701" w:hanging="1134"/>
        <w:jc w:val="left"/>
        <w:rPr>
          <w:rFonts w:cs="Arial"/>
          <w:szCs w:val="18"/>
          <w:highlight w:val="lightGray"/>
          <w:u w:val="single"/>
          <w:lang w:val="es-ES_tradnl"/>
        </w:rPr>
      </w:pPr>
      <w:r w:rsidRPr="006B6FA8">
        <w:rPr>
          <w:highlight w:val="lightGray"/>
          <w:u w:val="single"/>
          <w:lang w:val="es-ES_tradnl"/>
        </w:rPr>
        <w:t>▪</w:t>
      </w:r>
      <w:r w:rsidRPr="006B6FA8">
        <w:rPr>
          <w:highlight w:val="lightGray"/>
          <w:u w:val="single"/>
          <w:lang w:val="es-ES_tradnl"/>
        </w:rPr>
        <w:tab/>
        <w:t>Autoridad informante;</w:t>
      </w:r>
    </w:p>
    <w:p w14:paraId="6FE98E95" w14:textId="77777777" w:rsidR="006B6FA8" w:rsidRPr="006B6FA8" w:rsidRDefault="006B6FA8" w:rsidP="006B6FA8">
      <w:pPr>
        <w:tabs>
          <w:tab w:val="left" w:pos="1134"/>
          <w:tab w:val="left" w:pos="1701"/>
          <w:tab w:val="left" w:pos="5103"/>
        </w:tabs>
        <w:ind w:left="1701" w:hanging="1134"/>
        <w:jc w:val="left"/>
        <w:rPr>
          <w:rFonts w:cs="Arial"/>
          <w:szCs w:val="18"/>
          <w:highlight w:val="lightGray"/>
          <w:u w:val="single"/>
          <w:lang w:val="es-ES_tradnl"/>
        </w:rPr>
      </w:pPr>
      <w:r w:rsidRPr="006B6FA8">
        <w:rPr>
          <w:highlight w:val="lightGray"/>
          <w:u w:val="single"/>
          <w:lang w:val="es-ES_tradnl"/>
        </w:rPr>
        <w:t>▪</w:t>
      </w:r>
      <w:r w:rsidRPr="006B6FA8">
        <w:rPr>
          <w:highlight w:val="lightGray"/>
          <w:u w:val="single"/>
          <w:lang w:val="es-ES_tradnl"/>
        </w:rPr>
        <w:tab/>
        <w:t>Estación(es) y lugar(es) del examen;</w:t>
      </w:r>
    </w:p>
    <w:p w14:paraId="6E0FCFBB" w14:textId="77777777" w:rsidR="006B6FA8" w:rsidRPr="006B6FA8" w:rsidRDefault="006B6FA8" w:rsidP="006B6FA8">
      <w:pPr>
        <w:tabs>
          <w:tab w:val="left" w:pos="1134"/>
          <w:tab w:val="left" w:pos="1701"/>
          <w:tab w:val="left" w:pos="5103"/>
        </w:tabs>
        <w:ind w:left="1701" w:hanging="1134"/>
        <w:jc w:val="left"/>
        <w:rPr>
          <w:highlight w:val="lightGray"/>
          <w:u w:val="single"/>
          <w:lang w:val="es-ES_tradnl"/>
        </w:rPr>
      </w:pPr>
      <w:r w:rsidRPr="006B6FA8">
        <w:rPr>
          <w:highlight w:val="lightGray"/>
          <w:u w:val="single"/>
          <w:lang w:val="es-ES_tradnl"/>
        </w:rPr>
        <w:t>▪</w:t>
      </w:r>
      <w:r w:rsidRPr="006B6FA8">
        <w:rPr>
          <w:highlight w:val="lightGray"/>
          <w:u w:val="single"/>
          <w:lang w:val="es-ES_tradnl"/>
        </w:rPr>
        <w:tab/>
        <w:t>Período de realización del examen;</w:t>
      </w:r>
    </w:p>
    <w:p w14:paraId="6FA11E75" w14:textId="77777777" w:rsidR="006B6FA8" w:rsidRPr="006B6FA8" w:rsidRDefault="006B6FA8" w:rsidP="006B6FA8">
      <w:pPr>
        <w:tabs>
          <w:tab w:val="left" w:pos="1134"/>
          <w:tab w:val="left" w:pos="1701"/>
          <w:tab w:val="left" w:pos="5103"/>
        </w:tabs>
        <w:ind w:left="1701" w:hanging="1134"/>
        <w:jc w:val="left"/>
        <w:rPr>
          <w:rFonts w:cs="Arial"/>
          <w:szCs w:val="18"/>
          <w:highlight w:val="lightGray"/>
          <w:u w:val="single"/>
          <w:lang w:val="es-ES_tradnl"/>
        </w:rPr>
      </w:pPr>
      <w:r w:rsidRPr="006B6FA8">
        <w:rPr>
          <w:highlight w:val="lightGray"/>
          <w:u w:val="single"/>
          <w:lang w:val="es-ES_tradnl"/>
        </w:rPr>
        <w:t>▪</w:t>
      </w:r>
      <w:r w:rsidRPr="006B6FA8">
        <w:rPr>
          <w:highlight w:val="lightGray"/>
          <w:u w:val="single"/>
          <w:lang w:val="es-ES_tradnl"/>
        </w:rPr>
        <w:tab/>
        <w:t>Fecha y lugar de emisión del documento;</w:t>
      </w:r>
    </w:p>
    <w:p w14:paraId="131A7381" w14:textId="77777777" w:rsidR="006B6FA8" w:rsidRPr="006B6FA8" w:rsidRDefault="006B6FA8" w:rsidP="006B6FA8">
      <w:pPr>
        <w:tabs>
          <w:tab w:val="left" w:pos="1134"/>
          <w:tab w:val="left" w:pos="1701"/>
        </w:tabs>
        <w:ind w:left="1701" w:hanging="1134"/>
        <w:jc w:val="left"/>
        <w:rPr>
          <w:rFonts w:cs="Arial"/>
          <w:szCs w:val="18"/>
          <w:highlight w:val="lightGray"/>
          <w:u w:val="single"/>
          <w:lang w:val="es-ES_tradnl"/>
        </w:rPr>
      </w:pPr>
      <w:r w:rsidRPr="006B6FA8">
        <w:rPr>
          <w:highlight w:val="lightGray"/>
          <w:u w:val="single"/>
          <w:lang w:val="es-ES_tradnl"/>
        </w:rPr>
        <w:t>▪</w:t>
      </w:r>
      <w:r w:rsidRPr="006B6FA8">
        <w:rPr>
          <w:highlight w:val="lightGray"/>
          <w:u w:val="single"/>
          <w:lang w:val="es-ES_tradnl"/>
        </w:rPr>
        <w:tab/>
        <w:t>Grupo: (Cuadro: Caracteres; Niveles de expresión; Nota; Observaciones);</w:t>
      </w:r>
    </w:p>
    <w:p w14:paraId="78CDDF38" w14:textId="77777777" w:rsidR="006B6FA8" w:rsidRPr="006B6FA8" w:rsidRDefault="006B6FA8" w:rsidP="006B6FA8">
      <w:pPr>
        <w:keepNext/>
        <w:tabs>
          <w:tab w:val="left" w:pos="1134"/>
          <w:tab w:val="left" w:pos="1701"/>
        </w:tabs>
        <w:ind w:left="1701" w:hanging="1134"/>
        <w:jc w:val="left"/>
        <w:rPr>
          <w:rFonts w:cs="Arial"/>
          <w:szCs w:val="18"/>
          <w:highlight w:val="lightGray"/>
          <w:u w:val="single"/>
          <w:lang w:val="es-ES_tradnl"/>
        </w:rPr>
      </w:pPr>
      <w:r w:rsidRPr="006B6FA8">
        <w:rPr>
          <w:highlight w:val="lightGray"/>
          <w:u w:val="single"/>
          <w:lang w:val="es-ES_tradnl"/>
        </w:rPr>
        <w:t>▪</w:t>
      </w:r>
      <w:r w:rsidRPr="006B6FA8">
        <w:rPr>
          <w:highlight w:val="lightGray"/>
          <w:u w:val="single"/>
          <w:lang w:val="es-ES_tradnl"/>
        </w:rPr>
        <w:tab/>
        <w:t>Información adicional:</w:t>
      </w:r>
    </w:p>
    <w:p w14:paraId="0CF972DD" w14:textId="77777777" w:rsidR="006B6FA8" w:rsidRPr="006B6FA8" w:rsidRDefault="006B6FA8" w:rsidP="006B6FA8">
      <w:pPr>
        <w:keepNext/>
        <w:tabs>
          <w:tab w:val="left" w:pos="1701"/>
          <w:tab w:val="left" w:pos="2268"/>
          <w:tab w:val="left" w:pos="2835"/>
        </w:tabs>
        <w:ind w:left="1134" w:right="567"/>
        <w:rPr>
          <w:rFonts w:cs="Arial"/>
          <w:szCs w:val="18"/>
          <w:highlight w:val="lightGray"/>
          <w:u w:val="single"/>
          <w:lang w:val="es-ES_tradnl"/>
        </w:rPr>
      </w:pPr>
      <w:r w:rsidRPr="006B6FA8">
        <w:rPr>
          <w:highlight w:val="lightGray"/>
          <w:u w:val="single"/>
          <w:lang w:val="es-ES_tradnl"/>
        </w:rPr>
        <w:tab/>
        <w:t>a)</w:t>
      </w:r>
      <w:r w:rsidRPr="006B6FA8">
        <w:rPr>
          <w:highlight w:val="lightGray"/>
          <w:u w:val="single"/>
          <w:lang w:val="es-ES_tradnl"/>
        </w:rPr>
        <w:tab/>
        <w:t>datos adicionales</w:t>
      </w:r>
    </w:p>
    <w:p w14:paraId="58B84427" w14:textId="77777777" w:rsidR="006B6FA8" w:rsidRPr="006B6FA8" w:rsidRDefault="006B6FA8" w:rsidP="006B6FA8">
      <w:pPr>
        <w:keepNext/>
        <w:tabs>
          <w:tab w:val="left" w:pos="1134"/>
          <w:tab w:val="left" w:pos="1701"/>
          <w:tab w:val="left" w:pos="2268"/>
          <w:tab w:val="left" w:pos="2835"/>
        </w:tabs>
        <w:ind w:left="1134" w:right="567"/>
        <w:rPr>
          <w:rFonts w:cs="Arial"/>
          <w:color w:val="000000"/>
          <w:szCs w:val="18"/>
          <w:highlight w:val="lightGray"/>
          <w:u w:val="single"/>
          <w:lang w:val="es-ES_tradnl"/>
        </w:rPr>
      </w:pPr>
      <w:r w:rsidRPr="006B6FA8">
        <w:rPr>
          <w:highlight w:val="lightGray"/>
          <w:u w:val="single"/>
          <w:lang w:val="es-ES_tradnl"/>
        </w:rPr>
        <w:tab/>
      </w:r>
      <w:r w:rsidRPr="006B6FA8">
        <w:rPr>
          <w:color w:val="000000"/>
          <w:highlight w:val="lightGray"/>
          <w:u w:val="single"/>
          <w:lang w:val="es-ES_tradnl"/>
        </w:rPr>
        <w:t>b)</w:t>
      </w:r>
      <w:r w:rsidRPr="006B6FA8">
        <w:rPr>
          <w:highlight w:val="lightGray"/>
          <w:u w:val="single"/>
          <w:lang w:val="es-ES_tradnl"/>
        </w:rPr>
        <w:tab/>
      </w:r>
      <w:r w:rsidRPr="006B6FA8">
        <w:rPr>
          <w:color w:val="000000"/>
          <w:highlight w:val="lightGray"/>
          <w:u w:val="single"/>
          <w:lang w:val="es-ES_tradnl"/>
        </w:rPr>
        <w:t>fotografía (si procede)</w:t>
      </w:r>
    </w:p>
    <w:p w14:paraId="301B6B07" w14:textId="77777777" w:rsidR="006B6FA8" w:rsidRPr="006B6FA8" w:rsidRDefault="006B6FA8" w:rsidP="006B6FA8">
      <w:pPr>
        <w:keepNext/>
        <w:tabs>
          <w:tab w:val="left" w:pos="1134"/>
          <w:tab w:val="left" w:pos="1701"/>
          <w:tab w:val="left" w:pos="2268"/>
          <w:tab w:val="left" w:pos="2835"/>
        </w:tabs>
        <w:ind w:left="1134" w:right="567"/>
        <w:rPr>
          <w:rFonts w:cs="Arial"/>
          <w:color w:val="000000"/>
          <w:szCs w:val="18"/>
          <w:highlight w:val="lightGray"/>
          <w:u w:val="single"/>
          <w:lang w:val="es-ES_tradnl"/>
        </w:rPr>
      </w:pPr>
      <w:r w:rsidRPr="006B6FA8">
        <w:rPr>
          <w:highlight w:val="lightGray"/>
          <w:u w:val="single"/>
          <w:lang w:val="es-ES_tradnl"/>
        </w:rPr>
        <w:tab/>
      </w:r>
      <w:r w:rsidRPr="006B6FA8">
        <w:rPr>
          <w:color w:val="000000"/>
          <w:highlight w:val="lightGray"/>
          <w:u w:val="single"/>
          <w:lang w:val="es-ES_tradnl"/>
        </w:rPr>
        <w:t>c)</w:t>
      </w:r>
      <w:r w:rsidRPr="006B6FA8">
        <w:rPr>
          <w:highlight w:val="lightGray"/>
          <w:u w:val="single"/>
          <w:lang w:val="es-ES_tradnl"/>
        </w:rPr>
        <w:tab/>
      </w:r>
      <w:r w:rsidRPr="006B6FA8">
        <w:rPr>
          <w:color w:val="000000"/>
          <w:highlight w:val="lightGray"/>
          <w:u w:val="single"/>
          <w:lang w:val="es-ES_tradnl"/>
        </w:rPr>
        <w:t>versión de la carta de colores RHS empleada (cuando proceda)</w:t>
      </w:r>
    </w:p>
    <w:p w14:paraId="26E5C3BC" w14:textId="77777777" w:rsidR="006B6FA8" w:rsidRPr="006B6FA8" w:rsidRDefault="006B6FA8" w:rsidP="006B6FA8">
      <w:pPr>
        <w:keepNext/>
        <w:tabs>
          <w:tab w:val="left" w:pos="284"/>
          <w:tab w:val="left" w:pos="1134"/>
          <w:tab w:val="left" w:pos="1701"/>
          <w:tab w:val="left" w:pos="2268"/>
          <w:tab w:val="left" w:pos="2835"/>
        </w:tabs>
        <w:ind w:left="1134" w:right="567"/>
        <w:rPr>
          <w:rFonts w:cs="Arial"/>
          <w:szCs w:val="18"/>
          <w:u w:val="single"/>
          <w:lang w:val="es-ES_tradnl"/>
        </w:rPr>
      </w:pPr>
      <w:r w:rsidRPr="006B6FA8">
        <w:rPr>
          <w:highlight w:val="lightGray"/>
          <w:u w:val="single"/>
          <w:lang w:val="es-ES_tradnl"/>
        </w:rPr>
        <w:tab/>
        <w:t>d)</w:t>
      </w:r>
      <w:r w:rsidRPr="006B6FA8">
        <w:rPr>
          <w:highlight w:val="lightGray"/>
          <w:u w:val="single"/>
          <w:lang w:val="es-ES_tradnl"/>
        </w:rPr>
        <w:tab/>
        <w:t>observaciones</w:t>
      </w:r>
    </w:p>
    <w:p w14:paraId="5792D51E" w14:textId="77777777" w:rsidR="006B6FA8" w:rsidRPr="006B6FA8" w:rsidRDefault="006B6FA8" w:rsidP="006B6FA8">
      <w:pPr>
        <w:rPr>
          <w:lang w:val="es-ES_tradnl"/>
        </w:rPr>
      </w:pPr>
    </w:p>
    <w:p w14:paraId="3706C73A" w14:textId="77777777" w:rsidR="006B6FA8" w:rsidRPr="006B6FA8" w:rsidRDefault="006B6FA8" w:rsidP="006B6FA8">
      <w:pPr>
        <w:jc w:val="left"/>
        <w:rPr>
          <w:rFonts w:cs="Tahoma"/>
          <w:szCs w:val="18"/>
          <w:highlight w:val="lightGray"/>
          <w:u w:val="single"/>
          <w:lang w:val="es-ES_tradnl" w:eastAsia="fr-FR"/>
        </w:rPr>
      </w:pPr>
      <w:r w:rsidRPr="006B6FA8">
        <w:rPr>
          <w:rFonts w:cs="Tahoma"/>
          <w:szCs w:val="18"/>
          <w:highlight w:val="lightGray"/>
          <w:u w:val="single"/>
          <w:lang w:val="es-ES_tradnl" w:eastAsia="fr-FR"/>
        </w:rPr>
        <w:br w:type="page"/>
      </w:r>
    </w:p>
    <w:p w14:paraId="1A15C20E" w14:textId="77777777" w:rsidR="006B6FA8" w:rsidRPr="006B6FA8" w:rsidRDefault="006B6FA8" w:rsidP="006B6FA8">
      <w:pPr>
        <w:rPr>
          <w:rFonts w:cs="Tahoma"/>
          <w:i/>
          <w:szCs w:val="18"/>
          <w:highlight w:val="lightGray"/>
          <w:u w:val="single"/>
          <w:lang w:val="es-ES_tradnl"/>
        </w:rPr>
      </w:pPr>
      <w:r w:rsidRPr="006B6FA8">
        <w:rPr>
          <w:i/>
          <w:highlight w:val="lightGray"/>
          <w:u w:val="single"/>
          <w:lang w:val="es-ES_tradnl"/>
        </w:rPr>
        <w:lastRenderedPageBreak/>
        <w:t>iii)</w:t>
      </w:r>
      <w:r w:rsidRPr="006B6FA8">
        <w:rPr>
          <w:i/>
          <w:highlight w:val="lightGray"/>
          <w:u w:val="single"/>
          <w:lang w:val="es-ES_tradnl"/>
        </w:rPr>
        <w:tab/>
        <w:t>Modificación de la descripción original de la variedad</w:t>
      </w:r>
    </w:p>
    <w:p w14:paraId="4FC25F96" w14:textId="77777777" w:rsidR="006B6FA8" w:rsidRPr="006B6FA8" w:rsidRDefault="006B6FA8" w:rsidP="006B6FA8">
      <w:pPr>
        <w:rPr>
          <w:rFonts w:cs="Tahoma"/>
          <w:sz w:val="18"/>
          <w:szCs w:val="18"/>
          <w:highlight w:val="lightGray"/>
          <w:u w:val="single"/>
          <w:lang w:val="es-ES_tradnl"/>
        </w:rPr>
      </w:pPr>
    </w:p>
    <w:p w14:paraId="6ED9E8C9" w14:textId="77777777" w:rsidR="006B6FA8" w:rsidRPr="006B6FA8" w:rsidRDefault="006B6FA8" w:rsidP="006B6FA8">
      <w:pPr>
        <w:rPr>
          <w:rFonts w:cs="Tahoma"/>
          <w:szCs w:val="18"/>
          <w:highlight w:val="lightGray"/>
          <w:u w:val="single"/>
          <w:lang w:val="es-ES_tradnl"/>
        </w:rPr>
      </w:pPr>
      <w:r w:rsidRPr="006B6FA8">
        <w:rPr>
          <w:highlight w:val="lightGray"/>
          <w:u w:val="single"/>
          <w:lang w:val="es-ES_tradnl"/>
        </w:rPr>
        <w:t xml:space="preserve">En la sección 3.1.1 del documento TGP/4 “Constitución y mantenimiento de las colecciones de variedades” se explica lo siguiente: </w:t>
      </w:r>
    </w:p>
    <w:p w14:paraId="38C46B6B" w14:textId="77777777" w:rsidR="006B6FA8" w:rsidRPr="006B6FA8" w:rsidRDefault="006B6FA8" w:rsidP="006B6FA8">
      <w:pPr>
        <w:rPr>
          <w:rFonts w:cs="Tahoma"/>
          <w:sz w:val="18"/>
          <w:szCs w:val="18"/>
          <w:highlight w:val="lightGray"/>
          <w:u w:val="single"/>
          <w:lang w:val="es-ES_tradnl"/>
        </w:rPr>
      </w:pPr>
    </w:p>
    <w:p w14:paraId="6259C036" w14:textId="77777777" w:rsidR="006B6FA8" w:rsidRPr="006B6FA8" w:rsidRDefault="006B6FA8" w:rsidP="006B6FA8">
      <w:pPr>
        <w:ind w:left="567" w:right="567"/>
        <w:rPr>
          <w:rFonts w:cs="Tahoma"/>
          <w:sz w:val="18"/>
          <w:szCs w:val="18"/>
          <w:highlight w:val="yellow"/>
          <w:u w:val="single"/>
          <w:lang w:val="es-ES_tradnl"/>
        </w:rPr>
      </w:pPr>
      <w:r w:rsidRPr="006B6FA8">
        <w:rPr>
          <w:sz w:val="18"/>
          <w:szCs w:val="18"/>
          <w:highlight w:val="lightGray"/>
          <w:u w:val="single"/>
          <w:lang w:val="es-ES_tradnl"/>
        </w:rPr>
        <w:t>“En relación con las descripciones basadas en las directrices de examen de la UPOV pertinentes, cabe observar que estas directrices de examen podrán revisarse (véase el documento TGP/7), lo que podría traducirse en la adopción de algunos nuevos caracteres y la supresión de otros en la tabla de caracteres. Además, tal vez se modifique la expresión de un carácter. Por consiguiente, es posible que las descripciones relativas a la misma especie o grupo de especies preparadas utilizando distintas versiones de las directrices de examen no sean totalmente compatibles. En este caso las descripciones deberán armonizarse en la medida de lo posible.”</w:t>
      </w:r>
      <w:r w:rsidRPr="006B6FA8">
        <w:rPr>
          <w:sz w:val="18"/>
          <w:szCs w:val="18"/>
          <w:highlight w:val="yellow"/>
          <w:u w:val="single"/>
          <w:lang w:val="es-ES_tradnl"/>
        </w:rPr>
        <w:t xml:space="preserve"> </w:t>
      </w:r>
    </w:p>
    <w:p w14:paraId="282FB761" w14:textId="77777777" w:rsidR="006B6FA8" w:rsidRPr="006B6FA8" w:rsidRDefault="006B6FA8" w:rsidP="006B6FA8">
      <w:pPr>
        <w:rPr>
          <w:rFonts w:cs="Tahoma"/>
          <w:sz w:val="18"/>
          <w:szCs w:val="18"/>
          <w:highlight w:val="lightGray"/>
          <w:u w:val="single"/>
          <w:lang w:val="es-ES_tradnl"/>
        </w:rPr>
      </w:pPr>
    </w:p>
    <w:p w14:paraId="499ABCF5" w14:textId="77777777" w:rsidR="006B6FA8" w:rsidRPr="006B6FA8" w:rsidRDefault="006B6FA8" w:rsidP="006B6FA8">
      <w:pPr>
        <w:rPr>
          <w:rFonts w:cs="Tahoma"/>
          <w:szCs w:val="18"/>
          <w:highlight w:val="lightGray"/>
          <w:u w:val="single"/>
          <w:lang w:val="es-ES_tradnl"/>
        </w:rPr>
      </w:pPr>
      <w:r w:rsidRPr="006B6FA8">
        <w:rPr>
          <w:highlight w:val="lightGray"/>
          <w:u w:val="single"/>
          <w:lang w:val="es-ES_tradnl"/>
        </w:rPr>
        <w:t xml:space="preserve">En algunos miembros de la Unión, es posible modificar la descripción original de la variedad para adaptarla a fin de hacerla comparable con las descripciones de otras variedades, elaboradas en circunstancias diferentes. En estos casos, se informará a todos los interesados. </w:t>
      </w:r>
    </w:p>
    <w:p w14:paraId="504FF019" w14:textId="77777777" w:rsidR="006B6FA8" w:rsidRPr="006B6FA8" w:rsidRDefault="006B6FA8" w:rsidP="006B6FA8">
      <w:pPr>
        <w:rPr>
          <w:rFonts w:cs="Tahoma"/>
          <w:sz w:val="18"/>
          <w:szCs w:val="18"/>
          <w:highlight w:val="lightGray"/>
          <w:u w:val="single"/>
          <w:lang w:val="es-ES_tradnl"/>
        </w:rPr>
      </w:pPr>
    </w:p>
    <w:p w14:paraId="25BADAE8" w14:textId="77777777" w:rsidR="006B6FA8" w:rsidRPr="006B6FA8" w:rsidRDefault="006B6FA8" w:rsidP="006B6FA8">
      <w:pPr>
        <w:rPr>
          <w:rFonts w:cs="Tahoma"/>
          <w:szCs w:val="18"/>
          <w:highlight w:val="lightGray"/>
          <w:u w:val="single"/>
          <w:lang w:val="es-ES_tradnl"/>
        </w:rPr>
      </w:pPr>
      <w:r w:rsidRPr="006B6FA8">
        <w:rPr>
          <w:highlight w:val="lightGray"/>
          <w:u w:val="single"/>
          <w:lang w:val="es-ES_tradnl"/>
        </w:rPr>
        <w:t xml:space="preserve">Las oficinas de examen pueden actualizar los datos de la variedad para reflejar la evolución de las directrices de examen. Estas actualizaciones se realizan a efectos prácticos y no afectan a la descripción original de la variedad. </w:t>
      </w:r>
    </w:p>
    <w:p w14:paraId="0C6CB85F" w14:textId="77777777" w:rsidR="006B6FA8" w:rsidRPr="006B6FA8" w:rsidRDefault="006B6FA8" w:rsidP="006B6FA8">
      <w:pPr>
        <w:rPr>
          <w:rFonts w:cs="Arial"/>
          <w:sz w:val="18"/>
          <w:highlight w:val="lightGray"/>
          <w:u w:val="single"/>
          <w:lang w:val="es-ES_tradnl"/>
        </w:rPr>
      </w:pPr>
    </w:p>
    <w:p w14:paraId="41E9CFEE" w14:textId="77777777" w:rsidR="006B6FA8" w:rsidRPr="006B6FA8" w:rsidRDefault="006B6FA8" w:rsidP="006B6FA8">
      <w:pPr>
        <w:rPr>
          <w:rFonts w:cs="Arial"/>
          <w:i/>
          <w:u w:val="single"/>
          <w:lang w:val="es-ES_tradnl"/>
        </w:rPr>
      </w:pPr>
      <w:r w:rsidRPr="006B6FA8">
        <w:rPr>
          <w:i/>
          <w:highlight w:val="lightGray"/>
          <w:u w:val="single"/>
          <w:lang w:val="es-ES_tradnl"/>
        </w:rPr>
        <w:t>iv)</w:t>
      </w:r>
      <w:r w:rsidRPr="006B6FA8">
        <w:rPr>
          <w:i/>
          <w:highlight w:val="lightGray"/>
          <w:u w:val="single"/>
          <w:lang w:val="es-ES_tradnl"/>
        </w:rPr>
        <w:tab/>
        <w:t>Número de referencia de la autoridad informante</w:t>
      </w:r>
    </w:p>
    <w:p w14:paraId="41DAB8E0" w14:textId="77777777" w:rsidR="006B6FA8" w:rsidRPr="006B6FA8" w:rsidRDefault="006B6FA8" w:rsidP="006B6FA8">
      <w:pPr>
        <w:rPr>
          <w:rFonts w:cs="Arial"/>
          <w:sz w:val="18"/>
          <w:lang w:val="es-ES_tradnl"/>
        </w:rPr>
      </w:pPr>
    </w:p>
    <w:p w14:paraId="7EF333ED" w14:textId="77777777" w:rsidR="006B6FA8" w:rsidRPr="006B6FA8" w:rsidRDefault="006B6FA8" w:rsidP="006B6FA8">
      <w:pPr>
        <w:rPr>
          <w:rFonts w:cs="Arial"/>
          <w:lang w:val="es-ES_tradnl"/>
        </w:rPr>
      </w:pPr>
      <w:r w:rsidRPr="006B6FA8">
        <w:rPr>
          <w:lang w:val="es-ES_tradnl"/>
        </w:rPr>
        <w:t>El número de referencia de la autoridad informante deberá repetirse en cada página del informe.</w:t>
      </w:r>
    </w:p>
    <w:p w14:paraId="531C0109" w14:textId="77777777" w:rsidR="006B6FA8" w:rsidRPr="006B6FA8" w:rsidRDefault="006B6FA8" w:rsidP="006B6FA8">
      <w:pPr>
        <w:rPr>
          <w:rFonts w:cs="Arial"/>
          <w:sz w:val="18"/>
          <w:lang w:val="es-ES_tradnl"/>
        </w:rPr>
      </w:pPr>
    </w:p>
    <w:p w14:paraId="74608C82" w14:textId="77777777" w:rsidR="006B6FA8" w:rsidRPr="006B6FA8" w:rsidRDefault="006B6FA8" w:rsidP="006B6FA8">
      <w:pPr>
        <w:rPr>
          <w:rFonts w:cs="Arial"/>
          <w:lang w:val="es-ES_tradnl"/>
        </w:rPr>
      </w:pPr>
      <w:r w:rsidRPr="006B6FA8">
        <w:rPr>
          <w:lang w:val="es-ES_tradnl"/>
        </w:rPr>
        <w:t>b)</w:t>
      </w:r>
      <w:r w:rsidRPr="006B6FA8">
        <w:rPr>
          <w:lang w:val="es-ES_tradnl"/>
        </w:rPr>
        <w:tab/>
      </w:r>
      <w:r w:rsidRPr="006B6FA8">
        <w:rPr>
          <w:u w:val="single"/>
          <w:lang w:val="es-ES_tradnl"/>
        </w:rPr>
        <w:t>Apartado 14 (Anexo: Formulario UPOV para la descripción de variedades)</w:t>
      </w:r>
    </w:p>
    <w:p w14:paraId="36FB5A0D" w14:textId="77777777" w:rsidR="006B6FA8" w:rsidRPr="006B6FA8" w:rsidRDefault="006B6FA8" w:rsidP="006B6FA8">
      <w:pPr>
        <w:rPr>
          <w:rFonts w:cs="Arial"/>
          <w:sz w:val="18"/>
          <w:lang w:val="es-ES_tradnl"/>
        </w:rPr>
      </w:pPr>
    </w:p>
    <w:p w14:paraId="63BA8441" w14:textId="77777777" w:rsidR="006B6FA8" w:rsidRPr="006B6FA8" w:rsidRDefault="006B6FA8" w:rsidP="006B6FA8">
      <w:pPr>
        <w:rPr>
          <w:rFonts w:cs="Arial"/>
          <w:lang w:val="es-ES_tradnl"/>
        </w:rPr>
      </w:pPr>
      <w:r w:rsidRPr="006B6FA8">
        <w:rPr>
          <w:lang w:val="es-ES_tradnl"/>
        </w:rPr>
        <w:t>Solo se dará información sobre el grupo al que pertenezca la variedad o sobre agrupaciones mediante elementos diferentes de los caracteres del apartado 15. La agrupación según los caracteres mencionados en el apartado 15 deberá efectuarse simplemente señalando el carácter respectivo del apartado 15 con la letra “G” antes del número del carácter</w:t>
      </w:r>
    </w:p>
    <w:p w14:paraId="0570A229" w14:textId="77777777" w:rsidR="006B6FA8" w:rsidRPr="006B6FA8" w:rsidRDefault="006B6FA8" w:rsidP="006B6FA8">
      <w:pPr>
        <w:rPr>
          <w:rFonts w:cs="Arial"/>
          <w:sz w:val="18"/>
          <w:lang w:val="es-ES_tradnl"/>
        </w:rPr>
      </w:pPr>
    </w:p>
    <w:p w14:paraId="4D09ABA0" w14:textId="77777777" w:rsidR="006B6FA8" w:rsidRPr="006B6FA8" w:rsidRDefault="006B6FA8" w:rsidP="006B6FA8">
      <w:pPr>
        <w:rPr>
          <w:rFonts w:cs="Arial"/>
          <w:lang w:val="es-ES_tradnl"/>
        </w:rPr>
      </w:pPr>
      <w:r w:rsidRPr="006B6FA8">
        <w:rPr>
          <w:lang w:val="es-ES_tradnl"/>
        </w:rPr>
        <w:t>c)</w:t>
      </w:r>
      <w:r w:rsidRPr="006B6FA8">
        <w:rPr>
          <w:lang w:val="es-ES_tradnl"/>
        </w:rPr>
        <w:tab/>
      </w:r>
      <w:r w:rsidRPr="006B6FA8">
        <w:rPr>
          <w:u w:val="single"/>
          <w:lang w:val="es-ES_tradnl"/>
        </w:rPr>
        <w:t>Apartado 15 (Anexo: Formulario UPOV para la descripción de variedades)</w:t>
      </w:r>
    </w:p>
    <w:p w14:paraId="070A03D4" w14:textId="77777777" w:rsidR="006B6FA8" w:rsidRPr="006B6FA8" w:rsidRDefault="006B6FA8" w:rsidP="006B6FA8">
      <w:pPr>
        <w:rPr>
          <w:rFonts w:cs="Arial"/>
          <w:sz w:val="18"/>
          <w:lang w:val="es-ES_tradnl"/>
        </w:rPr>
      </w:pPr>
    </w:p>
    <w:p w14:paraId="2641824E" w14:textId="77777777" w:rsidR="006B6FA8" w:rsidRPr="006B6FA8" w:rsidRDefault="006B6FA8" w:rsidP="006B6FA8">
      <w:pPr>
        <w:rPr>
          <w:lang w:val="es-ES_tradnl"/>
        </w:rPr>
      </w:pPr>
      <w:r w:rsidRPr="006B6FA8">
        <w:rPr>
          <w:lang w:val="es-ES_tradnl"/>
        </w:rPr>
        <w:tab/>
        <w:t>i)</w:t>
      </w:r>
      <w:r w:rsidRPr="006B6FA8">
        <w:rPr>
          <w:lang w:val="es-ES_tradnl"/>
        </w:rPr>
        <w:tab/>
        <w:t>Se deberán reproducir todos los caracteres de las directrices de examen de la UPOV, incluidos los que no sean aplicables y los que no se hayan registrado. En esos casos, se deberá poner “no aplicable” y “no registrado”, respectivamente.</w:t>
      </w:r>
    </w:p>
    <w:p w14:paraId="3A30BD35" w14:textId="77777777" w:rsidR="006B6FA8" w:rsidRPr="006B6FA8" w:rsidRDefault="006B6FA8" w:rsidP="006B6FA8">
      <w:pPr>
        <w:rPr>
          <w:lang w:val="es-ES_tradnl"/>
        </w:rPr>
      </w:pPr>
    </w:p>
    <w:p w14:paraId="7AD7700B" w14:textId="77777777" w:rsidR="006B6FA8" w:rsidRPr="006B6FA8" w:rsidRDefault="006B6FA8" w:rsidP="006B6FA8">
      <w:pPr>
        <w:rPr>
          <w:lang w:val="es-ES_tradnl"/>
        </w:rPr>
      </w:pPr>
      <w:r w:rsidRPr="006B6FA8">
        <w:rPr>
          <w:lang w:val="es-ES_tradnl"/>
        </w:rPr>
        <w:tab/>
        <w:t>ii)</w:t>
      </w:r>
      <w:r w:rsidRPr="006B6FA8">
        <w:rPr>
          <w:lang w:val="es-ES_tradnl"/>
        </w:rPr>
        <w:tab/>
        <w:t>Los asteriscos que figuren en las directrices de examen de la UPOV deberán repetirse en el formulario.</w:t>
      </w:r>
    </w:p>
    <w:p w14:paraId="35F25560" w14:textId="77777777" w:rsidR="006B6FA8" w:rsidRPr="006B6FA8" w:rsidRDefault="006B6FA8" w:rsidP="006B6FA8">
      <w:pPr>
        <w:rPr>
          <w:lang w:val="es-ES_tradnl"/>
        </w:rPr>
      </w:pPr>
    </w:p>
    <w:p w14:paraId="2CC215A0" w14:textId="77777777" w:rsidR="006B6FA8" w:rsidRPr="006B6FA8" w:rsidRDefault="006B6FA8" w:rsidP="006B6FA8">
      <w:pPr>
        <w:rPr>
          <w:lang w:val="es-ES_tradnl"/>
        </w:rPr>
      </w:pPr>
      <w:r w:rsidRPr="006B6FA8">
        <w:rPr>
          <w:lang w:val="es-ES_tradnl"/>
        </w:rPr>
        <w:tab/>
        <w:t>iii)</w:t>
      </w:r>
      <w:r w:rsidRPr="006B6FA8">
        <w:rPr>
          <w:lang w:val="es-ES_tradnl"/>
        </w:rPr>
        <w:tab/>
        <w:t>Los caracteres adicionales de las directrices de examen de la autoridad informante no deberán colocarse después de los caracteres de las directrices de examen de la UPOV sino en secuencia, según los principios de la UPOV, pues el objetivo principal del formulario sigue siendo su utilización en la autoridad respectiva. No es necesario señalarlos especialmente pues basta con identificarlos por el número de la autoridad informante.</w:t>
      </w:r>
    </w:p>
    <w:p w14:paraId="2CC4551F" w14:textId="77777777" w:rsidR="006B6FA8" w:rsidRPr="006B6FA8" w:rsidRDefault="006B6FA8" w:rsidP="006B6FA8">
      <w:pPr>
        <w:rPr>
          <w:lang w:val="es-ES_tradnl"/>
        </w:rPr>
      </w:pPr>
    </w:p>
    <w:p w14:paraId="0302505F" w14:textId="77777777" w:rsidR="006B6FA8" w:rsidRPr="006B6FA8" w:rsidRDefault="006B6FA8" w:rsidP="006B6FA8">
      <w:pPr>
        <w:rPr>
          <w:lang w:val="es-ES_tradnl"/>
        </w:rPr>
      </w:pPr>
      <w:r w:rsidRPr="006B6FA8">
        <w:rPr>
          <w:lang w:val="es-ES_tradnl"/>
        </w:rPr>
        <w:tab/>
        <w:t>iv)</w:t>
      </w:r>
      <w:r w:rsidRPr="006B6FA8">
        <w:rPr>
          <w:lang w:val="es-ES_tradnl"/>
        </w:rPr>
        <w:tab/>
        <w:t>En la lista solo se ha reservado una pequeña columna para las observaciones breves o para una referencia a observaciones más extensas que deberán reproducirse en una nota de pie de página.</w:t>
      </w:r>
    </w:p>
    <w:p w14:paraId="0AD1F247" w14:textId="77777777" w:rsidR="006B6FA8" w:rsidRPr="006B6FA8" w:rsidRDefault="006B6FA8" w:rsidP="006B6FA8">
      <w:pPr>
        <w:rPr>
          <w:rFonts w:cs="Arial"/>
          <w:sz w:val="18"/>
          <w:lang w:val="es-ES_tradnl"/>
        </w:rPr>
      </w:pPr>
    </w:p>
    <w:p w14:paraId="33485641" w14:textId="77777777" w:rsidR="006B6FA8" w:rsidRPr="006B6FA8" w:rsidRDefault="006B6FA8" w:rsidP="006B6FA8">
      <w:pPr>
        <w:rPr>
          <w:rFonts w:cs="Arial"/>
          <w:lang w:val="es-ES_tradnl"/>
        </w:rPr>
      </w:pPr>
      <w:r w:rsidRPr="006B6FA8">
        <w:rPr>
          <w:lang w:val="es-ES_tradnl"/>
        </w:rPr>
        <w:t>d)</w:t>
      </w:r>
      <w:r w:rsidRPr="006B6FA8">
        <w:rPr>
          <w:lang w:val="es-ES_tradnl"/>
        </w:rPr>
        <w:tab/>
      </w:r>
      <w:r w:rsidRPr="006B6FA8">
        <w:rPr>
          <w:u w:val="single"/>
          <w:lang w:val="es-ES_tradnl"/>
        </w:rPr>
        <w:t>Apartado 16 (Anexo: Formulario UPOV para la descripción de variedades)</w:t>
      </w:r>
    </w:p>
    <w:p w14:paraId="7921B884" w14:textId="77777777" w:rsidR="006B6FA8" w:rsidRPr="006B6FA8" w:rsidRDefault="006B6FA8" w:rsidP="006B6FA8">
      <w:pPr>
        <w:rPr>
          <w:rFonts w:cs="Arial"/>
          <w:sz w:val="18"/>
          <w:lang w:val="es-ES_tradnl"/>
        </w:rPr>
      </w:pPr>
    </w:p>
    <w:p w14:paraId="1DB0AAC3" w14:textId="77777777" w:rsidR="006B6FA8" w:rsidRPr="006B6FA8" w:rsidRDefault="006B6FA8" w:rsidP="006B6FA8">
      <w:pPr>
        <w:rPr>
          <w:rFonts w:cs="Arial"/>
          <w:lang w:val="es-ES_tradnl"/>
        </w:rPr>
      </w:pPr>
      <w:r w:rsidRPr="006B6FA8">
        <w:rPr>
          <w:lang w:val="es-ES_tradnl"/>
        </w:rPr>
        <w:t>Solo se deberán indicar los caracteres que tengan diferencias suficientes para establecer una distinción.  En la información relativa a las diferencias entre dos variedades, se indicarán siempre los niveles de expresión con sus notas respectivas para ambas variedades y, de ser posible, en columnas, si se menciona más de una variedad.</w:t>
      </w:r>
    </w:p>
    <w:p w14:paraId="1D93AE05" w14:textId="77777777" w:rsidR="006B6FA8" w:rsidRPr="006B6FA8" w:rsidRDefault="006B6FA8" w:rsidP="006B6FA8">
      <w:pPr>
        <w:jc w:val="right"/>
        <w:rPr>
          <w:lang w:val="es-ES_tradnl"/>
        </w:rPr>
      </w:pPr>
    </w:p>
    <w:p w14:paraId="4587AB9D" w14:textId="77777777" w:rsidR="006B6FA8" w:rsidRPr="006B6FA8" w:rsidRDefault="006B6FA8" w:rsidP="006B6FA8">
      <w:pPr>
        <w:jc w:val="right"/>
        <w:rPr>
          <w:lang w:val="es-ES_tradnl"/>
        </w:rPr>
      </w:pPr>
    </w:p>
    <w:p w14:paraId="00CF8FEA" w14:textId="77777777" w:rsidR="006B6FA8" w:rsidRPr="006B6FA8" w:rsidRDefault="006B6FA8" w:rsidP="006B6FA8">
      <w:pPr>
        <w:jc w:val="right"/>
        <w:rPr>
          <w:rFonts w:cs="Arial"/>
          <w:lang w:val="es-ES_tradnl"/>
        </w:rPr>
      </w:pPr>
    </w:p>
    <w:p w14:paraId="35D0AA5F" w14:textId="366BEA53" w:rsidR="006B6FA8" w:rsidRPr="006B6FA8" w:rsidRDefault="006B6FA8" w:rsidP="006B6FA8">
      <w:pPr>
        <w:jc w:val="right"/>
        <w:rPr>
          <w:lang w:val="es-ES_tradnl"/>
        </w:rPr>
      </w:pPr>
      <w:r w:rsidRPr="006B6FA8">
        <w:rPr>
          <w:lang w:val="es-ES_tradnl"/>
        </w:rPr>
        <w:t>[Sigue el Anexo I</w:t>
      </w:r>
      <w:r>
        <w:rPr>
          <w:lang w:val="es-ES_tradnl"/>
        </w:rPr>
        <w:t>I</w:t>
      </w:r>
      <w:r w:rsidRPr="006B6FA8">
        <w:rPr>
          <w:lang w:val="es-ES_tradnl"/>
        </w:rPr>
        <w:t>I]</w:t>
      </w:r>
    </w:p>
    <w:p w14:paraId="2124D85B" w14:textId="77777777" w:rsidR="006B6FA8" w:rsidRPr="006B6FA8" w:rsidRDefault="006B6FA8" w:rsidP="006B6FA8">
      <w:pPr>
        <w:rPr>
          <w:lang w:val="es-ES_tradnl"/>
        </w:rPr>
        <w:sectPr w:rsidR="006B6FA8" w:rsidRPr="006B6FA8" w:rsidSect="00D60821">
          <w:headerReference w:type="default" r:id="rId25"/>
          <w:headerReference w:type="first" r:id="rId26"/>
          <w:endnotePr>
            <w:numFmt w:val="lowerLetter"/>
          </w:endnotePr>
          <w:pgSz w:w="11907" w:h="16840" w:code="9"/>
          <w:pgMar w:top="510" w:right="1134" w:bottom="709" w:left="1134" w:header="510" w:footer="680" w:gutter="0"/>
          <w:pgNumType w:start="1"/>
          <w:cols w:space="720"/>
          <w:titlePg/>
        </w:sectPr>
      </w:pPr>
    </w:p>
    <w:p w14:paraId="7017CC07" w14:textId="77777777" w:rsidR="006B6FA8" w:rsidRDefault="006B6FA8" w:rsidP="006B6FA8">
      <w:pPr>
        <w:jc w:val="center"/>
        <w:rPr>
          <w:rFonts w:cs="Arial"/>
          <w:caps/>
          <w:lang w:val="es-ES_tradnl" w:eastAsia="ja-JP"/>
        </w:rPr>
      </w:pPr>
    </w:p>
    <w:p w14:paraId="1D8CD1D5" w14:textId="313241EC" w:rsidR="006B6FA8" w:rsidRPr="006B6FA8" w:rsidRDefault="006B6FA8" w:rsidP="006B6FA8">
      <w:pPr>
        <w:jc w:val="center"/>
        <w:rPr>
          <w:rFonts w:cs="Arial"/>
          <w:caps/>
          <w:lang w:val="es-ES_tradnl" w:eastAsia="ja-JP"/>
        </w:rPr>
      </w:pPr>
      <w:r w:rsidRPr="006B6FA8">
        <w:rPr>
          <w:rFonts w:cs="Arial"/>
          <w:caps/>
          <w:lang w:val="es-ES_tradnl" w:eastAsia="ja-JP"/>
        </w:rPr>
        <w:t>REVISIÓN DEL DocumentO TGP/7</w:t>
      </w:r>
      <w:r w:rsidRPr="006B6FA8">
        <w:rPr>
          <w:rFonts w:cs="Arial"/>
          <w:caps/>
          <w:lang w:val="es-ES_tradnl" w:eastAsia="ja-JP"/>
        </w:rPr>
        <w:br/>
      </w:r>
      <w:r w:rsidRPr="006B6FA8">
        <w:rPr>
          <w:caps/>
          <w:lang w:val="es-ES_tradnl"/>
        </w:rPr>
        <w:t>“Elaboración de las directrices de examen”</w:t>
      </w:r>
    </w:p>
    <w:p w14:paraId="3E5AA9C0" w14:textId="77777777" w:rsidR="006B6FA8" w:rsidRPr="006B6FA8" w:rsidRDefault="006B6FA8" w:rsidP="006B6FA8">
      <w:pPr>
        <w:jc w:val="center"/>
        <w:rPr>
          <w:rFonts w:cs="Arial"/>
          <w:caps/>
          <w:lang w:val="es-ES_tradnl" w:eastAsia="ja-JP"/>
        </w:rPr>
      </w:pPr>
    </w:p>
    <w:p w14:paraId="372F0EA1" w14:textId="77777777" w:rsidR="006B6FA8" w:rsidRPr="006B6FA8" w:rsidRDefault="006B6FA8" w:rsidP="006B6FA8">
      <w:pPr>
        <w:jc w:val="center"/>
        <w:rPr>
          <w:lang w:val="es-ES_tradnl"/>
        </w:rPr>
      </w:pPr>
    </w:p>
    <w:p w14:paraId="23511533" w14:textId="77777777" w:rsidR="006B6FA8" w:rsidRPr="006B6FA8" w:rsidRDefault="006B6FA8" w:rsidP="006B6FA8">
      <w:pPr>
        <w:rPr>
          <w:lang w:val="es-ES_tradnl"/>
        </w:rPr>
      </w:pPr>
      <w:r w:rsidRPr="006B6FA8">
        <w:rPr>
          <w:lang w:val="es-ES_tradnl"/>
        </w:rPr>
        <w:t xml:space="preserve">El TC convino en que la siguiente revisión del documento TGP/7 “Elaboración de las directrices de examen” se someta a la aprobación del Consejo en su quincuagésima cuarta sesión ordinaria, que se celebrará en Ginebra el 30 de octubre de 2020, a reserva de la aprobación del CAJ en su septuagésima séptima sesión, que se celebrará en Ginebra el 28 de octubre de 2020 (se indican las eliminaciones mediante </w:t>
      </w:r>
      <w:r w:rsidRPr="006B6FA8">
        <w:rPr>
          <w:strike/>
          <w:highlight w:val="lightGray"/>
          <w:lang w:val="es-ES_tradnl"/>
        </w:rPr>
        <w:t>sombreado y tachado</w:t>
      </w:r>
      <w:r w:rsidRPr="006B6FA8">
        <w:rPr>
          <w:lang w:val="es-ES_tradnl"/>
        </w:rPr>
        <w:t xml:space="preserve"> y los añadidos mediante </w:t>
      </w:r>
      <w:r w:rsidRPr="006B6FA8">
        <w:rPr>
          <w:highlight w:val="lightGray"/>
          <w:u w:val="single"/>
          <w:lang w:val="es-ES_tradnl"/>
        </w:rPr>
        <w:t>sombreado y subrayado</w:t>
      </w:r>
      <w:r w:rsidRPr="006B6FA8">
        <w:rPr>
          <w:lang w:val="es-ES_tradnl"/>
        </w:rPr>
        <w:t>):</w:t>
      </w:r>
    </w:p>
    <w:p w14:paraId="78A70FC7" w14:textId="77777777" w:rsidR="006B6FA8" w:rsidRPr="006B6FA8" w:rsidRDefault="006B6FA8" w:rsidP="006B6FA8">
      <w:pPr>
        <w:rPr>
          <w:lang w:val="es-ES_tradnl"/>
        </w:rPr>
      </w:pPr>
    </w:p>
    <w:p w14:paraId="3C1545B8" w14:textId="77777777" w:rsidR="006B6FA8" w:rsidRPr="006B6FA8" w:rsidRDefault="006B6FA8" w:rsidP="006B6FA8">
      <w:pPr>
        <w:rPr>
          <w:lang w:val="es-ES_tradnl"/>
        </w:rPr>
      </w:pPr>
    </w:p>
    <w:p w14:paraId="17208A93" w14:textId="77777777" w:rsidR="006B6FA8" w:rsidRPr="006B6FA8" w:rsidRDefault="006B6FA8" w:rsidP="006B6FA8">
      <w:pPr>
        <w:rPr>
          <w:u w:val="single"/>
          <w:lang w:val="es-ES_tradnl"/>
        </w:rPr>
      </w:pPr>
      <w:r w:rsidRPr="006B6FA8">
        <w:rPr>
          <w:u w:val="single"/>
          <w:lang w:val="es-ES_tradnl"/>
        </w:rPr>
        <w:t>Caracteres que solo se aplican a ciertas variedades</w:t>
      </w:r>
    </w:p>
    <w:p w14:paraId="5670DE00" w14:textId="77777777" w:rsidR="006B6FA8" w:rsidRPr="006B6FA8" w:rsidRDefault="006B6FA8" w:rsidP="006B6FA8">
      <w:pPr>
        <w:keepNext/>
        <w:rPr>
          <w:lang w:val="es-ES_tradnl"/>
        </w:rPr>
      </w:pPr>
    </w:p>
    <w:p w14:paraId="43019378" w14:textId="77777777" w:rsidR="006B6FA8" w:rsidRPr="006B6FA8" w:rsidRDefault="006B6FA8" w:rsidP="006B6FA8">
      <w:pPr>
        <w:keepLines/>
        <w:rPr>
          <w:lang w:val="es-ES_tradnl"/>
        </w:rPr>
      </w:pPr>
      <w:r w:rsidRPr="006B6FA8">
        <w:rPr>
          <w:lang w:val="es-ES_tradnl"/>
        </w:rPr>
        <w:t>El TC convino en modificar la nota orientativa 18 (GN 18) que se ofrece en el documento TGP/7 para que el texto sea el siguiente:</w:t>
      </w:r>
    </w:p>
    <w:p w14:paraId="2E834AE5" w14:textId="77777777" w:rsidR="006B6FA8" w:rsidRPr="006B6FA8" w:rsidRDefault="006B6FA8" w:rsidP="006B6FA8">
      <w:pPr>
        <w:rPr>
          <w:lang w:val="es-ES_tradnl"/>
        </w:rPr>
      </w:pPr>
    </w:p>
    <w:p w14:paraId="7DDD0708" w14:textId="77777777" w:rsidR="006B6FA8" w:rsidRPr="006B6FA8" w:rsidRDefault="006B6FA8" w:rsidP="006B6FA8">
      <w:pPr>
        <w:ind w:left="567"/>
        <w:rPr>
          <w:rFonts w:cs="Arial"/>
          <w:bCs/>
          <w:i/>
          <w:snapToGrid w:val="0"/>
          <w:lang w:val="es-ES_tradnl"/>
        </w:rPr>
      </w:pPr>
      <w:r w:rsidRPr="006B6FA8">
        <w:rPr>
          <w:rFonts w:cs="Arial"/>
          <w:bCs/>
          <w:i/>
          <w:snapToGrid w:val="0"/>
          <w:lang w:val="es-ES_tradnl"/>
        </w:rPr>
        <w:t>3.</w:t>
      </w:r>
      <w:r w:rsidRPr="006B6FA8">
        <w:rPr>
          <w:rFonts w:cs="Arial"/>
          <w:bCs/>
          <w:i/>
          <w:snapToGrid w:val="0"/>
          <w:lang w:val="es-ES_tradnl"/>
        </w:rPr>
        <w:tab/>
        <w:t>Caracteres que solo se aplican a ciertas variedades</w:t>
      </w:r>
    </w:p>
    <w:p w14:paraId="2363C7ED" w14:textId="77777777" w:rsidR="006B6FA8" w:rsidRPr="006B6FA8" w:rsidRDefault="006B6FA8" w:rsidP="006B6FA8">
      <w:pPr>
        <w:ind w:left="567"/>
        <w:rPr>
          <w:rFonts w:cs="Arial"/>
          <w:bCs/>
          <w:snapToGrid w:val="0"/>
          <w:lang w:val="es-ES_tradnl"/>
        </w:rPr>
      </w:pPr>
    </w:p>
    <w:p w14:paraId="45F9990D" w14:textId="77777777" w:rsidR="006B6FA8" w:rsidRPr="006B6FA8" w:rsidRDefault="006B6FA8" w:rsidP="006B6FA8">
      <w:pPr>
        <w:ind w:left="567"/>
        <w:rPr>
          <w:rFonts w:cs="Arial"/>
          <w:bCs/>
          <w:snapToGrid w:val="0"/>
          <w:lang w:val="es-ES_tradnl"/>
        </w:rPr>
      </w:pPr>
      <w:r w:rsidRPr="006B6FA8">
        <w:rPr>
          <w:snapToGrid w:val="0"/>
          <w:lang w:val="es-ES_tradnl"/>
        </w:rPr>
        <w:t xml:space="preserve">En algunos casos, por el nivel de expresión de un carácter </w:t>
      </w:r>
      <w:r w:rsidRPr="006B6FA8">
        <w:rPr>
          <w:strike/>
          <w:snapToGrid w:val="0"/>
          <w:highlight w:val="lightGray"/>
          <w:lang w:val="es-ES_tradnl"/>
        </w:rPr>
        <w:t>cualitativo</w:t>
      </w:r>
      <w:r w:rsidRPr="006B6FA8">
        <w:rPr>
          <w:snapToGrid w:val="0"/>
          <w:lang w:val="es-ES_tradnl"/>
        </w:rPr>
        <w:t xml:space="preserve"> anterior puede determinarse que un carácter subsiguiente no es aplicable, por ejemplo, no será posible describir la forma de los lóbulos de la hoja en una variedad que no los tenga. </w:t>
      </w:r>
    </w:p>
    <w:p w14:paraId="13716C48" w14:textId="77777777" w:rsidR="006B6FA8" w:rsidRPr="006B6FA8" w:rsidRDefault="006B6FA8" w:rsidP="006B6FA8">
      <w:pPr>
        <w:ind w:left="567"/>
        <w:rPr>
          <w:rFonts w:cs="Arial"/>
          <w:bCs/>
          <w:snapToGrid w:val="0"/>
          <w:szCs w:val="18"/>
          <w:highlight w:val="lightGray"/>
          <w:u w:val="single"/>
          <w:lang w:val="es-ES_tradnl"/>
        </w:rPr>
      </w:pPr>
    </w:p>
    <w:p w14:paraId="0153B07F" w14:textId="77777777" w:rsidR="006B6FA8" w:rsidRPr="006B6FA8" w:rsidRDefault="006B6FA8" w:rsidP="006B6FA8">
      <w:pPr>
        <w:ind w:left="567"/>
        <w:rPr>
          <w:rFonts w:cs="Arial"/>
          <w:bCs/>
          <w:snapToGrid w:val="0"/>
          <w:lang w:val="es-ES_tradnl"/>
        </w:rPr>
      </w:pPr>
      <w:r w:rsidRPr="006B6FA8">
        <w:rPr>
          <w:snapToGrid w:val="0"/>
          <w:lang w:val="es-ES_tradnl"/>
        </w:rPr>
        <w:t>En los casos en que ello no resulta evidente, o si los caracteres están separados en la tabla de caracteres, el título del carácter subsiguiente está precedido por una referencia subrayada a los tipos de variedades a los que se aplica, sobre la base del carácter precedente.</w:t>
      </w:r>
    </w:p>
    <w:p w14:paraId="02A69D4E" w14:textId="77777777" w:rsidR="006B6FA8" w:rsidRPr="006B6FA8" w:rsidRDefault="006B6FA8" w:rsidP="006B6FA8">
      <w:pPr>
        <w:ind w:left="567"/>
        <w:rPr>
          <w:rFonts w:cs="Arial"/>
          <w:bCs/>
          <w:snapToGrid w:val="0"/>
          <w:lang w:val="es-ES_tradnl"/>
        </w:rPr>
      </w:pPr>
    </w:p>
    <w:p w14:paraId="4CED7069" w14:textId="77777777" w:rsidR="006B6FA8" w:rsidRPr="006B6FA8" w:rsidRDefault="006B6FA8" w:rsidP="006B6FA8">
      <w:pPr>
        <w:ind w:left="567"/>
        <w:rPr>
          <w:rFonts w:cs="Arial"/>
          <w:bCs/>
          <w:snapToGrid w:val="0"/>
          <w:szCs w:val="18"/>
          <w:highlight w:val="lightGray"/>
          <w:u w:val="single"/>
          <w:lang w:val="es-ES_tradnl"/>
        </w:rPr>
      </w:pPr>
      <w:r w:rsidRPr="006B6FA8">
        <w:rPr>
          <w:szCs w:val="18"/>
          <w:highlight w:val="lightGray"/>
          <w:u w:val="single"/>
          <w:lang w:val="es-ES_tradnl"/>
        </w:rPr>
        <w:t>Los siguientes ejemplos ilustran cómo puede emplearse el enfoque propuesto para los caracteres cualitativos (</w:t>
      </w:r>
      <w:proofErr w:type="spellStart"/>
      <w:r w:rsidRPr="006B6FA8">
        <w:rPr>
          <w:szCs w:val="18"/>
          <w:highlight w:val="lightGray"/>
          <w:u w:val="single"/>
          <w:lang w:val="es-ES_tradnl"/>
        </w:rPr>
        <w:t>QL</w:t>
      </w:r>
      <w:proofErr w:type="spellEnd"/>
      <w:r w:rsidRPr="006B6FA8">
        <w:rPr>
          <w:szCs w:val="18"/>
          <w:highlight w:val="lightGray"/>
          <w:u w:val="single"/>
          <w:lang w:val="es-ES_tradnl"/>
        </w:rPr>
        <w:t xml:space="preserve">), </w:t>
      </w:r>
      <w:proofErr w:type="spellStart"/>
      <w:r w:rsidRPr="006B6FA8">
        <w:rPr>
          <w:szCs w:val="18"/>
          <w:highlight w:val="lightGray"/>
          <w:u w:val="single"/>
          <w:lang w:val="es-ES_tradnl"/>
        </w:rPr>
        <w:t>pseudocualitativos</w:t>
      </w:r>
      <w:proofErr w:type="spellEnd"/>
      <w:r w:rsidRPr="006B6FA8">
        <w:rPr>
          <w:szCs w:val="18"/>
          <w:highlight w:val="lightGray"/>
          <w:u w:val="single"/>
          <w:lang w:val="es-ES_tradnl"/>
        </w:rPr>
        <w:t xml:space="preserve"> (</w:t>
      </w:r>
      <w:proofErr w:type="spellStart"/>
      <w:r w:rsidRPr="006B6FA8">
        <w:rPr>
          <w:szCs w:val="18"/>
          <w:highlight w:val="lightGray"/>
          <w:u w:val="single"/>
          <w:lang w:val="es-ES_tradnl"/>
        </w:rPr>
        <w:t>PQ</w:t>
      </w:r>
      <w:proofErr w:type="spellEnd"/>
      <w:r w:rsidRPr="006B6FA8">
        <w:rPr>
          <w:szCs w:val="18"/>
          <w:highlight w:val="lightGray"/>
          <w:u w:val="single"/>
          <w:lang w:val="es-ES_tradnl"/>
        </w:rPr>
        <w:t>) y cuantitativos (QN) de manera que no plantee riesgos respecto de las decisiones sobre la distinción:</w:t>
      </w:r>
    </w:p>
    <w:p w14:paraId="4BFE3E87" w14:textId="77777777" w:rsidR="006B6FA8" w:rsidRPr="006B6FA8" w:rsidRDefault="006B6FA8" w:rsidP="006B6FA8">
      <w:pPr>
        <w:ind w:left="567"/>
        <w:rPr>
          <w:rFonts w:cs="Arial"/>
          <w:bCs/>
          <w:snapToGrid w:val="0"/>
          <w:lang w:val="es-ES_tradnl"/>
        </w:rPr>
      </w:pPr>
    </w:p>
    <w:p w14:paraId="73B18C1E" w14:textId="77777777" w:rsidR="006B6FA8" w:rsidRPr="006B6FA8" w:rsidRDefault="006B6FA8" w:rsidP="006B6FA8">
      <w:pPr>
        <w:ind w:left="1701" w:hanging="567"/>
        <w:rPr>
          <w:rFonts w:cs="Arial"/>
          <w:bCs/>
          <w:snapToGrid w:val="0"/>
          <w:lang w:val="es-ES_tradnl"/>
        </w:rPr>
      </w:pPr>
      <w:r w:rsidRPr="006B6FA8">
        <w:rPr>
          <w:rFonts w:cs="Arial"/>
          <w:bCs/>
          <w:snapToGrid w:val="0"/>
          <w:highlight w:val="lightGray"/>
          <w:lang w:val="es-ES_tradnl"/>
        </w:rPr>
        <w:t>(QL)</w:t>
      </w:r>
      <w:r w:rsidRPr="006B6FA8">
        <w:rPr>
          <w:rFonts w:cs="Arial"/>
          <w:bCs/>
          <w:snapToGrid w:val="0"/>
          <w:highlight w:val="lightGray"/>
          <w:lang w:val="es-ES_tradnl"/>
        </w:rPr>
        <w:tab/>
        <w:t>Flor: tipo: simple (1); doble (2)</w:t>
      </w:r>
    </w:p>
    <w:p w14:paraId="7D595B3F" w14:textId="77777777" w:rsidR="006B6FA8" w:rsidRPr="006B6FA8" w:rsidRDefault="006B6FA8" w:rsidP="006B6FA8">
      <w:pPr>
        <w:ind w:left="1701" w:hanging="567"/>
        <w:rPr>
          <w:rFonts w:cs="Arial"/>
          <w:bCs/>
          <w:snapToGrid w:val="0"/>
          <w:lang w:val="es-ES_tradnl"/>
        </w:rPr>
      </w:pPr>
      <w:r w:rsidRPr="006B6FA8">
        <w:rPr>
          <w:rFonts w:cs="Arial"/>
          <w:bCs/>
          <w:snapToGrid w:val="0"/>
          <w:highlight w:val="lightGray"/>
          <w:lang w:val="es-ES_tradnl"/>
        </w:rPr>
        <w:t>(PQ)</w:t>
      </w:r>
      <w:r w:rsidRPr="006B6FA8">
        <w:rPr>
          <w:rFonts w:cs="Arial"/>
          <w:bCs/>
          <w:snapToGrid w:val="0"/>
          <w:lang w:val="es-ES_tradnl"/>
        </w:rPr>
        <w:tab/>
      </w:r>
      <w:r w:rsidRPr="006B6FA8">
        <w:rPr>
          <w:rFonts w:cs="Arial"/>
          <w:bCs/>
          <w:snapToGrid w:val="0"/>
          <w:u w:val="single"/>
          <w:lang w:val="es-ES_tradnl"/>
        </w:rPr>
        <w:t>Solo variedades con: Flor: tipo: simple</w:t>
      </w:r>
      <w:r w:rsidRPr="006B6FA8">
        <w:rPr>
          <w:rFonts w:cs="Arial"/>
          <w:bCs/>
          <w:snapToGrid w:val="0"/>
          <w:lang w:val="es-ES_tradnl"/>
        </w:rPr>
        <w:t>: Flor: forma</w:t>
      </w:r>
    </w:p>
    <w:p w14:paraId="680E85EE" w14:textId="77777777" w:rsidR="006B6FA8" w:rsidRPr="006B6FA8" w:rsidRDefault="006B6FA8" w:rsidP="006B6FA8">
      <w:pPr>
        <w:ind w:left="567"/>
        <w:rPr>
          <w:rFonts w:cs="Arial"/>
          <w:bCs/>
          <w:snapToGrid w:val="0"/>
          <w:szCs w:val="18"/>
          <w:lang w:val="es-ES_tradnl"/>
        </w:rPr>
      </w:pPr>
    </w:p>
    <w:p w14:paraId="1034FA05" w14:textId="77777777" w:rsidR="006B6FA8" w:rsidRPr="006B6FA8" w:rsidRDefault="006B6FA8" w:rsidP="006B6FA8">
      <w:pPr>
        <w:keepNext/>
        <w:keepLines/>
        <w:ind w:left="1701" w:hanging="567"/>
        <w:rPr>
          <w:snapToGrid w:val="0"/>
          <w:highlight w:val="lightGray"/>
          <w:lang w:val="es-ES_tradnl"/>
        </w:rPr>
      </w:pPr>
      <w:r w:rsidRPr="006B6FA8">
        <w:rPr>
          <w:snapToGrid w:val="0"/>
          <w:highlight w:val="lightGray"/>
          <w:lang w:val="es-ES_tradnl"/>
        </w:rPr>
        <w:t>(PQ)</w:t>
      </w:r>
      <w:r w:rsidRPr="006B6FA8">
        <w:rPr>
          <w:snapToGrid w:val="0"/>
          <w:highlight w:val="lightGray"/>
          <w:lang w:val="es-ES_tradnl"/>
        </w:rPr>
        <w:tab/>
        <w:t>Capítulo: tipo: sencillo (1); semidoble (2); doble tipo margarita (3); doble (4)</w:t>
      </w:r>
    </w:p>
    <w:p w14:paraId="5B683D46" w14:textId="77777777" w:rsidR="006B6FA8" w:rsidRPr="006B6FA8" w:rsidRDefault="006B6FA8" w:rsidP="006B6FA8">
      <w:pPr>
        <w:keepNext/>
        <w:keepLines/>
        <w:ind w:left="1701" w:hanging="567"/>
        <w:rPr>
          <w:snapToGrid w:val="0"/>
          <w:highlight w:val="lightGray"/>
          <w:lang w:val="es-ES_tradnl"/>
        </w:rPr>
      </w:pPr>
      <w:r w:rsidRPr="006B6FA8">
        <w:rPr>
          <w:snapToGrid w:val="0"/>
          <w:highlight w:val="lightGray"/>
          <w:lang w:val="es-ES_tradnl"/>
        </w:rPr>
        <w:t>(QN)</w:t>
      </w:r>
      <w:r w:rsidRPr="006B6FA8">
        <w:rPr>
          <w:snapToGrid w:val="0"/>
          <w:highlight w:val="lightGray"/>
          <w:lang w:val="es-ES_tradnl"/>
        </w:rPr>
        <w:tab/>
      </w:r>
      <w:r w:rsidRPr="006B6FA8">
        <w:rPr>
          <w:highlight w:val="lightGray"/>
          <w:u w:val="single"/>
          <w:lang w:val="es-ES_tradnl"/>
        </w:rPr>
        <w:t>Solo variedades con: Capítulo: tipo: doble tipo margarita o doble</w:t>
      </w:r>
      <w:r w:rsidRPr="006B6FA8">
        <w:rPr>
          <w:highlight w:val="lightGray"/>
          <w:lang w:val="es-ES_tradnl"/>
        </w:rPr>
        <w:t>: Capítulo: altura: corta (3); media (5); alta (7)</w:t>
      </w:r>
    </w:p>
    <w:p w14:paraId="49038DC1" w14:textId="77777777" w:rsidR="006B6FA8" w:rsidRPr="006B6FA8" w:rsidRDefault="006B6FA8" w:rsidP="006B6FA8">
      <w:pPr>
        <w:ind w:left="1560" w:hanging="426"/>
        <w:rPr>
          <w:highlight w:val="lightGray"/>
          <w:lang w:val="es-ES_tradnl"/>
        </w:rPr>
      </w:pPr>
    </w:p>
    <w:p w14:paraId="28621176" w14:textId="77777777" w:rsidR="006B6FA8" w:rsidRPr="006B6FA8" w:rsidRDefault="006B6FA8" w:rsidP="006B6FA8">
      <w:pPr>
        <w:keepNext/>
        <w:ind w:left="1701" w:hanging="567"/>
        <w:rPr>
          <w:highlight w:val="lightGray"/>
          <w:lang w:val="es-ES_tradnl"/>
        </w:rPr>
      </w:pPr>
      <w:r w:rsidRPr="006B6FA8">
        <w:rPr>
          <w:highlight w:val="lightGray"/>
          <w:lang w:val="es-ES_tradnl"/>
        </w:rPr>
        <w:t>(PQ)</w:t>
      </w:r>
      <w:r w:rsidRPr="006B6FA8">
        <w:rPr>
          <w:highlight w:val="lightGray"/>
          <w:lang w:val="es-ES_tradnl"/>
        </w:rPr>
        <w:tab/>
        <w:t>Planta: repollo: ausente (1); cerrado (2); abierto (3)</w:t>
      </w:r>
    </w:p>
    <w:p w14:paraId="5544A85E" w14:textId="77777777" w:rsidR="006B6FA8" w:rsidRPr="006B6FA8" w:rsidRDefault="006B6FA8" w:rsidP="006B6FA8">
      <w:pPr>
        <w:keepNext/>
        <w:tabs>
          <w:tab w:val="left" w:pos="1560"/>
        </w:tabs>
        <w:ind w:left="1701" w:hanging="567"/>
        <w:jc w:val="left"/>
        <w:rPr>
          <w:highlight w:val="lightGray"/>
          <w:lang w:val="es-ES_tradnl"/>
        </w:rPr>
      </w:pPr>
      <w:r w:rsidRPr="006B6FA8">
        <w:rPr>
          <w:highlight w:val="lightGray"/>
          <w:lang w:val="es-ES_tradnl"/>
        </w:rPr>
        <w:t>(QN)</w:t>
      </w:r>
      <w:r w:rsidRPr="006B6FA8">
        <w:rPr>
          <w:highlight w:val="lightGray"/>
          <w:lang w:val="es-ES_tradnl"/>
        </w:rPr>
        <w:tab/>
      </w:r>
      <w:r w:rsidRPr="006B6FA8">
        <w:rPr>
          <w:highlight w:val="lightGray"/>
          <w:u w:val="single"/>
          <w:lang w:val="es-ES_tradnl"/>
        </w:rPr>
        <w:t>Solo variedades con: Planta: repollo: abierto o cerrado</w:t>
      </w:r>
      <w:r w:rsidRPr="006B6FA8">
        <w:rPr>
          <w:highlight w:val="lightGray"/>
          <w:lang w:val="es-ES_tradnl"/>
        </w:rPr>
        <w:t>: época de formación del repollo: muy temprana (1); temprana (3); media (5); tardía (7); muy tardía (9)</w:t>
      </w:r>
    </w:p>
    <w:p w14:paraId="45FC0972" w14:textId="77777777" w:rsidR="006B6FA8" w:rsidRPr="006B6FA8" w:rsidRDefault="006B6FA8" w:rsidP="006B6FA8">
      <w:pPr>
        <w:ind w:left="1560" w:hanging="426"/>
        <w:rPr>
          <w:i/>
          <w:highlight w:val="lightGray"/>
          <w:lang w:val="es-ES_tradnl"/>
        </w:rPr>
      </w:pPr>
    </w:p>
    <w:p w14:paraId="71033872" w14:textId="77777777" w:rsidR="006B6FA8" w:rsidRPr="006B6FA8" w:rsidRDefault="006B6FA8" w:rsidP="006B6FA8">
      <w:pPr>
        <w:ind w:left="1701" w:hanging="567"/>
        <w:rPr>
          <w:snapToGrid w:val="0"/>
          <w:highlight w:val="lightGray"/>
          <w:lang w:val="es-ES_tradnl"/>
        </w:rPr>
      </w:pPr>
      <w:r w:rsidRPr="006B6FA8">
        <w:rPr>
          <w:snapToGrid w:val="0"/>
          <w:highlight w:val="lightGray"/>
          <w:lang w:val="es-ES_tradnl"/>
        </w:rPr>
        <w:t>(QN)</w:t>
      </w:r>
      <w:r w:rsidRPr="006B6FA8">
        <w:rPr>
          <w:snapToGrid w:val="0"/>
          <w:highlight w:val="lightGray"/>
          <w:lang w:val="es-ES_tradnl"/>
        </w:rPr>
        <w:tab/>
        <w:t>Presencia de pelos: ausentes o muy débil (1)</w:t>
      </w:r>
    </w:p>
    <w:p w14:paraId="23996C0C" w14:textId="77777777" w:rsidR="006B6FA8" w:rsidRPr="006B6FA8" w:rsidRDefault="006B6FA8" w:rsidP="006B6FA8">
      <w:pPr>
        <w:ind w:left="1701" w:hanging="567"/>
        <w:rPr>
          <w:snapToGrid w:val="0"/>
          <w:lang w:val="es-ES_tradnl"/>
        </w:rPr>
      </w:pPr>
      <w:r w:rsidRPr="006B6FA8">
        <w:rPr>
          <w:snapToGrid w:val="0"/>
          <w:highlight w:val="lightGray"/>
          <w:lang w:val="es-ES_tradnl"/>
        </w:rPr>
        <w:t>(PQ)</w:t>
      </w:r>
      <w:r w:rsidRPr="006B6FA8">
        <w:rPr>
          <w:snapToGrid w:val="0"/>
          <w:highlight w:val="lightGray"/>
          <w:lang w:val="es-ES_tradnl"/>
        </w:rPr>
        <w:tab/>
      </w:r>
      <w:r w:rsidRPr="006B6FA8">
        <w:rPr>
          <w:snapToGrid w:val="0"/>
          <w:highlight w:val="lightGray"/>
          <w:u w:val="single"/>
          <w:lang w:val="es-ES_tradnl"/>
        </w:rPr>
        <w:t>Solo variedades con: Presencia de pelos: distinta de “ausente o muy débil” (1)</w:t>
      </w:r>
      <w:r w:rsidRPr="006B6FA8">
        <w:rPr>
          <w:snapToGrid w:val="0"/>
          <w:highlight w:val="lightGray"/>
          <w:lang w:val="es-ES_tradnl"/>
        </w:rPr>
        <w:t>: Pelo: color</w:t>
      </w:r>
    </w:p>
    <w:p w14:paraId="4FD2BAEF" w14:textId="77777777" w:rsidR="006B6FA8" w:rsidRPr="006B6FA8" w:rsidRDefault="006B6FA8" w:rsidP="006B6FA8">
      <w:pPr>
        <w:ind w:left="567"/>
        <w:rPr>
          <w:rFonts w:cs="Arial"/>
          <w:bCs/>
          <w:snapToGrid w:val="0"/>
          <w:szCs w:val="18"/>
          <w:highlight w:val="lightGray"/>
          <w:u w:val="single"/>
          <w:lang w:val="es-ES_tradnl"/>
        </w:rPr>
      </w:pPr>
    </w:p>
    <w:p w14:paraId="625A53F7" w14:textId="77777777" w:rsidR="006B6FA8" w:rsidRPr="006B6FA8" w:rsidRDefault="006B6FA8" w:rsidP="006B6FA8">
      <w:pPr>
        <w:ind w:left="567"/>
        <w:rPr>
          <w:rFonts w:cs="Arial"/>
          <w:bCs/>
          <w:snapToGrid w:val="0"/>
          <w:u w:val="single"/>
          <w:lang w:val="es-ES_tradnl"/>
        </w:rPr>
      </w:pPr>
      <w:r w:rsidRPr="006B6FA8">
        <w:rPr>
          <w:highlight w:val="lightGray"/>
          <w:u w:val="single"/>
          <w:lang w:val="es-ES_tradnl"/>
        </w:rPr>
        <w:t xml:space="preserve">La exclusión de caracteres de la observación sobre la base de un carácter </w:t>
      </w:r>
      <w:proofErr w:type="spellStart"/>
      <w:r w:rsidRPr="006B6FA8">
        <w:rPr>
          <w:highlight w:val="lightGray"/>
          <w:u w:val="single"/>
          <w:lang w:val="es-ES_tradnl"/>
        </w:rPr>
        <w:t>pseudocualitativo</w:t>
      </w:r>
      <w:proofErr w:type="spellEnd"/>
      <w:r w:rsidRPr="006B6FA8">
        <w:rPr>
          <w:highlight w:val="lightGray"/>
          <w:u w:val="single"/>
          <w:lang w:val="es-ES_tradnl"/>
        </w:rPr>
        <w:t xml:space="preserve"> (</w:t>
      </w:r>
      <w:proofErr w:type="spellStart"/>
      <w:r w:rsidRPr="006B6FA8">
        <w:rPr>
          <w:highlight w:val="lightGray"/>
          <w:u w:val="single"/>
          <w:lang w:val="es-ES_tradnl"/>
        </w:rPr>
        <w:t>PQ</w:t>
      </w:r>
      <w:proofErr w:type="spellEnd"/>
      <w:r w:rsidRPr="006B6FA8">
        <w:rPr>
          <w:highlight w:val="lightGray"/>
          <w:u w:val="single"/>
          <w:lang w:val="es-ES_tradnl"/>
        </w:rPr>
        <w:t>) o cuantitativo (QN) anterior deberá utilizarse con precaución, teniendo en cuenta las posibles implicaciones de cara al examen de la distinción.</w:t>
      </w:r>
    </w:p>
    <w:p w14:paraId="3E540F36" w14:textId="77777777" w:rsidR="006B6FA8" w:rsidRPr="006B6FA8" w:rsidRDefault="006B6FA8" w:rsidP="006B6FA8">
      <w:pPr>
        <w:jc w:val="left"/>
        <w:rPr>
          <w:lang w:val="es-ES_tradnl"/>
        </w:rPr>
      </w:pPr>
    </w:p>
    <w:p w14:paraId="39D85459" w14:textId="77777777" w:rsidR="006B6FA8" w:rsidRPr="006B6FA8" w:rsidRDefault="006B6FA8" w:rsidP="006B6FA8">
      <w:pPr>
        <w:rPr>
          <w:lang w:val="es-ES_tradnl"/>
        </w:rPr>
      </w:pPr>
    </w:p>
    <w:p w14:paraId="3B28A9FB" w14:textId="77777777" w:rsidR="006B6FA8" w:rsidRPr="006B6FA8" w:rsidRDefault="006B6FA8" w:rsidP="006B6FA8">
      <w:pPr>
        <w:rPr>
          <w:u w:val="single"/>
          <w:lang w:val="es-ES_tradnl"/>
        </w:rPr>
      </w:pPr>
      <w:r w:rsidRPr="006B6FA8">
        <w:rPr>
          <w:u w:val="single"/>
          <w:lang w:val="es-ES_tradnl"/>
        </w:rPr>
        <w:t>Presentación de la escala completa de notas de los caracteres cuantitativos en las directrices de examen</w:t>
      </w:r>
    </w:p>
    <w:p w14:paraId="220DDF3F" w14:textId="77777777" w:rsidR="006B6FA8" w:rsidRPr="006B6FA8" w:rsidRDefault="006B6FA8" w:rsidP="006B6FA8">
      <w:pPr>
        <w:keepNext/>
        <w:rPr>
          <w:lang w:val="es-ES_tradnl"/>
        </w:rPr>
      </w:pPr>
    </w:p>
    <w:p w14:paraId="093A3E4B" w14:textId="77777777" w:rsidR="006B6FA8" w:rsidRPr="006B6FA8" w:rsidRDefault="006B6FA8" w:rsidP="006B6FA8">
      <w:pPr>
        <w:rPr>
          <w:rFonts w:cs="Arial"/>
          <w:lang w:val="es-ES_tradnl"/>
        </w:rPr>
      </w:pPr>
      <w:r w:rsidRPr="006B6FA8">
        <w:rPr>
          <w:lang w:val="es-ES_tradnl"/>
        </w:rPr>
        <w:t xml:space="preserve">En su quincuagésima quinta sesión, el TC examinó los </w:t>
      </w:r>
      <w:r w:rsidRPr="006B6FA8">
        <w:rPr>
          <w:rFonts w:cs="Arial"/>
          <w:lang w:val="es-ES_tradnl"/>
        </w:rPr>
        <w:t xml:space="preserve">documentos TC/55/4 y TC/55/4 </w:t>
      </w:r>
      <w:proofErr w:type="spellStart"/>
      <w:r w:rsidRPr="006B6FA8">
        <w:rPr>
          <w:rFonts w:cs="Arial"/>
          <w:lang w:val="es-ES_tradnl"/>
        </w:rPr>
        <w:t>Add</w:t>
      </w:r>
      <w:proofErr w:type="spellEnd"/>
      <w:r w:rsidRPr="006B6FA8">
        <w:rPr>
          <w:rFonts w:cs="Arial"/>
          <w:lang w:val="es-ES_tradnl"/>
        </w:rPr>
        <w:t xml:space="preserve">. y </w:t>
      </w:r>
      <w:r w:rsidRPr="006B6FA8">
        <w:rPr>
          <w:lang w:val="es-ES_tradnl"/>
        </w:rPr>
        <w:t>suscribió la propuesta de revisión del documento TGP/7 para que en las directrices de examen se presenten todos los niveles de expresión de los caracteres cuantitativos</w:t>
      </w:r>
      <w:r w:rsidRPr="006B6FA8">
        <w:rPr>
          <w:rFonts w:cs="Arial"/>
          <w:lang w:val="es-ES_tradnl"/>
        </w:rPr>
        <w:t xml:space="preserve"> (véase el párrafo 172 del documento </w:t>
      </w:r>
      <w:r w:rsidRPr="006B6FA8">
        <w:rPr>
          <w:spacing w:val="-2"/>
          <w:lang w:val="es-ES_tradnl"/>
        </w:rPr>
        <w:t>TC/55/25 “Informe”</w:t>
      </w:r>
      <w:r w:rsidRPr="006B6FA8">
        <w:rPr>
          <w:rFonts w:cs="Arial"/>
          <w:lang w:val="es-ES_tradnl"/>
        </w:rPr>
        <w:t>).</w:t>
      </w:r>
    </w:p>
    <w:p w14:paraId="1A7484E3" w14:textId="77777777" w:rsidR="006B6FA8" w:rsidRPr="006B6FA8" w:rsidRDefault="006B6FA8" w:rsidP="006B6FA8">
      <w:pPr>
        <w:rPr>
          <w:lang w:val="es-ES_tradnl"/>
        </w:rPr>
      </w:pPr>
    </w:p>
    <w:p w14:paraId="031AB071" w14:textId="77777777" w:rsidR="006B6FA8" w:rsidRPr="006B6FA8" w:rsidRDefault="006B6FA8" w:rsidP="006B6FA8">
      <w:pPr>
        <w:ind w:left="567"/>
        <w:rPr>
          <w:spacing w:val="-3"/>
          <w:u w:val="single"/>
          <w:lang w:val="es-ES_tradnl"/>
        </w:rPr>
      </w:pPr>
      <w:r w:rsidRPr="006B6FA8">
        <w:rPr>
          <w:spacing w:val="-3"/>
          <w:u w:val="single"/>
          <w:lang w:val="es-ES_tradnl"/>
        </w:rPr>
        <w:t>Extracto del ANEXO 1:  ESTRUCTURA Y TEXTO ESTÁNDAR UNIVERSAL DE LOS DOCUMENTOS TG</w:t>
      </w:r>
    </w:p>
    <w:p w14:paraId="31EF8677" w14:textId="77777777" w:rsidR="006B6FA8" w:rsidRPr="006B6FA8" w:rsidRDefault="006B6FA8" w:rsidP="006B6FA8">
      <w:pPr>
        <w:ind w:left="567"/>
        <w:rPr>
          <w:lang w:val="es-ES_tradnl"/>
        </w:rPr>
      </w:pPr>
    </w:p>
    <w:p w14:paraId="4D064B8A" w14:textId="77777777" w:rsidR="006B6FA8" w:rsidRPr="006B6FA8" w:rsidRDefault="006B6FA8" w:rsidP="006B6FA8">
      <w:pPr>
        <w:ind w:left="567"/>
        <w:rPr>
          <w:i/>
          <w:lang w:val="es-ES_tradnl"/>
        </w:rPr>
      </w:pPr>
      <w:bookmarkStart w:id="57" w:name="_Toc27819228"/>
      <w:bookmarkStart w:id="58" w:name="_Toc27819409"/>
      <w:bookmarkStart w:id="59" w:name="_Toc27819590"/>
      <w:bookmarkStart w:id="60" w:name="_Toc27976639"/>
      <w:bookmarkStart w:id="61" w:name="_Toc30491422"/>
      <w:bookmarkStart w:id="62" w:name="_Toc30996986"/>
      <w:bookmarkStart w:id="63" w:name="_Toc32998026"/>
      <w:bookmarkStart w:id="64" w:name="_Toc33528774"/>
      <w:bookmarkStart w:id="65" w:name="_Toc33528888"/>
      <w:bookmarkStart w:id="66" w:name="_Toc33591423"/>
      <w:bookmarkStart w:id="67" w:name="_Toc33601550"/>
      <w:bookmarkStart w:id="68" w:name="_Toc33601664"/>
      <w:bookmarkStart w:id="69" w:name="_Toc63847415"/>
      <w:bookmarkStart w:id="70" w:name="_Toc64194731"/>
      <w:bookmarkStart w:id="71" w:name="_Toc224703501"/>
      <w:bookmarkStart w:id="72" w:name="_Toc258923798"/>
      <w:bookmarkStart w:id="73" w:name="_Toc13659081"/>
      <w:bookmarkStart w:id="74" w:name="_Toc13659257"/>
      <w:r w:rsidRPr="006B6FA8">
        <w:rPr>
          <w:i/>
          <w:lang w:val="es-ES_tradnl"/>
        </w:rPr>
        <w:t>6.2</w:t>
      </w:r>
      <w:r w:rsidRPr="006B6FA8">
        <w:rPr>
          <w:i/>
          <w:lang w:val="es-ES_tradnl"/>
        </w:rPr>
        <w:tab/>
      </w:r>
      <w:bookmarkEnd w:id="57"/>
      <w:bookmarkEnd w:id="58"/>
      <w:bookmarkEnd w:id="59"/>
      <w:bookmarkEnd w:id="60"/>
      <w:bookmarkEnd w:id="61"/>
      <w:bookmarkEnd w:id="62"/>
      <w:r w:rsidRPr="006B6FA8">
        <w:rPr>
          <w:i/>
          <w:lang w:val="es-ES_tradnl"/>
        </w:rPr>
        <w:t>Niveles de expresión y notas correspondientes</w:t>
      </w:r>
      <w:bookmarkEnd w:id="63"/>
      <w:bookmarkEnd w:id="64"/>
      <w:bookmarkEnd w:id="65"/>
      <w:bookmarkEnd w:id="66"/>
      <w:bookmarkEnd w:id="67"/>
      <w:bookmarkEnd w:id="68"/>
      <w:bookmarkEnd w:id="69"/>
      <w:bookmarkEnd w:id="70"/>
      <w:bookmarkEnd w:id="71"/>
      <w:bookmarkEnd w:id="72"/>
      <w:bookmarkEnd w:id="73"/>
      <w:bookmarkEnd w:id="74"/>
    </w:p>
    <w:p w14:paraId="058CC27B" w14:textId="77777777" w:rsidR="006B6FA8" w:rsidRPr="006B6FA8" w:rsidRDefault="006B6FA8" w:rsidP="006B6FA8">
      <w:pPr>
        <w:tabs>
          <w:tab w:val="left" w:pos="709"/>
          <w:tab w:val="left" w:pos="1418"/>
        </w:tabs>
        <w:ind w:left="567"/>
        <w:rPr>
          <w:rFonts w:cs="Arial"/>
          <w:lang w:val="es-ES_tradnl"/>
        </w:rPr>
      </w:pPr>
    </w:p>
    <w:p w14:paraId="040D97E4" w14:textId="77777777" w:rsidR="006B6FA8" w:rsidRPr="006B6FA8" w:rsidRDefault="006B6FA8" w:rsidP="006B6FA8">
      <w:pPr>
        <w:ind w:left="567"/>
        <w:rPr>
          <w:rFonts w:cs="Arial"/>
          <w:lang w:val="es-ES_tradnl"/>
        </w:rPr>
      </w:pPr>
      <w:r w:rsidRPr="006B6FA8">
        <w:rPr>
          <w:rFonts w:cs="Arial"/>
          <w:lang w:val="es-ES_tradnl"/>
        </w:rPr>
        <w:t>6.2.1</w:t>
      </w:r>
      <w:r w:rsidRPr="006B6FA8">
        <w:rPr>
          <w:rFonts w:cs="Arial"/>
          <w:lang w:val="es-ES_tradnl"/>
        </w:rPr>
        <w:tab/>
        <w:t>Se atribuyen a cada carácter niveles de expresión con el fin de definir el carácter y armonizar las descripciones.  A cada nivel de expresión le corresponde una nota numérica para facilitar el registro de los datos y la elaboración y el intercambio de la descripción.</w:t>
      </w:r>
    </w:p>
    <w:p w14:paraId="1888C9F1" w14:textId="77777777" w:rsidR="006B6FA8" w:rsidRPr="006B6FA8" w:rsidRDefault="006B6FA8" w:rsidP="006B6FA8">
      <w:pPr>
        <w:ind w:left="567"/>
        <w:rPr>
          <w:rFonts w:cs="Arial"/>
          <w:lang w:val="es-ES_tradnl"/>
        </w:rPr>
      </w:pPr>
    </w:p>
    <w:p w14:paraId="52B7DA4C" w14:textId="77777777" w:rsidR="006B6FA8" w:rsidRPr="006B6FA8" w:rsidRDefault="006B6FA8" w:rsidP="006B6FA8">
      <w:pPr>
        <w:ind w:left="567"/>
        <w:rPr>
          <w:rFonts w:cs="Arial"/>
          <w:strike/>
          <w:highlight w:val="lightGray"/>
          <w:lang w:val="es-ES_tradnl"/>
        </w:rPr>
      </w:pPr>
      <w:r w:rsidRPr="006B6FA8">
        <w:rPr>
          <w:rFonts w:cs="Arial"/>
          <w:lang w:val="es-ES_tradnl"/>
        </w:rPr>
        <w:t>6.2.2</w:t>
      </w:r>
      <w:r w:rsidRPr="006B6FA8">
        <w:rPr>
          <w:rFonts w:cs="Arial"/>
          <w:lang w:val="es-ES_tradnl"/>
        </w:rPr>
        <w:tab/>
      </w:r>
      <w:r w:rsidRPr="006B6FA8">
        <w:rPr>
          <w:rFonts w:cs="Arial"/>
          <w:strike/>
          <w:highlight w:val="lightGray"/>
          <w:lang w:val="es-ES_tradnl"/>
        </w:rPr>
        <w:t xml:space="preserve">En el caso de los caracteres cualitativos y </w:t>
      </w:r>
      <w:proofErr w:type="spellStart"/>
      <w:r w:rsidRPr="006B6FA8">
        <w:rPr>
          <w:rFonts w:cs="Arial"/>
          <w:strike/>
          <w:highlight w:val="lightGray"/>
          <w:lang w:val="es-ES_tradnl"/>
        </w:rPr>
        <w:t>pseudocualitativos</w:t>
      </w:r>
      <w:proofErr w:type="spellEnd"/>
      <w:r w:rsidRPr="006B6FA8">
        <w:rPr>
          <w:rFonts w:cs="Arial"/>
          <w:strike/>
          <w:highlight w:val="lightGray"/>
          <w:lang w:val="es-ES_tradnl"/>
        </w:rPr>
        <w:t xml:space="preserve"> (véase el Capítulo 6.3), todos</w:t>
      </w:r>
      <w:r w:rsidRPr="006B6FA8">
        <w:rPr>
          <w:rFonts w:cs="Arial"/>
          <w:lang w:val="es-ES_tradnl"/>
        </w:rPr>
        <w:t xml:space="preserve"> </w:t>
      </w:r>
      <w:proofErr w:type="spellStart"/>
      <w:r w:rsidRPr="006B6FA8">
        <w:rPr>
          <w:rFonts w:cs="Arial"/>
          <w:highlight w:val="lightGray"/>
          <w:u w:val="single"/>
          <w:lang w:val="es-ES_tradnl"/>
        </w:rPr>
        <w:t>Todos</w:t>
      </w:r>
      <w:proofErr w:type="spellEnd"/>
      <w:r w:rsidRPr="006B6FA8">
        <w:rPr>
          <w:rFonts w:cs="Arial"/>
          <w:lang w:val="es-ES_tradnl"/>
        </w:rPr>
        <w:t xml:space="preserve"> los niveles pertinentes de expresión se presentan en el carácter.  </w:t>
      </w:r>
      <w:r w:rsidRPr="006B6FA8">
        <w:rPr>
          <w:rFonts w:cs="Arial"/>
          <w:strike/>
          <w:highlight w:val="lightGray"/>
          <w:lang w:val="es-ES_tradnl"/>
        </w:rPr>
        <w:t>Sin embargo, en el caso de caracteres cuantitativos con cinco o más niveles puede utilizarse una escala abreviada para reducir al mínimo el tamaño de la tabla de caracteres.  Por ejemplo, respecto de un carácter cuantitativo de nueve niveles de expresión, la presentación de los niveles de expresión en las directrices de examen puede abreviarse como sigue:</w:t>
      </w:r>
    </w:p>
    <w:p w14:paraId="723E74D7" w14:textId="77777777" w:rsidR="006B6FA8" w:rsidRPr="006B6FA8" w:rsidRDefault="006B6FA8" w:rsidP="006B6FA8">
      <w:pPr>
        <w:ind w:left="567"/>
        <w:rPr>
          <w:rFonts w:cs="Arial"/>
          <w:strike/>
          <w:highlight w:val="lightGray"/>
          <w:lang w:val="es-ES_tradnl"/>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07"/>
        <w:gridCol w:w="1276"/>
      </w:tblGrid>
      <w:tr w:rsidR="006B6FA8" w:rsidRPr="006B6FA8" w14:paraId="05BC8F31" w14:textId="77777777" w:rsidTr="00D60821">
        <w:trPr>
          <w:jc w:val="center"/>
        </w:trPr>
        <w:tc>
          <w:tcPr>
            <w:tcW w:w="2907" w:type="dxa"/>
          </w:tcPr>
          <w:p w14:paraId="61155723" w14:textId="77777777" w:rsidR="006B6FA8" w:rsidRPr="006B6FA8" w:rsidRDefault="006B6FA8" w:rsidP="006B6FA8">
            <w:pPr>
              <w:keepNext/>
              <w:jc w:val="center"/>
              <w:rPr>
                <w:rFonts w:cs="Arial"/>
                <w:strike/>
                <w:highlight w:val="lightGray"/>
                <w:lang w:val="es-ES_tradnl"/>
              </w:rPr>
            </w:pPr>
            <w:r w:rsidRPr="006B6FA8">
              <w:rPr>
                <w:rFonts w:cs="Arial"/>
                <w:strike/>
                <w:highlight w:val="lightGray"/>
                <w:lang w:val="es-ES_tradnl"/>
              </w:rPr>
              <w:t>Nivel</w:t>
            </w:r>
          </w:p>
        </w:tc>
        <w:tc>
          <w:tcPr>
            <w:tcW w:w="1276" w:type="dxa"/>
          </w:tcPr>
          <w:p w14:paraId="0ABCBD73" w14:textId="77777777" w:rsidR="006B6FA8" w:rsidRPr="006B6FA8" w:rsidRDefault="006B6FA8" w:rsidP="006B6FA8">
            <w:pPr>
              <w:keepNext/>
              <w:jc w:val="center"/>
              <w:rPr>
                <w:rFonts w:cs="Arial"/>
                <w:strike/>
                <w:highlight w:val="lightGray"/>
                <w:lang w:val="es-ES_tradnl"/>
              </w:rPr>
            </w:pPr>
            <w:r w:rsidRPr="006B6FA8">
              <w:rPr>
                <w:rFonts w:cs="Arial"/>
                <w:strike/>
                <w:highlight w:val="lightGray"/>
                <w:lang w:val="es-ES_tradnl"/>
              </w:rPr>
              <w:t>Nota</w:t>
            </w:r>
          </w:p>
        </w:tc>
      </w:tr>
      <w:tr w:rsidR="006B6FA8" w:rsidRPr="006B6FA8" w14:paraId="44501456" w14:textId="77777777" w:rsidTr="00D60821">
        <w:trPr>
          <w:jc w:val="center"/>
        </w:trPr>
        <w:tc>
          <w:tcPr>
            <w:tcW w:w="2907" w:type="dxa"/>
          </w:tcPr>
          <w:p w14:paraId="2DCDF6EF" w14:textId="77777777" w:rsidR="006B6FA8" w:rsidRPr="006B6FA8" w:rsidRDefault="006B6FA8" w:rsidP="006B6FA8">
            <w:pPr>
              <w:keepNext/>
              <w:rPr>
                <w:rFonts w:cs="Arial"/>
                <w:strike/>
                <w:highlight w:val="lightGray"/>
                <w:lang w:val="es-ES_tradnl"/>
              </w:rPr>
            </w:pPr>
            <w:r w:rsidRPr="006B6FA8">
              <w:rPr>
                <w:rFonts w:cs="Arial"/>
                <w:strike/>
                <w:highlight w:val="lightGray"/>
                <w:lang w:val="es-ES_tradnl"/>
              </w:rPr>
              <w:t>pequeño</w:t>
            </w:r>
          </w:p>
        </w:tc>
        <w:tc>
          <w:tcPr>
            <w:tcW w:w="1276" w:type="dxa"/>
          </w:tcPr>
          <w:p w14:paraId="51870823" w14:textId="77777777" w:rsidR="006B6FA8" w:rsidRPr="006B6FA8" w:rsidRDefault="006B6FA8" w:rsidP="006B6FA8">
            <w:pPr>
              <w:keepNext/>
              <w:jc w:val="center"/>
              <w:rPr>
                <w:rFonts w:cs="Arial"/>
                <w:strike/>
                <w:highlight w:val="lightGray"/>
                <w:lang w:val="es-ES_tradnl"/>
              </w:rPr>
            </w:pPr>
            <w:r w:rsidRPr="006B6FA8">
              <w:rPr>
                <w:rFonts w:cs="Arial"/>
                <w:strike/>
                <w:highlight w:val="lightGray"/>
                <w:lang w:val="es-ES_tradnl"/>
              </w:rPr>
              <w:t>3</w:t>
            </w:r>
          </w:p>
        </w:tc>
      </w:tr>
      <w:tr w:rsidR="006B6FA8" w:rsidRPr="006B6FA8" w14:paraId="2FE8E3E8" w14:textId="77777777" w:rsidTr="00D60821">
        <w:trPr>
          <w:jc w:val="center"/>
        </w:trPr>
        <w:tc>
          <w:tcPr>
            <w:tcW w:w="2907" w:type="dxa"/>
          </w:tcPr>
          <w:p w14:paraId="4F28F71D" w14:textId="77777777" w:rsidR="006B6FA8" w:rsidRPr="006B6FA8" w:rsidRDefault="006B6FA8" w:rsidP="006B6FA8">
            <w:pPr>
              <w:keepNext/>
              <w:rPr>
                <w:rFonts w:cs="Arial"/>
                <w:strike/>
                <w:highlight w:val="lightGray"/>
                <w:lang w:val="es-ES_tradnl"/>
              </w:rPr>
            </w:pPr>
            <w:r w:rsidRPr="006B6FA8">
              <w:rPr>
                <w:rFonts w:cs="Arial"/>
                <w:strike/>
                <w:highlight w:val="lightGray"/>
                <w:lang w:val="es-ES_tradnl"/>
              </w:rPr>
              <w:t>mediano</w:t>
            </w:r>
          </w:p>
        </w:tc>
        <w:tc>
          <w:tcPr>
            <w:tcW w:w="1276" w:type="dxa"/>
          </w:tcPr>
          <w:p w14:paraId="719D0580" w14:textId="77777777" w:rsidR="006B6FA8" w:rsidRPr="006B6FA8" w:rsidRDefault="006B6FA8" w:rsidP="006B6FA8">
            <w:pPr>
              <w:keepNext/>
              <w:jc w:val="center"/>
              <w:rPr>
                <w:rFonts w:cs="Arial"/>
                <w:strike/>
                <w:highlight w:val="lightGray"/>
                <w:lang w:val="es-ES_tradnl"/>
              </w:rPr>
            </w:pPr>
            <w:r w:rsidRPr="006B6FA8">
              <w:rPr>
                <w:rFonts w:cs="Arial"/>
                <w:strike/>
                <w:highlight w:val="lightGray"/>
                <w:lang w:val="es-ES_tradnl"/>
              </w:rPr>
              <w:t>5</w:t>
            </w:r>
          </w:p>
        </w:tc>
      </w:tr>
      <w:tr w:rsidR="006B6FA8" w:rsidRPr="006B6FA8" w14:paraId="37429EE4" w14:textId="77777777" w:rsidTr="00D60821">
        <w:trPr>
          <w:jc w:val="center"/>
        </w:trPr>
        <w:tc>
          <w:tcPr>
            <w:tcW w:w="2907" w:type="dxa"/>
          </w:tcPr>
          <w:p w14:paraId="147BFE0C" w14:textId="77777777" w:rsidR="006B6FA8" w:rsidRPr="006B6FA8" w:rsidRDefault="006B6FA8" w:rsidP="006B6FA8">
            <w:pPr>
              <w:keepNext/>
              <w:rPr>
                <w:rFonts w:cs="Arial"/>
                <w:strike/>
                <w:highlight w:val="lightGray"/>
                <w:lang w:val="es-ES_tradnl"/>
              </w:rPr>
            </w:pPr>
            <w:r w:rsidRPr="006B6FA8">
              <w:rPr>
                <w:rFonts w:cs="Arial"/>
                <w:strike/>
                <w:highlight w:val="lightGray"/>
                <w:lang w:val="es-ES_tradnl"/>
              </w:rPr>
              <w:t>grande</w:t>
            </w:r>
          </w:p>
        </w:tc>
        <w:tc>
          <w:tcPr>
            <w:tcW w:w="1276" w:type="dxa"/>
          </w:tcPr>
          <w:p w14:paraId="73CDBFC3" w14:textId="77777777" w:rsidR="006B6FA8" w:rsidRPr="006B6FA8" w:rsidRDefault="006B6FA8" w:rsidP="006B6FA8">
            <w:pPr>
              <w:keepNext/>
              <w:jc w:val="center"/>
              <w:rPr>
                <w:rFonts w:cs="Arial"/>
                <w:strike/>
                <w:highlight w:val="lightGray"/>
                <w:lang w:val="es-ES_tradnl"/>
              </w:rPr>
            </w:pPr>
            <w:r w:rsidRPr="006B6FA8">
              <w:rPr>
                <w:rFonts w:cs="Arial"/>
                <w:strike/>
                <w:highlight w:val="lightGray"/>
                <w:lang w:val="es-ES_tradnl"/>
              </w:rPr>
              <w:t>7</w:t>
            </w:r>
          </w:p>
        </w:tc>
      </w:tr>
    </w:tbl>
    <w:p w14:paraId="11D65ED5" w14:textId="77777777" w:rsidR="006B6FA8" w:rsidRPr="006B6FA8" w:rsidRDefault="006B6FA8" w:rsidP="006B6FA8">
      <w:pPr>
        <w:ind w:left="567"/>
        <w:rPr>
          <w:rFonts w:cs="Arial"/>
          <w:strike/>
          <w:highlight w:val="lightGray"/>
          <w:lang w:val="es-ES_tradnl"/>
        </w:rPr>
      </w:pPr>
    </w:p>
    <w:p w14:paraId="6800C839" w14:textId="77777777" w:rsidR="006B6FA8" w:rsidRPr="006B6FA8" w:rsidRDefault="006B6FA8" w:rsidP="006B6FA8">
      <w:pPr>
        <w:ind w:left="567"/>
        <w:rPr>
          <w:rFonts w:cs="Arial"/>
          <w:strike/>
          <w:highlight w:val="lightGray"/>
          <w:lang w:val="es-ES_tradnl"/>
        </w:rPr>
      </w:pPr>
      <w:r w:rsidRPr="006B6FA8">
        <w:rPr>
          <w:rFonts w:cs="Arial"/>
          <w:strike/>
          <w:highlight w:val="lightGray"/>
          <w:lang w:val="es-ES_tradnl"/>
        </w:rPr>
        <w:t>Ahora bien, cabe observar que los nueve niveles de expresión siguientes existen para describir las variedades y deberán utilizarse según proceda:</w:t>
      </w:r>
    </w:p>
    <w:p w14:paraId="010E316A" w14:textId="77777777" w:rsidR="006B6FA8" w:rsidRPr="006B6FA8" w:rsidRDefault="006B6FA8" w:rsidP="006B6FA8">
      <w:pPr>
        <w:ind w:left="567"/>
        <w:rPr>
          <w:rFonts w:cs="Arial"/>
          <w:strike/>
          <w:highlight w:val="lightGray"/>
          <w:u w:val="single"/>
          <w:lang w:val="es-ES_tradnl"/>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6B6FA8" w:rsidRPr="006B6FA8" w14:paraId="134F099A" w14:textId="77777777" w:rsidTr="00D60821">
        <w:trPr>
          <w:jc w:val="center"/>
        </w:trPr>
        <w:tc>
          <w:tcPr>
            <w:tcW w:w="3049" w:type="dxa"/>
          </w:tcPr>
          <w:p w14:paraId="188A68E8" w14:textId="77777777" w:rsidR="006B6FA8" w:rsidRPr="006B6FA8" w:rsidRDefault="006B6FA8" w:rsidP="006B6FA8">
            <w:pPr>
              <w:keepNext/>
              <w:jc w:val="center"/>
              <w:rPr>
                <w:rFonts w:cs="Arial"/>
                <w:strike/>
                <w:highlight w:val="lightGray"/>
                <w:lang w:val="es-ES_tradnl"/>
              </w:rPr>
            </w:pPr>
            <w:r w:rsidRPr="006B6FA8">
              <w:rPr>
                <w:rFonts w:cs="Arial"/>
                <w:strike/>
                <w:highlight w:val="lightGray"/>
                <w:lang w:val="es-ES_tradnl"/>
              </w:rPr>
              <w:t>Nivel</w:t>
            </w:r>
          </w:p>
        </w:tc>
        <w:tc>
          <w:tcPr>
            <w:tcW w:w="1276" w:type="dxa"/>
          </w:tcPr>
          <w:p w14:paraId="10E74502" w14:textId="77777777" w:rsidR="006B6FA8" w:rsidRPr="006B6FA8" w:rsidRDefault="006B6FA8" w:rsidP="006B6FA8">
            <w:pPr>
              <w:keepNext/>
              <w:jc w:val="center"/>
              <w:rPr>
                <w:rFonts w:cs="Arial"/>
                <w:strike/>
                <w:highlight w:val="lightGray"/>
                <w:lang w:val="es-ES_tradnl"/>
              </w:rPr>
            </w:pPr>
            <w:r w:rsidRPr="006B6FA8">
              <w:rPr>
                <w:rFonts w:cs="Arial"/>
                <w:strike/>
                <w:highlight w:val="lightGray"/>
                <w:lang w:val="es-ES_tradnl"/>
              </w:rPr>
              <w:t>Nota</w:t>
            </w:r>
          </w:p>
        </w:tc>
      </w:tr>
      <w:tr w:rsidR="006B6FA8" w:rsidRPr="006B6FA8" w14:paraId="0B436500" w14:textId="77777777" w:rsidTr="00D60821">
        <w:trPr>
          <w:jc w:val="center"/>
        </w:trPr>
        <w:tc>
          <w:tcPr>
            <w:tcW w:w="3049" w:type="dxa"/>
          </w:tcPr>
          <w:p w14:paraId="5A3006B0" w14:textId="77777777" w:rsidR="006B6FA8" w:rsidRPr="006B6FA8" w:rsidRDefault="006B6FA8" w:rsidP="006B6FA8">
            <w:pPr>
              <w:keepNext/>
              <w:rPr>
                <w:rFonts w:cs="Arial"/>
                <w:strike/>
                <w:highlight w:val="lightGray"/>
                <w:lang w:val="es-ES_tradnl"/>
              </w:rPr>
            </w:pPr>
            <w:r w:rsidRPr="006B6FA8">
              <w:rPr>
                <w:rFonts w:cs="Arial"/>
                <w:strike/>
                <w:highlight w:val="lightGray"/>
                <w:lang w:val="es-ES_tradnl"/>
              </w:rPr>
              <w:t>muy pequeño</w:t>
            </w:r>
          </w:p>
        </w:tc>
        <w:tc>
          <w:tcPr>
            <w:tcW w:w="1276" w:type="dxa"/>
          </w:tcPr>
          <w:p w14:paraId="7F7D76CC" w14:textId="77777777" w:rsidR="006B6FA8" w:rsidRPr="006B6FA8" w:rsidRDefault="006B6FA8" w:rsidP="006B6FA8">
            <w:pPr>
              <w:keepNext/>
              <w:jc w:val="center"/>
              <w:rPr>
                <w:rFonts w:cs="Arial"/>
                <w:strike/>
                <w:highlight w:val="lightGray"/>
                <w:lang w:val="es-ES_tradnl"/>
              </w:rPr>
            </w:pPr>
            <w:r w:rsidRPr="006B6FA8">
              <w:rPr>
                <w:rFonts w:cs="Arial"/>
                <w:strike/>
                <w:highlight w:val="lightGray"/>
                <w:lang w:val="es-ES_tradnl"/>
              </w:rPr>
              <w:t>1</w:t>
            </w:r>
          </w:p>
        </w:tc>
      </w:tr>
      <w:tr w:rsidR="006B6FA8" w:rsidRPr="006B6FA8" w14:paraId="1E299E8C" w14:textId="77777777" w:rsidTr="00D60821">
        <w:trPr>
          <w:jc w:val="center"/>
        </w:trPr>
        <w:tc>
          <w:tcPr>
            <w:tcW w:w="3049" w:type="dxa"/>
          </w:tcPr>
          <w:p w14:paraId="33867243" w14:textId="77777777" w:rsidR="006B6FA8" w:rsidRPr="006B6FA8" w:rsidRDefault="006B6FA8" w:rsidP="006B6FA8">
            <w:pPr>
              <w:keepNext/>
              <w:rPr>
                <w:rFonts w:cs="Arial"/>
                <w:strike/>
                <w:highlight w:val="lightGray"/>
                <w:lang w:val="es-ES_tradnl"/>
              </w:rPr>
            </w:pPr>
            <w:r w:rsidRPr="006B6FA8">
              <w:rPr>
                <w:rFonts w:cs="Arial"/>
                <w:strike/>
                <w:highlight w:val="lightGray"/>
                <w:lang w:val="es-ES_tradnl"/>
              </w:rPr>
              <w:t>muy pequeño a pequeño</w:t>
            </w:r>
          </w:p>
        </w:tc>
        <w:tc>
          <w:tcPr>
            <w:tcW w:w="1276" w:type="dxa"/>
          </w:tcPr>
          <w:p w14:paraId="47DA5632" w14:textId="77777777" w:rsidR="006B6FA8" w:rsidRPr="006B6FA8" w:rsidRDefault="006B6FA8" w:rsidP="006B6FA8">
            <w:pPr>
              <w:keepNext/>
              <w:jc w:val="center"/>
              <w:rPr>
                <w:rFonts w:cs="Arial"/>
                <w:strike/>
                <w:highlight w:val="lightGray"/>
                <w:lang w:val="es-ES_tradnl"/>
              </w:rPr>
            </w:pPr>
            <w:r w:rsidRPr="006B6FA8">
              <w:rPr>
                <w:rFonts w:cs="Arial"/>
                <w:strike/>
                <w:highlight w:val="lightGray"/>
                <w:lang w:val="es-ES_tradnl"/>
              </w:rPr>
              <w:t>2</w:t>
            </w:r>
          </w:p>
        </w:tc>
      </w:tr>
      <w:tr w:rsidR="006B6FA8" w:rsidRPr="006B6FA8" w14:paraId="10FCA8BD" w14:textId="77777777" w:rsidTr="00D60821">
        <w:trPr>
          <w:jc w:val="center"/>
        </w:trPr>
        <w:tc>
          <w:tcPr>
            <w:tcW w:w="3049" w:type="dxa"/>
          </w:tcPr>
          <w:p w14:paraId="3DB4274B" w14:textId="77777777" w:rsidR="006B6FA8" w:rsidRPr="006B6FA8" w:rsidRDefault="006B6FA8" w:rsidP="006B6FA8">
            <w:pPr>
              <w:keepNext/>
              <w:rPr>
                <w:rFonts w:cs="Arial"/>
                <w:strike/>
                <w:highlight w:val="lightGray"/>
                <w:lang w:val="es-ES_tradnl"/>
              </w:rPr>
            </w:pPr>
            <w:r w:rsidRPr="006B6FA8">
              <w:rPr>
                <w:rFonts w:cs="Arial"/>
                <w:strike/>
                <w:highlight w:val="lightGray"/>
                <w:lang w:val="es-ES_tradnl"/>
              </w:rPr>
              <w:t>pequeño</w:t>
            </w:r>
          </w:p>
        </w:tc>
        <w:tc>
          <w:tcPr>
            <w:tcW w:w="1276" w:type="dxa"/>
          </w:tcPr>
          <w:p w14:paraId="43543832" w14:textId="77777777" w:rsidR="006B6FA8" w:rsidRPr="006B6FA8" w:rsidRDefault="006B6FA8" w:rsidP="006B6FA8">
            <w:pPr>
              <w:keepNext/>
              <w:jc w:val="center"/>
              <w:rPr>
                <w:rFonts w:cs="Arial"/>
                <w:strike/>
                <w:highlight w:val="lightGray"/>
                <w:lang w:val="es-ES_tradnl"/>
              </w:rPr>
            </w:pPr>
            <w:r w:rsidRPr="006B6FA8">
              <w:rPr>
                <w:rFonts w:cs="Arial"/>
                <w:strike/>
                <w:highlight w:val="lightGray"/>
                <w:lang w:val="es-ES_tradnl"/>
              </w:rPr>
              <w:t>3</w:t>
            </w:r>
          </w:p>
        </w:tc>
      </w:tr>
      <w:tr w:rsidR="006B6FA8" w:rsidRPr="006B6FA8" w14:paraId="71860FF3" w14:textId="77777777" w:rsidTr="00D60821">
        <w:trPr>
          <w:jc w:val="center"/>
        </w:trPr>
        <w:tc>
          <w:tcPr>
            <w:tcW w:w="3049" w:type="dxa"/>
          </w:tcPr>
          <w:p w14:paraId="47E21494" w14:textId="77777777" w:rsidR="006B6FA8" w:rsidRPr="006B6FA8" w:rsidRDefault="006B6FA8" w:rsidP="006B6FA8">
            <w:pPr>
              <w:keepNext/>
              <w:rPr>
                <w:rFonts w:cs="Arial"/>
                <w:strike/>
                <w:highlight w:val="lightGray"/>
                <w:lang w:val="es-ES_tradnl"/>
              </w:rPr>
            </w:pPr>
            <w:r w:rsidRPr="006B6FA8">
              <w:rPr>
                <w:rFonts w:cs="Arial"/>
                <w:strike/>
                <w:highlight w:val="lightGray"/>
                <w:lang w:val="es-ES_tradnl"/>
              </w:rPr>
              <w:t>pequeño a mediano</w:t>
            </w:r>
          </w:p>
        </w:tc>
        <w:tc>
          <w:tcPr>
            <w:tcW w:w="1276" w:type="dxa"/>
          </w:tcPr>
          <w:p w14:paraId="473C5B44" w14:textId="77777777" w:rsidR="006B6FA8" w:rsidRPr="006B6FA8" w:rsidRDefault="006B6FA8" w:rsidP="006B6FA8">
            <w:pPr>
              <w:keepNext/>
              <w:jc w:val="center"/>
              <w:rPr>
                <w:rFonts w:cs="Arial"/>
                <w:strike/>
                <w:highlight w:val="lightGray"/>
                <w:lang w:val="es-ES_tradnl"/>
              </w:rPr>
            </w:pPr>
            <w:r w:rsidRPr="006B6FA8">
              <w:rPr>
                <w:rFonts w:cs="Arial"/>
                <w:strike/>
                <w:highlight w:val="lightGray"/>
                <w:lang w:val="es-ES_tradnl"/>
              </w:rPr>
              <w:t>4</w:t>
            </w:r>
          </w:p>
        </w:tc>
      </w:tr>
      <w:tr w:rsidR="006B6FA8" w:rsidRPr="006B6FA8" w14:paraId="3D2EF91A" w14:textId="77777777" w:rsidTr="00D60821">
        <w:trPr>
          <w:jc w:val="center"/>
        </w:trPr>
        <w:tc>
          <w:tcPr>
            <w:tcW w:w="3049" w:type="dxa"/>
          </w:tcPr>
          <w:p w14:paraId="3F1ECBB9" w14:textId="77777777" w:rsidR="006B6FA8" w:rsidRPr="006B6FA8" w:rsidRDefault="006B6FA8" w:rsidP="006B6FA8">
            <w:pPr>
              <w:keepNext/>
              <w:rPr>
                <w:rFonts w:cs="Arial"/>
                <w:strike/>
                <w:highlight w:val="lightGray"/>
                <w:lang w:val="es-ES_tradnl"/>
              </w:rPr>
            </w:pPr>
            <w:r w:rsidRPr="006B6FA8">
              <w:rPr>
                <w:rFonts w:cs="Arial"/>
                <w:strike/>
                <w:highlight w:val="lightGray"/>
                <w:lang w:val="es-ES_tradnl"/>
              </w:rPr>
              <w:t>mediano</w:t>
            </w:r>
          </w:p>
        </w:tc>
        <w:tc>
          <w:tcPr>
            <w:tcW w:w="1276" w:type="dxa"/>
          </w:tcPr>
          <w:p w14:paraId="1B7A4828" w14:textId="77777777" w:rsidR="006B6FA8" w:rsidRPr="006B6FA8" w:rsidRDefault="006B6FA8" w:rsidP="006B6FA8">
            <w:pPr>
              <w:keepNext/>
              <w:jc w:val="center"/>
              <w:rPr>
                <w:rFonts w:cs="Arial"/>
                <w:strike/>
                <w:highlight w:val="lightGray"/>
                <w:lang w:val="es-ES_tradnl"/>
              </w:rPr>
            </w:pPr>
            <w:r w:rsidRPr="006B6FA8">
              <w:rPr>
                <w:rFonts w:cs="Arial"/>
                <w:strike/>
                <w:highlight w:val="lightGray"/>
                <w:lang w:val="es-ES_tradnl"/>
              </w:rPr>
              <w:t>5</w:t>
            </w:r>
          </w:p>
        </w:tc>
      </w:tr>
      <w:tr w:rsidR="006B6FA8" w:rsidRPr="006B6FA8" w14:paraId="42C511CA" w14:textId="77777777" w:rsidTr="00D60821">
        <w:trPr>
          <w:jc w:val="center"/>
        </w:trPr>
        <w:tc>
          <w:tcPr>
            <w:tcW w:w="3049" w:type="dxa"/>
          </w:tcPr>
          <w:p w14:paraId="4E173ABA" w14:textId="77777777" w:rsidR="006B6FA8" w:rsidRPr="006B6FA8" w:rsidRDefault="006B6FA8" w:rsidP="006B6FA8">
            <w:pPr>
              <w:keepNext/>
              <w:rPr>
                <w:rFonts w:cs="Arial"/>
                <w:strike/>
                <w:highlight w:val="lightGray"/>
                <w:lang w:val="es-ES_tradnl"/>
              </w:rPr>
            </w:pPr>
            <w:r w:rsidRPr="006B6FA8">
              <w:rPr>
                <w:rFonts w:cs="Arial"/>
                <w:strike/>
                <w:highlight w:val="lightGray"/>
                <w:lang w:val="es-ES_tradnl"/>
              </w:rPr>
              <w:t>mediano a grande</w:t>
            </w:r>
          </w:p>
        </w:tc>
        <w:tc>
          <w:tcPr>
            <w:tcW w:w="1276" w:type="dxa"/>
          </w:tcPr>
          <w:p w14:paraId="6C34DB11" w14:textId="77777777" w:rsidR="006B6FA8" w:rsidRPr="006B6FA8" w:rsidRDefault="006B6FA8" w:rsidP="006B6FA8">
            <w:pPr>
              <w:keepNext/>
              <w:jc w:val="center"/>
              <w:rPr>
                <w:rFonts w:cs="Arial"/>
                <w:strike/>
                <w:highlight w:val="lightGray"/>
                <w:lang w:val="es-ES_tradnl"/>
              </w:rPr>
            </w:pPr>
            <w:r w:rsidRPr="006B6FA8">
              <w:rPr>
                <w:rFonts w:cs="Arial"/>
                <w:strike/>
                <w:highlight w:val="lightGray"/>
                <w:lang w:val="es-ES_tradnl"/>
              </w:rPr>
              <w:t>6</w:t>
            </w:r>
          </w:p>
        </w:tc>
      </w:tr>
      <w:tr w:rsidR="006B6FA8" w:rsidRPr="006B6FA8" w14:paraId="067BDC6F" w14:textId="77777777" w:rsidTr="00D60821">
        <w:trPr>
          <w:jc w:val="center"/>
        </w:trPr>
        <w:tc>
          <w:tcPr>
            <w:tcW w:w="3049" w:type="dxa"/>
          </w:tcPr>
          <w:p w14:paraId="1D483A8B" w14:textId="77777777" w:rsidR="006B6FA8" w:rsidRPr="006B6FA8" w:rsidRDefault="006B6FA8" w:rsidP="006B6FA8">
            <w:pPr>
              <w:keepNext/>
              <w:rPr>
                <w:rFonts w:cs="Arial"/>
                <w:strike/>
                <w:highlight w:val="lightGray"/>
                <w:lang w:val="es-ES_tradnl"/>
              </w:rPr>
            </w:pPr>
            <w:r w:rsidRPr="006B6FA8">
              <w:rPr>
                <w:rFonts w:cs="Arial"/>
                <w:strike/>
                <w:highlight w:val="lightGray"/>
                <w:lang w:val="es-ES_tradnl"/>
              </w:rPr>
              <w:t>grande</w:t>
            </w:r>
          </w:p>
        </w:tc>
        <w:tc>
          <w:tcPr>
            <w:tcW w:w="1276" w:type="dxa"/>
          </w:tcPr>
          <w:p w14:paraId="76FA96E6" w14:textId="77777777" w:rsidR="006B6FA8" w:rsidRPr="006B6FA8" w:rsidRDefault="006B6FA8" w:rsidP="006B6FA8">
            <w:pPr>
              <w:keepNext/>
              <w:jc w:val="center"/>
              <w:rPr>
                <w:rFonts w:cs="Arial"/>
                <w:strike/>
                <w:highlight w:val="lightGray"/>
                <w:lang w:val="es-ES_tradnl"/>
              </w:rPr>
            </w:pPr>
            <w:r w:rsidRPr="006B6FA8">
              <w:rPr>
                <w:rFonts w:cs="Arial"/>
                <w:strike/>
                <w:highlight w:val="lightGray"/>
                <w:lang w:val="es-ES_tradnl"/>
              </w:rPr>
              <w:t>7</w:t>
            </w:r>
          </w:p>
        </w:tc>
      </w:tr>
      <w:tr w:rsidR="006B6FA8" w:rsidRPr="006B6FA8" w14:paraId="09031DC0" w14:textId="77777777" w:rsidTr="00D60821">
        <w:trPr>
          <w:jc w:val="center"/>
        </w:trPr>
        <w:tc>
          <w:tcPr>
            <w:tcW w:w="3049" w:type="dxa"/>
          </w:tcPr>
          <w:p w14:paraId="58C450EF" w14:textId="77777777" w:rsidR="006B6FA8" w:rsidRPr="006B6FA8" w:rsidRDefault="006B6FA8" w:rsidP="006B6FA8">
            <w:pPr>
              <w:keepNext/>
              <w:rPr>
                <w:rFonts w:cs="Arial"/>
                <w:strike/>
                <w:highlight w:val="lightGray"/>
                <w:lang w:val="es-ES_tradnl"/>
              </w:rPr>
            </w:pPr>
            <w:r w:rsidRPr="006B6FA8">
              <w:rPr>
                <w:rFonts w:cs="Arial"/>
                <w:strike/>
                <w:highlight w:val="lightGray"/>
                <w:lang w:val="es-ES_tradnl"/>
              </w:rPr>
              <w:t>grande a muy grande</w:t>
            </w:r>
          </w:p>
        </w:tc>
        <w:tc>
          <w:tcPr>
            <w:tcW w:w="1276" w:type="dxa"/>
          </w:tcPr>
          <w:p w14:paraId="7E61CD04" w14:textId="77777777" w:rsidR="006B6FA8" w:rsidRPr="006B6FA8" w:rsidRDefault="006B6FA8" w:rsidP="006B6FA8">
            <w:pPr>
              <w:keepNext/>
              <w:jc w:val="center"/>
              <w:rPr>
                <w:rFonts w:cs="Arial"/>
                <w:strike/>
                <w:highlight w:val="lightGray"/>
                <w:lang w:val="es-ES_tradnl"/>
              </w:rPr>
            </w:pPr>
            <w:r w:rsidRPr="006B6FA8">
              <w:rPr>
                <w:rFonts w:cs="Arial"/>
                <w:strike/>
                <w:highlight w:val="lightGray"/>
                <w:lang w:val="es-ES_tradnl"/>
              </w:rPr>
              <w:t>8</w:t>
            </w:r>
          </w:p>
        </w:tc>
      </w:tr>
      <w:tr w:rsidR="006B6FA8" w:rsidRPr="006B6FA8" w14:paraId="00ACA0C9" w14:textId="77777777" w:rsidTr="00D60821">
        <w:trPr>
          <w:jc w:val="center"/>
        </w:trPr>
        <w:tc>
          <w:tcPr>
            <w:tcW w:w="3049" w:type="dxa"/>
          </w:tcPr>
          <w:p w14:paraId="5798F5A3" w14:textId="77777777" w:rsidR="006B6FA8" w:rsidRPr="006B6FA8" w:rsidRDefault="006B6FA8" w:rsidP="006B6FA8">
            <w:pPr>
              <w:rPr>
                <w:rFonts w:cs="Arial"/>
                <w:strike/>
                <w:highlight w:val="lightGray"/>
                <w:lang w:val="es-ES_tradnl"/>
              </w:rPr>
            </w:pPr>
            <w:r w:rsidRPr="006B6FA8">
              <w:rPr>
                <w:rFonts w:cs="Arial"/>
                <w:strike/>
                <w:highlight w:val="lightGray"/>
                <w:lang w:val="es-ES_tradnl"/>
              </w:rPr>
              <w:t>muy grande</w:t>
            </w:r>
          </w:p>
        </w:tc>
        <w:tc>
          <w:tcPr>
            <w:tcW w:w="1276" w:type="dxa"/>
          </w:tcPr>
          <w:p w14:paraId="22145279" w14:textId="77777777" w:rsidR="006B6FA8" w:rsidRPr="006B6FA8" w:rsidRDefault="006B6FA8" w:rsidP="006B6FA8">
            <w:pPr>
              <w:jc w:val="center"/>
              <w:rPr>
                <w:rFonts w:cs="Arial"/>
                <w:strike/>
                <w:lang w:val="es-ES_tradnl"/>
              </w:rPr>
            </w:pPr>
            <w:r w:rsidRPr="006B6FA8">
              <w:rPr>
                <w:rFonts w:cs="Arial"/>
                <w:strike/>
                <w:highlight w:val="lightGray"/>
                <w:lang w:val="es-ES_tradnl"/>
              </w:rPr>
              <w:t>9</w:t>
            </w:r>
          </w:p>
        </w:tc>
      </w:tr>
    </w:tbl>
    <w:p w14:paraId="79A0F4AA" w14:textId="77777777" w:rsidR="006B6FA8" w:rsidRPr="006B6FA8" w:rsidRDefault="006B6FA8" w:rsidP="006B6FA8">
      <w:pPr>
        <w:ind w:left="567"/>
        <w:rPr>
          <w:rFonts w:cs="Arial"/>
          <w:lang w:val="es-ES_tradnl"/>
        </w:rPr>
      </w:pPr>
    </w:p>
    <w:p w14:paraId="2ED72010" w14:textId="77777777" w:rsidR="006B6FA8" w:rsidRPr="006B6FA8" w:rsidRDefault="006B6FA8" w:rsidP="006B6FA8">
      <w:pPr>
        <w:ind w:left="567"/>
        <w:rPr>
          <w:rFonts w:cs="Arial"/>
          <w:lang w:val="es-ES_tradnl"/>
        </w:rPr>
      </w:pPr>
      <w:r w:rsidRPr="006B6FA8">
        <w:rPr>
          <w:rFonts w:cs="Arial"/>
          <w:lang w:val="es-ES_tradnl"/>
        </w:rPr>
        <w:t>6.2.3</w:t>
      </w:r>
      <w:r w:rsidRPr="006B6FA8">
        <w:rPr>
          <w:rFonts w:cs="Arial"/>
          <w:lang w:val="es-ES_tradnl"/>
        </w:rPr>
        <w:tab/>
        <w:t>Explicaciones más exhaustivas relativas a la presentación de los niveles de expresión y de las notas figuran en el documento TGP/7 “Elaboración de las directrices de examen”.</w:t>
      </w:r>
    </w:p>
    <w:p w14:paraId="0DF5C009" w14:textId="77777777" w:rsidR="006B6FA8" w:rsidRPr="006B6FA8" w:rsidRDefault="006B6FA8" w:rsidP="006B6FA8">
      <w:pPr>
        <w:ind w:left="567"/>
        <w:rPr>
          <w:lang w:val="es-ES_tradnl"/>
        </w:rPr>
      </w:pPr>
    </w:p>
    <w:p w14:paraId="27D4D1EB" w14:textId="77777777" w:rsidR="006B6FA8" w:rsidRPr="006B6FA8" w:rsidRDefault="006B6FA8" w:rsidP="006B6FA8">
      <w:pPr>
        <w:ind w:left="567"/>
        <w:rPr>
          <w:lang w:val="es-ES_tradnl"/>
        </w:rPr>
      </w:pPr>
    </w:p>
    <w:p w14:paraId="2A85E423" w14:textId="77777777" w:rsidR="006B6FA8" w:rsidRPr="006B6FA8" w:rsidRDefault="006B6FA8" w:rsidP="006B6FA8">
      <w:pPr>
        <w:ind w:left="567"/>
        <w:rPr>
          <w:u w:val="single"/>
          <w:lang w:val="es-ES_tradnl"/>
        </w:rPr>
      </w:pPr>
      <w:r w:rsidRPr="006B6FA8">
        <w:rPr>
          <w:u w:val="single"/>
          <w:lang w:val="es-ES_tradnl"/>
        </w:rPr>
        <w:t>Extracto del ANEXO 3:  NOTAS ORIENTATIVAS (GN)</w:t>
      </w:r>
    </w:p>
    <w:p w14:paraId="6D8DDC4B" w14:textId="77777777" w:rsidR="006B6FA8" w:rsidRPr="006B6FA8" w:rsidRDefault="006B6FA8" w:rsidP="006B6FA8">
      <w:pPr>
        <w:ind w:left="567"/>
        <w:rPr>
          <w:lang w:val="es-ES_tradnl"/>
        </w:rPr>
      </w:pPr>
    </w:p>
    <w:p w14:paraId="76491152" w14:textId="77777777" w:rsidR="006B6FA8" w:rsidRPr="006B6FA8" w:rsidRDefault="006B6FA8" w:rsidP="006B6FA8">
      <w:pPr>
        <w:tabs>
          <w:tab w:val="left" w:pos="1276"/>
        </w:tabs>
        <w:ind w:left="567"/>
        <w:rPr>
          <w:u w:val="single"/>
          <w:lang w:val="es-ES_tradnl"/>
        </w:rPr>
      </w:pPr>
      <w:bookmarkStart w:id="75" w:name="_Toc64717295"/>
      <w:bookmarkStart w:id="76" w:name="_Toc258923899"/>
      <w:bookmarkStart w:id="77" w:name="_Toc13659184"/>
      <w:r w:rsidRPr="006B6FA8">
        <w:rPr>
          <w:u w:val="single"/>
          <w:lang w:val="es-ES_tradnl"/>
        </w:rPr>
        <w:t>GN 20</w:t>
      </w:r>
      <w:r w:rsidRPr="006B6FA8">
        <w:rPr>
          <w:u w:val="single"/>
          <w:lang w:val="es-ES_tradnl"/>
        </w:rPr>
        <w:tab/>
        <w:t>(Capítulo 7) – Presentación de los caracteres:  niveles de expresión de conformidad con el tipo de expresión de un carácter</w:t>
      </w:r>
      <w:bookmarkEnd w:id="75"/>
      <w:bookmarkEnd w:id="76"/>
      <w:bookmarkEnd w:id="77"/>
    </w:p>
    <w:p w14:paraId="6C2A5C2A" w14:textId="77777777" w:rsidR="006B6FA8" w:rsidRPr="006B6FA8" w:rsidRDefault="006B6FA8" w:rsidP="006B6FA8">
      <w:pPr>
        <w:ind w:left="567"/>
        <w:rPr>
          <w:lang w:val="es-ES_tradnl"/>
        </w:rPr>
      </w:pPr>
    </w:p>
    <w:p w14:paraId="301EAE52" w14:textId="77777777" w:rsidR="006B6FA8" w:rsidRPr="006B6FA8" w:rsidRDefault="006B6FA8" w:rsidP="006B6FA8">
      <w:pPr>
        <w:ind w:left="567"/>
        <w:rPr>
          <w:lang w:val="es-ES_tradnl"/>
        </w:rPr>
      </w:pPr>
      <w:r w:rsidRPr="006B6FA8">
        <w:rPr>
          <w:lang w:val="es-ES_tradnl"/>
        </w:rPr>
        <w:t>[…]</w:t>
      </w:r>
    </w:p>
    <w:p w14:paraId="24124B65" w14:textId="77777777" w:rsidR="006B6FA8" w:rsidRPr="006B6FA8" w:rsidRDefault="006B6FA8" w:rsidP="006B6FA8">
      <w:pPr>
        <w:ind w:left="567"/>
        <w:rPr>
          <w:lang w:val="es-ES_tradnl"/>
        </w:rPr>
      </w:pPr>
    </w:p>
    <w:p w14:paraId="6CE31FBB" w14:textId="77777777" w:rsidR="006B6FA8" w:rsidRPr="006B6FA8" w:rsidRDefault="006B6FA8" w:rsidP="006B6FA8">
      <w:pPr>
        <w:ind w:left="567"/>
        <w:rPr>
          <w:i/>
          <w:lang w:val="es-ES_tradnl"/>
        </w:rPr>
      </w:pPr>
      <w:bookmarkStart w:id="78" w:name="_Toc24250515"/>
      <w:bookmarkStart w:id="79" w:name="_Toc27819250"/>
      <w:bookmarkStart w:id="80" w:name="_Toc27819431"/>
      <w:bookmarkStart w:id="81" w:name="_Toc27819612"/>
      <w:bookmarkStart w:id="82" w:name="_Toc40697296"/>
      <w:r w:rsidRPr="006B6FA8">
        <w:rPr>
          <w:i/>
          <w:lang w:val="es-ES_tradnl"/>
        </w:rPr>
        <w:t>3.3</w:t>
      </w:r>
      <w:r w:rsidRPr="006B6FA8">
        <w:rPr>
          <w:i/>
          <w:lang w:val="es-ES_tradnl"/>
        </w:rPr>
        <w:tab/>
      </w:r>
      <w:bookmarkEnd w:id="78"/>
      <w:bookmarkEnd w:id="79"/>
      <w:bookmarkEnd w:id="80"/>
      <w:bookmarkEnd w:id="81"/>
      <w:bookmarkEnd w:id="82"/>
      <w:r w:rsidRPr="006B6FA8">
        <w:rPr>
          <w:i/>
          <w:lang w:val="es-ES_tradnl"/>
        </w:rPr>
        <w:t>Escala de “1 a 9”</w:t>
      </w:r>
    </w:p>
    <w:p w14:paraId="6045320E" w14:textId="77777777" w:rsidR="006B6FA8" w:rsidRPr="006B6FA8" w:rsidRDefault="006B6FA8" w:rsidP="006B6FA8">
      <w:pPr>
        <w:ind w:left="567"/>
        <w:rPr>
          <w:lang w:val="es-ES_tradnl"/>
        </w:rPr>
      </w:pPr>
    </w:p>
    <w:p w14:paraId="599E3D4B" w14:textId="77777777" w:rsidR="006B6FA8" w:rsidRPr="006B6FA8" w:rsidRDefault="006B6FA8" w:rsidP="006B6FA8">
      <w:pPr>
        <w:ind w:left="1134"/>
        <w:rPr>
          <w:u w:val="single"/>
          <w:lang w:val="es-ES_tradnl"/>
        </w:rPr>
      </w:pPr>
      <w:bookmarkStart w:id="83" w:name="_Toc24250516"/>
      <w:bookmarkStart w:id="84" w:name="_Toc27819251"/>
      <w:bookmarkStart w:id="85" w:name="_Toc27819432"/>
      <w:bookmarkStart w:id="86" w:name="_Toc27819613"/>
      <w:r w:rsidRPr="006B6FA8">
        <w:rPr>
          <w:u w:val="single"/>
          <w:lang w:val="es-ES_tradnl"/>
        </w:rPr>
        <w:t>3.3.1</w:t>
      </w:r>
      <w:r w:rsidRPr="006B6FA8">
        <w:rPr>
          <w:u w:val="single"/>
          <w:lang w:val="es-ES_tradnl"/>
        </w:rPr>
        <w:tab/>
        <w:t>Introducción</w:t>
      </w:r>
      <w:bookmarkEnd w:id="83"/>
      <w:bookmarkEnd w:id="84"/>
      <w:bookmarkEnd w:id="85"/>
      <w:bookmarkEnd w:id="86"/>
    </w:p>
    <w:p w14:paraId="26A249E7" w14:textId="77777777" w:rsidR="006B6FA8" w:rsidRPr="006B6FA8" w:rsidRDefault="006B6FA8" w:rsidP="006B6FA8">
      <w:pPr>
        <w:ind w:left="567"/>
        <w:rPr>
          <w:lang w:val="es-ES_tradnl"/>
        </w:rPr>
      </w:pPr>
    </w:p>
    <w:p w14:paraId="3AF9ECB9" w14:textId="77777777" w:rsidR="006B6FA8" w:rsidRPr="006B6FA8" w:rsidRDefault="006B6FA8" w:rsidP="006B6FA8">
      <w:pPr>
        <w:ind w:left="567"/>
        <w:rPr>
          <w:lang w:val="es-ES_tradnl"/>
        </w:rPr>
      </w:pPr>
      <w:r w:rsidRPr="006B6FA8">
        <w:rPr>
          <w:lang w:val="es-ES_tradnl"/>
        </w:rPr>
        <w:t>[…]</w:t>
      </w:r>
    </w:p>
    <w:p w14:paraId="20FB4BD4" w14:textId="77777777" w:rsidR="006B6FA8" w:rsidRPr="006B6FA8" w:rsidRDefault="006B6FA8" w:rsidP="006B6FA8">
      <w:pPr>
        <w:ind w:left="567"/>
        <w:rPr>
          <w:lang w:val="es-ES_tradnl"/>
        </w:rPr>
      </w:pPr>
    </w:p>
    <w:p w14:paraId="6398B697" w14:textId="77777777" w:rsidR="006B6FA8" w:rsidRPr="006B6FA8" w:rsidRDefault="006B6FA8" w:rsidP="006B6FA8">
      <w:pPr>
        <w:ind w:left="567"/>
        <w:rPr>
          <w:strike/>
          <w:lang w:val="es-ES_tradnl"/>
        </w:rPr>
      </w:pPr>
      <w:r w:rsidRPr="006B6FA8">
        <w:rPr>
          <w:strike/>
          <w:highlight w:val="lightGray"/>
          <w:lang w:val="es-ES_tradnl"/>
        </w:rPr>
        <w:t>3.3.1.3</w:t>
      </w:r>
      <w:r w:rsidRPr="006B6FA8">
        <w:rPr>
          <w:strike/>
          <w:highlight w:val="lightGray"/>
          <w:lang w:val="es-ES_tradnl"/>
        </w:rPr>
        <w:tab/>
        <w:t>Ahora bien, no es necesario presentar los nueve niveles de expresión en la tabla de caracteres y suele ser más apropiado utilizar las siguientes versiones abreviadas:</w:t>
      </w:r>
    </w:p>
    <w:p w14:paraId="74A1AFFF" w14:textId="77777777" w:rsidR="006B6FA8" w:rsidRPr="006B6FA8" w:rsidRDefault="006B6FA8" w:rsidP="006B6FA8">
      <w:pPr>
        <w:tabs>
          <w:tab w:val="left" w:pos="993"/>
        </w:tabs>
        <w:ind w:left="567"/>
        <w:rPr>
          <w:rFonts w:cs="Arial"/>
          <w:strike/>
          <w:lang w:val="es-ES_tradnl"/>
        </w:rPr>
      </w:pPr>
    </w:p>
    <w:tbl>
      <w:tblPr>
        <w:tblW w:w="928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83"/>
        <w:gridCol w:w="2552"/>
        <w:gridCol w:w="283"/>
        <w:gridCol w:w="1701"/>
        <w:gridCol w:w="284"/>
        <w:gridCol w:w="1632"/>
      </w:tblGrid>
      <w:tr w:rsidR="006B6FA8" w:rsidRPr="006B6FA8" w14:paraId="0B6BB85B" w14:textId="77777777" w:rsidTr="00D60821">
        <w:tc>
          <w:tcPr>
            <w:tcW w:w="2552" w:type="dxa"/>
          </w:tcPr>
          <w:p w14:paraId="79E9AE1D" w14:textId="77777777" w:rsidR="006B6FA8" w:rsidRPr="006B6FA8" w:rsidRDefault="006B6FA8" w:rsidP="006B6FA8">
            <w:pPr>
              <w:keepNext/>
              <w:ind w:left="426" w:hanging="426"/>
              <w:jc w:val="center"/>
              <w:rPr>
                <w:rFonts w:cs="Arial"/>
                <w:b/>
                <w:strike/>
                <w:sz w:val="18"/>
                <w:highlight w:val="lightGray"/>
                <w:lang w:val="es-ES_tradnl"/>
              </w:rPr>
            </w:pPr>
            <w:r w:rsidRPr="006B6FA8">
              <w:rPr>
                <w:rFonts w:cs="Arial"/>
                <w:b/>
                <w:strike/>
                <w:sz w:val="18"/>
                <w:highlight w:val="lightGray"/>
                <w:lang w:val="es-ES_tradnl"/>
              </w:rPr>
              <w:t>Gama estándar</w:t>
            </w:r>
          </w:p>
          <w:p w14:paraId="14C97EB5" w14:textId="77777777" w:rsidR="006B6FA8" w:rsidRPr="006B6FA8" w:rsidRDefault="006B6FA8" w:rsidP="006B6FA8">
            <w:pPr>
              <w:keepNext/>
              <w:ind w:left="426" w:hanging="426"/>
              <w:jc w:val="center"/>
              <w:rPr>
                <w:rFonts w:cs="Arial"/>
                <w:b/>
                <w:strike/>
                <w:sz w:val="18"/>
                <w:highlight w:val="lightGray"/>
                <w:lang w:val="es-ES_tradnl"/>
              </w:rPr>
            </w:pPr>
            <w:r w:rsidRPr="006B6FA8">
              <w:rPr>
                <w:rFonts w:cs="Arial"/>
                <w:b/>
                <w:strike/>
                <w:sz w:val="18"/>
                <w:highlight w:val="lightGray"/>
                <w:lang w:val="es-ES_tradnl"/>
              </w:rPr>
              <w:t>Versión 1</w:t>
            </w:r>
          </w:p>
          <w:p w14:paraId="110E9616" w14:textId="77777777" w:rsidR="006B6FA8" w:rsidRPr="006B6FA8" w:rsidRDefault="006B6FA8" w:rsidP="006B6FA8">
            <w:pPr>
              <w:keepNext/>
              <w:ind w:left="426" w:hanging="426"/>
              <w:jc w:val="center"/>
              <w:rPr>
                <w:rFonts w:cs="Arial"/>
                <w:b/>
                <w:strike/>
                <w:sz w:val="18"/>
                <w:highlight w:val="lightGray"/>
                <w:lang w:val="es-ES_tradnl"/>
              </w:rPr>
            </w:pPr>
          </w:p>
        </w:tc>
        <w:tc>
          <w:tcPr>
            <w:tcW w:w="283" w:type="dxa"/>
            <w:tcBorders>
              <w:top w:val="nil"/>
              <w:bottom w:val="nil"/>
            </w:tcBorders>
          </w:tcPr>
          <w:p w14:paraId="77A08389" w14:textId="77777777" w:rsidR="006B6FA8" w:rsidRPr="006B6FA8" w:rsidRDefault="006B6FA8" w:rsidP="006B6FA8">
            <w:pPr>
              <w:keepNext/>
              <w:ind w:left="426" w:hanging="426"/>
              <w:rPr>
                <w:rFonts w:cs="Arial"/>
                <w:strike/>
                <w:sz w:val="18"/>
                <w:highlight w:val="lightGray"/>
                <w:lang w:val="es-ES_tradnl"/>
              </w:rPr>
            </w:pPr>
          </w:p>
        </w:tc>
        <w:tc>
          <w:tcPr>
            <w:tcW w:w="2552" w:type="dxa"/>
          </w:tcPr>
          <w:p w14:paraId="63E30BCA" w14:textId="77777777" w:rsidR="006B6FA8" w:rsidRPr="006B6FA8" w:rsidRDefault="006B6FA8" w:rsidP="006B6FA8">
            <w:pPr>
              <w:keepNext/>
              <w:ind w:left="426" w:hanging="426"/>
              <w:jc w:val="center"/>
              <w:rPr>
                <w:rFonts w:cs="Arial"/>
                <w:b/>
                <w:strike/>
                <w:sz w:val="18"/>
                <w:highlight w:val="lightGray"/>
                <w:lang w:val="es-ES_tradnl"/>
              </w:rPr>
            </w:pPr>
            <w:r w:rsidRPr="006B6FA8">
              <w:rPr>
                <w:rFonts w:cs="Arial"/>
                <w:b/>
                <w:strike/>
                <w:sz w:val="18"/>
                <w:highlight w:val="lightGray"/>
                <w:lang w:val="es-ES_tradnl"/>
              </w:rPr>
              <w:t xml:space="preserve">Gama estándar </w:t>
            </w:r>
          </w:p>
          <w:p w14:paraId="18482950" w14:textId="77777777" w:rsidR="006B6FA8" w:rsidRPr="006B6FA8" w:rsidRDefault="006B6FA8" w:rsidP="006B6FA8">
            <w:pPr>
              <w:keepNext/>
              <w:ind w:left="426" w:hanging="426"/>
              <w:jc w:val="center"/>
              <w:rPr>
                <w:rFonts w:cs="Arial"/>
                <w:b/>
                <w:strike/>
                <w:sz w:val="18"/>
                <w:highlight w:val="lightGray"/>
                <w:lang w:val="es-ES_tradnl"/>
              </w:rPr>
            </w:pPr>
            <w:r w:rsidRPr="006B6FA8">
              <w:rPr>
                <w:rFonts w:cs="Arial"/>
                <w:b/>
                <w:strike/>
                <w:sz w:val="18"/>
                <w:highlight w:val="lightGray"/>
                <w:lang w:val="es-ES_tradnl"/>
              </w:rPr>
              <w:t>Versión 2</w:t>
            </w:r>
          </w:p>
          <w:p w14:paraId="2365AF3E" w14:textId="77777777" w:rsidR="006B6FA8" w:rsidRPr="006B6FA8" w:rsidRDefault="006B6FA8" w:rsidP="006B6FA8">
            <w:pPr>
              <w:keepNext/>
              <w:ind w:left="426" w:hanging="426"/>
              <w:jc w:val="center"/>
              <w:rPr>
                <w:rFonts w:cs="Arial"/>
                <w:strike/>
                <w:sz w:val="18"/>
                <w:highlight w:val="lightGray"/>
                <w:lang w:val="es-ES_tradnl"/>
              </w:rPr>
            </w:pPr>
          </w:p>
        </w:tc>
        <w:tc>
          <w:tcPr>
            <w:tcW w:w="283" w:type="dxa"/>
            <w:tcBorders>
              <w:top w:val="nil"/>
              <w:bottom w:val="nil"/>
            </w:tcBorders>
          </w:tcPr>
          <w:p w14:paraId="0F009473" w14:textId="77777777" w:rsidR="006B6FA8" w:rsidRPr="006B6FA8" w:rsidRDefault="006B6FA8" w:rsidP="006B6FA8">
            <w:pPr>
              <w:keepNext/>
              <w:rPr>
                <w:rFonts w:cs="Arial"/>
                <w:strike/>
                <w:sz w:val="18"/>
                <w:highlight w:val="lightGray"/>
                <w:lang w:val="es-ES_tradnl"/>
              </w:rPr>
            </w:pPr>
          </w:p>
        </w:tc>
        <w:tc>
          <w:tcPr>
            <w:tcW w:w="1701" w:type="dxa"/>
          </w:tcPr>
          <w:p w14:paraId="244BB8BA" w14:textId="77777777" w:rsidR="006B6FA8" w:rsidRPr="006B6FA8" w:rsidRDefault="006B6FA8" w:rsidP="006B6FA8">
            <w:pPr>
              <w:keepNext/>
              <w:jc w:val="center"/>
              <w:rPr>
                <w:rFonts w:cs="Arial"/>
                <w:b/>
                <w:strike/>
                <w:sz w:val="18"/>
                <w:highlight w:val="lightGray"/>
                <w:lang w:val="es-ES_tradnl"/>
              </w:rPr>
            </w:pPr>
            <w:r w:rsidRPr="006B6FA8">
              <w:rPr>
                <w:rFonts w:cs="Arial"/>
                <w:b/>
                <w:strike/>
                <w:sz w:val="18"/>
                <w:highlight w:val="lightGray"/>
                <w:lang w:val="es-ES_tradnl"/>
              </w:rPr>
              <w:t xml:space="preserve">Gama estándar </w:t>
            </w:r>
          </w:p>
          <w:p w14:paraId="07FA6CD9" w14:textId="77777777" w:rsidR="006B6FA8" w:rsidRPr="006B6FA8" w:rsidRDefault="006B6FA8" w:rsidP="006B6FA8">
            <w:pPr>
              <w:keepNext/>
              <w:jc w:val="center"/>
              <w:rPr>
                <w:rFonts w:cs="Arial"/>
                <w:strike/>
                <w:sz w:val="18"/>
                <w:highlight w:val="lightGray"/>
                <w:lang w:val="es-ES_tradnl"/>
              </w:rPr>
            </w:pPr>
            <w:r w:rsidRPr="006B6FA8">
              <w:rPr>
                <w:rFonts w:cs="Arial"/>
                <w:b/>
                <w:strike/>
                <w:sz w:val="18"/>
                <w:highlight w:val="lightGray"/>
                <w:lang w:val="es-ES_tradnl"/>
              </w:rPr>
              <w:t>Versión 3</w:t>
            </w:r>
          </w:p>
        </w:tc>
        <w:tc>
          <w:tcPr>
            <w:tcW w:w="284" w:type="dxa"/>
            <w:tcBorders>
              <w:top w:val="nil"/>
              <w:bottom w:val="nil"/>
            </w:tcBorders>
          </w:tcPr>
          <w:p w14:paraId="2D2E79EE" w14:textId="77777777" w:rsidR="006B6FA8" w:rsidRPr="006B6FA8" w:rsidRDefault="006B6FA8" w:rsidP="006B6FA8">
            <w:pPr>
              <w:keepNext/>
              <w:jc w:val="center"/>
              <w:rPr>
                <w:rFonts w:cs="Arial"/>
                <w:b/>
                <w:strike/>
                <w:sz w:val="18"/>
                <w:highlight w:val="lightGray"/>
                <w:lang w:val="es-ES_tradnl"/>
              </w:rPr>
            </w:pPr>
          </w:p>
        </w:tc>
        <w:tc>
          <w:tcPr>
            <w:tcW w:w="1632" w:type="dxa"/>
          </w:tcPr>
          <w:p w14:paraId="6B0862AB" w14:textId="77777777" w:rsidR="006B6FA8" w:rsidRPr="006B6FA8" w:rsidRDefault="006B6FA8" w:rsidP="006B6FA8">
            <w:pPr>
              <w:keepNext/>
              <w:jc w:val="center"/>
              <w:rPr>
                <w:rFonts w:cs="Arial"/>
                <w:b/>
                <w:strike/>
                <w:sz w:val="18"/>
                <w:highlight w:val="lightGray"/>
                <w:lang w:val="es-ES_tradnl"/>
              </w:rPr>
            </w:pPr>
            <w:r w:rsidRPr="006B6FA8">
              <w:rPr>
                <w:rFonts w:cs="Arial"/>
                <w:b/>
                <w:strike/>
                <w:sz w:val="18"/>
                <w:highlight w:val="lightGray"/>
                <w:lang w:val="es-ES_tradnl"/>
              </w:rPr>
              <w:t xml:space="preserve">Gama estándar </w:t>
            </w:r>
          </w:p>
          <w:p w14:paraId="3BBE37B4" w14:textId="77777777" w:rsidR="006B6FA8" w:rsidRPr="006B6FA8" w:rsidRDefault="006B6FA8" w:rsidP="006B6FA8">
            <w:pPr>
              <w:keepNext/>
              <w:jc w:val="center"/>
              <w:rPr>
                <w:rFonts w:cs="Arial"/>
                <w:strike/>
                <w:sz w:val="18"/>
                <w:highlight w:val="lightGray"/>
                <w:lang w:val="es-ES_tradnl"/>
              </w:rPr>
            </w:pPr>
            <w:r w:rsidRPr="006B6FA8">
              <w:rPr>
                <w:rFonts w:cs="Arial"/>
                <w:b/>
                <w:strike/>
                <w:sz w:val="18"/>
                <w:highlight w:val="lightGray"/>
                <w:lang w:val="es-ES_tradnl"/>
              </w:rPr>
              <w:t>Versión 4</w:t>
            </w:r>
          </w:p>
        </w:tc>
      </w:tr>
      <w:tr w:rsidR="006B6FA8" w:rsidRPr="006B6FA8" w14:paraId="4A1367BE" w14:textId="77777777" w:rsidTr="00D60821">
        <w:tc>
          <w:tcPr>
            <w:tcW w:w="2552" w:type="dxa"/>
          </w:tcPr>
          <w:p w14:paraId="3E8C24DE" w14:textId="77777777" w:rsidR="006B6FA8" w:rsidRPr="006B6FA8" w:rsidRDefault="006B6FA8" w:rsidP="006B6FA8">
            <w:pPr>
              <w:keepNext/>
              <w:ind w:left="318" w:hanging="318"/>
              <w:rPr>
                <w:rFonts w:cs="Arial"/>
                <w:strike/>
                <w:sz w:val="18"/>
                <w:highlight w:val="lightGray"/>
                <w:lang w:val="es-ES_tradnl"/>
              </w:rPr>
            </w:pPr>
            <w:r w:rsidRPr="006B6FA8">
              <w:rPr>
                <w:rFonts w:cs="Arial"/>
                <w:strike/>
                <w:sz w:val="18"/>
                <w:highlight w:val="lightGray"/>
                <w:lang w:val="es-ES_tradnl"/>
              </w:rPr>
              <w:t>1</w:t>
            </w:r>
            <w:r w:rsidRPr="006B6FA8">
              <w:rPr>
                <w:rFonts w:cs="Arial"/>
                <w:strike/>
                <w:sz w:val="18"/>
                <w:highlight w:val="lightGray"/>
                <w:lang w:val="es-ES_tradnl"/>
              </w:rPr>
              <w:tab/>
              <w:t>muy débil</w:t>
            </w:r>
          </w:p>
          <w:p w14:paraId="216F4020" w14:textId="77777777" w:rsidR="006B6FA8" w:rsidRPr="006B6FA8" w:rsidRDefault="006B6FA8" w:rsidP="006B6FA8">
            <w:pPr>
              <w:keepNext/>
              <w:ind w:left="318" w:hanging="318"/>
              <w:jc w:val="left"/>
              <w:rPr>
                <w:rFonts w:cs="Arial"/>
                <w:strike/>
                <w:spacing w:val="-4"/>
                <w:sz w:val="18"/>
                <w:highlight w:val="lightGray"/>
                <w:lang w:val="es-ES_tradnl"/>
              </w:rPr>
            </w:pPr>
            <w:r w:rsidRPr="006B6FA8">
              <w:rPr>
                <w:rFonts w:cs="Arial"/>
                <w:strike/>
                <w:sz w:val="18"/>
                <w:highlight w:val="lightGray"/>
                <w:lang w:val="es-ES_tradnl"/>
              </w:rPr>
              <w:tab/>
            </w:r>
            <w:r w:rsidRPr="006B6FA8">
              <w:rPr>
                <w:rFonts w:cs="Arial"/>
                <w:strike/>
                <w:spacing w:val="-4"/>
                <w:sz w:val="18"/>
                <w:highlight w:val="lightGray"/>
                <w:lang w:val="es-ES_tradnl"/>
              </w:rPr>
              <w:t>(o:  ausente o muy débil)</w:t>
            </w:r>
          </w:p>
        </w:tc>
        <w:tc>
          <w:tcPr>
            <w:tcW w:w="283" w:type="dxa"/>
            <w:tcBorders>
              <w:top w:val="nil"/>
              <w:bottom w:val="nil"/>
            </w:tcBorders>
          </w:tcPr>
          <w:p w14:paraId="43FBDF8B" w14:textId="77777777" w:rsidR="006B6FA8" w:rsidRPr="006B6FA8" w:rsidRDefault="006B6FA8" w:rsidP="006B6FA8">
            <w:pPr>
              <w:keepNext/>
              <w:ind w:left="426" w:hanging="426"/>
              <w:rPr>
                <w:rFonts w:cs="Arial"/>
                <w:strike/>
                <w:sz w:val="18"/>
                <w:highlight w:val="lightGray"/>
                <w:lang w:val="es-ES_tradnl"/>
              </w:rPr>
            </w:pPr>
          </w:p>
        </w:tc>
        <w:tc>
          <w:tcPr>
            <w:tcW w:w="2552" w:type="dxa"/>
          </w:tcPr>
          <w:p w14:paraId="30BBC21F" w14:textId="77777777" w:rsidR="006B6FA8" w:rsidRPr="006B6FA8" w:rsidRDefault="006B6FA8" w:rsidP="006B6FA8">
            <w:pPr>
              <w:keepNext/>
              <w:ind w:left="317" w:hanging="317"/>
              <w:rPr>
                <w:rFonts w:cs="Arial"/>
                <w:strike/>
                <w:sz w:val="18"/>
                <w:highlight w:val="lightGray"/>
                <w:lang w:val="es-ES_tradnl"/>
              </w:rPr>
            </w:pPr>
            <w:r w:rsidRPr="006B6FA8">
              <w:rPr>
                <w:rFonts w:cs="Arial"/>
                <w:strike/>
                <w:sz w:val="18"/>
                <w:highlight w:val="lightGray"/>
                <w:lang w:val="es-ES_tradnl"/>
              </w:rPr>
              <w:t>1</w:t>
            </w:r>
            <w:r w:rsidRPr="006B6FA8">
              <w:rPr>
                <w:rFonts w:cs="Arial"/>
                <w:strike/>
                <w:sz w:val="18"/>
                <w:highlight w:val="lightGray"/>
                <w:lang w:val="es-ES_tradnl"/>
              </w:rPr>
              <w:tab/>
              <w:t>muy débil</w:t>
            </w:r>
          </w:p>
          <w:p w14:paraId="2E12E4F2" w14:textId="77777777" w:rsidR="006B6FA8" w:rsidRPr="006B6FA8" w:rsidRDefault="006B6FA8" w:rsidP="006B6FA8">
            <w:pPr>
              <w:keepNext/>
              <w:ind w:left="317" w:hanging="317"/>
              <w:rPr>
                <w:rFonts w:cs="Arial"/>
                <w:strike/>
                <w:sz w:val="18"/>
                <w:highlight w:val="lightGray"/>
                <w:lang w:val="es-ES_tradnl"/>
              </w:rPr>
            </w:pPr>
            <w:r w:rsidRPr="006B6FA8">
              <w:rPr>
                <w:rFonts w:cs="Arial"/>
                <w:strike/>
                <w:sz w:val="18"/>
                <w:highlight w:val="lightGray"/>
                <w:lang w:val="es-ES_tradnl"/>
              </w:rPr>
              <w:tab/>
            </w:r>
            <w:r w:rsidRPr="006B6FA8">
              <w:rPr>
                <w:rFonts w:cs="Arial"/>
                <w:strike/>
                <w:spacing w:val="-4"/>
                <w:sz w:val="18"/>
                <w:highlight w:val="lightGray"/>
                <w:lang w:val="es-ES_tradnl"/>
              </w:rPr>
              <w:t>(o:  ausente o muy débil)</w:t>
            </w:r>
          </w:p>
        </w:tc>
        <w:tc>
          <w:tcPr>
            <w:tcW w:w="283" w:type="dxa"/>
            <w:tcBorders>
              <w:top w:val="nil"/>
              <w:bottom w:val="nil"/>
            </w:tcBorders>
          </w:tcPr>
          <w:p w14:paraId="25E5EEE8" w14:textId="77777777" w:rsidR="006B6FA8" w:rsidRPr="006B6FA8" w:rsidRDefault="006B6FA8" w:rsidP="006B6FA8">
            <w:pPr>
              <w:keepNext/>
              <w:rPr>
                <w:rFonts w:cs="Arial"/>
                <w:strike/>
                <w:sz w:val="18"/>
                <w:highlight w:val="lightGray"/>
                <w:lang w:val="es-ES_tradnl"/>
              </w:rPr>
            </w:pPr>
          </w:p>
        </w:tc>
        <w:tc>
          <w:tcPr>
            <w:tcW w:w="1701" w:type="dxa"/>
          </w:tcPr>
          <w:p w14:paraId="010B0FB4" w14:textId="77777777" w:rsidR="006B6FA8" w:rsidRPr="006B6FA8" w:rsidRDefault="006B6FA8" w:rsidP="006B6FA8">
            <w:pPr>
              <w:keepNext/>
              <w:rPr>
                <w:rFonts w:cs="Arial"/>
                <w:strike/>
                <w:sz w:val="18"/>
                <w:highlight w:val="lightGray"/>
                <w:lang w:val="es-ES_tradnl"/>
              </w:rPr>
            </w:pPr>
            <w:r w:rsidRPr="006B6FA8">
              <w:rPr>
                <w:rFonts w:cs="Arial"/>
                <w:strike/>
                <w:sz w:val="18"/>
                <w:highlight w:val="lightGray"/>
                <w:lang w:val="es-ES_tradnl"/>
              </w:rPr>
              <w:t>-</w:t>
            </w:r>
          </w:p>
        </w:tc>
        <w:tc>
          <w:tcPr>
            <w:tcW w:w="284" w:type="dxa"/>
            <w:tcBorders>
              <w:top w:val="nil"/>
              <w:bottom w:val="nil"/>
            </w:tcBorders>
          </w:tcPr>
          <w:p w14:paraId="20662291" w14:textId="77777777" w:rsidR="006B6FA8" w:rsidRPr="006B6FA8" w:rsidRDefault="006B6FA8" w:rsidP="006B6FA8">
            <w:pPr>
              <w:keepNext/>
              <w:rPr>
                <w:rFonts w:cs="Arial"/>
                <w:strike/>
                <w:sz w:val="18"/>
                <w:highlight w:val="lightGray"/>
                <w:lang w:val="es-ES_tradnl"/>
              </w:rPr>
            </w:pPr>
          </w:p>
        </w:tc>
        <w:tc>
          <w:tcPr>
            <w:tcW w:w="1632" w:type="dxa"/>
          </w:tcPr>
          <w:p w14:paraId="0948D4AB" w14:textId="77777777" w:rsidR="006B6FA8" w:rsidRPr="006B6FA8" w:rsidRDefault="006B6FA8" w:rsidP="006B6FA8">
            <w:pPr>
              <w:keepNext/>
              <w:rPr>
                <w:rFonts w:cs="Arial"/>
                <w:strike/>
                <w:sz w:val="18"/>
                <w:highlight w:val="lightGray"/>
                <w:lang w:val="es-ES_tradnl"/>
              </w:rPr>
            </w:pPr>
            <w:r w:rsidRPr="006B6FA8">
              <w:rPr>
                <w:rFonts w:cs="Arial"/>
                <w:strike/>
                <w:sz w:val="18"/>
                <w:highlight w:val="lightGray"/>
                <w:lang w:val="es-ES_tradnl"/>
              </w:rPr>
              <w:t>-</w:t>
            </w:r>
          </w:p>
        </w:tc>
      </w:tr>
      <w:tr w:rsidR="006B6FA8" w:rsidRPr="006B6FA8" w14:paraId="1C98DC60" w14:textId="77777777" w:rsidTr="00D60821">
        <w:tc>
          <w:tcPr>
            <w:tcW w:w="2552" w:type="dxa"/>
          </w:tcPr>
          <w:p w14:paraId="657FCE62" w14:textId="77777777" w:rsidR="006B6FA8" w:rsidRPr="006B6FA8" w:rsidRDefault="006B6FA8" w:rsidP="006B6FA8">
            <w:pPr>
              <w:keepNext/>
              <w:ind w:left="318" w:hanging="318"/>
              <w:rPr>
                <w:rFonts w:cs="Arial"/>
                <w:strike/>
                <w:sz w:val="18"/>
                <w:highlight w:val="lightGray"/>
                <w:lang w:val="es-ES_tradnl"/>
              </w:rPr>
            </w:pPr>
            <w:r w:rsidRPr="006B6FA8">
              <w:rPr>
                <w:rFonts w:cs="Arial"/>
                <w:strike/>
                <w:sz w:val="18"/>
                <w:highlight w:val="lightGray"/>
                <w:lang w:val="es-ES_tradnl"/>
              </w:rPr>
              <w:t>3</w:t>
            </w:r>
            <w:r w:rsidRPr="006B6FA8">
              <w:rPr>
                <w:rFonts w:cs="Arial"/>
                <w:strike/>
                <w:sz w:val="18"/>
                <w:highlight w:val="lightGray"/>
                <w:lang w:val="es-ES_tradnl"/>
              </w:rPr>
              <w:tab/>
              <w:t>débil</w:t>
            </w:r>
          </w:p>
        </w:tc>
        <w:tc>
          <w:tcPr>
            <w:tcW w:w="283" w:type="dxa"/>
            <w:tcBorders>
              <w:top w:val="nil"/>
              <w:bottom w:val="nil"/>
            </w:tcBorders>
          </w:tcPr>
          <w:p w14:paraId="731D6C66" w14:textId="77777777" w:rsidR="006B6FA8" w:rsidRPr="006B6FA8" w:rsidRDefault="006B6FA8" w:rsidP="006B6FA8">
            <w:pPr>
              <w:keepNext/>
              <w:ind w:left="426" w:hanging="426"/>
              <w:rPr>
                <w:rFonts w:cs="Arial"/>
                <w:strike/>
                <w:sz w:val="18"/>
                <w:highlight w:val="lightGray"/>
                <w:lang w:val="es-ES_tradnl"/>
              </w:rPr>
            </w:pPr>
          </w:p>
        </w:tc>
        <w:tc>
          <w:tcPr>
            <w:tcW w:w="2552" w:type="dxa"/>
          </w:tcPr>
          <w:p w14:paraId="4AD48D59" w14:textId="77777777" w:rsidR="006B6FA8" w:rsidRPr="006B6FA8" w:rsidRDefault="006B6FA8" w:rsidP="006B6FA8">
            <w:pPr>
              <w:keepNext/>
              <w:ind w:left="317" w:hanging="317"/>
              <w:rPr>
                <w:rFonts w:cs="Arial"/>
                <w:strike/>
                <w:sz w:val="18"/>
                <w:highlight w:val="lightGray"/>
                <w:lang w:val="es-ES_tradnl"/>
              </w:rPr>
            </w:pPr>
            <w:r w:rsidRPr="006B6FA8">
              <w:rPr>
                <w:rFonts w:cs="Arial"/>
                <w:strike/>
                <w:sz w:val="18"/>
                <w:highlight w:val="lightGray"/>
                <w:lang w:val="es-ES_tradnl"/>
              </w:rPr>
              <w:t>3</w:t>
            </w:r>
            <w:r w:rsidRPr="006B6FA8">
              <w:rPr>
                <w:rFonts w:cs="Arial"/>
                <w:strike/>
                <w:sz w:val="18"/>
                <w:highlight w:val="lightGray"/>
                <w:lang w:val="es-ES_tradnl"/>
              </w:rPr>
              <w:tab/>
              <w:t xml:space="preserve">débil </w:t>
            </w:r>
          </w:p>
        </w:tc>
        <w:tc>
          <w:tcPr>
            <w:tcW w:w="283" w:type="dxa"/>
            <w:tcBorders>
              <w:top w:val="nil"/>
              <w:bottom w:val="nil"/>
            </w:tcBorders>
          </w:tcPr>
          <w:p w14:paraId="573F78C1" w14:textId="77777777" w:rsidR="006B6FA8" w:rsidRPr="006B6FA8" w:rsidRDefault="006B6FA8" w:rsidP="006B6FA8">
            <w:pPr>
              <w:keepNext/>
              <w:ind w:left="426" w:hanging="426"/>
              <w:rPr>
                <w:rFonts w:cs="Arial"/>
                <w:strike/>
                <w:sz w:val="18"/>
                <w:highlight w:val="lightGray"/>
                <w:lang w:val="es-ES_tradnl"/>
              </w:rPr>
            </w:pPr>
          </w:p>
        </w:tc>
        <w:tc>
          <w:tcPr>
            <w:tcW w:w="1701" w:type="dxa"/>
          </w:tcPr>
          <w:p w14:paraId="390873C2" w14:textId="77777777" w:rsidR="006B6FA8" w:rsidRPr="006B6FA8" w:rsidRDefault="006B6FA8" w:rsidP="006B6FA8">
            <w:pPr>
              <w:keepNext/>
              <w:ind w:left="426" w:hanging="426"/>
              <w:rPr>
                <w:rFonts w:cs="Arial"/>
                <w:strike/>
                <w:sz w:val="18"/>
                <w:highlight w:val="lightGray"/>
                <w:lang w:val="es-ES_tradnl"/>
              </w:rPr>
            </w:pPr>
            <w:r w:rsidRPr="006B6FA8">
              <w:rPr>
                <w:rFonts w:cs="Arial"/>
                <w:strike/>
                <w:sz w:val="18"/>
                <w:highlight w:val="lightGray"/>
                <w:lang w:val="es-ES_tradnl"/>
              </w:rPr>
              <w:t>3</w:t>
            </w:r>
            <w:r w:rsidRPr="006B6FA8">
              <w:rPr>
                <w:rFonts w:cs="Arial"/>
                <w:strike/>
                <w:sz w:val="18"/>
                <w:highlight w:val="lightGray"/>
                <w:lang w:val="es-ES_tradnl"/>
              </w:rPr>
              <w:tab/>
              <w:t xml:space="preserve">débil </w:t>
            </w:r>
          </w:p>
        </w:tc>
        <w:tc>
          <w:tcPr>
            <w:tcW w:w="284" w:type="dxa"/>
            <w:tcBorders>
              <w:top w:val="nil"/>
              <w:bottom w:val="nil"/>
            </w:tcBorders>
          </w:tcPr>
          <w:p w14:paraId="144DA5AE" w14:textId="77777777" w:rsidR="006B6FA8" w:rsidRPr="006B6FA8" w:rsidRDefault="006B6FA8" w:rsidP="006B6FA8">
            <w:pPr>
              <w:keepNext/>
              <w:ind w:left="426" w:hanging="426"/>
              <w:rPr>
                <w:rFonts w:cs="Arial"/>
                <w:strike/>
                <w:sz w:val="18"/>
                <w:highlight w:val="lightGray"/>
                <w:lang w:val="es-ES_tradnl"/>
              </w:rPr>
            </w:pPr>
          </w:p>
        </w:tc>
        <w:tc>
          <w:tcPr>
            <w:tcW w:w="1632" w:type="dxa"/>
          </w:tcPr>
          <w:p w14:paraId="01D9D3A4" w14:textId="77777777" w:rsidR="006B6FA8" w:rsidRPr="006B6FA8" w:rsidRDefault="006B6FA8" w:rsidP="006B6FA8">
            <w:pPr>
              <w:keepNext/>
              <w:ind w:left="426" w:hanging="426"/>
              <w:rPr>
                <w:rFonts w:cs="Arial"/>
                <w:strike/>
                <w:sz w:val="18"/>
                <w:highlight w:val="lightGray"/>
                <w:lang w:val="es-ES_tradnl"/>
              </w:rPr>
            </w:pPr>
            <w:r w:rsidRPr="006B6FA8">
              <w:rPr>
                <w:rFonts w:cs="Arial"/>
                <w:strike/>
                <w:sz w:val="18"/>
                <w:highlight w:val="lightGray"/>
                <w:lang w:val="es-ES_tradnl"/>
              </w:rPr>
              <w:t>3</w:t>
            </w:r>
            <w:r w:rsidRPr="006B6FA8">
              <w:rPr>
                <w:rFonts w:cs="Arial"/>
                <w:strike/>
                <w:sz w:val="18"/>
                <w:highlight w:val="lightGray"/>
                <w:lang w:val="es-ES_tradnl"/>
              </w:rPr>
              <w:tab/>
              <w:t xml:space="preserve">débil </w:t>
            </w:r>
          </w:p>
        </w:tc>
      </w:tr>
      <w:tr w:rsidR="006B6FA8" w:rsidRPr="006B6FA8" w14:paraId="12D1B9BB" w14:textId="77777777" w:rsidTr="00D60821">
        <w:tc>
          <w:tcPr>
            <w:tcW w:w="2552" w:type="dxa"/>
          </w:tcPr>
          <w:p w14:paraId="2F4AFF48" w14:textId="77777777" w:rsidR="006B6FA8" w:rsidRPr="006B6FA8" w:rsidRDefault="006B6FA8" w:rsidP="006B6FA8">
            <w:pPr>
              <w:keepNext/>
              <w:ind w:left="318" w:hanging="318"/>
              <w:rPr>
                <w:rFonts w:cs="Arial"/>
                <w:strike/>
                <w:sz w:val="18"/>
                <w:highlight w:val="lightGray"/>
                <w:lang w:val="es-ES_tradnl"/>
              </w:rPr>
            </w:pPr>
            <w:r w:rsidRPr="006B6FA8">
              <w:rPr>
                <w:rFonts w:cs="Arial"/>
                <w:strike/>
                <w:sz w:val="18"/>
                <w:highlight w:val="lightGray"/>
                <w:lang w:val="es-ES_tradnl"/>
              </w:rPr>
              <w:t>5</w:t>
            </w:r>
            <w:r w:rsidRPr="006B6FA8">
              <w:rPr>
                <w:rFonts w:cs="Arial"/>
                <w:strike/>
                <w:sz w:val="18"/>
                <w:highlight w:val="lightGray"/>
                <w:lang w:val="es-ES_tradnl"/>
              </w:rPr>
              <w:tab/>
              <w:t>medio</w:t>
            </w:r>
          </w:p>
        </w:tc>
        <w:tc>
          <w:tcPr>
            <w:tcW w:w="283" w:type="dxa"/>
            <w:tcBorders>
              <w:top w:val="nil"/>
              <w:bottom w:val="nil"/>
            </w:tcBorders>
          </w:tcPr>
          <w:p w14:paraId="6B3044AC" w14:textId="77777777" w:rsidR="006B6FA8" w:rsidRPr="006B6FA8" w:rsidRDefault="006B6FA8" w:rsidP="006B6FA8">
            <w:pPr>
              <w:keepNext/>
              <w:ind w:left="426" w:hanging="426"/>
              <w:rPr>
                <w:rFonts w:cs="Arial"/>
                <w:strike/>
                <w:sz w:val="18"/>
                <w:highlight w:val="lightGray"/>
                <w:lang w:val="es-ES_tradnl"/>
              </w:rPr>
            </w:pPr>
          </w:p>
        </w:tc>
        <w:tc>
          <w:tcPr>
            <w:tcW w:w="2552" w:type="dxa"/>
          </w:tcPr>
          <w:p w14:paraId="35C75A52" w14:textId="77777777" w:rsidR="006B6FA8" w:rsidRPr="006B6FA8" w:rsidRDefault="006B6FA8" w:rsidP="006B6FA8">
            <w:pPr>
              <w:keepNext/>
              <w:ind w:left="317" w:hanging="317"/>
              <w:rPr>
                <w:rFonts w:cs="Arial"/>
                <w:strike/>
                <w:sz w:val="18"/>
                <w:highlight w:val="lightGray"/>
                <w:lang w:val="es-ES_tradnl"/>
              </w:rPr>
            </w:pPr>
            <w:r w:rsidRPr="006B6FA8">
              <w:rPr>
                <w:rFonts w:cs="Arial"/>
                <w:strike/>
                <w:sz w:val="18"/>
                <w:highlight w:val="lightGray"/>
                <w:lang w:val="es-ES_tradnl"/>
              </w:rPr>
              <w:t>5</w:t>
            </w:r>
            <w:r w:rsidRPr="006B6FA8">
              <w:rPr>
                <w:rFonts w:cs="Arial"/>
                <w:strike/>
                <w:sz w:val="18"/>
                <w:highlight w:val="lightGray"/>
                <w:lang w:val="es-ES_tradnl"/>
              </w:rPr>
              <w:tab/>
              <w:t xml:space="preserve">medio </w:t>
            </w:r>
          </w:p>
        </w:tc>
        <w:tc>
          <w:tcPr>
            <w:tcW w:w="283" w:type="dxa"/>
            <w:tcBorders>
              <w:top w:val="nil"/>
              <w:bottom w:val="nil"/>
            </w:tcBorders>
          </w:tcPr>
          <w:p w14:paraId="3BE0BB8E" w14:textId="77777777" w:rsidR="006B6FA8" w:rsidRPr="006B6FA8" w:rsidRDefault="006B6FA8" w:rsidP="006B6FA8">
            <w:pPr>
              <w:keepNext/>
              <w:ind w:left="426" w:hanging="426"/>
              <w:rPr>
                <w:rFonts w:cs="Arial"/>
                <w:strike/>
                <w:sz w:val="18"/>
                <w:highlight w:val="lightGray"/>
                <w:lang w:val="es-ES_tradnl"/>
              </w:rPr>
            </w:pPr>
          </w:p>
        </w:tc>
        <w:tc>
          <w:tcPr>
            <w:tcW w:w="1701" w:type="dxa"/>
          </w:tcPr>
          <w:p w14:paraId="3788002B" w14:textId="77777777" w:rsidR="006B6FA8" w:rsidRPr="006B6FA8" w:rsidRDefault="006B6FA8" w:rsidP="006B6FA8">
            <w:pPr>
              <w:keepNext/>
              <w:ind w:left="426" w:hanging="426"/>
              <w:rPr>
                <w:rFonts w:cs="Arial"/>
                <w:strike/>
                <w:sz w:val="18"/>
                <w:highlight w:val="lightGray"/>
                <w:lang w:val="es-ES_tradnl"/>
              </w:rPr>
            </w:pPr>
            <w:r w:rsidRPr="006B6FA8">
              <w:rPr>
                <w:rFonts w:cs="Arial"/>
                <w:strike/>
                <w:sz w:val="18"/>
                <w:highlight w:val="lightGray"/>
                <w:lang w:val="es-ES_tradnl"/>
              </w:rPr>
              <w:t>5</w:t>
            </w:r>
            <w:r w:rsidRPr="006B6FA8">
              <w:rPr>
                <w:rFonts w:cs="Arial"/>
                <w:strike/>
                <w:sz w:val="18"/>
                <w:highlight w:val="lightGray"/>
                <w:lang w:val="es-ES_tradnl"/>
              </w:rPr>
              <w:tab/>
              <w:t xml:space="preserve">medio </w:t>
            </w:r>
          </w:p>
        </w:tc>
        <w:tc>
          <w:tcPr>
            <w:tcW w:w="284" w:type="dxa"/>
            <w:tcBorders>
              <w:top w:val="nil"/>
              <w:bottom w:val="nil"/>
            </w:tcBorders>
          </w:tcPr>
          <w:p w14:paraId="777B3355" w14:textId="77777777" w:rsidR="006B6FA8" w:rsidRPr="006B6FA8" w:rsidRDefault="006B6FA8" w:rsidP="006B6FA8">
            <w:pPr>
              <w:keepNext/>
              <w:ind w:left="426" w:hanging="426"/>
              <w:rPr>
                <w:rFonts w:cs="Arial"/>
                <w:strike/>
                <w:sz w:val="18"/>
                <w:highlight w:val="lightGray"/>
                <w:lang w:val="es-ES_tradnl"/>
              </w:rPr>
            </w:pPr>
          </w:p>
        </w:tc>
        <w:tc>
          <w:tcPr>
            <w:tcW w:w="1632" w:type="dxa"/>
          </w:tcPr>
          <w:p w14:paraId="4C6D292E" w14:textId="77777777" w:rsidR="006B6FA8" w:rsidRPr="006B6FA8" w:rsidRDefault="006B6FA8" w:rsidP="006B6FA8">
            <w:pPr>
              <w:keepNext/>
              <w:ind w:left="426" w:hanging="426"/>
              <w:rPr>
                <w:rFonts w:cs="Arial"/>
                <w:strike/>
                <w:sz w:val="18"/>
                <w:highlight w:val="lightGray"/>
                <w:lang w:val="es-ES_tradnl"/>
              </w:rPr>
            </w:pPr>
            <w:r w:rsidRPr="006B6FA8">
              <w:rPr>
                <w:rFonts w:cs="Arial"/>
                <w:strike/>
                <w:sz w:val="18"/>
                <w:highlight w:val="lightGray"/>
                <w:lang w:val="es-ES_tradnl"/>
              </w:rPr>
              <w:t>5</w:t>
            </w:r>
            <w:r w:rsidRPr="006B6FA8">
              <w:rPr>
                <w:rFonts w:cs="Arial"/>
                <w:strike/>
                <w:sz w:val="18"/>
                <w:highlight w:val="lightGray"/>
                <w:lang w:val="es-ES_tradnl"/>
              </w:rPr>
              <w:tab/>
              <w:t xml:space="preserve">medio </w:t>
            </w:r>
          </w:p>
        </w:tc>
      </w:tr>
      <w:tr w:rsidR="006B6FA8" w:rsidRPr="006B6FA8" w14:paraId="1CDD2031" w14:textId="77777777" w:rsidTr="00D60821">
        <w:tc>
          <w:tcPr>
            <w:tcW w:w="2552" w:type="dxa"/>
          </w:tcPr>
          <w:p w14:paraId="12CF039E" w14:textId="77777777" w:rsidR="006B6FA8" w:rsidRPr="006B6FA8" w:rsidRDefault="006B6FA8" w:rsidP="006B6FA8">
            <w:pPr>
              <w:keepNext/>
              <w:ind w:left="318" w:hanging="318"/>
              <w:rPr>
                <w:rFonts w:cs="Arial"/>
                <w:strike/>
                <w:sz w:val="18"/>
                <w:highlight w:val="lightGray"/>
                <w:lang w:val="es-ES_tradnl"/>
              </w:rPr>
            </w:pPr>
            <w:r w:rsidRPr="006B6FA8">
              <w:rPr>
                <w:rFonts w:cs="Arial"/>
                <w:strike/>
                <w:sz w:val="18"/>
                <w:highlight w:val="lightGray"/>
                <w:lang w:val="es-ES_tradnl"/>
              </w:rPr>
              <w:t>7</w:t>
            </w:r>
            <w:r w:rsidRPr="006B6FA8">
              <w:rPr>
                <w:rFonts w:cs="Arial"/>
                <w:strike/>
                <w:sz w:val="18"/>
                <w:highlight w:val="lightGray"/>
                <w:lang w:val="es-ES_tradnl"/>
              </w:rPr>
              <w:tab/>
              <w:t>fuerte</w:t>
            </w:r>
          </w:p>
        </w:tc>
        <w:tc>
          <w:tcPr>
            <w:tcW w:w="283" w:type="dxa"/>
            <w:tcBorders>
              <w:top w:val="nil"/>
              <w:bottom w:val="nil"/>
            </w:tcBorders>
          </w:tcPr>
          <w:p w14:paraId="2ACA7F38" w14:textId="77777777" w:rsidR="006B6FA8" w:rsidRPr="006B6FA8" w:rsidRDefault="006B6FA8" w:rsidP="006B6FA8">
            <w:pPr>
              <w:keepNext/>
              <w:ind w:left="426" w:hanging="426"/>
              <w:rPr>
                <w:rFonts w:cs="Arial"/>
                <w:strike/>
                <w:sz w:val="18"/>
                <w:highlight w:val="lightGray"/>
                <w:lang w:val="es-ES_tradnl"/>
              </w:rPr>
            </w:pPr>
          </w:p>
        </w:tc>
        <w:tc>
          <w:tcPr>
            <w:tcW w:w="2552" w:type="dxa"/>
          </w:tcPr>
          <w:p w14:paraId="357F5160" w14:textId="77777777" w:rsidR="006B6FA8" w:rsidRPr="006B6FA8" w:rsidRDefault="006B6FA8" w:rsidP="006B6FA8">
            <w:pPr>
              <w:keepNext/>
              <w:ind w:left="317" w:hanging="317"/>
              <w:rPr>
                <w:rFonts w:cs="Arial"/>
                <w:strike/>
                <w:sz w:val="18"/>
                <w:highlight w:val="lightGray"/>
                <w:lang w:val="es-ES_tradnl"/>
              </w:rPr>
            </w:pPr>
            <w:r w:rsidRPr="006B6FA8">
              <w:rPr>
                <w:rFonts w:cs="Arial"/>
                <w:strike/>
                <w:sz w:val="18"/>
                <w:highlight w:val="lightGray"/>
                <w:lang w:val="es-ES_tradnl"/>
              </w:rPr>
              <w:t>7</w:t>
            </w:r>
            <w:r w:rsidRPr="006B6FA8">
              <w:rPr>
                <w:rFonts w:cs="Arial"/>
                <w:strike/>
                <w:sz w:val="18"/>
                <w:highlight w:val="lightGray"/>
                <w:lang w:val="es-ES_tradnl"/>
              </w:rPr>
              <w:tab/>
              <w:t xml:space="preserve">fuerte </w:t>
            </w:r>
          </w:p>
        </w:tc>
        <w:tc>
          <w:tcPr>
            <w:tcW w:w="283" w:type="dxa"/>
            <w:tcBorders>
              <w:top w:val="nil"/>
              <w:bottom w:val="nil"/>
            </w:tcBorders>
          </w:tcPr>
          <w:p w14:paraId="70619508" w14:textId="77777777" w:rsidR="006B6FA8" w:rsidRPr="006B6FA8" w:rsidRDefault="006B6FA8" w:rsidP="006B6FA8">
            <w:pPr>
              <w:keepNext/>
              <w:ind w:left="426" w:hanging="426"/>
              <w:rPr>
                <w:rFonts w:cs="Arial"/>
                <w:strike/>
                <w:sz w:val="18"/>
                <w:highlight w:val="lightGray"/>
                <w:lang w:val="es-ES_tradnl"/>
              </w:rPr>
            </w:pPr>
          </w:p>
        </w:tc>
        <w:tc>
          <w:tcPr>
            <w:tcW w:w="1701" w:type="dxa"/>
          </w:tcPr>
          <w:p w14:paraId="6A9F46D8" w14:textId="77777777" w:rsidR="006B6FA8" w:rsidRPr="006B6FA8" w:rsidRDefault="006B6FA8" w:rsidP="006B6FA8">
            <w:pPr>
              <w:keepNext/>
              <w:ind w:left="426" w:hanging="426"/>
              <w:rPr>
                <w:rFonts w:cs="Arial"/>
                <w:strike/>
                <w:sz w:val="18"/>
                <w:highlight w:val="lightGray"/>
                <w:lang w:val="es-ES_tradnl"/>
              </w:rPr>
            </w:pPr>
            <w:r w:rsidRPr="006B6FA8">
              <w:rPr>
                <w:rFonts w:cs="Arial"/>
                <w:strike/>
                <w:sz w:val="18"/>
                <w:highlight w:val="lightGray"/>
                <w:lang w:val="es-ES_tradnl"/>
              </w:rPr>
              <w:t>7</w:t>
            </w:r>
            <w:r w:rsidRPr="006B6FA8">
              <w:rPr>
                <w:rFonts w:cs="Arial"/>
                <w:strike/>
                <w:sz w:val="18"/>
                <w:highlight w:val="lightGray"/>
                <w:lang w:val="es-ES_tradnl"/>
              </w:rPr>
              <w:tab/>
              <w:t xml:space="preserve">fuerte </w:t>
            </w:r>
          </w:p>
        </w:tc>
        <w:tc>
          <w:tcPr>
            <w:tcW w:w="284" w:type="dxa"/>
            <w:tcBorders>
              <w:top w:val="nil"/>
              <w:bottom w:val="nil"/>
            </w:tcBorders>
          </w:tcPr>
          <w:p w14:paraId="7B6DBEE2" w14:textId="77777777" w:rsidR="006B6FA8" w:rsidRPr="006B6FA8" w:rsidRDefault="006B6FA8" w:rsidP="006B6FA8">
            <w:pPr>
              <w:keepNext/>
              <w:ind w:left="426" w:hanging="426"/>
              <w:rPr>
                <w:rFonts w:cs="Arial"/>
                <w:strike/>
                <w:sz w:val="18"/>
                <w:highlight w:val="lightGray"/>
                <w:lang w:val="es-ES_tradnl"/>
              </w:rPr>
            </w:pPr>
          </w:p>
        </w:tc>
        <w:tc>
          <w:tcPr>
            <w:tcW w:w="1632" w:type="dxa"/>
          </w:tcPr>
          <w:p w14:paraId="3C40CBF4" w14:textId="77777777" w:rsidR="006B6FA8" w:rsidRPr="006B6FA8" w:rsidRDefault="006B6FA8" w:rsidP="006B6FA8">
            <w:pPr>
              <w:keepNext/>
              <w:ind w:left="426" w:hanging="426"/>
              <w:rPr>
                <w:rFonts w:cs="Arial"/>
                <w:strike/>
                <w:sz w:val="18"/>
                <w:highlight w:val="lightGray"/>
                <w:lang w:val="es-ES_tradnl"/>
              </w:rPr>
            </w:pPr>
            <w:r w:rsidRPr="006B6FA8">
              <w:rPr>
                <w:rFonts w:cs="Arial"/>
                <w:strike/>
                <w:sz w:val="18"/>
                <w:highlight w:val="lightGray"/>
                <w:lang w:val="es-ES_tradnl"/>
              </w:rPr>
              <w:t>7</w:t>
            </w:r>
            <w:r w:rsidRPr="006B6FA8">
              <w:rPr>
                <w:rFonts w:cs="Arial"/>
                <w:strike/>
                <w:sz w:val="18"/>
                <w:highlight w:val="lightGray"/>
                <w:lang w:val="es-ES_tradnl"/>
              </w:rPr>
              <w:tab/>
              <w:t xml:space="preserve">fuerte </w:t>
            </w:r>
          </w:p>
        </w:tc>
      </w:tr>
      <w:tr w:rsidR="006B6FA8" w:rsidRPr="006B6FA8" w14:paraId="107227A2" w14:textId="77777777" w:rsidTr="00D60821">
        <w:tc>
          <w:tcPr>
            <w:tcW w:w="2552" w:type="dxa"/>
          </w:tcPr>
          <w:p w14:paraId="6A28B564" w14:textId="77777777" w:rsidR="006B6FA8" w:rsidRPr="006B6FA8" w:rsidRDefault="006B6FA8" w:rsidP="006B6FA8">
            <w:pPr>
              <w:keepNext/>
              <w:ind w:left="318" w:hanging="318"/>
              <w:rPr>
                <w:rFonts w:cs="Arial"/>
                <w:strike/>
                <w:sz w:val="18"/>
                <w:highlight w:val="lightGray"/>
                <w:lang w:val="es-ES_tradnl"/>
              </w:rPr>
            </w:pPr>
            <w:r w:rsidRPr="006B6FA8">
              <w:rPr>
                <w:rFonts w:cs="Arial"/>
                <w:strike/>
                <w:sz w:val="18"/>
                <w:highlight w:val="lightGray"/>
                <w:lang w:val="es-ES_tradnl"/>
              </w:rPr>
              <w:t>9</w:t>
            </w:r>
            <w:r w:rsidRPr="006B6FA8">
              <w:rPr>
                <w:rFonts w:cs="Arial"/>
                <w:strike/>
                <w:sz w:val="18"/>
                <w:highlight w:val="lightGray"/>
                <w:lang w:val="es-ES_tradnl"/>
              </w:rPr>
              <w:tab/>
              <w:t xml:space="preserve">muy fuerte </w:t>
            </w:r>
          </w:p>
        </w:tc>
        <w:tc>
          <w:tcPr>
            <w:tcW w:w="283" w:type="dxa"/>
            <w:tcBorders>
              <w:top w:val="nil"/>
              <w:bottom w:val="nil"/>
            </w:tcBorders>
          </w:tcPr>
          <w:p w14:paraId="36C3A302" w14:textId="77777777" w:rsidR="006B6FA8" w:rsidRPr="006B6FA8" w:rsidRDefault="006B6FA8" w:rsidP="006B6FA8">
            <w:pPr>
              <w:keepNext/>
              <w:rPr>
                <w:rFonts w:cs="Arial"/>
                <w:strike/>
                <w:sz w:val="18"/>
                <w:highlight w:val="lightGray"/>
                <w:lang w:val="es-ES_tradnl"/>
              </w:rPr>
            </w:pPr>
          </w:p>
        </w:tc>
        <w:tc>
          <w:tcPr>
            <w:tcW w:w="2552" w:type="dxa"/>
          </w:tcPr>
          <w:p w14:paraId="0A5149DD" w14:textId="77777777" w:rsidR="006B6FA8" w:rsidRPr="006B6FA8" w:rsidRDefault="006B6FA8" w:rsidP="006B6FA8">
            <w:pPr>
              <w:keepNext/>
              <w:ind w:left="317" w:hanging="317"/>
              <w:rPr>
                <w:rFonts w:cs="Arial"/>
                <w:strike/>
                <w:sz w:val="18"/>
                <w:highlight w:val="lightGray"/>
                <w:lang w:val="es-ES_tradnl"/>
              </w:rPr>
            </w:pPr>
            <w:r w:rsidRPr="006B6FA8">
              <w:rPr>
                <w:rFonts w:cs="Arial"/>
                <w:strike/>
                <w:sz w:val="18"/>
                <w:highlight w:val="lightGray"/>
                <w:lang w:val="es-ES_tradnl"/>
              </w:rPr>
              <w:t>-</w:t>
            </w:r>
          </w:p>
        </w:tc>
        <w:tc>
          <w:tcPr>
            <w:tcW w:w="283" w:type="dxa"/>
            <w:tcBorders>
              <w:top w:val="nil"/>
              <w:bottom w:val="nil"/>
            </w:tcBorders>
          </w:tcPr>
          <w:p w14:paraId="6B8B575C" w14:textId="77777777" w:rsidR="006B6FA8" w:rsidRPr="006B6FA8" w:rsidRDefault="006B6FA8" w:rsidP="006B6FA8">
            <w:pPr>
              <w:keepNext/>
              <w:ind w:left="426" w:hanging="426"/>
              <w:rPr>
                <w:rFonts w:cs="Arial"/>
                <w:strike/>
                <w:sz w:val="18"/>
                <w:highlight w:val="lightGray"/>
                <w:lang w:val="es-ES_tradnl"/>
              </w:rPr>
            </w:pPr>
          </w:p>
        </w:tc>
        <w:tc>
          <w:tcPr>
            <w:tcW w:w="1701" w:type="dxa"/>
          </w:tcPr>
          <w:p w14:paraId="5BA3477A" w14:textId="77777777" w:rsidR="006B6FA8" w:rsidRPr="006B6FA8" w:rsidRDefault="006B6FA8" w:rsidP="006B6FA8">
            <w:pPr>
              <w:keepNext/>
              <w:ind w:left="426" w:hanging="426"/>
              <w:rPr>
                <w:rFonts w:cs="Arial"/>
                <w:strike/>
                <w:sz w:val="18"/>
                <w:highlight w:val="lightGray"/>
                <w:lang w:val="es-ES_tradnl"/>
              </w:rPr>
            </w:pPr>
            <w:r w:rsidRPr="006B6FA8">
              <w:rPr>
                <w:rFonts w:cs="Arial"/>
                <w:strike/>
                <w:sz w:val="18"/>
                <w:highlight w:val="lightGray"/>
                <w:lang w:val="es-ES_tradnl"/>
              </w:rPr>
              <w:t>9</w:t>
            </w:r>
            <w:r w:rsidRPr="006B6FA8">
              <w:rPr>
                <w:rFonts w:cs="Arial"/>
                <w:strike/>
                <w:sz w:val="18"/>
                <w:highlight w:val="lightGray"/>
                <w:lang w:val="es-ES_tradnl"/>
              </w:rPr>
              <w:tab/>
              <w:t xml:space="preserve">muy fuerte </w:t>
            </w:r>
          </w:p>
        </w:tc>
        <w:tc>
          <w:tcPr>
            <w:tcW w:w="284" w:type="dxa"/>
            <w:tcBorders>
              <w:top w:val="nil"/>
              <w:bottom w:val="nil"/>
            </w:tcBorders>
          </w:tcPr>
          <w:p w14:paraId="21F9F242" w14:textId="77777777" w:rsidR="006B6FA8" w:rsidRPr="006B6FA8" w:rsidRDefault="006B6FA8" w:rsidP="006B6FA8">
            <w:pPr>
              <w:keepNext/>
              <w:ind w:left="426" w:hanging="426"/>
              <w:rPr>
                <w:rFonts w:cs="Arial"/>
                <w:strike/>
                <w:sz w:val="18"/>
                <w:highlight w:val="lightGray"/>
                <w:lang w:val="es-ES_tradnl"/>
              </w:rPr>
            </w:pPr>
          </w:p>
        </w:tc>
        <w:tc>
          <w:tcPr>
            <w:tcW w:w="1632" w:type="dxa"/>
          </w:tcPr>
          <w:p w14:paraId="0CCF86C7" w14:textId="77777777" w:rsidR="006B6FA8" w:rsidRPr="006B6FA8" w:rsidRDefault="006B6FA8" w:rsidP="006B6FA8">
            <w:pPr>
              <w:keepNext/>
              <w:rPr>
                <w:rFonts w:cs="Arial"/>
                <w:strike/>
                <w:sz w:val="18"/>
                <w:lang w:val="es-ES_tradnl"/>
              </w:rPr>
            </w:pPr>
            <w:r w:rsidRPr="006B6FA8">
              <w:rPr>
                <w:rFonts w:cs="Arial"/>
                <w:strike/>
                <w:sz w:val="18"/>
                <w:highlight w:val="lightGray"/>
                <w:lang w:val="es-ES_tradnl"/>
              </w:rPr>
              <w:t>-</w:t>
            </w:r>
          </w:p>
        </w:tc>
      </w:tr>
    </w:tbl>
    <w:p w14:paraId="06673331" w14:textId="77777777" w:rsidR="006B6FA8" w:rsidRPr="006B6FA8" w:rsidRDefault="006B6FA8" w:rsidP="006B6FA8">
      <w:pPr>
        <w:tabs>
          <w:tab w:val="left" w:pos="993"/>
        </w:tabs>
        <w:ind w:left="567"/>
        <w:rPr>
          <w:rFonts w:cs="Arial"/>
          <w:lang w:val="es-ES_tradnl"/>
        </w:rPr>
      </w:pPr>
    </w:p>
    <w:p w14:paraId="4023A143" w14:textId="77777777" w:rsidR="006B6FA8" w:rsidRPr="006B6FA8" w:rsidRDefault="006B6FA8" w:rsidP="006B6FA8">
      <w:pPr>
        <w:ind w:left="567"/>
        <w:rPr>
          <w:lang w:val="es-ES_tradnl"/>
        </w:rPr>
      </w:pPr>
      <w:r w:rsidRPr="006B6FA8">
        <w:rPr>
          <w:strike/>
          <w:highlight w:val="lightGray"/>
          <w:lang w:val="es-ES_tradnl"/>
        </w:rPr>
        <w:t>3.3.1.4</w:t>
      </w:r>
      <w:r w:rsidRPr="006B6FA8">
        <w:rPr>
          <w:lang w:val="es-ES_tradnl"/>
        </w:rPr>
        <w:t xml:space="preserve"> </w:t>
      </w:r>
      <w:r w:rsidRPr="006B6FA8">
        <w:rPr>
          <w:highlight w:val="lightGray"/>
          <w:u w:val="single"/>
          <w:lang w:val="es-ES_tradnl"/>
        </w:rPr>
        <w:t>3.3.1.3</w:t>
      </w:r>
      <w:r w:rsidRPr="006B6FA8">
        <w:rPr>
          <w:lang w:val="es-ES_tradnl"/>
        </w:rPr>
        <w:tab/>
        <w:t>[xxx]</w:t>
      </w:r>
    </w:p>
    <w:p w14:paraId="31EE659A" w14:textId="77777777" w:rsidR="006B6FA8" w:rsidRPr="006B6FA8" w:rsidRDefault="006B6FA8" w:rsidP="006B6FA8">
      <w:pPr>
        <w:ind w:left="567"/>
        <w:rPr>
          <w:lang w:val="es-ES_tradnl"/>
        </w:rPr>
      </w:pPr>
    </w:p>
    <w:p w14:paraId="21BC8BC1" w14:textId="77777777" w:rsidR="006B6FA8" w:rsidRPr="006B6FA8" w:rsidRDefault="006B6FA8" w:rsidP="006B6FA8">
      <w:pPr>
        <w:ind w:left="567"/>
        <w:rPr>
          <w:lang w:val="es-ES_tradnl"/>
        </w:rPr>
      </w:pPr>
    </w:p>
    <w:p w14:paraId="594A378A" w14:textId="77777777" w:rsidR="006B6FA8" w:rsidRPr="006B6FA8" w:rsidRDefault="006B6FA8" w:rsidP="006B6FA8">
      <w:pPr>
        <w:keepNext/>
        <w:ind w:left="1134"/>
        <w:rPr>
          <w:u w:val="single"/>
          <w:lang w:val="es-ES_tradnl"/>
        </w:rPr>
      </w:pPr>
      <w:bookmarkStart w:id="87" w:name="_Toc24250517"/>
      <w:bookmarkStart w:id="88" w:name="_Toc27819252"/>
      <w:bookmarkStart w:id="89" w:name="_Toc27819433"/>
      <w:bookmarkStart w:id="90" w:name="_Toc27819614"/>
      <w:r w:rsidRPr="006B6FA8">
        <w:rPr>
          <w:u w:val="single"/>
          <w:lang w:val="es-ES_tradnl"/>
        </w:rPr>
        <w:lastRenderedPageBreak/>
        <w:t>3.3.2</w:t>
      </w:r>
      <w:r w:rsidRPr="006B6FA8">
        <w:rPr>
          <w:u w:val="single"/>
          <w:lang w:val="es-ES_tradnl"/>
        </w:rPr>
        <w:tab/>
      </w:r>
      <w:bookmarkEnd w:id="87"/>
      <w:bookmarkEnd w:id="88"/>
      <w:bookmarkEnd w:id="89"/>
      <w:bookmarkEnd w:id="90"/>
      <w:r w:rsidRPr="006B6FA8">
        <w:rPr>
          <w:u w:val="single"/>
          <w:lang w:val="es-ES_tradnl"/>
        </w:rPr>
        <w:t>Designación de los niveles</w:t>
      </w:r>
    </w:p>
    <w:p w14:paraId="0F418D77" w14:textId="77777777" w:rsidR="006B6FA8" w:rsidRPr="006B6FA8" w:rsidRDefault="006B6FA8" w:rsidP="006B6FA8">
      <w:pPr>
        <w:keepNext/>
        <w:ind w:left="567"/>
        <w:rPr>
          <w:lang w:val="es-ES_tradnl"/>
        </w:rPr>
      </w:pPr>
    </w:p>
    <w:p w14:paraId="60DCCA06" w14:textId="77777777" w:rsidR="006B6FA8" w:rsidRPr="006B6FA8" w:rsidRDefault="006B6FA8" w:rsidP="006B6FA8">
      <w:pPr>
        <w:keepNext/>
        <w:ind w:left="567"/>
        <w:rPr>
          <w:lang w:val="es-ES_tradnl"/>
        </w:rPr>
      </w:pPr>
      <w:r w:rsidRPr="006B6FA8">
        <w:rPr>
          <w:lang w:val="es-ES_tradnl"/>
        </w:rPr>
        <w:t>[…]</w:t>
      </w:r>
    </w:p>
    <w:p w14:paraId="113F2013" w14:textId="77777777" w:rsidR="006B6FA8" w:rsidRPr="006B6FA8" w:rsidRDefault="006B6FA8" w:rsidP="006B6FA8">
      <w:pPr>
        <w:keepNext/>
        <w:ind w:left="567"/>
        <w:rPr>
          <w:lang w:val="es-ES_tradnl"/>
        </w:rPr>
      </w:pPr>
    </w:p>
    <w:p w14:paraId="3DBE2EDA" w14:textId="77777777" w:rsidR="006B6FA8" w:rsidRPr="006B6FA8" w:rsidRDefault="006B6FA8" w:rsidP="006B6FA8">
      <w:pPr>
        <w:ind w:left="567"/>
        <w:rPr>
          <w:lang w:val="es-ES_tradnl"/>
        </w:rPr>
      </w:pPr>
      <w:r w:rsidRPr="006B6FA8">
        <w:rPr>
          <w:lang w:val="es-ES_tradnl"/>
        </w:rPr>
        <w:t>3.3.2.2.1</w:t>
      </w:r>
      <w:r w:rsidRPr="006B6FA8">
        <w:rPr>
          <w:lang w:val="es-ES_tradnl"/>
        </w:rPr>
        <w:tab/>
        <w:t>[xxx]</w:t>
      </w:r>
    </w:p>
    <w:p w14:paraId="441832A4" w14:textId="77777777" w:rsidR="006B6FA8" w:rsidRPr="006B6FA8" w:rsidRDefault="006B6FA8" w:rsidP="006B6FA8">
      <w:pPr>
        <w:tabs>
          <w:tab w:val="left" w:pos="993"/>
        </w:tabs>
        <w:outlineLvl w:val="0"/>
        <w:rPr>
          <w:rFonts w:cs="Arial"/>
          <w:lang w:val="es-ES_tradnl"/>
        </w:rPr>
      </w:pPr>
    </w:p>
    <w:tbl>
      <w:tblPr>
        <w:tblW w:w="99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67"/>
        <w:gridCol w:w="1985"/>
        <w:gridCol w:w="1984"/>
        <w:gridCol w:w="1985"/>
        <w:gridCol w:w="1984"/>
        <w:gridCol w:w="1418"/>
      </w:tblGrid>
      <w:tr w:rsidR="006B6FA8" w:rsidRPr="006B6FA8" w14:paraId="7F80E825" w14:textId="77777777" w:rsidTr="00D60821">
        <w:tc>
          <w:tcPr>
            <w:tcW w:w="567" w:type="dxa"/>
          </w:tcPr>
          <w:p w14:paraId="6F5BA86C" w14:textId="77777777" w:rsidR="006B6FA8" w:rsidRPr="006B6FA8" w:rsidRDefault="006B6FA8" w:rsidP="006B6FA8">
            <w:pPr>
              <w:spacing w:before="40" w:after="40"/>
              <w:ind w:left="425" w:hanging="425"/>
              <w:jc w:val="left"/>
              <w:rPr>
                <w:rFonts w:cs="Arial"/>
                <w:sz w:val="16"/>
                <w:szCs w:val="16"/>
                <w:lang w:val="es-ES_tradnl"/>
              </w:rPr>
            </w:pPr>
            <w:r w:rsidRPr="006B6FA8">
              <w:rPr>
                <w:rFonts w:cs="Arial"/>
                <w:sz w:val="16"/>
                <w:szCs w:val="16"/>
                <w:lang w:val="es-ES_tradnl"/>
              </w:rPr>
              <w:br w:type="page"/>
              <w:t>Nivel</w:t>
            </w:r>
          </w:p>
        </w:tc>
        <w:tc>
          <w:tcPr>
            <w:tcW w:w="1985" w:type="dxa"/>
          </w:tcPr>
          <w:p w14:paraId="2A593830" w14:textId="77777777" w:rsidR="006B6FA8" w:rsidRPr="006B6FA8" w:rsidRDefault="006B6FA8" w:rsidP="006B6FA8">
            <w:pPr>
              <w:keepNext/>
              <w:spacing w:before="40" w:after="40"/>
              <w:ind w:left="425" w:hanging="425"/>
              <w:jc w:val="left"/>
              <w:rPr>
                <w:rFonts w:cs="Arial"/>
                <w:sz w:val="16"/>
                <w:szCs w:val="16"/>
                <w:lang w:val="es-ES_tradnl"/>
              </w:rPr>
            </w:pPr>
            <w:r w:rsidRPr="006B6FA8">
              <w:rPr>
                <w:rFonts w:cs="Arial"/>
                <w:sz w:val="16"/>
                <w:szCs w:val="16"/>
                <w:lang w:val="es-ES_tradnl"/>
              </w:rPr>
              <w:t>Ejemplo 1</w:t>
            </w:r>
          </w:p>
          <w:p w14:paraId="3BCD5424" w14:textId="77777777" w:rsidR="006B6FA8" w:rsidRPr="006B6FA8" w:rsidRDefault="006B6FA8" w:rsidP="006B6FA8">
            <w:pPr>
              <w:keepNext/>
              <w:spacing w:before="40" w:after="40"/>
              <w:ind w:left="34" w:hanging="34"/>
              <w:jc w:val="left"/>
              <w:rPr>
                <w:rFonts w:cs="Arial"/>
                <w:b/>
                <w:sz w:val="16"/>
                <w:szCs w:val="16"/>
                <w:lang w:val="es-ES_tradnl"/>
              </w:rPr>
            </w:pPr>
            <w:r w:rsidRPr="006B6FA8">
              <w:rPr>
                <w:rFonts w:cs="Arial"/>
                <w:b/>
                <w:sz w:val="16"/>
                <w:szCs w:val="16"/>
                <w:lang w:val="es-ES_tradnl"/>
              </w:rPr>
              <w:t>Tamaño comparativo:</w:t>
            </w:r>
          </w:p>
        </w:tc>
        <w:tc>
          <w:tcPr>
            <w:tcW w:w="1984" w:type="dxa"/>
          </w:tcPr>
          <w:p w14:paraId="4F21C697" w14:textId="77777777" w:rsidR="006B6FA8" w:rsidRPr="006B6FA8" w:rsidRDefault="006B6FA8" w:rsidP="006B6FA8">
            <w:pPr>
              <w:keepNext/>
              <w:spacing w:before="40" w:after="40"/>
              <w:ind w:left="425" w:hanging="425"/>
              <w:jc w:val="left"/>
              <w:rPr>
                <w:rFonts w:cs="Arial"/>
                <w:sz w:val="16"/>
                <w:szCs w:val="16"/>
                <w:lang w:val="es-ES_tradnl"/>
              </w:rPr>
            </w:pPr>
            <w:r w:rsidRPr="006B6FA8">
              <w:rPr>
                <w:rFonts w:cs="Arial"/>
                <w:sz w:val="16"/>
                <w:szCs w:val="16"/>
                <w:lang w:val="es-ES_tradnl"/>
              </w:rPr>
              <w:t>Ejemplo 2</w:t>
            </w:r>
          </w:p>
          <w:p w14:paraId="5DCC5CB4" w14:textId="77777777" w:rsidR="006B6FA8" w:rsidRPr="006B6FA8" w:rsidRDefault="006B6FA8" w:rsidP="006B6FA8">
            <w:pPr>
              <w:keepNext/>
              <w:spacing w:before="40" w:after="40"/>
              <w:ind w:left="425" w:hanging="425"/>
              <w:jc w:val="left"/>
              <w:rPr>
                <w:rFonts w:cs="Arial"/>
                <w:b/>
                <w:sz w:val="16"/>
                <w:szCs w:val="16"/>
                <w:lang w:val="es-ES_tradnl"/>
              </w:rPr>
            </w:pPr>
            <w:r w:rsidRPr="006B6FA8">
              <w:rPr>
                <w:rFonts w:cs="Arial"/>
                <w:b/>
                <w:sz w:val="16"/>
                <w:szCs w:val="16"/>
                <w:lang w:val="es-ES_tradnl"/>
              </w:rPr>
              <w:t>Ángulo:</w:t>
            </w:r>
          </w:p>
        </w:tc>
        <w:tc>
          <w:tcPr>
            <w:tcW w:w="1985" w:type="dxa"/>
          </w:tcPr>
          <w:p w14:paraId="040D5B08" w14:textId="77777777" w:rsidR="006B6FA8" w:rsidRPr="006B6FA8" w:rsidRDefault="006B6FA8" w:rsidP="006B6FA8">
            <w:pPr>
              <w:keepNext/>
              <w:spacing w:before="40" w:after="40"/>
              <w:ind w:left="425" w:hanging="425"/>
              <w:jc w:val="left"/>
              <w:rPr>
                <w:rFonts w:cs="Arial"/>
                <w:sz w:val="16"/>
                <w:szCs w:val="16"/>
                <w:lang w:val="es-ES_tradnl"/>
              </w:rPr>
            </w:pPr>
            <w:r w:rsidRPr="006B6FA8">
              <w:rPr>
                <w:rFonts w:cs="Arial"/>
                <w:sz w:val="16"/>
                <w:szCs w:val="16"/>
                <w:lang w:val="es-ES_tradnl"/>
              </w:rPr>
              <w:t>Ejemplo 3</w:t>
            </w:r>
          </w:p>
          <w:p w14:paraId="0F69FC21" w14:textId="77777777" w:rsidR="006B6FA8" w:rsidRPr="006B6FA8" w:rsidRDefault="006B6FA8" w:rsidP="006B6FA8">
            <w:pPr>
              <w:keepNext/>
              <w:spacing w:before="40" w:after="40"/>
              <w:ind w:left="425" w:hanging="425"/>
              <w:jc w:val="left"/>
              <w:rPr>
                <w:rFonts w:cs="Arial"/>
                <w:b/>
                <w:sz w:val="16"/>
                <w:szCs w:val="16"/>
                <w:lang w:val="es-ES_tradnl"/>
              </w:rPr>
            </w:pPr>
            <w:r w:rsidRPr="006B6FA8">
              <w:rPr>
                <w:rFonts w:cs="Arial"/>
                <w:b/>
                <w:sz w:val="16"/>
                <w:szCs w:val="16"/>
                <w:lang w:val="es-ES_tradnl"/>
              </w:rPr>
              <w:t>Posición:</w:t>
            </w:r>
          </w:p>
        </w:tc>
        <w:tc>
          <w:tcPr>
            <w:tcW w:w="1984" w:type="dxa"/>
          </w:tcPr>
          <w:p w14:paraId="6FFA36A2" w14:textId="77777777" w:rsidR="006B6FA8" w:rsidRPr="006B6FA8" w:rsidRDefault="006B6FA8" w:rsidP="006B6FA8">
            <w:pPr>
              <w:keepNext/>
              <w:spacing w:before="40" w:after="40"/>
              <w:ind w:left="425" w:hanging="425"/>
              <w:jc w:val="left"/>
              <w:rPr>
                <w:rFonts w:cs="Arial"/>
                <w:sz w:val="16"/>
                <w:szCs w:val="16"/>
                <w:lang w:val="es-ES_tradnl"/>
              </w:rPr>
            </w:pPr>
            <w:r w:rsidRPr="006B6FA8">
              <w:rPr>
                <w:rFonts w:cs="Arial"/>
                <w:sz w:val="16"/>
                <w:szCs w:val="16"/>
                <w:lang w:val="es-ES_tradnl"/>
              </w:rPr>
              <w:t>Ejemplo 4</w:t>
            </w:r>
          </w:p>
          <w:p w14:paraId="6D0ECAFA" w14:textId="77777777" w:rsidR="006B6FA8" w:rsidRPr="006B6FA8" w:rsidRDefault="006B6FA8" w:rsidP="006B6FA8">
            <w:pPr>
              <w:keepNext/>
              <w:spacing w:before="40" w:after="40"/>
              <w:ind w:left="425" w:hanging="425"/>
              <w:jc w:val="left"/>
              <w:rPr>
                <w:rFonts w:cs="Arial"/>
                <w:b/>
                <w:sz w:val="16"/>
                <w:szCs w:val="16"/>
                <w:lang w:val="es-ES_tradnl"/>
              </w:rPr>
            </w:pPr>
            <w:r w:rsidRPr="006B6FA8">
              <w:rPr>
                <w:rFonts w:cs="Arial"/>
                <w:b/>
                <w:sz w:val="16"/>
                <w:szCs w:val="16"/>
                <w:lang w:val="es-ES_tradnl"/>
              </w:rPr>
              <w:t>Longitud comparativa:</w:t>
            </w:r>
          </w:p>
        </w:tc>
        <w:tc>
          <w:tcPr>
            <w:tcW w:w="1418" w:type="dxa"/>
          </w:tcPr>
          <w:p w14:paraId="6B8DC8D6" w14:textId="77777777" w:rsidR="006B6FA8" w:rsidRPr="006B6FA8" w:rsidRDefault="006B6FA8" w:rsidP="006B6FA8">
            <w:pPr>
              <w:keepNext/>
              <w:spacing w:before="40" w:after="40"/>
              <w:ind w:left="425" w:hanging="425"/>
              <w:jc w:val="left"/>
              <w:rPr>
                <w:rFonts w:cs="Arial"/>
                <w:sz w:val="16"/>
                <w:szCs w:val="16"/>
                <w:lang w:val="es-ES_tradnl"/>
              </w:rPr>
            </w:pPr>
            <w:r w:rsidRPr="006B6FA8">
              <w:rPr>
                <w:rFonts w:cs="Arial"/>
                <w:sz w:val="16"/>
                <w:szCs w:val="16"/>
                <w:lang w:val="es-ES_tradnl"/>
              </w:rPr>
              <w:t>Ejemplo 5</w:t>
            </w:r>
          </w:p>
          <w:p w14:paraId="395EA8DD" w14:textId="77777777" w:rsidR="006B6FA8" w:rsidRPr="006B6FA8" w:rsidRDefault="006B6FA8" w:rsidP="006B6FA8">
            <w:pPr>
              <w:keepNext/>
              <w:spacing w:before="40" w:after="40"/>
              <w:ind w:left="425" w:hanging="425"/>
              <w:jc w:val="left"/>
              <w:rPr>
                <w:rFonts w:cs="Arial"/>
                <w:b/>
                <w:sz w:val="16"/>
                <w:szCs w:val="16"/>
                <w:lang w:val="es-ES_tradnl"/>
              </w:rPr>
            </w:pPr>
            <w:r w:rsidRPr="006B6FA8">
              <w:rPr>
                <w:rFonts w:cs="Arial"/>
                <w:b/>
                <w:sz w:val="16"/>
                <w:szCs w:val="16"/>
                <w:lang w:val="es-ES_tradnl"/>
              </w:rPr>
              <w:t>Perfil:</w:t>
            </w:r>
          </w:p>
        </w:tc>
      </w:tr>
      <w:tr w:rsidR="006B6FA8" w:rsidRPr="006B6FA8" w14:paraId="0BC36E74" w14:textId="77777777" w:rsidTr="00D60821">
        <w:tc>
          <w:tcPr>
            <w:tcW w:w="567" w:type="dxa"/>
          </w:tcPr>
          <w:p w14:paraId="0F56C6AF" w14:textId="77777777" w:rsidR="006B6FA8" w:rsidRPr="006B6FA8" w:rsidRDefault="006B6FA8" w:rsidP="006B6FA8">
            <w:pPr>
              <w:spacing w:before="40" w:after="40"/>
              <w:jc w:val="left"/>
              <w:rPr>
                <w:rFonts w:cs="Arial"/>
                <w:sz w:val="16"/>
                <w:szCs w:val="16"/>
                <w:lang w:val="es-ES_tradnl"/>
              </w:rPr>
            </w:pPr>
            <w:r w:rsidRPr="006B6FA8">
              <w:rPr>
                <w:rFonts w:cs="Arial"/>
                <w:sz w:val="16"/>
                <w:szCs w:val="16"/>
                <w:lang w:val="es-ES_tradnl"/>
              </w:rPr>
              <w:t>1</w:t>
            </w:r>
          </w:p>
        </w:tc>
        <w:tc>
          <w:tcPr>
            <w:tcW w:w="1985" w:type="dxa"/>
          </w:tcPr>
          <w:p w14:paraId="0F10E924" w14:textId="77777777" w:rsidR="006B6FA8" w:rsidRPr="006B6FA8" w:rsidRDefault="006B6FA8" w:rsidP="006B6FA8">
            <w:pPr>
              <w:spacing w:before="40" w:after="40"/>
              <w:jc w:val="left"/>
              <w:rPr>
                <w:rFonts w:cs="Arial"/>
                <w:sz w:val="16"/>
                <w:szCs w:val="16"/>
                <w:lang w:val="es-ES_tradnl"/>
              </w:rPr>
            </w:pPr>
            <w:r w:rsidRPr="006B6FA8">
              <w:rPr>
                <w:rFonts w:cs="Arial"/>
                <w:sz w:val="16"/>
                <w:szCs w:val="16"/>
                <w:lang w:val="es-ES_tradnl"/>
              </w:rPr>
              <w:t>mucho más pequeño</w:t>
            </w:r>
          </w:p>
        </w:tc>
        <w:tc>
          <w:tcPr>
            <w:tcW w:w="1984" w:type="dxa"/>
          </w:tcPr>
          <w:p w14:paraId="16CCBB16" w14:textId="77777777" w:rsidR="006B6FA8" w:rsidRPr="006B6FA8" w:rsidRDefault="006B6FA8" w:rsidP="006B6FA8">
            <w:pPr>
              <w:spacing w:before="40" w:after="40"/>
              <w:jc w:val="left"/>
              <w:rPr>
                <w:rFonts w:cs="Arial"/>
                <w:sz w:val="16"/>
                <w:szCs w:val="16"/>
                <w:lang w:val="es-ES_tradnl"/>
              </w:rPr>
            </w:pPr>
            <w:r w:rsidRPr="006B6FA8">
              <w:rPr>
                <w:rFonts w:cs="Arial"/>
                <w:sz w:val="16"/>
                <w:szCs w:val="16"/>
                <w:lang w:val="es-ES_tradnl"/>
              </w:rPr>
              <w:t>muy agudo</w:t>
            </w:r>
          </w:p>
        </w:tc>
        <w:tc>
          <w:tcPr>
            <w:tcW w:w="1985" w:type="dxa"/>
          </w:tcPr>
          <w:p w14:paraId="4731E687" w14:textId="77777777" w:rsidR="006B6FA8" w:rsidRPr="006B6FA8" w:rsidRDefault="006B6FA8" w:rsidP="006B6FA8">
            <w:pPr>
              <w:spacing w:before="40" w:after="40"/>
              <w:jc w:val="left"/>
              <w:rPr>
                <w:rFonts w:cs="Arial"/>
                <w:sz w:val="16"/>
                <w:szCs w:val="16"/>
                <w:lang w:val="es-ES_tradnl"/>
              </w:rPr>
            </w:pPr>
            <w:r w:rsidRPr="006B6FA8">
              <w:rPr>
                <w:rFonts w:cs="Arial"/>
                <w:sz w:val="16"/>
                <w:szCs w:val="16"/>
                <w:lang w:val="es-ES_tradnl"/>
              </w:rPr>
              <w:t>en la base</w:t>
            </w:r>
          </w:p>
        </w:tc>
        <w:tc>
          <w:tcPr>
            <w:tcW w:w="1984" w:type="dxa"/>
          </w:tcPr>
          <w:p w14:paraId="606590F9" w14:textId="77777777" w:rsidR="006B6FA8" w:rsidRPr="006B6FA8" w:rsidRDefault="006B6FA8" w:rsidP="006B6FA8">
            <w:pPr>
              <w:spacing w:before="40" w:after="40"/>
              <w:jc w:val="left"/>
              <w:rPr>
                <w:rFonts w:cs="Arial"/>
                <w:sz w:val="16"/>
                <w:szCs w:val="16"/>
                <w:lang w:val="es-ES_tradnl"/>
              </w:rPr>
            </w:pPr>
            <w:r w:rsidRPr="006B6FA8">
              <w:rPr>
                <w:rFonts w:cs="Arial"/>
                <w:sz w:val="16"/>
                <w:szCs w:val="16"/>
                <w:lang w:val="es-ES_tradnl"/>
              </w:rPr>
              <w:t>igual</w:t>
            </w:r>
          </w:p>
        </w:tc>
        <w:tc>
          <w:tcPr>
            <w:tcW w:w="1418" w:type="dxa"/>
          </w:tcPr>
          <w:p w14:paraId="337788AF" w14:textId="77777777" w:rsidR="006B6FA8" w:rsidRPr="006B6FA8" w:rsidRDefault="006B6FA8" w:rsidP="006B6FA8">
            <w:pPr>
              <w:spacing w:before="40" w:after="40"/>
              <w:jc w:val="left"/>
              <w:rPr>
                <w:rFonts w:cs="Arial"/>
                <w:sz w:val="16"/>
                <w:szCs w:val="16"/>
                <w:lang w:val="es-ES_tradnl"/>
              </w:rPr>
            </w:pPr>
            <w:r w:rsidRPr="006B6FA8">
              <w:rPr>
                <w:rFonts w:cs="Arial"/>
                <w:sz w:val="16"/>
                <w:szCs w:val="16"/>
                <w:lang w:val="es-ES_tradnl"/>
              </w:rPr>
              <w:t>fuertemente cóncavo</w:t>
            </w:r>
          </w:p>
        </w:tc>
      </w:tr>
      <w:tr w:rsidR="006B6FA8" w:rsidRPr="006B6FA8" w14:paraId="197A0747" w14:textId="77777777" w:rsidTr="00D60821">
        <w:tc>
          <w:tcPr>
            <w:tcW w:w="567" w:type="dxa"/>
          </w:tcPr>
          <w:p w14:paraId="6371198D" w14:textId="77777777" w:rsidR="006B6FA8" w:rsidRPr="006B6FA8" w:rsidRDefault="006B6FA8" w:rsidP="006B6FA8">
            <w:pPr>
              <w:spacing w:before="40" w:after="40"/>
              <w:ind w:left="426" w:hanging="426"/>
              <w:jc w:val="left"/>
              <w:rPr>
                <w:rFonts w:cs="Arial"/>
                <w:sz w:val="16"/>
                <w:szCs w:val="16"/>
                <w:highlight w:val="lightGray"/>
                <w:u w:val="single"/>
                <w:lang w:val="es-ES_tradnl"/>
              </w:rPr>
            </w:pPr>
            <w:r w:rsidRPr="006B6FA8">
              <w:rPr>
                <w:rFonts w:cs="Arial"/>
                <w:sz w:val="16"/>
                <w:szCs w:val="16"/>
                <w:highlight w:val="lightGray"/>
                <w:u w:val="single"/>
                <w:lang w:val="es-ES_tradnl"/>
              </w:rPr>
              <w:t>2</w:t>
            </w:r>
          </w:p>
        </w:tc>
        <w:tc>
          <w:tcPr>
            <w:tcW w:w="1985" w:type="dxa"/>
          </w:tcPr>
          <w:p w14:paraId="04EE2605" w14:textId="77777777" w:rsidR="006B6FA8" w:rsidRPr="006B6FA8" w:rsidRDefault="006B6FA8" w:rsidP="006B6FA8">
            <w:pPr>
              <w:spacing w:before="40" w:after="40"/>
              <w:ind w:left="34"/>
              <w:jc w:val="left"/>
              <w:rPr>
                <w:rFonts w:cs="Arial"/>
                <w:sz w:val="16"/>
                <w:szCs w:val="16"/>
                <w:highlight w:val="lightGray"/>
                <w:u w:val="single"/>
                <w:lang w:val="es-ES_tradnl"/>
              </w:rPr>
            </w:pPr>
            <w:r w:rsidRPr="006B6FA8">
              <w:rPr>
                <w:rFonts w:cs="Arial"/>
                <w:sz w:val="16"/>
                <w:szCs w:val="16"/>
                <w:highlight w:val="lightGray"/>
                <w:u w:val="single"/>
                <w:lang w:val="es-ES_tradnl"/>
              </w:rPr>
              <w:t>mucho más pequeño a moderadamente más pequeño</w:t>
            </w:r>
          </w:p>
        </w:tc>
        <w:tc>
          <w:tcPr>
            <w:tcW w:w="1984" w:type="dxa"/>
          </w:tcPr>
          <w:p w14:paraId="3F354198" w14:textId="77777777" w:rsidR="006B6FA8" w:rsidRPr="006B6FA8" w:rsidRDefault="006B6FA8" w:rsidP="006B6FA8">
            <w:pPr>
              <w:keepNext/>
              <w:spacing w:before="40" w:after="40"/>
              <w:ind w:left="34"/>
              <w:jc w:val="left"/>
              <w:rPr>
                <w:rFonts w:cs="Arial"/>
                <w:sz w:val="16"/>
                <w:szCs w:val="16"/>
                <w:highlight w:val="lightGray"/>
                <w:u w:val="single"/>
                <w:lang w:val="es-ES_tradnl"/>
              </w:rPr>
            </w:pPr>
            <w:r w:rsidRPr="006B6FA8">
              <w:rPr>
                <w:rFonts w:cs="Arial"/>
                <w:sz w:val="16"/>
                <w:szCs w:val="16"/>
                <w:highlight w:val="lightGray"/>
                <w:u w:val="single"/>
                <w:lang w:val="es-ES_tradnl"/>
              </w:rPr>
              <w:t>muy agudo a moderadamente agudo</w:t>
            </w:r>
          </w:p>
        </w:tc>
        <w:tc>
          <w:tcPr>
            <w:tcW w:w="1985" w:type="dxa"/>
          </w:tcPr>
          <w:p w14:paraId="79222B66" w14:textId="77777777" w:rsidR="006B6FA8" w:rsidRPr="006B6FA8" w:rsidRDefault="006B6FA8" w:rsidP="006B6FA8">
            <w:pPr>
              <w:keepNext/>
              <w:spacing w:before="40" w:after="40"/>
              <w:ind w:left="34"/>
              <w:jc w:val="left"/>
              <w:rPr>
                <w:rFonts w:cs="Arial"/>
                <w:sz w:val="16"/>
                <w:szCs w:val="16"/>
                <w:highlight w:val="lightGray"/>
                <w:u w:val="single"/>
                <w:lang w:val="es-ES_tradnl"/>
              </w:rPr>
            </w:pPr>
            <w:r w:rsidRPr="006B6FA8">
              <w:rPr>
                <w:rFonts w:cs="Arial"/>
                <w:sz w:val="16"/>
                <w:szCs w:val="16"/>
                <w:highlight w:val="lightGray"/>
                <w:u w:val="single"/>
                <w:lang w:val="es-ES_tradnl"/>
              </w:rPr>
              <w:t xml:space="preserve">en la base a </w:t>
            </w:r>
            <w:r w:rsidRPr="006B6FA8">
              <w:rPr>
                <w:rFonts w:cs="Arial"/>
                <w:sz w:val="16"/>
                <w:szCs w:val="16"/>
                <w:highlight w:val="lightGray"/>
                <w:u w:val="single"/>
                <w:lang w:val="es-ES_tradnl"/>
              </w:rPr>
              <w:br/>
            </w:r>
            <w:proofErr w:type="spellStart"/>
            <w:r w:rsidRPr="006B6FA8">
              <w:rPr>
                <w:rFonts w:cs="Arial"/>
                <w:sz w:val="16"/>
                <w:szCs w:val="16"/>
                <w:highlight w:val="lightGray"/>
                <w:u w:val="single"/>
                <w:lang w:val="es-ES_tradnl"/>
              </w:rPr>
              <w:t>a</w:t>
            </w:r>
            <w:proofErr w:type="spellEnd"/>
            <w:r w:rsidRPr="006B6FA8">
              <w:rPr>
                <w:rFonts w:cs="Arial"/>
                <w:sz w:val="16"/>
                <w:szCs w:val="16"/>
                <w:highlight w:val="lightGray"/>
                <w:u w:val="single"/>
                <w:lang w:val="es-ES_tradnl"/>
              </w:rPr>
              <w:t xml:space="preserve"> un cuarto de la base</w:t>
            </w:r>
          </w:p>
        </w:tc>
        <w:tc>
          <w:tcPr>
            <w:tcW w:w="1984" w:type="dxa"/>
          </w:tcPr>
          <w:p w14:paraId="2EE7D753" w14:textId="77777777" w:rsidR="006B6FA8" w:rsidRPr="006B6FA8" w:rsidRDefault="006B6FA8" w:rsidP="006B6FA8">
            <w:pPr>
              <w:keepNext/>
              <w:spacing w:before="40" w:after="40"/>
              <w:jc w:val="left"/>
              <w:rPr>
                <w:rFonts w:cs="Arial"/>
                <w:sz w:val="16"/>
                <w:szCs w:val="16"/>
                <w:highlight w:val="lightGray"/>
                <w:u w:val="single"/>
                <w:lang w:val="es-ES_tradnl"/>
              </w:rPr>
            </w:pPr>
            <w:r w:rsidRPr="006B6FA8">
              <w:rPr>
                <w:rFonts w:cs="Arial"/>
                <w:sz w:val="16"/>
                <w:szCs w:val="16"/>
                <w:highlight w:val="lightGray"/>
                <w:u w:val="single"/>
                <w:lang w:val="es-ES_tradnl"/>
              </w:rPr>
              <w:t xml:space="preserve">igual a </w:t>
            </w:r>
            <w:r w:rsidRPr="006B6FA8">
              <w:rPr>
                <w:rFonts w:cs="Arial"/>
                <w:sz w:val="16"/>
                <w:szCs w:val="16"/>
                <w:highlight w:val="lightGray"/>
                <w:u w:val="single"/>
                <w:lang w:val="es-ES_tradnl"/>
              </w:rPr>
              <w:br/>
              <w:t>ligeramente más corto</w:t>
            </w:r>
          </w:p>
        </w:tc>
        <w:tc>
          <w:tcPr>
            <w:tcW w:w="1418" w:type="dxa"/>
          </w:tcPr>
          <w:p w14:paraId="0F3C5AF4" w14:textId="77777777" w:rsidR="006B6FA8" w:rsidRPr="006B6FA8" w:rsidRDefault="006B6FA8" w:rsidP="006B6FA8">
            <w:pPr>
              <w:keepNext/>
              <w:spacing w:before="40" w:after="40"/>
              <w:ind w:left="34"/>
              <w:jc w:val="left"/>
              <w:rPr>
                <w:rFonts w:cs="Arial"/>
                <w:sz w:val="16"/>
                <w:szCs w:val="16"/>
                <w:u w:val="single"/>
                <w:lang w:val="es-ES_tradnl"/>
              </w:rPr>
            </w:pPr>
            <w:r w:rsidRPr="006B6FA8">
              <w:rPr>
                <w:rFonts w:cs="Arial"/>
                <w:sz w:val="16"/>
                <w:szCs w:val="16"/>
                <w:highlight w:val="lightGray"/>
                <w:u w:val="single"/>
                <w:lang w:val="es-ES_tradnl"/>
              </w:rPr>
              <w:t>fuertemente cóncavo a moderadamente cóncavo</w:t>
            </w:r>
          </w:p>
        </w:tc>
      </w:tr>
      <w:tr w:rsidR="006B6FA8" w:rsidRPr="006B6FA8" w14:paraId="232BFDFF" w14:textId="77777777" w:rsidTr="00D60821">
        <w:tc>
          <w:tcPr>
            <w:tcW w:w="567" w:type="dxa"/>
          </w:tcPr>
          <w:p w14:paraId="7975F0F4" w14:textId="77777777" w:rsidR="006B6FA8" w:rsidRPr="006B6FA8" w:rsidRDefault="006B6FA8" w:rsidP="006B6FA8">
            <w:pPr>
              <w:spacing w:before="40" w:after="40"/>
              <w:ind w:left="426" w:hanging="426"/>
              <w:jc w:val="left"/>
              <w:rPr>
                <w:rFonts w:cs="Arial"/>
                <w:sz w:val="16"/>
                <w:szCs w:val="16"/>
                <w:lang w:val="es-ES_tradnl"/>
              </w:rPr>
            </w:pPr>
            <w:r w:rsidRPr="006B6FA8">
              <w:rPr>
                <w:rFonts w:cs="Arial"/>
                <w:sz w:val="16"/>
                <w:szCs w:val="16"/>
                <w:lang w:val="es-ES_tradnl"/>
              </w:rPr>
              <w:t>3</w:t>
            </w:r>
          </w:p>
        </w:tc>
        <w:tc>
          <w:tcPr>
            <w:tcW w:w="1985" w:type="dxa"/>
          </w:tcPr>
          <w:p w14:paraId="3CA9A964" w14:textId="77777777" w:rsidR="006B6FA8" w:rsidRPr="006B6FA8" w:rsidRDefault="006B6FA8" w:rsidP="006B6FA8">
            <w:pPr>
              <w:spacing w:before="40" w:after="40"/>
              <w:ind w:left="34"/>
              <w:jc w:val="left"/>
              <w:rPr>
                <w:rFonts w:cs="Arial"/>
                <w:sz w:val="16"/>
                <w:szCs w:val="16"/>
                <w:lang w:val="es-ES_tradnl"/>
              </w:rPr>
            </w:pPr>
            <w:r w:rsidRPr="006B6FA8">
              <w:rPr>
                <w:rFonts w:cs="Arial"/>
                <w:sz w:val="16"/>
                <w:szCs w:val="16"/>
                <w:lang w:val="es-ES_tradnl"/>
              </w:rPr>
              <w:t>moderadamente más pequeño</w:t>
            </w:r>
          </w:p>
        </w:tc>
        <w:tc>
          <w:tcPr>
            <w:tcW w:w="1984" w:type="dxa"/>
          </w:tcPr>
          <w:p w14:paraId="53D438C5" w14:textId="77777777" w:rsidR="006B6FA8" w:rsidRPr="006B6FA8" w:rsidRDefault="006B6FA8" w:rsidP="006B6FA8">
            <w:pPr>
              <w:keepNext/>
              <w:spacing w:before="40" w:after="40"/>
              <w:ind w:left="34"/>
              <w:jc w:val="left"/>
              <w:rPr>
                <w:rFonts w:cs="Arial"/>
                <w:sz w:val="16"/>
                <w:szCs w:val="16"/>
                <w:lang w:val="es-ES_tradnl"/>
              </w:rPr>
            </w:pPr>
            <w:r w:rsidRPr="006B6FA8">
              <w:rPr>
                <w:rFonts w:cs="Arial"/>
                <w:sz w:val="16"/>
                <w:szCs w:val="16"/>
                <w:lang w:val="es-ES_tradnl"/>
              </w:rPr>
              <w:t>moderadamente agudo</w:t>
            </w:r>
          </w:p>
        </w:tc>
        <w:tc>
          <w:tcPr>
            <w:tcW w:w="1985" w:type="dxa"/>
          </w:tcPr>
          <w:p w14:paraId="0F92B66F" w14:textId="77777777" w:rsidR="006B6FA8" w:rsidRPr="006B6FA8" w:rsidRDefault="006B6FA8" w:rsidP="006B6FA8">
            <w:pPr>
              <w:keepNext/>
              <w:spacing w:before="40" w:after="40"/>
              <w:ind w:left="34"/>
              <w:jc w:val="left"/>
              <w:rPr>
                <w:rFonts w:cs="Arial"/>
                <w:sz w:val="16"/>
                <w:szCs w:val="16"/>
                <w:lang w:val="es-ES_tradnl"/>
              </w:rPr>
            </w:pPr>
            <w:r w:rsidRPr="006B6FA8">
              <w:rPr>
                <w:rFonts w:cs="Arial"/>
                <w:sz w:val="16"/>
                <w:szCs w:val="16"/>
                <w:lang w:val="es-ES_tradnl"/>
              </w:rPr>
              <w:t>a un cuarto de la base</w:t>
            </w:r>
          </w:p>
        </w:tc>
        <w:tc>
          <w:tcPr>
            <w:tcW w:w="1984" w:type="dxa"/>
          </w:tcPr>
          <w:p w14:paraId="0A6D8423" w14:textId="77777777" w:rsidR="006B6FA8" w:rsidRPr="006B6FA8" w:rsidRDefault="006B6FA8" w:rsidP="006B6FA8">
            <w:pPr>
              <w:keepNext/>
              <w:spacing w:before="40" w:after="40"/>
              <w:ind w:left="34"/>
              <w:jc w:val="left"/>
              <w:rPr>
                <w:rFonts w:cs="Arial"/>
                <w:sz w:val="16"/>
                <w:szCs w:val="16"/>
                <w:lang w:val="es-ES_tradnl"/>
              </w:rPr>
            </w:pPr>
            <w:r w:rsidRPr="006B6FA8">
              <w:rPr>
                <w:rFonts w:cs="Arial"/>
                <w:sz w:val="16"/>
                <w:szCs w:val="16"/>
                <w:lang w:val="es-ES_tradnl"/>
              </w:rPr>
              <w:t>ligeramente más corto</w:t>
            </w:r>
          </w:p>
        </w:tc>
        <w:tc>
          <w:tcPr>
            <w:tcW w:w="1418" w:type="dxa"/>
          </w:tcPr>
          <w:p w14:paraId="2672F4F4" w14:textId="77777777" w:rsidR="006B6FA8" w:rsidRPr="006B6FA8" w:rsidRDefault="006B6FA8" w:rsidP="006B6FA8">
            <w:pPr>
              <w:keepNext/>
              <w:spacing w:before="40" w:after="40"/>
              <w:ind w:left="34"/>
              <w:jc w:val="left"/>
              <w:rPr>
                <w:rFonts w:cs="Arial"/>
                <w:sz w:val="16"/>
                <w:szCs w:val="16"/>
                <w:lang w:val="es-ES_tradnl"/>
              </w:rPr>
            </w:pPr>
            <w:r w:rsidRPr="006B6FA8">
              <w:rPr>
                <w:rFonts w:cs="Arial"/>
                <w:sz w:val="16"/>
                <w:szCs w:val="16"/>
                <w:lang w:val="es-ES_tradnl"/>
              </w:rPr>
              <w:t>moderadamente cóncavo</w:t>
            </w:r>
          </w:p>
        </w:tc>
      </w:tr>
      <w:tr w:rsidR="006B6FA8" w:rsidRPr="006B6FA8" w14:paraId="44127728" w14:textId="77777777" w:rsidTr="00D60821">
        <w:tc>
          <w:tcPr>
            <w:tcW w:w="567" w:type="dxa"/>
          </w:tcPr>
          <w:p w14:paraId="69BBF2CE" w14:textId="77777777" w:rsidR="006B6FA8" w:rsidRPr="006B6FA8" w:rsidRDefault="006B6FA8" w:rsidP="006B6FA8">
            <w:pPr>
              <w:spacing w:before="40" w:after="40"/>
              <w:ind w:left="426" w:hanging="426"/>
              <w:jc w:val="left"/>
              <w:rPr>
                <w:rFonts w:cs="Arial"/>
                <w:sz w:val="16"/>
                <w:szCs w:val="16"/>
                <w:highlight w:val="lightGray"/>
                <w:u w:val="single"/>
                <w:lang w:val="es-ES_tradnl"/>
              </w:rPr>
            </w:pPr>
            <w:r w:rsidRPr="006B6FA8">
              <w:rPr>
                <w:rFonts w:cs="Arial"/>
                <w:sz w:val="16"/>
                <w:szCs w:val="16"/>
                <w:highlight w:val="lightGray"/>
                <w:u w:val="single"/>
                <w:lang w:val="es-ES_tradnl"/>
              </w:rPr>
              <w:t>4</w:t>
            </w:r>
          </w:p>
        </w:tc>
        <w:tc>
          <w:tcPr>
            <w:tcW w:w="1985" w:type="dxa"/>
          </w:tcPr>
          <w:p w14:paraId="6A5EBA80" w14:textId="77777777" w:rsidR="006B6FA8" w:rsidRPr="006B6FA8" w:rsidRDefault="006B6FA8" w:rsidP="006B6FA8">
            <w:pPr>
              <w:spacing w:before="40" w:after="40"/>
              <w:ind w:left="34"/>
              <w:jc w:val="left"/>
              <w:rPr>
                <w:rFonts w:cs="Arial"/>
                <w:sz w:val="16"/>
                <w:szCs w:val="16"/>
                <w:highlight w:val="lightGray"/>
                <w:u w:val="single"/>
                <w:lang w:val="es-ES_tradnl"/>
              </w:rPr>
            </w:pPr>
            <w:r w:rsidRPr="006B6FA8">
              <w:rPr>
                <w:rFonts w:cs="Arial"/>
                <w:sz w:val="16"/>
                <w:szCs w:val="16"/>
                <w:highlight w:val="lightGray"/>
                <w:u w:val="single"/>
                <w:lang w:val="es-ES_tradnl"/>
              </w:rPr>
              <w:t xml:space="preserve">moderadamente más pequeño a </w:t>
            </w:r>
            <w:r w:rsidRPr="006B6FA8">
              <w:rPr>
                <w:rFonts w:cs="Arial"/>
                <w:sz w:val="16"/>
                <w:szCs w:val="16"/>
                <w:highlight w:val="lightGray"/>
                <w:u w:val="single"/>
                <w:lang w:val="es-ES_tradnl"/>
              </w:rPr>
              <w:br/>
              <w:t>igual tamaño</w:t>
            </w:r>
          </w:p>
        </w:tc>
        <w:tc>
          <w:tcPr>
            <w:tcW w:w="1984" w:type="dxa"/>
          </w:tcPr>
          <w:p w14:paraId="4F25AF65" w14:textId="77777777" w:rsidR="006B6FA8" w:rsidRPr="006B6FA8" w:rsidRDefault="006B6FA8" w:rsidP="006B6FA8">
            <w:pPr>
              <w:keepNext/>
              <w:spacing w:before="40" w:after="40"/>
              <w:ind w:left="34"/>
              <w:jc w:val="left"/>
              <w:rPr>
                <w:rFonts w:cs="Arial"/>
                <w:sz w:val="16"/>
                <w:szCs w:val="16"/>
                <w:highlight w:val="lightGray"/>
                <w:u w:val="single"/>
                <w:lang w:val="pt-PT"/>
              </w:rPr>
            </w:pPr>
            <w:r w:rsidRPr="006B6FA8">
              <w:rPr>
                <w:rFonts w:cs="Arial"/>
                <w:sz w:val="16"/>
                <w:szCs w:val="16"/>
                <w:highlight w:val="lightGray"/>
                <w:u w:val="single"/>
                <w:lang w:val="pt-PT"/>
              </w:rPr>
              <w:t>moderadamente agudo a ángulo recto</w:t>
            </w:r>
          </w:p>
        </w:tc>
        <w:tc>
          <w:tcPr>
            <w:tcW w:w="1985" w:type="dxa"/>
          </w:tcPr>
          <w:p w14:paraId="73C688EF" w14:textId="77777777" w:rsidR="006B6FA8" w:rsidRPr="006B6FA8" w:rsidRDefault="006B6FA8" w:rsidP="006B6FA8">
            <w:pPr>
              <w:keepNext/>
              <w:spacing w:before="40" w:after="40"/>
              <w:ind w:left="34"/>
              <w:jc w:val="left"/>
              <w:rPr>
                <w:rFonts w:cs="Arial"/>
                <w:sz w:val="16"/>
                <w:szCs w:val="16"/>
                <w:highlight w:val="lightGray"/>
                <w:u w:val="single"/>
                <w:lang w:val="es-ES_tradnl"/>
              </w:rPr>
            </w:pPr>
            <w:r w:rsidRPr="006B6FA8">
              <w:rPr>
                <w:rFonts w:cs="Arial"/>
                <w:sz w:val="16"/>
                <w:szCs w:val="16"/>
                <w:highlight w:val="lightGray"/>
                <w:u w:val="single"/>
                <w:lang w:val="es-ES_tradnl"/>
              </w:rPr>
              <w:t>a un cuarto de la base a en el medio</w:t>
            </w:r>
          </w:p>
        </w:tc>
        <w:tc>
          <w:tcPr>
            <w:tcW w:w="1984" w:type="dxa"/>
          </w:tcPr>
          <w:p w14:paraId="22803176" w14:textId="77777777" w:rsidR="006B6FA8" w:rsidRPr="006B6FA8" w:rsidRDefault="006B6FA8" w:rsidP="006B6FA8">
            <w:pPr>
              <w:keepNext/>
              <w:spacing w:before="40" w:after="40"/>
              <w:ind w:left="34"/>
              <w:jc w:val="left"/>
              <w:rPr>
                <w:rFonts w:cs="Arial"/>
                <w:sz w:val="16"/>
                <w:szCs w:val="16"/>
                <w:highlight w:val="lightGray"/>
                <w:u w:val="single"/>
                <w:lang w:val="es-ES_tradnl"/>
              </w:rPr>
            </w:pPr>
            <w:r w:rsidRPr="006B6FA8">
              <w:rPr>
                <w:rFonts w:cs="Arial"/>
                <w:sz w:val="16"/>
                <w:szCs w:val="16"/>
                <w:highlight w:val="lightGray"/>
                <w:u w:val="single"/>
                <w:lang w:val="es-ES_tradnl"/>
              </w:rPr>
              <w:t>ligeramente más corto a moderadamente más corto</w:t>
            </w:r>
          </w:p>
        </w:tc>
        <w:tc>
          <w:tcPr>
            <w:tcW w:w="1418" w:type="dxa"/>
          </w:tcPr>
          <w:p w14:paraId="2AF6406E" w14:textId="77777777" w:rsidR="006B6FA8" w:rsidRPr="006B6FA8" w:rsidRDefault="006B6FA8" w:rsidP="006B6FA8">
            <w:pPr>
              <w:keepNext/>
              <w:spacing w:before="40" w:after="40"/>
              <w:ind w:left="34"/>
              <w:jc w:val="left"/>
              <w:rPr>
                <w:rFonts w:cs="Arial"/>
                <w:sz w:val="16"/>
                <w:szCs w:val="16"/>
                <w:u w:val="single"/>
                <w:lang w:val="es-ES_tradnl"/>
              </w:rPr>
            </w:pPr>
            <w:r w:rsidRPr="006B6FA8">
              <w:rPr>
                <w:rFonts w:cs="Arial"/>
                <w:sz w:val="16"/>
                <w:szCs w:val="16"/>
                <w:highlight w:val="lightGray"/>
                <w:u w:val="single"/>
                <w:lang w:val="es-ES_tradnl"/>
              </w:rPr>
              <w:t>moderadamente cóncavo a plano</w:t>
            </w:r>
          </w:p>
        </w:tc>
      </w:tr>
      <w:tr w:rsidR="006B6FA8" w:rsidRPr="006B6FA8" w14:paraId="57B52853" w14:textId="77777777" w:rsidTr="00D60821">
        <w:tc>
          <w:tcPr>
            <w:tcW w:w="567" w:type="dxa"/>
          </w:tcPr>
          <w:p w14:paraId="1372000B" w14:textId="77777777" w:rsidR="006B6FA8" w:rsidRPr="006B6FA8" w:rsidRDefault="006B6FA8" w:rsidP="006B6FA8">
            <w:pPr>
              <w:spacing w:before="40" w:after="40"/>
              <w:ind w:left="426" w:hanging="426"/>
              <w:jc w:val="left"/>
              <w:rPr>
                <w:rFonts w:cs="Arial"/>
                <w:sz w:val="16"/>
                <w:szCs w:val="16"/>
                <w:lang w:val="es-ES_tradnl"/>
              </w:rPr>
            </w:pPr>
            <w:r w:rsidRPr="006B6FA8">
              <w:rPr>
                <w:rFonts w:cs="Arial"/>
                <w:sz w:val="16"/>
                <w:szCs w:val="16"/>
                <w:lang w:val="es-ES_tradnl"/>
              </w:rPr>
              <w:t>5</w:t>
            </w:r>
          </w:p>
        </w:tc>
        <w:tc>
          <w:tcPr>
            <w:tcW w:w="1985" w:type="dxa"/>
          </w:tcPr>
          <w:p w14:paraId="1778568D" w14:textId="77777777" w:rsidR="006B6FA8" w:rsidRPr="006B6FA8" w:rsidRDefault="006B6FA8" w:rsidP="006B6FA8">
            <w:pPr>
              <w:spacing w:before="40" w:after="40"/>
              <w:ind w:left="34"/>
              <w:jc w:val="left"/>
              <w:rPr>
                <w:rFonts w:cs="Arial"/>
                <w:sz w:val="16"/>
                <w:szCs w:val="16"/>
                <w:lang w:val="es-ES_tradnl"/>
              </w:rPr>
            </w:pPr>
            <w:r w:rsidRPr="006B6FA8">
              <w:rPr>
                <w:rFonts w:cs="Arial"/>
                <w:sz w:val="16"/>
                <w:szCs w:val="16"/>
                <w:lang w:val="es-ES_tradnl"/>
              </w:rPr>
              <w:t>igual tamaño</w:t>
            </w:r>
          </w:p>
        </w:tc>
        <w:tc>
          <w:tcPr>
            <w:tcW w:w="1984" w:type="dxa"/>
          </w:tcPr>
          <w:p w14:paraId="7E9D2DAB" w14:textId="77777777" w:rsidR="006B6FA8" w:rsidRPr="006B6FA8" w:rsidRDefault="006B6FA8" w:rsidP="006B6FA8">
            <w:pPr>
              <w:keepNext/>
              <w:spacing w:before="40" w:after="40"/>
              <w:ind w:left="34"/>
              <w:jc w:val="left"/>
              <w:rPr>
                <w:rFonts w:cs="Arial"/>
                <w:sz w:val="16"/>
                <w:szCs w:val="16"/>
                <w:lang w:val="es-ES_tradnl"/>
              </w:rPr>
            </w:pPr>
            <w:r w:rsidRPr="006B6FA8">
              <w:rPr>
                <w:rFonts w:cs="Arial"/>
                <w:sz w:val="16"/>
                <w:szCs w:val="16"/>
                <w:lang w:val="es-ES_tradnl"/>
              </w:rPr>
              <w:t>ángulo recto</w:t>
            </w:r>
          </w:p>
        </w:tc>
        <w:tc>
          <w:tcPr>
            <w:tcW w:w="1985" w:type="dxa"/>
          </w:tcPr>
          <w:p w14:paraId="6EEE0024" w14:textId="77777777" w:rsidR="006B6FA8" w:rsidRPr="006B6FA8" w:rsidRDefault="006B6FA8" w:rsidP="006B6FA8">
            <w:pPr>
              <w:keepNext/>
              <w:spacing w:before="40" w:after="40"/>
              <w:ind w:left="34"/>
              <w:jc w:val="left"/>
              <w:rPr>
                <w:rFonts w:cs="Arial"/>
                <w:sz w:val="16"/>
                <w:szCs w:val="16"/>
                <w:lang w:val="es-ES_tradnl"/>
              </w:rPr>
            </w:pPr>
            <w:r w:rsidRPr="006B6FA8">
              <w:rPr>
                <w:rFonts w:cs="Arial"/>
                <w:sz w:val="16"/>
                <w:szCs w:val="16"/>
                <w:lang w:val="es-ES_tradnl"/>
              </w:rPr>
              <w:t>en el medio</w:t>
            </w:r>
          </w:p>
        </w:tc>
        <w:tc>
          <w:tcPr>
            <w:tcW w:w="1984" w:type="dxa"/>
          </w:tcPr>
          <w:p w14:paraId="3B884B35" w14:textId="77777777" w:rsidR="006B6FA8" w:rsidRPr="006B6FA8" w:rsidRDefault="006B6FA8" w:rsidP="006B6FA8">
            <w:pPr>
              <w:keepNext/>
              <w:spacing w:before="40" w:after="40"/>
              <w:ind w:left="34"/>
              <w:jc w:val="left"/>
              <w:rPr>
                <w:rFonts w:cs="Arial"/>
                <w:sz w:val="16"/>
                <w:szCs w:val="16"/>
                <w:lang w:val="es-ES_tradnl"/>
              </w:rPr>
            </w:pPr>
            <w:r w:rsidRPr="006B6FA8">
              <w:rPr>
                <w:rFonts w:cs="Arial"/>
                <w:sz w:val="16"/>
                <w:szCs w:val="16"/>
                <w:lang w:val="es-ES_tradnl"/>
              </w:rPr>
              <w:t>moderadamente más corto</w:t>
            </w:r>
          </w:p>
        </w:tc>
        <w:tc>
          <w:tcPr>
            <w:tcW w:w="1418" w:type="dxa"/>
          </w:tcPr>
          <w:p w14:paraId="76B9F9E8" w14:textId="77777777" w:rsidR="006B6FA8" w:rsidRPr="006B6FA8" w:rsidRDefault="006B6FA8" w:rsidP="006B6FA8">
            <w:pPr>
              <w:keepNext/>
              <w:spacing w:before="40" w:after="40"/>
              <w:ind w:left="34"/>
              <w:jc w:val="left"/>
              <w:rPr>
                <w:rFonts w:cs="Arial"/>
                <w:sz w:val="16"/>
                <w:szCs w:val="16"/>
                <w:lang w:val="es-ES_tradnl"/>
              </w:rPr>
            </w:pPr>
            <w:r w:rsidRPr="006B6FA8">
              <w:rPr>
                <w:rFonts w:cs="Arial"/>
                <w:sz w:val="16"/>
                <w:szCs w:val="16"/>
                <w:lang w:val="es-ES_tradnl"/>
              </w:rPr>
              <w:t>plano</w:t>
            </w:r>
          </w:p>
        </w:tc>
      </w:tr>
      <w:tr w:rsidR="006B6FA8" w:rsidRPr="006B6FA8" w14:paraId="63AEF9A5" w14:textId="77777777" w:rsidTr="00D60821">
        <w:tc>
          <w:tcPr>
            <w:tcW w:w="567" w:type="dxa"/>
          </w:tcPr>
          <w:p w14:paraId="5BD8D97C" w14:textId="77777777" w:rsidR="006B6FA8" w:rsidRPr="006B6FA8" w:rsidRDefault="006B6FA8" w:rsidP="006B6FA8">
            <w:pPr>
              <w:spacing w:before="40" w:after="40"/>
              <w:ind w:left="426" w:hanging="426"/>
              <w:jc w:val="left"/>
              <w:rPr>
                <w:rFonts w:cs="Arial"/>
                <w:sz w:val="16"/>
                <w:szCs w:val="16"/>
                <w:highlight w:val="lightGray"/>
                <w:u w:val="single"/>
                <w:lang w:val="es-ES_tradnl"/>
              </w:rPr>
            </w:pPr>
            <w:r w:rsidRPr="006B6FA8">
              <w:rPr>
                <w:rFonts w:cs="Arial"/>
                <w:sz w:val="16"/>
                <w:szCs w:val="16"/>
                <w:highlight w:val="lightGray"/>
                <w:u w:val="single"/>
                <w:lang w:val="es-ES_tradnl"/>
              </w:rPr>
              <w:t>6</w:t>
            </w:r>
          </w:p>
        </w:tc>
        <w:tc>
          <w:tcPr>
            <w:tcW w:w="1985" w:type="dxa"/>
          </w:tcPr>
          <w:p w14:paraId="291C4204" w14:textId="77777777" w:rsidR="006B6FA8" w:rsidRPr="006B6FA8" w:rsidRDefault="006B6FA8" w:rsidP="006B6FA8">
            <w:pPr>
              <w:spacing w:before="40" w:after="40"/>
              <w:ind w:left="34"/>
              <w:jc w:val="left"/>
              <w:rPr>
                <w:rFonts w:cs="Arial"/>
                <w:sz w:val="16"/>
                <w:szCs w:val="16"/>
                <w:highlight w:val="lightGray"/>
                <w:u w:val="single"/>
                <w:lang w:val="es-ES_tradnl"/>
              </w:rPr>
            </w:pPr>
            <w:r w:rsidRPr="006B6FA8">
              <w:rPr>
                <w:rFonts w:cs="Arial"/>
                <w:sz w:val="16"/>
                <w:szCs w:val="16"/>
                <w:highlight w:val="lightGray"/>
                <w:u w:val="single"/>
                <w:lang w:val="es-ES_tradnl"/>
              </w:rPr>
              <w:t>igual tamaño a moderadamente más grande</w:t>
            </w:r>
          </w:p>
        </w:tc>
        <w:tc>
          <w:tcPr>
            <w:tcW w:w="1984" w:type="dxa"/>
          </w:tcPr>
          <w:p w14:paraId="3C1D505F" w14:textId="77777777" w:rsidR="006B6FA8" w:rsidRPr="006B6FA8" w:rsidRDefault="006B6FA8" w:rsidP="006B6FA8">
            <w:pPr>
              <w:keepNext/>
              <w:spacing w:before="40" w:after="40"/>
              <w:ind w:left="34"/>
              <w:jc w:val="left"/>
              <w:rPr>
                <w:rFonts w:cs="Arial"/>
                <w:sz w:val="16"/>
                <w:szCs w:val="16"/>
                <w:highlight w:val="lightGray"/>
                <w:u w:val="single"/>
                <w:lang w:val="es-ES_tradnl"/>
              </w:rPr>
            </w:pPr>
            <w:r w:rsidRPr="006B6FA8">
              <w:rPr>
                <w:rFonts w:cs="Arial"/>
                <w:sz w:val="16"/>
                <w:szCs w:val="16"/>
                <w:highlight w:val="lightGray"/>
                <w:u w:val="single"/>
                <w:lang w:val="es-ES_tradnl"/>
              </w:rPr>
              <w:t>ángulo recto a moderadamente obtuso</w:t>
            </w:r>
          </w:p>
        </w:tc>
        <w:tc>
          <w:tcPr>
            <w:tcW w:w="1985" w:type="dxa"/>
          </w:tcPr>
          <w:p w14:paraId="4BA119D6" w14:textId="77777777" w:rsidR="006B6FA8" w:rsidRPr="006B6FA8" w:rsidRDefault="006B6FA8" w:rsidP="006B6FA8">
            <w:pPr>
              <w:keepNext/>
              <w:spacing w:before="40" w:after="40"/>
              <w:ind w:left="34"/>
              <w:jc w:val="left"/>
              <w:rPr>
                <w:rFonts w:cs="Arial"/>
                <w:sz w:val="16"/>
                <w:szCs w:val="16"/>
                <w:highlight w:val="lightGray"/>
                <w:u w:val="single"/>
                <w:lang w:val="es-ES_tradnl"/>
              </w:rPr>
            </w:pPr>
            <w:r w:rsidRPr="006B6FA8">
              <w:rPr>
                <w:rFonts w:cs="Arial"/>
                <w:sz w:val="16"/>
                <w:szCs w:val="16"/>
                <w:highlight w:val="lightGray"/>
                <w:u w:val="single"/>
                <w:lang w:val="es-ES_tradnl"/>
              </w:rPr>
              <w:t>en el medio a</w:t>
            </w:r>
            <w:r w:rsidRPr="006B6FA8">
              <w:rPr>
                <w:rFonts w:cs="Arial"/>
                <w:sz w:val="16"/>
                <w:szCs w:val="16"/>
                <w:highlight w:val="lightGray"/>
                <w:u w:val="single"/>
                <w:lang w:val="es-ES_tradnl"/>
              </w:rPr>
              <w:br/>
            </w:r>
            <w:proofErr w:type="spellStart"/>
            <w:r w:rsidRPr="006B6FA8">
              <w:rPr>
                <w:rFonts w:cs="Arial"/>
                <w:sz w:val="16"/>
                <w:szCs w:val="16"/>
                <w:highlight w:val="lightGray"/>
                <w:u w:val="single"/>
                <w:lang w:val="es-ES_tradnl"/>
              </w:rPr>
              <w:t>a</w:t>
            </w:r>
            <w:proofErr w:type="spellEnd"/>
            <w:r w:rsidRPr="006B6FA8">
              <w:rPr>
                <w:rFonts w:cs="Arial"/>
                <w:sz w:val="16"/>
                <w:szCs w:val="16"/>
                <w:highlight w:val="lightGray"/>
                <w:u w:val="single"/>
                <w:lang w:val="es-ES_tradnl"/>
              </w:rPr>
              <w:t xml:space="preserve"> un cuarto del extremo apical</w:t>
            </w:r>
          </w:p>
        </w:tc>
        <w:tc>
          <w:tcPr>
            <w:tcW w:w="1984" w:type="dxa"/>
          </w:tcPr>
          <w:p w14:paraId="7E6911F6" w14:textId="77777777" w:rsidR="006B6FA8" w:rsidRPr="006B6FA8" w:rsidRDefault="006B6FA8" w:rsidP="006B6FA8">
            <w:pPr>
              <w:keepNext/>
              <w:spacing w:before="40" w:after="40"/>
              <w:ind w:left="34"/>
              <w:jc w:val="left"/>
              <w:rPr>
                <w:rFonts w:cs="Arial"/>
                <w:sz w:val="16"/>
                <w:szCs w:val="16"/>
                <w:highlight w:val="lightGray"/>
                <w:u w:val="single"/>
                <w:lang w:val="es-ES_tradnl"/>
              </w:rPr>
            </w:pPr>
            <w:r w:rsidRPr="006B6FA8">
              <w:rPr>
                <w:rFonts w:cs="Arial"/>
                <w:sz w:val="16"/>
                <w:szCs w:val="16"/>
                <w:highlight w:val="lightGray"/>
                <w:u w:val="single"/>
                <w:lang w:val="es-ES_tradnl"/>
              </w:rPr>
              <w:t>moderadamente más corto a</w:t>
            </w:r>
            <w:r w:rsidRPr="006B6FA8">
              <w:rPr>
                <w:rFonts w:cs="Arial"/>
                <w:sz w:val="16"/>
                <w:szCs w:val="16"/>
                <w:highlight w:val="lightGray"/>
                <w:u w:val="single"/>
                <w:lang w:val="es-ES_tradnl"/>
              </w:rPr>
              <w:br/>
              <w:t>bastante más corto</w:t>
            </w:r>
          </w:p>
        </w:tc>
        <w:tc>
          <w:tcPr>
            <w:tcW w:w="1418" w:type="dxa"/>
          </w:tcPr>
          <w:p w14:paraId="1FE307CD" w14:textId="77777777" w:rsidR="006B6FA8" w:rsidRPr="006B6FA8" w:rsidRDefault="006B6FA8" w:rsidP="006B6FA8">
            <w:pPr>
              <w:keepNext/>
              <w:spacing w:before="40" w:after="40"/>
              <w:ind w:left="34"/>
              <w:jc w:val="left"/>
              <w:rPr>
                <w:rFonts w:cs="Arial"/>
                <w:sz w:val="16"/>
                <w:szCs w:val="16"/>
                <w:u w:val="single"/>
                <w:lang w:val="es-ES_tradnl"/>
              </w:rPr>
            </w:pPr>
            <w:r w:rsidRPr="006B6FA8">
              <w:rPr>
                <w:rFonts w:cs="Arial"/>
                <w:sz w:val="16"/>
                <w:szCs w:val="16"/>
                <w:highlight w:val="lightGray"/>
                <w:u w:val="single"/>
                <w:lang w:val="es-ES_tradnl"/>
              </w:rPr>
              <w:t>plano a</w:t>
            </w:r>
            <w:r w:rsidRPr="006B6FA8">
              <w:rPr>
                <w:rFonts w:cs="Arial"/>
                <w:sz w:val="16"/>
                <w:szCs w:val="16"/>
                <w:highlight w:val="lightGray"/>
                <w:u w:val="single"/>
                <w:lang w:val="es-ES_tradnl"/>
              </w:rPr>
              <w:br/>
              <w:t>moderadamente convexo</w:t>
            </w:r>
          </w:p>
        </w:tc>
      </w:tr>
      <w:tr w:rsidR="006B6FA8" w:rsidRPr="006B6FA8" w14:paraId="78397D4F" w14:textId="77777777" w:rsidTr="00D60821">
        <w:tc>
          <w:tcPr>
            <w:tcW w:w="567" w:type="dxa"/>
          </w:tcPr>
          <w:p w14:paraId="4AAC154B" w14:textId="77777777" w:rsidR="006B6FA8" w:rsidRPr="006B6FA8" w:rsidRDefault="006B6FA8" w:rsidP="006B6FA8">
            <w:pPr>
              <w:spacing w:before="40" w:after="40"/>
              <w:ind w:left="426" w:hanging="426"/>
              <w:jc w:val="left"/>
              <w:rPr>
                <w:rFonts w:cs="Arial"/>
                <w:sz w:val="16"/>
                <w:szCs w:val="16"/>
                <w:lang w:val="es-ES_tradnl"/>
              </w:rPr>
            </w:pPr>
            <w:r w:rsidRPr="006B6FA8">
              <w:rPr>
                <w:rFonts w:cs="Arial"/>
                <w:sz w:val="16"/>
                <w:szCs w:val="16"/>
                <w:lang w:val="es-ES_tradnl"/>
              </w:rPr>
              <w:t>7</w:t>
            </w:r>
          </w:p>
        </w:tc>
        <w:tc>
          <w:tcPr>
            <w:tcW w:w="1985" w:type="dxa"/>
          </w:tcPr>
          <w:p w14:paraId="46B9BCBB" w14:textId="77777777" w:rsidR="006B6FA8" w:rsidRPr="006B6FA8" w:rsidRDefault="006B6FA8" w:rsidP="006B6FA8">
            <w:pPr>
              <w:spacing w:before="40" w:after="40"/>
              <w:ind w:left="34"/>
              <w:jc w:val="left"/>
              <w:rPr>
                <w:rFonts w:cs="Arial"/>
                <w:sz w:val="16"/>
                <w:szCs w:val="16"/>
                <w:lang w:val="es-ES_tradnl"/>
              </w:rPr>
            </w:pPr>
            <w:r w:rsidRPr="006B6FA8">
              <w:rPr>
                <w:rFonts w:cs="Arial"/>
                <w:sz w:val="16"/>
                <w:szCs w:val="16"/>
                <w:lang w:val="es-ES_tradnl"/>
              </w:rPr>
              <w:t>moderadamente más grande</w:t>
            </w:r>
          </w:p>
        </w:tc>
        <w:tc>
          <w:tcPr>
            <w:tcW w:w="1984" w:type="dxa"/>
          </w:tcPr>
          <w:p w14:paraId="5E8A2DA5" w14:textId="77777777" w:rsidR="006B6FA8" w:rsidRPr="006B6FA8" w:rsidRDefault="006B6FA8" w:rsidP="006B6FA8">
            <w:pPr>
              <w:keepNext/>
              <w:spacing w:before="40" w:after="40"/>
              <w:ind w:left="34"/>
              <w:jc w:val="left"/>
              <w:rPr>
                <w:rFonts w:cs="Arial"/>
                <w:sz w:val="16"/>
                <w:szCs w:val="16"/>
                <w:lang w:val="es-ES_tradnl"/>
              </w:rPr>
            </w:pPr>
            <w:r w:rsidRPr="006B6FA8">
              <w:rPr>
                <w:rFonts w:cs="Arial"/>
                <w:sz w:val="16"/>
                <w:szCs w:val="16"/>
                <w:lang w:val="es-ES_tradnl"/>
              </w:rPr>
              <w:t>moderadamente obtuso</w:t>
            </w:r>
          </w:p>
        </w:tc>
        <w:tc>
          <w:tcPr>
            <w:tcW w:w="1985" w:type="dxa"/>
          </w:tcPr>
          <w:p w14:paraId="7605F95E" w14:textId="77777777" w:rsidR="006B6FA8" w:rsidRPr="006B6FA8" w:rsidRDefault="006B6FA8" w:rsidP="006B6FA8">
            <w:pPr>
              <w:keepNext/>
              <w:spacing w:before="40" w:after="40"/>
              <w:ind w:left="34"/>
              <w:jc w:val="left"/>
              <w:rPr>
                <w:rFonts w:cs="Arial"/>
                <w:sz w:val="16"/>
                <w:szCs w:val="16"/>
                <w:lang w:val="es-ES_tradnl"/>
              </w:rPr>
            </w:pPr>
            <w:r w:rsidRPr="006B6FA8">
              <w:rPr>
                <w:rFonts w:cs="Arial"/>
                <w:sz w:val="16"/>
                <w:szCs w:val="16"/>
                <w:lang w:val="es-ES_tradnl"/>
              </w:rPr>
              <w:t>a un cuarto del extremo apical</w:t>
            </w:r>
          </w:p>
        </w:tc>
        <w:tc>
          <w:tcPr>
            <w:tcW w:w="1984" w:type="dxa"/>
          </w:tcPr>
          <w:p w14:paraId="5E3C709A" w14:textId="77777777" w:rsidR="006B6FA8" w:rsidRPr="006B6FA8" w:rsidRDefault="006B6FA8" w:rsidP="006B6FA8">
            <w:pPr>
              <w:keepNext/>
              <w:spacing w:before="40" w:after="40"/>
              <w:ind w:left="34"/>
              <w:jc w:val="left"/>
              <w:rPr>
                <w:rFonts w:cs="Arial"/>
                <w:sz w:val="16"/>
                <w:szCs w:val="16"/>
                <w:lang w:val="es-ES_tradnl"/>
              </w:rPr>
            </w:pPr>
            <w:r w:rsidRPr="006B6FA8">
              <w:rPr>
                <w:rFonts w:cs="Arial"/>
                <w:sz w:val="16"/>
                <w:szCs w:val="16"/>
                <w:lang w:val="es-ES_tradnl"/>
              </w:rPr>
              <w:t>bastante más corto</w:t>
            </w:r>
          </w:p>
        </w:tc>
        <w:tc>
          <w:tcPr>
            <w:tcW w:w="1418" w:type="dxa"/>
          </w:tcPr>
          <w:p w14:paraId="4FB89BB0" w14:textId="77777777" w:rsidR="006B6FA8" w:rsidRPr="006B6FA8" w:rsidRDefault="006B6FA8" w:rsidP="006B6FA8">
            <w:pPr>
              <w:keepNext/>
              <w:spacing w:before="40" w:after="40"/>
              <w:ind w:left="34"/>
              <w:jc w:val="left"/>
              <w:rPr>
                <w:rFonts w:cs="Arial"/>
                <w:sz w:val="16"/>
                <w:szCs w:val="16"/>
                <w:lang w:val="es-ES_tradnl"/>
              </w:rPr>
            </w:pPr>
            <w:r w:rsidRPr="006B6FA8">
              <w:rPr>
                <w:rFonts w:cs="Arial"/>
                <w:sz w:val="16"/>
                <w:szCs w:val="16"/>
                <w:lang w:val="es-ES_tradnl"/>
              </w:rPr>
              <w:t>moderadamente convexo</w:t>
            </w:r>
          </w:p>
        </w:tc>
      </w:tr>
      <w:tr w:rsidR="006B6FA8" w:rsidRPr="006B6FA8" w14:paraId="2665B867" w14:textId="77777777" w:rsidTr="00D60821">
        <w:tc>
          <w:tcPr>
            <w:tcW w:w="567" w:type="dxa"/>
          </w:tcPr>
          <w:p w14:paraId="50893FC0" w14:textId="77777777" w:rsidR="006B6FA8" w:rsidRPr="006B6FA8" w:rsidRDefault="006B6FA8" w:rsidP="006B6FA8">
            <w:pPr>
              <w:spacing w:before="40" w:after="40"/>
              <w:ind w:left="426" w:hanging="426"/>
              <w:rPr>
                <w:rFonts w:cs="Arial"/>
                <w:sz w:val="16"/>
                <w:szCs w:val="16"/>
                <w:highlight w:val="lightGray"/>
                <w:u w:val="single"/>
                <w:lang w:val="es-ES_tradnl"/>
              </w:rPr>
            </w:pPr>
            <w:r w:rsidRPr="006B6FA8">
              <w:rPr>
                <w:rFonts w:cs="Arial"/>
                <w:sz w:val="16"/>
                <w:szCs w:val="16"/>
                <w:highlight w:val="lightGray"/>
                <w:u w:val="single"/>
                <w:lang w:val="es-ES_tradnl"/>
              </w:rPr>
              <w:t>8</w:t>
            </w:r>
          </w:p>
        </w:tc>
        <w:tc>
          <w:tcPr>
            <w:tcW w:w="1985" w:type="dxa"/>
          </w:tcPr>
          <w:p w14:paraId="3C5F92ED" w14:textId="77777777" w:rsidR="006B6FA8" w:rsidRPr="006B6FA8" w:rsidRDefault="006B6FA8" w:rsidP="006B6FA8">
            <w:pPr>
              <w:spacing w:before="40" w:after="40"/>
              <w:ind w:left="34"/>
              <w:jc w:val="left"/>
              <w:rPr>
                <w:rFonts w:cs="Arial"/>
                <w:sz w:val="16"/>
                <w:szCs w:val="16"/>
                <w:highlight w:val="lightGray"/>
                <w:u w:val="single"/>
                <w:lang w:val="es-ES_tradnl"/>
              </w:rPr>
            </w:pPr>
            <w:r w:rsidRPr="006B6FA8">
              <w:rPr>
                <w:rFonts w:cs="Arial"/>
                <w:sz w:val="16"/>
                <w:szCs w:val="16"/>
                <w:highlight w:val="lightGray"/>
                <w:u w:val="single"/>
                <w:lang w:val="es-ES_tradnl"/>
              </w:rPr>
              <w:t>moderadamente más grande a</w:t>
            </w:r>
            <w:r w:rsidRPr="006B6FA8">
              <w:rPr>
                <w:rFonts w:cs="Arial"/>
                <w:sz w:val="16"/>
                <w:szCs w:val="16"/>
                <w:highlight w:val="lightGray"/>
                <w:u w:val="single"/>
                <w:lang w:val="es-ES_tradnl"/>
              </w:rPr>
              <w:br/>
              <w:t>mucho más grande</w:t>
            </w:r>
          </w:p>
        </w:tc>
        <w:tc>
          <w:tcPr>
            <w:tcW w:w="1984" w:type="dxa"/>
          </w:tcPr>
          <w:p w14:paraId="39945056" w14:textId="77777777" w:rsidR="006B6FA8" w:rsidRPr="006B6FA8" w:rsidRDefault="006B6FA8" w:rsidP="006B6FA8">
            <w:pPr>
              <w:keepNext/>
              <w:spacing w:before="40" w:after="40"/>
              <w:ind w:left="34"/>
              <w:rPr>
                <w:rFonts w:cs="Arial"/>
                <w:sz w:val="16"/>
                <w:szCs w:val="16"/>
                <w:highlight w:val="lightGray"/>
                <w:u w:val="single"/>
                <w:lang w:val="es-ES_tradnl"/>
              </w:rPr>
            </w:pPr>
            <w:r w:rsidRPr="006B6FA8">
              <w:rPr>
                <w:rFonts w:cs="Arial"/>
                <w:sz w:val="16"/>
                <w:szCs w:val="16"/>
                <w:highlight w:val="lightGray"/>
                <w:u w:val="single"/>
                <w:lang w:val="es-ES_tradnl"/>
              </w:rPr>
              <w:t>moderadamente obtuso a</w:t>
            </w:r>
            <w:r w:rsidRPr="006B6FA8">
              <w:rPr>
                <w:rFonts w:cs="Arial"/>
                <w:sz w:val="16"/>
                <w:szCs w:val="16"/>
                <w:highlight w:val="lightGray"/>
                <w:u w:val="single"/>
                <w:lang w:val="es-ES_tradnl"/>
              </w:rPr>
              <w:br/>
              <w:t>muy obtuso</w:t>
            </w:r>
          </w:p>
        </w:tc>
        <w:tc>
          <w:tcPr>
            <w:tcW w:w="1985" w:type="dxa"/>
          </w:tcPr>
          <w:p w14:paraId="09DABC9A" w14:textId="77777777" w:rsidR="006B6FA8" w:rsidRPr="006B6FA8" w:rsidRDefault="006B6FA8" w:rsidP="006B6FA8">
            <w:pPr>
              <w:keepNext/>
              <w:spacing w:before="40" w:after="40"/>
              <w:ind w:left="34"/>
              <w:jc w:val="left"/>
              <w:rPr>
                <w:rFonts w:cs="Arial"/>
                <w:sz w:val="16"/>
                <w:szCs w:val="16"/>
                <w:highlight w:val="lightGray"/>
                <w:u w:val="single"/>
                <w:lang w:val="es-ES_tradnl"/>
              </w:rPr>
            </w:pPr>
            <w:r w:rsidRPr="006B6FA8">
              <w:rPr>
                <w:rFonts w:cs="Arial"/>
                <w:sz w:val="16"/>
                <w:szCs w:val="16"/>
                <w:highlight w:val="lightGray"/>
                <w:u w:val="single"/>
                <w:lang w:val="es-ES_tradnl"/>
              </w:rPr>
              <w:t>a un cuarto del extremo apical a</w:t>
            </w:r>
            <w:r w:rsidRPr="006B6FA8">
              <w:rPr>
                <w:rFonts w:cs="Arial"/>
                <w:sz w:val="16"/>
                <w:szCs w:val="16"/>
                <w:highlight w:val="lightGray"/>
                <w:u w:val="single"/>
                <w:lang w:val="es-ES_tradnl"/>
              </w:rPr>
              <w:br/>
              <w:t>en el ápice</w:t>
            </w:r>
          </w:p>
        </w:tc>
        <w:tc>
          <w:tcPr>
            <w:tcW w:w="1984" w:type="dxa"/>
          </w:tcPr>
          <w:p w14:paraId="27820CC1" w14:textId="77777777" w:rsidR="006B6FA8" w:rsidRPr="006B6FA8" w:rsidRDefault="006B6FA8" w:rsidP="006B6FA8">
            <w:pPr>
              <w:keepNext/>
              <w:spacing w:before="40" w:after="40"/>
              <w:ind w:left="34"/>
              <w:jc w:val="left"/>
              <w:rPr>
                <w:rFonts w:cs="Arial"/>
                <w:sz w:val="16"/>
                <w:szCs w:val="16"/>
                <w:highlight w:val="lightGray"/>
                <w:u w:val="single"/>
                <w:lang w:val="es-ES_tradnl"/>
              </w:rPr>
            </w:pPr>
            <w:r w:rsidRPr="006B6FA8">
              <w:rPr>
                <w:rFonts w:cs="Arial"/>
                <w:sz w:val="16"/>
                <w:szCs w:val="16"/>
                <w:highlight w:val="lightGray"/>
                <w:u w:val="single"/>
                <w:lang w:val="es-ES_tradnl"/>
              </w:rPr>
              <w:t>bastante más corto a mucho más corto</w:t>
            </w:r>
          </w:p>
        </w:tc>
        <w:tc>
          <w:tcPr>
            <w:tcW w:w="1418" w:type="dxa"/>
          </w:tcPr>
          <w:p w14:paraId="4330136B" w14:textId="77777777" w:rsidR="006B6FA8" w:rsidRPr="006B6FA8" w:rsidRDefault="006B6FA8" w:rsidP="006B6FA8">
            <w:pPr>
              <w:keepNext/>
              <w:spacing w:before="40" w:after="40"/>
              <w:ind w:left="34"/>
              <w:jc w:val="left"/>
              <w:rPr>
                <w:rFonts w:cs="Arial"/>
                <w:sz w:val="16"/>
                <w:szCs w:val="16"/>
                <w:u w:val="single"/>
                <w:lang w:val="es-ES_tradnl"/>
              </w:rPr>
            </w:pPr>
            <w:r w:rsidRPr="006B6FA8">
              <w:rPr>
                <w:rFonts w:cs="Arial"/>
                <w:sz w:val="16"/>
                <w:szCs w:val="16"/>
                <w:highlight w:val="lightGray"/>
                <w:u w:val="single"/>
                <w:lang w:val="es-ES_tradnl"/>
              </w:rPr>
              <w:t>moderadamente convexo a fuertemente convexo</w:t>
            </w:r>
          </w:p>
        </w:tc>
      </w:tr>
      <w:tr w:rsidR="006B6FA8" w:rsidRPr="006B6FA8" w14:paraId="2F63DA1A" w14:textId="77777777" w:rsidTr="00D60821">
        <w:tc>
          <w:tcPr>
            <w:tcW w:w="567" w:type="dxa"/>
          </w:tcPr>
          <w:p w14:paraId="27601AAA" w14:textId="77777777" w:rsidR="006B6FA8" w:rsidRPr="006B6FA8" w:rsidRDefault="006B6FA8" w:rsidP="006B6FA8">
            <w:pPr>
              <w:spacing w:before="40" w:after="40"/>
              <w:ind w:left="426" w:hanging="426"/>
              <w:rPr>
                <w:rFonts w:cs="Arial"/>
                <w:sz w:val="16"/>
                <w:szCs w:val="16"/>
                <w:lang w:val="es-ES_tradnl"/>
              </w:rPr>
            </w:pPr>
            <w:r w:rsidRPr="006B6FA8">
              <w:rPr>
                <w:rFonts w:cs="Arial"/>
                <w:sz w:val="16"/>
                <w:szCs w:val="16"/>
                <w:lang w:val="es-ES_tradnl"/>
              </w:rPr>
              <w:t>9</w:t>
            </w:r>
          </w:p>
        </w:tc>
        <w:tc>
          <w:tcPr>
            <w:tcW w:w="1985" w:type="dxa"/>
          </w:tcPr>
          <w:p w14:paraId="2CEBBE08" w14:textId="77777777" w:rsidR="006B6FA8" w:rsidRPr="006B6FA8" w:rsidRDefault="006B6FA8" w:rsidP="006B6FA8">
            <w:pPr>
              <w:spacing w:before="40" w:after="40"/>
              <w:ind w:left="34"/>
              <w:rPr>
                <w:rFonts w:cs="Arial"/>
                <w:sz w:val="16"/>
                <w:szCs w:val="16"/>
                <w:lang w:val="es-ES_tradnl"/>
              </w:rPr>
            </w:pPr>
            <w:r w:rsidRPr="006B6FA8">
              <w:rPr>
                <w:rFonts w:cs="Arial"/>
                <w:sz w:val="16"/>
                <w:szCs w:val="16"/>
                <w:lang w:val="es-ES_tradnl"/>
              </w:rPr>
              <w:t>mucho más grande</w:t>
            </w:r>
          </w:p>
        </w:tc>
        <w:tc>
          <w:tcPr>
            <w:tcW w:w="1984" w:type="dxa"/>
          </w:tcPr>
          <w:p w14:paraId="6AE5FD50" w14:textId="77777777" w:rsidR="006B6FA8" w:rsidRPr="006B6FA8" w:rsidRDefault="006B6FA8" w:rsidP="006B6FA8">
            <w:pPr>
              <w:keepNext/>
              <w:spacing w:before="40" w:after="40"/>
              <w:ind w:left="34"/>
              <w:rPr>
                <w:rFonts w:cs="Arial"/>
                <w:sz w:val="16"/>
                <w:szCs w:val="16"/>
                <w:lang w:val="es-ES_tradnl"/>
              </w:rPr>
            </w:pPr>
            <w:r w:rsidRPr="006B6FA8">
              <w:rPr>
                <w:rFonts w:cs="Arial"/>
                <w:sz w:val="16"/>
                <w:szCs w:val="16"/>
                <w:lang w:val="es-ES_tradnl"/>
              </w:rPr>
              <w:t>muy obtuso</w:t>
            </w:r>
          </w:p>
        </w:tc>
        <w:tc>
          <w:tcPr>
            <w:tcW w:w="1985" w:type="dxa"/>
          </w:tcPr>
          <w:p w14:paraId="1433E00C" w14:textId="77777777" w:rsidR="006B6FA8" w:rsidRPr="006B6FA8" w:rsidRDefault="006B6FA8" w:rsidP="006B6FA8">
            <w:pPr>
              <w:keepNext/>
              <w:spacing w:before="40" w:after="40"/>
              <w:ind w:left="34"/>
              <w:rPr>
                <w:rFonts w:cs="Arial"/>
                <w:sz w:val="16"/>
                <w:szCs w:val="16"/>
                <w:lang w:val="es-ES_tradnl"/>
              </w:rPr>
            </w:pPr>
            <w:r w:rsidRPr="006B6FA8">
              <w:rPr>
                <w:rFonts w:cs="Arial"/>
                <w:sz w:val="16"/>
                <w:szCs w:val="16"/>
                <w:lang w:val="es-ES_tradnl"/>
              </w:rPr>
              <w:t>en el ápice</w:t>
            </w:r>
          </w:p>
        </w:tc>
        <w:tc>
          <w:tcPr>
            <w:tcW w:w="1984" w:type="dxa"/>
          </w:tcPr>
          <w:p w14:paraId="2526FB1C" w14:textId="77777777" w:rsidR="006B6FA8" w:rsidRPr="006B6FA8" w:rsidRDefault="006B6FA8" w:rsidP="006B6FA8">
            <w:pPr>
              <w:keepNext/>
              <w:spacing w:before="40" w:after="40"/>
              <w:ind w:left="34"/>
              <w:rPr>
                <w:rFonts w:cs="Arial"/>
                <w:sz w:val="16"/>
                <w:szCs w:val="16"/>
                <w:lang w:val="es-ES_tradnl"/>
              </w:rPr>
            </w:pPr>
            <w:r w:rsidRPr="006B6FA8">
              <w:rPr>
                <w:rFonts w:cs="Arial"/>
                <w:sz w:val="16"/>
                <w:szCs w:val="16"/>
                <w:lang w:val="es-ES_tradnl"/>
              </w:rPr>
              <w:t>mucho más corto</w:t>
            </w:r>
          </w:p>
        </w:tc>
        <w:tc>
          <w:tcPr>
            <w:tcW w:w="1418" w:type="dxa"/>
          </w:tcPr>
          <w:p w14:paraId="637C3756" w14:textId="77777777" w:rsidR="006B6FA8" w:rsidRPr="006B6FA8" w:rsidRDefault="006B6FA8" w:rsidP="006B6FA8">
            <w:pPr>
              <w:keepNext/>
              <w:spacing w:before="40" w:after="40"/>
              <w:ind w:left="34"/>
              <w:rPr>
                <w:rFonts w:cs="Arial"/>
                <w:sz w:val="16"/>
                <w:szCs w:val="16"/>
                <w:lang w:val="es-ES_tradnl"/>
              </w:rPr>
            </w:pPr>
            <w:r w:rsidRPr="006B6FA8">
              <w:rPr>
                <w:rFonts w:cs="Arial"/>
                <w:sz w:val="16"/>
                <w:szCs w:val="16"/>
                <w:lang w:val="es-ES_tradnl"/>
              </w:rPr>
              <w:t>fuertemente convexo</w:t>
            </w:r>
          </w:p>
        </w:tc>
      </w:tr>
    </w:tbl>
    <w:p w14:paraId="24B2D497" w14:textId="77777777" w:rsidR="006B6FA8" w:rsidRPr="006B6FA8" w:rsidRDefault="006B6FA8" w:rsidP="006B6FA8">
      <w:pPr>
        <w:ind w:left="567"/>
        <w:rPr>
          <w:rFonts w:cs="Arial"/>
          <w:lang w:val="es-ES_tradnl"/>
        </w:rPr>
      </w:pPr>
    </w:p>
    <w:p w14:paraId="7B9260B8" w14:textId="77777777" w:rsidR="006B6FA8" w:rsidRPr="006B6FA8" w:rsidRDefault="006B6FA8" w:rsidP="006B6FA8">
      <w:pPr>
        <w:ind w:left="567"/>
        <w:rPr>
          <w:lang w:val="es-ES_tradnl"/>
        </w:rPr>
      </w:pPr>
    </w:p>
    <w:p w14:paraId="39957811" w14:textId="77777777" w:rsidR="006B6FA8" w:rsidRPr="006B6FA8" w:rsidRDefault="006B6FA8" w:rsidP="006B6FA8">
      <w:pPr>
        <w:ind w:left="567"/>
        <w:rPr>
          <w:i/>
          <w:lang w:val="es-ES_tradnl"/>
        </w:rPr>
      </w:pPr>
      <w:bookmarkStart w:id="91" w:name="_Toc226858801"/>
      <w:bookmarkStart w:id="92" w:name="_Toc40697297"/>
      <w:r w:rsidRPr="006B6FA8">
        <w:rPr>
          <w:i/>
          <w:lang w:val="es-ES_tradnl"/>
        </w:rPr>
        <w:t>3.4</w:t>
      </w:r>
      <w:r w:rsidRPr="006B6FA8">
        <w:rPr>
          <w:i/>
          <w:lang w:val="es-ES_tradnl"/>
        </w:rPr>
        <w:tab/>
      </w:r>
      <w:bookmarkEnd w:id="91"/>
      <w:bookmarkEnd w:id="92"/>
      <w:r w:rsidRPr="006B6FA8">
        <w:rPr>
          <w:i/>
          <w:lang w:val="es-ES_tradnl"/>
        </w:rPr>
        <w:t>Escala de “1 a 5”</w:t>
      </w:r>
    </w:p>
    <w:p w14:paraId="362BFC84" w14:textId="77777777" w:rsidR="006B6FA8" w:rsidRPr="006B6FA8" w:rsidRDefault="006B6FA8" w:rsidP="006B6FA8">
      <w:pPr>
        <w:ind w:left="567"/>
        <w:rPr>
          <w:lang w:val="es-ES_tradnl"/>
        </w:rPr>
      </w:pPr>
    </w:p>
    <w:p w14:paraId="508333B6" w14:textId="77777777" w:rsidR="006B6FA8" w:rsidRPr="006B6FA8" w:rsidRDefault="006B6FA8" w:rsidP="006B6FA8">
      <w:pPr>
        <w:ind w:left="567"/>
        <w:rPr>
          <w:lang w:val="es-ES_tradnl"/>
        </w:rPr>
      </w:pPr>
      <w:r w:rsidRPr="006B6FA8">
        <w:rPr>
          <w:lang w:val="es-ES_tradnl"/>
        </w:rPr>
        <w:t>La escala de 1 a 5 se suele utilizar cuando la gama de expresión de un carácter está físicamente limitada en ambos extremos y no resulta adecuado dividir la expresión en más que tres niveles intermedios.  Por ejemplo:</w:t>
      </w:r>
    </w:p>
    <w:p w14:paraId="5463AC33" w14:textId="77777777" w:rsidR="006B6FA8" w:rsidRPr="006B6FA8" w:rsidRDefault="006B6FA8" w:rsidP="006B6FA8">
      <w:pPr>
        <w:numPr>
          <w:ilvl w:val="0"/>
          <w:numId w:val="15"/>
        </w:numPr>
        <w:tabs>
          <w:tab w:val="left" w:pos="993"/>
        </w:tabs>
        <w:ind w:left="567" w:firstLine="0"/>
        <w:outlineLvl w:val="0"/>
        <w:rPr>
          <w:rFonts w:cs="Arial"/>
          <w:lang w:val="es-ES_tradnl"/>
        </w:rPr>
      </w:pPr>
      <w:bookmarkStart w:id="93" w:name="_Toc52451060"/>
      <w:bookmarkStart w:id="94" w:name="_Toc52451142"/>
      <w:bookmarkStart w:id="95" w:name="_Toc52451491"/>
      <w:bookmarkStart w:id="96" w:name="_Toc52802627"/>
      <w:bookmarkEnd w:id="93"/>
      <w:bookmarkEnd w:id="94"/>
      <w:bookmarkEnd w:id="95"/>
      <w:bookmarkEnd w:id="96"/>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8"/>
        <w:gridCol w:w="2695"/>
      </w:tblGrid>
      <w:tr w:rsidR="006B6FA8" w:rsidRPr="006B6FA8" w14:paraId="3EF7138C" w14:textId="77777777" w:rsidTr="00D60821">
        <w:tc>
          <w:tcPr>
            <w:tcW w:w="1558" w:type="dxa"/>
          </w:tcPr>
          <w:p w14:paraId="0ED20DA0" w14:textId="77777777" w:rsidR="006B6FA8" w:rsidRPr="006B6FA8" w:rsidRDefault="006B6FA8" w:rsidP="006B6FA8">
            <w:pPr>
              <w:keepNext/>
              <w:tabs>
                <w:tab w:val="left" w:pos="993"/>
              </w:tabs>
              <w:spacing w:before="40" w:after="40"/>
              <w:outlineLvl w:val="0"/>
              <w:rPr>
                <w:rFonts w:cs="Arial"/>
                <w:sz w:val="18"/>
                <w:lang w:val="es-ES_tradnl"/>
              </w:rPr>
            </w:pPr>
            <w:bookmarkStart w:id="97" w:name="_Toc52451061"/>
            <w:bookmarkStart w:id="98" w:name="_Toc52451143"/>
            <w:bookmarkStart w:id="99" w:name="_Toc52451492"/>
            <w:bookmarkStart w:id="100" w:name="_Toc52802628"/>
            <w:r w:rsidRPr="006B6FA8">
              <w:rPr>
                <w:rFonts w:cs="Arial"/>
                <w:sz w:val="18"/>
                <w:lang w:val="es-ES_tradnl"/>
              </w:rPr>
              <w:t>Nivel</w:t>
            </w:r>
            <w:bookmarkEnd w:id="97"/>
            <w:bookmarkEnd w:id="98"/>
            <w:bookmarkEnd w:id="99"/>
            <w:bookmarkEnd w:id="100"/>
          </w:p>
        </w:tc>
        <w:tc>
          <w:tcPr>
            <w:tcW w:w="2695" w:type="dxa"/>
          </w:tcPr>
          <w:p w14:paraId="2B617896" w14:textId="77777777" w:rsidR="006B6FA8" w:rsidRPr="006B6FA8" w:rsidRDefault="006B6FA8" w:rsidP="006B6FA8">
            <w:pPr>
              <w:keepNext/>
              <w:tabs>
                <w:tab w:val="left" w:pos="993"/>
              </w:tabs>
              <w:spacing w:before="40" w:after="40"/>
              <w:outlineLvl w:val="0"/>
              <w:rPr>
                <w:rFonts w:cs="Arial"/>
                <w:sz w:val="18"/>
                <w:lang w:val="es-ES_tradnl"/>
              </w:rPr>
            </w:pPr>
            <w:bookmarkStart w:id="101" w:name="_Toc52451062"/>
            <w:bookmarkStart w:id="102" w:name="_Toc52451144"/>
            <w:bookmarkStart w:id="103" w:name="_Toc52451493"/>
            <w:bookmarkStart w:id="104" w:name="_Toc52802629"/>
            <w:r w:rsidRPr="006B6FA8">
              <w:rPr>
                <w:rFonts w:cs="Arial"/>
                <w:sz w:val="18"/>
                <w:lang w:val="es-ES_tradnl"/>
              </w:rPr>
              <w:t>Ejemplo 1</w:t>
            </w:r>
            <w:bookmarkEnd w:id="101"/>
            <w:bookmarkEnd w:id="102"/>
            <w:bookmarkEnd w:id="103"/>
            <w:bookmarkEnd w:id="104"/>
          </w:p>
          <w:p w14:paraId="555BD494" w14:textId="77777777" w:rsidR="006B6FA8" w:rsidRPr="006B6FA8" w:rsidRDefault="006B6FA8" w:rsidP="006B6FA8">
            <w:pPr>
              <w:keepNext/>
              <w:spacing w:before="40" w:after="40"/>
              <w:rPr>
                <w:rFonts w:cs="Arial"/>
                <w:b/>
                <w:sz w:val="18"/>
                <w:lang w:val="es-ES_tradnl"/>
              </w:rPr>
            </w:pPr>
            <w:r w:rsidRPr="006B6FA8">
              <w:rPr>
                <w:rFonts w:cs="Arial"/>
                <w:b/>
                <w:sz w:val="18"/>
                <w:lang w:val="es-ES_tradnl"/>
              </w:rPr>
              <w:t>Base:  porte</w:t>
            </w:r>
          </w:p>
        </w:tc>
      </w:tr>
      <w:tr w:rsidR="006B6FA8" w:rsidRPr="006B6FA8" w14:paraId="446BC31F" w14:textId="77777777" w:rsidTr="00D60821">
        <w:tc>
          <w:tcPr>
            <w:tcW w:w="1558" w:type="dxa"/>
          </w:tcPr>
          <w:p w14:paraId="27B5BD46" w14:textId="77777777" w:rsidR="006B6FA8" w:rsidRPr="006B6FA8" w:rsidRDefault="006B6FA8" w:rsidP="006B6FA8">
            <w:pPr>
              <w:keepNext/>
              <w:spacing w:before="40" w:after="40"/>
              <w:rPr>
                <w:rFonts w:cs="Arial"/>
                <w:sz w:val="18"/>
                <w:lang w:val="es-ES_tradnl"/>
              </w:rPr>
            </w:pPr>
            <w:r w:rsidRPr="006B6FA8">
              <w:rPr>
                <w:rFonts w:cs="Arial"/>
                <w:sz w:val="18"/>
                <w:lang w:val="es-ES_tradnl"/>
              </w:rPr>
              <w:t>1</w:t>
            </w:r>
          </w:p>
        </w:tc>
        <w:tc>
          <w:tcPr>
            <w:tcW w:w="2695" w:type="dxa"/>
          </w:tcPr>
          <w:p w14:paraId="022AF0FD" w14:textId="77777777" w:rsidR="006B6FA8" w:rsidRPr="006B6FA8" w:rsidRDefault="006B6FA8" w:rsidP="006B6FA8">
            <w:pPr>
              <w:keepNext/>
              <w:spacing w:before="40" w:after="40"/>
              <w:rPr>
                <w:rFonts w:cs="Arial"/>
                <w:sz w:val="18"/>
                <w:lang w:val="es-ES_tradnl"/>
              </w:rPr>
            </w:pPr>
            <w:r w:rsidRPr="006B6FA8">
              <w:rPr>
                <w:rFonts w:cs="Arial"/>
                <w:sz w:val="18"/>
                <w:lang w:val="es-ES_tradnl"/>
              </w:rPr>
              <w:t>erecto</w:t>
            </w:r>
          </w:p>
        </w:tc>
      </w:tr>
      <w:tr w:rsidR="006B6FA8" w:rsidRPr="006B6FA8" w14:paraId="10F22321" w14:textId="77777777" w:rsidTr="00D60821">
        <w:tc>
          <w:tcPr>
            <w:tcW w:w="1558" w:type="dxa"/>
          </w:tcPr>
          <w:p w14:paraId="7529525B" w14:textId="77777777" w:rsidR="006B6FA8" w:rsidRPr="006B6FA8" w:rsidRDefault="006B6FA8" w:rsidP="006B6FA8">
            <w:pPr>
              <w:keepNext/>
              <w:spacing w:before="40" w:after="40"/>
              <w:rPr>
                <w:rFonts w:cs="Arial"/>
                <w:sz w:val="18"/>
                <w:highlight w:val="lightGray"/>
                <w:u w:val="single"/>
                <w:lang w:val="es-ES_tradnl"/>
              </w:rPr>
            </w:pPr>
            <w:r w:rsidRPr="006B6FA8">
              <w:rPr>
                <w:rFonts w:cs="Arial"/>
                <w:sz w:val="18"/>
                <w:highlight w:val="lightGray"/>
                <w:u w:val="single"/>
                <w:lang w:val="es-ES_tradnl"/>
              </w:rPr>
              <w:t>2</w:t>
            </w:r>
          </w:p>
        </w:tc>
        <w:tc>
          <w:tcPr>
            <w:tcW w:w="2695" w:type="dxa"/>
          </w:tcPr>
          <w:p w14:paraId="4D495296" w14:textId="77777777" w:rsidR="006B6FA8" w:rsidRPr="006B6FA8" w:rsidRDefault="006B6FA8" w:rsidP="006B6FA8">
            <w:pPr>
              <w:keepNext/>
              <w:spacing w:before="40" w:after="40"/>
              <w:rPr>
                <w:rFonts w:cs="Arial"/>
                <w:sz w:val="18"/>
                <w:u w:val="single"/>
                <w:lang w:val="es-ES_tradnl"/>
              </w:rPr>
            </w:pPr>
            <w:r w:rsidRPr="006B6FA8">
              <w:rPr>
                <w:rFonts w:cs="Arial"/>
                <w:sz w:val="18"/>
                <w:highlight w:val="lightGray"/>
                <w:u w:val="single"/>
                <w:lang w:val="es-ES_tradnl"/>
              </w:rPr>
              <w:t>erecto a semirrecto</w:t>
            </w:r>
          </w:p>
        </w:tc>
      </w:tr>
      <w:tr w:rsidR="006B6FA8" w:rsidRPr="006B6FA8" w14:paraId="21BD483D" w14:textId="77777777" w:rsidTr="00D60821">
        <w:tc>
          <w:tcPr>
            <w:tcW w:w="1558" w:type="dxa"/>
          </w:tcPr>
          <w:p w14:paraId="343A6C46" w14:textId="77777777" w:rsidR="006B6FA8" w:rsidRPr="006B6FA8" w:rsidRDefault="006B6FA8" w:rsidP="006B6FA8">
            <w:pPr>
              <w:keepNext/>
              <w:spacing w:before="40" w:after="40"/>
              <w:rPr>
                <w:rFonts w:cs="Arial"/>
                <w:sz w:val="18"/>
                <w:lang w:val="es-ES_tradnl"/>
              </w:rPr>
            </w:pPr>
            <w:r w:rsidRPr="006B6FA8">
              <w:rPr>
                <w:rFonts w:cs="Arial"/>
                <w:sz w:val="18"/>
                <w:lang w:val="es-ES_tradnl"/>
              </w:rPr>
              <w:t>3</w:t>
            </w:r>
          </w:p>
        </w:tc>
        <w:tc>
          <w:tcPr>
            <w:tcW w:w="2695" w:type="dxa"/>
          </w:tcPr>
          <w:p w14:paraId="4058979D" w14:textId="77777777" w:rsidR="006B6FA8" w:rsidRPr="006B6FA8" w:rsidRDefault="006B6FA8" w:rsidP="006B6FA8">
            <w:pPr>
              <w:keepNext/>
              <w:spacing w:before="40" w:after="40"/>
              <w:rPr>
                <w:rFonts w:cs="Arial"/>
                <w:sz w:val="18"/>
                <w:lang w:val="es-ES_tradnl"/>
              </w:rPr>
            </w:pPr>
            <w:r w:rsidRPr="006B6FA8">
              <w:rPr>
                <w:rFonts w:cs="Arial"/>
                <w:sz w:val="18"/>
                <w:lang w:val="es-ES_tradnl"/>
              </w:rPr>
              <w:t>semirrecto</w:t>
            </w:r>
          </w:p>
        </w:tc>
      </w:tr>
      <w:tr w:rsidR="006B6FA8" w:rsidRPr="006B6FA8" w14:paraId="4F761895" w14:textId="77777777" w:rsidTr="00D60821">
        <w:tc>
          <w:tcPr>
            <w:tcW w:w="1558" w:type="dxa"/>
          </w:tcPr>
          <w:p w14:paraId="75891CB5" w14:textId="77777777" w:rsidR="006B6FA8" w:rsidRPr="006B6FA8" w:rsidRDefault="006B6FA8" w:rsidP="006B6FA8">
            <w:pPr>
              <w:spacing w:before="40" w:after="40"/>
              <w:rPr>
                <w:rFonts w:cs="Arial"/>
                <w:sz w:val="18"/>
                <w:highlight w:val="lightGray"/>
                <w:u w:val="single"/>
                <w:lang w:val="es-ES_tradnl"/>
              </w:rPr>
            </w:pPr>
            <w:r w:rsidRPr="006B6FA8">
              <w:rPr>
                <w:rFonts w:cs="Arial"/>
                <w:sz w:val="18"/>
                <w:highlight w:val="lightGray"/>
                <w:u w:val="single"/>
                <w:lang w:val="es-ES_tradnl"/>
              </w:rPr>
              <w:t>4</w:t>
            </w:r>
          </w:p>
        </w:tc>
        <w:tc>
          <w:tcPr>
            <w:tcW w:w="2695" w:type="dxa"/>
          </w:tcPr>
          <w:p w14:paraId="281F2FB6" w14:textId="77777777" w:rsidR="006B6FA8" w:rsidRPr="006B6FA8" w:rsidRDefault="006B6FA8" w:rsidP="006B6FA8">
            <w:pPr>
              <w:spacing w:before="40" w:after="40"/>
              <w:rPr>
                <w:rFonts w:cs="Arial"/>
                <w:sz w:val="18"/>
                <w:u w:val="single"/>
                <w:lang w:val="es-ES_tradnl"/>
              </w:rPr>
            </w:pPr>
            <w:r w:rsidRPr="006B6FA8">
              <w:rPr>
                <w:rFonts w:cs="Arial"/>
                <w:sz w:val="18"/>
                <w:highlight w:val="lightGray"/>
                <w:u w:val="single"/>
                <w:lang w:val="es-ES_tradnl"/>
              </w:rPr>
              <w:t>semirrecto a postrado</w:t>
            </w:r>
          </w:p>
        </w:tc>
      </w:tr>
      <w:tr w:rsidR="006B6FA8" w:rsidRPr="006B6FA8" w14:paraId="2E4C5B04" w14:textId="77777777" w:rsidTr="00D60821">
        <w:tc>
          <w:tcPr>
            <w:tcW w:w="1558" w:type="dxa"/>
          </w:tcPr>
          <w:p w14:paraId="0099E034" w14:textId="77777777" w:rsidR="006B6FA8" w:rsidRPr="006B6FA8" w:rsidRDefault="006B6FA8" w:rsidP="006B6FA8">
            <w:pPr>
              <w:spacing w:before="40" w:after="40"/>
              <w:rPr>
                <w:rFonts w:cs="Arial"/>
                <w:sz w:val="18"/>
                <w:lang w:val="es-ES_tradnl"/>
              </w:rPr>
            </w:pPr>
            <w:r w:rsidRPr="006B6FA8">
              <w:rPr>
                <w:rFonts w:cs="Arial"/>
                <w:sz w:val="18"/>
                <w:lang w:val="es-ES_tradnl"/>
              </w:rPr>
              <w:t>5</w:t>
            </w:r>
          </w:p>
        </w:tc>
        <w:tc>
          <w:tcPr>
            <w:tcW w:w="2695" w:type="dxa"/>
          </w:tcPr>
          <w:p w14:paraId="2A3AD6BA" w14:textId="77777777" w:rsidR="006B6FA8" w:rsidRPr="006B6FA8" w:rsidRDefault="006B6FA8" w:rsidP="006B6FA8">
            <w:pPr>
              <w:spacing w:before="40" w:after="40"/>
              <w:rPr>
                <w:rFonts w:cs="Arial"/>
                <w:sz w:val="18"/>
                <w:lang w:val="es-ES_tradnl"/>
              </w:rPr>
            </w:pPr>
            <w:r w:rsidRPr="006B6FA8">
              <w:rPr>
                <w:rFonts w:cs="Arial"/>
                <w:sz w:val="18"/>
                <w:lang w:val="es-ES_tradnl"/>
              </w:rPr>
              <w:t>postrado</w:t>
            </w:r>
          </w:p>
        </w:tc>
      </w:tr>
    </w:tbl>
    <w:p w14:paraId="424C6555" w14:textId="77777777" w:rsidR="006B6FA8" w:rsidRPr="006B6FA8" w:rsidRDefault="006B6FA8" w:rsidP="006B6FA8">
      <w:pPr>
        <w:tabs>
          <w:tab w:val="left" w:pos="993"/>
        </w:tabs>
        <w:ind w:left="567"/>
        <w:outlineLvl w:val="0"/>
        <w:rPr>
          <w:rFonts w:cs="Arial"/>
          <w:lang w:val="es-ES_tradnl"/>
        </w:rPr>
      </w:pPr>
    </w:p>
    <w:p w14:paraId="07D84AE8" w14:textId="77777777" w:rsidR="006B6FA8" w:rsidRPr="006B6FA8" w:rsidRDefault="006B6FA8" w:rsidP="006B6FA8">
      <w:pPr>
        <w:ind w:left="567"/>
        <w:jc w:val="left"/>
        <w:rPr>
          <w:rFonts w:cs="Arial"/>
          <w:lang w:val="es-ES_tradnl"/>
        </w:rPr>
      </w:pPr>
      <w:r w:rsidRPr="006B6FA8">
        <w:rPr>
          <w:rFonts w:cs="Arial"/>
          <w:lang w:val="es-ES_tradnl"/>
        </w:rPr>
        <w:t xml:space="preserve">La designación de los niveles 2 y 4 se formula de la misma manera que para los niveles pares en la escala de 1 a 9 (véase la sección 3.3.2.1.2) </w:t>
      </w:r>
    </w:p>
    <w:p w14:paraId="0FBE59FC" w14:textId="77777777" w:rsidR="006B6FA8" w:rsidRPr="006B6FA8" w:rsidRDefault="006B6FA8" w:rsidP="006B6FA8">
      <w:pPr>
        <w:ind w:left="567"/>
        <w:rPr>
          <w:lang w:val="es-ES_tradnl"/>
        </w:rPr>
      </w:pPr>
    </w:p>
    <w:p w14:paraId="148ED8C3" w14:textId="77777777" w:rsidR="006B6FA8" w:rsidRPr="006B6FA8" w:rsidRDefault="006B6FA8" w:rsidP="006B6FA8">
      <w:pPr>
        <w:ind w:left="567"/>
        <w:rPr>
          <w:lang w:val="es-ES_tradnl"/>
        </w:rPr>
      </w:pPr>
    </w:p>
    <w:p w14:paraId="471E7DDE" w14:textId="77777777" w:rsidR="006B6FA8" w:rsidRPr="006B6FA8" w:rsidRDefault="006B6FA8" w:rsidP="006B6FA8">
      <w:pPr>
        <w:tabs>
          <w:tab w:val="left" w:pos="1276"/>
        </w:tabs>
        <w:ind w:left="567"/>
        <w:rPr>
          <w:lang w:val="es-ES_tradnl"/>
        </w:rPr>
      </w:pPr>
      <w:r w:rsidRPr="006B6FA8">
        <w:rPr>
          <w:u w:val="single"/>
          <w:lang w:val="es-ES_tradnl"/>
        </w:rPr>
        <w:t>GN 25</w:t>
      </w:r>
      <w:r w:rsidRPr="006B6FA8">
        <w:rPr>
          <w:u w:val="single"/>
          <w:lang w:val="es-ES_tradnl"/>
        </w:rPr>
        <w:tab/>
        <w:t>(Capítulo 7) – Recomendaciones para efectuar el examen</w:t>
      </w:r>
    </w:p>
    <w:p w14:paraId="77CF7CFF" w14:textId="77777777" w:rsidR="006B6FA8" w:rsidRPr="006B6FA8" w:rsidRDefault="006B6FA8" w:rsidP="006B6FA8">
      <w:pPr>
        <w:ind w:left="567"/>
        <w:rPr>
          <w:lang w:val="es-ES_tradnl"/>
        </w:rPr>
      </w:pPr>
    </w:p>
    <w:p w14:paraId="6DFB2A2F" w14:textId="77777777" w:rsidR="006B6FA8" w:rsidRPr="006B6FA8" w:rsidRDefault="006B6FA8" w:rsidP="006B6FA8">
      <w:pPr>
        <w:ind w:left="567"/>
        <w:rPr>
          <w:lang w:val="es-ES_tradnl"/>
        </w:rPr>
      </w:pPr>
      <w:r w:rsidRPr="006B6FA8">
        <w:rPr>
          <w:lang w:val="es-ES_tradnl"/>
        </w:rPr>
        <w:t>[…]</w:t>
      </w:r>
    </w:p>
    <w:p w14:paraId="578E4E79" w14:textId="77777777" w:rsidR="006B6FA8" w:rsidRPr="006B6FA8" w:rsidRDefault="006B6FA8" w:rsidP="006B6FA8">
      <w:pPr>
        <w:ind w:left="567"/>
        <w:rPr>
          <w:lang w:val="es-ES_tradnl"/>
        </w:rPr>
      </w:pPr>
    </w:p>
    <w:p w14:paraId="09656C79" w14:textId="77777777" w:rsidR="006B6FA8" w:rsidRPr="006B6FA8" w:rsidRDefault="006B6FA8" w:rsidP="006B6FA8">
      <w:pPr>
        <w:ind w:left="567"/>
        <w:rPr>
          <w:rFonts w:cs="Arial"/>
          <w:lang w:val="es-ES_tradnl"/>
        </w:rPr>
      </w:pPr>
      <w:r w:rsidRPr="006B6FA8">
        <w:rPr>
          <w:rFonts w:cs="Arial"/>
          <w:color w:val="000000"/>
          <w:lang w:val="es-ES_tradnl"/>
        </w:rPr>
        <w:t>2.</w:t>
      </w:r>
      <w:r w:rsidRPr="006B6FA8">
        <w:rPr>
          <w:rFonts w:cs="Arial"/>
          <w:lang w:val="es-ES_tradnl"/>
        </w:rPr>
        <w:tab/>
        <w:t xml:space="preserve">Los ejemplos siguientes ilustran las formas de tomar en consideración el método de observación para caracteres como la época de floración y los recuentos.  </w:t>
      </w:r>
    </w:p>
    <w:p w14:paraId="12FF22BF" w14:textId="77777777" w:rsidR="006B6FA8" w:rsidRPr="006B6FA8" w:rsidRDefault="006B6FA8" w:rsidP="006B6FA8">
      <w:pPr>
        <w:ind w:left="567"/>
        <w:rPr>
          <w:rFonts w:cs="Arial"/>
          <w:lang w:val="es-ES_tradnl"/>
        </w:rPr>
      </w:pPr>
    </w:p>
    <w:p w14:paraId="60E4A31F" w14:textId="77777777" w:rsidR="006B6FA8" w:rsidRPr="006B6FA8" w:rsidRDefault="006B6FA8" w:rsidP="006B6FA8">
      <w:pPr>
        <w:jc w:val="left"/>
        <w:rPr>
          <w:rFonts w:cs="Arial"/>
          <w:lang w:val="es-ES_tradnl"/>
        </w:rPr>
      </w:pPr>
      <w:r w:rsidRPr="006B6FA8">
        <w:rPr>
          <w:rFonts w:cs="Arial"/>
          <w:lang w:val="es-ES_tradnl"/>
        </w:rPr>
        <w:br w:type="page"/>
      </w:r>
    </w:p>
    <w:p w14:paraId="3E52BCC5" w14:textId="77777777" w:rsidR="006B6FA8" w:rsidRPr="006B6FA8" w:rsidRDefault="006B6FA8" w:rsidP="006B6FA8">
      <w:pPr>
        <w:ind w:left="567"/>
        <w:rPr>
          <w:rFonts w:cs="Arial"/>
          <w:lang w:val="es-ES_tradnl"/>
        </w:rPr>
      </w:pPr>
      <w:r w:rsidRPr="006B6FA8">
        <w:rPr>
          <w:rFonts w:cs="Arial"/>
          <w:lang w:val="es-ES_tradnl"/>
        </w:rPr>
        <w:lastRenderedPageBreak/>
        <w:t>a)</w:t>
      </w:r>
      <w:r w:rsidRPr="006B6FA8">
        <w:rPr>
          <w:rFonts w:cs="Arial"/>
          <w:lang w:val="es-ES_tradnl"/>
        </w:rPr>
        <w:tab/>
        <w:t>Época de floración</w:t>
      </w:r>
    </w:p>
    <w:p w14:paraId="0720A99C" w14:textId="77777777" w:rsidR="006B6FA8" w:rsidRPr="006B6FA8" w:rsidRDefault="006B6FA8" w:rsidP="006B6FA8">
      <w:pPr>
        <w:ind w:left="567"/>
        <w:rPr>
          <w:rFonts w:cs="Arial"/>
          <w:lang w:val="es-ES_tradnl"/>
        </w:rPr>
      </w:pPr>
    </w:p>
    <w:tbl>
      <w:tblPr>
        <w:tblW w:w="3964"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78"/>
        <w:gridCol w:w="412"/>
        <w:gridCol w:w="2407"/>
        <w:gridCol w:w="567"/>
      </w:tblGrid>
      <w:tr w:rsidR="006B6FA8" w:rsidRPr="006B6FA8" w14:paraId="1394BE89" w14:textId="77777777" w:rsidTr="00D60821">
        <w:trPr>
          <w:cantSplit/>
          <w:jc w:val="center"/>
        </w:trPr>
        <w:tc>
          <w:tcPr>
            <w:tcW w:w="578" w:type="dxa"/>
            <w:tcBorders>
              <w:top w:val="single" w:sz="4" w:space="0" w:color="auto"/>
            </w:tcBorders>
          </w:tcPr>
          <w:p w14:paraId="0B17898F" w14:textId="77777777" w:rsidR="006B6FA8" w:rsidRPr="006B6FA8" w:rsidRDefault="006B6FA8" w:rsidP="006B6FA8">
            <w:pPr>
              <w:keepNext/>
              <w:spacing w:before="40" w:after="40"/>
              <w:jc w:val="left"/>
              <w:rPr>
                <w:rFonts w:cs="Angsana New"/>
                <w:b/>
                <w:bCs/>
                <w:sz w:val="18"/>
                <w:lang w:val="es-ES_tradnl" w:bidi="th-TH"/>
              </w:rPr>
            </w:pPr>
          </w:p>
        </w:tc>
        <w:tc>
          <w:tcPr>
            <w:tcW w:w="412" w:type="dxa"/>
            <w:tcBorders>
              <w:top w:val="single" w:sz="4" w:space="0" w:color="auto"/>
            </w:tcBorders>
          </w:tcPr>
          <w:p w14:paraId="2104FC28" w14:textId="77777777" w:rsidR="006B6FA8" w:rsidRPr="006B6FA8" w:rsidRDefault="006B6FA8" w:rsidP="006B6FA8">
            <w:pPr>
              <w:keepNext/>
              <w:spacing w:before="40" w:after="40"/>
              <w:jc w:val="left"/>
              <w:rPr>
                <w:rFonts w:cs="Angsana New"/>
                <w:b/>
                <w:bCs/>
                <w:sz w:val="18"/>
                <w:lang w:val="es-ES_tradnl" w:bidi="th-TH"/>
              </w:rPr>
            </w:pPr>
          </w:p>
        </w:tc>
        <w:tc>
          <w:tcPr>
            <w:tcW w:w="2407" w:type="dxa"/>
            <w:tcBorders>
              <w:top w:val="single" w:sz="4" w:space="0" w:color="auto"/>
            </w:tcBorders>
          </w:tcPr>
          <w:p w14:paraId="574A4FC4" w14:textId="77777777" w:rsidR="006B6FA8" w:rsidRPr="006B6FA8" w:rsidRDefault="006B6FA8" w:rsidP="006B6FA8">
            <w:pPr>
              <w:keepNext/>
              <w:spacing w:before="40" w:after="40"/>
              <w:jc w:val="left"/>
              <w:rPr>
                <w:rFonts w:cs="Angsana New"/>
                <w:b/>
                <w:bCs/>
                <w:sz w:val="18"/>
                <w:lang w:val="es-ES_tradnl" w:bidi="th-TH"/>
              </w:rPr>
            </w:pPr>
            <w:r w:rsidRPr="006B6FA8">
              <w:rPr>
                <w:rFonts w:cs="Angsana New"/>
                <w:b/>
                <w:bCs/>
                <w:sz w:val="18"/>
                <w:lang w:val="es-ES_tradnl" w:bidi="th-TH"/>
              </w:rPr>
              <w:t>Época de floración</w:t>
            </w:r>
          </w:p>
        </w:tc>
        <w:tc>
          <w:tcPr>
            <w:tcW w:w="567" w:type="dxa"/>
            <w:tcBorders>
              <w:top w:val="single" w:sz="4" w:space="0" w:color="auto"/>
            </w:tcBorders>
          </w:tcPr>
          <w:p w14:paraId="58E2E5BF" w14:textId="77777777" w:rsidR="006B6FA8" w:rsidRPr="006B6FA8" w:rsidRDefault="006B6FA8" w:rsidP="006B6FA8">
            <w:pPr>
              <w:keepNext/>
              <w:spacing w:before="40" w:after="40"/>
              <w:jc w:val="left"/>
              <w:rPr>
                <w:rFonts w:cs="Angsana New"/>
                <w:b/>
                <w:bCs/>
                <w:sz w:val="18"/>
                <w:lang w:val="es-ES_tradnl" w:bidi="th-TH"/>
              </w:rPr>
            </w:pPr>
          </w:p>
        </w:tc>
      </w:tr>
      <w:tr w:rsidR="006B6FA8" w:rsidRPr="006B6FA8" w14:paraId="3CACF859" w14:textId="77777777" w:rsidTr="00D60821">
        <w:trPr>
          <w:cantSplit/>
          <w:jc w:val="center"/>
        </w:trPr>
        <w:tc>
          <w:tcPr>
            <w:tcW w:w="578" w:type="dxa"/>
          </w:tcPr>
          <w:p w14:paraId="4C5E41B2" w14:textId="77777777" w:rsidR="006B6FA8" w:rsidRPr="006B6FA8" w:rsidRDefault="006B6FA8" w:rsidP="006B6FA8">
            <w:pPr>
              <w:spacing w:before="40" w:after="40"/>
              <w:jc w:val="left"/>
              <w:rPr>
                <w:rFonts w:cs="Angsana New"/>
                <w:b/>
                <w:sz w:val="18"/>
                <w:u w:val="single"/>
                <w:lang w:val="es-ES_tradnl" w:bidi="th-TH"/>
              </w:rPr>
            </w:pPr>
          </w:p>
        </w:tc>
        <w:tc>
          <w:tcPr>
            <w:tcW w:w="412" w:type="dxa"/>
          </w:tcPr>
          <w:p w14:paraId="570B1EC8" w14:textId="77777777" w:rsidR="006B6FA8" w:rsidRPr="006B6FA8" w:rsidRDefault="006B6FA8" w:rsidP="006B6FA8">
            <w:pPr>
              <w:spacing w:before="40" w:after="40"/>
              <w:jc w:val="left"/>
              <w:rPr>
                <w:rFonts w:cs="Angsana New"/>
                <w:sz w:val="18"/>
                <w:u w:val="single"/>
                <w:lang w:val="es-ES_tradnl" w:bidi="th-TH"/>
              </w:rPr>
            </w:pPr>
          </w:p>
        </w:tc>
        <w:tc>
          <w:tcPr>
            <w:tcW w:w="2407" w:type="dxa"/>
          </w:tcPr>
          <w:p w14:paraId="60A8C5AE" w14:textId="77777777" w:rsidR="006B6FA8" w:rsidRPr="006B6FA8" w:rsidRDefault="006B6FA8" w:rsidP="006B6FA8">
            <w:pPr>
              <w:spacing w:before="40" w:after="40"/>
              <w:jc w:val="left"/>
              <w:rPr>
                <w:rFonts w:cs="Angsana New"/>
                <w:sz w:val="18"/>
                <w:highlight w:val="lightGray"/>
                <w:u w:val="single"/>
                <w:lang w:val="es-ES_tradnl" w:bidi="th-TH"/>
              </w:rPr>
            </w:pPr>
            <w:r w:rsidRPr="006B6FA8">
              <w:rPr>
                <w:rFonts w:cs="Angsana New"/>
                <w:sz w:val="18"/>
                <w:highlight w:val="lightGray"/>
                <w:u w:val="single"/>
                <w:lang w:val="es-ES_tradnl" w:bidi="th-TH"/>
              </w:rPr>
              <w:t>muy temprana</w:t>
            </w:r>
          </w:p>
        </w:tc>
        <w:tc>
          <w:tcPr>
            <w:tcW w:w="567" w:type="dxa"/>
          </w:tcPr>
          <w:p w14:paraId="45B49B0C" w14:textId="77777777" w:rsidR="006B6FA8" w:rsidRPr="006B6FA8" w:rsidRDefault="006B6FA8" w:rsidP="006B6FA8">
            <w:pPr>
              <w:spacing w:before="40" w:after="40"/>
              <w:jc w:val="left"/>
              <w:rPr>
                <w:rFonts w:cs="Angsana New"/>
                <w:sz w:val="18"/>
                <w:highlight w:val="lightGray"/>
                <w:u w:val="single"/>
                <w:lang w:val="es-ES_tradnl" w:bidi="th-TH"/>
              </w:rPr>
            </w:pPr>
            <w:r w:rsidRPr="006B6FA8">
              <w:rPr>
                <w:rFonts w:cs="Angsana New"/>
                <w:sz w:val="18"/>
                <w:highlight w:val="lightGray"/>
                <w:u w:val="single"/>
                <w:lang w:val="es-ES_tradnl" w:bidi="th-TH"/>
              </w:rPr>
              <w:t>1</w:t>
            </w:r>
          </w:p>
        </w:tc>
      </w:tr>
      <w:tr w:rsidR="006B6FA8" w:rsidRPr="006B6FA8" w14:paraId="09FD634B" w14:textId="77777777" w:rsidTr="00D60821">
        <w:trPr>
          <w:cantSplit/>
          <w:jc w:val="center"/>
        </w:trPr>
        <w:tc>
          <w:tcPr>
            <w:tcW w:w="578" w:type="dxa"/>
          </w:tcPr>
          <w:p w14:paraId="52C031C4" w14:textId="77777777" w:rsidR="006B6FA8" w:rsidRPr="006B6FA8" w:rsidRDefault="006B6FA8" w:rsidP="006B6FA8">
            <w:pPr>
              <w:spacing w:before="40" w:after="40"/>
              <w:jc w:val="left"/>
              <w:rPr>
                <w:rFonts w:cs="Angsana New"/>
                <w:b/>
                <w:sz w:val="18"/>
                <w:highlight w:val="lightGray"/>
                <w:u w:val="single"/>
                <w:lang w:val="es-ES_tradnl" w:bidi="th-TH"/>
              </w:rPr>
            </w:pPr>
          </w:p>
        </w:tc>
        <w:tc>
          <w:tcPr>
            <w:tcW w:w="412" w:type="dxa"/>
          </w:tcPr>
          <w:p w14:paraId="32421853" w14:textId="77777777" w:rsidR="006B6FA8" w:rsidRPr="006B6FA8" w:rsidRDefault="006B6FA8" w:rsidP="006B6FA8">
            <w:pPr>
              <w:spacing w:before="40" w:after="40"/>
              <w:jc w:val="left"/>
              <w:rPr>
                <w:rFonts w:cs="Angsana New"/>
                <w:sz w:val="18"/>
                <w:highlight w:val="lightGray"/>
                <w:u w:val="single"/>
                <w:lang w:val="es-ES_tradnl" w:bidi="th-TH"/>
              </w:rPr>
            </w:pPr>
          </w:p>
        </w:tc>
        <w:tc>
          <w:tcPr>
            <w:tcW w:w="2407" w:type="dxa"/>
          </w:tcPr>
          <w:p w14:paraId="2CAC061D" w14:textId="77777777" w:rsidR="006B6FA8" w:rsidRPr="006B6FA8" w:rsidRDefault="006B6FA8" w:rsidP="006B6FA8">
            <w:pPr>
              <w:spacing w:before="40" w:after="40"/>
              <w:jc w:val="left"/>
              <w:rPr>
                <w:rFonts w:cs="Angsana New"/>
                <w:sz w:val="18"/>
                <w:highlight w:val="lightGray"/>
                <w:u w:val="single"/>
                <w:lang w:val="es-ES_tradnl" w:bidi="th-TH"/>
              </w:rPr>
            </w:pPr>
            <w:r w:rsidRPr="006B6FA8">
              <w:rPr>
                <w:rFonts w:cs="Angsana New"/>
                <w:sz w:val="18"/>
                <w:highlight w:val="lightGray"/>
                <w:u w:val="single"/>
                <w:lang w:val="es-ES_tradnl" w:bidi="th-TH"/>
              </w:rPr>
              <w:t>muy temprana a temprana</w:t>
            </w:r>
          </w:p>
        </w:tc>
        <w:tc>
          <w:tcPr>
            <w:tcW w:w="567" w:type="dxa"/>
          </w:tcPr>
          <w:p w14:paraId="5E7357D5" w14:textId="77777777" w:rsidR="006B6FA8" w:rsidRPr="006B6FA8" w:rsidRDefault="006B6FA8" w:rsidP="006B6FA8">
            <w:pPr>
              <w:spacing w:before="40" w:after="40"/>
              <w:jc w:val="left"/>
              <w:rPr>
                <w:rFonts w:cs="Angsana New"/>
                <w:sz w:val="18"/>
                <w:u w:val="single"/>
                <w:lang w:val="es-ES_tradnl" w:bidi="th-TH"/>
              </w:rPr>
            </w:pPr>
            <w:r w:rsidRPr="006B6FA8">
              <w:rPr>
                <w:rFonts w:cs="Angsana New"/>
                <w:sz w:val="18"/>
                <w:highlight w:val="lightGray"/>
                <w:u w:val="single"/>
                <w:lang w:val="es-ES_tradnl" w:bidi="th-TH"/>
              </w:rPr>
              <w:t>2</w:t>
            </w:r>
          </w:p>
        </w:tc>
      </w:tr>
      <w:tr w:rsidR="006B6FA8" w:rsidRPr="006B6FA8" w14:paraId="6607E003" w14:textId="77777777" w:rsidTr="00D60821">
        <w:trPr>
          <w:cantSplit/>
          <w:jc w:val="center"/>
        </w:trPr>
        <w:tc>
          <w:tcPr>
            <w:tcW w:w="578" w:type="dxa"/>
          </w:tcPr>
          <w:p w14:paraId="58D6F0B6" w14:textId="77777777" w:rsidR="006B6FA8" w:rsidRPr="006B6FA8" w:rsidRDefault="006B6FA8" w:rsidP="006B6FA8">
            <w:pPr>
              <w:spacing w:before="40" w:after="40"/>
              <w:jc w:val="left"/>
              <w:rPr>
                <w:rFonts w:cs="Angsana New"/>
                <w:b/>
                <w:sz w:val="18"/>
                <w:lang w:val="es-ES_tradnl" w:bidi="th-TH"/>
              </w:rPr>
            </w:pPr>
            <w:r w:rsidRPr="006B6FA8">
              <w:rPr>
                <w:rFonts w:cs="Angsana New"/>
                <w:b/>
                <w:sz w:val="18"/>
                <w:lang w:val="es-ES_tradnl" w:bidi="th-TH"/>
              </w:rPr>
              <w:t>QN</w:t>
            </w:r>
          </w:p>
        </w:tc>
        <w:tc>
          <w:tcPr>
            <w:tcW w:w="412" w:type="dxa"/>
          </w:tcPr>
          <w:p w14:paraId="48DD665C" w14:textId="77777777" w:rsidR="006B6FA8" w:rsidRPr="006B6FA8" w:rsidRDefault="006B6FA8" w:rsidP="006B6FA8">
            <w:pPr>
              <w:spacing w:before="40" w:after="40"/>
              <w:jc w:val="left"/>
              <w:rPr>
                <w:rFonts w:cs="Angsana New"/>
                <w:sz w:val="18"/>
                <w:lang w:val="es-ES_tradnl" w:bidi="th-TH"/>
              </w:rPr>
            </w:pPr>
          </w:p>
        </w:tc>
        <w:tc>
          <w:tcPr>
            <w:tcW w:w="2407" w:type="dxa"/>
          </w:tcPr>
          <w:p w14:paraId="70ACB501" w14:textId="77777777" w:rsidR="006B6FA8" w:rsidRPr="006B6FA8" w:rsidRDefault="006B6FA8" w:rsidP="006B6FA8">
            <w:pPr>
              <w:spacing w:before="40" w:after="40"/>
              <w:jc w:val="left"/>
              <w:rPr>
                <w:rFonts w:cs="Angsana New"/>
                <w:sz w:val="18"/>
                <w:lang w:val="es-ES_tradnl" w:bidi="th-TH"/>
              </w:rPr>
            </w:pPr>
            <w:r w:rsidRPr="006B6FA8">
              <w:rPr>
                <w:rFonts w:cs="Angsana New"/>
                <w:sz w:val="18"/>
                <w:lang w:val="es-ES_tradnl" w:bidi="th-TH"/>
              </w:rPr>
              <w:t>temprana</w:t>
            </w:r>
          </w:p>
        </w:tc>
        <w:tc>
          <w:tcPr>
            <w:tcW w:w="567" w:type="dxa"/>
          </w:tcPr>
          <w:p w14:paraId="2CA8E28C" w14:textId="77777777" w:rsidR="006B6FA8" w:rsidRPr="006B6FA8" w:rsidRDefault="006B6FA8" w:rsidP="006B6FA8">
            <w:pPr>
              <w:spacing w:before="40" w:after="40"/>
              <w:jc w:val="left"/>
              <w:rPr>
                <w:rFonts w:cs="Angsana New"/>
                <w:sz w:val="18"/>
                <w:lang w:val="es-ES_tradnl" w:bidi="th-TH"/>
              </w:rPr>
            </w:pPr>
            <w:r w:rsidRPr="006B6FA8">
              <w:rPr>
                <w:rFonts w:cs="Angsana New"/>
                <w:sz w:val="18"/>
                <w:lang w:val="es-ES_tradnl" w:bidi="th-TH"/>
              </w:rPr>
              <w:t>3</w:t>
            </w:r>
          </w:p>
        </w:tc>
      </w:tr>
      <w:tr w:rsidR="006B6FA8" w:rsidRPr="006B6FA8" w14:paraId="685E2B0E" w14:textId="77777777" w:rsidTr="00D60821">
        <w:trPr>
          <w:cantSplit/>
          <w:jc w:val="center"/>
        </w:trPr>
        <w:tc>
          <w:tcPr>
            <w:tcW w:w="578" w:type="dxa"/>
          </w:tcPr>
          <w:p w14:paraId="5729B40C" w14:textId="77777777" w:rsidR="006B6FA8" w:rsidRPr="006B6FA8" w:rsidRDefault="006B6FA8" w:rsidP="006B6FA8">
            <w:pPr>
              <w:spacing w:before="40" w:after="40"/>
              <w:jc w:val="left"/>
              <w:rPr>
                <w:rFonts w:cs="Angsana New"/>
                <w:sz w:val="18"/>
                <w:u w:val="single"/>
                <w:lang w:val="es-ES_tradnl" w:bidi="th-TH"/>
              </w:rPr>
            </w:pPr>
          </w:p>
        </w:tc>
        <w:tc>
          <w:tcPr>
            <w:tcW w:w="412" w:type="dxa"/>
          </w:tcPr>
          <w:p w14:paraId="75ED0BD8" w14:textId="77777777" w:rsidR="006B6FA8" w:rsidRPr="006B6FA8" w:rsidRDefault="006B6FA8" w:rsidP="006B6FA8">
            <w:pPr>
              <w:spacing w:before="40" w:after="40"/>
              <w:jc w:val="left"/>
              <w:rPr>
                <w:rFonts w:cs="Angsana New"/>
                <w:sz w:val="18"/>
                <w:u w:val="single"/>
                <w:lang w:val="es-ES_tradnl" w:bidi="th-TH"/>
              </w:rPr>
            </w:pPr>
          </w:p>
        </w:tc>
        <w:tc>
          <w:tcPr>
            <w:tcW w:w="2407" w:type="dxa"/>
          </w:tcPr>
          <w:p w14:paraId="21EC555B" w14:textId="77777777" w:rsidR="006B6FA8" w:rsidRPr="006B6FA8" w:rsidRDefault="006B6FA8" w:rsidP="006B6FA8">
            <w:pPr>
              <w:spacing w:before="40" w:after="40"/>
              <w:jc w:val="left"/>
              <w:rPr>
                <w:rFonts w:cs="Angsana New"/>
                <w:sz w:val="18"/>
                <w:highlight w:val="lightGray"/>
                <w:u w:val="single"/>
                <w:lang w:val="es-ES_tradnl" w:bidi="th-TH"/>
              </w:rPr>
            </w:pPr>
            <w:r w:rsidRPr="006B6FA8">
              <w:rPr>
                <w:rFonts w:cs="Angsana New"/>
                <w:sz w:val="18"/>
                <w:highlight w:val="lightGray"/>
                <w:u w:val="single"/>
                <w:lang w:val="es-ES_tradnl" w:bidi="th-TH"/>
              </w:rPr>
              <w:t>temprana a meda</w:t>
            </w:r>
          </w:p>
        </w:tc>
        <w:tc>
          <w:tcPr>
            <w:tcW w:w="567" w:type="dxa"/>
          </w:tcPr>
          <w:p w14:paraId="02934F84" w14:textId="77777777" w:rsidR="006B6FA8" w:rsidRPr="006B6FA8" w:rsidRDefault="006B6FA8" w:rsidP="006B6FA8">
            <w:pPr>
              <w:spacing w:before="40" w:after="40"/>
              <w:jc w:val="left"/>
              <w:rPr>
                <w:rFonts w:cs="Angsana New"/>
                <w:sz w:val="18"/>
                <w:u w:val="single"/>
                <w:lang w:val="es-ES_tradnl" w:bidi="th-TH"/>
              </w:rPr>
            </w:pPr>
            <w:r w:rsidRPr="006B6FA8">
              <w:rPr>
                <w:rFonts w:cs="Angsana New"/>
                <w:sz w:val="18"/>
                <w:highlight w:val="lightGray"/>
                <w:u w:val="single"/>
                <w:lang w:val="es-ES_tradnl" w:bidi="th-TH"/>
              </w:rPr>
              <w:t>4</w:t>
            </w:r>
          </w:p>
        </w:tc>
      </w:tr>
      <w:tr w:rsidR="006B6FA8" w:rsidRPr="006B6FA8" w14:paraId="4C3A8E31" w14:textId="77777777" w:rsidTr="00D60821">
        <w:trPr>
          <w:cantSplit/>
          <w:jc w:val="center"/>
        </w:trPr>
        <w:tc>
          <w:tcPr>
            <w:tcW w:w="578" w:type="dxa"/>
            <w:tcBorders>
              <w:bottom w:val="nil"/>
            </w:tcBorders>
          </w:tcPr>
          <w:p w14:paraId="7FA6A974" w14:textId="77777777" w:rsidR="006B6FA8" w:rsidRPr="006B6FA8" w:rsidRDefault="006B6FA8" w:rsidP="006B6FA8">
            <w:pPr>
              <w:spacing w:before="40" w:after="40"/>
              <w:jc w:val="left"/>
              <w:rPr>
                <w:rFonts w:cs="Angsana New"/>
                <w:sz w:val="18"/>
                <w:lang w:val="es-ES_tradnl" w:bidi="th-TH"/>
              </w:rPr>
            </w:pPr>
          </w:p>
        </w:tc>
        <w:tc>
          <w:tcPr>
            <w:tcW w:w="412" w:type="dxa"/>
            <w:tcBorders>
              <w:bottom w:val="nil"/>
            </w:tcBorders>
          </w:tcPr>
          <w:p w14:paraId="37BFB12A" w14:textId="77777777" w:rsidR="006B6FA8" w:rsidRPr="006B6FA8" w:rsidRDefault="006B6FA8" w:rsidP="006B6FA8">
            <w:pPr>
              <w:spacing w:before="40" w:after="40"/>
              <w:jc w:val="left"/>
              <w:rPr>
                <w:rFonts w:cs="Angsana New"/>
                <w:sz w:val="18"/>
                <w:lang w:val="es-ES_tradnl" w:bidi="th-TH"/>
              </w:rPr>
            </w:pPr>
          </w:p>
        </w:tc>
        <w:tc>
          <w:tcPr>
            <w:tcW w:w="2407" w:type="dxa"/>
            <w:tcBorders>
              <w:bottom w:val="nil"/>
            </w:tcBorders>
          </w:tcPr>
          <w:p w14:paraId="4FFC72FF" w14:textId="77777777" w:rsidR="006B6FA8" w:rsidRPr="006B6FA8" w:rsidRDefault="006B6FA8" w:rsidP="006B6FA8">
            <w:pPr>
              <w:spacing w:before="40" w:after="40"/>
              <w:jc w:val="left"/>
              <w:rPr>
                <w:rFonts w:cs="Angsana New"/>
                <w:sz w:val="18"/>
                <w:lang w:val="es-ES_tradnl" w:bidi="th-TH"/>
              </w:rPr>
            </w:pPr>
            <w:r w:rsidRPr="006B6FA8">
              <w:rPr>
                <w:rFonts w:cs="Angsana New"/>
                <w:sz w:val="18"/>
                <w:lang w:val="es-ES_tradnl" w:bidi="th-TH"/>
              </w:rPr>
              <w:t>media</w:t>
            </w:r>
          </w:p>
        </w:tc>
        <w:tc>
          <w:tcPr>
            <w:tcW w:w="567" w:type="dxa"/>
            <w:tcBorders>
              <w:bottom w:val="nil"/>
            </w:tcBorders>
          </w:tcPr>
          <w:p w14:paraId="22D47934" w14:textId="77777777" w:rsidR="006B6FA8" w:rsidRPr="006B6FA8" w:rsidRDefault="006B6FA8" w:rsidP="006B6FA8">
            <w:pPr>
              <w:spacing w:before="40" w:after="40"/>
              <w:jc w:val="left"/>
              <w:rPr>
                <w:rFonts w:cs="Angsana New"/>
                <w:sz w:val="18"/>
                <w:lang w:val="es-ES_tradnl" w:bidi="th-TH"/>
              </w:rPr>
            </w:pPr>
            <w:r w:rsidRPr="006B6FA8">
              <w:rPr>
                <w:rFonts w:cs="Angsana New"/>
                <w:sz w:val="18"/>
                <w:lang w:val="es-ES_tradnl" w:bidi="th-TH"/>
              </w:rPr>
              <w:t>5</w:t>
            </w:r>
          </w:p>
        </w:tc>
      </w:tr>
      <w:tr w:rsidR="006B6FA8" w:rsidRPr="006B6FA8" w14:paraId="5160A54B" w14:textId="77777777" w:rsidTr="00D60821">
        <w:trPr>
          <w:cantSplit/>
          <w:jc w:val="center"/>
        </w:trPr>
        <w:tc>
          <w:tcPr>
            <w:tcW w:w="578" w:type="dxa"/>
            <w:tcBorders>
              <w:top w:val="nil"/>
              <w:bottom w:val="nil"/>
            </w:tcBorders>
          </w:tcPr>
          <w:p w14:paraId="7D6DC085" w14:textId="77777777" w:rsidR="006B6FA8" w:rsidRPr="006B6FA8" w:rsidRDefault="006B6FA8" w:rsidP="006B6FA8">
            <w:pPr>
              <w:spacing w:before="40" w:after="40"/>
              <w:jc w:val="left"/>
              <w:rPr>
                <w:rFonts w:cs="Angsana New"/>
                <w:sz w:val="18"/>
                <w:u w:val="single"/>
                <w:lang w:val="es-ES_tradnl" w:bidi="th-TH"/>
              </w:rPr>
            </w:pPr>
          </w:p>
        </w:tc>
        <w:tc>
          <w:tcPr>
            <w:tcW w:w="412" w:type="dxa"/>
            <w:tcBorders>
              <w:top w:val="nil"/>
              <w:bottom w:val="nil"/>
            </w:tcBorders>
          </w:tcPr>
          <w:p w14:paraId="767F9C88" w14:textId="77777777" w:rsidR="006B6FA8" w:rsidRPr="006B6FA8" w:rsidRDefault="006B6FA8" w:rsidP="006B6FA8">
            <w:pPr>
              <w:spacing w:before="40" w:after="40"/>
              <w:jc w:val="left"/>
              <w:rPr>
                <w:rFonts w:cs="Angsana New"/>
                <w:sz w:val="18"/>
                <w:u w:val="single"/>
                <w:lang w:val="es-ES_tradnl" w:bidi="th-TH"/>
              </w:rPr>
            </w:pPr>
          </w:p>
        </w:tc>
        <w:tc>
          <w:tcPr>
            <w:tcW w:w="2407" w:type="dxa"/>
            <w:tcBorders>
              <w:top w:val="nil"/>
              <w:bottom w:val="nil"/>
            </w:tcBorders>
          </w:tcPr>
          <w:p w14:paraId="18A5151B" w14:textId="77777777" w:rsidR="006B6FA8" w:rsidRPr="006B6FA8" w:rsidRDefault="006B6FA8" w:rsidP="006B6FA8">
            <w:pPr>
              <w:spacing w:before="40" w:after="40"/>
              <w:jc w:val="left"/>
              <w:rPr>
                <w:rFonts w:cs="Angsana New"/>
                <w:sz w:val="18"/>
                <w:highlight w:val="lightGray"/>
                <w:u w:val="single"/>
                <w:lang w:val="es-ES_tradnl" w:bidi="th-TH"/>
              </w:rPr>
            </w:pPr>
            <w:r w:rsidRPr="006B6FA8">
              <w:rPr>
                <w:rFonts w:cs="Angsana New"/>
                <w:sz w:val="18"/>
                <w:highlight w:val="lightGray"/>
                <w:u w:val="single"/>
                <w:lang w:val="es-ES_tradnl" w:bidi="th-TH"/>
              </w:rPr>
              <w:t>media a tardía</w:t>
            </w:r>
          </w:p>
        </w:tc>
        <w:tc>
          <w:tcPr>
            <w:tcW w:w="567" w:type="dxa"/>
            <w:tcBorders>
              <w:top w:val="nil"/>
              <w:bottom w:val="nil"/>
            </w:tcBorders>
          </w:tcPr>
          <w:p w14:paraId="10275E7D" w14:textId="77777777" w:rsidR="006B6FA8" w:rsidRPr="006B6FA8" w:rsidRDefault="006B6FA8" w:rsidP="006B6FA8">
            <w:pPr>
              <w:spacing w:before="40" w:after="40"/>
              <w:jc w:val="left"/>
              <w:rPr>
                <w:rFonts w:cs="Angsana New"/>
                <w:sz w:val="18"/>
                <w:u w:val="single"/>
                <w:lang w:val="es-ES_tradnl" w:bidi="th-TH"/>
              </w:rPr>
            </w:pPr>
            <w:r w:rsidRPr="006B6FA8">
              <w:rPr>
                <w:rFonts w:cs="Angsana New"/>
                <w:sz w:val="18"/>
                <w:highlight w:val="lightGray"/>
                <w:u w:val="single"/>
                <w:lang w:val="es-ES_tradnl" w:bidi="th-TH"/>
              </w:rPr>
              <w:t>6</w:t>
            </w:r>
          </w:p>
        </w:tc>
      </w:tr>
      <w:tr w:rsidR="006B6FA8" w:rsidRPr="006B6FA8" w14:paraId="65E1BBAA" w14:textId="77777777" w:rsidTr="00D60821">
        <w:trPr>
          <w:cantSplit/>
          <w:jc w:val="center"/>
        </w:trPr>
        <w:tc>
          <w:tcPr>
            <w:tcW w:w="578" w:type="dxa"/>
            <w:tcBorders>
              <w:top w:val="nil"/>
              <w:bottom w:val="nil"/>
            </w:tcBorders>
          </w:tcPr>
          <w:p w14:paraId="03B21DD1" w14:textId="77777777" w:rsidR="006B6FA8" w:rsidRPr="006B6FA8" w:rsidRDefault="006B6FA8" w:rsidP="006B6FA8">
            <w:pPr>
              <w:spacing w:before="40" w:after="40"/>
              <w:jc w:val="left"/>
              <w:rPr>
                <w:rFonts w:cs="Angsana New"/>
                <w:sz w:val="18"/>
                <w:lang w:val="es-ES_tradnl" w:bidi="th-TH"/>
              </w:rPr>
            </w:pPr>
          </w:p>
        </w:tc>
        <w:tc>
          <w:tcPr>
            <w:tcW w:w="412" w:type="dxa"/>
            <w:tcBorders>
              <w:top w:val="nil"/>
              <w:bottom w:val="nil"/>
            </w:tcBorders>
          </w:tcPr>
          <w:p w14:paraId="632EA028" w14:textId="77777777" w:rsidR="006B6FA8" w:rsidRPr="006B6FA8" w:rsidRDefault="006B6FA8" w:rsidP="006B6FA8">
            <w:pPr>
              <w:spacing w:before="40" w:after="40"/>
              <w:jc w:val="left"/>
              <w:rPr>
                <w:rFonts w:cs="Angsana New"/>
                <w:sz w:val="18"/>
                <w:lang w:val="es-ES_tradnl" w:bidi="th-TH"/>
              </w:rPr>
            </w:pPr>
          </w:p>
        </w:tc>
        <w:tc>
          <w:tcPr>
            <w:tcW w:w="2407" w:type="dxa"/>
            <w:tcBorders>
              <w:top w:val="nil"/>
              <w:bottom w:val="nil"/>
            </w:tcBorders>
          </w:tcPr>
          <w:p w14:paraId="0EC31871" w14:textId="77777777" w:rsidR="006B6FA8" w:rsidRPr="006B6FA8" w:rsidRDefault="006B6FA8" w:rsidP="006B6FA8">
            <w:pPr>
              <w:spacing w:before="40" w:after="40"/>
              <w:jc w:val="left"/>
              <w:rPr>
                <w:rFonts w:cs="Angsana New"/>
                <w:sz w:val="18"/>
                <w:lang w:val="es-ES_tradnl" w:bidi="th-TH"/>
              </w:rPr>
            </w:pPr>
            <w:r w:rsidRPr="006B6FA8">
              <w:rPr>
                <w:rFonts w:cs="Angsana New"/>
                <w:sz w:val="18"/>
                <w:lang w:val="es-ES_tradnl" w:bidi="th-TH"/>
              </w:rPr>
              <w:t>tardía</w:t>
            </w:r>
          </w:p>
        </w:tc>
        <w:tc>
          <w:tcPr>
            <w:tcW w:w="567" w:type="dxa"/>
            <w:tcBorders>
              <w:top w:val="nil"/>
              <w:bottom w:val="nil"/>
            </w:tcBorders>
          </w:tcPr>
          <w:p w14:paraId="6D8D6ED4" w14:textId="77777777" w:rsidR="006B6FA8" w:rsidRPr="006B6FA8" w:rsidRDefault="006B6FA8" w:rsidP="006B6FA8">
            <w:pPr>
              <w:spacing w:before="40" w:after="40"/>
              <w:jc w:val="left"/>
              <w:rPr>
                <w:rFonts w:cs="Angsana New"/>
                <w:sz w:val="18"/>
                <w:lang w:val="es-ES_tradnl" w:bidi="th-TH"/>
              </w:rPr>
            </w:pPr>
            <w:r w:rsidRPr="006B6FA8">
              <w:rPr>
                <w:rFonts w:cs="Angsana New"/>
                <w:sz w:val="18"/>
                <w:lang w:val="es-ES_tradnl" w:bidi="th-TH"/>
              </w:rPr>
              <w:t>7</w:t>
            </w:r>
          </w:p>
        </w:tc>
      </w:tr>
      <w:tr w:rsidR="006B6FA8" w:rsidRPr="006B6FA8" w14:paraId="25E9D0A8" w14:textId="77777777" w:rsidTr="00D60821">
        <w:trPr>
          <w:cantSplit/>
          <w:jc w:val="center"/>
        </w:trPr>
        <w:tc>
          <w:tcPr>
            <w:tcW w:w="578" w:type="dxa"/>
            <w:tcBorders>
              <w:top w:val="nil"/>
              <w:bottom w:val="nil"/>
            </w:tcBorders>
          </w:tcPr>
          <w:p w14:paraId="1FE96451" w14:textId="77777777" w:rsidR="006B6FA8" w:rsidRPr="006B6FA8" w:rsidRDefault="006B6FA8" w:rsidP="006B6FA8">
            <w:pPr>
              <w:spacing w:before="40" w:after="40"/>
              <w:jc w:val="left"/>
              <w:rPr>
                <w:rFonts w:cs="Angsana New"/>
                <w:sz w:val="18"/>
                <w:u w:val="single"/>
                <w:lang w:val="es-ES_tradnl" w:bidi="th-TH"/>
              </w:rPr>
            </w:pPr>
          </w:p>
        </w:tc>
        <w:tc>
          <w:tcPr>
            <w:tcW w:w="412" w:type="dxa"/>
            <w:tcBorders>
              <w:top w:val="nil"/>
              <w:bottom w:val="nil"/>
            </w:tcBorders>
          </w:tcPr>
          <w:p w14:paraId="57BA3F0E" w14:textId="77777777" w:rsidR="006B6FA8" w:rsidRPr="006B6FA8" w:rsidRDefault="006B6FA8" w:rsidP="006B6FA8">
            <w:pPr>
              <w:spacing w:before="40" w:after="40"/>
              <w:jc w:val="left"/>
              <w:rPr>
                <w:rFonts w:cs="Angsana New"/>
                <w:sz w:val="18"/>
                <w:u w:val="single"/>
                <w:lang w:val="es-ES_tradnl" w:bidi="th-TH"/>
              </w:rPr>
            </w:pPr>
          </w:p>
        </w:tc>
        <w:tc>
          <w:tcPr>
            <w:tcW w:w="2407" w:type="dxa"/>
            <w:tcBorders>
              <w:top w:val="nil"/>
              <w:bottom w:val="nil"/>
            </w:tcBorders>
          </w:tcPr>
          <w:p w14:paraId="1F11EECE" w14:textId="77777777" w:rsidR="006B6FA8" w:rsidRPr="006B6FA8" w:rsidRDefault="006B6FA8" w:rsidP="006B6FA8">
            <w:pPr>
              <w:spacing w:before="40" w:after="40"/>
              <w:jc w:val="left"/>
              <w:rPr>
                <w:rFonts w:cs="Angsana New"/>
                <w:sz w:val="18"/>
                <w:highlight w:val="lightGray"/>
                <w:u w:val="single"/>
                <w:lang w:val="es-ES_tradnl" w:bidi="th-TH"/>
              </w:rPr>
            </w:pPr>
            <w:r w:rsidRPr="006B6FA8">
              <w:rPr>
                <w:rFonts w:cs="Angsana New"/>
                <w:sz w:val="18"/>
                <w:highlight w:val="lightGray"/>
                <w:u w:val="single"/>
                <w:lang w:val="es-ES_tradnl" w:bidi="th-TH"/>
              </w:rPr>
              <w:t>tardía a muy tardía</w:t>
            </w:r>
          </w:p>
        </w:tc>
        <w:tc>
          <w:tcPr>
            <w:tcW w:w="567" w:type="dxa"/>
            <w:tcBorders>
              <w:top w:val="nil"/>
              <w:bottom w:val="nil"/>
            </w:tcBorders>
          </w:tcPr>
          <w:p w14:paraId="0E030BD6" w14:textId="77777777" w:rsidR="006B6FA8" w:rsidRPr="006B6FA8" w:rsidRDefault="006B6FA8" w:rsidP="006B6FA8">
            <w:pPr>
              <w:spacing w:before="40" w:after="40"/>
              <w:jc w:val="left"/>
              <w:rPr>
                <w:rFonts w:cs="Angsana New"/>
                <w:sz w:val="18"/>
                <w:highlight w:val="lightGray"/>
                <w:u w:val="single"/>
                <w:lang w:val="es-ES_tradnl" w:bidi="th-TH"/>
              </w:rPr>
            </w:pPr>
            <w:r w:rsidRPr="006B6FA8">
              <w:rPr>
                <w:rFonts w:cs="Angsana New"/>
                <w:sz w:val="18"/>
                <w:highlight w:val="lightGray"/>
                <w:u w:val="single"/>
                <w:lang w:val="es-ES_tradnl" w:bidi="th-TH"/>
              </w:rPr>
              <w:t>8</w:t>
            </w:r>
          </w:p>
        </w:tc>
      </w:tr>
      <w:tr w:rsidR="006B6FA8" w:rsidRPr="006B6FA8" w14:paraId="2B3F1F52" w14:textId="77777777" w:rsidTr="00D60821">
        <w:trPr>
          <w:cantSplit/>
          <w:jc w:val="center"/>
        </w:trPr>
        <w:tc>
          <w:tcPr>
            <w:tcW w:w="578" w:type="dxa"/>
            <w:tcBorders>
              <w:top w:val="nil"/>
              <w:bottom w:val="single" w:sz="4" w:space="0" w:color="auto"/>
            </w:tcBorders>
          </w:tcPr>
          <w:p w14:paraId="15F6948D" w14:textId="77777777" w:rsidR="006B6FA8" w:rsidRPr="006B6FA8" w:rsidRDefault="006B6FA8" w:rsidP="006B6FA8">
            <w:pPr>
              <w:spacing w:before="40" w:after="40"/>
              <w:jc w:val="left"/>
              <w:rPr>
                <w:rFonts w:cs="Angsana New"/>
                <w:sz w:val="18"/>
                <w:highlight w:val="lightGray"/>
                <w:u w:val="single"/>
                <w:lang w:val="es-ES_tradnl" w:bidi="th-TH"/>
              </w:rPr>
            </w:pPr>
          </w:p>
        </w:tc>
        <w:tc>
          <w:tcPr>
            <w:tcW w:w="412" w:type="dxa"/>
            <w:tcBorders>
              <w:top w:val="nil"/>
              <w:bottom w:val="single" w:sz="4" w:space="0" w:color="auto"/>
            </w:tcBorders>
          </w:tcPr>
          <w:p w14:paraId="2FAD9EB2" w14:textId="77777777" w:rsidR="006B6FA8" w:rsidRPr="006B6FA8" w:rsidRDefault="006B6FA8" w:rsidP="006B6FA8">
            <w:pPr>
              <w:spacing w:before="40" w:after="40"/>
              <w:jc w:val="left"/>
              <w:rPr>
                <w:rFonts w:cs="Angsana New"/>
                <w:sz w:val="18"/>
                <w:highlight w:val="lightGray"/>
                <w:u w:val="single"/>
                <w:lang w:val="es-ES_tradnl" w:bidi="th-TH"/>
              </w:rPr>
            </w:pPr>
          </w:p>
        </w:tc>
        <w:tc>
          <w:tcPr>
            <w:tcW w:w="2407" w:type="dxa"/>
            <w:tcBorders>
              <w:top w:val="nil"/>
              <w:bottom w:val="single" w:sz="4" w:space="0" w:color="auto"/>
            </w:tcBorders>
          </w:tcPr>
          <w:p w14:paraId="32ADD25B" w14:textId="77777777" w:rsidR="006B6FA8" w:rsidRPr="006B6FA8" w:rsidRDefault="006B6FA8" w:rsidP="006B6FA8">
            <w:pPr>
              <w:spacing w:before="40" w:after="40"/>
              <w:jc w:val="left"/>
              <w:rPr>
                <w:rFonts w:cs="Angsana New"/>
                <w:sz w:val="18"/>
                <w:highlight w:val="lightGray"/>
                <w:u w:val="single"/>
                <w:lang w:val="es-ES_tradnl" w:bidi="th-TH"/>
              </w:rPr>
            </w:pPr>
            <w:r w:rsidRPr="006B6FA8">
              <w:rPr>
                <w:rFonts w:cs="Angsana New"/>
                <w:sz w:val="18"/>
                <w:highlight w:val="lightGray"/>
                <w:u w:val="single"/>
                <w:lang w:val="es-ES_tradnl" w:bidi="th-TH"/>
              </w:rPr>
              <w:t>muy tardía</w:t>
            </w:r>
          </w:p>
        </w:tc>
        <w:tc>
          <w:tcPr>
            <w:tcW w:w="567" w:type="dxa"/>
            <w:tcBorders>
              <w:top w:val="nil"/>
              <w:bottom w:val="single" w:sz="4" w:space="0" w:color="auto"/>
            </w:tcBorders>
          </w:tcPr>
          <w:p w14:paraId="516BAFAB" w14:textId="77777777" w:rsidR="006B6FA8" w:rsidRPr="006B6FA8" w:rsidRDefault="006B6FA8" w:rsidP="006B6FA8">
            <w:pPr>
              <w:spacing w:before="40" w:after="40"/>
              <w:jc w:val="left"/>
              <w:rPr>
                <w:rFonts w:cs="Angsana New"/>
                <w:sz w:val="18"/>
                <w:u w:val="single"/>
                <w:lang w:val="es-ES_tradnl" w:bidi="th-TH"/>
              </w:rPr>
            </w:pPr>
            <w:r w:rsidRPr="006B6FA8">
              <w:rPr>
                <w:rFonts w:cs="Angsana New"/>
                <w:sz w:val="18"/>
                <w:highlight w:val="lightGray"/>
                <w:u w:val="single"/>
                <w:lang w:val="es-ES_tradnl" w:bidi="th-TH"/>
              </w:rPr>
              <w:t>9</w:t>
            </w:r>
          </w:p>
        </w:tc>
      </w:tr>
    </w:tbl>
    <w:p w14:paraId="2FA14B5B" w14:textId="77777777" w:rsidR="006B6FA8" w:rsidRPr="006B6FA8" w:rsidRDefault="006B6FA8" w:rsidP="006B6FA8">
      <w:pPr>
        <w:rPr>
          <w:rFonts w:cs="Arial"/>
          <w:i/>
          <w:lang w:val="es-ES_tradnl"/>
        </w:rPr>
      </w:pPr>
    </w:p>
    <w:p w14:paraId="59D4AF3C" w14:textId="77777777" w:rsidR="006B6FA8" w:rsidRPr="006B6FA8" w:rsidRDefault="006B6FA8" w:rsidP="006B6FA8">
      <w:pPr>
        <w:rPr>
          <w:lang w:val="es-ES_tradnl"/>
        </w:rPr>
      </w:pPr>
    </w:p>
    <w:p w14:paraId="4F536E15" w14:textId="77777777" w:rsidR="006B6FA8" w:rsidRPr="006B6FA8" w:rsidRDefault="006B6FA8" w:rsidP="006B6FA8">
      <w:pPr>
        <w:rPr>
          <w:lang w:val="es-ES_tradnl"/>
        </w:rPr>
      </w:pPr>
    </w:p>
    <w:p w14:paraId="4EB2FAF0" w14:textId="33C83250" w:rsidR="006B6FA8" w:rsidRDefault="006B6FA8" w:rsidP="006B6FA8">
      <w:pPr>
        <w:jc w:val="right"/>
        <w:rPr>
          <w:lang w:val="es-ES_tradnl"/>
        </w:rPr>
      </w:pPr>
      <w:r w:rsidRPr="006B6FA8">
        <w:rPr>
          <w:lang w:val="es-ES_tradnl"/>
        </w:rPr>
        <w:t xml:space="preserve">[Sigue el Anexo </w:t>
      </w:r>
      <w:r>
        <w:rPr>
          <w:lang w:val="es-ES_tradnl"/>
        </w:rPr>
        <w:t>IV</w:t>
      </w:r>
      <w:r w:rsidRPr="006B6FA8">
        <w:rPr>
          <w:lang w:val="es-ES_tradnl"/>
        </w:rPr>
        <w:t>]</w:t>
      </w:r>
    </w:p>
    <w:p w14:paraId="223EED33" w14:textId="28C5D867" w:rsidR="006B6FA8" w:rsidRDefault="006B6FA8" w:rsidP="006B6FA8">
      <w:pPr>
        <w:jc w:val="right"/>
        <w:rPr>
          <w:lang w:val="es-ES_tradnl"/>
        </w:rPr>
      </w:pPr>
    </w:p>
    <w:p w14:paraId="490BB412" w14:textId="77777777" w:rsidR="006B6FA8" w:rsidRPr="006B6FA8" w:rsidRDefault="006B6FA8" w:rsidP="006B6FA8">
      <w:pPr>
        <w:jc w:val="left"/>
        <w:rPr>
          <w:lang w:val="es-ES_tradnl"/>
        </w:rPr>
      </w:pPr>
    </w:p>
    <w:p w14:paraId="4351A4D3" w14:textId="77777777" w:rsidR="006B6FA8" w:rsidRPr="006B6FA8" w:rsidRDefault="006B6FA8" w:rsidP="006B6FA8">
      <w:pPr>
        <w:rPr>
          <w:lang w:val="es-ES_tradnl"/>
        </w:rPr>
        <w:sectPr w:rsidR="006B6FA8" w:rsidRPr="006B6FA8" w:rsidSect="00D60821">
          <w:headerReference w:type="default" r:id="rId27"/>
          <w:headerReference w:type="first" r:id="rId28"/>
          <w:endnotePr>
            <w:numFmt w:val="lowerLetter"/>
          </w:endnotePr>
          <w:pgSz w:w="11907" w:h="16840" w:code="9"/>
          <w:pgMar w:top="510" w:right="1134" w:bottom="709" w:left="1134" w:header="510" w:footer="680" w:gutter="0"/>
          <w:pgNumType w:start="1"/>
          <w:cols w:space="720"/>
          <w:titlePg/>
        </w:sectPr>
      </w:pPr>
    </w:p>
    <w:p w14:paraId="4DD65A9A" w14:textId="77777777" w:rsidR="006B6FA8" w:rsidRDefault="006B6FA8" w:rsidP="006B6FA8">
      <w:pPr>
        <w:jc w:val="center"/>
        <w:rPr>
          <w:rFonts w:cs="Arial"/>
          <w:caps/>
          <w:lang w:val="es-ES_tradnl" w:eastAsia="ja-JP"/>
        </w:rPr>
      </w:pPr>
    </w:p>
    <w:p w14:paraId="2E2D121D" w14:textId="5F9763A3" w:rsidR="006B6FA8" w:rsidRPr="006B6FA8" w:rsidRDefault="006B6FA8" w:rsidP="006B6FA8">
      <w:pPr>
        <w:jc w:val="center"/>
        <w:rPr>
          <w:rFonts w:cs="Arial"/>
          <w:caps/>
          <w:lang w:val="es-ES_tradnl" w:eastAsia="ja-JP"/>
        </w:rPr>
      </w:pPr>
      <w:r w:rsidRPr="006B6FA8">
        <w:rPr>
          <w:rFonts w:cs="Arial"/>
          <w:caps/>
          <w:lang w:val="es-ES_tradnl" w:eastAsia="ja-JP"/>
        </w:rPr>
        <w:t xml:space="preserve">REVISIÓN DEL DocumentO TGP/14 </w:t>
      </w:r>
      <w:r w:rsidRPr="006B6FA8">
        <w:rPr>
          <w:rFonts w:cs="Arial"/>
          <w:caps/>
          <w:lang w:val="es-ES_tradnl" w:eastAsia="ja-JP"/>
        </w:rPr>
        <w:br/>
        <w:t>“Glosario de términos utilizados en los documentos de la UPOV”</w:t>
      </w:r>
    </w:p>
    <w:p w14:paraId="121CA5C0" w14:textId="343CC91F" w:rsidR="006B6FA8" w:rsidRDefault="006B6FA8" w:rsidP="006B6FA8">
      <w:pPr>
        <w:jc w:val="center"/>
        <w:rPr>
          <w:rFonts w:cs="Arial"/>
          <w:caps/>
          <w:lang w:val="es-ES_tradnl" w:eastAsia="ja-JP"/>
        </w:rPr>
      </w:pPr>
    </w:p>
    <w:p w14:paraId="1AFC7D96" w14:textId="77777777" w:rsidR="006B6FA8" w:rsidRPr="006B6FA8" w:rsidRDefault="006B6FA8" w:rsidP="006B6FA8">
      <w:pPr>
        <w:jc w:val="center"/>
        <w:rPr>
          <w:rFonts w:cs="Arial"/>
          <w:caps/>
          <w:lang w:val="es-ES_tradnl" w:eastAsia="ja-JP"/>
        </w:rPr>
      </w:pPr>
    </w:p>
    <w:p w14:paraId="700F679A" w14:textId="77777777" w:rsidR="006B6FA8" w:rsidRPr="006B6FA8" w:rsidRDefault="006B6FA8" w:rsidP="006B6FA8">
      <w:pPr>
        <w:rPr>
          <w:lang w:val="es-ES_tradnl"/>
        </w:rPr>
      </w:pPr>
      <w:r w:rsidRPr="006B6FA8">
        <w:rPr>
          <w:lang w:val="es-ES_tradnl"/>
        </w:rPr>
        <w:t xml:space="preserve">El TC convino en que la siguiente revisión del documento TGP/14 “Glosario de términos utilizados en los documentos de la UPOV” se someta a la aprobación del Consejo en su quincuagésima cuarta sesión ordinaria, que se celebrará en Ginebra el 30 de octubre de 2020, a reserva de la aprobación del CAJ en su septuagésima séptima sesión, que se celebrará en Ginebra el 28 de octubre de 2020 (se indican las eliminaciones mediante </w:t>
      </w:r>
      <w:r w:rsidRPr="006B6FA8">
        <w:rPr>
          <w:strike/>
          <w:highlight w:val="lightGray"/>
          <w:lang w:val="es-ES_tradnl"/>
        </w:rPr>
        <w:t>sombreado y tachado</w:t>
      </w:r>
      <w:r w:rsidRPr="006B6FA8">
        <w:rPr>
          <w:lang w:val="es-ES_tradnl"/>
        </w:rPr>
        <w:t xml:space="preserve"> y los añadidos mediante </w:t>
      </w:r>
      <w:r w:rsidRPr="006B6FA8">
        <w:rPr>
          <w:highlight w:val="lightGray"/>
          <w:u w:val="single"/>
          <w:lang w:val="es-ES_tradnl"/>
        </w:rPr>
        <w:t>sombreado y subrayado</w:t>
      </w:r>
      <w:r w:rsidRPr="006B6FA8">
        <w:rPr>
          <w:lang w:val="es-ES_tradnl"/>
        </w:rPr>
        <w:t>):</w:t>
      </w:r>
    </w:p>
    <w:p w14:paraId="1A066945" w14:textId="77777777" w:rsidR="006B6FA8" w:rsidRPr="006B6FA8" w:rsidRDefault="006B6FA8" w:rsidP="006B6FA8">
      <w:pPr>
        <w:rPr>
          <w:lang w:val="es-ES_tradnl"/>
        </w:rPr>
      </w:pPr>
    </w:p>
    <w:p w14:paraId="03014C52" w14:textId="77777777" w:rsidR="006B6FA8" w:rsidRPr="006B6FA8" w:rsidRDefault="006B6FA8" w:rsidP="006B6FA8">
      <w:pPr>
        <w:rPr>
          <w:lang w:val="es-ES_tradnl"/>
        </w:rPr>
      </w:pPr>
    </w:p>
    <w:p w14:paraId="63D98781" w14:textId="77777777" w:rsidR="006B6FA8" w:rsidRPr="006B6FA8" w:rsidRDefault="006B6FA8" w:rsidP="006B6FA8">
      <w:pPr>
        <w:jc w:val="left"/>
        <w:rPr>
          <w:u w:val="single"/>
          <w:lang w:val="es-ES_tradnl"/>
        </w:rPr>
      </w:pPr>
      <w:r w:rsidRPr="006B6FA8">
        <w:rPr>
          <w:u w:val="single"/>
          <w:lang w:val="es-ES_tradnl"/>
        </w:rPr>
        <w:t>Extracto del documento TGP/14, Sección 2, Subsección 3: Color:  2.  Color</w:t>
      </w:r>
    </w:p>
    <w:p w14:paraId="2B305607" w14:textId="77777777" w:rsidR="006B6FA8" w:rsidRPr="006B6FA8" w:rsidRDefault="006B6FA8" w:rsidP="006B6FA8">
      <w:pPr>
        <w:rPr>
          <w:lang w:val="es-ES_tradnl"/>
        </w:rPr>
      </w:pPr>
    </w:p>
    <w:p w14:paraId="7861262D" w14:textId="77777777" w:rsidR="006B6FA8" w:rsidRPr="006B6FA8" w:rsidRDefault="006B6FA8" w:rsidP="006B6FA8">
      <w:pPr>
        <w:ind w:right="-1"/>
        <w:rPr>
          <w:lang w:val="es-ES_tradnl"/>
        </w:rPr>
      </w:pPr>
      <w:r w:rsidRPr="006B6FA8">
        <w:rPr>
          <w:lang w:val="es-ES_tradnl"/>
        </w:rPr>
        <w:t>2.2.4</w:t>
      </w:r>
      <w:r w:rsidRPr="006B6FA8">
        <w:rPr>
          <w:lang w:val="es-ES_tradnl"/>
        </w:rPr>
        <w:tab/>
        <w:t>Carta de colores</w:t>
      </w:r>
    </w:p>
    <w:p w14:paraId="4202922B" w14:textId="77777777" w:rsidR="006B6FA8" w:rsidRPr="006B6FA8" w:rsidRDefault="006B6FA8" w:rsidP="006B6FA8">
      <w:pPr>
        <w:ind w:right="-1"/>
        <w:rPr>
          <w:lang w:val="es-ES_tradnl"/>
        </w:rPr>
      </w:pPr>
    </w:p>
    <w:p w14:paraId="77AE6558" w14:textId="77777777" w:rsidR="006B6FA8" w:rsidRPr="006B6FA8" w:rsidRDefault="006B6FA8" w:rsidP="006B6FA8">
      <w:pPr>
        <w:ind w:right="-1"/>
        <w:rPr>
          <w:lang w:val="es-ES_tradnl"/>
        </w:rPr>
      </w:pPr>
      <w:r w:rsidRPr="006B6FA8">
        <w:rPr>
          <w:lang w:val="es-ES_tradnl"/>
        </w:rPr>
        <w:t xml:space="preserve">Si es necesario describir un color mediante una carta de colores, la UPOV utiliza la carta de colores de la </w:t>
      </w:r>
      <w:r w:rsidRPr="006B6FA8">
        <w:rPr>
          <w:i/>
          <w:lang w:val="es-ES_tradnl"/>
        </w:rPr>
        <w:t xml:space="preserve">Royal Horticultural </w:t>
      </w:r>
      <w:proofErr w:type="spellStart"/>
      <w:r w:rsidRPr="006B6FA8">
        <w:rPr>
          <w:i/>
          <w:lang w:val="es-ES_tradnl"/>
        </w:rPr>
        <w:t>Society</w:t>
      </w:r>
      <w:proofErr w:type="spellEnd"/>
      <w:r w:rsidRPr="006B6FA8">
        <w:rPr>
          <w:lang w:val="es-ES_tradnl"/>
        </w:rPr>
        <w:t xml:space="preserve"> (</w:t>
      </w:r>
      <w:proofErr w:type="spellStart"/>
      <w:r w:rsidRPr="006B6FA8">
        <w:rPr>
          <w:lang w:val="es-ES_tradnl"/>
        </w:rPr>
        <w:t>RHS</w:t>
      </w:r>
      <w:proofErr w:type="spellEnd"/>
      <w:r w:rsidRPr="006B6FA8">
        <w:rPr>
          <w:lang w:val="es-ES_tradnl"/>
        </w:rPr>
        <w:t xml:space="preserve">), la “carta de colores RHS”, dada su disponibilidad en todo el mundo.  Se han publicado </w:t>
      </w:r>
      <w:r w:rsidRPr="006B6FA8">
        <w:rPr>
          <w:strike/>
          <w:highlight w:val="lightGray"/>
          <w:lang w:val="es-ES_tradnl"/>
        </w:rPr>
        <w:t>cinco</w:t>
      </w:r>
      <w:r w:rsidRPr="006B6FA8">
        <w:rPr>
          <w:lang w:val="es-ES_tradnl"/>
        </w:rPr>
        <w:t xml:space="preserve"> </w:t>
      </w:r>
      <w:r w:rsidRPr="006B6FA8">
        <w:rPr>
          <w:highlight w:val="lightGray"/>
          <w:u w:val="single"/>
          <w:lang w:val="es-ES_tradnl"/>
        </w:rPr>
        <w:t>seis</w:t>
      </w:r>
      <w:r w:rsidRPr="006B6FA8">
        <w:rPr>
          <w:lang w:val="es-ES_tradnl"/>
        </w:rPr>
        <w:t xml:space="preserve"> ediciones de dicha carta de colores, fechadas en 1966, 1986, 1995, 2001</w:t>
      </w:r>
      <w:r w:rsidRPr="006B6FA8">
        <w:rPr>
          <w:highlight w:val="lightGray"/>
          <w:u w:val="single"/>
          <w:lang w:val="es-ES_tradnl"/>
        </w:rPr>
        <w:t>,</w:t>
      </w:r>
      <w:r w:rsidRPr="006B6FA8">
        <w:rPr>
          <w:lang w:val="es-ES_tradnl"/>
        </w:rPr>
        <w:t xml:space="preserve"> </w:t>
      </w:r>
      <w:r w:rsidRPr="006B6FA8">
        <w:rPr>
          <w:strike/>
          <w:highlight w:val="lightGray"/>
          <w:lang w:val="es-ES_tradnl"/>
        </w:rPr>
        <w:t>y</w:t>
      </w:r>
      <w:r w:rsidRPr="006B6FA8">
        <w:rPr>
          <w:lang w:val="es-ES_tradnl"/>
        </w:rPr>
        <w:t xml:space="preserve"> 2007 </w:t>
      </w:r>
      <w:r w:rsidRPr="006B6FA8">
        <w:rPr>
          <w:highlight w:val="lightGray"/>
          <w:u w:val="single"/>
          <w:lang w:val="es-ES_tradnl"/>
        </w:rPr>
        <w:t>y 2015</w:t>
      </w:r>
      <w:r w:rsidRPr="006B6FA8">
        <w:rPr>
          <w:lang w:val="es-ES_tradnl"/>
        </w:rPr>
        <w:t xml:space="preserve">.  Además, desde 2005, el </w:t>
      </w:r>
      <w:proofErr w:type="spellStart"/>
      <w:r w:rsidRPr="006B6FA8">
        <w:rPr>
          <w:lang w:val="es-ES_tradnl"/>
        </w:rPr>
        <w:t>Flower</w:t>
      </w:r>
      <w:proofErr w:type="spellEnd"/>
      <w:r w:rsidRPr="006B6FA8">
        <w:rPr>
          <w:lang w:val="es-ES_tradnl"/>
        </w:rPr>
        <w:t xml:space="preserve"> Council </w:t>
      </w:r>
      <w:proofErr w:type="spellStart"/>
      <w:r w:rsidRPr="006B6FA8">
        <w:rPr>
          <w:lang w:val="es-ES_tradnl"/>
        </w:rPr>
        <w:t>Holland</w:t>
      </w:r>
      <w:proofErr w:type="spellEnd"/>
      <w:r w:rsidRPr="006B6FA8">
        <w:rPr>
          <w:lang w:val="es-ES_tradnl"/>
        </w:rPr>
        <w:t xml:space="preserve"> publica la </w:t>
      </w:r>
      <w:proofErr w:type="spellStart"/>
      <w:r w:rsidRPr="006B6FA8">
        <w:rPr>
          <w:lang w:val="es-ES_tradnl"/>
        </w:rPr>
        <w:t>minicarta</w:t>
      </w:r>
      <w:proofErr w:type="spellEnd"/>
      <w:r w:rsidRPr="006B6FA8">
        <w:rPr>
          <w:lang w:val="es-ES_tradnl"/>
        </w:rPr>
        <w:t xml:space="preserve"> de colores </w:t>
      </w:r>
      <w:proofErr w:type="spellStart"/>
      <w:r w:rsidRPr="006B6FA8">
        <w:rPr>
          <w:lang w:val="es-ES_tradnl"/>
        </w:rPr>
        <w:t>RHS</w:t>
      </w:r>
      <w:proofErr w:type="spellEnd"/>
      <w:r w:rsidRPr="006B6FA8">
        <w:rPr>
          <w:lang w:val="es-ES_tradnl"/>
        </w:rPr>
        <w:t xml:space="preserve"> (“</w:t>
      </w:r>
      <w:proofErr w:type="spellStart"/>
      <w:r w:rsidRPr="006B6FA8">
        <w:rPr>
          <w:lang w:val="es-ES_tradnl"/>
        </w:rPr>
        <w:t>RHS</w:t>
      </w:r>
      <w:proofErr w:type="spellEnd"/>
      <w:r w:rsidRPr="006B6FA8">
        <w:rPr>
          <w:lang w:val="es-ES_tradnl"/>
        </w:rPr>
        <w:t xml:space="preserve"> Mini </w:t>
      </w:r>
      <w:proofErr w:type="spellStart"/>
      <w:r w:rsidRPr="006B6FA8">
        <w:rPr>
          <w:lang w:val="es-ES_tradnl"/>
        </w:rPr>
        <w:t>Colour</w:t>
      </w:r>
      <w:proofErr w:type="spellEnd"/>
      <w:r w:rsidRPr="006B6FA8">
        <w:rPr>
          <w:lang w:val="es-ES_tradnl"/>
        </w:rPr>
        <w:t xml:space="preserve"> Chart”), que también es de uso frecuente entre los obtentores.  Asimismo, pueden resultar adecuadas otras cartas de colores.</w:t>
      </w:r>
    </w:p>
    <w:p w14:paraId="7872C61E" w14:textId="77777777" w:rsidR="006B6FA8" w:rsidRPr="006B6FA8" w:rsidRDefault="006B6FA8" w:rsidP="006B6FA8">
      <w:pPr>
        <w:ind w:right="-1"/>
        <w:rPr>
          <w:lang w:val="es-ES_tradnl"/>
        </w:rPr>
      </w:pPr>
    </w:p>
    <w:p w14:paraId="6627757E" w14:textId="77777777" w:rsidR="006B6FA8" w:rsidRPr="006B6FA8" w:rsidRDefault="006B6FA8" w:rsidP="006B6FA8">
      <w:pPr>
        <w:ind w:right="-1"/>
        <w:rPr>
          <w:lang w:val="es-ES_tradnl"/>
        </w:rPr>
      </w:pPr>
      <w:r w:rsidRPr="006B6FA8">
        <w:rPr>
          <w:lang w:val="es-ES_tradnl"/>
        </w:rPr>
        <w:t>[…]</w:t>
      </w:r>
    </w:p>
    <w:p w14:paraId="12D341B6" w14:textId="77777777" w:rsidR="006B6FA8" w:rsidRPr="006B6FA8" w:rsidRDefault="006B6FA8" w:rsidP="006B6FA8">
      <w:pPr>
        <w:ind w:right="-1"/>
        <w:rPr>
          <w:lang w:val="es-ES_tradnl"/>
        </w:rPr>
      </w:pPr>
    </w:p>
    <w:p w14:paraId="4D8C9BEA" w14:textId="77777777" w:rsidR="006B6FA8" w:rsidRPr="006B6FA8" w:rsidRDefault="006B6FA8" w:rsidP="006B6FA8">
      <w:pPr>
        <w:ind w:right="-1"/>
        <w:rPr>
          <w:lang w:val="es-ES_tradnl"/>
        </w:rPr>
      </w:pPr>
      <w:r w:rsidRPr="006B6FA8">
        <w:rPr>
          <w:lang w:val="es-ES_tradnl"/>
        </w:rPr>
        <w:t xml:space="preserve">Cuando se utilice la carta de colores RHS, en la descripción de las variedades debe indicarse el nombre del color </w:t>
      </w:r>
      <w:r w:rsidRPr="006B6FA8">
        <w:rPr>
          <w:highlight w:val="lightGray"/>
          <w:u w:val="single"/>
          <w:lang w:val="es-ES_tradnl"/>
        </w:rPr>
        <w:t>UPOV</w:t>
      </w:r>
      <w:r w:rsidRPr="006B6FA8">
        <w:rPr>
          <w:lang w:val="es-ES_tradnl"/>
        </w:rPr>
        <w:t xml:space="preserve"> y su número de referencia RHS, así como la edición de la carta.  </w:t>
      </w:r>
      <w:r w:rsidRPr="006B6FA8">
        <w:rPr>
          <w:strike/>
          <w:highlight w:val="lightGray"/>
          <w:lang w:val="es-ES_tradnl"/>
        </w:rPr>
        <w:t>El ANEXO del presente documento contiene una propuesta para la denominación de los colores.</w:t>
      </w:r>
      <w:r w:rsidRPr="006B6FA8">
        <w:rPr>
          <w:lang w:val="es-ES_tradnl"/>
        </w:rPr>
        <w:t xml:space="preserve">  </w:t>
      </w:r>
      <w:r w:rsidRPr="006B6FA8">
        <w:rPr>
          <w:highlight w:val="lightGray"/>
          <w:u w:val="single"/>
          <w:lang w:val="es-ES_tradnl"/>
        </w:rPr>
        <w:t>Los Anexos I y II de la Subsección 3 del presente documento contienen información sobre los nombres de colores UPOV.</w:t>
      </w:r>
    </w:p>
    <w:p w14:paraId="26462DB6" w14:textId="77777777" w:rsidR="006B6FA8" w:rsidRPr="006B6FA8" w:rsidRDefault="006B6FA8" w:rsidP="006B6FA8">
      <w:pPr>
        <w:ind w:right="-1"/>
        <w:rPr>
          <w:lang w:val="es-ES_tradnl"/>
        </w:rPr>
      </w:pPr>
    </w:p>
    <w:p w14:paraId="6D546074" w14:textId="77777777" w:rsidR="006B6FA8" w:rsidRPr="006B6FA8" w:rsidRDefault="006B6FA8" w:rsidP="006B6FA8">
      <w:pPr>
        <w:ind w:right="-1"/>
        <w:rPr>
          <w:lang w:val="es-ES_tradnl"/>
        </w:rPr>
      </w:pPr>
    </w:p>
    <w:p w14:paraId="59052AF7" w14:textId="77777777" w:rsidR="006B6FA8" w:rsidRPr="006B6FA8" w:rsidRDefault="006B6FA8" w:rsidP="006B6FA8">
      <w:pPr>
        <w:ind w:right="-1"/>
        <w:rPr>
          <w:lang w:val="es-ES_tradnl"/>
        </w:rPr>
      </w:pPr>
    </w:p>
    <w:p w14:paraId="364E2411" w14:textId="77777777" w:rsidR="006B6FA8" w:rsidRPr="006B6FA8" w:rsidRDefault="006B6FA8" w:rsidP="006B6FA8">
      <w:pPr>
        <w:jc w:val="left"/>
        <w:rPr>
          <w:u w:val="single"/>
        </w:rPr>
      </w:pPr>
      <w:r w:rsidRPr="006B6FA8">
        <w:rPr>
          <w:u w:val="single"/>
          <w:lang w:val="es-ES_tradnl"/>
        </w:rPr>
        <w:t xml:space="preserve">Extracto del documento TGP/14, Sección 2, Subsección 3: Color:  5.  </w:t>
      </w:r>
      <w:r w:rsidRPr="006B6FA8">
        <w:rPr>
          <w:u w:val="single"/>
        </w:rPr>
        <w:t>Bibliografía</w:t>
      </w:r>
    </w:p>
    <w:p w14:paraId="6ECA6DF3" w14:textId="77777777" w:rsidR="006B6FA8" w:rsidRPr="006B6FA8" w:rsidRDefault="006B6FA8" w:rsidP="006B6FA8"/>
    <w:p w14:paraId="66E8F1F2" w14:textId="77777777" w:rsidR="006B6FA8" w:rsidRPr="006B6FA8" w:rsidRDefault="006B6FA8" w:rsidP="006B6FA8">
      <w:pPr>
        <w:rPr>
          <w:color w:val="000000"/>
          <w:szCs w:val="24"/>
        </w:rPr>
      </w:pPr>
      <w:bookmarkStart w:id="105" w:name="_Toc41303186"/>
      <w:r w:rsidRPr="006B6FA8">
        <w:t>5.</w:t>
      </w:r>
      <w:r w:rsidRPr="006B6FA8">
        <w:tab/>
        <w:t>LITERATURE</w:t>
      </w:r>
      <w:bookmarkEnd w:id="105"/>
    </w:p>
    <w:p w14:paraId="1196B5B2" w14:textId="77777777" w:rsidR="006B6FA8" w:rsidRPr="006B6FA8" w:rsidRDefault="006B6FA8" w:rsidP="006B6FA8">
      <w:pPr>
        <w:rPr>
          <w:szCs w:val="24"/>
        </w:rPr>
      </w:pPr>
    </w:p>
    <w:p w14:paraId="5DC52CE7" w14:textId="03903B3E" w:rsidR="006B6FA8" w:rsidRPr="00300336" w:rsidRDefault="006B6FA8" w:rsidP="006B6FA8">
      <w:pPr>
        <w:outlineLvl w:val="0"/>
        <w:rPr>
          <w:szCs w:val="24"/>
          <w:lang w:val="en-US"/>
        </w:rPr>
      </w:pPr>
      <w:bookmarkStart w:id="106" w:name="_Toc311045808"/>
      <w:bookmarkStart w:id="107" w:name="_Toc52451063"/>
      <w:bookmarkStart w:id="108" w:name="_Toc52451145"/>
      <w:bookmarkStart w:id="109" w:name="_Toc52451494"/>
      <w:bookmarkStart w:id="110" w:name="_Toc52802630"/>
      <w:proofErr w:type="spellStart"/>
      <w:r w:rsidRPr="00300336">
        <w:rPr>
          <w:i/>
          <w:szCs w:val="24"/>
          <w:lang w:val="en-US"/>
        </w:rPr>
        <w:t>RHS</w:t>
      </w:r>
      <w:proofErr w:type="spellEnd"/>
      <w:r w:rsidRPr="00300336">
        <w:rPr>
          <w:i/>
          <w:szCs w:val="24"/>
          <w:lang w:val="en-US"/>
        </w:rPr>
        <w:t xml:space="preserve"> </w:t>
      </w:r>
      <w:proofErr w:type="spellStart"/>
      <w:r w:rsidRPr="00300336">
        <w:rPr>
          <w:i/>
          <w:szCs w:val="24"/>
          <w:lang w:val="en-US"/>
        </w:rPr>
        <w:t>Colour</w:t>
      </w:r>
      <w:proofErr w:type="spellEnd"/>
      <w:r w:rsidRPr="00300336">
        <w:rPr>
          <w:i/>
          <w:szCs w:val="24"/>
          <w:lang w:val="en-US"/>
        </w:rPr>
        <w:t xml:space="preserve"> Chart</w:t>
      </w:r>
      <w:r w:rsidRPr="00300336">
        <w:rPr>
          <w:szCs w:val="24"/>
          <w:lang w:val="en-US"/>
        </w:rPr>
        <w:t xml:space="preserve">, </w:t>
      </w:r>
      <w:r w:rsidRPr="00300336">
        <w:rPr>
          <w:strike/>
          <w:szCs w:val="24"/>
          <w:highlight w:val="lightGray"/>
          <w:lang w:val="en-US"/>
        </w:rPr>
        <w:t>2007</w:t>
      </w:r>
      <w:r w:rsidRPr="00300336">
        <w:rPr>
          <w:szCs w:val="24"/>
          <w:lang w:val="en-US"/>
        </w:rPr>
        <w:t xml:space="preserve"> </w:t>
      </w:r>
      <w:r w:rsidRPr="00300336">
        <w:rPr>
          <w:szCs w:val="24"/>
          <w:highlight w:val="lightGray"/>
          <w:u w:val="single"/>
          <w:lang w:val="en-US"/>
        </w:rPr>
        <w:t>2015</w:t>
      </w:r>
      <w:r w:rsidRPr="00300336">
        <w:rPr>
          <w:szCs w:val="24"/>
          <w:lang w:val="en-US"/>
        </w:rPr>
        <w:t xml:space="preserve">, </w:t>
      </w:r>
      <w:r w:rsidRPr="00300336">
        <w:rPr>
          <w:i/>
          <w:szCs w:val="24"/>
          <w:lang w:val="en-US"/>
        </w:rPr>
        <w:t>Royal Horticultural Society</w:t>
      </w:r>
      <w:r w:rsidRPr="00300336">
        <w:rPr>
          <w:szCs w:val="24"/>
          <w:lang w:val="en-US"/>
        </w:rPr>
        <w:t xml:space="preserve">, </w:t>
      </w:r>
      <w:proofErr w:type="spellStart"/>
      <w:r w:rsidRPr="00300336">
        <w:rPr>
          <w:szCs w:val="24"/>
          <w:lang w:val="en-US"/>
        </w:rPr>
        <w:t>Londres</w:t>
      </w:r>
      <w:bookmarkEnd w:id="106"/>
      <w:proofErr w:type="spellEnd"/>
      <w:r w:rsidRPr="00300336">
        <w:rPr>
          <w:szCs w:val="24"/>
          <w:lang w:val="en-US"/>
        </w:rPr>
        <w:t xml:space="preserve"> (Gran </w:t>
      </w:r>
      <w:proofErr w:type="spellStart"/>
      <w:r w:rsidRPr="00300336">
        <w:rPr>
          <w:szCs w:val="24"/>
          <w:lang w:val="en-US"/>
        </w:rPr>
        <w:t>Bretaña</w:t>
      </w:r>
      <w:proofErr w:type="spellEnd"/>
      <w:r w:rsidRPr="00300336">
        <w:rPr>
          <w:szCs w:val="24"/>
          <w:lang w:val="en-US"/>
        </w:rPr>
        <w:t>) (</w:t>
      </w:r>
      <w:hyperlink r:id="rId29" w:history="1">
        <w:r w:rsidRPr="00300336">
          <w:rPr>
            <w:color w:val="0000FF"/>
            <w:szCs w:val="24"/>
            <w:u w:val="single"/>
            <w:lang w:val="en-US"/>
          </w:rPr>
          <w:t>www.rhs.org.uk</w:t>
        </w:r>
      </w:hyperlink>
      <w:r w:rsidRPr="00300336">
        <w:rPr>
          <w:szCs w:val="24"/>
          <w:lang w:val="en-US"/>
        </w:rPr>
        <w:t>).</w:t>
      </w:r>
      <w:bookmarkEnd w:id="107"/>
      <w:bookmarkEnd w:id="108"/>
      <w:bookmarkEnd w:id="109"/>
      <w:bookmarkEnd w:id="110"/>
    </w:p>
    <w:p w14:paraId="70587F71" w14:textId="77777777" w:rsidR="006B6FA8" w:rsidRPr="00300336" w:rsidRDefault="006B6FA8" w:rsidP="006B6FA8">
      <w:pPr>
        <w:outlineLvl w:val="0"/>
        <w:rPr>
          <w:szCs w:val="24"/>
          <w:lang w:val="en-US"/>
        </w:rPr>
      </w:pPr>
    </w:p>
    <w:p w14:paraId="0E1E16FA" w14:textId="77777777" w:rsidR="006B6FA8" w:rsidRPr="00300336" w:rsidRDefault="006B6FA8" w:rsidP="006B6FA8">
      <w:pPr>
        <w:rPr>
          <w:lang w:val="en-US"/>
        </w:rPr>
      </w:pPr>
    </w:p>
    <w:p w14:paraId="3364314A" w14:textId="77777777" w:rsidR="006B6FA8" w:rsidRPr="00300336" w:rsidRDefault="006B6FA8" w:rsidP="006B6FA8">
      <w:pPr>
        <w:rPr>
          <w:lang w:val="en-US"/>
        </w:rPr>
      </w:pPr>
    </w:p>
    <w:p w14:paraId="25C3ADC4" w14:textId="77777777" w:rsidR="006B6FA8" w:rsidRPr="006B6FA8" w:rsidRDefault="006B6FA8" w:rsidP="006B6FA8">
      <w:pPr>
        <w:jc w:val="left"/>
        <w:rPr>
          <w:u w:val="single"/>
          <w:lang w:val="es-ES_tradnl"/>
        </w:rPr>
      </w:pPr>
      <w:r w:rsidRPr="006B6FA8">
        <w:rPr>
          <w:u w:val="single"/>
          <w:lang w:val="es-ES_tradnl"/>
        </w:rPr>
        <w:t>Extracto del documento TGP/14, Sección 2, Subsección 3: Color:  ANEXOS I Y II</w:t>
      </w:r>
    </w:p>
    <w:p w14:paraId="5EEDEF6C" w14:textId="77777777" w:rsidR="006B6FA8" w:rsidRPr="006B6FA8" w:rsidRDefault="006B6FA8" w:rsidP="006B6FA8">
      <w:pPr>
        <w:rPr>
          <w:lang w:val="es-ES_tradnl"/>
        </w:rPr>
      </w:pPr>
    </w:p>
    <w:p w14:paraId="6906FD6A" w14:textId="77777777" w:rsidR="006B6FA8" w:rsidRPr="006B6FA8" w:rsidRDefault="006B6FA8" w:rsidP="006B6FA8">
      <w:pPr>
        <w:keepNext/>
        <w:jc w:val="center"/>
        <w:outlineLvl w:val="1"/>
        <w:rPr>
          <w:u w:val="single"/>
          <w:lang w:val="es-ES_tradnl"/>
        </w:rPr>
      </w:pPr>
      <w:bookmarkStart w:id="111" w:name="_Toc41303187"/>
      <w:bookmarkStart w:id="112" w:name="_Toc52451064"/>
      <w:bookmarkStart w:id="113" w:name="_Toc52451146"/>
      <w:bookmarkStart w:id="114" w:name="_Toc52451495"/>
      <w:bookmarkStart w:id="115" w:name="_Toc52802631"/>
      <w:r w:rsidRPr="006B6FA8">
        <w:rPr>
          <w:u w:val="single"/>
          <w:lang w:val="es-ES_tradnl"/>
        </w:rPr>
        <w:t xml:space="preserve">ANEXO </w:t>
      </w:r>
      <w:r w:rsidRPr="006B6FA8">
        <w:rPr>
          <w:highlight w:val="lightGray"/>
          <w:u w:val="single"/>
          <w:lang w:val="es-ES_tradnl"/>
        </w:rPr>
        <w:t>I</w:t>
      </w:r>
      <w:r w:rsidRPr="006B6FA8">
        <w:rPr>
          <w:u w:val="single"/>
          <w:lang w:val="es-ES_tradnl"/>
        </w:rPr>
        <w:br/>
      </w:r>
      <w:r w:rsidRPr="006B6FA8">
        <w:rPr>
          <w:u w:val="single"/>
          <w:lang w:val="es-ES_tradnl"/>
        </w:rPr>
        <w:br/>
        <w:t xml:space="preserve">NOMBRES DE LOS COLORES </w:t>
      </w:r>
      <w:r w:rsidRPr="006B6FA8">
        <w:rPr>
          <w:highlight w:val="lightGray"/>
          <w:u w:val="single"/>
          <w:lang w:val="es-ES_tradnl"/>
        </w:rPr>
        <w:t>DE LA SEXTA EDICIÓN (2015)</w:t>
      </w:r>
      <w:r w:rsidRPr="006B6FA8">
        <w:rPr>
          <w:u w:val="single"/>
          <w:lang w:val="es-ES_tradnl"/>
        </w:rPr>
        <w:t xml:space="preserve"> DE LA CARTA DE COLORES RHS</w:t>
      </w:r>
      <w:bookmarkEnd w:id="111"/>
      <w:bookmarkEnd w:id="112"/>
      <w:bookmarkEnd w:id="113"/>
      <w:bookmarkEnd w:id="114"/>
      <w:bookmarkEnd w:id="115"/>
    </w:p>
    <w:p w14:paraId="4C34BD06" w14:textId="77777777" w:rsidR="006B6FA8" w:rsidRPr="006B6FA8" w:rsidRDefault="006B6FA8" w:rsidP="006B6FA8">
      <w:pPr>
        <w:jc w:val="center"/>
        <w:rPr>
          <w:lang w:val="es-ES_tradnl"/>
        </w:rPr>
      </w:pPr>
      <w:bookmarkStart w:id="116" w:name="_Toc153367638"/>
    </w:p>
    <w:p w14:paraId="1E447024" w14:textId="77777777" w:rsidR="006B6FA8" w:rsidRPr="006B6FA8" w:rsidRDefault="006B6FA8" w:rsidP="006B6FA8">
      <w:pPr>
        <w:jc w:val="center"/>
        <w:rPr>
          <w:lang w:val="es-ES_tradnl"/>
        </w:rPr>
      </w:pPr>
    </w:p>
    <w:p w14:paraId="428ECA34" w14:textId="77777777" w:rsidR="006B6FA8" w:rsidRPr="006B6FA8" w:rsidRDefault="006B6FA8" w:rsidP="006B6FA8">
      <w:pPr>
        <w:rPr>
          <w:lang w:val="es-ES_tradnl"/>
        </w:rPr>
      </w:pPr>
      <w:bookmarkStart w:id="117" w:name="_Toc237835588"/>
      <w:bookmarkStart w:id="118" w:name="_Toc260229575"/>
      <w:bookmarkStart w:id="119" w:name="_Toc285808907"/>
      <w:bookmarkStart w:id="120" w:name="_Toc288580710"/>
      <w:bookmarkStart w:id="121" w:name="_Toc311045812"/>
      <w:r w:rsidRPr="006B6FA8">
        <w:rPr>
          <w:lang w:val="es-ES_tradnl"/>
        </w:rPr>
        <w:t>1.</w:t>
      </w:r>
      <w:r w:rsidRPr="006B6FA8">
        <w:rPr>
          <w:lang w:val="es-ES_tradnl"/>
        </w:rPr>
        <w:tab/>
        <w:t>Introducción</w:t>
      </w:r>
      <w:bookmarkEnd w:id="116"/>
      <w:bookmarkEnd w:id="117"/>
      <w:bookmarkEnd w:id="118"/>
      <w:bookmarkEnd w:id="119"/>
      <w:bookmarkEnd w:id="120"/>
      <w:bookmarkEnd w:id="121"/>
    </w:p>
    <w:p w14:paraId="7AEFFE69" w14:textId="77777777" w:rsidR="006B6FA8" w:rsidRPr="006B6FA8" w:rsidRDefault="006B6FA8" w:rsidP="006B6FA8">
      <w:pPr>
        <w:rPr>
          <w:lang w:val="es-ES_tradnl"/>
        </w:rPr>
      </w:pPr>
    </w:p>
    <w:p w14:paraId="63FFF3F5" w14:textId="77777777" w:rsidR="006B6FA8" w:rsidRPr="006B6FA8" w:rsidRDefault="006B6FA8" w:rsidP="006B6FA8">
      <w:pPr>
        <w:tabs>
          <w:tab w:val="left" w:pos="567"/>
          <w:tab w:val="left" w:pos="1134"/>
        </w:tabs>
        <w:rPr>
          <w:lang w:val="es-ES_tradnl"/>
        </w:rPr>
      </w:pPr>
      <w:r w:rsidRPr="006B6FA8">
        <w:rPr>
          <w:lang w:val="es-ES_tradnl"/>
        </w:rPr>
        <w:t>1.1</w:t>
      </w:r>
      <w:r w:rsidRPr="006B6FA8">
        <w:rPr>
          <w:lang w:val="es-ES_tradnl"/>
        </w:rPr>
        <w:tab/>
        <w:t>Cuando se utilice la carta de colores RHS, en la descripción de las variedades debe indicarse el nombre del color y su número de referencia en la carta de colores RHS.  El presente documento tiene por objeto armonizar los nombres de los colores que figuran en las descripciones de las variedades.</w:t>
      </w:r>
    </w:p>
    <w:p w14:paraId="6D3EFAE8" w14:textId="70184EF5" w:rsidR="006B6FA8" w:rsidRDefault="006B6FA8">
      <w:pPr>
        <w:jc w:val="left"/>
        <w:rPr>
          <w:lang w:val="es-ES_tradnl"/>
        </w:rPr>
      </w:pPr>
      <w:r>
        <w:rPr>
          <w:lang w:val="es-ES_tradnl"/>
        </w:rPr>
        <w:br w:type="page"/>
      </w:r>
    </w:p>
    <w:p w14:paraId="242C8E9E" w14:textId="77777777" w:rsidR="006B6FA8" w:rsidRPr="006B6FA8" w:rsidRDefault="006B6FA8" w:rsidP="006B6FA8">
      <w:pPr>
        <w:rPr>
          <w:u w:val="single"/>
          <w:lang w:val="es-ES_tradnl"/>
        </w:rPr>
      </w:pPr>
      <w:r w:rsidRPr="006B6FA8">
        <w:rPr>
          <w:highlight w:val="lightGray"/>
          <w:u w:val="single"/>
          <w:lang w:val="es-ES_tradnl"/>
        </w:rPr>
        <w:lastRenderedPageBreak/>
        <w:t>1.2</w:t>
      </w:r>
      <w:r w:rsidRPr="006B6FA8">
        <w:rPr>
          <w:highlight w:val="lightGray"/>
          <w:u w:val="single"/>
          <w:lang w:val="es-ES_tradnl"/>
        </w:rPr>
        <w:tab/>
        <w:t>En el cuadro siguiente se ofrece una visión general de los “grupos” que figuran en la sexta edición de la carta de colores RHS:</w:t>
      </w:r>
    </w:p>
    <w:p w14:paraId="5C681272" w14:textId="77777777" w:rsidR="006B6FA8" w:rsidRPr="006B6FA8" w:rsidRDefault="006B6FA8" w:rsidP="006B6FA8">
      <w:pPr>
        <w:rPr>
          <w:u w:val="single"/>
          <w:lang w:val="es-ES_tradnl"/>
        </w:rPr>
      </w:pPr>
    </w:p>
    <w:tbl>
      <w:tblPr>
        <w:tblW w:w="0" w:type="auto"/>
        <w:tblInd w:w="675" w:type="dxa"/>
        <w:tblLayout w:type="fixed"/>
        <w:tblLook w:val="04A0" w:firstRow="1" w:lastRow="0" w:firstColumn="1" w:lastColumn="0" w:noHBand="0" w:noVBand="1"/>
      </w:tblPr>
      <w:tblGrid>
        <w:gridCol w:w="709"/>
        <w:gridCol w:w="2410"/>
        <w:gridCol w:w="1134"/>
        <w:gridCol w:w="1276"/>
        <w:gridCol w:w="3118"/>
      </w:tblGrid>
      <w:tr w:rsidR="006B6FA8" w:rsidRPr="006B6FA8" w14:paraId="2D92BC82" w14:textId="77777777" w:rsidTr="00D60821">
        <w:trPr>
          <w:tblHeader/>
        </w:trPr>
        <w:tc>
          <w:tcPr>
            <w:tcW w:w="709" w:type="dxa"/>
            <w:tcBorders>
              <w:bottom w:val="single" w:sz="4" w:space="0" w:color="auto"/>
            </w:tcBorders>
            <w:shd w:val="clear" w:color="auto" w:fill="auto"/>
            <w:textDirection w:val="btLr"/>
          </w:tcPr>
          <w:p w14:paraId="1F989175" w14:textId="77777777" w:rsidR="006B6FA8" w:rsidRPr="006B6FA8" w:rsidRDefault="006B6FA8" w:rsidP="006B6FA8">
            <w:pPr>
              <w:ind w:left="113" w:right="113"/>
              <w:jc w:val="left"/>
              <w:rPr>
                <w:sz w:val="18"/>
                <w:u w:val="single"/>
                <w:lang w:val="es-ES_tradnl"/>
              </w:rPr>
            </w:pPr>
          </w:p>
          <w:p w14:paraId="3B10FA83" w14:textId="77777777" w:rsidR="006B6FA8" w:rsidRPr="006B6FA8" w:rsidRDefault="006B6FA8" w:rsidP="006B6FA8">
            <w:pPr>
              <w:ind w:left="113" w:right="113"/>
              <w:jc w:val="left"/>
              <w:rPr>
                <w:sz w:val="18"/>
                <w:u w:val="single"/>
                <w:lang w:val="es-ES_tradnl"/>
              </w:rPr>
            </w:pPr>
          </w:p>
          <w:p w14:paraId="15675899" w14:textId="77777777" w:rsidR="006B6FA8" w:rsidRPr="006B6FA8" w:rsidRDefault="006B6FA8" w:rsidP="006B6FA8">
            <w:pPr>
              <w:ind w:left="113" w:right="113"/>
              <w:jc w:val="left"/>
              <w:rPr>
                <w:sz w:val="18"/>
                <w:u w:val="single"/>
                <w:lang w:val="es-ES_tradnl"/>
              </w:rPr>
            </w:pPr>
          </w:p>
          <w:p w14:paraId="38BE935D" w14:textId="77777777" w:rsidR="006B6FA8" w:rsidRPr="006B6FA8" w:rsidRDefault="006B6FA8" w:rsidP="006B6FA8">
            <w:pPr>
              <w:ind w:left="113" w:right="113"/>
              <w:jc w:val="center"/>
              <w:rPr>
                <w:sz w:val="18"/>
                <w:u w:val="single"/>
                <w:lang w:val="es-ES_tradnl"/>
              </w:rPr>
            </w:pPr>
          </w:p>
          <w:p w14:paraId="02282FF4" w14:textId="77777777" w:rsidR="006B6FA8" w:rsidRPr="006B6FA8" w:rsidRDefault="006B6FA8" w:rsidP="006B6FA8">
            <w:pPr>
              <w:ind w:left="113" w:right="113"/>
              <w:jc w:val="center"/>
              <w:rPr>
                <w:sz w:val="18"/>
                <w:u w:val="single"/>
                <w:lang w:val="es-ES_tradnl"/>
              </w:rPr>
            </w:pPr>
          </w:p>
          <w:p w14:paraId="5AC45CF6" w14:textId="77777777" w:rsidR="006B6FA8" w:rsidRPr="006B6FA8" w:rsidRDefault="006B6FA8" w:rsidP="006B6FA8">
            <w:pPr>
              <w:ind w:left="113" w:right="113"/>
              <w:jc w:val="center"/>
              <w:rPr>
                <w:sz w:val="18"/>
                <w:u w:val="single"/>
                <w:lang w:val="es-ES_tradnl"/>
              </w:rPr>
            </w:pPr>
          </w:p>
          <w:p w14:paraId="3A2F217C" w14:textId="77777777" w:rsidR="006B6FA8" w:rsidRPr="006B6FA8" w:rsidRDefault="006B6FA8" w:rsidP="006B6FA8">
            <w:pPr>
              <w:ind w:left="113" w:right="113"/>
              <w:jc w:val="center"/>
              <w:rPr>
                <w:sz w:val="18"/>
                <w:u w:val="single"/>
                <w:lang w:val="es-ES_tradnl"/>
              </w:rPr>
            </w:pPr>
          </w:p>
        </w:tc>
        <w:tc>
          <w:tcPr>
            <w:tcW w:w="2410" w:type="dxa"/>
            <w:tcBorders>
              <w:bottom w:val="single" w:sz="4" w:space="0" w:color="auto"/>
            </w:tcBorders>
            <w:shd w:val="clear" w:color="auto" w:fill="auto"/>
          </w:tcPr>
          <w:p w14:paraId="3D2473E7" w14:textId="77777777" w:rsidR="006B6FA8" w:rsidRPr="006B6FA8" w:rsidRDefault="006B6FA8" w:rsidP="006B6FA8">
            <w:pPr>
              <w:jc w:val="left"/>
              <w:rPr>
                <w:sz w:val="18"/>
                <w:u w:val="single"/>
                <w:lang w:val="es-ES_tradnl"/>
              </w:rPr>
            </w:pPr>
          </w:p>
        </w:tc>
        <w:tc>
          <w:tcPr>
            <w:tcW w:w="1134" w:type="dxa"/>
            <w:tcBorders>
              <w:bottom w:val="single" w:sz="4" w:space="0" w:color="auto"/>
            </w:tcBorders>
            <w:shd w:val="clear" w:color="auto" w:fill="auto"/>
            <w:vAlign w:val="center"/>
          </w:tcPr>
          <w:p w14:paraId="3A7F474D" w14:textId="77777777" w:rsidR="006B6FA8" w:rsidRPr="006B6FA8" w:rsidRDefault="006B6FA8" w:rsidP="006B6FA8">
            <w:pPr>
              <w:jc w:val="center"/>
              <w:rPr>
                <w:sz w:val="18"/>
                <w:highlight w:val="lightGray"/>
                <w:u w:val="single"/>
                <w:lang w:val="pt-PT"/>
              </w:rPr>
            </w:pPr>
            <w:r w:rsidRPr="006B6FA8">
              <w:rPr>
                <w:sz w:val="18"/>
                <w:highlight w:val="lightGray"/>
                <w:u w:val="single"/>
                <w:lang w:val="pt-PT"/>
              </w:rPr>
              <w:t>Número de entradas o grupos</w:t>
            </w:r>
          </w:p>
        </w:tc>
        <w:tc>
          <w:tcPr>
            <w:tcW w:w="1276" w:type="dxa"/>
            <w:tcBorders>
              <w:bottom w:val="single" w:sz="4" w:space="0" w:color="auto"/>
            </w:tcBorders>
            <w:shd w:val="clear" w:color="auto" w:fill="auto"/>
            <w:vAlign w:val="center"/>
          </w:tcPr>
          <w:p w14:paraId="3FDF1B68" w14:textId="77777777" w:rsidR="006B6FA8" w:rsidRPr="006B6FA8" w:rsidRDefault="006B6FA8" w:rsidP="006B6FA8">
            <w:pPr>
              <w:jc w:val="center"/>
              <w:rPr>
                <w:sz w:val="18"/>
                <w:highlight w:val="lightGray"/>
                <w:u w:val="single"/>
                <w:lang w:val="es-ES_tradnl"/>
              </w:rPr>
            </w:pPr>
            <w:r w:rsidRPr="006B6FA8">
              <w:rPr>
                <w:sz w:val="18"/>
                <w:highlight w:val="lightGray"/>
                <w:u w:val="single"/>
                <w:lang w:val="es-ES_tradnl"/>
              </w:rPr>
              <w:t>Ejemplo</w:t>
            </w:r>
          </w:p>
        </w:tc>
        <w:tc>
          <w:tcPr>
            <w:tcW w:w="3118" w:type="dxa"/>
            <w:tcBorders>
              <w:bottom w:val="single" w:sz="4" w:space="0" w:color="auto"/>
            </w:tcBorders>
            <w:shd w:val="clear" w:color="auto" w:fill="auto"/>
          </w:tcPr>
          <w:p w14:paraId="6D2B34BA" w14:textId="77777777" w:rsidR="006B6FA8" w:rsidRPr="006B6FA8" w:rsidRDefault="006B6FA8" w:rsidP="006B6FA8">
            <w:pPr>
              <w:jc w:val="center"/>
              <w:rPr>
                <w:sz w:val="18"/>
                <w:highlight w:val="lightGray"/>
                <w:u w:val="single"/>
                <w:lang w:val="es-ES_tradnl"/>
              </w:rPr>
            </w:pPr>
            <w:r w:rsidRPr="006B6FA8">
              <w:rPr>
                <w:sz w:val="18"/>
                <w:highlight w:val="lightGray"/>
                <w:u w:val="single"/>
                <w:lang w:val="es-ES_tradnl"/>
              </w:rPr>
              <w:t>Uso</w:t>
            </w:r>
          </w:p>
        </w:tc>
      </w:tr>
      <w:tr w:rsidR="006B6FA8" w:rsidRPr="006B6FA8" w14:paraId="0CDF0028" w14:textId="77777777" w:rsidTr="00D60821">
        <w:tc>
          <w:tcPr>
            <w:tcW w:w="709" w:type="dxa"/>
            <w:vMerge w:val="restart"/>
            <w:tcBorders>
              <w:top w:val="single" w:sz="4" w:space="0" w:color="auto"/>
            </w:tcBorders>
            <w:shd w:val="clear" w:color="auto" w:fill="auto"/>
            <w:textDirection w:val="btLr"/>
          </w:tcPr>
          <w:p w14:paraId="7156814B" w14:textId="77777777" w:rsidR="006B6FA8" w:rsidRPr="006B6FA8" w:rsidRDefault="006B6FA8" w:rsidP="006B6FA8">
            <w:pPr>
              <w:ind w:left="113" w:right="113"/>
              <w:jc w:val="center"/>
              <w:rPr>
                <w:sz w:val="18"/>
                <w:highlight w:val="lightGray"/>
                <w:u w:val="single"/>
                <w:lang w:val="es-ES_tradnl"/>
              </w:rPr>
            </w:pPr>
            <w:r w:rsidRPr="006B6FA8">
              <w:rPr>
                <w:sz w:val="18"/>
                <w:highlight w:val="lightGray"/>
                <w:u w:val="single"/>
                <w:lang w:val="es-ES_tradnl"/>
              </w:rPr>
              <w:t>nivel de precisión</w:t>
            </w:r>
          </w:p>
          <w:p w14:paraId="1EAB11AF" w14:textId="77777777" w:rsidR="006B6FA8" w:rsidRPr="006B6FA8" w:rsidRDefault="006B6FA8" w:rsidP="006B6FA8">
            <w:pPr>
              <w:ind w:left="113" w:right="113"/>
              <w:jc w:val="center"/>
              <w:rPr>
                <w:sz w:val="18"/>
                <w:highlight w:val="lightGray"/>
                <w:u w:val="single"/>
                <w:lang w:val="es-ES_tradnl"/>
              </w:rPr>
            </w:pPr>
            <w:r w:rsidRPr="006B6FA8">
              <w:rPr>
                <w:sz w:val="18"/>
                <w:highlight w:val="lightGray"/>
                <w:u w:val="single"/>
                <w:lang w:val="es-ES_tradnl"/>
              </w:rPr>
              <w:t>bajo                      alto</w:t>
            </w:r>
          </w:p>
        </w:tc>
        <w:tc>
          <w:tcPr>
            <w:tcW w:w="2410" w:type="dxa"/>
            <w:tcBorders>
              <w:top w:val="single" w:sz="4" w:space="0" w:color="auto"/>
            </w:tcBorders>
            <w:shd w:val="clear" w:color="auto" w:fill="auto"/>
            <w:vAlign w:val="center"/>
          </w:tcPr>
          <w:p w14:paraId="23D22EBB" w14:textId="77777777" w:rsidR="006B6FA8" w:rsidRPr="006B6FA8" w:rsidRDefault="006B6FA8" w:rsidP="006B6FA8">
            <w:pPr>
              <w:spacing w:before="120"/>
              <w:jc w:val="left"/>
              <w:rPr>
                <w:sz w:val="18"/>
                <w:highlight w:val="lightGray"/>
                <w:u w:val="single"/>
                <w:lang w:val="es-ES_tradnl"/>
              </w:rPr>
            </w:pPr>
            <w:r w:rsidRPr="006B6FA8">
              <w:rPr>
                <w:sz w:val="18"/>
                <w:highlight w:val="lightGray"/>
                <w:u w:val="single"/>
                <w:lang w:val="es-ES_tradnl"/>
              </w:rPr>
              <w:t>N.º de la carta de colores RHS</w:t>
            </w:r>
          </w:p>
        </w:tc>
        <w:tc>
          <w:tcPr>
            <w:tcW w:w="1134" w:type="dxa"/>
            <w:tcBorders>
              <w:top w:val="single" w:sz="4" w:space="0" w:color="auto"/>
            </w:tcBorders>
            <w:shd w:val="clear" w:color="auto" w:fill="auto"/>
            <w:vAlign w:val="center"/>
          </w:tcPr>
          <w:p w14:paraId="515792B3" w14:textId="77777777" w:rsidR="006B6FA8" w:rsidRPr="006B6FA8" w:rsidRDefault="006B6FA8" w:rsidP="006B6FA8">
            <w:pPr>
              <w:spacing w:before="120"/>
              <w:jc w:val="center"/>
              <w:rPr>
                <w:sz w:val="18"/>
                <w:highlight w:val="lightGray"/>
                <w:u w:val="single"/>
                <w:lang w:val="es-ES_tradnl"/>
              </w:rPr>
            </w:pPr>
            <w:r w:rsidRPr="006B6FA8">
              <w:rPr>
                <w:sz w:val="18"/>
                <w:highlight w:val="lightGray"/>
                <w:u w:val="single"/>
                <w:lang w:val="es-ES_tradnl"/>
              </w:rPr>
              <w:t>920</w:t>
            </w:r>
          </w:p>
        </w:tc>
        <w:tc>
          <w:tcPr>
            <w:tcW w:w="1276" w:type="dxa"/>
            <w:tcBorders>
              <w:top w:val="single" w:sz="4" w:space="0" w:color="auto"/>
            </w:tcBorders>
            <w:shd w:val="clear" w:color="auto" w:fill="auto"/>
            <w:vAlign w:val="center"/>
          </w:tcPr>
          <w:p w14:paraId="27A3C3E8" w14:textId="77777777" w:rsidR="006B6FA8" w:rsidRPr="006B6FA8" w:rsidRDefault="006B6FA8" w:rsidP="006B6FA8">
            <w:pPr>
              <w:spacing w:before="120"/>
              <w:jc w:val="center"/>
              <w:rPr>
                <w:sz w:val="18"/>
                <w:highlight w:val="lightGray"/>
                <w:u w:val="single"/>
                <w:lang w:val="es-ES_tradnl"/>
              </w:rPr>
            </w:pPr>
            <w:r w:rsidRPr="006B6FA8">
              <w:rPr>
                <w:sz w:val="18"/>
                <w:highlight w:val="lightGray"/>
                <w:u w:val="single"/>
                <w:lang w:val="es-ES_tradnl"/>
              </w:rPr>
              <w:t>49A</w:t>
            </w:r>
          </w:p>
        </w:tc>
        <w:tc>
          <w:tcPr>
            <w:tcW w:w="3118" w:type="dxa"/>
            <w:tcBorders>
              <w:top w:val="single" w:sz="4" w:space="0" w:color="auto"/>
            </w:tcBorders>
            <w:shd w:val="clear" w:color="auto" w:fill="auto"/>
            <w:vAlign w:val="center"/>
          </w:tcPr>
          <w:p w14:paraId="509F5DD1" w14:textId="77777777" w:rsidR="006B6FA8" w:rsidRPr="006B6FA8" w:rsidRDefault="006B6FA8" w:rsidP="006B6FA8">
            <w:pPr>
              <w:spacing w:before="120"/>
              <w:jc w:val="left"/>
              <w:rPr>
                <w:sz w:val="18"/>
                <w:highlight w:val="lightGray"/>
                <w:u w:val="single"/>
                <w:lang w:val="es-ES_tradnl"/>
              </w:rPr>
            </w:pPr>
            <w:r w:rsidRPr="006B6FA8">
              <w:rPr>
                <w:sz w:val="18"/>
                <w:highlight w:val="lightGray"/>
                <w:u w:val="single"/>
                <w:lang w:val="es-ES_tradnl"/>
              </w:rPr>
              <w:t>Se utiliza para describir con precisión los colores de partes de plantas.</w:t>
            </w:r>
          </w:p>
        </w:tc>
      </w:tr>
      <w:tr w:rsidR="006B6FA8" w:rsidRPr="006B6FA8" w14:paraId="029E46DE" w14:textId="77777777" w:rsidTr="00D60821">
        <w:trPr>
          <w:trHeight w:val="350"/>
        </w:trPr>
        <w:tc>
          <w:tcPr>
            <w:tcW w:w="709" w:type="dxa"/>
            <w:vMerge/>
            <w:shd w:val="clear" w:color="auto" w:fill="auto"/>
            <w:vAlign w:val="center"/>
          </w:tcPr>
          <w:p w14:paraId="6215C137" w14:textId="77777777" w:rsidR="006B6FA8" w:rsidRPr="006B6FA8" w:rsidRDefault="006B6FA8" w:rsidP="006B6FA8">
            <w:pPr>
              <w:jc w:val="center"/>
              <w:rPr>
                <w:sz w:val="18"/>
                <w:highlight w:val="lightGray"/>
                <w:u w:val="single"/>
                <w:lang w:val="es-ES_tradnl"/>
              </w:rPr>
            </w:pPr>
          </w:p>
        </w:tc>
        <w:tc>
          <w:tcPr>
            <w:tcW w:w="2410" w:type="dxa"/>
            <w:shd w:val="clear" w:color="auto" w:fill="auto"/>
            <w:vAlign w:val="center"/>
          </w:tcPr>
          <w:p w14:paraId="77A24E24" w14:textId="77777777" w:rsidR="006B6FA8" w:rsidRPr="006B6FA8" w:rsidRDefault="006B6FA8" w:rsidP="006B6FA8">
            <w:pPr>
              <w:spacing w:before="120"/>
              <w:jc w:val="left"/>
              <w:rPr>
                <w:sz w:val="18"/>
                <w:highlight w:val="lightGray"/>
                <w:u w:val="single"/>
                <w:lang w:val="es-ES_tradnl"/>
              </w:rPr>
            </w:pPr>
            <w:r w:rsidRPr="006B6FA8">
              <w:rPr>
                <w:sz w:val="18"/>
                <w:highlight w:val="lightGray"/>
                <w:u w:val="single"/>
                <w:lang w:val="es-ES_tradnl"/>
              </w:rPr>
              <w:t>Nombre del color RHS</w:t>
            </w:r>
          </w:p>
        </w:tc>
        <w:tc>
          <w:tcPr>
            <w:tcW w:w="1134" w:type="dxa"/>
            <w:shd w:val="clear" w:color="auto" w:fill="auto"/>
            <w:vAlign w:val="center"/>
          </w:tcPr>
          <w:p w14:paraId="289CC240" w14:textId="77777777" w:rsidR="006B6FA8" w:rsidRPr="006B6FA8" w:rsidRDefault="006B6FA8" w:rsidP="006B6FA8">
            <w:pPr>
              <w:spacing w:before="120"/>
              <w:jc w:val="center"/>
              <w:rPr>
                <w:sz w:val="18"/>
                <w:highlight w:val="lightGray"/>
                <w:u w:val="single"/>
                <w:lang w:val="es-ES_tradnl"/>
              </w:rPr>
            </w:pPr>
            <w:r w:rsidRPr="006B6FA8">
              <w:rPr>
                <w:sz w:val="18"/>
                <w:highlight w:val="lightGray"/>
                <w:u w:val="single"/>
                <w:lang w:val="es-ES_tradnl"/>
              </w:rPr>
              <w:t>190</w:t>
            </w:r>
          </w:p>
        </w:tc>
        <w:tc>
          <w:tcPr>
            <w:tcW w:w="1276" w:type="dxa"/>
            <w:shd w:val="clear" w:color="auto" w:fill="auto"/>
            <w:vAlign w:val="center"/>
          </w:tcPr>
          <w:p w14:paraId="20D4DECE" w14:textId="77777777" w:rsidR="006B6FA8" w:rsidRPr="006B6FA8" w:rsidRDefault="006B6FA8" w:rsidP="006B6FA8">
            <w:pPr>
              <w:spacing w:before="120"/>
              <w:jc w:val="center"/>
              <w:rPr>
                <w:sz w:val="18"/>
                <w:highlight w:val="lightGray"/>
                <w:u w:val="single"/>
                <w:lang w:val="es-ES_tradnl"/>
              </w:rPr>
            </w:pPr>
            <w:r w:rsidRPr="006B6FA8">
              <w:rPr>
                <w:sz w:val="18"/>
                <w:highlight w:val="lightGray"/>
                <w:u w:val="single"/>
                <w:lang w:val="es-ES_tradnl"/>
              </w:rPr>
              <w:t>rosa fuerte</w:t>
            </w:r>
          </w:p>
        </w:tc>
        <w:tc>
          <w:tcPr>
            <w:tcW w:w="3118" w:type="dxa"/>
            <w:shd w:val="clear" w:color="auto" w:fill="auto"/>
            <w:vAlign w:val="center"/>
          </w:tcPr>
          <w:p w14:paraId="2174383D" w14:textId="77777777" w:rsidR="006B6FA8" w:rsidRPr="006B6FA8" w:rsidRDefault="006B6FA8" w:rsidP="006B6FA8">
            <w:pPr>
              <w:spacing w:before="120"/>
              <w:jc w:val="left"/>
              <w:rPr>
                <w:sz w:val="18"/>
                <w:highlight w:val="lightGray"/>
                <w:u w:val="single"/>
                <w:lang w:val="es-ES_tradnl"/>
              </w:rPr>
            </w:pPr>
            <w:r w:rsidRPr="006B6FA8">
              <w:rPr>
                <w:sz w:val="18"/>
                <w:highlight w:val="lightGray"/>
                <w:u w:val="single"/>
                <w:lang w:val="es-ES_tradnl"/>
              </w:rPr>
              <w:t>No se utiliza a los efectos de la UPOV.</w:t>
            </w:r>
          </w:p>
        </w:tc>
      </w:tr>
      <w:tr w:rsidR="006B6FA8" w:rsidRPr="006B6FA8" w14:paraId="5736B1ED" w14:textId="77777777" w:rsidTr="00D60821">
        <w:tc>
          <w:tcPr>
            <w:tcW w:w="709" w:type="dxa"/>
            <w:vMerge/>
            <w:shd w:val="clear" w:color="auto" w:fill="auto"/>
            <w:vAlign w:val="center"/>
          </w:tcPr>
          <w:p w14:paraId="0D1169CD" w14:textId="77777777" w:rsidR="006B6FA8" w:rsidRPr="006B6FA8" w:rsidRDefault="006B6FA8" w:rsidP="006B6FA8">
            <w:pPr>
              <w:jc w:val="center"/>
              <w:rPr>
                <w:sz w:val="18"/>
                <w:highlight w:val="lightGray"/>
                <w:u w:val="single"/>
                <w:lang w:val="es-ES_tradnl"/>
              </w:rPr>
            </w:pPr>
          </w:p>
        </w:tc>
        <w:tc>
          <w:tcPr>
            <w:tcW w:w="2410" w:type="dxa"/>
            <w:shd w:val="clear" w:color="auto" w:fill="auto"/>
            <w:vAlign w:val="center"/>
          </w:tcPr>
          <w:p w14:paraId="701484F6" w14:textId="77777777" w:rsidR="006B6FA8" w:rsidRPr="006B6FA8" w:rsidRDefault="006B6FA8" w:rsidP="006B6FA8">
            <w:pPr>
              <w:jc w:val="left"/>
              <w:rPr>
                <w:sz w:val="18"/>
                <w:highlight w:val="lightGray"/>
                <w:u w:val="single"/>
                <w:lang w:val="es-ES_tradnl"/>
              </w:rPr>
            </w:pPr>
            <w:r w:rsidRPr="006B6FA8">
              <w:rPr>
                <w:sz w:val="18"/>
                <w:highlight w:val="lightGray"/>
                <w:u w:val="single"/>
                <w:lang w:val="es-ES_tradnl"/>
              </w:rPr>
              <w:t>Nombre del color UPOV</w:t>
            </w:r>
          </w:p>
        </w:tc>
        <w:tc>
          <w:tcPr>
            <w:tcW w:w="1134" w:type="dxa"/>
            <w:shd w:val="clear" w:color="auto" w:fill="auto"/>
            <w:vAlign w:val="center"/>
          </w:tcPr>
          <w:p w14:paraId="5E3DB7A2" w14:textId="77777777" w:rsidR="006B6FA8" w:rsidRPr="006B6FA8" w:rsidRDefault="006B6FA8" w:rsidP="006B6FA8">
            <w:pPr>
              <w:jc w:val="center"/>
              <w:rPr>
                <w:sz w:val="18"/>
                <w:highlight w:val="lightGray"/>
                <w:u w:val="single"/>
                <w:lang w:val="es-ES_tradnl"/>
              </w:rPr>
            </w:pPr>
            <w:r w:rsidRPr="006B6FA8">
              <w:rPr>
                <w:sz w:val="18"/>
                <w:highlight w:val="lightGray"/>
                <w:u w:val="single"/>
                <w:lang w:val="es-ES_tradnl"/>
              </w:rPr>
              <w:t>73</w:t>
            </w:r>
          </w:p>
        </w:tc>
        <w:tc>
          <w:tcPr>
            <w:tcW w:w="1276" w:type="dxa"/>
            <w:shd w:val="clear" w:color="auto" w:fill="auto"/>
            <w:vAlign w:val="center"/>
          </w:tcPr>
          <w:p w14:paraId="00BAB086" w14:textId="77777777" w:rsidR="006B6FA8" w:rsidRPr="006B6FA8" w:rsidRDefault="006B6FA8" w:rsidP="006B6FA8">
            <w:pPr>
              <w:jc w:val="center"/>
              <w:rPr>
                <w:sz w:val="18"/>
                <w:highlight w:val="lightGray"/>
                <w:u w:val="single"/>
                <w:lang w:val="es-ES_tradnl"/>
              </w:rPr>
            </w:pPr>
            <w:r w:rsidRPr="006B6FA8">
              <w:rPr>
                <w:sz w:val="18"/>
                <w:highlight w:val="lightGray"/>
                <w:u w:val="single"/>
                <w:lang w:val="es-ES_tradnl"/>
              </w:rPr>
              <w:t>rosa</w:t>
            </w:r>
            <w:r w:rsidRPr="006B6FA8">
              <w:rPr>
                <w:sz w:val="18"/>
                <w:highlight w:val="lightGray"/>
                <w:u w:val="single"/>
                <w:lang w:val="es-ES_tradnl"/>
              </w:rPr>
              <w:br/>
            </w:r>
            <w:r w:rsidRPr="006B6FA8">
              <w:rPr>
                <w:sz w:val="18"/>
                <w:szCs w:val="16"/>
                <w:highlight w:val="lightGray"/>
                <w:u w:val="single"/>
                <w:lang w:val="es-ES_tradnl"/>
              </w:rPr>
              <w:t>(grupo 29)</w:t>
            </w:r>
          </w:p>
        </w:tc>
        <w:tc>
          <w:tcPr>
            <w:tcW w:w="3118" w:type="dxa"/>
            <w:shd w:val="clear" w:color="auto" w:fill="auto"/>
            <w:vAlign w:val="center"/>
          </w:tcPr>
          <w:p w14:paraId="1512C306" w14:textId="77777777" w:rsidR="006B6FA8" w:rsidRPr="006B6FA8" w:rsidRDefault="006B6FA8" w:rsidP="006B6FA8">
            <w:pPr>
              <w:jc w:val="left"/>
              <w:rPr>
                <w:sz w:val="18"/>
                <w:highlight w:val="lightGray"/>
                <w:u w:val="single"/>
                <w:lang w:val="es-ES_tradnl"/>
              </w:rPr>
            </w:pPr>
          </w:p>
          <w:p w14:paraId="0BD07575" w14:textId="77777777" w:rsidR="006B6FA8" w:rsidRPr="006B6FA8" w:rsidRDefault="006B6FA8" w:rsidP="006B6FA8">
            <w:pPr>
              <w:jc w:val="left"/>
              <w:rPr>
                <w:sz w:val="18"/>
                <w:highlight w:val="lightGray"/>
                <w:u w:val="single"/>
                <w:lang w:val="es-ES_tradnl"/>
              </w:rPr>
            </w:pPr>
            <w:r w:rsidRPr="006B6FA8">
              <w:rPr>
                <w:sz w:val="18"/>
                <w:highlight w:val="lightGray"/>
                <w:u w:val="single"/>
                <w:lang w:val="es-ES_tradnl"/>
              </w:rPr>
              <w:t xml:space="preserve">Se utiliza en la descripción de una variedad para determinar el nombre de color que corresponde al número de la carta de colores RHS. </w:t>
            </w:r>
          </w:p>
        </w:tc>
      </w:tr>
      <w:tr w:rsidR="006B6FA8" w:rsidRPr="006B6FA8" w14:paraId="74FA21A8" w14:textId="77777777" w:rsidTr="00D60821">
        <w:tc>
          <w:tcPr>
            <w:tcW w:w="709" w:type="dxa"/>
            <w:vMerge/>
            <w:shd w:val="clear" w:color="auto" w:fill="auto"/>
            <w:vAlign w:val="center"/>
          </w:tcPr>
          <w:p w14:paraId="6854BDEE" w14:textId="77777777" w:rsidR="006B6FA8" w:rsidRPr="006B6FA8" w:rsidRDefault="006B6FA8" w:rsidP="006B6FA8">
            <w:pPr>
              <w:jc w:val="center"/>
              <w:rPr>
                <w:sz w:val="18"/>
                <w:highlight w:val="lightGray"/>
                <w:u w:val="single"/>
                <w:lang w:val="es-ES_tradnl"/>
              </w:rPr>
            </w:pPr>
          </w:p>
        </w:tc>
        <w:tc>
          <w:tcPr>
            <w:tcW w:w="2410" w:type="dxa"/>
            <w:shd w:val="clear" w:color="auto" w:fill="auto"/>
            <w:vAlign w:val="center"/>
          </w:tcPr>
          <w:p w14:paraId="16073A1E" w14:textId="77777777" w:rsidR="006B6FA8" w:rsidRPr="006B6FA8" w:rsidRDefault="006B6FA8" w:rsidP="006B6FA8">
            <w:pPr>
              <w:spacing w:before="120"/>
              <w:jc w:val="left"/>
              <w:rPr>
                <w:sz w:val="18"/>
                <w:highlight w:val="lightGray"/>
                <w:u w:val="single"/>
                <w:lang w:val="es-ES_tradnl"/>
              </w:rPr>
            </w:pPr>
            <w:r w:rsidRPr="006B6FA8">
              <w:rPr>
                <w:sz w:val="18"/>
                <w:highlight w:val="lightGray"/>
                <w:u w:val="single"/>
                <w:lang w:val="es-ES_tradnl"/>
              </w:rPr>
              <w:t>Grupo de color RHS</w:t>
            </w:r>
            <w:r w:rsidRPr="006B6FA8">
              <w:rPr>
                <w:sz w:val="18"/>
                <w:highlight w:val="lightGray"/>
                <w:u w:val="single"/>
                <w:lang w:val="es-ES_tradnl"/>
              </w:rPr>
              <w:br/>
              <w:t>(encabezamiento de cada página)</w:t>
            </w:r>
          </w:p>
        </w:tc>
        <w:tc>
          <w:tcPr>
            <w:tcW w:w="1134" w:type="dxa"/>
            <w:shd w:val="clear" w:color="auto" w:fill="auto"/>
            <w:vAlign w:val="center"/>
          </w:tcPr>
          <w:p w14:paraId="2E4D3E88" w14:textId="77777777" w:rsidR="006B6FA8" w:rsidRPr="006B6FA8" w:rsidRDefault="006B6FA8" w:rsidP="006B6FA8">
            <w:pPr>
              <w:spacing w:before="120"/>
              <w:jc w:val="center"/>
              <w:rPr>
                <w:sz w:val="18"/>
                <w:highlight w:val="lightGray"/>
                <w:u w:val="single"/>
                <w:lang w:val="es-ES_tradnl"/>
              </w:rPr>
            </w:pPr>
            <w:r w:rsidRPr="006B6FA8">
              <w:rPr>
                <w:sz w:val="18"/>
                <w:highlight w:val="lightGray"/>
                <w:u w:val="single"/>
                <w:lang w:val="es-ES_tradnl"/>
              </w:rPr>
              <w:t>29</w:t>
            </w:r>
          </w:p>
        </w:tc>
        <w:tc>
          <w:tcPr>
            <w:tcW w:w="1276" w:type="dxa"/>
            <w:shd w:val="clear" w:color="auto" w:fill="auto"/>
            <w:vAlign w:val="center"/>
          </w:tcPr>
          <w:p w14:paraId="6464B2A2" w14:textId="77777777" w:rsidR="006B6FA8" w:rsidRPr="006B6FA8" w:rsidRDefault="006B6FA8" w:rsidP="006B6FA8">
            <w:pPr>
              <w:spacing w:before="120"/>
              <w:jc w:val="center"/>
              <w:rPr>
                <w:sz w:val="18"/>
                <w:highlight w:val="lightGray"/>
                <w:u w:val="single"/>
                <w:lang w:val="es-ES_tradnl"/>
              </w:rPr>
            </w:pPr>
            <w:r w:rsidRPr="006B6FA8">
              <w:rPr>
                <w:sz w:val="18"/>
                <w:highlight w:val="lightGray"/>
                <w:u w:val="single"/>
                <w:lang w:val="es-ES_tradnl"/>
              </w:rPr>
              <w:t>grupo rojo</w:t>
            </w:r>
          </w:p>
        </w:tc>
        <w:tc>
          <w:tcPr>
            <w:tcW w:w="3118" w:type="dxa"/>
            <w:shd w:val="clear" w:color="auto" w:fill="auto"/>
            <w:vAlign w:val="center"/>
          </w:tcPr>
          <w:p w14:paraId="0625D8C8" w14:textId="77777777" w:rsidR="006B6FA8" w:rsidRPr="006B6FA8" w:rsidRDefault="006B6FA8" w:rsidP="006B6FA8">
            <w:pPr>
              <w:spacing w:before="120"/>
              <w:jc w:val="left"/>
              <w:rPr>
                <w:sz w:val="18"/>
                <w:u w:val="single"/>
                <w:lang w:val="es-ES_tradnl"/>
              </w:rPr>
            </w:pPr>
            <w:r w:rsidRPr="006B6FA8">
              <w:rPr>
                <w:sz w:val="18"/>
                <w:highlight w:val="lightGray"/>
                <w:u w:val="single"/>
                <w:lang w:val="es-ES_tradnl"/>
              </w:rPr>
              <w:t>No se utiliza a los efectos de la UPOV.</w:t>
            </w:r>
          </w:p>
        </w:tc>
      </w:tr>
    </w:tbl>
    <w:p w14:paraId="3AEA224B" w14:textId="77777777" w:rsidR="006B6FA8" w:rsidRPr="006B6FA8" w:rsidRDefault="006B6FA8" w:rsidP="006B6FA8">
      <w:pPr>
        <w:tabs>
          <w:tab w:val="left" w:pos="567"/>
          <w:tab w:val="left" w:pos="1134"/>
        </w:tabs>
        <w:rPr>
          <w:lang w:val="es-ES_tradnl"/>
        </w:rPr>
      </w:pPr>
    </w:p>
    <w:p w14:paraId="43325F41" w14:textId="77777777" w:rsidR="006B6FA8" w:rsidRPr="006B6FA8" w:rsidRDefault="006B6FA8" w:rsidP="006B6FA8">
      <w:pPr>
        <w:tabs>
          <w:tab w:val="left" w:pos="567"/>
          <w:tab w:val="left" w:pos="1134"/>
        </w:tabs>
        <w:rPr>
          <w:lang w:val="es-ES_tradnl"/>
        </w:rPr>
      </w:pPr>
    </w:p>
    <w:p w14:paraId="7E7D0971" w14:textId="77777777" w:rsidR="006B6FA8" w:rsidRPr="006B6FA8" w:rsidRDefault="006B6FA8" w:rsidP="006B6FA8">
      <w:pPr>
        <w:keepLines/>
        <w:ind w:right="-1"/>
        <w:rPr>
          <w:lang w:val="es-ES_tradnl"/>
        </w:rPr>
      </w:pPr>
      <w:r w:rsidRPr="006B6FA8">
        <w:rPr>
          <w:lang w:val="es-ES_tradnl"/>
        </w:rPr>
        <w:t>1.</w:t>
      </w:r>
      <w:r w:rsidRPr="006B6FA8">
        <w:rPr>
          <w:highlight w:val="lightGray"/>
          <w:u w:val="single"/>
          <w:lang w:val="es-ES_tradnl"/>
        </w:rPr>
        <w:t>2</w:t>
      </w:r>
      <w:r w:rsidRPr="006B6FA8">
        <w:rPr>
          <w:strike/>
          <w:highlight w:val="lightGray"/>
          <w:lang w:val="es-ES_tradnl"/>
        </w:rPr>
        <w:t>3</w:t>
      </w:r>
      <w:r w:rsidRPr="006B6FA8">
        <w:rPr>
          <w:lang w:val="es-ES_tradnl"/>
        </w:rPr>
        <w:tab/>
      </w:r>
      <w:r w:rsidRPr="006B6FA8">
        <w:rPr>
          <w:highlight w:val="lightGray"/>
          <w:u w:val="single"/>
          <w:lang w:val="es-ES_tradnl"/>
        </w:rPr>
        <w:t xml:space="preserve">En las ediciones primera a quinta (1966 a 2007), </w:t>
      </w:r>
      <w:proofErr w:type="spellStart"/>
      <w:r w:rsidRPr="006B6FA8">
        <w:rPr>
          <w:strike/>
          <w:highlight w:val="lightGray"/>
          <w:lang w:val="es-ES_tradnl"/>
        </w:rPr>
        <w:t>L</w:t>
      </w:r>
      <w:r w:rsidRPr="006B6FA8">
        <w:rPr>
          <w:highlight w:val="lightGray"/>
          <w:u w:val="single"/>
          <w:lang w:val="es-ES_tradnl"/>
        </w:rPr>
        <w:t>l</w:t>
      </w:r>
      <w:r w:rsidRPr="006B6FA8">
        <w:rPr>
          <w:lang w:val="es-ES_tradnl"/>
        </w:rPr>
        <w:t>a</w:t>
      </w:r>
      <w:proofErr w:type="spellEnd"/>
      <w:r w:rsidRPr="006B6FA8">
        <w:rPr>
          <w:lang w:val="es-ES_tradnl"/>
        </w:rPr>
        <w:t xml:space="preserve"> carta de colores </w:t>
      </w:r>
      <w:proofErr w:type="spellStart"/>
      <w:r w:rsidRPr="006B6FA8">
        <w:rPr>
          <w:lang w:val="es-ES_tradnl"/>
        </w:rPr>
        <w:t>RHS</w:t>
      </w:r>
      <w:proofErr w:type="spellEnd"/>
      <w:r w:rsidRPr="006B6FA8">
        <w:rPr>
          <w:lang w:val="es-ES_tradnl"/>
        </w:rPr>
        <w:t xml:space="preserve"> </w:t>
      </w:r>
      <w:proofErr w:type="spellStart"/>
      <w:r w:rsidRPr="006B6FA8">
        <w:rPr>
          <w:lang w:val="es-ES_tradnl"/>
        </w:rPr>
        <w:t>cont</w:t>
      </w:r>
      <w:r w:rsidRPr="006B6FA8">
        <w:rPr>
          <w:highlight w:val="lightGray"/>
          <w:u w:val="single"/>
          <w:lang w:val="es-ES_tradnl"/>
        </w:rPr>
        <w:t>enía</w:t>
      </w:r>
      <w:r w:rsidRPr="006B6FA8">
        <w:rPr>
          <w:strike/>
          <w:highlight w:val="lightGray"/>
          <w:lang w:val="es-ES_tradnl"/>
        </w:rPr>
        <w:t>iene</w:t>
      </w:r>
      <w:proofErr w:type="spellEnd"/>
      <w:r w:rsidRPr="006B6FA8">
        <w:rPr>
          <w:lang w:val="es-ES_tradnl"/>
        </w:rPr>
        <w:t> 896 colores diferentes, divididos en 23 “grupos” para la denominación de los colores.  Sin embargo, a los efectos de la UPOV, este agrupamiento inicial resulta inadecuado para nombrar con suficiente precisión los colores que figuran en las descripciones de las variedades.  Por consiguiente, la UPOV ha establecido </w:t>
      </w:r>
      <w:r w:rsidRPr="006B6FA8">
        <w:rPr>
          <w:strike/>
          <w:highlight w:val="lightGray"/>
          <w:lang w:val="es-ES_tradnl"/>
        </w:rPr>
        <w:t>50</w:t>
      </w:r>
      <w:r w:rsidRPr="006B6FA8">
        <w:rPr>
          <w:lang w:val="es-ES_tradnl"/>
        </w:rPr>
        <w:t xml:space="preserve"> </w:t>
      </w:r>
      <w:r w:rsidRPr="006B6FA8">
        <w:rPr>
          <w:highlight w:val="lightGray"/>
          <w:u w:val="single"/>
          <w:lang w:val="es-ES_tradnl"/>
        </w:rPr>
        <w:t>sus propios</w:t>
      </w:r>
      <w:r w:rsidRPr="006B6FA8">
        <w:rPr>
          <w:lang w:val="es-ES_tradnl"/>
        </w:rPr>
        <w:t xml:space="preserve"> “grupos” de color</w:t>
      </w:r>
      <w:r w:rsidRPr="006B6FA8">
        <w:rPr>
          <w:strike/>
          <w:highlight w:val="lightGray"/>
          <w:lang w:val="es-ES_tradnl"/>
        </w:rPr>
        <w:t>, que se incluyen en el presente documento</w:t>
      </w:r>
      <w:r w:rsidRPr="006B6FA8">
        <w:rPr>
          <w:lang w:val="es-ES_tradnl"/>
        </w:rPr>
        <w:t xml:space="preserve">. </w:t>
      </w:r>
    </w:p>
    <w:p w14:paraId="1DE0232C" w14:textId="77777777" w:rsidR="006B6FA8" w:rsidRPr="006B6FA8" w:rsidRDefault="006B6FA8" w:rsidP="006B6FA8">
      <w:pPr>
        <w:tabs>
          <w:tab w:val="left" w:pos="567"/>
          <w:tab w:val="left" w:pos="1134"/>
        </w:tabs>
        <w:rPr>
          <w:lang w:val="es-ES_tradnl"/>
        </w:rPr>
      </w:pPr>
    </w:p>
    <w:p w14:paraId="3AB210D9" w14:textId="77777777" w:rsidR="006B6FA8" w:rsidRPr="006B6FA8" w:rsidRDefault="006B6FA8" w:rsidP="006B6FA8">
      <w:pPr>
        <w:ind w:right="-1"/>
        <w:rPr>
          <w:highlight w:val="lightGray"/>
          <w:u w:val="single"/>
          <w:lang w:val="es-ES_tradnl"/>
        </w:rPr>
      </w:pPr>
      <w:r w:rsidRPr="006B6FA8">
        <w:rPr>
          <w:highlight w:val="lightGray"/>
          <w:u w:val="single"/>
          <w:lang w:val="es-ES_tradnl"/>
        </w:rPr>
        <w:t>1.4</w:t>
      </w:r>
      <w:r w:rsidRPr="006B6FA8">
        <w:rPr>
          <w:highlight w:val="lightGray"/>
          <w:u w:val="single"/>
          <w:lang w:val="es-ES_tradnl"/>
        </w:rPr>
        <w:tab/>
        <w:t>En la sexta edición (2015) de la carta de colores RHS, por primera vez, cada mancha tiene un nombre de color.  No obstante, estos nombres de colores no siempre expresan la similitud de los colores de las manchas, por lo que no parece adecuado utilizarlos a los efectos de la UPOV.</w:t>
      </w:r>
    </w:p>
    <w:p w14:paraId="5C3D21B5" w14:textId="77777777" w:rsidR="006B6FA8" w:rsidRPr="006B6FA8" w:rsidRDefault="006B6FA8" w:rsidP="006B6FA8">
      <w:pPr>
        <w:tabs>
          <w:tab w:val="left" w:pos="567"/>
          <w:tab w:val="left" w:pos="1134"/>
        </w:tabs>
        <w:rPr>
          <w:lang w:val="es-ES_tradnl"/>
        </w:rPr>
      </w:pPr>
    </w:p>
    <w:p w14:paraId="30430488" w14:textId="34A69BD2" w:rsidR="006B6FA8" w:rsidRPr="006B6FA8" w:rsidRDefault="006B6FA8" w:rsidP="006B6FA8">
      <w:pPr>
        <w:ind w:right="-1"/>
        <w:rPr>
          <w:lang w:val="es-ES_tradnl"/>
        </w:rPr>
      </w:pPr>
      <w:r w:rsidRPr="006B6FA8">
        <w:rPr>
          <w:highlight w:val="lightGray"/>
          <w:u w:val="single"/>
          <w:lang w:val="es-ES_tradnl"/>
        </w:rPr>
        <w:t>1.5</w:t>
      </w:r>
      <w:r w:rsidRPr="006B6FA8">
        <w:rPr>
          <w:highlight w:val="lightGray"/>
          <w:u w:val="single"/>
          <w:lang w:val="es-ES_tradnl"/>
        </w:rPr>
        <w:tab/>
        <w:t>Basándose en la sexta edición de la carta de colores RHS, la UPOV ha establecido 73 “grupos” de color, que se incluyen en el presente documento.  La denominación empleada en las ediciones primera a quinta (1966 a 2007) de la carta de colores RHS puede consultarse en el Anexo II de la Subsección 3 del presente documento.</w:t>
      </w:r>
      <w:r w:rsidRPr="006B6FA8">
        <w:rPr>
          <w:lang w:val="es-ES_tradnl"/>
        </w:rPr>
        <w:t xml:space="preserve">  Es importante señalar que estos “grupos” de color no han sido creados con el objeto de agrupar variedades para los ensayos DHE y no deben utilizarse para ese fin. Puede encontrarse información sobre el agrupamiento de variedades para los ensayos DHE en el documento </w:t>
      </w:r>
      <w:hyperlink r:id="rId30" w:history="1">
        <w:proofErr w:type="spellStart"/>
        <w:r w:rsidRPr="006B6FA8">
          <w:rPr>
            <w:color w:val="0000FF"/>
            <w:u w:val="single"/>
            <w:lang w:val="es-ES_tradnl"/>
          </w:rPr>
          <w:t>TGP</w:t>
        </w:r>
        <w:proofErr w:type="spellEnd"/>
        <w:r w:rsidRPr="006B6FA8">
          <w:rPr>
            <w:color w:val="0000FF"/>
            <w:u w:val="single"/>
            <w:lang w:val="es-ES_tradnl"/>
          </w:rPr>
          <w:t>/9</w:t>
        </w:r>
      </w:hyperlink>
      <w:r w:rsidRPr="006B6FA8">
        <w:rPr>
          <w:strike/>
          <w:highlight w:val="lightGray"/>
          <w:lang w:val="es-ES_tradnl"/>
        </w:rPr>
        <w:t>/1</w:t>
      </w:r>
      <w:r w:rsidRPr="006B6FA8">
        <w:rPr>
          <w:lang w:val="es-ES_tradnl"/>
        </w:rPr>
        <w:t xml:space="preserve"> “Examen de la distinción”.</w:t>
      </w:r>
    </w:p>
    <w:p w14:paraId="16119ED7" w14:textId="77777777" w:rsidR="006B6FA8" w:rsidRPr="006B6FA8" w:rsidRDefault="006B6FA8" w:rsidP="006B6FA8">
      <w:pPr>
        <w:ind w:right="567"/>
        <w:rPr>
          <w:lang w:val="es-ES_tradnl"/>
        </w:rPr>
      </w:pPr>
    </w:p>
    <w:p w14:paraId="3D0751E2" w14:textId="77777777" w:rsidR="006B6FA8" w:rsidRPr="006B6FA8" w:rsidRDefault="006B6FA8" w:rsidP="006B6FA8">
      <w:pPr>
        <w:ind w:right="-1"/>
        <w:rPr>
          <w:lang w:val="es-ES_tradnl"/>
        </w:rPr>
      </w:pPr>
      <w:r w:rsidRPr="006B6FA8">
        <w:rPr>
          <w:lang w:val="es-ES_tradnl"/>
        </w:rPr>
        <w:t>1.</w:t>
      </w:r>
      <w:r w:rsidRPr="006B6FA8">
        <w:rPr>
          <w:highlight w:val="lightGray"/>
          <w:u w:val="single"/>
          <w:lang w:val="es-ES_tradnl"/>
        </w:rPr>
        <w:t>6</w:t>
      </w:r>
      <w:r w:rsidRPr="006B6FA8">
        <w:rPr>
          <w:strike/>
          <w:highlight w:val="lightGray"/>
          <w:lang w:val="es-ES_tradnl"/>
        </w:rPr>
        <w:t>3</w:t>
      </w:r>
      <w:r w:rsidRPr="006B6FA8">
        <w:rPr>
          <w:lang w:val="es-ES_tradnl"/>
        </w:rPr>
        <w:tab/>
        <w:t>Los nombres empleados para los </w:t>
      </w:r>
      <w:r w:rsidRPr="006B6FA8">
        <w:rPr>
          <w:strike/>
          <w:highlight w:val="lightGray"/>
          <w:lang w:val="es-ES_tradnl"/>
        </w:rPr>
        <w:t>50</w:t>
      </w:r>
      <w:r w:rsidRPr="006B6FA8">
        <w:rPr>
          <w:lang w:val="es-ES_tradnl"/>
        </w:rPr>
        <w:t> </w:t>
      </w:r>
      <w:r w:rsidRPr="006B6FA8">
        <w:rPr>
          <w:highlight w:val="lightGray"/>
          <w:u w:val="single"/>
          <w:lang w:val="es-ES_tradnl"/>
        </w:rPr>
        <w:t>73</w:t>
      </w:r>
      <w:r w:rsidRPr="006B6FA8">
        <w:rPr>
          <w:lang w:val="es-ES_tradnl"/>
        </w:rPr>
        <w:t xml:space="preserve"> grupos de color UPOV consisten en el [color puro] / [tono cromático] (por ejemplo, amarillo, naranja, rojo), una combinación de dos [colores puros] / [tonos cromáticos] (por ejemplo, naranja amarillento, rosa anaranjado, rojo purpúreo), o una combinación del(de los) [color(es) puro(s)] / [tono(s) cromático(s)] con “claro” u “oscuro” (por ejemplo, amarillo claro, rojo rosado oscuro).</w:t>
      </w:r>
    </w:p>
    <w:p w14:paraId="5CDD1248" w14:textId="77777777" w:rsidR="006B6FA8" w:rsidRPr="006B6FA8" w:rsidRDefault="006B6FA8" w:rsidP="006B6FA8">
      <w:pPr>
        <w:ind w:right="-1"/>
        <w:rPr>
          <w:lang w:val="es-ES_tradnl"/>
        </w:rPr>
      </w:pPr>
    </w:p>
    <w:p w14:paraId="2813436D" w14:textId="77777777" w:rsidR="006B6FA8" w:rsidRPr="006B6FA8" w:rsidRDefault="006B6FA8" w:rsidP="006B6FA8">
      <w:pPr>
        <w:ind w:right="-1"/>
        <w:rPr>
          <w:strike/>
          <w:lang w:val="es-ES_tradnl"/>
        </w:rPr>
      </w:pPr>
      <w:r w:rsidRPr="006B6FA8">
        <w:rPr>
          <w:strike/>
          <w:highlight w:val="lightGray"/>
          <w:lang w:val="es-ES_tradnl"/>
        </w:rPr>
        <w:t>1.4</w:t>
      </w:r>
      <w:r w:rsidRPr="006B6FA8">
        <w:rPr>
          <w:strike/>
          <w:highlight w:val="lightGray"/>
          <w:lang w:val="es-ES_tradnl"/>
        </w:rPr>
        <w:tab/>
        <w:t>Los nombres de colores contenidos en el presente documento se pueden utilizar con distintas ediciones de la carta de colores RHS. La versión de 1986 de la carta de colores RHS se utilizó para el agrupamiento y la denominación iniciales. En la edición de 1995 no se añadieron nuevos colores. Los nuevos colores aparecidos en la edición de 2001 (señalados con una “N”) y en la de 2007 (señalados con “NN”) se han incorporado a los grupos existentes.</w:t>
      </w:r>
    </w:p>
    <w:p w14:paraId="060E7C53" w14:textId="77777777" w:rsidR="006B6FA8" w:rsidRPr="006B6FA8" w:rsidRDefault="006B6FA8" w:rsidP="006B6FA8">
      <w:pPr>
        <w:ind w:right="567"/>
        <w:rPr>
          <w:lang w:val="es-ES_tradnl"/>
        </w:rPr>
      </w:pPr>
    </w:p>
    <w:p w14:paraId="74C439D1" w14:textId="77777777" w:rsidR="006B6FA8" w:rsidRPr="006B6FA8" w:rsidRDefault="006B6FA8" w:rsidP="006B6FA8">
      <w:pPr>
        <w:ind w:right="567"/>
        <w:rPr>
          <w:highlight w:val="lightGray"/>
          <w:u w:val="single"/>
          <w:lang w:val="es-ES_tradnl"/>
        </w:rPr>
      </w:pPr>
    </w:p>
    <w:p w14:paraId="26EAF393" w14:textId="77777777" w:rsidR="006B6FA8" w:rsidRPr="006B6FA8" w:rsidRDefault="006B6FA8" w:rsidP="006B6FA8">
      <w:pPr>
        <w:rPr>
          <w:lang w:val="es-ES_tradnl"/>
        </w:rPr>
      </w:pPr>
      <w:bookmarkStart w:id="122" w:name="_Toc237835589"/>
      <w:bookmarkStart w:id="123" w:name="_Toc260229576"/>
      <w:bookmarkStart w:id="124" w:name="_Toc285808908"/>
      <w:bookmarkStart w:id="125" w:name="_Toc288580711"/>
      <w:bookmarkStart w:id="126" w:name="_Toc311045813"/>
      <w:r w:rsidRPr="006B6FA8">
        <w:rPr>
          <w:lang w:val="es-ES_tradnl"/>
        </w:rPr>
        <w:t>2.</w:t>
      </w:r>
      <w:r w:rsidRPr="006B6FA8">
        <w:rPr>
          <w:lang w:val="es-ES_tradnl"/>
        </w:rPr>
        <w:tab/>
      </w:r>
      <w:bookmarkEnd w:id="122"/>
      <w:bookmarkEnd w:id="123"/>
      <w:bookmarkEnd w:id="124"/>
      <w:bookmarkEnd w:id="125"/>
      <w:bookmarkEnd w:id="126"/>
      <w:r w:rsidRPr="006B6FA8">
        <w:rPr>
          <w:lang w:val="es-ES_tradnl"/>
        </w:rPr>
        <w:t>Ejemplos de utilización de los nombres de colores UPOV en la descripción de una variedad</w:t>
      </w:r>
    </w:p>
    <w:p w14:paraId="1E8F1091" w14:textId="77777777" w:rsidR="006B6FA8" w:rsidRPr="006B6FA8" w:rsidRDefault="006B6FA8" w:rsidP="006B6FA8">
      <w:pPr>
        <w:rPr>
          <w:lang w:val="es-ES_tradnl"/>
        </w:rPr>
      </w:pPr>
    </w:p>
    <w:p w14:paraId="717B4D0F" w14:textId="77777777" w:rsidR="006B6FA8" w:rsidRPr="006B6FA8" w:rsidRDefault="006B6FA8" w:rsidP="006B6FA8">
      <w:pPr>
        <w:rPr>
          <w:lang w:val="es-ES_tradnl"/>
        </w:rPr>
      </w:pPr>
      <w:r w:rsidRPr="006B6FA8">
        <w:rPr>
          <w:lang w:val="es-ES_tradnl"/>
        </w:rPr>
        <w:t>2.1</w:t>
      </w:r>
      <w:r w:rsidRPr="006B6FA8">
        <w:rPr>
          <w:lang w:val="es-ES_tradnl"/>
        </w:rPr>
        <w:tab/>
        <w:t xml:space="preserve">Si en las directrices de examen se utiliza la carta de colores RHS para describir un carácter, el color de la parte de la planta no queda patente, porque únicamente se solicita su número de referencia de la carta de colores RHS, por ejemplo, </w:t>
      </w:r>
    </w:p>
    <w:p w14:paraId="2248361B" w14:textId="77777777" w:rsidR="006B6FA8" w:rsidRPr="006B6FA8" w:rsidRDefault="006B6FA8" w:rsidP="006B6FA8">
      <w:pPr>
        <w:rPr>
          <w:lang w:val="es-ES_tradnl"/>
        </w:rPr>
      </w:pPr>
    </w:p>
    <w:p w14:paraId="475074D0" w14:textId="77777777" w:rsidR="006B6FA8" w:rsidRPr="006B6FA8" w:rsidRDefault="006B6FA8" w:rsidP="006B6FA8">
      <w:pPr>
        <w:ind w:left="567"/>
        <w:rPr>
          <w:i/>
          <w:lang w:val="es-ES_tradnl"/>
        </w:rPr>
      </w:pPr>
      <w:r w:rsidRPr="006B6FA8">
        <w:rPr>
          <w:i/>
          <w:lang w:val="es-ES_tradnl"/>
        </w:rPr>
        <w:t>Flor:  color principal de la cara superior</w:t>
      </w:r>
    </w:p>
    <w:p w14:paraId="749E2295" w14:textId="77777777" w:rsidR="006B6FA8" w:rsidRPr="006B6FA8" w:rsidRDefault="006B6FA8" w:rsidP="006B6FA8">
      <w:pPr>
        <w:ind w:left="567"/>
        <w:rPr>
          <w:i/>
          <w:lang w:val="es-ES_tradnl"/>
        </w:rPr>
      </w:pPr>
      <w:r w:rsidRPr="006B6FA8">
        <w:rPr>
          <w:i/>
          <w:lang w:val="es-ES_tradnl"/>
        </w:rPr>
        <w:t>Carta de colores RHS (indíquese el número de referencia)</w:t>
      </w:r>
    </w:p>
    <w:p w14:paraId="71A191DB" w14:textId="77777777" w:rsidR="006B6FA8" w:rsidRPr="006B6FA8" w:rsidRDefault="006B6FA8" w:rsidP="006B6FA8">
      <w:pPr>
        <w:rPr>
          <w:lang w:val="es-ES_tradnl"/>
        </w:rPr>
      </w:pPr>
    </w:p>
    <w:p w14:paraId="5E6575C5" w14:textId="77777777" w:rsidR="006B6FA8" w:rsidRPr="006B6FA8" w:rsidRDefault="006B6FA8" w:rsidP="006B6FA8">
      <w:pPr>
        <w:keepLines/>
        <w:ind w:right="-1"/>
        <w:rPr>
          <w:lang w:val="es-ES_tradnl"/>
        </w:rPr>
      </w:pPr>
      <w:r w:rsidRPr="006B6FA8">
        <w:rPr>
          <w:lang w:val="es-ES_tradnl"/>
        </w:rPr>
        <w:lastRenderedPageBreak/>
        <w:t>2.2</w:t>
      </w:r>
      <w:r w:rsidRPr="006B6FA8">
        <w:rPr>
          <w:lang w:val="es-ES_tradnl"/>
        </w:rPr>
        <w:tab/>
        <w:t xml:space="preserve">Para la descripción de una variedad, resulta útil determinar el nombre de color que corresponde al número de la carta de colores RHS y anotar dicho nombre en la columna “nivel de expresión”.  El nombre del color figura en el </w:t>
      </w:r>
      <w:r w:rsidRPr="006B6FA8">
        <w:rPr>
          <w:strike/>
          <w:highlight w:val="lightGray"/>
          <w:lang w:val="es-ES_tradnl"/>
        </w:rPr>
        <w:t>apéndice del presente documento</w:t>
      </w:r>
      <w:r w:rsidRPr="006B6FA8">
        <w:rPr>
          <w:lang w:val="es-ES_tradnl"/>
        </w:rPr>
        <w:t xml:space="preserve"> </w:t>
      </w:r>
      <w:r w:rsidRPr="006B6FA8">
        <w:rPr>
          <w:highlight w:val="lightGray"/>
          <w:u w:val="single"/>
          <w:lang w:val="es-ES_tradnl"/>
        </w:rPr>
        <w:t>apéndice I del Anexo I</w:t>
      </w:r>
      <w:r w:rsidRPr="006B6FA8">
        <w:rPr>
          <w:lang w:val="es-ES_tradnl"/>
        </w:rPr>
        <w:t>, que contiene una relación de los colores RHS con arreglo a los grupos de color UPOV a los que pertenecen:  por ejemplo, el RHS 46C pertenece al grupo </w:t>
      </w:r>
      <w:r w:rsidRPr="006B6FA8">
        <w:rPr>
          <w:strike/>
          <w:highlight w:val="lightGray"/>
          <w:lang w:val="es-ES_tradnl"/>
        </w:rPr>
        <w:t>21</w:t>
      </w:r>
      <w:r w:rsidRPr="006B6FA8">
        <w:rPr>
          <w:lang w:val="es-ES_tradnl"/>
        </w:rPr>
        <w:t> </w:t>
      </w:r>
      <w:r w:rsidRPr="006B6FA8">
        <w:rPr>
          <w:highlight w:val="lightGray"/>
          <w:u w:val="single"/>
          <w:lang w:val="es-ES_tradnl"/>
        </w:rPr>
        <w:t>35</w:t>
      </w:r>
      <w:r w:rsidRPr="006B6FA8">
        <w:rPr>
          <w:lang w:val="es-ES_tradnl"/>
        </w:rPr>
        <w:t xml:space="preserve"> “rojo </w:t>
      </w:r>
      <w:r w:rsidRPr="006B6FA8">
        <w:rPr>
          <w:highlight w:val="lightGray"/>
          <w:u w:val="single"/>
          <w:lang w:val="es-ES_tradnl"/>
        </w:rPr>
        <w:t>medio</w:t>
      </w:r>
      <w:r w:rsidRPr="006B6FA8">
        <w:rPr>
          <w:lang w:val="es-ES_tradnl"/>
        </w:rPr>
        <w:t>”, el RHS N 74B pertenece al grupo </w:t>
      </w:r>
      <w:r w:rsidRPr="006B6FA8">
        <w:rPr>
          <w:strike/>
          <w:highlight w:val="lightGray"/>
          <w:lang w:val="es-ES_tradnl"/>
        </w:rPr>
        <w:t>27</w:t>
      </w:r>
      <w:r w:rsidRPr="006B6FA8">
        <w:rPr>
          <w:lang w:val="es-ES_tradnl"/>
        </w:rPr>
        <w:t> </w:t>
      </w:r>
      <w:r w:rsidRPr="006B6FA8">
        <w:rPr>
          <w:highlight w:val="lightGray"/>
          <w:u w:val="single"/>
          <w:lang w:val="es-ES_tradnl"/>
        </w:rPr>
        <w:t>42</w:t>
      </w:r>
      <w:r w:rsidRPr="006B6FA8">
        <w:rPr>
          <w:lang w:val="es-ES_tradnl"/>
        </w:rPr>
        <w:t xml:space="preserve"> “púrpura </w:t>
      </w:r>
      <w:r w:rsidRPr="006B6FA8">
        <w:rPr>
          <w:highlight w:val="lightGray"/>
          <w:u w:val="single"/>
          <w:lang w:val="es-ES_tradnl"/>
        </w:rPr>
        <w:t>medio</w:t>
      </w:r>
      <w:r w:rsidRPr="006B6FA8">
        <w:rPr>
          <w:lang w:val="es-ES_tradnl"/>
        </w:rPr>
        <w:t>” y el RHS N 57A pertenece al grupo </w:t>
      </w:r>
      <w:r w:rsidRPr="006B6FA8">
        <w:rPr>
          <w:strike/>
          <w:highlight w:val="lightGray"/>
          <w:lang w:val="es-ES_tradnl"/>
        </w:rPr>
        <w:t>23</w:t>
      </w:r>
      <w:r w:rsidRPr="006B6FA8">
        <w:rPr>
          <w:lang w:val="es-ES_tradnl"/>
        </w:rPr>
        <w:t> </w:t>
      </w:r>
      <w:r w:rsidRPr="006B6FA8">
        <w:rPr>
          <w:highlight w:val="lightGray"/>
          <w:u w:val="single"/>
          <w:lang w:val="es-ES_tradnl"/>
        </w:rPr>
        <w:t>37</w:t>
      </w:r>
      <w:r w:rsidRPr="006B6FA8">
        <w:rPr>
          <w:lang w:val="es-ES_tradnl"/>
        </w:rPr>
        <w:t xml:space="preserve"> “rojo púrpura </w:t>
      </w:r>
      <w:r w:rsidRPr="006B6FA8">
        <w:rPr>
          <w:highlight w:val="lightGray"/>
          <w:u w:val="single"/>
          <w:lang w:val="es-ES_tradnl"/>
        </w:rPr>
        <w:t>medio</w:t>
      </w:r>
      <w:r w:rsidRPr="006B6FA8">
        <w:rPr>
          <w:lang w:val="es-ES_tradnl"/>
        </w:rPr>
        <w:t xml:space="preserve">” </w:t>
      </w:r>
      <w:r w:rsidRPr="006B6FA8">
        <w:rPr>
          <w:highlight w:val="lightGray"/>
          <w:u w:val="single"/>
          <w:lang w:val="es-ES_tradnl"/>
        </w:rPr>
        <w:t>(sexta edición (2015) de la carta de colores RHS)</w:t>
      </w:r>
      <w:r w:rsidRPr="006B6FA8">
        <w:rPr>
          <w:lang w:val="es-ES_tradnl"/>
        </w:rPr>
        <w:t>.</w:t>
      </w:r>
    </w:p>
    <w:p w14:paraId="7563E01A" w14:textId="77777777" w:rsidR="006B6FA8" w:rsidRPr="006B6FA8" w:rsidRDefault="006B6FA8" w:rsidP="006B6FA8">
      <w:pPr>
        <w:rPr>
          <w:lang w:val="es-ES_tradnl"/>
        </w:rPr>
      </w:pPr>
    </w:p>
    <w:p w14:paraId="139947F9" w14:textId="77777777" w:rsidR="006B6FA8" w:rsidRPr="006B6FA8" w:rsidRDefault="006B6FA8" w:rsidP="006B6FA8">
      <w:pPr>
        <w:keepNext/>
        <w:spacing w:before="180" w:after="180"/>
        <w:rPr>
          <w:i/>
          <w:lang w:val="es-ES_tradnl"/>
        </w:rPr>
      </w:pPr>
      <w:r w:rsidRPr="006B6FA8">
        <w:rPr>
          <w:i/>
          <w:lang w:val="es-ES_tradnl"/>
        </w:rPr>
        <w:t>Ejemplo:</w:t>
      </w:r>
    </w:p>
    <w:p w14:paraId="7A6ADF1D" w14:textId="77777777" w:rsidR="006B6FA8" w:rsidRPr="006B6FA8" w:rsidRDefault="006B6FA8" w:rsidP="006B6FA8">
      <w:pPr>
        <w:keepNext/>
        <w:rPr>
          <w:lang w:val="es-ES_tradnl"/>
        </w:rPr>
      </w:pPr>
      <w:r w:rsidRPr="006B6FA8">
        <w:rPr>
          <w:lang w:val="es-ES_tradnl"/>
        </w:rPr>
        <w:t>2.3</w:t>
      </w:r>
      <w:r w:rsidRPr="006B6FA8">
        <w:rPr>
          <w:lang w:val="es-ES_tradnl"/>
        </w:rPr>
        <w:tab/>
        <w:t xml:space="preserve">Parte de la descripción de una variedad de </w:t>
      </w:r>
      <w:proofErr w:type="spellStart"/>
      <w:r w:rsidRPr="006B6FA8">
        <w:rPr>
          <w:i/>
          <w:lang w:val="es-ES_tradnl"/>
        </w:rPr>
        <w:t>Impatiens</w:t>
      </w:r>
      <w:proofErr w:type="spellEnd"/>
      <w:r w:rsidRPr="006B6FA8">
        <w:rPr>
          <w:lang w:val="es-ES_tradnl"/>
        </w:rPr>
        <w:t xml:space="preserve"> de Nueva Guinea (TG/196/2 Rev.)</w:t>
      </w:r>
    </w:p>
    <w:p w14:paraId="70FE5C8F" w14:textId="77777777" w:rsidR="006B6FA8" w:rsidRPr="006B6FA8" w:rsidRDefault="006B6FA8" w:rsidP="006B6FA8">
      <w:pPr>
        <w:keepNext/>
        <w:rPr>
          <w:lang w:val="es-ES_tradnl"/>
        </w:rPr>
      </w:pPr>
    </w:p>
    <w:tbl>
      <w:tblPr>
        <w:tblW w:w="956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
        <w:gridCol w:w="4940"/>
        <w:gridCol w:w="1839"/>
        <w:gridCol w:w="1560"/>
        <w:gridCol w:w="712"/>
      </w:tblGrid>
      <w:tr w:rsidR="006B6FA8" w:rsidRPr="006B6FA8" w14:paraId="489E8DE4" w14:textId="77777777" w:rsidTr="00D60821">
        <w:trPr>
          <w:cantSplit/>
        </w:trPr>
        <w:tc>
          <w:tcPr>
            <w:tcW w:w="517" w:type="dxa"/>
          </w:tcPr>
          <w:p w14:paraId="6931D20F" w14:textId="77777777" w:rsidR="006B6FA8" w:rsidRPr="006B6FA8" w:rsidRDefault="006B6FA8" w:rsidP="006B6FA8">
            <w:pPr>
              <w:spacing w:before="20" w:after="20"/>
              <w:jc w:val="left"/>
              <w:rPr>
                <w:rFonts w:cs="Arial"/>
                <w:b/>
                <w:sz w:val="18"/>
                <w:szCs w:val="18"/>
                <w:lang w:val="es-ES_tradnl" w:bidi="th-TH"/>
              </w:rPr>
            </w:pPr>
            <w:r w:rsidRPr="006B6FA8">
              <w:rPr>
                <w:rFonts w:cs="Arial"/>
                <w:b/>
                <w:sz w:val="18"/>
                <w:szCs w:val="18"/>
                <w:lang w:val="es-ES_tradnl" w:bidi="th-TH"/>
              </w:rPr>
              <w:t>Nº</w:t>
            </w:r>
          </w:p>
        </w:tc>
        <w:tc>
          <w:tcPr>
            <w:tcW w:w="4940" w:type="dxa"/>
          </w:tcPr>
          <w:p w14:paraId="375469E2" w14:textId="77777777" w:rsidR="006B6FA8" w:rsidRPr="006B6FA8" w:rsidRDefault="006B6FA8" w:rsidP="006B6FA8">
            <w:pPr>
              <w:spacing w:before="20" w:after="20"/>
              <w:jc w:val="left"/>
              <w:rPr>
                <w:rFonts w:cs="Arial"/>
                <w:b/>
                <w:bCs/>
                <w:sz w:val="18"/>
                <w:szCs w:val="18"/>
                <w:lang w:val="es-ES_tradnl" w:bidi="th-TH"/>
              </w:rPr>
            </w:pPr>
            <w:r w:rsidRPr="006B6FA8">
              <w:rPr>
                <w:rFonts w:cs="Arial"/>
                <w:b/>
                <w:bCs/>
                <w:sz w:val="18"/>
                <w:szCs w:val="18"/>
                <w:lang w:val="es-ES_tradnl" w:bidi="th-TH"/>
              </w:rPr>
              <w:t>Carácter</w:t>
            </w:r>
          </w:p>
        </w:tc>
        <w:tc>
          <w:tcPr>
            <w:tcW w:w="3399" w:type="dxa"/>
            <w:gridSpan w:val="2"/>
          </w:tcPr>
          <w:p w14:paraId="3C6ED42D" w14:textId="77777777" w:rsidR="006B6FA8" w:rsidRPr="006B6FA8" w:rsidRDefault="006B6FA8" w:rsidP="006B6FA8">
            <w:pPr>
              <w:spacing w:before="20" w:after="20"/>
              <w:jc w:val="left"/>
              <w:rPr>
                <w:rFonts w:cs="Arial"/>
                <w:b/>
                <w:bCs/>
                <w:snapToGrid w:val="0"/>
                <w:color w:val="000000"/>
                <w:sz w:val="18"/>
                <w:szCs w:val="18"/>
                <w:lang w:val="es-ES_tradnl" w:bidi="th-TH"/>
              </w:rPr>
            </w:pPr>
            <w:r w:rsidRPr="006B6FA8">
              <w:rPr>
                <w:rFonts w:cs="Arial"/>
                <w:b/>
                <w:bCs/>
                <w:snapToGrid w:val="0"/>
                <w:sz w:val="18"/>
                <w:szCs w:val="18"/>
                <w:lang w:val="es-ES_tradnl" w:bidi="th-TH"/>
              </w:rPr>
              <w:t>Nivel de expresión</w:t>
            </w:r>
          </w:p>
        </w:tc>
        <w:tc>
          <w:tcPr>
            <w:tcW w:w="712" w:type="dxa"/>
          </w:tcPr>
          <w:p w14:paraId="02CE8A5C" w14:textId="77777777" w:rsidR="006B6FA8" w:rsidRPr="006B6FA8" w:rsidRDefault="006B6FA8" w:rsidP="006B6FA8">
            <w:pPr>
              <w:spacing w:before="20" w:after="20"/>
              <w:jc w:val="center"/>
              <w:rPr>
                <w:rFonts w:cs="Arial"/>
                <w:b/>
                <w:sz w:val="18"/>
                <w:szCs w:val="18"/>
                <w:lang w:val="es-ES_tradnl" w:bidi="th-TH"/>
              </w:rPr>
            </w:pPr>
            <w:r w:rsidRPr="006B6FA8">
              <w:rPr>
                <w:rFonts w:cs="Arial"/>
                <w:b/>
                <w:sz w:val="18"/>
                <w:szCs w:val="18"/>
                <w:lang w:val="es-ES_tradnl" w:bidi="th-TH"/>
              </w:rPr>
              <w:t>Nota</w:t>
            </w:r>
          </w:p>
        </w:tc>
      </w:tr>
      <w:tr w:rsidR="006B6FA8" w:rsidRPr="006B6FA8" w14:paraId="49655013" w14:textId="77777777" w:rsidTr="00D60821">
        <w:trPr>
          <w:cantSplit/>
        </w:trPr>
        <w:tc>
          <w:tcPr>
            <w:tcW w:w="517" w:type="dxa"/>
          </w:tcPr>
          <w:p w14:paraId="05B62C97" w14:textId="77777777" w:rsidR="006B6FA8" w:rsidRPr="006B6FA8" w:rsidRDefault="006B6FA8" w:rsidP="006B6FA8">
            <w:pPr>
              <w:spacing w:before="20" w:after="20"/>
              <w:jc w:val="left"/>
              <w:rPr>
                <w:rFonts w:cs="Arial"/>
                <w:sz w:val="18"/>
                <w:szCs w:val="18"/>
                <w:lang w:val="es-ES_tradnl" w:bidi="th-TH"/>
              </w:rPr>
            </w:pPr>
            <w:r w:rsidRPr="006B6FA8">
              <w:rPr>
                <w:rFonts w:cs="Arial"/>
                <w:sz w:val="18"/>
                <w:szCs w:val="18"/>
                <w:lang w:val="es-ES_tradnl" w:bidi="th-TH"/>
              </w:rPr>
              <w:t>20</w:t>
            </w:r>
          </w:p>
        </w:tc>
        <w:tc>
          <w:tcPr>
            <w:tcW w:w="4940" w:type="dxa"/>
          </w:tcPr>
          <w:p w14:paraId="38D94F48" w14:textId="77777777" w:rsidR="006B6FA8" w:rsidRPr="006B6FA8" w:rsidRDefault="006B6FA8" w:rsidP="006B6FA8">
            <w:pPr>
              <w:spacing w:before="20" w:after="20"/>
              <w:jc w:val="left"/>
              <w:rPr>
                <w:rFonts w:cs="Arial"/>
                <w:sz w:val="18"/>
                <w:szCs w:val="18"/>
                <w:lang w:val="es-ES_tradnl" w:bidi="th-TH"/>
              </w:rPr>
            </w:pPr>
            <w:r w:rsidRPr="006B6FA8">
              <w:rPr>
                <w:rFonts w:cs="Arial"/>
                <w:sz w:val="18"/>
                <w:szCs w:val="18"/>
                <w:lang w:val="es-ES_tradnl" w:bidi="th-TH"/>
              </w:rPr>
              <w:t>Flor:  color principal de la parte superior</w:t>
            </w:r>
          </w:p>
        </w:tc>
        <w:tc>
          <w:tcPr>
            <w:tcW w:w="1839" w:type="dxa"/>
          </w:tcPr>
          <w:p w14:paraId="03C3605E" w14:textId="77777777" w:rsidR="006B6FA8" w:rsidRPr="006B6FA8" w:rsidRDefault="006B6FA8" w:rsidP="006B6FA8">
            <w:pPr>
              <w:spacing w:before="20" w:after="20"/>
              <w:jc w:val="left"/>
              <w:rPr>
                <w:rFonts w:cs="Arial"/>
                <w:snapToGrid w:val="0"/>
                <w:sz w:val="18"/>
                <w:szCs w:val="18"/>
                <w:u w:val="single"/>
                <w:lang w:val="es-ES_tradnl" w:bidi="th-TH"/>
              </w:rPr>
            </w:pPr>
            <w:r w:rsidRPr="006B6FA8">
              <w:rPr>
                <w:rFonts w:cs="Arial"/>
                <w:snapToGrid w:val="0"/>
                <w:sz w:val="18"/>
                <w:szCs w:val="18"/>
                <w:lang w:val="es-ES_tradnl" w:bidi="th-TH"/>
              </w:rPr>
              <w:t xml:space="preserve">rojo </w:t>
            </w:r>
            <w:r w:rsidRPr="006B6FA8">
              <w:rPr>
                <w:rFonts w:cs="Arial"/>
                <w:snapToGrid w:val="0"/>
                <w:sz w:val="18"/>
                <w:szCs w:val="18"/>
                <w:highlight w:val="lightGray"/>
                <w:u w:val="single"/>
                <w:lang w:val="es-ES_tradnl" w:bidi="th-TH"/>
              </w:rPr>
              <w:t>medio</w:t>
            </w:r>
          </w:p>
        </w:tc>
        <w:tc>
          <w:tcPr>
            <w:tcW w:w="1560" w:type="dxa"/>
          </w:tcPr>
          <w:p w14:paraId="79549624" w14:textId="77777777" w:rsidR="006B6FA8" w:rsidRPr="006B6FA8" w:rsidRDefault="006B6FA8" w:rsidP="006B6FA8">
            <w:pPr>
              <w:spacing w:before="20" w:after="20"/>
              <w:jc w:val="left"/>
              <w:rPr>
                <w:rFonts w:cs="Arial"/>
                <w:b/>
                <w:snapToGrid w:val="0"/>
                <w:sz w:val="18"/>
                <w:szCs w:val="18"/>
                <w:lang w:val="es-ES_tradnl" w:bidi="th-TH"/>
              </w:rPr>
            </w:pPr>
            <w:r w:rsidRPr="006B6FA8">
              <w:rPr>
                <w:rFonts w:cs="Arial"/>
                <w:snapToGrid w:val="0"/>
                <w:sz w:val="18"/>
                <w:szCs w:val="18"/>
                <w:lang w:val="es-ES_tradnl" w:bidi="th-TH"/>
              </w:rPr>
              <w:t>RHS 46C</w:t>
            </w:r>
          </w:p>
        </w:tc>
        <w:tc>
          <w:tcPr>
            <w:tcW w:w="712" w:type="dxa"/>
          </w:tcPr>
          <w:p w14:paraId="3D10D26C" w14:textId="77777777" w:rsidR="006B6FA8" w:rsidRPr="006B6FA8" w:rsidRDefault="006B6FA8" w:rsidP="006B6FA8">
            <w:pPr>
              <w:spacing w:before="20" w:after="20"/>
              <w:jc w:val="left"/>
              <w:rPr>
                <w:rFonts w:cs="Arial"/>
                <w:sz w:val="18"/>
                <w:szCs w:val="18"/>
                <w:lang w:val="es-ES_tradnl" w:bidi="th-TH"/>
              </w:rPr>
            </w:pPr>
          </w:p>
        </w:tc>
      </w:tr>
      <w:tr w:rsidR="006B6FA8" w:rsidRPr="006B6FA8" w14:paraId="7DF595C7" w14:textId="77777777" w:rsidTr="00D60821">
        <w:trPr>
          <w:cantSplit/>
        </w:trPr>
        <w:tc>
          <w:tcPr>
            <w:tcW w:w="517" w:type="dxa"/>
          </w:tcPr>
          <w:p w14:paraId="4EBDD6BF" w14:textId="77777777" w:rsidR="006B6FA8" w:rsidRPr="006B6FA8" w:rsidRDefault="006B6FA8" w:rsidP="006B6FA8">
            <w:pPr>
              <w:spacing w:before="20" w:after="20"/>
              <w:jc w:val="left"/>
              <w:rPr>
                <w:rFonts w:cs="Arial"/>
                <w:sz w:val="18"/>
                <w:szCs w:val="18"/>
                <w:lang w:val="es-ES_tradnl" w:bidi="th-TH"/>
              </w:rPr>
            </w:pPr>
            <w:r w:rsidRPr="006B6FA8">
              <w:rPr>
                <w:rFonts w:cs="Arial"/>
                <w:sz w:val="18"/>
                <w:szCs w:val="18"/>
                <w:lang w:val="es-ES_tradnl" w:bidi="th-TH"/>
              </w:rPr>
              <w:t>21</w:t>
            </w:r>
          </w:p>
        </w:tc>
        <w:tc>
          <w:tcPr>
            <w:tcW w:w="4940" w:type="dxa"/>
          </w:tcPr>
          <w:p w14:paraId="63E4422A" w14:textId="77777777" w:rsidR="006B6FA8" w:rsidRPr="006B6FA8" w:rsidRDefault="006B6FA8" w:rsidP="006B6FA8">
            <w:pPr>
              <w:spacing w:before="20" w:after="20"/>
              <w:jc w:val="left"/>
              <w:rPr>
                <w:rFonts w:cs="Arial"/>
                <w:sz w:val="18"/>
                <w:szCs w:val="18"/>
                <w:lang w:val="es-ES_tradnl" w:bidi="th-TH"/>
              </w:rPr>
            </w:pPr>
            <w:r w:rsidRPr="006B6FA8">
              <w:rPr>
                <w:rFonts w:cs="Arial"/>
                <w:sz w:val="18"/>
                <w:szCs w:val="18"/>
                <w:u w:val="single"/>
                <w:lang w:val="es-ES_tradnl" w:bidi="th-TH"/>
              </w:rPr>
              <w:t>Solo para variedades con flores bicolores o multicolores:</w:t>
            </w:r>
            <w:r w:rsidRPr="006B6FA8">
              <w:rPr>
                <w:rFonts w:cs="Arial"/>
                <w:sz w:val="18"/>
                <w:szCs w:val="18"/>
                <w:lang w:val="es-ES_tradnl" w:bidi="th-TH"/>
              </w:rPr>
              <w:t xml:space="preserve"> </w:t>
            </w:r>
            <w:r w:rsidRPr="006B6FA8">
              <w:rPr>
                <w:rFonts w:cs="Arial"/>
                <w:sz w:val="18"/>
                <w:szCs w:val="18"/>
                <w:lang w:val="es-ES_tradnl" w:bidi="th-TH"/>
              </w:rPr>
              <w:br/>
              <w:t>Flor:  color secundario de la parte superior</w:t>
            </w:r>
          </w:p>
        </w:tc>
        <w:tc>
          <w:tcPr>
            <w:tcW w:w="1839" w:type="dxa"/>
          </w:tcPr>
          <w:p w14:paraId="46CB2ADC" w14:textId="77777777" w:rsidR="006B6FA8" w:rsidRPr="006B6FA8" w:rsidRDefault="006B6FA8" w:rsidP="006B6FA8">
            <w:pPr>
              <w:spacing w:before="20" w:after="20"/>
              <w:jc w:val="left"/>
              <w:rPr>
                <w:rFonts w:cs="Arial"/>
                <w:snapToGrid w:val="0"/>
                <w:sz w:val="18"/>
                <w:szCs w:val="18"/>
                <w:lang w:val="es-ES_tradnl" w:bidi="th-TH"/>
              </w:rPr>
            </w:pPr>
            <w:r w:rsidRPr="006B6FA8">
              <w:rPr>
                <w:rFonts w:cs="Arial"/>
                <w:snapToGrid w:val="0"/>
                <w:sz w:val="18"/>
                <w:szCs w:val="18"/>
                <w:lang w:val="es-ES_tradnl" w:bidi="th-TH"/>
              </w:rPr>
              <w:br/>
              <w:t xml:space="preserve">púrpura </w:t>
            </w:r>
            <w:r w:rsidRPr="006B6FA8">
              <w:rPr>
                <w:rFonts w:cs="Arial"/>
                <w:snapToGrid w:val="0"/>
                <w:sz w:val="18"/>
                <w:szCs w:val="18"/>
                <w:highlight w:val="lightGray"/>
                <w:u w:val="single"/>
                <w:lang w:val="es-ES_tradnl" w:bidi="th-TH"/>
              </w:rPr>
              <w:t>medio</w:t>
            </w:r>
          </w:p>
        </w:tc>
        <w:tc>
          <w:tcPr>
            <w:tcW w:w="1560" w:type="dxa"/>
          </w:tcPr>
          <w:p w14:paraId="7B381F72" w14:textId="77777777" w:rsidR="006B6FA8" w:rsidRPr="006B6FA8" w:rsidRDefault="006B6FA8" w:rsidP="006B6FA8">
            <w:pPr>
              <w:spacing w:before="20" w:after="20"/>
              <w:rPr>
                <w:rFonts w:cs="Arial"/>
                <w:b/>
                <w:snapToGrid w:val="0"/>
                <w:sz w:val="18"/>
                <w:szCs w:val="18"/>
                <w:lang w:val="es-ES_tradnl"/>
              </w:rPr>
            </w:pPr>
          </w:p>
          <w:p w14:paraId="331B5D57" w14:textId="77777777" w:rsidR="006B6FA8" w:rsidRPr="006B6FA8" w:rsidRDefault="006B6FA8" w:rsidP="006B6FA8">
            <w:pPr>
              <w:spacing w:before="20" w:after="20"/>
              <w:jc w:val="left"/>
              <w:rPr>
                <w:rFonts w:cs="Arial"/>
                <w:b/>
                <w:snapToGrid w:val="0"/>
                <w:sz w:val="18"/>
                <w:szCs w:val="18"/>
                <w:lang w:val="es-ES_tradnl" w:bidi="th-TH"/>
              </w:rPr>
            </w:pPr>
            <w:r w:rsidRPr="006B6FA8">
              <w:rPr>
                <w:rFonts w:cs="Arial"/>
                <w:snapToGrid w:val="0"/>
                <w:sz w:val="18"/>
                <w:szCs w:val="18"/>
                <w:lang w:val="es-ES_tradnl" w:bidi="th-TH"/>
              </w:rPr>
              <w:t>RHS</w:t>
            </w:r>
            <w:r w:rsidRPr="006B6FA8">
              <w:rPr>
                <w:rFonts w:cs="Angsana New"/>
                <w:snapToGrid w:val="0"/>
                <w:sz w:val="16"/>
                <w:szCs w:val="16"/>
                <w:lang w:val="es-ES_tradnl" w:bidi="th-TH"/>
              </w:rPr>
              <w:t> </w:t>
            </w:r>
            <w:r w:rsidRPr="006B6FA8">
              <w:rPr>
                <w:rFonts w:cs="Arial"/>
                <w:snapToGrid w:val="0"/>
                <w:sz w:val="18"/>
                <w:szCs w:val="18"/>
                <w:lang w:val="es-ES_tradnl" w:bidi="th-TH"/>
              </w:rPr>
              <w:t>N 74B</w:t>
            </w:r>
          </w:p>
        </w:tc>
        <w:tc>
          <w:tcPr>
            <w:tcW w:w="712" w:type="dxa"/>
          </w:tcPr>
          <w:p w14:paraId="3BD88F13" w14:textId="77777777" w:rsidR="006B6FA8" w:rsidRPr="006B6FA8" w:rsidRDefault="006B6FA8" w:rsidP="006B6FA8">
            <w:pPr>
              <w:spacing w:before="20" w:after="20"/>
              <w:jc w:val="left"/>
              <w:rPr>
                <w:rFonts w:cs="Arial"/>
                <w:sz w:val="18"/>
                <w:szCs w:val="18"/>
                <w:lang w:val="es-ES_tradnl" w:bidi="th-TH"/>
              </w:rPr>
            </w:pPr>
          </w:p>
        </w:tc>
      </w:tr>
      <w:tr w:rsidR="006B6FA8" w:rsidRPr="006B6FA8" w14:paraId="0AD8931D" w14:textId="77777777" w:rsidTr="00D60821">
        <w:trPr>
          <w:cantSplit/>
        </w:trPr>
        <w:tc>
          <w:tcPr>
            <w:tcW w:w="517" w:type="dxa"/>
          </w:tcPr>
          <w:p w14:paraId="517FF73E" w14:textId="77777777" w:rsidR="006B6FA8" w:rsidRPr="006B6FA8" w:rsidRDefault="006B6FA8" w:rsidP="006B6FA8">
            <w:pPr>
              <w:spacing w:before="20" w:after="20"/>
              <w:jc w:val="left"/>
              <w:rPr>
                <w:rFonts w:cs="Arial"/>
                <w:sz w:val="18"/>
                <w:szCs w:val="18"/>
                <w:lang w:val="es-ES_tradnl" w:bidi="th-TH"/>
              </w:rPr>
            </w:pPr>
            <w:r w:rsidRPr="006B6FA8">
              <w:rPr>
                <w:rFonts w:cs="Arial"/>
                <w:sz w:val="18"/>
                <w:szCs w:val="18"/>
                <w:lang w:val="es-ES_tradnl" w:bidi="th-TH"/>
              </w:rPr>
              <w:t>22</w:t>
            </w:r>
          </w:p>
        </w:tc>
        <w:tc>
          <w:tcPr>
            <w:tcW w:w="4940" w:type="dxa"/>
          </w:tcPr>
          <w:p w14:paraId="353CDA6B" w14:textId="77777777" w:rsidR="006B6FA8" w:rsidRPr="006B6FA8" w:rsidRDefault="006B6FA8" w:rsidP="006B6FA8">
            <w:pPr>
              <w:spacing w:before="20" w:after="20"/>
              <w:jc w:val="left"/>
              <w:rPr>
                <w:rFonts w:cs="Arial"/>
                <w:sz w:val="18"/>
                <w:szCs w:val="18"/>
                <w:lang w:val="es-ES_tradnl" w:bidi="th-TH"/>
              </w:rPr>
            </w:pPr>
            <w:r w:rsidRPr="006B6FA8">
              <w:rPr>
                <w:rFonts w:cs="Arial"/>
                <w:sz w:val="18"/>
                <w:szCs w:val="18"/>
                <w:u w:val="single"/>
                <w:lang w:val="es-ES_tradnl" w:bidi="th-TH"/>
              </w:rPr>
              <w:t>Solo para variedades con flores bicolores o multicolores:</w:t>
            </w:r>
            <w:r w:rsidRPr="006B6FA8">
              <w:rPr>
                <w:rFonts w:cs="Arial"/>
                <w:sz w:val="18"/>
                <w:szCs w:val="18"/>
                <w:lang w:val="es-ES_tradnl" w:bidi="th-TH"/>
              </w:rPr>
              <w:br/>
              <w:t>Flor:  distribución del color secundario</w:t>
            </w:r>
          </w:p>
        </w:tc>
        <w:tc>
          <w:tcPr>
            <w:tcW w:w="3399" w:type="dxa"/>
            <w:gridSpan w:val="2"/>
          </w:tcPr>
          <w:p w14:paraId="7A940CFD" w14:textId="77777777" w:rsidR="006B6FA8" w:rsidRPr="006B6FA8" w:rsidRDefault="006B6FA8" w:rsidP="006B6FA8">
            <w:pPr>
              <w:spacing w:before="20" w:after="20"/>
              <w:jc w:val="left"/>
              <w:rPr>
                <w:rFonts w:cs="Arial"/>
                <w:snapToGrid w:val="0"/>
                <w:sz w:val="18"/>
                <w:szCs w:val="18"/>
                <w:lang w:val="es-ES_tradnl" w:bidi="th-TH"/>
              </w:rPr>
            </w:pPr>
            <w:r w:rsidRPr="006B6FA8">
              <w:rPr>
                <w:rFonts w:cs="Arial"/>
                <w:snapToGrid w:val="0"/>
                <w:sz w:val="18"/>
                <w:szCs w:val="18"/>
                <w:lang w:val="es-ES_tradnl" w:bidi="th-TH"/>
              </w:rPr>
              <w:br/>
              <w:t>principalmente en el pétalo superior</w:t>
            </w:r>
          </w:p>
        </w:tc>
        <w:tc>
          <w:tcPr>
            <w:tcW w:w="712" w:type="dxa"/>
          </w:tcPr>
          <w:p w14:paraId="1CC3491D" w14:textId="77777777" w:rsidR="006B6FA8" w:rsidRPr="006B6FA8" w:rsidRDefault="006B6FA8" w:rsidP="006B6FA8">
            <w:pPr>
              <w:spacing w:before="20" w:after="20"/>
              <w:jc w:val="center"/>
              <w:rPr>
                <w:rFonts w:cs="Arial"/>
                <w:sz w:val="18"/>
                <w:szCs w:val="18"/>
                <w:lang w:val="es-ES_tradnl" w:bidi="th-TH"/>
              </w:rPr>
            </w:pPr>
            <w:r w:rsidRPr="006B6FA8">
              <w:rPr>
                <w:rFonts w:cs="Arial"/>
                <w:sz w:val="18"/>
                <w:szCs w:val="18"/>
                <w:lang w:val="es-ES_tradnl" w:bidi="th-TH"/>
              </w:rPr>
              <w:br/>
              <w:t>1</w:t>
            </w:r>
          </w:p>
        </w:tc>
      </w:tr>
      <w:tr w:rsidR="006B6FA8" w:rsidRPr="006B6FA8" w14:paraId="3091BA2A" w14:textId="77777777" w:rsidTr="00D60821">
        <w:trPr>
          <w:cantSplit/>
        </w:trPr>
        <w:tc>
          <w:tcPr>
            <w:tcW w:w="517" w:type="dxa"/>
          </w:tcPr>
          <w:p w14:paraId="31906E24" w14:textId="77777777" w:rsidR="006B6FA8" w:rsidRPr="006B6FA8" w:rsidRDefault="006B6FA8" w:rsidP="006B6FA8">
            <w:pPr>
              <w:spacing w:before="20" w:after="20"/>
              <w:jc w:val="left"/>
              <w:rPr>
                <w:rFonts w:cs="Arial"/>
                <w:sz w:val="18"/>
                <w:szCs w:val="18"/>
                <w:lang w:val="es-ES_tradnl" w:bidi="th-TH"/>
              </w:rPr>
            </w:pPr>
            <w:r w:rsidRPr="006B6FA8">
              <w:rPr>
                <w:rFonts w:cs="Arial"/>
                <w:sz w:val="18"/>
                <w:szCs w:val="18"/>
                <w:lang w:val="es-ES_tradnl" w:bidi="th-TH"/>
              </w:rPr>
              <w:t>23</w:t>
            </w:r>
          </w:p>
        </w:tc>
        <w:tc>
          <w:tcPr>
            <w:tcW w:w="4940" w:type="dxa"/>
          </w:tcPr>
          <w:p w14:paraId="0CDE342C" w14:textId="77777777" w:rsidR="006B6FA8" w:rsidRPr="006B6FA8" w:rsidRDefault="006B6FA8" w:rsidP="006B6FA8">
            <w:pPr>
              <w:spacing w:before="20" w:after="20"/>
              <w:jc w:val="left"/>
              <w:rPr>
                <w:rFonts w:cs="Arial"/>
                <w:sz w:val="18"/>
                <w:szCs w:val="18"/>
                <w:lang w:val="es-ES_tradnl" w:bidi="th-TH"/>
              </w:rPr>
            </w:pPr>
            <w:r w:rsidRPr="006B6FA8">
              <w:rPr>
                <w:rFonts w:cs="Arial"/>
                <w:sz w:val="18"/>
                <w:szCs w:val="18"/>
                <w:lang w:val="es-ES_tradnl" w:bidi="th-TH"/>
              </w:rPr>
              <w:t>Flor:  zona del ojo</w:t>
            </w:r>
          </w:p>
        </w:tc>
        <w:tc>
          <w:tcPr>
            <w:tcW w:w="3399" w:type="dxa"/>
            <w:gridSpan w:val="2"/>
          </w:tcPr>
          <w:p w14:paraId="43842E56" w14:textId="77777777" w:rsidR="006B6FA8" w:rsidRPr="006B6FA8" w:rsidRDefault="006B6FA8" w:rsidP="006B6FA8">
            <w:pPr>
              <w:spacing w:before="20" w:after="20"/>
              <w:jc w:val="left"/>
              <w:rPr>
                <w:rFonts w:cs="Arial"/>
                <w:snapToGrid w:val="0"/>
                <w:sz w:val="18"/>
                <w:szCs w:val="18"/>
                <w:lang w:val="es-ES_tradnl" w:bidi="th-TH"/>
              </w:rPr>
            </w:pPr>
            <w:r w:rsidRPr="006B6FA8">
              <w:rPr>
                <w:rFonts w:cs="Arial"/>
                <w:snapToGrid w:val="0"/>
                <w:sz w:val="18"/>
                <w:szCs w:val="18"/>
                <w:lang w:val="es-ES_tradnl" w:bidi="th-TH"/>
              </w:rPr>
              <w:t>presente</w:t>
            </w:r>
          </w:p>
        </w:tc>
        <w:tc>
          <w:tcPr>
            <w:tcW w:w="712" w:type="dxa"/>
          </w:tcPr>
          <w:p w14:paraId="40F2757B" w14:textId="77777777" w:rsidR="006B6FA8" w:rsidRPr="006B6FA8" w:rsidRDefault="006B6FA8" w:rsidP="006B6FA8">
            <w:pPr>
              <w:spacing w:before="20" w:after="20"/>
              <w:jc w:val="center"/>
              <w:rPr>
                <w:rFonts w:cs="Arial"/>
                <w:sz w:val="18"/>
                <w:szCs w:val="18"/>
                <w:lang w:val="es-ES_tradnl" w:bidi="th-TH"/>
              </w:rPr>
            </w:pPr>
            <w:r w:rsidRPr="006B6FA8">
              <w:rPr>
                <w:rFonts w:cs="Arial"/>
                <w:sz w:val="18"/>
                <w:szCs w:val="18"/>
                <w:lang w:val="es-ES_tradnl" w:bidi="th-TH"/>
              </w:rPr>
              <w:t>9</w:t>
            </w:r>
          </w:p>
        </w:tc>
      </w:tr>
      <w:tr w:rsidR="006B6FA8" w:rsidRPr="006B6FA8" w14:paraId="69825A63" w14:textId="77777777" w:rsidTr="00D60821">
        <w:trPr>
          <w:cantSplit/>
        </w:trPr>
        <w:tc>
          <w:tcPr>
            <w:tcW w:w="517" w:type="dxa"/>
          </w:tcPr>
          <w:p w14:paraId="619FA5DD" w14:textId="77777777" w:rsidR="006B6FA8" w:rsidRPr="006B6FA8" w:rsidRDefault="006B6FA8" w:rsidP="006B6FA8">
            <w:pPr>
              <w:spacing w:before="20" w:after="20"/>
              <w:jc w:val="left"/>
              <w:rPr>
                <w:rFonts w:cs="Arial"/>
                <w:sz w:val="18"/>
                <w:szCs w:val="18"/>
                <w:lang w:val="es-ES_tradnl" w:bidi="th-TH"/>
              </w:rPr>
            </w:pPr>
            <w:r w:rsidRPr="006B6FA8">
              <w:rPr>
                <w:rFonts w:cs="Arial"/>
                <w:sz w:val="18"/>
                <w:szCs w:val="18"/>
                <w:lang w:val="es-ES_tradnl" w:bidi="th-TH"/>
              </w:rPr>
              <w:t>24</w:t>
            </w:r>
          </w:p>
        </w:tc>
        <w:tc>
          <w:tcPr>
            <w:tcW w:w="4940" w:type="dxa"/>
          </w:tcPr>
          <w:p w14:paraId="44AAE980" w14:textId="77777777" w:rsidR="006B6FA8" w:rsidRPr="006B6FA8" w:rsidRDefault="006B6FA8" w:rsidP="006B6FA8">
            <w:pPr>
              <w:spacing w:before="20" w:after="20"/>
              <w:jc w:val="left"/>
              <w:rPr>
                <w:rFonts w:cs="Arial"/>
                <w:sz w:val="18"/>
                <w:szCs w:val="18"/>
                <w:lang w:val="es-ES_tradnl" w:bidi="th-TH"/>
              </w:rPr>
            </w:pPr>
            <w:r w:rsidRPr="006B6FA8">
              <w:rPr>
                <w:rFonts w:cs="Arial"/>
                <w:sz w:val="18"/>
                <w:szCs w:val="18"/>
                <w:lang w:val="es-ES_tradnl" w:bidi="th-TH"/>
              </w:rPr>
              <w:t>Flor:  tamaño de la zona del ojo</w:t>
            </w:r>
          </w:p>
        </w:tc>
        <w:tc>
          <w:tcPr>
            <w:tcW w:w="3399" w:type="dxa"/>
            <w:gridSpan w:val="2"/>
          </w:tcPr>
          <w:p w14:paraId="6BCCA1A6" w14:textId="77777777" w:rsidR="006B6FA8" w:rsidRPr="006B6FA8" w:rsidRDefault="006B6FA8" w:rsidP="006B6FA8">
            <w:pPr>
              <w:spacing w:before="20" w:after="20"/>
              <w:jc w:val="left"/>
              <w:rPr>
                <w:rFonts w:cs="Arial"/>
                <w:snapToGrid w:val="0"/>
                <w:sz w:val="18"/>
                <w:szCs w:val="18"/>
                <w:lang w:val="es-ES_tradnl" w:bidi="th-TH"/>
              </w:rPr>
            </w:pPr>
            <w:r w:rsidRPr="006B6FA8">
              <w:rPr>
                <w:rFonts w:cs="Arial"/>
                <w:snapToGrid w:val="0"/>
                <w:sz w:val="18"/>
                <w:szCs w:val="18"/>
                <w:lang w:val="es-ES_tradnl" w:bidi="th-TH"/>
              </w:rPr>
              <w:t>grande</w:t>
            </w:r>
          </w:p>
        </w:tc>
        <w:tc>
          <w:tcPr>
            <w:tcW w:w="712" w:type="dxa"/>
          </w:tcPr>
          <w:p w14:paraId="24624874" w14:textId="77777777" w:rsidR="006B6FA8" w:rsidRPr="006B6FA8" w:rsidRDefault="006B6FA8" w:rsidP="006B6FA8">
            <w:pPr>
              <w:spacing w:before="20" w:after="20"/>
              <w:jc w:val="center"/>
              <w:rPr>
                <w:rFonts w:cs="Arial"/>
                <w:sz w:val="18"/>
                <w:szCs w:val="18"/>
                <w:lang w:val="es-ES_tradnl" w:bidi="th-TH"/>
              </w:rPr>
            </w:pPr>
            <w:r w:rsidRPr="006B6FA8">
              <w:rPr>
                <w:rFonts w:cs="Arial"/>
                <w:sz w:val="18"/>
                <w:szCs w:val="18"/>
                <w:lang w:val="es-ES_tradnl" w:bidi="th-TH"/>
              </w:rPr>
              <w:t>7</w:t>
            </w:r>
          </w:p>
        </w:tc>
      </w:tr>
      <w:tr w:rsidR="006B6FA8" w:rsidRPr="006B6FA8" w14:paraId="55D1A823" w14:textId="77777777" w:rsidTr="00D60821">
        <w:trPr>
          <w:cantSplit/>
        </w:trPr>
        <w:tc>
          <w:tcPr>
            <w:tcW w:w="517" w:type="dxa"/>
          </w:tcPr>
          <w:p w14:paraId="48D27669" w14:textId="77777777" w:rsidR="006B6FA8" w:rsidRPr="006B6FA8" w:rsidRDefault="006B6FA8" w:rsidP="006B6FA8">
            <w:pPr>
              <w:spacing w:before="20" w:after="20"/>
              <w:jc w:val="left"/>
              <w:rPr>
                <w:rFonts w:cs="Arial"/>
                <w:sz w:val="18"/>
                <w:szCs w:val="18"/>
                <w:lang w:val="es-ES_tradnl" w:bidi="th-TH"/>
              </w:rPr>
            </w:pPr>
            <w:r w:rsidRPr="006B6FA8">
              <w:rPr>
                <w:rFonts w:cs="Arial"/>
                <w:sz w:val="18"/>
                <w:szCs w:val="18"/>
                <w:lang w:val="es-ES_tradnl" w:bidi="th-TH"/>
              </w:rPr>
              <w:t>25</w:t>
            </w:r>
          </w:p>
        </w:tc>
        <w:tc>
          <w:tcPr>
            <w:tcW w:w="4940" w:type="dxa"/>
          </w:tcPr>
          <w:p w14:paraId="4D1569F1" w14:textId="77777777" w:rsidR="006B6FA8" w:rsidRPr="006B6FA8" w:rsidRDefault="006B6FA8" w:rsidP="006B6FA8">
            <w:pPr>
              <w:spacing w:before="20" w:after="20"/>
              <w:jc w:val="left"/>
              <w:rPr>
                <w:rFonts w:cs="Arial"/>
                <w:sz w:val="18"/>
                <w:szCs w:val="18"/>
                <w:lang w:val="es-ES_tradnl" w:bidi="th-TH"/>
              </w:rPr>
            </w:pPr>
            <w:r w:rsidRPr="006B6FA8">
              <w:rPr>
                <w:rFonts w:cs="Arial"/>
                <w:sz w:val="18"/>
                <w:szCs w:val="18"/>
                <w:lang w:val="es-ES_tradnl" w:bidi="th-TH"/>
              </w:rPr>
              <w:t>Flor:  color principal de la zona del ojo</w:t>
            </w:r>
          </w:p>
        </w:tc>
        <w:tc>
          <w:tcPr>
            <w:tcW w:w="1839" w:type="dxa"/>
          </w:tcPr>
          <w:p w14:paraId="498E2D8C" w14:textId="77777777" w:rsidR="006B6FA8" w:rsidRPr="006B6FA8" w:rsidRDefault="006B6FA8" w:rsidP="006B6FA8">
            <w:pPr>
              <w:spacing w:before="20" w:after="20"/>
              <w:jc w:val="left"/>
              <w:rPr>
                <w:rFonts w:cs="Arial"/>
                <w:snapToGrid w:val="0"/>
                <w:sz w:val="18"/>
                <w:szCs w:val="18"/>
                <w:lang w:val="es-ES_tradnl" w:bidi="th-TH"/>
              </w:rPr>
            </w:pPr>
            <w:r w:rsidRPr="006B6FA8">
              <w:rPr>
                <w:rFonts w:cs="Arial"/>
                <w:snapToGrid w:val="0"/>
                <w:sz w:val="18"/>
                <w:szCs w:val="18"/>
                <w:lang w:val="es-ES_tradnl" w:bidi="th-TH"/>
              </w:rPr>
              <w:t xml:space="preserve">rojo púrpura </w:t>
            </w:r>
            <w:r w:rsidRPr="006B6FA8">
              <w:rPr>
                <w:rFonts w:cs="Arial"/>
                <w:snapToGrid w:val="0"/>
                <w:sz w:val="18"/>
                <w:szCs w:val="18"/>
                <w:highlight w:val="lightGray"/>
                <w:u w:val="single"/>
                <w:lang w:val="es-ES_tradnl" w:bidi="th-TH"/>
              </w:rPr>
              <w:t>medio</w:t>
            </w:r>
          </w:p>
        </w:tc>
        <w:tc>
          <w:tcPr>
            <w:tcW w:w="1560" w:type="dxa"/>
          </w:tcPr>
          <w:p w14:paraId="6E763C62" w14:textId="77777777" w:rsidR="006B6FA8" w:rsidRPr="006B6FA8" w:rsidRDefault="006B6FA8" w:rsidP="006B6FA8">
            <w:pPr>
              <w:spacing w:before="20" w:after="20"/>
              <w:jc w:val="left"/>
              <w:rPr>
                <w:rFonts w:cs="Arial"/>
                <w:sz w:val="18"/>
                <w:szCs w:val="18"/>
                <w:lang w:val="es-ES_tradnl" w:bidi="th-TH"/>
              </w:rPr>
            </w:pPr>
            <w:r w:rsidRPr="006B6FA8">
              <w:rPr>
                <w:rFonts w:cs="Arial"/>
                <w:sz w:val="18"/>
                <w:szCs w:val="18"/>
                <w:lang w:val="es-ES_tradnl" w:bidi="th-TH"/>
              </w:rPr>
              <w:t>RHS N 57A</w:t>
            </w:r>
          </w:p>
        </w:tc>
        <w:tc>
          <w:tcPr>
            <w:tcW w:w="712" w:type="dxa"/>
          </w:tcPr>
          <w:p w14:paraId="48F7645A" w14:textId="77777777" w:rsidR="006B6FA8" w:rsidRPr="006B6FA8" w:rsidRDefault="006B6FA8" w:rsidP="006B6FA8">
            <w:pPr>
              <w:spacing w:before="20" w:after="20"/>
              <w:jc w:val="left"/>
              <w:rPr>
                <w:rFonts w:cs="Arial"/>
                <w:sz w:val="18"/>
                <w:szCs w:val="18"/>
                <w:lang w:val="es-ES_tradnl" w:bidi="th-TH"/>
              </w:rPr>
            </w:pPr>
          </w:p>
        </w:tc>
      </w:tr>
    </w:tbl>
    <w:p w14:paraId="672C1F94" w14:textId="77777777" w:rsidR="006B6FA8" w:rsidRPr="006B6FA8" w:rsidRDefault="006B6FA8" w:rsidP="006B6FA8">
      <w:pPr>
        <w:tabs>
          <w:tab w:val="left" w:pos="567"/>
          <w:tab w:val="left" w:pos="1134"/>
          <w:tab w:val="left" w:pos="8707"/>
          <w:tab w:val="right" w:pos="8931"/>
        </w:tabs>
        <w:rPr>
          <w:lang w:val="es-ES_tradnl"/>
        </w:rPr>
      </w:pPr>
    </w:p>
    <w:p w14:paraId="22C45AF1" w14:textId="77777777" w:rsidR="006B6FA8" w:rsidRPr="006B6FA8" w:rsidRDefault="006B6FA8" w:rsidP="006B6FA8">
      <w:pPr>
        <w:tabs>
          <w:tab w:val="left" w:pos="567"/>
          <w:tab w:val="left" w:pos="1134"/>
          <w:tab w:val="left" w:pos="8707"/>
          <w:tab w:val="right" w:pos="8931"/>
        </w:tabs>
        <w:rPr>
          <w:lang w:val="es-ES_tradnl"/>
        </w:rPr>
      </w:pPr>
    </w:p>
    <w:p w14:paraId="61E191C9" w14:textId="77777777" w:rsidR="006B6FA8" w:rsidRPr="006B6FA8" w:rsidRDefault="006B6FA8" w:rsidP="006B6FA8">
      <w:pPr>
        <w:keepNext/>
        <w:rPr>
          <w:lang w:val="es-ES_tradnl"/>
        </w:rPr>
      </w:pPr>
      <w:bookmarkStart w:id="127" w:name="_Toc237835590"/>
      <w:bookmarkStart w:id="128" w:name="_Toc260229577"/>
      <w:bookmarkStart w:id="129" w:name="_Toc285808909"/>
      <w:bookmarkStart w:id="130" w:name="_Toc288580712"/>
      <w:bookmarkStart w:id="131" w:name="_Toc311045814"/>
      <w:r w:rsidRPr="006B6FA8">
        <w:rPr>
          <w:lang w:val="es-ES_tradnl"/>
        </w:rPr>
        <w:t>3.</w:t>
      </w:r>
      <w:r w:rsidRPr="006B6FA8">
        <w:rPr>
          <w:lang w:val="es-ES_tradnl"/>
        </w:rPr>
        <w:tab/>
      </w:r>
      <w:bookmarkEnd w:id="127"/>
      <w:bookmarkEnd w:id="128"/>
      <w:bookmarkEnd w:id="129"/>
      <w:bookmarkEnd w:id="130"/>
      <w:bookmarkEnd w:id="131"/>
      <w:r w:rsidRPr="006B6FA8">
        <w:rPr>
          <w:lang w:val="es-ES_tradnl"/>
        </w:rPr>
        <w:t xml:space="preserve">Grupos de color UPOV </w:t>
      </w:r>
      <w:r w:rsidRPr="006B6FA8">
        <w:rPr>
          <w:highlight w:val="lightGray"/>
          <w:u w:val="single"/>
          <w:lang w:val="es-ES_tradnl"/>
        </w:rPr>
        <w:t>(sexta edición (2015) de la carta de colores RHS)</w:t>
      </w:r>
    </w:p>
    <w:p w14:paraId="25A2BBBD" w14:textId="77777777" w:rsidR="006B6FA8" w:rsidRPr="006B6FA8" w:rsidRDefault="006B6FA8" w:rsidP="006B6FA8">
      <w:pPr>
        <w:keepNext/>
        <w:rPr>
          <w:lang w:val="es-ES_tradnl"/>
        </w:rPr>
      </w:pPr>
    </w:p>
    <w:p w14:paraId="6F0914D4" w14:textId="77777777" w:rsidR="006B6FA8" w:rsidRPr="006B6FA8" w:rsidRDefault="006B6FA8" w:rsidP="006B6FA8">
      <w:pPr>
        <w:keepNext/>
        <w:tabs>
          <w:tab w:val="left" w:pos="567"/>
          <w:tab w:val="left" w:pos="1134"/>
          <w:tab w:val="left" w:pos="8707"/>
          <w:tab w:val="right" w:pos="8931"/>
        </w:tabs>
        <w:rPr>
          <w:lang w:val="es-ES_tradnl"/>
        </w:rPr>
      </w:pPr>
      <w:r w:rsidRPr="006B6FA8">
        <w:rPr>
          <w:lang w:val="es-ES_tradnl"/>
        </w:rPr>
        <w:t>3.1</w:t>
      </w:r>
      <w:r w:rsidRPr="006B6FA8">
        <w:rPr>
          <w:lang w:val="es-ES_tradnl"/>
        </w:rPr>
        <w:tab/>
        <w:t xml:space="preserve">Los </w:t>
      </w:r>
      <w:r w:rsidRPr="006B6FA8">
        <w:rPr>
          <w:strike/>
          <w:highlight w:val="lightGray"/>
          <w:lang w:val="es-ES_tradnl"/>
        </w:rPr>
        <w:t>50</w:t>
      </w:r>
      <w:r w:rsidRPr="006B6FA8">
        <w:rPr>
          <w:lang w:val="es-ES_tradnl"/>
        </w:rPr>
        <w:t xml:space="preserve"> </w:t>
      </w:r>
      <w:r w:rsidRPr="006B6FA8">
        <w:rPr>
          <w:highlight w:val="lightGray"/>
          <w:u w:val="single"/>
          <w:lang w:val="es-ES_tradnl"/>
        </w:rPr>
        <w:t>73</w:t>
      </w:r>
      <w:r w:rsidRPr="006B6FA8">
        <w:rPr>
          <w:lang w:val="es-ES_tradnl"/>
        </w:rPr>
        <w:t xml:space="preserve"> grupos de color UPOV son los siguientes:</w:t>
      </w:r>
    </w:p>
    <w:p w14:paraId="4A70FAAE" w14:textId="77777777" w:rsidR="006B6FA8" w:rsidRPr="006B6FA8" w:rsidRDefault="006B6FA8" w:rsidP="006B6FA8">
      <w:pPr>
        <w:keepNext/>
        <w:tabs>
          <w:tab w:val="left" w:pos="567"/>
          <w:tab w:val="left" w:pos="1134"/>
          <w:tab w:val="left" w:pos="8707"/>
          <w:tab w:val="right" w:pos="8931"/>
        </w:tabs>
        <w:rPr>
          <w:lang w:val="es-ES_tradnl"/>
        </w:rPr>
      </w:pPr>
    </w:p>
    <w:tbl>
      <w:tblPr>
        <w:tblW w:w="9609" w:type="dxa"/>
        <w:tblInd w:w="-112" w:type="dxa"/>
        <w:tblLayout w:type="fixed"/>
        <w:tblCellMar>
          <w:left w:w="28" w:type="dxa"/>
          <w:right w:w="28" w:type="dxa"/>
        </w:tblCellMar>
        <w:tblLook w:val="04A0" w:firstRow="1" w:lastRow="0" w:firstColumn="1" w:lastColumn="0" w:noHBand="0" w:noVBand="1"/>
      </w:tblPr>
      <w:tblGrid>
        <w:gridCol w:w="1105"/>
        <w:gridCol w:w="2126"/>
        <w:gridCol w:w="2126"/>
        <w:gridCol w:w="1984"/>
        <w:gridCol w:w="2268"/>
      </w:tblGrid>
      <w:tr w:rsidR="006B6FA8" w:rsidRPr="006B6FA8" w14:paraId="351F13A8" w14:textId="77777777" w:rsidTr="00D60821">
        <w:trPr>
          <w:tblHeader/>
        </w:trPr>
        <w:tc>
          <w:tcPr>
            <w:tcW w:w="1105" w:type="dxa"/>
            <w:tcBorders>
              <w:top w:val="single" w:sz="4" w:space="0" w:color="auto"/>
              <w:bottom w:val="single" w:sz="4" w:space="0" w:color="auto"/>
            </w:tcBorders>
          </w:tcPr>
          <w:p w14:paraId="6B4DD42D" w14:textId="77777777" w:rsidR="006B6FA8" w:rsidRPr="006B6FA8" w:rsidRDefault="006B6FA8" w:rsidP="006B6FA8">
            <w:pPr>
              <w:spacing w:before="60" w:after="60"/>
              <w:jc w:val="center"/>
              <w:rPr>
                <w:rFonts w:cs="Arial"/>
                <w:snapToGrid w:val="0"/>
                <w:sz w:val="18"/>
                <w:szCs w:val="18"/>
                <w:highlight w:val="lightGray"/>
                <w:lang w:val="es-ES_tradnl"/>
              </w:rPr>
            </w:pPr>
            <w:r w:rsidRPr="006B6FA8">
              <w:rPr>
                <w:snapToGrid w:val="0"/>
                <w:sz w:val="18"/>
                <w:highlight w:val="lightGray"/>
                <w:lang w:val="en-US"/>
              </w:rPr>
              <w:t xml:space="preserve">Nº de </w:t>
            </w:r>
            <w:proofErr w:type="spellStart"/>
            <w:r w:rsidRPr="006B6FA8">
              <w:rPr>
                <w:snapToGrid w:val="0"/>
                <w:sz w:val="18"/>
                <w:highlight w:val="lightGray"/>
                <w:lang w:val="en-US"/>
              </w:rPr>
              <w:t>grupo</w:t>
            </w:r>
            <w:proofErr w:type="spellEnd"/>
            <w:r w:rsidRPr="006B6FA8">
              <w:rPr>
                <w:snapToGrid w:val="0"/>
                <w:sz w:val="18"/>
                <w:highlight w:val="lightGray"/>
                <w:lang w:val="en-US"/>
              </w:rPr>
              <w:t xml:space="preserve"> UPOV</w:t>
            </w:r>
          </w:p>
        </w:tc>
        <w:tc>
          <w:tcPr>
            <w:tcW w:w="2126" w:type="dxa"/>
            <w:tcBorders>
              <w:top w:val="single" w:sz="4" w:space="0" w:color="auto"/>
              <w:bottom w:val="single" w:sz="4" w:space="0" w:color="auto"/>
            </w:tcBorders>
            <w:vAlign w:val="center"/>
          </w:tcPr>
          <w:p w14:paraId="23D1C2ED" w14:textId="77777777" w:rsidR="006B6FA8" w:rsidRPr="006B6FA8" w:rsidRDefault="006B6FA8" w:rsidP="006B6FA8">
            <w:pPr>
              <w:spacing w:before="60" w:after="60"/>
              <w:jc w:val="left"/>
              <w:rPr>
                <w:rFonts w:cs="Arial"/>
                <w:sz w:val="18"/>
                <w:szCs w:val="18"/>
                <w:highlight w:val="lightGray"/>
                <w:lang w:val="es-ES_tradnl"/>
              </w:rPr>
            </w:pPr>
            <w:r w:rsidRPr="006B6FA8">
              <w:rPr>
                <w:rFonts w:cs="Arial"/>
                <w:sz w:val="18"/>
                <w:szCs w:val="18"/>
                <w:highlight w:val="lightGray"/>
                <w:lang w:val="es-ES_tradnl"/>
              </w:rPr>
              <w:t>Español</w:t>
            </w:r>
          </w:p>
        </w:tc>
        <w:tc>
          <w:tcPr>
            <w:tcW w:w="2126" w:type="dxa"/>
            <w:tcBorders>
              <w:top w:val="single" w:sz="4" w:space="0" w:color="auto"/>
              <w:bottom w:val="single" w:sz="4" w:space="0" w:color="auto"/>
            </w:tcBorders>
            <w:vAlign w:val="center"/>
          </w:tcPr>
          <w:p w14:paraId="412FCC40" w14:textId="77777777" w:rsidR="006B6FA8" w:rsidRPr="006B6FA8" w:rsidRDefault="006B6FA8" w:rsidP="006B6FA8">
            <w:pPr>
              <w:spacing w:before="60" w:after="60"/>
              <w:jc w:val="left"/>
              <w:rPr>
                <w:rFonts w:cs="Arial"/>
                <w:snapToGrid w:val="0"/>
                <w:sz w:val="18"/>
                <w:szCs w:val="18"/>
                <w:highlight w:val="lightGray"/>
                <w:lang w:val="es-ES_tradnl"/>
              </w:rPr>
            </w:pPr>
            <w:r w:rsidRPr="006B6FA8">
              <w:rPr>
                <w:rFonts w:cs="Arial"/>
                <w:sz w:val="18"/>
                <w:szCs w:val="18"/>
                <w:highlight w:val="lightGray"/>
                <w:lang w:val="es-ES_tradnl"/>
              </w:rPr>
              <w:t>English</w:t>
            </w:r>
          </w:p>
        </w:tc>
        <w:tc>
          <w:tcPr>
            <w:tcW w:w="1984" w:type="dxa"/>
            <w:tcBorders>
              <w:top w:val="single" w:sz="4" w:space="0" w:color="auto"/>
              <w:bottom w:val="single" w:sz="4" w:space="0" w:color="auto"/>
            </w:tcBorders>
            <w:vAlign w:val="center"/>
          </w:tcPr>
          <w:p w14:paraId="61BB7808" w14:textId="77777777" w:rsidR="006B6FA8" w:rsidRPr="006B6FA8" w:rsidRDefault="006B6FA8" w:rsidP="006B6FA8">
            <w:pPr>
              <w:spacing w:before="60" w:after="60"/>
              <w:jc w:val="left"/>
              <w:rPr>
                <w:rFonts w:cs="Arial"/>
                <w:sz w:val="18"/>
                <w:szCs w:val="18"/>
                <w:highlight w:val="lightGray"/>
                <w:lang w:val="es-ES_tradnl"/>
              </w:rPr>
            </w:pPr>
            <w:proofErr w:type="spellStart"/>
            <w:r w:rsidRPr="006B6FA8">
              <w:rPr>
                <w:rFonts w:cs="Arial"/>
                <w:sz w:val="18"/>
                <w:szCs w:val="18"/>
                <w:highlight w:val="lightGray"/>
                <w:lang w:val="es-ES_tradnl"/>
              </w:rPr>
              <w:t>français</w:t>
            </w:r>
            <w:proofErr w:type="spellEnd"/>
          </w:p>
        </w:tc>
        <w:tc>
          <w:tcPr>
            <w:tcW w:w="2268" w:type="dxa"/>
            <w:tcBorders>
              <w:top w:val="single" w:sz="4" w:space="0" w:color="auto"/>
              <w:bottom w:val="single" w:sz="4" w:space="0" w:color="auto"/>
            </w:tcBorders>
            <w:vAlign w:val="center"/>
          </w:tcPr>
          <w:p w14:paraId="6FF8C15E" w14:textId="77777777" w:rsidR="006B6FA8" w:rsidRPr="006B6FA8" w:rsidRDefault="006B6FA8" w:rsidP="006B6FA8">
            <w:pPr>
              <w:spacing w:before="60" w:after="60"/>
              <w:jc w:val="left"/>
              <w:rPr>
                <w:rFonts w:cs="Arial"/>
                <w:snapToGrid w:val="0"/>
                <w:sz w:val="18"/>
                <w:szCs w:val="18"/>
                <w:highlight w:val="lightGray"/>
                <w:lang w:val="es-ES_tradnl"/>
              </w:rPr>
            </w:pPr>
            <w:proofErr w:type="spellStart"/>
            <w:r w:rsidRPr="006B6FA8">
              <w:rPr>
                <w:rFonts w:cs="Arial"/>
                <w:snapToGrid w:val="0"/>
                <w:sz w:val="18"/>
                <w:szCs w:val="18"/>
                <w:highlight w:val="lightGray"/>
                <w:lang w:val="es-ES_tradnl"/>
              </w:rPr>
              <w:t>deutsch</w:t>
            </w:r>
            <w:proofErr w:type="spellEnd"/>
          </w:p>
        </w:tc>
      </w:tr>
      <w:tr w:rsidR="006B6FA8" w:rsidRPr="006B6FA8" w14:paraId="2A571497" w14:textId="77777777" w:rsidTr="00D60821">
        <w:tc>
          <w:tcPr>
            <w:tcW w:w="1105" w:type="dxa"/>
            <w:tcBorders>
              <w:top w:val="single" w:sz="4" w:space="0" w:color="auto"/>
            </w:tcBorders>
          </w:tcPr>
          <w:p w14:paraId="0441EC13"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1</w:t>
            </w:r>
          </w:p>
        </w:tc>
        <w:tc>
          <w:tcPr>
            <w:tcW w:w="2126" w:type="dxa"/>
            <w:tcBorders>
              <w:top w:val="single" w:sz="4" w:space="0" w:color="auto"/>
            </w:tcBorders>
          </w:tcPr>
          <w:p w14:paraId="700A58C9"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Blanco</w:t>
            </w:r>
          </w:p>
        </w:tc>
        <w:tc>
          <w:tcPr>
            <w:tcW w:w="2126" w:type="dxa"/>
            <w:tcBorders>
              <w:top w:val="single" w:sz="4" w:space="0" w:color="auto"/>
            </w:tcBorders>
          </w:tcPr>
          <w:p w14:paraId="57FD0696" w14:textId="77777777" w:rsidR="006B6FA8" w:rsidRPr="006B6FA8" w:rsidRDefault="006B6FA8" w:rsidP="006B6FA8">
            <w:pPr>
              <w:jc w:val="left"/>
              <w:rPr>
                <w:rFonts w:cs="Arial"/>
                <w:sz w:val="18"/>
                <w:szCs w:val="18"/>
                <w:highlight w:val="lightGray"/>
                <w:lang w:val="es-ES_tradnl"/>
              </w:rPr>
            </w:pPr>
            <w:proofErr w:type="spellStart"/>
            <w:r w:rsidRPr="006B6FA8">
              <w:rPr>
                <w:rFonts w:cs="Arial"/>
                <w:sz w:val="18"/>
                <w:szCs w:val="18"/>
                <w:highlight w:val="lightGray"/>
                <w:lang w:val="es-ES_tradnl"/>
              </w:rPr>
              <w:t>white</w:t>
            </w:r>
            <w:proofErr w:type="spellEnd"/>
          </w:p>
        </w:tc>
        <w:tc>
          <w:tcPr>
            <w:tcW w:w="1984" w:type="dxa"/>
            <w:tcBorders>
              <w:top w:val="single" w:sz="4" w:space="0" w:color="auto"/>
            </w:tcBorders>
          </w:tcPr>
          <w:p w14:paraId="20F2942B"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blanc</w:t>
            </w:r>
            <w:proofErr w:type="spellEnd"/>
          </w:p>
        </w:tc>
        <w:tc>
          <w:tcPr>
            <w:tcW w:w="2268" w:type="dxa"/>
            <w:tcBorders>
              <w:top w:val="single" w:sz="4" w:space="0" w:color="auto"/>
            </w:tcBorders>
          </w:tcPr>
          <w:p w14:paraId="152AE9C6"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weiß</w:t>
            </w:r>
            <w:proofErr w:type="spellEnd"/>
          </w:p>
        </w:tc>
      </w:tr>
      <w:tr w:rsidR="006B6FA8" w:rsidRPr="006B6FA8" w14:paraId="0573F7A4" w14:textId="77777777" w:rsidTr="00D60821">
        <w:tc>
          <w:tcPr>
            <w:tcW w:w="1105" w:type="dxa"/>
          </w:tcPr>
          <w:p w14:paraId="69BDBF84"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2</w:t>
            </w:r>
          </w:p>
        </w:tc>
        <w:tc>
          <w:tcPr>
            <w:tcW w:w="2126" w:type="dxa"/>
          </w:tcPr>
          <w:p w14:paraId="2F6922EA"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verde claro</w:t>
            </w:r>
          </w:p>
        </w:tc>
        <w:tc>
          <w:tcPr>
            <w:tcW w:w="2126" w:type="dxa"/>
          </w:tcPr>
          <w:p w14:paraId="6F6D3D6D"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 xml:space="preserve">light </w:t>
            </w:r>
            <w:proofErr w:type="spellStart"/>
            <w:r w:rsidRPr="006B6FA8">
              <w:rPr>
                <w:rFonts w:cs="Arial"/>
                <w:sz w:val="18"/>
                <w:szCs w:val="18"/>
                <w:highlight w:val="lightGray"/>
                <w:lang w:val="es-ES_tradnl"/>
              </w:rPr>
              <w:t>green</w:t>
            </w:r>
            <w:proofErr w:type="spellEnd"/>
          </w:p>
        </w:tc>
        <w:tc>
          <w:tcPr>
            <w:tcW w:w="1984" w:type="dxa"/>
          </w:tcPr>
          <w:p w14:paraId="4CDA774F"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vert</w:t>
            </w:r>
            <w:proofErr w:type="spellEnd"/>
            <w:r w:rsidRPr="006B6FA8">
              <w:rPr>
                <w:sz w:val="18"/>
                <w:szCs w:val="18"/>
                <w:highlight w:val="lightGray"/>
                <w:lang w:val="es-ES_tradnl"/>
              </w:rPr>
              <w:t xml:space="preserve"> </w:t>
            </w:r>
            <w:proofErr w:type="spellStart"/>
            <w:r w:rsidRPr="006B6FA8">
              <w:rPr>
                <w:sz w:val="18"/>
                <w:szCs w:val="18"/>
                <w:highlight w:val="lightGray"/>
                <w:lang w:val="es-ES_tradnl"/>
              </w:rPr>
              <w:t>clair</w:t>
            </w:r>
            <w:proofErr w:type="spellEnd"/>
          </w:p>
        </w:tc>
        <w:tc>
          <w:tcPr>
            <w:tcW w:w="2268" w:type="dxa"/>
          </w:tcPr>
          <w:p w14:paraId="741FDD26"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hellgrün</w:t>
            </w:r>
            <w:proofErr w:type="spellEnd"/>
          </w:p>
        </w:tc>
      </w:tr>
      <w:tr w:rsidR="006B6FA8" w:rsidRPr="006B6FA8" w14:paraId="5E48EA4D" w14:textId="77777777" w:rsidTr="00D60821">
        <w:tc>
          <w:tcPr>
            <w:tcW w:w="1105" w:type="dxa"/>
          </w:tcPr>
          <w:p w14:paraId="4CEFF35E"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3</w:t>
            </w:r>
          </w:p>
        </w:tc>
        <w:tc>
          <w:tcPr>
            <w:tcW w:w="2126" w:type="dxa"/>
          </w:tcPr>
          <w:p w14:paraId="2C583E1B"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verde medio</w:t>
            </w:r>
          </w:p>
        </w:tc>
        <w:tc>
          <w:tcPr>
            <w:tcW w:w="2126" w:type="dxa"/>
          </w:tcPr>
          <w:p w14:paraId="50536D4C" w14:textId="77777777" w:rsidR="006B6FA8" w:rsidRPr="006B6FA8" w:rsidRDefault="006B6FA8" w:rsidP="006B6FA8">
            <w:pPr>
              <w:jc w:val="left"/>
              <w:rPr>
                <w:rFonts w:cs="Arial"/>
                <w:sz w:val="18"/>
                <w:szCs w:val="18"/>
                <w:highlight w:val="lightGray"/>
                <w:lang w:val="es-ES_tradnl"/>
              </w:rPr>
            </w:pPr>
            <w:proofErr w:type="spellStart"/>
            <w:r w:rsidRPr="006B6FA8">
              <w:rPr>
                <w:rFonts w:cs="Arial"/>
                <w:sz w:val="18"/>
                <w:szCs w:val="18"/>
                <w:highlight w:val="lightGray"/>
                <w:lang w:val="es-ES_tradnl"/>
              </w:rPr>
              <w:t>medium</w:t>
            </w:r>
            <w:proofErr w:type="spellEnd"/>
            <w:r w:rsidRPr="006B6FA8">
              <w:rPr>
                <w:rFonts w:cs="Arial"/>
                <w:sz w:val="18"/>
                <w:szCs w:val="18"/>
                <w:highlight w:val="lightGray"/>
                <w:lang w:val="es-ES_tradnl"/>
              </w:rPr>
              <w:t xml:space="preserve"> </w:t>
            </w:r>
            <w:proofErr w:type="spellStart"/>
            <w:r w:rsidRPr="006B6FA8">
              <w:rPr>
                <w:rFonts w:cs="Arial"/>
                <w:sz w:val="18"/>
                <w:szCs w:val="18"/>
                <w:highlight w:val="lightGray"/>
                <w:lang w:val="es-ES_tradnl"/>
              </w:rPr>
              <w:t>green</w:t>
            </w:r>
            <w:proofErr w:type="spellEnd"/>
          </w:p>
        </w:tc>
        <w:tc>
          <w:tcPr>
            <w:tcW w:w="1984" w:type="dxa"/>
          </w:tcPr>
          <w:p w14:paraId="2B94CE22"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vert</w:t>
            </w:r>
            <w:proofErr w:type="spellEnd"/>
            <w:r w:rsidRPr="006B6FA8">
              <w:rPr>
                <w:sz w:val="18"/>
                <w:szCs w:val="18"/>
                <w:highlight w:val="lightGray"/>
                <w:lang w:val="es-ES_tradnl"/>
              </w:rPr>
              <w:t xml:space="preserve"> </w:t>
            </w:r>
            <w:proofErr w:type="spellStart"/>
            <w:r w:rsidRPr="006B6FA8">
              <w:rPr>
                <w:sz w:val="18"/>
                <w:szCs w:val="18"/>
                <w:highlight w:val="lightGray"/>
                <w:lang w:val="es-ES_tradnl"/>
              </w:rPr>
              <w:t>moyen</w:t>
            </w:r>
            <w:proofErr w:type="spellEnd"/>
          </w:p>
        </w:tc>
        <w:tc>
          <w:tcPr>
            <w:tcW w:w="2268" w:type="dxa"/>
          </w:tcPr>
          <w:p w14:paraId="06B4B9CF"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mittelgrün</w:t>
            </w:r>
            <w:proofErr w:type="spellEnd"/>
          </w:p>
        </w:tc>
      </w:tr>
      <w:tr w:rsidR="006B6FA8" w:rsidRPr="006B6FA8" w14:paraId="564A0730" w14:textId="77777777" w:rsidTr="00D60821">
        <w:tc>
          <w:tcPr>
            <w:tcW w:w="1105" w:type="dxa"/>
          </w:tcPr>
          <w:p w14:paraId="2E517D57"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4</w:t>
            </w:r>
          </w:p>
        </w:tc>
        <w:tc>
          <w:tcPr>
            <w:tcW w:w="2126" w:type="dxa"/>
          </w:tcPr>
          <w:p w14:paraId="074245A1"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verde oscuro</w:t>
            </w:r>
          </w:p>
        </w:tc>
        <w:tc>
          <w:tcPr>
            <w:tcW w:w="2126" w:type="dxa"/>
          </w:tcPr>
          <w:p w14:paraId="1475EEDC" w14:textId="77777777" w:rsidR="006B6FA8" w:rsidRPr="006B6FA8" w:rsidRDefault="006B6FA8" w:rsidP="006B6FA8">
            <w:pPr>
              <w:jc w:val="left"/>
              <w:rPr>
                <w:rFonts w:cs="Arial"/>
                <w:sz w:val="18"/>
                <w:szCs w:val="18"/>
                <w:highlight w:val="lightGray"/>
                <w:lang w:val="es-ES_tradnl"/>
              </w:rPr>
            </w:pPr>
            <w:proofErr w:type="spellStart"/>
            <w:r w:rsidRPr="006B6FA8">
              <w:rPr>
                <w:rFonts w:cs="Arial"/>
                <w:sz w:val="18"/>
                <w:szCs w:val="18"/>
                <w:highlight w:val="lightGray"/>
                <w:lang w:val="es-ES_tradnl"/>
              </w:rPr>
              <w:t>dark</w:t>
            </w:r>
            <w:proofErr w:type="spellEnd"/>
            <w:r w:rsidRPr="006B6FA8">
              <w:rPr>
                <w:rFonts w:cs="Arial"/>
                <w:sz w:val="18"/>
                <w:szCs w:val="18"/>
                <w:highlight w:val="lightGray"/>
                <w:lang w:val="es-ES_tradnl"/>
              </w:rPr>
              <w:t xml:space="preserve"> </w:t>
            </w:r>
            <w:proofErr w:type="spellStart"/>
            <w:r w:rsidRPr="006B6FA8">
              <w:rPr>
                <w:rFonts w:cs="Arial"/>
                <w:sz w:val="18"/>
                <w:szCs w:val="18"/>
                <w:highlight w:val="lightGray"/>
                <w:lang w:val="es-ES_tradnl"/>
              </w:rPr>
              <w:t>green</w:t>
            </w:r>
            <w:proofErr w:type="spellEnd"/>
          </w:p>
        </w:tc>
        <w:tc>
          <w:tcPr>
            <w:tcW w:w="1984" w:type="dxa"/>
          </w:tcPr>
          <w:p w14:paraId="0B591856"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vert</w:t>
            </w:r>
            <w:proofErr w:type="spellEnd"/>
            <w:r w:rsidRPr="006B6FA8">
              <w:rPr>
                <w:sz w:val="18"/>
                <w:szCs w:val="18"/>
                <w:highlight w:val="lightGray"/>
                <w:lang w:val="es-ES_tradnl"/>
              </w:rPr>
              <w:t xml:space="preserve"> </w:t>
            </w:r>
            <w:proofErr w:type="spellStart"/>
            <w:r w:rsidRPr="006B6FA8">
              <w:rPr>
                <w:sz w:val="18"/>
                <w:szCs w:val="18"/>
                <w:highlight w:val="lightGray"/>
                <w:lang w:val="es-ES_tradnl"/>
              </w:rPr>
              <w:t>foncé</w:t>
            </w:r>
            <w:proofErr w:type="spellEnd"/>
          </w:p>
        </w:tc>
        <w:tc>
          <w:tcPr>
            <w:tcW w:w="2268" w:type="dxa"/>
          </w:tcPr>
          <w:p w14:paraId="7407475F"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dunkelgrün</w:t>
            </w:r>
            <w:proofErr w:type="spellEnd"/>
          </w:p>
        </w:tc>
      </w:tr>
      <w:tr w:rsidR="006B6FA8" w:rsidRPr="006B6FA8" w14:paraId="3E6CD871" w14:textId="77777777" w:rsidTr="00D60821">
        <w:tc>
          <w:tcPr>
            <w:tcW w:w="1105" w:type="dxa"/>
          </w:tcPr>
          <w:p w14:paraId="7102AA0E"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5</w:t>
            </w:r>
          </w:p>
        </w:tc>
        <w:tc>
          <w:tcPr>
            <w:tcW w:w="2126" w:type="dxa"/>
          </w:tcPr>
          <w:p w14:paraId="0E42D153"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verde amarillento claro</w:t>
            </w:r>
          </w:p>
        </w:tc>
        <w:tc>
          <w:tcPr>
            <w:tcW w:w="2126" w:type="dxa"/>
          </w:tcPr>
          <w:p w14:paraId="346528E8"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 xml:space="preserve">light </w:t>
            </w:r>
            <w:proofErr w:type="spellStart"/>
            <w:r w:rsidRPr="006B6FA8">
              <w:rPr>
                <w:rFonts w:cs="Arial"/>
                <w:sz w:val="18"/>
                <w:szCs w:val="18"/>
                <w:highlight w:val="lightGray"/>
                <w:lang w:val="es-ES_tradnl"/>
              </w:rPr>
              <w:t>yellow</w:t>
            </w:r>
            <w:proofErr w:type="spellEnd"/>
            <w:r w:rsidRPr="006B6FA8">
              <w:rPr>
                <w:rFonts w:cs="Arial"/>
                <w:sz w:val="18"/>
                <w:szCs w:val="18"/>
                <w:highlight w:val="lightGray"/>
                <w:lang w:val="es-ES_tradnl"/>
              </w:rPr>
              <w:t xml:space="preserve"> </w:t>
            </w:r>
            <w:proofErr w:type="spellStart"/>
            <w:r w:rsidRPr="006B6FA8">
              <w:rPr>
                <w:rFonts w:cs="Arial"/>
                <w:sz w:val="18"/>
                <w:szCs w:val="18"/>
                <w:highlight w:val="lightGray"/>
                <w:lang w:val="es-ES_tradnl"/>
              </w:rPr>
              <w:t>green</w:t>
            </w:r>
            <w:proofErr w:type="spellEnd"/>
          </w:p>
        </w:tc>
        <w:tc>
          <w:tcPr>
            <w:tcW w:w="1984" w:type="dxa"/>
          </w:tcPr>
          <w:p w14:paraId="27DF1843"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vert-jaune</w:t>
            </w:r>
            <w:proofErr w:type="spellEnd"/>
            <w:r w:rsidRPr="006B6FA8">
              <w:rPr>
                <w:sz w:val="18"/>
                <w:szCs w:val="18"/>
                <w:highlight w:val="lightGray"/>
                <w:lang w:val="es-ES_tradnl"/>
              </w:rPr>
              <w:t xml:space="preserve"> </w:t>
            </w:r>
            <w:proofErr w:type="spellStart"/>
            <w:r w:rsidRPr="006B6FA8">
              <w:rPr>
                <w:sz w:val="18"/>
                <w:szCs w:val="18"/>
                <w:highlight w:val="lightGray"/>
                <w:lang w:val="es-ES_tradnl"/>
              </w:rPr>
              <w:t>clair</w:t>
            </w:r>
            <w:proofErr w:type="spellEnd"/>
          </w:p>
        </w:tc>
        <w:tc>
          <w:tcPr>
            <w:tcW w:w="2268" w:type="dxa"/>
          </w:tcPr>
          <w:p w14:paraId="34B27CDC"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hellgelbgrün</w:t>
            </w:r>
            <w:proofErr w:type="spellEnd"/>
          </w:p>
        </w:tc>
      </w:tr>
      <w:tr w:rsidR="006B6FA8" w:rsidRPr="006B6FA8" w14:paraId="36C975CE" w14:textId="77777777" w:rsidTr="00D60821">
        <w:tc>
          <w:tcPr>
            <w:tcW w:w="1105" w:type="dxa"/>
          </w:tcPr>
          <w:p w14:paraId="70B83CB1"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6</w:t>
            </w:r>
          </w:p>
        </w:tc>
        <w:tc>
          <w:tcPr>
            <w:tcW w:w="2126" w:type="dxa"/>
          </w:tcPr>
          <w:p w14:paraId="66FD43BD"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verde amarillento medio</w:t>
            </w:r>
          </w:p>
        </w:tc>
        <w:tc>
          <w:tcPr>
            <w:tcW w:w="2126" w:type="dxa"/>
          </w:tcPr>
          <w:p w14:paraId="1D1CAA2A" w14:textId="77777777" w:rsidR="006B6FA8" w:rsidRPr="006B6FA8" w:rsidRDefault="006B6FA8" w:rsidP="006B6FA8">
            <w:pPr>
              <w:jc w:val="left"/>
              <w:rPr>
                <w:rFonts w:cs="Arial"/>
                <w:sz w:val="18"/>
                <w:szCs w:val="18"/>
                <w:highlight w:val="lightGray"/>
                <w:lang w:val="es-ES_tradnl"/>
              </w:rPr>
            </w:pPr>
            <w:proofErr w:type="spellStart"/>
            <w:r w:rsidRPr="006B6FA8">
              <w:rPr>
                <w:rFonts w:cs="Arial"/>
                <w:sz w:val="18"/>
                <w:szCs w:val="18"/>
                <w:highlight w:val="lightGray"/>
                <w:lang w:val="es-ES_tradnl"/>
              </w:rPr>
              <w:t>medium</w:t>
            </w:r>
            <w:proofErr w:type="spellEnd"/>
            <w:r w:rsidRPr="006B6FA8">
              <w:rPr>
                <w:rFonts w:cs="Arial"/>
                <w:sz w:val="18"/>
                <w:szCs w:val="18"/>
                <w:highlight w:val="lightGray"/>
                <w:lang w:val="es-ES_tradnl"/>
              </w:rPr>
              <w:t xml:space="preserve"> </w:t>
            </w:r>
            <w:proofErr w:type="spellStart"/>
            <w:r w:rsidRPr="006B6FA8">
              <w:rPr>
                <w:rFonts w:cs="Arial"/>
                <w:sz w:val="18"/>
                <w:szCs w:val="18"/>
                <w:highlight w:val="lightGray"/>
                <w:lang w:val="es-ES_tradnl"/>
              </w:rPr>
              <w:t>yellow</w:t>
            </w:r>
            <w:proofErr w:type="spellEnd"/>
            <w:r w:rsidRPr="006B6FA8">
              <w:rPr>
                <w:rFonts w:cs="Arial"/>
                <w:sz w:val="18"/>
                <w:szCs w:val="18"/>
                <w:highlight w:val="lightGray"/>
                <w:lang w:val="es-ES_tradnl"/>
              </w:rPr>
              <w:t xml:space="preserve"> </w:t>
            </w:r>
            <w:proofErr w:type="spellStart"/>
            <w:r w:rsidRPr="006B6FA8">
              <w:rPr>
                <w:rFonts w:cs="Arial"/>
                <w:sz w:val="18"/>
                <w:szCs w:val="18"/>
                <w:highlight w:val="lightGray"/>
                <w:lang w:val="es-ES_tradnl"/>
              </w:rPr>
              <w:t>green</w:t>
            </w:r>
            <w:proofErr w:type="spellEnd"/>
          </w:p>
        </w:tc>
        <w:tc>
          <w:tcPr>
            <w:tcW w:w="1984" w:type="dxa"/>
          </w:tcPr>
          <w:p w14:paraId="6FB8D470"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vert-jaune</w:t>
            </w:r>
            <w:proofErr w:type="spellEnd"/>
            <w:r w:rsidRPr="006B6FA8">
              <w:rPr>
                <w:sz w:val="18"/>
                <w:szCs w:val="18"/>
                <w:highlight w:val="lightGray"/>
                <w:lang w:val="es-ES_tradnl"/>
              </w:rPr>
              <w:t xml:space="preserve"> </w:t>
            </w:r>
            <w:proofErr w:type="spellStart"/>
            <w:r w:rsidRPr="006B6FA8">
              <w:rPr>
                <w:sz w:val="18"/>
                <w:szCs w:val="18"/>
                <w:highlight w:val="lightGray"/>
                <w:lang w:val="es-ES_tradnl"/>
              </w:rPr>
              <w:t>moyen</w:t>
            </w:r>
            <w:proofErr w:type="spellEnd"/>
          </w:p>
        </w:tc>
        <w:tc>
          <w:tcPr>
            <w:tcW w:w="2268" w:type="dxa"/>
          </w:tcPr>
          <w:p w14:paraId="20BABBF5"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mittelgelbgrün</w:t>
            </w:r>
            <w:proofErr w:type="spellEnd"/>
          </w:p>
        </w:tc>
      </w:tr>
      <w:tr w:rsidR="006B6FA8" w:rsidRPr="006B6FA8" w14:paraId="3848436D" w14:textId="77777777" w:rsidTr="00D60821">
        <w:tc>
          <w:tcPr>
            <w:tcW w:w="1105" w:type="dxa"/>
          </w:tcPr>
          <w:p w14:paraId="69B92478"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7</w:t>
            </w:r>
          </w:p>
        </w:tc>
        <w:tc>
          <w:tcPr>
            <w:tcW w:w="2126" w:type="dxa"/>
          </w:tcPr>
          <w:p w14:paraId="7EB8F81D"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verde grisáceo claro</w:t>
            </w:r>
          </w:p>
        </w:tc>
        <w:tc>
          <w:tcPr>
            <w:tcW w:w="2126" w:type="dxa"/>
          </w:tcPr>
          <w:p w14:paraId="19137FA7"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 xml:space="preserve">light grey </w:t>
            </w:r>
            <w:proofErr w:type="spellStart"/>
            <w:r w:rsidRPr="006B6FA8">
              <w:rPr>
                <w:rFonts w:cs="Arial"/>
                <w:sz w:val="18"/>
                <w:szCs w:val="18"/>
                <w:highlight w:val="lightGray"/>
                <w:lang w:val="es-ES_tradnl"/>
              </w:rPr>
              <w:t>green</w:t>
            </w:r>
            <w:proofErr w:type="spellEnd"/>
          </w:p>
        </w:tc>
        <w:tc>
          <w:tcPr>
            <w:tcW w:w="1984" w:type="dxa"/>
          </w:tcPr>
          <w:p w14:paraId="1C14DAC0"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vert</w:t>
            </w:r>
            <w:proofErr w:type="spellEnd"/>
            <w:r w:rsidRPr="006B6FA8">
              <w:rPr>
                <w:sz w:val="18"/>
                <w:szCs w:val="18"/>
                <w:highlight w:val="lightGray"/>
                <w:lang w:val="es-ES_tradnl"/>
              </w:rPr>
              <w:t xml:space="preserve">-gris </w:t>
            </w:r>
            <w:proofErr w:type="spellStart"/>
            <w:r w:rsidRPr="006B6FA8">
              <w:rPr>
                <w:sz w:val="18"/>
                <w:szCs w:val="18"/>
                <w:highlight w:val="lightGray"/>
                <w:lang w:val="es-ES_tradnl"/>
              </w:rPr>
              <w:t>clair</w:t>
            </w:r>
            <w:proofErr w:type="spellEnd"/>
          </w:p>
        </w:tc>
        <w:tc>
          <w:tcPr>
            <w:tcW w:w="2268" w:type="dxa"/>
          </w:tcPr>
          <w:p w14:paraId="6718AA40"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hellgraugrün</w:t>
            </w:r>
            <w:proofErr w:type="spellEnd"/>
          </w:p>
        </w:tc>
      </w:tr>
      <w:tr w:rsidR="006B6FA8" w:rsidRPr="006B6FA8" w14:paraId="0301572B" w14:textId="77777777" w:rsidTr="00D60821">
        <w:tc>
          <w:tcPr>
            <w:tcW w:w="1105" w:type="dxa"/>
          </w:tcPr>
          <w:p w14:paraId="474F6ED6"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8</w:t>
            </w:r>
          </w:p>
        </w:tc>
        <w:tc>
          <w:tcPr>
            <w:tcW w:w="2126" w:type="dxa"/>
          </w:tcPr>
          <w:p w14:paraId="4D5BD119"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verde grisáceo medio</w:t>
            </w:r>
          </w:p>
        </w:tc>
        <w:tc>
          <w:tcPr>
            <w:tcW w:w="2126" w:type="dxa"/>
          </w:tcPr>
          <w:p w14:paraId="56717F40" w14:textId="77777777" w:rsidR="006B6FA8" w:rsidRPr="006B6FA8" w:rsidRDefault="006B6FA8" w:rsidP="006B6FA8">
            <w:pPr>
              <w:jc w:val="left"/>
              <w:rPr>
                <w:rFonts w:cs="Arial"/>
                <w:sz w:val="18"/>
                <w:szCs w:val="18"/>
                <w:highlight w:val="lightGray"/>
                <w:lang w:val="es-ES_tradnl"/>
              </w:rPr>
            </w:pPr>
            <w:proofErr w:type="spellStart"/>
            <w:r w:rsidRPr="006B6FA8">
              <w:rPr>
                <w:rFonts w:cs="Arial"/>
                <w:sz w:val="18"/>
                <w:szCs w:val="18"/>
                <w:highlight w:val="lightGray"/>
                <w:lang w:val="es-ES_tradnl"/>
              </w:rPr>
              <w:t>medium</w:t>
            </w:r>
            <w:proofErr w:type="spellEnd"/>
            <w:r w:rsidRPr="006B6FA8">
              <w:rPr>
                <w:rFonts w:cs="Arial"/>
                <w:sz w:val="18"/>
                <w:szCs w:val="18"/>
                <w:highlight w:val="lightGray"/>
                <w:lang w:val="es-ES_tradnl"/>
              </w:rPr>
              <w:t xml:space="preserve"> grey </w:t>
            </w:r>
            <w:proofErr w:type="spellStart"/>
            <w:r w:rsidRPr="006B6FA8">
              <w:rPr>
                <w:rFonts w:cs="Arial"/>
                <w:sz w:val="18"/>
                <w:szCs w:val="18"/>
                <w:highlight w:val="lightGray"/>
                <w:lang w:val="es-ES_tradnl"/>
              </w:rPr>
              <w:t>green</w:t>
            </w:r>
            <w:proofErr w:type="spellEnd"/>
          </w:p>
        </w:tc>
        <w:tc>
          <w:tcPr>
            <w:tcW w:w="1984" w:type="dxa"/>
          </w:tcPr>
          <w:p w14:paraId="5B2BABEA"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vert</w:t>
            </w:r>
            <w:proofErr w:type="spellEnd"/>
            <w:r w:rsidRPr="006B6FA8">
              <w:rPr>
                <w:sz w:val="18"/>
                <w:szCs w:val="18"/>
                <w:highlight w:val="lightGray"/>
                <w:lang w:val="es-ES_tradnl"/>
              </w:rPr>
              <w:t xml:space="preserve">-gris </w:t>
            </w:r>
            <w:proofErr w:type="spellStart"/>
            <w:r w:rsidRPr="006B6FA8">
              <w:rPr>
                <w:sz w:val="18"/>
                <w:szCs w:val="18"/>
                <w:highlight w:val="lightGray"/>
                <w:lang w:val="es-ES_tradnl"/>
              </w:rPr>
              <w:t>moyen</w:t>
            </w:r>
            <w:proofErr w:type="spellEnd"/>
          </w:p>
        </w:tc>
        <w:tc>
          <w:tcPr>
            <w:tcW w:w="2268" w:type="dxa"/>
          </w:tcPr>
          <w:p w14:paraId="356F1EE7"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mittelgraugrün</w:t>
            </w:r>
            <w:proofErr w:type="spellEnd"/>
          </w:p>
        </w:tc>
      </w:tr>
      <w:tr w:rsidR="006B6FA8" w:rsidRPr="006B6FA8" w14:paraId="064EF0DA" w14:textId="77777777" w:rsidTr="00D60821">
        <w:tc>
          <w:tcPr>
            <w:tcW w:w="1105" w:type="dxa"/>
          </w:tcPr>
          <w:p w14:paraId="6579B887"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9</w:t>
            </w:r>
          </w:p>
        </w:tc>
        <w:tc>
          <w:tcPr>
            <w:tcW w:w="2126" w:type="dxa"/>
          </w:tcPr>
          <w:p w14:paraId="09A8FDD2"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verde grisáceo oscuro</w:t>
            </w:r>
          </w:p>
        </w:tc>
        <w:tc>
          <w:tcPr>
            <w:tcW w:w="2126" w:type="dxa"/>
          </w:tcPr>
          <w:p w14:paraId="331E258D" w14:textId="77777777" w:rsidR="006B6FA8" w:rsidRPr="006B6FA8" w:rsidRDefault="006B6FA8" w:rsidP="006B6FA8">
            <w:pPr>
              <w:jc w:val="left"/>
              <w:rPr>
                <w:rFonts w:cs="Arial"/>
                <w:sz w:val="18"/>
                <w:szCs w:val="18"/>
                <w:highlight w:val="lightGray"/>
                <w:lang w:val="es-ES_tradnl"/>
              </w:rPr>
            </w:pPr>
            <w:proofErr w:type="spellStart"/>
            <w:r w:rsidRPr="006B6FA8">
              <w:rPr>
                <w:rFonts w:cs="Arial"/>
                <w:sz w:val="18"/>
                <w:szCs w:val="18"/>
                <w:highlight w:val="lightGray"/>
                <w:lang w:val="es-ES_tradnl"/>
              </w:rPr>
              <w:t>dark</w:t>
            </w:r>
            <w:proofErr w:type="spellEnd"/>
            <w:r w:rsidRPr="006B6FA8">
              <w:rPr>
                <w:rFonts w:cs="Arial"/>
                <w:sz w:val="18"/>
                <w:szCs w:val="18"/>
                <w:highlight w:val="lightGray"/>
                <w:lang w:val="es-ES_tradnl"/>
              </w:rPr>
              <w:t xml:space="preserve"> grey </w:t>
            </w:r>
            <w:proofErr w:type="spellStart"/>
            <w:r w:rsidRPr="006B6FA8">
              <w:rPr>
                <w:rFonts w:cs="Arial"/>
                <w:sz w:val="18"/>
                <w:szCs w:val="18"/>
                <w:highlight w:val="lightGray"/>
                <w:lang w:val="es-ES_tradnl"/>
              </w:rPr>
              <w:t>green</w:t>
            </w:r>
            <w:proofErr w:type="spellEnd"/>
          </w:p>
        </w:tc>
        <w:tc>
          <w:tcPr>
            <w:tcW w:w="1984" w:type="dxa"/>
          </w:tcPr>
          <w:p w14:paraId="269357E8"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vert</w:t>
            </w:r>
            <w:proofErr w:type="spellEnd"/>
            <w:r w:rsidRPr="006B6FA8">
              <w:rPr>
                <w:sz w:val="18"/>
                <w:szCs w:val="18"/>
                <w:highlight w:val="lightGray"/>
                <w:lang w:val="es-ES_tradnl"/>
              </w:rPr>
              <w:t xml:space="preserve">-gris </w:t>
            </w:r>
            <w:proofErr w:type="spellStart"/>
            <w:r w:rsidRPr="006B6FA8">
              <w:rPr>
                <w:sz w:val="18"/>
                <w:szCs w:val="18"/>
                <w:highlight w:val="lightGray"/>
                <w:lang w:val="es-ES_tradnl"/>
              </w:rPr>
              <w:t>foncé</w:t>
            </w:r>
            <w:proofErr w:type="spellEnd"/>
          </w:p>
        </w:tc>
        <w:tc>
          <w:tcPr>
            <w:tcW w:w="2268" w:type="dxa"/>
          </w:tcPr>
          <w:p w14:paraId="7DA03645"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dunkelgraugrün</w:t>
            </w:r>
            <w:proofErr w:type="spellEnd"/>
          </w:p>
        </w:tc>
      </w:tr>
      <w:tr w:rsidR="006B6FA8" w:rsidRPr="006B6FA8" w14:paraId="7F543B2A" w14:textId="77777777" w:rsidTr="00D60821">
        <w:tc>
          <w:tcPr>
            <w:tcW w:w="1105" w:type="dxa"/>
          </w:tcPr>
          <w:p w14:paraId="1D7A915F"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10</w:t>
            </w:r>
          </w:p>
        </w:tc>
        <w:tc>
          <w:tcPr>
            <w:tcW w:w="2126" w:type="dxa"/>
          </w:tcPr>
          <w:p w14:paraId="0227A981"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verde azulado claro</w:t>
            </w:r>
          </w:p>
        </w:tc>
        <w:tc>
          <w:tcPr>
            <w:tcW w:w="2126" w:type="dxa"/>
          </w:tcPr>
          <w:p w14:paraId="469E71FC"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 xml:space="preserve">light blue </w:t>
            </w:r>
            <w:proofErr w:type="spellStart"/>
            <w:r w:rsidRPr="006B6FA8">
              <w:rPr>
                <w:rFonts w:cs="Arial"/>
                <w:sz w:val="18"/>
                <w:szCs w:val="18"/>
                <w:highlight w:val="lightGray"/>
                <w:lang w:val="es-ES_tradnl"/>
              </w:rPr>
              <w:t>green</w:t>
            </w:r>
            <w:proofErr w:type="spellEnd"/>
          </w:p>
        </w:tc>
        <w:tc>
          <w:tcPr>
            <w:tcW w:w="1984" w:type="dxa"/>
          </w:tcPr>
          <w:p w14:paraId="4787AC43"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vert-bleu</w:t>
            </w:r>
            <w:proofErr w:type="spellEnd"/>
            <w:r w:rsidRPr="006B6FA8">
              <w:rPr>
                <w:sz w:val="18"/>
                <w:szCs w:val="18"/>
                <w:highlight w:val="lightGray"/>
                <w:lang w:val="es-ES_tradnl"/>
              </w:rPr>
              <w:t xml:space="preserve"> </w:t>
            </w:r>
            <w:proofErr w:type="spellStart"/>
            <w:r w:rsidRPr="006B6FA8">
              <w:rPr>
                <w:sz w:val="18"/>
                <w:szCs w:val="18"/>
                <w:highlight w:val="lightGray"/>
                <w:lang w:val="es-ES_tradnl"/>
              </w:rPr>
              <w:t>clair</w:t>
            </w:r>
            <w:proofErr w:type="spellEnd"/>
          </w:p>
        </w:tc>
        <w:tc>
          <w:tcPr>
            <w:tcW w:w="2268" w:type="dxa"/>
          </w:tcPr>
          <w:p w14:paraId="3AE85D68"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hellblaugrün</w:t>
            </w:r>
            <w:proofErr w:type="spellEnd"/>
          </w:p>
        </w:tc>
      </w:tr>
      <w:tr w:rsidR="006B6FA8" w:rsidRPr="006B6FA8" w14:paraId="5CF718CE" w14:textId="77777777" w:rsidTr="00D60821">
        <w:tc>
          <w:tcPr>
            <w:tcW w:w="1105" w:type="dxa"/>
          </w:tcPr>
          <w:p w14:paraId="5D6EB909"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11</w:t>
            </w:r>
          </w:p>
        </w:tc>
        <w:tc>
          <w:tcPr>
            <w:tcW w:w="2126" w:type="dxa"/>
          </w:tcPr>
          <w:p w14:paraId="7BBD74FE"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verde azulado medio</w:t>
            </w:r>
          </w:p>
        </w:tc>
        <w:tc>
          <w:tcPr>
            <w:tcW w:w="2126" w:type="dxa"/>
          </w:tcPr>
          <w:p w14:paraId="2E3E359A" w14:textId="77777777" w:rsidR="006B6FA8" w:rsidRPr="006B6FA8" w:rsidRDefault="006B6FA8" w:rsidP="006B6FA8">
            <w:pPr>
              <w:jc w:val="left"/>
              <w:rPr>
                <w:rFonts w:cs="Arial"/>
                <w:sz w:val="18"/>
                <w:szCs w:val="18"/>
                <w:highlight w:val="lightGray"/>
                <w:lang w:val="es-ES_tradnl"/>
              </w:rPr>
            </w:pPr>
            <w:proofErr w:type="spellStart"/>
            <w:r w:rsidRPr="006B6FA8">
              <w:rPr>
                <w:rFonts w:cs="Arial"/>
                <w:sz w:val="18"/>
                <w:szCs w:val="18"/>
                <w:highlight w:val="lightGray"/>
                <w:lang w:val="es-ES_tradnl"/>
              </w:rPr>
              <w:t>medium</w:t>
            </w:r>
            <w:proofErr w:type="spellEnd"/>
            <w:r w:rsidRPr="006B6FA8">
              <w:rPr>
                <w:rFonts w:cs="Arial"/>
                <w:sz w:val="18"/>
                <w:szCs w:val="18"/>
                <w:highlight w:val="lightGray"/>
                <w:lang w:val="es-ES_tradnl"/>
              </w:rPr>
              <w:t xml:space="preserve"> blue </w:t>
            </w:r>
            <w:proofErr w:type="spellStart"/>
            <w:r w:rsidRPr="006B6FA8">
              <w:rPr>
                <w:rFonts w:cs="Arial"/>
                <w:sz w:val="18"/>
                <w:szCs w:val="18"/>
                <w:highlight w:val="lightGray"/>
                <w:lang w:val="es-ES_tradnl"/>
              </w:rPr>
              <w:t>green</w:t>
            </w:r>
            <w:proofErr w:type="spellEnd"/>
          </w:p>
        </w:tc>
        <w:tc>
          <w:tcPr>
            <w:tcW w:w="1984" w:type="dxa"/>
          </w:tcPr>
          <w:p w14:paraId="239B1C34"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vert-bleu</w:t>
            </w:r>
            <w:proofErr w:type="spellEnd"/>
            <w:r w:rsidRPr="006B6FA8">
              <w:rPr>
                <w:sz w:val="18"/>
                <w:szCs w:val="18"/>
                <w:highlight w:val="lightGray"/>
                <w:lang w:val="es-ES_tradnl"/>
              </w:rPr>
              <w:t xml:space="preserve"> </w:t>
            </w:r>
            <w:proofErr w:type="spellStart"/>
            <w:r w:rsidRPr="006B6FA8">
              <w:rPr>
                <w:sz w:val="18"/>
                <w:szCs w:val="18"/>
                <w:highlight w:val="lightGray"/>
                <w:lang w:val="es-ES_tradnl"/>
              </w:rPr>
              <w:t>moyen</w:t>
            </w:r>
            <w:proofErr w:type="spellEnd"/>
          </w:p>
        </w:tc>
        <w:tc>
          <w:tcPr>
            <w:tcW w:w="2268" w:type="dxa"/>
          </w:tcPr>
          <w:p w14:paraId="1095C6C4"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mittelblaugrün</w:t>
            </w:r>
            <w:proofErr w:type="spellEnd"/>
          </w:p>
        </w:tc>
      </w:tr>
      <w:tr w:rsidR="006B6FA8" w:rsidRPr="006B6FA8" w14:paraId="43020AEB" w14:textId="77777777" w:rsidTr="00D60821">
        <w:tc>
          <w:tcPr>
            <w:tcW w:w="1105" w:type="dxa"/>
          </w:tcPr>
          <w:p w14:paraId="0E7F7B3E"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12</w:t>
            </w:r>
          </w:p>
        </w:tc>
        <w:tc>
          <w:tcPr>
            <w:tcW w:w="2126" w:type="dxa"/>
          </w:tcPr>
          <w:p w14:paraId="4BA7BC49"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verde azulado oscuro</w:t>
            </w:r>
          </w:p>
        </w:tc>
        <w:tc>
          <w:tcPr>
            <w:tcW w:w="2126" w:type="dxa"/>
          </w:tcPr>
          <w:p w14:paraId="7CEF1049" w14:textId="77777777" w:rsidR="006B6FA8" w:rsidRPr="006B6FA8" w:rsidRDefault="006B6FA8" w:rsidP="006B6FA8">
            <w:pPr>
              <w:jc w:val="left"/>
              <w:rPr>
                <w:rFonts w:cs="Arial"/>
                <w:sz w:val="18"/>
                <w:szCs w:val="18"/>
                <w:highlight w:val="lightGray"/>
                <w:lang w:val="es-ES_tradnl"/>
              </w:rPr>
            </w:pPr>
            <w:proofErr w:type="spellStart"/>
            <w:r w:rsidRPr="006B6FA8">
              <w:rPr>
                <w:rFonts w:cs="Arial"/>
                <w:sz w:val="18"/>
                <w:szCs w:val="18"/>
                <w:highlight w:val="lightGray"/>
                <w:lang w:val="es-ES_tradnl"/>
              </w:rPr>
              <w:t>dark</w:t>
            </w:r>
            <w:proofErr w:type="spellEnd"/>
            <w:r w:rsidRPr="006B6FA8">
              <w:rPr>
                <w:rFonts w:cs="Arial"/>
                <w:sz w:val="18"/>
                <w:szCs w:val="18"/>
                <w:highlight w:val="lightGray"/>
                <w:lang w:val="es-ES_tradnl"/>
              </w:rPr>
              <w:t xml:space="preserve"> blue </w:t>
            </w:r>
            <w:proofErr w:type="spellStart"/>
            <w:r w:rsidRPr="006B6FA8">
              <w:rPr>
                <w:rFonts w:cs="Arial"/>
                <w:sz w:val="18"/>
                <w:szCs w:val="18"/>
                <w:highlight w:val="lightGray"/>
                <w:lang w:val="es-ES_tradnl"/>
              </w:rPr>
              <w:t>green</w:t>
            </w:r>
            <w:proofErr w:type="spellEnd"/>
          </w:p>
        </w:tc>
        <w:tc>
          <w:tcPr>
            <w:tcW w:w="1984" w:type="dxa"/>
          </w:tcPr>
          <w:p w14:paraId="7A50C391"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vert-bleu</w:t>
            </w:r>
            <w:proofErr w:type="spellEnd"/>
            <w:r w:rsidRPr="006B6FA8">
              <w:rPr>
                <w:sz w:val="18"/>
                <w:szCs w:val="18"/>
                <w:highlight w:val="lightGray"/>
                <w:lang w:val="es-ES_tradnl"/>
              </w:rPr>
              <w:t xml:space="preserve"> </w:t>
            </w:r>
            <w:proofErr w:type="spellStart"/>
            <w:r w:rsidRPr="006B6FA8">
              <w:rPr>
                <w:sz w:val="18"/>
                <w:szCs w:val="18"/>
                <w:highlight w:val="lightGray"/>
                <w:lang w:val="es-ES_tradnl"/>
              </w:rPr>
              <w:t>foncé</w:t>
            </w:r>
            <w:proofErr w:type="spellEnd"/>
          </w:p>
        </w:tc>
        <w:tc>
          <w:tcPr>
            <w:tcW w:w="2268" w:type="dxa"/>
          </w:tcPr>
          <w:p w14:paraId="076B860B"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dunkelblaugrün</w:t>
            </w:r>
            <w:proofErr w:type="spellEnd"/>
          </w:p>
        </w:tc>
      </w:tr>
      <w:tr w:rsidR="006B6FA8" w:rsidRPr="006B6FA8" w14:paraId="48AF9A2B" w14:textId="77777777" w:rsidTr="00D60821">
        <w:tc>
          <w:tcPr>
            <w:tcW w:w="1105" w:type="dxa"/>
          </w:tcPr>
          <w:p w14:paraId="4069B8AE"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13</w:t>
            </w:r>
          </w:p>
        </w:tc>
        <w:tc>
          <w:tcPr>
            <w:tcW w:w="2126" w:type="dxa"/>
          </w:tcPr>
          <w:p w14:paraId="32DEC6D9"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verde amarronado claro</w:t>
            </w:r>
          </w:p>
        </w:tc>
        <w:tc>
          <w:tcPr>
            <w:tcW w:w="2126" w:type="dxa"/>
          </w:tcPr>
          <w:p w14:paraId="277F524B"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 xml:space="preserve">light </w:t>
            </w:r>
            <w:proofErr w:type="spellStart"/>
            <w:r w:rsidRPr="006B6FA8">
              <w:rPr>
                <w:rFonts w:cs="Arial"/>
                <w:sz w:val="18"/>
                <w:szCs w:val="18"/>
                <w:highlight w:val="lightGray"/>
                <w:lang w:val="es-ES_tradnl"/>
              </w:rPr>
              <w:t>brown</w:t>
            </w:r>
            <w:proofErr w:type="spellEnd"/>
            <w:r w:rsidRPr="006B6FA8">
              <w:rPr>
                <w:rFonts w:cs="Arial"/>
                <w:sz w:val="18"/>
                <w:szCs w:val="18"/>
                <w:highlight w:val="lightGray"/>
                <w:lang w:val="es-ES_tradnl"/>
              </w:rPr>
              <w:t xml:space="preserve"> </w:t>
            </w:r>
            <w:proofErr w:type="spellStart"/>
            <w:r w:rsidRPr="006B6FA8">
              <w:rPr>
                <w:rFonts w:cs="Arial"/>
                <w:sz w:val="18"/>
                <w:szCs w:val="18"/>
                <w:highlight w:val="lightGray"/>
                <w:lang w:val="es-ES_tradnl"/>
              </w:rPr>
              <w:t>green</w:t>
            </w:r>
            <w:proofErr w:type="spellEnd"/>
          </w:p>
        </w:tc>
        <w:tc>
          <w:tcPr>
            <w:tcW w:w="1984" w:type="dxa"/>
          </w:tcPr>
          <w:p w14:paraId="5A84CA75"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vert-brun</w:t>
            </w:r>
            <w:proofErr w:type="spellEnd"/>
            <w:r w:rsidRPr="006B6FA8">
              <w:rPr>
                <w:sz w:val="18"/>
                <w:szCs w:val="18"/>
                <w:highlight w:val="lightGray"/>
                <w:lang w:val="es-ES_tradnl"/>
              </w:rPr>
              <w:t xml:space="preserve"> </w:t>
            </w:r>
            <w:proofErr w:type="spellStart"/>
            <w:r w:rsidRPr="006B6FA8">
              <w:rPr>
                <w:sz w:val="18"/>
                <w:szCs w:val="18"/>
                <w:highlight w:val="lightGray"/>
                <w:lang w:val="es-ES_tradnl"/>
              </w:rPr>
              <w:t>clair</w:t>
            </w:r>
            <w:proofErr w:type="spellEnd"/>
          </w:p>
        </w:tc>
        <w:tc>
          <w:tcPr>
            <w:tcW w:w="2268" w:type="dxa"/>
          </w:tcPr>
          <w:p w14:paraId="3357C1B9"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hellbraungrün</w:t>
            </w:r>
            <w:proofErr w:type="spellEnd"/>
          </w:p>
        </w:tc>
      </w:tr>
      <w:tr w:rsidR="006B6FA8" w:rsidRPr="006B6FA8" w14:paraId="2695CC51" w14:textId="77777777" w:rsidTr="00D60821">
        <w:tc>
          <w:tcPr>
            <w:tcW w:w="1105" w:type="dxa"/>
          </w:tcPr>
          <w:p w14:paraId="13BA33CC"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14</w:t>
            </w:r>
          </w:p>
        </w:tc>
        <w:tc>
          <w:tcPr>
            <w:tcW w:w="2126" w:type="dxa"/>
          </w:tcPr>
          <w:p w14:paraId="6961DA38"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verde amarronado medio</w:t>
            </w:r>
          </w:p>
        </w:tc>
        <w:tc>
          <w:tcPr>
            <w:tcW w:w="2126" w:type="dxa"/>
          </w:tcPr>
          <w:p w14:paraId="69FD90A0" w14:textId="77777777" w:rsidR="006B6FA8" w:rsidRPr="006B6FA8" w:rsidRDefault="006B6FA8" w:rsidP="006B6FA8">
            <w:pPr>
              <w:jc w:val="left"/>
              <w:rPr>
                <w:rFonts w:cs="Arial"/>
                <w:sz w:val="18"/>
                <w:szCs w:val="18"/>
                <w:highlight w:val="lightGray"/>
                <w:lang w:val="es-ES_tradnl"/>
              </w:rPr>
            </w:pPr>
            <w:proofErr w:type="spellStart"/>
            <w:r w:rsidRPr="006B6FA8">
              <w:rPr>
                <w:rFonts w:cs="Arial"/>
                <w:sz w:val="18"/>
                <w:szCs w:val="18"/>
                <w:highlight w:val="lightGray"/>
                <w:lang w:val="es-ES_tradnl"/>
              </w:rPr>
              <w:t>medium</w:t>
            </w:r>
            <w:proofErr w:type="spellEnd"/>
            <w:r w:rsidRPr="006B6FA8">
              <w:rPr>
                <w:rFonts w:cs="Arial"/>
                <w:sz w:val="18"/>
                <w:szCs w:val="18"/>
                <w:highlight w:val="lightGray"/>
                <w:lang w:val="es-ES_tradnl"/>
              </w:rPr>
              <w:t xml:space="preserve"> </w:t>
            </w:r>
            <w:proofErr w:type="spellStart"/>
            <w:r w:rsidRPr="006B6FA8">
              <w:rPr>
                <w:rFonts w:cs="Arial"/>
                <w:sz w:val="18"/>
                <w:szCs w:val="18"/>
                <w:highlight w:val="lightGray"/>
                <w:lang w:val="es-ES_tradnl"/>
              </w:rPr>
              <w:t>brown</w:t>
            </w:r>
            <w:proofErr w:type="spellEnd"/>
            <w:r w:rsidRPr="006B6FA8">
              <w:rPr>
                <w:rFonts w:cs="Arial"/>
                <w:sz w:val="18"/>
                <w:szCs w:val="18"/>
                <w:highlight w:val="lightGray"/>
                <w:lang w:val="es-ES_tradnl"/>
              </w:rPr>
              <w:t xml:space="preserve"> </w:t>
            </w:r>
            <w:proofErr w:type="spellStart"/>
            <w:r w:rsidRPr="006B6FA8">
              <w:rPr>
                <w:rFonts w:cs="Arial"/>
                <w:sz w:val="18"/>
                <w:szCs w:val="18"/>
                <w:highlight w:val="lightGray"/>
                <w:lang w:val="es-ES_tradnl"/>
              </w:rPr>
              <w:t>green</w:t>
            </w:r>
            <w:proofErr w:type="spellEnd"/>
          </w:p>
        </w:tc>
        <w:tc>
          <w:tcPr>
            <w:tcW w:w="1984" w:type="dxa"/>
          </w:tcPr>
          <w:p w14:paraId="3FA234C0"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vert-brun</w:t>
            </w:r>
            <w:proofErr w:type="spellEnd"/>
            <w:r w:rsidRPr="006B6FA8">
              <w:rPr>
                <w:sz w:val="18"/>
                <w:szCs w:val="18"/>
                <w:highlight w:val="lightGray"/>
                <w:lang w:val="es-ES_tradnl"/>
              </w:rPr>
              <w:t xml:space="preserve"> </w:t>
            </w:r>
            <w:proofErr w:type="spellStart"/>
            <w:r w:rsidRPr="006B6FA8">
              <w:rPr>
                <w:sz w:val="18"/>
                <w:szCs w:val="18"/>
                <w:highlight w:val="lightGray"/>
                <w:lang w:val="es-ES_tradnl"/>
              </w:rPr>
              <w:t>moyen</w:t>
            </w:r>
            <w:proofErr w:type="spellEnd"/>
          </w:p>
        </w:tc>
        <w:tc>
          <w:tcPr>
            <w:tcW w:w="2268" w:type="dxa"/>
          </w:tcPr>
          <w:p w14:paraId="4CCE6F6F"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mittelbraungrün</w:t>
            </w:r>
            <w:proofErr w:type="spellEnd"/>
          </w:p>
        </w:tc>
      </w:tr>
      <w:tr w:rsidR="006B6FA8" w:rsidRPr="006B6FA8" w14:paraId="7C83DD79" w14:textId="77777777" w:rsidTr="00D60821">
        <w:tc>
          <w:tcPr>
            <w:tcW w:w="1105" w:type="dxa"/>
          </w:tcPr>
          <w:p w14:paraId="5BCC14D8"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15</w:t>
            </w:r>
          </w:p>
        </w:tc>
        <w:tc>
          <w:tcPr>
            <w:tcW w:w="2126" w:type="dxa"/>
          </w:tcPr>
          <w:p w14:paraId="3F487F01"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verde amarronado oscuro</w:t>
            </w:r>
          </w:p>
        </w:tc>
        <w:tc>
          <w:tcPr>
            <w:tcW w:w="2126" w:type="dxa"/>
          </w:tcPr>
          <w:p w14:paraId="5B3D2FB7" w14:textId="77777777" w:rsidR="006B6FA8" w:rsidRPr="006B6FA8" w:rsidRDefault="006B6FA8" w:rsidP="006B6FA8">
            <w:pPr>
              <w:jc w:val="left"/>
              <w:rPr>
                <w:rFonts w:cs="Arial"/>
                <w:sz w:val="18"/>
                <w:szCs w:val="18"/>
                <w:highlight w:val="lightGray"/>
                <w:lang w:val="es-ES_tradnl"/>
              </w:rPr>
            </w:pPr>
            <w:proofErr w:type="spellStart"/>
            <w:r w:rsidRPr="006B6FA8">
              <w:rPr>
                <w:rFonts w:cs="Arial"/>
                <w:sz w:val="18"/>
                <w:szCs w:val="18"/>
                <w:highlight w:val="lightGray"/>
                <w:lang w:val="es-ES_tradnl"/>
              </w:rPr>
              <w:t>dark</w:t>
            </w:r>
            <w:proofErr w:type="spellEnd"/>
            <w:r w:rsidRPr="006B6FA8">
              <w:rPr>
                <w:rFonts w:cs="Arial"/>
                <w:sz w:val="18"/>
                <w:szCs w:val="18"/>
                <w:highlight w:val="lightGray"/>
                <w:lang w:val="es-ES_tradnl"/>
              </w:rPr>
              <w:t xml:space="preserve"> </w:t>
            </w:r>
            <w:proofErr w:type="spellStart"/>
            <w:r w:rsidRPr="006B6FA8">
              <w:rPr>
                <w:rFonts w:cs="Arial"/>
                <w:sz w:val="18"/>
                <w:szCs w:val="18"/>
                <w:highlight w:val="lightGray"/>
                <w:lang w:val="es-ES_tradnl"/>
              </w:rPr>
              <w:t>brown</w:t>
            </w:r>
            <w:proofErr w:type="spellEnd"/>
            <w:r w:rsidRPr="006B6FA8">
              <w:rPr>
                <w:rFonts w:cs="Arial"/>
                <w:sz w:val="18"/>
                <w:szCs w:val="18"/>
                <w:highlight w:val="lightGray"/>
                <w:lang w:val="es-ES_tradnl"/>
              </w:rPr>
              <w:t xml:space="preserve"> </w:t>
            </w:r>
            <w:proofErr w:type="spellStart"/>
            <w:r w:rsidRPr="006B6FA8">
              <w:rPr>
                <w:rFonts w:cs="Arial"/>
                <w:sz w:val="18"/>
                <w:szCs w:val="18"/>
                <w:highlight w:val="lightGray"/>
                <w:lang w:val="es-ES_tradnl"/>
              </w:rPr>
              <w:t>green</w:t>
            </w:r>
            <w:proofErr w:type="spellEnd"/>
          </w:p>
        </w:tc>
        <w:tc>
          <w:tcPr>
            <w:tcW w:w="1984" w:type="dxa"/>
          </w:tcPr>
          <w:p w14:paraId="555C5DF7"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vert-brun</w:t>
            </w:r>
            <w:proofErr w:type="spellEnd"/>
            <w:r w:rsidRPr="006B6FA8">
              <w:rPr>
                <w:sz w:val="18"/>
                <w:szCs w:val="18"/>
                <w:highlight w:val="lightGray"/>
                <w:lang w:val="es-ES_tradnl"/>
              </w:rPr>
              <w:t xml:space="preserve"> </w:t>
            </w:r>
            <w:proofErr w:type="spellStart"/>
            <w:r w:rsidRPr="006B6FA8">
              <w:rPr>
                <w:sz w:val="18"/>
                <w:szCs w:val="18"/>
                <w:highlight w:val="lightGray"/>
                <w:lang w:val="es-ES_tradnl"/>
              </w:rPr>
              <w:t>foncé</w:t>
            </w:r>
            <w:proofErr w:type="spellEnd"/>
          </w:p>
        </w:tc>
        <w:tc>
          <w:tcPr>
            <w:tcW w:w="2268" w:type="dxa"/>
          </w:tcPr>
          <w:p w14:paraId="538DA871"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dunkelbraungrün</w:t>
            </w:r>
            <w:proofErr w:type="spellEnd"/>
          </w:p>
        </w:tc>
      </w:tr>
      <w:tr w:rsidR="006B6FA8" w:rsidRPr="006B6FA8" w14:paraId="77BF7732" w14:textId="77777777" w:rsidTr="00D60821">
        <w:tc>
          <w:tcPr>
            <w:tcW w:w="1105" w:type="dxa"/>
          </w:tcPr>
          <w:p w14:paraId="69D476C5"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16</w:t>
            </w:r>
          </w:p>
        </w:tc>
        <w:tc>
          <w:tcPr>
            <w:tcW w:w="2126" w:type="dxa"/>
          </w:tcPr>
          <w:p w14:paraId="16DD61AC"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amarillo claro</w:t>
            </w:r>
          </w:p>
        </w:tc>
        <w:tc>
          <w:tcPr>
            <w:tcW w:w="2126" w:type="dxa"/>
          </w:tcPr>
          <w:p w14:paraId="45F8D1DC"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 xml:space="preserve">light </w:t>
            </w:r>
            <w:proofErr w:type="spellStart"/>
            <w:r w:rsidRPr="006B6FA8">
              <w:rPr>
                <w:rFonts w:cs="Arial"/>
                <w:sz w:val="18"/>
                <w:szCs w:val="18"/>
                <w:highlight w:val="lightGray"/>
                <w:lang w:val="es-ES_tradnl"/>
              </w:rPr>
              <w:t>yellow</w:t>
            </w:r>
            <w:proofErr w:type="spellEnd"/>
          </w:p>
        </w:tc>
        <w:tc>
          <w:tcPr>
            <w:tcW w:w="1984" w:type="dxa"/>
          </w:tcPr>
          <w:p w14:paraId="7597BE9C"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jaune</w:t>
            </w:r>
            <w:proofErr w:type="spellEnd"/>
            <w:r w:rsidRPr="006B6FA8">
              <w:rPr>
                <w:sz w:val="18"/>
                <w:szCs w:val="18"/>
                <w:highlight w:val="lightGray"/>
                <w:lang w:val="es-ES_tradnl"/>
              </w:rPr>
              <w:t xml:space="preserve"> </w:t>
            </w:r>
            <w:proofErr w:type="spellStart"/>
            <w:r w:rsidRPr="006B6FA8">
              <w:rPr>
                <w:sz w:val="18"/>
                <w:szCs w:val="18"/>
                <w:highlight w:val="lightGray"/>
                <w:lang w:val="es-ES_tradnl"/>
              </w:rPr>
              <w:t>clair</w:t>
            </w:r>
            <w:proofErr w:type="spellEnd"/>
          </w:p>
        </w:tc>
        <w:tc>
          <w:tcPr>
            <w:tcW w:w="2268" w:type="dxa"/>
          </w:tcPr>
          <w:p w14:paraId="597850C5"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hellgelb</w:t>
            </w:r>
            <w:proofErr w:type="spellEnd"/>
          </w:p>
        </w:tc>
      </w:tr>
      <w:tr w:rsidR="006B6FA8" w:rsidRPr="006B6FA8" w14:paraId="36C12834" w14:textId="77777777" w:rsidTr="00D60821">
        <w:tc>
          <w:tcPr>
            <w:tcW w:w="1105" w:type="dxa"/>
          </w:tcPr>
          <w:p w14:paraId="074CAD02"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17</w:t>
            </w:r>
          </w:p>
        </w:tc>
        <w:tc>
          <w:tcPr>
            <w:tcW w:w="2126" w:type="dxa"/>
          </w:tcPr>
          <w:p w14:paraId="2395D250"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amarillo medio</w:t>
            </w:r>
          </w:p>
        </w:tc>
        <w:tc>
          <w:tcPr>
            <w:tcW w:w="2126" w:type="dxa"/>
          </w:tcPr>
          <w:p w14:paraId="45B1FD76" w14:textId="77777777" w:rsidR="006B6FA8" w:rsidRPr="006B6FA8" w:rsidRDefault="006B6FA8" w:rsidP="006B6FA8">
            <w:pPr>
              <w:jc w:val="left"/>
              <w:rPr>
                <w:rFonts w:cs="Arial"/>
                <w:sz w:val="18"/>
                <w:szCs w:val="18"/>
                <w:highlight w:val="lightGray"/>
                <w:lang w:val="es-ES_tradnl"/>
              </w:rPr>
            </w:pPr>
            <w:proofErr w:type="spellStart"/>
            <w:r w:rsidRPr="006B6FA8">
              <w:rPr>
                <w:rFonts w:cs="Arial"/>
                <w:sz w:val="18"/>
                <w:szCs w:val="18"/>
                <w:highlight w:val="lightGray"/>
                <w:lang w:val="es-ES_tradnl"/>
              </w:rPr>
              <w:t>medium</w:t>
            </w:r>
            <w:proofErr w:type="spellEnd"/>
            <w:r w:rsidRPr="006B6FA8">
              <w:rPr>
                <w:rFonts w:cs="Arial"/>
                <w:sz w:val="18"/>
                <w:szCs w:val="18"/>
                <w:highlight w:val="lightGray"/>
                <w:lang w:val="es-ES_tradnl"/>
              </w:rPr>
              <w:t xml:space="preserve"> </w:t>
            </w:r>
            <w:proofErr w:type="spellStart"/>
            <w:r w:rsidRPr="006B6FA8">
              <w:rPr>
                <w:rFonts w:cs="Arial"/>
                <w:sz w:val="18"/>
                <w:szCs w:val="18"/>
                <w:highlight w:val="lightGray"/>
                <w:lang w:val="es-ES_tradnl"/>
              </w:rPr>
              <w:t>yellow</w:t>
            </w:r>
            <w:proofErr w:type="spellEnd"/>
          </w:p>
        </w:tc>
        <w:tc>
          <w:tcPr>
            <w:tcW w:w="1984" w:type="dxa"/>
          </w:tcPr>
          <w:p w14:paraId="58556CC3"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jaune</w:t>
            </w:r>
            <w:proofErr w:type="spellEnd"/>
            <w:r w:rsidRPr="006B6FA8">
              <w:rPr>
                <w:sz w:val="18"/>
                <w:szCs w:val="18"/>
                <w:highlight w:val="lightGray"/>
                <w:lang w:val="es-ES_tradnl"/>
              </w:rPr>
              <w:t xml:space="preserve"> </w:t>
            </w:r>
            <w:proofErr w:type="spellStart"/>
            <w:r w:rsidRPr="006B6FA8">
              <w:rPr>
                <w:sz w:val="18"/>
                <w:szCs w:val="18"/>
                <w:highlight w:val="lightGray"/>
                <w:lang w:val="es-ES_tradnl"/>
              </w:rPr>
              <w:t>moyen</w:t>
            </w:r>
            <w:proofErr w:type="spellEnd"/>
          </w:p>
        </w:tc>
        <w:tc>
          <w:tcPr>
            <w:tcW w:w="2268" w:type="dxa"/>
          </w:tcPr>
          <w:p w14:paraId="603A46F6"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mittelgelb</w:t>
            </w:r>
            <w:proofErr w:type="spellEnd"/>
          </w:p>
        </w:tc>
      </w:tr>
      <w:tr w:rsidR="006B6FA8" w:rsidRPr="006B6FA8" w14:paraId="3EB4A079" w14:textId="77777777" w:rsidTr="00D60821">
        <w:tc>
          <w:tcPr>
            <w:tcW w:w="1105" w:type="dxa"/>
          </w:tcPr>
          <w:p w14:paraId="2B302EC1"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18</w:t>
            </w:r>
          </w:p>
        </w:tc>
        <w:tc>
          <w:tcPr>
            <w:tcW w:w="2126" w:type="dxa"/>
          </w:tcPr>
          <w:p w14:paraId="727E701C"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amarillo oscuro</w:t>
            </w:r>
          </w:p>
        </w:tc>
        <w:tc>
          <w:tcPr>
            <w:tcW w:w="2126" w:type="dxa"/>
          </w:tcPr>
          <w:p w14:paraId="779FE5BE" w14:textId="77777777" w:rsidR="006B6FA8" w:rsidRPr="006B6FA8" w:rsidRDefault="006B6FA8" w:rsidP="006B6FA8">
            <w:pPr>
              <w:jc w:val="left"/>
              <w:rPr>
                <w:rFonts w:cs="Arial"/>
                <w:sz w:val="18"/>
                <w:szCs w:val="18"/>
                <w:highlight w:val="lightGray"/>
                <w:lang w:val="es-ES_tradnl"/>
              </w:rPr>
            </w:pPr>
            <w:proofErr w:type="spellStart"/>
            <w:r w:rsidRPr="006B6FA8">
              <w:rPr>
                <w:rFonts w:cs="Arial"/>
                <w:sz w:val="18"/>
                <w:szCs w:val="18"/>
                <w:highlight w:val="lightGray"/>
                <w:lang w:val="es-ES_tradnl"/>
              </w:rPr>
              <w:t>dark</w:t>
            </w:r>
            <w:proofErr w:type="spellEnd"/>
            <w:r w:rsidRPr="006B6FA8">
              <w:rPr>
                <w:rFonts w:cs="Arial"/>
                <w:sz w:val="18"/>
                <w:szCs w:val="18"/>
                <w:highlight w:val="lightGray"/>
                <w:lang w:val="es-ES_tradnl"/>
              </w:rPr>
              <w:t xml:space="preserve"> </w:t>
            </w:r>
            <w:proofErr w:type="spellStart"/>
            <w:r w:rsidRPr="006B6FA8">
              <w:rPr>
                <w:rFonts w:cs="Arial"/>
                <w:sz w:val="18"/>
                <w:szCs w:val="18"/>
                <w:highlight w:val="lightGray"/>
                <w:lang w:val="es-ES_tradnl"/>
              </w:rPr>
              <w:t>yellow</w:t>
            </w:r>
            <w:proofErr w:type="spellEnd"/>
          </w:p>
        </w:tc>
        <w:tc>
          <w:tcPr>
            <w:tcW w:w="1984" w:type="dxa"/>
          </w:tcPr>
          <w:p w14:paraId="4C3DA8BA"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jaune</w:t>
            </w:r>
            <w:proofErr w:type="spellEnd"/>
            <w:r w:rsidRPr="006B6FA8">
              <w:rPr>
                <w:sz w:val="18"/>
                <w:szCs w:val="18"/>
                <w:highlight w:val="lightGray"/>
                <w:lang w:val="es-ES_tradnl"/>
              </w:rPr>
              <w:t xml:space="preserve"> </w:t>
            </w:r>
            <w:proofErr w:type="spellStart"/>
            <w:r w:rsidRPr="006B6FA8">
              <w:rPr>
                <w:sz w:val="18"/>
                <w:szCs w:val="18"/>
                <w:highlight w:val="lightGray"/>
                <w:lang w:val="es-ES_tradnl"/>
              </w:rPr>
              <w:t>foncé</w:t>
            </w:r>
            <w:proofErr w:type="spellEnd"/>
          </w:p>
        </w:tc>
        <w:tc>
          <w:tcPr>
            <w:tcW w:w="2268" w:type="dxa"/>
          </w:tcPr>
          <w:p w14:paraId="747EC767"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dunkelgelb</w:t>
            </w:r>
            <w:proofErr w:type="spellEnd"/>
          </w:p>
        </w:tc>
      </w:tr>
      <w:tr w:rsidR="006B6FA8" w:rsidRPr="006B6FA8" w14:paraId="12EFCDE5" w14:textId="77777777" w:rsidTr="00D60821">
        <w:tc>
          <w:tcPr>
            <w:tcW w:w="1105" w:type="dxa"/>
          </w:tcPr>
          <w:p w14:paraId="327D04B8"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19</w:t>
            </w:r>
          </w:p>
        </w:tc>
        <w:tc>
          <w:tcPr>
            <w:tcW w:w="2126" w:type="dxa"/>
          </w:tcPr>
          <w:p w14:paraId="012ADA9E"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naranja amarillento claro</w:t>
            </w:r>
          </w:p>
        </w:tc>
        <w:tc>
          <w:tcPr>
            <w:tcW w:w="2126" w:type="dxa"/>
          </w:tcPr>
          <w:p w14:paraId="641195B8"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 xml:space="preserve">light </w:t>
            </w:r>
            <w:proofErr w:type="spellStart"/>
            <w:r w:rsidRPr="006B6FA8">
              <w:rPr>
                <w:rFonts w:cs="Arial"/>
                <w:sz w:val="18"/>
                <w:szCs w:val="18"/>
                <w:highlight w:val="lightGray"/>
                <w:lang w:val="es-ES_tradnl"/>
              </w:rPr>
              <w:t>yellow</w:t>
            </w:r>
            <w:proofErr w:type="spellEnd"/>
            <w:r w:rsidRPr="006B6FA8">
              <w:rPr>
                <w:rFonts w:cs="Arial"/>
                <w:sz w:val="18"/>
                <w:szCs w:val="18"/>
                <w:highlight w:val="lightGray"/>
                <w:lang w:val="es-ES_tradnl"/>
              </w:rPr>
              <w:t xml:space="preserve"> </w:t>
            </w:r>
            <w:proofErr w:type="spellStart"/>
            <w:r w:rsidRPr="006B6FA8">
              <w:rPr>
                <w:rFonts w:cs="Arial"/>
                <w:sz w:val="18"/>
                <w:szCs w:val="18"/>
                <w:highlight w:val="lightGray"/>
                <w:lang w:val="es-ES_tradnl"/>
              </w:rPr>
              <w:t>orange</w:t>
            </w:r>
            <w:proofErr w:type="spellEnd"/>
          </w:p>
        </w:tc>
        <w:tc>
          <w:tcPr>
            <w:tcW w:w="1984" w:type="dxa"/>
          </w:tcPr>
          <w:p w14:paraId="11A9A823"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orange-jaune</w:t>
            </w:r>
            <w:proofErr w:type="spellEnd"/>
            <w:r w:rsidRPr="006B6FA8">
              <w:rPr>
                <w:sz w:val="18"/>
                <w:szCs w:val="18"/>
                <w:highlight w:val="lightGray"/>
                <w:lang w:val="es-ES_tradnl"/>
              </w:rPr>
              <w:t xml:space="preserve"> </w:t>
            </w:r>
            <w:proofErr w:type="spellStart"/>
            <w:r w:rsidRPr="006B6FA8">
              <w:rPr>
                <w:sz w:val="18"/>
                <w:szCs w:val="18"/>
                <w:highlight w:val="lightGray"/>
                <w:lang w:val="es-ES_tradnl"/>
              </w:rPr>
              <w:t>clair</w:t>
            </w:r>
            <w:proofErr w:type="spellEnd"/>
          </w:p>
        </w:tc>
        <w:tc>
          <w:tcPr>
            <w:tcW w:w="2268" w:type="dxa"/>
          </w:tcPr>
          <w:p w14:paraId="34A4020F"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hellgelborange</w:t>
            </w:r>
            <w:proofErr w:type="spellEnd"/>
          </w:p>
        </w:tc>
      </w:tr>
      <w:tr w:rsidR="006B6FA8" w:rsidRPr="006B6FA8" w14:paraId="0086BF5B" w14:textId="77777777" w:rsidTr="00D60821">
        <w:tc>
          <w:tcPr>
            <w:tcW w:w="1105" w:type="dxa"/>
          </w:tcPr>
          <w:p w14:paraId="14BA98DE"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20</w:t>
            </w:r>
          </w:p>
        </w:tc>
        <w:tc>
          <w:tcPr>
            <w:tcW w:w="2126" w:type="dxa"/>
          </w:tcPr>
          <w:p w14:paraId="55874BD9"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naranja amarillento medio</w:t>
            </w:r>
          </w:p>
        </w:tc>
        <w:tc>
          <w:tcPr>
            <w:tcW w:w="2126" w:type="dxa"/>
          </w:tcPr>
          <w:p w14:paraId="42759D72" w14:textId="77777777" w:rsidR="006B6FA8" w:rsidRPr="006B6FA8" w:rsidRDefault="006B6FA8" w:rsidP="006B6FA8">
            <w:pPr>
              <w:jc w:val="left"/>
              <w:rPr>
                <w:rFonts w:cs="Arial"/>
                <w:sz w:val="18"/>
                <w:szCs w:val="18"/>
                <w:highlight w:val="lightGray"/>
                <w:lang w:val="es-ES_tradnl"/>
              </w:rPr>
            </w:pPr>
            <w:proofErr w:type="spellStart"/>
            <w:r w:rsidRPr="006B6FA8">
              <w:rPr>
                <w:rFonts w:cs="Arial"/>
                <w:sz w:val="18"/>
                <w:szCs w:val="18"/>
                <w:highlight w:val="lightGray"/>
                <w:lang w:val="es-ES_tradnl"/>
              </w:rPr>
              <w:t>medium</w:t>
            </w:r>
            <w:proofErr w:type="spellEnd"/>
            <w:r w:rsidRPr="006B6FA8">
              <w:rPr>
                <w:rFonts w:cs="Arial"/>
                <w:sz w:val="18"/>
                <w:szCs w:val="18"/>
                <w:highlight w:val="lightGray"/>
                <w:lang w:val="es-ES_tradnl"/>
              </w:rPr>
              <w:t xml:space="preserve"> </w:t>
            </w:r>
            <w:proofErr w:type="spellStart"/>
            <w:r w:rsidRPr="006B6FA8">
              <w:rPr>
                <w:rFonts w:cs="Arial"/>
                <w:sz w:val="18"/>
                <w:szCs w:val="18"/>
                <w:highlight w:val="lightGray"/>
                <w:lang w:val="es-ES_tradnl"/>
              </w:rPr>
              <w:t>yellow</w:t>
            </w:r>
            <w:proofErr w:type="spellEnd"/>
            <w:r w:rsidRPr="006B6FA8">
              <w:rPr>
                <w:rFonts w:cs="Arial"/>
                <w:sz w:val="18"/>
                <w:szCs w:val="18"/>
                <w:highlight w:val="lightGray"/>
                <w:lang w:val="es-ES_tradnl"/>
              </w:rPr>
              <w:t xml:space="preserve"> </w:t>
            </w:r>
            <w:proofErr w:type="spellStart"/>
            <w:r w:rsidRPr="006B6FA8">
              <w:rPr>
                <w:rFonts w:cs="Arial"/>
                <w:sz w:val="18"/>
                <w:szCs w:val="18"/>
                <w:highlight w:val="lightGray"/>
                <w:lang w:val="es-ES_tradnl"/>
              </w:rPr>
              <w:t>orange</w:t>
            </w:r>
            <w:proofErr w:type="spellEnd"/>
          </w:p>
        </w:tc>
        <w:tc>
          <w:tcPr>
            <w:tcW w:w="1984" w:type="dxa"/>
          </w:tcPr>
          <w:p w14:paraId="3526018C"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orange-jaune</w:t>
            </w:r>
            <w:proofErr w:type="spellEnd"/>
            <w:r w:rsidRPr="006B6FA8">
              <w:rPr>
                <w:sz w:val="18"/>
                <w:szCs w:val="18"/>
                <w:highlight w:val="lightGray"/>
                <w:lang w:val="es-ES_tradnl"/>
              </w:rPr>
              <w:t xml:space="preserve"> </w:t>
            </w:r>
            <w:proofErr w:type="spellStart"/>
            <w:r w:rsidRPr="006B6FA8">
              <w:rPr>
                <w:sz w:val="18"/>
                <w:szCs w:val="18"/>
                <w:highlight w:val="lightGray"/>
                <w:lang w:val="es-ES_tradnl"/>
              </w:rPr>
              <w:t>moyen</w:t>
            </w:r>
            <w:proofErr w:type="spellEnd"/>
          </w:p>
        </w:tc>
        <w:tc>
          <w:tcPr>
            <w:tcW w:w="2268" w:type="dxa"/>
          </w:tcPr>
          <w:p w14:paraId="0E161741"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mittelgelborange</w:t>
            </w:r>
            <w:proofErr w:type="spellEnd"/>
          </w:p>
        </w:tc>
      </w:tr>
      <w:tr w:rsidR="006B6FA8" w:rsidRPr="006B6FA8" w14:paraId="5796FB42" w14:textId="77777777" w:rsidTr="00D60821">
        <w:tc>
          <w:tcPr>
            <w:tcW w:w="1105" w:type="dxa"/>
          </w:tcPr>
          <w:p w14:paraId="4C67B603"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21</w:t>
            </w:r>
          </w:p>
        </w:tc>
        <w:tc>
          <w:tcPr>
            <w:tcW w:w="2126" w:type="dxa"/>
          </w:tcPr>
          <w:p w14:paraId="41BE7485"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naranja amarillento oscuro</w:t>
            </w:r>
          </w:p>
        </w:tc>
        <w:tc>
          <w:tcPr>
            <w:tcW w:w="2126" w:type="dxa"/>
          </w:tcPr>
          <w:p w14:paraId="4288F90B" w14:textId="77777777" w:rsidR="006B6FA8" w:rsidRPr="006B6FA8" w:rsidRDefault="006B6FA8" w:rsidP="006B6FA8">
            <w:pPr>
              <w:jc w:val="left"/>
              <w:rPr>
                <w:rFonts w:cs="Arial"/>
                <w:sz w:val="18"/>
                <w:szCs w:val="18"/>
                <w:highlight w:val="lightGray"/>
                <w:lang w:val="es-ES_tradnl"/>
              </w:rPr>
            </w:pPr>
            <w:proofErr w:type="spellStart"/>
            <w:r w:rsidRPr="006B6FA8">
              <w:rPr>
                <w:rFonts w:cs="Arial"/>
                <w:sz w:val="18"/>
                <w:szCs w:val="18"/>
                <w:highlight w:val="lightGray"/>
                <w:lang w:val="es-ES_tradnl"/>
              </w:rPr>
              <w:t>dark</w:t>
            </w:r>
            <w:proofErr w:type="spellEnd"/>
            <w:r w:rsidRPr="006B6FA8">
              <w:rPr>
                <w:rFonts w:cs="Arial"/>
                <w:sz w:val="18"/>
                <w:szCs w:val="18"/>
                <w:highlight w:val="lightGray"/>
                <w:lang w:val="es-ES_tradnl"/>
              </w:rPr>
              <w:t xml:space="preserve"> </w:t>
            </w:r>
            <w:proofErr w:type="spellStart"/>
            <w:r w:rsidRPr="006B6FA8">
              <w:rPr>
                <w:rFonts w:cs="Arial"/>
                <w:sz w:val="18"/>
                <w:szCs w:val="18"/>
                <w:highlight w:val="lightGray"/>
                <w:lang w:val="es-ES_tradnl"/>
              </w:rPr>
              <w:t>yellow</w:t>
            </w:r>
            <w:proofErr w:type="spellEnd"/>
            <w:r w:rsidRPr="006B6FA8">
              <w:rPr>
                <w:rFonts w:cs="Arial"/>
                <w:sz w:val="18"/>
                <w:szCs w:val="18"/>
                <w:highlight w:val="lightGray"/>
                <w:lang w:val="es-ES_tradnl"/>
              </w:rPr>
              <w:t xml:space="preserve"> </w:t>
            </w:r>
            <w:proofErr w:type="spellStart"/>
            <w:r w:rsidRPr="006B6FA8">
              <w:rPr>
                <w:rFonts w:cs="Arial"/>
                <w:sz w:val="18"/>
                <w:szCs w:val="18"/>
                <w:highlight w:val="lightGray"/>
                <w:lang w:val="es-ES_tradnl"/>
              </w:rPr>
              <w:t>orange</w:t>
            </w:r>
            <w:proofErr w:type="spellEnd"/>
          </w:p>
        </w:tc>
        <w:tc>
          <w:tcPr>
            <w:tcW w:w="1984" w:type="dxa"/>
          </w:tcPr>
          <w:p w14:paraId="1BC6F5F6"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orange-jaune</w:t>
            </w:r>
            <w:proofErr w:type="spellEnd"/>
            <w:r w:rsidRPr="006B6FA8">
              <w:rPr>
                <w:sz w:val="18"/>
                <w:szCs w:val="18"/>
                <w:highlight w:val="lightGray"/>
                <w:lang w:val="es-ES_tradnl"/>
              </w:rPr>
              <w:t xml:space="preserve"> </w:t>
            </w:r>
            <w:proofErr w:type="spellStart"/>
            <w:r w:rsidRPr="006B6FA8">
              <w:rPr>
                <w:sz w:val="18"/>
                <w:szCs w:val="18"/>
                <w:highlight w:val="lightGray"/>
                <w:lang w:val="es-ES_tradnl"/>
              </w:rPr>
              <w:t>foncé</w:t>
            </w:r>
            <w:proofErr w:type="spellEnd"/>
          </w:p>
        </w:tc>
        <w:tc>
          <w:tcPr>
            <w:tcW w:w="2268" w:type="dxa"/>
          </w:tcPr>
          <w:p w14:paraId="3AD6A57A"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dunkelgelborange</w:t>
            </w:r>
            <w:proofErr w:type="spellEnd"/>
          </w:p>
        </w:tc>
      </w:tr>
      <w:tr w:rsidR="006B6FA8" w:rsidRPr="006B6FA8" w14:paraId="3A96C60E" w14:textId="77777777" w:rsidTr="00D60821">
        <w:tc>
          <w:tcPr>
            <w:tcW w:w="1105" w:type="dxa"/>
          </w:tcPr>
          <w:p w14:paraId="5631E6D2"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22</w:t>
            </w:r>
          </w:p>
        </w:tc>
        <w:tc>
          <w:tcPr>
            <w:tcW w:w="2126" w:type="dxa"/>
          </w:tcPr>
          <w:p w14:paraId="5370E9F1"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naranja claro</w:t>
            </w:r>
          </w:p>
        </w:tc>
        <w:tc>
          <w:tcPr>
            <w:tcW w:w="2126" w:type="dxa"/>
          </w:tcPr>
          <w:p w14:paraId="2DCBB2B8"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 xml:space="preserve">light </w:t>
            </w:r>
            <w:proofErr w:type="spellStart"/>
            <w:r w:rsidRPr="006B6FA8">
              <w:rPr>
                <w:rFonts w:cs="Arial"/>
                <w:sz w:val="18"/>
                <w:szCs w:val="18"/>
                <w:highlight w:val="lightGray"/>
                <w:lang w:val="es-ES_tradnl"/>
              </w:rPr>
              <w:t>orange</w:t>
            </w:r>
            <w:proofErr w:type="spellEnd"/>
          </w:p>
        </w:tc>
        <w:tc>
          <w:tcPr>
            <w:tcW w:w="1984" w:type="dxa"/>
          </w:tcPr>
          <w:p w14:paraId="7A941375"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orange</w:t>
            </w:r>
            <w:proofErr w:type="spellEnd"/>
            <w:r w:rsidRPr="006B6FA8">
              <w:rPr>
                <w:sz w:val="18"/>
                <w:szCs w:val="18"/>
                <w:highlight w:val="lightGray"/>
                <w:lang w:val="es-ES_tradnl"/>
              </w:rPr>
              <w:t xml:space="preserve"> </w:t>
            </w:r>
            <w:proofErr w:type="spellStart"/>
            <w:r w:rsidRPr="006B6FA8">
              <w:rPr>
                <w:sz w:val="18"/>
                <w:szCs w:val="18"/>
                <w:highlight w:val="lightGray"/>
                <w:lang w:val="es-ES_tradnl"/>
              </w:rPr>
              <w:t>clair</w:t>
            </w:r>
            <w:proofErr w:type="spellEnd"/>
          </w:p>
        </w:tc>
        <w:tc>
          <w:tcPr>
            <w:tcW w:w="2268" w:type="dxa"/>
          </w:tcPr>
          <w:p w14:paraId="1DBB6ECF"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hellorange</w:t>
            </w:r>
            <w:proofErr w:type="spellEnd"/>
          </w:p>
        </w:tc>
      </w:tr>
      <w:tr w:rsidR="006B6FA8" w:rsidRPr="006B6FA8" w14:paraId="6FA1D754" w14:textId="77777777" w:rsidTr="00D60821">
        <w:tc>
          <w:tcPr>
            <w:tcW w:w="1105" w:type="dxa"/>
          </w:tcPr>
          <w:p w14:paraId="4538CC2B"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23</w:t>
            </w:r>
          </w:p>
        </w:tc>
        <w:tc>
          <w:tcPr>
            <w:tcW w:w="2126" w:type="dxa"/>
          </w:tcPr>
          <w:p w14:paraId="2EFD7998"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naranja medio</w:t>
            </w:r>
          </w:p>
        </w:tc>
        <w:tc>
          <w:tcPr>
            <w:tcW w:w="2126" w:type="dxa"/>
          </w:tcPr>
          <w:p w14:paraId="4D2E8C3E" w14:textId="77777777" w:rsidR="006B6FA8" w:rsidRPr="006B6FA8" w:rsidRDefault="006B6FA8" w:rsidP="006B6FA8">
            <w:pPr>
              <w:jc w:val="left"/>
              <w:rPr>
                <w:rFonts w:cs="Arial"/>
                <w:sz w:val="18"/>
                <w:szCs w:val="18"/>
                <w:highlight w:val="lightGray"/>
                <w:lang w:val="es-ES_tradnl"/>
              </w:rPr>
            </w:pPr>
            <w:proofErr w:type="spellStart"/>
            <w:r w:rsidRPr="006B6FA8">
              <w:rPr>
                <w:rFonts w:cs="Arial"/>
                <w:sz w:val="18"/>
                <w:szCs w:val="18"/>
                <w:highlight w:val="lightGray"/>
                <w:lang w:val="es-ES_tradnl"/>
              </w:rPr>
              <w:t>medium</w:t>
            </w:r>
            <w:proofErr w:type="spellEnd"/>
            <w:r w:rsidRPr="006B6FA8">
              <w:rPr>
                <w:rFonts w:cs="Arial"/>
                <w:sz w:val="18"/>
                <w:szCs w:val="18"/>
                <w:highlight w:val="lightGray"/>
                <w:lang w:val="es-ES_tradnl"/>
              </w:rPr>
              <w:t xml:space="preserve"> </w:t>
            </w:r>
            <w:proofErr w:type="spellStart"/>
            <w:r w:rsidRPr="006B6FA8">
              <w:rPr>
                <w:rFonts w:cs="Arial"/>
                <w:sz w:val="18"/>
                <w:szCs w:val="18"/>
                <w:highlight w:val="lightGray"/>
                <w:lang w:val="es-ES_tradnl"/>
              </w:rPr>
              <w:t>orange</w:t>
            </w:r>
            <w:proofErr w:type="spellEnd"/>
          </w:p>
        </w:tc>
        <w:tc>
          <w:tcPr>
            <w:tcW w:w="1984" w:type="dxa"/>
          </w:tcPr>
          <w:p w14:paraId="0DC70011"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orange</w:t>
            </w:r>
            <w:proofErr w:type="spellEnd"/>
            <w:r w:rsidRPr="006B6FA8">
              <w:rPr>
                <w:sz w:val="18"/>
                <w:szCs w:val="18"/>
                <w:highlight w:val="lightGray"/>
                <w:lang w:val="es-ES_tradnl"/>
              </w:rPr>
              <w:t xml:space="preserve"> </w:t>
            </w:r>
            <w:proofErr w:type="spellStart"/>
            <w:r w:rsidRPr="006B6FA8">
              <w:rPr>
                <w:sz w:val="18"/>
                <w:szCs w:val="18"/>
                <w:highlight w:val="lightGray"/>
                <w:lang w:val="es-ES_tradnl"/>
              </w:rPr>
              <w:t>moyen</w:t>
            </w:r>
            <w:proofErr w:type="spellEnd"/>
          </w:p>
        </w:tc>
        <w:tc>
          <w:tcPr>
            <w:tcW w:w="2268" w:type="dxa"/>
          </w:tcPr>
          <w:p w14:paraId="265A41FA"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mittelorange</w:t>
            </w:r>
            <w:proofErr w:type="spellEnd"/>
          </w:p>
        </w:tc>
      </w:tr>
      <w:tr w:rsidR="006B6FA8" w:rsidRPr="006B6FA8" w14:paraId="0264BF99" w14:textId="77777777" w:rsidTr="00D60821">
        <w:tc>
          <w:tcPr>
            <w:tcW w:w="1105" w:type="dxa"/>
          </w:tcPr>
          <w:p w14:paraId="2ECEA49B"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24</w:t>
            </w:r>
          </w:p>
        </w:tc>
        <w:tc>
          <w:tcPr>
            <w:tcW w:w="2126" w:type="dxa"/>
          </w:tcPr>
          <w:p w14:paraId="488DA826"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naranja oscuro</w:t>
            </w:r>
          </w:p>
        </w:tc>
        <w:tc>
          <w:tcPr>
            <w:tcW w:w="2126" w:type="dxa"/>
          </w:tcPr>
          <w:p w14:paraId="7D788B79" w14:textId="77777777" w:rsidR="006B6FA8" w:rsidRPr="006B6FA8" w:rsidRDefault="006B6FA8" w:rsidP="006B6FA8">
            <w:pPr>
              <w:jc w:val="left"/>
              <w:rPr>
                <w:rFonts w:cs="Arial"/>
                <w:sz w:val="18"/>
                <w:szCs w:val="18"/>
                <w:highlight w:val="lightGray"/>
                <w:lang w:val="es-ES_tradnl"/>
              </w:rPr>
            </w:pPr>
            <w:proofErr w:type="spellStart"/>
            <w:r w:rsidRPr="006B6FA8">
              <w:rPr>
                <w:rFonts w:cs="Arial"/>
                <w:sz w:val="18"/>
                <w:szCs w:val="18"/>
                <w:highlight w:val="lightGray"/>
                <w:lang w:val="es-ES_tradnl"/>
              </w:rPr>
              <w:t>dark</w:t>
            </w:r>
            <w:proofErr w:type="spellEnd"/>
            <w:r w:rsidRPr="006B6FA8">
              <w:rPr>
                <w:rFonts w:cs="Arial"/>
                <w:sz w:val="18"/>
                <w:szCs w:val="18"/>
                <w:highlight w:val="lightGray"/>
                <w:lang w:val="es-ES_tradnl"/>
              </w:rPr>
              <w:t xml:space="preserve"> </w:t>
            </w:r>
            <w:proofErr w:type="spellStart"/>
            <w:r w:rsidRPr="006B6FA8">
              <w:rPr>
                <w:rFonts w:cs="Arial"/>
                <w:sz w:val="18"/>
                <w:szCs w:val="18"/>
                <w:highlight w:val="lightGray"/>
                <w:lang w:val="es-ES_tradnl"/>
              </w:rPr>
              <w:t>orange</w:t>
            </w:r>
            <w:proofErr w:type="spellEnd"/>
          </w:p>
        </w:tc>
        <w:tc>
          <w:tcPr>
            <w:tcW w:w="1984" w:type="dxa"/>
          </w:tcPr>
          <w:p w14:paraId="148BA0B6"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orange</w:t>
            </w:r>
            <w:proofErr w:type="spellEnd"/>
            <w:r w:rsidRPr="006B6FA8">
              <w:rPr>
                <w:sz w:val="18"/>
                <w:szCs w:val="18"/>
                <w:highlight w:val="lightGray"/>
                <w:lang w:val="es-ES_tradnl"/>
              </w:rPr>
              <w:t xml:space="preserve"> </w:t>
            </w:r>
            <w:proofErr w:type="spellStart"/>
            <w:r w:rsidRPr="006B6FA8">
              <w:rPr>
                <w:sz w:val="18"/>
                <w:szCs w:val="18"/>
                <w:highlight w:val="lightGray"/>
                <w:lang w:val="es-ES_tradnl"/>
              </w:rPr>
              <w:t>foncé</w:t>
            </w:r>
            <w:proofErr w:type="spellEnd"/>
          </w:p>
        </w:tc>
        <w:tc>
          <w:tcPr>
            <w:tcW w:w="2268" w:type="dxa"/>
          </w:tcPr>
          <w:p w14:paraId="4BA1346B"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dunkelorange</w:t>
            </w:r>
            <w:proofErr w:type="spellEnd"/>
          </w:p>
        </w:tc>
      </w:tr>
      <w:tr w:rsidR="006B6FA8" w:rsidRPr="006B6FA8" w14:paraId="5A82BC0F" w14:textId="77777777" w:rsidTr="00D60821">
        <w:tc>
          <w:tcPr>
            <w:tcW w:w="1105" w:type="dxa"/>
          </w:tcPr>
          <w:p w14:paraId="6E16F213"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25</w:t>
            </w:r>
          </w:p>
        </w:tc>
        <w:tc>
          <w:tcPr>
            <w:tcW w:w="2126" w:type="dxa"/>
          </w:tcPr>
          <w:p w14:paraId="0151A42A"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rosa anaranjado claro</w:t>
            </w:r>
          </w:p>
        </w:tc>
        <w:tc>
          <w:tcPr>
            <w:tcW w:w="2126" w:type="dxa"/>
          </w:tcPr>
          <w:p w14:paraId="3413A0F9"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 xml:space="preserve">light </w:t>
            </w:r>
            <w:proofErr w:type="spellStart"/>
            <w:r w:rsidRPr="006B6FA8">
              <w:rPr>
                <w:rFonts w:cs="Arial"/>
                <w:sz w:val="18"/>
                <w:szCs w:val="18"/>
                <w:highlight w:val="lightGray"/>
                <w:lang w:val="es-ES_tradnl"/>
              </w:rPr>
              <w:t>orange</w:t>
            </w:r>
            <w:proofErr w:type="spellEnd"/>
            <w:r w:rsidRPr="006B6FA8">
              <w:rPr>
                <w:rFonts w:cs="Arial"/>
                <w:sz w:val="18"/>
                <w:szCs w:val="18"/>
                <w:highlight w:val="lightGray"/>
                <w:lang w:val="es-ES_tradnl"/>
              </w:rPr>
              <w:t xml:space="preserve"> </w:t>
            </w:r>
            <w:proofErr w:type="spellStart"/>
            <w:r w:rsidRPr="006B6FA8">
              <w:rPr>
                <w:rFonts w:cs="Arial"/>
                <w:sz w:val="18"/>
                <w:szCs w:val="18"/>
                <w:highlight w:val="lightGray"/>
                <w:lang w:val="es-ES_tradnl"/>
              </w:rPr>
              <w:t>pink</w:t>
            </w:r>
            <w:proofErr w:type="spellEnd"/>
          </w:p>
        </w:tc>
        <w:tc>
          <w:tcPr>
            <w:tcW w:w="1984" w:type="dxa"/>
          </w:tcPr>
          <w:p w14:paraId="70132F65" w14:textId="77777777" w:rsidR="006B6FA8" w:rsidRPr="006B6FA8" w:rsidRDefault="006B6FA8" w:rsidP="006B6FA8">
            <w:pPr>
              <w:rPr>
                <w:sz w:val="18"/>
                <w:szCs w:val="18"/>
                <w:highlight w:val="lightGray"/>
                <w:lang w:val="es-ES_tradnl"/>
              </w:rPr>
            </w:pPr>
            <w:r w:rsidRPr="006B6FA8">
              <w:rPr>
                <w:sz w:val="18"/>
                <w:szCs w:val="18"/>
                <w:highlight w:val="lightGray"/>
                <w:lang w:val="es-ES_tradnl"/>
              </w:rPr>
              <w:t xml:space="preserve">rose </w:t>
            </w:r>
            <w:proofErr w:type="spellStart"/>
            <w:r w:rsidRPr="006B6FA8">
              <w:rPr>
                <w:sz w:val="18"/>
                <w:szCs w:val="18"/>
                <w:highlight w:val="lightGray"/>
                <w:lang w:val="es-ES_tradnl"/>
              </w:rPr>
              <w:t>orangé</w:t>
            </w:r>
            <w:proofErr w:type="spellEnd"/>
            <w:r w:rsidRPr="006B6FA8">
              <w:rPr>
                <w:sz w:val="18"/>
                <w:szCs w:val="18"/>
                <w:highlight w:val="lightGray"/>
                <w:lang w:val="es-ES_tradnl"/>
              </w:rPr>
              <w:t xml:space="preserve"> </w:t>
            </w:r>
            <w:proofErr w:type="spellStart"/>
            <w:r w:rsidRPr="006B6FA8">
              <w:rPr>
                <w:sz w:val="18"/>
                <w:szCs w:val="18"/>
                <w:highlight w:val="lightGray"/>
                <w:lang w:val="es-ES_tradnl"/>
              </w:rPr>
              <w:t>clair</w:t>
            </w:r>
            <w:proofErr w:type="spellEnd"/>
          </w:p>
        </w:tc>
        <w:tc>
          <w:tcPr>
            <w:tcW w:w="2268" w:type="dxa"/>
          </w:tcPr>
          <w:p w14:paraId="2B0E3136"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hellorangerosa</w:t>
            </w:r>
            <w:proofErr w:type="spellEnd"/>
          </w:p>
        </w:tc>
      </w:tr>
      <w:tr w:rsidR="006B6FA8" w:rsidRPr="006B6FA8" w14:paraId="0987ACBB" w14:textId="77777777" w:rsidTr="00D60821">
        <w:tc>
          <w:tcPr>
            <w:tcW w:w="1105" w:type="dxa"/>
          </w:tcPr>
          <w:p w14:paraId="64756450"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26</w:t>
            </w:r>
          </w:p>
        </w:tc>
        <w:tc>
          <w:tcPr>
            <w:tcW w:w="2126" w:type="dxa"/>
          </w:tcPr>
          <w:p w14:paraId="06963B3D"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rosa anaranjado medio</w:t>
            </w:r>
          </w:p>
        </w:tc>
        <w:tc>
          <w:tcPr>
            <w:tcW w:w="2126" w:type="dxa"/>
          </w:tcPr>
          <w:p w14:paraId="4C6B5565" w14:textId="77777777" w:rsidR="006B6FA8" w:rsidRPr="006B6FA8" w:rsidRDefault="006B6FA8" w:rsidP="006B6FA8">
            <w:pPr>
              <w:jc w:val="left"/>
              <w:rPr>
                <w:rFonts w:cs="Arial"/>
                <w:sz w:val="18"/>
                <w:szCs w:val="18"/>
                <w:highlight w:val="lightGray"/>
                <w:lang w:val="es-ES_tradnl"/>
              </w:rPr>
            </w:pPr>
            <w:proofErr w:type="spellStart"/>
            <w:r w:rsidRPr="006B6FA8">
              <w:rPr>
                <w:rFonts w:cs="Arial"/>
                <w:sz w:val="18"/>
                <w:szCs w:val="18"/>
                <w:highlight w:val="lightGray"/>
                <w:lang w:val="es-ES_tradnl"/>
              </w:rPr>
              <w:t>medium</w:t>
            </w:r>
            <w:proofErr w:type="spellEnd"/>
            <w:r w:rsidRPr="006B6FA8">
              <w:rPr>
                <w:rFonts w:cs="Arial"/>
                <w:sz w:val="18"/>
                <w:szCs w:val="18"/>
                <w:highlight w:val="lightGray"/>
                <w:lang w:val="es-ES_tradnl"/>
              </w:rPr>
              <w:t xml:space="preserve"> </w:t>
            </w:r>
            <w:proofErr w:type="spellStart"/>
            <w:r w:rsidRPr="006B6FA8">
              <w:rPr>
                <w:rFonts w:cs="Arial"/>
                <w:sz w:val="18"/>
                <w:szCs w:val="18"/>
                <w:highlight w:val="lightGray"/>
                <w:lang w:val="es-ES_tradnl"/>
              </w:rPr>
              <w:t>orange</w:t>
            </w:r>
            <w:proofErr w:type="spellEnd"/>
            <w:r w:rsidRPr="006B6FA8">
              <w:rPr>
                <w:rFonts w:cs="Arial"/>
                <w:sz w:val="18"/>
                <w:szCs w:val="18"/>
                <w:highlight w:val="lightGray"/>
                <w:lang w:val="es-ES_tradnl"/>
              </w:rPr>
              <w:t xml:space="preserve"> </w:t>
            </w:r>
            <w:proofErr w:type="spellStart"/>
            <w:r w:rsidRPr="006B6FA8">
              <w:rPr>
                <w:rFonts w:cs="Arial"/>
                <w:sz w:val="18"/>
                <w:szCs w:val="18"/>
                <w:highlight w:val="lightGray"/>
                <w:lang w:val="es-ES_tradnl"/>
              </w:rPr>
              <w:t>pink</w:t>
            </w:r>
            <w:proofErr w:type="spellEnd"/>
          </w:p>
        </w:tc>
        <w:tc>
          <w:tcPr>
            <w:tcW w:w="1984" w:type="dxa"/>
          </w:tcPr>
          <w:p w14:paraId="4CB7F369" w14:textId="77777777" w:rsidR="006B6FA8" w:rsidRPr="006B6FA8" w:rsidRDefault="006B6FA8" w:rsidP="006B6FA8">
            <w:pPr>
              <w:rPr>
                <w:sz w:val="18"/>
                <w:szCs w:val="18"/>
                <w:highlight w:val="lightGray"/>
                <w:lang w:val="es-ES_tradnl"/>
              </w:rPr>
            </w:pPr>
            <w:r w:rsidRPr="006B6FA8">
              <w:rPr>
                <w:sz w:val="18"/>
                <w:szCs w:val="18"/>
                <w:highlight w:val="lightGray"/>
                <w:lang w:val="es-ES_tradnl"/>
              </w:rPr>
              <w:t xml:space="preserve">rose </w:t>
            </w:r>
            <w:proofErr w:type="spellStart"/>
            <w:r w:rsidRPr="006B6FA8">
              <w:rPr>
                <w:sz w:val="18"/>
                <w:szCs w:val="18"/>
                <w:highlight w:val="lightGray"/>
                <w:lang w:val="es-ES_tradnl"/>
              </w:rPr>
              <w:t>orangé</w:t>
            </w:r>
            <w:proofErr w:type="spellEnd"/>
            <w:r w:rsidRPr="006B6FA8">
              <w:rPr>
                <w:sz w:val="18"/>
                <w:szCs w:val="18"/>
                <w:highlight w:val="lightGray"/>
                <w:lang w:val="es-ES_tradnl"/>
              </w:rPr>
              <w:t xml:space="preserve"> </w:t>
            </w:r>
            <w:proofErr w:type="spellStart"/>
            <w:r w:rsidRPr="006B6FA8">
              <w:rPr>
                <w:sz w:val="18"/>
                <w:szCs w:val="18"/>
                <w:highlight w:val="lightGray"/>
                <w:lang w:val="es-ES_tradnl"/>
              </w:rPr>
              <w:t>moyen</w:t>
            </w:r>
            <w:proofErr w:type="spellEnd"/>
          </w:p>
        </w:tc>
        <w:tc>
          <w:tcPr>
            <w:tcW w:w="2268" w:type="dxa"/>
          </w:tcPr>
          <w:p w14:paraId="4801D651"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mittelorangerosa</w:t>
            </w:r>
            <w:proofErr w:type="spellEnd"/>
          </w:p>
        </w:tc>
      </w:tr>
      <w:tr w:rsidR="006B6FA8" w:rsidRPr="006B6FA8" w14:paraId="188F3009" w14:textId="77777777" w:rsidTr="00D60821">
        <w:tc>
          <w:tcPr>
            <w:tcW w:w="1105" w:type="dxa"/>
          </w:tcPr>
          <w:p w14:paraId="34FA4A77"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27</w:t>
            </w:r>
          </w:p>
        </w:tc>
        <w:tc>
          <w:tcPr>
            <w:tcW w:w="2126" w:type="dxa"/>
          </w:tcPr>
          <w:p w14:paraId="01078A7B"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rosa rojizo claro</w:t>
            </w:r>
          </w:p>
        </w:tc>
        <w:tc>
          <w:tcPr>
            <w:tcW w:w="2126" w:type="dxa"/>
          </w:tcPr>
          <w:p w14:paraId="19583C98"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 xml:space="preserve">light red </w:t>
            </w:r>
            <w:proofErr w:type="spellStart"/>
            <w:r w:rsidRPr="006B6FA8">
              <w:rPr>
                <w:rFonts w:cs="Arial"/>
                <w:sz w:val="18"/>
                <w:szCs w:val="18"/>
                <w:highlight w:val="lightGray"/>
                <w:lang w:val="es-ES_tradnl"/>
              </w:rPr>
              <w:t>pink</w:t>
            </w:r>
            <w:proofErr w:type="spellEnd"/>
          </w:p>
        </w:tc>
        <w:tc>
          <w:tcPr>
            <w:tcW w:w="1984" w:type="dxa"/>
          </w:tcPr>
          <w:p w14:paraId="691957A1" w14:textId="77777777" w:rsidR="006B6FA8" w:rsidRPr="006B6FA8" w:rsidRDefault="006B6FA8" w:rsidP="006B6FA8">
            <w:pPr>
              <w:rPr>
                <w:sz w:val="18"/>
                <w:szCs w:val="18"/>
                <w:highlight w:val="lightGray"/>
                <w:lang w:val="es-ES_tradnl"/>
              </w:rPr>
            </w:pPr>
            <w:r w:rsidRPr="006B6FA8">
              <w:rPr>
                <w:sz w:val="18"/>
                <w:szCs w:val="18"/>
                <w:highlight w:val="lightGray"/>
                <w:lang w:val="es-ES_tradnl"/>
              </w:rPr>
              <w:t xml:space="preserve">rose-rouge </w:t>
            </w:r>
            <w:proofErr w:type="spellStart"/>
            <w:r w:rsidRPr="006B6FA8">
              <w:rPr>
                <w:sz w:val="18"/>
                <w:szCs w:val="18"/>
                <w:highlight w:val="lightGray"/>
                <w:lang w:val="es-ES_tradnl"/>
              </w:rPr>
              <w:t>clair</w:t>
            </w:r>
            <w:proofErr w:type="spellEnd"/>
          </w:p>
        </w:tc>
        <w:tc>
          <w:tcPr>
            <w:tcW w:w="2268" w:type="dxa"/>
          </w:tcPr>
          <w:p w14:paraId="0C439A9D"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hellrotrosa</w:t>
            </w:r>
            <w:proofErr w:type="spellEnd"/>
          </w:p>
        </w:tc>
      </w:tr>
      <w:tr w:rsidR="006B6FA8" w:rsidRPr="006B6FA8" w14:paraId="02D7184D" w14:textId="77777777" w:rsidTr="00D60821">
        <w:tc>
          <w:tcPr>
            <w:tcW w:w="1105" w:type="dxa"/>
          </w:tcPr>
          <w:p w14:paraId="4832892F"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28</w:t>
            </w:r>
          </w:p>
        </w:tc>
        <w:tc>
          <w:tcPr>
            <w:tcW w:w="2126" w:type="dxa"/>
          </w:tcPr>
          <w:p w14:paraId="55C5A797"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rosa rojizo medio</w:t>
            </w:r>
          </w:p>
        </w:tc>
        <w:tc>
          <w:tcPr>
            <w:tcW w:w="2126" w:type="dxa"/>
          </w:tcPr>
          <w:p w14:paraId="1ABB2BB1" w14:textId="77777777" w:rsidR="006B6FA8" w:rsidRPr="006B6FA8" w:rsidRDefault="006B6FA8" w:rsidP="006B6FA8">
            <w:pPr>
              <w:jc w:val="left"/>
              <w:rPr>
                <w:rFonts w:cs="Arial"/>
                <w:sz w:val="18"/>
                <w:szCs w:val="18"/>
                <w:highlight w:val="lightGray"/>
                <w:lang w:val="es-ES_tradnl"/>
              </w:rPr>
            </w:pPr>
            <w:proofErr w:type="spellStart"/>
            <w:r w:rsidRPr="006B6FA8">
              <w:rPr>
                <w:rFonts w:cs="Arial"/>
                <w:sz w:val="18"/>
                <w:szCs w:val="18"/>
                <w:highlight w:val="lightGray"/>
                <w:lang w:val="es-ES_tradnl"/>
              </w:rPr>
              <w:t>medium</w:t>
            </w:r>
            <w:proofErr w:type="spellEnd"/>
            <w:r w:rsidRPr="006B6FA8">
              <w:rPr>
                <w:rFonts w:cs="Arial"/>
                <w:sz w:val="18"/>
                <w:szCs w:val="18"/>
                <w:highlight w:val="lightGray"/>
                <w:lang w:val="es-ES_tradnl"/>
              </w:rPr>
              <w:t xml:space="preserve"> red </w:t>
            </w:r>
            <w:proofErr w:type="spellStart"/>
            <w:r w:rsidRPr="006B6FA8">
              <w:rPr>
                <w:rFonts w:cs="Arial"/>
                <w:sz w:val="18"/>
                <w:szCs w:val="18"/>
                <w:highlight w:val="lightGray"/>
                <w:lang w:val="es-ES_tradnl"/>
              </w:rPr>
              <w:t>pink</w:t>
            </w:r>
            <w:proofErr w:type="spellEnd"/>
          </w:p>
        </w:tc>
        <w:tc>
          <w:tcPr>
            <w:tcW w:w="1984" w:type="dxa"/>
          </w:tcPr>
          <w:p w14:paraId="1987E4FE" w14:textId="77777777" w:rsidR="006B6FA8" w:rsidRPr="006B6FA8" w:rsidRDefault="006B6FA8" w:rsidP="006B6FA8">
            <w:pPr>
              <w:rPr>
                <w:sz w:val="18"/>
                <w:szCs w:val="18"/>
                <w:highlight w:val="lightGray"/>
                <w:lang w:val="es-ES_tradnl"/>
              </w:rPr>
            </w:pPr>
            <w:r w:rsidRPr="006B6FA8">
              <w:rPr>
                <w:sz w:val="18"/>
                <w:szCs w:val="18"/>
                <w:highlight w:val="lightGray"/>
                <w:lang w:val="es-ES_tradnl"/>
              </w:rPr>
              <w:t xml:space="preserve">rose-rouge </w:t>
            </w:r>
            <w:proofErr w:type="spellStart"/>
            <w:r w:rsidRPr="006B6FA8">
              <w:rPr>
                <w:sz w:val="18"/>
                <w:szCs w:val="18"/>
                <w:highlight w:val="lightGray"/>
                <w:lang w:val="es-ES_tradnl"/>
              </w:rPr>
              <w:t>moyen</w:t>
            </w:r>
            <w:proofErr w:type="spellEnd"/>
          </w:p>
        </w:tc>
        <w:tc>
          <w:tcPr>
            <w:tcW w:w="2268" w:type="dxa"/>
          </w:tcPr>
          <w:p w14:paraId="0D68A6E3"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mittelrotrosa</w:t>
            </w:r>
            <w:proofErr w:type="spellEnd"/>
          </w:p>
        </w:tc>
      </w:tr>
      <w:tr w:rsidR="006B6FA8" w:rsidRPr="006B6FA8" w14:paraId="093B80E0" w14:textId="77777777" w:rsidTr="00D60821">
        <w:tc>
          <w:tcPr>
            <w:tcW w:w="1105" w:type="dxa"/>
          </w:tcPr>
          <w:p w14:paraId="10CC008A"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29</w:t>
            </w:r>
          </w:p>
        </w:tc>
        <w:tc>
          <w:tcPr>
            <w:tcW w:w="2126" w:type="dxa"/>
          </w:tcPr>
          <w:p w14:paraId="7D3D7B4F"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Rosa</w:t>
            </w:r>
          </w:p>
        </w:tc>
        <w:tc>
          <w:tcPr>
            <w:tcW w:w="2126" w:type="dxa"/>
          </w:tcPr>
          <w:p w14:paraId="3AB079FD" w14:textId="77777777" w:rsidR="006B6FA8" w:rsidRPr="006B6FA8" w:rsidRDefault="006B6FA8" w:rsidP="006B6FA8">
            <w:pPr>
              <w:jc w:val="left"/>
              <w:rPr>
                <w:rFonts w:cs="Arial"/>
                <w:sz w:val="18"/>
                <w:szCs w:val="18"/>
                <w:highlight w:val="lightGray"/>
                <w:lang w:val="es-ES_tradnl"/>
              </w:rPr>
            </w:pPr>
            <w:proofErr w:type="spellStart"/>
            <w:r w:rsidRPr="006B6FA8">
              <w:rPr>
                <w:rFonts w:cs="Arial"/>
                <w:sz w:val="18"/>
                <w:szCs w:val="18"/>
                <w:highlight w:val="lightGray"/>
                <w:lang w:val="es-ES_tradnl"/>
              </w:rPr>
              <w:t>pink</w:t>
            </w:r>
            <w:proofErr w:type="spellEnd"/>
          </w:p>
        </w:tc>
        <w:tc>
          <w:tcPr>
            <w:tcW w:w="1984" w:type="dxa"/>
          </w:tcPr>
          <w:p w14:paraId="1F44B528" w14:textId="77777777" w:rsidR="006B6FA8" w:rsidRPr="006B6FA8" w:rsidRDefault="006B6FA8" w:rsidP="006B6FA8">
            <w:pPr>
              <w:rPr>
                <w:sz w:val="18"/>
                <w:szCs w:val="18"/>
                <w:highlight w:val="lightGray"/>
                <w:lang w:val="es-ES_tradnl"/>
              </w:rPr>
            </w:pPr>
            <w:r w:rsidRPr="006B6FA8">
              <w:rPr>
                <w:sz w:val="18"/>
                <w:szCs w:val="18"/>
                <w:highlight w:val="lightGray"/>
                <w:lang w:val="es-ES_tradnl"/>
              </w:rPr>
              <w:t>rose</w:t>
            </w:r>
          </w:p>
        </w:tc>
        <w:tc>
          <w:tcPr>
            <w:tcW w:w="2268" w:type="dxa"/>
          </w:tcPr>
          <w:p w14:paraId="29E675A2" w14:textId="77777777" w:rsidR="006B6FA8" w:rsidRPr="006B6FA8" w:rsidRDefault="006B6FA8" w:rsidP="006B6FA8">
            <w:pPr>
              <w:rPr>
                <w:sz w:val="18"/>
                <w:szCs w:val="18"/>
                <w:highlight w:val="lightGray"/>
                <w:lang w:val="es-ES_tradnl"/>
              </w:rPr>
            </w:pPr>
            <w:r w:rsidRPr="006B6FA8">
              <w:rPr>
                <w:sz w:val="18"/>
                <w:szCs w:val="18"/>
                <w:highlight w:val="lightGray"/>
                <w:lang w:val="es-ES_tradnl"/>
              </w:rPr>
              <w:t>rosa</w:t>
            </w:r>
          </w:p>
        </w:tc>
      </w:tr>
      <w:tr w:rsidR="006B6FA8" w:rsidRPr="006B6FA8" w14:paraId="7D79DEE0" w14:textId="77777777" w:rsidTr="00D60821">
        <w:tc>
          <w:tcPr>
            <w:tcW w:w="1105" w:type="dxa"/>
          </w:tcPr>
          <w:p w14:paraId="4ACBCD9E"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30</w:t>
            </w:r>
          </w:p>
        </w:tc>
        <w:tc>
          <w:tcPr>
            <w:tcW w:w="2126" w:type="dxa"/>
          </w:tcPr>
          <w:p w14:paraId="079C01BD"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rosa azulado claro</w:t>
            </w:r>
          </w:p>
        </w:tc>
        <w:tc>
          <w:tcPr>
            <w:tcW w:w="2126" w:type="dxa"/>
          </w:tcPr>
          <w:p w14:paraId="06FB7340"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 xml:space="preserve">light blue </w:t>
            </w:r>
            <w:proofErr w:type="spellStart"/>
            <w:r w:rsidRPr="006B6FA8">
              <w:rPr>
                <w:rFonts w:cs="Arial"/>
                <w:sz w:val="18"/>
                <w:szCs w:val="18"/>
                <w:highlight w:val="lightGray"/>
                <w:lang w:val="es-ES_tradnl"/>
              </w:rPr>
              <w:t>pink</w:t>
            </w:r>
            <w:proofErr w:type="spellEnd"/>
          </w:p>
        </w:tc>
        <w:tc>
          <w:tcPr>
            <w:tcW w:w="1984" w:type="dxa"/>
          </w:tcPr>
          <w:p w14:paraId="77810B94" w14:textId="77777777" w:rsidR="006B6FA8" w:rsidRPr="006B6FA8" w:rsidRDefault="006B6FA8" w:rsidP="006B6FA8">
            <w:pPr>
              <w:rPr>
                <w:sz w:val="18"/>
                <w:szCs w:val="18"/>
                <w:highlight w:val="lightGray"/>
                <w:lang w:val="es-ES_tradnl"/>
              </w:rPr>
            </w:pPr>
            <w:r w:rsidRPr="006B6FA8">
              <w:rPr>
                <w:sz w:val="18"/>
                <w:szCs w:val="18"/>
                <w:highlight w:val="lightGray"/>
                <w:lang w:val="es-ES_tradnl"/>
              </w:rPr>
              <w:t>rose-</w:t>
            </w:r>
            <w:proofErr w:type="spellStart"/>
            <w:r w:rsidRPr="006B6FA8">
              <w:rPr>
                <w:sz w:val="18"/>
                <w:szCs w:val="18"/>
                <w:highlight w:val="lightGray"/>
                <w:lang w:val="es-ES_tradnl"/>
              </w:rPr>
              <w:t>bleu</w:t>
            </w:r>
            <w:proofErr w:type="spellEnd"/>
            <w:r w:rsidRPr="006B6FA8">
              <w:rPr>
                <w:sz w:val="18"/>
                <w:szCs w:val="18"/>
                <w:highlight w:val="lightGray"/>
                <w:lang w:val="es-ES_tradnl"/>
              </w:rPr>
              <w:t xml:space="preserve"> </w:t>
            </w:r>
            <w:proofErr w:type="spellStart"/>
            <w:r w:rsidRPr="006B6FA8">
              <w:rPr>
                <w:sz w:val="18"/>
                <w:szCs w:val="18"/>
                <w:highlight w:val="lightGray"/>
                <w:lang w:val="es-ES_tradnl"/>
              </w:rPr>
              <w:t>clair</w:t>
            </w:r>
            <w:proofErr w:type="spellEnd"/>
          </w:p>
        </w:tc>
        <w:tc>
          <w:tcPr>
            <w:tcW w:w="2268" w:type="dxa"/>
          </w:tcPr>
          <w:p w14:paraId="2CA628D9"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hellblaurosa</w:t>
            </w:r>
            <w:proofErr w:type="spellEnd"/>
          </w:p>
        </w:tc>
      </w:tr>
      <w:tr w:rsidR="006B6FA8" w:rsidRPr="006B6FA8" w14:paraId="6C55EDB7" w14:textId="77777777" w:rsidTr="00D60821">
        <w:tc>
          <w:tcPr>
            <w:tcW w:w="1105" w:type="dxa"/>
          </w:tcPr>
          <w:p w14:paraId="4768339B"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31</w:t>
            </w:r>
          </w:p>
        </w:tc>
        <w:tc>
          <w:tcPr>
            <w:tcW w:w="2126" w:type="dxa"/>
          </w:tcPr>
          <w:p w14:paraId="0390A172"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rosa azulado medio</w:t>
            </w:r>
          </w:p>
        </w:tc>
        <w:tc>
          <w:tcPr>
            <w:tcW w:w="2126" w:type="dxa"/>
          </w:tcPr>
          <w:p w14:paraId="5E8E479D" w14:textId="77777777" w:rsidR="006B6FA8" w:rsidRPr="006B6FA8" w:rsidRDefault="006B6FA8" w:rsidP="006B6FA8">
            <w:pPr>
              <w:jc w:val="left"/>
              <w:rPr>
                <w:rFonts w:cs="Arial"/>
                <w:sz w:val="18"/>
                <w:szCs w:val="18"/>
                <w:highlight w:val="lightGray"/>
                <w:lang w:val="es-ES_tradnl"/>
              </w:rPr>
            </w:pPr>
            <w:proofErr w:type="spellStart"/>
            <w:r w:rsidRPr="006B6FA8">
              <w:rPr>
                <w:rFonts w:cs="Arial"/>
                <w:sz w:val="18"/>
                <w:szCs w:val="18"/>
                <w:highlight w:val="lightGray"/>
                <w:lang w:val="es-ES_tradnl"/>
              </w:rPr>
              <w:t>medium</w:t>
            </w:r>
            <w:proofErr w:type="spellEnd"/>
            <w:r w:rsidRPr="006B6FA8">
              <w:rPr>
                <w:rFonts w:cs="Arial"/>
                <w:sz w:val="18"/>
                <w:szCs w:val="18"/>
                <w:highlight w:val="lightGray"/>
                <w:lang w:val="es-ES_tradnl"/>
              </w:rPr>
              <w:t xml:space="preserve"> blue </w:t>
            </w:r>
            <w:proofErr w:type="spellStart"/>
            <w:r w:rsidRPr="006B6FA8">
              <w:rPr>
                <w:rFonts w:cs="Arial"/>
                <w:sz w:val="18"/>
                <w:szCs w:val="18"/>
                <w:highlight w:val="lightGray"/>
                <w:lang w:val="es-ES_tradnl"/>
              </w:rPr>
              <w:t>pink</w:t>
            </w:r>
            <w:proofErr w:type="spellEnd"/>
          </w:p>
        </w:tc>
        <w:tc>
          <w:tcPr>
            <w:tcW w:w="1984" w:type="dxa"/>
          </w:tcPr>
          <w:p w14:paraId="135E2A87" w14:textId="77777777" w:rsidR="006B6FA8" w:rsidRPr="006B6FA8" w:rsidRDefault="006B6FA8" w:rsidP="006B6FA8">
            <w:pPr>
              <w:rPr>
                <w:sz w:val="18"/>
                <w:szCs w:val="18"/>
                <w:highlight w:val="lightGray"/>
                <w:lang w:val="es-ES_tradnl"/>
              </w:rPr>
            </w:pPr>
            <w:r w:rsidRPr="006B6FA8">
              <w:rPr>
                <w:sz w:val="18"/>
                <w:szCs w:val="18"/>
                <w:highlight w:val="lightGray"/>
                <w:lang w:val="es-ES_tradnl"/>
              </w:rPr>
              <w:t>rose-</w:t>
            </w:r>
            <w:proofErr w:type="spellStart"/>
            <w:r w:rsidRPr="006B6FA8">
              <w:rPr>
                <w:sz w:val="18"/>
                <w:szCs w:val="18"/>
                <w:highlight w:val="lightGray"/>
                <w:lang w:val="es-ES_tradnl"/>
              </w:rPr>
              <w:t>bleu</w:t>
            </w:r>
            <w:proofErr w:type="spellEnd"/>
            <w:r w:rsidRPr="006B6FA8">
              <w:rPr>
                <w:sz w:val="18"/>
                <w:szCs w:val="18"/>
                <w:highlight w:val="lightGray"/>
                <w:lang w:val="es-ES_tradnl"/>
              </w:rPr>
              <w:t xml:space="preserve"> </w:t>
            </w:r>
            <w:proofErr w:type="spellStart"/>
            <w:r w:rsidRPr="006B6FA8">
              <w:rPr>
                <w:sz w:val="18"/>
                <w:szCs w:val="18"/>
                <w:highlight w:val="lightGray"/>
                <w:lang w:val="es-ES_tradnl"/>
              </w:rPr>
              <w:t>moyen</w:t>
            </w:r>
            <w:proofErr w:type="spellEnd"/>
          </w:p>
        </w:tc>
        <w:tc>
          <w:tcPr>
            <w:tcW w:w="2268" w:type="dxa"/>
          </w:tcPr>
          <w:p w14:paraId="1E924461"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mittelblaurosa</w:t>
            </w:r>
            <w:proofErr w:type="spellEnd"/>
          </w:p>
        </w:tc>
      </w:tr>
      <w:tr w:rsidR="006B6FA8" w:rsidRPr="006B6FA8" w14:paraId="48E2E2AD" w14:textId="77777777" w:rsidTr="00D60821">
        <w:tc>
          <w:tcPr>
            <w:tcW w:w="1105" w:type="dxa"/>
          </w:tcPr>
          <w:p w14:paraId="378D7354"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32</w:t>
            </w:r>
          </w:p>
        </w:tc>
        <w:tc>
          <w:tcPr>
            <w:tcW w:w="2126" w:type="dxa"/>
          </w:tcPr>
          <w:p w14:paraId="488E1C15"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rosa azulado oscuro</w:t>
            </w:r>
          </w:p>
        </w:tc>
        <w:tc>
          <w:tcPr>
            <w:tcW w:w="2126" w:type="dxa"/>
          </w:tcPr>
          <w:p w14:paraId="0ED81ECF" w14:textId="77777777" w:rsidR="006B6FA8" w:rsidRPr="006B6FA8" w:rsidRDefault="006B6FA8" w:rsidP="006B6FA8">
            <w:pPr>
              <w:jc w:val="left"/>
              <w:rPr>
                <w:rFonts w:cs="Arial"/>
                <w:sz w:val="18"/>
                <w:szCs w:val="18"/>
                <w:highlight w:val="lightGray"/>
                <w:lang w:val="es-ES_tradnl"/>
              </w:rPr>
            </w:pPr>
            <w:proofErr w:type="spellStart"/>
            <w:r w:rsidRPr="006B6FA8">
              <w:rPr>
                <w:rFonts w:cs="Arial"/>
                <w:sz w:val="18"/>
                <w:szCs w:val="18"/>
                <w:highlight w:val="lightGray"/>
                <w:lang w:val="es-ES_tradnl"/>
              </w:rPr>
              <w:t>dark</w:t>
            </w:r>
            <w:proofErr w:type="spellEnd"/>
            <w:r w:rsidRPr="006B6FA8">
              <w:rPr>
                <w:rFonts w:cs="Arial"/>
                <w:sz w:val="18"/>
                <w:szCs w:val="18"/>
                <w:highlight w:val="lightGray"/>
                <w:lang w:val="es-ES_tradnl"/>
              </w:rPr>
              <w:t xml:space="preserve"> blue </w:t>
            </w:r>
            <w:proofErr w:type="spellStart"/>
            <w:r w:rsidRPr="006B6FA8">
              <w:rPr>
                <w:rFonts w:cs="Arial"/>
                <w:sz w:val="18"/>
                <w:szCs w:val="18"/>
                <w:highlight w:val="lightGray"/>
                <w:lang w:val="es-ES_tradnl"/>
              </w:rPr>
              <w:t>pink</w:t>
            </w:r>
            <w:proofErr w:type="spellEnd"/>
          </w:p>
        </w:tc>
        <w:tc>
          <w:tcPr>
            <w:tcW w:w="1984" w:type="dxa"/>
          </w:tcPr>
          <w:p w14:paraId="1422A220" w14:textId="77777777" w:rsidR="006B6FA8" w:rsidRPr="006B6FA8" w:rsidRDefault="006B6FA8" w:rsidP="006B6FA8">
            <w:pPr>
              <w:rPr>
                <w:sz w:val="18"/>
                <w:szCs w:val="18"/>
                <w:highlight w:val="lightGray"/>
                <w:lang w:val="es-ES_tradnl"/>
              </w:rPr>
            </w:pPr>
            <w:r w:rsidRPr="006B6FA8">
              <w:rPr>
                <w:sz w:val="18"/>
                <w:szCs w:val="18"/>
                <w:highlight w:val="lightGray"/>
                <w:lang w:val="es-ES_tradnl"/>
              </w:rPr>
              <w:t>rose-</w:t>
            </w:r>
            <w:proofErr w:type="spellStart"/>
            <w:r w:rsidRPr="006B6FA8">
              <w:rPr>
                <w:sz w:val="18"/>
                <w:szCs w:val="18"/>
                <w:highlight w:val="lightGray"/>
                <w:lang w:val="es-ES_tradnl"/>
              </w:rPr>
              <w:t>bleu</w:t>
            </w:r>
            <w:proofErr w:type="spellEnd"/>
            <w:r w:rsidRPr="006B6FA8">
              <w:rPr>
                <w:sz w:val="18"/>
                <w:szCs w:val="18"/>
                <w:highlight w:val="lightGray"/>
                <w:lang w:val="es-ES_tradnl"/>
              </w:rPr>
              <w:t xml:space="preserve"> </w:t>
            </w:r>
            <w:proofErr w:type="spellStart"/>
            <w:r w:rsidRPr="006B6FA8">
              <w:rPr>
                <w:sz w:val="18"/>
                <w:szCs w:val="18"/>
                <w:highlight w:val="lightGray"/>
                <w:lang w:val="es-ES_tradnl"/>
              </w:rPr>
              <w:t>foncé</w:t>
            </w:r>
            <w:proofErr w:type="spellEnd"/>
          </w:p>
        </w:tc>
        <w:tc>
          <w:tcPr>
            <w:tcW w:w="2268" w:type="dxa"/>
          </w:tcPr>
          <w:p w14:paraId="0FB25E93"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dunkelblaurosa</w:t>
            </w:r>
            <w:proofErr w:type="spellEnd"/>
          </w:p>
        </w:tc>
      </w:tr>
      <w:tr w:rsidR="006B6FA8" w:rsidRPr="006B6FA8" w14:paraId="4B88D1ED" w14:textId="77777777" w:rsidTr="00D60821">
        <w:tc>
          <w:tcPr>
            <w:tcW w:w="1105" w:type="dxa"/>
          </w:tcPr>
          <w:p w14:paraId="431EE64E"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33</w:t>
            </w:r>
          </w:p>
        </w:tc>
        <w:tc>
          <w:tcPr>
            <w:tcW w:w="2126" w:type="dxa"/>
          </w:tcPr>
          <w:p w14:paraId="137627EA"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rojo anaranjado</w:t>
            </w:r>
          </w:p>
        </w:tc>
        <w:tc>
          <w:tcPr>
            <w:tcW w:w="2126" w:type="dxa"/>
          </w:tcPr>
          <w:p w14:paraId="36E5ECDD" w14:textId="77777777" w:rsidR="006B6FA8" w:rsidRPr="006B6FA8" w:rsidRDefault="006B6FA8" w:rsidP="006B6FA8">
            <w:pPr>
              <w:jc w:val="left"/>
              <w:rPr>
                <w:rFonts w:cs="Arial"/>
                <w:sz w:val="18"/>
                <w:szCs w:val="18"/>
                <w:highlight w:val="lightGray"/>
                <w:lang w:val="es-ES_tradnl"/>
              </w:rPr>
            </w:pPr>
            <w:proofErr w:type="spellStart"/>
            <w:r w:rsidRPr="006B6FA8">
              <w:rPr>
                <w:rFonts w:cs="Arial"/>
                <w:sz w:val="18"/>
                <w:szCs w:val="18"/>
                <w:highlight w:val="lightGray"/>
                <w:lang w:val="es-ES_tradnl"/>
              </w:rPr>
              <w:t>orange</w:t>
            </w:r>
            <w:proofErr w:type="spellEnd"/>
            <w:r w:rsidRPr="006B6FA8">
              <w:rPr>
                <w:rFonts w:cs="Arial"/>
                <w:sz w:val="18"/>
                <w:szCs w:val="18"/>
                <w:highlight w:val="lightGray"/>
                <w:lang w:val="es-ES_tradnl"/>
              </w:rPr>
              <w:t xml:space="preserve"> red</w:t>
            </w:r>
          </w:p>
        </w:tc>
        <w:tc>
          <w:tcPr>
            <w:tcW w:w="1984" w:type="dxa"/>
          </w:tcPr>
          <w:p w14:paraId="2DBC9E3F" w14:textId="77777777" w:rsidR="006B6FA8" w:rsidRPr="006B6FA8" w:rsidRDefault="006B6FA8" w:rsidP="006B6FA8">
            <w:pPr>
              <w:rPr>
                <w:sz w:val="18"/>
                <w:szCs w:val="18"/>
                <w:highlight w:val="lightGray"/>
                <w:lang w:val="es-ES_tradnl"/>
              </w:rPr>
            </w:pPr>
            <w:r w:rsidRPr="006B6FA8">
              <w:rPr>
                <w:sz w:val="18"/>
                <w:szCs w:val="18"/>
                <w:highlight w:val="lightGray"/>
                <w:lang w:val="es-ES_tradnl"/>
              </w:rPr>
              <w:t xml:space="preserve">rouge </w:t>
            </w:r>
            <w:proofErr w:type="spellStart"/>
            <w:r w:rsidRPr="006B6FA8">
              <w:rPr>
                <w:sz w:val="18"/>
                <w:szCs w:val="18"/>
                <w:highlight w:val="lightGray"/>
                <w:lang w:val="es-ES_tradnl"/>
              </w:rPr>
              <w:t>orangé</w:t>
            </w:r>
            <w:proofErr w:type="spellEnd"/>
          </w:p>
        </w:tc>
        <w:tc>
          <w:tcPr>
            <w:tcW w:w="2268" w:type="dxa"/>
          </w:tcPr>
          <w:p w14:paraId="380FA710"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orangerot</w:t>
            </w:r>
            <w:proofErr w:type="spellEnd"/>
          </w:p>
        </w:tc>
      </w:tr>
      <w:tr w:rsidR="006B6FA8" w:rsidRPr="006B6FA8" w14:paraId="1EDCEF96" w14:textId="77777777" w:rsidTr="00D60821">
        <w:tc>
          <w:tcPr>
            <w:tcW w:w="1105" w:type="dxa"/>
          </w:tcPr>
          <w:p w14:paraId="5AEA4504"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34</w:t>
            </w:r>
          </w:p>
        </w:tc>
        <w:tc>
          <w:tcPr>
            <w:tcW w:w="2126" w:type="dxa"/>
          </w:tcPr>
          <w:p w14:paraId="68669513"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rojo claro</w:t>
            </w:r>
          </w:p>
        </w:tc>
        <w:tc>
          <w:tcPr>
            <w:tcW w:w="2126" w:type="dxa"/>
          </w:tcPr>
          <w:p w14:paraId="4271E5F3"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light red</w:t>
            </w:r>
          </w:p>
        </w:tc>
        <w:tc>
          <w:tcPr>
            <w:tcW w:w="1984" w:type="dxa"/>
          </w:tcPr>
          <w:p w14:paraId="268F7245" w14:textId="77777777" w:rsidR="006B6FA8" w:rsidRPr="006B6FA8" w:rsidRDefault="006B6FA8" w:rsidP="006B6FA8">
            <w:pPr>
              <w:rPr>
                <w:sz w:val="18"/>
                <w:szCs w:val="18"/>
                <w:highlight w:val="lightGray"/>
                <w:lang w:val="es-ES_tradnl"/>
              </w:rPr>
            </w:pPr>
            <w:r w:rsidRPr="006B6FA8">
              <w:rPr>
                <w:sz w:val="18"/>
                <w:szCs w:val="18"/>
                <w:highlight w:val="lightGray"/>
                <w:lang w:val="es-ES_tradnl"/>
              </w:rPr>
              <w:t xml:space="preserve">rouge </w:t>
            </w:r>
            <w:proofErr w:type="spellStart"/>
            <w:r w:rsidRPr="006B6FA8">
              <w:rPr>
                <w:sz w:val="18"/>
                <w:szCs w:val="18"/>
                <w:highlight w:val="lightGray"/>
                <w:lang w:val="es-ES_tradnl"/>
              </w:rPr>
              <w:t>clair</w:t>
            </w:r>
            <w:proofErr w:type="spellEnd"/>
          </w:p>
        </w:tc>
        <w:tc>
          <w:tcPr>
            <w:tcW w:w="2268" w:type="dxa"/>
          </w:tcPr>
          <w:p w14:paraId="681F967C"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hellrot</w:t>
            </w:r>
            <w:proofErr w:type="spellEnd"/>
          </w:p>
        </w:tc>
      </w:tr>
      <w:tr w:rsidR="006B6FA8" w:rsidRPr="006B6FA8" w14:paraId="74B8A01F" w14:textId="77777777" w:rsidTr="00D60821">
        <w:tc>
          <w:tcPr>
            <w:tcW w:w="1105" w:type="dxa"/>
          </w:tcPr>
          <w:p w14:paraId="1CE00D7C"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35</w:t>
            </w:r>
          </w:p>
        </w:tc>
        <w:tc>
          <w:tcPr>
            <w:tcW w:w="2126" w:type="dxa"/>
          </w:tcPr>
          <w:p w14:paraId="5A72062B"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rojo medio</w:t>
            </w:r>
          </w:p>
        </w:tc>
        <w:tc>
          <w:tcPr>
            <w:tcW w:w="2126" w:type="dxa"/>
          </w:tcPr>
          <w:p w14:paraId="63637B55" w14:textId="77777777" w:rsidR="006B6FA8" w:rsidRPr="006B6FA8" w:rsidRDefault="006B6FA8" w:rsidP="006B6FA8">
            <w:pPr>
              <w:jc w:val="left"/>
              <w:rPr>
                <w:rFonts w:cs="Arial"/>
                <w:sz w:val="18"/>
                <w:szCs w:val="18"/>
                <w:highlight w:val="lightGray"/>
                <w:lang w:val="es-ES_tradnl"/>
              </w:rPr>
            </w:pPr>
            <w:proofErr w:type="spellStart"/>
            <w:r w:rsidRPr="006B6FA8">
              <w:rPr>
                <w:rFonts w:cs="Arial"/>
                <w:sz w:val="18"/>
                <w:szCs w:val="18"/>
                <w:highlight w:val="lightGray"/>
                <w:lang w:val="es-ES_tradnl"/>
              </w:rPr>
              <w:t>medium</w:t>
            </w:r>
            <w:proofErr w:type="spellEnd"/>
            <w:r w:rsidRPr="006B6FA8">
              <w:rPr>
                <w:rFonts w:cs="Arial"/>
                <w:sz w:val="18"/>
                <w:szCs w:val="18"/>
                <w:highlight w:val="lightGray"/>
                <w:lang w:val="es-ES_tradnl"/>
              </w:rPr>
              <w:t xml:space="preserve"> red</w:t>
            </w:r>
          </w:p>
        </w:tc>
        <w:tc>
          <w:tcPr>
            <w:tcW w:w="1984" w:type="dxa"/>
          </w:tcPr>
          <w:p w14:paraId="7A7F524D" w14:textId="77777777" w:rsidR="006B6FA8" w:rsidRPr="006B6FA8" w:rsidRDefault="006B6FA8" w:rsidP="006B6FA8">
            <w:pPr>
              <w:rPr>
                <w:sz w:val="18"/>
                <w:szCs w:val="18"/>
                <w:highlight w:val="lightGray"/>
                <w:lang w:val="es-ES_tradnl"/>
              </w:rPr>
            </w:pPr>
            <w:r w:rsidRPr="006B6FA8">
              <w:rPr>
                <w:sz w:val="18"/>
                <w:szCs w:val="18"/>
                <w:highlight w:val="lightGray"/>
                <w:lang w:val="es-ES_tradnl"/>
              </w:rPr>
              <w:t xml:space="preserve">rouge </w:t>
            </w:r>
            <w:proofErr w:type="spellStart"/>
            <w:r w:rsidRPr="006B6FA8">
              <w:rPr>
                <w:sz w:val="18"/>
                <w:szCs w:val="18"/>
                <w:highlight w:val="lightGray"/>
                <w:lang w:val="es-ES_tradnl"/>
              </w:rPr>
              <w:t>moyen</w:t>
            </w:r>
            <w:proofErr w:type="spellEnd"/>
          </w:p>
        </w:tc>
        <w:tc>
          <w:tcPr>
            <w:tcW w:w="2268" w:type="dxa"/>
          </w:tcPr>
          <w:p w14:paraId="01855FCB"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mittelrot</w:t>
            </w:r>
            <w:proofErr w:type="spellEnd"/>
          </w:p>
        </w:tc>
      </w:tr>
      <w:tr w:rsidR="006B6FA8" w:rsidRPr="006B6FA8" w14:paraId="4FC2BA50" w14:textId="77777777" w:rsidTr="00D60821">
        <w:tc>
          <w:tcPr>
            <w:tcW w:w="1105" w:type="dxa"/>
          </w:tcPr>
          <w:p w14:paraId="69E3BA00"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lastRenderedPageBreak/>
              <w:t>36</w:t>
            </w:r>
          </w:p>
        </w:tc>
        <w:tc>
          <w:tcPr>
            <w:tcW w:w="2126" w:type="dxa"/>
          </w:tcPr>
          <w:p w14:paraId="6063773A"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rojo oscuro</w:t>
            </w:r>
          </w:p>
        </w:tc>
        <w:tc>
          <w:tcPr>
            <w:tcW w:w="2126" w:type="dxa"/>
          </w:tcPr>
          <w:p w14:paraId="62E1D51E" w14:textId="77777777" w:rsidR="006B6FA8" w:rsidRPr="006B6FA8" w:rsidRDefault="006B6FA8" w:rsidP="006B6FA8">
            <w:pPr>
              <w:jc w:val="left"/>
              <w:rPr>
                <w:rFonts w:cs="Arial"/>
                <w:sz w:val="18"/>
                <w:szCs w:val="18"/>
                <w:highlight w:val="lightGray"/>
                <w:lang w:val="es-ES_tradnl"/>
              </w:rPr>
            </w:pPr>
            <w:proofErr w:type="spellStart"/>
            <w:r w:rsidRPr="006B6FA8">
              <w:rPr>
                <w:rFonts w:cs="Arial"/>
                <w:sz w:val="18"/>
                <w:szCs w:val="18"/>
                <w:highlight w:val="lightGray"/>
                <w:lang w:val="es-ES_tradnl"/>
              </w:rPr>
              <w:t>dark</w:t>
            </w:r>
            <w:proofErr w:type="spellEnd"/>
            <w:r w:rsidRPr="006B6FA8">
              <w:rPr>
                <w:rFonts w:cs="Arial"/>
                <w:sz w:val="18"/>
                <w:szCs w:val="18"/>
                <w:highlight w:val="lightGray"/>
                <w:lang w:val="es-ES_tradnl"/>
              </w:rPr>
              <w:t xml:space="preserve"> red</w:t>
            </w:r>
          </w:p>
        </w:tc>
        <w:tc>
          <w:tcPr>
            <w:tcW w:w="1984" w:type="dxa"/>
          </w:tcPr>
          <w:p w14:paraId="0CB9D311" w14:textId="77777777" w:rsidR="006B6FA8" w:rsidRPr="006B6FA8" w:rsidRDefault="006B6FA8" w:rsidP="006B6FA8">
            <w:pPr>
              <w:rPr>
                <w:sz w:val="18"/>
                <w:szCs w:val="18"/>
                <w:highlight w:val="lightGray"/>
                <w:lang w:val="es-ES_tradnl"/>
              </w:rPr>
            </w:pPr>
            <w:r w:rsidRPr="006B6FA8">
              <w:rPr>
                <w:sz w:val="18"/>
                <w:szCs w:val="18"/>
                <w:highlight w:val="lightGray"/>
                <w:lang w:val="es-ES_tradnl"/>
              </w:rPr>
              <w:t xml:space="preserve">rouge </w:t>
            </w:r>
            <w:proofErr w:type="spellStart"/>
            <w:r w:rsidRPr="006B6FA8">
              <w:rPr>
                <w:sz w:val="18"/>
                <w:szCs w:val="18"/>
                <w:highlight w:val="lightGray"/>
                <w:lang w:val="es-ES_tradnl"/>
              </w:rPr>
              <w:t>foncé</w:t>
            </w:r>
            <w:proofErr w:type="spellEnd"/>
          </w:p>
        </w:tc>
        <w:tc>
          <w:tcPr>
            <w:tcW w:w="2268" w:type="dxa"/>
          </w:tcPr>
          <w:p w14:paraId="4FE2ED9F"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dunkelrot</w:t>
            </w:r>
            <w:proofErr w:type="spellEnd"/>
          </w:p>
        </w:tc>
      </w:tr>
      <w:tr w:rsidR="006B6FA8" w:rsidRPr="006B6FA8" w14:paraId="4738C43B" w14:textId="77777777" w:rsidTr="00D60821">
        <w:tc>
          <w:tcPr>
            <w:tcW w:w="1105" w:type="dxa"/>
          </w:tcPr>
          <w:p w14:paraId="7C7268D3"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37</w:t>
            </w:r>
          </w:p>
        </w:tc>
        <w:tc>
          <w:tcPr>
            <w:tcW w:w="2126" w:type="dxa"/>
          </w:tcPr>
          <w:p w14:paraId="4C2C57B8"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rojo púrpura medio</w:t>
            </w:r>
          </w:p>
        </w:tc>
        <w:tc>
          <w:tcPr>
            <w:tcW w:w="2126" w:type="dxa"/>
          </w:tcPr>
          <w:p w14:paraId="5C2E0B6E" w14:textId="77777777" w:rsidR="006B6FA8" w:rsidRPr="006B6FA8" w:rsidRDefault="006B6FA8" w:rsidP="006B6FA8">
            <w:pPr>
              <w:jc w:val="left"/>
              <w:rPr>
                <w:rFonts w:cs="Arial"/>
                <w:sz w:val="18"/>
                <w:szCs w:val="18"/>
                <w:highlight w:val="lightGray"/>
                <w:lang w:val="es-ES_tradnl"/>
              </w:rPr>
            </w:pPr>
            <w:proofErr w:type="spellStart"/>
            <w:r w:rsidRPr="006B6FA8">
              <w:rPr>
                <w:rFonts w:cs="Arial"/>
                <w:sz w:val="18"/>
                <w:szCs w:val="18"/>
                <w:highlight w:val="lightGray"/>
                <w:lang w:val="es-ES_tradnl"/>
              </w:rPr>
              <w:t>medium</w:t>
            </w:r>
            <w:proofErr w:type="spellEnd"/>
            <w:r w:rsidRPr="006B6FA8">
              <w:rPr>
                <w:rFonts w:cs="Arial"/>
                <w:sz w:val="18"/>
                <w:szCs w:val="18"/>
                <w:highlight w:val="lightGray"/>
                <w:lang w:val="es-ES_tradnl"/>
              </w:rPr>
              <w:t xml:space="preserve"> </w:t>
            </w:r>
            <w:proofErr w:type="spellStart"/>
            <w:r w:rsidRPr="006B6FA8">
              <w:rPr>
                <w:rFonts w:cs="Arial"/>
                <w:sz w:val="18"/>
                <w:szCs w:val="18"/>
                <w:highlight w:val="lightGray"/>
                <w:lang w:val="es-ES_tradnl"/>
              </w:rPr>
              <w:t>purple</w:t>
            </w:r>
            <w:proofErr w:type="spellEnd"/>
            <w:r w:rsidRPr="006B6FA8">
              <w:rPr>
                <w:rFonts w:cs="Arial"/>
                <w:sz w:val="18"/>
                <w:szCs w:val="18"/>
                <w:highlight w:val="lightGray"/>
                <w:lang w:val="es-ES_tradnl"/>
              </w:rPr>
              <w:t xml:space="preserve"> red</w:t>
            </w:r>
          </w:p>
        </w:tc>
        <w:tc>
          <w:tcPr>
            <w:tcW w:w="1984" w:type="dxa"/>
          </w:tcPr>
          <w:p w14:paraId="6D794FC7" w14:textId="77777777" w:rsidR="006B6FA8" w:rsidRPr="006B6FA8" w:rsidRDefault="006B6FA8" w:rsidP="006B6FA8">
            <w:pPr>
              <w:rPr>
                <w:sz w:val="18"/>
                <w:szCs w:val="18"/>
                <w:highlight w:val="lightGray"/>
                <w:lang w:val="es-ES_tradnl"/>
              </w:rPr>
            </w:pPr>
            <w:r w:rsidRPr="006B6FA8">
              <w:rPr>
                <w:sz w:val="18"/>
                <w:szCs w:val="18"/>
                <w:highlight w:val="lightGray"/>
                <w:lang w:val="es-ES_tradnl"/>
              </w:rPr>
              <w:t>rouge-</w:t>
            </w:r>
            <w:proofErr w:type="spellStart"/>
            <w:r w:rsidRPr="006B6FA8">
              <w:rPr>
                <w:sz w:val="18"/>
                <w:szCs w:val="18"/>
                <w:highlight w:val="lightGray"/>
                <w:lang w:val="es-ES_tradnl"/>
              </w:rPr>
              <w:t>pourpre</w:t>
            </w:r>
            <w:proofErr w:type="spellEnd"/>
            <w:r w:rsidRPr="006B6FA8">
              <w:rPr>
                <w:sz w:val="18"/>
                <w:szCs w:val="18"/>
                <w:highlight w:val="lightGray"/>
                <w:lang w:val="es-ES_tradnl"/>
              </w:rPr>
              <w:t xml:space="preserve"> </w:t>
            </w:r>
            <w:proofErr w:type="spellStart"/>
            <w:r w:rsidRPr="006B6FA8">
              <w:rPr>
                <w:sz w:val="18"/>
                <w:szCs w:val="18"/>
                <w:highlight w:val="lightGray"/>
                <w:lang w:val="es-ES_tradnl"/>
              </w:rPr>
              <w:t>moyen</w:t>
            </w:r>
            <w:proofErr w:type="spellEnd"/>
          </w:p>
        </w:tc>
        <w:tc>
          <w:tcPr>
            <w:tcW w:w="2268" w:type="dxa"/>
          </w:tcPr>
          <w:p w14:paraId="61F676CF"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mittelpurpurrot</w:t>
            </w:r>
            <w:proofErr w:type="spellEnd"/>
          </w:p>
        </w:tc>
      </w:tr>
      <w:tr w:rsidR="006B6FA8" w:rsidRPr="006B6FA8" w14:paraId="0FEFAD0E" w14:textId="77777777" w:rsidTr="00D60821">
        <w:tc>
          <w:tcPr>
            <w:tcW w:w="1105" w:type="dxa"/>
          </w:tcPr>
          <w:p w14:paraId="67CCEDE3"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38</w:t>
            </w:r>
          </w:p>
        </w:tc>
        <w:tc>
          <w:tcPr>
            <w:tcW w:w="2126" w:type="dxa"/>
          </w:tcPr>
          <w:p w14:paraId="3BCF113B"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rojo púrpura oscuro</w:t>
            </w:r>
          </w:p>
        </w:tc>
        <w:tc>
          <w:tcPr>
            <w:tcW w:w="2126" w:type="dxa"/>
          </w:tcPr>
          <w:p w14:paraId="11D4D044" w14:textId="77777777" w:rsidR="006B6FA8" w:rsidRPr="006B6FA8" w:rsidRDefault="006B6FA8" w:rsidP="006B6FA8">
            <w:pPr>
              <w:jc w:val="left"/>
              <w:rPr>
                <w:rFonts w:cs="Arial"/>
                <w:sz w:val="18"/>
                <w:szCs w:val="18"/>
                <w:highlight w:val="lightGray"/>
                <w:lang w:val="es-ES_tradnl"/>
              </w:rPr>
            </w:pPr>
            <w:proofErr w:type="spellStart"/>
            <w:r w:rsidRPr="006B6FA8">
              <w:rPr>
                <w:rFonts w:cs="Arial"/>
                <w:sz w:val="18"/>
                <w:szCs w:val="18"/>
                <w:highlight w:val="lightGray"/>
                <w:lang w:val="es-ES_tradnl"/>
              </w:rPr>
              <w:t>dark</w:t>
            </w:r>
            <w:proofErr w:type="spellEnd"/>
            <w:r w:rsidRPr="006B6FA8">
              <w:rPr>
                <w:rFonts w:cs="Arial"/>
                <w:sz w:val="18"/>
                <w:szCs w:val="18"/>
                <w:highlight w:val="lightGray"/>
                <w:lang w:val="es-ES_tradnl"/>
              </w:rPr>
              <w:t xml:space="preserve"> </w:t>
            </w:r>
            <w:proofErr w:type="spellStart"/>
            <w:r w:rsidRPr="006B6FA8">
              <w:rPr>
                <w:rFonts w:cs="Arial"/>
                <w:sz w:val="18"/>
                <w:szCs w:val="18"/>
                <w:highlight w:val="lightGray"/>
                <w:lang w:val="es-ES_tradnl"/>
              </w:rPr>
              <w:t>purple</w:t>
            </w:r>
            <w:proofErr w:type="spellEnd"/>
            <w:r w:rsidRPr="006B6FA8">
              <w:rPr>
                <w:rFonts w:cs="Arial"/>
                <w:sz w:val="18"/>
                <w:szCs w:val="18"/>
                <w:highlight w:val="lightGray"/>
                <w:lang w:val="es-ES_tradnl"/>
              </w:rPr>
              <w:t xml:space="preserve"> red</w:t>
            </w:r>
          </w:p>
        </w:tc>
        <w:tc>
          <w:tcPr>
            <w:tcW w:w="1984" w:type="dxa"/>
          </w:tcPr>
          <w:p w14:paraId="2C466D49" w14:textId="77777777" w:rsidR="006B6FA8" w:rsidRPr="006B6FA8" w:rsidRDefault="006B6FA8" w:rsidP="006B6FA8">
            <w:pPr>
              <w:rPr>
                <w:sz w:val="18"/>
                <w:szCs w:val="18"/>
                <w:highlight w:val="lightGray"/>
                <w:lang w:val="es-ES_tradnl"/>
              </w:rPr>
            </w:pPr>
            <w:r w:rsidRPr="006B6FA8">
              <w:rPr>
                <w:sz w:val="18"/>
                <w:szCs w:val="18"/>
                <w:highlight w:val="lightGray"/>
                <w:lang w:val="es-ES_tradnl"/>
              </w:rPr>
              <w:t>rouge-</w:t>
            </w:r>
            <w:proofErr w:type="spellStart"/>
            <w:r w:rsidRPr="006B6FA8">
              <w:rPr>
                <w:sz w:val="18"/>
                <w:szCs w:val="18"/>
                <w:highlight w:val="lightGray"/>
                <w:lang w:val="es-ES_tradnl"/>
              </w:rPr>
              <w:t>pourpre</w:t>
            </w:r>
            <w:proofErr w:type="spellEnd"/>
            <w:r w:rsidRPr="006B6FA8">
              <w:rPr>
                <w:sz w:val="18"/>
                <w:szCs w:val="18"/>
                <w:highlight w:val="lightGray"/>
                <w:lang w:val="es-ES_tradnl"/>
              </w:rPr>
              <w:t xml:space="preserve"> </w:t>
            </w:r>
            <w:proofErr w:type="spellStart"/>
            <w:r w:rsidRPr="006B6FA8">
              <w:rPr>
                <w:sz w:val="18"/>
                <w:szCs w:val="18"/>
                <w:highlight w:val="lightGray"/>
                <w:lang w:val="es-ES_tradnl"/>
              </w:rPr>
              <w:t>foncé</w:t>
            </w:r>
            <w:proofErr w:type="spellEnd"/>
          </w:p>
        </w:tc>
        <w:tc>
          <w:tcPr>
            <w:tcW w:w="2268" w:type="dxa"/>
          </w:tcPr>
          <w:p w14:paraId="24DB6648"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dunkelpurpurrot</w:t>
            </w:r>
            <w:proofErr w:type="spellEnd"/>
          </w:p>
        </w:tc>
      </w:tr>
      <w:tr w:rsidR="006B6FA8" w:rsidRPr="006B6FA8" w14:paraId="70486027" w14:textId="77777777" w:rsidTr="00D60821">
        <w:tc>
          <w:tcPr>
            <w:tcW w:w="1105" w:type="dxa"/>
          </w:tcPr>
          <w:p w14:paraId="78CE9DD7"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39</w:t>
            </w:r>
          </w:p>
        </w:tc>
        <w:tc>
          <w:tcPr>
            <w:tcW w:w="2126" w:type="dxa"/>
          </w:tcPr>
          <w:p w14:paraId="298A444E"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rojo amarronado</w:t>
            </w:r>
          </w:p>
        </w:tc>
        <w:tc>
          <w:tcPr>
            <w:tcW w:w="2126" w:type="dxa"/>
          </w:tcPr>
          <w:p w14:paraId="386B4046" w14:textId="77777777" w:rsidR="006B6FA8" w:rsidRPr="006B6FA8" w:rsidRDefault="006B6FA8" w:rsidP="006B6FA8">
            <w:pPr>
              <w:jc w:val="left"/>
              <w:rPr>
                <w:rFonts w:cs="Arial"/>
                <w:sz w:val="18"/>
                <w:szCs w:val="18"/>
                <w:highlight w:val="lightGray"/>
                <w:lang w:val="es-ES_tradnl"/>
              </w:rPr>
            </w:pPr>
            <w:proofErr w:type="spellStart"/>
            <w:r w:rsidRPr="006B6FA8">
              <w:rPr>
                <w:rFonts w:cs="Arial"/>
                <w:sz w:val="18"/>
                <w:szCs w:val="18"/>
                <w:highlight w:val="lightGray"/>
                <w:lang w:val="es-ES_tradnl"/>
              </w:rPr>
              <w:t>brown</w:t>
            </w:r>
            <w:proofErr w:type="spellEnd"/>
            <w:r w:rsidRPr="006B6FA8">
              <w:rPr>
                <w:rFonts w:cs="Arial"/>
                <w:sz w:val="18"/>
                <w:szCs w:val="18"/>
                <w:highlight w:val="lightGray"/>
                <w:lang w:val="es-ES_tradnl"/>
              </w:rPr>
              <w:t xml:space="preserve"> red</w:t>
            </w:r>
          </w:p>
        </w:tc>
        <w:tc>
          <w:tcPr>
            <w:tcW w:w="1984" w:type="dxa"/>
          </w:tcPr>
          <w:p w14:paraId="058D9267" w14:textId="77777777" w:rsidR="006B6FA8" w:rsidRPr="006B6FA8" w:rsidRDefault="006B6FA8" w:rsidP="006B6FA8">
            <w:pPr>
              <w:rPr>
                <w:sz w:val="18"/>
                <w:szCs w:val="18"/>
                <w:highlight w:val="lightGray"/>
                <w:lang w:val="es-ES_tradnl"/>
              </w:rPr>
            </w:pPr>
            <w:r w:rsidRPr="006B6FA8">
              <w:rPr>
                <w:sz w:val="18"/>
                <w:szCs w:val="18"/>
                <w:highlight w:val="lightGray"/>
                <w:lang w:val="es-ES_tradnl"/>
              </w:rPr>
              <w:t>rouge-</w:t>
            </w:r>
            <w:proofErr w:type="spellStart"/>
            <w:r w:rsidRPr="006B6FA8">
              <w:rPr>
                <w:sz w:val="18"/>
                <w:szCs w:val="18"/>
                <w:highlight w:val="lightGray"/>
                <w:lang w:val="es-ES_tradnl"/>
              </w:rPr>
              <w:t>brun</w:t>
            </w:r>
            <w:proofErr w:type="spellEnd"/>
          </w:p>
        </w:tc>
        <w:tc>
          <w:tcPr>
            <w:tcW w:w="2268" w:type="dxa"/>
          </w:tcPr>
          <w:p w14:paraId="23362C26"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braunrot</w:t>
            </w:r>
            <w:proofErr w:type="spellEnd"/>
          </w:p>
        </w:tc>
      </w:tr>
      <w:tr w:rsidR="006B6FA8" w:rsidRPr="006B6FA8" w14:paraId="095050FD" w14:textId="77777777" w:rsidTr="00D60821">
        <w:tc>
          <w:tcPr>
            <w:tcW w:w="1105" w:type="dxa"/>
          </w:tcPr>
          <w:p w14:paraId="239DBAC5"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40</w:t>
            </w:r>
          </w:p>
        </w:tc>
        <w:tc>
          <w:tcPr>
            <w:tcW w:w="2126" w:type="dxa"/>
          </w:tcPr>
          <w:p w14:paraId="7512E21E"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púrpura amarronado medio</w:t>
            </w:r>
          </w:p>
        </w:tc>
        <w:tc>
          <w:tcPr>
            <w:tcW w:w="2126" w:type="dxa"/>
          </w:tcPr>
          <w:p w14:paraId="70798ED5" w14:textId="77777777" w:rsidR="006B6FA8" w:rsidRPr="006B6FA8" w:rsidRDefault="006B6FA8" w:rsidP="006B6FA8">
            <w:pPr>
              <w:jc w:val="left"/>
              <w:rPr>
                <w:rFonts w:cs="Arial"/>
                <w:sz w:val="18"/>
                <w:szCs w:val="18"/>
                <w:highlight w:val="lightGray"/>
                <w:lang w:val="es-ES_tradnl"/>
              </w:rPr>
            </w:pPr>
            <w:proofErr w:type="spellStart"/>
            <w:r w:rsidRPr="006B6FA8">
              <w:rPr>
                <w:rFonts w:cs="Arial"/>
                <w:sz w:val="18"/>
                <w:szCs w:val="18"/>
                <w:highlight w:val="lightGray"/>
                <w:lang w:val="es-ES_tradnl"/>
              </w:rPr>
              <w:t>medium</w:t>
            </w:r>
            <w:proofErr w:type="spellEnd"/>
            <w:r w:rsidRPr="006B6FA8">
              <w:rPr>
                <w:rFonts w:cs="Arial"/>
                <w:sz w:val="18"/>
                <w:szCs w:val="18"/>
                <w:highlight w:val="lightGray"/>
                <w:lang w:val="es-ES_tradnl"/>
              </w:rPr>
              <w:t xml:space="preserve"> </w:t>
            </w:r>
            <w:proofErr w:type="spellStart"/>
            <w:r w:rsidRPr="006B6FA8">
              <w:rPr>
                <w:rFonts w:cs="Arial"/>
                <w:sz w:val="18"/>
                <w:szCs w:val="18"/>
                <w:highlight w:val="lightGray"/>
                <w:lang w:val="es-ES_tradnl"/>
              </w:rPr>
              <w:t>brown</w:t>
            </w:r>
            <w:proofErr w:type="spellEnd"/>
            <w:r w:rsidRPr="006B6FA8">
              <w:rPr>
                <w:rFonts w:cs="Arial"/>
                <w:sz w:val="18"/>
                <w:szCs w:val="18"/>
                <w:highlight w:val="lightGray"/>
                <w:lang w:val="es-ES_tradnl"/>
              </w:rPr>
              <w:t xml:space="preserve"> </w:t>
            </w:r>
            <w:proofErr w:type="spellStart"/>
            <w:r w:rsidRPr="006B6FA8">
              <w:rPr>
                <w:rFonts w:cs="Arial"/>
                <w:sz w:val="18"/>
                <w:szCs w:val="18"/>
                <w:highlight w:val="lightGray"/>
                <w:lang w:val="es-ES_tradnl"/>
              </w:rPr>
              <w:t>purple</w:t>
            </w:r>
            <w:proofErr w:type="spellEnd"/>
          </w:p>
        </w:tc>
        <w:tc>
          <w:tcPr>
            <w:tcW w:w="1984" w:type="dxa"/>
          </w:tcPr>
          <w:p w14:paraId="02697DFD"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pourpre-brun</w:t>
            </w:r>
            <w:proofErr w:type="spellEnd"/>
            <w:r w:rsidRPr="006B6FA8">
              <w:rPr>
                <w:sz w:val="18"/>
                <w:szCs w:val="18"/>
                <w:highlight w:val="lightGray"/>
                <w:lang w:val="es-ES_tradnl"/>
              </w:rPr>
              <w:t xml:space="preserve"> </w:t>
            </w:r>
            <w:proofErr w:type="spellStart"/>
            <w:r w:rsidRPr="006B6FA8">
              <w:rPr>
                <w:sz w:val="18"/>
                <w:szCs w:val="18"/>
                <w:highlight w:val="lightGray"/>
                <w:lang w:val="es-ES_tradnl"/>
              </w:rPr>
              <w:t>moyen</w:t>
            </w:r>
            <w:proofErr w:type="spellEnd"/>
          </w:p>
        </w:tc>
        <w:tc>
          <w:tcPr>
            <w:tcW w:w="2268" w:type="dxa"/>
          </w:tcPr>
          <w:p w14:paraId="24130916"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mittelbraunpurpurn</w:t>
            </w:r>
            <w:proofErr w:type="spellEnd"/>
          </w:p>
        </w:tc>
      </w:tr>
      <w:tr w:rsidR="006B6FA8" w:rsidRPr="006B6FA8" w14:paraId="1BCECE0A" w14:textId="77777777" w:rsidTr="00D60821">
        <w:tc>
          <w:tcPr>
            <w:tcW w:w="1105" w:type="dxa"/>
          </w:tcPr>
          <w:p w14:paraId="693FA2AB"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41</w:t>
            </w:r>
          </w:p>
        </w:tc>
        <w:tc>
          <w:tcPr>
            <w:tcW w:w="2126" w:type="dxa"/>
          </w:tcPr>
          <w:p w14:paraId="49507321"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púrpura amarronado oscuro</w:t>
            </w:r>
          </w:p>
        </w:tc>
        <w:tc>
          <w:tcPr>
            <w:tcW w:w="2126" w:type="dxa"/>
          </w:tcPr>
          <w:p w14:paraId="2E5DA03E" w14:textId="77777777" w:rsidR="006B6FA8" w:rsidRPr="006B6FA8" w:rsidRDefault="006B6FA8" w:rsidP="006B6FA8">
            <w:pPr>
              <w:jc w:val="left"/>
              <w:rPr>
                <w:rFonts w:cs="Arial"/>
                <w:sz w:val="18"/>
                <w:szCs w:val="18"/>
                <w:highlight w:val="lightGray"/>
                <w:lang w:val="es-ES_tradnl"/>
              </w:rPr>
            </w:pPr>
            <w:proofErr w:type="spellStart"/>
            <w:r w:rsidRPr="006B6FA8">
              <w:rPr>
                <w:rFonts w:cs="Arial"/>
                <w:sz w:val="18"/>
                <w:szCs w:val="18"/>
                <w:highlight w:val="lightGray"/>
                <w:lang w:val="es-ES_tradnl"/>
              </w:rPr>
              <w:t>dark</w:t>
            </w:r>
            <w:proofErr w:type="spellEnd"/>
            <w:r w:rsidRPr="006B6FA8">
              <w:rPr>
                <w:rFonts w:cs="Arial"/>
                <w:sz w:val="18"/>
                <w:szCs w:val="18"/>
                <w:highlight w:val="lightGray"/>
                <w:lang w:val="es-ES_tradnl"/>
              </w:rPr>
              <w:t xml:space="preserve"> </w:t>
            </w:r>
            <w:proofErr w:type="spellStart"/>
            <w:r w:rsidRPr="006B6FA8">
              <w:rPr>
                <w:rFonts w:cs="Arial"/>
                <w:sz w:val="18"/>
                <w:szCs w:val="18"/>
                <w:highlight w:val="lightGray"/>
                <w:lang w:val="es-ES_tradnl"/>
              </w:rPr>
              <w:t>brown</w:t>
            </w:r>
            <w:proofErr w:type="spellEnd"/>
            <w:r w:rsidRPr="006B6FA8">
              <w:rPr>
                <w:rFonts w:cs="Arial"/>
                <w:sz w:val="18"/>
                <w:szCs w:val="18"/>
                <w:highlight w:val="lightGray"/>
                <w:lang w:val="es-ES_tradnl"/>
              </w:rPr>
              <w:t xml:space="preserve"> </w:t>
            </w:r>
            <w:proofErr w:type="spellStart"/>
            <w:r w:rsidRPr="006B6FA8">
              <w:rPr>
                <w:rFonts w:cs="Arial"/>
                <w:sz w:val="18"/>
                <w:szCs w:val="18"/>
                <w:highlight w:val="lightGray"/>
                <w:lang w:val="es-ES_tradnl"/>
              </w:rPr>
              <w:t>purple</w:t>
            </w:r>
            <w:proofErr w:type="spellEnd"/>
          </w:p>
        </w:tc>
        <w:tc>
          <w:tcPr>
            <w:tcW w:w="1984" w:type="dxa"/>
          </w:tcPr>
          <w:p w14:paraId="58D92989"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pourpre-brun</w:t>
            </w:r>
            <w:proofErr w:type="spellEnd"/>
            <w:r w:rsidRPr="006B6FA8">
              <w:rPr>
                <w:sz w:val="18"/>
                <w:szCs w:val="18"/>
                <w:highlight w:val="lightGray"/>
                <w:lang w:val="es-ES_tradnl"/>
              </w:rPr>
              <w:t xml:space="preserve"> </w:t>
            </w:r>
            <w:proofErr w:type="spellStart"/>
            <w:r w:rsidRPr="006B6FA8">
              <w:rPr>
                <w:sz w:val="18"/>
                <w:szCs w:val="18"/>
                <w:highlight w:val="lightGray"/>
                <w:lang w:val="es-ES_tradnl"/>
              </w:rPr>
              <w:t>foncé</w:t>
            </w:r>
            <w:proofErr w:type="spellEnd"/>
          </w:p>
        </w:tc>
        <w:tc>
          <w:tcPr>
            <w:tcW w:w="2268" w:type="dxa"/>
          </w:tcPr>
          <w:p w14:paraId="1E1B63C2"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dunkelbraunpurpurn</w:t>
            </w:r>
            <w:proofErr w:type="spellEnd"/>
          </w:p>
        </w:tc>
      </w:tr>
      <w:tr w:rsidR="006B6FA8" w:rsidRPr="006B6FA8" w14:paraId="15C8F64C" w14:textId="77777777" w:rsidTr="00D60821">
        <w:tc>
          <w:tcPr>
            <w:tcW w:w="1105" w:type="dxa"/>
          </w:tcPr>
          <w:p w14:paraId="67C310D3"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42</w:t>
            </w:r>
          </w:p>
        </w:tc>
        <w:tc>
          <w:tcPr>
            <w:tcW w:w="2126" w:type="dxa"/>
          </w:tcPr>
          <w:p w14:paraId="41695B86"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púrpura medio</w:t>
            </w:r>
          </w:p>
        </w:tc>
        <w:tc>
          <w:tcPr>
            <w:tcW w:w="2126" w:type="dxa"/>
          </w:tcPr>
          <w:p w14:paraId="01E8FA9A" w14:textId="77777777" w:rsidR="006B6FA8" w:rsidRPr="006B6FA8" w:rsidRDefault="006B6FA8" w:rsidP="006B6FA8">
            <w:pPr>
              <w:jc w:val="left"/>
              <w:rPr>
                <w:rFonts w:cs="Arial"/>
                <w:sz w:val="18"/>
                <w:szCs w:val="18"/>
                <w:highlight w:val="lightGray"/>
                <w:lang w:val="es-ES_tradnl"/>
              </w:rPr>
            </w:pPr>
            <w:proofErr w:type="spellStart"/>
            <w:r w:rsidRPr="006B6FA8">
              <w:rPr>
                <w:rFonts w:cs="Arial"/>
                <w:sz w:val="18"/>
                <w:szCs w:val="18"/>
                <w:highlight w:val="lightGray"/>
                <w:lang w:val="es-ES_tradnl"/>
              </w:rPr>
              <w:t>medium</w:t>
            </w:r>
            <w:proofErr w:type="spellEnd"/>
            <w:r w:rsidRPr="006B6FA8">
              <w:rPr>
                <w:rFonts w:cs="Arial"/>
                <w:sz w:val="18"/>
                <w:szCs w:val="18"/>
                <w:highlight w:val="lightGray"/>
                <w:lang w:val="es-ES_tradnl"/>
              </w:rPr>
              <w:t xml:space="preserve"> </w:t>
            </w:r>
            <w:proofErr w:type="spellStart"/>
            <w:r w:rsidRPr="006B6FA8">
              <w:rPr>
                <w:rFonts w:cs="Arial"/>
                <w:sz w:val="18"/>
                <w:szCs w:val="18"/>
                <w:highlight w:val="lightGray"/>
                <w:lang w:val="es-ES_tradnl"/>
              </w:rPr>
              <w:t>purple</w:t>
            </w:r>
            <w:proofErr w:type="spellEnd"/>
          </w:p>
        </w:tc>
        <w:tc>
          <w:tcPr>
            <w:tcW w:w="1984" w:type="dxa"/>
          </w:tcPr>
          <w:p w14:paraId="61E28E08"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pourpre</w:t>
            </w:r>
            <w:proofErr w:type="spellEnd"/>
            <w:r w:rsidRPr="006B6FA8">
              <w:rPr>
                <w:sz w:val="18"/>
                <w:szCs w:val="18"/>
                <w:highlight w:val="lightGray"/>
                <w:lang w:val="es-ES_tradnl"/>
              </w:rPr>
              <w:t xml:space="preserve"> </w:t>
            </w:r>
            <w:proofErr w:type="spellStart"/>
            <w:r w:rsidRPr="006B6FA8">
              <w:rPr>
                <w:sz w:val="18"/>
                <w:szCs w:val="18"/>
                <w:highlight w:val="lightGray"/>
                <w:lang w:val="es-ES_tradnl"/>
              </w:rPr>
              <w:t>moyen</w:t>
            </w:r>
            <w:proofErr w:type="spellEnd"/>
          </w:p>
        </w:tc>
        <w:tc>
          <w:tcPr>
            <w:tcW w:w="2268" w:type="dxa"/>
          </w:tcPr>
          <w:p w14:paraId="4B6FA991"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mittelpurpurn</w:t>
            </w:r>
            <w:proofErr w:type="spellEnd"/>
          </w:p>
        </w:tc>
      </w:tr>
      <w:tr w:rsidR="006B6FA8" w:rsidRPr="006B6FA8" w14:paraId="3C465F92" w14:textId="77777777" w:rsidTr="00D60821">
        <w:tc>
          <w:tcPr>
            <w:tcW w:w="1105" w:type="dxa"/>
          </w:tcPr>
          <w:p w14:paraId="599D742F"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43</w:t>
            </w:r>
          </w:p>
        </w:tc>
        <w:tc>
          <w:tcPr>
            <w:tcW w:w="2126" w:type="dxa"/>
          </w:tcPr>
          <w:p w14:paraId="087F2038"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púrpura oscuro</w:t>
            </w:r>
          </w:p>
        </w:tc>
        <w:tc>
          <w:tcPr>
            <w:tcW w:w="2126" w:type="dxa"/>
          </w:tcPr>
          <w:p w14:paraId="1003C276" w14:textId="77777777" w:rsidR="006B6FA8" w:rsidRPr="006B6FA8" w:rsidRDefault="006B6FA8" w:rsidP="006B6FA8">
            <w:pPr>
              <w:jc w:val="left"/>
              <w:rPr>
                <w:rFonts w:cs="Arial"/>
                <w:sz w:val="18"/>
                <w:szCs w:val="18"/>
                <w:highlight w:val="lightGray"/>
                <w:lang w:val="es-ES_tradnl"/>
              </w:rPr>
            </w:pPr>
            <w:proofErr w:type="spellStart"/>
            <w:r w:rsidRPr="006B6FA8">
              <w:rPr>
                <w:rFonts w:cs="Arial"/>
                <w:sz w:val="18"/>
                <w:szCs w:val="18"/>
                <w:highlight w:val="lightGray"/>
                <w:lang w:val="es-ES_tradnl"/>
              </w:rPr>
              <w:t>dark</w:t>
            </w:r>
            <w:proofErr w:type="spellEnd"/>
            <w:r w:rsidRPr="006B6FA8">
              <w:rPr>
                <w:rFonts w:cs="Arial"/>
                <w:sz w:val="18"/>
                <w:szCs w:val="18"/>
                <w:highlight w:val="lightGray"/>
                <w:lang w:val="es-ES_tradnl"/>
              </w:rPr>
              <w:t xml:space="preserve"> </w:t>
            </w:r>
            <w:proofErr w:type="spellStart"/>
            <w:r w:rsidRPr="006B6FA8">
              <w:rPr>
                <w:rFonts w:cs="Arial"/>
                <w:sz w:val="18"/>
                <w:szCs w:val="18"/>
                <w:highlight w:val="lightGray"/>
                <w:lang w:val="es-ES_tradnl"/>
              </w:rPr>
              <w:t>purple</w:t>
            </w:r>
            <w:proofErr w:type="spellEnd"/>
          </w:p>
        </w:tc>
        <w:tc>
          <w:tcPr>
            <w:tcW w:w="1984" w:type="dxa"/>
          </w:tcPr>
          <w:p w14:paraId="7B47F298"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pourpre</w:t>
            </w:r>
            <w:proofErr w:type="spellEnd"/>
            <w:r w:rsidRPr="006B6FA8">
              <w:rPr>
                <w:sz w:val="18"/>
                <w:szCs w:val="18"/>
                <w:highlight w:val="lightGray"/>
                <w:lang w:val="es-ES_tradnl"/>
              </w:rPr>
              <w:t xml:space="preserve"> </w:t>
            </w:r>
            <w:proofErr w:type="spellStart"/>
            <w:r w:rsidRPr="006B6FA8">
              <w:rPr>
                <w:sz w:val="18"/>
                <w:szCs w:val="18"/>
                <w:highlight w:val="lightGray"/>
                <w:lang w:val="es-ES_tradnl"/>
              </w:rPr>
              <w:t>foncé</w:t>
            </w:r>
            <w:proofErr w:type="spellEnd"/>
          </w:p>
        </w:tc>
        <w:tc>
          <w:tcPr>
            <w:tcW w:w="2268" w:type="dxa"/>
          </w:tcPr>
          <w:p w14:paraId="1232A73C"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dunkelpurpurn</w:t>
            </w:r>
            <w:proofErr w:type="spellEnd"/>
          </w:p>
        </w:tc>
      </w:tr>
      <w:tr w:rsidR="006B6FA8" w:rsidRPr="006B6FA8" w14:paraId="1CE64215" w14:textId="77777777" w:rsidTr="00D60821">
        <w:tc>
          <w:tcPr>
            <w:tcW w:w="1105" w:type="dxa"/>
          </w:tcPr>
          <w:p w14:paraId="72CD3569"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44</w:t>
            </w:r>
          </w:p>
        </w:tc>
        <w:tc>
          <w:tcPr>
            <w:tcW w:w="2126" w:type="dxa"/>
          </w:tcPr>
          <w:p w14:paraId="4586E106"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violeta claro</w:t>
            </w:r>
          </w:p>
        </w:tc>
        <w:tc>
          <w:tcPr>
            <w:tcW w:w="2126" w:type="dxa"/>
          </w:tcPr>
          <w:p w14:paraId="627381F6"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 xml:space="preserve">light </w:t>
            </w:r>
            <w:proofErr w:type="spellStart"/>
            <w:r w:rsidRPr="006B6FA8">
              <w:rPr>
                <w:rFonts w:cs="Arial"/>
                <w:sz w:val="18"/>
                <w:szCs w:val="18"/>
                <w:highlight w:val="lightGray"/>
                <w:lang w:val="es-ES_tradnl"/>
              </w:rPr>
              <w:t>violet</w:t>
            </w:r>
            <w:proofErr w:type="spellEnd"/>
          </w:p>
        </w:tc>
        <w:tc>
          <w:tcPr>
            <w:tcW w:w="1984" w:type="dxa"/>
          </w:tcPr>
          <w:p w14:paraId="044DB1F5"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violet</w:t>
            </w:r>
            <w:proofErr w:type="spellEnd"/>
            <w:r w:rsidRPr="006B6FA8">
              <w:rPr>
                <w:sz w:val="18"/>
                <w:szCs w:val="18"/>
                <w:highlight w:val="lightGray"/>
                <w:lang w:val="es-ES_tradnl"/>
              </w:rPr>
              <w:t xml:space="preserve"> </w:t>
            </w:r>
            <w:proofErr w:type="spellStart"/>
            <w:r w:rsidRPr="006B6FA8">
              <w:rPr>
                <w:sz w:val="18"/>
                <w:szCs w:val="18"/>
                <w:highlight w:val="lightGray"/>
                <w:lang w:val="es-ES_tradnl"/>
              </w:rPr>
              <w:t>clair</w:t>
            </w:r>
            <w:proofErr w:type="spellEnd"/>
          </w:p>
        </w:tc>
        <w:tc>
          <w:tcPr>
            <w:tcW w:w="2268" w:type="dxa"/>
          </w:tcPr>
          <w:p w14:paraId="33B0B396"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hellviolett</w:t>
            </w:r>
            <w:proofErr w:type="spellEnd"/>
          </w:p>
        </w:tc>
      </w:tr>
      <w:tr w:rsidR="006B6FA8" w:rsidRPr="006B6FA8" w14:paraId="515F0F7E" w14:textId="77777777" w:rsidTr="00D60821">
        <w:tc>
          <w:tcPr>
            <w:tcW w:w="1105" w:type="dxa"/>
          </w:tcPr>
          <w:p w14:paraId="4881E922"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45</w:t>
            </w:r>
          </w:p>
        </w:tc>
        <w:tc>
          <w:tcPr>
            <w:tcW w:w="2126" w:type="dxa"/>
          </w:tcPr>
          <w:p w14:paraId="3AD99E76"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violeta medio</w:t>
            </w:r>
          </w:p>
        </w:tc>
        <w:tc>
          <w:tcPr>
            <w:tcW w:w="2126" w:type="dxa"/>
          </w:tcPr>
          <w:p w14:paraId="49A0D7EE" w14:textId="77777777" w:rsidR="006B6FA8" w:rsidRPr="006B6FA8" w:rsidRDefault="006B6FA8" w:rsidP="006B6FA8">
            <w:pPr>
              <w:jc w:val="left"/>
              <w:rPr>
                <w:rFonts w:cs="Arial"/>
                <w:sz w:val="18"/>
                <w:szCs w:val="18"/>
                <w:highlight w:val="lightGray"/>
                <w:lang w:val="es-ES_tradnl"/>
              </w:rPr>
            </w:pPr>
            <w:proofErr w:type="spellStart"/>
            <w:r w:rsidRPr="006B6FA8">
              <w:rPr>
                <w:rFonts w:cs="Arial"/>
                <w:sz w:val="18"/>
                <w:szCs w:val="18"/>
                <w:highlight w:val="lightGray"/>
                <w:lang w:val="es-ES_tradnl"/>
              </w:rPr>
              <w:t>medium</w:t>
            </w:r>
            <w:proofErr w:type="spellEnd"/>
            <w:r w:rsidRPr="006B6FA8">
              <w:rPr>
                <w:rFonts w:cs="Arial"/>
                <w:sz w:val="18"/>
                <w:szCs w:val="18"/>
                <w:highlight w:val="lightGray"/>
                <w:lang w:val="es-ES_tradnl"/>
              </w:rPr>
              <w:t xml:space="preserve"> </w:t>
            </w:r>
            <w:proofErr w:type="spellStart"/>
            <w:r w:rsidRPr="006B6FA8">
              <w:rPr>
                <w:rFonts w:cs="Arial"/>
                <w:sz w:val="18"/>
                <w:szCs w:val="18"/>
                <w:highlight w:val="lightGray"/>
                <w:lang w:val="es-ES_tradnl"/>
              </w:rPr>
              <w:t>violet</w:t>
            </w:r>
            <w:proofErr w:type="spellEnd"/>
          </w:p>
        </w:tc>
        <w:tc>
          <w:tcPr>
            <w:tcW w:w="1984" w:type="dxa"/>
          </w:tcPr>
          <w:p w14:paraId="3A888EBE"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violet</w:t>
            </w:r>
            <w:proofErr w:type="spellEnd"/>
            <w:r w:rsidRPr="006B6FA8">
              <w:rPr>
                <w:sz w:val="18"/>
                <w:szCs w:val="18"/>
                <w:highlight w:val="lightGray"/>
                <w:lang w:val="es-ES_tradnl"/>
              </w:rPr>
              <w:t xml:space="preserve"> </w:t>
            </w:r>
            <w:proofErr w:type="spellStart"/>
            <w:r w:rsidRPr="006B6FA8">
              <w:rPr>
                <w:sz w:val="18"/>
                <w:szCs w:val="18"/>
                <w:highlight w:val="lightGray"/>
                <w:lang w:val="es-ES_tradnl"/>
              </w:rPr>
              <w:t>moyen</w:t>
            </w:r>
            <w:proofErr w:type="spellEnd"/>
          </w:p>
        </w:tc>
        <w:tc>
          <w:tcPr>
            <w:tcW w:w="2268" w:type="dxa"/>
          </w:tcPr>
          <w:p w14:paraId="23D8DB3A"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mittelviolett</w:t>
            </w:r>
            <w:proofErr w:type="spellEnd"/>
          </w:p>
        </w:tc>
      </w:tr>
      <w:tr w:rsidR="006B6FA8" w:rsidRPr="006B6FA8" w14:paraId="1F38F46C" w14:textId="77777777" w:rsidTr="00D60821">
        <w:tc>
          <w:tcPr>
            <w:tcW w:w="1105" w:type="dxa"/>
          </w:tcPr>
          <w:p w14:paraId="46E2434B"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46</w:t>
            </w:r>
          </w:p>
        </w:tc>
        <w:tc>
          <w:tcPr>
            <w:tcW w:w="2126" w:type="dxa"/>
          </w:tcPr>
          <w:p w14:paraId="713C6B03"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violeta oscuro</w:t>
            </w:r>
          </w:p>
        </w:tc>
        <w:tc>
          <w:tcPr>
            <w:tcW w:w="2126" w:type="dxa"/>
          </w:tcPr>
          <w:p w14:paraId="35E238F8" w14:textId="77777777" w:rsidR="006B6FA8" w:rsidRPr="006B6FA8" w:rsidRDefault="006B6FA8" w:rsidP="006B6FA8">
            <w:pPr>
              <w:jc w:val="left"/>
              <w:rPr>
                <w:rFonts w:cs="Arial"/>
                <w:sz w:val="18"/>
                <w:szCs w:val="18"/>
                <w:highlight w:val="lightGray"/>
                <w:lang w:val="es-ES_tradnl"/>
              </w:rPr>
            </w:pPr>
            <w:proofErr w:type="spellStart"/>
            <w:r w:rsidRPr="006B6FA8">
              <w:rPr>
                <w:rFonts w:cs="Arial"/>
                <w:sz w:val="18"/>
                <w:szCs w:val="18"/>
                <w:highlight w:val="lightGray"/>
                <w:lang w:val="es-ES_tradnl"/>
              </w:rPr>
              <w:t>dark</w:t>
            </w:r>
            <w:proofErr w:type="spellEnd"/>
            <w:r w:rsidRPr="006B6FA8">
              <w:rPr>
                <w:rFonts w:cs="Arial"/>
                <w:sz w:val="18"/>
                <w:szCs w:val="18"/>
                <w:highlight w:val="lightGray"/>
                <w:lang w:val="es-ES_tradnl"/>
              </w:rPr>
              <w:t xml:space="preserve"> </w:t>
            </w:r>
            <w:proofErr w:type="spellStart"/>
            <w:r w:rsidRPr="006B6FA8">
              <w:rPr>
                <w:rFonts w:cs="Arial"/>
                <w:sz w:val="18"/>
                <w:szCs w:val="18"/>
                <w:highlight w:val="lightGray"/>
                <w:lang w:val="es-ES_tradnl"/>
              </w:rPr>
              <w:t>violet</w:t>
            </w:r>
            <w:proofErr w:type="spellEnd"/>
          </w:p>
        </w:tc>
        <w:tc>
          <w:tcPr>
            <w:tcW w:w="1984" w:type="dxa"/>
          </w:tcPr>
          <w:p w14:paraId="42B044B5"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violet</w:t>
            </w:r>
            <w:proofErr w:type="spellEnd"/>
            <w:r w:rsidRPr="006B6FA8">
              <w:rPr>
                <w:sz w:val="18"/>
                <w:szCs w:val="18"/>
                <w:highlight w:val="lightGray"/>
                <w:lang w:val="es-ES_tradnl"/>
              </w:rPr>
              <w:t xml:space="preserve"> </w:t>
            </w:r>
            <w:proofErr w:type="spellStart"/>
            <w:r w:rsidRPr="006B6FA8">
              <w:rPr>
                <w:sz w:val="18"/>
                <w:szCs w:val="18"/>
                <w:highlight w:val="lightGray"/>
                <w:lang w:val="es-ES_tradnl"/>
              </w:rPr>
              <w:t>foncé</w:t>
            </w:r>
            <w:proofErr w:type="spellEnd"/>
          </w:p>
        </w:tc>
        <w:tc>
          <w:tcPr>
            <w:tcW w:w="2268" w:type="dxa"/>
          </w:tcPr>
          <w:p w14:paraId="7F489995"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dunkelviolett</w:t>
            </w:r>
            <w:proofErr w:type="spellEnd"/>
          </w:p>
        </w:tc>
      </w:tr>
      <w:tr w:rsidR="006B6FA8" w:rsidRPr="006B6FA8" w14:paraId="5B853B50" w14:textId="77777777" w:rsidTr="00D60821">
        <w:tc>
          <w:tcPr>
            <w:tcW w:w="1105" w:type="dxa"/>
          </w:tcPr>
          <w:p w14:paraId="6705A07C"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47</w:t>
            </w:r>
          </w:p>
        </w:tc>
        <w:tc>
          <w:tcPr>
            <w:tcW w:w="2126" w:type="dxa"/>
          </w:tcPr>
          <w:p w14:paraId="5DEA994D"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violeta azulado claro</w:t>
            </w:r>
          </w:p>
        </w:tc>
        <w:tc>
          <w:tcPr>
            <w:tcW w:w="2126" w:type="dxa"/>
          </w:tcPr>
          <w:p w14:paraId="0C07FA2A"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 xml:space="preserve">light blue </w:t>
            </w:r>
            <w:proofErr w:type="spellStart"/>
            <w:r w:rsidRPr="006B6FA8">
              <w:rPr>
                <w:rFonts w:cs="Arial"/>
                <w:sz w:val="18"/>
                <w:szCs w:val="18"/>
                <w:highlight w:val="lightGray"/>
                <w:lang w:val="es-ES_tradnl"/>
              </w:rPr>
              <w:t>violet</w:t>
            </w:r>
            <w:proofErr w:type="spellEnd"/>
          </w:p>
        </w:tc>
        <w:tc>
          <w:tcPr>
            <w:tcW w:w="1984" w:type="dxa"/>
          </w:tcPr>
          <w:p w14:paraId="2914D2E8"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violet-bleu</w:t>
            </w:r>
            <w:proofErr w:type="spellEnd"/>
            <w:r w:rsidRPr="006B6FA8">
              <w:rPr>
                <w:sz w:val="18"/>
                <w:szCs w:val="18"/>
                <w:highlight w:val="lightGray"/>
                <w:lang w:val="es-ES_tradnl"/>
              </w:rPr>
              <w:t xml:space="preserve"> </w:t>
            </w:r>
            <w:proofErr w:type="spellStart"/>
            <w:r w:rsidRPr="006B6FA8">
              <w:rPr>
                <w:sz w:val="18"/>
                <w:szCs w:val="18"/>
                <w:highlight w:val="lightGray"/>
                <w:lang w:val="es-ES_tradnl"/>
              </w:rPr>
              <w:t>clair</w:t>
            </w:r>
            <w:proofErr w:type="spellEnd"/>
          </w:p>
        </w:tc>
        <w:tc>
          <w:tcPr>
            <w:tcW w:w="2268" w:type="dxa"/>
          </w:tcPr>
          <w:p w14:paraId="1EEBEA38"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hellblauviolett</w:t>
            </w:r>
            <w:proofErr w:type="spellEnd"/>
          </w:p>
        </w:tc>
      </w:tr>
      <w:tr w:rsidR="006B6FA8" w:rsidRPr="006B6FA8" w14:paraId="6C287289" w14:textId="77777777" w:rsidTr="00D60821">
        <w:tc>
          <w:tcPr>
            <w:tcW w:w="1105" w:type="dxa"/>
          </w:tcPr>
          <w:p w14:paraId="21414528"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48</w:t>
            </w:r>
          </w:p>
        </w:tc>
        <w:tc>
          <w:tcPr>
            <w:tcW w:w="2126" w:type="dxa"/>
          </w:tcPr>
          <w:p w14:paraId="6006C1E2"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violeta azulado medio</w:t>
            </w:r>
          </w:p>
        </w:tc>
        <w:tc>
          <w:tcPr>
            <w:tcW w:w="2126" w:type="dxa"/>
          </w:tcPr>
          <w:p w14:paraId="7E48D756" w14:textId="77777777" w:rsidR="006B6FA8" w:rsidRPr="006B6FA8" w:rsidRDefault="006B6FA8" w:rsidP="006B6FA8">
            <w:pPr>
              <w:jc w:val="left"/>
              <w:rPr>
                <w:rFonts w:cs="Arial"/>
                <w:sz w:val="18"/>
                <w:szCs w:val="18"/>
                <w:highlight w:val="lightGray"/>
                <w:lang w:val="es-ES_tradnl"/>
              </w:rPr>
            </w:pPr>
            <w:proofErr w:type="spellStart"/>
            <w:r w:rsidRPr="006B6FA8">
              <w:rPr>
                <w:rFonts w:cs="Arial"/>
                <w:sz w:val="18"/>
                <w:szCs w:val="18"/>
                <w:highlight w:val="lightGray"/>
                <w:lang w:val="es-ES_tradnl"/>
              </w:rPr>
              <w:t>medium</w:t>
            </w:r>
            <w:proofErr w:type="spellEnd"/>
            <w:r w:rsidRPr="006B6FA8">
              <w:rPr>
                <w:rFonts w:cs="Arial"/>
                <w:sz w:val="18"/>
                <w:szCs w:val="18"/>
                <w:highlight w:val="lightGray"/>
                <w:lang w:val="es-ES_tradnl"/>
              </w:rPr>
              <w:t xml:space="preserve"> blue </w:t>
            </w:r>
            <w:proofErr w:type="spellStart"/>
            <w:r w:rsidRPr="006B6FA8">
              <w:rPr>
                <w:rFonts w:cs="Arial"/>
                <w:sz w:val="18"/>
                <w:szCs w:val="18"/>
                <w:highlight w:val="lightGray"/>
                <w:lang w:val="es-ES_tradnl"/>
              </w:rPr>
              <w:t>violet</w:t>
            </w:r>
            <w:proofErr w:type="spellEnd"/>
          </w:p>
        </w:tc>
        <w:tc>
          <w:tcPr>
            <w:tcW w:w="1984" w:type="dxa"/>
          </w:tcPr>
          <w:p w14:paraId="4B79EF15"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violet-bleu</w:t>
            </w:r>
            <w:proofErr w:type="spellEnd"/>
            <w:r w:rsidRPr="006B6FA8">
              <w:rPr>
                <w:sz w:val="18"/>
                <w:szCs w:val="18"/>
                <w:highlight w:val="lightGray"/>
                <w:lang w:val="es-ES_tradnl"/>
              </w:rPr>
              <w:t xml:space="preserve"> </w:t>
            </w:r>
            <w:proofErr w:type="spellStart"/>
            <w:r w:rsidRPr="006B6FA8">
              <w:rPr>
                <w:sz w:val="18"/>
                <w:szCs w:val="18"/>
                <w:highlight w:val="lightGray"/>
                <w:lang w:val="es-ES_tradnl"/>
              </w:rPr>
              <w:t>moyen</w:t>
            </w:r>
            <w:proofErr w:type="spellEnd"/>
          </w:p>
        </w:tc>
        <w:tc>
          <w:tcPr>
            <w:tcW w:w="2268" w:type="dxa"/>
          </w:tcPr>
          <w:p w14:paraId="1FD5E7C0"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mittelblauviolett</w:t>
            </w:r>
            <w:proofErr w:type="spellEnd"/>
          </w:p>
        </w:tc>
      </w:tr>
      <w:tr w:rsidR="006B6FA8" w:rsidRPr="006B6FA8" w14:paraId="327226C8" w14:textId="77777777" w:rsidTr="00D60821">
        <w:tc>
          <w:tcPr>
            <w:tcW w:w="1105" w:type="dxa"/>
          </w:tcPr>
          <w:p w14:paraId="66BEDE0A"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49</w:t>
            </w:r>
          </w:p>
        </w:tc>
        <w:tc>
          <w:tcPr>
            <w:tcW w:w="2126" w:type="dxa"/>
          </w:tcPr>
          <w:p w14:paraId="4359119B"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violeta azulado oscuro</w:t>
            </w:r>
          </w:p>
        </w:tc>
        <w:tc>
          <w:tcPr>
            <w:tcW w:w="2126" w:type="dxa"/>
          </w:tcPr>
          <w:p w14:paraId="4B053755" w14:textId="77777777" w:rsidR="006B6FA8" w:rsidRPr="006B6FA8" w:rsidRDefault="006B6FA8" w:rsidP="006B6FA8">
            <w:pPr>
              <w:jc w:val="left"/>
              <w:rPr>
                <w:rFonts w:cs="Arial"/>
                <w:sz w:val="18"/>
                <w:szCs w:val="18"/>
                <w:highlight w:val="lightGray"/>
                <w:lang w:val="es-ES_tradnl"/>
              </w:rPr>
            </w:pPr>
            <w:proofErr w:type="spellStart"/>
            <w:r w:rsidRPr="006B6FA8">
              <w:rPr>
                <w:rFonts w:cs="Arial"/>
                <w:sz w:val="18"/>
                <w:szCs w:val="18"/>
                <w:highlight w:val="lightGray"/>
                <w:lang w:val="es-ES_tradnl"/>
              </w:rPr>
              <w:t>dark</w:t>
            </w:r>
            <w:proofErr w:type="spellEnd"/>
            <w:r w:rsidRPr="006B6FA8">
              <w:rPr>
                <w:rFonts w:cs="Arial"/>
                <w:sz w:val="18"/>
                <w:szCs w:val="18"/>
                <w:highlight w:val="lightGray"/>
                <w:lang w:val="es-ES_tradnl"/>
              </w:rPr>
              <w:t xml:space="preserve"> blue </w:t>
            </w:r>
            <w:proofErr w:type="spellStart"/>
            <w:r w:rsidRPr="006B6FA8">
              <w:rPr>
                <w:rFonts w:cs="Arial"/>
                <w:sz w:val="18"/>
                <w:szCs w:val="18"/>
                <w:highlight w:val="lightGray"/>
                <w:lang w:val="es-ES_tradnl"/>
              </w:rPr>
              <w:t>violet</w:t>
            </w:r>
            <w:proofErr w:type="spellEnd"/>
          </w:p>
        </w:tc>
        <w:tc>
          <w:tcPr>
            <w:tcW w:w="1984" w:type="dxa"/>
          </w:tcPr>
          <w:p w14:paraId="2228916C"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violet-bleu</w:t>
            </w:r>
            <w:proofErr w:type="spellEnd"/>
            <w:r w:rsidRPr="006B6FA8">
              <w:rPr>
                <w:sz w:val="18"/>
                <w:szCs w:val="18"/>
                <w:highlight w:val="lightGray"/>
                <w:lang w:val="es-ES_tradnl"/>
              </w:rPr>
              <w:t xml:space="preserve"> </w:t>
            </w:r>
            <w:proofErr w:type="spellStart"/>
            <w:r w:rsidRPr="006B6FA8">
              <w:rPr>
                <w:sz w:val="18"/>
                <w:szCs w:val="18"/>
                <w:highlight w:val="lightGray"/>
                <w:lang w:val="es-ES_tradnl"/>
              </w:rPr>
              <w:t>foncé</w:t>
            </w:r>
            <w:proofErr w:type="spellEnd"/>
          </w:p>
        </w:tc>
        <w:tc>
          <w:tcPr>
            <w:tcW w:w="2268" w:type="dxa"/>
          </w:tcPr>
          <w:p w14:paraId="095F9209"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dunkelblauviolett</w:t>
            </w:r>
            <w:proofErr w:type="spellEnd"/>
          </w:p>
        </w:tc>
      </w:tr>
      <w:tr w:rsidR="006B6FA8" w:rsidRPr="006B6FA8" w14:paraId="340611F4" w14:textId="77777777" w:rsidTr="00D60821">
        <w:tc>
          <w:tcPr>
            <w:tcW w:w="1105" w:type="dxa"/>
          </w:tcPr>
          <w:p w14:paraId="60469362"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50</w:t>
            </w:r>
          </w:p>
        </w:tc>
        <w:tc>
          <w:tcPr>
            <w:tcW w:w="2126" w:type="dxa"/>
          </w:tcPr>
          <w:p w14:paraId="0E90F072"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azul violáceo claro</w:t>
            </w:r>
          </w:p>
        </w:tc>
        <w:tc>
          <w:tcPr>
            <w:tcW w:w="2126" w:type="dxa"/>
          </w:tcPr>
          <w:p w14:paraId="6964F0B8"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 xml:space="preserve">light </w:t>
            </w:r>
            <w:proofErr w:type="spellStart"/>
            <w:r w:rsidRPr="006B6FA8">
              <w:rPr>
                <w:rFonts w:cs="Arial"/>
                <w:sz w:val="18"/>
                <w:szCs w:val="18"/>
                <w:highlight w:val="lightGray"/>
                <w:lang w:val="es-ES_tradnl"/>
              </w:rPr>
              <w:t>violet</w:t>
            </w:r>
            <w:proofErr w:type="spellEnd"/>
            <w:r w:rsidRPr="006B6FA8">
              <w:rPr>
                <w:rFonts w:cs="Arial"/>
                <w:sz w:val="18"/>
                <w:szCs w:val="18"/>
                <w:highlight w:val="lightGray"/>
                <w:lang w:val="es-ES_tradnl"/>
              </w:rPr>
              <w:t xml:space="preserve"> blue</w:t>
            </w:r>
          </w:p>
        </w:tc>
        <w:tc>
          <w:tcPr>
            <w:tcW w:w="1984" w:type="dxa"/>
          </w:tcPr>
          <w:p w14:paraId="6073C298"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bleu-violet</w:t>
            </w:r>
            <w:proofErr w:type="spellEnd"/>
            <w:r w:rsidRPr="006B6FA8">
              <w:rPr>
                <w:sz w:val="18"/>
                <w:szCs w:val="18"/>
                <w:highlight w:val="lightGray"/>
                <w:lang w:val="es-ES_tradnl"/>
              </w:rPr>
              <w:t xml:space="preserve"> </w:t>
            </w:r>
            <w:proofErr w:type="spellStart"/>
            <w:r w:rsidRPr="006B6FA8">
              <w:rPr>
                <w:sz w:val="18"/>
                <w:szCs w:val="18"/>
                <w:highlight w:val="lightGray"/>
                <w:lang w:val="es-ES_tradnl"/>
              </w:rPr>
              <w:t>clair</w:t>
            </w:r>
            <w:proofErr w:type="spellEnd"/>
          </w:p>
        </w:tc>
        <w:tc>
          <w:tcPr>
            <w:tcW w:w="2268" w:type="dxa"/>
          </w:tcPr>
          <w:p w14:paraId="53FD35CE"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hellviolettblau</w:t>
            </w:r>
            <w:proofErr w:type="spellEnd"/>
          </w:p>
        </w:tc>
      </w:tr>
      <w:tr w:rsidR="006B6FA8" w:rsidRPr="006B6FA8" w14:paraId="74692C2E" w14:textId="77777777" w:rsidTr="00D60821">
        <w:tc>
          <w:tcPr>
            <w:tcW w:w="1105" w:type="dxa"/>
          </w:tcPr>
          <w:p w14:paraId="67EB899E"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51</w:t>
            </w:r>
          </w:p>
        </w:tc>
        <w:tc>
          <w:tcPr>
            <w:tcW w:w="2126" w:type="dxa"/>
          </w:tcPr>
          <w:p w14:paraId="520B5348"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azul violáceo medio</w:t>
            </w:r>
          </w:p>
        </w:tc>
        <w:tc>
          <w:tcPr>
            <w:tcW w:w="2126" w:type="dxa"/>
          </w:tcPr>
          <w:p w14:paraId="1786C5AE" w14:textId="77777777" w:rsidR="006B6FA8" w:rsidRPr="006B6FA8" w:rsidRDefault="006B6FA8" w:rsidP="006B6FA8">
            <w:pPr>
              <w:jc w:val="left"/>
              <w:rPr>
                <w:rFonts w:cs="Arial"/>
                <w:sz w:val="18"/>
                <w:szCs w:val="18"/>
                <w:highlight w:val="lightGray"/>
                <w:lang w:val="es-ES_tradnl"/>
              </w:rPr>
            </w:pPr>
            <w:proofErr w:type="spellStart"/>
            <w:r w:rsidRPr="006B6FA8">
              <w:rPr>
                <w:rFonts w:cs="Arial"/>
                <w:sz w:val="18"/>
                <w:szCs w:val="18"/>
                <w:highlight w:val="lightGray"/>
                <w:lang w:val="es-ES_tradnl"/>
              </w:rPr>
              <w:t>medium</w:t>
            </w:r>
            <w:proofErr w:type="spellEnd"/>
            <w:r w:rsidRPr="006B6FA8">
              <w:rPr>
                <w:rFonts w:cs="Arial"/>
                <w:sz w:val="18"/>
                <w:szCs w:val="18"/>
                <w:highlight w:val="lightGray"/>
                <w:lang w:val="es-ES_tradnl"/>
              </w:rPr>
              <w:t xml:space="preserve"> </w:t>
            </w:r>
            <w:proofErr w:type="spellStart"/>
            <w:r w:rsidRPr="006B6FA8">
              <w:rPr>
                <w:rFonts w:cs="Arial"/>
                <w:sz w:val="18"/>
                <w:szCs w:val="18"/>
                <w:highlight w:val="lightGray"/>
                <w:lang w:val="es-ES_tradnl"/>
              </w:rPr>
              <w:t>violet</w:t>
            </w:r>
            <w:proofErr w:type="spellEnd"/>
            <w:r w:rsidRPr="006B6FA8">
              <w:rPr>
                <w:rFonts w:cs="Arial"/>
                <w:sz w:val="18"/>
                <w:szCs w:val="18"/>
                <w:highlight w:val="lightGray"/>
                <w:lang w:val="es-ES_tradnl"/>
              </w:rPr>
              <w:t xml:space="preserve"> blue</w:t>
            </w:r>
          </w:p>
        </w:tc>
        <w:tc>
          <w:tcPr>
            <w:tcW w:w="1984" w:type="dxa"/>
          </w:tcPr>
          <w:p w14:paraId="285A537E"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bleu-violet</w:t>
            </w:r>
            <w:proofErr w:type="spellEnd"/>
            <w:r w:rsidRPr="006B6FA8">
              <w:rPr>
                <w:sz w:val="18"/>
                <w:szCs w:val="18"/>
                <w:highlight w:val="lightGray"/>
                <w:lang w:val="es-ES_tradnl"/>
              </w:rPr>
              <w:t xml:space="preserve"> </w:t>
            </w:r>
            <w:proofErr w:type="spellStart"/>
            <w:r w:rsidRPr="006B6FA8">
              <w:rPr>
                <w:sz w:val="18"/>
                <w:szCs w:val="18"/>
                <w:highlight w:val="lightGray"/>
                <w:lang w:val="es-ES_tradnl"/>
              </w:rPr>
              <w:t>moyen</w:t>
            </w:r>
            <w:proofErr w:type="spellEnd"/>
          </w:p>
        </w:tc>
        <w:tc>
          <w:tcPr>
            <w:tcW w:w="2268" w:type="dxa"/>
          </w:tcPr>
          <w:p w14:paraId="2C41D3DA"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mittelviolettblau</w:t>
            </w:r>
            <w:proofErr w:type="spellEnd"/>
          </w:p>
        </w:tc>
      </w:tr>
      <w:tr w:rsidR="006B6FA8" w:rsidRPr="006B6FA8" w14:paraId="3F2721DE" w14:textId="77777777" w:rsidTr="00D60821">
        <w:tc>
          <w:tcPr>
            <w:tcW w:w="1105" w:type="dxa"/>
          </w:tcPr>
          <w:p w14:paraId="01D0E6B0"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52</w:t>
            </w:r>
          </w:p>
        </w:tc>
        <w:tc>
          <w:tcPr>
            <w:tcW w:w="2126" w:type="dxa"/>
          </w:tcPr>
          <w:p w14:paraId="462E98B9"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azul violáceo oscuro</w:t>
            </w:r>
          </w:p>
        </w:tc>
        <w:tc>
          <w:tcPr>
            <w:tcW w:w="2126" w:type="dxa"/>
          </w:tcPr>
          <w:p w14:paraId="04A5C030" w14:textId="77777777" w:rsidR="006B6FA8" w:rsidRPr="006B6FA8" w:rsidRDefault="006B6FA8" w:rsidP="006B6FA8">
            <w:pPr>
              <w:jc w:val="left"/>
              <w:rPr>
                <w:rFonts w:cs="Arial"/>
                <w:sz w:val="18"/>
                <w:szCs w:val="18"/>
                <w:highlight w:val="lightGray"/>
                <w:lang w:val="es-ES_tradnl"/>
              </w:rPr>
            </w:pPr>
            <w:proofErr w:type="spellStart"/>
            <w:r w:rsidRPr="006B6FA8">
              <w:rPr>
                <w:rFonts w:cs="Arial"/>
                <w:sz w:val="18"/>
                <w:szCs w:val="18"/>
                <w:highlight w:val="lightGray"/>
                <w:lang w:val="es-ES_tradnl"/>
              </w:rPr>
              <w:t>dark</w:t>
            </w:r>
            <w:proofErr w:type="spellEnd"/>
            <w:r w:rsidRPr="006B6FA8">
              <w:rPr>
                <w:rFonts w:cs="Arial"/>
                <w:sz w:val="18"/>
                <w:szCs w:val="18"/>
                <w:highlight w:val="lightGray"/>
                <w:lang w:val="es-ES_tradnl"/>
              </w:rPr>
              <w:t xml:space="preserve"> </w:t>
            </w:r>
            <w:proofErr w:type="spellStart"/>
            <w:r w:rsidRPr="006B6FA8">
              <w:rPr>
                <w:rFonts w:cs="Arial"/>
                <w:sz w:val="18"/>
                <w:szCs w:val="18"/>
                <w:highlight w:val="lightGray"/>
                <w:lang w:val="es-ES_tradnl"/>
              </w:rPr>
              <w:t>violet</w:t>
            </w:r>
            <w:proofErr w:type="spellEnd"/>
            <w:r w:rsidRPr="006B6FA8">
              <w:rPr>
                <w:rFonts w:cs="Arial"/>
                <w:sz w:val="18"/>
                <w:szCs w:val="18"/>
                <w:highlight w:val="lightGray"/>
                <w:lang w:val="es-ES_tradnl"/>
              </w:rPr>
              <w:t xml:space="preserve"> blue</w:t>
            </w:r>
          </w:p>
        </w:tc>
        <w:tc>
          <w:tcPr>
            <w:tcW w:w="1984" w:type="dxa"/>
          </w:tcPr>
          <w:p w14:paraId="65CAA6C9"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bleu-violet</w:t>
            </w:r>
            <w:proofErr w:type="spellEnd"/>
            <w:r w:rsidRPr="006B6FA8">
              <w:rPr>
                <w:sz w:val="18"/>
                <w:szCs w:val="18"/>
                <w:highlight w:val="lightGray"/>
                <w:lang w:val="es-ES_tradnl"/>
              </w:rPr>
              <w:t xml:space="preserve"> </w:t>
            </w:r>
            <w:proofErr w:type="spellStart"/>
            <w:r w:rsidRPr="006B6FA8">
              <w:rPr>
                <w:sz w:val="18"/>
                <w:szCs w:val="18"/>
                <w:highlight w:val="lightGray"/>
                <w:lang w:val="es-ES_tradnl"/>
              </w:rPr>
              <w:t>foncé</w:t>
            </w:r>
            <w:proofErr w:type="spellEnd"/>
          </w:p>
        </w:tc>
        <w:tc>
          <w:tcPr>
            <w:tcW w:w="2268" w:type="dxa"/>
          </w:tcPr>
          <w:p w14:paraId="2A6D5373"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dunkelviolettblau</w:t>
            </w:r>
            <w:proofErr w:type="spellEnd"/>
          </w:p>
        </w:tc>
      </w:tr>
      <w:tr w:rsidR="006B6FA8" w:rsidRPr="006B6FA8" w14:paraId="6857A65E" w14:textId="77777777" w:rsidTr="00D60821">
        <w:tc>
          <w:tcPr>
            <w:tcW w:w="1105" w:type="dxa"/>
          </w:tcPr>
          <w:p w14:paraId="5B4B193D"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53</w:t>
            </w:r>
          </w:p>
        </w:tc>
        <w:tc>
          <w:tcPr>
            <w:tcW w:w="2126" w:type="dxa"/>
          </w:tcPr>
          <w:p w14:paraId="6B141FF6"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azul claro</w:t>
            </w:r>
          </w:p>
        </w:tc>
        <w:tc>
          <w:tcPr>
            <w:tcW w:w="2126" w:type="dxa"/>
          </w:tcPr>
          <w:p w14:paraId="7E1B024C"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light blue</w:t>
            </w:r>
          </w:p>
        </w:tc>
        <w:tc>
          <w:tcPr>
            <w:tcW w:w="1984" w:type="dxa"/>
          </w:tcPr>
          <w:p w14:paraId="6D340708"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bleu</w:t>
            </w:r>
            <w:proofErr w:type="spellEnd"/>
            <w:r w:rsidRPr="006B6FA8">
              <w:rPr>
                <w:sz w:val="18"/>
                <w:szCs w:val="18"/>
                <w:highlight w:val="lightGray"/>
                <w:lang w:val="es-ES_tradnl"/>
              </w:rPr>
              <w:t xml:space="preserve"> </w:t>
            </w:r>
            <w:proofErr w:type="spellStart"/>
            <w:r w:rsidRPr="006B6FA8">
              <w:rPr>
                <w:sz w:val="18"/>
                <w:szCs w:val="18"/>
                <w:highlight w:val="lightGray"/>
                <w:lang w:val="es-ES_tradnl"/>
              </w:rPr>
              <w:t>clair</w:t>
            </w:r>
            <w:proofErr w:type="spellEnd"/>
          </w:p>
        </w:tc>
        <w:tc>
          <w:tcPr>
            <w:tcW w:w="2268" w:type="dxa"/>
          </w:tcPr>
          <w:p w14:paraId="7FFEAD9F"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hellblau</w:t>
            </w:r>
            <w:proofErr w:type="spellEnd"/>
          </w:p>
        </w:tc>
      </w:tr>
      <w:tr w:rsidR="006B6FA8" w:rsidRPr="006B6FA8" w14:paraId="30C93B93" w14:textId="77777777" w:rsidTr="00D60821">
        <w:tc>
          <w:tcPr>
            <w:tcW w:w="1105" w:type="dxa"/>
          </w:tcPr>
          <w:p w14:paraId="05965CDD"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54</w:t>
            </w:r>
          </w:p>
        </w:tc>
        <w:tc>
          <w:tcPr>
            <w:tcW w:w="2126" w:type="dxa"/>
          </w:tcPr>
          <w:p w14:paraId="74752F4C"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azul medio</w:t>
            </w:r>
          </w:p>
        </w:tc>
        <w:tc>
          <w:tcPr>
            <w:tcW w:w="2126" w:type="dxa"/>
          </w:tcPr>
          <w:p w14:paraId="4EA46C79" w14:textId="77777777" w:rsidR="006B6FA8" w:rsidRPr="006B6FA8" w:rsidRDefault="006B6FA8" w:rsidP="006B6FA8">
            <w:pPr>
              <w:jc w:val="left"/>
              <w:rPr>
                <w:rFonts w:cs="Arial"/>
                <w:sz w:val="18"/>
                <w:szCs w:val="18"/>
                <w:highlight w:val="lightGray"/>
                <w:lang w:val="es-ES_tradnl"/>
              </w:rPr>
            </w:pPr>
            <w:proofErr w:type="spellStart"/>
            <w:r w:rsidRPr="006B6FA8">
              <w:rPr>
                <w:rFonts w:cs="Arial"/>
                <w:sz w:val="18"/>
                <w:szCs w:val="18"/>
                <w:highlight w:val="lightGray"/>
                <w:lang w:val="es-ES_tradnl"/>
              </w:rPr>
              <w:t>medium</w:t>
            </w:r>
            <w:proofErr w:type="spellEnd"/>
            <w:r w:rsidRPr="006B6FA8">
              <w:rPr>
                <w:rFonts w:cs="Arial"/>
                <w:sz w:val="18"/>
                <w:szCs w:val="18"/>
                <w:highlight w:val="lightGray"/>
                <w:lang w:val="es-ES_tradnl"/>
              </w:rPr>
              <w:t xml:space="preserve"> blue</w:t>
            </w:r>
          </w:p>
        </w:tc>
        <w:tc>
          <w:tcPr>
            <w:tcW w:w="1984" w:type="dxa"/>
          </w:tcPr>
          <w:p w14:paraId="14E22D29"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bleu</w:t>
            </w:r>
            <w:proofErr w:type="spellEnd"/>
            <w:r w:rsidRPr="006B6FA8">
              <w:rPr>
                <w:sz w:val="18"/>
                <w:szCs w:val="18"/>
                <w:highlight w:val="lightGray"/>
                <w:lang w:val="es-ES_tradnl"/>
              </w:rPr>
              <w:t xml:space="preserve"> </w:t>
            </w:r>
            <w:proofErr w:type="spellStart"/>
            <w:r w:rsidRPr="006B6FA8">
              <w:rPr>
                <w:sz w:val="18"/>
                <w:szCs w:val="18"/>
                <w:highlight w:val="lightGray"/>
                <w:lang w:val="es-ES_tradnl"/>
              </w:rPr>
              <w:t>moyen</w:t>
            </w:r>
            <w:proofErr w:type="spellEnd"/>
          </w:p>
        </w:tc>
        <w:tc>
          <w:tcPr>
            <w:tcW w:w="2268" w:type="dxa"/>
          </w:tcPr>
          <w:p w14:paraId="43EB3125"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mittelblau</w:t>
            </w:r>
            <w:proofErr w:type="spellEnd"/>
          </w:p>
        </w:tc>
      </w:tr>
      <w:tr w:rsidR="006B6FA8" w:rsidRPr="006B6FA8" w14:paraId="05C8846F" w14:textId="77777777" w:rsidTr="00D60821">
        <w:tc>
          <w:tcPr>
            <w:tcW w:w="1105" w:type="dxa"/>
          </w:tcPr>
          <w:p w14:paraId="32FF35CB"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55</w:t>
            </w:r>
          </w:p>
        </w:tc>
        <w:tc>
          <w:tcPr>
            <w:tcW w:w="2126" w:type="dxa"/>
          </w:tcPr>
          <w:p w14:paraId="03BF79DA"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azul oscuro</w:t>
            </w:r>
          </w:p>
        </w:tc>
        <w:tc>
          <w:tcPr>
            <w:tcW w:w="2126" w:type="dxa"/>
          </w:tcPr>
          <w:p w14:paraId="63B25026" w14:textId="77777777" w:rsidR="006B6FA8" w:rsidRPr="006B6FA8" w:rsidRDefault="006B6FA8" w:rsidP="006B6FA8">
            <w:pPr>
              <w:jc w:val="left"/>
              <w:rPr>
                <w:rFonts w:cs="Arial"/>
                <w:sz w:val="18"/>
                <w:szCs w:val="18"/>
                <w:highlight w:val="lightGray"/>
                <w:lang w:val="es-ES_tradnl"/>
              </w:rPr>
            </w:pPr>
            <w:proofErr w:type="spellStart"/>
            <w:r w:rsidRPr="006B6FA8">
              <w:rPr>
                <w:rFonts w:cs="Arial"/>
                <w:sz w:val="18"/>
                <w:szCs w:val="18"/>
                <w:highlight w:val="lightGray"/>
                <w:lang w:val="es-ES_tradnl"/>
              </w:rPr>
              <w:t>dark</w:t>
            </w:r>
            <w:proofErr w:type="spellEnd"/>
            <w:r w:rsidRPr="006B6FA8">
              <w:rPr>
                <w:rFonts w:cs="Arial"/>
                <w:sz w:val="18"/>
                <w:szCs w:val="18"/>
                <w:highlight w:val="lightGray"/>
                <w:lang w:val="es-ES_tradnl"/>
              </w:rPr>
              <w:t xml:space="preserve"> blue</w:t>
            </w:r>
          </w:p>
        </w:tc>
        <w:tc>
          <w:tcPr>
            <w:tcW w:w="1984" w:type="dxa"/>
          </w:tcPr>
          <w:p w14:paraId="4AB9A53C"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bleu</w:t>
            </w:r>
            <w:proofErr w:type="spellEnd"/>
            <w:r w:rsidRPr="006B6FA8">
              <w:rPr>
                <w:sz w:val="18"/>
                <w:szCs w:val="18"/>
                <w:highlight w:val="lightGray"/>
                <w:lang w:val="es-ES_tradnl"/>
              </w:rPr>
              <w:t xml:space="preserve"> </w:t>
            </w:r>
            <w:proofErr w:type="spellStart"/>
            <w:r w:rsidRPr="006B6FA8">
              <w:rPr>
                <w:sz w:val="18"/>
                <w:szCs w:val="18"/>
                <w:highlight w:val="lightGray"/>
                <w:lang w:val="es-ES_tradnl"/>
              </w:rPr>
              <w:t>foncé</w:t>
            </w:r>
            <w:proofErr w:type="spellEnd"/>
          </w:p>
        </w:tc>
        <w:tc>
          <w:tcPr>
            <w:tcW w:w="2268" w:type="dxa"/>
          </w:tcPr>
          <w:p w14:paraId="4F04CA0F"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dunkelblau</w:t>
            </w:r>
            <w:proofErr w:type="spellEnd"/>
          </w:p>
        </w:tc>
      </w:tr>
      <w:tr w:rsidR="006B6FA8" w:rsidRPr="006B6FA8" w14:paraId="51351585" w14:textId="77777777" w:rsidTr="00D60821">
        <w:tc>
          <w:tcPr>
            <w:tcW w:w="1105" w:type="dxa"/>
          </w:tcPr>
          <w:p w14:paraId="788D47C6"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56</w:t>
            </w:r>
          </w:p>
        </w:tc>
        <w:tc>
          <w:tcPr>
            <w:tcW w:w="2126" w:type="dxa"/>
          </w:tcPr>
          <w:p w14:paraId="5F0772A2"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azul verdoso claro</w:t>
            </w:r>
          </w:p>
        </w:tc>
        <w:tc>
          <w:tcPr>
            <w:tcW w:w="2126" w:type="dxa"/>
          </w:tcPr>
          <w:p w14:paraId="3BC5ACDC"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 xml:space="preserve">light </w:t>
            </w:r>
            <w:proofErr w:type="spellStart"/>
            <w:r w:rsidRPr="006B6FA8">
              <w:rPr>
                <w:rFonts w:cs="Arial"/>
                <w:sz w:val="18"/>
                <w:szCs w:val="18"/>
                <w:highlight w:val="lightGray"/>
                <w:lang w:val="es-ES_tradnl"/>
              </w:rPr>
              <w:t>green</w:t>
            </w:r>
            <w:proofErr w:type="spellEnd"/>
            <w:r w:rsidRPr="006B6FA8">
              <w:rPr>
                <w:rFonts w:cs="Arial"/>
                <w:sz w:val="18"/>
                <w:szCs w:val="18"/>
                <w:highlight w:val="lightGray"/>
                <w:lang w:val="es-ES_tradnl"/>
              </w:rPr>
              <w:t xml:space="preserve"> blue</w:t>
            </w:r>
          </w:p>
        </w:tc>
        <w:tc>
          <w:tcPr>
            <w:tcW w:w="1984" w:type="dxa"/>
          </w:tcPr>
          <w:p w14:paraId="29853F00"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bleu-vert</w:t>
            </w:r>
            <w:proofErr w:type="spellEnd"/>
            <w:r w:rsidRPr="006B6FA8">
              <w:rPr>
                <w:sz w:val="18"/>
                <w:szCs w:val="18"/>
                <w:highlight w:val="lightGray"/>
                <w:lang w:val="es-ES_tradnl"/>
              </w:rPr>
              <w:t xml:space="preserve"> </w:t>
            </w:r>
            <w:proofErr w:type="spellStart"/>
            <w:r w:rsidRPr="006B6FA8">
              <w:rPr>
                <w:sz w:val="18"/>
                <w:szCs w:val="18"/>
                <w:highlight w:val="lightGray"/>
                <w:lang w:val="es-ES_tradnl"/>
              </w:rPr>
              <w:t>clair</w:t>
            </w:r>
            <w:proofErr w:type="spellEnd"/>
          </w:p>
        </w:tc>
        <w:tc>
          <w:tcPr>
            <w:tcW w:w="2268" w:type="dxa"/>
          </w:tcPr>
          <w:p w14:paraId="77CEBCFC"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hellgrünblau</w:t>
            </w:r>
            <w:proofErr w:type="spellEnd"/>
          </w:p>
        </w:tc>
      </w:tr>
      <w:tr w:rsidR="006B6FA8" w:rsidRPr="006B6FA8" w14:paraId="5FAA682F" w14:textId="77777777" w:rsidTr="00D60821">
        <w:tc>
          <w:tcPr>
            <w:tcW w:w="1105" w:type="dxa"/>
          </w:tcPr>
          <w:p w14:paraId="7C876076"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57</w:t>
            </w:r>
          </w:p>
        </w:tc>
        <w:tc>
          <w:tcPr>
            <w:tcW w:w="2126" w:type="dxa"/>
          </w:tcPr>
          <w:p w14:paraId="708C8434"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azul verdoso medio</w:t>
            </w:r>
          </w:p>
        </w:tc>
        <w:tc>
          <w:tcPr>
            <w:tcW w:w="2126" w:type="dxa"/>
          </w:tcPr>
          <w:p w14:paraId="59B8AA1D" w14:textId="77777777" w:rsidR="006B6FA8" w:rsidRPr="006B6FA8" w:rsidRDefault="006B6FA8" w:rsidP="006B6FA8">
            <w:pPr>
              <w:jc w:val="left"/>
              <w:rPr>
                <w:rFonts w:cs="Arial"/>
                <w:sz w:val="18"/>
                <w:szCs w:val="18"/>
                <w:highlight w:val="lightGray"/>
                <w:lang w:val="es-ES_tradnl"/>
              </w:rPr>
            </w:pPr>
            <w:proofErr w:type="spellStart"/>
            <w:r w:rsidRPr="006B6FA8">
              <w:rPr>
                <w:rFonts w:cs="Arial"/>
                <w:sz w:val="18"/>
                <w:szCs w:val="18"/>
                <w:highlight w:val="lightGray"/>
                <w:lang w:val="es-ES_tradnl"/>
              </w:rPr>
              <w:t>medium</w:t>
            </w:r>
            <w:proofErr w:type="spellEnd"/>
            <w:r w:rsidRPr="006B6FA8">
              <w:rPr>
                <w:rFonts w:cs="Arial"/>
                <w:sz w:val="18"/>
                <w:szCs w:val="18"/>
                <w:highlight w:val="lightGray"/>
                <w:lang w:val="es-ES_tradnl"/>
              </w:rPr>
              <w:t xml:space="preserve"> </w:t>
            </w:r>
            <w:proofErr w:type="spellStart"/>
            <w:r w:rsidRPr="006B6FA8">
              <w:rPr>
                <w:rFonts w:cs="Arial"/>
                <w:sz w:val="18"/>
                <w:szCs w:val="18"/>
                <w:highlight w:val="lightGray"/>
                <w:lang w:val="es-ES_tradnl"/>
              </w:rPr>
              <w:t>green</w:t>
            </w:r>
            <w:proofErr w:type="spellEnd"/>
            <w:r w:rsidRPr="006B6FA8">
              <w:rPr>
                <w:rFonts w:cs="Arial"/>
                <w:sz w:val="18"/>
                <w:szCs w:val="18"/>
                <w:highlight w:val="lightGray"/>
                <w:lang w:val="es-ES_tradnl"/>
              </w:rPr>
              <w:t xml:space="preserve"> blue</w:t>
            </w:r>
          </w:p>
        </w:tc>
        <w:tc>
          <w:tcPr>
            <w:tcW w:w="1984" w:type="dxa"/>
          </w:tcPr>
          <w:p w14:paraId="1C62F1AE"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bleu-vert</w:t>
            </w:r>
            <w:proofErr w:type="spellEnd"/>
            <w:r w:rsidRPr="006B6FA8">
              <w:rPr>
                <w:sz w:val="18"/>
                <w:szCs w:val="18"/>
                <w:highlight w:val="lightGray"/>
                <w:lang w:val="es-ES_tradnl"/>
              </w:rPr>
              <w:t xml:space="preserve"> </w:t>
            </w:r>
            <w:proofErr w:type="spellStart"/>
            <w:r w:rsidRPr="006B6FA8">
              <w:rPr>
                <w:sz w:val="18"/>
                <w:szCs w:val="18"/>
                <w:highlight w:val="lightGray"/>
                <w:lang w:val="es-ES_tradnl"/>
              </w:rPr>
              <w:t>moyen</w:t>
            </w:r>
            <w:proofErr w:type="spellEnd"/>
          </w:p>
        </w:tc>
        <w:tc>
          <w:tcPr>
            <w:tcW w:w="2268" w:type="dxa"/>
          </w:tcPr>
          <w:p w14:paraId="1ADE5D35"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mittelgrünblau</w:t>
            </w:r>
            <w:proofErr w:type="spellEnd"/>
          </w:p>
        </w:tc>
      </w:tr>
      <w:tr w:rsidR="006B6FA8" w:rsidRPr="006B6FA8" w14:paraId="4B53F802" w14:textId="77777777" w:rsidTr="00D60821">
        <w:tc>
          <w:tcPr>
            <w:tcW w:w="1105" w:type="dxa"/>
          </w:tcPr>
          <w:p w14:paraId="276BBA2D"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58</w:t>
            </w:r>
          </w:p>
        </w:tc>
        <w:tc>
          <w:tcPr>
            <w:tcW w:w="2126" w:type="dxa"/>
          </w:tcPr>
          <w:p w14:paraId="6AD227C9"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azul verdoso oscuro</w:t>
            </w:r>
          </w:p>
        </w:tc>
        <w:tc>
          <w:tcPr>
            <w:tcW w:w="2126" w:type="dxa"/>
          </w:tcPr>
          <w:p w14:paraId="1B4D4940" w14:textId="77777777" w:rsidR="006B6FA8" w:rsidRPr="006B6FA8" w:rsidRDefault="006B6FA8" w:rsidP="006B6FA8">
            <w:pPr>
              <w:jc w:val="left"/>
              <w:rPr>
                <w:rFonts w:cs="Arial"/>
                <w:sz w:val="18"/>
                <w:szCs w:val="18"/>
                <w:highlight w:val="lightGray"/>
                <w:lang w:val="es-ES_tradnl"/>
              </w:rPr>
            </w:pPr>
            <w:proofErr w:type="spellStart"/>
            <w:r w:rsidRPr="006B6FA8">
              <w:rPr>
                <w:rFonts w:cs="Arial"/>
                <w:sz w:val="18"/>
                <w:szCs w:val="18"/>
                <w:highlight w:val="lightGray"/>
                <w:lang w:val="es-ES_tradnl"/>
              </w:rPr>
              <w:t>dark</w:t>
            </w:r>
            <w:proofErr w:type="spellEnd"/>
            <w:r w:rsidRPr="006B6FA8">
              <w:rPr>
                <w:rFonts w:cs="Arial"/>
                <w:sz w:val="18"/>
                <w:szCs w:val="18"/>
                <w:highlight w:val="lightGray"/>
                <w:lang w:val="es-ES_tradnl"/>
              </w:rPr>
              <w:t xml:space="preserve"> </w:t>
            </w:r>
            <w:proofErr w:type="spellStart"/>
            <w:r w:rsidRPr="006B6FA8">
              <w:rPr>
                <w:rFonts w:cs="Arial"/>
                <w:sz w:val="18"/>
                <w:szCs w:val="18"/>
                <w:highlight w:val="lightGray"/>
                <w:lang w:val="es-ES_tradnl"/>
              </w:rPr>
              <w:t>green</w:t>
            </w:r>
            <w:proofErr w:type="spellEnd"/>
            <w:r w:rsidRPr="006B6FA8">
              <w:rPr>
                <w:rFonts w:cs="Arial"/>
                <w:sz w:val="18"/>
                <w:szCs w:val="18"/>
                <w:highlight w:val="lightGray"/>
                <w:lang w:val="es-ES_tradnl"/>
              </w:rPr>
              <w:t xml:space="preserve"> blue</w:t>
            </w:r>
          </w:p>
        </w:tc>
        <w:tc>
          <w:tcPr>
            <w:tcW w:w="1984" w:type="dxa"/>
          </w:tcPr>
          <w:p w14:paraId="7EFFE035"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bleu-vert</w:t>
            </w:r>
            <w:proofErr w:type="spellEnd"/>
            <w:r w:rsidRPr="006B6FA8">
              <w:rPr>
                <w:sz w:val="18"/>
                <w:szCs w:val="18"/>
                <w:highlight w:val="lightGray"/>
                <w:lang w:val="es-ES_tradnl"/>
              </w:rPr>
              <w:t xml:space="preserve"> </w:t>
            </w:r>
            <w:proofErr w:type="spellStart"/>
            <w:r w:rsidRPr="006B6FA8">
              <w:rPr>
                <w:sz w:val="18"/>
                <w:szCs w:val="18"/>
                <w:highlight w:val="lightGray"/>
                <w:lang w:val="es-ES_tradnl"/>
              </w:rPr>
              <w:t>foncé</w:t>
            </w:r>
            <w:proofErr w:type="spellEnd"/>
          </w:p>
        </w:tc>
        <w:tc>
          <w:tcPr>
            <w:tcW w:w="2268" w:type="dxa"/>
          </w:tcPr>
          <w:p w14:paraId="394947CB"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dunkelgrünblau</w:t>
            </w:r>
            <w:proofErr w:type="spellEnd"/>
          </w:p>
        </w:tc>
      </w:tr>
      <w:tr w:rsidR="006B6FA8" w:rsidRPr="006B6FA8" w14:paraId="4B26A46F" w14:textId="77777777" w:rsidTr="00D60821">
        <w:tc>
          <w:tcPr>
            <w:tcW w:w="1105" w:type="dxa"/>
          </w:tcPr>
          <w:p w14:paraId="6F5E4695"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59</w:t>
            </w:r>
          </w:p>
        </w:tc>
        <w:tc>
          <w:tcPr>
            <w:tcW w:w="2126" w:type="dxa"/>
          </w:tcPr>
          <w:p w14:paraId="0EC6A483"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 xml:space="preserve">marrón claro  </w:t>
            </w:r>
          </w:p>
        </w:tc>
        <w:tc>
          <w:tcPr>
            <w:tcW w:w="2126" w:type="dxa"/>
          </w:tcPr>
          <w:p w14:paraId="75A1FC18"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 xml:space="preserve">light </w:t>
            </w:r>
            <w:proofErr w:type="spellStart"/>
            <w:r w:rsidRPr="006B6FA8">
              <w:rPr>
                <w:rFonts w:cs="Arial"/>
                <w:sz w:val="18"/>
                <w:szCs w:val="18"/>
                <w:highlight w:val="lightGray"/>
                <w:lang w:val="es-ES_tradnl"/>
              </w:rPr>
              <w:t>brown</w:t>
            </w:r>
            <w:proofErr w:type="spellEnd"/>
            <w:r w:rsidRPr="006B6FA8">
              <w:rPr>
                <w:rFonts w:cs="Arial"/>
                <w:sz w:val="18"/>
                <w:szCs w:val="18"/>
                <w:highlight w:val="lightGray"/>
                <w:lang w:val="es-ES_tradnl"/>
              </w:rPr>
              <w:t xml:space="preserve">  </w:t>
            </w:r>
          </w:p>
        </w:tc>
        <w:tc>
          <w:tcPr>
            <w:tcW w:w="1984" w:type="dxa"/>
          </w:tcPr>
          <w:p w14:paraId="625121FF"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brun</w:t>
            </w:r>
            <w:proofErr w:type="spellEnd"/>
            <w:r w:rsidRPr="006B6FA8">
              <w:rPr>
                <w:sz w:val="18"/>
                <w:szCs w:val="18"/>
                <w:highlight w:val="lightGray"/>
                <w:lang w:val="es-ES_tradnl"/>
              </w:rPr>
              <w:t xml:space="preserve"> </w:t>
            </w:r>
            <w:proofErr w:type="spellStart"/>
            <w:r w:rsidRPr="006B6FA8">
              <w:rPr>
                <w:sz w:val="18"/>
                <w:szCs w:val="18"/>
                <w:highlight w:val="lightGray"/>
                <w:lang w:val="es-ES_tradnl"/>
              </w:rPr>
              <w:t>clair</w:t>
            </w:r>
            <w:proofErr w:type="spellEnd"/>
            <w:r w:rsidRPr="006B6FA8">
              <w:rPr>
                <w:sz w:val="18"/>
                <w:szCs w:val="18"/>
                <w:highlight w:val="lightGray"/>
                <w:lang w:val="es-ES_tradnl"/>
              </w:rPr>
              <w:t xml:space="preserve">  </w:t>
            </w:r>
          </w:p>
        </w:tc>
        <w:tc>
          <w:tcPr>
            <w:tcW w:w="2268" w:type="dxa"/>
          </w:tcPr>
          <w:p w14:paraId="5D922873"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hellbraun</w:t>
            </w:r>
            <w:proofErr w:type="spellEnd"/>
          </w:p>
        </w:tc>
      </w:tr>
      <w:tr w:rsidR="006B6FA8" w:rsidRPr="006B6FA8" w14:paraId="6E24DA78" w14:textId="77777777" w:rsidTr="00D60821">
        <w:tc>
          <w:tcPr>
            <w:tcW w:w="1105" w:type="dxa"/>
          </w:tcPr>
          <w:p w14:paraId="247F1C4E"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60</w:t>
            </w:r>
          </w:p>
        </w:tc>
        <w:tc>
          <w:tcPr>
            <w:tcW w:w="2126" w:type="dxa"/>
          </w:tcPr>
          <w:p w14:paraId="3B6D97FB"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marrón medio</w:t>
            </w:r>
          </w:p>
        </w:tc>
        <w:tc>
          <w:tcPr>
            <w:tcW w:w="2126" w:type="dxa"/>
          </w:tcPr>
          <w:p w14:paraId="766C4223" w14:textId="77777777" w:rsidR="006B6FA8" w:rsidRPr="006B6FA8" w:rsidRDefault="006B6FA8" w:rsidP="006B6FA8">
            <w:pPr>
              <w:jc w:val="left"/>
              <w:rPr>
                <w:rFonts w:cs="Arial"/>
                <w:sz w:val="18"/>
                <w:szCs w:val="18"/>
                <w:highlight w:val="lightGray"/>
                <w:lang w:val="es-ES_tradnl"/>
              </w:rPr>
            </w:pPr>
            <w:proofErr w:type="spellStart"/>
            <w:r w:rsidRPr="006B6FA8">
              <w:rPr>
                <w:rFonts w:cs="Arial"/>
                <w:sz w:val="18"/>
                <w:szCs w:val="18"/>
                <w:highlight w:val="lightGray"/>
                <w:lang w:val="es-ES_tradnl"/>
              </w:rPr>
              <w:t>medium</w:t>
            </w:r>
            <w:proofErr w:type="spellEnd"/>
            <w:r w:rsidRPr="006B6FA8">
              <w:rPr>
                <w:rFonts w:cs="Arial"/>
                <w:sz w:val="18"/>
                <w:szCs w:val="18"/>
                <w:highlight w:val="lightGray"/>
                <w:lang w:val="es-ES_tradnl"/>
              </w:rPr>
              <w:t xml:space="preserve"> </w:t>
            </w:r>
            <w:proofErr w:type="spellStart"/>
            <w:r w:rsidRPr="006B6FA8">
              <w:rPr>
                <w:rFonts w:cs="Arial"/>
                <w:sz w:val="18"/>
                <w:szCs w:val="18"/>
                <w:highlight w:val="lightGray"/>
                <w:lang w:val="es-ES_tradnl"/>
              </w:rPr>
              <w:t>brown</w:t>
            </w:r>
            <w:proofErr w:type="spellEnd"/>
          </w:p>
        </w:tc>
        <w:tc>
          <w:tcPr>
            <w:tcW w:w="1984" w:type="dxa"/>
          </w:tcPr>
          <w:p w14:paraId="32321D45"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brun</w:t>
            </w:r>
            <w:proofErr w:type="spellEnd"/>
            <w:r w:rsidRPr="006B6FA8">
              <w:rPr>
                <w:sz w:val="18"/>
                <w:szCs w:val="18"/>
                <w:highlight w:val="lightGray"/>
                <w:lang w:val="es-ES_tradnl"/>
              </w:rPr>
              <w:t xml:space="preserve"> </w:t>
            </w:r>
            <w:proofErr w:type="spellStart"/>
            <w:r w:rsidRPr="006B6FA8">
              <w:rPr>
                <w:sz w:val="18"/>
                <w:szCs w:val="18"/>
                <w:highlight w:val="lightGray"/>
                <w:lang w:val="es-ES_tradnl"/>
              </w:rPr>
              <w:t>moyen</w:t>
            </w:r>
            <w:proofErr w:type="spellEnd"/>
          </w:p>
        </w:tc>
        <w:tc>
          <w:tcPr>
            <w:tcW w:w="2268" w:type="dxa"/>
          </w:tcPr>
          <w:p w14:paraId="4799B0EA"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mittelbraun</w:t>
            </w:r>
            <w:proofErr w:type="spellEnd"/>
          </w:p>
        </w:tc>
      </w:tr>
      <w:tr w:rsidR="006B6FA8" w:rsidRPr="006B6FA8" w14:paraId="1D32CE09" w14:textId="77777777" w:rsidTr="00D60821">
        <w:tc>
          <w:tcPr>
            <w:tcW w:w="1105" w:type="dxa"/>
          </w:tcPr>
          <w:p w14:paraId="16DE2927"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61</w:t>
            </w:r>
          </w:p>
        </w:tc>
        <w:tc>
          <w:tcPr>
            <w:tcW w:w="2126" w:type="dxa"/>
          </w:tcPr>
          <w:p w14:paraId="63DD84DF"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marrón oscuro</w:t>
            </w:r>
          </w:p>
        </w:tc>
        <w:tc>
          <w:tcPr>
            <w:tcW w:w="2126" w:type="dxa"/>
          </w:tcPr>
          <w:p w14:paraId="443F58B2" w14:textId="77777777" w:rsidR="006B6FA8" w:rsidRPr="006B6FA8" w:rsidRDefault="006B6FA8" w:rsidP="006B6FA8">
            <w:pPr>
              <w:jc w:val="left"/>
              <w:rPr>
                <w:rFonts w:cs="Arial"/>
                <w:sz w:val="18"/>
                <w:szCs w:val="18"/>
                <w:highlight w:val="lightGray"/>
                <w:lang w:val="es-ES_tradnl"/>
              </w:rPr>
            </w:pPr>
            <w:proofErr w:type="spellStart"/>
            <w:r w:rsidRPr="006B6FA8">
              <w:rPr>
                <w:rFonts w:cs="Arial"/>
                <w:sz w:val="18"/>
                <w:szCs w:val="18"/>
                <w:highlight w:val="lightGray"/>
                <w:lang w:val="es-ES_tradnl"/>
              </w:rPr>
              <w:t>dark</w:t>
            </w:r>
            <w:proofErr w:type="spellEnd"/>
            <w:r w:rsidRPr="006B6FA8">
              <w:rPr>
                <w:rFonts w:cs="Arial"/>
                <w:sz w:val="18"/>
                <w:szCs w:val="18"/>
                <w:highlight w:val="lightGray"/>
                <w:lang w:val="es-ES_tradnl"/>
              </w:rPr>
              <w:t xml:space="preserve"> </w:t>
            </w:r>
            <w:proofErr w:type="spellStart"/>
            <w:r w:rsidRPr="006B6FA8">
              <w:rPr>
                <w:rFonts w:cs="Arial"/>
                <w:sz w:val="18"/>
                <w:szCs w:val="18"/>
                <w:highlight w:val="lightGray"/>
                <w:lang w:val="es-ES_tradnl"/>
              </w:rPr>
              <w:t>brown</w:t>
            </w:r>
            <w:proofErr w:type="spellEnd"/>
          </w:p>
        </w:tc>
        <w:tc>
          <w:tcPr>
            <w:tcW w:w="1984" w:type="dxa"/>
          </w:tcPr>
          <w:p w14:paraId="4D3A7DE7"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brun</w:t>
            </w:r>
            <w:proofErr w:type="spellEnd"/>
            <w:r w:rsidRPr="006B6FA8">
              <w:rPr>
                <w:sz w:val="18"/>
                <w:szCs w:val="18"/>
                <w:highlight w:val="lightGray"/>
                <w:lang w:val="es-ES_tradnl"/>
              </w:rPr>
              <w:t xml:space="preserve"> </w:t>
            </w:r>
            <w:proofErr w:type="spellStart"/>
            <w:r w:rsidRPr="006B6FA8">
              <w:rPr>
                <w:sz w:val="18"/>
                <w:szCs w:val="18"/>
                <w:highlight w:val="lightGray"/>
                <w:lang w:val="es-ES_tradnl"/>
              </w:rPr>
              <w:t>foncé</w:t>
            </w:r>
            <w:proofErr w:type="spellEnd"/>
          </w:p>
        </w:tc>
        <w:tc>
          <w:tcPr>
            <w:tcW w:w="2268" w:type="dxa"/>
          </w:tcPr>
          <w:p w14:paraId="57FCED92"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dunkelbraun</w:t>
            </w:r>
            <w:proofErr w:type="spellEnd"/>
          </w:p>
        </w:tc>
      </w:tr>
      <w:tr w:rsidR="006B6FA8" w:rsidRPr="006B6FA8" w14:paraId="3182FD2C" w14:textId="77777777" w:rsidTr="00D60821">
        <w:tc>
          <w:tcPr>
            <w:tcW w:w="1105" w:type="dxa"/>
          </w:tcPr>
          <w:p w14:paraId="4116FA7F"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62</w:t>
            </w:r>
          </w:p>
        </w:tc>
        <w:tc>
          <w:tcPr>
            <w:tcW w:w="2126" w:type="dxa"/>
          </w:tcPr>
          <w:p w14:paraId="2994C210"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marrón amarillento claro</w:t>
            </w:r>
          </w:p>
        </w:tc>
        <w:tc>
          <w:tcPr>
            <w:tcW w:w="2126" w:type="dxa"/>
          </w:tcPr>
          <w:p w14:paraId="4AE5B72E"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 xml:space="preserve">light </w:t>
            </w:r>
            <w:proofErr w:type="spellStart"/>
            <w:r w:rsidRPr="006B6FA8">
              <w:rPr>
                <w:rFonts w:cs="Arial"/>
                <w:sz w:val="18"/>
                <w:szCs w:val="18"/>
                <w:highlight w:val="lightGray"/>
                <w:lang w:val="es-ES_tradnl"/>
              </w:rPr>
              <w:t>yellow</w:t>
            </w:r>
            <w:proofErr w:type="spellEnd"/>
            <w:r w:rsidRPr="006B6FA8">
              <w:rPr>
                <w:rFonts w:cs="Arial"/>
                <w:sz w:val="18"/>
                <w:szCs w:val="18"/>
                <w:highlight w:val="lightGray"/>
                <w:lang w:val="es-ES_tradnl"/>
              </w:rPr>
              <w:t xml:space="preserve"> </w:t>
            </w:r>
            <w:proofErr w:type="spellStart"/>
            <w:r w:rsidRPr="006B6FA8">
              <w:rPr>
                <w:rFonts w:cs="Arial"/>
                <w:sz w:val="18"/>
                <w:szCs w:val="18"/>
                <w:highlight w:val="lightGray"/>
                <w:lang w:val="es-ES_tradnl"/>
              </w:rPr>
              <w:t>brown</w:t>
            </w:r>
            <w:proofErr w:type="spellEnd"/>
          </w:p>
        </w:tc>
        <w:tc>
          <w:tcPr>
            <w:tcW w:w="1984" w:type="dxa"/>
          </w:tcPr>
          <w:p w14:paraId="69B1319B"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brun-jaune</w:t>
            </w:r>
            <w:proofErr w:type="spellEnd"/>
            <w:r w:rsidRPr="006B6FA8">
              <w:rPr>
                <w:sz w:val="18"/>
                <w:szCs w:val="18"/>
                <w:highlight w:val="lightGray"/>
                <w:lang w:val="es-ES_tradnl"/>
              </w:rPr>
              <w:t xml:space="preserve"> </w:t>
            </w:r>
            <w:proofErr w:type="spellStart"/>
            <w:r w:rsidRPr="006B6FA8">
              <w:rPr>
                <w:sz w:val="18"/>
                <w:szCs w:val="18"/>
                <w:highlight w:val="lightGray"/>
                <w:lang w:val="es-ES_tradnl"/>
              </w:rPr>
              <w:t>clair</w:t>
            </w:r>
            <w:proofErr w:type="spellEnd"/>
          </w:p>
        </w:tc>
        <w:tc>
          <w:tcPr>
            <w:tcW w:w="2268" w:type="dxa"/>
          </w:tcPr>
          <w:p w14:paraId="4DC8F59A"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hellgelbbraun</w:t>
            </w:r>
            <w:proofErr w:type="spellEnd"/>
          </w:p>
        </w:tc>
      </w:tr>
      <w:tr w:rsidR="006B6FA8" w:rsidRPr="006B6FA8" w14:paraId="6D9CC787" w14:textId="77777777" w:rsidTr="00D60821">
        <w:tc>
          <w:tcPr>
            <w:tcW w:w="1105" w:type="dxa"/>
          </w:tcPr>
          <w:p w14:paraId="09374DDD"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63</w:t>
            </w:r>
          </w:p>
        </w:tc>
        <w:tc>
          <w:tcPr>
            <w:tcW w:w="2126" w:type="dxa"/>
          </w:tcPr>
          <w:p w14:paraId="29B2D8B3"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marrón amarillento medio</w:t>
            </w:r>
          </w:p>
        </w:tc>
        <w:tc>
          <w:tcPr>
            <w:tcW w:w="2126" w:type="dxa"/>
          </w:tcPr>
          <w:p w14:paraId="4D301475" w14:textId="77777777" w:rsidR="006B6FA8" w:rsidRPr="006B6FA8" w:rsidRDefault="006B6FA8" w:rsidP="006B6FA8">
            <w:pPr>
              <w:jc w:val="left"/>
              <w:rPr>
                <w:rFonts w:cs="Arial"/>
                <w:sz w:val="18"/>
                <w:szCs w:val="18"/>
                <w:highlight w:val="lightGray"/>
                <w:lang w:val="es-ES_tradnl"/>
              </w:rPr>
            </w:pPr>
            <w:proofErr w:type="spellStart"/>
            <w:r w:rsidRPr="006B6FA8">
              <w:rPr>
                <w:rFonts w:cs="Arial"/>
                <w:sz w:val="18"/>
                <w:szCs w:val="18"/>
                <w:highlight w:val="lightGray"/>
                <w:lang w:val="es-ES_tradnl"/>
              </w:rPr>
              <w:t>medium</w:t>
            </w:r>
            <w:proofErr w:type="spellEnd"/>
            <w:r w:rsidRPr="006B6FA8">
              <w:rPr>
                <w:rFonts w:cs="Arial"/>
                <w:sz w:val="18"/>
                <w:szCs w:val="18"/>
                <w:highlight w:val="lightGray"/>
                <w:lang w:val="es-ES_tradnl"/>
              </w:rPr>
              <w:t xml:space="preserve"> </w:t>
            </w:r>
            <w:proofErr w:type="spellStart"/>
            <w:r w:rsidRPr="006B6FA8">
              <w:rPr>
                <w:rFonts w:cs="Arial"/>
                <w:sz w:val="18"/>
                <w:szCs w:val="18"/>
                <w:highlight w:val="lightGray"/>
                <w:lang w:val="es-ES_tradnl"/>
              </w:rPr>
              <w:t>yellow</w:t>
            </w:r>
            <w:proofErr w:type="spellEnd"/>
            <w:r w:rsidRPr="006B6FA8">
              <w:rPr>
                <w:rFonts w:cs="Arial"/>
                <w:sz w:val="18"/>
                <w:szCs w:val="18"/>
                <w:highlight w:val="lightGray"/>
                <w:lang w:val="es-ES_tradnl"/>
              </w:rPr>
              <w:t xml:space="preserve"> </w:t>
            </w:r>
            <w:proofErr w:type="spellStart"/>
            <w:r w:rsidRPr="006B6FA8">
              <w:rPr>
                <w:rFonts w:cs="Arial"/>
                <w:sz w:val="18"/>
                <w:szCs w:val="18"/>
                <w:highlight w:val="lightGray"/>
                <w:lang w:val="es-ES_tradnl"/>
              </w:rPr>
              <w:t>brown</w:t>
            </w:r>
            <w:proofErr w:type="spellEnd"/>
          </w:p>
        </w:tc>
        <w:tc>
          <w:tcPr>
            <w:tcW w:w="1984" w:type="dxa"/>
          </w:tcPr>
          <w:p w14:paraId="488DA6A4"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brun-jaune</w:t>
            </w:r>
            <w:proofErr w:type="spellEnd"/>
            <w:r w:rsidRPr="006B6FA8">
              <w:rPr>
                <w:sz w:val="18"/>
                <w:szCs w:val="18"/>
                <w:highlight w:val="lightGray"/>
                <w:lang w:val="es-ES_tradnl"/>
              </w:rPr>
              <w:t xml:space="preserve"> </w:t>
            </w:r>
            <w:proofErr w:type="spellStart"/>
            <w:r w:rsidRPr="006B6FA8">
              <w:rPr>
                <w:sz w:val="18"/>
                <w:szCs w:val="18"/>
                <w:highlight w:val="lightGray"/>
                <w:lang w:val="es-ES_tradnl"/>
              </w:rPr>
              <w:t>moyen</w:t>
            </w:r>
            <w:proofErr w:type="spellEnd"/>
          </w:p>
        </w:tc>
        <w:tc>
          <w:tcPr>
            <w:tcW w:w="2268" w:type="dxa"/>
          </w:tcPr>
          <w:p w14:paraId="7D3ECF1F"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mittelgelbbraun</w:t>
            </w:r>
            <w:proofErr w:type="spellEnd"/>
          </w:p>
        </w:tc>
      </w:tr>
      <w:tr w:rsidR="006B6FA8" w:rsidRPr="006B6FA8" w14:paraId="408D533C" w14:textId="77777777" w:rsidTr="00D60821">
        <w:tc>
          <w:tcPr>
            <w:tcW w:w="1105" w:type="dxa"/>
          </w:tcPr>
          <w:p w14:paraId="329F7C35"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64</w:t>
            </w:r>
          </w:p>
        </w:tc>
        <w:tc>
          <w:tcPr>
            <w:tcW w:w="2126" w:type="dxa"/>
          </w:tcPr>
          <w:p w14:paraId="2B6CC1F7"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marrón anaranjado</w:t>
            </w:r>
          </w:p>
        </w:tc>
        <w:tc>
          <w:tcPr>
            <w:tcW w:w="2126" w:type="dxa"/>
          </w:tcPr>
          <w:p w14:paraId="0659E9DD" w14:textId="77777777" w:rsidR="006B6FA8" w:rsidRPr="006B6FA8" w:rsidRDefault="006B6FA8" w:rsidP="006B6FA8">
            <w:pPr>
              <w:jc w:val="left"/>
              <w:rPr>
                <w:rFonts w:cs="Arial"/>
                <w:sz w:val="18"/>
                <w:szCs w:val="18"/>
                <w:highlight w:val="lightGray"/>
                <w:lang w:val="es-ES_tradnl"/>
              </w:rPr>
            </w:pPr>
            <w:proofErr w:type="spellStart"/>
            <w:r w:rsidRPr="006B6FA8">
              <w:rPr>
                <w:rFonts w:cs="Arial"/>
                <w:sz w:val="18"/>
                <w:szCs w:val="18"/>
                <w:highlight w:val="lightGray"/>
                <w:lang w:val="es-ES_tradnl"/>
              </w:rPr>
              <w:t>orange</w:t>
            </w:r>
            <w:proofErr w:type="spellEnd"/>
            <w:r w:rsidRPr="006B6FA8">
              <w:rPr>
                <w:rFonts w:cs="Arial"/>
                <w:sz w:val="18"/>
                <w:szCs w:val="18"/>
                <w:highlight w:val="lightGray"/>
                <w:lang w:val="es-ES_tradnl"/>
              </w:rPr>
              <w:t xml:space="preserve"> </w:t>
            </w:r>
            <w:proofErr w:type="spellStart"/>
            <w:r w:rsidRPr="006B6FA8">
              <w:rPr>
                <w:rFonts w:cs="Arial"/>
                <w:sz w:val="18"/>
                <w:szCs w:val="18"/>
                <w:highlight w:val="lightGray"/>
                <w:lang w:val="es-ES_tradnl"/>
              </w:rPr>
              <w:t>brown</w:t>
            </w:r>
            <w:proofErr w:type="spellEnd"/>
          </w:p>
        </w:tc>
        <w:tc>
          <w:tcPr>
            <w:tcW w:w="1984" w:type="dxa"/>
          </w:tcPr>
          <w:p w14:paraId="426D818D"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brun</w:t>
            </w:r>
            <w:proofErr w:type="spellEnd"/>
            <w:r w:rsidRPr="006B6FA8">
              <w:rPr>
                <w:sz w:val="18"/>
                <w:szCs w:val="18"/>
                <w:highlight w:val="lightGray"/>
                <w:lang w:val="es-ES_tradnl"/>
              </w:rPr>
              <w:t xml:space="preserve"> </w:t>
            </w:r>
            <w:proofErr w:type="spellStart"/>
            <w:r w:rsidRPr="006B6FA8">
              <w:rPr>
                <w:sz w:val="18"/>
                <w:szCs w:val="18"/>
                <w:highlight w:val="lightGray"/>
                <w:lang w:val="es-ES_tradnl"/>
              </w:rPr>
              <w:t>orangé</w:t>
            </w:r>
            <w:proofErr w:type="spellEnd"/>
          </w:p>
        </w:tc>
        <w:tc>
          <w:tcPr>
            <w:tcW w:w="2268" w:type="dxa"/>
          </w:tcPr>
          <w:p w14:paraId="7E0FD5E3"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orangebraun</w:t>
            </w:r>
            <w:proofErr w:type="spellEnd"/>
          </w:p>
        </w:tc>
      </w:tr>
      <w:tr w:rsidR="006B6FA8" w:rsidRPr="006B6FA8" w14:paraId="748982ED" w14:textId="77777777" w:rsidTr="00D60821">
        <w:tc>
          <w:tcPr>
            <w:tcW w:w="1105" w:type="dxa"/>
          </w:tcPr>
          <w:p w14:paraId="08BF02B0"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65</w:t>
            </w:r>
          </w:p>
        </w:tc>
        <w:tc>
          <w:tcPr>
            <w:tcW w:w="2126" w:type="dxa"/>
          </w:tcPr>
          <w:p w14:paraId="22D6BDE8"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marrón grisáceo</w:t>
            </w:r>
          </w:p>
        </w:tc>
        <w:tc>
          <w:tcPr>
            <w:tcW w:w="2126" w:type="dxa"/>
          </w:tcPr>
          <w:p w14:paraId="234027F4"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 xml:space="preserve">grey </w:t>
            </w:r>
            <w:proofErr w:type="spellStart"/>
            <w:r w:rsidRPr="006B6FA8">
              <w:rPr>
                <w:rFonts w:cs="Arial"/>
                <w:sz w:val="18"/>
                <w:szCs w:val="18"/>
                <w:highlight w:val="lightGray"/>
                <w:lang w:val="es-ES_tradnl"/>
              </w:rPr>
              <w:t>brown</w:t>
            </w:r>
            <w:proofErr w:type="spellEnd"/>
          </w:p>
        </w:tc>
        <w:tc>
          <w:tcPr>
            <w:tcW w:w="1984" w:type="dxa"/>
          </w:tcPr>
          <w:p w14:paraId="6F4977BB"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brun</w:t>
            </w:r>
            <w:proofErr w:type="spellEnd"/>
            <w:r w:rsidRPr="006B6FA8">
              <w:rPr>
                <w:sz w:val="18"/>
                <w:szCs w:val="18"/>
                <w:highlight w:val="lightGray"/>
                <w:lang w:val="es-ES_tradnl"/>
              </w:rPr>
              <w:t>-gris</w:t>
            </w:r>
          </w:p>
        </w:tc>
        <w:tc>
          <w:tcPr>
            <w:tcW w:w="2268" w:type="dxa"/>
          </w:tcPr>
          <w:p w14:paraId="708334B2"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graubraun</w:t>
            </w:r>
            <w:proofErr w:type="spellEnd"/>
          </w:p>
        </w:tc>
      </w:tr>
      <w:tr w:rsidR="006B6FA8" w:rsidRPr="006B6FA8" w14:paraId="6042EB57" w14:textId="77777777" w:rsidTr="00D60821">
        <w:tc>
          <w:tcPr>
            <w:tcW w:w="1105" w:type="dxa"/>
          </w:tcPr>
          <w:p w14:paraId="5A70BE73"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66</w:t>
            </w:r>
          </w:p>
        </w:tc>
        <w:tc>
          <w:tcPr>
            <w:tcW w:w="2126" w:type="dxa"/>
          </w:tcPr>
          <w:p w14:paraId="32472176"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marrón verdoso claro</w:t>
            </w:r>
          </w:p>
        </w:tc>
        <w:tc>
          <w:tcPr>
            <w:tcW w:w="2126" w:type="dxa"/>
          </w:tcPr>
          <w:p w14:paraId="6DDB83FB"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 xml:space="preserve">light </w:t>
            </w:r>
            <w:proofErr w:type="spellStart"/>
            <w:r w:rsidRPr="006B6FA8">
              <w:rPr>
                <w:rFonts w:cs="Arial"/>
                <w:sz w:val="18"/>
                <w:szCs w:val="18"/>
                <w:highlight w:val="lightGray"/>
                <w:lang w:val="es-ES_tradnl"/>
              </w:rPr>
              <w:t>green</w:t>
            </w:r>
            <w:proofErr w:type="spellEnd"/>
            <w:r w:rsidRPr="006B6FA8">
              <w:rPr>
                <w:rFonts w:cs="Arial"/>
                <w:sz w:val="18"/>
                <w:szCs w:val="18"/>
                <w:highlight w:val="lightGray"/>
                <w:lang w:val="es-ES_tradnl"/>
              </w:rPr>
              <w:t xml:space="preserve"> </w:t>
            </w:r>
            <w:proofErr w:type="spellStart"/>
            <w:r w:rsidRPr="006B6FA8">
              <w:rPr>
                <w:rFonts w:cs="Arial"/>
                <w:sz w:val="18"/>
                <w:szCs w:val="18"/>
                <w:highlight w:val="lightGray"/>
                <w:lang w:val="es-ES_tradnl"/>
              </w:rPr>
              <w:t>brown</w:t>
            </w:r>
            <w:proofErr w:type="spellEnd"/>
          </w:p>
        </w:tc>
        <w:tc>
          <w:tcPr>
            <w:tcW w:w="1984" w:type="dxa"/>
          </w:tcPr>
          <w:p w14:paraId="19632567"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brun-vert</w:t>
            </w:r>
            <w:proofErr w:type="spellEnd"/>
            <w:r w:rsidRPr="006B6FA8">
              <w:rPr>
                <w:sz w:val="18"/>
                <w:szCs w:val="18"/>
                <w:highlight w:val="lightGray"/>
                <w:lang w:val="es-ES_tradnl"/>
              </w:rPr>
              <w:t xml:space="preserve"> </w:t>
            </w:r>
            <w:proofErr w:type="spellStart"/>
            <w:r w:rsidRPr="006B6FA8">
              <w:rPr>
                <w:sz w:val="18"/>
                <w:szCs w:val="18"/>
                <w:highlight w:val="lightGray"/>
                <w:lang w:val="es-ES_tradnl"/>
              </w:rPr>
              <w:t>clair</w:t>
            </w:r>
            <w:proofErr w:type="spellEnd"/>
          </w:p>
        </w:tc>
        <w:tc>
          <w:tcPr>
            <w:tcW w:w="2268" w:type="dxa"/>
          </w:tcPr>
          <w:p w14:paraId="0B9EA595"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hellgrünbraun</w:t>
            </w:r>
            <w:proofErr w:type="spellEnd"/>
          </w:p>
        </w:tc>
      </w:tr>
      <w:tr w:rsidR="006B6FA8" w:rsidRPr="006B6FA8" w14:paraId="4DFD406C" w14:textId="77777777" w:rsidTr="00D60821">
        <w:tc>
          <w:tcPr>
            <w:tcW w:w="1105" w:type="dxa"/>
          </w:tcPr>
          <w:p w14:paraId="024B5AE0"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67</w:t>
            </w:r>
          </w:p>
        </w:tc>
        <w:tc>
          <w:tcPr>
            <w:tcW w:w="2126" w:type="dxa"/>
          </w:tcPr>
          <w:p w14:paraId="1FE9F6EE"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marrón verdoso medio</w:t>
            </w:r>
          </w:p>
        </w:tc>
        <w:tc>
          <w:tcPr>
            <w:tcW w:w="2126" w:type="dxa"/>
          </w:tcPr>
          <w:p w14:paraId="6DB2BABD" w14:textId="77777777" w:rsidR="006B6FA8" w:rsidRPr="006B6FA8" w:rsidRDefault="006B6FA8" w:rsidP="006B6FA8">
            <w:pPr>
              <w:jc w:val="left"/>
              <w:rPr>
                <w:rFonts w:cs="Arial"/>
                <w:sz w:val="18"/>
                <w:szCs w:val="18"/>
                <w:highlight w:val="lightGray"/>
                <w:lang w:val="es-ES_tradnl"/>
              </w:rPr>
            </w:pPr>
            <w:proofErr w:type="spellStart"/>
            <w:r w:rsidRPr="006B6FA8">
              <w:rPr>
                <w:rFonts w:cs="Arial"/>
                <w:sz w:val="18"/>
                <w:szCs w:val="18"/>
                <w:highlight w:val="lightGray"/>
                <w:lang w:val="es-ES_tradnl"/>
              </w:rPr>
              <w:t>medium</w:t>
            </w:r>
            <w:proofErr w:type="spellEnd"/>
            <w:r w:rsidRPr="006B6FA8">
              <w:rPr>
                <w:rFonts w:cs="Arial"/>
                <w:sz w:val="18"/>
                <w:szCs w:val="18"/>
                <w:highlight w:val="lightGray"/>
                <w:lang w:val="es-ES_tradnl"/>
              </w:rPr>
              <w:t xml:space="preserve"> </w:t>
            </w:r>
            <w:proofErr w:type="spellStart"/>
            <w:r w:rsidRPr="006B6FA8">
              <w:rPr>
                <w:rFonts w:cs="Arial"/>
                <w:sz w:val="18"/>
                <w:szCs w:val="18"/>
                <w:highlight w:val="lightGray"/>
                <w:lang w:val="es-ES_tradnl"/>
              </w:rPr>
              <w:t>green</w:t>
            </w:r>
            <w:proofErr w:type="spellEnd"/>
            <w:r w:rsidRPr="006B6FA8">
              <w:rPr>
                <w:rFonts w:cs="Arial"/>
                <w:sz w:val="18"/>
                <w:szCs w:val="18"/>
                <w:highlight w:val="lightGray"/>
                <w:lang w:val="es-ES_tradnl"/>
              </w:rPr>
              <w:t xml:space="preserve"> </w:t>
            </w:r>
            <w:proofErr w:type="spellStart"/>
            <w:r w:rsidRPr="006B6FA8">
              <w:rPr>
                <w:rFonts w:cs="Arial"/>
                <w:sz w:val="18"/>
                <w:szCs w:val="18"/>
                <w:highlight w:val="lightGray"/>
                <w:lang w:val="es-ES_tradnl"/>
              </w:rPr>
              <w:t>brown</w:t>
            </w:r>
            <w:proofErr w:type="spellEnd"/>
          </w:p>
        </w:tc>
        <w:tc>
          <w:tcPr>
            <w:tcW w:w="1984" w:type="dxa"/>
          </w:tcPr>
          <w:p w14:paraId="7CB2D0EE"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brun-vert</w:t>
            </w:r>
            <w:proofErr w:type="spellEnd"/>
            <w:r w:rsidRPr="006B6FA8">
              <w:rPr>
                <w:sz w:val="18"/>
                <w:szCs w:val="18"/>
                <w:highlight w:val="lightGray"/>
                <w:lang w:val="es-ES_tradnl"/>
              </w:rPr>
              <w:t xml:space="preserve"> </w:t>
            </w:r>
            <w:proofErr w:type="spellStart"/>
            <w:r w:rsidRPr="006B6FA8">
              <w:rPr>
                <w:sz w:val="18"/>
                <w:szCs w:val="18"/>
                <w:highlight w:val="lightGray"/>
                <w:lang w:val="es-ES_tradnl"/>
              </w:rPr>
              <w:t>moyen</w:t>
            </w:r>
            <w:proofErr w:type="spellEnd"/>
          </w:p>
        </w:tc>
        <w:tc>
          <w:tcPr>
            <w:tcW w:w="2268" w:type="dxa"/>
          </w:tcPr>
          <w:p w14:paraId="7306266E"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mittelgrünbraun</w:t>
            </w:r>
            <w:proofErr w:type="spellEnd"/>
          </w:p>
        </w:tc>
      </w:tr>
      <w:tr w:rsidR="006B6FA8" w:rsidRPr="006B6FA8" w14:paraId="5D80152C" w14:textId="77777777" w:rsidTr="00D60821">
        <w:tc>
          <w:tcPr>
            <w:tcW w:w="1105" w:type="dxa"/>
          </w:tcPr>
          <w:p w14:paraId="079D4FD2"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68</w:t>
            </w:r>
          </w:p>
        </w:tc>
        <w:tc>
          <w:tcPr>
            <w:tcW w:w="2126" w:type="dxa"/>
          </w:tcPr>
          <w:p w14:paraId="390BE3F0"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marrón verdoso oscuro</w:t>
            </w:r>
          </w:p>
        </w:tc>
        <w:tc>
          <w:tcPr>
            <w:tcW w:w="2126" w:type="dxa"/>
          </w:tcPr>
          <w:p w14:paraId="18342DF4" w14:textId="77777777" w:rsidR="006B6FA8" w:rsidRPr="006B6FA8" w:rsidRDefault="006B6FA8" w:rsidP="006B6FA8">
            <w:pPr>
              <w:jc w:val="left"/>
              <w:rPr>
                <w:rFonts w:cs="Arial"/>
                <w:sz w:val="18"/>
                <w:szCs w:val="18"/>
                <w:highlight w:val="lightGray"/>
                <w:lang w:val="es-ES_tradnl"/>
              </w:rPr>
            </w:pPr>
            <w:proofErr w:type="spellStart"/>
            <w:r w:rsidRPr="006B6FA8">
              <w:rPr>
                <w:rFonts w:cs="Arial"/>
                <w:sz w:val="18"/>
                <w:szCs w:val="18"/>
                <w:highlight w:val="lightGray"/>
                <w:lang w:val="es-ES_tradnl"/>
              </w:rPr>
              <w:t>dark</w:t>
            </w:r>
            <w:proofErr w:type="spellEnd"/>
            <w:r w:rsidRPr="006B6FA8">
              <w:rPr>
                <w:rFonts w:cs="Arial"/>
                <w:sz w:val="18"/>
                <w:szCs w:val="18"/>
                <w:highlight w:val="lightGray"/>
                <w:lang w:val="es-ES_tradnl"/>
              </w:rPr>
              <w:t xml:space="preserve"> </w:t>
            </w:r>
            <w:proofErr w:type="spellStart"/>
            <w:r w:rsidRPr="006B6FA8">
              <w:rPr>
                <w:rFonts w:cs="Arial"/>
                <w:sz w:val="18"/>
                <w:szCs w:val="18"/>
                <w:highlight w:val="lightGray"/>
                <w:lang w:val="es-ES_tradnl"/>
              </w:rPr>
              <w:t>green</w:t>
            </w:r>
            <w:proofErr w:type="spellEnd"/>
            <w:r w:rsidRPr="006B6FA8">
              <w:rPr>
                <w:rFonts w:cs="Arial"/>
                <w:sz w:val="18"/>
                <w:szCs w:val="18"/>
                <w:highlight w:val="lightGray"/>
                <w:lang w:val="es-ES_tradnl"/>
              </w:rPr>
              <w:t xml:space="preserve"> </w:t>
            </w:r>
            <w:proofErr w:type="spellStart"/>
            <w:r w:rsidRPr="006B6FA8">
              <w:rPr>
                <w:rFonts w:cs="Arial"/>
                <w:sz w:val="18"/>
                <w:szCs w:val="18"/>
                <w:highlight w:val="lightGray"/>
                <w:lang w:val="es-ES_tradnl"/>
              </w:rPr>
              <w:t>brown</w:t>
            </w:r>
            <w:proofErr w:type="spellEnd"/>
          </w:p>
        </w:tc>
        <w:tc>
          <w:tcPr>
            <w:tcW w:w="1984" w:type="dxa"/>
          </w:tcPr>
          <w:p w14:paraId="24D3B339"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brun-vert</w:t>
            </w:r>
            <w:proofErr w:type="spellEnd"/>
            <w:r w:rsidRPr="006B6FA8">
              <w:rPr>
                <w:sz w:val="18"/>
                <w:szCs w:val="18"/>
                <w:highlight w:val="lightGray"/>
                <w:lang w:val="es-ES_tradnl"/>
              </w:rPr>
              <w:t xml:space="preserve"> </w:t>
            </w:r>
            <w:proofErr w:type="spellStart"/>
            <w:r w:rsidRPr="006B6FA8">
              <w:rPr>
                <w:sz w:val="18"/>
                <w:szCs w:val="18"/>
                <w:highlight w:val="lightGray"/>
                <w:lang w:val="es-ES_tradnl"/>
              </w:rPr>
              <w:t>foncé</w:t>
            </w:r>
            <w:proofErr w:type="spellEnd"/>
          </w:p>
        </w:tc>
        <w:tc>
          <w:tcPr>
            <w:tcW w:w="2268" w:type="dxa"/>
          </w:tcPr>
          <w:p w14:paraId="688F536B"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dunkelgrünbraun</w:t>
            </w:r>
            <w:proofErr w:type="spellEnd"/>
          </w:p>
        </w:tc>
      </w:tr>
      <w:tr w:rsidR="006B6FA8" w:rsidRPr="006B6FA8" w14:paraId="66731C8A" w14:textId="77777777" w:rsidTr="00D60821">
        <w:tc>
          <w:tcPr>
            <w:tcW w:w="1105" w:type="dxa"/>
          </w:tcPr>
          <w:p w14:paraId="15B92901"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69</w:t>
            </w:r>
          </w:p>
        </w:tc>
        <w:tc>
          <w:tcPr>
            <w:tcW w:w="2126" w:type="dxa"/>
          </w:tcPr>
          <w:p w14:paraId="7B66D40A"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gris amarillento</w:t>
            </w:r>
          </w:p>
        </w:tc>
        <w:tc>
          <w:tcPr>
            <w:tcW w:w="2126" w:type="dxa"/>
          </w:tcPr>
          <w:p w14:paraId="32E18B2E" w14:textId="77777777" w:rsidR="006B6FA8" w:rsidRPr="006B6FA8" w:rsidRDefault="006B6FA8" w:rsidP="006B6FA8">
            <w:pPr>
              <w:jc w:val="left"/>
              <w:rPr>
                <w:rFonts w:cs="Arial"/>
                <w:sz w:val="18"/>
                <w:szCs w:val="18"/>
                <w:highlight w:val="lightGray"/>
                <w:lang w:val="es-ES_tradnl"/>
              </w:rPr>
            </w:pPr>
            <w:proofErr w:type="spellStart"/>
            <w:r w:rsidRPr="006B6FA8">
              <w:rPr>
                <w:rFonts w:cs="Arial"/>
                <w:sz w:val="18"/>
                <w:szCs w:val="18"/>
                <w:highlight w:val="lightGray"/>
                <w:lang w:val="es-ES_tradnl"/>
              </w:rPr>
              <w:t>yellow</w:t>
            </w:r>
            <w:proofErr w:type="spellEnd"/>
            <w:r w:rsidRPr="006B6FA8">
              <w:rPr>
                <w:rFonts w:cs="Arial"/>
                <w:sz w:val="18"/>
                <w:szCs w:val="18"/>
                <w:highlight w:val="lightGray"/>
                <w:lang w:val="es-ES_tradnl"/>
              </w:rPr>
              <w:t xml:space="preserve"> grey</w:t>
            </w:r>
          </w:p>
        </w:tc>
        <w:tc>
          <w:tcPr>
            <w:tcW w:w="1984" w:type="dxa"/>
          </w:tcPr>
          <w:p w14:paraId="11A52DD1" w14:textId="77777777" w:rsidR="006B6FA8" w:rsidRPr="006B6FA8" w:rsidRDefault="006B6FA8" w:rsidP="006B6FA8">
            <w:pPr>
              <w:rPr>
                <w:sz w:val="18"/>
                <w:szCs w:val="18"/>
                <w:highlight w:val="lightGray"/>
                <w:lang w:val="es-ES_tradnl"/>
              </w:rPr>
            </w:pPr>
            <w:r w:rsidRPr="006B6FA8">
              <w:rPr>
                <w:sz w:val="18"/>
                <w:szCs w:val="18"/>
                <w:highlight w:val="lightGray"/>
                <w:lang w:val="es-ES_tradnl"/>
              </w:rPr>
              <w:t>gris-</w:t>
            </w:r>
            <w:proofErr w:type="spellStart"/>
            <w:r w:rsidRPr="006B6FA8">
              <w:rPr>
                <w:sz w:val="18"/>
                <w:szCs w:val="18"/>
                <w:highlight w:val="lightGray"/>
                <w:lang w:val="es-ES_tradnl"/>
              </w:rPr>
              <w:t>jaune</w:t>
            </w:r>
            <w:proofErr w:type="spellEnd"/>
          </w:p>
        </w:tc>
        <w:tc>
          <w:tcPr>
            <w:tcW w:w="2268" w:type="dxa"/>
          </w:tcPr>
          <w:p w14:paraId="08DB770E"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gelbgrau</w:t>
            </w:r>
            <w:proofErr w:type="spellEnd"/>
          </w:p>
        </w:tc>
      </w:tr>
      <w:tr w:rsidR="006B6FA8" w:rsidRPr="006B6FA8" w14:paraId="6FB5F08E" w14:textId="77777777" w:rsidTr="00D60821">
        <w:tc>
          <w:tcPr>
            <w:tcW w:w="1105" w:type="dxa"/>
          </w:tcPr>
          <w:p w14:paraId="691ACCC5"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70</w:t>
            </w:r>
          </w:p>
        </w:tc>
        <w:tc>
          <w:tcPr>
            <w:tcW w:w="2126" w:type="dxa"/>
          </w:tcPr>
          <w:p w14:paraId="442E9E52"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gris amarronado</w:t>
            </w:r>
          </w:p>
        </w:tc>
        <w:tc>
          <w:tcPr>
            <w:tcW w:w="2126" w:type="dxa"/>
          </w:tcPr>
          <w:p w14:paraId="4B7C9A30" w14:textId="77777777" w:rsidR="006B6FA8" w:rsidRPr="006B6FA8" w:rsidRDefault="006B6FA8" w:rsidP="006B6FA8">
            <w:pPr>
              <w:jc w:val="left"/>
              <w:rPr>
                <w:rFonts w:cs="Arial"/>
                <w:sz w:val="18"/>
                <w:szCs w:val="18"/>
                <w:highlight w:val="lightGray"/>
                <w:lang w:val="es-ES_tradnl"/>
              </w:rPr>
            </w:pPr>
            <w:proofErr w:type="spellStart"/>
            <w:r w:rsidRPr="006B6FA8">
              <w:rPr>
                <w:rFonts w:cs="Arial"/>
                <w:sz w:val="18"/>
                <w:szCs w:val="18"/>
                <w:highlight w:val="lightGray"/>
                <w:lang w:val="es-ES_tradnl"/>
              </w:rPr>
              <w:t>brown</w:t>
            </w:r>
            <w:proofErr w:type="spellEnd"/>
            <w:r w:rsidRPr="006B6FA8">
              <w:rPr>
                <w:rFonts w:cs="Arial"/>
                <w:sz w:val="18"/>
                <w:szCs w:val="18"/>
                <w:highlight w:val="lightGray"/>
                <w:lang w:val="es-ES_tradnl"/>
              </w:rPr>
              <w:t xml:space="preserve"> grey</w:t>
            </w:r>
          </w:p>
        </w:tc>
        <w:tc>
          <w:tcPr>
            <w:tcW w:w="1984" w:type="dxa"/>
          </w:tcPr>
          <w:p w14:paraId="0633FA95" w14:textId="77777777" w:rsidR="006B6FA8" w:rsidRPr="006B6FA8" w:rsidRDefault="006B6FA8" w:rsidP="006B6FA8">
            <w:pPr>
              <w:rPr>
                <w:sz w:val="18"/>
                <w:szCs w:val="18"/>
                <w:highlight w:val="lightGray"/>
                <w:lang w:val="es-ES_tradnl"/>
              </w:rPr>
            </w:pPr>
            <w:r w:rsidRPr="006B6FA8">
              <w:rPr>
                <w:sz w:val="18"/>
                <w:szCs w:val="18"/>
                <w:highlight w:val="lightGray"/>
                <w:lang w:val="es-ES_tradnl"/>
              </w:rPr>
              <w:t>gris-</w:t>
            </w:r>
            <w:proofErr w:type="spellStart"/>
            <w:r w:rsidRPr="006B6FA8">
              <w:rPr>
                <w:sz w:val="18"/>
                <w:szCs w:val="18"/>
                <w:highlight w:val="lightGray"/>
                <w:lang w:val="es-ES_tradnl"/>
              </w:rPr>
              <w:t>brun</w:t>
            </w:r>
            <w:proofErr w:type="spellEnd"/>
          </w:p>
        </w:tc>
        <w:tc>
          <w:tcPr>
            <w:tcW w:w="2268" w:type="dxa"/>
          </w:tcPr>
          <w:p w14:paraId="1320E320"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braungrau</w:t>
            </w:r>
            <w:proofErr w:type="spellEnd"/>
          </w:p>
        </w:tc>
      </w:tr>
      <w:tr w:rsidR="006B6FA8" w:rsidRPr="006B6FA8" w14:paraId="6C0FA55A" w14:textId="77777777" w:rsidTr="00D60821">
        <w:tc>
          <w:tcPr>
            <w:tcW w:w="1105" w:type="dxa"/>
          </w:tcPr>
          <w:p w14:paraId="31DA5EB0"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71</w:t>
            </w:r>
          </w:p>
        </w:tc>
        <w:tc>
          <w:tcPr>
            <w:tcW w:w="2126" w:type="dxa"/>
          </w:tcPr>
          <w:p w14:paraId="216F5D62"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gris púrpura</w:t>
            </w:r>
          </w:p>
        </w:tc>
        <w:tc>
          <w:tcPr>
            <w:tcW w:w="2126" w:type="dxa"/>
          </w:tcPr>
          <w:p w14:paraId="485E2B1A" w14:textId="77777777" w:rsidR="006B6FA8" w:rsidRPr="006B6FA8" w:rsidRDefault="006B6FA8" w:rsidP="006B6FA8">
            <w:pPr>
              <w:jc w:val="left"/>
              <w:rPr>
                <w:rFonts w:cs="Arial"/>
                <w:sz w:val="18"/>
                <w:szCs w:val="18"/>
                <w:highlight w:val="lightGray"/>
                <w:lang w:val="es-ES_tradnl"/>
              </w:rPr>
            </w:pPr>
            <w:proofErr w:type="spellStart"/>
            <w:r w:rsidRPr="006B6FA8">
              <w:rPr>
                <w:rFonts w:cs="Arial"/>
                <w:sz w:val="18"/>
                <w:szCs w:val="18"/>
                <w:highlight w:val="lightGray"/>
                <w:lang w:val="es-ES_tradnl"/>
              </w:rPr>
              <w:t>purple</w:t>
            </w:r>
            <w:proofErr w:type="spellEnd"/>
            <w:r w:rsidRPr="006B6FA8">
              <w:rPr>
                <w:rFonts w:cs="Arial"/>
                <w:sz w:val="18"/>
                <w:szCs w:val="18"/>
                <w:highlight w:val="lightGray"/>
                <w:lang w:val="es-ES_tradnl"/>
              </w:rPr>
              <w:t xml:space="preserve"> grey</w:t>
            </w:r>
          </w:p>
        </w:tc>
        <w:tc>
          <w:tcPr>
            <w:tcW w:w="1984" w:type="dxa"/>
          </w:tcPr>
          <w:p w14:paraId="5FA86E9E" w14:textId="77777777" w:rsidR="006B6FA8" w:rsidRPr="006B6FA8" w:rsidRDefault="006B6FA8" w:rsidP="006B6FA8">
            <w:pPr>
              <w:rPr>
                <w:sz w:val="18"/>
                <w:szCs w:val="18"/>
                <w:highlight w:val="lightGray"/>
                <w:lang w:val="es-ES_tradnl"/>
              </w:rPr>
            </w:pPr>
            <w:r w:rsidRPr="006B6FA8">
              <w:rPr>
                <w:sz w:val="18"/>
                <w:szCs w:val="18"/>
                <w:highlight w:val="lightGray"/>
                <w:lang w:val="es-ES_tradnl"/>
              </w:rPr>
              <w:t>gris-</w:t>
            </w:r>
            <w:proofErr w:type="spellStart"/>
            <w:r w:rsidRPr="006B6FA8">
              <w:rPr>
                <w:sz w:val="18"/>
                <w:szCs w:val="18"/>
                <w:highlight w:val="lightGray"/>
                <w:lang w:val="es-ES_tradnl"/>
              </w:rPr>
              <w:t>pourpre</w:t>
            </w:r>
            <w:proofErr w:type="spellEnd"/>
          </w:p>
        </w:tc>
        <w:tc>
          <w:tcPr>
            <w:tcW w:w="2268" w:type="dxa"/>
          </w:tcPr>
          <w:p w14:paraId="5BA88BFF"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purpurgrau</w:t>
            </w:r>
            <w:proofErr w:type="spellEnd"/>
          </w:p>
        </w:tc>
      </w:tr>
      <w:tr w:rsidR="006B6FA8" w:rsidRPr="006B6FA8" w14:paraId="113A0701" w14:textId="77777777" w:rsidTr="00D60821">
        <w:tc>
          <w:tcPr>
            <w:tcW w:w="1105" w:type="dxa"/>
          </w:tcPr>
          <w:p w14:paraId="2F47673B"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72</w:t>
            </w:r>
          </w:p>
        </w:tc>
        <w:tc>
          <w:tcPr>
            <w:tcW w:w="2126" w:type="dxa"/>
          </w:tcPr>
          <w:p w14:paraId="61500DE2"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Gris</w:t>
            </w:r>
          </w:p>
        </w:tc>
        <w:tc>
          <w:tcPr>
            <w:tcW w:w="2126" w:type="dxa"/>
          </w:tcPr>
          <w:p w14:paraId="573193EE"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grey</w:t>
            </w:r>
          </w:p>
        </w:tc>
        <w:tc>
          <w:tcPr>
            <w:tcW w:w="1984" w:type="dxa"/>
          </w:tcPr>
          <w:p w14:paraId="240502D4" w14:textId="77777777" w:rsidR="006B6FA8" w:rsidRPr="006B6FA8" w:rsidRDefault="006B6FA8" w:rsidP="006B6FA8">
            <w:pPr>
              <w:rPr>
                <w:sz w:val="18"/>
                <w:szCs w:val="18"/>
                <w:highlight w:val="lightGray"/>
                <w:lang w:val="es-ES_tradnl"/>
              </w:rPr>
            </w:pPr>
            <w:r w:rsidRPr="006B6FA8">
              <w:rPr>
                <w:sz w:val="18"/>
                <w:szCs w:val="18"/>
                <w:highlight w:val="lightGray"/>
                <w:lang w:val="es-ES_tradnl"/>
              </w:rPr>
              <w:t>gris</w:t>
            </w:r>
          </w:p>
        </w:tc>
        <w:tc>
          <w:tcPr>
            <w:tcW w:w="2268" w:type="dxa"/>
          </w:tcPr>
          <w:p w14:paraId="6F4A5209"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grau</w:t>
            </w:r>
            <w:proofErr w:type="spellEnd"/>
          </w:p>
        </w:tc>
      </w:tr>
      <w:tr w:rsidR="006B6FA8" w:rsidRPr="006B6FA8" w14:paraId="7BA7E191" w14:textId="77777777" w:rsidTr="00D60821">
        <w:tc>
          <w:tcPr>
            <w:tcW w:w="1105" w:type="dxa"/>
            <w:tcBorders>
              <w:bottom w:val="single" w:sz="4" w:space="0" w:color="auto"/>
            </w:tcBorders>
          </w:tcPr>
          <w:p w14:paraId="7A2B5BD8" w14:textId="77777777" w:rsidR="006B6FA8" w:rsidRPr="006B6FA8" w:rsidRDefault="006B6FA8" w:rsidP="006B6FA8">
            <w:pPr>
              <w:jc w:val="center"/>
              <w:rPr>
                <w:rFonts w:cs="Arial"/>
                <w:sz w:val="18"/>
                <w:szCs w:val="18"/>
                <w:highlight w:val="lightGray"/>
                <w:lang w:val="es-ES_tradnl"/>
              </w:rPr>
            </w:pPr>
            <w:r w:rsidRPr="006B6FA8">
              <w:rPr>
                <w:rFonts w:cs="Arial"/>
                <w:sz w:val="18"/>
                <w:szCs w:val="18"/>
                <w:highlight w:val="lightGray"/>
                <w:lang w:val="es-ES_tradnl"/>
              </w:rPr>
              <w:t>73</w:t>
            </w:r>
          </w:p>
        </w:tc>
        <w:tc>
          <w:tcPr>
            <w:tcW w:w="2126" w:type="dxa"/>
            <w:tcBorders>
              <w:bottom w:val="single" w:sz="4" w:space="0" w:color="auto"/>
            </w:tcBorders>
          </w:tcPr>
          <w:p w14:paraId="6C6F6D4B" w14:textId="77777777" w:rsidR="006B6FA8" w:rsidRPr="006B6FA8" w:rsidRDefault="006B6FA8" w:rsidP="006B6FA8">
            <w:pPr>
              <w:jc w:val="left"/>
              <w:rPr>
                <w:rFonts w:cs="Arial"/>
                <w:sz w:val="18"/>
                <w:szCs w:val="18"/>
                <w:highlight w:val="lightGray"/>
                <w:lang w:val="es-ES_tradnl"/>
              </w:rPr>
            </w:pPr>
            <w:r w:rsidRPr="006B6FA8">
              <w:rPr>
                <w:rFonts w:cs="Arial"/>
                <w:sz w:val="18"/>
                <w:szCs w:val="18"/>
                <w:highlight w:val="lightGray"/>
                <w:lang w:val="es-ES_tradnl"/>
              </w:rPr>
              <w:t>Negro</w:t>
            </w:r>
          </w:p>
        </w:tc>
        <w:tc>
          <w:tcPr>
            <w:tcW w:w="2126" w:type="dxa"/>
            <w:tcBorders>
              <w:bottom w:val="single" w:sz="4" w:space="0" w:color="auto"/>
            </w:tcBorders>
          </w:tcPr>
          <w:p w14:paraId="09C0D1F5" w14:textId="77777777" w:rsidR="006B6FA8" w:rsidRPr="006B6FA8" w:rsidRDefault="006B6FA8" w:rsidP="006B6FA8">
            <w:pPr>
              <w:jc w:val="left"/>
              <w:rPr>
                <w:rFonts w:cs="Arial"/>
                <w:sz w:val="18"/>
                <w:szCs w:val="18"/>
                <w:highlight w:val="lightGray"/>
                <w:lang w:val="es-ES_tradnl"/>
              </w:rPr>
            </w:pPr>
            <w:proofErr w:type="spellStart"/>
            <w:r w:rsidRPr="006B6FA8">
              <w:rPr>
                <w:rFonts w:cs="Arial"/>
                <w:sz w:val="18"/>
                <w:szCs w:val="18"/>
                <w:highlight w:val="lightGray"/>
                <w:lang w:val="es-ES_tradnl"/>
              </w:rPr>
              <w:t>black</w:t>
            </w:r>
            <w:proofErr w:type="spellEnd"/>
          </w:p>
        </w:tc>
        <w:tc>
          <w:tcPr>
            <w:tcW w:w="1984" w:type="dxa"/>
            <w:tcBorders>
              <w:bottom w:val="single" w:sz="4" w:space="0" w:color="auto"/>
            </w:tcBorders>
          </w:tcPr>
          <w:p w14:paraId="45435349"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noir</w:t>
            </w:r>
            <w:proofErr w:type="spellEnd"/>
          </w:p>
        </w:tc>
        <w:tc>
          <w:tcPr>
            <w:tcW w:w="2268" w:type="dxa"/>
            <w:tcBorders>
              <w:bottom w:val="single" w:sz="4" w:space="0" w:color="auto"/>
            </w:tcBorders>
          </w:tcPr>
          <w:p w14:paraId="42DEE299" w14:textId="77777777" w:rsidR="006B6FA8" w:rsidRPr="006B6FA8" w:rsidRDefault="006B6FA8" w:rsidP="006B6FA8">
            <w:pPr>
              <w:rPr>
                <w:sz w:val="18"/>
                <w:szCs w:val="18"/>
                <w:highlight w:val="lightGray"/>
                <w:lang w:val="es-ES_tradnl"/>
              </w:rPr>
            </w:pPr>
            <w:proofErr w:type="spellStart"/>
            <w:r w:rsidRPr="006B6FA8">
              <w:rPr>
                <w:sz w:val="18"/>
                <w:szCs w:val="18"/>
                <w:highlight w:val="lightGray"/>
                <w:lang w:val="es-ES_tradnl"/>
              </w:rPr>
              <w:t>schwarz</w:t>
            </w:r>
            <w:proofErr w:type="spellEnd"/>
          </w:p>
        </w:tc>
      </w:tr>
    </w:tbl>
    <w:p w14:paraId="72857DA5" w14:textId="77777777" w:rsidR="006B6FA8" w:rsidRPr="006B6FA8" w:rsidRDefault="006B6FA8" w:rsidP="006B6FA8">
      <w:pPr>
        <w:rPr>
          <w:lang w:val="es-ES_tradnl"/>
        </w:rPr>
      </w:pPr>
    </w:p>
    <w:p w14:paraId="06321A75" w14:textId="77777777" w:rsidR="006B6FA8" w:rsidRPr="006B6FA8" w:rsidRDefault="006B6FA8" w:rsidP="006B6FA8">
      <w:pPr>
        <w:rPr>
          <w:lang w:val="es-ES_tradnl"/>
        </w:rPr>
      </w:pPr>
    </w:p>
    <w:p w14:paraId="4B2DA331" w14:textId="77777777" w:rsidR="006B6FA8" w:rsidRPr="006B6FA8" w:rsidRDefault="006B6FA8" w:rsidP="006B6FA8">
      <w:pPr>
        <w:rPr>
          <w:lang w:val="es-ES_tradnl"/>
        </w:rPr>
      </w:pPr>
      <w:r w:rsidRPr="006B6FA8">
        <w:rPr>
          <w:lang w:val="es-ES_tradnl"/>
        </w:rPr>
        <w:t>3.2</w:t>
      </w:r>
      <w:r w:rsidRPr="006B6FA8">
        <w:rPr>
          <w:lang w:val="es-ES_tradnl"/>
        </w:rPr>
        <w:tab/>
        <w:t xml:space="preserve">En los apéndices del </w:t>
      </w:r>
      <w:r w:rsidRPr="006B6FA8">
        <w:rPr>
          <w:strike/>
          <w:highlight w:val="lightGray"/>
          <w:lang w:val="es-ES_tradnl"/>
        </w:rPr>
        <w:t>presente documento</w:t>
      </w:r>
      <w:r w:rsidRPr="006B6FA8">
        <w:rPr>
          <w:lang w:val="es-ES_tradnl"/>
        </w:rPr>
        <w:t xml:space="preserve"> </w:t>
      </w:r>
      <w:r w:rsidRPr="006B6FA8">
        <w:rPr>
          <w:highlight w:val="lightGray"/>
          <w:u w:val="single"/>
          <w:lang w:val="es-ES_tradnl"/>
        </w:rPr>
        <w:t>Anexo I</w:t>
      </w:r>
      <w:r w:rsidRPr="006B6FA8">
        <w:rPr>
          <w:lang w:val="es-ES_tradnl"/>
        </w:rPr>
        <w:t xml:space="preserve"> se asignan los colores de la </w:t>
      </w:r>
      <w:r w:rsidRPr="006B6FA8">
        <w:rPr>
          <w:highlight w:val="lightGray"/>
          <w:u w:val="single"/>
          <w:lang w:val="es-ES_tradnl"/>
        </w:rPr>
        <w:t>sexta edición (2015) de la</w:t>
      </w:r>
      <w:r w:rsidRPr="006B6FA8">
        <w:rPr>
          <w:lang w:val="es-ES_tradnl"/>
        </w:rPr>
        <w:t xml:space="preserve"> carta de colores RHS a los correspondientes grupos de color UPOV como sigue:</w:t>
      </w:r>
    </w:p>
    <w:p w14:paraId="30DA5A7B" w14:textId="77777777" w:rsidR="006B6FA8" w:rsidRPr="006B6FA8" w:rsidRDefault="006B6FA8" w:rsidP="006B6FA8">
      <w:pPr>
        <w:rPr>
          <w:lang w:val="es-ES_tradnl"/>
        </w:rPr>
      </w:pPr>
    </w:p>
    <w:p w14:paraId="43CDE5B1" w14:textId="77777777" w:rsidR="006B6FA8" w:rsidRPr="006B6FA8" w:rsidRDefault="006B6FA8" w:rsidP="006B6FA8">
      <w:pPr>
        <w:ind w:left="1985" w:hanging="1276"/>
        <w:rPr>
          <w:lang w:val="es-ES_tradnl"/>
        </w:rPr>
      </w:pPr>
      <w:r w:rsidRPr="006B6FA8">
        <w:rPr>
          <w:lang w:val="es-ES_tradnl"/>
        </w:rPr>
        <w:t>Apéndice I:</w:t>
      </w:r>
      <w:r w:rsidRPr="006B6FA8">
        <w:rPr>
          <w:lang w:val="es-ES_tradnl"/>
        </w:rPr>
        <w:tab/>
      </w:r>
      <w:r w:rsidRPr="006B6FA8">
        <w:rPr>
          <w:strike/>
          <w:highlight w:val="lightGray"/>
          <w:lang w:val="es-ES_tradnl"/>
        </w:rPr>
        <w:t>Asignación de grupos de color UPOV a cada color RHS según el orden de los números RHS</w:t>
      </w:r>
      <w:r w:rsidRPr="006B6FA8">
        <w:rPr>
          <w:lang w:val="es-ES_tradnl"/>
        </w:rPr>
        <w:t xml:space="preserve"> </w:t>
      </w:r>
      <w:r w:rsidRPr="006B6FA8">
        <w:rPr>
          <w:highlight w:val="lightGray"/>
          <w:u w:val="single"/>
          <w:lang w:val="es-ES_tradnl"/>
        </w:rPr>
        <w:t>Grupos de color UPOV según el número de referencia de la carta de colores RHS (edición 2015)</w:t>
      </w:r>
    </w:p>
    <w:p w14:paraId="4CF19C4E" w14:textId="77777777" w:rsidR="006B6FA8" w:rsidRPr="006B6FA8" w:rsidRDefault="006B6FA8" w:rsidP="006B6FA8">
      <w:pPr>
        <w:ind w:left="1985" w:hanging="1276"/>
        <w:rPr>
          <w:lang w:val="es-ES_tradnl"/>
        </w:rPr>
      </w:pPr>
    </w:p>
    <w:p w14:paraId="6C06307A" w14:textId="77777777" w:rsidR="006B6FA8" w:rsidRPr="006B6FA8" w:rsidRDefault="006B6FA8" w:rsidP="006B6FA8">
      <w:pPr>
        <w:ind w:left="1985" w:hanging="1276"/>
        <w:rPr>
          <w:lang w:val="es-ES_tradnl"/>
        </w:rPr>
      </w:pPr>
      <w:r w:rsidRPr="006B6FA8">
        <w:rPr>
          <w:lang w:val="es-ES_tradnl"/>
        </w:rPr>
        <w:t>Apéndice II:</w:t>
      </w:r>
      <w:r w:rsidRPr="006B6FA8">
        <w:rPr>
          <w:lang w:val="es-ES_tradnl"/>
        </w:rPr>
        <w:tab/>
        <w:t xml:space="preserve">Colores RHS incluidos en cada grupo de color UPOV </w:t>
      </w:r>
      <w:r w:rsidRPr="006B6FA8">
        <w:rPr>
          <w:highlight w:val="lightGray"/>
          <w:u w:val="single"/>
          <w:lang w:val="es-ES_tradnl"/>
        </w:rPr>
        <w:t>(sexta edición (2015) de la carta de colores RHS)</w:t>
      </w:r>
    </w:p>
    <w:p w14:paraId="447EB7D9" w14:textId="77777777" w:rsidR="006B6FA8" w:rsidRPr="006B6FA8" w:rsidRDefault="006B6FA8" w:rsidP="006B6FA8">
      <w:pPr>
        <w:rPr>
          <w:lang w:val="es-ES_tradnl"/>
        </w:rPr>
      </w:pPr>
    </w:p>
    <w:p w14:paraId="4C5FDFAA" w14:textId="77777777" w:rsidR="006B6FA8" w:rsidRPr="006B6FA8" w:rsidRDefault="006B6FA8" w:rsidP="006B6FA8">
      <w:pPr>
        <w:rPr>
          <w:u w:val="single"/>
          <w:lang w:val="es-ES_tradnl"/>
        </w:rPr>
      </w:pPr>
      <w:r w:rsidRPr="006B6FA8">
        <w:rPr>
          <w:highlight w:val="lightGray"/>
          <w:u w:val="single"/>
          <w:lang w:val="es-ES_tradnl"/>
        </w:rPr>
        <w:t>3.3</w:t>
      </w:r>
      <w:r w:rsidRPr="006B6FA8">
        <w:rPr>
          <w:highlight w:val="lightGray"/>
          <w:u w:val="single"/>
          <w:lang w:val="es-ES_tradnl"/>
        </w:rPr>
        <w:tab/>
        <w:t>El Anexo II contiene los grupos de color UPOV asignados a las ediciones anteriores de la carta de colores RHS (1986, 1995, 2001 y 2007).  En los apéndices del Anexo II se asignan los colores de las ediciones anteriores de la carta de colores RHS a los correspondientes grupos de color UPOV como sigue:</w:t>
      </w:r>
    </w:p>
    <w:p w14:paraId="151462D0" w14:textId="77777777" w:rsidR="006B6FA8" w:rsidRPr="006B6FA8" w:rsidRDefault="006B6FA8" w:rsidP="006B6FA8">
      <w:pPr>
        <w:rPr>
          <w:lang w:val="es-ES_tradnl"/>
        </w:rPr>
      </w:pPr>
    </w:p>
    <w:p w14:paraId="4A1F882C" w14:textId="77777777" w:rsidR="006B6FA8" w:rsidRPr="006B6FA8" w:rsidRDefault="006B6FA8" w:rsidP="006B6FA8">
      <w:pPr>
        <w:ind w:left="1985" w:hanging="1276"/>
        <w:rPr>
          <w:highlight w:val="lightGray"/>
          <w:u w:val="single"/>
          <w:lang w:val="es-ES_tradnl"/>
        </w:rPr>
      </w:pPr>
      <w:r w:rsidRPr="006B6FA8">
        <w:rPr>
          <w:highlight w:val="lightGray"/>
          <w:u w:val="single"/>
          <w:lang w:val="es-ES_tradnl"/>
        </w:rPr>
        <w:t>Apéndice I:</w:t>
      </w:r>
      <w:r w:rsidRPr="006B6FA8">
        <w:rPr>
          <w:highlight w:val="lightGray"/>
          <w:u w:val="single"/>
          <w:lang w:val="es-ES_tradnl"/>
        </w:rPr>
        <w:tab/>
        <w:t>Grupos de color UPOV según el número de referencia de la carta de colores RHS (ediciones 1986, 1995, 2001 y 2007)</w:t>
      </w:r>
    </w:p>
    <w:p w14:paraId="36B7EC2F" w14:textId="77777777" w:rsidR="006B6FA8" w:rsidRPr="006B6FA8" w:rsidRDefault="006B6FA8" w:rsidP="006B6FA8">
      <w:pPr>
        <w:ind w:left="1985" w:hanging="1276"/>
        <w:rPr>
          <w:highlight w:val="lightGray"/>
          <w:u w:val="single"/>
          <w:lang w:val="es-ES_tradnl"/>
        </w:rPr>
      </w:pPr>
    </w:p>
    <w:p w14:paraId="48EC85A4" w14:textId="77777777" w:rsidR="006B6FA8" w:rsidRPr="006B6FA8" w:rsidRDefault="006B6FA8" w:rsidP="006B6FA8">
      <w:pPr>
        <w:ind w:left="1985" w:hanging="1276"/>
        <w:rPr>
          <w:u w:val="single"/>
          <w:lang w:val="es-ES_tradnl"/>
        </w:rPr>
      </w:pPr>
      <w:r w:rsidRPr="006B6FA8">
        <w:rPr>
          <w:highlight w:val="lightGray"/>
          <w:u w:val="single"/>
          <w:lang w:val="es-ES_tradnl"/>
        </w:rPr>
        <w:t>Apéndice II:</w:t>
      </w:r>
      <w:r w:rsidRPr="006B6FA8">
        <w:rPr>
          <w:highlight w:val="lightGray"/>
          <w:u w:val="single"/>
          <w:lang w:val="es-ES_tradnl"/>
        </w:rPr>
        <w:tab/>
        <w:t>Colores RHS incluidos en cada grupo de color UPOV (ediciones 1986, 1995, 2001 y 2007 de la carta de colores RHS)</w:t>
      </w:r>
    </w:p>
    <w:p w14:paraId="08DF265E" w14:textId="772DBEF8" w:rsidR="006B6FA8" w:rsidRDefault="006B6FA8" w:rsidP="006B6FA8">
      <w:pPr>
        <w:jc w:val="right"/>
        <w:rPr>
          <w:lang w:val="es-ES_tradnl"/>
        </w:rPr>
      </w:pPr>
    </w:p>
    <w:p w14:paraId="3104268E" w14:textId="77777777" w:rsidR="006B6FA8" w:rsidRPr="006B6FA8" w:rsidRDefault="006B6FA8" w:rsidP="006B6FA8">
      <w:pPr>
        <w:jc w:val="right"/>
        <w:rPr>
          <w:lang w:val="es-ES_tradnl"/>
        </w:rPr>
      </w:pPr>
    </w:p>
    <w:p w14:paraId="7E3DA3B1" w14:textId="146EBA8C" w:rsidR="006B6FA8" w:rsidRPr="006B6FA8" w:rsidRDefault="006B6FA8" w:rsidP="006B6FA8">
      <w:pPr>
        <w:jc w:val="right"/>
        <w:rPr>
          <w:lang w:val="es-ES_tradnl"/>
        </w:rPr>
      </w:pPr>
      <w:r w:rsidRPr="006B6FA8">
        <w:rPr>
          <w:lang w:val="es-ES_tradnl"/>
        </w:rPr>
        <w:t>[Sigue el Anexo</w:t>
      </w:r>
      <w:r w:rsidR="00E024C1">
        <w:rPr>
          <w:lang w:val="es-ES_tradnl"/>
        </w:rPr>
        <w:t xml:space="preserve"> </w:t>
      </w:r>
      <w:r w:rsidRPr="006B6FA8">
        <w:rPr>
          <w:lang w:val="es-ES_tradnl"/>
        </w:rPr>
        <w:t>V]</w:t>
      </w:r>
    </w:p>
    <w:p w14:paraId="1DBDA707" w14:textId="77777777" w:rsidR="006B6FA8" w:rsidRPr="006B6FA8" w:rsidRDefault="006B6FA8" w:rsidP="006B6FA8">
      <w:pPr>
        <w:rPr>
          <w:lang w:val="es-ES_tradnl"/>
        </w:rPr>
        <w:sectPr w:rsidR="006B6FA8" w:rsidRPr="006B6FA8" w:rsidSect="00D60821">
          <w:headerReference w:type="default" r:id="rId31"/>
          <w:headerReference w:type="first" r:id="rId32"/>
          <w:endnotePr>
            <w:numFmt w:val="lowerLetter"/>
          </w:endnotePr>
          <w:pgSz w:w="11906" w:h="16838" w:code="9"/>
          <w:pgMar w:top="510" w:right="1134" w:bottom="1134" w:left="1134" w:header="510" w:footer="624" w:gutter="0"/>
          <w:pgNumType w:start="1"/>
          <w:cols w:space="720"/>
          <w:titlePg/>
        </w:sectPr>
      </w:pPr>
    </w:p>
    <w:p w14:paraId="72745CD4" w14:textId="77777777" w:rsidR="006B6FA8" w:rsidRPr="006B6FA8" w:rsidRDefault="006B6FA8" w:rsidP="006B6FA8">
      <w:pPr>
        <w:jc w:val="center"/>
        <w:rPr>
          <w:rFonts w:cs="Arial"/>
          <w:caps/>
          <w:lang w:val="es-ES_tradnl" w:eastAsia="ja-JP"/>
        </w:rPr>
      </w:pPr>
      <w:r w:rsidRPr="006B6FA8">
        <w:rPr>
          <w:rFonts w:cs="Arial"/>
          <w:caps/>
          <w:lang w:val="es-ES_tradnl" w:eastAsia="ja-JP"/>
        </w:rPr>
        <w:lastRenderedPageBreak/>
        <w:t xml:space="preserve">REVISIÓN DEL DocumentO </w:t>
      </w:r>
      <w:proofErr w:type="spellStart"/>
      <w:r w:rsidRPr="006B6FA8">
        <w:rPr>
          <w:rFonts w:cs="Arial"/>
          <w:caps/>
          <w:lang w:val="es-ES_tradnl" w:eastAsia="ja-JP"/>
        </w:rPr>
        <w:t>TGP</w:t>
      </w:r>
      <w:proofErr w:type="spellEnd"/>
      <w:r w:rsidRPr="006B6FA8">
        <w:rPr>
          <w:rFonts w:cs="Arial"/>
          <w:caps/>
          <w:lang w:val="es-ES_tradnl" w:eastAsia="ja-JP"/>
        </w:rPr>
        <w:t xml:space="preserve">/15 </w:t>
      </w:r>
      <w:r w:rsidRPr="006B6FA8">
        <w:rPr>
          <w:rFonts w:cs="Arial"/>
          <w:caps/>
          <w:lang w:val="es-ES_tradnl" w:eastAsia="ja-JP"/>
        </w:rPr>
        <w:br/>
        <w:t>“Orientación sobre el uso de marcadores bioquímicos y moleculares en el examen de la distinción, la homogeneidad y la estabilidad (DHE)”</w:t>
      </w:r>
    </w:p>
    <w:p w14:paraId="751A242D" w14:textId="77777777" w:rsidR="006B6FA8" w:rsidRPr="006B6FA8" w:rsidRDefault="006B6FA8" w:rsidP="006B6FA8">
      <w:pPr>
        <w:rPr>
          <w:sz w:val="18"/>
          <w:lang w:val="es-ES_tradnl"/>
        </w:rPr>
      </w:pPr>
    </w:p>
    <w:p w14:paraId="06EAD999" w14:textId="77777777" w:rsidR="006B6FA8" w:rsidRPr="006B6FA8" w:rsidRDefault="006B6FA8" w:rsidP="006B6FA8">
      <w:pPr>
        <w:rPr>
          <w:sz w:val="18"/>
          <w:lang w:val="es-ES_tradnl"/>
        </w:rPr>
      </w:pPr>
    </w:p>
    <w:p w14:paraId="7AAA70CF" w14:textId="77777777" w:rsidR="006B6FA8" w:rsidRPr="006B6FA8" w:rsidRDefault="006B6FA8" w:rsidP="006B6FA8">
      <w:pPr>
        <w:rPr>
          <w:lang w:val="es-ES_tradnl"/>
        </w:rPr>
      </w:pPr>
      <w:r w:rsidRPr="006B6FA8">
        <w:rPr>
          <w:lang w:val="es-ES_tradnl"/>
        </w:rPr>
        <w:t xml:space="preserve">En su quincuagésima quinta sesión, el TC convino en que se ha de añadir un nuevo ejemplo “Marcador ligado a un carácter con información incompleta sobre el nivel de expresión” en el documento TGP/15, modificado por el TC-EDC, y tomó nota de que el nuevo ejemplo pasaría a ser un segundo ejemplo del modelo “Marcadores moleculares ligados a caracteres” del documento TGP/15. </w:t>
      </w:r>
    </w:p>
    <w:p w14:paraId="77B6B82C" w14:textId="77777777" w:rsidR="006B6FA8" w:rsidRPr="006B6FA8" w:rsidRDefault="006B6FA8" w:rsidP="006B6FA8">
      <w:pPr>
        <w:rPr>
          <w:lang w:val="es-ES_tradnl"/>
        </w:rPr>
      </w:pPr>
    </w:p>
    <w:p w14:paraId="37C45D4E" w14:textId="77777777" w:rsidR="006B6FA8" w:rsidRPr="006B6FA8" w:rsidRDefault="006B6FA8" w:rsidP="006B6FA8">
      <w:pPr>
        <w:rPr>
          <w:lang w:val="es-ES_tradnl"/>
        </w:rPr>
      </w:pPr>
      <w:r w:rsidRPr="006B6FA8">
        <w:rPr>
          <w:lang w:val="es-ES_tradnl"/>
        </w:rPr>
        <w:t>165.</w:t>
      </w:r>
      <w:r w:rsidRPr="006B6FA8">
        <w:rPr>
          <w:lang w:val="es-ES_tradnl"/>
        </w:rPr>
        <w:tab/>
        <w:t>El TC convino en que el modelo “Selección genética de variedades similares para el primer ciclo de cultivo” se ha de presentar en el documento TGP/15 como un segundo ejemplo del modelo “Combinación de distancias fenotípicas y moleculares en la gestión de las colecciones de variedades”.  El TC convino en que en el documento se ha de revisar la terminología sobre los diferentes “modelos” (véanse los párrafos 163 a 165 del documento TC/55/25 “Informe”).</w:t>
      </w:r>
    </w:p>
    <w:p w14:paraId="033C53C7" w14:textId="77777777" w:rsidR="006B6FA8" w:rsidRPr="006B6FA8" w:rsidRDefault="006B6FA8" w:rsidP="006B6FA8">
      <w:pPr>
        <w:rPr>
          <w:lang w:val="es-ES_tradnl"/>
        </w:rPr>
      </w:pPr>
    </w:p>
    <w:p w14:paraId="3C66B5FC" w14:textId="77777777" w:rsidR="006B6FA8" w:rsidRPr="006B6FA8" w:rsidRDefault="006B6FA8" w:rsidP="006B6FA8">
      <w:pPr>
        <w:rPr>
          <w:lang w:val="es-ES_tradnl"/>
        </w:rPr>
      </w:pPr>
      <w:r w:rsidRPr="006B6FA8">
        <w:rPr>
          <w:rFonts w:cs="Arial"/>
          <w:lang w:val="es-ES_tradnl"/>
        </w:rPr>
        <w:t xml:space="preserve">Con arreglo a lo anterior, el </w:t>
      </w:r>
      <w:r w:rsidRPr="006B6FA8">
        <w:rPr>
          <w:lang w:val="es-ES_tradnl"/>
        </w:rPr>
        <w:t xml:space="preserve">TC convino en que la revisión siguiente del documento TGP/15 “Orientación sobre el uso de marcadores bioquímicos y moleculares en el examen de la distinción, la homogeneidad y la estabilidad (DHE)” se someta a la aprobación del Consejo en su quincuagésima cuarta sesión ordinaria, que se celebrará en Ginebra el 30 de octubre de 2020, a reserva de la aprobación del CAJ en su septuagésima séptima sesión, que se celebrará en Ginebra el 28 de octubre de 2020 (se indican las eliminaciones mediante </w:t>
      </w:r>
      <w:r w:rsidRPr="006B6FA8">
        <w:rPr>
          <w:strike/>
          <w:highlight w:val="lightGray"/>
          <w:lang w:val="es-ES_tradnl"/>
        </w:rPr>
        <w:t>sombreado y tachado</w:t>
      </w:r>
      <w:r w:rsidRPr="006B6FA8">
        <w:rPr>
          <w:lang w:val="es-ES_tradnl"/>
        </w:rPr>
        <w:t xml:space="preserve"> y los añadidos mediante </w:t>
      </w:r>
      <w:r w:rsidRPr="006B6FA8">
        <w:rPr>
          <w:highlight w:val="lightGray"/>
          <w:u w:val="single"/>
          <w:lang w:val="es-ES_tradnl"/>
        </w:rPr>
        <w:t>sombreado y subrayado</w:t>
      </w:r>
      <w:r w:rsidRPr="006B6FA8">
        <w:rPr>
          <w:lang w:val="es-ES_tradnl"/>
        </w:rPr>
        <w:t>):</w:t>
      </w:r>
    </w:p>
    <w:p w14:paraId="4B606355" w14:textId="77777777" w:rsidR="006B6FA8" w:rsidRPr="006B6FA8" w:rsidRDefault="006B6FA8" w:rsidP="006B6FA8">
      <w:pPr>
        <w:rPr>
          <w:sz w:val="18"/>
          <w:lang w:val="es-ES_tradnl"/>
        </w:rPr>
      </w:pPr>
    </w:p>
    <w:p w14:paraId="4BCF9C1B" w14:textId="77777777" w:rsidR="006B6FA8" w:rsidRPr="006B6FA8" w:rsidRDefault="006B6FA8" w:rsidP="006B6FA8">
      <w:pPr>
        <w:rPr>
          <w:sz w:val="18"/>
          <w:lang w:val="es-ES_tradnl"/>
        </w:rPr>
      </w:pPr>
    </w:p>
    <w:p w14:paraId="76A484AF" w14:textId="77777777" w:rsidR="006B6FA8" w:rsidRPr="006B6FA8" w:rsidRDefault="006B6FA8" w:rsidP="006B6FA8">
      <w:pPr>
        <w:rPr>
          <w:u w:val="single"/>
          <w:lang w:val="es-ES_tradnl"/>
        </w:rPr>
      </w:pPr>
      <w:r w:rsidRPr="006B6FA8">
        <w:rPr>
          <w:u w:val="single"/>
          <w:lang w:val="es-ES_tradnl"/>
        </w:rPr>
        <w:t>Extracto:  ÍNDICE</w:t>
      </w:r>
    </w:p>
    <w:p w14:paraId="2083155A" w14:textId="77777777" w:rsidR="006B6FA8" w:rsidRPr="006B6FA8" w:rsidRDefault="006B6FA8" w:rsidP="006B6FA8">
      <w:pPr>
        <w:rPr>
          <w:lang w:val="es-ES_tradnl"/>
        </w:rPr>
      </w:pPr>
    </w:p>
    <w:p w14:paraId="5FD6E733" w14:textId="77777777" w:rsidR="006B6FA8" w:rsidRPr="006B6FA8" w:rsidRDefault="006B6FA8" w:rsidP="006B6FA8">
      <w:pPr>
        <w:tabs>
          <w:tab w:val="left" w:pos="567"/>
          <w:tab w:val="right" w:leader="dot" w:pos="9639"/>
        </w:tabs>
        <w:spacing w:after="120"/>
        <w:ind w:right="397"/>
        <w:rPr>
          <w:lang w:val="es-ES_tradnl"/>
        </w:rPr>
      </w:pPr>
      <w:r w:rsidRPr="006B6FA8">
        <w:rPr>
          <w:lang w:val="es-ES_tradnl"/>
        </w:rPr>
        <w:t>1.</w:t>
      </w:r>
      <w:r w:rsidRPr="006B6FA8">
        <w:rPr>
          <w:lang w:val="es-ES_tradnl"/>
        </w:rPr>
        <w:tab/>
        <w:t>INTRODUCCIÓN</w:t>
      </w:r>
      <w:r w:rsidRPr="006B6FA8">
        <w:rPr>
          <w:lang w:val="es-ES_tradnl"/>
        </w:rPr>
        <w:tab/>
        <w:t>3</w:t>
      </w:r>
    </w:p>
    <w:p w14:paraId="527070A2" w14:textId="77777777" w:rsidR="006B6FA8" w:rsidRPr="006B6FA8" w:rsidRDefault="006B6FA8" w:rsidP="006B6FA8">
      <w:pPr>
        <w:tabs>
          <w:tab w:val="left" w:pos="567"/>
          <w:tab w:val="right" w:leader="dot" w:pos="9639"/>
        </w:tabs>
        <w:spacing w:after="120"/>
        <w:ind w:right="397"/>
        <w:rPr>
          <w:lang w:val="es-ES_tradnl"/>
        </w:rPr>
      </w:pPr>
      <w:r w:rsidRPr="006B6FA8">
        <w:rPr>
          <w:lang w:val="es-ES_tradnl"/>
        </w:rPr>
        <w:t>2.</w:t>
      </w:r>
      <w:r w:rsidRPr="006B6FA8">
        <w:rPr>
          <w:lang w:val="es-ES_tradnl"/>
        </w:rPr>
        <w:tab/>
        <w:t>MODELOS DE APLICACIÓN</w:t>
      </w:r>
      <w:r w:rsidRPr="006B6FA8">
        <w:rPr>
          <w:lang w:val="es-ES_tradnl"/>
        </w:rPr>
        <w:tab/>
        <w:t>3</w:t>
      </w:r>
    </w:p>
    <w:p w14:paraId="3E9DE047" w14:textId="77777777" w:rsidR="006B6FA8" w:rsidRPr="006B6FA8" w:rsidRDefault="006B6FA8" w:rsidP="006B6FA8">
      <w:pPr>
        <w:tabs>
          <w:tab w:val="left" w:pos="1134"/>
          <w:tab w:val="right" w:leader="dot" w:pos="9639"/>
        </w:tabs>
        <w:spacing w:after="120"/>
        <w:ind w:left="1134" w:right="397" w:hanging="567"/>
        <w:rPr>
          <w:lang w:val="es-ES_tradnl"/>
        </w:rPr>
      </w:pPr>
      <w:r w:rsidRPr="006B6FA8">
        <w:rPr>
          <w:lang w:val="es-ES_tradnl"/>
        </w:rPr>
        <w:t>2.1</w:t>
      </w:r>
      <w:r w:rsidRPr="006B6FA8">
        <w:rPr>
          <w:lang w:val="es-ES_tradnl"/>
        </w:rPr>
        <w:tab/>
        <w:t>Marcadores moleculares ligados a caracteres (véase el Anexo I)</w:t>
      </w:r>
      <w:r w:rsidRPr="006B6FA8">
        <w:rPr>
          <w:lang w:val="es-ES_tradnl"/>
        </w:rPr>
        <w:tab/>
        <w:t>3</w:t>
      </w:r>
    </w:p>
    <w:p w14:paraId="49B1CD13" w14:textId="77777777" w:rsidR="006B6FA8" w:rsidRPr="006B6FA8" w:rsidRDefault="006B6FA8" w:rsidP="006B6FA8">
      <w:pPr>
        <w:tabs>
          <w:tab w:val="left" w:pos="1134"/>
          <w:tab w:val="right" w:leader="dot" w:pos="9639"/>
        </w:tabs>
        <w:spacing w:after="120"/>
        <w:ind w:left="1134" w:right="397" w:hanging="567"/>
        <w:rPr>
          <w:lang w:val="es-ES_tradnl"/>
        </w:rPr>
      </w:pPr>
      <w:r w:rsidRPr="006B6FA8">
        <w:rPr>
          <w:lang w:val="es-ES_tradnl"/>
        </w:rPr>
        <w:t>2.2</w:t>
      </w:r>
      <w:r w:rsidRPr="006B6FA8">
        <w:rPr>
          <w:lang w:val="es-ES_tradnl"/>
        </w:rPr>
        <w:tab/>
        <w:t>Combinación de distancias fenotípicas y moleculares en la gestión de las colecciones de variedades (véase el Anexo II)</w:t>
      </w:r>
      <w:r w:rsidRPr="006B6FA8">
        <w:rPr>
          <w:lang w:val="es-ES_tradnl"/>
        </w:rPr>
        <w:tab/>
        <w:t>4</w:t>
      </w:r>
    </w:p>
    <w:p w14:paraId="45151E1B" w14:textId="77777777" w:rsidR="006B6FA8" w:rsidRPr="006B6FA8" w:rsidRDefault="006B6FA8" w:rsidP="006B6FA8">
      <w:pPr>
        <w:tabs>
          <w:tab w:val="left" w:pos="567"/>
          <w:tab w:val="right" w:leader="dot" w:pos="9639"/>
        </w:tabs>
        <w:spacing w:after="120"/>
        <w:ind w:left="1418" w:right="397"/>
        <w:rPr>
          <w:i/>
          <w:sz w:val="18"/>
          <w:lang w:val="es-ES_tradnl"/>
        </w:rPr>
      </w:pPr>
      <w:r w:rsidRPr="006B6FA8">
        <w:rPr>
          <w:i/>
          <w:sz w:val="18"/>
          <w:highlight w:val="lightGray"/>
          <w:u w:val="single"/>
          <w:lang w:val="es-ES_tradnl"/>
        </w:rPr>
        <w:t>Ejemplo 1:  Líneas parentales en el maíz (véase el Anexo II, ejemplo 1)</w:t>
      </w:r>
      <w:r w:rsidRPr="006B6FA8">
        <w:rPr>
          <w:i/>
          <w:sz w:val="18"/>
          <w:lang w:val="es-ES_tradnl"/>
        </w:rPr>
        <w:tab/>
        <w:t>4</w:t>
      </w:r>
    </w:p>
    <w:p w14:paraId="5630C13B" w14:textId="77777777" w:rsidR="006B6FA8" w:rsidRPr="006B6FA8" w:rsidRDefault="006B6FA8" w:rsidP="006B6FA8">
      <w:pPr>
        <w:tabs>
          <w:tab w:val="left" w:pos="567"/>
          <w:tab w:val="right" w:leader="dot" w:pos="9639"/>
        </w:tabs>
        <w:spacing w:after="120"/>
        <w:ind w:left="1418" w:right="397"/>
        <w:rPr>
          <w:i/>
          <w:sz w:val="18"/>
          <w:lang w:val="es-ES_tradnl"/>
        </w:rPr>
      </w:pPr>
      <w:r w:rsidRPr="006B6FA8">
        <w:rPr>
          <w:i/>
          <w:strike/>
          <w:sz w:val="18"/>
          <w:highlight w:val="lightGray"/>
          <w:lang w:val="es-ES_tradnl"/>
        </w:rPr>
        <w:t>2.3</w:t>
      </w:r>
      <w:r w:rsidRPr="006B6FA8">
        <w:rPr>
          <w:i/>
          <w:sz w:val="18"/>
          <w:highlight w:val="lightGray"/>
          <w:lang w:val="es-ES_tradnl"/>
        </w:rPr>
        <w:t xml:space="preserve">  </w:t>
      </w:r>
      <w:r w:rsidRPr="006B6FA8">
        <w:rPr>
          <w:i/>
          <w:sz w:val="18"/>
          <w:highlight w:val="lightGray"/>
          <w:u w:val="single"/>
          <w:lang w:val="es-ES_tradnl"/>
        </w:rPr>
        <w:t>Ejemplo 2:</w:t>
      </w:r>
      <w:r w:rsidRPr="006B6FA8">
        <w:rPr>
          <w:i/>
          <w:sz w:val="18"/>
          <w:highlight w:val="lightGray"/>
          <w:lang w:val="es-ES_tradnl"/>
        </w:rPr>
        <w:t xml:space="preserve"> </w:t>
      </w:r>
      <w:r w:rsidRPr="006B6FA8">
        <w:rPr>
          <w:i/>
          <w:sz w:val="18"/>
          <w:lang w:val="es-ES_tradnl"/>
        </w:rPr>
        <w:t xml:space="preserve">Selección genética de variedades similares para el primer ciclo de cultivo (véase el </w:t>
      </w:r>
      <w:r w:rsidRPr="006B6FA8">
        <w:rPr>
          <w:i/>
          <w:strike/>
          <w:sz w:val="18"/>
          <w:highlight w:val="lightGray"/>
          <w:lang w:val="es-ES_tradnl"/>
        </w:rPr>
        <w:t>Anexo III</w:t>
      </w:r>
      <w:r w:rsidRPr="006B6FA8">
        <w:rPr>
          <w:i/>
          <w:sz w:val="18"/>
          <w:highlight w:val="lightGray"/>
          <w:u w:val="single"/>
          <w:lang w:val="es-ES_tradnl"/>
        </w:rPr>
        <w:t xml:space="preserve"> Anexo II, ejemplo 2)</w:t>
      </w:r>
      <w:r w:rsidRPr="006B6FA8">
        <w:rPr>
          <w:i/>
          <w:sz w:val="18"/>
          <w:lang w:val="es-ES_tradnl"/>
        </w:rPr>
        <w:tab/>
        <w:t>4</w:t>
      </w:r>
    </w:p>
    <w:p w14:paraId="2771E2F4" w14:textId="77777777" w:rsidR="006B6FA8" w:rsidRPr="006B6FA8" w:rsidRDefault="006B6FA8" w:rsidP="006B6FA8">
      <w:pPr>
        <w:tabs>
          <w:tab w:val="left" w:pos="1980"/>
        </w:tabs>
        <w:rPr>
          <w:rFonts w:cs="Arial"/>
          <w:snapToGrid w:val="0"/>
          <w:lang w:val="es-ES_tradnl"/>
        </w:rPr>
      </w:pPr>
    </w:p>
    <w:p w14:paraId="571C8168" w14:textId="77777777" w:rsidR="006B6FA8" w:rsidRPr="006B6FA8" w:rsidRDefault="006B6FA8" w:rsidP="006B6FA8">
      <w:pPr>
        <w:tabs>
          <w:tab w:val="left" w:pos="1134"/>
          <w:tab w:val="left" w:pos="2268"/>
        </w:tabs>
        <w:spacing w:after="120"/>
        <w:ind w:left="2268" w:hanging="2268"/>
        <w:rPr>
          <w:rFonts w:cs="Arial"/>
          <w:snapToGrid w:val="0"/>
          <w:lang w:val="pt-PT"/>
        </w:rPr>
      </w:pPr>
      <w:r w:rsidRPr="006B6FA8">
        <w:rPr>
          <w:rFonts w:cs="Arial"/>
          <w:snapToGrid w:val="0"/>
          <w:lang w:val="pt-PT"/>
        </w:rPr>
        <w:t>ANEXO I</w:t>
      </w:r>
      <w:r w:rsidRPr="006B6FA8">
        <w:rPr>
          <w:rFonts w:cs="Arial"/>
          <w:snapToGrid w:val="0"/>
          <w:lang w:val="pt-PT"/>
        </w:rPr>
        <w:tab/>
        <w:t>MODELO:</w:t>
      </w:r>
      <w:r w:rsidRPr="006B6FA8">
        <w:rPr>
          <w:rFonts w:cs="Arial"/>
          <w:snapToGrid w:val="0"/>
          <w:lang w:val="pt-PT"/>
        </w:rPr>
        <w:tab/>
        <w:t>MARCADORES MOLECULARES LIGADOS A CARACTERES</w:t>
      </w:r>
    </w:p>
    <w:p w14:paraId="7B9D59A8" w14:textId="77777777" w:rsidR="006B6FA8" w:rsidRPr="006B6FA8" w:rsidRDefault="006B6FA8" w:rsidP="006B6FA8">
      <w:pPr>
        <w:spacing w:after="120"/>
        <w:ind w:left="2410" w:hanging="1276"/>
        <w:jc w:val="left"/>
        <w:rPr>
          <w:rFonts w:cs="Arial"/>
          <w:snapToGrid w:val="0"/>
          <w:sz w:val="18"/>
          <w:szCs w:val="18"/>
          <w:lang w:val="es-ES_tradnl"/>
        </w:rPr>
      </w:pPr>
      <w:r w:rsidRPr="006B6FA8">
        <w:rPr>
          <w:rFonts w:cs="Arial"/>
          <w:snapToGrid w:val="0"/>
          <w:sz w:val="18"/>
          <w:szCs w:val="18"/>
          <w:lang w:val="es-ES_tradnl"/>
        </w:rPr>
        <w:t xml:space="preserve">EJEMPLO </w:t>
      </w:r>
      <w:r w:rsidRPr="006B6FA8">
        <w:rPr>
          <w:rFonts w:cs="Arial"/>
          <w:snapToGrid w:val="0"/>
          <w:sz w:val="18"/>
          <w:szCs w:val="18"/>
          <w:highlight w:val="lightGray"/>
          <w:u w:val="single"/>
          <w:lang w:val="es-ES_tradnl"/>
        </w:rPr>
        <w:t>1</w:t>
      </w:r>
      <w:r w:rsidRPr="006B6FA8">
        <w:rPr>
          <w:rFonts w:cs="Arial"/>
          <w:snapToGrid w:val="0"/>
          <w:sz w:val="18"/>
          <w:szCs w:val="18"/>
          <w:lang w:val="es-ES_tradnl"/>
        </w:rPr>
        <w:t>:</w:t>
      </w:r>
      <w:r w:rsidRPr="006B6FA8">
        <w:rPr>
          <w:rFonts w:cs="Arial"/>
          <w:snapToGrid w:val="0"/>
          <w:sz w:val="18"/>
          <w:szCs w:val="18"/>
          <w:lang w:val="es-ES_tradnl"/>
        </w:rPr>
        <w:tab/>
        <w:t>MARCADOR GENÉTICO ESPECÍFICO PARA LA TOLERANCIA A LOS HERBICIDAS</w:t>
      </w:r>
    </w:p>
    <w:p w14:paraId="5E856AEE" w14:textId="77777777" w:rsidR="006B6FA8" w:rsidRPr="006B6FA8" w:rsidRDefault="006B6FA8" w:rsidP="006B6FA8">
      <w:pPr>
        <w:spacing w:after="120"/>
        <w:ind w:left="2410" w:hanging="1276"/>
        <w:jc w:val="left"/>
        <w:rPr>
          <w:rFonts w:cs="Arial"/>
          <w:snapToGrid w:val="0"/>
          <w:sz w:val="18"/>
          <w:szCs w:val="18"/>
          <w:u w:val="single"/>
          <w:lang w:val="es-ES_tradnl"/>
        </w:rPr>
      </w:pPr>
      <w:r w:rsidRPr="006B6FA8">
        <w:rPr>
          <w:rFonts w:cs="Arial"/>
          <w:snapToGrid w:val="0"/>
          <w:sz w:val="18"/>
          <w:szCs w:val="18"/>
          <w:highlight w:val="lightGray"/>
          <w:u w:val="single"/>
          <w:lang w:val="es-ES_tradnl"/>
        </w:rPr>
        <w:t>EJEMPLO 2:</w:t>
      </w:r>
      <w:r w:rsidRPr="006B6FA8">
        <w:rPr>
          <w:rFonts w:cs="Arial"/>
          <w:snapToGrid w:val="0"/>
          <w:sz w:val="18"/>
          <w:szCs w:val="18"/>
          <w:highlight w:val="lightGray"/>
          <w:u w:val="single"/>
          <w:lang w:val="es-ES_tradnl"/>
        </w:rPr>
        <w:tab/>
        <w:t>MARCADOR GENÉTICO ESPECÍFICO CON INFORMACIÓN INCOMPLETA SOBRE EL NIVEL DE EXPRESIÓN DE LA RESISTENCIA A ENFERMEDADES EN EL TOMATE</w:t>
      </w:r>
    </w:p>
    <w:p w14:paraId="3F6411B0" w14:textId="77777777" w:rsidR="006B6FA8" w:rsidRPr="006B6FA8" w:rsidRDefault="006B6FA8" w:rsidP="006B6FA8">
      <w:pPr>
        <w:tabs>
          <w:tab w:val="left" w:pos="1980"/>
        </w:tabs>
        <w:jc w:val="left"/>
        <w:rPr>
          <w:rFonts w:cs="Arial"/>
          <w:snapToGrid w:val="0"/>
          <w:lang w:val="es-ES_tradnl"/>
        </w:rPr>
      </w:pPr>
    </w:p>
    <w:p w14:paraId="7D0775FC" w14:textId="77777777" w:rsidR="006B6FA8" w:rsidRPr="006B6FA8" w:rsidRDefault="006B6FA8" w:rsidP="006B6FA8">
      <w:pPr>
        <w:tabs>
          <w:tab w:val="left" w:pos="1134"/>
          <w:tab w:val="left" w:pos="2268"/>
        </w:tabs>
        <w:spacing w:after="120"/>
        <w:ind w:left="2268" w:hanging="2268"/>
        <w:rPr>
          <w:rFonts w:cs="Arial"/>
          <w:snapToGrid w:val="0"/>
          <w:lang w:val="es-ES_tradnl"/>
        </w:rPr>
      </w:pPr>
      <w:r w:rsidRPr="006B6FA8">
        <w:rPr>
          <w:rFonts w:cs="Arial"/>
          <w:snapToGrid w:val="0"/>
          <w:lang w:val="es-ES_tradnl"/>
        </w:rPr>
        <w:t>ANEXO II</w:t>
      </w:r>
      <w:r w:rsidRPr="006B6FA8">
        <w:rPr>
          <w:rFonts w:cs="Arial"/>
          <w:snapToGrid w:val="0"/>
          <w:lang w:val="es-ES_tradnl"/>
        </w:rPr>
        <w:tab/>
        <w:t>MODELO:</w:t>
      </w:r>
      <w:r w:rsidRPr="006B6FA8">
        <w:rPr>
          <w:rFonts w:cs="Arial"/>
          <w:snapToGrid w:val="0"/>
          <w:lang w:val="es-ES_tradnl"/>
        </w:rPr>
        <w:tab/>
        <w:t>COMBINACIÓN DE DISTANCIAS FENOTÍPICAS Y MOLECULARES EN LA GESTIÓN DE COLECCIONES DE VARIEDADES</w:t>
      </w:r>
    </w:p>
    <w:p w14:paraId="224637B7" w14:textId="77777777" w:rsidR="006B6FA8" w:rsidRPr="006B6FA8" w:rsidRDefault="006B6FA8" w:rsidP="006B6FA8">
      <w:pPr>
        <w:spacing w:after="120"/>
        <w:ind w:left="2410" w:hanging="1276"/>
        <w:jc w:val="left"/>
        <w:rPr>
          <w:rFonts w:cs="Arial"/>
          <w:snapToGrid w:val="0"/>
          <w:sz w:val="18"/>
          <w:szCs w:val="18"/>
          <w:lang w:val="es-ES_tradnl"/>
        </w:rPr>
      </w:pPr>
      <w:r w:rsidRPr="006B6FA8">
        <w:rPr>
          <w:rFonts w:cs="Arial"/>
          <w:snapToGrid w:val="0"/>
          <w:sz w:val="18"/>
          <w:szCs w:val="18"/>
          <w:lang w:val="es-ES_tradnl"/>
        </w:rPr>
        <w:t xml:space="preserve">EJEMPLO </w:t>
      </w:r>
      <w:r w:rsidRPr="006B6FA8">
        <w:rPr>
          <w:rFonts w:cs="Arial"/>
          <w:snapToGrid w:val="0"/>
          <w:sz w:val="18"/>
          <w:szCs w:val="18"/>
          <w:highlight w:val="lightGray"/>
          <w:u w:val="single"/>
          <w:lang w:val="es-ES_tradnl"/>
        </w:rPr>
        <w:t>1</w:t>
      </w:r>
      <w:r w:rsidRPr="006B6FA8">
        <w:rPr>
          <w:rFonts w:cs="Arial"/>
          <w:snapToGrid w:val="0"/>
          <w:sz w:val="18"/>
          <w:szCs w:val="18"/>
          <w:lang w:val="es-ES_tradnl"/>
        </w:rPr>
        <w:t>:</w:t>
      </w:r>
      <w:r w:rsidRPr="006B6FA8">
        <w:rPr>
          <w:rFonts w:cs="Arial"/>
          <w:snapToGrid w:val="0"/>
          <w:sz w:val="18"/>
          <w:szCs w:val="18"/>
          <w:lang w:val="es-ES_tradnl"/>
        </w:rPr>
        <w:tab/>
        <w:t>LÍNEAS PARENTALES EN EL MAÍZ</w:t>
      </w:r>
    </w:p>
    <w:p w14:paraId="7AD421FF" w14:textId="77777777" w:rsidR="006B6FA8" w:rsidRPr="006B6FA8" w:rsidRDefault="006B6FA8" w:rsidP="006B6FA8">
      <w:pPr>
        <w:spacing w:after="120"/>
        <w:ind w:left="2410" w:hanging="1276"/>
        <w:jc w:val="left"/>
        <w:rPr>
          <w:rFonts w:cs="Arial"/>
          <w:snapToGrid w:val="0"/>
          <w:sz w:val="18"/>
          <w:szCs w:val="18"/>
          <w:u w:val="single"/>
          <w:lang w:val="es-ES_tradnl"/>
        </w:rPr>
      </w:pPr>
      <w:r w:rsidRPr="006B6FA8">
        <w:rPr>
          <w:rFonts w:cs="Arial"/>
          <w:snapToGrid w:val="0"/>
          <w:sz w:val="18"/>
          <w:szCs w:val="18"/>
          <w:highlight w:val="lightGray"/>
          <w:u w:val="single"/>
          <w:lang w:val="es-ES_tradnl"/>
        </w:rPr>
        <w:t>EJEMPLO 2:</w:t>
      </w:r>
      <w:r w:rsidRPr="006B6FA8">
        <w:rPr>
          <w:rFonts w:cs="Arial"/>
          <w:snapToGrid w:val="0"/>
          <w:sz w:val="18"/>
          <w:szCs w:val="18"/>
          <w:highlight w:val="lightGray"/>
          <w:u w:val="single"/>
          <w:lang w:val="es-ES_tradnl"/>
        </w:rPr>
        <w:tab/>
        <w:t>SELECCIÓN GENÉTICA DE VARIEDADES SIMILARES PARA EL PRIMER CICLO DE CULTIVO: LA JUDÍA COMÚN</w:t>
      </w:r>
    </w:p>
    <w:p w14:paraId="37292E85" w14:textId="77777777" w:rsidR="006B6FA8" w:rsidRPr="006B6FA8" w:rsidRDefault="006B6FA8" w:rsidP="006B6FA8">
      <w:pPr>
        <w:tabs>
          <w:tab w:val="left" w:pos="1980"/>
        </w:tabs>
        <w:jc w:val="left"/>
        <w:rPr>
          <w:rFonts w:cs="Arial"/>
          <w:snapToGrid w:val="0"/>
          <w:lang w:val="es-ES_tradnl"/>
        </w:rPr>
      </w:pPr>
    </w:p>
    <w:p w14:paraId="41EA79F6" w14:textId="77777777" w:rsidR="006B6FA8" w:rsidRPr="006B6FA8" w:rsidRDefault="006B6FA8" w:rsidP="006B6FA8">
      <w:pPr>
        <w:tabs>
          <w:tab w:val="left" w:pos="1134"/>
          <w:tab w:val="left" w:pos="2268"/>
        </w:tabs>
        <w:spacing w:after="120"/>
        <w:ind w:left="2268" w:hanging="2268"/>
        <w:rPr>
          <w:strike/>
          <w:highlight w:val="lightGray"/>
          <w:lang w:val="es-ES_tradnl"/>
        </w:rPr>
      </w:pPr>
      <w:r w:rsidRPr="006B6FA8">
        <w:rPr>
          <w:strike/>
          <w:highlight w:val="lightGray"/>
          <w:lang w:val="es-ES_tradnl"/>
        </w:rPr>
        <w:t>ANEXO III</w:t>
      </w:r>
      <w:r w:rsidRPr="006B6FA8">
        <w:rPr>
          <w:strike/>
          <w:highlight w:val="lightGray"/>
          <w:lang w:val="es-ES_tradnl"/>
        </w:rPr>
        <w:tab/>
        <w:t>MODELO:</w:t>
      </w:r>
      <w:r w:rsidRPr="006B6FA8">
        <w:rPr>
          <w:strike/>
          <w:highlight w:val="lightGray"/>
          <w:lang w:val="es-ES_tradnl"/>
        </w:rPr>
        <w:tab/>
        <w:t>SELECCIÓN GENÉTICA DE VARIEDADES SIMILARES PARA EL PRIMER CICLO DE CULTIVO</w:t>
      </w:r>
    </w:p>
    <w:p w14:paraId="5B559D72" w14:textId="77777777" w:rsidR="006B6FA8" w:rsidRPr="006B6FA8" w:rsidRDefault="006B6FA8" w:rsidP="006B6FA8">
      <w:pPr>
        <w:spacing w:after="120"/>
        <w:ind w:left="2410" w:hanging="1276"/>
        <w:jc w:val="left"/>
        <w:rPr>
          <w:strike/>
          <w:snapToGrid w:val="0"/>
          <w:sz w:val="18"/>
          <w:lang w:val="es-ES_tradnl"/>
        </w:rPr>
      </w:pPr>
      <w:r w:rsidRPr="006B6FA8">
        <w:rPr>
          <w:strike/>
          <w:snapToGrid w:val="0"/>
          <w:sz w:val="18"/>
          <w:highlight w:val="lightGray"/>
          <w:lang w:val="es-ES_tradnl"/>
        </w:rPr>
        <w:t>EJEMPLO:</w:t>
      </w:r>
      <w:r w:rsidRPr="006B6FA8">
        <w:rPr>
          <w:strike/>
          <w:snapToGrid w:val="0"/>
          <w:sz w:val="18"/>
          <w:highlight w:val="lightGray"/>
          <w:lang w:val="es-ES_tradnl"/>
        </w:rPr>
        <w:tab/>
        <w:t>JUDÍA COMÚN</w:t>
      </w:r>
    </w:p>
    <w:p w14:paraId="7E85F866" w14:textId="77777777" w:rsidR="006B6FA8" w:rsidRPr="006B6FA8" w:rsidRDefault="006B6FA8" w:rsidP="006B6FA8">
      <w:pPr>
        <w:rPr>
          <w:lang w:val="es-ES_tradnl"/>
        </w:rPr>
      </w:pPr>
    </w:p>
    <w:p w14:paraId="74976706" w14:textId="77777777" w:rsidR="006B6FA8" w:rsidRPr="006B6FA8" w:rsidRDefault="006B6FA8" w:rsidP="006B6FA8">
      <w:pPr>
        <w:rPr>
          <w:lang w:val="es-ES_tradnl"/>
        </w:rPr>
      </w:pPr>
    </w:p>
    <w:p w14:paraId="6F5848B0" w14:textId="77777777" w:rsidR="006B6FA8" w:rsidRPr="006B6FA8" w:rsidRDefault="006B6FA8" w:rsidP="006B6FA8">
      <w:pPr>
        <w:jc w:val="left"/>
        <w:rPr>
          <w:u w:val="single"/>
          <w:lang w:val="es-ES_tradnl"/>
        </w:rPr>
      </w:pPr>
      <w:r w:rsidRPr="006B6FA8">
        <w:rPr>
          <w:u w:val="single"/>
          <w:lang w:val="es-ES_tradnl"/>
        </w:rPr>
        <w:br w:type="page"/>
      </w:r>
    </w:p>
    <w:p w14:paraId="28E97D5A" w14:textId="77777777" w:rsidR="006B6FA8" w:rsidRPr="006B6FA8" w:rsidRDefault="006B6FA8" w:rsidP="006B6FA8">
      <w:pPr>
        <w:rPr>
          <w:u w:val="single"/>
          <w:lang w:val="es-ES_tradnl"/>
        </w:rPr>
      </w:pPr>
      <w:r w:rsidRPr="006B6FA8">
        <w:rPr>
          <w:u w:val="single"/>
          <w:lang w:val="es-ES_tradnl"/>
        </w:rPr>
        <w:lastRenderedPageBreak/>
        <w:t>Extracto:  2.  MODELOS DE APLICACIÓN</w:t>
      </w:r>
    </w:p>
    <w:p w14:paraId="207AB173" w14:textId="77777777" w:rsidR="006B6FA8" w:rsidRPr="006B6FA8" w:rsidRDefault="006B6FA8" w:rsidP="006B6FA8">
      <w:pPr>
        <w:rPr>
          <w:lang w:val="es-ES_tradnl"/>
        </w:rPr>
      </w:pPr>
    </w:p>
    <w:p w14:paraId="1DF654C2" w14:textId="77777777" w:rsidR="006B6FA8" w:rsidRPr="006B6FA8" w:rsidRDefault="006B6FA8" w:rsidP="006B6FA8">
      <w:pPr>
        <w:rPr>
          <w:lang w:val="es-ES_tradnl"/>
        </w:rPr>
      </w:pPr>
      <w:r w:rsidRPr="006B6FA8">
        <w:rPr>
          <w:lang w:val="es-ES_tradnl"/>
        </w:rPr>
        <w:t>2.1.1</w:t>
      </w:r>
      <w:r w:rsidRPr="006B6FA8">
        <w:rPr>
          <w:lang w:val="es-ES_tradnl"/>
        </w:rPr>
        <w:tab/>
        <w:t>[…]</w:t>
      </w:r>
    </w:p>
    <w:p w14:paraId="0E1E5100" w14:textId="77777777" w:rsidR="006B6FA8" w:rsidRPr="006B6FA8" w:rsidRDefault="006B6FA8" w:rsidP="006B6FA8">
      <w:pPr>
        <w:rPr>
          <w:lang w:val="es-ES_tradnl"/>
        </w:rPr>
      </w:pPr>
    </w:p>
    <w:p w14:paraId="3C161B28" w14:textId="77777777" w:rsidR="006B6FA8" w:rsidRPr="006B6FA8" w:rsidRDefault="006B6FA8" w:rsidP="006B6FA8">
      <w:pPr>
        <w:ind w:firstLine="567"/>
        <w:rPr>
          <w:rFonts w:cs="Arial"/>
          <w:lang w:val="es-ES_tradnl"/>
        </w:rPr>
      </w:pPr>
      <w:r w:rsidRPr="006B6FA8">
        <w:rPr>
          <w:rFonts w:cs="Arial"/>
          <w:lang w:val="es-ES_tradnl"/>
        </w:rPr>
        <w:t>e)</w:t>
      </w:r>
      <w:r w:rsidRPr="006B6FA8">
        <w:rPr>
          <w:rFonts w:cs="Arial"/>
          <w:lang w:val="es-ES_tradnl"/>
        </w:rPr>
        <w:tab/>
        <w:t>los marcadores vinculados a elementos reguladores diferentes del mismo gen que confieren la expresión del mismo carácter constituyen métodos diferentes de examen del mismo carácter</w:t>
      </w:r>
      <w:r w:rsidRPr="006B6FA8">
        <w:rPr>
          <w:rFonts w:cs="Arial"/>
          <w:strike/>
          <w:highlight w:val="lightGray"/>
          <w:lang w:val="es-ES_tradnl"/>
        </w:rPr>
        <w:t>:  </w:t>
      </w:r>
      <w:r w:rsidRPr="006B6FA8">
        <w:rPr>
          <w:rFonts w:cs="Arial"/>
          <w:strike/>
          <w:lang w:val="es-ES_tradnl"/>
        </w:rPr>
        <w:t xml:space="preserve"> </w:t>
      </w:r>
      <w:r w:rsidRPr="006B6FA8">
        <w:rPr>
          <w:rFonts w:cs="Arial"/>
          <w:highlight w:val="lightGray"/>
          <w:u w:val="single"/>
          <w:lang w:val="es-ES_tradnl"/>
        </w:rPr>
        <w:t>.</w:t>
      </w:r>
    </w:p>
    <w:p w14:paraId="371CA32D" w14:textId="77777777" w:rsidR="006B6FA8" w:rsidRPr="006B6FA8" w:rsidRDefault="006B6FA8" w:rsidP="006B6FA8">
      <w:pPr>
        <w:ind w:firstLine="567"/>
        <w:rPr>
          <w:rFonts w:cs="Arial"/>
          <w:u w:val="single"/>
          <w:lang w:val="es-ES_tradnl"/>
        </w:rPr>
      </w:pPr>
    </w:p>
    <w:p w14:paraId="60ACC06D" w14:textId="77777777" w:rsidR="006B6FA8" w:rsidRPr="006B6FA8" w:rsidRDefault="006B6FA8" w:rsidP="006B6FA8">
      <w:pPr>
        <w:rPr>
          <w:rFonts w:cs="Arial"/>
          <w:lang w:val="es-ES_tradnl"/>
        </w:rPr>
      </w:pPr>
      <w:r w:rsidRPr="006B6FA8">
        <w:rPr>
          <w:rFonts w:cs="Arial"/>
          <w:highlight w:val="lightGray"/>
          <w:u w:val="single"/>
          <w:lang w:val="es-ES_tradnl"/>
        </w:rPr>
        <w:t>2.1.2</w:t>
      </w:r>
      <w:r w:rsidRPr="006B6FA8">
        <w:rPr>
          <w:rFonts w:cs="Arial"/>
          <w:lang w:val="es-ES_tradnl"/>
        </w:rPr>
        <w:tab/>
        <w:t>El Anexo I del presente documento</w:t>
      </w:r>
      <w:r w:rsidRPr="006B6FA8">
        <w:rPr>
          <w:rFonts w:cs="Arial"/>
          <w:strike/>
          <w:highlight w:val="lightGray"/>
          <w:lang w:val="es-ES_tradnl"/>
        </w:rPr>
        <w:t>, “Marcador genético específico para la tolerancia a los herbicidas”, es un</w:t>
      </w:r>
      <w:r w:rsidRPr="006B6FA8">
        <w:rPr>
          <w:rFonts w:cs="Arial"/>
          <w:lang w:val="es-ES_tradnl"/>
        </w:rPr>
        <w:t xml:space="preserve"> </w:t>
      </w:r>
      <w:r w:rsidRPr="006B6FA8">
        <w:rPr>
          <w:rFonts w:cs="Arial"/>
          <w:highlight w:val="lightGray"/>
          <w:u w:val="single"/>
          <w:lang w:val="es-ES_tradnl"/>
        </w:rPr>
        <w:t>contiene</w:t>
      </w:r>
      <w:r w:rsidRPr="006B6FA8">
        <w:rPr>
          <w:rFonts w:cs="Arial"/>
          <w:lang w:val="es-ES_tradnl"/>
        </w:rPr>
        <w:t xml:space="preserve"> ejemplo</w:t>
      </w:r>
      <w:r w:rsidRPr="006B6FA8">
        <w:rPr>
          <w:rFonts w:cs="Arial"/>
          <w:highlight w:val="lightGray"/>
          <w:u w:val="single"/>
          <w:lang w:val="es-ES_tradnl"/>
        </w:rPr>
        <w:t>s</w:t>
      </w:r>
      <w:r w:rsidRPr="006B6FA8">
        <w:rPr>
          <w:rFonts w:cs="Arial"/>
          <w:lang w:val="es-ES_tradnl"/>
        </w:rPr>
        <w:t xml:space="preserve"> del uso de marcadores moleculares ligados a caracteres.</w:t>
      </w:r>
    </w:p>
    <w:p w14:paraId="5E5EEF96" w14:textId="77777777" w:rsidR="006B6FA8" w:rsidRPr="006B6FA8" w:rsidRDefault="006B6FA8" w:rsidP="006B6FA8">
      <w:pPr>
        <w:rPr>
          <w:rFonts w:cs="Arial"/>
          <w:lang w:val="es-ES_tradnl"/>
        </w:rPr>
      </w:pPr>
    </w:p>
    <w:p w14:paraId="7B1A2D19" w14:textId="77777777" w:rsidR="006B6FA8" w:rsidRPr="006B6FA8" w:rsidRDefault="006B6FA8" w:rsidP="006B6FA8">
      <w:pPr>
        <w:rPr>
          <w:rFonts w:cs="Arial"/>
          <w:lang w:val="es-ES_tradnl"/>
        </w:rPr>
      </w:pPr>
      <w:r w:rsidRPr="006B6FA8">
        <w:rPr>
          <w:rFonts w:cs="Arial"/>
          <w:lang w:val="es-ES_tradnl"/>
        </w:rPr>
        <w:t>2.1.</w:t>
      </w:r>
      <w:r w:rsidRPr="006B6FA8">
        <w:rPr>
          <w:rFonts w:cs="Arial"/>
          <w:highlight w:val="lightGray"/>
          <w:u w:val="single"/>
          <w:lang w:val="es-ES_tradnl"/>
        </w:rPr>
        <w:t>3</w:t>
      </w:r>
      <w:r w:rsidRPr="006B6FA8">
        <w:rPr>
          <w:rFonts w:cs="Arial"/>
          <w:lang w:val="es-ES_tradnl"/>
        </w:rPr>
        <w:tab/>
        <w:t xml:space="preserve">Incumbe a la autoridad competente determinar si se han cumplido las premisas al aplicar el modelo y </w:t>
      </w:r>
      <w:r w:rsidRPr="006B6FA8">
        <w:rPr>
          <w:rFonts w:cs="Arial"/>
          <w:strike/>
          <w:highlight w:val="lightGray"/>
          <w:lang w:val="es-ES_tradnl"/>
        </w:rPr>
        <w:t>el</w:t>
      </w:r>
      <w:r w:rsidRPr="006B6FA8">
        <w:rPr>
          <w:rFonts w:cs="Arial"/>
          <w:lang w:val="es-ES_tradnl"/>
        </w:rPr>
        <w:t xml:space="preserve"> </w:t>
      </w:r>
      <w:r w:rsidRPr="006B6FA8">
        <w:rPr>
          <w:rFonts w:cs="Arial"/>
          <w:highlight w:val="lightGray"/>
          <w:u w:val="single"/>
          <w:lang w:val="es-ES_tradnl"/>
        </w:rPr>
        <w:t>los</w:t>
      </w:r>
      <w:r w:rsidRPr="006B6FA8">
        <w:rPr>
          <w:rFonts w:cs="Arial"/>
          <w:lang w:val="es-ES_tradnl"/>
        </w:rPr>
        <w:t xml:space="preserve"> ejemplo</w:t>
      </w:r>
      <w:r w:rsidRPr="006B6FA8">
        <w:rPr>
          <w:rFonts w:cs="Arial"/>
          <w:highlight w:val="lightGray"/>
          <w:u w:val="single"/>
          <w:lang w:val="es-ES_tradnl"/>
        </w:rPr>
        <w:t>s</w:t>
      </w:r>
      <w:r w:rsidRPr="006B6FA8">
        <w:rPr>
          <w:rFonts w:cs="Arial"/>
          <w:lang w:val="es-ES_tradnl"/>
        </w:rPr>
        <w:t xml:space="preserve"> que figuran en el Anexo I del presente documento.</w:t>
      </w:r>
    </w:p>
    <w:p w14:paraId="36410F98" w14:textId="77777777" w:rsidR="006B6FA8" w:rsidRPr="006B6FA8" w:rsidRDefault="006B6FA8" w:rsidP="006B6FA8">
      <w:pPr>
        <w:rPr>
          <w:rFonts w:cs="Arial"/>
          <w:lang w:val="es-ES_tradnl"/>
        </w:rPr>
      </w:pPr>
    </w:p>
    <w:p w14:paraId="79000944" w14:textId="77777777" w:rsidR="006B6FA8" w:rsidRPr="006B6FA8" w:rsidRDefault="006B6FA8" w:rsidP="006B6FA8">
      <w:pPr>
        <w:rPr>
          <w:rFonts w:cs="Arial"/>
          <w:lang w:val="es-ES_tradnl"/>
        </w:rPr>
      </w:pPr>
      <w:r w:rsidRPr="006B6FA8">
        <w:rPr>
          <w:rFonts w:cs="Arial"/>
          <w:lang w:val="es-ES_tradnl"/>
        </w:rPr>
        <w:t>2.1.</w:t>
      </w:r>
      <w:r w:rsidRPr="006B6FA8">
        <w:rPr>
          <w:rFonts w:cs="Arial"/>
          <w:highlight w:val="lightGray"/>
          <w:u w:val="single"/>
          <w:lang w:val="es-ES_tradnl"/>
        </w:rPr>
        <w:t>4</w:t>
      </w:r>
      <w:r w:rsidRPr="006B6FA8">
        <w:rPr>
          <w:rFonts w:cs="Arial"/>
          <w:lang w:val="es-ES_tradnl"/>
        </w:rPr>
        <w:t>.</w:t>
      </w:r>
      <w:r w:rsidRPr="006B6FA8">
        <w:rPr>
          <w:rFonts w:cs="Arial"/>
          <w:lang w:val="es-ES_tradnl"/>
        </w:rPr>
        <w:tab/>
      </w:r>
      <w:r w:rsidRPr="006B6FA8">
        <w:rPr>
          <w:lang w:val="es-ES_tradnl"/>
        </w:rPr>
        <w:t xml:space="preserve">Para que se </w:t>
      </w:r>
      <w:r w:rsidRPr="006B6FA8">
        <w:rPr>
          <w:rFonts w:cs="Arial"/>
          <w:color w:val="000000"/>
          <w:lang w:val="es-ES_tradnl"/>
        </w:rPr>
        <w:t xml:space="preserve">incluya </w:t>
      </w:r>
      <w:r w:rsidRPr="006B6FA8">
        <w:rPr>
          <w:lang w:val="es-ES_tradnl"/>
        </w:rPr>
        <w:t xml:space="preserve">en las directrices de examen un método basado en </w:t>
      </w:r>
      <w:r w:rsidRPr="006B6FA8">
        <w:rPr>
          <w:rFonts w:cs="Arial"/>
          <w:lang w:val="es-ES_tradnl"/>
        </w:rPr>
        <w:t>el modelo que figura en el Anexo I del presente documento,</w:t>
      </w:r>
      <w:r w:rsidRPr="006B6FA8">
        <w:rPr>
          <w:lang w:val="es-ES_tradnl"/>
        </w:rPr>
        <w:t xml:space="preserve"> el Grupo de Trabajo Técnico competente y el TC deberán convenir en que se ha satisfecho el requisito de fiabilidad del vínculo entre el gen y la expresión del carácter</w:t>
      </w:r>
      <w:r w:rsidRPr="006B6FA8">
        <w:rPr>
          <w:rFonts w:cs="Arial"/>
          <w:lang w:val="es-ES_tradnl"/>
        </w:rPr>
        <w:t>.</w:t>
      </w:r>
    </w:p>
    <w:p w14:paraId="117067BF" w14:textId="77777777" w:rsidR="006B6FA8" w:rsidRPr="006B6FA8" w:rsidRDefault="006B6FA8" w:rsidP="006B6FA8">
      <w:pPr>
        <w:rPr>
          <w:lang w:val="es-ES_tradnl"/>
        </w:rPr>
      </w:pPr>
    </w:p>
    <w:p w14:paraId="2048CF8C" w14:textId="77777777" w:rsidR="006B6FA8" w:rsidRPr="006B6FA8" w:rsidRDefault="006B6FA8" w:rsidP="006B6FA8">
      <w:pPr>
        <w:ind w:left="567" w:hanging="567"/>
        <w:rPr>
          <w:b/>
          <w:lang w:val="es-ES_tradnl"/>
        </w:rPr>
      </w:pPr>
      <w:bookmarkStart w:id="132" w:name="_Toc311473362"/>
      <w:bookmarkStart w:id="133" w:name="_Toc41498953"/>
      <w:r w:rsidRPr="006B6FA8">
        <w:rPr>
          <w:b/>
          <w:lang w:val="es-ES_tradnl"/>
        </w:rPr>
        <w:t>2.2</w:t>
      </w:r>
      <w:r w:rsidRPr="006B6FA8">
        <w:rPr>
          <w:b/>
          <w:lang w:val="es-ES_tradnl"/>
        </w:rPr>
        <w:tab/>
      </w:r>
      <w:bookmarkEnd w:id="132"/>
      <w:bookmarkEnd w:id="133"/>
      <w:r w:rsidRPr="006B6FA8">
        <w:rPr>
          <w:b/>
          <w:lang w:val="es-ES_tradnl"/>
        </w:rPr>
        <w:t>Combinación de distancias fenotípicas y moleculares en la gestión de las colecciones de variedades (véase el Anexo II)</w:t>
      </w:r>
    </w:p>
    <w:p w14:paraId="244EFA70" w14:textId="77777777" w:rsidR="006B6FA8" w:rsidRPr="006B6FA8" w:rsidRDefault="006B6FA8" w:rsidP="006B6FA8">
      <w:pPr>
        <w:ind w:left="567" w:hanging="567"/>
        <w:rPr>
          <w:b/>
          <w:lang w:val="es-ES_tradnl"/>
        </w:rPr>
      </w:pPr>
    </w:p>
    <w:p w14:paraId="04EA6698" w14:textId="77777777" w:rsidR="006B6FA8" w:rsidRPr="006B6FA8" w:rsidRDefault="006B6FA8" w:rsidP="006B6FA8">
      <w:pPr>
        <w:rPr>
          <w:u w:val="single"/>
          <w:lang w:val="es-ES_tradnl"/>
        </w:rPr>
      </w:pPr>
      <w:bookmarkStart w:id="134" w:name="_Toc41498954"/>
      <w:r w:rsidRPr="006B6FA8">
        <w:rPr>
          <w:highlight w:val="lightGray"/>
          <w:u w:val="single"/>
          <w:lang w:val="es-ES_tradnl"/>
        </w:rPr>
        <w:t xml:space="preserve">Ejemplo 1:  </w:t>
      </w:r>
      <w:bookmarkEnd w:id="134"/>
      <w:r w:rsidRPr="006B6FA8">
        <w:rPr>
          <w:highlight w:val="lightGray"/>
          <w:u w:val="single"/>
          <w:lang w:val="es-ES_tradnl"/>
        </w:rPr>
        <w:t>Líneas parentales en el maíz (véase el Anexo II, ejemplo 1)</w:t>
      </w:r>
    </w:p>
    <w:p w14:paraId="2F6E88C5" w14:textId="77777777" w:rsidR="006B6FA8" w:rsidRPr="006B6FA8" w:rsidRDefault="006B6FA8" w:rsidP="006B6FA8">
      <w:pPr>
        <w:rPr>
          <w:lang w:val="es-ES_tradnl"/>
        </w:rPr>
      </w:pPr>
    </w:p>
    <w:p w14:paraId="3E81C635" w14:textId="77777777" w:rsidR="006B6FA8" w:rsidRPr="006B6FA8" w:rsidRDefault="006B6FA8" w:rsidP="006B6FA8">
      <w:pPr>
        <w:rPr>
          <w:lang w:val="es-ES_tradnl"/>
        </w:rPr>
      </w:pPr>
      <w:r w:rsidRPr="006B6FA8">
        <w:rPr>
          <w:lang w:val="es-ES_tradnl"/>
        </w:rPr>
        <w:t>2.2.1</w:t>
      </w:r>
      <w:r w:rsidRPr="006B6FA8">
        <w:rPr>
          <w:lang w:val="es-ES_tradnl"/>
        </w:rPr>
        <w:tab/>
        <w:t>[xxx]</w:t>
      </w:r>
    </w:p>
    <w:p w14:paraId="139DB486" w14:textId="77777777" w:rsidR="006B6FA8" w:rsidRPr="006B6FA8" w:rsidRDefault="006B6FA8" w:rsidP="006B6FA8">
      <w:pPr>
        <w:rPr>
          <w:lang w:val="es-ES_tradnl"/>
        </w:rPr>
      </w:pPr>
    </w:p>
    <w:p w14:paraId="24234748" w14:textId="77777777" w:rsidR="006B6FA8" w:rsidRPr="006B6FA8" w:rsidRDefault="006B6FA8" w:rsidP="006B6FA8">
      <w:pPr>
        <w:rPr>
          <w:lang w:val="es-ES_tradnl"/>
        </w:rPr>
      </w:pPr>
    </w:p>
    <w:p w14:paraId="78725D62" w14:textId="77777777" w:rsidR="006B6FA8" w:rsidRPr="006B6FA8" w:rsidRDefault="006B6FA8" w:rsidP="006B6FA8">
      <w:pPr>
        <w:rPr>
          <w:highlight w:val="lightGray"/>
          <w:lang w:val="es-ES_tradnl"/>
        </w:rPr>
      </w:pPr>
      <w:bookmarkStart w:id="135" w:name="_Toc41498955"/>
      <w:r w:rsidRPr="006B6FA8">
        <w:rPr>
          <w:strike/>
          <w:highlight w:val="lightGray"/>
          <w:lang w:val="es-ES_tradnl"/>
        </w:rPr>
        <w:t xml:space="preserve">2.3  </w:t>
      </w:r>
      <w:r w:rsidRPr="006B6FA8">
        <w:rPr>
          <w:highlight w:val="lightGray"/>
          <w:u w:val="single"/>
          <w:lang w:val="es-ES_tradnl"/>
        </w:rPr>
        <w:t>Ejemplo 2:</w:t>
      </w:r>
      <w:r w:rsidRPr="006B6FA8">
        <w:rPr>
          <w:lang w:val="es-ES_tradnl"/>
        </w:rPr>
        <w:t xml:space="preserve"> Selección genética de variedades similares para el primer ciclo de cultivo (véase el </w:t>
      </w:r>
      <w:r w:rsidRPr="006B6FA8">
        <w:rPr>
          <w:strike/>
          <w:highlight w:val="lightGray"/>
          <w:lang w:val="es-ES_tradnl"/>
        </w:rPr>
        <w:t xml:space="preserve">Anexo III </w:t>
      </w:r>
      <w:r w:rsidRPr="006B6FA8">
        <w:rPr>
          <w:highlight w:val="lightGray"/>
          <w:u w:val="single"/>
          <w:lang w:val="es-ES_tradnl"/>
        </w:rPr>
        <w:t>Anexo II, ejemplo 2</w:t>
      </w:r>
      <w:r w:rsidRPr="006B6FA8">
        <w:rPr>
          <w:highlight w:val="lightGray"/>
          <w:lang w:val="es-ES_tradnl"/>
        </w:rPr>
        <w:t>)</w:t>
      </w:r>
      <w:bookmarkEnd w:id="135"/>
    </w:p>
    <w:p w14:paraId="56757CB3" w14:textId="77777777" w:rsidR="006B6FA8" w:rsidRPr="006B6FA8" w:rsidRDefault="006B6FA8" w:rsidP="006B6FA8">
      <w:pPr>
        <w:rPr>
          <w:highlight w:val="lightGray"/>
          <w:lang w:val="es-ES_tradnl"/>
        </w:rPr>
      </w:pPr>
    </w:p>
    <w:p w14:paraId="743DC1DB" w14:textId="77777777" w:rsidR="006B6FA8" w:rsidRPr="006B6FA8" w:rsidRDefault="006B6FA8" w:rsidP="006B6FA8">
      <w:pPr>
        <w:rPr>
          <w:lang w:val="es-ES_tradnl"/>
        </w:rPr>
      </w:pPr>
      <w:r w:rsidRPr="006B6FA8">
        <w:rPr>
          <w:strike/>
          <w:highlight w:val="lightGray"/>
          <w:lang w:val="es-ES_tradnl"/>
        </w:rPr>
        <w:t>2.3.1</w:t>
      </w:r>
      <w:r w:rsidRPr="006B6FA8">
        <w:rPr>
          <w:lang w:val="es-ES_tradnl"/>
        </w:rPr>
        <w:t xml:space="preserve"> </w:t>
      </w:r>
      <w:r w:rsidRPr="006B6FA8">
        <w:rPr>
          <w:highlight w:val="lightGray"/>
          <w:u w:val="single"/>
          <w:lang w:val="es-ES_tradnl"/>
        </w:rPr>
        <w:t>2.2.4</w:t>
      </w:r>
      <w:r w:rsidRPr="006B6FA8">
        <w:rPr>
          <w:lang w:val="es-ES_tradnl"/>
        </w:rPr>
        <w:t xml:space="preserve"> </w:t>
      </w:r>
      <w:r w:rsidRPr="006B6FA8">
        <w:rPr>
          <w:lang w:val="es-ES_tradnl"/>
        </w:rPr>
        <w:tab/>
        <w:t>Este método incluye una fase de comprobación de la similitud genética antes del primer ciclo de cultivo.</w:t>
      </w:r>
    </w:p>
    <w:p w14:paraId="0042DECE" w14:textId="77777777" w:rsidR="006B6FA8" w:rsidRPr="006B6FA8" w:rsidRDefault="006B6FA8" w:rsidP="006B6FA8">
      <w:pPr>
        <w:rPr>
          <w:lang w:val="es-ES_tradnl"/>
        </w:rPr>
      </w:pPr>
    </w:p>
    <w:p w14:paraId="206A3C36" w14:textId="77777777" w:rsidR="006B6FA8" w:rsidRPr="006B6FA8" w:rsidRDefault="006B6FA8" w:rsidP="006B6FA8">
      <w:pPr>
        <w:rPr>
          <w:lang w:val="es-ES_tradnl"/>
        </w:rPr>
      </w:pPr>
      <w:r w:rsidRPr="006B6FA8">
        <w:rPr>
          <w:strike/>
          <w:highlight w:val="lightGray"/>
          <w:lang w:val="es-ES_tradnl"/>
        </w:rPr>
        <w:t>2.3.2</w:t>
      </w:r>
      <w:r w:rsidRPr="006B6FA8">
        <w:rPr>
          <w:lang w:val="es-ES_tradnl"/>
        </w:rPr>
        <w:t xml:space="preserve"> </w:t>
      </w:r>
      <w:r w:rsidRPr="006B6FA8">
        <w:rPr>
          <w:highlight w:val="lightGray"/>
          <w:u w:val="single"/>
          <w:lang w:val="es-ES_tradnl"/>
        </w:rPr>
        <w:t>2.2.5</w:t>
      </w:r>
      <w:r w:rsidRPr="006B6FA8">
        <w:rPr>
          <w:lang w:val="es-ES_tradnl"/>
        </w:rPr>
        <w:tab/>
        <w:t>En aquellos casos en que la duración mínima de los ensayos es normalmente de dos ciclos de cultivo, se seleccionan de la colección de variedades las que son genéticamente similares a fin de compararlas con las variedades candidatas en el primer ciclo de cultivo. En la fase siguiente, se utiliza la información suministrada por el solicitante en el cuestionario técnico para comprobar si alguna variedad genéticamente similar presenta diferencias en los caracteres DHE y, por tanto, no es necesario compararla en el ensayo de cultivo.</w:t>
      </w:r>
    </w:p>
    <w:p w14:paraId="2694A003" w14:textId="77777777" w:rsidR="006B6FA8" w:rsidRPr="006B6FA8" w:rsidRDefault="006B6FA8" w:rsidP="006B6FA8">
      <w:pPr>
        <w:rPr>
          <w:lang w:val="es-ES_tradnl"/>
        </w:rPr>
      </w:pPr>
    </w:p>
    <w:p w14:paraId="2ECB6463" w14:textId="77777777" w:rsidR="006B6FA8" w:rsidRPr="006B6FA8" w:rsidRDefault="006B6FA8" w:rsidP="006B6FA8">
      <w:pPr>
        <w:rPr>
          <w:lang w:val="es-ES_tradnl"/>
        </w:rPr>
      </w:pPr>
      <w:r w:rsidRPr="006B6FA8">
        <w:rPr>
          <w:strike/>
          <w:highlight w:val="lightGray"/>
          <w:lang w:val="es-ES_tradnl"/>
        </w:rPr>
        <w:t>2.3.3</w:t>
      </w:r>
      <w:r w:rsidRPr="006B6FA8">
        <w:rPr>
          <w:lang w:val="es-ES_tradnl"/>
        </w:rPr>
        <w:t xml:space="preserve"> </w:t>
      </w:r>
      <w:r w:rsidRPr="006B6FA8">
        <w:rPr>
          <w:highlight w:val="lightGray"/>
          <w:u w:val="single"/>
          <w:lang w:val="es-ES_tradnl"/>
        </w:rPr>
        <w:t>2.2.6</w:t>
      </w:r>
      <w:r w:rsidRPr="006B6FA8">
        <w:rPr>
          <w:lang w:val="es-ES_tradnl"/>
        </w:rPr>
        <w:tab/>
        <w:t xml:space="preserve">Sobre la base de la descripción de los caracteres DHE de la variedad elaborada en el primer ciclo de cultivo, se realiza otra búsqueda en la colección para encontrar variedades similares que no se hayan comparado en ese primer ciclo y deban compararse con la variedad candidata en el segundo ciclo. </w:t>
      </w:r>
    </w:p>
    <w:p w14:paraId="4BD706E0" w14:textId="77777777" w:rsidR="006B6FA8" w:rsidRPr="006B6FA8" w:rsidRDefault="006B6FA8" w:rsidP="006B6FA8">
      <w:pPr>
        <w:rPr>
          <w:lang w:val="es-ES_tradnl"/>
        </w:rPr>
      </w:pPr>
    </w:p>
    <w:p w14:paraId="132FA235" w14:textId="77777777" w:rsidR="006B6FA8" w:rsidRPr="006B6FA8" w:rsidRDefault="006B6FA8" w:rsidP="006B6FA8">
      <w:pPr>
        <w:rPr>
          <w:lang w:val="es-ES_tradnl"/>
        </w:rPr>
      </w:pPr>
      <w:r w:rsidRPr="006B6FA8">
        <w:rPr>
          <w:strike/>
          <w:highlight w:val="lightGray"/>
          <w:lang w:val="es-ES_tradnl"/>
        </w:rPr>
        <w:t>2.3.4</w:t>
      </w:r>
      <w:r w:rsidRPr="006B6FA8">
        <w:rPr>
          <w:lang w:val="es-ES_tradnl"/>
        </w:rPr>
        <w:t xml:space="preserve"> </w:t>
      </w:r>
      <w:r w:rsidRPr="006B6FA8">
        <w:rPr>
          <w:highlight w:val="lightGray"/>
          <w:u w:val="single"/>
          <w:lang w:val="es-ES_tradnl"/>
        </w:rPr>
        <w:t>2.2.7</w:t>
      </w:r>
      <w:r w:rsidRPr="006B6FA8">
        <w:rPr>
          <w:lang w:val="es-ES_tradnl"/>
        </w:rPr>
        <w:tab/>
        <w:t xml:space="preserve">En el </w:t>
      </w:r>
      <w:r w:rsidRPr="006B6FA8">
        <w:rPr>
          <w:strike/>
          <w:highlight w:val="lightGray"/>
          <w:lang w:val="es-ES_tradnl"/>
        </w:rPr>
        <w:t>Anexo III</w:t>
      </w:r>
      <w:r w:rsidRPr="006B6FA8">
        <w:rPr>
          <w:lang w:val="es-ES_tradnl"/>
        </w:rPr>
        <w:t xml:space="preserve"> </w:t>
      </w:r>
      <w:r w:rsidRPr="006B6FA8">
        <w:rPr>
          <w:highlight w:val="lightGray"/>
          <w:u w:val="single"/>
          <w:lang w:val="es-ES_tradnl"/>
        </w:rPr>
        <w:t>ejemplo 2 del Anexo II</w:t>
      </w:r>
      <w:r w:rsidRPr="006B6FA8">
        <w:rPr>
          <w:lang w:val="es-ES_tradnl"/>
        </w:rPr>
        <w:t xml:space="preserve"> del presente documento </w:t>
      </w:r>
      <w:r w:rsidRPr="006B6FA8">
        <w:rPr>
          <w:strike/>
          <w:highlight w:val="lightGray"/>
          <w:lang w:val="es-ES_tradnl"/>
        </w:rPr>
        <w:t>“Selección genética de variedades similares para el primer ciclo de cultivo”</w:t>
      </w:r>
      <w:r w:rsidRPr="006B6FA8">
        <w:rPr>
          <w:lang w:val="es-ES_tradnl"/>
        </w:rPr>
        <w:t xml:space="preserve"> se ofrece un ejemplo de la selección genética de variedades similares para el primer ciclo de cultivo.</w:t>
      </w:r>
    </w:p>
    <w:p w14:paraId="256E9523" w14:textId="77777777" w:rsidR="006B6FA8" w:rsidRPr="006B6FA8" w:rsidRDefault="006B6FA8" w:rsidP="006B6FA8">
      <w:pPr>
        <w:rPr>
          <w:lang w:val="es-ES_tradnl"/>
        </w:rPr>
      </w:pPr>
    </w:p>
    <w:p w14:paraId="1E5C16F0" w14:textId="77777777" w:rsidR="006B6FA8" w:rsidRPr="006B6FA8" w:rsidRDefault="006B6FA8" w:rsidP="006B6FA8">
      <w:pPr>
        <w:rPr>
          <w:lang w:val="es-ES_tradnl"/>
        </w:rPr>
      </w:pPr>
    </w:p>
    <w:p w14:paraId="4DE8CA01" w14:textId="77777777" w:rsidR="006B6FA8" w:rsidRPr="006B6FA8" w:rsidRDefault="006B6FA8" w:rsidP="006B6FA8">
      <w:pPr>
        <w:jc w:val="left"/>
        <w:rPr>
          <w:snapToGrid w:val="0"/>
          <w:highlight w:val="lightGray"/>
          <w:lang w:val="es-ES_tradnl"/>
        </w:rPr>
      </w:pPr>
      <w:r w:rsidRPr="006B6FA8">
        <w:rPr>
          <w:snapToGrid w:val="0"/>
          <w:highlight w:val="lightGray"/>
          <w:lang w:val="es-ES_tradnl"/>
        </w:rPr>
        <w:br w:type="page"/>
      </w:r>
    </w:p>
    <w:p w14:paraId="769A79E0" w14:textId="77777777" w:rsidR="006B6FA8" w:rsidRPr="006B6FA8" w:rsidRDefault="006B6FA8" w:rsidP="006B6FA8">
      <w:pPr>
        <w:pBdr>
          <w:top w:val="single" w:sz="4" w:space="1" w:color="auto"/>
          <w:left w:val="single" w:sz="4" w:space="4" w:color="auto"/>
          <w:bottom w:val="single" w:sz="4" w:space="1" w:color="auto"/>
          <w:right w:val="single" w:sz="4" w:space="4" w:color="auto"/>
        </w:pBdr>
        <w:jc w:val="center"/>
        <w:rPr>
          <w:snapToGrid w:val="0"/>
          <w:color w:val="000000"/>
          <w:highlight w:val="lightGray"/>
          <w:lang w:val="es-ES_tradnl"/>
        </w:rPr>
      </w:pPr>
      <w:r w:rsidRPr="006B6FA8">
        <w:rPr>
          <w:snapToGrid w:val="0"/>
          <w:highlight w:val="lightGray"/>
          <w:lang w:val="es-ES_tradnl"/>
        </w:rPr>
        <w:lastRenderedPageBreak/>
        <w:t>MODELO: MARCADORES MOLECULARES LIGADOS A CARACTERES</w:t>
      </w:r>
    </w:p>
    <w:p w14:paraId="1F428DB3" w14:textId="77777777" w:rsidR="006B6FA8" w:rsidRPr="006B6FA8" w:rsidRDefault="006B6FA8" w:rsidP="006B6FA8">
      <w:pPr>
        <w:jc w:val="center"/>
        <w:rPr>
          <w:highlight w:val="lightGray"/>
          <w:lang w:val="es-ES_tradnl"/>
        </w:rPr>
      </w:pPr>
    </w:p>
    <w:p w14:paraId="5742C14D" w14:textId="77777777" w:rsidR="006B6FA8" w:rsidRPr="006B6FA8" w:rsidRDefault="006B6FA8" w:rsidP="006B6FA8">
      <w:pPr>
        <w:jc w:val="center"/>
        <w:rPr>
          <w:highlight w:val="lightGray"/>
          <w:lang w:val="es-ES_tradnl"/>
        </w:rPr>
      </w:pPr>
    </w:p>
    <w:p w14:paraId="36FE866F" w14:textId="77777777" w:rsidR="006B6FA8" w:rsidRPr="006B6FA8" w:rsidRDefault="006B6FA8" w:rsidP="006B6FA8">
      <w:pPr>
        <w:spacing w:after="160" w:line="259" w:lineRule="auto"/>
        <w:jc w:val="center"/>
        <w:rPr>
          <w:rFonts w:eastAsia="Calibri" w:cs="Arial"/>
          <w:highlight w:val="lightGray"/>
          <w:u w:val="single"/>
          <w:lang w:val="es-ES_tradnl"/>
        </w:rPr>
      </w:pPr>
      <w:r w:rsidRPr="006B6FA8">
        <w:rPr>
          <w:rFonts w:eastAsia="Calibri" w:cs="Arial"/>
          <w:highlight w:val="lightGray"/>
          <w:u w:val="single"/>
          <w:lang w:val="es-ES_tradnl"/>
        </w:rPr>
        <w:t>EJEMPLO 2:  MARCADOR GENÉTICO ESPECÍFICO CON INFORMACIÓN INCOMPLETA SOBRE EL NIVEL DE EXPRESIÓN DE LA RESISTENCIA A ENFERMEDADES EN EL TOMATE</w:t>
      </w:r>
    </w:p>
    <w:p w14:paraId="5D781389" w14:textId="77777777" w:rsidR="006B6FA8" w:rsidRPr="006B6FA8" w:rsidRDefault="006B6FA8" w:rsidP="006B6FA8">
      <w:pPr>
        <w:spacing w:after="160" w:line="259" w:lineRule="auto"/>
        <w:jc w:val="center"/>
        <w:rPr>
          <w:rFonts w:eastAsia="Calibri" w:cs="Arial"/>
          <w:i/>
          <w:iCs/>
          <w:highlight w:val="lightGray"/>
          <w:u w:val="single"/>
          <w:lang w:val="es-ES_tradnl"/>
        </w:rPr>
      </w:pPr>
      <w:r w:rsidRPr="006B6FA8">
        <w:rPr>
          <w:rFonts w:eastAsia="Calibri" w:cs="Arial"/>
          <w:i/>
          <w:iCs/>
          <w:highlight w:val="lightGray"/>
          <w:u w:val="single"/>
          <w:lang w:val="es-ES_tradnl"/>
        </w:rPr>
        <w:t>elaborado por expertos de los Países Bajos</w:t>
      </w:r>
    </w:p>
    <w:p w14:paraId="629245FC" w14:textId="77777777" w:rsidR="006B6FA8" w:rsidRPr="006B6FA8" w:rsidRDefault="006B6FA8" w:rsidP="006B6FA8">
      <w:pPr>
        <w:autoSpaceDE w:val="0"/>
        <w:autoSpaceDN w:val="0"/>
        <w:adjustRightInd w:val="0"/>
        <w:rPr>
          <w:rFonts w:eastAsia="Calibri" w:cs="Arial"/>
          <w:highlight w:val="lightGray"/>
          <w:u w:val="single"/>
          <w:lang w:val="es-ES_tradnl"/>
        </w:rPr>
      </w:pPr>
    </w:p>
    <w:p w14:paraId="2093BEDF" w14:textId="77777777" w:rsidR="006B6FA8" w:rsidRPr="006B6FA8" w:rsidRDefault="006B6FA8" w:rsidP="006B6FA8">
      <w:pPr>
        <w:autoSpaceDE w:val="0"/>
        <w:autoSpaceDN w:val="0"/>
        <w:adjustRightInd w:val="0"/>
        <w:rPr>
          <w:rFonts w:eastAsia="Calibri" w:cs="Arial"/>
          <w:highlight w:val="lightGray"/>
          <w:u w:val="single"/>
          <w:lang w:val="es-ES_tradnl"/>
        </w:rPr>
      </w:pPr>
      <w:r w:rsidRPr="006B6FA8">
        <w:rPr>
          <w:rFonts w:eastAsia="Calibri" w:cs="Arial"/>
          <w:highlight w:val="lightGray"/>
          <w:u w:val="single"/>
          <w:lang w:val="es-ES_tradnl"/>
        </w:rPr>
        <w:t>Ejemplo</w:t>
      </w:r>
    </w:p>
    <w:p w14:paraId="5F0E412F" w14:textId="77777777" w:rsidR="006B6FA8" w:rsidRPr="006B6FA8" w:rsidRDefault="006B6FA8" w:rsidP="006B6FA8">
      <w:pPr>
        <w:autoSpaceDE w:val="0"/>
        <w:autoSpaceDN w:val="0"/>
        <w:adjustRightInd w:val="0"/>
        <w:rPr>
          <w:rFonts w:eastAsia="Calibri" w:cs="Arial"/>
          <w:highlight w:val="lightGray"/>
          <w:u w:val="single"/>
          <w:lang w:val="es-ES_tradnl"/>
        </w:rPr>
      </w:pPr>
    </w:p>
    <w:p w14:paraId="40E78F8D" w14:textId="77777777" w:rsidR="006B6FA8" w:rsidRPr="006B6FA8" w:rsidRDefault="006B6FA8" w:rsidP="006B6FA8">
      <w:pPr>
        <w:autoSpaceDE w:val="0"/>
        <w:autoSpaceDN w:val="0"/>
        <w:adjustRightInd w:val="0"/>
        <w:rPr>
          <w:rFonts w:eastAsia="Calibri" w:cs="Arial"/>
          <w:szCs w:val="18"/>
          <w:highlight w:val="lightGray"/>
          <w:u w:val="single"/>
          <w:lang w:val="es-ES_tradnl"/>
        </w:rPr>
      </w:pPr>
      <w:r w:rsidRPr="006B6FA8">
        <w:rPr>
          <w:highlight w:val="lightGray"/>
          <w:u w:val="single"/>
          <w:lang w:val="es-ES_tradnl"/>
        </w:rPr>
        <w:t>1.</w:t>
      </w:r>
      <w:r w:rsidRPr="006B6FA8">
        <w:rPr>
          <w:sz w:val="22"/>
          <w:highlight w:val="lightGray"/>
          <w:u w:val="single"/>
          <w:lang w:val="es-ES_tradnl"/>
        </w:rPr>
        <w:tab/>
      </w:r>
      <w:r w:rsidRPr="006B6FA8">
        <w:rPr>
          <w:highlight w:val="lightGray"/>
          <w:u w:val="single"/>
          <w:lang w:val="es-ES_tradnl"/>
        </w:rPr>
        <w:t>La presencia del alelo </w:t>
      </w:r>
      <w:r w:rsidRPr="006B6FA8">
        <w:rPr>
          <w:i/>
          <w:highlight w:val="lightGray"/>
          <w:u w:val="single"/>
          <w:lang w:val="es-ES_tradnl"/>
        </w:rPr>
        <w:t xml:space="preserve">Tm1 </w:t>
      </w:r>
      <w:r w:rsidRPr="006B6FA8">
        <w:rPr>
          <w:highlight w:val="lightGray"/>
          <w:u w:val="single"/>
          <w:lang w:val="es-ES_tradnl"/>
        </w:rPr>
        <w:t>del gen </w:t>
      </w:r>
      <w:r w:rsidRPr="006B6FA8">
        <w:rPr>
          <w:i/>
          <w:highlight w:val="lightGray"/>
          <w:u w:val="single"/>
          <w:lang w:val="es-ES_tradnl"/>
        </w:rPr>
        <w:t xml:space="preserve">Tm1 </w:t>
      </w:r>
      <w:r w:rsidRPr="006B6FA8">
        <w:rPr>
          <w:highlight w:val="lightGray"/>
          <w:u w:val="single"/>
          <w:lang w:val="es-ES_tradnl"/>
        </w:rPr>
        <w:t xml:space="preserve">o de los alelos </w:t>
      </w:r>
      <w:r w:rsidRPr="006B6FA8">
        <w:rPr>
          <w:i/>
          <w:highlight w:val="lightGray"/>
          <w:u w:val="single"/>
          <w:lang w:val="es-ES_tradnl"/>
        </w:rPr>
        <w:t xml:space="preserve">Tm2 </w:t>
      </w:r>
      <w:r w:rsidRPr="006B6FA8">
        <w:rPr>
          <w:highlight w:val="lightGray"/>
          <w:u w:val="single"/>
          <w:lang w:val="es-ES_tradnl"/>
        </w:rPr>
        <w:t xml:space="preserve">o </w:t>
      </w:r>
      <w:r w:rsidRPr="006B6FA8">
        <w:rPr>
          <w:i/>
          <w:highlight w:val="lightGray"/>
          <w:u w:val="single"/>
          <w:lang w:val="es-ES_tradnl"/>
        </w:rPr>
        <w:t>Tm2</w:t>
      </w:r>
      <w:r w:rsidRPr="006B6FA8">
        <w:rPr>
          <w:i/>
          <w:highlight w:val="lightGray"/>
          <w:u w:val="single"/>
          <w:vertAlign w:val="superscript"/>
          <w:lang w:val="es-ES_tradnl"/>
        </w:rPr>
        <w:t>2</w:t>
      </w:r>
      <w:r w:rsidRPr="006B6FA8">
        <w:rPr>
          <w:highlight w:val="lightGray"/>
          <w:u w:val="single"/>
          <w:lang w:val="es-ES_tradnl"/>
        </w:rPr>
        <w:t xml:space="preserve"> del gen </w:t>
      </w:r>
      <w:r w:rsidRPr="006B6FA8">
        <w:rPr>
          <w:i/>
          <w:highlight w:val="lightGray"/>
          <w:u w:val="single"/>
          <w:lang w:val="es-ES_tradnl"/>
        </w:rPr>
        <w:t>Tm2</w:t>
      </w:r>
      <w:r w:rsidRPr="006B6FA8">
        <w:rPr>
          <w:highlight w:val="lightGray"/>
          <w:u w:val="single"/>
          <w:lang w:val="es-ES_tradnl"/>
        </w:rPr>
        <w:t xml:space="preserve"> confiere resistencia a la cepa 0 del virus del mosaico del tomate (</w:t>
      </w:r>
      <w:proofErr w:type="spellStart"/>
      <w:r w:rsidRPr="006B6FA8">
        <w:rPr>
          <w:highlight w:val="lightGray"/>
          <w:u w:val="single"/>
          <w:lang w:val="es-ES_tradnl"/>
        </w:rPr>
        <w:t>ToMV</w:t>
      </w:r>
      <w:proofErr w:type="spellEnd"/>
      <w:r w:rsidRPr="006B6FA8">
        <w:rPr>
          <w:highlight w:val="lightGray"/>
          <w:u w:val="single"/>
          <w:lang w:val="es-ES_tradnl"/>
        </w:rPr>
        <w:t>).</w:t>
      </w:r>
    </w:p>
    <w:p w14:paraId="0E7AE825" w14:textId="77777777" w:rsidR="006B6FA8" w:rsidRPr="006B6FA8" w:rsidRDefault="006B6FA8" w:rsidP="006B6FA8">
      <w:pPr>
        <w:autoSpaceDE w:val="0"/>
        <w:autoSpaceDN w:val="0"/>
        <w:adjustRightInd w:val="0"/>
        <w:rPr>
          <w:rFonts w:eastAsia="Calibri" w:cs="Arial"/>
          <w:szCs w:val="18"/>
          <w:highlight w:val="lightGray"/>
          <w:u w:val="single"/>
          <w:lang w:val="es-ES_tradnl"/>
        </w:rPr>
      </w:pPr>
    </w:p>
    <w:p w14:paraId="1C2897B4" w14:textId="77777777" w:rsidR="006B6FA8" w:rsidRPr="006B6FA8" w:rsidRDefault="006B6FA8" w:rsidP="006B6FA8">
      <w:pPr>
        <w:autoSpaceDE w:val="0"/>
        <w:autoSpaceDN w:val="0"/>
        <w:adjustRightInd w:val="0"/>
        <w:rPr>
          <w:rFonts w:eastAsia="Calibri" w:cs="Arial"/>
          <w:highlight w:val="lightGray"/>
          <w:u w:val="single"/>
          <w:lang w:val="es-ES_tradnl"/>
        </w:rPr>
      </w:pPr>
      <w:r w:rsidRPr="006B6FA8">
        <w:rPr>
          <w:highlight w:val="lightGray"/>
          <w:u w:val="single"/>
          <w:lang w:val="es-ES_tradnl"/>
        </w:rPr>
        <w:t>2.</w:t>
      </w:r>
      <w:r w:rsidRPr="006B6FA8">
        <w:rPr>
          <w:sz w:val="22"/>
          <w:highlight w:val="lightGray"/>
          <w:u w:val="single"/>
          <w:lang w:val="es-ES_tradnl"/>
        </w:rPr>
        <w:tab/>
      </w:r>
      <w:r w:rsidRPr="006B6FA8">
        <w:rPr>
          <w:highlight w:val="lightGray"/>
          <w:u w:val="single"/>
          <w:lang w:val="es-ES_tradnl"/>
        </w:rPr>
        <w:t xml:space="preserve">Un solo marcador señala la presencia de los alelos de resistencia </w:t>
      </w:r>
      <w:r w:rsidRPr="006B6FA8">
        <w:rPr>
          <w:i/>
          <w:highlight w:val="lightGray"/>
          <w:u w:val="single"/>
          <w:lang w:val="es-ES_tradnl"/>
        </w:rPr>
        <w:t>Tm2</w:t>
      </w:r>
      <w:r w:rsidRPr="006B6FA8">
        <w:rPr>
          <w:highlight w:val="lightGray"/>
          <w:u w:val="single"/>
          <w:lang w:val="es-ES_tradnl"/>
        </w:rPr>
        <w:t xml:space="preserve"> y </w:t>
      </w:r>
      <w:r w:rsidRPr="006B6FA8">
        <w:rPr>
          <w:i/>
          <w:highlight w:val="lightGray"/>
          <w:u w:val="single"/>
          <w:lang w:val="es-ES_tradnl"/>
        </w:rPr>
        <w:t>Tm2</w:t>
      </w:r>
      <w:r w:rsidRPr="006B6FA8">
        <w:rPr>
          <w:i/>
          <w:highlight w:val="lightGray"/>
          <w:u w:val="single"/>
          <w:vertAlign w:val="superscript"/>
          <w:lang w:val="es-ES_tradnl"/>
        </w:rPr>
        <w:t>2</w:t>
      </w:r>
      <w:r w:rsidRPr="006B6FA8">
        <w:rPr>
          <w:highlight w:val="lightGray"/>
          <w:u w:val="single"/>
          <w:lang w:val="es-ES_tradnl"/>
        </w:rPr>
        <w:t xml:space="preserve"> y del alelo susceptible </w:t>
      </w:r>
      <w:r w:rsidRPr="006B6FA8">
        <w:rPr>
          <w:i/>
          <w:highlight w:val="lightGray"/>
          <w:u w:val="single"/>
          <w:lang w:val="es-ES_tradnl"/>
        </w:rPr>
        <w:t>tm2</w:t>
      </w:r>
      <w:r w:rsidRPr="006B6FA8">
        <w:rPr>
          <w:highlight w:val="lightGray"/>
          <w:u w:val="single"/>
          <w:lang w:val="es-ES_tradnl"/>
        </w:rPr>
        <w:t>. Es el marcador</w:t>
      </w:r>
      <w:r w:rsidRPr="006B6FA8">
        <w:rPr>
          <w:i/>
          <w:highlight w:val="lightGray"/>
          <w:u w:val="single"/>
          <w:lang w:val="es-ES_tradnl"/>
        </w:rPr>
        <w:t> Tm2/2</w:t>
      </w:r>
      <w:r w:rsidRPr="006B6FA8">
        <w:rPr>
          <w:i/>
          <w:highlight w:val="lightGray"/>
          <w:u w:val="single"/>
          <w:vertAlign w:val="superscript"/>
          <w:lang w:val="es-ES_tradnl"/>
        </w:rPr>
        <w:t>2</w:t>
      </w:r>
      <w:r w:rsidRPr="006B6FA8">
        <w:rPr>
          <w:highlight w:val="lightGray"/>
          <w:u w:val="single"/>
          <w:lang w:val="es-ES_tradnl"/>
        </w:rPr>
        <w:t xml:space="preserve"> el cual está posicionado en la secuencia que codifica la proteína.</w:t>
      </w:r>
    </w:p>
    <w:p w14:paraId="5C509A13" w14:textId="77777777" w:rsidR="006B6FA8" w:rsidRPr="006B6FA8" w:rsidRDefault="006B6FA8" w:rsidP="006B6FA8">
      <w:pPr>
        <w:autoSpaceDE w:val="0"/>
        <w:autoSpaceDN w:val="0"/>
        <w:adjustRightInd w:val="0"/>
        <w:rPr>
          <w:rFonts w:eastAsia="Calibri" w:cs="Arial"/>
          <w:highlight w:val="lightGray"/>
          <w:u w:val="single"/>
          <w:lang w:val="es-ES_tradnl"/>
        </w:rPr>
      </w:pPr>
    </w:p>
    <w:p w14:paraId="1B33A1E6" w14:textId="77777777" w:rsidR="006B6FA8" w:rsidRPr="006B6FA8" w:rsidRDefault="006B6FA8" w:rsidP="006B6FA8">
      <w:pPr>
        <w:autoSpaceDE w:val="0"/>
        <w:autoSpaceDN w:val="0"/>
        <w:adjustRightInd w:val="0"/>
        <w:rPr>
          <w:rFonts w:eastAsia="Calibri" w:cs="Arial"/>
          <w:highlight w:val="lightGray"/>
          <w:u w:val="single"/>
          <w:lang w:val="es-ES_tradnl"/>
        </w:rPr>
      </w:pPr>
      <w:r w:rsidRPr="006B6FA8">
        <w:rPr>
          <w:highlight w:val="lightGray"/>
          <w:u w:val="single"/>
          <w:lang w:val="es-ES_tradnl"/>
        </w:rPr>
        <w:t>3.</w:t>
      </w:r>
      <w:r w:rsidRPr="006B6FA8">
        <w:rPr>
          <w:sz w:val="22"/>
          <w:highlight w:val="lightGray"/>
          <w:u w:val="single"/>
          <w:lang w:val="es-ES_tradnl"/>
        </w:rPr>
        <w:tab/>
      </w:r>
      <w:r w:rsidRPr="006B6FA8">
        <w:rPr>
          <w:highlight w:val="lightGray"/>
          <w:u w:val="single"/>
          <w:lang w:val="es-ES_tradnl"/>
        </w:rPr>
        <w:t>Una variedad es resistente a la cepa 0 del </w:t>
      </w:r>
      <w:proofErr w:type="spellStart"/>
      <w:r w:rsidRPr="006B6FA8">
        <w:rPr>
          <w:highlight w:val="lightGray"/>
          <w:u w:val="single"/>
          <w:lang w:val="es-ES_tradnl"/>
        </w:rPr>
        <w:t>ToMV</w:t>
      </w:r>
      <w:proofErr w:type="spellEnd"/>
      <w:r w:rsidRPr="006B6FA8">
        <w:rPr>
          <w:highlight w:val="lightGray"/>
          <w:u w:val="single"/>
          <w:lang w:val="es-ES_tradnl"/>
        </w:rPr>
        <w:t xml:space="preserve"> si es portadora del alelo de resistencia </w:t>
      </w:r>
      <w:r w:rsidRPr="006B6FA8">
        <w:rPr>
          <w:i/>
          <w:highlight w:val="lightGray"/>
          <w:u w:val="single"/>
          <w:lang w:val="es-ES_tradnl"/>
        </w:rPr>
        <w:t>Tm2</w:t>
      </w:r>
      <w:r w:rsidRPr="006B6FA8">
        <w:rPr>
          <w:highlight w:val="lightGray"/>
          <w:u w:val="single"/>
          <w:lang w:val="es-ES_tradnl"/>
        </w:rPr>
        <w:t xml:space="preserve"> o del alelo de resistencia </w:t>
      </w:r>
      <w:r w:rsidRPr="006B6FA8">
        <w:rPr>
          <w:i/>
          <w:highlight w:val="lightGray"/>
          <w:u w:val="single"/>
          <w:lang w:val="es-ES_tradnl"/>
        </w:rPr>
        <w:t>Tm2</w:t>
      </w:r>
      <w:r w:rsidRPr="006B6FA8">
        <w:rPr>
          <w:i/>
          <w:highlight w:val="lightGray"/>
          <w:u w:val="single"/>
          <w:vertAlign w:val="superscript"/>
          <w:lang w:val="es-ES_tradnl"/>
        </w:rPr>
        <w:t>2</w:t>
      </w:r>
      <w:r w:rsidRPr="006B6FA8">
        <w:rPr>
          <w:highlight w:val="lightGray"/>
          <w:u w:val="single"/>
          <w:lang w:val="es-ES_tradnl"/>
        </w:rPr>
        <w:t xml:space="preserve">. </w:t>
      </w:r>
    </w:p>
    <w:p w14:paraId="26D6A39D" w14:textId="77777777" w:rsidR="006B6FA8" w:rsidRPr="006B6FA8" w:rsidRDefault="006B6FA8" w:rsidP="006B6FA8">
      <w:pPr>
        <w:autoSpaceDE w:val="0"/>
        <w:autoSpaceDN w:val="0"/>
        <w:adjustRightInd w:val="0"/>
        <w:rPr>
          <w:rFonts w:eastAsia="Calibri" w:cs="Arial"/>
          <w:highlight w:val="lightGray"/>
          <w:u w:val="single"/>
          <w:lang w:val="es-ES_tradnl"/>
        </w:rPr>
      </w:pPr>
    </w:p>
    <w:p w14:paraId="134F7436" w14:textId="77777777" w:rsidR="006B6FA8" w:rsidRPr="006B6FA8" w:rsidRDefault="006B6FA8" w:rsidP="006B6FA8">
      <w:pPr>
        <w:autoSpaceDE w:val="0"/>
        <w:autoSpaceDN w:val="0"/>
        <w:adjustRightInd w:val="0"/>
        <w:rPr>
          <w:rFonts w:eastAsia="Calibri" w:cs="Arial"/>
          <w:highlight w:val="lightGray"/>
          <w:u w:val="single"/>
          <w:lang w:val="es-ES_tradnl"/>
        </w:rPr>
      </w:pPr>
      <w:r w:rsidRPr="006B6FA8">
        <w:rPr>
          <w:highlight w:val="lightGray"/>
          <w:u w:val="single"/>
          <w:lang w:val="es-ES_tradnl"/>
        </w:rPr>
        <w:t>4.</w:t>
      </w:r>
      <w:r w:rsidRPr="006B6FA8">
        <w:rPr>
          <w:sz w:val="22"/>
          <w:highlight w:val="lightGray"/>
          <w:u w:val="single"/>
          <w:lang w:val="es-ES_tradnl"/>
        </w:rPr>
        <w:tab/>
      </w:r>
      <w:r w:rsidRPr="006B6FA8">
        <w:rPr>
          <w:highlight w:val="lightGray"/>
          <w:u w:val="single"/>
          <w:lang w:val="es-ES_tradnl"/>
        </w:rPr>
        <w:t xml:space="preserve">Una variedad homocigótica </w:t>
      </w:r>
      <w:r w:rsidRPr="006B6FA8">
        <w:rPr>
          <w:i/>
          <w:highlight w:val="lightGray"/>
          <w:u w:val="single"/>
          <w:lang w:val="es-ES_tradnl"/>
        </w:rPr>
        <w:t>tm2/tm2</w:t>
      </w:r>
      <w:r w:rsidRPr="006B6FA8">
        <w:rPr>
          <w:highlight w:val="lightGray"/>
          <w:u w:val="single"/>
          <w:lang w:val="es-ES_tradnl"/>
        </w:rPr>
        <w:t xml:space="preserve"> es susceptible a la cepa 0 del </w:t>
      </w:r>
      <w:proofErr w:type="spellStart"/>
      <w:r w:rsidRPr="006B6FA8">
        <w:rPr>
          <w:highlight w:val="lightGray"/>
          <w:u w:val="single"/>
          <w:lang w:val="es-ES_tradnl"/>
        </w:rPr>
        <w:t>ToMV</w:t>
      </w:r>
      <w:proofErr w:type="spellEnd"/>
      <w:r w:rsidRPr="006B6FA8">
        <w:rPr>
          <w:highlight w:val="lightGray"/>
          <w:u w:val="single"/>
          <w:lang w:val="es-ES_tradnl"/>
        </w:rPr>
        <w:t>, a no ser que el alelo de resistencia </w:t>
      </w:r>
      <w:r w:rsidRPr="006B6FA8">
        <w:rPr>
          <w:i/>
          <w:highlight w:val="lightGray"/>
          <w:u w:val="single"/>
          <w:lang w:val="es-ES_tradnl"/>
        </w:rPr>
        <w:t>Tm1</w:t>
      </w:r>
      <w:r w:rsidRPr="006B6FA8">
        <w:rPr>
          <w:highlight w:val="lightGray"/>
          <w:u w:val="single"/>
          <w:lang w:val="es-ES_tradnl"/>
        </w:rPr>
        <w:t xml:space="preserve"> codifique la resistencia. En este caso, no es posible determinar la resistencia a la cepa 0 del </w:t>
      </w:r>
      <w:proofErr w:type="spellStart"/>
      <w:r w:rsidRPr="006B6FA8">
        <w:rPr>
          <w:highlight w:val="lightGray"/>
          <w:u w:val="single"/>
          <w:lang w:val="es-ES_tradnl"/>
        </w:rPr>
        <w:t>ToMV</w:t>
      </w:r>
      <w:proofErr w:type="spellEnd"/>
      <w:r w:rsidRPr="006B6FA8">
        <w:rPr>
          <w:highlight w:val="lightGray"/>
          <w:u w:val="single"/>
          <w:lang w:val="es-ES_tradnl"/>
        </w:rPr>
        <w:t xml:space="preserve"> mediante el análisis del marcador de ADN, porque no existe un marcador fiable del gen Tm1.</w:t>
      </w:r>
    </w:p>
    <w:p w14:paraId="6A29FB9B" w14:textId="77777777" w:rsidR="006B6FA8" w:rsidRPr="006B6FA8" w:rsidRDefault="006B6FA8" w:rsidP="006B6FA8">
      <w:pPr>
        <w:autoSpaceDE w:val="0"/>
        <w:autoSpaceDN w:val="0"/>
        <w:adjustRightInd w:val="0"/>
        <w:rPr>
          <w:rFonts w:eastAsia="Calibri" w:cs="Arial"/>
          <w:highlight w:val="lightGray"/>
          <w:u w:val="single"/>
          <w:lang w:val="es-ES_tradnl"/>
        </w:rPr>
      </w:pPr>
    </w:p>
    <w:p w14:paraId="67A647CB" w14:textId="77777777" w:rsidR="006B6FA8" w:rsidRPr="006B6FA8" w:rsidRDefault="006B6FA8" w:rsidP="006B6FA8">
      <w:pPr>
        <w:autoSpaceDE w:val="0"/>
        <w:autoSpaceDN w:val="0"/>
        <w:adjustRightInd w:val="0"/>
        <w:rPr>
          <w:rFonts w:eastAsia="Calibri" w:cs="Arial"/>
          <w:highlight w:val="lightGray"/>
          <w:u w:val="single"/>
          <w:lang w:val="es-ES_tradnl"/>
        </w:rPr>
      </w:pPr>
    </w:p>
    <w:p w14:paraId="711D1275" w14:textId="77777777" w:rsidR="006B6FA8" w:rsidRPr="006B6FA8" w:rsidRDefault="006B6FA8" w:rsidP="006B6FA8">
      <w:pPr>
        <w:keepNext/>
        <w:autoSpaceDE w:val="0"/>
        <w:autoSpaceDN w:val="0"/>
        <w:adjustRightInd w:val="0"/>
        <w:rPr>
          <w:rFonts w:eastAsia="Calibri" w:cs="Arial"/>
          <w:highlight w:val="lightGray"/>
          <w:u w:val="single"/>
          <w:lang w:val="es-ES_tradnl"/>
        </w:rPr>
      </w:pPr>
      <w:r w:rsidRPr="006B6FA8">
        <w:rPr>
          <w:highlight w:val="lightGray"/>
          <w:u w:val="single"/>
          <w:lang w:val="es-ES_tradnl"/>
        </w:rPr>
        <w:t>Cuadro 1. Resumen esquemático de la resistencia al virus del mosaico del tomate y los alelos de resistencia:</w:t>
      </w:r>
    </w:p>
    <w:p w14:paraId="0359F8EF" w14:textId="77777777" w:rsidR="006B6FA8" w:rsidRPr="006B6FA8" w:rsidRDefault="006B6FA8" w:rsidP="006B6FA8">
      <w:pPr>
        <w:keepNext/>
        <w:autoSpaceDE w:val="0"/>
        <w:autoSpaceDN w:val="0"/>
        <w:adjustRightInd w:val="0"/>
        <w:rPr>
          <w:rFonts w:eastAsia="Calibri" w:cs="Arial"/>
          <w:szCs w:val="19"/>
          <w:highlight w:val="lightGray"/>
          <w:u w:val="single"/>
          <w:lang w:val="es-ES_tradnl"/>
        </w:rPr>
      </w:pPr>
    </w:p>
    <w:tbl>
      <w:tblPr>
        <w:tblStyle w:val="TableGrid"/>
        <w:tblW w:w="9180" w:type="dxa"/>
        <w:jc w:val="center"/>
        <w:tblLayout w:type="fixed"/>
        <w:tblLook w:val="04A0" w:firstRow="1" w:lastRow="0" w:firstColumn="1" w:lastColumn="0" w:noHBand="0" w:noVBand="1"/>
      </w:tblPr>
      <w:tblGrid>
        <w:gridCol w:w="2376"/>
        <w:gridCol w:w="1985"/>
        <w:gridCol w:w="2977"/>
        <w:gridCol w:w="1842"/>
      </w:tblGrid>
      <w:tr w:rsidR="006B6FA8" w:rsidRPr="006B6FA8" w14:paraId="7B8EB23F" w14:textId="77777777" w:rsidTr="00D60821">
        <w:trPr>
          <w:jc w:val="center"/>
        </w:trPr>
        <w:tc>
          <w:tcPr>
            <w:tcW w:w="2376" w:type="dxa"/>
            <w:vAlign w:val="center"/>
          </w:tcPr>
          <w:p w14:paraId="2DAFA7FD" w14:textId="77777777" w:rsidR="006B6FA8" w:rsidRPr="006B6FA8" w:rsidRDefault="006B6FA8" w:rsidP="006B6FA8">
            <w:pPr>
              <w:keepNext/>
              <w:autoSpaceDE w:val="0"/>
              <w:autoSpaceDN w:val="0"/>
              <w:adjustRightInd w:val="0"/>
              <w:ind w:left="180"/>
              <w:jc w:val="left"/>
              <w:rPr>
                <w:rFonts w:cs="Arial"/>
                <w:szCs w:val="19"/>
                <w:highlight w:val="lightGray"/>
                <w:u w:val="single"/>
                <w:lang w:val="es-ES_tradnl"/>
              </w:rPr>
            </w:pPr>
            <w:r w:rsidRPr="006B6FA8">
              <w:rPr>
                <w:highlight w:val="lightGray"/>
                <w:u w:val="single"/>
                <w:lang w:val="es-ES_tradnl"/>
              </w:rPr>
              <w:t>Genotipo</w:t>
            </w:r>
          </w:p>
        </w:tc>
        <w:tc>
          <w:tcPr>
            <w:tcW w:w="1985" w:type="dxa"/>
            <w:vAlign w:val="center"/>
          </w:tcPr>
          <w:p w14:paraId="46CC7378" w14:textId="77777777" w:rsidR="006B6FA8" w:rsidRPr="006B6FA8" w:rsidRDefault="006B6FA8" w:rsidP="006B6FA8">
            <w:pPr>
              <w:keepNext/>
              <w:autoSpaceDE w:val="0"/>
              <w:autoSpaceDN w:val="0"/>
              <w:adjustRightInd w:val="0"/>
              <w:ind w:left="36" w:right="34"/>
              <w:jc w:val="left"/>
              <w:rPr>
                <w:rFonts w:cs="Arial"/>
                <w:i/>
                <w:szCs w:val="19"/>
                <w:highlight w:val="lightGray"/>
                <w:u w:val="single"/>
                <w:lang w:val="es-ES_tradnl"/>
              </w:rPr>
            </w:pPr>
            <w:r w:rsidRPr="006B6FA8">
              <w:rPr>
                <w:i/>
                <w:highlight w:val="lightGray"/>
                <w:u w:val="single"/>
                <w:lang w:val="es-ES_tradnl"/>
              </w:rPr>
              <w:t xml:space="preserve">tm2/tm2 </w:t>
            </w:r>
          </w:p>
          <w:p w14:paraId="2C76A547" w14:textId="77777777" w:rsidR="006B6FA8" w:rsidRPr="006B6FA8" w:rsidRDefault="006B6FA8" w:rsidP="006B6FA8">
            <w:pPr>
              <w:keepNext/>
              <w:autoSpaceDE w:val="0"/>
              <w:autoSpaceDN w:val="0"/>
              <w:adjustRightInd w:val="0"/>
              <w:ind w:left="36" w:right="34"/>
              <w:jc w:val="left"/>
              <w:rPr>
                <w:rFonts w:cs="Arial"/>
                <w:szCs w:val="19"/>
                <w:highlight w:val="lightGray"/>
                <w:u w:val="single"/>
                <w:lang w:val="es-ES_tradnl"/>
              </w:rPr>
            </w:pPr>
          </w:p>
          <w:p w14:paraId="5EAF50BC" w14:textId="77777777" w:rsidR="006B6FA8" w:rsidRPr="006B6FA8" w:rsidRDefault="006B6FA8" w:rsidP="006B6FA8">
            <w:pPr>
              <w:keepNext/>
              <w:autoSpaceDE w:val="0"/>
              <w:autoSpaceDN w:val="0"/>
              <w:adjustRightInd w:val="0"/>
              <w:ind w:left="36" w:right="34"/>
              <w:jc w:val="left"/>
              <w:rPr>
                <w:rFonts w:cs="Arial"/>
                <w:szCs w:val="19"/>
                <w:highlight w:val="lightGray"/>
                <w:u w:val="single"/>
                <w:lang w:val="es-ES_tradnl"/>
              </w:rPr>
            </w:pPr>
            <w:r w:rsidRPr="006B6FA8">
              <w:rPr>
                <w:highlight w:val="lightGray"/>
                <w:u w:val="single"/>
                <w:lang w:val="es-ES_tradnl"/>
              </w:rPr>
              <w:t xml:space="preserve">y </w:t>
            </w:r>
          </w:p>
          <w:p w14:paraId="06B92221" w14:textId="77777777" w:rsidR="006B6FA8" w:rsidRPr="006B6FA8" w:rsidRDefault="006B6FA8" w:rsidP="006B6FA8">
            <w:pPr>
              <w:keepNext/>
              <w:autoSpaceDE w:val="0"/>
              <w:autoSpaceDN w:val="0"/>
              <w:adjustRightInd w:val="0"/>
              <w:ind w:left="36" w:right="34"/>
              <w:jc w:val="left"/>
              <w:rPr>
                <w:rFonts w:cs="Arial"/>
                <w:szCs w:val="19"/>
                <w:highlight w:val="lightGray"/>
                <w:u w:val="single"/>
                <w:lang w:val="es-ES_tradnl"/>
              </w:rPr>
            </w:pPr>
          </w:p>
          <w:p w14:paraId="075EF9B3" w14:textId="77777777" w:rsidR="006B6FA8" w:rsidRPr="006B6FA8" w:rsidRDefault="006B6FA8" w:rsidP="006B6FA8">
            <w:pPr>
              <w:keepNext/>
              <w:autoSpaceDE w:val="0"/>
              <w:autoSpaceDN w:val="0"/>
              <w:adjustRightInd w:val="0"/>
              <w:ind w:left="36" w:right="34"/>
              <w:jc w:val="left"/>
              <w:rPr>
                <w:rFonts w:cs="Arial"/>
                <w:i/>
                <w:szCs w:val="19"/>
                <w:highlight w:val="lightGray"/>
                <w:u w:val="single"/>
                <w:lang w:val="es-ES_tradnl"/>
              </w:rPr>
            </w:pPr>
            <w:r w:rsidRPr="006B6FA8">
              <w:rPr>
                <w:i/>
                <w:highlight w:val="lightGray"/>
                <w:u w:val="single"/>
                <w:lang w:val="es-ES_tradnl"/>
              </w:rPr>
              <w:t>tm1/tm1</w:t>
            </w:r>
          </w:p>
          <w:p w14:paraId="619DF3DC" w14:textId="77777777" w:rsidR="006B6FA8" w:rsidRPr="006B6FA8" w:rsidRDefault="006B6FA8" w:rsidP="006B6FA8">
            <w:pPr>
              <w:keepNext/>
              <w:autoSpaceDE w:val="0"/>
              <w:autoSpaceDN w:val="0"/>
              <w:adjustRightInd w:val="0"/>
              <w:ind w:left="36" w:right="34"/>
              <w:jc w:val="left"/>
              <w:rPr>
                <w:rFonts w:cs="Arial"/>
                <w:szCs w:val="19"/>
                <w:highlight w:val="lightGray"/>
                <w:u w:val="single"/>
                <w:lang w:val="es-ES_tradnl"/>
              </w:rPr>
            </w:pPr>
          </w:p>
        </w:tc>
        <w:tc>
          <w:tcPr>
            <w:tcW w:w="2977" w:type="dxa"/>
            <w:vAlign w:val="center"/>
          </w:tcPr>
          <w:p w14:paraId="03A122BB" w14:textId="77777777" w:rsidR="006B6FA8" w:rsidRPr="006B6FA8" w:rsidRDefault="006B6FA8" w:rsidP="006B6FA8">
            <w:pPr>
              <w:keepNext/>
              <w:autoSpaceDE w:val="0"/>
              <w:autoSpaceDN w:val="0"/>
              <w:adjustRightInd w:val="0"/>
              <w:ind w:left="36"/>
              <w:jc w:val="left"/>
              <w:rPr>
                <w:rFonts w:cs="Arial"/>
                <w:szCs w:val="19"/>
                <w:highlight w:val="lightGray"/>
                <w:u w:val="single"/>
                <w:lang w:val="pt-PT"/>
              </w:rPr>
            </w:pPr>
            <w:r w:rsidRPr="006B6FA8">
              <w:rPr>
                <w:i/>
                <w:highlight w:val="lightGray"/>
                <w:u w:val="single"/>
                <w:lang w:val="pt-PT"/>
              </w:rPr>
              <w:t>Tm2/Tm2 o Tm2</w:t>
            </w:r>
            <w:r w:rsidRPr="006B6FA8">
              <w:rPr>
                <w:i/>
                <w:highlight w:val="lightGray"/>
                <w:u w:val="single"/>
                <w:vertAlign w:val="superscript"/>
                <w:lang w:val="pt-PT"/>
              </w:rPr>
              <w:t>2</w:t>
            </w:r>
            <w:r w:rsidRPr="006B6FA8">
              <w:rPr>
                <w:i/>
                <w:highlight w:val="lightGray"/>
                <w:u w:val="single"/>
                <w:lang w:val="pt-PT"/>
              </w:rPr>
              <w:t>/Tm2</w:t>
            </w:r>
            <w:r w:rsidRPr="006B6FA8">
              <w:rPr>
                <w:i/>
                <w:highlight w:val="lightGray"/>
                <w:u w:val="single"/>
                <w:vertAlign w:val="superscript"/>
                <w:lang w:val="pt-PT"/>
              </w:rPr>
              <w:t>2</w:t>
            </w:r>
            <w:r w:rsidRPr="006B6FA8">
              <w:rPr>
                <w:highlight w:val="lightGray"/>
                <w:u w:val="single"/>
                <w:lang w:val="pt-PT"/>
              </w:rPr>
              <w:t xml:space="preserve"> o </w:t>
            </w:r>
            <w:r w:rsidRPr="006B6FA8">
              <w:rPr>
                <w:i/>
                <w:highlight w:val="lightGray"/>
                <w:u w:val="single"/>
                <w:lang w:val="pt-PT"/>
              </w:rPr>
              <w:t>Tm2</w:t>
            </w:r>
            <w:r w:rsidRPr="006B6FA8">
              <w:rPr>
                <w:i/>
                <w:highlight w:val="lightGray"/>
                <w:u w:val="single"/>
                <w:vertAlign w:val="superscript"/>
                <w:lang w:val="pt-PT"/>
              </w:rPr>
              <w:t>2</w:t>
            </w:r>
            <w:r w:rsidRPr="006B6FA8">
              <w:rPr>
                <w:i/>
                <w:highlight w:val="lightGray"/>
                <w:u w:val="single"/>
                <w:lang w:val="pt-PT"/>
              </w:rPr>
              <w:t>/Tm2</w:t>
            </w:r>
            <w:r w:rsidRPr="006B6FA8">
              <w:rPr>
                <w:highlight w:val="lightGray"/>
                <w:u w:val="single"/>
                <w:lang w:val="pt-PT"/>
              </w:rPr>
              <w:t xml:space="preserve"> o </w:t>
            </w:r>
          </w:p>
          <w:p w14:paraId="57BE114F" w14:textId="77777777" w:rsidR="006B6FA8" w:rsidRPr="006B6FA8" w:rsidRDefault="006B6FA8" w:rsidP="006B6FA8">
            <w:pPr>
              <w:keepNext/>
              <w:autoSpaceDE w:val="0"/>
              <w:autoSpaceDN w:val="0"/>
              <w:adjustRightInd w:val="0"/>
              <w:ind w:left="36"/>
              <w:jc w:val="left"/>
              <w:rPr>
                <w:rFonts w:cs="Arial"/>
                <w:i/>
                <w:szCs w:val="19"/>
                <w:highlight w:val="lightGray"/>
                <w:u w:val="single"/>
                <w:lang w:val="pt-PT"/>
              </w:rPr>
            </w:pPr>
            <w:r w:rsidRPr="006B6FA8">
              <w:rPr>
                <w:i/>
                <w:highlight w:val="lightGray"/>
                <w:u w:val="single"/>
                <w:lang w:val="pt-PT"/>
              </w:rPr>
              <w:t>Tm2/tm2 o Tm2</w:t>
            </w:r>
            <w:r w:rsidRPr="006B6FA8">
              <w:rPr>
                <w:i/>
                <w:highlight w:val="lightGray"/>
                <w:u w:val="single"/>
                <w:vertAlign w:val="superscript"/>
                <w:lang w:val="pt-PT"/>
              </w:rPr>
              <w:t>2</w:t>
            </w:r>
            <w:r w:rsidRPr="006B6FA8">
              <w:rPr>
                <w:i/>
                <w:highlight w:val="lightGray"/>
                <w:u w:val="single"/>
                <w:lang w:val="pt-PT"/>
              </w:rPr>
              <w:t>/tm2</w:t>
            </w:r>
          </w:p>
          <w:p w14:paraId="31AAF870" w14:textId="77777777" w:rsidR="006B6FA8" w:rsidRPr="006B6FA8" w:rsidRDefault="006B6FA8" w:rsidP="006B6FA8">
            <w:pPr>
              <w:keepNext/>
              <w:autoSpaceDE w:val="0"/>
              <w:autoSpaceDN w:val="0"/>
              <w:adjustRightInd w:val="0"/>
              <w:ind w:left="36"/>
              <w:jc w:val="left"/>
              <w:rPr>
                <w:rFonts w:cs="Arial"/>
                <w:szCs w:val="19"/>
                <w:highlight w:val="lightGray"/>
                <w:u w:val="single"/>
                <w:lang w:val="pt-PT"/>
              </w:rPr>
            </w:pPr>
          </w:p>
          <w:p w14:paraId="0709BA61" w14:textId="77777777" w:rsidR="006B6FA8" w:rsidRPr="006B6FA8" w:rsidRDefault="006B6FA8" w:rsidP="006B6FA8">
            <w:pPr>
              <w:keepNext/>
              <w:autoSpaceDE w:val="0"/>
              <w:autoSpaceDN w:val="0"/>
              <w:adjustRightInd w:val="0"/>
              <w:ind w:left="36"/>
              <w:jc w:val="left"/>
              <w:rPr>
                <w:rFonts w:cs="Arial"/>
                <w:szCs w:val="19"/>
                <w:highlight w:val="lightGray"/>
                <w:u w:val="single"/>
                <w:lang w:val="pt-PT"/>
              </w:rPr>
            </w:pPr>
            <w:r w:rsidRPr="006B6FA8">
              <w:rPr>
                <w:highlight w:val="lightGray"/>
                <w:u w:val="single"/>
                <w:lang w:val="pt-PT"/>
              </w:rPr>
              <w:t xml:space="preserve">y </w:t>
            </w:r>
          </w:p>
          <w:p w14:paraId="1B3FDEFA" w14:textId="77777777" w:rsidR="006B6FA8" w:rsidRPr="006B6FA8" w:rsidRDefault="006B6FA8" w:rsidP="006B6FA8">
            <w:pPr>
              <w:keepNext/>
              <w:autoSpaceDE w:val="0"/>
              <w:autoSpaceDN w:val="0"/>
              <w:adjustRightInd w:val="0"/>
              <w:ind w:left="36"/>
              <w:jc w:val="left"/>
              <w:rPr>
                <w:rFonts w:cs="Arial"/>
                <w:szCs w:val="19"/>
                <w:highlight w:val="lightGray"/>
                <w:u w:val="single"/>
                <w:lang w:val="pt-PT"/>
              </w:rPr>
            </w:pPr>
          </w:p>
          <w:p w14:paraId="7C59D816" w14:textId="77777777" w:rsidR="006B6FA8" w:rsidRPr="006B6FA8" w:rsidRDefault="006B6FA8" w:rsidP="006B6FA8">
            <w:pPr>
              <w:keepNext/>
              <w:autoSpaceDE w:val="0"/>
              <w:autoSpaceDN w:val="0"/>
              <w:adjustRightInd w:val="0"/>
              <w:spacing w:before="60"/>
              <w:ind w:left="36"/>
              <w:jc w:val="left"/>
              <w:rPr>
                <w:rFonts w:cs="Arial"/>
                <w:szCs w:val="19"/>
                <w:highlight w:val="lightGray"/>
                <w:u w:val="single"/>
                <w:lang w:val="pt-PT"/>
              </w:rPr>
            </w:pPr>
            <w:r w:rsidRPr="006B6FA8">
              <w:rPr>
                <w:i/>
                <w:highlight w:val="lightGray"/>
                <w:u w:val="single"/>
                <w:lang w:val="pt-PT"/>
              </w:rPr>
              <w:t>Tm1/Tm1</w:t>
            </w:r>
            <w:r w:rsidRPr="006B6FA8">
              <w:rPr>
                <w:highlight w:val="lightGray"/>
                <w:u w:val="single"/>
                <w:lang w:val="pt-PT"/>
              </w:rPr>
              <w:t xml:space="preserve"> o </w:t>
            </w:r>
            <w:r w:rsidRPr="006B6FA8">
              <w:rPr>
                <w:i/>
                <w:highlight w:val="lightGray"/>
                <w:u w:val="single"/>
                <w:lang w:val="pt-PT"/>
              </w:rPr>
              <w:t>Tm1/tm1</w:t>
            </w:r>
            <w:r w:rsidRPr="006B6FA8">
              <w:rPr>
                <w:highlight w:val="lightGray"/>
                <w:u w:val="single"/>
                <w:lang w:val="pt-PT"/>
              </w:rPr>
              <w:t xml:space="preserve"> o </w:t>
            </w:r>
            <w:r w:rsidRPr="006B6FA8">
              <w:rPr>
                <w:i/>
                <w:highlight w:val="lightGray"/>
                <w:u w:val="single"/>
                <w:lang w:val="pt-PT"/>
              </w:rPr>
              <w:t>tm1/tm1</w:t>
            </w:r>
          </w:p>
        </w:tc>
        <w:tc>
          <w:tcPr>
            <w:tcW w:w="1842" w:type="dxa"/>
            <w:vAlign w:val="center"/>
          </w:tcPr>
          <w:p w14:paraId="1DC3B7D5" w14:textId="77777777" w:rsidR="006B6FA8" w:rsidRPr="006B6FA8" w:rsidRDefault="006B6FA8" w:rsidP="006B6FA8">
            <w:pPr>
              <w:keepNext/>
              <w:autoSpaceDE w:val="0"/>
              <w:autoSpaceDN w:val="0"/>
              <w:adjustRightInd w:val="0"/>
              <w:ind w:left="20" w:right="-108"/>
              <w:jc w:val="left"/>
              <w:rPr>
                <w:rFonts w:cs="Arial"/>
                <w:i/>
                <w:szCs w:val="19"/>
                <w:highlight w:val="lightGray"/>
                <w:u w:val="single"/>
                <w:lang w:val="es-ES_tradnl"/>
              </w:rPr>
            </w:pPr>
            <w:r w:rsidRPr="006B6FA8">
              <w:rPr>
                <w:i/>
                <w:highlight w:val="lightGray"/>
                <w:u w:val="single"/>
                <w:lang w:val="es-ES_tradnl"/>
              </w:rPr>
              <w:t xml:space="preserve">tm2/tm2 </w:t>
            </w:r>
          </w:p>
          <w:p w14:paraId="78703952" w14:textId="77777777" w:rsidR="006B6FA8" w:rsidRPr="006B6FA8" w:rsidRDefault="006B6FA8" w:rsidP="006B6FA8">
            <w:pPr>
              <w:keepNext/>
              <w:autoSpaceDE w:val="0"/>
              <w:autoSpaceDN w:val="0"/>
              <w:adjustRightInd w:val="0"/>
              <w:ind w:left="20" w:right="-108"/>
              <w:jc w:val="left"/>
              <w:rPr>
                <w:rFonts w:cs="Arial"/>
                <w:szCs w:val="19"/>
                <w:highlight w:val="lightGray"/>
                <w:u w:val="single"/>
                <w:lang w:val="es-ES_tradnl"/>
              </w:rPr>
            </w:pPr>
          </w:p>
          <w:p w14:paraId="045401EB" w14:textId="77777777" w:rsidR="006B6FA8" w:rsidRPr="006B6FA8" w:rsidRDefault="006B6FA8" w:rsidP="006B6FA8">
            <w:pPr>
              <w:keepNext/>
              <w:autoSpaceDE w:val="0"/>
              <w:autoSpaceDN w:val="0"/>
              <w:adjustRightInd w:val="0"/>
              <w:ind w:left="20" w:right="-108"/>
              <w:jc w:val="left"/>
              <w:rPr>
                <w:rFonts w:cs="Arial"/>
                <w:szCs w:val="19"/>
                <w:highlight w:val="lightGray"/>
                <w:u w:val="single"/>
                <w:lang w:val="es-ES_tradnl"/>
              </w:rPr>
            </w:pPr>
            <w:r w:rsidRPr="006B6FA8">
              <w:rPr>
                <w:highlight w:val="lightGray"/>
                <w:u w:val="single"/>
                <w:lang w:val="es-ES_tradnl"/>
              </w:rPr>
              <w:t>y</w:t>
            </w:r>
          </w:p>
          <w:p w14:paraId="25DA430E" w14:textId="77777777" w:rsidR="006B6FA8" w:rsidRPr="006B6FA8" w:rsidRDefault="006B6FA8" w:rsidP="006B6FA8">
            <w:pPr>
              <w:keepNext/>
              <w:autoSpaceDE w:val="0"/>
              <w:autoSpaceDN w:val="0"/>
              <w:adjustRightInd w:val="0"/>
              <w:ind w:left="20" w:right="-108"/>
              <w:jc w:val="left"/>
              <w:rPr>
                <w:rFonts w:cs="Arial"/>
                <w:szCs w:val="19"/>
                <w:highlight w:val="lightGray"/>
                <w:u w:val="single"/>
                <w:lang w:val="es-ES_tradnl"/>
              </w:rPr>
            </w:pPr>
          </w:p>
          <w:p w14:paraId="414B29C8" w14:textId="77777777" w:rsidR="006B6FA8" w:rsidRPr="006B6FA8" w:rsidRDefault="006B6FA8" w:rsidP="006B6FA8">
            <w:pPr>
              <w:keepNext/>
              <w:autoSpaceDE w:val="0"/>
              <w:autoSpaceDN w:val="0"/>
              <w:adjustRightInd w:val="0"/>
              <w:ind w:left="20" w:right="-108"/>
              <w:jc w:val="left"/>
              <w:rPr>
                <w:rFonts w:cs="Arial"/>
                <w:i/>
                <w:szCs w:val="19"/>
                <w:highlight w:val="lightGray"/>
                <w:u w:val="single"/>
                <w:lang w:val="es-ES_tradnl"/>
              </w:rPr>
            </w:pPr>
            <w:r w:rsidRPr="006B6FA8">
              <w:rPr>
                <w:i/>
                <w:highlight w:val="lightGray"/>
                <w:u w:val="single"/>
                <w:lang w:val="es-ES_tradnl"/>
              </w:rPr>
              <w:t>Tm1/Tm1</w:t>
            </w:r>
            <w:r w:rsidRPr="006B6FA8">
              <w:rPr>
                <w:highlight w:val="lightGray"/>
                <w:u w:val="single"/>
                <w:lang w:val="es-ES_tradnl"/>
              </w:rPr>
              <w:t xml:space="preserve"> o </w:t>
            </w:r>
            <w:r w:rsidRPr="006B6FA8">
              <w:rPr>
                <w:i/>
                <w:highlight w:val="lightGray"/>
                <w:u w:val="single"/>
                <w:lang w:val="es-ES_tradnl"/>
              </w:rPr>
              <w:t xml:space="preserve">Tm1/tm1 </w:t>
            </w:r>
          </w:p>
        </w:tc>
      </w:tr>
      <w:tr w:rsidR="006B6FA8" w:rsidRPr="006B6FA8" w14:paraId="3A9E8DDF" w14:textId="77777777" w:rsidTr="00D60821">
        <w:trPr>
          <w:trHeight w:val="606"/>
          <w:jc w:val="center"/>
        </w:trPr>
        <w:tc>
          <w:tcPr>
            <w:tcW w:w="2376" w:type="dxa"/>
            <w:vAlign w:val="center"/>
          </w:tcPr>
          <w:p w14:paraId="2C591DDD" w14:textId="77777777" w:rsidR="006B6FA8" w:rsidRPr="006B6FA8" w:rsidRDefault="006B6FA8" w:rsidP="006B6FA8">
            <w:pPr>
              <w:autoSpaceDE w:val="0"/>
              <w:autoSpaceDN w:val="0"/>
              <w:adjustRightInd w:val="0"/>
              <w:ind w:left="180"/>
              <w:jc w:val="left"/>
              <w:rPr>
                <w:rFonts w:cs="Arial"/>
                <w:szCs w:val="19"/>
                <w:highlight w:val="lightGray"/>
                <w:u w:val="single"/>
                <w:lang w:val="es-ES_tradnl"/>
              </w:rPr>
            </w:pPr>
            <w:r w:rsidRPr="006B6FA8">
              <w:rPr>
                <w:highlight w:val="lightGray"/>
                <w:u w:val="single"/>
                <w:lang w:val="es-ES_tradnl"/>
              </w:rPr>
              <w:t xml:space="preserve">Marcador </w:t>
            </w:r>
            <w:r w:rsidRPr="006B6FA8">
              <w:rPr>
                <w:i/>
                <w:highlight w:val="lightGray"/>
                <w:u w:val="single"/>
                <w:lang w:val="es-ES_tradnl"/>
              </w:rPr>
              <w:t>Tm2/2</w:t>
            </w:r>
            <w:r w:rsidRPr="006B6FA8">
              <w:rPr>
                <w:i/>
                <w:highlight w:val="lightGray"/>
                <w:u w:val="single"/>
                <w:vertAlign w:val="superscript"/>
                <w:lang w:val="es-ES_tradnl"/>
              </w:rPr>
              <w:t>2</w:t>
            </w:r>
          </w:p>
        </w:tc>
        <w:tc>
          <w:tcPr>
            <w:tcW w:w="1985" w:type="dxa"/>
            <w:vAlign w:val="center"/>
          </w:tcPr>
          <w:p w14:paraId="71DB6E3D" w14:textId="77777777" w:rsidR="006B6FA8" w:rsidRPr="006B6FA8" w:rsidRDefault="006B6FA8" w:rsidP="006B6FA8">
            <w:pPr>
              <w:autoSpaceDE w:val="0"/>
              <w:autoSpaceDN w:val="0"/>
              <w:adjustRightInd w:val="0"/>
              <w:ind w:left="36" w:right="34"/>
              <w:jc w:val="left"/>
              <w:rPr>
                <w:rFonts w:cs="Arial"/>
                <w:szCs w:val="19"/>
                <w:highlight w:val="lightGray"/>
                <w:u w:val="single"/>
                <w:lang w:val="es-ES_tradnl"/>
              </w:rPr>
            </w:pPr>
            <w:r w:rsidRPr="006B6FA8">
              <w:rPr>
                <w:highlight w:val="lightGray"/>
                <w:u w:val="single"/>
                <w:lang w:val="es-ES_tradnl"/>
              </w:rPr>
              <w:t>alelo susceptible</w:t>
            </w:r>
          </w:p>
        </w:tc>
        <w:tc>
          <w:tcPr>
            <w:tcW w:w="2977" w:type="dxa"/>
            <w:vAlign w:val="center"/>
          </w:tcPr>
          <w:p w14:paraId="0A211AE4" w14:textId="77777777" w:rsidR="006B6FA8" w:rsidRPr="006B6FA8" w:rsidRDefault="006B6FA8" w:rsidP="006B6FA8">
            <w:pPr>
              <w:autoSpaceDE w:val="0"/>
              <w:autoSpaceDN w:val="0"/>
              <w:adjustRightInd w:val="0"/>
              <w:ind w:left="36"/>
              <w:jc w:val="left"/>
              <w:rPr>
                <w:rFonts w:cs="Arial"/>
                <w:szCs w:val="19"/>
                <w:highlight w:val="lightGray"/>
                <w:u w:val="single"/>
                <w:lang w:val="es-ES_tradnl"/>
              </w:rPr>
            </w:pPr>
            <w:r w:rsidRPr="006B6FA8">
              <w:rPr>
                <w:highlight w:val="lightGray"/>
                <w:u w:val="single"/>
                <w:lang w:val="es-ES_tradnl"/>
              </w:rPr>
              <w:t>alelo resistente</w:t>
            </w:r>
          </w:p>
        </w:tc>
        <w:tc>
          <w:tcPr>
            <w:tcW w:w="1842" w:type="dxa"/>
            <w:vAlign w:val="center"/>
          </w:tcPr>
          <w:p w14:paraId="331152B4" w14:textId="77777777" w:rsidR="006B6FA8" w:rsidRPr="006B6FA8" w:rsidRDefault="006B6FA8" w:rsidP="006B6FA8">
            <w:pPr>
              <w:autoSpaceDE w:val="0"/>
              <w:autoSpaceDN w:val="0"/>
              <w:adjustRightInd w:val="0"/>
              <w:ind w:left="20" w:right="-108"/>
              <w:jc w:val="left"/>
              <w:rPr>
                <w:rFonts w:cs="Arial"/>
                <w:szCs w:val="19"/>
                <w:highlight w:val="lightGray"/>
                <w:u w:val="single"/>
                <w:lang w:val="es-ES_tradnl"/>
              </w:rPr>
            </w:pPr>
            <w:r w:rsidRPr="006B6FA8">
              <w:rPr>
                <w:highlight w:val="lightGray"/>
                <w:u w:val="single"/>
                <w:lang w:val="es-ES_tradnl"/>
              </w:rPr>
              <w:t>alelo susceptible</w:t>
            </w:r>
          </w:p>
        </w:tc>
      </w:tr>
      <w:tr w:rsidR="006B6FA8" w:rsidRPr="006B6FA8" w14:paraId="7CE144CD" w14:textId="77777777" w:rsidTr="00D60821">
        <w:trPr>
          <w:trHeight w:val="558"/>
          <w:jc w:val="center"/>
        </w:trPr>
        <w:tc>
          <w:tcPr>
            <w:tcW w:w="2376" w:type="dxa"/>
            <w:vAlign w:val="center"/>
          </w:tcPr>
          <w:p w14:paraId="6FB56C9D" w14:textId="77777777" w:rsidR="006B6FA8" w:rsidRPr="006B6FA8" w:rsidRDefault="006B6FA8" w:rsidP="006B6FA8">
            <w:pPr>
              <w:autoSpaceDE w:val="0"/>
              <w:autoSpaceDN w:val="0"/>
              <w:adjustRightInd w:val="0"/>
              <w:spacing w:before="120" w:after="120"/>
              <w:ind w:left="180"/>
              <w:jc w:val="left"/>
              <w:rPr>
                <w:rFonts w:cs="Arial"/>
                <w:szCs w:val="19"/>
                <w:highlight w:val="lightGray"/>
                <w:u w:val="single"/>
                <w:lang w:val="es-ES_tradnl"/>
              </w:rPr>
            </w:pPr>
            <w:r w:rsidRPr="006B6FA8">
              <w:rPr>
                <w:highlight w:val="lightGray"/>
                <w:u w:val="single"/>
                <w:lang w:val="es-ES_tradnl"/>
              </w:rPr>
              <w:t>Resistencia a la cepa 0 del </w:t>
            </w:r>
            <w:proofErr w:type="spellStart"/>
            <w:r w:rsidRPr="006B6FA8">
              <w:rPr>
                <w:highlight w:val="lightGray"/>
                <w:u w:val="single"/>
                <w:lang w:val="es-ES_tradnl"/>
              </w:rPr>
              <w:t>ToMV</w:t>
            </w:r>
            <w:proofErr w:type="spellEnd"/>
          </w:p>
        </w:tc>
        <w:tc>
          <w:tcPr>
            <w:tcW w:w="1985" w:type="dxa"/>
            <w:vAlign w:val="center"/>
          </w:tcPr>
          <w:p w14:paraId="1E14C39D" w14:textId="77777777" w:rsidR="006B6FA8" w:rsidRPr="006B6FA8" w:rsidRDefault="006B6FA8" w:rsidP="006B6FA8">
            <w:pPr>
              <w:autoSpaceDE w:val="0"/>
              <w:autoSpaceDN w:val="0"/>
              <w:adjustRightInd w:val="0"/>
              <w:ind w:left="36" w:right="34"/>
              <w:jc w:val="left"/>
              <w:rPr>
                <w:rFonts w:cs="Arial"/>
                <w:szCs w:val="19"/>
                <w:highlight w:val="lightGray"/>
                <w:u w:val="single"/>
                <w:lang w:val="es-ES_tradnl"/>
              </w:rPr>
            </w:pPr>
            <w:r w:rsidRPr="006B6FA8">
              <w:rPr>
                <w:highlight w:val="lightGray"/>
                <w:u w:val="single"/>
                <w:lang w:val="es-ES_tradnl"/>
              </w:rPr>
              <w:t>ausente</w:t>
            </w:r>
          </w:p>
        </w:tc>
        <w:tc>
          <w:tcPr>
            <w:tcW w:w="2977" w:type="dxa"/>
            <w:vAlign w:val="center"/>
          </w:tcPr>
          <w:p w14:paraId="1DA12C30" w14:textId="77777777" w:rsidR="006B6FA8" w:rsidRPr="006B6FA8" w:rsidRDefault="006B6FA8" w:rsidP="006B6FA8">
            <w:pPr>
              <w:autoSpaceDE w:val="0"/>
              <w:autoSpaceDN w:val="0"/>
              <w:adjustRightInd w:val="0"/>
              <w:ind w:left="36"/>
              <w:jc w:val="left"/>
              <w:rPr>
                <w:rFonts w:cs="Arial"/>
                <w:szCs w:val="19"/>
                <w:highlight w:val="lightGray"/>
                <w:u w:val="single"/>
                <w:lang w:val="es-ES_tradnl"/>
              </w:rPr>
            </w:pPr>
            <w:r w:rsidRPr="006B6FA8">
              <w:rPr>
                <w:highlight w:val="lightGray"/>
                <w:u w:val="single"/>
                <w:lang w:val="es-ES_tradnl"/>
              </w:rPr>
              <w:t>presente</w:t>
            </w:r>
          </w:p>
        </w:tc>
        <w:tc>
          <w:tcPr>
            <w:tcW w:w="1842" w:type="dxa"/>
            <w:vAlign w:val="center"/>
          </w:tcPr>
          <w:p w14:paraId="4B28F239" w14:textId="77777777" w:rsidR="006B6FA8" w:rsidRPr="006B6FA8" w:rsidRDefault="006B6FA8" w:rsidP="006B6FA8">
            <w:pPr>
              <w:autoSpaceDE w:val="0"/>
              <w:autoSpaceDN w:val="0"/>
              <w:adjustRightInd w:val="0"/>
              <w:ind w:left="20" w:right="-108"/>
              <w:jc w:val="left"/>
              <w:rPr>
                <w:rFonts w:cs="Arial"/>
                <w:szCs w:val="19"/>
                <w:highlight w:val="lightGray"/>
                <w:u w:val="single"/>
                <w:lang w:val="es-ES_tradnl"/>
              </w:rPr>
            </w:pPr>
            <w:r w:rsidRPr="006B6FA8">
              <w:rPr>
                <w:highlight w:val="lightGray"/>
                <w:u w:val="single"/>
                <w:lang w:val="es-ES_tradnl"/>
              </w:rPr>
              <w:t>presente</w:t>
            </w:r>
          </w:p>
        </w:tc>
      </w:tr>
    </w:tbl>
    <w:p w14:paraId="69197357" w14:textId="77777777" w:rsidR="006B6FA8" w:rsidRPr="006B6FA8" w:rsidRDefault="006B6FA8" w:rsidP="006B6FA8">
      <w:pPr>
        <w:autoSpaceDE w:val="0"/>
        <w:autoSpaceDN w:val="0"/>
        <w:adjustRightInd w:val="0"/>
        <w:rPr>
          <w:rFonts w:eastAsia="Calibri" w:cs="Arial"/>
          <w:highlight w:val="lightGray"/>
          <w:u w:val="single"/>
          <w:lang w:val="es-ES_tradnl"/>
        </w:rPr>
      </w:pPr>
    </w:p>
    <w:p w14:paraId="106ACF03" w14:textId="77777777" w:rsidR="006B6FA8" w:rsidRPr="006B6FA8" w:rsidRDefault="006B6FA8" w:rsidP="006B6FA8">
      <w:pPr>
        <w:autoSpaceDE w:val="0"/>
        <w:autoSpaceDN w:val="0"/>
        <w:adjustRightInd w:val="0"/>
        <w:rPr>
          <w:rFonts w:eastAsia="Calibri" w:cs="Arial"/>
          <w:highlight w:val="lightGray"/>
          <w:u w:val="single"/>
          <w:lang w:val="es-ES_tradnl"/>
        </w:rPr>
      </w:pPr>
      <w:r w:rsidRPr="006B6FA8">
        <w:rPr>
          <w:highlight w:val="lightGray"/>
          <w:u w:val="single"/>
          <w:lang w:val="es-ES_tradnl"/>
        </w:rPr>
        <w:t>5.</w:t>
      </w:r>
      <w:r w:rsidRPr="006B6FA8">
        <w:rPr>
          <w:sz w:val="22"/>
          <w:highlight w:val="lightGray"/>
          <w:u w:val="single"/>
          <w:lang w:val="es-ES_tradnl"/>
        </w:rPr>
        <w:tab/>
      </w:r>
      <w:r w:rsidRPr="006B6FA8">
        <w:rPr>
          <w:highlight w:val="lightGray"/>
          <w:u w:val="single"/>
          <w:lang w:val="es-ES_tradnl"/>
        </w:rPr>
        <w:t>Si se declara que una variedad es resistente a la cepa 0 del </w:t>
      </w:r>
      <w:proofErr w:type="spellStart"/>
      <w:r w:rsidRPr="006B6FA8">
        <w:rPr>
          <w:highlight w:val="lightGray"/>
          <w:u w:val="single"/>
          <w:lang w:val="es-ES_tradnl"/>
        </w:rPr>
        <w:t>ToMV</w:t>
      </w:r>
      <w:proofErr w:type="spellEnd"/>
      <w:r w:rsidRPr="006B6FA8">
        <w:rPr>
          <w:highlight w:val="lightGray"/>
          <w:u w:val="single"/>
          <w:lang w:val="es-ES_tradnl"/>
        </w:rPr>
        <w:t>, se puede realizar un análisis del marcador de ADN. En los casos en que la resistencia se base en la presencia de los alelos </w:t>
      </w:r>
      <w:r w:rsidRPr="006B6FA8">
        <w:rPr>
          <w:i/>
          <w:highlight w:val="lightGray"/>
          <w:u w:val="single"/>
          <w:lang w:val="es-ES_tradnl"/>
        </w:rPr>
        <w:t>Tm2</w:t>
      </w:r>
      <w:r w:rsidRPr="006B6FA8">
        <w:rPr>
          <w:highlight w:val="lightGray"/>
          <w:u w:val="single"/>
          <w:lang w:val="es-ES_tradnl"/>
        </w:rPr>
        <w:t xml:space="preserve"> o </w:t>
      </w:r>
      <w:r w:rsidRPr="006B6FA8">
        <w:rPr>
          <w:i/>
          <w:highlight w:val="lightGray"/>
          <w:u w:val="single"/>
          <w:lang w:val="es-ES_tradnl"/>
        </w:rPr>
        <w:t>Tm2</w:t>
      </w:r>
      <w:r w:rsidRPr="006B6FA8">
        <w:rPr>
          <w:i/>
          <w:highlight w:val="lightGray"/>
          <w:u w:val="single"/>
          <w:vertAlign w:val="superscript"/>
          <w:lang w:val="es-ES_tradnl"/>
        </w:rPr>
        <w:t>2</w:t>
      </w:r>
      <w:r w:rsidRPr="006B6FA8">
        <w:rPr>
          <w:highlight w:val="lightGray"/>
          <w:u w:val="single"/>
          <w:lang w:val="es-ES_tradnl"/>
        </w:rPr>
        <w:t xml:space="preserve">, el análisis del marcador de ADN puede reemplazar al </w:t>
      </w:r>
      <w:proofErr w:type="spellStart"/>
      <w:r w:rsidRPr="006B6FA8">
        <w:rPr>
          <w:highlight w:val="lightGray"/>
          <w:u w:val="single"/>
          <w:lang w:val="es-ES_tradnl"/>
        </w:rPr>
        <w:t>bioanálisis</w:t>
      </w:r>
      <w:proofErr w:type="spellEnd"/>
      <w:r w:rsidRPr="006B6FA8">
        <w:rPr>
          <w:highlight w:val="lightGray"/>
          <w:u w:val="single"/>
          <w:lang w:val="es-ES_tradnl"/>
        </w:rPr>
        <w:t xml:space="preserve"> tradicional.</w:t>
      </w:r>
    </w:p>
    <w:p w14:paraId="6C9469F9" w14:textId="77777777" w:rsidR="006B6FA8" w:rsidRPr="006B6FA8" w:rsidRDefault="006B6FA8" w:rsidP="006B6FA8">
      <w:pPr>
        <w:autoSpaceDE w:val="0"/>
        <w:autoSpaceDN w:val="0"/>
        <w:adjustRightInd w:val="0"/>
        <w:rPr>
          <w:rFonts w:eastAsia="Calibri" w:cs="Arial"/>
          <w:highlight w:val="lightGray"/>
          <w:u w:val="single"/>
          <w:lang w:val="es-ES_tradnl"/>
        </w:rPr>
      </w:pPr>
    </w:p>
    <w:p w14:paraId="14B26507" w14:textId="77777777" w:rsidR="006B6FA8" w:rsidRPr="006B6FA8" w:rsidRDefault="006B6FA8" w:rsidP="006B6FA8">
      <w:pPr>
        <w:autoSpaceDE w:val="0"/>
        <w:autoSpaceDN w:val="0"/>
        <w:adjustRightInd w:val="0"/>
        <w:rPr>
          <w:rFonts w:eastAsia="Calibri" w:cs="Arial"/>
          <w:u w:val="single"/>
          <w:lang w:val="es-ES_tradnl"/>
        </w:rPr>
      </w:pPr>
      <w:r w:rsidRPr="006B6FA8">
        <w:rPr>
          <w:highlight w:val="lightGray"/>
          <w:u w:val="single"/>
          <w:lang w:val="es-ES_tradnl"/>
        </w:rPr>
        <w:t>6.</w:t>
      </w:r>
      <w:r w:rsidRPr="006B6FA8">
        <w:rPr>
          <w:sz w:val="22"/>
          <w:highlight w:val="lightGray"/>
          <w:u w:val="single"/>
          <w:lang w:val="es-ES_tradnl"/>
        </w:rPr>
        <w:tab/>
      </w:r>
      <w:r w:rsidRPr="006B6FA8">
        <w:rPr>
          <w:highlight w:val="lightGray"/>
          <w:u w:val="single"/>
          <w:lang w:val="es-ES_tradnl"/>
        </w:rPr>
        <w:t xml:space="preserve">Si el análisis del marcador de ADN no confirma la resistencia declarada o si se declara que la variedad es susceptible, se debe realizar un </w:t>
      </w:r>
      <w:proofErr w:type="spellStart"/>
      <w:r w:rsidRPr="006B6FA8">
        <w:rPr>
          <w:highlight w:val="lightGray"/>
          <w:u w:val="single"/>
          <w:lang w:val="es-ES_tradnl"/>
        </w:rPr>
        <w:t>bioanálisis</w:t>
      </w:r>
      <w:proofErr w:type="spellEnd"/>
      <w:r w:rsidRPr="006B6FA8">
        <w:rPr>
          <w:highlight w:val="lightGray"/>
          <w:u w:val="single"/>
          <w:lang w:val="es-ES_tradnl"/>
        </w:rPr>
        <w:t>.</w:t>
      </w:r>
    </w:p>
    <w:p w14:paraId="1ADA82DB" w14:textId="77777777" w:rsidR="006B6FA8" w:rsidRPr="006B6FA8" w:rsidRDefault="006B6FA8" w:rsidP="006B6FA8">
      <w:pPr>
        <w:autoSpaceDE w:val="0"/>
        <w:autoSpaceDN w:val="0"/>
        <w:adjustRightInd w:val="0"/>
        <w:rPr>
          <w:rFonts w:eastAsia="Calibri" w:cs="Arial"/>
          <w:highlight w:val="lightGray"/>
          <w:u w:val="single"/>
          <w:lang w:val="es-ES_tradnl"/>
        </w:rPr>
      </w:pPr>
    </w:p>
    <w:p w14:paraId="4BDABFB5" w14:textId="59F202CB" w:rsidR="006B6FA8" w:rsidRDefault="006B6FA8" w:rsidP="006B6FA8">
      <w:pPr>
        <w:rPr>
          <w:lang w:val="es-ES_tradnl"/>
        </w:rPr>
      </w:pPr>
    </w:p>
    <w:p w14:paraId="346209A1" w14:textId="77777777" w:rsidR="00E024C1" w:rsidRPr="006B6FA8" w:rsidRDefault="00E024C1" w:rsidP="006B6FA8">
      <w:pPr>
        <w:rPr>
          <w:lang w:val="es-ES_tradnl"/>
        </w:rPr>
      </w:pPr>
    </w:p>
    <w:p w14:paraId="5A2A5402" w14:textId="2278944D" w:rsidR="00E024C1" w:rsidRPr="00987A06" w:rsidRDefault="00E024C1" w:rsidP="00E024C1">
      <w:pPr>
        <w:jc w:val="right"/>
        <w:rPr>
          <w:lang w:val="es-ES_tradnl"/>
        </w:rPr>
      </w:pPr>
      <w:r w:rsidRPr="00987A06">
        <w:rPr>
          <w:lang w:val="es-ES_tradnl"/>
        </w:rPr>
        <w:t>[Sigue el Anexo</w:t>
      </w:r>
      <w:r>
        <w:rPr>
          <w:lang w:val="es-ES_tradnl"/>
        </w:rPr>
        <w:t xml:space="preserve"> </w:t>
      </w:r>
      <w:r w:rsidRPr="00987A06">
        <w:rPr>
          <w:lang w:val="es-ES_tradnl"/>
        </w:rPr>
        <w:t>V</w:t>
      </w:r>
      <w:r>
        <w:rPr>
          <w:lang w:val="es-ES_tradnl"/>
        </w:rPr>
        <w:t>I</w:t>
      </w:r>
      <w:r w:rsidRPr="00987A06">
        <w:rPr>
          <w:lang w:val="es-ES_tradnl"/>
        </w:rPr>
        <w:t>]</w:t>
      </w:r>
    </w:p>
    <w:p w14:paraId="75920620" w14:textId="77777777" w:rsidR="00955AD5" w:rsidRPr="006B6FA8" w:rsidRDefault="00955AD5" w:rsidP="00955AD5">
      <w:pPr>
        <w:jc w:val="center"/>
        <w:rPr>
          <w:rFonts w:cs="Arial"/>
          <w:caps/>
          <w:lang w:val="es-ES_tradnl" w:eastAsia="ja-JP"/>
        </w:rPr>
      </w:pPr>
    </w:p>
    <w:p w14:paraId="7E01FFF8" w14:textId="77777777" w:rsidR="00955AD5" w:rsidRPr="006B6FA8" w:rsidRDefault="00955AD5" w:rsidP="00955AD5">
      <w:pPr>
        <w:jc w:val="center"/>
        <w:rPr>
          <w:lang w:eastAsia="ja-JP"/>
        </w:rPr>
      </w:pPr>
    </w:p>
    <w:p w14:paraId="7386F01E" w14:textId="77777777" w:rsidR="00955AD5" w:rsidRPr="00310D26" w:rsidRDefault="00955AD5" w:rsidP="00955AD5">
      <w:pPr>
        <w:jc w:val="left"/>
        <w:sectPr w:rsidR="00955AD5" w:rsidRPr="00310D26" w:rsidSect="00955AD5">
          <w:headerReference w:type="default" r:id="rId33"/>
          <w:headerReference w:type="first" r:id="rId34"/>
          <w:footerReference w:type="first" r:id="rId35"/>
          <w:endnotePr>
            <w:numFmt w:val="lowerLetter"/>
          </w:endnotePr>
          <w:pgSz w:w="11907" w:h="16840" w:code="9"/>
          <w:pgMar w:top="510" w:right="1134" w:bottom="1134" w:left="1134" w:header="510" w:footer="680" w:gutter="0"/>
          <w:pgNumType w:start="1"/>
          <w:cols w:space="720"/>
          <w:titlePg/>
          <w:docGrid w:linePitch="272"/>
        </w:sectPr>
      </w:pPr>
    </w:p>
    <w:p w14:paraId="43F5DD2F" w14:textId="1312F228" w:rsidR="00910388" w:rsidRPr="00310D26" w:rsidRDefault="00910388" w:rsidP="00910388">
      <w:pPr>
        <w:jc w:val="center"/>
      </w:pPr>
      <w:r w:rsidRPr="00310D26">
        <w:lastRenderedPageBreak/>
        <w:t>CUADRO PANORÁMICO DEL MATERIAL DE INFORMACIÓN</w:t>
      </w:r>
    </w:p>
    <w:p w14:paraId="1AB6A4C3" w14:textId="4A3334BB" w:rsidR="00955AD5" w:rsidRPr="00310D26" w:rsidRDefault="00955AD5" w:rsidP="00955AD5">
      <w:pPr>
        <w:jc w:val="center"/>
      </w:pPr>
    </w:p>
    <w:p w14:paraId="62FE053F" w14:textId="77777777" w:rsidR="00955AD5" w:rsidRPr="00310D26" w:rsidRDefault="00955AD5" w:rsidP="00955AD5">
      <w:pPr>
        <w:jc w:val="center"/>
      </w:pPr>
    </w:p>
    <w:p w14:paraId="69BE733F" w14:textId="1F424F83" w:rsidR="00577B20" w:rsidRPr="00310D26" w:rsidRDefault="00910388" w:rsidP="00F0765A">
      <w:pPr>
        <w:jc w:val="left"/>
      </w:pPr>
      <w:r w:rsidRPr="00310D26">
        <w:t>NOTAS EXPLICATIVAS</w:t>
      </w:r>
    </w:p>
    <w:p w14:paraId="3AF6B465" w14:textId="77777777" w:rsidR="00757BE4" w:rsidRPr="00310D26" w:rsidRDefault="00757BE4" w:rsidP="00757BE4"/>
    <w:tbl>
      <w:tblPr>
        <w:tblW w:w="1036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85" w:type="dxa"/>
          <w:bottom w:w="57" w:type="dxa"/>
          <w:right w:w="85" w:type="dxa"/>
        </w:tblCellMar>
        <w:tblLook w:val="04A0" w:firstRow="1" w:lastRow="0" w:firstColumn="1" w:lastColumn="0" w:noHBand="0" w:noVBand="1"/>
      </w:tblPr>
      <w:tblGrid>
        <w:gridCol w:w="1740"/>
        <w:gridCol w:w="4715"/>
        <w:gridCol w:w="3910"/>
      </w:tblGrid>
      <w:tr w:rsidR="00757BE4" w:rsidRPr="00310D26" w14:paraId="224445F7" w14:textId="77777777" w:rsidTr="00757BE4">
        <w:trPr>
          <w:cantSplit/>
          <w:jc w:val="center"/>
        </w:trPr>
        <w:tc>
          <w:tcPr>
            <w:tcW w:w="1741" w:type="dxa"/>
            <w:tcBorders>
              <w:top w:val="single" w:sz="2" w:space="0" w:color="auto"/>
              <w:left w:val="single" w:sz="2" w:space="0" w:color="auto"/>
              <w:bottom w:val="single" w:sz="2" w:space="0" w:color="auto"/>
              <w:right w:val="single" w:sz="2" w:space="0" w:color="auto"/>
            </w:tcBorders>
            <w:shd w:val="clear" w:color="auto" w:fill="D9D9D9"/>
            <w:hideMark/>
          </w:tcPr>
          <w:p w14:paraId="25736361" w14:textId="77777777" w:rsidR="00757BE4" w:rsidRPr="00310D26" w:rsidRDefault="00757BE4">
            <w:pPr>
              <w:jc w:val="left"/>
              <w:rPr>
                <w:sz w:val="18"/>
                <w:szCs w:val="18"/>
              </w:rPr>
            </w:pPr>
            <w:r w:rsidRPr="00310D26">
              <w:rPr>
                <w:sz w:val="18"/>
                <w:szCs w:val="18"/>
              </w:rPr>
              <w:t>Referencia</w:t>
            </w:r>
          </w:p>
        </w:tc>
        <w:tc>
          <w:tcPr>
            <w:tcW w:w="4717" w:type="dxa"/>
            <w:tcBorders>
              <w:top w:val="single" w:sz="2" w:space="0" w:color="auto"/>
              <w:left w:val="single" w:sz="2" w:space="0" w:color="auto"/>
              <w:bottom w:val="single" w:sz="2" w:space="0" w:color="auto"/>
              <w:right w:val="single" w:sz="2" w:space="0" w:color="auto"/>
            </w:tcBorders>
            <w:shd w:val="clear" w:color="auto" w:fill="D9D9D9"/>
            <w:hideMark/>
          </w:tcPr>
          <w:p w14:paraId="56B84E2A" w14:textId="77777777" w:rsidR="00757BE4" w:rsidRPr="00310D26" w:rsidRDefault="00757BE4">
            <w:pPr>
              <w:jc w:val="left"/>
              <w:rPr>
                <w:sz w:val="18"/>
                <w:szCs w:val="18"/>
              </w:rPr>
            </w:pPr>
            <w:r w:rsidRPr="00310D26">
              <w:rPr>
                <w:sz w:val="18"/>
                <w:szCs w:val="18"/>
              </w:rPr>
              <w:t>Notas explicativas sobre:</w:t>
            </w:r>
          </w:p>
        </w:tc>
        <w:tc>
          <w:tcPr>
            <w:tcW w:w="3912" w:type="dxa"/>
            <w:tcBorders>
              <w:top w:val="single" w:sz="2" w:space="0" w:color="auto"/>
              <w:left w:val="single" w:sz="2" w:space="0" w:color="auto"/>
              <w:bottom w:val="single" w:sz="2" w:space="0" w:color="auto"/>
              <w:right w:val="single" w:sz="2" w:space="0" w:color="auto"/>
            </w:tcBorders>
            <w:shd w:val="clear" w:color="auto" w:fill="D9D9D9"/>
            <w:hideMark/>
          </w:tcPr>
          <w:p w14:paraId="779B777F" w14:textId="77777777" w:rsidR="00757BE4" w:rsidRPr="00310D26" w:rsidRDefault="00757BE4">
            <w:pPr>
              <w:jc w:val="left"/>
              <w:rPr>
                <w:sz w:val="18"/>
                <w:szCs w:val="18"/>
              </w:rPr>
            </w:pPr>
            <w:r w:rsidRPr="00310D26">
              <w:rPr>
                <w:sz w:val="18"/>
                <w:szCs w:val="18"/>
              </w:rPr>
              <w:t>Situación</w:t>
            </w:r>
          </w:p>
        </w:tc>
      </w:tr>
      <w:tr w:rsidR="00757BE4" w:rsidRPr="00310D26" w14:paraId="3E1D5C0C" w14:textId="77777777" w:rsidTr="00757BE4">
        <w:trPr>
          <w:cantSplit/>
          <w:jc w:val="center"/>
        </w:trPr>
        <w:tc>
          <w:tcPr>
            <w:tcW w:w="1741" w:type="dxa"/>
            <w:tcBorders>
              <w:top w:val="single" w:sz="2" w:space="0" w:color="auto"/>
              <w:left w:val="single" w:sz="2" w:space="0" w:color="auto"/>
              <w:bottom w:val="single" w:sz="2" w:space="0" w:color="auto"/>
              <w:right w:val="single" w:sz="2" w:space="0" w:color="auto"/>
            </w:tcBorders>
            <w:hideMark/>
          </w:tcPr>
          <w:p w14:paraId="303CCDE7" w14:textId="77777777" w:rsidR="00757BE4" w:rsidRPr="00310D26" w:rsidRDefault="00757BE4">
            <w:pPr>
              <w:jc w:val="left"/>
              <w:rPr>
                <w:sz w:val="18"/>
                <w:szCs w:val="18"/>
              </w:rPr>
            </w:pPr>
            <w:r w:rsidRPr="00310D26">
              <w:rPr>
                <w:sz w:val="18"/>
                <w:szCs w:val="18"/>
              </w:rPr>
              <w:t>UPOV/EXN/BRD</w:t>
            </w:r>
          </w:p>
        </w:tc>
        <w:tc>
          <w:tcPr>
            <w:tcW w:w="4717" w:type="dxa"/>
            <w:tcBorders>
              <w:top w:val="single" w:sz="2" w:space="0" w:color="auto"/>
              <w:left w:val="single" w:sz="2" w:space="0" w:color="auto"/>
              <w:bottom w:val="single" w:sz="2" w:space="0" w:color="auto"/>
              <w:right w:val="single" w:sz="2" w:space="0" w:color="auto"/>
            </w:tcBorders>
            <w:hideMark/>
          </w:tcPr>
          <w:p w14:paraId="27B3E119" w14:textId="77777777" w:rsidR="00757BE4" w:rsidRPr="00310D26" w:rsidRDefault="00757BE4">
            <w:pPr>
              <w:jc w:val="left"/>
              <w:rPr>
                <w:sz w:val="18"/>
                <w:szCs w:val="18"/>
              </w:rPr>
            </w:pPr>
            <w:r w:rsidRPr="00310D26">
              <w:rPr>
                <w:sz w:val="18"/>
                <w:szCs w:val="18"/>
              </w:rPr>
              <w:t>Definición de obtentor con arreglo al Acta de 1991 del Convenio de la UPOV</w:t>
            </w:r>
          </w:p>
        </w:tc>
        <w:tc>
          <w:tcPr>
            <w:tcW w:w="3912" w:type="dxa"/>
            <w:tcBorders>
              <w:top w:val="single" w:sz="2" w:space="0" w:color="auto"/>
              <w:left w:val="single" w:sz="2" w:space="0" w:color="auto"/>
              <w:bottom w:val="single" w:sz="2" w:space="0" w:color="auto"/>
              <w:right w:val="single" w:sz="2" w:space="0" w:color="auto"/>
            </w:tcBorders>
            <w:hideMark/>
          </w:tcPr>
          <w:p w14:paraId="3ACF4F2E" w14:textId="77777777" w:rsidR="00757BE4" w:rsidRPr="00310D26" w:rsidRDefault="00757BE4">
            <w:pPr>
              <w:jc w:val="left"/>
              <w:rPr>
                <w:strike/>
                <w:sz w:val="18"/>
                <w:szCs w:val="18"/>
              </w:rPr>
            </w:pPr>
            <w:r w:rsidRPr="00310D26">
              <w:rPr>
                <w:iCs/>
                <w:sz w:val="18"/>
                <w:szCs w:val="18"/>
              </w:rPr>
              <w:t>UPOV/EXN/BRD/1 aprobado en octubre de 2013</w:t>
            </w:r>
          </w:p>
        </w:tc>
      </w:tr>
      <w:tr w:rsidR="00757BE4" w:rsidRPr="00310D26" w14:paraId="70DC4AE8" w14:textId="77777777" w:rsidTr="00757BE4">
        <w:trPr>
          <w:cantSplit/>
          <w:jc w:val="center"/>
        </w:trPr>
        <w:tc>
          <w:tcPr>
            <w:tcW w:w="1741" w:type="dxa"/>
            <w:tcBorders>
              <w:top w:val="single" w:sz="2" w:space="0" w:color="auto"/>
              <w:left w:val="single" w:sz="2" w:space="0" w:color="auto"/>
              <w:bottom w:val="single" w:sz="2" w:space="0" w:color="auto"/>
              <w:right w:val="single" w:sz="2" w:space="0" w:color="auto"/>
            </w:tcBorders>
            <w:hideMark/>
          </w:tcPr>
          <w:p w14:paraId="07610504" w14:textId="77777777" w:rsidR="00757BE4" w:rsidRPr="00310D26" w:rsidRDefault="00757BE4">
            <w:pPr>
              <w:jc w:val="left"/>
              <w:rPr>
                <w:sz w:val="18"/>
                <w:szCs w:val="18"/>
              </w:rPr>
            </w:pPr>
            <w:r w:rsidRPr="00310D26">
              <w:rPr>
                <w:sz w:val="18"/>
                <w:szCs w:val="18"/>
              </w:rPr>
              <w:t>UPOV/EXN/CAL</w:t>
            </w:r>
          </w:p>
        </w:tc>
        <w:tc>
          <w:tcPr>
            <w:tcW w:w="4717" w:type="dxa"/>
            <w:tcBorders>
              <w:top w:val="single" w:sz="2" w:space="0" w:color="auto"/>
              <w:left w:val="single" w:sz="2" w:space="0" w:color="auto"/>
              <w:bottom w:val="single" w:sz="2" w:space="0" w:color="auto"/>
              <w:right w:val="single" w:sz="2" w:space="0" w:color="auto"/>
            </w:tcBorders>
            <w:hideMark/>
          </w:tcPr>
          <w:p w14:paraId="300A16F6" w14:textId="77777777" w:rsidR="00757BE4" w:rsidRPr="00310D26" w:rsidRDefault="00757BE4">
            <w:pPr>
              <w:jc w:val="left"/>
              <w:rPr>
                <w:sz w:val="18"/>
                <w:szCs w:val="18"/>
              </w:rPr>
            </w:pPr>
            <w:r w:rsidRPr="00310D26">
              <w:rPr>
                <w:sz w:val="18"/>
                <w:szCs w:val="18"/>
              </w:rPr>
              <w:t>Condiciones y limitaciones relativas a la autorización del obtentor respecto del material de reproducción o de multiplicación vegetativa con arreglo al Convenio de la UPOV</w:t>
            </w:r>
          </w:p>
        </w:tc>
        <w:tc>
          <w:tcPr>
            <w:tcW w:w="3912" w:type="dxa"/>
            <w:tcBorders>
              <w:top w:val="single" w:sz="2" w:space="0" w:color="auto"/>
              <w:left w:val="single" w:sz="2" w:space="0" w:color="auto"/>
              <w:bottom w:val="single" w:sz="2" w:space="0" w:color="auto"/>
              <w:right w:val="single" w:sz="2" w:space="0" w:color="auto"/>
            </w:tcBorders>
            <w:hideMark/>
          </w:tcPr>
          <w:p w14:paraId="0E1FB12A" w14:textId="77777777" w:rsidR="00757BE4" w:rsidRPr="00310D26" w:rsidRDefault="00757BE4">
            <w:pPr>
              <w:jc w:val="left"/>
              <w:rPr>
                <w:iCs/>
                <w:sz w:val="18"/>
                <w:szCs w:val="18"/>
              </w:rPr>
            </w:pPr>
            <w:r w:rsidRPr="00310D26">
              <w:rPr>
                <w:sz w:val="18"/>
                <w:szCs w:val="18"/>
              </w:rPr>
              <w:t>UPOV/EXN/CAL/1 aprobado en octubre de 2010</w:t>
            </w:r>
          </w:p>
        </w:tc>
      </w:tr>
      <w:tr w:rsidR="00757BE4" w:rsidRPr="00310D26" w14:paraId="0183F005" w14:textId="77777777" w:rsidTr="00757BE4">
        <w:trPr>
          <w:cantSplit/>
          <w:jc w:val="center"/>
        </w:trPr>
        <w:tc>
          <w:tcPr>
            <w:tcW w:w="1741" w:type="dxa"/>
            <w:tcBorders>
              <w:top w:val="single" w:sz="2" w:space="0" w:color="auto"/>
              <w:left w:val="single" w:sz="2" w:space="0" w:color="auto"/>
              <w:bottom w:val="single" w:sz="2" w:space="0" w:color="auto"/>
              <w:right w:val="single" w:sz="2" w:space="0" w:color="auto"/>
            </w:tcBorders>
            <w:hideMark/>
          </w:tcPr>
          <w:p w14:paraId="4E329E64" w14:textId="77777777" w:rsidR="00757BE4" w:rsidRPr="00310D26" w:rsidRDefault="00757BE4">
            <w:pPr>
              <w:jc w:val="left"/>
              <w:rPr>
                <w:sz w:val="18"/>
                <w:szCs w:val="18"/>
              </w:rPr>
            </w:pPr>
            <w:r w:rsidRPr="00310D26">
              <w:rPr>
                <w:sz w:val="18"/>
                <w:szCs w:val="18"/>
              </w:rPr>
              <w:t>UPOV/EXN/CAN</w:t>
            </w:r>
          </w:p>
        </w:tc>
        <w:tc>
          <w:tcPr>
            <w:tcW w:w="4717" w:type="dxa"/>
            <w:tcBorders>
              <w:top w:val="single" w:sz="2" w:space="0" w:color="auto"/>
              <w:left w:val="single" w:sz="2" w:space="0" w:color="auto"/>
              <w:bottom w:val="single" w:sz="2" w:space="0" w:color="auto"/>
              <w:right w:val="single" w:sz="2" w:space="0" w:color="auto"/>
            </w:tcBorders>
            <w:hideMark/>
          </w:tcPr>
          <w:p w14:paraId="06F342C4" w14:textId="77777777" w:rsidR="00757BE4" w:rsidRPr="00310D26" w:rsidRDefault="00757BE4">
            <w:pPr>
              <w:jc w:val="left"/>
              <w:rPr>
                <w:sz w:val="18"/>
                <w:szCs w:val="18"/>
              </w:rPr>
            </w:pPr>
            <w:r w:rsidRPr="00310D26">
              <w:rPr>
                <w:sz w:val="18"/>
                <w:szCs w:val="18"/>
              </w:rPr>
              <w:t>Caducidad del derecho de obtentor con arreglo al Convenio de la UPOV</w:t>
            </w:r>
          </w:p>
        </w:tc>
        <w:tc>
          <w:tcPr>
            <w:tcW w:w="3912" w:type="dxa"/>
            <w:tcBorders>
              <w:top w:val="single" w:sz="2" w:space="0" w:color="auto"/>
              <w:left w:val="single" w:sz="2" w:space="0" w:color="auto"/>
              <w:bottom w:val="single" w:sz="2" w:space="0" w:color="auto"/>
              <w:right w:val="single" w:sz="2" w:space="0" w:color="auto"/>
            </w:tcBorders>
            <w:hideMark/>
          </w:tcPr>
          <w:p w14:paraId="3D5503EA" w14:textId="5A0FF177" w:rsidR="00757BE4" w:rsidRPr="00310D26" w:rsidRDefault="00757BE4">
            <w:pPr>
              <w:jc w:val="left"/>
              <w:rPr>
                <w:sz w:val="18"/>
                <w:szCs w:val="18"/>
              </w:rPr>
            </w:pPr>
            <w:r w:rsidRPr="00310D26">
              <w:rPr>
                <w:spacing w:val="-2"/>
                <w:sz w:val="18"/>
                <w:szCs w:val="18"/>
              </w:rPr>
              <w:t>UPOV/EXN/CA</w:t>
            </w:r>
            <w:r w:rsidR="00FF2785">
              <w:rPr>
                <w:spacing w:val="-2"/>
                <w:sz w:val="18"/>
                <w:szCs w:val="18"/>
              </w:rPr>
              <w:t>N</w:t>
            </w:r>
            <w:r w:rsidRPr="00310D26">
              <w:rPr>
                <w:spacing w:val="-2"/>
                <w:sz w:val="18"/>
                <w:szCs w:val="18"/>
              </w:rPr>
              <w:t>/2 aprobado en octubre de 2015</w:t>
            </w:r>
          </w:p>
        </w:tc>
      </w:tr>
      <w:tr w:rsidR="00757BE4" w:rsidRPr="00310D26" w14:paraId="296E1C70" w14:textId="77777777" w:rsidTr="00757BE4">
        <w:trPr>
          <w:cantSplit/>
          <w:jc w:val="center"/>
        </w:trPr>
        <w:tc>
          <w:tcPr>
            <w:tcW w:w="1741" w:type="dxa"/>
            <w:tcBorders>
              <w:top w:val="single" w:sz="2" w:space="0" w:color="auto"/>
              <w:left w:val="single" w:sz="2" w:space="0" w:color="auto"/>
              <w:bottom w:val="single" w:sz="2" w:space="0" w:color="auto"/>
              <w:right w:val="single" w:sz="2" w:space="0" w:color="auto"/>
            </w:tcBorders>
            <w:hideMark/>
          </w:tcPr>
          <w:p w14:paraId="3D9B9249" w14:textId="77777777" w:rsidR="00757BE4" w:rsidRPr="00310D26" w:rsidRDefault="00757BE4">
            <w:pPr>
              <w:jc w:val="left"/>
              <w:rPr>
                <w:sz w:val="18"/>
                <w:szCs w:val="18"/>
              </w:rPr>
            </w:pPr>
            <w:r w:rsidRPr="00310D26">
              <w:rPr>
                <w:color w:val="000000"/>
                <w:sz w:val="18"/>
                <w:szCs w:val="18"/>
              </w:rPr>
              <w:t>UPOV/EXN/EDV</w:t>
            </w:r>
          </w:p>
        </w:tc>
        <w:tc>
          <w:tcPr>
            <w:tcW w:w="4717" w:type="dxa"/>
            <w:tcBorders>
              <w:top w:val="single" w:sz="2" w:space="0" w:color="auto"/>
              <w:left w:val="single" w:sz="2" w:space="0" w:color="auto"/>
              <w:bottom w:val="single" w:sz="2" w:space="0" w:color="auto"/>
              <w:right w:val="single" w:sz="2" w:space="0" w:color="auto"/>
            </w:tcBorders>
            <w:hideMark/>
          </w:tcPr>
          <w:p w14:paraId="1447C347" w14:textId="77777777" w:rsidR="00757BE4" w:rsidRPr="00310D26" w:rsidRDefault="00757BE4">
            <w:pPr>
              <w:jc w:val="left"/>
              <w:rPr>
                <w:color w:val="000000"/>
                <w:sz w:val="18"/>
                <w:szCs w:val="18"/>
              </w:rPr>
            </w:pPr>
            <w:r w:rsidRPr="00310D26">
              <w:rPr>
                <w:color w:val="000000"/>
                <w:sz w:val="18"/>
                <w:szCs w:val="18"/>
              </w:rPr>
              <w:t>Variedades esencialmente derivadas con arreglo al Acta de 1991 del Convenio de la UPOV</w:t>
            </w:r>
          </w:p>
        </w:tc>
        <w:tc>
          <w:tcPr>
            <w:tcW w:w="3912" w:type="dxa"/>
            <w:tcBorders>
              <w:top w:val="single" w:sz="2" w:space="0" w:color="auto"/>
              <w:left w:val="single" w:sz="2" w:space="0" w:color="auto"/>
              <w:bottom w:val="single" w:sz="2" w:space="0" w:color="auto"/>
              <w:right w:val="single" w:sz="2" w:space="0" w:color="auto"/>
            </w:tcBorders>
            <w:hideMark/>
          </w:tcPr>
          <w:p w14:paraId="201B480C" w14:textId="77777777" w:rsidR="00757BE4" w:rsidRPr="00310D26" w:rsidRDefault="00757BE4">
            <w:pPr>
              <w:spacing w:after="60"/>
              <w:jc w:val="left"/>
              <w:rPr>
                <w:sz w:val="18"/>
                <w:szCs w:val="18"/>
              </w:rPr>
            </w:pPr>
            <w:r w:rsidRPr="00310D26">
              <w:rPr>
                <w:color w:val="000000"/>
                <w:sz w:val="18"/>
                <w:szCs w:val="18"/>
              </w:rPr>
              <w:t>UPOV/EXN/EDV/2 aprobado en abril de 2017</w:t>
            </w:r>
          </w:p>
          <w:p w14:paraId="51A7B240" w14:textId="274B52CC" w:rsidR="00757BE4" w:rsidRPr="00310D26" w:rsidRDefault="00F0765A">
            <w:pPr>
              <w:jc w:val="left"/>
              <w:rPr>
                <w:i/>
                <w:strike/>
                <w:sz w:val="18"/>
                <w:szCs w:val="18"/>
              </w:rPr>
            </w:pPr>
            <w:r w:rsidRPr="00200E1A">
              <w:rPr>
                <w:i/>
                <w:sz w:val="18"/>
                <w:szCs w:val="18"/>
              </w:rPr>
              <w:t>Revisión en curso</w:t>
            </w:r>
          </w:p>
        </w:tc>
      </w:tr>
      <w:tr w:rsidR="00757BE4" w:rsidRPr="00310D26" w14:paraId="4DCDE07C" w14:textId="77777777" w:rsidTr="00757BE4">
        <w:trPr>
          <w:cantSplit/>
          <w:jc w:val="center"/>
        </w:trPr>
        <w:tc>
          <w:tcPr>
            <w:tcW w:w="1741" w:type="dxa"/>
            <w:tcBorders>
              <w:top w:val="single" w:sz="2" w:space="0" w:color="auto"/>
              <w:left w:val="single" w:sz="2" w:space="0" w:color="auto"/>
              <w:bottom w:val="single" w:sz="2" w:space="0" w:color="auto"/>
              <w:right w:val="single" w:sz="2" w:space="0" w:color="auto"/>
            </w:tcBorders>
            <w:hideMark/>
          </w:tcPr>
          <w:p w14:paraId="0045D0B4" w14:textId="77777777" w:rsidR="00757BE4" w:rsidRPr="00310D26" w:rsidRDefault="00757BE4">
            <w:pPr>
              <w:jc w:val="left"/>
              <w:rPr>
                <w:sz w:val="18"/>
                <w:szCs w:val="18"/>
              </w:rPr>
            </w:pPr>
            <w:r w:rsidRPr="00310D26">
              <w:rPr>
                <w:color w:val="000000"/>
                <w:sz w:val="18"/>
                <w:szCs w:val="18"/>
              </w:rPr>
              <w:t>UPOV/EXN/ENF</w:t>
            </w:r>
          </w:p>
        </w:tc>
        <w:tc>
          <w:tcPr>
            <w:tcW w:w="4717" w:type="dxa"/>
            <w:tcBorders>
              <w:top w:val="single" w:sz="2" w:space="0" w:color="auto"/>
              <w:left w:val="single" w:sz="2" w:space="0" w:color="auto"/>
              <w:bottom w:val="single" w:sz="2" w:space="0" w:color="auto"/>
              <w:right w:val="single" w:sz="2" w:space="0" w:color="auto"/>
            </w:tcBorders>
            <w:hideMark/>
          </w:tcPr>
          <w:p w14:paraId="11643EF8" w14:textId="77777777" w:rsidR="00757BE4" w:rsidRPr="00310D26" w:rsidRDefault="00757BE4">
            <w:pPr>
              <w:jc w:val="left"/>
              <w:rPr>
                <w:sz w:val="18"/>
                <w:szCs w:val="18"/>
              </w:rPr>
            </w:pPr>
            <w:r w:rsidRPr="00310D26">
              <w:rPr>
                <w:sz w:val="18"/>
                <w:szCs w:val="18"/>
              </w:rPr>
              <w:t>Defensa de los derechos de obtentor con arreglo al Convenio de la UPOV</w:t>
            </w:r>
          </w:p>
        </w:tc>
        <w:tc>
          <w:tcPr>
            <w:tcW w:w="3912" w:type="dxa"/>
            <w:tcBorders>
              <w:top w:val="single" w:sz="2" w:space="0" w:color="auto"/>
              <w:left w:val="single" w:sz="2" w:space="0" w:color="auto"/>
              <w:bottom w:val="single" w:sz="2" w:space="0" w:color="auto"/>
              <w:right w:val="single" w:sz="2" w:space="0" w:color="auto"/>
            </w:tcBorders>
            <w:hideMark/>
          </w:tcPr>
          <w:p w14:paraId="4DD05EB3" w14:textId="77777777" w:rsidR="00757BE4" w:rsidRPr="00310D26" w:rsidRDefault="00757BE4">
            <w:pPr>
              <w:jc w:val="left"/>
              <w:rPr>
                <w:sz w:val="18"/>
                <w:szCs w:val="18"/>
              </w:rPr>
            </w:pPr>
            <w:r w:rsidRPr="00310D26">
              <w:rPr>
                <w:color w:val="000000"/>
                <w:sz w:val="18"/>
                <w:szCs w:val="18"/>
              </w:rPr>
              <w:t>UPOV/EXN/ENF/1 aprobado en octubre de 2009</w:t>
            </w:r>
          </w:p>
        </w:tc>
      </w:tr>
      <w:tr w:rsidR="00757BE4" w:rsidRPr="00310D26" w14:paraId="2578C34F" w14:textId="77777777" w:rsidTr="00757BE4">
        <w:trPr>
          <w:cantSplit/>
          <w:jc w:val="center"/>
        </w:trPr>
        <w:tc>
          <w:tcPr>
            <w:tcW w:w="1741" w:type="dxa"/>
            <w:tcBorders>
              <w:top w:val="single" w:sz="2" w:space="0" w:color="auto"/>
              <w:left w:val="single" w:sz="2" w:space="0" w:color="auto"/>
              <w:bottom w:val="single" w:sz="2" w:space="0" w:color="auto"/>
              <w:right w:val="single" w:sz="2" w:space="0" w:color="auto"/>
            </w:tcBorders>
            <w:hideMark/>
          </w:tcPr>
          <w:p w14:paraId="6E29D0D5" w14:textId="77777777" w:rsidR="00757BE4" w:rsidRPr="00310D26" w:rsidRDefault="00757BE4">
            <w:pPr>
              <w:jc w:val="left"/>
              <w:rPr>
                <w:color w:val="000000"/>
                <w:sz w:val="18"/>
                <w:szCs w:val="18"/>
              </w:rPr>
            </w:pPr>
            <w:r w:rsidRPr="00310D26">
              <w:rPr>
                <w:color w:val="000000"/>
                <w:sz w:val="18"/>
                <w:szCs w:val="18"/>
              </w:rPr>
              <w:t>UPOV/EXN/EXC</w:t>
            </w:r>
          </w:p>
        </w:tc>
        <w:tc>
          <w:tcPr>
            <w:tcW w:w="4717" w:type="dxa"/>
            <w:tcBorders>
              <w:top w:val="single" w:sz="2" w:space="0" w:color="auto"/>
              <w:left w:val="single" w:sz="2" w:space="0" w:color="auto"/>
              <w:bottom w:val="single" w:sz="2" w:space="0" w:color="auto"/>
              <w:right w:val="single" w:sz="2" w:space="0" w:color="auto"/>
            </w:tcBorders>
            <w:hideMark/>
          </w:tcPr>
          <w:p w14:paraId="553D68C6" w14:textId="77777777" w:rsidR="00757BE4" w:rsidRPr="00310D26" w:rsidRDefault="00757BE4">
            <w:pPr>
              <w:jc w:val="left"/>
              <w:rPr>
                <w:color w:val="000000"/>
                <w:sz w:val="18"/>
                <w:szCs w:val="18"/>
              </w:rPr>
            </w:pPr>
            <w:r w:rsidRPr="00310D26">
              <w:rPr>
                <w:color w:val="000000"/>
                <w:sz w:val="18"/>
                <w:szCs w:val="18"/>
              </w:rPr>
              <w:t>Excepciones al derecho de obtentor con arreglo al Acta de 1991 del Convenio de la UPOV</w:t>
            </w:r>
          </w:p>
        </w:tc>
        <w:tc>
          <w:tcPr>
            <w:tcW w:w="3912" w:type="dxa"/>
            <w:tcBorders>
              <w:top w:val="single" w:sz="2" w:space="0" w:color="auto"/>
              <w:left w:val="single" w:sz="2" w:space="0" w:color="auto"/>
              <w:bottom w:val="single" w:sz="2" w:space="0" w:color="auto"/>
              <w:right w:val="single" w:sz="2" w:space="0" w:color="auto"/>
            </w:tcBorders>
            <w:hideMark/>
          </w:tcPr>
          <w:p w14:paraId="2FE95543" w14:textId="77777777" w:rsidR="00757BE4" w:rsidRPr="00310D26" w:rsidRDefault="00757BE4">
            <w:pPr>
              <w:jc w:val="left"/>
              <w:rPr>
                <w:sz w:val="18"/>
                <w:szCs w:val="18"/>
              </w:rPr>
            </w:pPr>
            <w:r w:rsidRPr="00310D26">
              <w:rPr>
                <w:color w:val="000000"/>
                <w:sz w:val="18"/>
                <w:szCs w:val="18"/>
              </w:rPr>
              <w:t>UPOV/EXN/EXC/1 aprobado en octubre de 2009</w:t>
            </w:r>
          </w:p>
        </w:tc>
      </w:tr>
      <w:tr w:rsidR="00757BE4" w:rsidRPr="00310D26" w14:paraId="364DC307" w14:textId="77777777" w:rsidTr="00757BE4">
        <w:trPr>
          <w:cantSplit/>
          <w:jc w:val="center"/>
        </w:trPr>
        <w:tc>
          <w:tcPr>
            <w:tcW w:w="1741" w:type="dxa"/>
            <w:tcBorders>
              <w:top w:val="single" w:sz="2" w:space="0" w:color="auto"/>
              <w:left w:val="single" w:sz="2" w:space="0" w:color="auto"/>
              <w:bottom w:val="single" w:sz="2" w:space="0" w:color="auto"/>
              <w:right w:val="single" w:sz="2" w:space="0" w:color="auto"/>
            </w:tcBorders>
            <w:hideMark/>
          </w:tcPr>
          <w:p w14:paraId="24E96A9E" w14:textId="77777777" w:rsidR="00757BE4" w:rsidRPr="00310D26" w:rsidRDefault="00757BE4">
            <w:pPr>
              <w:jc w:val="left"/>
              <w:rPr>
                <w:sz w:val="18"/>
                <w:szCs w:val="18"/>
              </w:rPr>
            </w:pPr>
            <w:r w:rsidRPr="00310D26">
              <w:rPr>
                <w:sz w:val="18"/>
                <w:szCs w:val="18"/>
              </w:rPr>
              <w:t>UPOV/EXN/GEN</w:t>
            </w:r>
          </w:p>
        </w:tc>
        <w:tc>
          <w:tcPr>
            <w:tcW w:w="4717" w:type="dxa"/>
            <w:tcBorders>
              <w:top w:val="single" w:sz="2" w:space="0" w:color="auto"/>
              <w:left w:val="single" w:sz="2" w:space="0" w:color="auto"/>
              <w:bottom w:val="single" w:sz="2" w:space="0" w:color="auto"/>
              <w:right w:val="single" w:sz="2" w:space="0" w:color="auto"/>
            </w:tcBorders>
            <w:hideMark/>
          </w:tcPr>
          <w:p w14:paraId="29ABFCBA" w14:textId="77777777" w:rsidR="00757BE4" w:rsidRPr="00310D26" w:rsidRDefault="00757BE4">
            <w:pPr>
              <w:jc w:val="left"/>
              <w:rPr>
                <w:sz w:val="18"/>
                <w:szCs w:val="18"/>
              </w:rPr>
            </w:pPr>
            <w:r w:rsidRPr="00310D26">
              <w:rPr>
                <w:sz w:val="18"/>
                <w:szCs w:val="18"/>
              </w:rPr>
              <w:t>Géneros y especies que deben protegerse con arreglo al Acta de 1991 del Convenio de la UPOV</w:t>
            </w:r>
          </w:p>
        </w:tc>
        <w:tc>
          <w:tcPr>
            <w:tcW w:w="3912" w:type="dxa"/>
            <w:tcBorders>
              <w:top w:val="single" w:sz="2" w:space="0" w:color="auto"/>
              <w:left w:val="single" w:sz="2" w:space="0" w:color="auto"/>
              <w:bottom w:val="single" w:sz="2" w:space="0" w:color="auto"/>
              <w:right w:val="single" w:sz="2" w:space="0" w:color="auto"/>
            </w:tcBorders>
            <w:hideMark/>
          </w:tcPr>
          <w:p w14:paraId="460B306E" w14:textId="77777777" w:rsidR="00757BE4" w:rsidRPr="00310D26" w:rsidRDefault="00757BE4">
            <w:pPr>
              <w:jc w:val="left"/>
              <w:rPr>
                <w:sz w:val="18"/>
                <w:szCs w:val="18"/>
              </w:rPr>
            </w:pPr>
            <w:r w:rsidRPr="00310D26">
              <w:rPr>
                <w:sz w:val="18"/>
                <w:szCs w:val="18"/>
              </w:rPr>
              <w:t>UPOV/EXN/GEN/1 aprobado en octubre de 2009</w:t>
            </w:r>
          </w:p>
        </w:tc>
      </w:tr>
      <w:tr w:rsidR="00757BE4" w:rsidRPr="00310D26" w14:paraId="23492569" w14:textId="77777777" w:rsidTr="00757BE4">
        <w:trPr>
          <w:cantSplit/>
          <w:jc w:val="center"/>
        </w:trPr>
        <w:tc>
          <w:tcPr>
            <w:tcW w:w="1741" w:type="dxa"/>
            <w:tcBorders>
              <w:top w:val="single" w:sz="2" w:space="0" w:color="auto"/>
              <w:left w:val="single" w:sz="2" w:space="0" w:color="auto"/>
              <w:bottom w:val="single" w:sz="2" w:space="0" w:color="auto"/>
              <w:right w:val="single" w:sz="2" w:space="0" w:color="auto"/>
            </w:tcBorders>
            <w:hideMark/>
          </w:tcPr>
          <w:p w14:paraId="603FBFEE" w14:textId="77777777" w:rsidR="00757BE4" w:rsidRPr="00310D26" w:rsidRDefault="00757BE4">
            <w:pPr>
              <w:jc w:val="left"/>
              <w:rPr>
                <w:sz w:val="18"/>
                <w:szCs w:val="18"/>
              </w:rPr>
            </w:pPr>
            <w:r w:rsidRPr="00310D26">
              <w:rPr>
                <w:sz w:val="18"/>
                <w:szCs w:val="18"/>
              </w:rPr>
              <w:t>UPOV/EXN/HRV</w:t>
            </w:r>
          </w:p>
        </w:tc>
        <w:tc>
          <w:tcPr>
            <w:tcW w:w="4717" w:type="dxa"/>
            <w:tcBorders>
              <w:top w:val="single" w:sz="2" w:space="0" w:color="auto"/>
              <w:left w:val="single" w:sz="2" w:space="0" w:color="auto"/>
              <w:bottom w:val="single" w:sz="2" w:space="0" w:color="auto"/>
              <w:right w:val="single" w:sz="2" w:space="0" w:color="auto"/>
            </w:tcBorders>
            <w:hideMark/>
          </w:tcPr>
          <w:p w14:paraId="08B2E5E1" w14:textId="77777777" w:rsidR="00757BE4" w:rsidRPr="00310D26" w:rsidRDefault="00757BE4">
            <w:pPr>
              <w:jc w:val="left"/>
              <w:rPr>
                <w:sz w:val="18"/>
                <w:szCs w:val="18"/>
              </w:rPr>
            </w:pPr>
            <w:r w:rsidRPr="00310D26">
              <w:rPr>
                <w:sz w:val="18"/>
                <w:szCs w:val="18"/>
              </w:rPr>
              <w:t>Actos respecto del producto de la cosecha con arreglo al Acta de 1991 del Convenio de la UPOV</w:t>
            </w:r>
          </w:p>
        </w:tc>
        <w:tc>
          <w:tcPr>
            <w:tcW w:w="3912" w:type="dxa"/>
            <w:tcBorders>
              <w:top w:val="single" w:sz="2" w:space="0" w:color="auto"/>
              <w:left w:val="single" w:sz="2" w:space="0" w:color="auto"/>
              <w:bottom w:val="single" w:sz="2" w:space="0" w:color="auto"/>
              <w:right w:val="single" w:sz="2" w:space="0" w:color="auto"/>
            </w:tcBorders>
            <w:hideMark/>
          </w:tcPr>
          <w:p w14:paraId="0F7D7F7C" w14:textId="77777777" w:rsidR="00757BE4" w:rsidRPr="00F106FC" w:rsidRDefault="00757BE4">
            <w:pPr>
              <w:jc w:val="left"/>
              <w:rPr>
                <w:iCs/>
                <w:sz w:val="18"/>
                <w:szCs w:val="18"/>
              </w:rPr>
            </w:pPr>
            <w:r w:rsidRPr="00F106FC">
              <w:rPr>
                <w:iCs/>
                <w:sz w:val="18"/>
                <w:szCs w:val="18"/>
              </w:rPr>
              <w:t>UPOV/EXN/HRV/1 aprobado en octubre de 2013</w:t>
            </w:r>
          </w:p>
          <w:p w14:paraId="5229A91A" w14:textId="31CD7908" w:rsidR="00757BE4" w:rsidRPr="00F106FC" w:rsidRDefault="00757BE4">
            <w:pPr>
              <w:jc w:val="left"/>
              <w:rPr>
                <w:color w:val="000000"/>
                <w:sz w:val="18"/>
                <w:szCs w:val="18"/>
              </w:rPr>
            </w:pPr>
            <w:r w:rsidRPr="00F106FC">
              <w:rPr>
                <w:i/>
                <w:color w:val="000000"/>
                <w:sz w:val="18"/>
                <w:szCs w:val="18"/>
              </w:rPr>
              <w:t>En 2020, el CAJ considerará una posible revisión.</w:t>
            </w:r>
          </w:p>
        </w:tc>
      </w:tr>
      <w:tr w:rsidR="00757BE4" w:rsidRPr="00310D26" w14:paraId="45B0EBE8" w14:textId="77777777" w:rsidTr="00757BE4">
        <w:trPr>
          <w:cantSplit/>
          <w:jc w:val="center"/>
        </w:trPr>
        <w:tc>
          <w:tcPr>
            <w:tcW w:w="1741" w:type="dxa"/>
            <w:tcBorders>
              <w:top w:val="single" w:sz="2" w:space="0" w:color="auto"/>
              <w:left w:val="single" w:sz="2" w:space="0" w:color="auto"/>
              <w:bottom w:val="single" w:sz="2" w:space="0" w:color="auto"/>
              <w:right w:val="single" w:sz="2" w:space="0" w:color="auto"/>
            </w:tcBorders>
            <w:hideMark/>
          </w:tcPr>
          <w:p w14:paraId="482CF440" w14:textId="77777777" w:rsidR="00757BE4" w:rsidRPr="00310D26" w:rsidRDefault="00757BE4">
            <w:pPr>
              <w:jc w:val="left"/>
              <w:rPr>
                <w:sz w:val="18"/>
                <w:szCs w:val="18"/>
              </w:rPr>
            </w:pPr>
            <w:r w:rsidRPr="00310D26">
              <w:rPr>
                <w:sz w:val="18"/>
                <w:szCs w:val="18"/>
              </w:rPr>
              <w:t>UPOV/EXN/NAT</w:t>
            </w:r>
          </w:p>
        </w:tc>
        <w:tc>
          <w:tcPr>
            <w:tcW w:w="4717" w:type="dxa"/>
            <w:tcBorders>
              <w:top w:val="single" w:sz="2" w:space="0" w:color="auto"/>
              <w:left w:val="single" w:sz="2" w:space="0" w:color="auto"/>
              <w:bottom w:val="single" w:sz="2" w:space="0" w:color="auto"/>
              <w:right w:val="single" w:sz="2" w:space="0" w:color="auto"/>
            </w:tcBorders>
            <w:hideMark/>
          </w:tcPr>
          <w:p w14:paraId="7FA3238C" w14:textId="77777777" w:rsidR="00757BE4" w:rsidRPr="00310D26" w:rsidRDefault="00757BE4">
            <w:pPr>
              <w:jc w:val="left"/>
              <w:rPr>
                <w:sz w:val="18"/>
                <w:szCs w:val="18"/>
              </w:rPr>
            </w:pPr>
            <w:r w:rsidRPr="00310D26">
              <w:rPr>
                <w:sz w:val="18"/>
                <w:szCs w:val="18"/>
              </w:rPr>
              <w:t>Trato nacional con arreglo al Acta de 1991 del Convenio de la UPOV</w:t>
            </w:r>
          </w:p>
        </w:tc>
        <w:tc>
          <w:tcPr>
            <w:tcW w:w="3912" w:type="dxa"/>
            <w:tcBorders>
              <w:top w:val="single" w:sz="2" w:space="0" w:color="auto"/>
              <w:left w:val="single" w:sz="2" w:space="0" w:color="auto"/>
              <w:bottom w:val="single" w:sz="2" w:space="0" w:color="auto"/>
              <w:right w:val="single" w:sz="2" w:space="0" w:color="auto"/>
            </w:tcBorders>
            <w:hideMark/>
          </w:tcPr>
          <w:p w14:paraId="3097AC12" w14:textId="77777777" w:rsidR="00757BE4" w:rsidRPr="00F106FC" w:rsidRDefault="00757BE4">
            <w:pPr>
              <w:jc w:val="left"/>
              <w:rPr>
                <w:sz w:val="18"/>
                <w:szCs w:val="18"/>
              </w:rPr>
            </w:pPr>
            <w:r w:rsidRPr="00F106FC">
              <w:rPr>
                <w:sz w:val="18"/>
                <w:szCs w:val="18"/>
              </w:rPr>
              <w:t>UPOV/EXN/NAT/1 aprobado en octubre de 2009</w:t>
            </w:r>
          </w:p>
        </w:tc>
      </w:tr>
      <w:tr w:rsidR="00757BE4" w:rsidRPr="00310D26" w14:paraId="3E1B7CAC" w14:textId="77777777" w:rsidTr="00757BE4">
        <w:trPr>
          <w:cantSplit/>
          <w:jc w:val="center"/>
        </w:trPr>
        <w:tc>
          <w:tcPr>
            <w:tcW w:w="1741" w:type="dxa"/>
            <w:tcBorders>
              <w:top w:val="single" w:sz="2" w:space="0" w:color="auto"/>
              <w:left w:val="single" w:sz="2" w:space="0" w:color="auto"/>
              <w:bottom w:val="single" w:sz="2" w:space="0" w:color="auto"/>
              <w:right w:val="single" w:sz="2" w:space="0" w:color="auto"/>
            </w:tcBorders>
            <w:hideMark/>
          </w:tcPr>
          <w:p w14:paraId="2F56F40E" w14:textId="77777777" w:rsidR="00757BE4" w:rsidRPr="00310D26" w:rsidRDefault="00757BE4">
            <w:pPr>
              <w:jc w:val="left"/>
              <w:rPr>
                <w:sz w:val="18"/>
                <w:szCs w:val="18"/>
              </w:rPr>
            </w:pPr>
            <w:r w:rsidRPr="00310D26">
              <w:rPr>
                <w:sz w:val="18"/>
                <w:szCs w:val="18"/>
              </w:rPr>
              <w:t>UPOV/EXN/NOV</w:t>
            </w:r>
          </w:p>
        </w:tc>
        <w:tc>
          <w:tcPr>
            <w:tcW w:w="4717" w:type="dxa"/>
            <w:tcBorders>
              <w:top w:val="single" w:sz="2" w:space="0" w:color="auto"/>
              <w:left w:val="single" w:sz="2" w:space="0" w:color="auto"/>
              <w:bottom w:val="single" w:sz="2" w:space="0" w:color="auto"/>
              <w:right w:val="single" w:sz="2" w:space="0" w:color="auto"/>
            </w:tcBorders>
            <w:hideMark/>
          </w:tcPr>
          <w:p w14:paraId="35DD8F95" w14:textId="77777777" w:rsidR="00757BE4" w:rsidRPr="00310D26" w:rsidRDefault="00757BE4">
            <w:pPr>
              <w:jc w:val="left"/>
              <w:rPr>
                <w:sz w:val="18"/>
                <w:szCs w:val="18"/>
              </w:rPr>
            </w:pPr>
            <w:r w:rsidRPr="00310D26">
              <w:rPr>
                <w:sz w:val="18"/>
                <w:szCs w:val="18"/>
              </w:rPr>
              <w:t>Novedad con arreglo al Convenio de la UPOV</w:t>
            </w:r>
          </w:p>
        </w:tc>
        <w:tc>
          <w:tcPr>
            <w:tcW w:w="3912" w:type="dxa"/>
            <w:tcBorders>
              <w:top w:val="single" w:sz="2" w:space="0" w:color="auto"/>
              <w:left w:val="single" w:sz="2" w:space="0" w:color="auto"/>
              <w:bottom w:val="single" w:sz="2" w:space="0" w:color="auto"/>
              <w:right w:val="single" w:sz="2" w:space="0" w:color="auto"/>
            </w:tcBorders>
            <w:hideMark/>
          </w:tcPr>
          <w:p w14:paraId="1E34A43A" w14:textId="77777777" w:rsidR="00757BE4" w:rsidRPr="00F106FC" w:rsidRDefault="00757BE4">
            <w:pPr>
              <w:jc w:val="left"/>
              <w:rPr>
                <w:sz w:val="18"/>
                <w:szCs w:val="18"/>
              </w:rPr>
            </w:pPr>
            <w:r w:rsidRPr="00F106FC">
              <w:rPr>
                <w:sz w:val="18"/>
                <w:szCs w:val="18"/>
              </w:rPr>
              <w:t>UPOV/EXN/NOV/1 aprobado en octubre de 2009</w:t>
            </w:r>
          </w:p>
          <w:p w14:paraId="0FDA2072" w14:textId="648D038F" w:rsidR="00757BE4" w:rsidRPr="00F106FC" w:rsidRDefault="00757BE4">
            <w:pPr>
              <w:jc w:val="left"/>
              <w:rPr>
                <w:sz w:val="18"/>
                <w:szCs w:val="18"/>
              </w:rPr>
            </w:pPr>
            <w:r w:rsidRPr="00F106FC">
              <w:rPr>
                <w:i/>
                <w:color w:val="000000"/>
                <w:sz w:val="18"/>
                <w:szCs w:val="18"/>
              </w:rPr>
              <w:t>En 2020, el CAJ considerará una posible revisión.</w:t>
            </w:r>
          </w:p>
        </w:tc>
      </w:tr>
      <w:tr w:rsidR="00757BE4" w:rsidRPr="00310D26" w14:paraId="2046C641" w14:textId="77777777" w:rsidTr="00757BE4">
        <w:trPr>
          <w:cantSplit/>
          <w:jc w:val="center"/>
        </w:trPr>
        <w:tc>
          <w:tcPr>
            <w:tcW w:w="1741" w:type="dxa"/>
            <w:tcBorders>
              <w:top w:val="single" w:sz="2" w:space="0" w:color="auto"/>
              <w:left w:val="single" w:sz="2" w:space="0" w:color="auto"/>
              <w:bottom w:val="single" w:sz="2" w:space="0" w:color="auto"/>
              <w:right w:val="single" w:sz="2" w:space="0" w:color="auto"/>
            </w:tcBorders>
            <w:hideMark/>
          </w:tcPr>
          <w:p w14:paraId="3F8AA25C" w14:textId="77777777" w:rsidR="00757BE4" w:rsidRPr="00310D26" w:rsidRDefault="00757BE4">
            <w:pPr>
              <w:jc w:val="left"/>
              <w:rPr>
                <w:color w:val="000000"/>
                <w:sz w:val="18"/>
                <w:szCs w:val="18"/>
              </w:rPr>
            </w:pPr>
            <w:r w:rsidRPr="00310D26">
              <w:rPr>
                <w:color w:val="000000"/>
                <w:sz w:val="18"/>
                <w:szCs w:val="18"/>
              </w:rPr>
              <w:t>UPOV/EXN/NUL</w:t>
            </w:r>
          </w:p>
        </w:tc>
        <w:tc>
          <w:tcPr>
            <w:tcW w:w="4717" w:type="dxa"/>
            <w:tcBorders>
              <w:top w:val="single" w:sz="2" w:space="0" w:color="auto"/>
              <w:left w:val="single" w:sz="2" w:space="0" w:color="auto"/>
              <w:bottom w:val="single" w:sz="2" w:space="0" w:color="auto"/>
              <w:right w:val="single" w:sz="2" w:space="0" w:color="auto"/>
            </w:tcBorders>
            <w:hideMark/>
          </w:tcPr>
          <w:p w14:paraId="44836F06" w14:textId="77777777" w:rsidR="00757BE4" w:rsidRPr="00310D26" w:rsidRDefault="00757BE4">
            <w:pPr>
              <w:jc w:val="left"/>
              <w:rPr>
                <w:sz w:val="18"/>
                <w:szCs w:val="18"/>
              </w:rPr>
            </w:pPr>
            <w:r w:rsidRPr="00310D26">
              <w:rPr>
                <w:sz w:val="18"/>
                <w:szCs w:val="18"/>
              </w:rPr>
              <w:t>Nulidad del derecho de obtentor con arreglo al Convenio de la UPOV</w:t>
            </w:r>
          </w:p>
        </w:tc>
        <w:tc>
          <w:tcPr>
            <w:tcW w:w="3912" w:type="dxa"/>
            <w:tcBorders>
              <w:top w:val="single" w:sz="2" w:space="0" w:color="auto"/>
              <w:left w:val="single" w:sz="2" w:space="0" w:color="auto"/>
              <w:bottom w:val="single" w:sz="2" w:space="0" w:color="auto"/>
              <w:right w:val="single" w:sz="2" w:space="0" w:color="auto"/>
            </w:tcBorders>
            <w:hideMark/>
          </w:tcPr>
          <w:p w14:paraId="01471D96" w14:textId="77777777" w:rsidR="00757BE4" w:rsidRPr="00310D26" w:rsidRDefault="00757BE4">
            <w:pPr>
              <w:jc w:val="left"/>
              <w:rPr>
                <w:sz w:val="18"/>
                <w:szCs w:val="18"/>
              </w:rPr>
            </w:pPr>
            <w:r w:rsidRPr="00310D26">
              <w:rPr>
                <w:spacing w:val="-2"/>
                <w:sz w:val="18"/>
                <w:szCs w:val="18"/>
              </w:rPr>
              <w:t>UPOV/EXN/NUL/2 aprobado en octubre de 2015</w:t>
            </w:r>
          </w:p>
        </w:tc>
      </w:tr>
      <w:tr w:rsidR="00757BE4" w:rsidRPr="00310D26" w14:paraId="70130497" w14:textId="77777777" w:rsidTr="00757BE4">
        <w:trPr>
          <w:cantSplit/>
          <w:jc w:val="center"/>
        </w:trPr>
        <w:tc>
          <w:tcPr>
            <w:tcW w:w="1741" w:type="dxa"/>
            <w:tcBorders>
              <w:top w:val="single" w:sz="2" w:space="0" w:color="auto"/>
              <w:left w:val="single" w:sz="2" w:space="0" w:color="auto"/>
              <w:bottom w:val="single" w:sz="2" w:space="0" w:color="auto"/>
              <w:right w:val="single" w:sz="2" w:space="0" w:color="auto"/>
            </w:tcBorders>
            <w:hideMark/>
          </w:tcPr>
          <w:p w14:paraId="56307F62" w14:textId="77777777" w:rsidR="00757BE4" w:rsidRPr="00310D26" w:rsidRDefault="00757BE4">
            <w:pPr>
              <w:jc w:val="left"/>
              <w:rPr>
                <w:sz w:val="18"/>
                <w:szCs w:val="18"/>
              </w:rPr>
            </w:pPr>
            <w:r w:rsidRPr="00310D26">
              <w:rPr>
                <w:sz w:val="18"/>
                <w:szCs w:val="18"/>
              </w:rPr>
              <w:t>UPOV/EXN/PPM</w:t>
            </w:r>
          </w:p>
        </w:tc>
        <w:tc>
          <w:tcPr>
            <w:tcW w:w="4717" w:type="dxa"/>
            <w:tcBorders>
              <w:top w:val="single" w:sz="2" w:space="0" w:color="auto"/>
              <w:left w:val="single" w:sz="2" w:space="0" w:color="auto"/>
              <w:bottom w:val="single" w:sz="2" w:space="0" w:color="auto"/>
              <w:right w:val="single" w:sz="2" w:space="0" w:color="auto"/>
            </w:tcBorders>
            <w:hideMark/>
          </w:tcPr>
          <w:p w14:paraId="1D93BACB" w14:textId="77777777" w:rsidR="00757BE4" w:rsidRPr="00310D26" w:rsidRDefault="00757BE4">
            <w:pPr>
              <w:jc w:val="left"/>
              <w:rPr>
                <w:sz w:val="18"/>
                <w:szCs w:val="18"/>
              </w:rPr>
            </w:pPr>
            <w:r w:rsidRPr="00310D26">
              <w:rPr>
                <w:sz w:val="18"/>
                <w:szCs w:val="18"/>
              </w:rPr>
              <w:t>Material de reproducción o de multiplicación con arreglo al Convenio de la UPOV</w:t>
            </w:r>
          </w:p>
        </w:tc>
        <w:tc>
          <w:tcPr>
            <w:tcW w:w="3912" w:type="dxa"/>
            <w:tcBorders>
              <w:top w:val="single" w:sz="2" w:space="0" w:color="auto"/>
              <w:left w:val="single" w:sz="2" w:space="0" w:color="auto"/>
              <w:bottom w:val="single" w:sz="2" w:space="0" w:color="auto"/>
              <w:right w:val="single" w:sz="2" w:space="0" w:color="auto"/>
            </w:tcBorders>
            <w:hideMark/>
          </w:tcPr>
          <w:p w14:paraId="4771B3FE" w14:textId="77777777" w:rsidR="00757BE4" w:rsidRPr="00310D26" w:rsidRDefault="00757BE4">
            <w:pPr>
              <w:jc w:val="left"/>
              <w:rPr>
                <w:spacing w:val="-2"/>
                <w:sz w:val="18"/>
                <w:szCs w:val="18"/>
              </w:rPr>
            </w:pPr>
            <w:r w:rsidRPr="00310D26">
              <w:rPr>
                <w:spacing w:val="-2"/>
                <w:sz w:val="18"/>
                <w:szCs w:val="18"/>
              </w:rPr>
              <w:t>UPOV/EXN/PPM/1 aprobado en abril de 2017</w:t>
            </w:r>
          </w:p>
        </w:tc>
      </w:tr>
      <w:tr w:rsidR="00757BE4" w:rsidRPr="00310D26" w14:paraId="40D56218" w14:textId="77777777" w:rsidTr="00757BE4">
        <w:trPr>
          <w:cantSplit/>
          <w:jc w:val="center"/>
        </w:trPr>
        <w:tc>
          <w:tcPr>
            <w:tcW w:w="1741" w:type="dxa"/>
            <w:tcBorders>
              <w:top w:val="single" w:sz="2" w:space="0" w:color="auto"/>
              <w:left w:val="single" w:sz="2" w:space="0" w:color="auto"/>
              <w:bottom w:val="single" w:sz="2" w:space="0" w:color="auto"/>
              <w:right w:val="single" w:sz="2" w:space="0" w:color="auto"/>
            </w:tcBorders>
            <w:hideMark/>
          </w:tcPr>
          <w:p w14:paraId="24A41596" w14:textId="77777777" w:rsidR="00757BE4" w:rsidRPr="00310D26" w:rsidRDefault="00757BE4">
            <w:pPr>
              <w:jc w:val="left"/>
              <w:rPr>
                <w:sz w:val="18"/>
                <w:szCs w:val="18"/>
              </w:rPr>
            </w:pPr>
            <w:r w:rsidRPr="00310D26">
              <w:rPr>
                <w:sz w:val="18"/>
                <w:szCs w:val="18"/>
              </w:rPr>
              <w:t>UPOV/EXN/PRI</w:t>
            </w:r>
          </w:p>
        </w:tc>
        <w:tc>
          <w:tcPr>
            <w:tcW w:w="4717" w:type="dxa"/>
            <w:tcBorders>
              <w:top w:val="single" w:sz="2" w:space="0" w:color="auto"/>
              <w:left w:val="single" w:sz="2" w:space="0" w:color="auto"/>
              <w:bottom w:val="single" w:sz="2" w:space="0" w:color="auto"/>
              <w:right w:val="single" w:sz="2" w:space="0" w:color="auto"/>
            </w:tcBorders>
            <w:hideMark/>
          </w:tcPr>
          <w:p w14:paraId="45DCD15E" w14:textId="77777777" w:rsidR="00757BE4" w:rsidRPr="00310D26" w:rsidRDefault="00757BE4">
            <w:pPr>
              <w:jc w:val="left"/>
              <w:rPr>
                <w:sz w:val="18"/>
                <w:szCs w:val="18"/>
              </w:rPr>
            </w:pPr>
            <w:r w:rsidRPr="00310D26">
              <w:rPr>
                <w:sz w:val="18"/>
                <w:szCs w:val="18"/>
              </w:rPr>
              <w:t>Derecho de prioridad con arreglo al Convenio de la UPOV</w:t>
            </w:r>
          </w:p>
        </w:tc>
        <w:tc>
          <w:tcPr>
            <w:tcW w:w="3912" w:type="dxa"/>
            <w:tcBorders>
              <w:top w:val="single" w:sz="2" w:space="0" w:color="auto"/>
              <w:left w:val="single" w:sz="2" w:space="0" w:color="auto"/>
              <w:bottom w:val="single" w:sz="2" w:space="0" w:color="auto"/>
              <w:right w:val="single" w:sz="2" w:space="0" w:color="auto"/>
            </w:tcBorders>
            <w:hideMark/>
          </w:tcPr>
          <w:p w14:paraId="4358CDA1" w14:textId="77777777" w:rsidR="00757BE4" w:rsidRPr="00310D26" w:rsidRDefault="00757BE4">
            <w:pPr>
              <w:jc w:val="left"/>
              <w:rPr>
                <w:sz w:val="18"/>
                <w:szCs w:val="18"/>
              </w:rPr>
            </w:pPr>
            <w:r w:rsidRPr="00310D26">
              <w:rPr>
                <w:sz w:val="18"/>
                <w:szCs w:val="18"/>
              </w:rPr>
              <w:t>UPOV/EXN/PRI/1 aprobado en octubre de 2009</w:t>
            </w:r>
          </w:p>
        </w:tc>
      </w:tr>
      <w:tr w:rsidR="00757BE4" w:rsidRPr="00310D26" w14:paraId="6FFCC38E" w14:textId="77777777" w:rsidTr="00757BE4">
        <w:trPr>
          <w:cantSplit/>
          <w:jc w:val="center"/>
        </w:trPr>
        <w:tc>
          <w:tcPr>
            <w:tcW w:w="1741" w:type="dxa"/>
            <w:tcBorders>
              <w:top w:val="single" w:sz="2" w:space="0" w:color="auto"/>
              <w:left w:val="single" w:sz="2" w:space="0" w:color="auto"/>
              <w:bottom w:val="single" w:sz="2" w:space="0" w:color="auto"/>
              <w:right w:val="single" w:sz="2" w:space="0" w:color="auto"/>
            </w:tcBorders>
            <w:hideMark/>
          </w:tcPr>
          <w:p w14:paraId="55210CEE" w14:textId="77777777" w:rsidR="00757BE4" w:rsidRPr="00310D26" w:rsidRDefault="00757BE4">
            <w:pPr>
              <w:jc w:val="left"/>
              <w:rPr>
                <w:sz w:val="18"/>
                <w:szCs w:val="18"/>
              </w:rPr>
            </w:pPr>
            <w:r w:rsidRPr="00310D26">
              <w:rPr>
                <w:sz w:val="18"/>
                <w:szCs w:val="18"/>
              </w:rPr>
              <w:t>UPOV/EXN/PRP</w:t>
            </w:r>
          </w:p>
        </w:tc>
        <w:tc>
          <w:tcPr>
            <w:tcW w:w="4717" w:type="dxa"/>
            <w:tcBorders>
              <w:top w:val="single" w:sz="2" w:space="0" w:color="auto"/>
              <w:left w:val="single" w:sz="2" w:space="0" w:color="auto"/>
              <w:bottom w:val="single" w:sz="2" w:space="0" w:color="auto"/>
              <w:right w:val="single" w:sz="2" w:space="0" w:color="auto"/>
            </w:tcBorders>
            <w:hideMark/>
          </w:tcPr>
          <w:p w14:paraId="6FF9FAF9" w14:textId="77777777" w:rsidR="00757BE4" w:rsidRPr="00310D26" w:rsidRDefault="00757BE4">
            <w:pPr>
              <w:jc w:val="left"/>
              <w:rPr>
                <w:sz w:val="18"/>
                <w:szCs w:val="18"/>
              </w:rPr>
            </w:pPr>
            <w:r w:rsidRPr="00310D26">
              <w:rPr>
                <w:sz w:val="18"/>
                <w:szCs w:val="18"/>
              </w:rPr>
              <w:t>Protección provisional con arreglo al Convenio de la UPOV</w:t>
            </w:r>
          </w:p>
        </w:tc>
        <w:tc>
          <w:tcPr>
            <w:tcW w:w="3912" w:type="dxa"/>
            <w:tcBorders>
              <w:top w:val="single" w:sz="2" w:space="0" w:color="auto"/>
              <w:left w:val="single" w:sz="2" w:space="0" w:color="auto"/>
              <w:bottom w:val="single" w:sz="2" w:space="0" w:color="auto"/>
              <w:right w:val="single" w:sz="2" w:space="0" w:color="auto"/>
            </w:tcBorders>
            <w:hideMark/>
          </w:tcPr>
          <w:p w14:paraId="641E0D9A" w14:textId="77777777" w:rsidR="00757BE4" w:rsidRPr="00310D26" w:rsidRDefault="00757BE4">
            <w:pPr>
              <w:jc w:val="left"/>
              <w:rPr>
                <w:spacing w:val="-2"/>
                <w:sz w:val="18"/>
                <w:szCs w:val="18"/>
              </w:rPr>
            </w:pPr>
            <w:r w:rsidRPr="00310D26">
              <w:rPr>
                <w:spacing w:val="-2"/>
                <w:sz w:val="18"/>
                <w:szCs w:val="18"/>
              </w:rPr>
              <w:t>UPOV/EXN/PRP/2 aprobado en octubre de 2015</w:t>
            </w:r>
          </w:p>
        </w:tc>
      </w:tr>
      <w:tr w:rsidR="00757BE4" w:rsidRPr="00310D26" w14:paraId="18233946" w14:textId="77777777" w:rsidTr="00757BE4">
        <w:trPr>
          <w:cantSplit/>
          <w:jc w:val="center"/>
        </w:trPr>
        <w:tc>
          <w:tcPr>
            <w:tcW w:w="1741" w:type="dxa"/>
            <w:tcBorders>
              <w:top w:val="single" w:sz="2" w:space="0" w:color="auto"/>
              <w:left w:val="single" w:sz="2" w:space="0" w:color="auto"/>
              <w:bottom w:val="single" w:sz="2" w:space="0" w:color="auto"/>
              <w:right w:val="single" w:sz="2" w:space="0" w:color="auto"/>
            </w:tcBorders>
            <w:hideMark/>
          </w:tcPr>
          <w:p w14:paraId="4EE70D08" w14:textId="77777777" w:rsidR="00757BE4" w:rsidRPr="00310D26" w:rsidRDefault="00757BE4">
            <w:pPr>
              <w:jc w:val="left"/>
              <w:rPr>
                <w:sz w:val="18"/>
                <w:szCs w:val="18"/>
              </w:rPr>
            </w:pPr>
            <w:r w:rsidRPr="00310D26">
              <w:rPr>
                <w:sz w:val="18"/>
                <w:szCs w:val="18"/>
              </w:rPr>
              <w:t>UPOV/EXN/VAR</w:t>
            </w:r>
          </w:p>
        </w:tc>
        <w:tc>
          <w:tcPr>
            <w:tcW w:w="4717" w:type="dxa"/>
            <w:tcBorders>
              <w:top w:val="single" w:sz="2" w:space="0" w:color="auto"/>
              <w:left w:val="single" w:sz="2" w:space="0" w:color="auto"/>
              <w:bottom w:val="single" w:sz="2" w:space="0" w:color="auto"/>
              <w:right w:val="single" w:sz="2" w:space="0" w:color="auto"/>
            </w:tcBorders>
            <w:hideMark/>
          </w:tcPr>
          <w:p w14:paraId="10EBBBDC" w14:textId="77777777" w:rsidR="00757BE4" w:rsidRPr="00310D26" w:rsidRDefault="00757BE4">
            <w:pPr>
              <w:jc w:val="left"/>
              <w:rPr>
                <w:sz w:val="18"/>
                <w:szCs w:val="18"/>
              </w:rPr>
            </w:pPr>
            <w:r w:rsidRPr="00310D26">
              <w:rPr>
                <w:sz w:val="18"/>
                <w:szCs w:val="18"/>
              </w:rPr>
              <w:t>Definición de variedad con arreglo al Acta de 1991 del Convenio de la UPOV</w:t>
            </w:r>
          </w:p>
        </w:tc>
        <w:tc>
          <w:tcPr>
            <w:tcW w:w="3912" w:type="dxa"/>
            <w:tcBorders>
              <w:top w:val="single" w:sz="2" w:space="0" w:color="auto"/>
              <w:left w:val="single" w:sz="2" w:space="0" w:color="auto"/>
              <w:bottom w:val="single" w:sz="2" w:space="0" w:color="auto"/>
              <w:right w:val="single" w:sz="2" w:space="0" w:color="auto"/>
            </w:tcBorders>
            <w:hideMark/>
          </w:tcPr>
          <w:p w14:paraId="3E929321" w14:textId="77777777" w:rsidR="00757BE4" w:rsidRPr="00310D26" w:rsidRDefault="00757BE4">
            <w:pPr>
              <w:jc w:val="left"/>
              <w:rPr>
                <w:sz w:val="18"/>
                <w:szCs w:val="18"/>
              </w:rPr>
            </w:pPr>
            <w:r w:rsidRPr="00310D26">
              <w:rPr>
                <w:sz w:val="18"/>
                <w:szCs w:val="18"/>
              </w:rPr>
              <w:t>UPOV/EXN/VAR/1 aprobado en octubre de 2010</w:t>
            </w:r>
          </w:p>
        </w:tc>
      </w:tr>
    </w:tbl>
    <w:p w14:paraId="1A58F591" w14:textId="77777777" w:rsidR="00757BE4" w:rsidRPr="00310D26" w:rsidRDefault="00757BE4" w:rsidP="00757BE4">
      <w:pPr>
        <w:jc w:val="center"/>
      </w:pPr>
      <w:r w:rsidRPr="00310D26">
        <w:rPr>
          <w:sz w:val="18"/>
          <w:szCs w:val="18"/>
        </w:rPr>
        <w:br w:type="page"/>
      </w:r>
    </w:p>
    <w:p w14:paraId="3EF1CB2E" w14:textId="7E6292CC" w:rsidR="00757BE4" w:rsidRPr="00310D26" w:rsidRDefault="00757BE4" w:rsidP="00C05526">
      <w:pPr>
        <w:spacing w:after="60"/>
      </w:pPr>
      <w:r w:rsidRPr="00310D26">
        <w:lastRenderedPageBreak/>
        <w:t>DOCUMENTOS DE INFORMACIÓN</w:t>
      </w:r>
    </w:p>
    <w:tbl>
      <w:tblPr>
        <w:tblW w:w="104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85" w:type="dxa"/>
          <w:bottom w:w="57" w:type="dxa"/>
          <w:right w:w="85" w:type="dxa"/>
        </w:tblCellMar>
        <w:tblLook w:val="04A0" w:firstRow="1" w:lastRow="0" w:firstColumn="1" w:lastColumn="0" w:noHBand="0" w:noVBand="1"/>
      </w:tblPr>
      <w:tblGrid>
        <w:gridCol w:w="1758"/>
        <w:gridCol w:w="4807"/>
        <w:gridCol w:w="3920"/>
      </w:tblGrid>
      <w:tr w:rsidR="00757BE4" w:rsidRPr="00310D26" w14:paraId="46C6DC2F" w14:textId="77777777" w:rsidTr="00757BE4">
        <w:trPr>
          <w:cantSplit/>
          <w:jc w:val="center"/>
        </w:trPr>
        <w:tc>
          <w:tcPr>
            <w:tcW w:w="1758" w:type="dxa"/>
            <w:tcBorders>
              <w:top w:val="single" w:sz="4" w:space="0" w:color="auto"/>
              <w:left w:val="single" w:sz="2" w:space="0" w:color="auto"/>
              <w:bottom w:val="single" w:sz="2" w:space="0" w:color="auto"/>
              <w:right w:val="single" w:sz="2" w:space="0" w:color="auto"/>
            </w:tcBorders>
            <w:shd w:val="clear" w:color="auto" w:fill="D9D9D9"/>
            <w:hideMark/>
          </w:tcPr>
          <w:p w14:paraId="5D0C7382" w14:textId="77777777" w:rsidR="00757BE4" w:rsidRPr="00310D26" w:rsidRDefault="00757BE4">
            <w:pPr>
              <w:jc w:val="left"/>
              <w:rPr>
                <w:sz w:val="18"/>
                <w:szCs w:val="18"/>
              </w:rPr>
            </w:pPr>
            <w:r w:rsidRPr="00310D26">
              <w:rPr>
                <w:sz w:val="18"/>
                <w:szCs w:val="18"/>
              </w:rPr>
              <w:t>Referencia más reciente</w:t>
            </w:r>
          </w:p>
        </w:tc>
        <w:tc>
          <w:tcPr>
            <w:tcW w:w="4807" w:type="dxa"/>
            <w:tcBorders>
              <w:top w:val="single" w:sz="4" w:space="0" w:color="auto"/>
              <w:left w:val="single" w:sz="2" w:space="0" w:color="auto"/>
              <w:bottom w:val="single" w:sz="2" w:space="0" w:color="auto"/>
              <w:right w:val="single" w:sz="2" w:space="0" w:color="auto"/>
            </w:tcBorders>
            <w:shd w:val="clear" w:color="auto" w:fill="D9D9D9"/>
            <w:hideMark/>
          </w:tcPr>
          <w:p w14:paraId="41B82D39" w14:textId="77777777" w:rsidR="00757BE4" w:rsidRPr="00310D26" w:rsidRDefault="00757BE4">
            <w:pPr>
              <w:jc w:val="center"/>
              <w:rPr>
                <w:sz w:val="18"/>
                <w:szCs w:val="18"/>
              </w:rPr>
            </w:pPr>
            <w:r w:rsidRPr="00310D26">
              <w:rPr>
                <w:sz w:val="18"/>
                <w:szCs w:val="18"/>
              </w:rPr>
              <w:t>Documentos INF</w:t>
            </w:r>
          </w:p>
        </w:tc>
        <w:tc>
          <w:tcPr>
            <w:tcW w:w="3920" w:type="dxa"/>
            <w:tcBorders>
              <w:top w:val="single" w:sz="4" w:space="0" w:color="auto"/>
              <w:left w:val="single" w:sz="2" w:space="0" w:color="auto"/>
              <w:bottom w:val="single" w:sz="2" w:space="0" w:color="auto"/>
              <w:right w:val="single" w:sz="2" w:space="0" w:color="auto"/>
            </w:tcBorders>
            <w:shd w:val="clear" w:color="auto" w:fill="D9D9D9"/>
            <w:hideMark/>
          </w:tcPr>
          <w:p w14:paraId="51ABCC3B" w14:textId="77777777" w:rsidR="00757BE4" w:rsidRPr="00310D26" w:rsidRDefault="00757BE4">
            <w:pPr>
              <w:jc w:val="left"/>
              <w:rPr>
                <w:sz w:val="18"/>
                <w:szCs w:val="18"/>
              </w:rPr>
            </w:pPr>
            <w:r w:rsidRPr="00310D26">
              <w:rPr>
                <w:sz w:val="18"/>
                <w:szCs w:val="18"/>
              </w:rPr>
              <w:t>Situación</w:t>
            </w:r>
          </w:p>
        </w:tc>
      </w:tr>
      <w:tr w:rsidR="00757BE4" w:rsidRPr="00310D26" w14:paraId="753C490F" w14:textId="77777777" w:rsidTr="00757BE4">
        <w:trPr>
          <w:cantSplit/>
          <w:jc w:val="center"/>
        </w:trPr>
        <w:tc>
          <w:tcPr>
            <w:tcW w:w="1758" w:type="dxa"/>
            <w:tcBorders>
              <w:top w:val="single" w:sz="2" w:space="0" w:color="auto"/>
              <w:left w:val="single" w:sz="2" w:space="0" w:color="auto"/>
              <w:bottom w:val="single" w:sz="2" w:space="0" w:color="auto"/>
              <w:right w:val="single" w:sz="2" w:space="0" w:color="auto"/>
            </w:tcBorders>
            <w:hideMark/>
          </w:tcPr>
          <w:p w14:paraId="55F9CE5D" w14:textId="77777777" w:rsidR="00757BE4" w:rsidRPr="00310D26" w:rsidRDefault="00757BE4">
            <w:pPr>
              <w:jc w:val="left"/>
              <w:rPr>
                <w:sz w:val="18"/>
                <w:szCs w:val="18"/>
              </w:rPr>
            </w:pPr>
            <w:r w:rsidRPr="00310D26">
              <w:rPr>
                <w:sz w:val="18"/>
                <w:szCs w:val="18"/>
              </w:rPr>
              <w:t>UPOV/INF-EXN</w:t>
            </w:r>
          </w:p>
        </w:tc>
        <w:tc>
          <w:tcPr>
            <w:tcW w:w="4807" w:type="dxa"/>
            <w:tcBorders>
              <w:top w:val="single" w:sz="2" w:space="0" w:color="auto"/>
              <w:left w:val="single" w:sz="2" w:space="0" w:color="auto"/>
              <w:bottom w:val="single" w:sz="2" w:space="0" w:color="auto"/>
              <w:right w:val="single" w:sz="2" w:space="0" w:color="auto"/>
            </w:tcBorders>
            <w:hideMark/>
          </w:tcPr>
          <w:p w14:paraId="6B6EB713" w14:textId="169A9369" w:rsidR="00757BE4" w:rsidRPr="00310D26" w:rsidRDefault="00757BE4">
            <w:pPr>
              <w:jc w:val="left"/>
              <w:rPr>
                <w:sz w:val="18"/>
                <w:szCs w:val="18"/>
              </w:rPr>
            </w:pPr>
            <w:r w:rsidRPr="00310D26">
              <w:rPr>
                <w:sz w:val="18"/>
                <w:szCs w:val="18"/>
              </w:rPr>
              <w:t>Lista de documentos UPOV/INF-EXN y fecha de última publicación</w:t>
            </w:r>
          </w:p>
        </w:tc>
        <w:tc>
          <w:tcPr>
            <w:tcW w:w="3920" w:type="dxa"/>
            <w:tcBorders>
              <w:top w:val="single" w:sz="2" w:space="0" w:color="auto"/>
              <w:left w:val="single" w:sz="2" w:space="0" w:color="auto"/>
              <w:bottom w:val="single" w:sz="2" w:space="0" w:color="auto"/>
              <w:right w:val="single" w:sz="2" w:space="0" w:color="auto"/>
            </w:tcBorders>
            <w:hideMark/>
          </w:tcPr>
          <w:p w14:paraId="11724652" w14:textId="76C76B2C" w:rsidR="00757BE4" w:rsidRPr="00310D26" w:rsidRDefault="00757BE4">
            <w:pPr>
              <w:spacing w:after="60"/>
              <w:jc w:val="left"/>
              <w:rPr>
                <w:sz w:val="18"/>
                <w:szCs w:val="18"/>
              </w:rPr>
            </w:pPr>
            <w:r w:rsidRPr="00FF2785">
              <w:rPr>
                <w:sz w:val="18"/>
                <w:szCs w:val="18"/>
              </w:rPr>
              <w:t xml:space="preserve">UPOV/INF-EXN/13 aprobado en </w:t>
            </w:r>
            <w:r w:rsidRPr="00FF2785">
              <w:rPr>
                <w:spacing w:val="-2"/>
                <w:sz w:val="18"/>
                <w:szCs w:val="18"/>
              </w:rPr>
              <w:t xml:space="preserve">noviembre </w:t>
            </w:r>
            <w:r w:rsidRPr="00FF2785">
              <w:rPr>
                <w:sz w:val="18"/>
                <w:szCs w:val="18"/>
              </w:rPr>
              <w:t>de 2019</w:t>
            </w:r>
          </w:p>
          <w:p w14:paraId="68007959" w14:textId="49BCB7E0" w:rsidR="00757BE4" w:rsidRPr="00310D26" w:rsidRDefault="00757BE4">
            <w:pPr>
              <w:jc w:val="left"/>
              <w:rPr>
                <w:sz w:val="18"/>
                <w:szCs w:val="18"/>
              </w:rPr>
            </w:pPr>
            <w:r w:rsidRPr="00310D26">
              <w:rPr>
                <w:i/>
                <w:sz w:val="18"/>
                <w:szCs w:val="18"/>
              </w:rPr>
              <w:t>UPOV/</w:t>
            </w:r>
            <w:proofErr w:type="spellStart"/>
            <w:r w:rsidRPr="00310D26">
              <w:rPr>
                <w:i/>
                <w:sz w:val="18"/>
                <w:szCs w:val="18"/>
              </w:rPr>
              <w:t>INF</w:t>
            </w:r>
            <w:r w:rsidRPr="00FF2785">
              <w:rPr>
                <w:i/>
                <w:sz w:val="18"/>
                <w:szCs w:val="18"/>
              </w:rPr>
              <w:t>-EXN</w:t>
            </w:r>
            <w:proofErr w:type="spellEnd"/>
            <w:r w:rsidRPr="00FF2785">
              <w:rPr>
                <w:i/>
                <w:sz w:val="18"/>
                <w:szCs w:val="18"/>
              </w:rPr>
              <w:t>/14 </w:t>
            </w:r>
            <w:proofErr w:type="spellStart"/>
            <w:r w:rsidRPr="00FF2785">
              <w:rPr>
                <w:i/>
                <w:sz w:val="18"/>
                <w:szCs w:val="18"/>
              </w:rPr>
              <w:t>Draft</w:t>
            </w:r>
            <w:proofErr w:type="spellEnd"/>
            <w:r w:rsidRPr="00FF2785">
              <w:rPr>
                <w:i/>
                <w:sz w:val="18"/>
                <w:szCs w:val="18"/>
              </w:rPr>
              <w:t> </w:t>
            </w:r>
            <w:r w:rsidR="00C173F0" w:rsidRPr="00CE5020">
              <w:rPr>
                <w:i/>
                <w:strike/>
                <w:highlight w:val="yellow"/>
              </w:rPr>
              <w:t>1</w:t>
            </w:r>
            <w:r w:rsidR="00C173F0" w:rsidRPr="00CE5020">
              <w:rPr>
                <w:bCs/>
                <w:i/>
                <w:snapToGrid w:val="0"/>
                <w:szCs w:val="24"/>
                <w:highlight w:val="yellow"/>
                <w:u w:val="single"/>
              </w:rPr>
              <w:t>2</w:t>
            </w:r>
            <w:r w:rsidRPr="00FF2785">
              <w:rPr>
                <w:i/>
                <w:sz w:val="18"/>
                <w:szCs w:val="18"/>
              </w:rPr>
              <w:t xml:space="preserve"> será examinado por el Consejo en octubre de 2020</w:t>
            </w:r>
          </w:p>
        </w:tc>
      </w:tr>
      <w:tr w:rsidR="00757BE4" w:rsidRPr="00310D26" w14:paraId="3A1CBF43" w14:textId="77777777" w:rsidTr="00757BE4">
        <w:trPr>
          <w:cantSplit/>
          <w:jc w:val="center"/>
        </w:trPr>
        <w:tc>
          <w:tcPr>
            <w:tcW w:w="1758" w:type="dxa"/>
            <w:tcBorders>
              <w:top w:val="single" w:sz="2" w:space="0" w:color="auto"/>
              <w:left w:val="single" w:sz="2" w:space="0" w:color="auto"/>
              <w:bottom w:val="single" w:sz="2" w:space="0" w:color="auto"/>
              <w:right w:val="single" w:sz="2" w:space="0" w:color="auto"/>
            </w:tcBorders>
            <w:hideMark/>
          </w:tcPr>
          <w:p w14:paraId="24CBBCB6" w14:textId="77777777" w:rsidR="00757BE4" w:rsidRPr="00310D26" w:rsidRDefault="00757BE4">
            <w:pPr>
              <w:jc w:val="left"/>
              <w:rPr>
                <w:sz w:val="18"/>
                <w:szCs w:val="18"/>
              </w:rPr>
            </w:pPr>
            <w:r w:rsidRPr="00310D26">
              <w:rPr>
                <w:sz w:val="18"/>
                <w:szCs w:val="18"/>
              </w:rPr>
              <w:t>UPOV/INF/4</w:t>
            </w:r>
          </w:p>
        </w:tc>
        <w:tc>
          <w:tcPr>
            <w:tcW w:w="4807" w:type="dxa"/>
            <w:tcBorders>
              <w:top w:val="single" w:sz="2" w:space="0" w:color="auto"/>
              <w:left w:val="single" w:sz="2" w:space="0" w:color="auto"/>
              <w:bottom w:val="single" w:sz="2" w:space="0" w:color="auto"/>
              <w:right w:val="single" w:sz="2" w:space="0" w:color="auto"/>
            </w:tcBorders>
            <w:hideMark/>
          </w:tcPr>
          <w:p w14:paraId="37135A20" w14:textId="36BAD03D" w:rsidR="00757BE4" w:rsidRPr="00310D26" w:rsidRDefault="00757BE4">
            <w:pPr>
              <w:jc w:val="left"/>
              <w:rPr>
                <w:sz w:val="18"/>
                <w:szCs w:val="18"/>
              </w:rPr>
            </w:pPr>
            <w:r w:rsidRPr="00310D26">
              <w:rPr>
                <w:sz w:val="18"/>
                <w:szCs w:val="18"/>
              </w:rPr>
              <w:t xml:space="preserve">Reglamento financiero y </w:t>
            </w:r>
            <w:r w:rsidR="0053416A">
              <w:rPr>
                <w:sz w:val="18"/>
                <w:szCs w:val="18"/>
              </w:rPr>
              <w:t>R</w:t>
            </w:r>
            <w:r w:rsidRPr="00310D26">
              <w:rPr>
                <w:sz w:val="18"/>
                <w:szCs w:val="18"/>
              </w:rPr>
              <w:t>eglamentación financiera de la UPOV</w:t>
            </w:r>
          </w:p>
        </w:tc>
        <w:tc>
          <w:tcPr>
            <w:tcW w:w="3920" w:type="dxa"/>
            <w:tcBorders>
              <w:top w:val="single" w:sz="2" w:space="0" w:color="auto"/>
              <w:left w:val="single" w:sz="2" w:space="0" w:color="auto"/>
              <w:bottom w:val="single" w:sz="2" w:space="0" w:color="auto"/>
              <w:right w:val="single" w:sz="2" w:space="0" w:color="auto"/>
            </w:tcBorders>
            <w:hideMark/>
          </w:tcPr>
          <w:p w14:paraId="763E1AD3" w14:textId="77777777" w:rsidR="00757BE4" w:rsidRPr="00C173F0" w:rsidRDefault="00757BE4">
            <w:pPr>
              <w:jc w:val="left"/>
              <w:rPr>
                <w:spacing w:val="-4"/>
                <w:sz w:val="18"/>
                <w:szCs w:val="18"/>
              </w:rPr>
            </w:pPr>
            <w:r w:rsidRPr="00C173F0">
              <w:rPr>
                <w:spacing w:val="-4"/>
                <w:sz w:val="18"/>
                <w:szCs w:val="18"/>
              </w:rPr>
              <w:t>UPOV/INF/4/5 aprobado en noviembre de 2018</w:t>
            </w:r>
          </w:p>
          <w:p w14:paraId="7C754674" w14:textId="04BAD642" w:rsidR="00C173F0" w:rsidRPr="00310D26" w:rsidRDefault="00C173F0">
            <w:pPr>
              <w:jc w:val="left"/>
              <w:rPr>
                <w:sz w:val="18"/>
                <w:szCs w:val="18"/>
              </w:rPr>
            </w:pPr>
            <w:r w:rsidRPr="00453694">
              <w:rPr>
                <w:i/>
                <w:sz w:val="18"/>
                <w:szCs w:val="18"/>
                <w:highlight w:val="yellow"/>
                <w:u w:val="single"/>
              </w:rPr>
              <w:t>UPOV/INF/4/</w:t>
            </w:r>
            <w:r w:rsidRPr="00C173F0">
              <w:rPr>
                <w:i/>
                <w:sz w:val="18"/>
                <w:szCs w:val="18"/>
                <w:highlight w:val="yellow"/>
                <w:u w:val="single"/>
              </w:rPr>
              <w:t>6</w:t>
            </w:r>
            <w:r w:rsidRPr="00C173F0">
              <w:rPr>
                <w:sz w:val="18"/>
                <w:szCs w:val="18"/>
                <w:highlight w:val="yellow"/>
                <w:u w:val="single"/>
              </w:rPr>
              <w:t xml:space="preserve"> </w:t>
            </w:r>
            <w:r w:rsidRPr="00C173F0">
              <w:rPr>
                <w:i/>
                <w:sz w:val="18"/>
                <w:szCs w:val="18"/>
                <w:highlight w:val="yellow"/>
                <w:u w:val="single"/>
              </w:rPr>
              <w:t>será examinado por el Consejo en octubre de 2020</w:t>
            </w:r>
          </w:p>
        </w:tc>
      </w:tr>
      <w:tr w:rsidR="00757BE4" w:rsidRPr="00310D26" w14:paraId="2EF38AF5" w14:textId="77777777" w:rsidTr="00757BE4">
        <w:trPr>
          <w:cantSplit/>
          <w:jc w:val="center"/>
        </w:trPr>
        <w:tc>
          <w:tcPr>
            <w:tcW w:w="1758" w:type="dxa"/>
            <w:tcBorders>
              <w:top w:val="single" w:sz="2" w:space="0" w:color="auto"/>
              <w:left w:val="single" w:sz="2" w:space="0" w:color="auto"/>
              <w:bottom w:val="single" w:sz="2" w:space="0" w:color="auto"/>
              <w:right w:val="single" w:sz="2" w:space="0" w:color="auto"/>
            </w:tcBorders>
            <w:hideMark/>
          </w:tcPr>
          <w:p w14:paraId="7BE22F33" w14:textId="77777777" w:rsidR="00757BE4" w:rsidRPr="008049BE" w:rsidRDefault="00757BE4">
            <w:pPr>
              <w:jc w:val="left"/>
              <w:rPr>
                <w:sz w:val="18"/>
                <w:szCs w:val="18"/>
              </w:rPr>
            </w:pPr>
            <w:r w:rsidRPr="008049BE">
              <w:rPr>
                <w:sz w:val="18"/>
                <w:szCs w:val="18"/>
              </w:rPr>
              <w:t>UPOV/INF/5</w:t>
            </w:r>
          </w:p>
        </w:tc>
        <w:tc>
          <w:tcPr>
            <w:tcW w:w="4807" w:type="dxa"/>
            <w:tcBorders>
              <w:top w:val="single" w:sz="2" w:space="0" w:color="auto"/>
              <w:left w:val="single" w:sz="2" w:space="0" w:color="auto"/>
              <w:bottom w:val="single" w:sz="2" w:space="0" w:color="auto"/>
              <w:right w:val="single" w:sz="2" w:space="0" w:color="auto"/>
            </w:tcBorders>
            <w:hideMark/>
          </w:tcPr>
          <w:p w14:paraId="2F39AAC5" w14:textId="5F7D5E73" w:rsidR="00757BE4" w:rsidRPr="008049BE" w:rsidRDefault="008049BE" w:rsidP="008049BE">
            <w:pPr>
              <w:jc w:val="left"/>
              <w:rPr>
                <w:sz w:val="18"/>
                <w:szCs w:val="18"/>
              </w:rPr>
            </w:pPr>
            <w:r>
              <w:rPr>
                <w:sz w:val="18"/>
                <w:szCs w:val="18"/>
              </w:rPr>
              <w:t xml:space="preserve">Publicación </w:t>
            </w:r>
            <w:r w:rsidR="00757BE4" w:rsidRPr="008049BE">
              <w:rPr>
                <w:sz w:val="18"/>
                <w:szCs w:val="18"/>
              </w:rPr>
              <w:t xml:space="preserve">tipo de la UPOV sobre </w:t>
            </w:r>
            <w:r>
              <w:rPr>
                <w:sz w:val="18"/>
                <w:szCs w:val="18"/>
              </w:rPr>
              <w:t>los derechos de obtentor</w:t>
            </w:r>
          </w:p>
        </w:tc>
        <w:tc>
          <w:tcPr>
            <w:tcW w:w="3920" w:type="dxa"/>
            <w:tcBorders>
              <w:top w:val="single" w:sz="2" w:space="0" w:color="auto"/>
              <w:left w:val="single" w:sz="2" w:space="0" w:color="auto"/>
              <w:bottom w:val="single" w:sz="2" w:space="0" w:color="auto"/>
              <w:right w:val="single" w:sz="2" w:space="0" w:color="auto"/>
            </w:tcBorders>
            <w:hideMark/>
          </w:tcPr>
          <w:p w14:paraId="3CC00E5B" w14:textId="2145B80A" w:rsidR="00757BE4" w:rsidRPr="00310D26" w:rsidRDefault="00757BE4">
            <w:pPr>
              <w:jc w:val="left"/>
              <w:rPr>
                <w:iCs/>
                <w:sz w:val="18"/>
                <w:szCs w:val="18"/>
                <w:highlight w:val="yellow"/>
              </w:rPr>
            </w:pPr>
            <w:r w:rsidRPr="00FF2785">
              <w:rPr>
                <w:iCs/>
                <w:sz w:val="18"/>
                <w:szCs w:val="18"/>
              </w:rPr>
              <w:t>UPOV/</w:t>
            </w:r>
            <w:proofErr w:type="spellStart"/>
            <w:r w:rsidRPr="00FF2785">
              <w:rPr>
                <w:iCs/>
                <w:sz w:val="18"/>
                <w:szCs w:val="18"/>
              </w:rPr>
              <w:t>INF</w:t>
            </w:r>
            <w:proofErr w:type="spellEnd"/>
            <w:r w:rsidRPr="00FF2785">
              <w:rPr>
                <w:iCs/>
                <w:sz w:val="18"/>
                <w:szCs w:val="18"/>
              </w:rPr>
              <w:t>/5/2 </w:t>
            </w:r>
            <w:proofErr w:type="spellStart"/>
            <w:r w:rsidRPr="00FF2785">
              <w:rPr>
                <w:iCs/>
                <w:sz w:val="18"/>
                <w:szCs w:val="18"/>
              </w:rPr>
              <w:t>Draft</w:t>
            </w:r>
            <w:proofErr w:type="spellEnd"/>
            <w:r w:rsidRPr="00FF2785">
              <w:rPr>
                <w:iCs/>
                <w:sz w:val="18"/>
                <w:szCs w:val="18"/>
              </w:rPr>
              <w:t> 2 aprobado en noviembre de 2019</w:t>
            </w:r>
          </w:p>
        </w:tc>
      </w:tr>
      <w:tr w:rsidR="00757BE4" w:rsidRPr="00310D26" w14:paraId="16709983" w14:textId="77777777" w:rsidTr="00757BE4">
        <w:trPr>
          <w:cantSplit/>
          <w:jc w:val="center"/>
        </w:trPr>
        <w:tc>
          <w:tcPr>
            <w:tcW w:w="1758" w:type="dxa"/>
            <w:tcBorders>
              <w:top w:val="single" w:sz="2" w:space="0" w:color="auto"/>
              <w:left w:val="single" w:sz="2" w:space="0" w:color="auto"/>
              <w:bottom w:val="single" w:sz="2" w:space="0" w:color="auto"/>
              <w:right w:val="single" w:sz="2" w:space="0" w:color="auto"/>
            </w:tcBorders>
            <w:hideMark/>
          </w:tcPr>
          <w:p w14:paraId="5026A0EF" w14:textId="77777777" w:rsidR="00757BE4" w:rsidRPr="00310D26" w:rsidRDefault="00757BE4">
            <w:pPr>
              <w:jc w:val="left"/>
              <w:rPr>
                <w:sz w:val="18"/>
                <w:szCs w:val="18"/>
              </w:rPr>
            </w:pPr>
            <w:r w:rsidRPr="00310D26">
              <w:rPr>
                <w:sz w:val="18"/>
                <w:szCs w:val="18"/>
              </w:rPr>
              <w:t>UPOV/INF/6</w:t>
            </w:r>
          </w:p>
        </w:tc>
        <w:tc>
          <w:tcPr>
            <w:tcW w:w="4807" w:type="dxa"/>
            <w:tcBorders>
              <w:top w:val="single" w:sz="2" w:space="0" w:color="auto"/>
              <w:left w:val="single" w:sz="2" w:space="0" w:color="auto"/>
              <w:bottom w:val="single" w:sz="2" w:space="0" w:color="auto"/>
              <w:right w:val="single" w:sz="2" w:space="0" w:color="auto"/>
            </w:tcBorders>
            <w:hideMark/>
          </w:tcPr>
          <w:p w14:paraId="74F8D90C" w14:textId="77777777" w:rsidR="00757BE4" w:rsidRPr="00310D26" w:rsidRDefault="00757BE4">
            <w:pPr>
              <w:jc w:val="left"/>
              <w:rPr>
                <w:sz w:val="18"/>
                <w:szCs w:val="18"/>
              </w:rPr>
            </w:pPr>
            <w:r w:rsidRPr="00310D26">
              <w:rPr>
                <w:sz w:val="18"/>
                <w:szCs w:val="18"/>
              </w:rPr>
              <w:t>Orientaciones para la redacción de leyes basadas en el Acta de 1991 del Convenio de la UPOV</w:t>
            </w:r>
          </w:p>
        </w:tc>
        <w:tc>
          <w:tcPr>
            <w:tcW w:w="3920" w:type="dxa"/>
            <w:tcBorders>
              <w:top w:val="single" w:sz="2" w:space="0" w:color="auto"/>
              <w:left w:val="single" w:sz="2" w:space="0" w:color="auto"/>
              <w:bottom w:val="single" w:sz="2" w:space="0" w:color="auto"/>
              <w:right w:val="single" w:sz="2" w:space="0" w:color="auto"/>
            </w:tcBorders>
            <w:hideMark/>
          </w:tcPr>
          <w:p w14:paraId="09AB949A" w14:textId="77777777" w:rsidR="00757BE4" w:rsidRPr="00310D26" w:rsidRDefault="00757BE4">
            <w:pPr>
              <w:jc w:val="left"/>
              <w:rPr>
                <w:sz w:val="18"/>
                <w:szCs w:val="18"/>
              </w:rPr>
            </w:pPr>
            <w:r w:rsidRPr="00310D26">
              <w:rPr>
                <w:sz w:val="18"/>
                <w:szCs w:val="18"/>
              </w:rPr>
              <w:t>UPOV/INF/6/5 aprobado en abril de 2017</w:t>
            </w:r>
          </w:p>
        </w:tc>
      </w:tr>
      <w:tr w:rsidR="00757BE4" w:rsidRPr="00310D26" w14:paraId="5BEF9F1C" w14:textId="77777777" w:rsidTr="00757BE4">
        <w:trPr>
          <w:cantSplit/>
          <w:jc w:val="center"/>
        </w:trPr>
        <w:tc>
          <w:tcPr>
            <w:tcW w:w="1758" w:type="dxa"/>
            <w:tcBorders>
              <w:top w:val="single" w:sz="2" w:space="0" w:color="auto"/>
              <w:left w:val="single" w:sz="2" w:space="0" w:color="auto"/>
              <w:bottom w:val="single" w:sz="2" w:space="0" w:color="auto"/>
              <w:right w:val="single" w:sz="2" w:space="0" w:color="auto"/>
            </w:tcBorders>
            <w:hideMark/>
          </w:tcPr>
          <w:p w14:paraId="78BDE797" w14:textId="77777777" w:rsidR="00757BE4" w:rsidRPr="00310D26" w:rsidRDefault="00757BE4">
            <w:pPr>
              <w:jc w:val="left"/>
              <w:rPr>
                <w:sz w:val="18"/>
                <w:szCs w:val="18"/>
              </w:rPr>
            </w:pPr>
            <w:r w:rsidRPr="00310D26">
              <w:rPr>
                <w:sz w:val="18"/>
                <w:szCs w:val="18"/>
              </w:rPr>
              <w:t>UPOV/INF/7</w:t>
            </w:r>
          </w:p>
        </w:tc>
        <w:tc>
          <w:tcPr>
            <w:tcW w:w="4807" w:type="dxa"/>
            <w:tcBorders>
              <w:top w:val="single" w:sz="2" w:space="0" w:color="auto"/>
              <w:left w:val="single" w:sz="2" w:space="0" w:color="auto"/>
              <w:bottom w:val="single" w:sz="2" w:space="0" w:color="auto"/>
              <w:right w:val="single" w:sz="2" w:space="0" w:color="auto"/>
            </w:tcBorders>
            <w:hideMark/>
          </w:tcPr>
          <w:p w14:paraId="286A841E" w14:textId="77777777" w:rsidR="00757BE4" w:rsidRPr="00310D26" w:rsidRDefault="00757BE4">
            <w:pPr>
              <w:jc w:val="left"/>
              <w:rPr>
                <w:sz w:val="18"/>
                <w:szCs w:val="18"/>
              </w:rPr>
            </w:pPr>
            <w:r w:rsidRPr="00310D26">
              <w:rPr>
                <w:sz w:val="18"/>
                <w:szCs w:val="18"/>
              </w:rPr>
              <w:t>Reglamento del Consejo</w:t>
            </w:r>
          </w:p>
        </w:tc>
        <w:tc>
          <w:tcPr>
            <w:tcW w:w="3920" w:type="dxa"/>
            <w:tcBorders>
              <w:top w:val="single" w:sz="2" w:space="0" w:color="auto"/>
              <w:left w:val="single" w:sz="2" w:space="0" w:color="auto"/>
              <w:bottom w:val="single" w:sz="2" w:space="0" w:color="auto"/>
              <w:right w:val="single" w:sz="2" w:space="0" w:color="auto"/>
            </w:tcBorders>
            <w:hideMark/>
          </w:tcPr>
          <w:p w14:paraId="195B3AE8" w14:textId="77777777" w:rsidR="00757BE4" w:rsidRPr="00310D26" w:rsidRDefault="00757BE4">
            <w:pPr>
              <w:jc w:val="left"/>
              <w:rPr>
                <w:sz w:val="18"/>
                <w:szCs w:val="18"/>
              </w:rPr>
            </w:pPr>
            <w:r w:rsidRPr="00310D26">
              <w:rPr>
                <w:sz w:val="18"/>
                <w:szCs w:val="18"/>
              </w:rPr>
              <w:t>UPOV/INF/7 aprobado en octubre de 1982</w:t>
            </w:r>
          </w:p>
        </w:tc>
      </w:tr>
      <w:tr w:rsidR="00757BE4" w:rsidRPr="00310D26" w14:paraId="39A0983F" w14:textId="77777777" w:rsidTr="00757BE4">
        <w:trPr>
          <w:cantSplit/>
          <w:jc w:val="center"/>
        </w:trPr>
        <w:tc>
          <w:tcPr>
            <w:tcW w:w="1758" w:type="dxa"/>
            <w:tcBorders>
              <w:top w:val="single" w:sz="2" w:space="0" w:color="auto"/>
              <w:left w:val="single" w:sz="2" w:space="0" w:color="auto"/>
              <w:bottom w:val="single" w:sz="2" w:space="0" w:color="auto"/>
              <w:right w:val="single" w:sz="2" w:space="0" w:color="auto"/>
            </w:tcBorders>
            <w:hideMark/>
          </w:tcPr>
          <w:p w14:paraId="12B7E44B" w14:textId="77777777" w:rsidR="00757BE4" w:rsidRPr="00310D26" w:rsidRDefault="00757BE4">
            <w:pPr>
              <w:jc w:val="left"/>
              <w:rPr>
                <w:sz w:val="18"/>
                <w:szCs w:val="18"/>
              </w:rPr>
            </w:pPr>
            <w:r w:rsidRPr="00310D26">
              <w:rPr>
                <w:sz w:val="18"/>
                <w:szCs w:val="18"/>
              </w:rPr>
              <w:t>UPOV/INF/8</w:t>
            </w:r>
          </w:p>
        </w:tc>
        <w:tc>
          <w:tcPr>
            <w:tcW w:w="4807" w:type="dxa"/>
            <w:tcBorders>
              <w:top w:val="single" w:sz="2" w:space="0" w:color="auto"/>
              <w:left w:val="single" w:sz="2" w:space="0" w:color="auto"/>
              <w:bottom w:val="single" w:sz="2" w:space="0" w:color="auto"/>
              <w:right w:val="single" w:sz="2" w:space="0" w:color="auto"/>
            </w:tcBorders>
            <w:hideMark/>
          </w:tcPr>
          <w:p w14:paraId="33BDD309" w14:textId="77777777" w:rsidR="00757BE4" w:rsidRPr="00310D26" w:rsidRDefault="00757BE4">
            <w:pPr>
              <w:jc w:val="left"/>
              <w:rPr>
                <w:sz w:val="18"/>
                <w:szCs w:val="18"/>
              </w:rPr>
            </w:pPr>
            <w:r w:rsidRPr="00310D26">
              <w:rPr>
                <w:sz w:val="18"/>
                <w:szCs w:val="18"/>
              </w:rPr>
              <w:t>Acuerdo entre la Organización Mundial de la Propiedad Intelectual y la Unión Internacional para la Protección de las Obtenciones Vegetales</w:t>
            </w:r>
          </w:p>
        </w:tc>
        <w:tc>
          <w:tcPr>
            <w:tcW w:w="3920" w:type="dxa"/>
            <w:tcBorders>
              <w:top w:val="single" w:sz="2" w:space="0" w:color="auto"/>
              <w:left w:val="single" w:sz="2" w:space="0" w:color="auto"/>
              <w:bottom w:val="single" w:sz="2" w:space="0" w:color="auto"/>
              <w:right w:val="single" w:sz="2" w:space="0" w:color="auto"/>
            </w:tcBorders>
            <w:hideMark/>
          </w:tcPr>
          <w:p w14:paraId="1455C62E" w14:textId="77777777" w:rsidR="00757BE4" w:rsidRPr="00310D26" w:rsidRDefault="00757BE4">
            <w:pPr>
              <w:jc w:val="left"/>
              <w:rPr>
                <w:sz w:val="18"/>
                <w:szCs w:val="18"/>
              </w:rPr>
            </w:pPr>
            <w:r w:rsidRPr="00310D26">
              <w:rPr>
                <w:sz w:val="18"/>
                <w:szCs w:val="18"/>
              </w:rPr>
              <w:t>UPOV/INF/8 firmado en noviembre de 1982</w:t>
            </w:r>
          </w:p>
        </w:tc>
      </w:tr>
      <w:tr w:rsidR="00757BE4" w:rsidRPr="00310D26" w14:paraId="5DC9EBE3" w14:textId="77777777" w:rsidTr="00757BE4">
        <w:trPr>
          <w:cantSplit/>
          <w:jc w:val="center"/>
        </w:trPr>
        <w:tc>
          <w:tcPr>
            <w:tcW w:w="1758" w:type="dxa"/>
            <w:tcBorders>
              <w:top w:val="single" w:sz="2" w:space="0" w:color="auto"/>
              <w:left w:val="single" w:sz="2" w:space="0" w:color="auto"/>
              <w:bottom w:val="single" w:sz="2" w:space="0" w:color="auto"/>
              <w:right w:val="single" w:sz="2" w:space="0" w:color="auto"/>
            </w:tcBorders>
            <w:hideMark/>
          </w:tcPr>
          <w:p w14:paraId="60FD71F1" w14:textId="77777777" w:rsidR="00757BE4" w:rsidRPr="00310D26" w:rsidRDefault="00757BE4">
            <w:pPr>
              <w:jc w:val="left"/>
              <w:rPr>
                <w:sz w:val="18"/>
                <w:szCs w:val="18"/>
              </w:rPr>
            </w:pPr>
            <w:r w:rsidRPr="00310D26">
              <w:rPr>
                <w:sz w:val="18"/>
                <w:szCs w:val="18"/>
              </w:rPr>
              <w:t>UPOV/INF/9</w:t>
            </w:r>
          </w:p>
        </w:tc>
        <w:tc>
          <w:tcPr>
            <w:tcW w:w="4807" w:type="dxa"/>
            <w:tcBorders>
              <w:top w:val="single" w:sz="2" w:space="0" w:color="auto"/>
              <w:left w:val="single" w:sz="2" w:space="0" w:color="auto"/>
              <w:bottom w:val="single" w:sz="2" w:space="0" w:color="auto"/>
              <w:right w:val="single" w:sz="2" w:space="0" w:color="auto"/>
            </w:tcBorders>
            <w:hideMark/>
          </w:tcPr>
          <w:p w14:paraId="76090835" w14:textId="77777777" w:rsidR="00757BE4" w:rsidRPr="00310D26" w:rsidRDefault="00757BE4">
            <w:pPr>
              <w:jc w:val="left"/>
              <w:rPr>
                <w:sz w:val="18"/>
                <w:szCs w:val="18"/>
              </w:rPr>
            </w:pPr>
            <w:r w:rsidRPr="00310D26">
              <w:rPr>
                <w:sz w:val="18"/>
                <w:szCs w:val="18"/>
              </w:rPr>
              <w:t>Acuerdo entre la Unión Internacional para la Protección de las Obtenciones Vegetales y el Consejo Federal Suizo para determinar la situación jurídica en Suiza de esa Unión (Acuerdo de Sede)</w:t>
            </w:r>
          </w:p>
        </w:tc>
        <w:tc>
          <w:tcPr>
            <w:tcW w:w="3920" w:type="dxa"/>
            <w:tcBorders>
              <w:top w:val="single" w:sz="2" w:space="0" w:color="auto"/>
              <w:left w:val="single" w:sz="2" w:space="0" w:color="auto"/>
              <w:bottom w:val="single" w:sz="2" w:space="0" w:color="auto"/>
              <w:right w:val="single" w:sz="2" w:space="0" w:color="auto"/>
            </w:tcBorders>
            <w:hideMark/>
          </w:tcPr>
          <w:p w14:paraId="538CDB67" w14:textId="77777777" w:rsidR="00757BE4" w:rsidRPr="00310D26" w:rsidRDefault="00757BE4">
            <w:pPr>
              <w:jc w:val="left"/>
              <w:rPr>
                <w:sz w:val="18"/>
                <w:szCs w:val="18"/>
              </w:rPr>
            </w:pPr>
            <w:r w:rsidRPr="00310D26">
              <w:rPr>
                <w:sz w:val="18"/>
                <w:szCs w:val="18"/>
              </w:rPr>
              <w:t>UPOV/INF/9 firmado en noviembre de 1983</w:t>
            </w:r>
          </w:p>
        </w:tc>
      </w:tr>
      <w:tr w:rsidR="00757BE4" w:rsidRPr="00310D26" w14:paraId="09FCD569" w14:textId="77777777" w:rsidTr="00757BE4">
        <w:trPr>
          <w:cantSplit/>
          <w:jc w:val="center"/>
        </w:trPr>
        <w:tc>
          <w:tcPr>
            <w:tcW w:w="1758" w:type="dxa"/>
            <w:tcBorders>
              <w:top w:val="single" w:sz="2" w:space="0" w:color="auto"/>
              <w:left w:val="single" w:sz="2" w:space="0" w:color="auto"/>
              <w:bottom w:val="single" w:sz="2" w:space="0" w:color="auto"/>
              <w:right w:val="single" w:sz="2" w:space="0" w:color="auto"/>
            </w:tcBorders>
            <w:hideMark/>
          </w:tcPr>
          <w:p w14:paraId="266B4BC4" w14:textId="77777777" w:rsidR="00757BE4" w:rsidRPr="00310D26" w:rsidRDefault="00757BE4">
            <w:pPr>
              <w:jc w:val="left"/>
              <w:rPr>
                <w:sz w:val="18"/>
                <w:szCs w:val="18"/>
              </w:rPr>
            </w:pPr>
            <w:r w:rsidRPr="00310D26">
              <w:rPr>
                <w:sz w:val="18"/>
                <w:szCs w:val="18"/>
              </w:rPr>
              <w:t>UPOV/INF/10</w:t>
            </w:r>
          </w:p>
        </w:tc>
        <w:tc>
          <w:tcPr>
            <w:tcW w:w="4807" w:type="dxa"/>
            <w:tcBorders>
              <w:top w:val="single" w:sz="2" w:space="0" w:color="auto"/>
              <w:left w:val="single" w:sz="2" w:space="0" w:color="auto"/>
              <w:bottom w:val="single" w:sz="2" w:space="0" w:color="auto"/>
              <w:right w:val="single" w:sz="2" w:space="0" w:color="auto"/>
            </w:tcBorders>
            <w:hideMark/>
          </w:tcPr>
          <w:p w14:paraId="7D46720B" w14:textId="77777777" w:rsidR="00757BE4" w:rsidRPr="00310D26" w:rsidRDefault="00757BE4">
            <w:pPr>
              <w:jc w:val="left"/>
              <w:rPr>
                <w:sz w:val="18"/>
                <w:szCs w:val="18"/>
              </w:rPr>
            </w:pPr>
            <w:r w:rsidRPr="00310D26">
              <w:rPr>
                <w:sz w:val="18"/>
                <w:szCs w:val="18"/>
              </w:rPr>
              <w:t>Auditoría interna</w:t>
            </w:r>
          </w:p>
        </w:tc>
        <w:tc>
          <w:tcPr>
            <w:tcW w:w="3920" w:type="dxa"/>
            <w:tcBorders>
              <w:top w:val="single" w:sz="2" w:space="0" w:color="auto"/>
              <w:left w:val="single" w:sz="2" w:space="0" w:color="auto"/>
              <w:bottom w:val="single" w:sz="2" w:space="0" w:color="auto"/>
              <w:right w:val="single" w:sz="2" w:space="0" w:color="auto"/>
            </w:tcBorders>
            <w:hideMark/>
          </w:tcPr>
          <w:p w14:paraId="12921A04" w14:textId="77777777" w:rsidR="00757BE4" w:rsidRPr="00310D26" w:rsidRDefault="00757BE4">
            <w:pPr>
              <w:jc w:val="left"/>
              <w:rPr>
                <w:sz w:val="18"/>
                <w:szCs w:val="18"/>
              </w:rPr>
            </w:pPr>
            <w:r w:rsidRPr="00310D26">
              <w:rPr>
                <w:sz w:val="18"/>
                <w:szCs w:val="18"/>
              </w:rPr>
              <w:t>UPOV/INF/10/1 aprobado en octubre de 2010</w:t>
            </w:r>
          </w:p>
        </w:tc>
      </w:tr>
      <w:tr w:rsidR="00757BE4" w:rsidRPr="00310D26" w14:paraId="4429E746" w14:textId="77777777" w:rsidTr="00757BE4">
        <w:trPr>
          <w:cantSplit/>
          <w:jc w:val="center"/>
        </w:trPr>
        <w:tc>
          <w:tcPr>
            <w:tcW w:w="1758" w:type="dxa"/>
            <w:tcBorders>
              <w:top w:val="single" w:sz="2" w:space="0" w:color="auto"/>
              <w:left w:val="single" w:sz="2" w:space="0" w:color="auto"/>
              <w:bottom w:val="single" w:sz="2" w:space="0" w:color="auto"/>
              <w:right w:val="single" w:sz="2" w:space="0" w:color="auto"/>
            </w:tcBorders>
            <w:hideMark/>
          </w:tcPr>
          <w:p w14:paraId="4393DB56" w14:textId="77777777" w:rsidR="00757BE4" w:rsidRPr="00310D26" w:rsidRDefault="00757BE4">
            <w:pPr>
              <w:jc w:val="left"/>
              <w:rPr>
                <w:sz w:val="18"/>
                <w:szCs w:val="18"/>
              </w:rPr>
            </w:pPr>
            <w:r w:rsidRPr="00310D26">
              <w:rPr>
                <w:sz w:val="18"/>
                <w:szCs w:val="18"/>
              </w:rPr>
              <w:t>UPOV/INF/12</w:t>
            </w:r>
          </w:p>
        </w:tc>
        <w:tc>
          <w:tcPr>
            <w:tcW w:w="4807" w:type="dxa"/>
            <w:tcBorders>
              <w:top w:val="single" w:sz="2" w:space="0" w:color="auto"/>
              <w:left w:val="single" w:sz="2" w:space="0" w:color="auto"/>
              <w:bottom w:val="single" w:sz="2" w:space="0" w:color="auto"/>
              <w:right w:val="single" w:sz="2" w:space="0" w:color="auto"/>
            </w:tcBorders>
            <w:hideMark/>
          </w:tcPr>
          <w:p w14:paraId="1A5242F1" w14:textId="77777777" w:rsidR="00757BE4" w:rsidRPr="00310D26" w:rsidRDefault="00757BE4">
            <w:pPr>
              <w:jc w:val="left"/>
              <w:rPr>
                <w:sz w:val="18"/>
                <w:szCs w:val="18"/>
              </w:rPr>
            </w:pPr>
            <w:r w:rsidRPr="00310D26">
              <w:rPr>
                <w:sz w:val="18"/>
                <w:szCs w:val="18"/>
              </w:rPr>
              <w:t>Notas explicativas sobre las denominaciones de variedades con arreglo al Convenio de la UPOV</w:t>
            </w:r>
          </w:p>
        </w:tc>
        <w:tc>
          <w:tcPr>
            <w:tcW w:w="3920" w:type="dxa"/>
            <w:tcBorders>
              <w:top w:val="single" w:sz="2" w:space="0" w:color="auto"/>
              <w:left w:val="single" w:sz="2" w:space="0" w:color="auto"/>
              <w:bottom w:val="single" w:sz="2" w:space="0" w:color="auto"/>
              <w:right w:val="single" w:sz="2" w:space="0" w:color="auto"/>
            </w:tcBorders>
            <w:hideMark/>
          </w:tcPr>
          <w:p w14:paraId="60DEE314" w14:textId="77777777" w:rsidR="00757BE4" w:rsidRPr="00310D26" w:rsidRDefault="00757BE4">
            <w:pPr>
              <w:spacing w:after="60"/>
              <w:jc w:val="left"/>
              <w:rPr>
                <w:bCs/>
                <w:snapToGrid w:val="0"/>
                <w:sz w:val="18"/>
                <w:szCs w:val="18"/>
              </w:rPr>
            </w:pPr>
            <w:r w:rsidRPr="00310D26">
              <w:rPr>
                <w:sz w:val="18"/>
                <w:szCs w:val="18"/>
              </w:rPr>
              <w:t>UPOV/INF/12/5 aprobado en octubre de 2015</w:t>
            </w:r>
          </w:p>
          <w:p w14:paraId="61BA53B3" w14:textId="4FCBCE44" w:rsidR="00757BE4" w:rsidRPr="00FF2785" w:rsidRDefault="00757BE4">
            <w:pPr>
              <w:jc w:val="left"/>
              <w:rPr>
                <w:i/>
                <w:spacing w:val="-2"/>
                <w:sz w:val="18"/>
                <w:szCs w:val="18"/>
              </w:rPr>
            </w:pPr>
            <w:r w:rsidRPr="00C173F0">
              <w:rPr>
                <w:i/>
                <w:sz w:val="18"/>
                <w:szCs w:val="18"/>
                <w:highlight w:val="yellow"/>
              </w:rPr>
              <w:t>UPOV/</w:t>
            </w:r>
            <w:proofErr w:type="spellStart"/>
            <w:r w:rsidRPr="00C173F0">
              <w:rPr>
                <w:i/>
                <w:sz w:val="18"/>
                <w:szCs w:val="18"/>
                <w:highlight w:val="yellow"/>
              </w:rPr>
              <w:t>EXN</w:t>
            </w:r>
            <w:proofErr w:type="spellEnd"/>
            <w:r w:rsidRPr="00C173F0">
              <w:rPr>
                <w:i/>
                <w:sz w:val="18"/>
                <w:szCs w:val="18"/>
                <w:highlight w:val="yellow"/>
              </w:rPr>
              <w:t>/DEN/1 </w:t>
            </w:r>
            <w:proofErr w:type="spellStart"/>
            <w:r w:rsidRPr="00C173F0">
              <w:rPr>
                <w:i/>
                <w:sz w:val="18"/>
                <w:szCs w:val="18"/>
                <w:highlight w:val="yellow"/>
              </w:rPr>
              <w:t>Draft</w:t>
            </w:r>
            <w:proofErr w:type="spellEnd"/>
            <w:r w:rsidRPr="00C173F0">
              <w:rPr>
                <w:i/>
                <w:sz w:val="18"/>
                <w:szCs w:val="18"/>
                <w:highlight w:val="yellow"/>
              </w:rPr>
              <w:t xml:space="preserve"> 4 será examinado por el CAJ </w:t>
            </w:r>
            <w:r w:rsidRPr="00C173F0">
              <w:rPr>
                <w:i/>
                <w:strike/>
                <w:sz w:val="18"/>
                <w:szCs w:val="18"/>
                <w:highlight w:val="yellow"/>
              </w:rPr>
              <w:t>y el Consejo</w:t>
            </w:r>
            <w:r w:rsidRPr="00C173F0">
              <w:rPr>
                <w:i/>
                <w:sz w:val="18"/>
                <w:szCs w:val="18"/>
                <w:highlight w:val="yellow"/>
              </w:rPr>
              <w:t xml:space="preserve"> en 2020</w:t>
            </w:r>
          </w:p>
        </w:tc>
      </w:tr>
      <w:tr w:rsidR="00757BE4" w:rsidRPr="00310D26" w14:paraId="0A327D83" w14:textId="77777777" w:rsidTr="00757BE4">
        <w:trPr>
          <w:cantSplit/>
          <w:jc w:val="center"/>
        </w:trPr>
        <w:tc>
          <w:tcPr>
            <w:tcW w:w="1758" w:type="dxa"/>
            <w:tcBorders>
              <w:top w:val="single" w:sz="2" w:space="0" w:color="auto"/>
              <w:left w:val="single" w:sz="2" w:space="0" w:color="auto"/>
              <w:bottom w:val="single" w:sz="2" w:space="0" w:color="auto"/>
              <w:right w:val="single" w:sz="2" w:space="0" w:color="auto"/>
            </w:tcBorders>
            <w:hideMark/>
          </w:tcPr>
          <w:p w14:paraId="169A3BD4" w14:textId="77777777" w:rsidR="00757BE4" w:rsidRPr="00310D26" w:rsidRDefault="00757BE4">
            <w:pPr>
              <w:jc w:val="left"/>
              <w:rPr>
                <w:sz w:val="18"/>
                <w:szCs w:val="18"/>
              </w:rPr>
            </w:pPr>
            <w:r w:rsidRPr="00310D26">
              <w:rPr>
                <w:sz w:val="18"/>
                <w:szCs w:val="18"/>
              </w:rPr>
              <w:t>UPOV/INF/13</w:t>
            </w:r>
          </w:p>
        </w:tc>
        <w:tc>
          <w:tcPr>
            <w:tcW w:w="4807" w:type="dxa"/>
            <w:tcBorders>
              <w:top w:val="single" w:sz="2" w:space="0" w:color="auto"/>
              <w:left w:val="single" w:sz="2" w:space="0" w:color="auto"/>
              <w:bottom w:val="single" w:sz="2" w:space="0" w:color="auto"/>
              <w:right w:val="single" w:sz="2" w:space="0" w:color="auto"/>
            </w:tcBorders>
            <w:hideMark/>
          </w:tcPr>
          <w:p w14:paraId="35F5EDDC" w14:textId="77777777" w:rsidR="00757BE4" w:rsidRPr="00310D26" w:rsidRDefault="00757BE4">
            <w:pPr>
              <w:jc w:val="left"/>
              <w:rPr>
                <w:sz w:val="18"/>
                <w:szCs w:val="18"/>
              </w:rPr>
            </w:pPr>
            <w:r w:rsidRPr="00310D26">
              <w:rPr>
                <w:sz w:val="18"/>
                <w:szCs w:val="18"/>
              </w:rPr>
              <w:t>Orientación sobre cómo ser miembro de la UPOV</w:t>
            </w:r>
          </w:p>
        </w:tc>
        <w:tc>
          <w:tcPr>
            <w:tcW w:w="3920" w:type="dxa"/>
            <w:tcBorders>
              <w:top w:val="single" w:sz="2" w:space="0" w:color="auto"/>
              <w:left w:val="single" w:sz="2" w:space="0" w:color="auto"/>
              <w:bottom w:val="single" w:sz="2" w:space="0" w:color="auto"/>
              <w:right w:val="single" w:sz="2" w:space="0" w:color="auto"/>
            </w:tcBorders>
            <w:hideMark/>
          </w:tcPr>
          <w:p w14:paraId="36B2F374" w14:textId="77777777" w:rsidR="00757BE4" w:rsidRPr="00310D26" w:rsidRDefault="00757BE4">
            <w:pPr>
              <w:jc w:val="left"/>
              <w:rPr>
                <w:sz w:val="18"/>
                <w:szCs w:val="18"/>
              </w:rPr>
            </w:pPr>
            <w:r w:rsidRPr="00310D26">
              <w:rPr>
                <w:sz w:val="18"/>
                <w:szCs w:val="18"/>
              </w:rPr>
              <w:t>UPOV/INF/13/2 aprobado en octubre de 2017</w:t>
            </w:r>
          </w:p>
        </w:tc>
      </w:tr>
      <w:tr w:rsidR="00757BE4" w:rsidRPr="00310D26" w14:paraId="4746D0AE" w14:textId="77777777" w:rsidTr="00757BE4">
        <w:trPr>
          <w:cantSplit/>
          <w:jc w:val="center"/>
        </w:trPr>
        <w:tc>
          <w:tcPr>
            <w:tcW w:w="1758" w:type="dxa"/>
            <w:tcBorders>
              <w:top w:val="single" w:sz="2" w:space="0" w:color="auto"/>
              <w:left w:val="single" w:sz="2" w:space="0" w:color="auto"/>
              <w:bottom w:val="single" w:sz="2" w:space="0" w:color="auto"/>
              <w:right w:val="single" w:sz="2" w:space="0" w:color="auto"/>
            </w:tcBorders>
            <w:hideMark/>
          </w:tcPr>
          <w:p w14:paraId="4E05D24C" w14:textId="77777777" w:rsidR="00757BE4" w:rsidRPr="00310D26" w:rsidRDefault="00757BE4">
            <w:pPr>
              <w:jc w:val="left"/>
              <w:rPr>
                <w:sz w:val="18"/>
                <w:szCs w:val="18"/>
              </w:rPr>
            </w:pPr>
            <w:r w:rsidRPr="00310D26">
              <w:rPr>
                <w:sz w:val="18"/>
                <w:szCs w:val="18"/>
              </w:rPr>
              <w:t>UPOV/INF/14</w:t>
            </w:r>
          </w:p>
        </w:tc>
        <w:tc>
          <w:tcPr>
            <w:tcW w:w="4807" w:type="dxa"/>
            <w:tcBorders>
              <w:top w:val="single" w:sz="2" w:space="0" w:color="auto"/>
              <w:left w:val="single" w:sz="2" w:space="0" w:color="auto"/>
              <w:bottom w:val="single" w:sz="2" w:space="0" w:color="auto"/>
              <w:right w:val="single" w:sz="2" w:space="0" w:color="auto"/>
            </w:tcBorders>
            <w:hideMark/>
          </w:tcPr>
          <w:p w14:paraId="506180EE" w14:textId="77777777" w:rsidR="00757BE4" w:rsidRPr="00310D26" w:rsidRDefault="00757BE4">
            <w:pPr>
              <w:jc w:val="left"/>
              <w:rPr>
                <w:sz w:val="18"/>
                <w:szCs w:val="18"/>
              </w:rPr>
            </w:pPr>
            <w:r w:rsidRPr="00310D26">
              <w:rPr>
                <w:sz w:val="18"/>
                <w:szCs w:val="18"/>
              </w:rPr>
              <w:t>Orientación para los miembros de la UPOV sobre cómo ratificar el Acta de 1991 del Convenio de la UPOV, o adherirse a ella</w:t>
            </w:r>
          </w:p>
        </w:tc>
        <w:tc>
          <w:tcPr>
            <w:tcW w:w="3920" w:type="dxa"/>
            <w:tcBorders>
              <w:top w:val="single" w:sz="2" w:space="0" w:color="auto"/>
              <w:left w:val="single" w:sz="2" w:space="0" w:color="auto"/>
              <w:bottom w:val="single" w:sz="2" w:space="0" w:color="auto"/>
              <w:right w:val="single" w:sz="2" w:space="0" w:color="auto"/>
            </w:tcBorders>
            <w:hideMark/>
          </w:tcPr>
          <w:p w14:paraId="479C03B3" w14:textId="77777777" w:rsidR="00757BE4" w:rsidRPr="00310D26" w:rsidRDefault="00757BE4">
            <w:pPr>
              <w:jc w:val="left"/>
              <w:rPr>
                <w:sz w:val="18"/>
                <w:szCs w:val="18"/>
              </w:rPr>
            </w:pPr>
            <w:r w:rsidRPr="00310D26">
              <w:rPr>
                <w:sz w:val="18"/>
                <w:szCs w:val="18"/>
              </w:rPr>
              <w:t>UPOV/INF/14/1 aprobado en octubre de 2009</w:t>
            </w:r>
          </w:p>
        </w:tc>
      </w:tr>
      <w:tr w:rsidR="00757BE4" w:rsidRPr="00310D26" w14:paraId="72187C0A" w14:textId="77777777" w:rsidTr="00757BE4">
        <w:trPr>
          <w:cantSplit/>
          <w:jc w:val="center"/>
        </w:trPr>
        <w:tc>
          <w:tcPr>
            <w:tcW w:w="1758" w:type="dxa"/>
            <w:tcBorders>
              <w:top w:val="single" w:sz="2" w:space="0" w:color="auto"/>
              <w:left w:val="single" w:sz="2" w:space="0" w:color="auto"/>
              <w:bottom w:val="single" w:sz="2" w:space="0" w:color="auto"/>
              <w:right w:val="single" w:sz="2" w:space="0" w:color="auto"/>
            </w:tcBorders>
            <w:hideMark/>
          </w:tcPr>
          <w:p w14:paraId="02C07736" w14:textId="77777777" w:rsidR="00757BE4" w:rsidRPr="00310D26" w:rsidRDefault="00757BE4">
            <w:pPr>
              <w:jc w:val="left"/>
              <w:rPr>
                <w:sz w:val="18"/>
                <w:szCs w:val="18"/>
              </w:rPr>
            </w:pPr>
            <w:r w:rsidRPr="00310D26">
              <w:rPr>
                <w:sz w:val="18"/>
                <w:szCs w:val="18"/>
              </w:rPr>
              <w:t>UPOV/INF/15</w:t>
            </w:r>
          </w:p>
        </w:tc>
        <w:tc>
          <w:tcPr>
            <w:tcW w:w="4807" w:type="dxa"/>
            <w:tcBorders>
              <w:top w:val="single" w:sz="2" w:space="0" w:color="auto"/>
              <w:left w:val="single" w:sz="2" w:space="0" w:color="auto"/>
              <w:bottom w:val="single" w:sz="2" w:space="0" w:color="auto"/>
              <w:right w:val="single" w:sz="2" w:space="0" w:color="auto"/>
            </w:tcBorders>
            <w:hideMark/>
          </w:tcPr>
          <w:p w14:paraId="2CA9F77C" w14:textId="77777777" w:rsidR="00757BE4" w:rsidRPr="00310D26" w:rsidRDefault="00757BE4">
            <w:pPr>
              <w:jc w:val="left"/>
              <w:rPr>
                <w:sz w:val="18"/>
                <w:szCs w:val="18"/>
              </w:rPr>
            </w:pPr>
            <w:r w:rsidRPr="00310D26">
              <w:rPr>
                <w:sz w:val="18"/>
                <w:szCs w:val="18"/>
              </w:rPr>
              <w:t xml:space="preserve">Orientación para los miembros de la UPOV </w:t>
            </w:r>
          </w:p>
        </w:tc>
        <w:tc>
          <w:tcPr>
            <w:tcW w:w="3920" w:type="dxa"/>
            <w:tcBorders>
              <w:top w:val="single" w:sz="2" w:space="0" w:color="auto"/>
              <w:left w:val="single" w:sz="2" w:space="0" w:color="auto"/>
              <w:bottom w:val="single" w:sz="2" w:space="0" w:color="auto"/>
              <w:right w:val="single" w:sz="2" w:space="0" w:color="auto"/>
            </w:tcBorders>
            <w:hideMark/>
          </w:tcPr>
          <w:p w14:paraId="0F88119D" w14:textId="77777777" w:rsidR="00757BE4" w:rsidRPr="00310D26" w:rsidRDefault="00757BE4">
            <w:pPr>
              <w:jc w:val="left"/>
              <w:rPr>
                <w:sz w:val="18"/>
                <w:szCs w:val="18"/>
              </w:rPr>
            </w:pPr>
            <w:r w:rsidRPr="00310D26">
              <w:rPr>
                <w:sz w:val="18"/>
                <w:szCs w:val="18"/>
              </w:rPr>
              <w:t xml:space="preserve">UPOV/INF/15/3 aprobado en marzo de 2015 </w:t>
            </w:r>
          </w:p>
        </w:tc>
      </w:tr>
      <w:tr w:rsidR="00757BE4" w:rsidRPr="00310D26" w14:paraId="29ED08C1" w14:textId="77777777" w:rsidTr="00757BE4">
        <w:trPr>
          <w:cantSplit/>
          <w:jc w:val="center"/>
        </w:trPr>
        <w:tc>
          <w:tcPr>
            <w:tcW w:w="1758" w:type="dxa"/>
            <w:tcBorders>
              <w:top w:val="single" w:sz="2" w:space="0" w:color="auto"/>
              <w:left w:val="single" w:sz="2" w:space="0" w:color="auto"/>
              <w:bottom w:val="single" w:sz="2" w:space="0" w:color="auto"/>
              <w:right w:val="single" w:sz="2" w:space="0" w:color="auto"/>
            </w:tcBorders>
            <w:hideMark/>
          </w:tcPr>
          <w:p w14:paraId="305B7AD4" w14:textId="77777777" w:rsidR="00757BE4" w:rsidRPr="00310D26" w:rsidRDefault="00757BE4">
            <w:pPr>
              <w:jc w:val="left"/>
              <w:rPr>
                <w:sz w:val="18"/>
                <w:szCs w:val="18"/>
              </w:rPr>
            </w:pPr>
            <w:r w:rsidRPr="00310D26">
              <w:rPr>
                <w:sz w:val="18"/>
                <w:szCs w:val="18"/>
              </w:rPr>
              <w:t>UPOV/INF/16</w:t>
            </w:r>
          </w:p>
        </w:tc>
        <w:tc>
          <w:tcPr>
            <w:tcW w:w="4807" w:type="dxa"/>
            <w:tcBorders>
              <w:top w:val="single" w:sz="2" w:space="0" w:color="auto"/>
              <w:left w:val="single" w:sz="2" w:space="0" w:color="auto"/>
              <w:bottom w:val="single" w:sz="2" w:space="0" w:color="auto"/>
              <w:right w:val="single" w:sz="2" w:space="0" w:color="auto"/>
            </w:tcBorders>
            <w:hideMark/>
          </w:tcPr>
          <w:p w14:paraId="4083DFC5" w14:textId="77777777" w:rsidR="00757BE4" w:rsidRPr="00310D26" w:rsidRDefault="00757BE4">
            <w:pPr>
              <w:jc w:val="left"/>
              <w:rPr>
                <w:sz w:val="18"/>
                <w:szCs w:val="18"/>
              </w:rPr>
            </w:pPr>
            <w:r w:rsidRPr="00310D26">
              <w:rPr>
                <w:sz w:val="18"/>
                <w:szCs w:val="18"/>
              </w:rPr>
              <w:t>Programas informáticos para intercambio</w:t>
            </w:r>
          </w:p>
        </w:tc>
        <w:tc>
          <w:tcPr>
            <w:tcW w:w="3920" w:type="dxa"/>
            <w:tcBorders>
              <w:top w:val="single" w:sz="2" w:space="0" w:color="auto"/>
              <w:left w:val="single" w:sz="2" w:space="0" w:color="auto"/>
              <w:bottom w:val="single" w:sz="2" w:space="0" w:color="auto"/>
              <w:right w:val="single" w:sz="2" w:space="0" w:color="auto"/>
            </w:tcBorders>
            <w:hideMark/>
          </w:tcPr>
          <w:p w14:paraId="4821E407" w14:textId="77777777" w:rsidR="00757BE4" w:rsidRPr="00C173F0" w:rsidRDefault="00757BE4">
            <w:pPr>
              <w:jc w:val="left"/>
              <w:rPr>
                <w:spacing w:val="-4"/>
                <w:sz w:val="18"/>
                <w:szCs w:val="18"/>
              </w:rPr>
            </w:pPr>
            <w:r w:rsidRPr="00C173F0">
              <w:rPr>
                <w:spacing w:val="-4"/>
                <w:sz w:val="18"/>
                <w:szCs w:val="18"/>
              </w:rPr>
              <w:t>UPOV/INF/16/8 aprobado en noviembre de 2018</w:t>
            </w:r>
          </w:p>
          <w:p w14:paraId="1E2C70B8" w14:textId="0EEED880" w:rsidR="00757BE4" w:rsidRPr="00FF2785" w:rsidRDefault="00757BE4">
            <w:pPr>
              <w:jc w:val="left"/>
              <w:rPr>
                <w:i/>
                <w:sz w:val="18"/>
                <w:szCs w:val="18"/>
              </w:rPr>
            </w:pPr>
            <w:r w:rsidRPr="00FF2785">
              <w:rPr>
                <w:i/>
                <w:sz w:val="18"/>
                <w:szCs w:val="18"/>
              </w:rPr>
              <w:t>UPOV/</w:t>
            </w:r>
            <w:proofErr w:type="spellStart"/>
            <w:r w:rsidRPr="00FF2785">
              <w:rPr>
                <w:i/>
                <w:sz w:val="18"/>
                <w:szCs w:val="18"/>
              </w:rPr>
              <w:t>INF</w:t>
            </w:r>
            <w:proofErr w:type="spellEnd"/>
            <w:r w:rsidRPr="00FF2785">
              <w:rPr>
                <w:i/>
                <w:sz w:val="18"/>
                <w:szCs w:val="18"/>
              </w:rPr>
              <w:t xml:space="preserve">/16/9 </w:t>
            </w:r>
            <w:proofErr w:type="spellStart"/>
            <w:r w:rsidRPr="00FF2785">
              <w:rPr>
                <w:i/>
                <w:sz w:val="18"/>
                <w:szCs w:val="18"/>
              </w:rPr>
              <w:t>Draft</w:t>
            </w:r>
            <w:proofErr w:type="spellEnd"/>
            <w:r w:rsidRPr="00FF2785">
              <w:rPr>
                <w:i/>
                <w:sz w:val="18"/>
                <w:szCs w:val="18"/>
              </w:rPr>
              <w:t xml:space="preserve"> </w:t>
            </w:r>
            <w:r w:rsidR="00C173F0" w:rsidRPr="00CE5020">
              <w:rPr>
                <w:i/>
                <w:strike/>
                <w:highlight w:val="yellow"/>
              </w:rPr>
              <w:t>1</w:t>
            </w:r>
            <w:r w:rsidR="00C173F0" w:rsidRPr="00CE5020">
              <w:rPr>
                <w:bCs/>
                <w:i/>
                <w:snapToGrid w:val="0"/>
                <w:szCs w:val="24"/>
                <w:highlight w:val="yellow"/>
                <w:u w:val="single"/>
              </w:rPr>
              <w:t>2</w:t>
            </w:r>
            <w:r w:rsidRPr="00FF2785">
              <w:rPr>
                <w:i/>
                <w:sz w:val="18"/>
                <w:szCs w:val="18"/>
              </w:rPr>
              <w:t xml:space="preserve"> será examinado por el CAJ y el Consejo en 2020</w:t>
            </w:r>
          </w:p>
        </w:tc>
      </w:tr>
      <w:tr w:rsidR="00757BE4" w:rsidRPr="00310D26" w14:paraId="33B35A6B" w14:textId="77777777" w:rsidTr="00757BE4">
        <w:trPr>
          <w:cantSplit/>
          <w:jc w:val="center"/>
        </w:trPr>
        <w:tc>
          <w:tcPr>
            <w:tcW w:w="1758" w:type="dxa"/>
            <w:tcBorders>
              <w:top w:val="single" w:sz="2" w:space="0" w:color="auto"/>
              <w:left w:val="single" w:sz="2" w:space="0" w:color="auto"/>
              <w:bottom w:val="single" w:sz="2" w:space="0" w:color="auto"/>
              <w:right w:val="single" w:sz="2" w:space="0" w:color="auto"/>
            </w:tcBorders>
            <w:hideMark/>
          </w:tcPr>
          <w:p w14:paraId="057599A7" w14:textId="77777777" w:rsidR="00757BE4" w:rsidRPr="00310D26" w:rsidRDefault="00757BE4">
            <w:pPr>
              <w:jc w:val="left"/>
              <w:rPr>
                <w:sz w:val="18"/>
                <w:szCs w:val="18"/>
              </w:rPr>
            </w:pPr>
            <w:r w:rsidRPr="00310D26">
              <w:rPr>
                <w:sz w:val="18"/>
                <w:szCs w:val="18"/>
              </w:rPr>
              <w:t>UPOV/INF/17</w:t>
            </w:r>
          </w:p>
        </w:tc>
        <w:tc>
          <w:tcPr>
            <w:tcW w:w="4807" w:type="dxa"/>
            <w:tcBorders>
              <w:top w:val="single" w:sz="2" w:space="0" w:color="auto"/>
              <w:left w:val="single" w:sz="2" w:space="0" w:color="auto"/>
              <w:bottom w:val="single" w:sz="2" w:space="0" w:color="auto"/>
              <w:right w:val="single" w:sz="2" w:space="0" w:color="auto"/>
            </w:tcBorders>
            <w:hideMark/>
          </w:tcPr>
          <w:p w14:paraId="0B943E5D" w14:textId="77777777" w:rsidR="00757BE4" w:rsidRPr="00310D26" w:rsidRDefault="00757BE4">
            <w:pPr>
              <w:jc w:val="left"/>
              <w:rPr>
                <w:sz w:val="18"/>
                <w:szCs w:val="18"/>
              </w:rPr>
            </w:pPr>
            <w:r w:rsidRPr="00310D26">
              <w:rPr>
                <w:sz w:val="18"/>
                <w:szCs w:val="18"/>
              </w:rPr>
              <w:t>Directrices para los perfiles de ADN: selección de marcadores moleculares y creación de una base de datos (“Directrices BMT”)</w:t>
            </w:r>
          </w:p>
        </w:tc>
        <w:tc>
          <w:tcPr>
            <w:tcW w:w="3920" w:type="dxa"/>
            <w:tcBorders>
              <w:top w:val="single" w:sz="2" w:space="0" w:color="auto"/>
              <w:left w:val="single" w:sz="2" w:space="0" w:color="auto"/>
              <w:bottom w:val="single" w:sz="2" w:space="0" w:color="auto"/>
              <w:right w:val="single" w:sz="2" w:space="0" w:color="auto"/>
            </w:tcBorders>
            <w:hideMark/>
          </w:tcPr>
          <w:p w14:paraId="51292D15" w14:textId="77777777" w:rsidR="00757BE4" w:rsidRPr="00310D26" w:rsidRDefault="00757BE4">
            <w:pPr>
              <w:jc w:val="left"/>
              <w:rPr>
                <w:sz w:val="18"/>
                <w:szCs w:val="18"/>
              </w:rPr>
            </w:pPr>
            <w:r w:rsidRPr="00310D26">
              <w:rPr>
                <w:sz w:val="18"/>
                <w:szCs w:val="18"/>
              </w:rPr>
              <w:t>UPOV/INF/17/1 aprobado en octubre de 2010</w:t>
            </w:r>
          </w:p>
        </w:tc>
      </w:tr>
      <w:tr w:rsidR="00757BE4" w:rsidRPr="00310D26" w14:paraId="35ADC744" w14:textId="77777777" w:rsidTr="00757BE4">
        <w:trPr>
          <w:cantSplit/>
          <w:jc w:val="center"/>
        </w:trPr>
        <w:tc>
          <w:tcPr>
            <w:tcW w:w="1758" w:type="dxa"/>
            <w:tcBorders>
              <w:top w:val="single" w:sz="2" w:space="0" w:color="auto"/>
              <w:left w:val="single" w:sz="2" w:space="0" w:color="auto"/>
              <w:bottom w:val="single" w:sz="2" w:space="0" w:color="auto"/>
              <w:right w:val="single" w:sz="2" w:space="0" w:color="auto"/>
            </w:tcBorders>
            <w:hideMark/>
          </w:tcPr>
          <w:p w14:paraId="02A081E8" w14:textId="77777777" w:rsidR="00757BE4" w:rsidRPr="00310D26" w:rsidRDefault="00757BE4">
            <w:pPr>
              <w:jc w:val="left"/>
              <w:rPr>
                <w:sz w:val="18"/>
                <w:szCs w:val="18"/>
              </w:rPr>
            </w:pPr>
            <w:r w:rsidRPr="00310D26">
              <w:rPr>
                <w:sz w:val="18"/>
                <w:szCs w:val="18"/>
              </w:rPr>
              <w:t>UPOV/INF/18</w:t>
            </w:r>
          </w:p>
        </w:tc>
        <w:tc>
          <w:tcPr>
            <w:tcW w:w="4807" w:type="dxa"/>
            <w:tcBorders>
              <w:top w:val="single" w:sz="2" w:space="0" w:color="auto"/>
              <w:left w:val="single" w:sz="2" w:space="0" w:color="auto"/>
              <w:bottom w:val="single" w:sz="2" w:space="0" w:color="auto"/>
              <w:right w:val="single" w:sz="2" w:space="0" w:color="auto"/>
            </w:tcBorders>
            <w:hideMark/>
          </w:tcPr>
          <w:p w14:paraId="62A45C3F" w14:textId="3124493D" w:rsidR="00757BE4" w:rsidRPr="00310D26" w:rsidRDefault="00C767AD">
            <w:pPr>
              <w:jc w:val="left"/>
              <w:rPr>
                <w:sz w:val="18"/>
                <w:szCs w:val="18"/>
              </w:rPr>
            </w:pPr>
            <w:r w:rsidRPr="00C767AD">
              <w:rPr>
                <w:sz w:val="18"/>
                <w:szCs w:val="18"/>
              </w:rPr>
              <w:t xml:space="preserve">Posibilidad de utilizar marcadores moleculares en el examen de la distinción, homogeneidad y estabilidad </w:t>
            </w:r>
            <w:r w:rsidR="00757BE4" w:rsidRPr="00310D26">
              <w:rPr>
                <w:sz w:val="18"/>
                <w:szCs w:val="18"/>
              </w:rPr>
              <w:t>(DUS)</w:t>
            </w:r>
          </w:p>
        </w:tc>
        <w:tc>
          <w:tcPr>
            <w:tcW w:w="3920" w:type="dxa"/>
            <w:tcBorders>
              <w:top w:val="single" w:sz="2" w:space="0" w:color="auto"/>
              <w:left w:val="single" w:sz="2" w:space="0" w:color="auto"/>
              <w:bottom w:val="single" w:sz="2" w:space="0" w:color="auto"/>
              <w:right w:val="single" w:sz="2" w:space="0" w:color="auto"/>
            </w:tcBorders>
            <w:hideMark/>
          </w:tcPr>
          <w:p w14:paraId="5673DB38" w14:textId="77777777" w:rsidR="00757BE4" w:rsidRPr="00310D26" w:rsidRDefault="00757BE4">
            <w:pPr>
              <w:jc w:val="left"/>
              <w:rPr>
                <w:sz w:val="18"/>
                <w:szCs w:val="18"/>
              </w:rPr>
            </w:pPr>
            <w:r w:rsidRPr="00310D26">
              <w:rPr>
                <w:sz w:val="18"/>
                <w:szCs w:val="18"/>
              </w:rPr>
              <w:t>UPOV/INF/18/1 aprobado en octubre de 2011</w:t>
            </w:r>
          </w:p>
        </w:tc>
      </w:tr>
      <w:tr w:rsidR="00757BE4" w:rsidRPr="00310D26" w14:paraId="7A8444EA" w14:textId="77777777" w:rsidTr="00757BE4">
        <w:trPr>
          <w:cantSplit/>
          <w:jc w:val="center"/>
        </w:trPr>
        <w:tc>
          <w:tcPr>
            <w:tcW w:w="1758" w:type="dxa"/>
            <w:tcBorders>
              <w:top w:val="single" w:sz="2" w:space="0" w:color="auto"/>
              <w:left w:val="single" w:sz="2" w:space="0" w:color="auto"/>
              <w:bottom w:val="single" w:sz="2" w:space="0" w:color="auto"/>
              <w:right w:val="single" w:sz="2" w:space="0" w:color="auto"/>
            </w:tcBorders>
            <w:hideMark/>
          </w:tcPr>
          <w:p w14:paraId="66C23FF6" w14:textId="77777777" w:rsidR="00757BE4" w:rsidRPr="00310D26" w:rsidRDefault="00757BE4">
            <w:pPr>
              <w:jc w:val="left"/>
              <w:rPr>
                <w:sz w:val="18"/>
                <w:szCs w:val="18"/>
              </w:rPr>
            </w:pPr>
            <w:r w:rsidRPr="00310D26">
              <w:rPr>
                <w:sz w:val="18"/>
                <w:szCs w:val="18"/>
              </w:rPr>
              <w:t>UPOV/INF/19</w:t>
            </w:r>
          </w:p>
        </w:tc>
        <w:tc>
          <w:tcPr>
            <w:tcW w:w="4807" w:type="dxa"/>
            <w:tcBorders>
              <w:top w:val="single" w:sz="2" w:space="0" w:color="auto"/>
              <w:left w:val="single" w:sz="2" w:space="0" w:color="auto"/>
              <w:bottom w:val="single" w:sz="2" w:space="0" w:color="auto"/>
              <w:right w:val="single" w:sz="2" w:space="0" w:color="auto"/>
            </w:tcBorders>
            <w:hideMark/>
          </w:tcPr>
          <w:p w14:paraId="451CAC6A" w14:textId="77777777" w:rsidR="00757BE4" w:rsidRPr="00310D26" w:rsidRDefault="00757BE4">
            <w:pPr>
              <w:jc w:val="left"/>
              <w:rPr>
                <w:sz w:val="18"/>
                <w:szCs w:val="18"/>
              </w:rPr>
            </w:pPr>
            <w:r w:rsidRPr="00310D26">
              <w:rPr>
                <w:sz w:val="18"/>
                <w:szCs w:val="18"/>
              </w:rPr>
              <w:t>Reglas que rigen la concesión de la condición de observador ante los órganos de la UPOV a los Estados, las organizaciones intergubernamentales y las organizaciones internacionales no gubernamentales</w:t>
            </w:r>
          </w:p>
        </w:tc>
        <w:tc>
          <w:tcPr>
            <w:tcW w:w="3920" w:type="dxa"/>
            <w:tcBorders>
              <w:top w:val="single" w:sz="2" w:space="0" w:color="auto"/>
              <w:left w:val="single" w:sz="2" w:space="0" w:color="auto"/>
              <w:bottom w:val="single" w:sz="2" w:space="0" w:color="auto"/>
              <w:right w:val="single" w:sz="2" w:space="0" w:color="auto"/>
            </w:tcBorders>
            <w:hideMark/>
          </w:tcPr>
          <w:p w14:paraId="780F357F" w14:textId="77777777" w:rsidR="00757BE4" w:rsidRPr="00310D26" w:rsidRDefault="00757BE4">
            <w:pPr>
              <w:jc w:val="left"/>
              <w:rPr>
                <w:iCs/>
                <w:sz w:val="18"/>
                <w:szCs w:val="18"/>
              </w:rPr>
            </w:pPr>
            <w:r w:rsidRPr="00310D26">
              <w:rPr>
                <w:sz w:val="18"/>
                <w:szCs w:val="18"/>
              </w:rPr>
              <w:t>UPOV/INF/19/1 aprobado en noviembre de 2012</w:t>
            </w:r>
          </w:p>
        </w:tc>
      </w:tr>
      <w:tr w:rsidR="00757BE4" w:rsidRPr="00310D26" w14:paraId="456AF6D8" w14:textId="77777777" w:rsidTr="00757BE4">
        <w:trPr>
          <w:cantSplit/>
          <w:jc w:val="center"/>
        </w:trPr>
        <w:tc>
          <w:tcPr>
            <w:tcW w:w="1758" w:type="dxa"/>
            <w:tcBorders>
              <w:top w:val="single" w:sz="2" w:space="0" w:color="auto"/>
              <w:left w:val="single" w:sz="2" w:space="0" w:color="auto"/>
              <w:bottom w:val="single" w:sz="2" w:space="0" w:color="auto"/>
              <w:right w:val="single" w:sz="2" w:space="0" w:color="auto"/>
            </w:tcBorders>
            <w:hideMark/>
          </w:tcPr>
          <w:p w14:paraId="3F54C7E8" w14:textId="77777777" w:rsidR="00757BE4" w:rsidRPr="00310D26" w:rsidRDefault="00757BE4">
            <w:pPr>
              <w:jc w:val="left"/>
              <w:rPr>
                <w:sz w:val="18"/>
                <w:szCs w:val="18"/>
              </w:rPr>
            </w:pPr>
            <w:r w:rsidRPr="00310D26">
              <w:rPr>
                <w:sz w:val="18"/>
                <w:szCs w:val="18"/>
              </w:rPr>
              <w:t>UPOV/INF/20</w:t>
            </w:r>
          </w:p>
        </w:tc>
        <w:tc>
          <w:tcPr>
            <w:tcW w:w="4807" w:type="dxa"/>
            <w:tcBorders>
              <w:top w:val="single" w:sz="2" w:space="0" w:color="auto"/>
              <w:left w:val="single" w:sz="2" w:space="0" w:color="auto"/>
              <w:bottom w:val="single" w:sz="2" w:space="0" w:color="auto"/>
              <w:right w:val="single" w:sz="2" w:space="0" w:color="auto"/>
            </w:tcBorders>
            <w:hideMark/>
          </w:tcPr>
          <w:p w14:paraId="3285F5B6" w14:textId="77777777" w:rsidR="00757BE4" w:rsidRPr="00310D26" w:rsidRDefault="00757BE4">
            <w:pPr>
              <w:jc w:val="left"/>
              <w:rPr>
                <w:sz w:val="18"/>
                <w:szCs w:val="18"/>
              </w:rPr>
            </w:pPr>
            <w:r w:rsidRPr="00310D26">
              <w:rPr>
                <w:sz w:val="18"/>
                <w:szCs w:val="18"/>
              </w:rPr>
              <w:t>Reglas que rigen el acceso a los documentos de la UPOV</w:t>
            </w:r>
          </w:p>
        </w:tc>
        <w:tc>
          <w:tcPr>
            <w:tcW w:w="3920" w:type="dxa"/>
            <w:tcBorders>
              <w:top w:val="single" w:sz="2" w:space="0" w:color="auto"/>
              <w:left w:val="single" w:sz="2" w:space="0" w:color="auto"/>
              <w:bottom w:val="single" w:sz="2" w:space="0" w:color="auto"/>
              <w:right w:val="single" w:sz="2" w:space="0" w:color="auto"/>
            </w:tcBorders>
            <w:hideMark/>
          </w:tcPr>
          <w:p w14:paraId="58300635" w14:textId="77777777" w:rsidR="00757BE4" w:rsidRPr="00310D26" w:rsidRDefault="00757BE4">
            <w:pPr>
              <w:jc w:val="left"/>
              <w:rPr>
                <w:iCs/>
                <w:sz w:val="18"/>
                <w:szCs w:val="18"/>
              </w:rPr>
            </w:pPr>
            <w:r w:rsidRPr="00310D26">
              <w:rPr>
                <w:sz w:val="18"/>
                <w:szCs w:val="18"/>
              </w:rPr>
              <w:t>UPOV/INF/20/1 aprobado en noviembre de 2012</w:t>
            </w:r>
          </w:p>
        </w:tc>
      </w:tr>
      <w:tr w:rsidR="00757BE4" w:rsidRPr="00310D26" w14:paraId="7F091638" w14:textId="77777777" w:rsidTr="00757BE4">
        <w:trPr>
          <w:cantSplit/>
          <w:jc w:val="center"/>
        </w:trPr>
        <w:tc>
          <w:tcPr>
            <w:tcW w:w="1758" w:type="dxa"/>
            <w:tcBorders>
              <w:top w:val="single" w:sz="2" w:space="0" w:color="auto"/>
              <w:left w:val="single" w:sz="2" w:space="0" w:color="auto"/>
              <w:bottom w:val="single" w:sz="2" w:space="0" w:color="auto"/>
              <w:right w:val="single" w:sz="2" w:space="0" w:color="auto"/>
            </w:tcBorders>
            <w:hideMark/>
          </w:tcPr>
          <w:p w14:paraId="338CA345" w14:textId="77777777" w:rsidR="00757BE4" w:rsidRPr="00310D26" w:rsidRDefault="00757BE4">
            <w:pPr>
              <w:jc w:val="left"/>
              <w:rPr>
                <w:sz w:val="18"/>
                <w:szCs w:val="18"/>
              </w:rPr>
            </w:pPr>
            <w:r w:rsidRPr="00310D26">
              <w:rPr>
                <w:sz w:val="18"/>
                <w:szCs w:val="18"/>
              </w:rPr>
              <w:t>UPOV/INF/21</w:t>
            </w:r>
          </w:p>
        </w:tc>
        <w:tc>
          <w:tcPr>
            <w:tcW w:w="4807" w:type="dxa"/>
            <w:tcBorders>
              <w:top w:val="single" w:sz="2" w:space="0" w:color="auto"/>
              <w:left w:val="single" w:sz="2" w:space="0" w:color="auto"/>
              <w:bottom w:val="single" w:sz="2" w:space="0" w:color="auto"/>
              <w:right w:val="single" w:sz="2" w:space="0" w:color="auto"/>
            </w:tcBorders>
            <w:hideMark/>
          </w:tcPr>
          <w:p w14:paraId="35607000" w14:textId="77777777" w:rsidR="00757BE4" w:rsidRPr="00310D26" w:rsidRDefault="00757BE4">
            <w:pPr>
              <w:jc w:val="left"/>
              <w:rPr>
                <w:sz w:val="18"/>
                <w:szCs w:val="18"/>
              </w:rPr>
            </w:pPr>
            <w:r w:rsidRPr="00310D26">
              <w:rPr>
                <w:sz w:val="18"/>
                <w:szCs w:val="18"/>
              </w:rPr>
              <w:t>Mecanismos alternativos de solución de controversias</w:t>
            </w:r>
          </w:p>
        </w:tc>
        <w:tc>
          <w:tcPr>
            <w:tcW w:w="3920" w:type="dxa"/>
            <w:tcBorders>
              <w:top w:val="single" w:sz="2" w:space="0" w:color="auto"/>
              <w:left w:val="single" w:sz="2" w:space="0" w:color="auto"/>
              <w:bottom w:val="single" w:sz="2" w:space="0" w:color="auto"/>
              <w:right w:val="single" w:sz="2" w:space="0" w:color="auto"/>
            </w:tcBorders>
            <w:hideMark/>
          </w:tcPr>
          <w:p w14:paraId="4FB572FC" w14:textId="77777777" w:rsidR="00757BE4" w:rsidRPr="00310D26" w:rsidRDefault="00757BE4">
            <w:pPr>
              <w:jc w:val="left"/>
              <w:rPr>
                <w:sz w:val="18"/>
                <w:szCs w:val="18"/>
              </w:rPr>
            </w:pPr>
            <w:r w:rsidRPr="00310D26">
              <w:rPr>
                <w:sz w:val="18"/>
                <w:szCs w:val="18"/>
              </w:rPr>
              <w:t>UPOV/INF/21/1 aprobado en noviembre de 2012</w:t>
            </w:r>
          </w:p>
        </w:tc>
      </w:tr>
      <w:tr w:rsidR="00757BE4" w:rsidRPr="00310D26" w14:paraId="418BFEE0" w14:textId="77777777" w:rsidTr="00757BE4">
        <w:trPr>
          <w:cantSplit/>
          <w:jc w:val="center"/>
        </w:trPr>
        <w:tc>
          <w:tcPr>
            <w:tcW w:w="1758" w:type="dxa"/>
            <w:tcBorders>
              <w:top w:val="single" w:sz="2" w:space="0" w:color="auto"/>
              <w:left w:val="single" w:sz="2" w:space="0" w:color="auto"/>
              <w:bottom w:val="single" w:sz="2" w:space="0" w:color="auto"/>
              <w:right w:val="single" w:sz="2" w:space="0" w:color="auto"/>
            </w:tcBorders>
            <w:hideMark/>
          </w:tcPr>
          <w:p w14:paraId="1AA65908" w14:textId="77777777" w:rsidR="00757BE4" w:rsidRPr="00310D26" w:rsidRDefault="00757BE4">
            <w:pPr>
              <w:rPr>
                <w:sz w:val="18"/>
                <w:szCs w:val="18"/>
              </w:rPr>
            </w:pPr>
            <w:r w:rsidRPr="00310D26">
              <w:rPr>
                <w:sz w:val="18"/>
                <w:szCs w:val="18"/>
              </w:rPr>
              <w:t>UPOV/INF/22</w:t>
            </w:r>
          </w:p>
        </w:tc>
        <w:tc>
          <w:tcPr>
            <w:tcW w:w="4807" w:type="dxa"/>
            <w:tcBorders>
              <w:top w:val="single" w:sz="2" w:space="0" w:color="auto"/>
              <w:left w:val="single" w:sz="2" w:space="0" w:color="auto"/>
              <w:bottom w:val="single" w:sz="2" w:space="0" w:color="auto"/>
              <w:right w:val="single" w:sz="2" w:space="0" w:color="auto"/>
            </w:tcBorders>
            <w:hideMark/>
          </w:tcPr>
          <w:p w14:paraId="7AB256F4" w14:textId="77777777" w:rsidR="00757BE4" w:rsidRPr="00310D26" w:rsidRDefault="00757BE4">
            <w:pPr>
              <w:rPr>
                <w:sz w:val="18"/>
                <w:szCs w:val="18"/>
              </w:rPr>
            </w:pPr>
            <w:r w:rsidRPr="00310D26">
              <w:rPr>
                <w:sz w:val="18"/>
                <w:szCs w:val="18"/>
              </w:rPr>
              <w:t xml:space="preserve">Programas informáticos y equipos utilizados por los miembros de la Unión </w:t>
            </w:r>
          </w:p>
        </w:tc>
        <w:tc>
          <w:tcPr>
            <w:tcW w:w="3920" w:type="dxa"/>
            <w:tcBorders>
              <w:top w:val="single" w:sz="2" w:space="0" w:color="auto"/>
              <w:left w:val="single" w:sz="2" w:space="0" w:color="auto"/>
              <w:bottom w:val="single" w:sz="2" w:space="0" w:color="auto"/>
              <w:right w:val="single" w:sz="2" w:space="0" w:color="auto"/>
            </w:tcBorders>
            <w:hideMark/>
          </w:tcPr>
          <w:p w14:paraId="26BEC0AF" w14:textId="4E2305FF" w:rsidR="00757BE4" w:rsidRPr="00C173F0" w:rsidRDefault="00757BE4">
            <w:pPr>
              <w:spacing w:after="60"/>
              <w:jc w:val="left"/>
              <w:rPr>
                <w:spacing w:val="-4"/>
                <w:sz w:val="18"/>
                <w:szCs w:val="18"/>
              </w:rPr>
            </w:pPr>
            <w:r w:rsidRPr="00C173F0">
              <w:rPr>
                <w:spacing w:val="-4"/>
                <w:sz w:val="18"/>
                <w:szCs w:val="18"/>
              </w:rPr>
              <w:t>UPOV/INF/22/6 aprobado en noviembre de 2019</w:t>
            </w:r>
          </w:p>
          <w:p w14:paraId="7EF2BEBB" w14:textId="47CA116A" w:rsidR="00757BE4" w:rsidRPr="0053416A" w:rsidRDefault="00757BE4">
            <w:pPr>
              <w:jc w:val="left"/>
              <w:rPr>
                <w:i/>
                <w:sz w:val="18"/>
                <w:szCs w:val="18"/>
              </w:rPr>
            </w:pPr>
            <w:r w:rsidRPr="0053416A">
              <w:rPr>
                <w:i/>
                <w:sz w:val="18"/>
                <w:szCs w:val="18"/>
              </w:rPr>
              <w:t>UPOV/</w:t>
            </w:r>
            <w:proofErr w:type="spellStart"/>
            <w:r w:rsidRPr="0053416A">
              <w:rPr>
                <w:i/>
                <w:sz w:val="18"/>
                <w:szCs w:val="18"/>
              </w:rPr>
              <w:t>INF</w:t>
            </w:r>
            <w:proofErr w:type="spellEnd"/>
            <w:r w:rsidRPr="0053416A">
              <w:rPr>
                <w:i/>
                <w:sz w:val="18"/>
                <w:szCs w:val="18"/>
              </w:rPr>
              <w:t>/22/7 </w:t>
            </w:r>
            <w:proofErr w:type="spellStart"/>
            <w:r w:rsidRPr="0053416A">
              <w:rPr>
                <w:i/>
                <w:sz w:val="18"/>
                <w:szCs w:val="18"/>
              </w:rPr>
              <w:t>Draft</w:t>
            </w:r>
            <w:proofErr w:type="spellEnd"/>
            <w:r w:rsidRPr="0053416A">
              <w:rPr>
                <w:i/>
                <w:sz w:val="18"/>
                <w:szCs w:val="18"/>
              </w:rPr>
              <w:t> 1 será examinado por el CAJ y el Consejo en 2020</w:t>
            </w:r>
          </w:p>
        </w:tc>
      </w:tr>
      <w:tr w:rsidR="00757BE4" w:rsidRPr="00310D26" w14:paraId="32EFADDE" w14:textId="77777777" w:rsidTr="00757BE4">
        <w:trPr>
          <w:cantSplit/>
          <w:jc w:val="center"/>
        </w:trPr>
        <w:tc>
          <w:tcPr>
            <w:tcW w:w="1758" w:type="dxa"/>
            <w:tcBorders>
              <w:top w:val="single" w:sz="2" w:space="0" w:color="auto"/>
              <w:left w:val="single" w:sz="2" w:space="0" w:color="auto"/>
              <w:bottom w:val="single" w:sz="2" w:space="0" w:color="auto"/>
              <w:right w:val="single" w:sz="2" w:space="0" w:color="auto"/>
            </w:tcBorders>
          </w:tcPr>
          <w:p w14:paraId="6D4C2D24" w14:textId="6C5267A6" w:rsidR="00757BE4" w:rsidRPr="0053416A" w:rsidRDefault="00757BE4" w:rsidP="00757BE4">
            <w:pPr>
              <w:rPr>
                <w:sz w:val="18"/>
                <w:szCs w:val="18"/>
              </w:rPr>
            </w:pPr>
            <w:r w:rsidRPr="0053416A">
              <w:rPr>
                <w:sz w:val="18"/>
                <w:szCs w:val="18"/>
              </w:rPr>
              <w:t>UPOV/INF/23</w:t>
            </w:r>
          </w:p>
        </w:tc>
        <w:tc>
          <w:tcPr>
            <w:tcW w:w="4807" w:type="dxa"/>
            <w:tcBorders>
              <w:top w:val="single" w:sz="2" w:space="0" w:color="auto"/>
              <w:left w:val="single" w:sz="2" w:space="0" w:color="auto"/>
              <w:bottom w:val="single" w:sz="2" w:space="0" w:color="auto"/>
              <w:right w:val="single" w:sz="2" w:space="0" w:color="auto"/>
            </w:tcBorders>
          </w:tcPr>
          <w:p w14:paraId="1E6C9FA3" w14:textId="29428DD7" w:rsidR="00757BE4" w:rsidRPr="0053416A" w:rsidRDefault="00F0765A" w:rsidP="00757BE4">
            <w:pPr>
              <w:rPr>
                <w:sz w:val="18"/>
                <w:szCs w:val="18"/>
              </w:rPr>
            </w:pPr>
            <w:r w:rsidRPr="0053416A">
              <w:rPr>
                <w:sz w:val="18"/>
                <w:szCs w:val="18"/>
              </w:rPr>
              <w:t>Orientación acerca del sistema de códigos de la UPOV</w:t>
            </w:r>
          </w:p>
        </w:tc>
        <w:tc>
          <w:tcPr>
            <w:tcW w:w="3920" w:type="dxa"/>
            <w:tcBorders>
              <w:top w:val="single" w:sz="2" w:space="0" w:color="auto"/>
              <w:left w:val="single" w:sz="2" w:space="0" w:color="auto"/>
              <w:bottom w:val="single" w:sz="2" w:space="0" w:color="auto"/>
              <w:right w:val="single" w:sz="2" w:space="0" w:color="auto"/>
            </w:tcBorders>
          </w:tcPr>
          <w:p w14:paraId="4834F6DF" w14:textId="2CBAB029" w:rsidR="00757BE4" w:rsidRPr="00310D26" w:rsidRDefault="00757BE4" w:rsidP="00757BE4">
            <w:pPr>
              <w:spacing w:after="60"/>
              <w:jc w:val="left"/>
              <w:rPr>
                <w:i/>
                <w:sz w:val="18"/>
                <w:szCs w:val="18"/>
              </w:rPr>
            </w:pPr>
            <w:r w:rsidRPr="0053416A">
              <w:rPr>
                <w:i/>
                <w:sz w:val="18"/>
                <w:szCs w:val="18"/>
              </w:rPr>
              <w:t>UPOV/</w:t>
            </w:r>
            <w:proofErr w:type="spellStart"/>
            <w:r w:rsidRPr="0053416A">
              <w:rPr>
                <w:i/>
                <w:sz w:val="18"/>
                <w:szCs w:val="18"/>
              </w:rPr>
              <w:t>INF</w:t>
            </w:r>
            <w:proofErr w:type="spellEnd"/>
            <w:r w:rsidRPr="0053416A">
              <w:rPr>
                <w:i/>
                <w:sz w:val="18"/>
                <w:szCs w:val="18"/>
              </w:rPr>
              <w:t xml:space="preserve">/23/1 </w:t>
            </w:r>
            <w:proofErr w:type="spellStart"/>
            <w:r w:rsidRPr="0053416A">
              <w:rPr>
                <w:i/>
                <w:sz w:val="18"/>
                <w:szCs w:val="18"/>
              </w:rPr>
              <w:t>Draft</w:t>
            </w:r>
            <w:proofErr w:type="spellEnd"/>
            <w:r w:rsidRPr="0053416A">
              <w:rPr>
                <w:i/>
                <w:sz w:val="18"/>
                <w:szCs w:val="18"/>
              </w:rPr>
              <w:t xml:space="preserve"> 1 será examinado por el CAJ en 2020</w:t>
            </w:r>
          </w:p>
        </w:tc>
      </w:tr>
    </w:tbl>
    <w:p w14:paraId="430B0572" w14:textId="77777777" w:rsidR="00C173F0" w:rsidRPr="00C173F0" w:rsidRDefault="00C173F0" w:rsidP="00C05526">
      <w:pPr>
        <w:spacing w:before="120"/>
        <w:jc w:val="right"/>
        <w:rPr>
          <w:sz w:val="12"/>
        </w:rPr>
      </w:pPr>
    </w:p>
    <w:p w14:paraId="3246F1C2" w14:textId="3931B574" w:rsidR="00955AD5" w:rsidRPr="00310D26" w:rsidRDefault="00F0765A" w:rsidP="00C05526">
      <w:pPr>
        <w:spacing w:before="120"/>
        <w:jc w:val="right"/>
      </w:pPr>
      <w:r w:rsidRPr="00310D26">
        <w:t>[Sigue el Anexo VI]</w:t>
      </w:r>
    </w:p>
    <w:p w14:paraId="66B5732B" w14:textId="77777777" w:rsidR="00955AD5" w:rsidRPr="00310D26" w:rsidRDefault="00955AD5" w:rsidP="00955AD5">
      <w:pPr>
        <w:jc w:val="left"/>
        <w:sectPr w:rsidR="00955AD5" w:rsidRPr="00310D26" w:rsidSect="00955AD5">
          <w:headerReference w:type="default" r:id="rId36"/>
          <w:footerReference w:type="default" r:id="rId37"/>
          <w:headerReference w:type="first" r:id="rId38"/>
          <w:endnotePr>
            <w:numFmt w:val="lowerLetter"/>
          </w:endnotePr>
          <w:pgSz w:w="11907" w:h="16840" w:code="9"/>
          <w:pgMar w:top="510" w:right="1134" w:bottom="1134" w:left="1134" w:header="510" w:footer="408" w:gutter="0"/>
          <w:pgNumType w:start="1"/>
          <w:cols w:space="720"/>
          <w:titlePg/>
          <w:docGrid w:linePitch="272"/>
        </w:sectPr>
      </w:pPr>
    </w:p>
    <w:p w14:paraId="5A1034B3" w14:textId="77777777" w:rsidR="00955AD5" w:rsidRPr="00310D26" w:rsidRDefault="00955AD5" w:rsidP="00955AD5">
      <w:pPr>
        <w:jc w:val="center"/>
      </w:pPr>
    </w:p>
    <w:p w14:paraId="4C9AA84A" w14:textId="0A26E58B" w:rsidR="00F40842" w:rsidRDefault="00A00B22" w:rsidP="00F40842">
      <w:pPr>
        <w:tabs>
          <w:tab w:val="left" w:pos="142"/>
        </w:tabs>
        <w:spacing w:after="120"/>
        <w:ind w:left="-425" w:firstLine="425"/>
        <w:jc w:val="center"/>
      </w:pPr>
      <w:r w:rsidRPr="00310D26">
        <w:t xml:space="preserve">PROGRAMA PARA LA ELABORACIÓN DE DOCUMENTOS </w:t>
      </w:r>
      <w:proofErr w:type="spellStart"/>
      <w:r w:rsidRPr="00310D26">
        <w:t>TGP</w:t>
      </w:r>
      <w:proofErr w:type="spellEnd"/>
      <w:r w:rsidRPr="00310D26">
        <w:t xml:space="preserve"> </w:t>
      </w:r>
      <w:r w:rsidR="00F40842">
        <w:object w:dxaOrig="19435" w:dyaOrig="11084" w14:anchorId="7F1E1D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7.75pt;height:444.75pt" o:ole="">
            <v:imagedata r:id="rId39" o:title="" croptop="867f" cropbottom="37052f" cropright="45691f"/>
          </v:shape>
          <o:OLEObject Type="Embed" ProgID="Excel.Sheet.12" ShapeID="_x0000_i1025" DrawAspect="Content" ObjectID="_1663665643" r:id="rId40"/>
        </w:object>
      </w:r>
    </w:p>
    <w:p w14:paraId="4966F492" w14:textId="2536D170" w:rsidR="00955AD5" w:rsidRPr="00310D26" w:rsidRDefault="00955AD5" w:rsidP="00F40842">
      <w:pPr>
        <w:tabs>
          <w:tab w:val="left" w:pos="142"/>
        </w:tabs>
        <w:ind w:left="-425" w:firstLine="425"/>
        <w:jc w:val="right"/>
      </w:pPr>
      <w:bookmarkStart w:id="136" w:name="_GoBack"/>
      <w:bookmarkEnd w:id="136"/>
    </w:p>
    <w:sectPr w:rsidR="00955AD5" w:rsidRPr="00310D26" w:rsidSect="00492AA3">
      <w:headerReference w:type="default" r:id="rId41"/>
      <w:headerReference w:type="first" r:id="rId42"/>
      <w:endnotePr>
        <w:numFmt w:val="lowerLetter"/>
      </w:endnotePr>
      <w:pgSz w:w="16840" w:h="11907" w:orient="landscape" w:code="9"/>
      <w:pgMar w:top="1134" w:right="822" w:bottom="851" w:left="851" w:header="510" w:footer="680" w:gutter="0"/>
      <w:pgNumType w:start="1"/>
      <w:cols w:space="72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4FC6C" w16cex:dateUtc="2020-08-17T10:54:00Z"/>
  <w16cex:commentExtensible w16cex:durableId="22E61946" w16cex:dateUtc="2020-08-18T07:09:00Z"/>
  <w16cex:commentExtensible w16cex:durableId="22E502C6" w16cex:dateUtc="2020-08-17T11:21:00Z"/>
  <w16cex:commentExtensible w16cex:durableId="22E529F3" w16cex:dateUtc="2020-08-17T14:08:00Z"/>
  <w16cex:commentExtensible w16cex:durableId="22E50E03" w16cex:dateUtc="2020-08-17T12:09:00Z"/>
  <w16cex:commentExtensible w16cex:durableId="22E5299D" w16cex:dateUtc="2020-08-17T14:06:00Z"/>
  <w16cex:commentExtensible w16cex:durableId="22E5101F" w16cex:dateUtc="2020-08-17T12:18:00Z"/>
  <w16cex:commentExtensible w16cex:durableId="22E52861" w16cex:dateUtc="2020-08-17T14:01:00Z"/>
  <w16cex:commentExtensible w16cex:durableId="22E61E6D" w16cex:dateUtc="2020-08-18T07:31:00Z"/>
  <w16cex:commentExtensible w16cex:durableId="22E52A00" w16cex:dateUtc="2020-08-17T14:08:00Z"/>
  <w16cex:commentExtensible w16cex:durableId="22E62470" w16cex:dateUtc="2020-08-18T07:57:00Z"/>
  <w16cex:commentExtensible w16cex:durableId="22E5568D" w16cex:dateUtc="2020-08-17T17:18:00Z"/>
  <w16cex:commentExtensible w16cex:durableId="22E5584C" w16cex:dateUtc="2020-08-17T17:26:00Z"/>
  <w16cex:commentExtensible w16cex:durableId="22E55868" w16cex:dateUtc="2020-08-17T17:26:00Z"/>
  <w16cex:commentExtensible w16cex:durableId="22E6255D" w16cex:dateUtc="2020-08-18T08:01:00Z"/>
  <w16cex:commentExtensible w16cex:durableId="22E55F46" w16cex:dateUtc="2020-08-17T17:55:00Z"/>
  <w16cex:commentExtensible w16cex:durableId="22E62EB0" w16cex:dateUtc="2020-08-18T0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12FDF3" w16cid:durableId="22E4FC6C"/>
  <w16cid:commentId w16cid:paraId="796C88FF" w16cid:durableId="22E61946"/>
  <w16cid:commentId w16cid:paraId="34384053" w16cid:durableId="22E502C6"/>
  <w16cid:commentId w16cid:paraId="7A5AFAED" w16cid:durableId="22E529F3"/>
  <w16cid:commentId w16cid:paraId="3AFB63B6" w16cid:durableId="22E50E03"/>
  <w16cid:commentId w16cid:paraId="57468F78" w16cid:durableId="22E5299D"/>
  <w16cid:commentId w16cid:paraId="0358FD59" w16cid:durableId="22E5101F"/>
  <w16cid:commentId w16cid:paraId="2B4E1536" w16cid:durableId="22E52861"/>
  <w16cid:commentId w16cid:paraId="021F9852" w16cid:durableId="22E61E6D"/>
  <w16cid:commentId w16cid:paraId="7062189B" w16cid:durableId="22E52A00"/>
  <w16cid:commentId w16cid:paraId="7DCE3259" w16cid:durableId="22E62470"/>
  <w16cid:commentId w16cid:paraId="21391998" w16cid:durableId="22E5568D"/>
  <w16cid:commentId w16cid:paraId="7514EE4A" w16cid:durableId="22E5584C"/>
  <w16cid:commentId w16cid:paraId="09FA538F" w16cid:durableId="22E55868"/>
  <w16cid:commentId w16cid:paraId="7C5EF0AE" w16cid:durableId="22E6255D"/>
  <w16cid:commentId w16cid:paraId="05DEC64B" w16cid:durableId="22E55F46"/>
  <w16cid:commentId w16cid:paraId="52AECCC8" w16cid:durableId="22E62EB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78026" w14:textId="77777777" w:rsidR="004F2167" w:rsidRDefault="004F2167" w:rsidP="006655D3">
      <w:r>
        <w:separator/>
      </w:r>
    </w:p>
    <w:p w14:paraId="71D36FEB" w14:textId="24DA4083" w:rsidR="004F2167" w:rsidRDefault="004F2167" w:rsidP="006655D3"/>
  </w:endnote>
  <w:endnote w:type="continuationSeparator" w:id="0">
    <w:p w14:paraId="69C0BE03" w14:textId="77777777" w:rsidR="004F2167" w:rsidRDefault="004F2167" w:rsidP="006655D3">
      <w:r>
        <w:separator/>
      </w:r>
    </w:p>
    <w:p w14:paraId="22465C72" w14:textId="77777777" w:rsidR="004F2167" w:rsidRPr="00294751" w:rsidRDefault="004F2167">
      <w:pPr>
        <w:pStyle w:val="Footer"/>
        <w:spacing w:after="60"/>
        <w:rPr>
          <w:sz w:val="18"/>
          <w:lang w:val="fr-FR"/>
        </w:rPr>
      </w:pPr>
      <w:r w:rsidRPr="00294751">
        <w:rPr>
          <w:sz w:val="18"/>
          <w:lang w:val="fr-FR"/>
        </w:rPr>
        <w:t>[Suite de la note de la page précédente]</w:t>
      </w:r>
    </w:p>
    <w:p w14:paraId="005555B6" w14:textId="77777777" w:rsidR="004F2167" w:rsidRPr="00294751" w:rsidRDefault="004F2167" w:rsidP="006655D3">
      <w:pPr>
        <w:rPr>
          <w:lang w:val="fr-FR"/>
        </w:rPr>
      </w:pPr>
    </w:p>
    <w:p w14:paraId="64C5E7DA" w14:textId="77777777" w:rsidR="004F2167" w:rsidRPr="00294751" w:rsidRDefault="004F2167" w:rsidP="006655D3">
      <w:pPr>
        <w:rPr>
          <w:lang w:val="fr-FR"/>
        </w:rPr>
      </w:pPr>
    </w:p>
  </w:endnote>
  <w:endnote w:type="continuationNotice" w:id="1">
    <w:p w14:paraId="55A6AB40" w14:textId="77777777" w:rsidR="004F2167" w:rsidRPr="00294751" w:rsidRDefault="004F2167" w:rsidP="006655D3">
      <w:pPr>
        <w:rPr>
          <w:lang w:val="fr-FR"/>
        </w:rPr>
      </w:pPr>
      <w:r w:rsidRPr="00294751">
        <w:rPr>
          <w:lang w:val="fr-FR"/>
        </w:rPr>
        <w:t>[Suite de la note page suivante]</w:t>
      </w:r>
    </w:p>
    <w:p w14:paraId="76049BA0" w14:textId="77777777" w:rsidR="004F2167" w:rsidRPr="00294751" w:rsidRDefault="004F2167" w:rsidP="006655D3">
      <w:pPr>
        <w:rPr>
          <w:lang w:val="fr-FR"/>
        </w:rPr>
      </w:pPr>
    </w:p>
    <w:p w14:paraId="29D3401D" w14:textId="77777777" w:rsidR="004F2167" w:rsidRPr="00294751" w:rsidRDefault="004F2167" w:rsidP="006655D3">
      <w:pPr>
        <w:rPr>
          <w:lang w:val="fr-FR"/>
        </w:rPr>
      </w:pPr>
    </w:p>
  </w:endnote>
  <w:endnote w:id="2">
    <w:p w14:paraId="7B076AB9" w14:textId="53110200" w:rsidR="004F2167" w:rsidRPr="009027EE" w:rsidRDefault="004F2167" w:rsidP="009027EE">
      <w:pPr>
        <w:pStyle w:val="EndnoteText"/>
        <w:tabs>
          <w:tab w:val="left" w:pos="284"/>
        </w:tabs>
        <w:spacing w:before="60"/>
        <w:rPr>
          <w:highlight w:val="yellow"/>
          <w:u w:val="single"/>
          <w:lang w:val="es-ES"/>
        </w:rPr>
      </w:pPr>
      <w:r w:rsidRPr="00796BCA">
        <w:rPr>
          <w:rStyle w:val="EndnoteReference"/>
          <w:highlight w:val="yellow"/>
          <w:u w:val="single"/>
        </w:rPr>
        <w:endnoteRef/>
      </w:r>
      <w:r w:rsidRPr="00796BCA">
        <w:rPr>
          <w:highlight w:val="yellow"/>
          <w:u w:val="single"/>
        </w:rPr>
        <w:t xml:space="preserve"> </w:t>
      </w:r>
      <w:r>
        <w:rPr>
          <w:highlight w:val="yellow"/>
          <w:u w:val="single"/>
        </w:rPr>
        <w:tab/>
      </w:r>
      <w:r>
        <w:rPr>
          <w:sz w:val="16"/>
          <w:szCs w:val="16"/>
          <w:highlight w:val="yellow"/>
          <w:u w:val="single"/>
        </w:rPr>
        <w:t>El 1 de septiembre de 2020, Francia solicitó que se cambie la dirección de correo electrónico “</w:t>
      </w:r>
      <w:r>
        <w:rPr>
          <w:color w:val="0000FF"/>
          <w:sz w:val="16"/>
          <w:szCs w:val="16"/>
          <w:highlight w:val="yellow"/>
          <w:u w:val="single"/>
        </w:rPr>
        <w:t>christophe.chevalier@geves.fr</w:t>
      </w:r>
      <w:r>
        <w:rPr>
          <w:sz w:val="16"/>
          <w:szCs w:val="16"/>
          <w:highlight w:val="yellow"/>
          <w:u w:val="single"/>
        </w:rPr>
        <w:t>” por “</w:t>
      </w:r>
      <w:r>
        <w:rPr>
          <w:color w:val="0000FF"/>
          <w:sz w:val="16"/>
          <w:szCs w:val="16"/>
          <w:highlight w:val="yellow"/>
          <w:u w:val="single"/>
        </w:rPr>
        <w:t>christelle.lavaud@geves.fr</w:t>
      </w:r>
      <w:r>
        <w:rPr>
          <w:sz w:val="16"/>
          <w:szCs w:val="16"/>
          <w:highlight w:val="yellow"/>
          <w:u w:val="single"/>
        </w:rPr>
        <w:t>“.  En el documento UPOV/</w:t>
      </w:r>
      <w:proofErr w:type="spellStart"/>
      <w:r>
        <w:rPr>
          <w:sz w:val="16"/>
          <w:szCs w:val="16"/>
          <w:highlight w:val="yellow"/>
          <w:u w:val="single"/>
        </w:rPr>
        <w:t>INF</w:t>
      </w:r>
      <w:proofErr w:type="spellEnd"/>
      <w:r>
        <w:rPr>
          <w:sz w:val="16"/>
          <w:szCs w:val="16"/>
          <w:highlight w:val="yellow"/>
          <w:u w:val="single"/>
        </w:rPr>
        <w:t xml:space="preserve">/16/9 </w:t>
      </w:r>
      <w:proofErr w:type="spellStart"/>
      <w:r>
        <w:rPr>
          <w:sz w:val="16"/>
          <w:szCs w:val="16"/>
          <w:highlight w:val="yellow"/>
          <w:u w:val="single"/>
        </w:rPr>
        <w:t>Draft</w:t>
      </w:r>
      <w:proofErr w:type="spellEnd"/>
      <w:r>
        <w:rPr>
          <w:sz w:val="16"/>
          <w:szCs w:val="16"/>
          <w:highlight w:val="yellow"/>
          <w:u w:val="single"/>
        </w:rPr>
        <w:t xml:space="preserve"> 2 se recoge el cambio solicitado</w:t>
      </w:r>
      <w:r w:rsidRPr="00EC17EF">
        <w:rPr>
          <w:sz w:val="16"/>
          <w:szCs w:val="16"/>
          <w:highlight w:val="yellow"/>
          <w:u w:val="single"/>
          <w:lang w:val="es-ES"/>
        </w:rPr>
        <w:t>.</w:t>
      </w:r>
    </w:p>
  </w:endnote>
  <w:endnote w:id="3">
    <w:p w14:paraId="592374A3" w14:textId="381F1518" w:rsidR="004F2167" w:rsidRPr="009027EE" w:rsidRDefault="004F2167" w:rsidP="009027EE">
      <w:pPr>
        <w:pStyle w:val="EndnoteText"/>
        <w:tabs>
          <w:tab w:val="left" w:pos="284"/>
        </w:tabs>
        <w:spacing w:before="60"/>
        <w:rPr>
          <w:highlight w:val="yellow"/>
          <w:u w:val="single"/>
          <w:lang w:val="es-ES"/>
        </w:rPr>
      </w:pPr>
      <w:r w:rsidRPr="009027EE">
        <w:rPr>
          <w:rStyle w:val="EndnoteReference"/>
          <w:highlight w:val="yellow"/>
          <w:u w:val="single"/>
        </w:rPr>
        <w:endnoteRef/>
      </w:r>
      <w:r w:rsidRPr="009027EE">
        <w:rPr>
          <w:highlight w:val="yellow"/>
          <w:u w:val="single"/>
        </w:rPr>
        <w:t xml:space="preserve"> </w:t>
      </w:r>
      <w:r w:rsidRPr="009027EE">
        <w:rPr>
          <w:highlight w:val="yellow"/>
          <w:u w:val="single"/>
        </w:rPr>
        <w:tab/>
      </w:r>
      <w:r w:rsidRPr="009027EE">
        <w:rPr>
          <w:sz w:val="16"/>
          <w:szCs w:val="16"/>
          <w:highlight w:val="yellow"/>
          <w:u w:val="single"/>
        </w:rPr>
        <w:t>Las observaciones recibidas sobre el documento UPOV/</w:t>
      </w:r>
      <w:proofErr w:type="spellStart"/>
      <w:r w:rsidRPr="009027EE">
        <w:rPr>
          <w:sz w:val="16"/>
          <w:szCs w:val="16"/>
          <w:highlight w:val="yellow"/>
          <w:u w:val="single"/>
        </w:rPr>
        <w:t>EXN</w:t>
      </w:r>
      <w:proofErr w:type="spellEnd"/>
      <w:r w:rsidRPr="009027EE">
        <w:rPr>
          <w:sz w:val="16"/>
          <w:szCs w:val="16"/>
          <w:highlight w:val="yellow"/>
          <w:u w:val="single"/>
        </w:rPr>
        <w:t xml:space="preserve">/DEN/1 </w:t>
      </w:r>
      <w:proofErr w:type="spellStart"/>
      <w:r w:rsidRPr="009027EE">
        <w:rPr>
          <w:sz w:val="16"/>
          <w:szCs w:val="16"/>
          <w:highlight w:val="yellow"/>
          <w:u w:val="single"/>
        </w:rPr>
        <w:t>Draft</w:t>
      </w:r>
      <w:proofErr w:type="spellEnd"/>
      <w:r w:rsidRPr="009027EE">
        <w:rPr>
          <w:sz w:val="16"/>
          <w:szCs w:val="16"/>
          <w:highlight w:val="yellow"/>
          <w:u w:val="single"/>
        </w:rPr>
        <w:t xml:space="preserve"> 4, en respuesta a la Circular E-20/122 de 21 de agosto 2020, no son sencillas y deben aclararse, por lo que este documento no se someterá a la aprobación del Consejo en 2020</w:t>
      </w:r>
      <w:r w:rsidRPr="009027EE">
        <w:rPr>
          <w:sz w:val="16"/>
          <w:szCs w:val="16"/>
          <w:highlight w:val="yellow"/>
          <w:u w:val="single"/>
          <w:lang w:val="es-ES"/>
        </w:rPr>
        <w:t>.</w:t>
      </w:r>
    </w:p>
  </w:endnote>
  <w:endnote w:id="4">
    <w:p w14:paraId="7DF6BF75" w14:textId="7E811E5D" w:rsidR="004F2167" w:rsidRDefault="004F2167" w:rsidP="009027EE">
      <w:pPr>
        <w:pStyle w:val="EndnoteText"/>
        <w:tabs>
          <w:tab w:val="left" w:pos="284"/>
        </w:tabs>
        <w:spacing w:before="60"/>
        <w:rPr>
          <w:spacing w:val="-2"/>
          <w:sz w:val="16"/>
          <w:szCs w:val="16"/>
          <w:u w:val="single"/>
          <w:lang w:val="es-ES"/>
        </w:rPr>
      </w:pPr>
      <w:r w:rsidRPr="009027EE">
        <w:rPr>
          <w:rStyle w:val="EndnoteReference"/>
          <w:highlight w:val="yellow"/>
          <w:u w:val="single"/>
        </w:rPr>
        <w:endnoteRef/>
      </w:r>
      <w:r w:rsidRPr="009027EE">
        <w:rPr>
          <w:highlight w:val="yellow"/>
          <w:u w:val="single"/>
        </w:rPr>
        <w:t xml:space="preserve"> </w:t>
      </w:r>
      <w:r w:rsidRPr="009027EE">
        <w:rPr>
          <w:highlight w:val="yellow"/>
          <w:u w:val="single"/>
        </w:rPr>
        <w:tab/>
      </w:r>
      <w:r w:rsidRPr="009027EE">
        <w:rPr>
          <w:spacing w:val="-2"/>
          <w:sz w:val="16"/>
          <w:szCs w:val="16"/>
          <w:highlight w:val="yellow"/>
          <w:u w:val="single"/>
          <w:lang w:val="es-ES"/>
        </w:rPr>
        <w:t xml:space="preserve">El </w:t>
      </w:r>
      <w:r w:rsidRPr="00EC17EF">
        <w:rPr>
          <w:spacing w:val="-2"/>
          <w:sz w:val="16"/>
          <w:szCs w:val="16"/>
          <w:highlight w:val="yellow"/>
          <w:u w:val="single"/>
          <w:lang w:val="es-ES"/>
        </w:rPr>
        <w:t>document</w:t>
      </w:r>
      <w:r>
        <w:rPr>
          <w:spacing w:val="-2"/>
          <w:sz w:val="16"/>
          <w:szCs w:val="16"/>
          <w:highlight w:val="yellow"/>
          <w:u w:val="single"/>
          <w:lang w:val="es-ES"/>
        </w:rPr>
        <w:t>o UPOV/</w:t>
      </w:r>
      <w:proofErr w:type="spellStart"/>
      <w:r>
        <w:rPr>
          <w:spacing w:val="-2"/>
          <w:sz w:val="16"/>
          <w:szCs w:val="16"/>
          <w:highlight w:val="yellow"/>
          <w:u w:val="single"/>
          <w:lang w:val="es-ES"/>
        </w:rPr>
        <w:t>EXN</w:t>
      </w:r>
      <w:proofErr w:type="spellEnd"/>
      <w:r>
        <w:rPr>
          <w:spacing w:val="-2"/>
          <w:sz w:val="16"/>
          <w:szCs w:val="16"/>
          <w:highlight w:val="yellow"/>
          <w:u w:val="single"/>
          <w:lang w:val="es-ES"/>
        </w:rPr>
        <w:t>/DEN/1 </w:t>
      </w:r>
      <w:proofErr w:type="spellStart"/>
      <w:r>
        <w:rPr>
          <w:spacing w:val="-2"/>
          <w:sz w:val="16"/>
          <w:szCs w:val="16"/>
          <w:highlight w:val="yellow"/>
          <w:u w:val="single"/>
          <w:lang w:val="es-ES"/>
        </w:rPr>
        <w:t>Draft</w:t>
      </w:r>
      <w:proofErr w:type="spellEnd"/>
      <w:r>
        <w:rPr>
          <w:spacing w:val="-2"/>
          <w:sz w:val="16"/>
          <w:szCs w:val="16"/>
          <w:highlight w:val="yellow"/>
          <w:u w:val="single"/>
          <w:lang w:val="es-ES"/>
        </w:rPr>
        <w:t> </w:t>
      </w:r>
      <w:r w:rsidRPr="00EC17EF">
        <w:rPr>
          <w:spacing w:val="-2"/>
          <w:sz w:val="16"/>
          <w:szCs w:val="16"/>
          <w:highlight w:val="yellow"/>
          <w:u w:val="single"/>
          <w:lang w:val="es-ES"/>
        </w:rPr>
        <w:t>4 no</w:t>
      </w:r>
      <w:r>
        <w:rPr>
          <w:spacing w:val="-2"/>
          <w:sz w:val="16"/>
          <w:szCs w:val="16"/>
          <w:highlight w:val="yellow"/>
          <w:u w:val="single"/>
          <w:lang w:val="es-ES"/>
        </w:rPr>
        <w:t xml:space="preserve"> </w:t>
      </w:r>
      <w:r w:rsidRPr="00EC17EF">
        <w:rPr>
          <w:spacing w:val="-2"/>
          <w:sz w:val="16"/>
          <w:szCs w:val="16"/>
          <w:highlight w:val="yellow"/>
          <w:u w:val="single"/>
          <w:lang w:val="es-ES"/>
        </w:rPr>
        <w:t>forma parte de la Circular de 25 de septiembre</w:t>
      </w:r>
      <w:r>
        <w:rPr>
          <w:spacing w:val="-2"/>
          <w:sz w:val="16"/>
          <w:szCs w:val="16"/>
          <w:highlight w:val="yellow"/>
          <w:u w:val="single"/>
          <w:lang w:val="es-ES"/>
        </w:rPr>
        <w:t xml:space="preserve"> de</w:t>
      </w:r>
      <w:r w:rsidRPr="00EC17EF">
        <w:rPr>
          <w:spacing w:val="-2"/>
          <w:sz w:val="16"/>
          <w:szCs w:val="16"/>
          <w:highlight w:val="yellow"/>
          <w:u w:val="single"/>
          <w:lang w:val="es-ES"/>
        </w:rPr>
        <w:t xml:space="preserve"> 2020, </w:t>
      </w:r>
      <w:r>
        <w:rPr>
          <w:spacing w:val="-2"/>
          <w:sz w:val="16"/>
          <w:szCs w:val="16"/>
          <w:highlight w:val="yellow"/>
          <w:u w:val="single"/>
          <w:lang w:val="es-ES"/>
        </w:rPr>
        <w:t>y se examinará en la sesión virtual del </w:t>
      </w:r>
      <w:r w:rsidRPr="00EC17EF">
        <w:rPr>
          <w:spacing w:val="-2"/>
          <w:sz w:val="16"/>
          <w:szCs w:val="16"/>
          <w:highlight w:val="yellow"/>
          <w:u w:val="single"/>
          <w:lang w:val="es-ES"/>
        </w:rPr>
        <w:t xml:space="preserve">CAJ. </w:t>
      </w:r>
      <w:r>
        <w:rPr>
          <w:spacing w:val="-2"/>
          <w:sz w:val="16"/>
          <w:szCs w:val="16"/>
          <w:highlight w:val="yellow"/>
          <w:u w:val="single"/>
          <w:lang w:val="es-ES"/>
        </w:rPr>
        <w:t>Las observaciones</w:t>
      </w:r>
      <w:r w:rsidRPr="00EC17EF">
        <w:rPr>
          <w:spacing w:val="-2"/>
          <w:sz w:val="16"/>
          <w:szCs w:val="16"/>
          <w:highlight w:val="yellow"/>
          <w:u w:val="single"/>
          <w:lang w:val="es-ES"/>
        </w:rPr>
        <w:t xml:space="preserve"> recibid</w:t>
      </w:r>
      <w:r>
        <w:rPr>
          <w:spacing w:val="-2"/>
          <w:sz w:val="16"/>
          <w:szCs w:val="16"/>
          <w:highlight w:val="yellow"/>
          <w:u w:val="single"/>
          <w:lang w:val="es-ES"/>
        </w:rPr>
        <w:t>a</w:t>
      </w:r>
      <w:r w:rsidRPr="00EC17EF">
        <w:rPr>
          <w:spacing w:val="-2"/>
          <w:sz w:val="16"/>
          <w:szCs w:val="16"/>
          <w:highlight w:val="yellow"/>
          <w:u w:val="single"/>
          <w:lang w:val="es-ES"/>
        </w:rPr>
        <w:t>s sobre el document</w:t>
      </w:r>
      <w:r>
        <w:rPr>
          <w:spacing w:val="-2"/>
          <w:sz w:val="16"/>
          <w:szCs w:val="16"/>
          <w:highlight w:val="yellow"/>
          <w:u w:val="single"/>
          <w:lang w:val="es-ES"/>
        </w:rPr>
        <w:t>o</w:t>
      </w:r>
      <w:r w:rsidRPr="00EC17EF">
        <w:rPr>
          <w:spacing w:val="-2"/>
          <w:sz w:val="16"/>
          <w:szCs w:val="16"/>
          <w:highlight w:val="yellow"/>
          <w:u w:val="single"/>
          <w:lang w:val="es-ES"/>
        </w:rPr>
        <w:t> UPOV/</w:t>
      </w:r>
      <w:proofErr w:type="spellStart"/>
      <w:r w:rsidRPr="00EC17EF">
        <w:rPr>
          <w:spacing w:val="-2"/>
          <w:sz w:val="16"/>
          <w:szCs w:val="16"/>
          <w:highlight w:val="yellow"/>
          <w:u w:val="single"/>
          <w:lang w:val="es-ES"/>
        </w:rPr>
        <w:t>EXN</w:t>
      </w:r>
      <w:proofErr w:type="spellEnd"/>
      <w:r w:rsidRPr="00EC17EF">
        <w:rPr>
          <w:spacing w:val="-2"/>
          <w:sz w:val="16"/>
          <w:szCs w:val="16"/>
          <w:highlight w:val="yellow"/>
          <w:u w:val="single"/>
          <w:lang w:val="es-ES"/>
        </w:rPr>
        <w:t>/DEN/1</w:t>
      </w:r>
      <w:r>
        <w:rPr>
          <w:spacing w:val="-2"/>
          <w:sz w:val="16"/>
          <w:szCs w:val="16"/>
          <w:highlight w:val="yellow"/>
          <w:u w:val="single"/>
          <w:lang w:val="es-ES"/>
        </w:rPr>
        <w:t> </w:t>
      </w:r>
      <w:proofErr w:type="spellStart"/>
      <w:r w:rsidRPr="00EC17EF">
        <w:rPr>
          <w:spacing w:val="-2"/>
          <w:sz w:val="16"/>
          <w:szCs w:val="16"/>
          <w:highlight w:val="yellow"/>
          <w:u w:val="single"/>
          <w:lang w:val="es-ES"/>
        </w:rPr>
        <w:t>Draft</w:t>
      </w:r>
      <w:proofErr w:type="spellEnd"/>
      <w:r w:rsidRPr="00EC17EF">
        <w:rPr>
          <w:spacing w:val="-2"/>
          <w:sz w:val="16"/>
          <w:szCs w:val="16"/>
          <w:highlight w:val="yellow"/>
          <w:u w:val="single"/>
          <w:lang w:val="es-ES"/>
        </w:rPr>
        <w:t> 4 en respuesta a la Circular E-20/120 se incluirán en el documento CAJ/77/9 “Resultado del examen de los documentos por correspondencia”</w:t>
      </w:r>
      <w:r>
        <w:rPr>
          <w:spacing w:val="-2"/>
          <w:sz w:val="16"/>
          <w:szCs w:val="16"/>
          <w:highlight w:val="yellow"/>
          <w:u w:val="single"/>
          <w:lang w:val="es-ES"/>
        </w:rPr>
        <w:t xml:space="preserve"> para que, </w:t>
      </w:r>
      <w:r w:rsidRPr="00EF76EA">
        <w:rPr>
          <w:spacing w:val="-2"/>
          <w:sz w:val="16"/>
          <w:szCs w:val="16"/>
          <w:highlight w:val="yellow"/>
          <w:u w:val="single"/>
          <w:lang w:val="es-ES"/>
        </w:rPr>
        <w:t>en su sesión virtual de octubre</w:t>
      </w:r>
      <w:r>
        <w:rPr>
          <w:spacing w:val="-2"/>
          <w:sz w:val="16"/>
          <w:szCs w:val="16"/>
          <w:highlight w:val="yellow"/>
          <w:u w:val="single"/>
          <w:lang w:val="es-ES"/>
        </w:rPr>
        <w:t>, el CAJ pueda considerar</w:t>
      </w:r>
      <w:r w:rsidRPr="00EC17EF">
        <w:rPr>
          <w:spacing w:val="-2"/>
          <w:sz w:val="16"/>
          <w:szCs w:val="16"/>
          <w:highlight w:val="yellow"/>
          <w:u w:val="single"/>
          <w:lang w:val="es-ES"/>
        </w:rPr>
        <w:t xml:space="preserve"> </w:t>
      </w:r>
      <w:r>
        <w:rPr>
          <w:spacing w:val="-2"/>
          <w:sz w:val="16"/>
          <w:szCs w:val="16"/>
          <w:highlight w:val="yellow"/>
          <w:u w:val="single"/>
          <w:lang w:val="es-ES"/>
        </w:rPr>
        <w:t>otras medidas a adoptar</w:t>
      </w:r>
      <w:r w:rsidRPr="00EC17EF">
        <w:rPr>
          <w:spacing w:val="-2"/>
          <w:sz w:val="16"/>
          <w:szCs w:val="16"/>
          <w:highlight w:val="yellow"/>
          <w:u w:val="single"/>
          <w:lang w:val="es-ES"/>
        </w:rPr>
        <w:t>.</w:t>
      </w:r>
    </w:p>
    <w:p w14:paraId="3A76CA87" w14:textId="0141B7E3" w:rsidR="00492AA3" w:rsidRDefault="00492AA3" w:rsidP="009027EE">
      <w:pPr>
        <w:pStyle w:val="EndnoteText"/>
        <w:tabs>
          <w:tab w:val="left" w:pos="284"/>
        </w:tabs>
        <w:spacing w:before="60"/>
        <w:rPr>
          <w:spacing w:val="-2"/>
          <w:sz w:val="16"/>
          <w:szCs w:val="16"/>
          <w:u w:val="single"/>
          <w:lang w:val="es-ES"/>
        </w:rPr>
      </w:pPr>
    </w:p>
    <w:p w14:paraId="51383843" w14:textId="77777777" w:rsidR="00492AA3" w:rsidRDefault="00492AA3" w:rsidP="009027EE">
      <w:pPr>
        <w:pStyle w:val="EndnoteText"/>
        <w:tabs>
          <w:tab w:val="left" w:pos="284"/>
        </w:tabs>
        <w:spacing w:before="60"/>
        <w:rPr>
          <w:spacing w:val="-2"/>
          <w:sz w:val="16"/>
          <w:szCs w:val="16"/>
          <w:u w:val="single"/>
          <w:lang w:val="es-ES"/>
        </w:rPr>
      </w:pPr>
    </w:p>
    <w:p w14:paraId="186EF445" w14:textId="77777777" w:rsidR="00492AA3" w:rsidRPr="00310D26" w:rsidRDefault="00492AA3" w:rsidP="00492AA3">
      <w:pPr>
        <w:tabs>
          <w:tab w:val="left" w:pos="142"/>
        </w:tabs>
        <w:ind w:left="-425" w:firstLine="425"/>
        <w:jc w:val="right"/>
      </w:pPr>
      <w:r w:rsidRPr="00310D26">
        <w:t>[Fin del Anexo VII y del documento]</w:t>
      </w:r>
    </w:p>
    <w:p w14:paraId="435E2581" w14:textId="77777777" w:rsidR="00492AA3" w:rsidRPr="009027EE" w:rsidRDefault="00492AA3" w:rsidP="009027EE">
      <w:pPr>
        <w:pStyle w:val="EndnoteText"/>
        <w:tabs>
          <w:tab w:val="left" w:pos="284"/>
        </w:tabs>
        <w:spacing w:before="60"/>
        <w:rPr>
          <w:u w:val="single"/>
          <w:lang w:val="es-E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1002AFF" w:usb1="4000ACF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ordia New">
    <w:altName w:val="Arial Unicode MS"/>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3BC4F" w14:textId="77777777" w:rsidR="004F2167" w:rsidRPr="0066607F" w:rsidRDefault="004F2167" w:rsidP="00955A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CA39B" w14:textId="77777777" w:rsidR="004F2167" w:rsidRPr="00F10248" w:rsidRDefault="004F2167">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BE30D" w14:textId="77777777" w:rsidR="004F2167" w:rsidRDefault="004F2167" w:rsidP="006655D3">
      <w:r>
        <w:separator/>
      </w:r>
    </w:p>
  </w:footnote>
  <w:footnote w:type="continuationSeparator" w:id="0">
    <w:p w14:paraId="10DEFF81" w14:textId="77777777" w:rsidR="004F2167" w:rsidRDefault="004F2167" w:rsidP="006655D3">
      <w:r>
        <w:separator/>
      </w:r>
    </w:p>
  </w:footnote>
  <w:footnote w:type="continuationNotice" w:id="1">
    <w:p w14:paraId="597C97D2" w14:textId="77777777" w:rsidR="004F2167" w:rsidRPr="00AB530F" w:rsidRDefault="004F2167" w:rsidP="00AB530F">
      <w:pPr>
        <w:pStyle w:val="Footer"/>
      </w:pPr>
    </w:p>
  </w:footnote>
  <w:footnote w:id="2">
    <w:p w14:paraId="4E33F773" w14:textId="4F9CBD3F" w:rsidR="004F2167" w:rsidRPr="00C05526" w:rsidRDefault="004F2167" w:rsidP="00881B25">
      <w:pPr>
        <w:pStyle w:val="FootnoteText"/>
        <w:rPr>
          <w:lang w:val="es-ES"/>
        </w:rPr>
      </w:pPr>
      <w:r>
        <w:rPr>
          <w:rStyle w:val="FootnoteReference"/>
        </w:rPr>
        <w:footnoteRef/>
      </w:r>
      <w:r>
        <w:t xml:space="preserve"> </w:t>
      </w:r>
      <w:r>
        <w:tab/>
        <w:t>E</w:t>
      </w:r>
      <w:r w:rsidRPr="00CC1848">
        <w:t xml:space="preserve">l procedimiento para el examen de los documentos por correspondencia figura en la </w:t>
      </w:r>
      <w:r w:rsidRPr="007222AE">
        <w:t>C</w:t>
      </w:r>
      <w:r w:rsidRPr="00CC1848">
        <w:t xml:space="preserve">ircular </w:t>
      </w:r>
      <w:r>
        <w:t xml:space="preserve">E-20/094, de 23 de julio de 2020 (disponible en las páginas web de TC/56, </w:t>
      </w:r>
      <w:proofErr w:type="spellStart"/>
      <w:r>
        <w:t>CAJ</w:t>
      </w:r>
      <w:proofErr w:type="spellEnd"/>
      <w:r>
        <w:t>/77 y C/54).</w:t>
      </w:r>
    </w:p>
  </w:footnote>
  <w:footnote w:id="3">
    <w:p w14:paraId="6BE382C0" w14:textId="3B35E9B6" w:rsidR="004F2167" w:rsidRPr="00C05526" w:rsidRDefault="004F2167" w:rsidP="00881B25">
      <w:pPr>
        <w:pStyle w:val="FootnoteText"/>
        <w:rPr>
          <w:lang w:val="es-ES"/>
        </w:rPr>
      </w:pPr>
      <w:r>
        <w:rPr>
          <w:rStyle w:val="FootnoteReference"/>
        </w:rPr>
        <w:footnoteRef/>
      </w:r>
      <w:r>
        <w:t xml:space="preserve"> </w:t>
      </w:r>
      <w:r>
        <w:tab/>
        <w:t>Celebrada en Ginebra los días</w:t>
      </w:r>
      <w:r w:rsidRPr="00761F6B">
        <w:t xml:space="preserve"> </w:t>
      </w:r>
      <w:r>
        <w:t>28 y 29 de octubre de 2019.</w:t>
      </w:r>
    </w:p>
  </w:footnote>
  <w:footnote w:id="4">
    <w:p w14:paraId="406B44A7" w14:textId="5F665CBB" w:rsidR="004F2167" w:rsidRDefault="004F2167" w:rsidP="00955AD5">
      <w:pPr>
        <w:pStyle w:val="FootnoteText"/>
      </w:pPr>
      <w:r>
        <w:rPr>
          <w:rStyle w:val="FootnoteReference"/>
        </w:rPr>
        <w:footnoteRef/>
      </w:r>
      <w:r>
        <w:t xml:space="preserve"> </w:t>
      </w:r>
      <w:r>
        <w:tab/>
        <w:t>Celebrada en Ginebra el</w:t>
      </w:r>
      <w:r w:rsidRPr="00761F6B">
        <w:t xml:space="preserve"> 30</w:t>
      </w:r>
      <w:r>
        <w:t xml:space="preserve"> de octubre de</w:t>
      </w:r>
      <w:r w:rsidRPr="00761F6B">
        <w:t xml:space="preserve"> 2019</w:t>
      </w:r>
      <w:r>
        <w:t>.</w:t>
      </w:r>
    </w:p>
  </w:footnote>
  <w:footnote w:id="5">
    <w:p w14:paraId="6E358D29" w14:textId="0BA91A23" w:rsidR="004F2167" w:rsidRDefault="004F2167" w:rsidP="00955AD5">
      <w:pPr>
        <w:pStyle w:val="FootnoteText"/>
      </w:pPr>
      <w:r>
        <w:rPr>
          <w:rStyle w:val="FootnoteReference"/>
        </w:rPr>
        <w:footnoteRef/>
      </w:r>
      <w:r>
        <w:tab/>
        <w:t>En su cuarta reunión</w:t>
      </w:r>
      <w:r w:rsidRPr="005773C7">
        <w:t xml:space="preserve">, </w:t>
      </w:r>
      <w:r>
        <w:t xml:space="preserve">celebrada en Ginebra el 27 de octubre de </w:t>
      </w:r>
      <w:r w:rsidRPr="005773C7">
        <w:t xml:space="preserve">2017, </w:t>
      </w:r>
      <w:r>
        <w:t>el</w:t>
      </w:r>
      <w:r w:rsidRPr="005773C7">
        <w:t xml:space="preserve"> WG-DEN </w:t>
      </w:r>
      <w:r>
        <w:t xml:space="preserve">acordó modificar la </w:t>
      </w:r>
      <w:r w:rsidRPr="00BE482B">
        <w:t xml:space="preserve">referencia </w:t>
      </w:r>
      <w:r>
        <w:t xml:space="preserve">del documento de la serie </w:t>
      </w:r>
      <w:r w:rsidRPr="005773C7">
        <w:t xml:space="preserve">“INF” </w:t>
      </w:r>
      <w:r>
        <w:t>a la serie</w:t>
      </w:r>
      <w:r w:rsidRPr="005773C7">
        <w:t xml:space="preserve"> “EXN”</w:t>
      </w:r>
      <w:r>
        <w:t>, con arreglo al título y al contenido de este:</w:t>
      </w:r>
      <w:r w:rsidRPr="005773C7">
        <w:t xml:space="preserve"> “</w:t>
      </w:r>
      <w:r w:rsidRPr="00DC02A5">
        <w:t>Notas explicativas sobre las denominaciones de variedades con arreglo al Convenio de la UPOV</w:t>
      </w:r>
      <w:r w:rsidRPr="005773C7">
        <w:t>” (</w:t>
      </w:r>
      <w:r>
        <w:t>véase el párrafo</w:t>
      </w:r>
      <w:r w:rsidRPr="005773C7">
        <w:t xml:space="preserve"> 6 </w:t>
      </w:r>
      <w:r>
        <w:t>del documento</w:t>
      </w:r>
      <w:r w:rsidRPr="005773C7">
        <w:t xml:space="preserve"> UPOV/</w:t>
      </w:r>
      <w:proofErr w:type="spellStart"/>
      <w:r w:rsidRPr="005773C7">
        <w:t>WG</w:t>
      </w:r>
      <w:proofErr w:type="spellEnd"/>
      <w:r w:rsidRPr="005773C7">
        <w:t xml:space="preserve">-DEN/4/3 </w:t>
      </w:r>
      <w:r w:rsidRPr="00BE482B">
        <w:t>“</w:t>
      </w:r>
      <w:proofErr w:type="spellStart"/>
      <w:r w:rsidRPr="00BE482B">
        <w:t>Report</w:t>
      </w:r>
      <w:proofErr w:type="spellEnd"/>
      <w:r w:rsidRPr="00BE482B">
        <w:t>” (Informe)).</w:t>
      </w:r>
    </w:p>
  </w:footnote>
  <w:footnote w:id="6">
    <w:p w14:paraId="17755D93" w14:textId="43E0B64D" w:rsidR="004F2167" w:rsidRDefault="004F2167" w:rsidP="00955AD5">
      <w:pPr>
        <w:pStyle w:val="FootnoteText"/>
      </w:pPr>
      <w:r>
        <w:rPr>
          <w:rStyle w:val="FootnoteReference"/>
        </w:rPr>
        <w:footnoteRef/>
      </w:r>
      <w:r>
        <w:tab/>
        <w:t>Celebrada en Ginebra el 29 de octubre de</w:t>
      </w:r>
      <w:r w:rsidRPr="00D3625B">
        <w:t xml:space="preserve"> 2019</w:t>
      </w:r>
      <w:r>
        <w:t>.</w:t>
      </w:r>
    </w:p>
  </w:footnote>
  <w:footnote w:id="7">
    <w:p w14:paraId="0C9397AA" w14:textId="42BE1B1B" w:rsidR="004F2167" w:rsidRDefault="004F2167" w:rsidP="00955AD5">
      <w:pPr>
        <w:pStyle w:val="FootnoteText"/>
      </w:pPr>
      <w:r>
        <w:rPr>
          <w:rStyle w:val="FootnoteReference"/>
        </w:rPr>
        <w:footnoteRef/>
      </w:r>
      <w:r>
        <w:t xml:space="preserve"> </w:t>
      </w:r>
      <w:r>
        <w:tab/>
        <w:t>Celebrada en Ginebra del</w:t>
      </w:r>
      <w:r w:rsidRPr="00307047">
        <w:t xml:space="preserve"> 26 </w:t>
      </w:r>
      <w:r>
        <w:t>al</w:t>
      </w:r>
      <w:r w:rsidRPr="00307047">
        <w:t xml:space="preserve"> 28</w:t>
      </w:r>
      <w:r>
        <w:t xml:space="preserve"> de marzo de</w:t>
      </w:r>
      <w:r w:rsidRPr="00307047">
        <w:t xml:space="preserve"> 2012</w:t>
      </w:r>
      <w:r>
        <w:t>.</w:t>
      </w:r>
    </w:p>
  </w:footnote>
  <w:footnote w:id="8">
    <w:p w14:paraId="152DFE45" w14:textId="797C22F3" w:rsidR="004F2167" w:rsidRPr="000A2B5E" w:rsidRDefault="004F2167" w:rsidP="00955AD5">
      <w:pPr>
        <w:pStyle w:val="FootnoteText"/>
        <w:rPr>
          <w:u w:val="single"/>
        </w:rPr>
      </w:pPr>
      <w:r>
        <w:rPr>
          <w:rStyle w:val="FootnoteReference"/>
        </w:rPr>
        <w:footnoteRef/>
      </w:r>
      <w:r>
        <w:t xml:space="preserve"> </w:t>
      </w:r>
      <w:r>
        <w:tab/>
        <w:t>Celebrada en Ginebra el</w:t>
      </w:r>
      <w:r w:rsidRPr="00307047">
        <w:t xml:space="preserve"> 29</w:t>
      </w:r>
      <w:r>
        <w:t xml:space="preserve"> de marzo de</w:t>
      </w:r>
      <w:r w:rsidRPr="00307047">
        <w:t xml:space="preserve"> 2012</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3A12F" w14:textId="2EA92BAC" w:rsidR="004F2167" w:rsidRPr="00C05526" w:rsidRDefault="004F2167" w:rsidP="00C05526">
    <w:pPr>
      <w:pStyle w:val="Header"/>
      <w:rPr>
        <w:rStyle w:val="PageNumber"/>
      </w:rPr>
    </w:pPr>
    <w:r w:rsidRPr="00C05526">
      <w:rPr>
        <w:rStyle w:val="PageNumber"/>
      </w:rPr>
      <w:t>CAJ/77/3</w:t>
    </w:r>
    <w:r>
      <w:rPr>
        <w:rStyle w:val="PageNumber"/>
      </w:rPr>
      <w:t xml:space="preserve"> </w:t>
    </w:r>
    <w:r w:rsidRPr="00DC2518">
      <w:rPr>
        <w:rStyle w:val="PageNumber"/>
        <w:highlight w:val="yellow"/>
        <w:u w:val="single"/>
      </w:rPr>
      <w:t>Rev.</w:t>
    </w:r>
  </w:p>
  <w:p w14:paraId="233B679C" w14:textId="7596CEE7" w:rsidR="004F2167" w:rsidRPr="00C05526" w:rsidRDefault="004F2167" w:rsidP="00C05526">
    <w:pPr>
      <w:pStyle w:val="Header"/>
    </w:pPr>
    <w:r w:rsidRPr="00C05526">
      <w:t xml:space="preserve">página </w:t>
    </w:r>
    <w:r w:rsidRPr="00C05526">
      <w:rPr>
        <w:rStyle w:val="PageNumber"/>
      </w:rPr>
      <w:fldChar w:fldCharType="begin"/>
    </w:r>
    <w:r w:rsidRPr="00C05526">
      <w:rPr>
        <w:rStyle w:val="PageNumber"/>
      </w:rPr>
      <w:instrText xml:space="preserve"> PAGE </w:instrText>
    </w:r>
    <w:r w:rsidRPr="00C05526">
      <w:rPr>
        <w:rStyle w:val="PageNumber"/>
      </w:rPr>
      <w:fldChar w:fldCharType="separate"/>
    </w:r>
    <w:r w:rsidR="00024BFE">
      <w:rPr>
        <w:rStyle w:val="PageNumber"/>
        <w:noProof/>
      </w:rPr>
      <w:t>12</w:t>
    </w:r>
    <w:r w:rsidRPr="00C05526">
      <w:rPr>
        <w:rStyle w:val="PageNumber"/>
      </w:rPr>
      <w:fldChar w:fldCharType="end"/>
    </w:r>
  </w:p>
  <w:p w14:paraId="390295DA" w14:textId="77777777" w:rsidR="004F2167" w:rsidRPr="00C05526" w:rsidRDefault="004F2167" w:rsidP="00C05526">
    <w:pPr>
      <w:jc w:val="center"/>
      <w:rPr>
        <w:lang w:val="es-ES_tradnl"/>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96CC8" w14:textId="3BBA797F" w:rsidR="004F2167" w:rsidRPr="004F2167" w:rsidRDefault="004F2167" w:rsidP="00EB048E">
    <w:pPr>
      <w:pStyle w:val="Header"/>
      <w:rPr>
        <w:lang w:val="pt-PT"/>
      </w:rPr>
    </w:pPr>
    <w:r w:rsidRPr="004F2167">
      <w:rPr>
        <w:lang w:val="pt-PT"/>
      </w:rPr>
      <w:t xml:space="preserve">CAJ/77/3 </w:t>
    </w:r>
    <w:r w:rsidRPr="004F2167">
      <w:rPr>
        <w:rStyle w:val="PageNumber"/>
        <w:highlight w:val="yellow"/>
        <w:u w:val="single"/>
        <w:lang w:val="pt-PT"/>
      </w:rPr>
      <w:t>Rev.</w:t>
    </w:r>
  </w:p>
  <w:p w14:paraId="78CEE8F4" w14:textId="6EDE248B" w:rsidR="004F2167" w:rsidRPr="004F2167" w:rsidRDefault="004F2167" w:rsidP="00EB048E">
    <w:pPr>
      <w:pStyle w:val="Header"/>
      <w:rPr>
        <w:lang w:val="pt-PT"/>
      </w:rPr>
    </w:pPr>
    <w:r w:rsidRPr="004F2167">
      <w:rPr>
        <w:lang w:val="pt-PT"/>
      </w:rPr>
      <w:t xml:space="preserve">Anexo II, página </w:t>
    </w:r>
    <w:r w:rsidRPr="001D6593">
      <w:rPr>
        <w:rStyle w:val="PageNumber"/>
      </w:rPr>
      <w:fldChar w:fldCharType="begin"/>
    </w:r>
    <w:r w:rsidRPr="004F2167">
      <w:rPr>
        <w:rStyle w:val="PageNumber"/>
        <w:lang w:val="pt-PT"/>
      </w:rPr>
      <w:instrText xml:space="preserve"> PAGE </w:instrText>
    </w:r>
    <w:r w:rsidRPr="001D6593">
      <w:rPr>
        <w:rStyle w:val="PageNumber"/>
      </w:rPr>
      <w:fldChar w:fldCharType="separate"/>
    </w:r>
    <w:r w:rsidR="00024BFE">
      <w:rPr>
        <w:rStyle w:val="PageNumber"/>
        <w:noProof/>
        <w:lang w:val="pt-PT"/>
      </w:rPr>
      <w:t>3</w:t>
    </w:r>
    <w:r w:rsidRPr="001D6593">
      <w:rPr>
        <w:rStyle w:val="PageNumber"/>
      </w:rPr>
      <w:fldChar w:fldCharType="end"/>
    </w:r>
  </w:p>
  <w:p w14:paraId="34CBD09A" w14:textId="77777777" w:rsidR="004F2167" w:rsidRPr="004F2167" w:rsidRDefault="004F2167" w:rsidP="006655D3">
    <w:pPr>
      <w:rPr>
        <w:lang w:val="pt-PT"/>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2A65D" w14:textId="06391289" w:rsidR="004F2167" w:rsidRPr="00DC2518" w:rsidRDefault="004F2167" w:rsidP="00D60821">
    <w:pPr>
      <w:jc w:val="center"/>
      <w:rPr>
        <w:b/>
        <w:lang w:val="pt-PT"/>
      </w:rPr>
    </w:pPr>
    <w:r>
      <w:rPr>
        <w:lang w:val="pt-PT"/>
      </w:rPr>
      <w:t xml:space="preserve">CAJ/77/3 </w:t>
    </w:r>
    <w:r w:rsidRPr="00DC2518">
      <w:rPr>
        <w:rStyle w:val="PageNumber"/>
        <w:highlight w:val="yellow"/>
        <w:u w:val="single"/>
      </w:rPr>
      <w:t>Rev.</w:t>
    </w:r>
  </w:p>
  <w:p w14:paraId="7D152B67" w14:textId="77777777" w:rsidR="004F2167" w:rsidRDefault="004F2167" w:rsidP="00D60821">
    <w:pPr>
      <w:jc w:val="center"/>
      <w:rPr>
        <w:lang w:val="pt-PT"/>
      </w:rPr>
    </w:pPr>
  </w:p>
  <w:p w14:paraId="302F04A8" w14:textId="77777777" w:rsidR="004F2167" w:rsidRPr="009568C7" w:rsidRDefault="004F2167" w:rsidP="00D60821">
    <w:pPr>
      <w:jc w:val="center"/>
      <w:rPr>
        <w:lang w:val="pt-PT"/>
      </w:rPr>
    </w:pPr>
    <w:r>
      <w:rPr>
        <w:lang w:val="pt-PT"/>
      </w:rPr>
      <w:t>ANEXO II</w:t>
    </w:r>
  </w:p>
  <w:p w14:paraId="16D26CC9" w14:textId="77777777" w:rsidR="004F2167" w:rsidRPr="009568C7" w:rsidRDefault="004F2167" w:rsidP="00D60821">
    <w:pPr>
      <w:jc w:val="center"/>
      <w:rPr>
        <w:lang w:val="pt-PT"/>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8E585" w14:textId="6215AB20" w:rsidR="004F2167" w:rsidRPr="004F2167" w:rsidRDefault="004F2167" w:rsidP="00EB048E">
    <w:pPr>
      <w:pStyle w:val="Header"/>
      <w:rPr>
        <w:lang w:val="pt-PT"/>
      </w:rPr>
    </w:pPr>
    <w:r w:rsidRPr="004F2167">
      <w:rPr>
        <w:lang w:val="pt-PT"/>
      </w:rPr>
      <w:t xml:space="preserve">CAJ/77/3 </w:t>
    </w:r>
    <w:r w:rsidRPr="004F2167">
      <w:rPr>
        <w:rStyle w:val="PageNumber"/>
        <w:highlight w:val="yellow"/>
        <w:u w:val="single"/>
        <w:lang w:val="pt-PT"/>
      </w:rPr>
      <w:t>Rev.</w:t>
    </w:r>
  </w:p>
  <w:p w14:paraId="0609F3D7" w14:textId="17606699" w:rsidR="004F2167" w:rsidRPr="004F2167" w:rsidRDefault="004F2167" w:rsidP="00EB048E">
    <w:pPr>
      <w:pStyle w:val="Header"/>
      <w:rPr>
        <w:lang w:val="pt-PT"/>
      </w:rPr>
    </w:pPr>
    <w:r w:rsidRPr="004F2167">
      <w:rPr>
        <w:lang w:val="pt-PT"/>
      </w:rPr>
      <w:t xml:space="preserve">Anexo III, página </w:t>
    </w:r>
    <w:r w:rsidRPr="001D6593">
      <w:rPr>
        <w:rStyle w:val="PageNumber"/>
      </w:rPr>
      <w:fldChar w:fldCharType="begin"/>
    </w:r>
    <w:r w:rsidRPr="004F2167">
      <w:rPr>
        <w:rStyle w:val="PageNumber"/>
        <w:lang w:val="pt-PT"/>
      </w:rPr>
      <w:instrText xml:space="preserve"> PAGE </w:instrText>
    </w:r>
    <w:r w:rsidRPr="001D6593">
      <w:rPr>
        <w:rStyle w:val="PageNumber"/>
      </w:rPr>
      <w:fldChar w:fldCharType="separate"/>
    </w:r>
    <w:r w:rsidR="00024BFE">
      <w:rPr>
        <w:rStyle w:val="PageNumber"/>
        <w:noProof/>
        <w:lang w:val="pt-PT"/>
      </w:rPr>
      <w:t>4</w:t>
    </w:r>
    <w:r w:rsidRPr="001D6593">
      <w:rPr>
        <w:rStyle w:val="PageNumber"/>
      </w:rPr>
      <w:fldChar w:fldCharType="end"/>
    </w:r>
  </w:p>
  <w:p w14:paraId="46DC2E63" w14:textId="77777777" w:rsidR="004F2167" w:rsidRPr="004F2167" w:rsidRDefault="004F2167" w:rsidP="006655D3">
    <w:pPr>
      <w:rPr>
        <w:lang w:val="pt-PT"/>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41AFD" w14:textId="3F521CCD" w:rsidR="004F2167" w:rsidRDefault="004F2167" w:rsidP="00D60821">
    <w:pPr>
      <w:jc w:val="center"/>
      <w:rPr>
        <w:lang w:val="pt-PT"/>
      </w:rPr>
    </w:pPr>
    <w:r>
      <w:rPr>
        <w:lang w:val="pt-PT"/>
      </w:rPr>
      <w:t xml:space="preserve">CAJ/77/3 </w:t>
    </w:r>
    <w:r w:rsidRPr="00DC2518">
      <w:rPr>
        <w:rStyle w:val="PageNumber"/>
        <w:highlight w:val="yellow"/>
        <w:u w:val="single"/>
      </w:rPr>
      <w:t>Rev.</w:t>
    </w:r>
  </w:p>
  <w:p w14:paraId="341C1528" w14:textId="77777777" w:rsidR="004F2167" w:rsidRDefault="004F2167" w:rsidP="00D60821">
    <w:pPr>
      <w:jc w:val="center"/>
      <w:rPr>
        <w:lang w:val="pt-PT"/>
      </w:rPr>
    </w:pPr>
  </w:p>
  <w:p w14:paraId="346470AE" w14:textId="77777777" w:rsidR="004F2167" w:rsidRPr="009568C7" w:rsidRDefault="004F2167" w:rsidP="00D60821">
    <w:pPr>
      <w:jc w:val="center"/>
      <w:rPr>
        <w:lang w:val="pt-PT"/>
      </w:rPr>
    </w:pPr>
    <w:r>
      <w:rPr>
        <w:lang w:val="pt-PT"/>
      </w:rPr>
      <w:t>ANEXO III</w:t>
    </w:r>
  </w:p>
  <w:p w14:paraId="0C439230" w14:textId="77777777" w:rsidR="004F2167" w:rsidRPr="009568C7" w:rsidRDefault="004F2167" w:rsidP="00D60821">
    <w:pPr>
      <w:jc w:val="center"/>
      <w:rPr>
        <w:lang w:val="pt-PT"/>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E7AEF" w14:textId="5C15E2EB" w:rsidR="004F2167" w:rsidRPr="004F2167" w:rsidRDefault="004F2167" w:rsidP="00EB048E">
    <w:pPr>
      <w:pStyle w:val="Header"/>
      <w:rPr>
        <w:lang w:val="pt-PT"/>
      </w:rPr>
    </w:pPr>
    <w:r w:rsidRPr="004F2167">
      <w:rPr>
        <w:lang w:val="pt-PT"/>
      </w:rPr>
      <w:t xml:space="preserve">CAJ/77/3 </w:t>
    </w:r>
    <w:r w:rsidRPr="004F2167">
      <w:rPr>
        <w:rStyle w:val="PageNumber"/>
        <w:highlight w:val="yellow"/>
        <w:u w:val="single"/>
        <w:lang w:val="pt-PT"/>
      </w:rPr>
      <w:t>Rev.</w:t>
    </w:r>
  </w:p>
  <w:p w14:paraId="15AF0775" w14:textId="01459B00" w:rsidR="004F2167" w:rsidRPr="004F2167" w:rsidRDefault="004F2167" w:rsidP="00EB048E">
    <w:pPr>
      <w:pStyle w:val="Header"/>
      <w:rPr>
        <w:lang w:val="pt-PT"/>
      </w:rPr>
    </w:pPr>
    <w:r w:rsidRPr="004F2167">
      <w:rPr>
        <w:lang w:val="pt-PT"/>
      </w:rPr>
      <w:t xml:space="preserve">Anexo IV, página </w:t>
    </w:r>
    <w:r w:rsidRPr="001D6593">
      <w:rPr>
        <w:rStyle w:val="PageNumber"/>
      </w:rPr>
      <w:fldChar w:fldCharType="begin"/>
    </w:r>
    <w:r w:rsidRPr="004F2167">
      <w:rPr>
        <w:rStyle w:val="PageNumber"/>
        <w:lang w:val="pt-PT"/>
      </w:rPr>
      <w:instrText xml:space="preserve"> PAGE </w:instrText>
    </w:r>
    <w:r w:rsidRPr="001D6593">
      <w:rPr>
        <w:rStyle w:val="PageNumber"/>
      </w:rPr>
      <w:fldChar w:fldCharType="separate"/>
    </w:r>
    <w:r w:rsidR="00024BFE">
      <w:rPr>
        <w:rStyle w:val="PageNumber"/>
        <w:noProof/>
        <w:lang w:val="pt-PT"/>
      </w:rPr>
      <w:t>4</w:t>
    </w:r>
    <w:r w:rsidRPr="001D6593">
      <w:rPr>
        <w:rStyle w:val="PageNumber"/>
      </w:rPr>
      <w:fldChar w:fldCharType="end"/>
    </w:r>
  </w:p>
  <w:p w14:paraId="76BDC4CE" w14:textId="77777777" w:rsidR="004F2167" w:rsidRPr="004F2167" w:rsidRDefault="004F2167" w:rsidP="006655D3">
    <w:pPr>
      <w:rPr>
        <w:lang w:val="pt-PT"/>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81833" w14:textId="4810EFB2" w:rsidR="004F2167" w:rsidRDefault="004F2167" w:rsidP="00D60821">
    <w:pPr>
      <w:jc w:val="center"/>
      <w:rPr>
        <w:lang w:val="pt-PT"/>
      </w:rPr>
    </w:pPr>
    <w:r>
      <w:rPr>
        <w:lang w:val="pt-PT"/>
      </w:rPr>
      <w:t xml:space="preserve">CAJ/77/3 </w:t>
    </w:r>
    <w:r w:rsidRPr="00DC2518">
      <w:rPr>
        <w:rStyle w:val="PageNumber"/>
        <w:highlight w:val="yellow"/>
        <w:u w:val="single"/>
      </w:rPr>
      <w:t>Rev.</w:t>
    </w:r>
  </w:p>
  <w:p w14:paraId="5095007E" w14:textId="77777777" w:rsidR="004F2167" w:rsidRDefault="004F2167" w:rsidP="00D60821">
    <w:pPr>
      <w:jc w:val="center"/>
      <w:rPr>
        <w:lang w:val="pt-PT"/>
      </w:rPr>
    </w:pPr>
  </w:p>
  <w:p w14:paraId="7F40C2CD" w14:textId="77777777" w:rsidR="004F2167" w:rsidRPr="009568C7" w:rsidRDefault="004F2167" w:rsidP="00D60821">
    <w:pPr>
      <w:jc w:val="center"/>
      <w:rPr>
        <w:lang w:val="pt-PT"/>
      </w:rPr>
    </w:pPr>
    <w:r>
      <w:rPr>
        <w:lang w:val="pt-PT"/>
      </w:rPr>
      <w:t>ANEXO IV</w:t>
    </w:r>
  </w:p>
  <w:p w14:paraId="727E3B4A" w14:textId="77777777" w:rsidR="004F2167" w:rsidRPr="009568C7" w:rsidRDefault="004F2167" w:rsidP="00D60821">
    <w:pPr>
      <w:jc w:val="center"/>
      <w:rPr>
        <w:lang w:val="pt-PT"/>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3292E" w14:textId="60F0B82F" w:rsidR="004F2167" w:rsidRPr="004F2167" w:rsidRDefault="004F2167" w:rsidP="00955AD5">
    <w:pPr>
      <w:jc w:val="center"/>
      <w:rPr>
        <w:lang w:val="fr-CH"/>
      </w:rPr>
    </w:pPr>
    <w:proofErr w:type="spellStart"/>
    <w:r w:rsidRPr="004F2167">
      <w:rPr>
        <w:lang w:val="fr-CH"/>
      </w:rPr>
      <w:t>CAJ</w:t>
    </w:r>
    <w:proofErr w:type="spellEnd"/>
    <w:r w:rsidRPr="004F2167">
      <w:rPr>
        <w:lang w:val="fr-CH"/>
      </w:rPr>
      <w:t xml:space="preserve">/77/3 </w:t>
    </w:r>
    <w:proofErr w:type="spellStart"/>
    <w:r w:rsidRPr="00DF411E">
      <w:rPr>
        <w:rStyle w:val="PageNumber"/>
        <w:highlight w:val="yellow"/>
        <w:u w:val="single"/>
        <w:lang w:val="fr-CH"/>
      </w:rPr>
      <w:t>Rev</w:t>
    </w:r>
    <w:proofErr w:type="spellEnd"/>
    <w:r w:rsidRPr="00DF411E">
      <w:rPr>
        <w:rStyle w:val="PageNumber"/>
        <w:highlight w:val="yellow"/>
        <w:u w:val="single"/>
        <w:lang w:val="fr-CH"/>
      </w:rPr>
      <w:t>.</w:t>
    </w:r>
  </w:p>
  <w:p w14:paraId="189F8A4D" w14:textId="35C71194" w:rsidR="004F2167" w:rsidRPr="00DF411E" w:rsidRDefault="004F2167" w:rsidP="00EB048E">
    <w:pPr>
      <w:pStyle w:val="Header"/>
      <w:rPr>
        <w:lang w:val="fr-CH"/>
      </w:rPr>
    </w:pPr>
    <w:proofErr w:type="spellStart"/>
    <w:r w:rsidRPr="00DF411E">
      <w:rPr>
        <w:lang w:val="fr-CH"/>
      </w:rPr>
      <w:t>Annex</w:t>
    </w:r>
    <w:proofErr w:type="spellEnd"/>
    <w:r w:rsidRPr="00DF411E">
      <w:rPr>
        <w:lang w:val="fr-CH"/>
      </w:rPr>
      <w:t xml:space="preserve"> V, page </w:t>
    </w:r>
    <w:r w:rsidRPr="00E320FB">
      <w:rPr>
        <w:rStyle w:val="PageNumber"/>
        <w:lang w:val="en-US"/>
      </w:rPr>
      <w:fldChar w:fldCharType="begin"/>
    </w:r>
    <w:r w:rsidRPr="00DF411E">
      <w:rPr>
        <w:rStyle w:val="PageNumber"/>
        <w:lang w:val="fr-CH"/>
      </w:rPr>
      <w:instrText xml:space="preserve"> PAGE </w:instrText>
    </w:r>
    <w:r w:rsidRPr="00E320FB">
      <w:rPr>
        <w:rStyle w:val="PageNumber"/>
        <w:lang w:val="en-US"/>
      </w:rPr>
      <w:fldChar w:fldCharType="separate"/>
    </w:r>
    <w:r w:rsidR="00024BFE">
      <w:rPr>
        <w:rStyle w:val="PageNumber"/>
        <w:noProof/>
        <w:lang w:val="fr-CH"/>
      </w:rPr>
      <w:t>3</w:t>
    </w:r>
    <w:r w:rsidRPr="00E320FB">
      <w:rPr>
        <w:rStyle w:val="PageNumber"/>
        <w:lang w:val="en-US"/>
      </w:rPr>
      <w:fldChar w:fldCharType="end"/>
    </w:r>
  </w:p>
  <w:p w14:paraId="3B89757A" w14:textId="77777777" w:rsidR="004F2167" w:rsidRPr="00DF411E" w:rsidRDefault="004F2167" w:rsidP="006655D3">
    <w:pPr>
      <w:rPr>
        <w:lang w:val="fr-CH"/>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30106" w14:textId="351B5EBD" w:rsidR="004F2167" w:rsidRDefault="004F2167" w:rsidP="00955AD5">
    <w:pPr>
      <w:jc w:val="center"/>
      <w:rPr>
        <w:lang w:val="pt-PT"/>
      </w:rPr>
    </w:pPr>
    <w:r>
      <w:rPr>
        <w:lang w:val="pt-PT"/>
      </w:rPr>
      <w:t xml:space="preserve">CAJ/77/3 </w:t>
    </w:r>
    <w:r w:rsidRPr="00DC2518">
      <w:rPr>
        <w:rStyle w:val="PageNumber"/>
        <w:highlight w:val="yellow"/>
        <w:u w:val="single"/>
      </w:rPr>
      <w:t>Rev.</w:t>
    </w:r>
  </w:p>
  <w:p w14:paraId="2BDB0C76" w14:textId="77777777" w:rsidR="004F2167" w:rsidRDefault="004F2167" w:rsidP="00955AD5">
    <w:pPr>
      <w:jc w:val="center"/>
      <w:rPr>
        <w:lang w:val="pt-PT"/>
      </w:rPr>
    </w:pPr>
  </w:p>
  <w:p w14:paraId="0D79D713" w14:textId="77777777" w:rsidR="004F2167" w:rsidRPr="003757EE" w:rsidRDefault="004F2167" w:rsidP="00955AD5">
    <w:pPr>
      <w:jc w:val="center"/>
      <w:rPr>
        <w:lang w:val="pt-PT"/>
      </w:rPr>
    </w:pPr>
    <w:r>
      <w:rPr>
        <w:lang w:val="pt-PT"/>
      </w:rPr>
      <w:t>ANEXO</w:t>
    </w:r>
    <w:r w:rsidRPr="00B83FB2">
      <w:rPr>
        <w:lang w:val="pt-PT"/>
      </w:rPr>
      <w:t xml:space="preserve"> V</w:t>
    </w:r>
  </w:p>
  <w:p w14:paraId="163C9CF7" w14:textId="77777777" w:rsidR="004F2167" w:rsidRDefault="004F2167" w:rsidP="00955AD5">
    <w:pPr>
      <w:jc w:val="center"/>
      <w:rPr>
        <w:lang w:val="pt-PT"/>
      </w:rPr>
    </w:pPr>
  </w:p>
  <w:p w14:paraId="2E5E77E3" w14:textId="77777777" w:rsidR="004F2167" w:rsidRPr="003757EE" w:rsidRDefault="004F2167" w:rsidP="00955AD5">
    <w:pPr>
      <w:jc w:val="center"/>
      <w:rPr>
        <w:lang w:val="pt-PT"/>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8B1AF" w14:textId="16BE2D7E" w:rsidR="004F2167" w:rsidRDefault="004F2167" w:rsidP="00955AD5">
    <w:pPr>
      <w:jc w:val="center"/>
      <w:rPr>
        <w:lang w:val="pt-PT"/>
      </w:rPr>
    </w:pPr>
    <w:r>
      <w:rPr>
        <w:lang w:val="pt-PT"/>
      </w:rPr>
      <w:t xml:space="preserve">CAJ/77/3 </w:t>
    </w:r>
    <w:r w:rsidRPr="004F2167">
      <w:rPr>
        <w:rStyle w:val="PageNumber"/>
        <w:highlight w:val="yellow"/>
        <w:u w:val="single"/>
        <w:lang w:val="pt-PT"/>
      </w:rPr>
      <w:t>Rev.</w:t>
    </w:r>
  </w:p>
  <w:p w14:paraId="7B254523" w14:textId="50F7794D" w:rsidR="004F2167" w:rsidRPr="004F2167" w:rsidRDefault="004F2167" w:rsidP="00EB048E">
    <w:pPr>
      <w:pStyle w:val="Header"/>
      <w:rPr>
        <w:lang w:val="pt-PT"/>
      </w:rPr>
    </w:pPr>
    <w:r w:rsidRPr="004F2167">
      <w:rPr>
        <w:lang w:val="pt-PT"/>
      </w:rPr>
      <w:t xml:space="preserve">Anexo VI, página </w:t>
    </w:r>
    <w:r w:rsidRPr="00E320FB">
      <w:rPr>
        <w:rStyle w:val="PageNumber"/>
        <w:lang w:val="en-US"/>
      </w:rPr>
      <w:fldChar w:fldCharType="begin"/>
    </w:r>
    <w:r w:rsidRPr="004F2167">
      <w:rPr>
        <w:rStyle w:val="PageNumber"/>
        <w:lang w:val="pt-PT"/>
      </w:rPr>
      <w:instrText xml:space="preserve"> PAGE </w:instrText>
    </w:r>
    <w:r w:rsidRPr="00E320FB">
      <w:rPr>
        <w:rStyle w:val="PageNumber"/>
        <w:lang w:val="en-US"/>
      </w:rPr>
      <w:fldChar w:fldCharType="separate"/>
    </w:r>
    <w:r w:rsidR="00024BFE">
      <w:rPr>
        <w:rStyle w:val="PageNumber"/>
        <w:noProof/>
        <w:lang w:val="pt-PT"/>
      </w:rPr>
      <w:t>2</w:t>
    </w:r>
    <w:r w:rsidRPr="00E320FB">
      <w:rPr>
        <w:rStyle w:val="PageNumber"/>
        <w:lang w:val="en-US"/>
      </w:rPr>
      <w:fldChar w:fldCharType="end"/>
    </w:r>
  </w:p>
  <w:p w14:paraId="5FDA4341" w14:textId="77777777" w:rsidR="004F2167" w:rsidRPr="004F2167" w:rsidRDefault="004F2167" w:rsidP="006655D3">
    <w:pPr>
      <w:rPr>
        <w:lang w:val="pt-PT"/>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18D99" w14:textId="4261B436" w:rsidR="004F2167" w:rsidRPr="00D90086" w:rsidRDefault="004F2167" w:rsidP="00955AD5">
    <w:pPr>
      <w:jc w:val="center"/>
    </w:pPr>
    <w:r w:rsidRPr="00D90086">
      <w:t>CAJ/77/3</w:t>
    </w:r>
    <w:r>
      <w:t xml:space="preserve"> </w:t>
    </w:r>
    <w:r w:rsidRPr="00DC2518">
      <w:rPr>
        <w:rStyle w:val="PageNumber"/>
        <w:highlight w:val="yellow"/>
        <w:u w:val="single"/>
      </w:rPr>
      <w:t>Rev.</w:t>
    </w:r>
  </w:p>
  <w:p w14:paraId="2BA2091D" w14:textId="77777777" w:rsidR="004F2167" w:rsidRPr="00D90086" w:rsidRDefault="004F2167" w:rsidP="00955AD5">
    <w:pPr>
      <w:jc w:val="center"/>
    </w:pPr>
  </w:p>
  <w:p w14:paraId="024471E9" w14:textId="77777777" w:rsidR="004F2167" w:rsidRPr="00D90086" w:rsidRDefault="004F2167" w:rsidP="00955AD5">
    <w:pPr>
      <w:jc w:val="center"/>
    </w:pPr>
    <w:r>
      <w:t>ANEXO</w:t>
    </w:r>
    <w:r w:rsidRPr="00B83FB2">
      <w:t xml:space="preserve"> VI</w:t>
    </w:r>
  </w:p>
  <w:p w14:paraId="16D298FE" w14:textId="77777777" w:rsidR="004F2167" w:rsidRDefault="004F2167" w:rsidP="00955AD5">
    <w:pPr>
      <w:jc w:val="center"/>
    </w:pPr>
  </w:p>
  <w:p w14:paraId="2843F53C" w14:textId="77777777" w:rsidR="004F2167" w:rsidRDefault="004F2167" w:rsidP="00955AD5">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C495" w14:textId="02E85828" w:rsidR="004F2167" w:rsidRDefault="004F2167" w:rsidP="00955AD5">
    <w:pPr>
      <w:pStyle w:val="Header"/>
    </w:pPr>
    <w:r>
      <w:t xml:space="preserve">CAJ/77/3 </w:t>
    </w:r>
    <w:r w:rsidRPr="00DC2518">
      <w:rPr>
        <w:rStyle w:val="PageNumber"/>
        <w:highlight w:val="yellow"/>
        <w:u w:val="single"/>
      </w:rPr>
      <w:t>Rev.</w:t>
    </w:r>
  </w:p>
  <w:p w14:paraId="623454C7" w14:textId="77777777" w:rsidR="004F2167" w:rsidRDefault="004F2167" w:rsidP="00955AD5">
    <w:pPr>
      <w:pStyle w:val="Header"/>
    </w:pPr>
  </w:p>
  <w:p w14:paraId="0CA54F88" w14:textId="77777777" w:rsidR="004F2167" w:rsidRDefault="004F2167" w:rsidP="00955AD5">
    <w:pPr>
      <w:pStyle w:val="Header"/>
    </w:pPr>
    <w:r>
      <w:t>ANEXO I</w:t>
    </w:r>
  </w:p>
  <w:p w14:paraId="3CE8C3D6" w14:textId="77777777" w:rsidR="004F2167" w:rsidRDefault="004F2167" w:rsidP="00955AD5">
    <w:pPr>
      <w:pStyle w:val="Header"/>
    </w:pPr>
  </w:p>
  <w:p w14:paraId="48ADC1C2" w14:textId="77777777" w:rsidR="004F2167" w:rsidRDefault="004F216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6726F" w14:textId="75ECC289" w:rsidR="004F2167" w:rsidRPr="00492AA3" w:rsidRDefault="004F2167" w:rsidP="000A23DC">
    <w:pPr>
      <w:pStyle w:val="Header"/>
      <w:rPr>
        <w:rStyle w:val="PageNumber"/>
        <w:lang w:val="pt-PT"/>
      </w:rPr>
    </w:pPr>
    <w:r w:rsidRPr="00492AA3">
      <w:rPr>
        <w:rStyle w:val="PageNumber"/>
        <w:lang w:val="pt-PT"/>
      </w:rPr>
      <w:t xml:space="preserve">CAJ/77/3 </w:t>
    </w:r>
    <w:r w:rsidRPr="00492AA3">
      <w:rPr>
        <w:rStyle w:val="PageNumber"/>
        <w:highlight w:val="yellow"/>
        <w:u w:val="single"/>
        <w:lang w:val="pt-PT"/>
      </w:rPr>
      <w:t>Rev.</w:t>
    </w:r>
  </w:p>
  <w:p w14:paraId="5AF0E124" w14:textId="1A82D737" w:rsidR="004F2167" w:rsidRPr="00492AA3" w:rsidRDefault="00492AA3" w:rsidP="008B3D8D">
    <w:pPr>
      <w:pStyle w:val="Header"/>
      <w:rPr>
        <w:lang w:val="pt-PT"/>
      </w:rPr>
    </w:pPr>
    <w:r w:rsidRPr="004F2167">
      <w:rPr>
        <w:lang w:val="pt-PT"/>
      </w:rPr>
      <w:t>Anexo VI</w:t>
    </w:r>
    <w:r>
      <w:rPr>
        <w:lang w:val="pt-PT"/>
      </w:rPr>
      <w:t>I</w:t>
    </w:r>
    <w:r w:rsidRPr="004F2167">
      <w:rPr>
        <w:lang w:val="pt-PT"/>
      </w:rPr>
      <w:t xml:space="preserve">, </w:t>
    </w:r>
    <w:r w:rsidR="004F2167" w:rsidRPr="00492AA3">
      <w:rPr>
        <w:lang w:val="pt-PT"/>
      </w:rPr>
      <w:t xml:space="preserve">página </w:t>
    </w:r>
    <w:r w:rsidR="004F2167" w:rsidRPr="00202E38">
      <w:rPr>
        <w:rStyle w:val="PageNumber"/>
        <w:lang w:val="de-DE"/>
      </w:rPr>
      <w:fldChar w:fldCharType="begin"/>
    </w:r>
    <w:r w:rsidR="004F2167" w:rsidRPr="00492AA3">
      <w:rPr>
        <w:rStyle w:val="PageNumber"/>
        <w:lang w:val="pt-PT"/>
      </w:rPr>
      <w:instrText xml:space="preserve"> PAGE </w:instrText>
    </w:r>
    <w:r w:rsidR="004F2167" w:rsidRPr="00202E38">
      <w:rPr>
        <w:rStyle w:val="PageNumber"/>
        <w:lang w:val="de-DE"/>
      </w:rPr>
      <w:fldChar w:fldCharType="separate"/>
    </w:r>
    <w:r w:rsidR="00024BFE">
      <w:rPr>
        <w:rStyle w:val="PageNumber"/>
        <w:noProof/>
        <w:lang w:val="pt-PT"/>
      </w:rPr>
      <w:t>2</w:t>
    </w:r>
    <w:r w:rsidR="004F2167" w:rsidRPr="00202E38">
      <w:rPr>
        <w:rStyle w:val="PageNumber"/>
        <w:lang w:val="de-DE"/>
      </w:rPr>
      <w:fldChar w:fldCharType="end"/>
    </w:r>
  </w:p>
  <w:p w14:paraId="65FA1398" w14:textId="77777777" w:rsidR="004F2167" w:rsidRPr="00492AA3" w:rsidRDefault="004F2167" w:rsidP="006655D3">
    <w:pPr>
      <w:rPr>
        <w:lang w:val="pt-PT"/>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78CD6" w14:textId="284D4A13" w:rsidR="004F2167" w:rsidRPr="00D90086" w:rsidRDefault="004F2167" w:rsidP="00955AD5">
    <w:pPr>
      <w:jc w:val="center"/>
    </w:pPr>
    <w:r w:rsidRPr="00D90086">
      <w:t>CAJ/77/3</w:t>
    </w:r>
    <w:r>
      <w:t xml:space="preserve"> </w:t>
    </w:r>
    <w:r w:rsidRPr="00DC2518">
      <w:rPr>
        <w:rStyle w:val="PageNumber"/>
        <w:highlight w:val="yellow"/>
        <w:u w:val="single"/>
      </w:rPr>
      <w:t>Rev.</w:t>
    </w:r>
  </w:p>
  <w:p w14:paraId="59C2BF43" w14:textId="77777777" w:rsidR="004F2167" w:rsidRPr="00D90086" w:rsidRDefault="004F2167" w:rsidP="00955AD5">
    <w:pPr>
      <w:jc w:val="center"/>
    </w:pPr>
  </w:p>
  <w:p w14:paraId="1F305F29" w14:textId="77777777" w:rsidR="004F2167" w:rsidRPr="00D90086" w:rsidRDefault="004F2167" w:rsidP="00955AD5">
    <w:pPr>
      <w:jc w:val="center"/>
    </w:pPr>
    <w:r>
      <w:t>ANEXO</w:t>
    </w:r>
    <w:r w:rsidRPr="00B83FB2">
      <w:t xml:space="preserve"> VI</w:t>
    </w:r>
    <w:r>
      <w:t>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EC812" w14:textId="225AC998" w:rsidR="004F2167" w:rsidRPr="0024487F" w:rsidRDefault="004F2167" w:rsidP="00235894">
    <w:pPr>
      <w:pStyle w:val="Header"/>
      <w:rPr>
        <w:rStyle w:val="PageNumber"/>
        <w:lang w:val="pt-PT"/>
      </w:rPr>
    </w:pPr>
    <w:r w:rsidRPr="0024487F">
      <w:rPr>
        <w:rStyle w:val="PageNumber"/>
        <w:lang w:val="pt-PT"/>
      </w:rPr>
      <w:t>CAJ/77/3</w:t>
    </w:r>
    <w:r>
      <w:rPr>
        <w:rStyle w:val="PageNumber"/>
        <w:lang w:val="pt-PT"/>
      </w:rPr>
      <w:t xml:space="preserve"> </w:t>
    </w:r>
    <w:r w:rsidRPr="004F2167">
      <w:rPr>
        <w:rStyle w:val="PageNumber"/>
        <w:highlight w:val="yellow"/>
        <w:u w:val="single"/>
        <w:lang w:val="pt-PT"/>
      </w:rPr>
      <w:t>Rev.</w:t>
    </w:r>
  </w:p>
  <w:p w14:paraId="3A1DFE48" w14:textId="41564F97" w:rsidR="004F2167" w:rsidRPr="0024487F" w:rsidRDefault="004F2167" w:rsidP="00235894">
    <w:pPr>
      <w:jc w:val="center"/>
      <w:rPr>
        <w:lang w:val="pt-PT"/>
      </w:rPr>
    </w:pPr>
    <w:r w:rsidRPr="0024487F">
      <w:rPr>
        <w:lang w:val="pt-PT"/>
      </w:rPr>
      <w:t xml:space="preserve">Annex I, Apéndice I, página </w:t>
    </w:r>
    <w:r w:rsidRPr="00235894">
      <w:rPr>
        <w:rStyle w:val="PageNumber"/>
        <w:lang w:val="es-ES_tradnl"/>
      </w:rPr>
      <w:fldChar w:fldCharType="begin"/>
    </w:r>
    <w:r w:rsidRPr="0024487F">
      <w:rPr>
        <w:rStyle w:val="PageNumber"/>
        <w:lang w:val="pt-PT"/>
      </w:rPr>
      <w:instrText xml:space="preserve"> PAGE </w:instrText>
    </w:r>
    <w:r w:rsidRPr="00235894">
      <w:rPr>
        <w:rStyle w:val="PageNumber"/>
        <w:lang w:val="es-ES_tradnl"/>
      </w:rPr>
      <w:fldChar w:fldCharType="separate"/>
    </w:r>
    <w:r w:rsidR="00024BFE">
      <w:rPr>
        <w:rStyle w:val="PageNumber"/>
        <w:noProof/>
        <w:lang w:val="pt-PT"/>
      </w:rPr>
      <w:t>2</w:t>
    </w:r>
    <w:r w:rsidRPr="00235894">
      <w:rPr>
        <w:rStyle w:val="PageNumber"/>
        <w:lang w:val="es-ES_tradnl"/>
      </w:rPr>
      <w:fldChar w:fldCharType="end"/>
    </w:r>
  </w:p>
  <w:p w14:paraId="2BB0DC49" w14:textId="77777777" w:rsidR="004F2167" w:rsidRPr="0024487F" w:rsidRDefault="004F2167" w:rsidP="00235894">
    <w:pPr>
      <w:jc w:val="center"/>
      <w:rPr>
        <w:lang w:val="pt-PT"/>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8D718" w14:textId="02BF143F" w:rsidR="004F2167" w:rsidRPr="004F2167" w:rsidRDefault="004F2167" w:rsidP="00955AD5">
    <w:pPr>
      <w:pStyle w:val="Header"/>
      <w:rPr>
        <w:lang w:val="pt-PT"/>
      </w:rPr>
    </w:pPr>
    <w:r w:rsidRPr="004F2167">
      <w:rPr>
        <w:lang w:val="pt-PT"/>
      </w:rPr>
      <w:t xml:space="preserve">CAJ/77/3 </w:t>
    </w:r>
    <w:r w:rsidRPr="004F2167">
      <w:rPr>
        <w:rStyle w:val="PageNumber"/>
        <w:highlight w:val="yellow"/>
        <w:u w:val="single"/>
        <w:lang w:val="pt-PT"/>
      </w:rPr>
      <w:t>Rev.</w:t>
    </w:r>
  </w:p>
  <w:p w14:paraId="5D10B079" w14:textId="77777777" w:rsidR="004F2167" w:rsidRPr="004F2167" w:rsidRDefault="004F2167" w:rsidP="00955AD5">
    <w:pPr>
      <w:pStyle w:val="Header"/>
      <w:rPr>
        <w:lang w:val="pt-PT"/>
      </w:rPr>
    </w:pPr>
  </w:p>
  <w:p w14:paraId="644EFC6E" w14:textId="77777777" w:rsidR="004F2167" w:rsidRPr="004F2167" w:rsidRDefault="004F2167" w:rsidP="00955AD5">
    <w:pPr>
      <w:jc w:val="center"/>
      <w:rPr>
        <w:lang w:val="pt-PT"/>
      </w:rPr>
    </w:pPr>
    <w:r w:rsidRPr="004F2167">
      <w:rPr>
        <w:lang w:val="pt-PT"/>
      </w:rPr>
      <w:t>ANEXO I, APÉNDICE I</w:t>
    </w:r>
  </w:p>
  <w:p w14:paraId="4536E612" w14:textId="77777777" w:rsidR="004F2167" w:rsidRPr="004F2167" w:rsidRDefault="004F2167" w:rsidP="00955AD5">
    <w:pPr>
      <w:pStyle w:val="Header"/>
      <w:rPr>
        <w:lang w:val="pt-PT"/>
      </w:rPr>
    </w:pPr>
  </w:p>
  <w:p w14:paraId="66251FC5" w14:textId="77777777" w:rsidR="004F2167" w:rsidRPr="004F2167" w:rsidRDefault="004F2167" w:rsidP="00955AD5">
    <w:pPr>
      <w:pStyle w:val="Header"/>
      <w:rPr>
        <w:lang w:val="pt-PT"/>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CA82A" w14:textId="21B2D0F4" w:rsidR="004F2167" w:rsidRPr="00DC2518" w:rsidRDefault="004F2167" w:rsidP="00955AD5">
    <w:pPr>
      <w:pStyle w:val="Header"/>
      <w:rPr>
        <w:lang w:val="pt-PT"/>
      </w:rPr>
    </w:pPr>
    <w:r w:rsidRPr="00DC2518">
      <w:rPr>
        <w:lang w:val="pt-PT"/>
      </w:rPr>
      <w:t xml:space="preserve">CAJ/77/3 </w:t>
    </w:r>
    <w:r w:rsidRPr="00DC2518">
      <w:rPr>
        <w:rStyle w:val="PageNumber"/>
        <w:highlight w:val="yellow"/>
        <w:u w:val="single"/>
        <w:lang w:val="pt-PT"/>
      </w:rPr>
      <w:t>Rev.</w:t>
    </w:r>
  </w:p>
  <w:p w14:paraId="08EC1619" w14:textId="77777777" w:rsidR="004F2167" w:rsidRPr="00DC2518" w:rsidRDefault="004F2167" w:rsidP="00955AD5">
    <w:pPr>
      <w:pStyle w:val="Header"/>
      <w:rPr>
        <w:lang w:val="pt-PT"/>
      </w:rPr>
    </w:pPr>
  </w:p>
  <w:p w14:paraId="64187174" w14:textId="77777777" w:rsidR="004F2167" w:rsidRPr="00DC2518" w:rsidRDefault="004F2167" w:rsidP="00955AD5">
    <w:pPr>
      <w:jc w:val="center"/>
      <w:rPr>
        <w:lang w:val="pt-PT"/>
      </w:rPr>
    </w:pPr>
    <w:r w:rsidRPr="00DC2518">
      <w:rPr>
        <w:lang w:val="pt-PT"/>
      </w:rPr>
      <w:t>ANEXO I, APÉNDICE II</w:t>
    </w:r>
  </w:p>
  <w:p w14:paraId="18C56E12" w14:textId="77777777" w:rsidR="004F2167" w:rsidRPr="00DC2518" w:rsidRDefault="004F2167" w:rsidP="00955AD5">
    <w:pPr>
      <w:pStyle w:val="Header"/>
      <w:rPr>
        <w:lang w:val="pt-PT"/>
      </w:rPr>
    </w:pPr>
  </w:p>
  <w:p w14:paraId="691C76D6" w14:textId="77777777" w:rsidR="004F2167" w:rsidRPr="00DC2518" w:rsidRDefault="004F2167" w:rsidP="00955AD5">
    <w:pPr>
      <w:pStyle w:val="Header"/>
      <w:rPr>
        <w:lang w:val="pt-PT"/>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BD4DF" w14:textId="3CA72A3A" w:rsidR="004F2167" w:rsidRPr="0024487F" w:rsidRDefault="004F2167" w:rsidP="00955AD5">
    <w:pPr>
      <w:pStyle w:val="Header"/>
      <w:rPr>
        <w:rStyle w:val="PageNumber"/>
        <w:lang w:val="pt-PT"/>
      </w:rPr>
    </w:pPr>
    <w:r w:rsidRPr="0024487F">
      <w:rPr>
        <w:rStyle w:val="PageNumber"/>
        <w:lang w:val="pt-PT"/>
      </w:rPr>
      <w:t>CAJ/77/3</w:t>
    </w:r>
    <w:r>
      <w:rPr>
        <w:rStyle w:val="PageNumber"/>
        <w:lang w:val="pt-PT"/>
      </w:rPr>
      <w:t xml:space="preserve"> </w:t>
    </w:r>
    <w:r w:rsidRPr="004F2167">
      <w:rPr>
        <w:rStyle w:val="PageNumber"/>
        <w:highlight w:val="yellow"/>
        <w:u w:val="single"/>
        <w:lang w:val="pt-PT"/>
      </w:rPr>
      <w:t>Rev.</w:t>
    </w:r>
  </w:p>
  <w:p w14:paraId="2FA25045" w14:textId="6DE01314" w:rsidR="004F2167" w:rsidRPr="0024487F" w:rsidRDefault="004F2167" w:rsidP="00955AD5">
    <w:pPr>
      <w:jc w:val="center"/>
      <w:rPr>
        <w:lang w:val="pt-PT"/>
      </w:rPr>
    </w:pPr>
    <w:r w:rsidRPr="0024487F">
      <w:rPr>
        <w:lang w:val="pt-PT"/>
      </w:rPr>
      <w:t xml:space="preserve">Anexo I, Apéndice III, página </w:t>
    </w:r>
    <w:r w:rsidRPr="00C5280D">
      <w:rPr>
        <w:rStyle w:val="PageNumber"/>
      </w:rPr>
      <w:fldChar w:fldCharType="begin"/>
    </w:r>
    <w:r w:rsidRPr="0024487F">
      <w:rPr>
        <w:rStyle w:val="PageNumber"/>
        <w:lang w:val="pt-PT"/>
      </w:rPr>
      <w:instrText xml:space="preserve"> PAGE </w:instrText>
    </w:r>
    <w:r w:rsidRPr="00C5280D">
      <w:rPr>
        <w:rStyle w:val="PageNumber"/>
      </w:rPr>
      <w:fldChar w:fldCharType="separate"/>
    </w:r>
    <w:r w:rsidR="00024BFE">
      <w:rPr>
        <w:rStyle w:val="PageNumber"/>
        <w:noProof/>
        <w:lang w:val="pt-PT"/>
      </w:rPr>
      <w:t>2</w:t>
    </w:r>
    <w:r w:rsidRPr="00C5280D">
      <w:rPr>
        <w:rStyle w:val="PageNumber"/>
      </w:rPr>
      <w:fldChar w:fldCharType="end"/>
    </w:r>
  </w:p>
  <w:p w14:paraId="00EE3811" w14:textId="77777777" w:rsidR="004F2167" w:rsidRPr="0024487F" w:rsidRDefault="004F2167" w:rsidP="006655D3">
    <w:pPr>
      <w:rPr>
        <w:lang w:val="pt-PT"/>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3FBF0" w14:textId="49395790" w:rsidR="004F2167" w:rsidRPr="00DC2518" w:rsidRDefault="004F2167" w:rsidP="00955AD5">
    <w:pPr>
      <w:pStyle w:val="Header"/>
      <w:rPr>
        <w:lang w:val="pt-PT"/>
      </w:rPr>
    </w:pPr>
    <w:r w:rsidRPr="00DC2518">
      <w:rPr>
        <w:lang w:val="pt-PT"/>
      </w:rPr>
      <w:t xml:space="preserve">CAJ/77/3 </w:t>
    </w:r>
    <w:r w:rsidRPr="00DC2518">
      <w:rPr>
        <w:rStyle w:val="PageNumber"/>
        <w:highlight w:val="yellow"/>
        <w:u w:val="single"/>
        <w:lang w:val="pt-PT"/>
      </w:rPr>
      <w:t>Rev.</w:t>
    </w:r>
  </w:p>
  <w:p w14:paraId="5794D3AB" w14:textId="77777777" w:rsidR="004F2167" w:rsidRPr="00DC2518" w:rsidRDefault="004F2167" w:rsidP="00955AD5">
    <w:pPr>
      <w:pStyle w:val="Header"/>
      <w:rPr>
        <w:lang w:val="pt-PT"/>
      </w:rPr>
    </w:pPr>
  </w:p>
  <w:p w14:paraId="03892AC8" w14:textId="77777777" w:rsidR="004F2167" w:rsidRPr="00DC2518" w:rsidRDefault="004F2167" w:rsidP="00955AD5">
    <w:pPr>
      <w:jc w:val="center"/>
      <w:rPr>
        <w:lang w:val="pt-PT"/>
      </w:rPr>
    </w:pPr>
    <w:r w:rsidRPr="00DC2518">
      <w:rPr>
        <w:lang w:val="pt-PT"/>
      </w:rPr>
      <w:t>ANEXO I, APÉNDICE III</w:t>
    </w:r>
  </w:p>
  <w:p w14:paraId="403ADE19" w14:textId="77777777" w:rsidR="004F2167" w:rsidRPr="00DC2518" w:rsidRDefault="004F2167" w:rsidP="00955AD5">
    <w:pPr>
      <w:pStyle w:val="Header"/>
      <w:rPr>
        <w:lang w:val="pt-PT"/>
      </w:rPr>
    </w:pPr>
  </w:p>
  <w:p w14:paraId="2D673BB3" w14:textId="77777777" w:rsidR="004F2167" w:rsidRPr="00DC2518" w:rsidRDefault="004F2167" w:rsidP="00955AD5">
    <w:pPr>
      <w:pStyle w:val="Header"/>
      <w:rPr>
        <w:lang w:val="pt-PT"/>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966DF" w14:textId="479B0F1F" w:rsidR="004F2167" w:rsidRPr="004F2167" w:rsidRDefault="004F2167" w:rsidP="00955AD5">
    <w:pPr>
      <w:pStyle w:val="Header"/>
      <w:rPr>
        <w:lang w:val="pt-PT"/>
      </w:rPr>
    </w:pPr>
    <w:r w:rsidRPr="004F2167">
      <w:rPr>
        <w:lang w:val="pt-PT"/>
      </w:rPr>
      <w:t xml:space="preserve">CAJ/77/3 </w:t>
    </w:r>
    <w:r w:rsidRPr="004F2167">
      <w:rPr>
        <w:rStyle w:val="PageNumber"/>
        <w:highlight w:val="yellow"/>
        <w:u w:val="single"/>
        <w:lang w:val="pt-PT"/>
      </w:rPr>
      <w:t>Rev.</w:t>
    </w:r>
  </w:p>
  <w:p w14:paraId="410C5DA4" w14:textId="77777777" w:rsidR="004F2167" w:rsidRPr="004F2167" w:rsidRDefault="004F2167" w:rsidP="00955AD5">
    <w:pPr>
      <w:pStyle w:val="Header"/>
      <w:rPr>
        <w:lang w:val="pt-PT"/>
      </w:rPr>
    </w:pPr>
  </w:p>
  <w:p w14:paraId="1271343F" w14:textId="77777777" w:rsidR="004F2167" w:rsidRPr="004F2167" w:rsidRDefault="004F2167" w:rsidP="00955AD5">
    <w:pPr>
      <w:jc w:val="center"/>
      <w:rPr>
        <w:lang w:val="pt-PT"/>
      </w:rPr>
    </w:pPr>
    <w:r w:rsidRPr="004F2167">
      <w:rPr>
        <w:lang w:val="pt-PT"/>
      </w:rPr>
      <w:t>ANEXO I, APÉNDICE IV</w:t>
    </w:r>
  </w:p>
  <w:p w14:paraId="1BEE1C4C" w14:textId="77777777" w:rsidR="004F2167" w:rsidRPr="004F2167" w:rsidRDefault="004F2167" w:rsidP="00955AD5">
    <w:pPr>
      <w:pStyle w:val="Header"/>
      <w:rPr>
        <w:lang w:val="pt-PT"/>
      </w:rPr>
    </w:pPr>
  </w:p>
  <w:p w14:paraId="18C0470F" w14:textId="77777777" w:rsidR="004F2167" w:rsidRPr="004F2167" w:rsidRDefault="004F2167" w:rsidP="00955AD5">
    <w:pPr>
      <w:pStyle w:val="Header"/>
      <w:rPr>
        <w:lang w:val="pt-PT"/>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E635B" w14:textId="0B237A6F" w:rsidR="004F2167" w:rsidRPr="004F2167" w:rsidRDefault="004F2167" w:rsidP="00955AD5">
    <w:pPr>
      <w:pStyle w:val="Header"/>
      <w:rPr>
        <w:lang w:val="pt-PT"/>
      </w:rPr>
    </w:pPr>
    <w:r w:rsidRPr="004F2167">
      <w:rPr>
        <w:lang w:val="pt-PT"/>
      </w:rPr>
      <w:t xml:space="preserve">CAJ/77/3 </w:t>
    </w:r>
    <w:r w:rsidRPr="004F2167">
      <w:rPr>
        <w:rStyle w:val="PageNumber"/>
        <w:highlight w:val="yellow"/>
        <w:u w:val="single"/>
        <w:lang w:val="pt-PT"/>
      </w:rPr>
      <w:t>Rev.</w:t>
    </w:r>
  </w:p>
  <w:p w14:paraId="084655C8" w14:textId="77777777" w:rsidR="004F2167" w:rsidRPr="004F2167" w:rsidRDefault="004F2167" w:rsidP="00955AD5">
    <w:pPr>
      <w:pStyle w:val="Header"/>
      <w:rPr>
        <w:lang w:val="pt-PT"/>
      </w:rPr>
    </w:pPr>
  </w:p>
  <w:p w14:paraId="0D558438" w14:textId="77777777" w:rsidR="004F2167" w:rsidRPr="004F2167" w:rsidRDefault="004F2167" w:rsidP="00955AD5">
    <w:pPr>
      <w:jc w:val="center"/>
      <w:rPr>
        <w:lang w:val="pt-PT"/>
      </w:rPr>
    </w:pPr>
    <w:r w:rsidRPr="004F2167">
      <w:rPr>
        <w:lang w:val="pt-PT"/>
      </w:rPr>
      <w:t>ANEXO I, APÉNDICE V</w:t>
    </w:r>
  </w:p>
  <w:p w14:paraId="24BE126A" w14:textId="77777777" w:rsidR="004F2167" w:rsidRPr="004F2167" w:rsidRDefault="004F2167" w:rsidP="00955AD5">
    <w:pPr>
      <w:pStyle w:val="Header"/>
      <w:rPr>
        <w:lang w:val="pt-PT"/>
      </w:rPr>
    </w:pPr>
  </w:p>
  <w:p w14:paraId="2AD53D95" w14:textId="77777777" w:rsidR="004F2167" w:rsidRPr="004F2167" w:rsidRDefault="004F2167" w:rsidP="00955AD5">
    <w:pPr>
      <w:pStyle w:val="Header"/>
      <w:rPr>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DC738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DE8CB6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ABE94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13CD23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0789CE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9C4CE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DA04A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B65B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9496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0AC444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C57F96"/>
    <w:multiLevelType w:val="hybridMultilevel"/>
    <w:tmpl w:val="22FED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BD4831"/>
    <w:multiLevelType w:val="multilevel"/>
    <w:tmpl w:val="8A64C5F4"/>
    <w:lvl w:ilvl="0">
      <w:start w:val="32"/>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3"/>
      <w:numFmt w:val="decimal"/>
      <w:pStyle w:val="Cle"/>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4145918"/>
    <w:multiLevelType w:val="hybridMultilevel"/>
    <w:tmpl w:val="7E02972A"/>
    <w:lvl w:ilvl="0" w:tplc="9196C7D2">
      <w:start w:val="1"/>
      <w:numFmt w:val="lowerLetter"/>
      <w:lvlText w:val="(%1)"/>
      <w:lvlJc w:val="left"/>
      <w:pPr>
        <w:ind w:left="1143" w:hanging="5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8190140"/>
    <w:multiLevelType w:val="hybridMultilevel"/>
    <w:tmpl w:val="26C60846"/>
    <w:lvl w:ilvl="0" w:tplc="71F06C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320C13"/>
    <w:multiLevelType w:val="hybridMultilevel"/>
    <w:tmpl w:val="709CB438"/>
    <w:lvl w:ilvl="0" w:tplc="81F4D748">
      <w:start w:val="1"/>
      <w:numFmt w:val="lowerLetter"/>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5" w15:restartNumberingAfterBreak="0">
    <w:nsid w:val="2A220A17"/>
    <w:multiLevelType w:val="multilevel"/>
    <w:tmpl w:val="486E1022"/>
    <w:lvl w:ilvl="0">
      <w:start w:val="2"/>
      <w:numFmt w:val="decimal"/>
      <w:lvlText w:val="%1"/>
      <w:lvlJc w:val="left"/>
      <w:pPr>
        <w:ind w:left="437" w:hanging="338"/>
      </w:pPr>
      <w:rPr>
        <w:rFonts w:hint="default"/>
      </w:rPr>
    </w:lvl>
    <w:lvl w:ilvl="1">
      <w:start w:val="3"/>
      <w:numFmt w:val="decimal"/>
      <w:lvlText w:val="%1.%2"/>
      <w:lvlJc w:val="left"/>
      <w:pPr>
        <w:ind w:left="437" w:hanging="338"/>
      </w:pPr>
      <w:rPr>
        <w:rFonts w:ascii="Times New Roman" w:eastAsia="Times New Roman" w:hAnsi="Times New Roman" w:cs="Times New Roman" w:hint="default"/>
        <w:w w:val="102"/>
        <w:sz w:val="22"/>
        <w:szCs w:val="22"/>
      </w:rPr>
    </w:lvl>
    <w:lvl w:ilvl="2">
      <w:start w:val="1"/>
      <w:numFmt w:val="lowerLetter"/>
      <w:lvlText w:val="%3)"/>
      <w:lvlJc w:val="left"/>
      <w:pPr>
        <w:ind w:left="384" w:hanging="244"/>
      </w:pPr>
      <w:rPr>
        <w:rFonts w:ascii="Times New Roman" w:eastAsia="Times New Roman" w:hAnsi="Times New Roman" w:cs="Times New Roman" w:hint="default"/>
        <w:i/>
        <w:w w:val="102"/>
        <w:sz w:val="22"/>
        <w:szCs w:val="22"/>
      </w:rPr>
    </w:lvl>
    <w:lvl w:ilvl="3">
      <w:numFmt w:val="bullet"/>
      <w:lvlText w:val="•"/>
      <w:lvlJc w:val="left"/>
      <w:pPr>
        <w:ind w:left="1680" w:hanging="244"/>
      </w:pPr>
      <w:rPr>
        <w:rFonts w:hint="default"/>
      </w:rPr>
    </w:lvl>
    <w:lvl w:ilvl="4">
      <w:numFmt w:val="bullet"/>
      <w:lvlText w:val="•"/>
      <w:lvlJc w:val="left"/>
      <w:pPr>
        <w:ind w:left="2983" w:hanging="244"/>
      </w:pPr>
      <w:rPr>
        <w:rFonts w:hint="default"/>
      </w:rPr>
    </w:lvl>
    <w:lvl w:ilvl="5">
      <w:numFmt w:val="bullet"/>
      <w:lvlText w:val="•"/>
      <w:lvlJc w:val="left"/>
      <w:pPr>
        <w:ind w:left="4286" w:hanging="244"/>
      </w:pPr>
      <w:rPr>
        <w:rFonts w:hint="default"/>
      </w:rPr>
    </w:lvl>
    <w:lvl w:ilvl="6">
      <w:numFmt w:val="bullet"/>
      <w:lvlText w:val="•"/>
      <w:lvlJc w:val="left"/>
      <w:pPr>
        <w:ind w:left="5589" w:hanging="244"/>
      </w:pPr>
      <w:rPr>
        <w:rFonts w:hint="default"/>
      </w:rPr>
    </w:lvl>
    <w:lvl w:ilvl="7">
      <w:numFmt w:val="bullet"/>
      <w:lvlText w:val="•"/>
      <w:lvlJc w:val="left"/>
      <w:pPr>
        <w:ind w:left="6892" w:hanging="244"/>
      </w:pPr>
      <w:rPr>
        <w:rFonts w:hint="default"/>
      </w:rPr>
    </w:lvl>
    <w:lvl w:ilvl="8">
      <w:numFmt w:val="bullet"/>
      <w:lvlText w:val="•"/>
      <w:lvlJc w:val="left"/>
      <w:pPr>
        <w:ind w:left="8195" w:hanging="244"/>
      </w:pPr>
      <w:rPr>
        <w:rFonts w:hint="default"/>
      </w:rPr>
    </w:lvl>
  </w:abstractNum>
  <w:abstractNum w:abstractNumId="16" w15:restartNumberingAfterBreak="0">
    <w:nsid w:val="2ABD4742"/>
    <w:multiLevelType w:val="hybridMultilevel"/>
    <w:tmpl w:val="D996E45E"/>
    <w:lvl w:ilvl="0" w:tplc="BA388BFC">
      <w:start w:val="1"/>
      <w:numFmt w:val="lowerLetter"/>
      <w:lvlText w:val="(%1)"/>
      <w:lvlJc w:val="left"/>
      <w:pPr>
        <w:ind w:left="5240" w:hanging="360"/>
      </w:pPr>
      <w:rPr>
        <w:rFonts w:hint="default"/>
      </w:rPr>
    </w:lvl>
    <w:lvl w:ilvl="1" w:tplc="04090019" w:tentative="1">
      <w:start w:val="1"/>
      <w:numFmt w:val="lowerLetter"/>
      <w:lvlText w:val="%2."/>
      <w:lvlJc w:val="left"/>
      <w:pPr>
        <w:ind w:left="5960" w:hanging="360"/>
      </w:pPr>
    </w:lvl>
    <w:lvl w:ilvl="2" w:tplc="0409001B" w:tentative="1">
      <w:start w:val="1"/>
      <w:numFmt w:val="lowerRoman"/>
      <w:lvlText w:val="%3."/>
      <w:lvlJc w:val="right"/>
      <w:pPr>
        <w:ind w:left="6680" w:hanging="180"/>
      </w:pPr>
    </w:lvl>
    <w:lvl w:ilvl="3" w:tplc="0409000F" w:tentative="1">
      <w:start w:val="1"/>
      <w:numFmt w:val="decimal"/>
      <w:lvlText w:val="%4."/>
      <w:lvlJc w:val="left"/>
      <w:pPr>
        <w:ind w:left="7400" w:hanging="360"/>
      </w:pPr>
    </w:lvl>
    <w:lvl w:ilvl="4" w:tplc="04090019" w:tentative="1">
      <w:start w:val="1"/>
      <w:numFmt w:val="lowerLetter"/>
      <w:lvlText w:val="%5."/>
      <w:lvlJc w:val="left"/>
      <w:pPr>
        <w:ind w:left="8120" w:hanging="360"/>
      </w:pPr>
    </w:lvl>
    <w:lvl w:ilvl="5" w:tplc="0409001B" w:tentative="1">
      <w:start w:val="1"/>
      <w:numFmt w:val="lowerRoman"/>
      <w:lvlText w:val="%6."/>
      <w:lvlJc w:val="right"/>
      <w:pPr>
        <w:ind w:left="8840" w:hanging="180"/>
      </w:pPr>
    </w:lvl>
    <w:lvl w:ilvl="6" w:tplc="0409000F" w:tentative="1">
      <w:start w:val="1"/>
      <w:numFmt w:val="decimal"/>
      <w:lvlText w:val="%7."/>
      <w:lvlJc w:val="left"/>
      <w:pPr>
        <w:ind w:left="9560" w:hanging="360"/>
      </w:pPr>
    </w:lvl>
    <w:lvl w:ilvl="7" w:tplc="04090019" w:tentative="1">
      <w:start w:val="1"/>
      <w:numFmt w:val="lowerLetter"/>
      <w:lvlText w:val="%8."/>
      <w:lvlJc w:val="left"/>
      <w:pPr>
        <w:ind w:left="10280" w:hanging="360"/>
      </w:pPr>
    </w:lvl>
    <w:lvl w:ilvl="8" w:tplc="0409001B" w:tentative="1">
      <w:start w:val="1"/>
      <w:numFmt w:val="lowerRoman"/>
      <w:lvlText w:val="%9."/>
      <w:lvlJc w:val="right"/>
      <w:pPr>
        <w:ind w:left="11000" w:hanging="180"/>
      </w:pPr>
    </w:lvl>
  </w:abstractNum>
  <w:abstractNum w:abstractNumId="17" w15:restartNumberingAfterBreak="0">
    <w:nsid w:val="305565B3"/>
    <w:multiLevelType w:val="hybridMultilevel"/>
    <w:tmpl w:val="C422EEE4"/>
    <w:lvl w:ilvl="0" w:tplc="BD8C202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1D3063"/>
    <w:multiLevelType w:val="hybridMultilevel"/>
    <w:tmpl w:val="EDDCC770"/>
    <w:lvl w:ilvl="0" w:tplc="B472080E">
      <w:start w:val="1"/>
      <w:numFmt w:val="lowerRoman"/>
      <w:lvlText w:val="%1)"/>
      <w:lvlJc w:val="left"/>
      <w:pPr>
        <w:ind w:left="293" w:hanging="194"/>
      </w:pPr>
      <w:rPr>
        <w:rFonts w:ascii="Times New Roman" w:eastAsia="Times New Roman" w:hAnsi="Times New Roman" w:cs="Times New Roman" w:hint="default"/>
        <w:w w:val="102"/>
        <w:sz w:val="22"/>
        <w:szCs w:val="22"/>
      </w:rPr>
    </w:lvl>
    <w:lvl w:ilvl="1" w:tplc="50BCBBE6">
      <w:numFmt w:val="bullet"/>
      <w:lvlText w:val="•"/>
      <w:lvlJc w:val="left"/>
      <w:pPr>
        <w:ind w:left="1350" w:hanging="194"/>
      </w:pPr>
      <w:rPr>
        <w:rFonts w:hint="default"/>
      </w:rPr>
    </w:lvl>
    <w:lvl w:ilvl="2" w:tplc="1F6E38BA">
      <w:numFmt w:val="bullet"/>
      <w:lvlText w:val="•"/>
      <w:lvlJc w:val="left"/>
      <w:pPr>
        <w:ind w:left="2400" w:hanging="194"/>
      </w:pPr>
      <w:rPr>
        <w:rFonts w:hint="default"/>
      </w:rPr>
    </w:lvl>
    <w:lvl w:ilvl="3" w:tplc="C648333A">
      <w:numFmt w:val="bullet"/>
      <w:lvlText w:val="•"/>
      <w:lvlJc w:val="left"/>
      <w:pPr>
        <w:ind w:left="3450" w:hanging="194"/>
      </w:pPr>
      <w:rPr>
        <w:rFonts w:hint="default"/>
      </w:rPr>
    </w:lvl>
    <w:lvl w:ilvl="4" w:tplc="C07035BC">
      <w:numFmt w:val="bullet"/>
      <w:lvlText w:val="•"/>
      <w:lvlJc w:val="left"/>
      <w:pPr>
        <w:ind w:left="4500" w:hanging="194"/>
      </w:pPr>
      <w:rPr>
        <w:rFonts w:hint="default"/>
      </w:rPr>
    </w:lvl>
    <w:lvl w:ilvl="5" w:tplc="FFF06050">
      <w:numFmt w:val="bullet"/>
      <w:lvlText w:val="•"/>
      <w:lvlJc w:val="left"/>
      <w:pPr>
        <w:ind w:left="5550" w:hanging="194"/>
      </w:pPr>
      <w:rPr>
        <w:rFonts w:hint="default"/>
      </w:rPr>
    </w:lvl>
    <w:lvl w:ilvl="6" w:tplc="4982863C">
      <w:numFmt w:val="bullet"/>
      <w:lvlText w:val="•"/>
      <w:lvlJc w:val="left"/>
      <w:pPr>
        <w:ind w:left="6600" w:hanging="194"/>
      </w:pPr>
      <w:rPr>
        <w:rFonts w:hint="default"/>
      </w:rPr>
    </w:lvl>
    <w:lvl w:ilvl="7" w:tplc="450095FE">
      <w:numFmt w:val="bullet"/>
      <w:lvlText w:val="•"/>
      <w:lvlJc w:val="left"/>
      <w:pPr>
        <w:ind w:left="7650" w:hanging="194"/>
      </w:pPr>
      <w:rPr>
        <w:rFonts w:hint="default"/>
      </w:rPr>
    </w:lvl>
    <w:lvl w:ilvl="8" w:tplc="A7A0237A">
      <w:numFmt w:val="bullet"/>
      <w:lvlText w:val="•"/>
      <w:lvlJc w:val="left"/>
      <w:pPr>
        <w:ind w:left="8700" w:hanging="194"/>
      </w:pPr>
      <w:rPr>
        <w:rFonts w:hint="default"/>
      </w:rPr>
    </w:lvl>
  </w:abstractNum>
  <w:abstractNum w:abstractNumId="19" w15:restartNumberingAfterBreak="0">
    <w:nsid w:val="48412E6F"/>
    <w:multiLevelType w:val="hybridMultilevel"/>
    <w:tmpl w:val="0C765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07E3EF1"/>
    <w:multiLevelType w:val="hybridMultilevel"/>
    <w:tmpl w:val="C1987D90"/>
    <w:lvl w:ilvl="0" w:tplc="88083B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642A7E"/>
    <w:multiLevelType w:val="hybridMultilevel"/>
    <w:tmpl w:val="7E02972A"/>
    <w:lvl w:ilvl="0" w:tplc="9196C7D2">
      <w:start w:val="1"/>
      <w:numFmt w:val="lowerLetter"/>
      <w:lvlText w:val="(%1)"/>
      <w:lvlJc w:val="left"/>
      <w:pPr>
        <w:ind w:left="1143" w:hanging="5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6FF2DA3"/>
    <w:multiLevelType w:val="multilevel"/>
    <w:tmpl w:val="FE083A82"/>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8BF5E68"/>
    <w:multiLevelType w:val="hybridMultilevel"/>
    <w:tmpl w:val="5F2C83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520FFD"/>
    <w:multiLevelType w:val="singleLevel"/>
    <w:tmpl w:val="13E6CF88"/>
    <w:lvl w:ilvl="0">
      <w:start w:val="1"/>
      <w:numFmt w:val="bullet"/>
      <w:pStyle w:val="BodyTextIndent2"/>
      <w:lvlText w:val=""/>
      <w:lvlJc w:val="left"/>
      <w:pPr>
        <w:tabs>
          <w:tab w:val="num" w:pos="360"/>
        </w:tabs>
        <w:ind w:left="360" w:hanging="360"/>
      </w:pPr>
      <w:rPr>
        <w:rFonts w:ascii="Symbol" w:hAnsi="Symbol" w:hint="default"/>
      </w:rPr>
    </w:lvl>
  </w:abstractNum>
  <w:abstractNum w:abstractNumId="25" w15:restartNumberingAfterBreak="0">
    <w:nsid w:val="68765642"/>
    <w:multiLevelType w:val="hybridMultilevel"/>
    <w:tmpl w:val="F822BBE0"/>
    <w:lvl w:ilvl="0" w:tplc="71F06C6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15:restartNumberingAfterBreak="0">
    <w:nsid w:val="69CA291C"/>
    <w:multiLevelType w:val="hybridMultilevel"/>
    <w:tmpl w:val="AACA8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F2600C"/>
    <w:multiLevelType w:val="hybridMultilevel"/>
    <w:tmpl w:val="FF9A4AE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9" w15:restartNumberingAfterBreak="0">
    <w:nsid w:val="79B72F8E"/>
    <w:multiLevelType w:val="hybridMultilevel"/>
    <w:tmpl w:val="53647FA2"/>
    <w:lvl w:ilvl="0" w:tplc="EC52984E">
      <w:start w:val="1"/>
      <w:numFmt w:val="bullet"/>
      <w:lvlText w:val="-"/>
      <w:lvlJc w:val="left"/>
      <w:pPr>
        <w:ind w:left="1211" w:hanging="360"/>
      </w:pPr>
      <w:rPr>
        <w:rFonts w:ascii="Arial" w:eastAsia="Times New Roman" w:hAnsi="Arial"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0" w15:restartNumberingAfterBreak="0">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0"/>
  </w:num>
  <w:num w:numId="4">
    <w:abstractNumId w:val="14"/>
  </w:num>
  <w:num w:numId="5">
    <w:abstractNumId w:val="25"/>
  </w:num>
  <w:num w:numId="6">
    <w:abstractNumId w:val="20"/>
  </w:num>
  <w:num w:numId="7">
    <w:abstractNumId w:val="3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4"/>
  </w:num>
  <w:num w:numId="19">
    <w:abstractNumId w:val="11"/>
  </w:num>
  <w:num w:numId="20">
    <w:abstractNumId w:val="22"/>
  </w:num>
  <w:num w:numId="21">
    <w:abstractNumId w:val="28"/>
  </w:num>
  <w:num w:numId="22">
    <w:abstractNumId w:val="29"/>
  </w:num>
  <w:num w:numId="23">
    <w:abstractNumId w:val="18"/>
  </w:num>
  <w:num w:numId="24">
    <w:abstractNumId w:val="15"/>
  </w:num>
  <w:num w:numId="25">
    <w:abstractNumId w:val="23"/>
  </w:num>
  <w:num w:numId="26">
    <w:abstractNumId w:val="27"/>
  </w:num>
  <w:num w:numId="27">
    <w:abstractNumId w:val="16"/>
  </w:num>
  <w:num w:numId="28">
    <w:abstractNumId w:val="19"/>
  </w:num>
  <w:num w:numId="29">
    <w:abstractNumId w:val="13"/>
  </w:num>
  <w:num w:numId="30">
    <w:abstractNumId w:val="17"/>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6E7"/>
    <w:rsid w:val="00010CF3"/>
    <w:rsid w:val="00011E27"/>
    <w:rsid w:val="000148BC"/>
    <w:rsid w:val="00022D2D"/>
    <w:rsid w:val="00024AB8"/>
    <w:rsid w:val="00024BFE"/>
    <w:rsid w:val="00030854"/>
    <w:rsid w:val="00036028"/>
    <w:rsid w:val="00044642"/>
    <w:rsid w:val="000446B9"/>
    <w:rsid w:val="00047E21"/>
    <w:rsid w:val="00050E16"/>
    <w:rsid w:val="0005129B"/>
    <w:rsid w:val="00061C3F"/>
    <w:rsid w:val="00061DA5"/>
    <w:rsid w:val="000638A9"/>
    <w:rsid w:val="000648A3"/>
    <w:rsid w:val="0007037A"/>
    <w:rsid w:val="00071B1F"/>
    <w:rsid w:val="00076228"/>
    <w:rsid w:val="00085505"/>
    <w:rsid w:val="00086565"/>
    <w:rsid w:val="0009013D"/>
    <w:rsid w:val="000A23DC"/>
    <w:rsid w:val="000B1ECA"/>
    <w:rsid w:val="000C1763"/>
    <w:rsid w:val="000C1EC4"/>
    <w:rsid w:val="000C4E25"/>
    <w:rsid w:val="000C7021"/>
    <w:rsid w:val="000C7448"/>
    <w:rsid w:val="000D28D8"/>
    <w:rsid w:val="000D6BBC"/>
    <w:rsid w:val="000D7780"/>
    <w:rsid w:val="000E636A"/>
    <w:rsid w:val="000F2F11"/>
    <w:rsid w:val="00101837"/>
    <w:rsid w:val="00105929"/>
    <w:rsid w:val="00110C36"/>
    <w:rsid w:val="001131D5"/>
    <w:rsid w:val="00113D6B"/>
    <w:rsid w:val="00141DB8"/>
    <w:rsid w:val="00154ADE"/>
    <w:rsid w:val="00165E10"/>
    <w:rsid w:val="00167095"/>
    <w:rsid w:val="00172084"/>
    <w:rsid w:val="001727A4"/>
    <w:rsid w:val="00172E81"/>
    <w:rsid w:val="0017474A"/>
    <w:rsid w:val="001758C6"/>
    <w:rsid w:val="00180EF3"/>
    <w:rsid w:val="00182B99"/>
    <w:rsid w:val="00190245"/>
    <w:rsid w:val="00192E71"/>
    <w:rsid w:val="001A0B86"/>
    <w:rsid w:val="001A3B8B"/>
    <w:rsid w:val="001A3DDE"/>
    <w:rsid w:val="001A7D97"/>
    <w:rsid w:val="001B5571"/>
    <w:rsid w:val="001D7BB2"/>
    <w:rsid w:val="001F64BF"/>
    <w:rsid w:val="00200E1A"/>
    <w:rsid w:val="00202E38"/>
    <w:rsid w:val="0021332C"/>
    <w:rsid w:val="00213982"/>
    <w:rsid w:val="0022762D"/>
    <w:rsid w:val="00235894"/>
    <w:rsid w:val="00240AA7"/>
    <w:rsid w:val="002412E5"/>
    <w:rsid w:val="0024416D"/>
    <w:rsid w:val="0024487F"/>
    <w:rsid w:val="002464A3"/>
    <w:rsid w:val="00271911"/>
    <w:rsid w:val="00272F5B"/>
    <w:rsid w:val="002800A0"/>
    <w:rsid w:val="002801B3"/>
    <w:rsid w:val="00281060"/>
    <w:rsid w:val="00286A8D"/>
    <w:rsid w:val="002940E8"/>
    <w:rsid w:val="00294751"/>
    <w:rsid w:val="00294EDA"/>
    <w:rsid w:val="002A6E50"/>
    <w:rsid w:val="002B4298"/>
    <w:rsid w:val="002B7296"/>
    <w:rsid w:val="002C256A"/>
    <w:rsid w:val="002E5944"/>
    <w:rsid w:val="002E7DB1"/>
    <w:rsid w:val="002F44F0"/>
    <w:rsid w:val="00300336"/>
    <w:rsid w:val="00305A7F"/>
    <w:rsid w:val="00310D26"/>
    <w:rsid w:val="00310FB7"/>
    <w:rsid w:val="003152FE"/>
    <w:rsid w:val="00316A32"/>
    <w:rsid w:val="00327436"/>
    <w:rsid w:val="00330DC5"/>
    <w:rsid w:val="00334677"/>
    <w:rsid w:val="00344BD6"/>
    <w:rsid w:val="0035528D"/>
    <w:rsid w:val="00357E6C"/>
    <w:rsid w:val="003602B3"/>
    <w:rsid w:val="00361821"/>
    <w:rsid w:val="00361E9E"/>
    <w:rsid w:val="00376FA7"/>
    <w:rsid w:val="00380EF8"/>
    <w:rsid w:val="00387BF9"/>
    <w:rsid w:val="00390D7A"/>
    <w:rsid w:val="00391576"/>
    <w:rsid w:val="003B031A"/>
    <w:rsid w:val="003C086B"/>
    <w:rsid w:val="003C7FBE"/>
    <w:rsid w:val="003D227C"/>
    <w:rsid w:val="003D2B4D"/>
    <w:rsid w:val="003D5DCC"/>
    <w:rsid w:val="003E673D"/>
    <w:rsid w:val="003F445F"/>
    <w:rsid w:val="00404329"/>
    <w:rsid w:val="0040557F"/>
    <w:rsid w:val="00412DCB"/>
    <w:rsid w:val="004158CD"/>
    <w:rsid w:val="00432363"/>
    <w:rsid w:val="00444A88"/>
    <w:rsid w:val="00466024"/>
    <w:rsid w:val="00470BF3"/>
    <w:rsid w:val="00474DA4"/>
    <w:rsid w:val="00476B4D"/>
    <w:rsid w:val="004775AB"/>
    <w:rsid w:val="004805FA"/>
    <w:rsid w:val="00490F28"/>
    <w:rsid w:val="00492AA3"/>
    <w:rsid w:val="004935D2"/>
    <w:rsid w:val="004A632A"/>
    <w:rsid w:val="004B1215"/>
    <w:rsid w:val="004D047D"/>
    <w:rsid w:val="004D2B1A"/>
    <w:rsid w:val="004F1E9E"/>
    <w:rsid w:val="004F2167"/>
    <w:rsid w:val="004F305A"/>
    <w:rsid w:val="00500317"/>
    <w:rsid w:val="00501472"/>
    <w:rsid w:val="00512164"/>
    <w:rsid w:val="00512E25"/>
    <w:rsid w:val="00520297"/>
    <w:rsid w:val="0052049A"/>
    <w:rsid w:val="00521F30"/>
    <w:rsid w:val="00526D0D"/>
    <w:rsid w:val="005338F9"/>
    <w:rsid w:val="0053416A"/>
    <w:rsid w:val="0054281C"/>
    <w:rsid w:val="00544581"/>
    <w:rsid w:val="00545E42"/>
    <w:rsid w:val="005525B8"/>
    <w:rsid w:val="0055268D"/>
    <w:rsid w:val="00562DEE"/>
    <w:rsid w:val="00566C7E"/>
    <w:rsid w:val="00567357"/>
    <w:rsid w:val="00576BE4"/>
    <w:rsid w:val="00576DF8"/>
    <w:rsid w:val="00577B20"/>
    <w:rsid w:val="005A0189"/>
    <w:rsid w:val="005A400A"/>
    <w:rsid w:val="005A4862"/>
    <w:rsid w:val="005C3AE4"/>
    <w:rsid w:val="005D1768"/>
    <w:rsid w:val="005D1EAD"/>
    <w:rsid w:val="005E4DB0"/>
    <w:rsid w:val="005F7B92"/>
    <w:rsid w:val="00603921"/>
    <w:rsid w:val="00612379"/>
    <w:rsid w:val="00612839"/>
    <w:rsid w:val="00612AC5"/>
    <w:rsid w:val="006153B6"/>
    <w:rsid w:val="0061555F"/>
    <w:rsid w:val="00633158"/>
    <w:rsid w:val="0063530C"/>
    <w:rsid w:val="00636CA6"/>
    <w:rsid w:val="00637EDD"/>
    <w:rsid w:val="00640531"/>
    <w:rsid w:val="00641200"/>
    <w:rsid w:val="00642665"/>
    <w:rsid w:val="00645CA8"/>
    <w:rsid w:val="006655D3"/>
    <w:rsid w:val="00667404"/>
    <w:rsid w:val="00670EBF"/>
    <w:rsid w:val="00671069"/>
    <w:rsid w:val="00680A1E"/>
    <w:rsid w:val="006818F4"/>
    <w:rsid w:val="00684A2F"/>
    <w:rsid w:val="00687EB4"/>
    <w:rsid w:val="00687FCC"/>
    <w:rsid w:val="00691A9E"/>
    <w:rsid w:val="00691FF1"/>
    <w:rsid w:val="00694E7F"/>
    <w:rsid w:val="00695C56"/>
    <w:rsid w:val="006A32E5"/>
    <w:rsid w:val="006A5CDE"/>
    <w:rsid w:val="006A644A"/>
    <w:rsid w:val="006B02D2"/>
    <w:rsid w:val="006B17D2"/>
    <w:rsid w:val="006B4497"/>
    <w:rsid w:val="006B6FA8"/>
    <w:rsid w:val="006B768D"/>
    <w:rsid w:val="006C224E"/>
    <w:rsid w:val="006C7ABF"/>
    <w:rsid w:val="006D780A"/>
    <w:rsid w:val="006F1C46"/>
    <w:rsid w:val="00706F51"/>
    <w:rsid w:val="00707DC5"/>
    <w:rsid w:val="0071271E"/>
    <w:rsid w:val="007222AE"/>
    <w:rsid w:val="007273ED"/>
    <w:rsid w:val="00731BBF"/>
    <w:rsid w:val="00732C33"/>
    <w:rsid w:val="00732DEC"/>
    <w:rsid w:val="00735BD5"/>
    <w:rsid w:val="00743F9C"/>
    <w:rsid w:val="0074584C"/>
    <w:rsid w:val="00750AA6"/>
    <w:rsid w:val="00751613"/>
    <w:rsid w:val="00752334"/>
    <w:rsid w:val="007556F6"/>
    <w:rsid w:val="00757BE4"/>
    <w:rsid w:val="00760EEF"/>
    <w:rsid w:val="00763D64"/>
    <w:rsid w:val="0076421E"/>
    <w:rsid w:val="00764EFF"/>
    <w:rsid w:val="00777EE5"/>
    <w:rsid w:val="00783722"/>
    <w:rsid w:val="00784836"/>
    <w:rsid w:val="00785C76"/>
    <w:rsid w:val="00786EED"/>
    <w:rsid w:val="0079023E"/>
    <w:rsid w:val="00791C34"/>
    <w:rsid w:val="007954B3"/>
    <w:rsid w:val="00796BCA"/>
    <w:rsid w:val="007A2854"/>
    <w:rsid w:val="007C1D92"/>
    <w:rsid w:val="007C2166"/>
    <w:rsid w:val="007C4CB9"/>
    <w:rsid w:val="007C65E8"/>
    <w:rsid w:val="007C6B6C"/>
    <w:rsid w:val="007D0B9D"/>
    <w:rsid w:val="007D1246"/>
    <w:rsid w:val="007D19B0"/>
    <w:rsid w:val="007D1ED3"/>
    <w:rsid w:val="007D5673"/>
    <w:rsid w:val="007D66DB"/>
    <w:rsid w:val="007F1F52"/>
    <w:rsid w:val="007F498F"/>
    <w:rsid w:val="008005DC"/>
    <w:rsid w:val="008049BE"/>
    <w:rsid w:val="0080679D"/>
    <w:rsid w:val="008108B0"/>
    <w:rsid w:val="00811B20"/>
    <w:rsid w:val="00817F4E"/>
    <w:rsid w:val="008211B5"/>
    <w:rsid w:val="00821B46"/>
    <w:rsid w:val="0082296E"/>
    <w:rsid w:val="00824099"/>
    <w:rsid w:val="0083442D"/>
    <w:rsid w:val="008355BC"/>
    <w:rsid w:val="008456E7"/>
    <w:rsid w:val="00846334"/>
    <w:rsid w:val="00846D7C"/>
    <w:rsid w:val="00856958"/>
    <w:rsid w:val="008574A4"/>
    <w:rsid w:val="008627A3"/>
    <w:rsid w:val="00864C55"/>
    <w:rsid w:val="00867AC1"/>
    <w:rsid w:val="00867D80"/>
    <w:rsid w:val="008813A4"/>
    <w:rsid w:val="00881B25"/>
    <w:rsid w:val="0088719D"/>
    <w:rsid w:val="00890DF8"/>
    <w:rsid w:val="008935C5"/>
    <w:rsid w:val="008A6895"/>
    <w:rsid w:val="008A743F"/>
    <w:rsid w:val="008B3D8D"/>
    <w:rsid w:val="008C0970"/>
    <w:rsid w:val="008C6250"/>
    <w:rsid w:val="008D0BC5"/>
    <w:rsid w:val="008D2CF7"/>
    <w:rsid w:val="008D47AC"/>
    <w:rsid w:val="008E3675"/>
    <w:rsid w:val="008F630A"/>
    <w:rsid w:val="00900C26"/>
    <w:rsid w:val="0090197F"/>
    <w:rsid w:val="009027EE"/>
    <w:rsid w:val="00906DDC"/>
    <w:rsid w:val="00910388"/>
    <w:rsid w:val="00934E09"/>
    <w:rsid w:val="00936253"/>
    <w:rsid w:val="00940D46"/>
    <w:rsid w:val="00943983"/>
    <w:rsid w:val="00945836"/>
    <w:rsid w:val="00952DD4"/>
    <w:rsid w:val="009559B4"/>
    <w:rsid w:val="00955AD5"/>
    <w:rsid w:val="0096175D"/>
    <w:rsid w:val="009648C4"/>
    <w:rsid w:val="00965545"/>
    <w:rsid w:val="00965AE7"/>
    <w:rsid w:val="00970FED"/>
    <w:rsid w:val="00977564"/>
    <w:rsid w:val="00992D82"/>
    <w:rsid w:val="00997029"/>
    <w:rsid w:val="009A3815"/>
    <w:rsid w:val="009A7339"/>
    <w:rsid w:val="009B419D"/>
    <w:rsid w:val="009B440E"/>
    <w:rsid w:val="009C1BF4"/>
    <w:rsid w:val="009D3915"/>
    <w:rsid w:val="009D690D"/>
    <w:rsid w:val="009E4B87"/>
    <w:rsid w:val="009E65B6"/>
    <w:rsid w:val="00A00B22"/>
    <w:rsid w:val="00A1152C"/>
    <w:rsid w:val="00A228EC"/>
    <w:rsid w:val="00A24C10"/>
    <w:rsid w:val="00A325D3"/>
    <w:rsid w:val="00A3537F"/>
    <w:rsid w:val="00A42AC3"/>
    <w:rsid w:val="00A430CF"/>
    <w:rsid w:val="00A54309"/>
    <w:rsid w:val="00A57107"/>
    <w:rsid w:val="00A61A87"/>
    <w:rsid w:val="00A706D3"/>
    <w:rsid w:val="00A80F90"/>
    <w:rsid w:val="00A91463"/>
    <w:rsid w:val="00AA1DB5"/>
    <w:rsid w:val="00AA51F4"/>
    <w:rsid w:val="00AA5AD6"/>
    <w:rsid w:val="00AB2B93"/>
    <w:rsid w:val="00AB2CF9"/>
    <w:rsid w:val="00AB530F"/>
    <w:rsid w:val="00AB7E5B"/>
    <w:rsid w:val="00AC2883"/>
    <w:rsid w:val="00AD0014"/>
    <w:rsid w:val="00AE012C"/>
    <w:rsid w:val="00AE0EF1"/>
    <w:rsid w:val="00AE2937"/>
    <w:rsid w:val="00AE4A1D"/>
    <w:rsid w:val="00AE5E4F"/>
    <w:rsid w:val="00AF64E4"/>
    <w:rsid w:val="00B00E39"/>
    <w:rsid w:val="00B07301"/>
    <w:rsid w:val="00B11F3E"/>
    <w:rsid w:val="00B224DE"/>
    <w:rsid w:val="00B268A3"/>
    <w:rsid w:val="00B31F76"/>
    <w:rsid w:val="00B324D4"/>
    <w:rsid w:val="00B46575"/>
    <w:rsid w:val="00B549A7"/>
    <w:rsid w:val="00B6115C"/>
    <w:rsid w:val="00B61777"/>
    <w:rsid w:val="00B84BBD"/>
    <w:rsid w:val="00B87E53"/>
    <w:rsid w:val="00B94402"/>
    <w:rsid w:val="00BA43FB"/>
    <w:rsid w:val="00BB07DC"/>
    <w:rsid w:val="00BB11E5"/>
    <w:rsid w:val="00BB2BB5"/>
    <w:rsid w:val="00BB47EC"/>
    <w:rsid w:val="00BB7461"/>
    <w:rsid w:val="00BC0BD4"/>
    <w:rsid w:val="00BC127D"/>
    <w:rsid w:val="00BC1FE6"/>
    <w:rsid w:val="00BC43E5"/>
    <w:rsid w:val="00BC43F3"/>
    <w:rsid w:val="00BE482B"/>
    <w:rsid w:val="00C05526"/>
    <w:rsid w:val="00C061B6"/>
    <w:rsid w:val="00C12081"/>
    <w:rsid w:val="00C173F0"/>
    <w:rsid w:val="00C2446C"/>
    <w:rsid w:val="00C30B4B"/>
    <w:rsid w:val="00C3128E"/>
    <w:rsid w:val="00C31FB5"/>
    <w:rsid w:val="00C36AE5"/>
    <w:rsid w:val="00C37CAD"/>
    <w:rsid w:val="00C41F17"/>
    <w:rsid w:val="00C42907"/>
    <w:rsid w:val="00C4567F"/>
    <w:rsid w:val="00C527FA"/>
    <w:rsid w:val="00C5280D"/>
    <w:rsid w:val="00C53EB3"/>
    <w:rsid w:val="00C5791C"/>
    <w:rsid w:val="00C66290"/>
    <w:rsid w:val="00C72B7A"/>
    <w:rsid w:val="00C767AD"/>
    <w:rsid w:val="00C83D36"/>
    <w:rsid w:val="00C86AA9"/>
    <w:rsid w:val="00C973F2"/>
    <w:rsid w:val="00CA304C"/>
    <w:rsid w:val="00CA774A"/>
    <w:rsid w:val="00CC11B0"/>
    <w:rsid w:val="00CC1848"/>
    <w:rsid w:val="00CC2841"/>
    <w:rsid w:val="00CC4314"/>
    <w:rsid w:val="00CD1A1D"/>
    <w:rsid w:val="00CD2884"/>
    <w:rsid w:val="00CD61AF"/>
    <w:rsid w:val="00CE30EE"/>
    <w:rsid w:val="00CF1330"/>
    <w:rsid w:val="00CF6CDB"/>
    <w:rsid w:val="00CF7E36"/>
    <w:rsid w:val="00D0040E"/>
    <w:rsid w:val="00D10080"/>
    <w:rsid w:val="00D10BB4"/>
    <w:rsid w:val="00D361DD"/>
    <w:rsid w:val="00D3708D"/>
    <w:rsid w:val="00D40426"/>
    <w:rsid w:val="00D476D0"/>
    <w:rsid w:val="00D57C96"/>
    <w:rsid w:val="00D57D18"/>
    <w:rsid w:val="00D60821"/>
    <w:rsid w:val="00D7683C"/>
    <w:rsid w:val="00D83A3F"/>
    <w:rsid w:val="00D83A5E"/>
    <w:rsid w:val="00D91203"/>
    <w:rsid w:val="00D91A56"/>
    <w:rsid w:val="00D95174"/>
    <w:rsid w:val="00D97AB1"/>
    <w:rsid w:val="00DA00A7"/>
    <w:rsid w:val="00DA4973"/>
    <w:rsid w:val="00DA6C64"/>
    <w:rsid w:val="00DA6F36"/>
    <w:rsid w:val="00DB3CF4"/>
    <w:rsid w:val="00DB596E"/>
    <w:rsid w:val="00DB615B"/>
    <w:rsid w:val="00DB7773"/>
    <w:rsid w:val="00DB7D02"/>
    <w:rsid w:val="00DC00EA"/>
    <w:rsid w:val="00DC02A5"/>
    <w:rsid w:val="00DC2518"/>
    <w:rsid w:val="00DC3802"/>
    <w:rsid w:val="00DD30FF"/>
    <w:rsid w:val="00DE1905"/>
    <w:rsid w:val="00DE22C9"/>
    <w:rsid w:val="00DF04B3"/>
    <w:rsid w:val="00DF411E"/>
    <w:rsid w:val="00E024C1"/>
    <w:rsid w:val="00E07D87"/>
    <w:rsid w:val="00E228E2"/>
    <w:rsid w:val="00E32F7E"/>
    <w:rsid w:val="00E5267B"/>
    <w:rsid w:val="00E55A14"/>
    <w:rsid w:val="00E63C0E"/>
    <w:rsid w:val="00E7205D"/>
    <w:rsid w:val="00E72D49"/>
    <w:rsid w:val="00E7593C"/>
    <w:rsid w:val="00E7678A"/>
    <w:rsid w:val="00E84391"/>
    <w:rsid w:val="00E8639E"/>
    <w:rsid w:val="00E935F1"/>
    <w:rsid w:val="00E93CC5"/>
    <w:rsid w:val="00E94A81"/>
    <w:rsid w:val="00EA1FFB"/>
    <w:rsid w:val="00EB048E"/>
    <w:rsid w:val="00EB06CC"/>
    <w:rsid w:val="00EB49BD"/>
    <w:rsid w:val="00EB4E9C"/>
    <w:rsid w:val="00EB7224"/>
    <w:rsid w:val="00EC2265"/>
    <w:rsid w:val="00EC296B"/>
    <w:rsid w:val="00EC422B"/>
    <w:rsid w:val="00ED17F0"/>
    <w:rsid w:val="00EE34DF"/>
    <w:rsid w:val="00EE4004"/>
    <w:rsid w:val="00EF2F89"/>
    <w:rsid w:val="00F03E98"/>
    <w:rsid w:val="00F0765A"/>
    <w:rsid w:val="00F106FC"/>
    <w:rsid w:val="00F118A2"/>
    <w:rsid w:val="00F1237A"/>
    <w:rsid w:val="00F22CBD"/>
    <w:rsid w:val="00F272F1"/>
    <w:rsid w:val="00F40842"/>
    <w:rsid w:val="00F45372"/>
    <w:rsid w:val="00F550E4"/>
    <w:rsid w:val="00F55DE7"/>
    <w:rsid w:val="00F560F7"/>
    <w:rsid w:val="00F6334D"/>
    <w:rsid w:val="00F64DE5"/>
    <w:rsid w:val="00F83361"/>
    <w:rsid w:val="00FA0D41"/>
    <w:rsid w:val="00FA13D8"/>
    <w:rsid w:val="00FA29E4"/>
    <w:rsid w:val="00FA49AB"/>
    <w:rsid w:val="00FC333D"/>
    <w:rsid w:val="00FD36B1"/>
    <w:rsid w:val="00FD3F87"/>
    <w:rsid w:val="00FD47AC"/>
    <w:rsid w:val="00FE39C7"/>
    <w:rsid w:val="00FF2244"/>
    <w:rsid w:val="00FF2785"/>
    <w:rsid w:val="00FF4D0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95099CF"/>
  <w15:docId w15:val="{024C9262-248F-470A-9FF4-2536B25E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lang w:val="es-ES"/>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881B25"/>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4F2167"/>
    <w:pPr>
      <w:keepNext/>
      <w:shd w:val="clear" w:color="auto" w:fill="FFFFFF" w:themeFill="background1"/>
      <w:outlineLvl w:val="2"/>
    </w:pPr>
    <w:rPr>
      <w:rFonts w:ascii="Arial" w:hAnsi="Arial"/>
      <w:i/>
      <w:lang w:val="es-ES"/>
    </w:rPr>
  </w:style>
  <w:style w:type="paragraph" w:styleId="Heading4">
    <w:name w:val="heading 4"/>
    <w:next w:val="Normal"/>
    <w:link w:val="Heading4Char"/>
    <w:autoRedefine/>
    <w:qFormat/>
    <w:rsid w:val="00785C76"/>
    <w:pPr>
      <w:keepNext/>
      <w:ind w:left="567"/>
      <w:jc w:val="both"/>
      <w:outlineLvl w:val="3"/>
    </w:pPr>
    <w:rPr>
      <w:rFonts w:ascii="Arial" w:hAnsi="Arial"/>
      <w:snapToGrid w:val="0"/>
      <w:spacing w:val="-2"/>
      <w:u w:val="single"/>
      <w:lang w:val="es-ES"/>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unhideWhenUsed/>
    <w:qFormat/>
    <w:rsid w:val="00955AD5"/>
    <w:pPr>
      <w:keepNext/>
      <w:keepLines/>
      <w:spacing w:before="40"/>
      <w:outlineLvl w:val="5"/>
    </w:pPr>
    <w:rPr>
      <w:rFonts w:asciiTheme="majorHAnsi" w:eastAsiaTheme="majorEastAsia" w:hAnsiTheme="majorHAnsi" w:cstheme="majorBidi"/>
      <w:color w:val="243F60" w:themeColor="accent1" w:themeShade="7F"/>
      <w:lang w:val="en-US"/>
    </w:rPr>
  </w:style>
  <w:style w:type="paragraph" w:styleId="Heading7">
    <w:name w:val="heading 7"/>
    <w:basedOn w:val="Normal"/>
    <w:next w:val="Normal"/>
    <w:link w:val="Heading7Char"/>
    <w:qFormat/>
    <w:rsid w:val="00955AD5"/>
    <w:pPr>
      <w:keepNext/>
      <w:spacing w:before="60" w:after="60"/>
      <w:outlineLvl w:val="6"/>
    </w:pPr>
    <w:rPr>
      <w:rFonts w:ascii="Times New Roman" w:hAnsi="Times New Roman"/>
      <w:b/>
      <w:sz w:val="22"/>
      <w:lang w:val="en-US"/>
    </w:rPr>
  </w:style>
  <w:style w:type="paragraph" w:styleId="Heading8">
    <w:name w:val="heading 8"/>
    <w:basedOn w:val="Normal"/>
    <w:next w:val="Normal"/>
    <w:link w:val="Heading8Char"/>
    <w:qFormat/>
    <w:rsid w:val="00955AD5"/>
    <w:pPr>
      <w:keepNext/>
      <w:widowControl w:val="0"/>
      <w:tabs>
        <w:tab w:val="num" w:pos="1440"/>
      </w:tabs>
      <w:ind w:left="1440" w:hanging="1440"/>
      <w:outlineLvl w:val="7"/>
    </w:pPr>
    <w:rPr>
      <w:rFonts w:cs="Angsana New"/>
      <w:b/>
      <w:bCs/>
      <w:i/>
      <w:iCs/>
      <w:sz w:val="22"/>
      <w:szCs w:val="22"/>
      <w:lang w:val="en-US" w:bidi="th-TH"/>
    </w:rPr>
  </w:style>
  <w:style w:type="paragraph" w:styleId="Heading9">
    <w:name w:val="heading 9"/>
    <w:basedOn w:val="Normal"/>
    <w:next w:val="Normal"/>
    <w:link w:val="Heading9Char"/>
    <w:qFormat/>
    <w:rsid w:val="00D3708D"/>
    <w:pPr>
      <w:spacing w:before="240" w:after="60"/>
      <w:outlineLvl w:val="8"/>
    </w:pPr>
    <w:rPr>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MMON NAME Char,common Char"/>
    <w:basedOn w:val="DefaultParagraphFont"/>
    <w:link w:val="Heading1"/>
    <w:rsid w:val="00955AD5"/>
    <w:rPr>
      <w:rFonts w:ascii="Arial" w:hAnsi="Arial"/>
      <w:caps/>
    </w:rPr>
  </w:style>
  <w:style w:type="character" w:customStyle="1" w:styleId="Heading2Char">
    <w:name w:val="Heading 2 Char"/>
    <w:aliases w:val="VARIETY Char,variety Char"/>
    <w:basedOn w:val="DefaultParagraphFont"/>
    <w:link w:val="Heading2"/>
    <w:rsid w:val="00881B25"/>
    <w:rPr>
      <w:rFonts w:ascii="Arial" w:hAnsi="Arial"/>
      <w:u w:val="single"/>
    </w:rPr>
  </w:style>
  <w:style w:type="character" w:customStyle="1" w:styleId="Heading3Char">
    <w:name w:val="Heading 3 Char"/>
    <w:aliases w:val="Heading 3 Scientific Name Char"/>
    <w:basedOn w:val="DefaultParagraphFont"/>
    <w:link w:val="Heading3"/>
    <w:rsid w:val="004F2167"/>
    <w:rPr>
      <w:rFonts w:ascii="Arial" w:hAnsi="Arial"/>
      <w:i/>
      <w:shd w:val="clear" w:color="auto" w:fill="FFFFFF" w:themeFill="background1"/>
      <w:lang w:val="es-ES"/>
    </w:rPr>
  </w:style>
  <w:style w:type="character" w:customStyle="1" w:styleId="Heading4Char">
    <w:name w:val="Heading 4 Char"/>
    <w:basedOn w:val="DefaultParagraphFont"/>
    <w:link w:val="Heading4"/>
    <w:rsid w:val="00785C76"/>
    <w:rPr>
      <w:rFonts w:ascii="Arial" w:hAnsi="Arial"/>
      <w:snapToGrid w:val="0"/>
      <w:spacing w:val="-2"/>
      <w:u w:val="single"/>
      <w:lang w:val="es-ES"/>
    </w:rPr>
  </w:style>
  <w:style w:type="character" w:customStyle="1" w:styleId="Heading5Char">
    <w:name w:val="Heading 5 Char"/>
    <w:basedOn w:val="DefaultParagraphFont"/>
    <w:link w:val="Heading5"/>
    <w:rsid w:val="00955AD5"/>
    <w:rPr>
      <w:rFonts w:ascii="Arial" w:hAnsi="Arial"/>
      <w:i/>
    </w:rPr>
  </w:style>
  <w:style w:type="character" w:customStyle="1" w:styleId="Heading6Char">
    <w:name w:val="Heading 6 Char"/>
    <w:basedOn w:val="DefaultParagraphFont"/>
    <w:link w:val="Heading6"/>
    <w:rsid w:val="00955AD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955AD5"/>
    <w:rPr>
      <w:b/>
      <w:sz w:val="22"/>
    </w:rPr>
  </w:style>
  <w:style w:type="character" w:customStyle="1" w:styleId="Heading8Char">
    <w:name w:val="Heading 8 Char"/>
    <w:basedOn w:val="DefaultParagraphFont"/>
    <w:link w:val="Heading8"/>
    <w:rsid w:val="00955AD5"/>
    <w:rPr>
      <w:rFonts w:ascii="Arial" w:hAnsi="Arial" w:cs="Angsana New"/>
      <w:b/>
      <w:bCs/>
      <w:i/>
      <w:iCs/>
      <w:sz w:val="22"/>
      <w:szCs w:val="22"/>
      <w:lang w:bidi="th-TH"/>
    </w:rPr>
  </w:style>
  <w:style w:type="character" w:customStyle="1" w:styleId="Heading9Char">
    <w:name w:val="Heading 9 Char"/>
    <w:basedOn w:val="DefaultParagraphFont"/>
    <w:link w:val="Heading9"/>
    <w:rsid w:val="00955AD5"/>
    <w:rPr>
      <w:rFonts w:ascii="Arial" w:hAnsi="Arial"/>
      <w:i/>
      <w:sz w:val="18"/>
      <w:lang w:val="es-ES_tradnl"/>
    </w:rPr>
  </w:style>
  <w:style w:type="paragraph" w:styleId="Header">
    <w:name w:val="header"/>
    <w:link w:val="HeaderChar"/>
    <w:uiPriority w:val="99"/>
    <w:rsid w:val="008B3D8D"/>
    <w:pPr>
      <w:jc w:val="center"/>
    </w:pPr>
    <w:rPr>
      <w:rFonts w:ascii="Arial" w:hAnsi="Arial"/>
      <w:lang w:val="es-ES_tradnl"/>
    </w:rPr>
  </w:style>
  <w:style w:type="character" w:customStyle="1" w:styleId="HeaderChar">
    <w:name w:val="Header Char"/>
    <w:basedOn w:val="DefaultParagraphFont"/>
    <w:link w:val="Header"/>
    <w:uiPriority w:val="99"/>
    <w:rsid w:val="00955AD5"/>
    <w:rPr>
      <w:rFonts w:ascii="Arial" w:hAnsi="Arial"/>
      <w:lang w:val="es-ES_tradnl"/>
    </w:rPr>
  </w:style>
  <w:style w:type="paragraph" w:styleId="Footer">
    <w:name w:val="footer"/>
    <w:aliases w:val="doc_path_name"/>
    <w:link w:val="FooterChar"/>
    <w:autoRedefine/>
    <w:rsid w:val="009D690D"/>
    <w:pPr>
      <w:jc w:val="both"/>
    </w:pPr>
    <w:rPr>
      <w:rFonts w:ascii="Arial" w:hAnsi="Arial"/>
      <w:sz w:val="14"/>
    </w:rPr>
  </w:style>
  <w:style w:type="character" w:customStyle="1" w:styleId="FooterChar">
    <w:name w:val="Footer Char"/>
    <w:aliases w:val="doc_path_name Char"/>
    <w:basedOn w:val="DefaultParagraphFont"/>
    <w:link w:val="Footer"/>
    <w:rsid w:val="00955AD5"/>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lang w:val="es-ES_tradnl"/>
    </w:rPr>
  </w:style>
  <w:style w:type="character" w:customStyle="1" w:styleId="TitleChar">
    <w:name w:val="Title Char"/>
    <w:basedOn w:val="DefaultParagraphFont"/>
    <w:link w:val="Title"/>
    <w:rsid w:val="00955AD5"/>
    <w:rPr>
      <w:rFonts w:ascii="Arial" w:hAnsi="Arial"/>
      <w:b/>
      <w:caps/>
      <w:kern w:val="28"/>
      <w:sz w:val="30"/>
      <w:lang w:val="es-ES_tradnl"/>
    </w:rPr>
  </w:style>
  <w:style w:type="paragraph" w:customStyle="1" w:styleId="preparedby">
    <w:name w:val="preparedby"/>
    <w:basedOn w:val="Normal"/>
    <w:next w:val="Normal"/>
    <w:rsid w:val="00D3708D"/>
    <w:pPr>
      <w:spacing w:after="600"/>
      <w:jc w:val="center"/>
    </w:pPr>
    <w:rPr>
      <w:i/>
      <w:lang w:val="es-ES_tradnl"/>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lang w:val="es-ES_tradnl"/>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link w:val="DecisionParagraphsChar"/>
    <w:qFormat/>
    <w:rsid w:val="004D2B1A"/>
    <w:pPr>
      <w:tabs>
        <w:tab w:val="left" w:pos="5387"/>
        <w:tab w:val="left" w:pos="5954"/>
      </w:tabs>
      <w:ind w:left="4820"/>
    </w:pPr>
    <w:rPr>
      <w:i/>
      <w:lang w:val="es-ES_tradnl"/>
    </w:rPr>
  </w:style>
  <w:style w:type="character" w:customStyle="1" w:styleId="DecisionParagraphsChar">
    <w:name w:val="DecisionParagraphs Char"/>
    <w:basedOn w:val="DefaultParagraphFont"/>
    <w:link w:val="DecisionParagraphs"/>
    <w:rsid w:val="00955AD5"/>
    <w:rPr>
      <w:rFonts w:ascii="Arial" w:hAnsi="Arial"/>
      <w:i/>
      <w:lang w:val="es-ES_tradnl"/>
    </w:rPr>
  </w:style>
  <w:style w:type="paragraph" w:styleId="FootnoteText">
    <w:name w:val="footnote text"/>
    <w:link w:val="FootnoteTextChar"/>
    <w:autoRedefine/>
    <w:rsid w:val="00783722"/>
    <w:pPr>
      <w:spacing w:before="60"/>
      <w:ind w:left="567" w:hanging="567"/>
      <w:jc w:val="both"/>
    </w:pPr>
    <w:rPr>
      <w:rFonts w:ascii="Arial" w:hAnsi="Arial"/>
      <w:sz w:val="16"/>
      <w:lang w:val="es-ES_tradnl"/>
    </w:rPr>
  </w:style>
  <w:style w:type="character" w:customStyle="1" w:styleId="FootnoteTextChar">
    <w:name w:val="Footnote Text Char"/>
    <w:basedOn w:val="DefaultParagraphFont"/>
    <w:link w:val="FootnoteText"/>
    <w:rsid w:val="00955AD5"/>
    <w:rPr>
      <w:rFonts w:ascii="Arial" w:hAnsi="Arial"/>
      <w:sz w:val="16"/>
      <w:lang w:val="es-ES_tradnl"/>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rPr>
      <w:lang w:val="es-ES_tradnl"/>
    </w:rPr>
  </w:style>
  <w:style w:type="character" w:customStyle="1" w:styleId="ClosingChar">
    <w:name w:val="Closing Char"/>
    <w:basedOn w:val="DefaultParagraphFont"/>
    <w:link w:val="Closing"/>
    <w:rsid w:val="00955AD5"/>
    <w:rPr>
      <w:rFonts w:ascii="Arial" w:hAnsi="Arial"/>
      <w:lang w:val="es-ES_tradnl"/>
    </w:rPr>
  </w:style>
  <w:style w:type="paragraph" w:styleId="Index1">
    <w:name w:val="index 1"/>
    <w:basedOn w:val="Normal"/>
    <w:next w:val="Normal"/>
    <w:uiPriority w:val="99"/>
    <w:rsid w:val="00D3708D"/>
    <w:pPr>
      <w:tabs>
        <w:tab w:val="right" w:leader="dot" w:pos="9071"/>
      </w:tabs>
      <w:ind w:left="284" w:hanging="284"/>
    </w:pPr>
    <w:rPr>
      <w:sz w:val="24"/>
      <w:lang w:val="es-ES_tradnl"/>
    </w:rPr>
  </w:style>
  <w:style w:type="paragraph" w:styleId="Index2">
    <w:name w:val="index 2"/>
    <w:basedOn w:val="Normal"/>
    <w:next w:val="Normal"/>
    <w:uiPriority w:val="99"/>
    <w:semiHidden/>
    <w:rsid w:val="00D3708D"/>
    <w:pPr>
      <w:tabs>
        <w:tab w:val="right" w:leader="dot" w:pos="9071"/>
      </w:tabs>
      <w:ind w:left="568" w:hanging="284"/>
    </w:pPr>
    <w:rPr>
      <w:sz w:val="24"/>
      <w:lang w:val="es-ES_tradnl"/>
    </w:rPr>
  </w:style>
  <w:style w:type="paragraph" w:styleId="Index3">
    <w:name w:val="index 3"/>
    <w:basedOn w:val="Normal"/>
    <w:next w:val="Normal"/>
    <w:semiHidden/>
    <w:rsid w:val="00D3708D"/>
    <w:pPr>
      <w:tabs>
        <w:tab w:val="right" w:leader="dot" w:pos="9071"/>
      </w:tabs>
      <w:ind w:left="851" w:hanging="284"/>
    </w:pPr>
    <w:rPr>
      <w:sz w:val="24"/>
      <w:lang w:val="es-ES_tradnl"/>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955AD5"/>
    <w:rPr>
      <w:rFonts w:ascii="Courier New" w:hAnsi="Courier New"/>
      <w:sz w:val="16"/>
    </w:rPr>
  </w:style>
  <w:style w:type="paragraph" w:styleId="Signature">
    <w:name w:val="Signature"/>
    <w:basedOn w:val="Normal"/>
    <w:link w:val="SignatureChar"/>
    <w:rsid w:val="00D3708D"/>
    <w:pPr>
      <w:ind w:left="4536"/>
      <w:jc w:val="center"/>
    </w:pPr>
    <w:rPr>
      <w:lang w:val="es-ES_tradnl"/>
    </w:rPr>
  </w:style>
  <w:style w:type="character" w:customStyle="1" w:styleId="SignatureChar">
    <w:name w:val="Signature Char"/>
    <w:basedOn w:val="DefaultParagraphFont"/>
    <w:link w:val="Signature"/>
    <w:rsid w:val="00955AD5"/>
    <w:rPr>
      <w:rFonts w:ascii="Arial" w:hAnsi="Arial"/>
      <w:lang w:val="es-ES_tradnl"/>
    </w:r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lang w:val="es-ES_tradnl"/>
    </w:rPr>
  </w:style>
  <w:style w:type="paragraph" w:customStyle="1" w:styleId="Organizer">
    <w:name w:val="Organizer"/>
    <w:basedOn w:val="Normal"/>
    <w:rsid w:val="00D3708D"/>
    <w:pPr>
      <w:spacing w:after="600"/>
      <w:ind w:left="-993" w:right="-994"/>
      <w:jc w:val="center"/>
    </w:pPr>
    <w:rPr>
      <w:b/>
      <w:caps/>
      <w:kern w:val="26"/>
      <w:sz w:val="26"/>
      <w:lang w:val="es-ES_tradnl"/>
    </w:rPr>
  </w:style>
  <w:style w:type="paragraph" w:styleId="BodyText">
    <w:name w:val="Body Text"/>
    <w:basedOn w:val="Normal"/>
    <w:link w:val="BodyTextChar2"/>
    <w:rsid w:val="00D3708D"/>
    <w:rPr>
      <w:lang w:val="es-ES_tradnl"/>
    </w:rPr>
  </w:style>
  <w:style w:type="character" w:customStyle="1" w:styleId="BodyTextChar2">
    <w:name w:val="Body Text Char2"/>
    <w:basedOn w:val="DefaultParagraphFont"/>
    <w:link w:val="BodyText"/>
    <w:rsid w:val="00955AD5"/>
    <w:rPr>
      <w:rFonts w:ascii="Arial" w:hAnsi="Arial"/>
      <w:lang w:val="es-ES_tradnl"/>
    </w:rPr>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lang w:val="es-ES_tradnl"/>
    </w:rPr>
  </w:style>
  <w:style w:type="paragraph" w:customStyle="1" w:styleId="TitleofDoc">
    <w:name w:val="Title of Doc"/>
    <w:basedOn w:val="Normal"/>
    <w:link w:val="TitleofDocChar"/>
    <w:rsid w:val="00D3708D"/>
    <w:pPr>
      <w:spacing w:before="1200"/>
      <w:jc w:val="center"/>
    </w:pPr>
    <w:rPr>
      <w:caps/>
      <w:lang w:val="es-ES_tradnl"/>
    </w:rPr>
  </w:style>
  <w:style w:type="character" w:customStyle="1" w:styleId="TitleofDocChar">
    <w:name w:val="Title of Doc Char"/>
    <w:basedOn w:val="DefaultParagraphFont"/>
    <w:link w:val="TitleofDoc"/>
    <w:rsid w:val="00955AD5"/>
    <w:rPr>
      <w:rFonts w:ascii="Arial" w:hAnsi="Arial"/>
      <w:caps/>
      <w:lang w:val="es-ES_tradnl"/>
    </w:rPr>
  </w:style>
  <w:style w:type="paragraph" w:customStyle="1" w:styleId="preparedby0">
    <w:name w:val="prepared by"/>
    <w:basedOn w:val="Normal"/>
    <w:rsid w:val="00D3708D"/>
    <w:pPr>
      <w:spacing w:before="600" w:after="600"/>
      <w:jc w:val="center"/>
    </w:pPr>
    <w:rPr>
      <w:i/>
      <w:lang w:val="es-ES_tradnl"/>
    </w:rPr>
  </w:style>
  <w:style w:type="paragraph" w:customStyle="1" w:styleId="PlaceAndDate">
    <w:name w:val="PlaceAndDate"/>
    <w:basedOn w:val="Session"/>
    <w:rsid w:val="00D3708D"/>
  </w:style>
  <w:style w:type="paragraph" w:styleId="EndnoteText">
    <w:name w:val="endnote text"/>
    <w:basedOn w:val="Normal"/>
    <w:link w:val="EndnoteTextChar"/>
    <w:semiHidden/>
    <w:rsid w:val="00D3708D"/>
    <w:rPr>
      <w:lang w:val="es-ES_tradnl"/>
    </w:rPr>
  </w:style>
  <w:style w:type="character" w:customStyle="1" w:styleId="EndnoteTextChar">
    <w:name w:val="Endnote Text Char"/>
    <w:basedOn w:val="DefaultParagraphFont"/>
    <w:link w:val="EndnoteText"/>
    <w:semiHidden/>
    <w:rsid w:val="00955AD5"/>
    <w:rPr>
      <w:rFonts w:ascii="Arial" w:hAnsi="Arial"/>
      <w:lang w:val="es-ES_tradnl"/>
    </w:rPr>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lang w:val="es-ES_tradnl"/>
    </w:rPr>
  </w:style>
  <w:style w:type="paragraph" w:customStyle="1" w:styleId="Original">
    <w:name w:val="Original"/>
    <w:basedOn w:val="Normal"/>
    <w:rsid w:val="00D3708D"/>
    <w:pPr>
      <w:spacing w:before="60"/>
      <w:ind w:left="1276"/>
    </w:pPr>
    <w:rPr>
      <w:b/>
      <w:sz w:val="22"/>
      <w:lang w:val="es-ES_tradnl"/>
    </w:rPr>
  </w:style>
  <w:style w:type="paragraph" w:styleId="Date">
    <w:name w:val="Date"/>
    <w:basedOn w:val="Normal"/>
    <w:link w:val="DateChar"/>
    <w:rsid w:val="00D3708D"/>
    <w:pPr>
      <w:spacing w:line="340" w:lineRule="exact"/>
      <w:ind w:left="1276"/>
    </w:pPr>
    <w:rPr>
      <w:b/>
      <w:sz w:val="22"/>
      <w:lang w:val="es-ES_tradnl"/>
    </w:rPr>
  </w:style>
  <w:style w:type="character" w:customStyle="1" w:styleId="DateChar">
    <w:name w:val="Date Char"/>
    <w:basedOn w:val="DefaultParagraphFont"/>
    <w:link w:val="Date"/>
    <w:rsid w:val="00955AD5"/>
    <w:rPr>
      <w:rFonts w:ascii="Arial" w:hAnsi="Arial"/>
      <w:b/>
      <w:sz w:val="22"/>
      <w:lang w:val="es-ES_tradnl"/>
    </w:rPr>
  </w:style>
  <w:style w:type="paragraph" w:customStyle="1" w:styleId="Country">
    <w:name w:val="Country"/>
    <w:basedOn w:val="Normal"/>
    <w:semiHidden/>
    <w:rsid w:val="00D3708D"/>
    <w:pPr>
      <w:spacing w:before="60" w:after="480"/>
      <w:jc w:val="center"/>
    </w:pPr>
    <w:rPr>
      <w:lang w:val="es-ES_tradnl"/>
    </w:rPr>
  </w:style>
  <w:style w:type="paragraph" w:customStyle="1" w:styleId="Lettrine">
    <w:name w:val="Lettrine"/>
    <w:basedOn w:val="Normal"/>
    <w:rsid w:val="00AC2883"/>
    <w:pPr>
      <w:spacing w:line="340" w:lineRule="atLeast"/>
      <w:jc w:val="right"/>
    </w:pPr>
    <w:rPr>
      <w:b/>
      <w:bCs/>
      <w:sz w:val="36"/>
      <w:lang w:val="es-ES_tradnl"/>
    </w:rPr>
  </w:style>
  <w:style w:type="paragraph" w:customStyle="1" w:styleId="LogoUPOV">
    <w:name w:val="LogoUPOV"/>
    <w:basedOn w:val="Normal"/>
    <w:rsid w:val="00CF1330"/>
    <w:pPr>
      <w:spacing w:before="600" w:after="80"/>
      <w:jc w:val="center"/>
    </w:pPr>
    <w:rPr>
      <w:snapToGrid w:val="0"/>
      <w:lang w:val="es-ES_tradnl"/>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lang w:val="es-ES_tradnl"/>
    </w:rPr>
  </w:style>
  <w:style w:type="paragraph" w:customStyle="1" w:styleId="plcountry">
    <w:name w:val="plcountry"/>
    <w:basedOn w:val="Normal"/>
    <w:rsid w:val="00AB530F"/>
    <w:pPr>
      <w:keepNext/>
      <w:keepLines/>
      <w:spacing w:before="180" w:after="120"/>
      <w:jc w:val="left"/>
    </w:pPr>
    <w:rPr>
      <w:caps/>
      <w:noProof/>
      <w:snapToGrid w:val="0"/>
      <w:u w:val="single"/>
      <w:lang w:val="es-ES_tradnl"/>
    </w:rPr>
  </w:style>
  <w:style w:type="paragraph" w:customStyle="1" w:styleId="pldetails">
    <w:name w:val="pldetails"/>
    <w:basedOn w:val="Normal"/>
    <w:rsid w:val="00AB530F"/>
    <w:pPr>
      <w:keepLines/>
      <w:spacing w:before="60" w:after="60"/>
      <w:jc w:val="left"/>
    </w:pPr>
    <w:rPr>
      <w:noProof/>
      <w:snapToGrid w:val="0"/>
      <w:lang w:val="es-ES_tradnl"/>
    </w:rPr>
  </w:style>
  <w:style w:type="paragraph" w:customStyle="1" w:styleId="plheading">
    <w:name w:val="plheading"/>
    <w:basedOn w:val="Normal"/>
    <w:rsid w:val="00AB530F"/>
    <w:pPr>
      <w:keepNext/>
      <w:spacing w:before="480" w:after="120"/>
      <w:jc w:val="center"/>
    </w:pPr>
    <w:rPr>
      <w:caps/>
      <w:snapToGrid w:val="0"/>
      <w:u w:val="single"/>
      <w:lang w:val="es-ES_tradnl"/>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0"/>
    <w:rsid w:val="006A32E5"/>
    <w:pPr>
      <w:spacing w:before="600" w:after="240"/>
      <w:jc w:val="left"/>
    </w:pPr>
    <w:rPr>
      <w:b/>
    </w:rPr>
  </w:style>
  <w:style w:type="character" w:customStyle="1" w:styleId="TitleofdocChar0">
    <w:name w:val="Title_of_doc Char"/>
    <w:basedOn w:val="DefaultParagraphFont"/>
    <w:link w:val="Titleofdoc0"/>
    <w:rsid w:val="00113D6B"/>
    <w:rPr>
      <w:rFonts w:ascii="Arial" w:hAnsi="Arial"/>
      <w:b/>
      <w:caps/>
      <w:lang w:val="es-ES_tradnl"/>
    </w:rPr>
  </w:style>
  <w:style w:type="paragraph" w:customStyle="1" w:styleId="preparedby1">
    <w:name w:val="prepared_by"/>
    <w:basedOn w:val="preparedby0"/>
    <w:rsid w:val="00A706D3"/>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next w:val="Normal"/>
    <w:autoRedefine/>
    <w:uiPriority w:val="39"/>
    <w:qFormat/>
    <w:rsid w:val="004F2167"/>
    <w:pPr>
      <w:tabs>
        <w:tab w:val="left" w:pos="567"/>
        <w:tab w:val="right" w:leader="dot" w:pos="9639"/>
      </w:tabs>
      <w:spacing w:before="60"/>
      <w:ind w:left="284" w:right="567"/>
    </w:pPr>
    <w:rPr>
      <w:rFonts w:ascii="Arial" w:hAnsi="Arial"/>
      <w:noProof/>
      <w:snapToGrid w:val="0"/>
      <w:spacing w:val="-4"/>
      <w:sz w:val="18"/>
      <w:lang w:val="es-ES"/>
    </w:rPr>
  </w:style>
  <w:style w:type="paragraph" w:styleId="TOC3">
    <w:name w:val="toc 3"/>
    <w:next w:val="Normal"/>
    <w:autoRedefine/>
    <w:uiPriority w:val="39"/>
    <w:qFormat/>
    <w:rsid w:val="004F2167"/>
    <w:pPr>
      <w:tabs>
        <w:tab w:val="right" w:leader="dot" w:pos="9639"/>
      </w:tabs>
      <w:spacing w:before="60"/>
      <w:ind w:left="851" w:right="284"/>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CF6CDB"/>
    <w:pPr>
      <w:tabs>
        <w:tab w:val="right" w:leader="dot" w:pos="9639"/>
      </w:tabs>
      <w:spacing w:after="60"/>
      <w:ind w:left="1418" w:right="567" w:hanging="284"/>
      <w:contextualSpacing/>
    </w:pPr>
    <w:rPr>
      <w:rFonts w:ascii="Arial" w:hAnsi="Arial"/>
      <w:sz w:val="16"/>
      <w:lang w:val="fr-FR"/>
    </w:rPr>
  </w:style>
  <w:style w:type="paragraph" w:styleId="TOC1">
    <w:name w:val="toc 1"/>
    <w:next w:val="Normal"/>
    <w:autoRedefine/>
    <w:uiPriority w:val="39"/>
    <w:qFormat/>
    <w:rsid w:val="004F2167"/>
    <w:pPr>
      <w:tabs>
        <w:tab w:val="right" w:leader="dot" w:pos="9639"/>
      </w:tabs>
      <w:spacing w:before="60"/>
      <w:jc w:val="center"/>
    </w:pPr>
    <w:rPr>
      <w:rFonts w:ascii="Arial" w:hAnsi="Arial"/>
      <w:caps/>
      <w:noProof/>
      <w:sz w:val="18"/>
      <w:szCs w:val="18"/>
    </w:rPr>
  </w:style>
  <w:style w:type="paragraph" w:styleId="TOC5">
    <w:name w:val="toc 5"/>
    <w:next w:val="Normal"/>
    <w:autoRedefine/>
    <w:uiPriority w:val="39"/>
    <w:rsid w:val="006818F4"/>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lang w:val="es-ES_tradnl"/>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BodyTextChar">
    <w:name w:val="Body Text Char"/>
    <w:basedOn w:val="DefaultParagraphFont"/>
    <w:rsid w:val="00955AD5"/>
    <w:rPr>
      <w:rFonts w:ascii="Arial" w:hAnsi="Arial"/>
    </w:rPr>
  </w:style>
  <w:style w:type="paragraph" w:styleId="ListParagraph">
    <w:name w:val="List Paragraph"/>
    <w:basedOn w:val="Normal"/>
    <w:qFormat/>
    <w:rsid w:val="00955AD5"/>
    <w:pPr>
      <w:ind w:left="720"/>
      <w:contextualSpacing/>
    </w:pPr>
    <w:rPr>
      <w:lang w:val="en-US"/>
    </w:rPr>
  </w:style>
  <w:style w:type="character" w:styleId="FollowedHyperlink">
    <w:name w:val="FollowedHyperlink"/>
    <w:basedOn w:val="DefaultParagraphFont"/>
    <w:uiPriority w:val="99"/>
    <w:unhideWhenUsed/>
    <w:rsid w:val="00955AD5"/>
    <w:rPr>
      <w:color w:val="800080" w:themeColor="followedHyperlink"/>
      <w:u w:val="single"/>
    </w:rPr>
  </w:style>
  <w:style w:type="paragraph" w:customStyle="1" w:styleId="Sessiontwp">
    <w:name w:val="Session_twp"/>
    <w:basedOn w:val="Normal"/>
    <w:next w:val="Normal"/>
    <w:qFormat/>
    <w:rsid w:val="00955AD5"/>
    <w:rPr>
      <w:b/>
      <w:lang w:val="en-US"/>
    </w:rPr>
  </w:style>
  <w:style w:type="paragraph" w:customStyle="1" w:styleId="Sessiontwpplacedate">
    <w:name w:val="Session_twp_place_date"/>
    <w:basedOn w:val="Normal"/>
    <w:next w:val="Normal"/>
    <w:qFormat/>
    <w:rsid w:val="00955AD5"/>
    <w:rPr>
      <w:lang w:val="en-US"/>
    </w:rPr>
  </w:style>
  <w:style w:type="table" w:styleId="TableGrid">
    <w:name w:val="Table Grid"/>
    <w:basedOn w:val="TableNormal"/>
    <w:rsid w:val="00955AD5"/>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955AD5"/>
    <w:rPr>
      <w:lang w:val="en-US"/>
    </w:rPr>
  </w:style>
  <w:style w:type="character" w:customStyle="1" w:styleId="CommentTextChar">
    <w:name w:val="Comment Text Char"/>
    <w:basedOn w:val="DefaultParagraphFont"/>
    <w:link w:val="CommentText"/>
    <w:rsid w:val="00955AD5"/>
    <w:rPr>
      <w:rFonts w:ascii="Arial" w:hAnsi="Arial"/>
    </w:rPr>
  </w:style>
  <w:style w:type="paragraph" w:styleId="CommentSubject">
    <w:name w:val="annotation subject"/>
    <w:basedOn w:val="CommentText"/>
    <w:next w:val="CommentText"/>
    <w:link w:val="CommentSubjectChar"/>
    <w:unhideWhenUsed/>
    <w:rsid w:val="00955AD5"/>
    <w:rPr>
      <w:b/>
      <w:bCs/>
    </w:rPr>
  </w:style>
  <w:style w:type="character" w:customStyle="1" w:styleId="CommentSubjectChar">
    <w:name w:val="Comment Subject Char"/>
    <w:basedOn w:val="CommentTextChar"/>
    <w:link w:val="CommentSubject"/>
    <w:rsid w:val="00955AD5"/>
    <w:rPr>
      <w:rFonts w:ascii="Arial" w:hAnsi="Arial"/>
      <w:b/>
      <w:bCs/>
    </w:rPr>
  </w:style>
  <w:style w:type="paragraph" w:customStyle="1" w:styleId="upov">
    <w:name w:val="upov"/>
    <w:basedOn w:val="Normal"/>
    <w:rsid w:val="00955AD5"/>
    <w:pPr>
      <w:spacing w:before="80"/>
      <w:jc w:val="right"/>
    </w:pPr>
    <w:rPr>
      <w:rFonts w:cs="Angsana New"/>
      <w:sz w:val="18"/>
      <w:szCs w:val="18"/>
      <w:lang w:val="de-DE" w:bidi="th-TH"/>
    </w:rPr>
  </w:style>
  <w:style w:type="paragraph" w:customStyle="1" w:styleId="merkmald">
    <w:name w:val="merkmal_d"/>
    <w:basedOn w:val="Normal"/>
    <w:rsid w:val="00955AD5"/>
    <w:pPr>
      <w:spacing w:before="80"/>
      <w:jc w:val="left"/>
    </w:pPr>
    <w:rPr>
      <w:rFonts w:cs="Angsana New"/>
      <w:b/>
      <w:bCs/>
      <w:sz w:val="18"/>
      <w:szCs w:val="18"/>
      <w:lang w:val="de-DE" w:bidi="th-TH"/>
    </w:rPr>
  </w:style>
  <w:style w:type="paragraph" w:customStyle="1" w:styleId="farbe">
    <w:name w:val="farbe"/>
    <w:basedOn w:val="note"/>
    <w:rsid w:val="00955AD5"/>
    <w:pPr>
      <w:jc w:val="left"/>
    </w:pPr>
  </w:style>
  <w:style w:type="paragraph" w:customStyle="1" w:styleId="note">
    <w:name w:val="note"/>
    <w:basedOn w:val="Normal"/>
    <w:rsid w:val="00955AD5"/>
    <w:pPr>
      <w:spacing w:before="80"/>
      <w:jc w:val="center"/>
    </w:pPr>
    <w:rPr>
      <w:rFonts w:cs="Angsana New"/>
      <w:sz w:val="18"/>
      <w:szCs w:val="18"/>
      <w:lang w:val="de-DE" w:bidi="th-TH"/>
    </w:rPr>
  </w:style>
  <w:style w:type="paragraph" w:customStyle="1" w:styleId="merkmale">
    <w:name w:val="merkmal_e"/>
    <w:basedOn w:val="merkmald"/>
    <w:rsid w:val="00955AD5"/>
    <w:pPr>
      <w:spacing w:before="0"/>
    </w:pPr>
    <w:rPr>
      <w:b w:val="0"/>
      <w:bCs w:val="0"/>
      <w:sz w:val="16"/>
      <w:szCs w:val="16"/>
    </w:rPr>
  </w:style>
  <w:style w:type="character" w:customStyle="1" w:styleId="TitleChar1">
    <w:name w:val="Title Char1"/>
    <w:basedOn w:val="DefaultParagraphFont"/>
    <w:locked/>
    <w:rsid w:val="00955AD5"/>
    <w:rPr>
      <w:rFonts w:ascii="Arial" w:hAnsi="Arial"/>
      <w:b/>
      <w:caps/>
      <w:kern w:val="28"/>
      <w:sz w:val="30"/>
    </w:rPr>
  </w:style>
  <w:style w:type="character" w:customStyle="1" w:styleId="BodyTextChar1">
    <w:name w:val="Body Text Char1"/>
    <w:basedOn w:val="DefaultParagraphFont"/>
    <w:rsid w:val="00955AD5"/>
    <w:rPr>
      <w:rFonts w:ascii="Arial" w:hAnsi="Arial"/>
    </w:rPr>
  </w:style>
  <w:style w:type="character" w:customStyle="1" w:styleId="Heading1Char1">
    <w:name w:val="Heading 1 Char1"/>
    <w:aliases w:val="COMMON NAME Char1,common Char1"/>
    <w:basedOn w:val="DefaultParagraphFont"/>
    <w:locked/>
    <w:rsid w:val="00955AD5"/>
    <w:rPr>
      <w:rFonts w:ascii="Arial" w:hAnsi="Arial"/>
      <w:b/>
      <w:caps/>
    </w:rPr>
  </w:style>
  <w:style w:type="paragraph" w:customStyle="1" w:styleId="StyleDocoriginalNotBold">
    <w:name w:val="Style Doc_original + Not Bold"/>
    <w:basedOn w:val="Docoriginal"/>
    <w:link w:val="StyleDocoriginalNotBoldChar"/>
    <w:autoRedefine/>
    <w:rsid w:val="00955AD5"/>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955AD5"/>
    <w:rPr>
      <w:rFonts w:ascii="Arial" w:hAnsi="Arial"/>
      <w:b/>
      <w:bCs/>
      <w:spacing w:val="10"/>
      <w:sz w:val="18"/>
      <w:lang w:val="fr-FR" w:eastAsia="en-US" w:bidi="ar-SA"/>
    </w:rPr>
  </w:style>
  <w:style w:type="paragraph" w:customStyle="1" w:styleId="StyleDocnumber">
    <w:name w:val="Style Doc_number"/>
    <w:basedOn w:val="Docoriginal"/>
    <w:rsid w:val="00955AD5"/>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955AD5"/>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955AD5"/>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955AD5"/>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955AD5"/>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955AD5"/>
    <w:rPr>
      <w:rFonts w:ascii="Arial" w:hAnsi="Arial"/>
      <w:b/>
      <w:bCs/>
      <w:spacing w:val="10"/>
      <w:lang w:val="en-US" w:eastAsia="en-US" w:bidi="ar-SA"/>
    </w:rPr>
  </w:style>
  <w:style w:type="character" w:customStyle="1" w:styleId="StyleDoclangBold">
    <w:name w:val="Style Doc_lang + Bold"/>
    <w:basedOn w:val="Doclang"/>
    <w:rsid w:val="00955AD5"/>
    <w:rPr>
      <w:rFonts w:ascii="Arial" w:hAnsi="Arial"/>
      <w:b/>
      <w:bCs/>
      <w:sz w:val="20"/>
      <w:lang w:val="en-US"/>
    </w:rPr>
  </w:style>
  <w:style w:type="paragraph" w:customStyle="1" w:styleId="StyleTitleofSectionArial10ptBefore0ptAfter0pt">
    <w:name w:val="Style Title of Section + Arial 10 pt Before:  0 pt After:  0 pt..."/>
    <w:basedOn w:val="Normal"/>
    <w:autoRedefine/>
    <w:rsid w:val="00955AD5"/>
    <w:pPr>
      <w:pBdr>
        <w:top w:val="single" w:sz="4" w:space="0" w:color="auto"/>
        <w:left w:val="single" w:sz="4" w:space="3" w:color="auto"/>
        <w:bottom w:val="single" w:sz="4" w:space="1" w:color="auto"/>
        <w:right w:val="single" w:sz="4" w:space="4" w:color="auto"/>
      </w:pBdr>
      <w:shd w:val="clear" w:color="auto" w:fill="D9D9D9"/>
      <w:jc w:val="center"/>
    </w:pPr>
    <w:rPr>
      <w:b/>
      <w:bCs/>
      <w:lang w:val="en-US" w:eastAsia="de-DE"/>
    </w:rPr>
  </w:style>
  <w:style w:type="character" w:customStyle="1" w:styleId="CommentTextChar1">
    <w:name w:val="Comment Text Char1"/>
    <w:basedOn w:val="DefaultParagraphFont"/>
    <w:rsid w:val="00955AD5"/>
    <w:rPr>
      <w:sz w:val="22"/>
    </w:rPr>
  </w:style>
  <w:style w:type="paragraph" w:customStyle="1" w:styleId="TitleofSection">
    <w:name w:val="Title of Section"/>
    <w:basedOn w:val="TitleofDoc"/>
    <w:rsid w:val="00955AD5"/>
    <w:pPr>
      <w:spacing w:before="120" w:after="120"/>
    </w:pPr>
    <w:rPr>
      <w:b/>
      <w:bCs/>
      <w:caps w:val="0"/>
      <w:lang w:val="fr-FR"/>
    </w:rPr>
  </w:style>
  <w:style w:type="paragraph" w:customStyle="1" w:styleId="Normaltg">
    <w:name w:val="Normaltg"/>
    <w:basedOn w:val="Normal"/>
    <w:rsid w:val="00955AD5"/>
    <w:pPr>
      <w:tabs>
        <w:tab w:val="left" w:pos="709"/>
        <w:tab w:val="left" w:pos="1418"/>
      </w:tabs>
    </w:pPr>
    <w:rPr>
      <w:lang w:val="fr-FR"/>
    </w:rPr>
  </w:style>
  <w:style w:type="paragraph" w:styleId="ListBullet">
    <w:name w:val="List Bullet"/>
    <w:basedOn w:val="Normal"/>
    <w:autoRedefine/>
    <w:rsid w:val="00955AD5"/>
    <w:pPr>
      <w:numPr>
        <w:numId w:val="8"/>
      </w:numPr>
    </w:pPr>
    <w:rPr>
      <w:rFonts w:cs="Angsana New"/>
      <w:szCs w:val="24"/>
      <w:lang w:val="en-US" w:bidi="th-TH"/>
    </w:rPr>
  </w:style>
  <w:style w:type="paragraph" w:styleId="ListBullet2">
    <w:name w:val="List Bullet 2"/>
    <w:basedOn w:val="Normal"/>
    <w:autoRedefine/>
    <w:rsid w:val="00955AD5"/>
    <w:pPr>
      <w:numPr>
        <w:numId w:val="9"/>
      </w:numPr>
      <w:tabs>
        <w:tab w:val="clear" w:pos="643"/>
        <w:tab w:val="num" w:pos="720"/>
      </w:tabs>
      <w:ind w:left="720"/>
    </w:pPr>
    <w:rPr>
      <w:rFonts w:cs="Angsana New"/>
      <w:szCs w:val="24"/>
      <w:lang w:val="en-US" w:bidi="th-TH"/>
    </w:rPr>
  </w:style>
  <w:style w:type="paragraph" w:styleId="ListBullet3">
    <w:name w:val="List Bullet 3"/>
    <w:basedOn w:val="Normal"/>
    <w:autoRedefine/>
    <w:rsid w:val="00955AD5"/>
    <w:pPr>
      <w:numPr>
        <w:numId w:val="10"/>
      </w:numPr>
      <w:tabs>
        <w:tab w:val="clear" w:pos="926"/>
        <w:tab w:val="num" w:pos="1080"/>
      </w:tabs>
      <w:ind w:left="1080"/>
    </w:pPr>
    <w:rPr>
      <w:rFonts w:cs="Angsana New"/>
      <w:szCs w:val="24"/>
      <w:lang w:val="en-US" w:bidi="th-TH"/>
    </w:rPr>
  </w:style>
  <w:style w:type="paragraph" w:styleId="ListBullet4">
    <w:name w:val="List Bullet 4"/>
    <w:basedOn w:val="Normal"/>
    <w:autoRedefine/>
    <w:rsid w:val="00955AD5"/>
    <w:pPr>
      <w:numPr>
        <w:numId w:val="11"/>
      </w:numPr>
      <w:tabs>
        <w:tab w:val="clear" w:pos="1209"/>
        <w:tab w:val="num" w:pos="1440"/>
      </w:tabs>
      <w:ind w:left="1440"/>
    </w:pPr>
    <w:rPr>
      <w:rFonts w:cs="Angsana New"/>
      <w:szCs w:val="24"/>
      <w:lang w:val="en-US" w:bidi="th-TH"/>
    </w:rPr>
  </w:style>
  <w:style w:type="paragraph" w:styleId="ListBullet5">
    <w:name w:val="List Bullet 5"/>
    <w:basedOn w:val="Normal"/>
    <w:autoRedefine/>
    <w:rsid w:val="00955AD5"/>
    <w:pPr>
      <w:numPr>
        <w:numId w:val="12"/>
      </w:numPr>
      <w:tabs>
        <w:tab w:val="clear" w:pos="1492"/>
        <w:tab w:val="num" w:pos="1800"/>
      </w:tabs>
      <w:ind w:left="1800"/>
    </w:pPr>
    <w:rPr>
      <w:rFonts w:cs="Angsana New"/>
      <w:szCs w:val="24"/>
      <w:lang w:val="en-US" w:bidi="th-TH"/>
    </w:rPr>
  </w:style>
  <w:style w:type="paragraph" w:styleId="ListNumber">
    <w:name w:val="List Number"/>
    <w:basedOn w:val="Normal"/>
    <w:rsid w:val="00955AD5"/>
    <w:pPr>
      <w:numPr>
        <w:numId w:val="13"/>
      </w:numPr>
    </w:pPr>
    <w:rPr>
      <w:rFonts w:cs="Angsana New"/>
      <w:szCs w:val="24"/>
      <w:lang w:val="en-US" w:bidi="th-TH"/>
    </w:rPr>
  </w:style>
  <w:style w:type="paragraph" w:styleId="ListNumber2">
    <w:name w:val="List Number 2"/>
    <w:basedOn w:val="Normal"/>
    <w:rsid w:val="00955AD5"/>
    <w:pPr>
      <w:numPr>
        <w:numId w:val="14"/>
      </w:numPr>
      <w:tabs>
        <w:tab w:val="clear" w:pos="643"/>
        <w:tab w:val="num" w:pos="720"/>
      </w:tabs>
      <w:ind w:left="720"/>
    </w:pPr>
    <w:rPr>
      <w:rFonts w:cs="Angsana New"/>
      <w:szCs w:val="24"/>
      <w:lang w:val="en-US" w:bidi="th-TH"/>
    </w:rPr>
  </w:style>
  <w:style w:type="paragraph" w:styleId="ListNumber3">
    <w:name w:val="List Number 3"/>
    <w:basedOn w:val="Normal"/>
    <w:rsid w:val="00955AD5"/>
    <w:pPr>
      <w:numPr>
        <w:numId w:val="15"/>
      </w:numPr>
      <w:tabs>
        <w:tab w:val="clear" w:pos="926"/>
        <w:tab w:val="num" w:pos="1080"/>
      </w:tabs>
      <w:ind w:left="1080"/>
    </w:pPr>
    <w:rPr>
      <w:rFonts w:cs="Angsana New"/>
      <w:szCs w:val="24"/>
      <w:lang w:val="en-US" w:bidi="th-TH"/>
    </w:rPr>
  </w:style>
  <w:style w:type="paragraph" w:styleId="ListNumber4">
    <w:name w:val="List Number 4"/>
    <w:basedOn w:val="Normal"/>
    <w:rsid w:val="00955AD5"/>
    <w:pPr>
      <w:numPr>
        <w:numId w:val="16"/>
      </w:numPr>
      <w:tabs>
        <w:tab w:val="clear" w:pos="1209"/>
        <w:tab w:val="num" w:pos="1440"/>
      </w:tabs>
      <w:ind w:left="1440"/>
    </w:pPr>
    <w:rPr>
      <w:rFonts w:cs="Angsana New"/>
      <w:szCs w:val="24"/>
      <w:lang w:val="en-US" w:bidi="th-TH"/>
    </w:rPr>
  </w:style>
  <w:style w:type="paragraph" w:styleId="ListNumber5">
    <w:name w:val="List Number 5"/>
    <w:basedOn w:val="Normal"/>
    <w:rsid w:val="00955AD5"/>
    <w:pPr>
      <w:numPr>
        <w:numId w:val="17"/>
      </w:numPr>
      <w:tabs>
        <w:tab w:val="clear" w:pos="1492"/>
        <w:tab w:val="num" w:pos="1800"/>
      </w:tabs>
      <w:ind w:left="1800"/>
    </w:pPr>
    <w:rPr>
      <w:rFonts w:cs="Angsana New"/>
      <w:szCs w:val="24"/>
      <w:lang w:val="en-US" w:bidi="th-TH"/>
    </w:rPr>
  </w:style>
  <w:style w:type="paragraph" w:styleId="BodyTextIndent">
    <w:name w:val="Body Text Indent"/>
    <w:basedOn w:val="Normal"/>
    <w:link w:val="BodyTextIndentChar"/>
    <w:rsid w:val="00955AD5"/>
    <w:pPr>
      <w:spacing w:after="120"/>
      <w:ind w:left="360"/>
    </w:pPr>
    <w:rPr>
      <w:rFonts w:cs="Angsana New"/>
      <w:szCs w:val="24"/>
      <w:lang w:val="en-US" w:bidi="th-TH"/>
    </w:rPr>
  </w:style>
  <w:style w:type="character" w:customStyle="1" w:styleId="BodyTextIndentChar">
    <w:name w:val="Body Text Indent Char"/>
    <w:basedOn w:val="DefaultParagraphFont"/>
    <w:link w:val="BodyTextIndent"/>
    <w:rsid w:val="00955AD5"/>
    <w:rPr>
      <w:rFonts w:ascii="Arial" w:hAnsi="Arial" w:cs="Angsana New"/>
      <w:szCs w:val="24"/>
      <w:lang w:bidi="th-TH"/>
    </w:rPr>
  </w:style>
  <w:style w:type="paragraph" w:customStyle="1" w:styleId="heading4u">
    <w:name w:val="heading 4u"/>
    <w:basedOn w:val="Heading4"/>
    <w:rsid w:val="00955AD5"/>
    <w:pPr>
      <w:ind w:left="992" w:hanging="992"/>
    </w:pPr>
    <w:rPr>
      <w:rFonts w:cs="Angsana New"/>
      <w:szCs w:val="24"/>
      <w:lang w:val="en-US" w:bidi="th-TH"/>
    </w:rPr>
  </w:style>
  <w:style w:type="paragraph" w:styleId="BodyText2">
    <w:name w:val="Body Text 2"/>
    <w:basedOn w:val="Normal"/>
    <w:link w:val="BodyText2Char"/>
    <w:rsid w:val="00955AD5"/>
    <w:rPr>
      <w:rFonts w:cs="Angsana New"/>
      <w:b/>
      <w:bCs/>
      <w:szCs w:val="24"/>
      <w:lang w:val="en-US" w:bidi="th-TH"/>
    </w:rPr>
  </w:style>
  <w:style w:type="character" w:customStyle="1" w:styleId="BodyText2Char">
    <w:name w:val="Body Text 2 Char"/>
    <w:basedOn w:val="DefaultParagraphFont"/>
    <w:link w:val="BodyText2"/>
    <w:rsid w:val="00955AD5"/>
    <w:rPr>
      <w:rFonts w:ascii="Arial" w:hAnsi="Arial" w:cs="Angsana New"/>
      <w:b/>
      <w:bCs/>
      <w:szCs w:val="24"/>
      <w:lang w:bidi="th-TH"/>
    </w:rPr>
  </w:style>
  <w:style w:type="paragraph" w:customStyle="1" w:styleId="n">
    <w:name w:val="n"/>
    <w:basedOn w:val="Header"/>
    <w:rsid w:val="00955AD5"/>
    <w:pPr>
      <w:tabs>
        <w:tab w:val="center" w:pos="4536"/>
        <w:tab w:val="right" w:pos="9072"/>
      </w:tabs>
      <w:ind w:left="567"/>
      <w:jc w:val="left"/>
    </w:pPr>
    <w:rPr>
      <w:rFonts w:cs="Angsana New"/>
      <w:b/>
      <w:bCs/>
      <w:szCs w:val="24"/>
      <w:lang w:val="fr-FR" w:bidi="th-TH"/>
    </w:rPr>
  </w:style>
  <w:style w:type="paragraph" w:customStyle="1" w:styleId="Heading31">
    <w:name w:val="Heading 31"/>
    <w:basedOn w:val="Heading3"/>
    <w:rsid w:val="00955AD5"/>
    <w:pPr>
      <w:keepNext w:val="0"/>
      <w:shd w:val="clear" w:color="auto" w:fill="auto"/>
    </w:pPr>
    <w:rPr>
      <w:rFonts w:cs="Angsana New"/>
      <w:iCs/>
      <w:szCs w:val="24"/>
      <w:lang w:bidi="th-TH"/>
    </w:rPr>
  </w:style>
  <w:style w:type="paragraph" w:customStyle="1" w:styleId="Normaltb">
    <w:name w:val="Normaltb"/>
    <w:basedOn w:val="Normalt"/>
    <w:uiPriority w:val="99"/>
    <w:rsid w:val="00955AD5"/>
    <w:pPr>
      <w:keepNext/>
    </w:pPr>
    <w:rPr>
      <w:b/>
      <w:bCs/>
    </w:rPr>
  </w:style>
  <w:style w:type="paragraph" w:customStyle="1" w:styleId="Normalt">
    <w:name w:val="Normalt"/>
    <w:basedOn w:val="Normal"/>
    <w:link w:val="NormaltChar"/>
    <w:rsid w:val="00955AD5"/>
    <w:pPr>
      <w:spacing w:before="120" w:after="120"/>
      <w:jc w:val="left"/>
    </w:pPr>
    <w:rPr>
      <w:rFonts w:cs="Angsana New"/>
      <w:noProof/>
      <w:lang w:val="en-US" w:bidi="th-TH"/>
    </w:rPr>
  </w:style>
  <w:style w:type="character" w:customStyle="1" w:styleId="NormaltChar">
    <w:name w:val="Normalt Char"/>
    <w:link w:val="Normalt"/>
    <w:locked/>
    <w:rsid w:val="00955AD5"/>
    <w:rPr>
      <w:rFonts w:ascii="Arial" w:hAnsi="Arial" w:cs="Angsana New"/>
      <w:noProof/>
      <w:lang w:bidi="th-TH"/>
    </w:rPr>
  </w:style>
  <w:style w:type="paragraph" w:styleId="DocumentMap">
    <w:name w:val="Document Map"/>
    <w:basedOn w:val="Normal"/>
    <w:link w:val="DocumentMapChar"/>
    <w:rsid w:val="00955AD5"/>
    <w:pPr>
      <w:shd w:val="clear" w:color="auto" w:fill="000080"/>
      <w:jc w:val="left"/>
    </w:pPr>
    <w:rPr>
      <w:rFonts w:ascii="Tahoma" w:hAnsi="Tahoma" w:cs="Tahoma"/>
      <w:szCs w:val="24"/>
      <w:lang w:val="en-US" w:bidi="th-TH"/>
    </w:rPr>
  </w:style>
  <w:style w:type="character" w:customStyle="1" w:styleId="DocumentMapChar">
    <w:name w:val="Document Map Char"/>
    <w:basedOn w:val="DefaultParagraphFont"/>
    <w:link w:val="DocumentMap"/>
    <w:rsid w:val="00955AD5"/>
    <w:rPr>
      <w:rFonts w:ascii="Tahoma" w:hAnsi="Tahoma" w:cs="Tahoma"/>
      <w:szCs w:val="24"/>
      <w:shd w:val="clear" w:color="auto" w:fill="000080"/>
      <w:lang w:bidi="th-TH"/>
    </w:rPr>
  </w:style>
  <w:style w:type="paragraph" w:styleId="BodyTextIndent2">
    <w:name w:val="Body Text Indent 2"/>
    <w:basedOn w:val="Normal"/>
    <w:link w:val="BodyTextIndent2Char"/>
    <w:rsid w:val="00955AD5"/>
    <w:pPr>
      <w:numPr>
        <w:numId w:val="18"/>
      </w:numPr>
      <w:tabs>
        <w:tab w:val="clear" w:pos="360"/>
        <w:tab w:val="left" w:pos="851"/>
      </w:tabs>
      <w:ind w:left="567" w:firstLine="0"/>
    </w:pPr>
    <w:rPr>
      <w:rFonts w:cs="Angsana New"/>
      <w:szCs w:val="24"/>
      <w:lang w:val="en-US" w:bidi="th-TH"/>
    </w:rPr>
  </w:style>
  <w:style w:type="character" w:customStyle="1" w:styleId="BodyTextIndent2Char">
    <w:name w:val="Body Text Indent 2 Char"/>
    <w:basedOn w:val="DefaultParagraphFont"/>
    <w:link w:val="BodyTextIndent2"/>
    <w:rsid w:val="00955AD5"/>
    <w:rPr>
      <w:rFonts w:ascii="Arial" w:hAnsi="Arial" w:cs="Angsana New"/>
      <w:szCs w:val="24"/>
      <w:lang w:bidi="th-TH"/>
    </w:rPr>
  </w:style>
  <w:style w:type="paragraph" w:customStyle="1" w:styleId="indentpara">
    <w:name w:val="indentpara"/>
    <w:basedOn w:val="Normal"/>
    <w:rsid w:val="00955AD5"/>
    <w:pPr>
      <w:tabs>
        <w:tab w:val="num" w:pos="360"/>
      </w:tabs>
      <w:ind w:left="360" w:hanging="360"/>
      <w:jc w:val="left"/>
    </w:pPr>
    <w:rPr>
      <w:rFonts w:cs="Angsana New"/>
      <w:szCs w:val="24"/>
      <w:lang w:val="en-US" w:bidi="th-TH"/>
    </w:rPr>
  </w:style>
  <w:style w:type="paragraph" w:customStyle="1" w:styleId="Style1">
    <w:name w:val="Style1"/>
    <w:basedOn w:val="Normal"/>
    <w:rsid w:val="00955AD5"/>
    <w:pPr>
      <w:tabs>
        <w:tab w:val="decimal" w:pos="907"/>
        <w:tab w:val="left" w:pos="1077"/>
      </w:tabs>
    </w:pPr>
    <w:rPr>
      <w:rFonts w:cs="Angsana New"/>
      <w:szCs w:val="24"/>
      <w:lang w:val="en-US" w:bidi="th-TH"/>
    </w:rPr>
  </w:style>
  <w:style w:type="paragraph" w:customStyle="1" w:styleId="h4para">
    <w:name w:val="h4para"/>
    <w:basedOn w:val="Normal"/>
    <w:rsid w:val="00955AD5"/>
    <w:pPr>
      <w:tabs>
        <w:tab w:val="left" w:pos="993"/>
        <w:tab w:val="left" w:pos="1843"/>
      </w:tabs>
    </w:pPr>
    <w:rPr>
      <w:rFonts w:cs="Angsana New"/>
      <w:sz w:val="22"/>
      <w:szCs w:val="22"/>
      <w:lang w:val="en-US" w:bidi="th-TH"/>
    </w:rPr>
  </w:style>
  <w:style w:type="paragraph" w:styleId="BodyText3">
    <w:name w:val="Body Text 3"/>
    <w:basedOn w:val="Normal"/>
    <w:link w:val="BodyText3Char"/>
    <w:rsid w:val="00955AD5"/>
    <w:pPr>
      <w:spacing w:after="120"/>
      <w:jc w:val="left"/>
    </w:pPr>
    <w:rPr>
      <w:rFonts w:cs="Angsana New"/>
      <w:sz w:val="16"/>
      <w:szCs w:val="16"/>
      <w:lang w:val="en-US" w:bidi="th-TH"/>
    </w:rPr>
  </w:style>
  <w:style w:type="character" w:customStyle="1" w:styleId="BodyText3Char">
    <w:name w:val="Body Text 3 Char"/>
    <w:basedOn w:val="DefaultParagraphFont"/>
    <w:link w:val="BodyText3"/>
    <w:rsid w:val="00955AD5"/>
    <w:rPr>
      <w:rFonts w:ascii="Arial" w:hAnsi="Arial" w:cs="Angsana New"/>
      <w:sz w:val="16"/>
      <w:szCs w:val="16"/>
      <w:lang w:bidi="th-TH"/>
    </w:rPr>
  </w:style>
  <w:style w:type="paragraph" w:styleId="BlockText">
    <w:name w:val="Block Text"/>
    <w:basedOn w:val="Normal"/>
    <w:rsid w:val="00955AD5"/>
    <w:pPr>
      <w:spacing w:after="120"/>
      <w:ind w:left="1440" w:right="1440"/>
      <w:jc w:val="left"/>
    </w:pPr>
    <w:rPr>
      <w:rFonts w:cs="Angsana New"/>
      <w:szCs w:val="24"/>
      <w:lang w:val="en-US" w:bidi="th-TH"/>
    </w:rPr>
  </w:style>
  <w:style w:type="paragraph" w:styleId="BodyTextFirstIndent">
    <w:name w:val="Body Text First Indent"/>
    <w:basedOn w:val="BodyText"/>
    <w:link w:val="BodyTextFirstIndentChar"/>
    <w:rsid w:val="00955AD5"/>
    <w:pPr>
      <w:spacing w:after="120"/>
      <w:ind w:firstLine="210"/>
      <w:jc w:val="left"/>
    </w:pPr>
    <w:rPr>
      <w:rFonts w:cs="Angsana New"/>
      <w:szCs w:val="24"/>
      <w:lang w:val="en-US" w:bidi="th-TH"/>
    </w:rPr>
  </w:style>
  <w:style w:type="character" w:customStyle="1" w:styleId="BodyTextFirstIndentChar">
    <w:name w:val="Body Text First Indent Char"/>
    <w:basedOn w:val="BodyTextChar2"/>
    <w:link w:val="BodyTextFirstIndent"/>
    <w:rsid w:val="00955AD5"/>
    <w:rPr>
      <w:rFonts w:ascii="Arial" w:hAnsi="Arial" w:cs="Angsana New"/>
      <w:szCs w:val="24"/>
      <w:lang w:val="es-ES_tradnl" w:bidi="th-TH"/>
    </w:rPr>
  </w:style>
  <w:style w:type="paragraph" w:styleId="BodyTextFirstIndent2">
    <w:name w:val="Body Text First Indent 2"/>
    <w:basedOn w:val="BodyTextIndent"/>
    <w:link w:val="BodyTextFirstIndent2Char"/>
    <w:rsid w:val="00955AD5"/>
    <w:pPr>
      <w:ind w:left="283" w:firstLine="210"/>
      <w:jc w:val="left"/>
    </w:pPr>
  </w:style>
  <w:style w:type="character" w:customStyle="1" w:styleId="BodyTextFirstIndent2Char">
    <w:name w:val="Body Text First Indent 2 Char"/>
    <w:basedOn w:val="BodyTextIndentChar"/>
    <w:link w:val="BodyTextFirstIndent2"/>
    <w:rsid w:val="00955AD5"/>
    <w:rPr>
      <w:rFonts w:ascii="Arial" w:hAnsi="Arial" w:cs="Angsana New"/>
      <w:szCs w:val="24"/>
      <w:lang w:bidi="th-TH"/>
    </w:rPr>
  </w:style>
  <w:style w:type="paragraph" w:styleId="BodyTextIndent3">
    <w:name w:val="Body Text Indent 3"/>
    <w:basedOn w:val="Normal"/>
    <w:link w:val="BodyTextIndent3Char"/>
    <w:rsid w:val="00955AD5"/>
    <w:pPr>
      <w:spacing w:after="120"/>
      <w:ind w:left="283"/>
      <w:jc w:val="left"/>
    </w:pPr>
    <w:rPr>
      <w:rFonts w:cs="Angsana New"/>
      <w:sz w:val="16"/>
      <w:szCs w:val="16"/>
      <w:lang w:val="en-US" w:bidi="th-TH"/>
    </w:rPr>
  </w:style>
  <w:style w:type="character" w:customStyle="1" w:styleId="BodyTextIndent3Char">
    <w:name w:val="Body Text Indent 3 Char"/>
    <w:basedOn w:val="DefaultParagraphFont"/>
    <w:link w:val="BodyTextIndent3"/>
    <w:rsid w:val="00955AD5"/>
    <w:rPr>
      <w:rFonts w:ascii="Arial" w:hAnsi="Arial" w:cs="Angsana New"/>
      <w:sz w:val="16"/>
      <w:szCs w:val="16"/>
      <w:lang w:bidi="th-TH"/>
    </w:rPr>
  </w:style>
  <w:style w:type="paragraph" w:styleId="EnvelopeAddress">
    <w:name w:val="envelope address"/>
    <w:basedOn w:val="Normal"/>
    <w:rsid w:val="00955AD5"/>
    <w:pPr>
      <w:framePr w:w="7920" w:h="1980" w:hRule="exact" w:hSpace="180" w:wrap="auto" w:hAnchor="page" w:xAlign="center" w:yAlign="bottom"/>
      <w:ind w:left="2880"/>
      <w:jc w:val="left"/>
    </w:pPr>
    <w:rPr>
      <w:rFonts w:cs="Angsana New"/>
      <w:szCs w:val="24"/>
      <w:lang w:val="en-US" w:bidi="th-TH"/>
    </w:rPr>
  </w:style>
  <w:style w:type="paragraph" w:styleId="EnvelopeReturn">
    <w:name w:val="envelope return"/>
    <w:basedOn w:val="Normal"/>
    <w:rsid w:val="00955AD5"/>
    <w:pPr>
      <w:jc w:val="left"/>
    </w:pPr>
    <w:rPr>
      <w:rFonts w:cs="Angsana New"/>
      <w:lang w:val="en-US" w:bidi="th-TH"/>
    </w:rPr>
  </w:style>
  <w:style w:type="paragraph" w:styleId="List">
    <w:name w:val="List"/>
    <w:basedOn w:val="Normal"/>
    <w:rsid w:val="00955AD5"/>
    <w:pPr>
      <w:ind w:left="283" w:hanging="283"/>
      <w:jc w:val="left"/>
    </w:pPr>
    <w:rPr>
      <w:rFonts w:cs="Angsana New"/>
      <w:szCs w:val="24"/>
      <w:lang w:val="en-US" w:bidi="th-TH"/>
    </w:rPr>
  </w:style>
  <w:style w:type="paragraph" w:styleId="List2">
    <w:name w:val="List 2"/>
    <w:basedOn w:val="Normal"/>
    <w:rsid w:val="00955AD5"/>
    <w:pPr>
      <w:ind w:left="566" w:hanging="283"/>
      <w:jc w:val="left"/>
    </w:pPr>
    <w:rPr>
      <w:rFonts w:cs="Angsana New"/>
      <w:szCs w:val="24"/>
      <w:lang w:val="en-US" w:bidi="th-TH"/>
    </w:rPr>
  </w:style>
  <w:style w:type="paragraph" w:styleId="List3">
    <w:name w:val="List 3"/>
    <w:basedOn w:val="Normal"/>
    <w:rsid w:val="00955AD5"/>
    <w:pPr>
      <w:ind w:left="849" w:hanging="283"/>
      <w:jc w:val="left"/>
    </w:pPr>
    <w:rPr>
      <w:rFonts w:cs="Angsana New"/>
      <w:szCs w:val="24"/>
      <w:lang w:val="en-US" w:bidi="th-TH"/>
    </w:rPr>
  </w:style>
  <w:style w:type="paragraph" w:styleId="List4">
    <w:name w:val="List 4"/>
    <w:basedOn w:val="Normal"/>
    <w:rsid w:val="00955AD5"/>
    <w:pPr>
      <w:ind w:left="1132" w:hanging="283"/>
      <w:jc w:val="left"/>
    </w:pPr>
    <w:rPr>
      <w:rFonts w:cs="Angsana New"/>
      <w:szCs w:val="24"/>
      <w:lang w:val="en-US" w:bidi="th-TH"/>
    </w:rPr>
  </w:style>
  <w:style w:type="paragraph" w:styleId="List5">
    <w:name w:val="List 5"/>
    <w:basedOn w:val="Normal"/>
    <w:rsid w:val="00955AD5"/>
    <w:pPr>
      <w:ind w:left="1415" w:hanging="283"/>
      <w:jc w:val="left"/>
    </w:pPr>
    <w:rPr>
      <w:rFonts w:cs="Angsana New"/>
      <w:szCs w:val="24"/>
      <w:lang w:val="en-US" w:bidi="th-TH"/>
    </w:rPr>
  </w:style>
  <w:style w:type="paragraph" w:styleId="ListContinue">
    <w:name w:val="List Continue"/>
    <w:basedOn w:val="Normal"/>
    <w:rsid w:val="00955AD5"/>
    <w:pPr>
      <w:spacing w:after="120"/>
      <w:ind w:left="283"/>
      <w:jc w:val="left"/>
    </w:pPr>
    <w:rPr>
      <w:rFonts w:cs="Angsana New"/>
      <w:szCs w:val="24"/>
      <w:lang w:val="en-US" w:bidi="th-TH"/>
    </w:rPr>
  </w:style>
  <w:style w:type="paragraph" w:styleId="ListContinue2">
    <w:name w:val="List Continue 2"/>
    <w:basedOn w:val="Normal"/>
    <w:rsid w:val="00955AD5"/>
    <w:pPr>
      <w:spacing w:after="120"/>
      <w:ind w:left="566"/>
      <w:jc w:val="left"/>
    </w:pPr>
    <w:rPr>
      <w:rFonts w:cs="Angsana New"/>
      <w:szCs w:val="24"/>
      <w:lang w:val="en-US" w:bidi="th-TH"/>
    </w:rPr>
  </w:style>
  <w:style w:type="paragraph" w:styleId="ListContinue3">
    <w:name w:val="List Continue 3"/>
    <w:basedOn w:val="Normal"/>
    <w:rsid w:val="00955AD5"/>
    <w:pPr>
      <w:spacing w:after="120"/>
      <w:ind w:left="849"/>
      <w:jc w:val="left"/>
    </w:pPr>
    <w:rPr>
      <w:rFonts w:cs="Angsana New"/>
      <w:szCs w:val="24"/>
      <w:lang w:val="en-US" w:bidi="th-TH"/>
    </w:rPr>
  </w:style>
  <w:style w:type="paragraph" w:styleId="ListContinue4">
    <w:name w:val="List Continue 4"/>
    <w:basedOn w:val="Normal"/>
    <w:rsid w:val="00955AD5"/>
    <w:pPr>
      <w:spacing w:after="120"/>
      <w:ind w:left="1132"/>
      <w:jc w:val="left"/>
    </w:pPr>
    <w:rPr>
      <w:rFonts w:cs="Angsana New"/>
      <w:szCs w:val="24"/>
      <w:lang w:val="en-US" w:bidi="th-TH"/>
    </w:rPr>
  </w:style>
  <w:style w:type="paragraph" w:styleId="ListContinue5">
    <w:name w:val="List Continue 5"/>
    <w:basedOn w:val="Normal"/>
    <w:rsid w:val="00955AD5"/>
    <w:pPr>
      <w:spacing w:after="120"/>
      <w:ind w:left="1415"/>
      <w:jc w:val="left"/>
    </w:pPr>
    <w:rPr>
      <w:rFonts w:cs="Angsana New"/>
      <w:szCs w:val="24"/>
      <w:lang w:val="en-US" w:bidi="th-TH"/>
    </w:rPr>
  </w:style>
  <w:style w:type="paragraph" w:styleId="MessageHeader">
    <w:name w:val="Message Header"/>
    <w:basedOn w:val="Normal"/>
    <w:link w:val="MessageHeaderChar"/>
    <w:rsid w:val="00955AD5"/>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cs="Angsana New"/>
      <w:szCs w:val="24"/>
      <w:lang w:val="en-US" w:bidi="th-TH"/>
    </w:rPr>
  </w:style>
  <w:style w:type="character" w:customStyle="1" w:styleId="MessageHeaderChar">
    <w:name w:val="Message Header Char"/>
    <w:basedOn w:val="DefaultParagraphFont"/>
    <w:link w:val="MessageHeader"/>
    <w:rsid w:val="00955AD5"/>
    <w:rPr>
      <w:rFonts w:ascii="Arial" w:hAnsi="Arial" w:cs="Angsana New"/>
      <w:szCs w:val="24"/>
      <w:shd w:val="pct20" w:color="auto" w:fill="auto"/>
      <w:lang w:bidi="th-TH"/>
    </w:rPr>
  </w:style>
  <w:style w:type="paragraph" w:styleId="NormalIndent">
    <w:name w:val="Normal Indent"/>
    <w:basedOn w:val="Normal"/>
    <w:rsid w:val="00955AD5"/>
    <w:pPr>
      <w:ind w:left="567"/>
      <w:jc w:val="left"/>
    </w:pPr>
    <w:rPr>
      <w:rFonts w:cs="Angsana New"/>
      <w:szCs w:val="24"/>
      <w:lang w:val="en-US" w:bidi="th-TH"/>
    </w:rPr>
  </w:style>
  <w:style w:type="paragraph" w:styleId="NoteHeading">
    <w:name w:val="Note Heading"/>
    <w:basedOn w:val="Normal"/>
    <w:next w:val="Normal"/>
    <w:link w:val="NoteHeadingChar"/>
    <w:rsid w:val="00955AD5"/>
    <w:pPr>
      <w:jc w:val="left"/>
    </w:pPr>
    <w:rPr>
      <w:rFonts w:cs="Angsana New"/>
      <w:szCs w:val="24"/>
      <w:lang w:val="en-US" w:bidi="th-TH"/>
    </w:rPr>
  </w:style>
  <w:style w:type="character" w:customStyle="1" w:styleId="NoteHeadingChar">
    <w:name w:val="Note Heading Char"/>
    <w:basedOn w:val="DefaultParagraphFont"/>
    <w:link w:val="NoteHeading"/>
    <w:rsid w:val="00955AD5"/>
    <w:rPr>
      <w:rFonts w:ascii="Arial" w:hAnsi="Arial" w:cs="Angsana New"/>
      <w:szCs w:val="24"/>
      <w:lang w:bidi="th-TH"/>
    </w:rPr>
  </w:style>
  <w:style w:type="paragraph" w:styleId="PlainText">
    <w:name w:val="Plain Text"/>
    <w:basedOn w:val="Normal"/>
    <w:link w:val="PlainTextChar"/>
    <w:rsid w:val="00955AD5"/>
    <w:pPr>
      <w:jc w:val="left"/>
    </w:pPr>
    <w:rPr>
      <w:rFonts w:ascii="Courier New" w:hAnsi="Courier New" w:cs="Angsana New"/>
      <w:lang w:val="en-US" w:bidi="th-TH"/>
    </w:rPr>
  </w:style>
  <w:style w:type="character" w:customStyle="1" w:styleId="PlainTextChar">
    <w:name w:val="Plain Text Char"/>
    <w:basedOn w:val="DefaultParagraphFont"/>
    <w:link w:val="PlainText"/>
    <w:rsid w:val="00955AD5"/>
    <w:rPr>
      <w:rFonts w:ascii="Courier New" w:hAnsi="Courier New" w:cs="Angsana New"/>
      <w:lang w:bidi="th-TH"/>
    </w:rPr>
  </w:style>
  <w:style w:type="paragraph" w:styleId="Salutation">
    <w:name w:val="Salutation"/>
    <w:basedOn w:val="Normal"/>
    <w:next w:val="Normal"/>
    <w:link w:val="SalutationChar"/>
    <w:rsid w:val="00955AD5"/>
    <w:pPr>
      <w:jc w:val="left"/>
    </w:pPr>
    <w:rPr>
      <w:rFonts w:cs="Angsana New"/>
      <w:szCs w:val="24"/>
      <w:lang w:val="en-US" w:bidi="th-TH"/>
    </w:rPr>
  </w:style>
  <w:style w:type="character" w:customStyle="1" w:styleId="SalutationChar">
    <w:name w:val="Salutation Char"/>
    <w:basedOn w:val="DefaultParagraphFont"/>
    <w:link w:val="Salutation"/>
    <w:rsid w:val="00955AD5"/>
    <w:rPr>
      <w:rFonts w:ascii="Arial" w:hAnsi="Arial" w:cs="Angsana New"/>
      <w:szCs w:val="24"/>
      <w:lang w:bidi="th-TH"/>
    </w:rPr>
  </w:style>
  <w:style w:type="paragraph" w:styleId="Subtitle">
    <w:name w:val="Subtitle"/>
    <w:basedOn w:val="Normal"/>
    <w:link w:val="SubtitleChar"/>
    <w:qFormat/>
    <w:rsid w:val="00955AD5"/>
    <w:pPr>
      <w:spacing w:after="60"/>
      <w:jc w:val="center"/>
      <w:outlineLvl w:val="1"/>
    </w:pPr>
    <w:rPr>
      <w:rFonts w:cs="Angsana New"/>
      <w:szCs w:val="24"/>
      <w:lang w:val="en-US" w:bidi="th-TH"/>
    </w:rPr>
  </w:style>
  <w:style w:type="character" w:customStyle="1" w:styleId="SubtitleChar">
    <w:name w:val="Subtitle Char"/>
    <w:basedOn w:val="DefaultParagraphFont"/>
    <w:link w:val="Subtitle"/>
    <w:rsid w:val="00955AD5"/>
    <w:rPr>
      <w:rFonts w:ascii="Arial" w:hAnsi="Arial" w:cs="Angsana New"/>
      <w:szCs w:val="24"/>
      <w:lang w:bidi="th-TH"/>
    </w:rPr>
  </w:style>
  <w:style w:type="paragraph" w:customStyle="1" w:styleId="apsd">
    <w:name w:val="aps_d"/>
    <w:basedOn w:val="Normal"/>
    <w:rsid w:val="00955AD5"/>
    <w:pPr>
      <w:spacing w:before="80"/>
      <w:jc w:val="left"/>
    </w:pPr>
    <w:rPr>
      <w:rFonts w:cs="Angsana New"/>
      <w:b/>
      <w:bCs/>
      <w:snapToGrid w:val="0"/>
      <w:color w:val="000000"/>
      <w:sz w:val="18"/>
      <w:szCs w:val="18"/>
      <w:lang w:val="de-DE" w:bidi="th-TH"/>
    </w:rPr>
  </w:style>
  <w:style w:type="paragraph" w:customStyle="1" w:styleId="apse">
    <w:name w:val="aps_e"/>
    <w:basedOn w:val="apsd"/>
    <w:rsid w:val="00955AD5"/>
    <w:pPr>
      <w:spacing w:before="0"/>
    </w:pPr>
    <w:rPr>
      <w:b w:val="0"/>
      <w:bCs w:val="0"/>
      <w:sz w:val="16"/>
      <w:szCs w:val="16"/>
    </w:rPr>
  </w:style>
  <w:style w:type="paragraph" w:styleId="IndexHeading">
    <w:name w:val="index heading"/>
    <w:basedOn w:val="Normal"/>
    <w:next w:val="Index1"/>
    <w:uiPriority w:val="99"/>
    <w:rsid w:val="00955AD5"/>
    <w:pPr>
      <w:pBdr>
        <w:top w:val="single" w:sz="12" w:space="0" w:color="auto"/>
      </w:pBdr>
      <w:spacing w:before="360" w:after="240"/>
      <w:jc w:val="left"/>
    </w:pPr>
    <w:rPr>
      <w:b/>
      <w:bCs/>
      <w:i/>
      <w:iCs/>
      <w:sz w:val="26"/>
      <w:szCs w:val="26"/>
      <w:lang w:val="en-US" w:bidi="th-TH"/>
    </w:rPr>
  </w:style>
  <w:style w:type="paragraph" w:styleId="TOAHeading">
    <w:name w:val="toa heading"/>
    <w:basedOn w:val="Normal"/>
    <w:next w:val="Normal"/>
    <w:rsid w:val="00955AD5"/>
    <w:pPr>
      <w:spacing w:before="120"/>
    </w:pPr>
    <w:rPr>
      <w:b/>
      <w:bCs/>
      <w:szCs w:val="24"/>
      <w:lang w:val="en-US"/>
    </w:rPr>
  </w:style>
  <w:style w:type="character" w:customStyle="1" w:styleId="underline">
    <w:name w:val="underline"/>
    <w:basedOn w:val="DefaultParagraphFont"/>
    <w:rsid w:val="00955AD5"/>
    <w:rPr>
      <w:u w:val="single"/>
    </w:rPr>
  </w:style>
  <w:style w:type="paragraph" w:customStyle="1" w:styleId="bullet">
    <w:name w:val="bullet"/>
    <w:basedOn w:val="Normal"/>
    <w:rsid w:val="00955AD5"/>
    <w:pPr>
      <w:tabs>
        <w:tab w:val="num" w:pos="926"/>
        <w:tab w:val="left" w:pos="993"/>
      </w:tabs>
      <w:ind w:left="992" w:hanging="425"/>
    </w:pPr>
    <w:rPr>
      <w:sz w:val="22"/>
      <w:szCs w:val="22"/>
      <w:lang w:val="en-US"/>
    </w:rPr>
  </w:style>
  <w:style w:type="paragraph" w:customStyle="1" w:styleId="chaptitle">
    <w:name w:val="chaptitle"/>
    <w:basedOn w:val="Normal"/>
    <w:rsid w:val="00955AD5"/>
    <w:pPr>
      <w:pBdr>
        <w:bottom w:val="single" w:sz="4" w:space="2" w:color="auto"/>
      </w:pBdr>
      <w:tabs>
        <w:tab w:val="right" w:pos="9071"/>
      </w:tabs>
      <w:spacing w:after="240"/>
      <w:jc w:val="center"/>
    </w:pPr>
    <w:rPr>
      <w:b/>
      <w:bCs/>
      <w:sz w:val="18"/>
      <w:szCs w:val="18"/>
      <w:lang w:val="en-US"/>
    </w:rPr>
  </w:style>
  <w:style w:type="paragraph" w:customStyle="1" w:styleId="Committee">
    <w:name w:val="Committee"/>
    <w:basedOn w:val="Title"/>
    <w:rsid w:val="00955AD5"/>
    <w:rPr>
      <w:rFonts w:cs="Arial"/>
      <w:bCs/>
      <w:caps w:val="0"/>
      <w:szCs w:val="30"/>
      <w:lang w:val="en-US"/>
    </w:rPr>
  </w:style>
  <w:style w:type="paragraph" w:customStyle="1" w:styleId="Draft">
    <w:name w:val="Draft"/>
    <w:basedOn w:val="Normal"/>
    <w:next w:val="Normal"/>
    <w:rsid w:val="00955AD5"/>
    <w:pPr>
      <w:spacing w:before="720" w:after="480"/>
      <w:jc w:val="center"/>
    </w:pPr>
    <w:rPr>
      <w:caps/>
      <w:sz w:val="28"/>
      <w:szCs w:val="28"/>
      <w:lang w:val="en-US"/>
    </w:rPr>
  </w:style>
  <w:style w:type="paragraph" w:customStyle="1" w:styleId="EndOfDoc0">
    <w:name w:val="EndOfDoc"/>
    <w:basedOn w:val="Normal"/>
    <w:rsid w:val="00955AD5"/>
    <w:pPr>
      <w:ind w:left="4536"/>
      <w:jc w:val="center"/>
    </w:pPr>
    <w:rPr>
      <w:sz w:val="22"/>
      <w:szCs w:val="22"/>
      <w:lang w:val="en-US"/>
    </w:rPr>
  </w:style>
  <w:style w:type="paragraph" w:customStyle="1" w:styleId="h5para">
    <w:name w:val="h5para"/>
    <w:basedOn w:val="Normal"/>
    <w:rsid w:val="00955AD5"/>
    <w:pPr>
      <w:tabs>
        <w:tab w:val="left" w:pos="1985"/>
      </w:tabs>
      <w:ind w:left="993"/>
    </w:pPr>
    <w:rPr>
      <w:sz w:val="22"/>
      <w:szCs w:val="22"/>
      <w:lang w:val="en-US"/>
    </w:rPr>
  </w:style>
  <w:style w:type="paragraph" w:customStyle="1" w:styleId="halfline">
    <w:name w:val="halfline"/>
    <w:basedOn w:val="Normal"/>
    <w:rsid w:val="00955AD5"/>
    <w:pPr>
      <w:spacing w:line="120" w:lineRule="exact"/>
    </w:pPr>
    <w:rPr>
      <w:sz w:val="22"/>
      <w:szCs w:val="22"/>
      <w:lang w:val="en-US"/>
    </w:rPr>
  </w:style>
  <w:style w:type="paragraph" w:customStyle="1" w:styleId="Standard">
    <w:name w:val="Standard"/>
    <w:rsid w:val="00955AD5"/>
    <w:rPr>
      <w:sz w:val="24"/>
      <w:szCs w:val="24"/>
      <w:lang w:val="de-DE"/>
    </w:rPr>
  </w:style>
  <w:style w:type="character" w:styleId="Strong">
    <w:name w:val="Strong"/>
    <w:basedOn w:val="DefaultParagraphFont"/>
    <w:qFormat/>
    <w:rsid w:val="00955AD5"/>
    <w:rPr>
      <w:b/>
      <w:bCs/>
    </w:rPr>
  </w:style>
  <w:style w:type="paragraph" w:customStyle="1" w:styleId="TOC2spec">
    <w:name w:val="TOC 2spec"/>
    <w:basedOn w:val="TOC2"/>
    <w:rsid w:val="00955AD5"/>
    <w:pPr>
      <w:tabs>
        <w:tab w:val="clear" w:pos="9639"/>
        <w:tab w:val="left" w:pos="709"/>
        <w:tab w:val="left" w:pos="1134"/>
        <w:tab w:val="right" w:leader="dot" w:pos="9072"/>
      </w:tabs>
      <w:ind w:left="709" w:right="284" w:hanging="425"/>
      <w:jc w:val="both"/>
    </w:pPr>
    <w:rPr>
      <w:i/>
      <w:iCs/>
      <w:smallCaps/>
    </w:rPr>
  </w:style>
  <w:style w:type="paragraph" w:customStyle="1" w:styleId="Blockquote">
    <w:name w:val="Blockquote"/>
    <w:basedOn w:val="Normal"/>
    <w:rsid w:val="00955AD5"/>
    <w:pPr>
      <w:spacing w:before="100" w:after="100"/>
      <w:ind w:left="360" w:right="360"/>
      <w:jc w:val="left"/>
    </w:pPr>
    <w:rPr>
      <w:snapToGrid w:val="0"/>
      <w:szCs w:val="24"/>
      <w:lang w:val="en-AU"/>
    </w:rPr>
  </w:style>
  <w:style w:type="paragraph" w:styleId="Index4">
    <w:name w:val="index 4"/>
    <w:basedOn w:val="Normal"/>
    <w:next w:val="Normal"/>
    <w:autoRedefine/>
    <w:rsid w:val="00955AD5"/>
    <w:pPr>
      <w:ind w:left="960" w:hanging="240"/>
      <w:jc w:val="left"/>
    </w:pPr>
    <w:rPr>
      <w:sz w:val="18"/>
      <w:szCs w:val="18"/>
      <w:lang w:val="en-US" w:bidi="th-TH"/>
    </w:rPr>
  </w:style>
  <w:style w:type="paragraph" w:styleId="Index5">
    <w:name w:val="index 5"/>
    <w:basedOn w:val="Normal"/>
    <w:next w:val="Normal"/>
    <w:autoRedefine/>
    <w:rsid w:val="00955AD5"/>
    <w:pPr>
      <w:ind w:left="1200" w:hanging="240"/>
      <w:jc w:val="left"/>
    </w:pPr>
    <w:rPr>
      <w:sz w:val="18"/>
      <w:szCs w:val="18"/>
      <w:lang w:val="en-US" w:bidi="th-TH"/>
    </w:rPr>
  </w:style>
  <w:style w:type="paragraph" w:styleId="Index6">
    <w:name w:val="index 6"/>
    <w:basedOn w:val="Normal"/>
    <w:next w:val="Normal"/>
    <w:autoRedefine/>
    <w:rsid w:val="00955AD5"/>
    <w:pPr>
      <w:ind w:left="1440" w:hanging="240"/>
      <w:jc w:val="left"/>
    </w:pPr>
    <w:rPr>
      <w:sz w:val="18"/>
      <w:szCs w:val="18"/>
      <w:lang w:val="en-US" w:bidi="th-TH"/>
    </w:rPr>
  </w:style>
  <w:style w:type="paragraph" w:styleId="Index7">
    <w:name w:val="index 7"/>
    <w:basedOn w:val="Normal"/>
    <w:next w:val="Normal"/>
    <w:autoRedefine/>
    <w:rsid w:val="00955AD5"/>
    <w:pPr>
      <w:ind w:left="1680" w:hanging="240"/>
      <w:jc w:val="left"/>
    </w:pPr>
    <w:rPr>
      <w:sz w:val="18"/>
      <w:szCs w:val="18"/>
      <w:lang w:val="en-US" w:bidi="th-TH"/>
    </w:rPr>
  </w:style>
  <w:style w:type="paragraph" w:styleId="Index8">
    <w:name w:val="index 8"/>
    <w:basedOn w:val="Normal"/>
    <w:next w:val="Normal"/>
    <w:autoRedefine/>
    <w:rsid w:val="00955AD5"/>
    <w:pPr>
      <w:ind w:left="1920" w:hanging="240"/>
      <w:jc w:val="left"/>
    </w:pPr>
    <w:rPr>
      <w:sz w:val="18"/>
      <w:szCs w:val="18"/>
      <w:lang w:val="en-US" w:bidi="th-TH"/>
    </w:rPr>
  </w:style>
  <w:style w:type="paragraph" w:styleId="Index9">
    <w:name w:val="index 9"/>
    <w:basedOn w:val="Normal"/>
    <w:next w:val="Normal"/>
    <w:autoRedefine/>
    <w:rsid w:val="00955AD5"/>
    <w:pPr>
      <w:ind w:left="2160" w:hanging="240"/>
      <w:jc w:val="left"/>
    </w:pPr>
    <w:rPr>
      <w:sz w:val="18"/>
      <w:szCs w:val="18"/>
      <w:lang w:val="en-US" w:bidi="th-TH"/>
    </w:rPr>
  </w:style>
  <w:style w:type="paragraph" w:customStyle="1" w:styleId="Cle">
    <w:name w:val="Cle"/>
    <w:basedOn w:val="Normal"/>
    <w:rsid w:val="00955AD5"/>
    <w:pPr>
      <w:numPr>
        <w:ilvl w:val="2"/>
        <w:numId w:val="19"/>
      </w:numPr>
      <w:jc w:val="left"/>
    </w:pPr>
    <w:rPr>
      <w:rFonts w:cs="Angsana New"/>
      <w:color w:val="FF0000"/>
      <w:szCs w:val="24"/>
      <w:lang w:val="en-US" w:bidi="th-TH"/>
    </w:rPr>
  </w:style>
  <w:style w:type="character" w:customStyle="1" w:styleId="Heading4Char1">
    <w:name w:val="Heading 4 Char1"/>
    <w:locked/>
    <w:rsid w:val="00955AD5"/>
    <w:rPr>
      <w:rFonts w:ascii="Arial" w:hAnsi="Arial"/>
      <w:u w:val="single"/>
      <w:lang w:val="fr-FR" w:eastAsia="en-US" w:bidi="ar-SA"/>
    </w:rPr>
  </w:style>
  <w:style w:type="character" w:customStyle="1" w:styleId="Heading5Char1">
    <w:name w:val="Heading 5 Char1"/>
    <w:locked/>
    <w:rsid w:val="00955AD5"/>
    <w:rPr>
      <w:rFonts w:ascii="Arial" w:hAnsi="Arial"/>
      <w:i/>
      <w:lang w:val="en-US" w:eastAsia="en-US" w:bidi="ar-SA"/>
    </w:rPr>
  </w:style>
  <w:style w:type="paragraph" w:customStyle="1" w:styleId="ZchnZchn1">
    <w:name w:val="Zchn Zchn1"/>
    <w:basedOn w:val="Normal"/>
    <w:rsid w:val="00955AD5"/>
    <w:pPr>
      <w:spacing w:after="160" w:line="240" w:lineRule="exact"/>
      <w:jc w:val="left"/>
    </w:pPr>
    <w:rPr>
      <w:rFonts w:ascii="Verdana" w:eastAsia="PMingLiU" w:hAnsi="Verdana"/>
      <w:lang w:val="en-US"/>
    </w:rPr>
  </w:style>
  <w:style w:type="paragraph" w:customStyle="1" w:styleId="Endofdocument">
    <w:name w:val="End of document"/>
    <w:basedOn w:val="Normal"/>
    <w:rsid w:val="00955AD5"/>
    <w:pPr>
      <w:ind w:left="4536"/>
      <w:jc w:val="center"/>
    </w:pPr>
    <w:rPr>
      <w:rFonts w:ascii="Times New Roman" w:hAnsi="Times New Roman"/>
      <w:sz w:val="24"/>
      <w:lang w:val="en-US"/>
    </w:rPr>
  </w:style>
  <w:style w:type="paragraph" w:customStyle="1" w:styleId="tqparabox">
    <w:name w:val="tqparabox"/>
    <w:basedOn w:val="Normal"/>
    <w:rsid w:val="00955AD5"/>
    <w:pPr>
      <w:tabs>
        <w:tab w:val="left" w:pos="567"/>
        <w:tab w:val="left" w:pos="1134"/>
        <w:tab w:val="left" w:pos="2976"/>
        <w:tab w:val="left" w:pos="5856"/>
        <w:tab w:val="left" w:pos="7296"/>
      </w:tabs>
      <w:spacing w:before="40" w:after="40"/>
      <w:ind w:left="567"/>
      <w:jc w:val="left"/>
    </w:pPr>
    <w:rPr>
      <w:rFonts w:ascii="Times New Roman" w:hAnsi="Times New Roman"/>
      <w:sz w:val="24"/>
      <w:lang w:val="en-US" w:eastAsia="ja-JP"/>
    </w:rPr>
  </w:style>
  <w:style w:type="paragraph" w:customStyle="1" w:styleId="DecisionInvitingPara">
    <w:name w:val="Decision Inviting Para."/>
    <w:basedOn w:val="Normal"/>
    <w:rsid w:val="00955AD5"/>
    <w:pPr>
      <w:ind w:left="4536"/>
    </w:pPr>
    <w:rPr>
      <w:rFonts w:ascii="Times New Roman" w:hAnsi="Times New Roman"/>
      <w:i/>
      <w:sz w:val="24"/>
      <w:lang w:val="en-US"/>
    </w:rPr>
  </w:style>
  <w:style w:type="paragraph" w:customStyle="1" w:styleId="Char">
    <w:name w:val="Char"/>
    <w:basedOn w:val="Normal"/>
    <w:rsid w:val="00955AD5"/>
    <w:pPr>
      <w:jc w:val="left"/>
    </w:pPr>
    <w:rPr>
      <w:sz w:val="22"/>
      <w:lang w:val="en-AU"/>
    </w:rPr>
  </w:style>
  <w:style w:type="paragraph" w:customStyle="1" w:styleId="ZchnZchn12">
    <w:name w:val="Zchn Zchn12"/>
    <w:basedOn w:val="Normal"/>
    <w:rsid w:val="00955AD5"/>
    <w:pPr>
      <w:spacing w:after="160" w:line="240" w:lineRule="exact"/>
      <w:jc w:val="left"/>
    </w:pPr>
    <w:rPr>
      <w:rFonts w:ascii="Verdana" w:eastAsia="PMingLiU" w:hAnsi="Verdana"/>
      <w:lang w:val="en-US"/>
    </w:rPr>
  </w:style>
  <w:style w:type="paragraph" w:customStyle="1" w:styleId="ZchnZchn11">
    <w:name w:val="Zchn Zchn11"/>
    <w:basedOn w:val="Normal"/>
    <w:rsid w:val="00955AD5"/>
    <w:pPr>
      <w:spacing w:after="160" w:line="240" w:lineRule="exact"/>
      <w:jc w:val="left"/>
    </w:pPr>
    <w:rPr>
      <w:rFonts w:ascii="Verdana" w:eastAsia="PMingLiU" w:hAnsi="Verdana"/>
      <w:lang w:val="en-US"/>
    </w:rPr>
  </w:style>
  <w:style w:type="character" w:customStyle="1" w:styleId="CharChar31">
    <w:name w:val="Char Char31"/>
    <w:rsid w:val="00955AD5"/>
    <w:rPr>
      <w:sz w:val="24"/>
      <w:u w:val="single"/>
      <w:lang w:val="en-US" w:eastAsia="en-US"/>
    </w:rPr>
  </w:style>
  <w:style w:type="character" w:customStyle="1" w:styleId="CharChar22">
    <w:name w:val="Char Char22"/>
    <w:rsid w:val="00955AD5"/>
    <w:rPr>
      <w:sz w:val="24"/>
      <w:lang w:val="fr-FR" w:eastAsia="en-US"/>
    </w:rPr>
  </w:style>
  <w:style w:type="character" w:customStyle="1" w:styleId="CharChar30">
    <w:name w:val="Char Char30"/>
    <w:rsid w:val="00955AD5"/>
    <w:rPr>
      <w:b/>
      <w:sz w:val="24"/>
      <w:lang w:val="en-US" w:eastAsia="en-US"/>
    </w:rPr>
  </w:style>
  <w:style w:type="character" w:customStyle="1" w:styleId="CharChar29">
    <w:name w:val="Char Char29"/>
    <w:rsid w:val="00955AD5"/>
    <w:rPr>
      <w:i/>
      <w:sz w:val="24"/>
      <w:lang w:val="en-US" w:eastAsia="en-US"/>
    </w:rPr>
  </w:style>
  <w:style w:type="character" w:customStyle="1" w:styleId="CharChar28">
    <w:name w:val="Char Char28"/>
    <w:rsid w:val="00955AD5"/>
    <w:rPr>
      <w:i/>
      <w:sz w:val="24"/>
      <w:lang w:val="en-US" w:eastAsia="en-US"/>
    </w:rPr>
  </w:style>
  <w:style w:type="character" w:customStyle="1" w:styleId="CharChar19">
    <w:name w:val="Char Char19"/>
    <w:rsid w:val="00955AD5"/>
    <w:rPr>
      <w:sz w:val="24"/>
      <w:lang w:val="en-US" w:eastAsia="en-US"/>
    </w:rPr>
  </w:style>
  <w:style w:type="character" w:customStyle="1" w:styleId="CharChar21">
    <w:name w:val="Char Char21"/>
    <w:rsid w:val="00955AD5"/>
    <w:rPr>
      <w:sz w:val="16"/>
      <w:lang w:val="en-US" w:eastAsia="en-US"/>
    </w:rPr>
  </w:style>
  <w:style w:type="paragraph" w:customStyle="1" w:styleId="Standard1">
    <w:name w:val="Standard1"/>
    <w:rsid w:val="00955AD5"/>
    <w:rPr>
      <w:sz w:val="24"/>
      <w:szCs w:val="24"/>
      <w:lang w:val="de-DE"/>
    </w:rPr>
  </w:style>
  <w:style w:type="paragraph" w:customStyle="1" w:styleId="Fecha1">
    <w:name w:val="Fecha1"/>
    <w:basedOn w:val="Normal"/>
    <w:rsid w:val="00955AD5"/>
    <w:pPr>
      <w:spacing w:before="60"/>
      <w:ind w:left="1276"/>
    </w:pPr>
    <w:rPr>
      <w:b/>
      <w:sz w:val="22"/>
      <w:lang w:val="es-ES_tradnl"/>
    </w:rPr>
  </w:style>
  <w:style w:type="paragraph" w:customStyle="1" w:styleId="Listenabsatz1">
    <w:name w:val="Listenabsatz1"/>
    <w:basedOn w:val="Normal"/>
    <w:rsid w:val="00955AD5"/>
    <w:pPr>
      <w:spacing w:after="200" w:line="276" w:lineRule="auto"/>
      <w:ind w:left="720"/>
      <w:contextualSpacing/>
      <w:jc w:val="left"/>
    </w:pPr>
    <w:rPr>
      <w:rFonts w:ascii="Calibri" w:hAnsi="Calibri"/>
      <w:sz w:val="22"/>
      <w:szCs w:val="22"/>
      <w:lang w:val="fr-FR"/>
    </w:rPr>
  </w:style>
  <w:style w:type="paragraph" w:styleId="TOC6">
    <w:name w:val="toc 6"/>
    <w:basedOn w:val="Normal"/>
    <w:next w:val="Normal"/>
    <w:autoRedefine/>
    <w:rsid w:val="00955AD5"/>
    <w:pPr>
      <w:ind w:left="1000"/>
    </w:pPr>
    <w:rPr>
      <w:lang w:val="en-US"/>
    </w:rPr>
  </w:style>
  <w:style w:type="paragraph" w:customStyle="1" w:styleId="Headingsectiontitle">
    <w:name w:val="Heading section title"/>
    <w:basedOn w:val="Heading1"/>
    <w:qFormat/>
    <w:rsid w:val="00955AD5"/>
    <w:pPr>
      <w:tabs>
        <w:tab w:val="left" w:pos="1276"/>
      </w:tabs>
      <w:spacing w:after="480"/>
      <w:jc w:val="center"/>
    </w:pPr>
    <w:rPr>
      <w:b/>
      <w:snapToGrid w:val="0"/>
      <w:sz w:val="24"/>
    </w:rPr>
  </w:style>
  <w:style w:type="paragraph" w:styleId="TOCHeading">
    <w:name w:val="TOC Heading"/>
    <w:basedOn w:val="Heading1"/>
    <w:next w:val="Normal"/>
    <w:uiPriority w:val="39"/>
    <w:unhideWhenUsed/>
    <w:qFormat/>
    <w:rsid w:val="00955AD5"/>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paragraph" w:styleId="TOC7">
    <w:name w:val="toc 7"/>
    <w:basedOn w:val="Normal"/>
    <w:next w:val="Normal"/>
    <w:autoRedefine/>
    <w:uiPriority w:val="39"/>
    <w:rsid w:val="00955AD5"/>
    <w:pPr>
      <w:ind w:left="1440"/>
      <w:jc w:val="left"/>
    </w:pPr>
    <w:rPr>
      <w:rFonts w:ascii="Times New Roman" w:hAnsi="Times New Roman" w:cs="Angsana New"/>
      <w:sz w:val="18"/>
      <w:szCs w:val="18"/>
      <w:lang w:val="en-US" w:eastAsia="ja-JP" w:bidi="th-TH"/>
    </w:rPr>
  </w:style>
  <w:style w:type="paragraph" w:styleId="TOC8">
    <w:name w:val="toc 8"/>
    <w:basedOn w:val="Normal"/>
    <w:next w:val="Normal"/>
    <w:uiPriority w:val="39"/>
    <w:rsid w:val="00955AD5"/>
    <w:pPr>
      <w:tabs>
        <w:tab w:val="left" w:pos="567"/>
        <w:tab w:val="right" w:leader="dot" w:pos="9639"/>
      </w:tabs>
      <w:spacing w:before="60" w:after="120"/>
      <w:ind w:left="425" w:right="851" w:hanging="425"/>
      <w:jc w:val="left"/>
    </w:pPr>
    <w:rPr>
      <w:caps/>
      <w:noProof/>
      <w:sz w:val="18"/>
      <w:lang w:val="en-US" w:eastAsia="ja-JP" w:bidi="th-TH"/>
    </w:rPr>
  </w:style>
  <w:style w:type="paragraph" w:styleId="TOC9">
    <w:name w:val="toc 9"/>
    <w:basedOn w:val="Normal"/>
    <w:next w:val="Normal"/>
    <w:link w:val="TOC9Char"/>
    <w:uiPriority w:val="39"/>
    <w:rsid w:val="00955AD5"/>
    <w:pPr>
      <w:tabs>
        <w:tab w:val="right" w:leader="dot" w:pos="9639"/>
      </w:tabs>
      <w:spacing w:before="60" w:after="120"/>
      <w:ind w:left="992" w:right="851" w:hanging="567"/>
      <w:contextualSpacing/>
      <w:jc w:val="left"/>
    </w:pPr>
    <w:rPr>
      <w:smallCaps/>
      <w:noProof/>
      <w:sz w:val="18"/>
      <w:lang w:val="fr-FR" w:eastAsia="ja-JP"/>
    </w:rPr>
  </w:style>
  <w:style w:type="character" w:customStyle="1" w:styleId="TOC9Char">
    <w:name w:val="TOC 9 Char"/>
    <w:basedOn w:val="DefaultParagraphFont"/>
    <w:link w:val="TOC9"/>
    <w:uiPriority w:val="39"/>
    <w:rsid w:val="00955AD5"/>
    <w:rPr>
      <w:rFonts w:ascii="Arial" w:hAnsi="Arial"/>
      <w:smallCaps/>
      <w:noProof/>
      <w:sz w:val="18"/>
      <w:lang w:val="fr-FR" w:eastAsia="ja-JP"/>
    </w:rPr>
  </w:style>
  <w:style w:type="paragraph" w:customStyle="1" w:styleId="Annex">
    <w:name w:val="Annex"/>
    <w:basedOn w:val="Heading1"/>
    <w:next w:val="Normal"/>
    <w:rsid w:val="00955AD5"/>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cs="Angsana New"/>
      <w:b/>
      <w:bCs/>
      <w:sz w:val="32"/>
      <w:szCs w:val="32"/>
      <w:lang w:eastAsia="ja-JP" w:bidi="th-TH"/>
    </w:rPr>
  </w:style>
  <w:style w:type="paragraph" w:customStyle="1" w:styleId="Heading3tg">
    <w:name w:val="Heading 3tg"/>
    <w:basedOn w:val="Heading3"/>
    <w:rsid w:val="00955AD5"/>
    <w:pPr>
      <w:keepNext w:val="0"/>
      <w:numPr>
        <w:numId w:val="21"/>
      </w:numPr>
      <w:shd w:val="clear" w:color="auto" w:fill="auto"/>
    </w:pPr>
    <w:rPr>
      <w:rFonts w:cs="Angsana New"/>
      <w:szCs w:val="24"/>
      <w:lang w:val="en-GB" w:eastAsia="ja-JP" w:bidi="th-TH"/>
    </w:rPr>
  </w:style>
  <w:style w:type="paragraph" w:customStyle="1" w:styleId="Heading4tg">
    <w:name w:val="Heading 4tg"/>
    <w:basedOn w:val="Heading4"/>
    <w:rsid w:val="00955AD5"/>
    <w:pPr>
      <w:keepLines/>
      <w:tabs>
        <w:tab w:val="left" w:pos="709"/>
      </w:tabs>
      <w:ind w:left="709" w:hanging="709"/>
      <w:jc w:val="left"/>
    </w:pPr>
    <w:rPr>
      <w:rFonts w:cs="Angsana New"/>
      <w:i/>
      <w:iCs/>
      <w:szCs w:val="24"/>
      <w:u w:val="none"/>
      <w:lang w:val="en-US" w:eastAsia="ja-JP" w:bidi="th-TH"/>
    </w:rPr>
  </w:style>
  <w:style w:type="paragraph" w:customStyle="1" w:styleId="TOC1tg">
    <w:name w:val="TOC 1tg"/>
    <w:basedOn w:val="TOC1"/>
    <w:rsid w:val="00955AD5"/>
    <w:pPr>
      <w:keepNext/>
      <w:tabs>
        <w:tab w:val="clear" w:pos="9639"/>
        <w:tab w:val="left" w:pos="567"/>
        <w:tab w:val="left" w:pos="1276"/>
        <w:tab w:val="right" w:leader="dot" w:pos="9072"/>
      </w:tabs>
      <w:ind w:right="284"/>
      <w:jc w:val="left"/>
    </w:pPr>
    <w:rPr>
      <w:rFonts w:ascii="Times New Roman" w:hAnsi="Times New Roman" w:cs="Angsana New"/>
      <w:b/>
      <w:sz w:val="20"/>
      <w:szCs w:val="20"/>
      <w:lang w:eastAsia="ja-JP" w:bidi="th-TH"/>
    </w:rPr>
  </w:style>
  <w:style w:type="paragraph" w:customStyle="1" w:styleId="TOC2tg">
    <w:name w:val="TOC 2tg"/>
    <w:basedOn w:val="TOC2"/>
    <w:rsid w:val="00955AD5"/>
    <w:pPr>
      <w:tabs>
        <w:tab w:val="clear" w:pos="9639"/>
        <w:tab w:val="left" w:pos="1134"/>
        <w:tab w:val="right" w:leader="dot" w:pos="9072"/>
      </w:tabs>
      <w:ind w:left="1134" w:right="284" w:hanging="567"/>
    </w:pPr>
    <w:rPr>
      <w:rFonts w:ascii="Times New Roman" w:hAnsi="Times New Roman" w:cs="Angsana New"/>
      <w:lang w:eastAsia="ja-JP" w:bidi="th-TH"/>
    </w:rPr>
  </w:style>
  <w:style w:type="paragraph" w:customStyle="1" w:styleId="StyleHeading2Justified">
    <w:name w:val="Style Heading 2 + Justified"/>
    <w:basedOn w:val="Heading2"/>
    <w:rsid w:val="00955AD5"/>
    <w:pPr>
      <w:pBdr>
        <w:top w:val="single" w:sz="4" w:space="1" w:color="auto"/>
        <w:left w:val="single" w:sz="4" w:space="4" w:color="auto"/>
        <w:bottom w:val="single" w:sz="4" w:space="1" w:color="auto"/>
        <w:right w:val="single" w:sz="4" w:space="4" w:color="auto"/>
      </w:pBdr>
      <w:tabs>
        <w:tab w:val="left" w:pos="992"/>
      </w:tabs>
      <w:ind w:left="992" w:hanging="992"/>
      <w:jc w:val="center"/>
    </w:pPr>
    <w:rPr>
      <w:rFonts w:ascii="Times New Roman" w:hAnsi="Times New Roman"/>
      <w:b/>
      <w:bCs/>
      <w:sz w:val="24"/>
      <w:lang w:val="en-GB" w:eastAsia="ja-JP" w:bidi="th-TH"/>
    </w:rPr>
  </w:style>
  <w:style w:type="paragraph" w:styleId="Caption">
    <w:name w:val="caption"/>
    <w:basedOn w:val="Normal"/>
    <w:next w:val="Normal"/>
    <w:unhideWhenUsed/>
    <w:qFormat/>
    <w:rsid w:val="00955AD5"/>
    <w:pPr>
      <w:spacing w:after="200"/>
    </w:pPr>
    <w:rPr>
      <w:b/>
      <w:bCs/>
      <w:color w:val="4F81BD" w:themeColor="accent1"/>
      <w:sz w:val="18"/>
      <w:szCs w:val="18"/>
      <w:lang w:val="en-US"/>
    </w:rPr>
  </w:style>
  <w:style w:type="paragraph" w:customStyle="1" w:styleId="tgchartextcentered">
    <w:name w:val="tg_char_text_centered"/>
    <w:basedOn w:val="Normal"/>
    <w:rsid w:val="00955AD5"/>
    <w:pPr>
      <w:spacing w:before="80" w:after="80"/>
      <w:jc w:val="center"/>
    </w:pPr>
    <w:rPr>
      <w:b/>
      <w:sz w:val="16"/>
      <w:lang w:val="en-US"/>
    </w:rPr>
  </w:style>
  <w:style w:type="paragraph" w:customStyle="1" w:styleId="tgchartext">
    <w:name w:val="tg_char_text"/>
    <w:basedOn w:val="Normal"/>
    <w:rsid w:val="00955AD5"/>
    <w:pPr>
      <w:spacing w:before="80" w:after="80"/>
      <w:jc w:val="left"/>
    </w:pPr>
    <w:rPr>
      <w:sz w:val="16"/>
      <w:lang w:val="en-US"/>
    </w:rPr>
  </w:style>
  <w:style w:type="paragraph" w:customStyle="1" w:styleId="heading3i">
    <w:name w:val="heading 3i"/>
    <w:basedOn w:val="Heading3"/>
    <w:rsid w:val="00955AD5"/>
    <w:pPr>
      <w:keepNext w:val="0"/>
      <w:shd w:val="clear" w:color="auto" w:fill="auto"/>
    </w:pPr>
    <w:rPr>
      <w:rFonts w:cs="Angsana New"/>
      <w:i w:val="0"/>
      <w:iCs/>
      <w:szCs w:val="24"/>
      <w:lang w:bidi="th-TH"/>
    </w:rPr>
  </w:style>
  <w:style w:type="paragraph" w:customStyle="1" w:styleId="h1a1">
    <w:name w:val="h1a1"/>
    <w:basedOn w:val="Heading1"/>
    <w:qFormat/>
    <w:rsid w:val="00955AD5"/>
  </w:style>
  <w:style w:type="paragraph" w:customStyle="1" w:styleId="h1a2">
    <w:name w:val="h1a2"/>
    <w:basedOn w:val="Heading1"/>
    <w:qFormat/>
    <w:rsid w:val="00955AD5"/>
  </w:style>
  <w:style w:type="paragraph" w:customStyle="1" w:styleId="h1a4">
    <w:name w:val="h1a4"/>
    <w:basedOn w:val="Heading1"/>
    <w:qFormat/>
    <w:rsid w:val="00955AD5"/>
  </w:style>
  <w:style w:type="paragraph" w:customStyle="1" w:styleId="h2a1">
    <w:name w:val="h2a1"/>
    <w:basedOn w:val="Heading2"/>
    <w:qFormat/>
    <w:rsid w:val="00955AD5"/>
    <w:pPr>
      <w:jc w:val="center"/>
    </w:pPr>
    <w:rPr>
      <w:b/>
    </w:rPr>
  </w:style>
  <w:style w:type="paragraph" w:customStyle="1" w:styleId="h2a2">
    <w:name w:val="h2a2"/>
    <w:basedOn w:val="Heading2"/>
    <w:qFormat/>
    <w:rsid w:val="00955AD5"/>
    <w:pPr>
      <w:jc w:val="center"/>
    </w:pPr>
    <w:rPr>
      <w:b/>
    </w:rPr>
  </w:style>
  <w:style w:type="paragraph" w:customStyle="1" w:styleId="h2a3">
    <w:name w:val="h2a3"/>
    <w:basedOn w:val="Heading2"/>
    <w:qFormat/>
    <w:rsid w:val="00955AD5"/>
    <w:pPr>
      <w:jc w:val="center"/>
    </w:pPr>
    <w:rPr>
      <w:b/>
    </w:rPr>
  </w:style>
  <w:style w:type="paragraph" w:customStyle="1" w:styleId="h2a4">
    <w:name w:val="h2a4"/>
    <w:basedOn w:val="Heading2"/>
    <w:qFormat/>
    <w:rsid w:val="00955AD5"/>
    <w:pPr>
      <w:jc w:val="center"/>
    </w:pPr>
    <w:rPr>
      <w:b/>
    </w:rPr>
  </w:style>
  <w:style w:type="paragraph" w:customStyle="1" w:styleId="Inf6normal">
    <w:name w:val="Inf6_normal"/>
    <w:basedOn w:val="Normal"/>
    <w:link w:val="Inf6normalChar"/>
    <w:rsid w:val="00955AD5"/>
    <w:pPr>
      <w:tabs>
        <w:tab w:val="left" w:pos="426"/>
        <w:tab w:val="left" w:pos="992"/>
      </w:tabs>
    </w:pPr>
    <w:rPr>
      <w:rFonts w:cs="Arial"/>
      <w:lang w:val="en-US"/>
    </w:rPr>
  </w:style>
  <w:style w:type="character" w:customStyle="1" w:styleId="Inf6normalChar">
    <w:name w:val="Inf6_normal Char"/>
    <w:basedOn w:val="DefaultParagraphFont"/>
    <w:link w:val="Inf6normal"/>
    <w:rsid w:val="00955AD5"/>
    <w:rPr>
      <w:rFonts w:ascii="Arial" w:hAnsi="Arial" w:cs="Arial"/>
    </w:rPr>
  </w:style>
  <w:style w:type="paragraph" w:customStyle="1" w:styleId="Inf6Titre4">
    <w:name w:val="Inf6_Titre4"/>
    <w:basedOn w:val="Normal"/>
    <w:next w:val="Normal"/>
    <w:rsid w:val="00955AD5"/>
    <w:pPr>
      <w:spacing w:after="360"/>
      <w:jc w:val="center"/>
    </w:pPr>
    <w:rPr>
      <w:rFonts w:cs="Arial"/>
      <w:caps/>
      <w:lang w:val="en-US"/>
    </w:rPr>
  </w:style>
  <w:style w:type="paragraph" w:customStyle="1" w:styleId="Default">
    <w:name w:val="Default"/>
    <w:rsid w:val="00955AD5"/>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EE4004"/>
    <w:rPr>
      <w:sz w:val="16"/>
      <w:szCs w:val="16"/>
    </w:rPr>
  </w:style>
  <w:style w:type="character" w:customStyle="1" w:styleId="UnresolvedMention">
    <w:name w:val="Unresolved Mention"/>
    <w:basedOn w:val="DefaultParagraphFont"/>
    <w:uiPriority w:val="99"/>
    <w:semiHidden/>
    <w:unhideWhenUsed/>
    <w:rsid w:val="00FD47AC"/>
    <w:rPr>
      <w:color w:val="605E5C"/>
      <w:shd w:val="clear" w:color="auto" w:fill="E1DFDD"/>
    </w:rPr>
  </w:style>
  <w:style w:type="paragraph" w:styleId="Revision">
    <w:name w:val="Revision"/>
    <w:hidden/>
    <w:uiPriority w:val="99"/>
    <w:semiHidden/>
    <w:rsid w:val="006B6FA8"/>
    <w:rPr>
      <w:rFonts w:ascii="Arial" w:hAnsi="Arial"/>
    </w:rPr>
  </w:style>
  <w:style w:type="table" w:customStyle="1" w:styleId="TableGrid2">
    <w:name w:val="Table Grid2"/>
    <w:basedOn w:val="TableNormal"/>
    <w:next w:val="TableGrid"/>
    <w:uiPriority w:val="59"/>
    <w:rsid w:val="006B6FA8"/>
    <w:rPr>
      <w:rFonts w:ascii="Arial" w:eastAsia="Calibri" w:hAnsi="Arial" w:cs="Arial"/>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5475">
      <w:bodyDiv w:val="1"/>
      <w:marLeft w:val="0"/>
      <w:marRight w:val="0"/>
      <w:marTop w:val="0"/>
      <w:marBottom w:val="0"/>
      <w:divBdr>
        <w:top w:val="none" w:sz="0" w:space="0" w:color="auto"/>
        <w:left w:val="none" w:sz="0" w:space="0" w:color="auto"/>
        <w:bottom w:val="none" w:sz="0" w:space="0" w:color="auto"/>
        <w:right w:val="none" w:sz="0" w:space="0" w:color="auto"/>
      </w:divBdr>
      <w:divsChild>
        <w:div w:id="1563754503">
          <w:marLeft w:val="0"/>
          <w:marRight w:val="0"/>
          <w:marTop w:val="0"/>
          <w:marBottom w:val="0"/>
          <w:divBdr>
            <w:top w:val="none" w:sz="0" w:space="0" w:color="auto"/>
            <w:left w:val="none" w:sz="0" w:space="0" w:color="auto"/>
            <w:bottom w:val="none" w:sz="0" w:space="0" w:color="auto"/>
            <w:right w:val="none" w:sz="0" w:space="0" w:color="auto"/>
          </w:divBdr>
        </w:div>
        <w:div w:id="386880275">
          <w:marLeft w:val="0"/>
          <w:marRight w:val="0"/>
          <w:marTop w:val="0"/>
          <w:marBottom w:val="0"/>
          <w:divBdr>
            <w:top w:val="none" w:sz="0" w:space="0" w:color="auto"/>
            <w:left w:val="none" w:sz="0" w:space="0" w:color="auto"/>
            <w:bottom w:val="none" w:sz="0" w:space="0" w:color="auto"/>
            <w:right w:val="none" w:sz="0" w:space="0" w:color="auto"/>
          </w:divBdr>
        </w:div>
      </w:divsChild>
    </w:div>
    <w:div w:id="497843468">
      <w:bodyDiv w:val="1"/>
      <w:marLeft w:val="0"/>
      <w:marRight w:val="0"/>
      <w:marTop w:val="0"/>
      <w:marBottom w:val="0"/>
      <w:divBdr>
        <w:top w:val="none" w:sz="0" w:space="0" w:color="auto"/>
        <w:left w:val="none" w:sz="0" w:space="0" w:color="auto"/>
        <w:bottom w:val="none" w:sz="0" w:space="0" w:color="auto"/>
        <w:right w:val="none" w:sz="0" w:space="0" w:color="auto"/>
      </w:divBdr>
      <w:divsChild>
        <w:div w:id="153188516">
          <w:marLeft w:val="0"/>
          <w:marRight w:val="0"/>
          <w:marTop w:val="0"/>
          <w:marBottom w:val="0"/>
          <w:divBdr>
            <w:top w:val="none" w:sz="0" w:space="0" w:color="auto"/>
            <w:left w:val="none" w:sz="0" w:space="0" w:color="auto"/>
            <w:bottom w:val="none" w:sz="0" w:space="0" w:color="auto"/>
            <w:right w:val="none" w:sz="0" w:space="0" w:color="auto"/>
          </w:divBdr>
        </w:div>
        <w:div w:id="1702586456">
          <w:marLeft w:val="0"/>
          <w:marRight w:val="0"/>
          <w:marTop w:val="0"/>
          <w:marBottom w:val="0"/>
          <w:divBdr>
            <w:top w:val="none" w:sz="0" w:space="0" w:color="auto"/>
            <w:left w:val="none" w:sz="0" w:space="0" w:color="auto"/>
            <w:bottom w:val="none" w:sz="0" w:space="0" w:color="auto"/>
            <w:right w:val="none" w:sz="0" w:space="0" w:color="auto"/>
          </w:divBdr>
        </w:div>
      </w:divsChild>
    </w:div>
    <w:div w:id="585725208">
      <w:bodyDiv w:val="1"/>
      <w:marLeft w:val="0"/>
      <w:marRight w:val="0"/>
      <w:marTop w:val="0"/>
      <w:marBottom w:val="0"/>
      <w:divBdr>
        <w:top w:val="none" w:sz="0" w:space="0" w:color="auto"/>
        <w:left w:val="none" w:sz="0" w:space="0" w:color="auto"/>
        <w:bottom w:val="none" w:sz="0" w:space="0" w:color="auto"/>
        <w:right w:val="none" w:sz="0" w:space="0" w:color="auto"/>
      </w:divBdr>
    </w:div>
    <w:div w:id="629674707">
      <w:bodyDiv w:val="1"/>
      <w:marLeft w:val="0"/>
      <w:marRight w:val="0"/>
      <w:marTop w:val="0"/>
      <w:marBottom w:val="0"/>
      <w:divBdr>
        <w:top w:val="none" w:sz="0" w:space="0" w:color="auto"/>
        <w:left w:val="none" w:sz="0" w:space="0" w:color="auto"/>
        <w:bottom w:val="none" w:sz="0" w:space="0" w:color="auto"/>
        <w:right w:val="none" w:sz="0" w:space="0" w:color="auto"/>
      </w:divBdr>
    </w:div>
    <w:div w:id="688718351">
      <w:bodyDiv w:val="1"/>
      <w:marLeft w:val="0"/>
      <w:marRight w:val="0"/>
      <w:marTop w:val="0"/>
      <w:marBottom w:val="0"/>
      <w:divBdr>
        <w:top w:val="none" w:sz="0" w:space="0" w:color="auto"/>
        <w:left w:val="none" w:sz="0" w:space="0" w:color="auto"/>
        <w:bottom w:val="none" w:sz="0" w:space="0" w:color="auto"/>
        <w:right w:val="none" w:sz="0" w:space="0" w:color="auto"/>
      </w:divBdr>
    </w:div>
    <w:div w:id="833685194">
      <w:bodyDiv w:val="1"/>
      <w:marLeft w:val="0"/>
      <w:marRight w:val="0"/>
      <w:marTop w:val="0"/>
      <w:marBottom w:val="0"/>
      <w:divBdr>
        <w:top w:val="none" w:sz="0" w:space="0" w:color="auto"/>
        <w:left w:val="none" w:sz="0" w:space="0" w:color="auto"/>
        <w:bottom w:val="none" w:sz="0" w:space="0" w:color="auto"/>
        <w:right w:val="none" w:sz="0" w:space="0" w:color="auto"/>
      </w:divBdr>
    </w:div>
    <w:div w:id="921987457">
      <w:bodyDiv w:val="1"/>
      <w:marLeft w:val="0"/>
      <w:marRight w:val="0"/>
      <w:marTop w:val="0"/>
      <w:marBottom w:val="0"/>
      <w:divBdr>
        <w:top w:val="none" w:sz="0" w:space="0" w:color="auto"/>
        <w:left w:val="none" w:sz="0" w:space="0" w:color="auto"/>
        <w:bottom w:val="none" w:sz="0" w:space="0" w:color="auto"/>
        <w:right w:val="none" w:sz="0" w:space="0" w:color="auto"/>
      </w:divBdr>
    </w:div>
    <w:div w:id="1034425332">
      <w:bodyDiv w:val="1"/>
      <w:marLeft w:val="0"/>
      <w:marRight w:val="0"/>
      <w:marTop w:val="0"/>
      <w:marBottom w:val="0"/>
      <w:divBdr>
        <w:top w:val="none" w:sz="0" w:space="0" w:color="auto"/>
        <w:left w:val="none" w:sz="0" w:space="0" w:color="auto"/>
        <w:bottom w:val="none" w:sz="0" w:space="0" w:color="auto"/>
        <w:right w:val="none" w:sz="0" w:space="0" w:color="auto"/>
      </w:divBdr>
    </w:div>
    <w:div w:id="1041786469">
      <w:bodyDiv w:val="1"/>
      <w:marLeft w:val="0"/>
      <w:marRight w:val="0"/>
      <w:marTop w:val="0"/>
      <w:marBottom w:val="0"/>
      <w:divBdr>
        <w:top w:val="none" w:sz="0" w:space="0" w:color="auto"/>
        <w:left w:val="none" w:sz="0" w:space="0" w:color="auto"/>
        <w:bottom w:val="none" w:sz="0" w:space="0" w:color="auto"/>
        <w:right w:val="none" w:sz="0" w:space="0" w:color="auto"/>
      </w:divBdr>
    </w:div>
    <w:div w:id="1236428111">
      <w:bodyDiv w:val="1"/>
      <w:marLeft w:val="0"/>
      <w:marRight w:val="0"/>
      <w:marTop w:val="0"/>
      <w:marBottom w:val="0"/>
      <w:divBdr>
        <w:top w:val="none" w:sz="0" w:space="0" w:color="auto"/>
        <w:left w:val="none" w:sz="0" w:space="0" w:color="auto"/>
        <w:bottom w:val="none" w:sz="0" w:space="0" w:color="auto"/>
        <w:right w:val="none" w:sz="0" w:space="0" w:color="auto"/>
      </w:divBdr>
    </w:div>
    <w:div w:id="1255633012">
      <w:bodyDiv w:val="1"/>
      <w:marLeft w:val="0"/>
      <w:marRight w:val="0"/>
      <w:marTop w:val="0"/>
      <w:marBottom w:val="0"/>
      <w:divBdr>
        <w:top w:val="none" w:sz="0" w:space="0" w:color="auto"/>
        <w:left w:val="none" w:sz="0" w:space="0" w:color="auto"/>
        <w:bottom w:val="none" w:sz="0" w:space="0" w:color="auto"/>
        <w:right w:val="none" w:sz="0" w:space="0" w:color="auto"/>
      </w:divBdr>
    </w:div>
    <w:div w:id="1273123049">
      <w:bodyDiv w:val="1"/>
      <w:marLeft w:val="0"/>
      <w:marRight w:val="0"/>
      <w:marTop w:val="0"/>
      <w:marBottom w:val="0"/>
      <w:divBdr>
        <w:top w:val="none" w:sz="0" w:space="0" w:color="auto"/>
        <w:left w:val="none" w:sz="0" w:space="0" w:color="auto"/>
        <w:bottom w:val="none" w:sz="0" w:space="0" w:color="auto"/>
        <w:right w:val="none" w:sz="0" w:space="0" w:color="auto"/>
      </w:divBdr>
    </w:div>
    <w:div w:id="1344089411">
      <w:bodyDiv w:val="1"/>
      <w:marLeft w:val="0"/>
      <w:marRight w:val="0"/>
      <w:marTop w:val="0"/>
      <w:marBottom w:val="0"/>
      <w:divBdr>
        <w:top w:val="none" w:sz="0" w:space="0" w:color="auto"/>
        <w:left w:val="none" w:sz="0" w:space="0" w:color="auto"/>
        <w:bottom w:val="none" w:sz="0" w:space="0" w:color="auto"/>
        <w:right w:val="none" w:sz="0" w:space="0" w:color="auto"/>
      </w:divBdr>
    </w:div>
    <w:div w:id="1470630261">
      <w:bodyDiv w:val="1"/>
      <w:marLeft w:val="0"/>
      <w:marRight w:val="0"/>
      <w:marTop w:val="0"/>
      <w:marBottom w:val="0"/>
      <w:divBdr>
        <w:top w:val="none" w:sz="0" w:space="0" w:color="auto"/>
        <w:left w:val="none" w:sz="0" w:space="0" w:color="auto"/>
        <w:bottom w:val="none" w:sz="0" w:space="0" w:color="auto"/>
        <w:right w:val="none" w:sz="0" w:space="0" w:color="auto"/>
      </w:divBdr>
    </w:div>
    <w:div w:id="1593245877">
      <w:bodyDiv w:val="1"/>
      <w:marLeft w:val="0"/>
      <w:marRight w:val="0"/>
      <w:marTop w:val="0"/>
      <w:marBottom w:val="0"/>
      <w:divBdr>
        <w:top w:val="none" w:sz="0" w:space="0" w:color="auto"/>
        <w:left w:val="none" w:sz="0" w:space="0" w:color="auto"/>
        <w:bottom w:val="none" w:sz="0" w:space="0" w:color="auto"/>
        <w:right w:val="none" w:sz="0" w:space="0" w:color="auto"/>
      </w:divBdr>
    </w:div>
    <w:div w:id="1607158773">
      <w:bodyDiv w:val="1"/>
      <w:marLeft w:val="0"/>
      <w:marRight w:val="0"/>
      <w:marTop w:val="0"/>
      <w:marBottom w:val="0"/>
      <w:divBdr>
        <w:top w:val="none" w:sz="0" w:space="0" w:color="auto"/>
        <w:left w:val="none" w:sz="0" w:space="0" w:color="auto"/>
        <w:bottom w:val="none" w:sz="0" w:space="0" w:color="auto"/>
        <w:right w:val="none" w:sz="0" w:space="0" w:color="auto"/>
      </w:divBdr>
    </w:div>
    <w:div w:id="1666400656">
      <w:bodyDiv w:val="1"/>
      <w:marLeft w:val="0"/>
      <w:marRight w:val="0"/>
      <w:marTop w:val="0"/>
      <w:marBottom w:val="0"/>
      <w:divBdr>
        <w:top w:val="none" w:sz="0" w:space="0" w:color="auto"/>
        <w:left w:val="none" w:sz="0" w:space="0" w:color="auto"/>
        <w:bottom w:val="none" w:sz="0" w:space="0" w:color="auto"/>
        <w:right w:val="none" w:sz="0" w:space="0" w:color="auto"/>
      </w:divBdr>
    </w:div>
    <w:div w:id="1916740622">
      <w:bodyDiv w:val="1"/>
      <w:marLeft w:val="0"/>
      <w:marRight w:val="0"/>
      <w:marTop w:val="0"/>
      <w:marBottom w:val="0"/>
      <w:divBdr>
        <w:top w:val="none" w:sz="0" w:space="0" w:color="auto"/>
        <w:left w:val="none" w:sz="0" w:space="0" w:color="auto"/>
        <w:bottom w:val="none" w:sz="0" w:space="0" w:color="auto"/>
        <w:right w:val="none" w:sz="0" w:space="0" w:color="auto"/>
      </w:divBdr>
    </w:div>
    <w:div w:id="1940478203">
      <w:bodyDiv w:val="1"/>
      <w:marLeft w:val="0"/>
      <w:marRight w:val="0"/>
      <w:marTop w:val="0"/>
      <w:marBottom w:val="0"/>
      <w:divBdr>
        <w:top w:val="none" w:sz="0" w:space="0" w:color="auto"/>
        <w:left w:val="none" w:sz="0" w:space="0" w:color="auto"/>
        <w:bottom w:val="none" w:sz="0" w:space="0" w:color="auto"/>
        <w:right w:val="none" w:sz="0" w:space="0" w:color="auto"/>
      </w:divBdr>
    </w:div>
    <w:div w:id="2092115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upov.int/tgp/en/list.jsp" TargetMode="External"/><Relationship Id="rId18" Type="http://schemas.openxmlformats.org/officeDocument/2006/relationships/header" Target="header3.xml"/><Relationship Id="rId26" Type="http://schemas.openxmlformats.org/officeDocument/2006/relationships/header" Target="header11.xml"/><Relationship Id="rId39" Type="http://schemas.openxmlformats.org/officeDocument/2006/relationships/image" Target="media/image2.emf"/><Relationship Id="rId21" Type="http://schemas.openxmlformats.org/officeDocument/2006/relationships/header" Target="header6.xml"/><Relationship Id="rId34" Type="http://schemas.openxmlformats.org/officeDocument/2006/relationships/header" Target="header17.xml"/><Relationship Id="rId42" Type="http://schemas.openxmlformats.org/officeDocument/2006/relationships/header" Target="header21.xml"/><Relationship Id="rId47"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http://www.rhs.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ov.int/tgp/en/list.jsp" TargetMode="Externa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footer" Target="footer2.xml"/><Relationship Id="rId40"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hyperlink" Target="http://www.upov.int/upovprisma" TargetMode="Externa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18.xml"/><Relationship Id="rId10" Type="http://schemas.openxmlformats.org/officeDocument/2006/relationships/hyperlink" Target="https://www.upov.int/genie/resources/pdfs/upov_code_system_es.pdf" TargetMode="External"/><Relationship Id="rId19" Type="http://schemas.openxmlformats.org/officeDocument/2006/relationships/header" Target="header4.xml"/><Relationship Id="rId31" Type="http://schemas.openxmlformats.org/officeDocument/2006/relationships/header" Target="header14.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pov.int/upov_collection/es" TargetMode="External"/><Relationship Id="rId14" Type="http://schemas.openxmlformats.org/officeDocument/2006/relationships/hyperlink" Target="http://www.upov.int/upovprisma" TargetMode="Externa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yperlink" Target="https://www.upov.int/edocs/tgpdocs/es/tgp_9.pdf" TargetMode="External"/><Relationship Id="rId35" Type="http://schemas.openxmlformats.org/officeDocument/2006/relationships/footer" Target="footer1.xml"/><Relationship Id="rId43" Type="http://schemas.openxmlformats.org/officeDocument/2006/relationships/fontTable" Target="fontTable.xml"/><Relationship Id="rId48" Type="http://schemas.microsoft.com/office/2016/09/relationships/commentsIds" Target="commentsIds.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upov.int/tgp/en/list.jsp" TargetMode="External"/><Relationship Id="rId17" Type="http://schemas.openxmlformats.org/officeDocument/2006/relationships/header" Target="header2.xml"/><Relationship Id="rId25" Type="http://schemas.openxmlformats.org/officeDocument/2006/relationships/header" Target="header10.xml"/><Relationship Id="rId33" Type="http://schemas.openxmlformats.org/officeDocument/2006/relationships/header" Target="header16.xml"/><Relationship Id="rId38" Type="http://schemas.openxmlformats.org/officeDocument/2006/relationships/header" Target="header19.xml"/><Relationship Id="rId20" Type="http://schemas.openxmlformats.org/officeDocument/2006/relationships/header" Target="header5.xml"/><Relationship Id="rId41" Type="http://schemas.openxmlformats.org/officeDocument/2006/relationships/header" Target="head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10932-15A0-4D41-AB21-C0C278635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39</Pages>
  <Words>14646</Words>
  <Characters>83485</Characters>
  <Application>Microsoft Office Word</Application>
  <DocSecurity>0</DocSecurity>
  <Lines>695</Lines>
  <Paragraphs>195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CAJ/77/3</vt:lpstr>
      <vt:lpstr>CAJ/77/3</vt:lpstr>
    </vt:vector>
  </TitlesOfParts>
  <Company>UPOV</Company>
  <LinksUpToDate>false</LinksUpToDate>
  <CharactersWithSpaces>97936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CAJ/77/3</dc:title>
  <dc:creator>CEVALLOS DUQUE Nilo</dc:creator>
  <cp:lastModifiedBy>SANTOS Carla Marina</cp:lastModifiedBy>
  <cp:revision>35</cp:revision>
  <cp:lastPrinted>2020-10-08T10:32:00Z</cp:lastPrinted>
  <dcterms:created xsi:type="dcterms:W3CDTF">2020-08-18T14:18:00Z</dcterms:created>
  <dcterms:modified xsi:type="dcterms:W3CDTF">2020-10-08T10:33:00Z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fb2ba1ff-d2ec-4fa6-97a7-345c1810f372</vt:lpwstr>
  </property>
</Properties>
</file>