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F68DC" w:rsidTr="00EB4E9C">
        <w:tc>
          <w:tcPr>
            <w:tcW w:w="6522" w:type="dxa"/>
          </w:tcPr>
          <w:p w:rsidR="00DC3802" w:rsidRPr="00DF68DC" w:rsidRDefault="00DC3802" w:rsidP="00AC2883">
            <w:pPr>
              <w:rPr>
                <w:dstrike/>
              </w:rPr>
            </w:pPr>
            <w:r w:rsidRPr="00DF68DC">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F68DC" w:rsidRDefault="002E5944" w:rsidP="00AC2883">
            <w:pPr>
              <w:pStyle w:val="Lettrine"/>
            </w:pPr>
            <w:r w:rsidRPr="00DF68DC">
              <w:t>S</w:t>
            </w:r>
          </w:p>
        </w:tc>
      </w:tr>
      <w:tr w:rsidR="00DC3802" w:rsidRPr="00DF68DC" w:rsidTr="00645CA8">
        <w:trPr>
          <w:trHeight w:val="219"/>
        </w:trPr>
        <w:tc>
          <w:tcPr>
            <w:tcW w:w="6522" w:type="dxa"/>
          </w:tcPr>
          <w:p w:rsidR="00DC3802" w:rsidRPr="00DF68DC" w:rsidRDefault="002E5944" w:rsidP="00BC0BD4">
            <w:pPr>
              <w:pStyle w:val="upove"/>
              <w:rPr>
                <w:dstrike/>
              </w:rPr>
            </w:pPr>
            <w:r w:rsidRPr="00DF68DC">
              <w:t>Unión Internacional para la Protección de las Obtenciones Vegetales</w:t>
            </w:r>
          </w:p>
        </w:tc>
        <w:tc>
          <w:tcPr>
            <w:tcW w:w="3117" w:type="dxa"/>
          </w:tcPr>
          <w:p w:rsidR="00DC3802" w:rsidRPr="00DF68DC" w:rsidRDefault="00DC3802" w:rsidP="00DA4973"/>
        </w:tc>
      </w:tr>
    </w:tbl>
    <w:p w:rsidR="00DC3802" w:rsidRPr="00DF68DC" w:rsidRDefault="00DC3802" w:rsidP="00DC3802"/>
    <w:p w:rsidR="00DA4973" w:rsidRPr="00DF68D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F68DC" w:rsidTr="00EB4E9C">
        <w:tc>
          <w:tcPr>
            <w:tcW w:w="6512" w:type="dxa"/>
          </w:tcPr>
          <w:p w:rsidR="00EB4E9C" w:rsidRPr="00DF68DC" w:rsidRDefault="002E5944" w:rsidP="00AC2883">
            <w:pPr>
              <w:pStyle w:val="Sessiontc"/>
              <w:spacing w:line="240" w:lineRule="auto"/>
            </w:pPr>
            <w:r w:rsidRPr="00DF68DC">
              <w:t xml:space="preserve">Comité </w:t>
            </w:r>
            <w:r w:rsidR="00752334" w:rsidRPr="00DF68DC">
              <w:t>Administrativo y Jurídico</w:t>
            </w:r>
          </w:p>
          <w:p w:rsidR="00EB4E9C" w:rsidRPr="00DF68DC" w:rsidRDefault="00943983" w:rsidP="008C6250">
            <w:pPr>
              <w:pStyle w:val="Sessiontcplacedate"/>
              <w:rPr>
                <w:dstrike/>
                <w:sz w:val="22"/>
              </w:rPr>
            </w:pPr>
            <w:r w:rsidRPr="00DF68DC">
              <w:t xml:space="preserve">Septuagésima </w:t>
            </w:r>
            <w:r w:rsidR="008C6250" w:rsidRPr="00DF68DC">
              <w:t>sex</w:t>
            </w:r>
            <w:r w:rsidR="00404329" w:rsidRPr="00DF68DC">
              <w:t>ta</w:t>
            </w:r>
            <w:r w:rsidR="002E5944" w:rsidRPr="00DF68DC">
              <w:t xml:space="preserve"> sesión</w:t>
            </w:r>
            <w:r w:rsidR="00EB4E9C" w:rsidRPr="00DF68DC">
              <w:br/>
            </w:r>
            <w:r w:rsidR="002E5944" w:rsidRPr="00DF68DC">
              <w:t>Ginebra</w:t>
            </w:r>
            <w:r w:rsidR="00EB4E9C" w:rsidRPr="00DF68DC">
              <w:t xml:space="preserve">, </w:t>
            </w:r>
            <w:r w:rsidR="00404329" w:rsidRPr="00DF68DC">
              <w:t>3</w:t>
            </w:r>
            <w:r w:rsidR="008C6250" w:rsidRPr="00DF68DC">
              <w:t>0</w:t>
            </w:r>
            <w:r w:rsidR="00A706D3" w:rsidRPr="00DF68DC">
              <w:t xml:space="preserve"> </w:t>
            </w:r>
            <w:r w:rsidR="002E5944" w:rsidRPr="00DF68DC">
              <w:t xml:space="preserve">de </w:t>
            </w:r>
            <w:r w:rsidR="00752334" w:rsidRPr="00DF68DC">
              <w:t xml:space="preserve">octubre </w:t>
            </w:r>
            <w:r w:rsidR="002E5944" w:rsidRPr="00DF68DC">
              <w:t>de</w:t>
            </w:r>
            <w:r w:rsidR="00A706D3" w:rsidRPr="00DF68DC">
              <w:t xml:space="preserve"> </w:t>
            </w:r>
            <w:r w:rsidR="008C6250" w:rsidRPr="00DF68DC">
              <w:t>2019</w:t>
            </w:r>
          </w:p>
        </w:tc>
        <w:tc>
          <w:tcPr>
            <w:tcW w:w="3127" w:type="dxa"/>
          </w:tcPr>
          <w:p w:rsidR="00EB4E9C" w:rsidRPr="00DF68DC" w:rsidRDefault="008C6250" w:rsidP="003C7FBE">
            <w:pPr>
              <w:pStyle w:val="Doccode"/>
              <w:rPr>
                <w:lang w:val="es-419"/>
              </w:rPr>
            </w:pPr>
            <w:r w:rsidRPr="00DF68DC">
              <w:rPr>
                <w:lang w:val="es-419"/>
              </w:rPr>
              <w:t>CAJ/76</w:t>
            </w:r>
            <w:r w:rsidR="00EB4E9C" w:rsidRPr="00DF68DC">
              <w:rPr>
                <w:lang w:val="es-419"/>
              </w:rPr>
              <w:t>/</w:t>
            </w:r>
            <w:r w:rsidR="00184F46" w:rsidRPr="00DF68DC">
              <w:rPr>
                <w:lang w:val="es-419"/>
              </w:rPr>
              <w:t>INF/3</w:t>
            </w:r>
          </w:p>
          <w:p w:rsidR="00EB4E9C" w:rsidRPr="00DF68DC" w:rsidRDefault="00EB4E9C" w:rsidP="003C7FBE">
            <w:pPr>
              <w:pStyle w:val="Docoriginal"/>
            </w:pPr>
            <w:r w:rsidRPr="00DF68DC">
              <w:t>Original:</w:t>
            </w:r>
            <w:r w:rsidRPr="00DF68DC">
              <w:rPr>
                <w:b w:val="0"/>
                <w:spacing w:val="0"/>
              </w:rPr>
              <w:t xml:space="preserve"> </w:t>
            </w:r>
            <w:r w:rsidR="002E5944" w:rsidRPr="00DF68DC">
              <w:rPr>
                <w:b w:val="0"/>
                <w:spacing w:val="0"/>
              </w:rPr>
              <w:t>Inglés</w:t>
            </w:r>
          </w:p>
          <w:p w:rsidR="00EB4E9C" w:rsidRPr="00DF68DC" w:rsidRDefault="002E5944" w:rsidP="00233AEA">
            <w:pPr>
              <w:pStyle w:val="Docoriginal"/>
            </w:pPr>
            <w:r w:rsidRPr="00DF68DC">
              <w:t>Fecha</w:t>
            </w:r>
            <w:r w:rsidR="00EB4E9C" w:rsidRPr="00DF68DC">
              <w:t>:</w:t>
            </w:r>
            <w:r w:rsidR="00184F46" w:rsidRPr="00DF68DC">
              <w:rPr>
                <w:b w:val="0"/>
                <w:spacing w:val="0"/>
              </w:rPr>
              <w:t xml:space="preserve"> </w:t>
            </w:r>
            <w:r w:rsidR="00E976A6" w:rsidRPr="00233AEA">
              <w:rPr>
                <w:b w:val="0"/>
                <w:spacing w:val="0"/>
              </w:rPr>
              <w:t>2</w:t>
            </w:r>
            <w:r w:rsidR="00233AEA" w:rsidRPr="00233AEA">
              <w:rPr>
                <w:b w:val="0"/>
                <w:spacing w:val="0"/>
              </w:rPr>
              <w:t>6</w:t>
            </w:r>
            <w:r w:rsidR="00E976A6" w:rsidRPr="00233AEA">
              <w:rPr>
                <w:b w:val="0"/>
                <w:spacing w:val="0"/>
              </w:rPr>
              <w:t xml:space="preserve"> de agosto</w:t>
            </w:r>
            <w:r w:rsidR="00EB4E9C" w:rsidRPr="00233AEA">
              <w:rPr>
                <w:b w:val="0"/>
                <w:spacing w:val="0"/>
              </w:rPr>
              <w:t xml:space="preserve"> </w:t>
            </w:r>
            <w:r w:rsidRPr="00233AEA">
              <w:rPr>
                <w:b w:val="0"/>
                <w:spacing w:val="0"/>
              </w:rPr>
              <w:t xml:space="preserve">de </w:t>
            </w:r>
            <w:r w:rsidR="00EB4E9C" w:rsidRPr="00233AEA">
              <w:rPr>
                <w:b w:val="0"/>
                <w:spacing w:val="0"/>
              </w:rPr>
              <w:t>201</w:t>
            </w:r>
            <w:r w:rsidR="008C6250" w:rsidRPr="00233AEA">
              <w:rPr>
                <w:b w:val="0"/>
                <w:spacing w:val="0"/>
              </w:rPr>
              <w:t>9</w:t>
            </w:r>
          </w:p>
        </w:tc>
      </w:tr>
    </w:tbl>
    <w:p w:rsidR="00E976A6" w:rsidRPr="00DF68DC" w:rsidRDefault="00244236" w:rsidP="005B0EFA">
      <w:pPr>
        <w:pStyle w:val="Titleofdoc0"/>
      </w:pPr>
      <w:bookmarkStart w:id="0" w:name="TitleOfDoc"/>
      <w:bookmarkStart w:id="1" w:name="Prepared"/>
      <w:bookmarkEnd w:id="0"/>
      <w:bookmarkEnd w:id="1"/>
      <w:r w:rsidRPr="00DF68DC">
        <w:rPr>
          <w:caps w:val="0"/>
        </w:rPr>
        <w:t>TÉCNICAS MOLECULARES</w:t>
      </w:r>
      <w:r w:rsidRPr="00DF68DC">
        <w:t xml:space="preserve">: </w:t>
      </w:r>
      <w:r w:rsidRPr="00DF68DC">
        <w:rPr>
          <w:caps w:val="0"/>
        </w:rPr>
        <w:t>CUESTIONES PARA INFORMACIÓN</w:t>
      </w:r>
    </w:p>
    <w:p w:rsidR="006A644A" w:rsidRPr="00DF68DC" w:rsidRDefault="000638A9" w:rsidP="006A644A">
      <w:pPr>
        <w:pStyle w:val="preparedby1"/>
        <w:jc w:val="left"/>
      </w:pPr>
      <w:r w:rsidRPr="00DF68DC">
        <w:t>Documento preparado por la Oficina de la Unión</w:t>
      </w:r>
    </w:p>
    <w:p w:rsidR="00050E16" w:rsidRPr="00DF68DC" w:rsidRDefault="000638A9" w:rsidP="006A644A">
      <w:pPr>
        <w:pStyle w:val="Disclaimer"/>
        <w:rPr>
          <w:lang w:val="es-419"/>
        </w:rPr>
      </w:pPr>
      <w:r w:rsidRPr="00DF68DC">
        <w:rPr>
          <w:lang w:val="es-419"/>
        </w:rPr>
        <w:t>Descargo de responsabilidad: el presente documento no constituye un documento de política u orientación de la UPOV</w:t>
      </w:r>
    </w:p>
    <w:p w:rsidR="00E976A6" w:rsidRPr="00DF68DC" w:rsidRDefault="00F644BF" w:rsidP="003C1771">
      <w:pPr>
        <w:outlineLvl w:val="0"/>
        <w:rPr>
          <w:caps/>
          <w:spacing w:val="-4"/>
          <w:lang w:eastAsia="ja-JP"/>
        </w:rPr>
      </w:pPr>
      <w:bookmarkStart w:id="2" w:name="_Toc19890917"/>
      <w:r w:rsidRPr="00DF68DC">
        <w:rPr>
          <w:caps/>
          <w:spacing w:val="-4"/>
          <w:lang w:eastAsia="ja-JP"/>
        </w:rPr>
        <w:t>RESUMEN</w:t>
      </w:r>
      <w:bookmarkEnd w:id="2"/>
    </w:p>
    <w:p w:rsidR="00E976A6" w:rsidRPr="00DF68DC" w:rsidRDefault="00E976A6" w:rsidP="003C1771">
      <w:pPr>
        <w:rPr>
          <w:rFonts w:eastAsiaTheme="minorEastAsia"/>
          <w:lang w:eastAsia="ja-JP"/>
        </w:rPr>
      </w:pPr>
    </w:p>
    <w:p w:rsidR="00E976A6" w:rsidRPr="00DF68DC" w:rsidRDefault="00F644BF" w:rsidP="003C1771">
      <w:pPr>
        <w:pStyle w:val="ListParagraph"/>
        <w:numPr>
          <w:ilvl w:val="0"/>
          <w:numId w:val="3"/>
        </w:numPr>
      </w:pPr>
      <w:r w:rsidRPr="00DF68DC">
        <w:t>El presente documento tiene por finalidad informar acerca de las novedades que se han producido en el ámbito de las técnicas moleculares desde la septuagésima quinta sesión del Comité Administrativo y Jurídico (CAJ).</w:t>
      </w:r>
    </w:p>
    <w:p w:rsidR="00E976A6" w:rsidRPr="00DF68DC" w:rsidRDefault="00E976A6" w:rsidP="003C1771">
      <w:pPr>
        <w:rPr>
          <w:lang w:eastAsia="ja-JP"/>
        </w:rPr>
      </w:pPr>
    </w:p>
    <w:p w:rsidR="00E976A6" w:rsidRPr="00DF68DC" w:rsidRDefault="004F282B" w:rsidP="003C1771">
      <w:pPr>
        <w:pStyle w:val="ListParagraph"/>
        <w:numPr>
          <w:ilvl w:val="0"/>
          <w:numId w:val="3"/>
        </w:numPr>
      </w:pPr>
      <w:r w:rsidRPr="00DF68DC">
        <w:t>En el presente documento se utilizan las abreviaturas siguientes:</w:t>
      </w:r>
    </w:p>
    <w:p w:rsidR="00E976A6" w:rsidRPr="00DF68DC" w:rsidRDefault="00E976A6" w:rsidP="003C1771"/>
    <w:p w:rsidR="00E976A6" w:rsidRPr="00DF68DC" w:rsidRDefault="004F282B" w:rsidP="003C1771">
      <w:pPr>
        <w:tabs>
          <w:tab w:val="left" w:pos="567"/>
        </w:tabs>
        <w:ind w:left="1701" w:hanging="1134"/>
        <w:rPr>
          <w:sz w:val="18"/>
        </w:rPr>
      </w:pPr>
      <w:r w:rsidRPr="00DF68DC">
        <w:rPr>
          <w:sz w:val="18"/>
        </w:rPr>
        <w:t>BMT:</w:t>
      </w:r>
      <w:r w:rsidR="00E976A6" w:rsidRPr="00DF68DC">
        <w:rPr>
          <w:sz w:val="18"/>
        </w:rPr>
        <w:tab/>
      </w:r>
      <w:r w:rsidRPr="00DF68DC">
        <w:rPr>
          <w:sz w:val="18"/>
        </w:rPr>
        <w:t>Grupo de Trabajo sobre Técnicas Bioquímicas y Moleculares, y Perfiles de ADN en particular</w:t>
      </w:r>
      <w:r w:rsidR="00E976A6" w:rsidRPr="00DF68DC">
        <w:rPr>
          <w:sz w:val="18"/>
        </w:rPr>
        <w:t xml:space="preserve"> </w:t>
      </w:r>
    </w:p>
    <w:p w:rsidR="00E976A6" w:rsidRPr="00DF68DC" w:rsidRDefault="004F282B" w:rsidP="003C1771">
      <w:pPr>
        <w:tabs>
          <w:tab w:val="left" w:pos="567"/>
        </w:tabs>
        <w:ind w:left="1701" w:hanging="1134"/>
        <w:rPr>
          <w:b/>
          <w:bCs/>
          <w:sz w:val="18"/>
        </w:rPr>
      </w:pPr>
      <w:r w:rsidRPr="00DF68DC">
        <w:rPr>
          <w:sz w:val="18"/>
        </w:rPr>
        <w:t>CAJ:</w:t>
      </w:r>
      <w:r w:rsidR="00E976A6" w:rsidRPr="00DF68DC">
        <w:rPr>
          <w:sz w:val="18"/>
        </w:rPr>
        <w:tab/>
      </w:r>
      <w:r w:rsidRPr="00DF68DC">
        <w:rPr>
          <w:bCs/>
          <w:sz w:val="18"/>
        </w:rPr>
        <w:t>Comité Administrativo y Jurídico</w:t>
      </w:r>
    </w:p>
    <w:p w:rsidR="00E976A6" w:rsidRPr="00DF68DC" w:rsidRDefault="004F282B" w:rsidP="003C1771">
      <w:pPr>
        <w:tabs>
          <w:tab w:val="left" w:pos="567"/>
        </w:tabs>
        <w:ind w:left="1701" w:hanging="1134"/>
        <w:rPr>
          <w:sz w:val="18"/>
        </w:rPr>
      </w:pPr>
      <w:r w:rsidRPr="00DF68DC">
        <w:rPr>
          <w:sz w:val="18"/>
        </w:rPr>
        <w:t>TC:</w:t>
      </w:r>
      <w:r w:rsidR="00E976A6" w:rsidRPr="00DF68DC">
        <w:rPr>
          <w:sz w:val="18"/>
        </w:rPr>
        <w:tab/>
      </w:r>
      <w:r w:rsidRPr="00DF68DC">
        <w:rPr>
          <w:sz w:val="18"/>
        </w:rPr>
        <w:t>Comité Técnico</w:t>
      </w:r>
    </w:p>
    <w:p w:rsidR="00E976A6" w:rsidRPr="00DF68DC" w:rsidRDefault="004F282B" w:rsidP="003C1771">
      <w:pPr>
        <w:ind w:left="1701" w:hanging="1134"/>
        <w:rPr>
          <w:rFonts w:eastAsia="PMingLiU" w:cs="Arial"/>
          <w:sz w:val="18"/>
          <w:szCs w:val="24"/>
        </w:rPr>
      </w:pPr>
      <w:r w:rsidRPr="00DF68DC">
        <w:rPr>
          <w:rFonts w:eastAsia="PMingLiU" w:cs="Arial"/>
          <w:sz w:val="18"/>
          <w:szCs w:val="24"/>
        </w:rPr>
        <w:t>TWA:</w:t>
      </w:r>
      <w:r w:rsidR="00E976A6" w:rsidRPr="00DF68DC">
        <w:rPr>
          <w:rFonts w:eastAsia="PMingLiU" w:cs="Arial"/>
          <w:sz w:val="18"/>
          <w:szCs w:val="24"/>
        </w:rPr>
        <w:tab/>
      </w:r>
      <w:r w:rsidRPr="00DF68DC">
        <w:rPr>
          <w:rFonts w:eastAsia="PMingLiU" w:cs="Arial"/>
          <w:sz w:val="18"/>
          <w:szCs w:val="24"/>
        </w:rPr>
        <w:t>Grupo de Trabajo Técnico sobre Plantas Agrícolas</w:t>
      </w:r>
    </w:p>
    <w:p w:rsidR="00E976A6" w:rsidRPr="00DF68DC" w:rsidRDefault="004F282B" w:rsidP="003C1771">
      <w:pPr>
        <w:ind w:left="1701" w:hanging="1134"/>
        <w:rPr>
          <w:rFonts w:eastAsia="PMingLiU" w:cs="Arial"/>
          <w:sz w:val="18"/>
          <w:szCs w:val="24"/>
        </w:rPr>
      </w:pPr>
      <w:r w:rsidRPr="00DF68DC">
        <w:rPr>
          <w:rFonts w:eastAsia="PMingLiU" w:cs="Arial"/>
          <w:sz w:val="18"/>
          <w:szCs w:val="24"/>
        </w:rPr>
        <w:t>TWC:</w:t>
      </w:r>
      <w:r w:rsidR="00E976A6" w:rsidRPr="00DF68DC">
        <w:rPr>
          <w:rFonts w:eastAsia="PMingLiU" w:cs="Arial"/>
          <w:sz w:val="18"/>
          <w:szCs w:val="24"/>
        </w:rPr>
        <w:tab/>
      </w:r>
      <w:r w:rsidRPr="00DF68DC">
        <w:rPr>
          <w:rFonts w:eastAsia="PMingLiU" w:cs="Arial"/>
          <w:sz w:val="18"/>
          <w:szCs w:val="24"/>
        </w:rPr>
        <w:t>Grupo de Trabajo Técnico sobre Automatización y Programas Informáticos</w:t>
      </w:r>
    </w:p>
    <w:p w:rsidR="00E976A6" w:rsidRPr="00DF68DC" w:rsidRDefault="004F282B" w:rsidP="003C1771">
      <w:pPr>
        <w:ind w:left="1701" w:hanging="1134"/>
        <w:rPr>
          <w:rFonts w:eastAsia="PMingLiU" w:cs="Arial"/>
          <w:sz w:val="18"/>
          <w:szCs w:val="24"/>
        </w:rPr>
      </w:pPr>
      <w:r w:rsidRPr="00DF68DC">
        <w:rPr>
          <w:rFonts w:eastAsia="PMingLiU" w:cs="Arial"/>
          <w:sz w:val="18"/>
          <w:szCs w:val="24"/>
        </w:rPr>
        <w:t>TWF:</w:t>
      </w:r>
      <w:r w:rsidR="00E976A6" w:rsidRPr="00DF68DC">
        <w:rPr>
          <w:rFonts w:eastAsia="PMingLiU" w:cs="Arial"/>
          <w:sz w:val="18"/>
          <w:szCs w:val="24"/>
        </w:rPr>
        <w:t xml:space="preserve"> </w:t>
      </w:r>
      <w:r w:rsidR="00E976A6" w:rsidRPr="00DF68DC">
        <w:rPr>
          <w:rFonts w:eastAsia="PMingLiU" w:cs="Arial"/>
          <w:sz w:val="18"/>
          <w:szCs w:val="24"/>
        </w:rPr>
        <w:tab/>
      </w:r>
      <w:r w:rsidRPr="00DF68DC">
        <w:rPr>
          <w:rFonts w:eastAsia="PMingLiU" w:cs="Arial"/>
          <w:sz w:val="18"/>
          <w:szCs w:val="24"/>
        </w:rPr>
        <w:t>Grupo de Trabajo Técnico sobre Plantas Frutales</w:t>
      </w:r>
    </w:p>
    <w:p w:rsidR="00E976A6" w:rsidRPr="00DF68DC" w:rsidRDefault="004F282B" w:rsidP="003C1771">
      <w:pPr>
        <w:ind w:left="1701" w:hanging="1134"/>
        <w:rPr>
          <w:rFonts w:eastAsia="PMingLiU" w:cs="Arial"/>
          <w:sz w:val="18"/>
          <w:szCs w:val="24"/>
        </w:rPr>
      </w:pPr>
      <w:r w:rsidRPr="00DF68DC">
        <w:rPr>
          <w:rFonts w:eastAsia="PMingLiU" w:cs="Arial"/>
          <w:sz w:val="18"/>
          <w:szCs w:val="24"/>
        </w:rPr>
        <w:t>TWO:</w:t>
      </w:r>
      <w:r w:rsidR="00E976A6" w:rsidRPr="00DF68DC">
        <w:rPr>
          <w:rFonts w:eastAsia="PMingLiU" w:cs="Arial"/>
          <w:sz w:val="18"/>
          <w:szCs w:val="24"/>
        </w:rPr>
        <w:tab/>
      </w:r>
      <w:r w:rsidRPr="00DF68DC">
        <w:rPr>
          <w:rFonts w:eastAsia="PMingLiU" w:cs="Arial"/>
          <w:sz w:val="18"/>
          <w:szCs w:val="24"/>
        </w:rPr>
        <w:t>Grupo de Trabajo Técnico sobre Plantas Ornamentales y Árboles Forestales</w:t>
      </w:r>
    </w:p>
    <w:p w:rsidR="00E976A6" w:rsidRPr="00DF68DC" w:rsidRDefault="004F282B" w:rsidP="003C1771">
      <w:pPr>
        <w:ind w:left="1701" w:hanging="1134"/>
        <w:rPr>
          <w:rFonts w:eastAsia="PMingLiU" w:cs="Arial"/>
          <w:sz w:val="18"/>
          <w:szCs w:val="24"/>
        </w:rPr>
      </w:pPr>
      <w:r w:rsidRPr="00DF68DC">
        <w:rPr>
          <w:rFonts w:eastAsia="PMingLiU" w:cs="Arial"/>
          <w:sz w:val="18"/>
          <w:szCs w:val="24"/>
        </w:rPr>
        <w:t>TWP:</w:t>
      </w:r>
      <w:r w:rsidR="00E976A6" w:rsidRPr="00DF68DC">
        <w:rPr>
          <w:rFonts w:eastAsia="PMingLiU" w:cs="Arial"/>
          <w:sz w:val="18"/>
          <w:szCs w:val="24"/>
        </w:rPr>
        <w:tab/>
      </w:r>
      <w:r w:rsidRPr="00DF68DC">
        <w:rPr>
          <w:rFonts w:eastAsia="PMingLiU" w:cs="Arial"/>
          <w:sz w:val="18"/>
          <w:szCs w:val="24"/>
        </w:rPr>
        <w:t>Grupos de Trabajo Técnico</w:t>
      </w:r>
    </w:p>
    <w:p w:rsidR="00E976A6" w:rsidRPr="00DF68DC" w:rsidRDefault="004F282B" w:rsidP="003C1771">
      <w:pPr>
        <w:ind w:left="1701" w:hanging="1134"/>
        <w:rPr>
          <w:rFonts w:eastAsia="PMingLiU" w:cs="Arial"/>
          <w:sz w:val="18"/>
          <w:szCs w:val="24"/>
        </w:rPr>
      </w:pPr>
      <w:r w:rsidRPr="00DF68DC">
        <w:rPr>
          <w:rFonts w:eastAsia="PMingLiU" w:cs="Arial"/>
          <w:sz w:val="18"/>
          <w:szCs w:val="24"/>
        </w:rPr>
        <w:t>TWV:</w:t>
      </w:r>
      <w:r w:rsidR="00E976A6" w:rsidRPr="00DF68DC">
        <w:rPr>
          <w:rFonts w:eastAsia="PMingLiU" w:cs="Arial"/>
          <w:sz w:val="18"/>
          <w:szCs w:val="24"/>
        </w:rPr>
        <w:tab/>
      </w:r>
      <w:r w:rsidRPr="00DF68DC">
        <w:rPr>
          <w:rFonts w:eastAsia="PMingLiU" w:cs="Arial"/>
          <w:sz w:val="18"/>
          <w:szCs w:val="24"/>
        </w:rPr>
        <w:t>Grupo de Trabajo Técnico sobre Hortalizas</w:t>
      </w:r>
    </w:p>
    <w:p w:rsidR="00E976A6" w:rsidRPr="00DF68DC" w:rsidRDefault="004F282B" w:rsidP="003C1771">
      <w:pPr>
        <w:ind w:left="1701" w:hanging="1134"/>
        <w:rPr>
          <w:rFonts w:eastAsia="PMingLiU" w:cs="Arial"/>
          <w:snapToGrid w:val="0"/>
          <w:sz w:val="18"/>
          <w:szCs w:val="24"/>
        </w:rPr>
      </w:pPr>
      <w:r w:rsidRPr="00DF68DC">
        <w:rPr>
          <w:rFonts w:eastAsia="PMingLiU" w:cs="Arial"/>
          <w:sz w:val="18"/>
          <w:szCs w:val="24"/>
        </w:rPr>
        <w:t>OCDE:</w:t>
      </w:r>
      <w:r w:rsidR="00E976A6" w:rsidRPr="00DF68DC">
        <w:rPr>
          <w:rFonts w:eastAsia="PMingLiU" w:cs="Arial"/>
          <w:sz w:val="18"/>
          <w:szCs w:val="24"/>
        </w:rPr>
        <w:tab/>
      </w:r>
      <w:r w:rsidRPr="00DF68DC">
        <w:rPr>
          <w:rFonts w:eastAsia="PMingLiU" w:cs="Arial"/>
          <w:snapToGrid w:val="0"/>
          <w:sz w:val="18"/>
          <w:szCs w:val="24"/>
        </w:rPr>
        <w:t>Organización de Cooperación y Desarrollo Económicos</w:t>
      </w:r>
    </w:p>
    <w:p w:rsidR="00E976A6" w:rsidRPr="00DF68DC" w:rsidRDefault="004F282B" w:rsidP="003C1771">
      <w:pPr>
        <w:ind w:left="1701" w:hanging="1134"/>
        <w:rPr>
          <w:rFonts w:cs="Arial"/>
          <w:snapToGrid w:val="0"/>
          <w:sz w:val="18"/>
          <w:szCs w:val="24"/>
          <w:lang w:eastAsia="ja-JP"/>
        </w:rPr>
      </w:pPr>
      <w:r w:rsidRPr="00DF68DC">
        <w:rPr>
          <w:rFonts w:eastAsia="PMingLiU" w:cs="Arial"/>
          <w:snapToGrid w:val="0"/>
          <w:sz w:val="18"/>
          <w:szCs w:val="24"/>
          <w:lang w:eastAsia="fr-FR"/>
        </w:rPr>
        <w:t>ISTA:</w:t>
      </w:r>
      <w:r w:rsidR="00E976A6" w:rsidRPr="00DF68DC">
        <w:rPr>
          <w:rFonts w:eastAsia="PMingLiU" w:cs="Arial"/>
          <w:snapToGrid w:val="0"/>
          <w:sz w:val="18"/>
          <w:szCs w:val="24"/>
          <w:lang w:eastAsia="fr-FR"/>
        </w:rPr>
        <w:t xml:space="preserve"> </w:t>
      </w:r>
      <w:r w:rsidR="00E976A6" w:rsidRPr="00DF68DC">
        <w:rPr>
          <w:rFonts w:eastAsia="PMingLiU" w:cs="Arial"/>
          <w:snapToGrid w:val="0"/>
          <w:sz w:val="18"/>
          <w:szCs w:val="24"/>
          <w:lang w:eastAsia="fr-FR"/>
        </w:rPr>
        <w:tab/>
      </w:r>
      <w:r w:rsidRPr="00DF68DC">
        <w:rPr>
          <w:rFonts w:eastAsia="PMingLiU" w:cs="Arial"/>
          <w:i/>
          <w:snapToGrid w:val="0"/>
          <w:sz w:val="18"/>
          <w:szCs w:val="24"/>
          <w:lang w:eastAsia="fr-FR"/>
        </w:rPr>
        <w:t>International Seed Testing Association</w:t>
      </w:r>
      <w:r w:rsidRPr="00DF68DC">
        <w:rPr>
          <w:rFonts w:eastAsia="PMingLiU" w:cs="Arial"/>
          <w:snapToGrid w:val="0"/>
          <w:sz w:val="18"/>
          <w:szCs w:val="24"/>
          <w:lang w:eastAsia="fr-FR"/>
        </w:rPr>
        <w:t xml:space="preserve"> (Asociación Internacional para el Ensayo de Semillas)</w:t>
      </w:r>
    </w:p>
    <w:p w:rsidR="00E976A6" w:rsidRPr="00DF68DC" w:rsidRDefault="00E976A6" w:rsidP="00E976A6">
      <w:pPr>
        <w:ind w:left="1701" w:hanging="1134"/>
        <w:rPr>
          <w:rFonts w:eastAsia="PMingLiU" w:cs="Arial"/>
          <w:sz w:val="18"/>
          <w:szCs w:val="24"/>
        </w:rPr>
      </w:pPr>
    </w:p>
    <w:p w:rsidR="00E976A6" w:rsidRPr="00DF68DC" w:rsidRDefault="00E976A6" w:rsidP="00E976A6">
      <w:pPr>
        <w:ind w:left="1701" w:hanging="1134"/>
        <w:rPr>
          <w:rFonts w:cs="Arial"/>
          <w:snapToGrid w:val="0"/>
          <w:sz w:val="18"/>
          <w:szCs w:val="24"/>
          <w:lang w:eastAsia="ja-JP"/>
        </w:rPr>
      </w:pPr>
    </w:p>
    <w:p w:rsidR="00E976A6" w:rsidRPr="00DF68DC" w:rsidRDefault="004F282B" w:rsidP="00DF68DC">
      <w:pPr>
        <w:pStyle w:val="ListParagraph"/>
        <w:keepNext/>
        <w:numPr>
          <w:ilvl w:val="0"/>
          <w:numId w:val="3"/>
        </w:numPr>
      </w:pPr>
      <w:r w:rsidRPr="00DF68DC">
        <w:t>El presente documento se estructura del modo siguiente:</w:t>
      </w:r>
    </w:p>
    <w:p w:rsidR="00E976A6" w:rsidRPr="00DF68DC" w:rsidRDefault="00E976A6" w:rsidP="00E976A6"/>
    <w:bookmarkStart w:id="3" w:name="_Toc460313637"/>
    <w:bookmarkStart w:id="4" w:name="_Toc410822402"/>
    <w:bookmarkStart w:id="5" w:name="_Toc410822806"/>
    <w:bookmarkStart w:id="6" w:name="_Toc410823313"/>
    <w:bookmarkStart w:id="7" w:name="_Toc410899581"/>
    <w:p w:rsidR="00233AEA" w:rsidRPr="00233AEA" w:rsidRDefault="00AC2C1F">
      <w:pPr>
        <w:pStyle w:val="TOC1"/>
        <w:rPr>
          <w:rFonts w:asciiTheme="minorHAnsi" w:eastAsiaTheme="minorEastAsia" w:hAnsiTheme="minorHAnsi" w:cstheme="minorBidi"/>
          <w:caps w:val="0"/>
          <w:sz w:val="22"/>
          <w:szCs w:val="22"/>
          <w:lang w:val="es-ES_tradnl"/>
        </w:rPr>
      </w:pPr>
      <w:r w:rsidRPr="00DF68DC">
        <w:rPr>
          <w:rFonts w:eastAsiaTheme="minorEastAsia" w:cs="Arial"/>
          <w:bCs/>
          <w:lang w:eastAsia="ja-JP"/>
        </w:rPr>
        <w:fldChar w:fldCharType="begin"/>
      </w:r>
      <w:r w:rsidR="00E976A6" w:rsidRPr="00DF68DC">
        <w:rPr>
          <w:rFonts w:eastAsiaTheme="minorEastAsia" w:cs="Arial"/>
          <w:bCs/>
          <w:lang w:eastAsia="ja-JP"/>
        </w:rPr>
        <w:instrText xml:space="preserve"> TOC \o "1-2" \u </w:instrText>
      </w:r>
      <w:r w:rsidRPr="00DF68DC">
        <w:rPr>
          <w:rFonts w:eastAsiaTheme="minorEastAsia" w:cs="Arial"/>
          <w:bCs/>
          <w:lang w:eastAsia="ja-JP"/>
        </w:rPr>
        <w:fldChar w:fldCharType="separate"/>
      </w:r>
      <w:bookmarkStart w:id="8" w:name="_GoBack"/>
      <w:bookmarkEnd w:id="8"/>
      <w:r w:rsidR="00233AEA" w:rsidRPr="002A726F">
        <w:rPr>
          <w:spacing w:val="-4"/>
          <w:lang w:eastAsia="ja-JP"/>
        </w:rPr>
        <w:t>RESUMEN</w:t>
      </w:r>
      <w:r w:rsidR="00233AEA">
        <w:tab/>
      </w:r>
      <w:r w:rsidR="00233AEA">
        <w:fldChar w:fldCharType="begin"/>
      </w:r>
      <w:r w:rsidR="00233AEA">
        <w:instrText xml:space="preserve"> PAGEREF _Toc19890917 \h </w:instrText>
      </w:r>
      <w:r w:rsidR="00233AEA">
        <w:fldChar w:fldCharType="separate"/>
      </w:r>
      <w:r w:rsidR="00233AEA">
        <w:t>1</w:t>
      </w:r>
      <w:r w:rsidR="00233AEA">
        <w:fldChar w:fldCharType="end"/>
      </w:r>
    </w:p>
    <w:p w:rsidR="00233AEA" w:rsidRPr="00233AEA" w:rsidRDefault="00233AEA">
      <w:pPr>
        <w:pStyle w:val="TOC1"/>
        <w:rPr>
          <w:rFonts w:asciiTheme="minorHAnsi" w:eastAsiaTheme="minorEastAsia" w:hAnsiTheme="minorHAnsi" w:cstheme="minorBidi"/>
          <w:caps w:val="0"/>
          <w:sz w:val="22"/>
          <w:szCs w:val="22"/>
          <w:lang w:val="es-ES_tradnl"/>
        </w:rPr>
      </w:pPr>
      <w:r w:rsidRPr="002A726F">
        <w:rPr>
          <w:spacing w:val="-4"/>
          <w:lang w:eastAsia="ja-JP"/>
        </w:rPr>
        <w:t>ANTECEDENTES</w:t>
      </w:r>
      <w:r>
        <w:tab/>
      </w:r>
      <w:r>
        <w:fldChar w:fldCharType="begin"/>
      </w:r>
      <w:r>
        <w:instrText xml:space="preserve"> PAGEREF _Toc19890918 \h </w:instrText>
      </w:r>
      <w:r>
        <w:fldChar w:fldCharType="separate"/>
      </w:r>
      <w:r>
        <w:t>1</w:t>
      </w:r>
      <w:r>
        <w:fldChar w:fldCharType="end"/>
      </w:r>
    </w:p>
    <w:p w:rsidR="00233AEA" w:rsidRPr="00233AEA" w:rsidRDefault="00233AEA">
      <w:pPr>
        <w:pStyle w:val="TOC1"/>
        <w:rPr>
          <w:rFonts w:asciiTheme="minorHAnsi" w:eastAsiaTheme="minorEastAsia" w:hAnsiTheme="minorHAnsi" w:cstheme="minorBidi"/>
          <w:caps w:val="0"/>
          <w:sz w:val="22"/>
          <w:szCs w:val="22"/>
          <w:lang w:val="es-ES_tradnl"/>
        </w:rPr>
      </w:pPr>
      <w:r w:rsidRPr="002A726F">
        <w:rPr>
          <w:spacing w:val="-4"/>
          <w:lang w:eastAsia="ja-JP"/>
        </w:rPr>
        <w:t>REVISIÓN DEL DOCUMENTO UPOV/INF/17 “DIRECTRICES PARA LOS PERFILES DE ADN: SELECCIÓN DE MARCADORES MOLECULARES Y CREACIÓN DE UNA BASE DE DATOS (“DIRECTRICES BMT”)”</w:t>
      </w:r>
      <w:r>
        <w:tab/>
      </w:r>
      <w:r>
        <w:fldChar w:fldCharType="begin"/>
      </w:r>
      <w:r>
        <w:instrText xml:space="preserve"> PAGEREF _Toc19890919 \h </w:instrText>
      </w:r>
      <w:r>
        <w:fldChar w:fldCharType="separate"/>
      </w:r>
      <w:r>
        <w:t>2</w:t>
      </w:r>
      <w:r>
        <w:fldChar w:fldCharType="end"/>
      </w:r>
    </w:p>
    <w:p w:rsidR="00233AEA" w:rsidRPr="00233AEA" w:rsidRDefault="00233AEA">
      <w:pPr>
        <w:pStyle w:val="TOC1"/>
        <w:rPr>
          <w:rFonts w:asciiTheme="minorHAnsi" w:eastAsiaTheme="minorEastAsia" w:hAnsiTheme="minorHAnsi" w:cstheme="minorBidi"/>
          <w:caps w:val="0"/>
          <w:sz w:val="22"/>
          <w:szCs w:val="22"/>
          <w:lang w:val="es-ES_tradnl"/>
        </w:rPr>
      </w:pPr>
      <w:r w:rsidRPr="002A726F">
        <w:rPr>
          <w:spacing w:val="-4"/>
          <w:lang w:eastAsia="ja-JP"/>
        </w:rPr>
        <w:t>COOPERACIÓN ENTRE LAS ORGANIZACIONES INTERNACIONALES</w:t>
      </w:r>
      <w:r>
        <w:tab/>
      </w:r>
      <w:r>
        <w:fldChar w:fldCharType="begin"/>
      </w:r>
      <w:r>
        <w:instrText xml:space="preserve"> PAGEREF _Toc19890920 \h </w:instrText>
      </w:r>
      <w:r>
        <w:fldChar w:fldCharType="separate"/>
      </w:r>
      <w:r>
        <w:t>2</w:t>
      </w:r>
      <w:r>
        <w:fldChar w:fldCharType="end"/>
      </w:r>
    </w:p>
    <w:p w:rsidR="00233AEA" w:rsidRPr="00233AEA" w:rsidRDefault="00233AEA">
      <w:pPr>
        <w:pStyle w:val="TOC1"/>
        <w:rPr>
          <w:rFonts w:asciiTheme="minorHAnsi" w:eastAsiaTheme="minorEastAsia" w:hAnsiTheme="minorHAnsi" w:cstheme="minorBidi"/>
          <w:caps w:val="0"/>
          <w:sz w:val="22"/>
          <w:szCs w:val="22"/>
          <w:lang w:val="es-ES_tradnl"/>
        </w:rPr>
      </w:pPr>
      <w:r w:rsidRPr="002A726F">
        <w:rPr>
          <w:spacing w:val="-4"/>
          <w:lang w:eastAsia="ja-JP"/>
        </w:rPr>
        <w:t>SESIÓN PARA FACILITAR LA COOPERACIÓN EN EL BMT y LOS TWP</w:t>
      </w:r>
      <w:r>
        <w:tab/>
      </w:r>
      <w:r>
        <w:fldChar w:fldCharType="begin"/>
      </w:r>
      <w:r>
        <w:instrText xml:space="preserve"> PAGEREF _Toc19890921 \h </w:instrText>
      </w:r>
      <w:r>
        <w:fldChar w:fldCharType="separate"/>
      </w:r>
      <w:r>
        <w:t>4</w:t>
      </w:r>
      <w:r>
        <w:fldChar w:fldCharType="end"/>
      </w:r>
    </w:p>
    <w:p w:rsidR="00E976A6" w:rsidRPr="00DF68DC" w:rsidRDefault="00AC2C1F" w:rsidP="00E976A6">
      <w:r w:rsidRPr="00DF68DC">
        <w:fldChar w:fldCharType="end"/>
      </w:r>
    </w:p>
    <w:p w:rsidR="00E976A6" w:rsidRPr="00DF68DC" w:rsidRDefault="004F282B" w:rsidP="00E976A6">
      <w:pPr>
        <w:rPr>
          <w:snapToGrid w:val="0"/>
          <w:sz w:val="18"/>
          <w:szCs w:val="18"/>
          <w:lang w:eastAsia="ja-JP"/>
        </w:rPr>
      </w:pPr>
      <w:r w:rsidRPr="00DF68DC">
        <w:rPr>
          <w:snapToGrid w:val="0"/>
          <w:sz w:val="18"/>
          <w:szCs w:val="18"/>
          <w:lang w:eastAsia="ja-JP"/>
        </w:rPr>
        <w:t>ANEXO</w:t>
      </w:r>
      <w:r w:rsidR="00E976A6" w:rsidRPr="00DF68DC">
        <w:rPr>
          <w:snapToGrid w:val="0"/>
          <w:sz w:val="18"/>
          <w:szCs w:val="18"/>
          <w:lang w:eastAsia="ja-JP"/>
        </w:rPr>
        <w:tab/>
      </w:r>
      <w:r w:rsidRPr="00DF68DC">
        <w:rPr>
          <w:snapToGrid w:val="0"/>
          <w:sz w:val="18"/>
          <w:szCs w:val="18"/>
          <w:lang w:eastAsia="ja-JP"/>
        </w:rPr>
        <w:t>FUNCIÓN DEL GRUPO DE TRABAJO SOBRE TÉCNICAS BIOQUÍMICAS Y MOLECULARES, Y PERFILES DE ADN EN PARTICULAR (BMT)</w:t>
      </w:r>
    </w:p>
    <w:p w:rsidR="00E976A6" w:rsidRPr="00DF68DC" w:rsidRDefault="00E976A6" w:rsidP="00E976A6">
      <w:pPr>
        <w:rPr>
          <w:snapToGrid w:val="0"/>
          <w:lang w:eastAsia="ja-JP"/>
        </w:rPr>
      </w:pPr>
    </w:p>
    <w:bookmarkEnd w:id="3"/>
    <w:p w:rsidR="00E976A6" w:rsidRPr="00DF68DC" w:rsidRDefault="00E976A6" w:rsidP="00E976A6">
      <w:pPr>
        <w:rPr>
          <w:lang w:eastAsia="ja-JP"/>
        </w:rPr>
      </w:pPr>
    </w:p>
    <w:p w:rsidR="00E976A6" w:rsidRPr="00DF68DC" w:rsidRDefault="00E976A6" w:rsidP="00E976A6">
      <w:pPr>
        <w:rPr>
          <w:lang w:eastAsia="ja-JP"/>
        </w:rPr>
      </w:pPr>
    </w:p>
    <w:p w:rsidR="00E976A6" w:rsidRPr="00DF68DC" w:rsidRDefault="004F282B" w:rsidP="00E976A6">
      <w:pPr>
        <w:keepNext/>
        <w:outlineLvl w:val="0"/>
        <w:rPr>
          <w:caps/>
          <w:spacing w:val="-4"/>
          <w:lang w:eastAsia="ja-JP"/>
        </w:rPr>
      </w:pPr>
      <w:bookmarkStart w:id="9" w:name="_Toc19890918"/>
      <w:r w:rsidRPr="00DF68DC">
        <w:rPr>
          <w:caps/>
          <w:spacing w:val="-4"/>
          <w:lang w:eastAsia="ja-JP"/>
        </w:rPr>
        <w:t>ANTECEDENTES</w:t>
      </w:r>
      <w:bookmarkEnd w:id="9"/>
      <w:r w:rsidR="00E976A6" w:rsidRPr="00DF68DC">
        <w:rPr>
          <w:caps/>
          <w:spacing w:val="-4"/>
          <w:lang w:eastAsia="ja-JP"/>
        </w:rPr>
        <w:t xml:space="preserve"> </w:t>
      </w:r>
    </w:p>
    <w:p w:rsidR="00E976A6" w:rsidRPr="00DF68DC" w:rsidRDefault="00E976A6" w:rsidP="00E976A6">
      <w:pPr>
        <w:keepNext/>
        <w:rPr>
          <w:lang w:eastAsia="ja-JP"/>
        </w:rPr>
      </w:pPr>
    </w:p>
    <w:p w:rsidR="00E976A6" w:rsidRPr="00DF68DC" w:rsidRDefault="00D52B09" w:rsidP="00DF68DC">
      <w:pPr>
        <w:pStyle w:val="ListParagraph"/>
        <w:numPr>
          <w:ilvl w:val="0"/>
          <w:numId w:val="3"/>
        </w:numPr>
      </w:pPr>
      <w:r w:rsidRPr="00DF68DC">
        <w:t>La función del Grupo de Trabajo sobre Técnicas Bioquímicas y Moleculares, y Perfiles de ADN en particular (BMT) se reproduce en el Anexo del presente documento.</w:t>
      </w:r>
    </w:p>
    <w:p w:rsidR="00E976A6" w:rsidRPr="00DF68DC" w:rsidRDefault="00E976A6" w:rsidP="00E976A6"/>
    <w:p w:rsidR="00E976A6" w:rsidRPr="00DF68DC" w:rsidRDefault="00E976A6" w:rsidP="00E976A6"/>
    <w:p w:rsidR="00E976A6" w:rsidRPr="00DF68DC" w:rsidRDefault="00E976A6" w:rsidP="00E976A6">
      <w:pPr>
        <w:rPr>
          <w:lang w:eastAsia="ja-JP"/>
        </w:rPr>
      </w:pPr>
    </w:p>
    <w:p w:rsidR="00E976A6" w:rsidRPr="00DF68DC" w:rsidRDefault="00D52B09" w:rsidP="00E976A6">
      <w:pPr>
        <w:keepNext/>
        <w:outlineLvl w:val="0"/>
        <w:rPr>
          <w:caps/>
          <w:spacing w:val="-4"/>
          <w:lang w:eastAsia="ja-JP"/>
        </w:rPr>
      </w:pPr>
      <w:bookmarkStart w:id="10" w:name="_Toc527366638"/>
      <w:bookmarkStart w:id="11" w:name="_Toc19890919"/>
      <w:r w:rsidRPr="00DF68DC">
        <w:rPr>
          <w:caps/>
          <w:spacing w:val="-4"/>
          <w:lang w:eastAsia="ja-JP"/>
        </w:rPr>
        <w:lastRenderedPageBreak/>
        <w:t xml:space="preserve">REVISIÓN DEL DOCUMENTO UPOV/INF/17 “DIRECTRICES PARA LOS PERFILES DE ADN: </w:t>
      </w:r>
      <w:bookmarkEnd w:id="10"/>
      <w:r w:rsidR="004313F7" w:rsidRPr="00DF68DC">
        <w:rPr>
          <w:caps/>
          <w:spacing w:val="-4"/>
          <w:lang w:eastAsia="ja-JP"/>
        </w:rPr>
        <w:t>SELECCIÓN DE MARCADORES MOLECULARES Y CREACIÓN DE UNA BASE DE DATOS (“DIRECTRICES BMT”)”</w:t>
      </w:r>
      <w:bookmarkEnd w:id="11"/>
    </w:p>
    <w:p w:rsidR="00E976A6" w:rsidRPr="00DF68DC" w:rsidRDefault="00E976A6" w:rsidP="00E976A6">
      <w:pPr>
        <w:keepNext/>
        <w:rPr>
          <w:lang w:eastAsia="ja-JP"/>
        </w:rPr>
      </w:pPr>
    </w:p>
    <w:p w:rsidR="00E976A6" w:rsidRPr="00DF68DC" w:rsidRDefault="004313F7" w:rsidP="00DF68DC">
      <w:pPr>
        <w:pStyle w:val="ListParagraph"/>
        <w:keepNext/>
        <w:numPr>
          <w:ilvl w:val="0"/>
          <w:numId w:val="3"/>
        </w:numPr>
        <w:rPr>
          <w:rFonts w:eastAsiaTheme="minorEastAsia"/>
          <w:lang w:eastAsia="ja-JP"/>
        </w:rPr>
      </w:pPr>
      <w:r w:rsidRPr="00DF68DC">
        <w:rPr>
          <w:rFonts w:eastAsiaTheme="minorEastAsia"/>
          <w:lang w:eastAsia="ja-JP"/>
        </w:rPr>
        <w:t>Los antecedentes de esta cuestión figuran en los párrafos 31 a 34 del documento CAJ/75/11 “Técnicas moleculares”.</w:t>
      </w:r>
    </w:p>
    <w:p w:rsidR="00E976A6" w:rsidRPr="00DF68DC" w:rsidRDefault="00E976A6" w:rsidP="00E976A6"/>
    <w:p w:rsidR="00E976A6" w:rsidRPr="00DF68DC" w:rsidRDefault="00C34F2A" w:rsidP="00DF68DC">
      <w:pPr>
        <w:pStyle w:val="ListParagraph"/>
        <w:numPr>
          <w:ilvl w:val="0"/>
          <w:numId w:val="3"/>
        </w:numPr>
      </w:pPr>
      <w:r w:rsidRPr="00DF68DC">
        <w:t xml:space="preserve">El </w:t>
      </w:r>
      <w:r w:rsidR="00137452" w:rsidRPr="00DF68DC">
        <w:t>CAJ, en su septuagésima</w:t>
      </w:r>
      <w:r w:rsidR="00233AEA">
        <w:t> </w:t>
      </w:r>
      <w:r w:rsidR="00137452" w:rsidRPr="00DF68DC">
        <w:t>quinta sesión</w:t>
      </w:r>
      <w:r w:rsidRPr="00DF68DC">
        <w:t>,</w:t>
      </w:r>
      <w:r w:rsidR="00137452" w:rsidRPr="00DF68DC">
        <w:rPr>
          <w:vertAlign w:val="superscript"/>
        </w:rPr>
        <w:footnoteReference w:id="2"/>
      </w:r>
      <w:r w:rsidR="00137452" w:rsidRPr="00DF68DC">
        <w:t xml:space="preserve"> </w:t>
      </w:r>
      <w:r w:rsidRPr="00DF68DC">
        <w:t xml:space="preserve">tomó nota de que </w:t>
      </w:r>
      <w:r w:rsidR="00137452" w:rsidRPr="00DF68DC">
        <w:t>el TC, en su quincuagésima</w:t>
      </w:r>
      <w:r w:rsidR="00233AEA">
        <w:t> </w:t>
      </w:r>
      <w:r w:rsidR="00137452" w:rsidRPr="00DF68DC">
        <w:t xml:space="preserve">cuarta </w:t>
      </w:r>
      <w:r w:rsidRPr="00DF68DC">
        <w:t>sesión,</w:t>
      </w:r>
      <w:r w:rsidR="00137452" w:rsidRPr="00DF68DC">
        <w:rPr>
          <w:vertAlign w:val="superscript"/>
        </w:rPr>
        <w:footnoteReference w:id="3"/>
      </w:r>
      <w:r w:rsidR="00137452" w:rsidRPr="00DF68DC">
        <w:t xml:space="preserve"> </w:t>
      </w:r>
      <w:r w:rsidR="00137452" w:rsidRPr="00DF68DC">
        <w:rPr>
          <w:bCs/>
        </w:rPr>
        <w:t>ha</w:t>
      </w:r>
      <w:r w:rsidR="004D45DF" w:rsidRPr="00DF68DC">
        <w:rPr>
          <w:bCs/>
        </w:rPr>
        <w:t>bía</w:t>
      </w:r>
      <w:r w:rsidR="00137452" w:rsidRPr="00DF68DC">
        <w:t xml:space="preserve"> </w:t>
      </w:r>
      <w:r w:rsidR="004D45DF" w:rsidRPr="00DF68DC">
        <w:t xml:space="preserve">solicitado a Francia, los Países Bajos y la Unión Europea que elaboren un nuevo proyecto del documento UPOV/INF/17 “Directrices para los perfiles de ADN: </w:t>
      </w:r>
      <w:r w:rsidR="00233AEA">
        <w:t xml:space="preserve"> </w:t>
      </w:r>
      <w:r w:rsidR="004D45DF" w:rsidRPr="00DF68DC">
        <w:t>selección de marcadores moleculares y creación de una base de datos (“Directrices BMT”)” para su examen en la decimoctava sesión del BMT</w:t>
      </w:r>
      <w:r w:rsidR="00137452" w:rsidRPr="00DF68DC">
        <w:t xml:space="preserve">, </w:t>
      </w:r>
      <w:r w:rsidR="004D45DF" w:rsidRPr="00DF68DC">
        <w:t>como se indica en el</w:t>
      </w:r>
      <w:r w:rsidR="00137452" w:rsidRPr="00DF68DC">
        <w:t xml:space="preserve"> </w:t>
      </w:r>
      <w:r w:rsidR="004D45DF" w:rsidRPr="00DF68DC">
        <w:t xml:space="preserve">párrafo 42 del Anexo del </w:t>
      </w:r>
      <w:r w:rsidR="00137452" w:rsidRPr="00DF68DC">
        <w:t>document</w:t>
      </w:r>
      <w:r w:rsidR="004D45DF" w:rsidRPr="00DF68DC">
        <w:t>o</w:t>
      </w:r>
      <w:r w:rsidR="00137452" w:rsidRPr="00DF68DC">
        <w:t xml:space="preserve"> CAJ/75/13 “</w:t>
      </w:r>
      <w:r w:rsidR="004D45DF" w:rsidRPr="00DF68DC">
        <w:rPr>
          <w:i/>
        </w:rPr>
        <w:t>Report on developments in the Technical Committee</w:t>
      </w:r>
      <w:r w:rsidR="00137452" w:rsidRPr="00DF68DC">
        <w:t>”</w:t>
      </w:r>
      <w:r w:rsidR="004D45DF" w:rsidRPr="00DF68DC">
        <w:t xml:space="preserve"> (Informe sobre las novedades acaecidas en el Comité Técnico).</w:t>
      </w:r>
      <w:r w:rsidR="00137452" w:rsidRPr="00DF68DC">
        <w:rPr>
          <w:vertAlign w:val="superscript"/>
        </w:rPr>
        <w:footnoteReference w:id="4"/>
      </w:r>
    </w:p>
    <w:bookmarkEnd w:id="4"/>
    <w:bookmarkEnd w:id="5"/>
    <w:bookmarkEnd w:id="6"/>
    <w:bookmarkEnd w:id="7"/>
    <w:p w:rsidR="00E976A6" w:rsidRPr="00DF68DC" w:rsidRDefault="00E976A6" w:rsidP="00E976A6"/>
    <w:p w:rsidR="00E976A6" w:rsidRPr="00DF68DC" w:rsidRDefault="004D45DF" w:rsidP="00DF68DC">
      <w:pPr>
        <w:pStyle w:val="ListParagraph"/>
        <w:numPr>
          <w:ilvl w:val="0"/>
          <w:numId w:val="3"/>
        </w:numPr>
      </w:pPr>
      <w:r w:rsidRPr="00DF68DC">
        <w:t>En su quincuagésima quinta sesión,</w:t>
      </w:r>
      <w:r w:rsidRPr="00DF68DC">
        <w:rPr>
          <w:vertAlign w:val="superscript"/>
        </w:rPr>
        <w:footnoteReference w:id="5"/>
      </w:r>
      <w:r w:rsidRPr="00DF68DC">
        <w:rPr>
          <w:color w:val="000000"/>
          <w:lang w:eastAsia="ja-JP"/>
        </w:rPr>
        <w:t xml:space="preserve"> </w:t>
      </w:r>
      <w:r w:rsidRPr="00DF68DC">
        <w:t xml:space="preserve">el TC </w:t>
      </w:r>
      <w:r w:rsidR="00BF4826" w:rsidRPr="00DF68DC">
        <w:rPr>
          <w:color w:val="000000"/>
          <w:lang w:eastAsia="ja-JP"/>
        </w:rPr>
        <w:t>considerará</w:t>
      </w:r>
      <w:r w:rsidRPr="00DF68DC">
        <w:rPr>
          <w:color w:val="000000"/>
          <w:lang w:eastAsia="ja-JP"/>
        </w:rPr>
        <w:t xml:space="preserve"> si procede</w:t>
      </w:r>
      <w:r w:rsidR="00313878" w:rsidRPr="00DF68DC">
        <w:rPr>
          <w:color w:val="000000"/>
          <w:lang w:eastAsia="ja-JP"/>
        </w:rPr>
        <w:t xml:space="preserve"> solicitar que se elabore un</w:t>
      </w:r>
      <w:r w:rsidRPr="00DF68DC">
        <w:rPr>
          <w:color w:val="000000"/>
          <w:lang w:eastAsia="ja-JP"/>
        </w:rPr>
        <w:t xml:space="preserve"> proyecto</w:t>
      </w:r>
      <w:r w:rsidR="00313878" w:rsidRPr="00DF68DC">
        <w:rPr>
          <w:color w:val="000000"/>
          <w:lang w:eastAsia="ja-JP"/>
        </w:rPr>
        <w:t xml:space="preserve"> </w:t>
      </w:r>
      <w:r w:rsidRPr="00DF68DC">
        <w:rPr>
          <w:color w:val="000000"/>
          <w:lang w:eastAsia="ja-JP"/>
        </w:rPr>
        <w:t xml:space="preserve">del documento UPOV/INF/17 </w:t>
      </w:r>
      <w:r w:rsidR="00925C25" w:rsidRPr="00DF68DC">
        <w:rPr>
          <w:color w:val="000000"/>
          <w:lang w:eastAsia="ja-JP"/>
        </w:rPr>
        <w:t>para</w:t>
      </w:r>
      <w:r w:rsidR="00313878" w:rsidRPr="00DF68DC">
        <w:rPr>
          <w:color w:val="000000"/>
          <w:lang w:eastAsia="ja-JP"/>
        </w:rPr>
        <w:t xml:space="preserve"> examin</w:t>
      </w:r>
      <w:r w:rsidR="00D6153C" w:rsidRPr="00DF68DC">
        <w:rPr>
          <w:color w:val="000000"/>
          <w:lang w:eastAsia="ja-JP"/>
        </w:rPr>
        <w:t xml:space="preserve">arlo </w:t>
      </w:r>
      <w:r w:rsidR="00313878" w:rsidRPr="00DF68DC">
        <w:rPr>
          <w:color w:val="000000"/>
          <w:lang w:eastAsia="ja-JP"/>
        </w:rPr>
        <w:t xml:space="preserve">en su </w:t>
      </w:r>
      <w:r w:rsidRPr="00DF68DC">
        <w:rPr>
          <w:color w:val="000000"/>
          <w:lang w:eastAsia="ja-JP"/>
        </w:rPr>
        <w:t>quincuagésima</w:t>
      </w:r>
      <w:r w:rsidR="00313878" w:rsidRPr="00DF68DC">
        <w:rPr>
          <w:color w:val="000000"/>
          <w:lang w:eastAsia="ja-JP"/>
        </w:rPr>
        <w:t xml:space="preserve"> </w:t>
      </w:r>
      <w:r w:rsidRPr="00DF68DC">
        <w:rPr>
          <w:color w:val="000000"/>
          <w:lang w:eastAsia="ja-JP"/>
        </w:rPr>
        <w:t xml:space="preserve">sexta </w:t>
      </w:r>
      <w:r w:rsidR="00313878" w:rsidRPr="00DF68DC">
        <w:rPr>
          <w:color w:val="000000"/>
          <w:lang w:eastAsia="ja-JP"/>
        </w:rPr>
        <w:t>sesión.</w:t>
      </w:r>
      <w:r w:rsidRPr="00DF68DC">
        <w:rPr>
          <w:vertAlign w:val="superscript"/>
        </w:rPr>
        <w:footnoteReference w:id="6"/>
      </w:r>
    </w:p>
    <w:p w:rsidR="00E976A6" w:rsidRPr="00DF68DC" w:rsidRDefault="00E976A6" w:rsidP="00E976A6"/>
    <w:p w:rsidR="00E976A6" w:rsidRPr="00DF68DC" w:rsidRDefault="005B0EFA" w:rsidP="00DF68DC">
      <w:pPr>
        <w:pStyle w:val="ListParagraph"/>
        <w:numPr>
          <w:ilvl w:val="0"/>
          <w:numId w:val="3"/>
        </w:numPr>
      </w:pPr>
      <w:r w:rsidRPr="00DF68DC">
        <w:rPr>
          <w:color w:val="000000"/>
          <w:lang w:eastAsia="ja-JP"/>
        </w:rPr>
        <w:t>En el documento CAJ/76/</w:t>
      </w:r>
      <w:r w:rsidR="00233AEA">
        <w:rPr>
          <w:color w:val="000000"/>
          <w:lang w:eastAsia="ja-JP"/>
        </w:rPr>
        <w:t>2</w:t>
      </w:r>
      <w:r w:rsidRPr="00DF68DC">
        <w:rPr>
          <w:color w:val="000000"/>
          <w:lang w:eastAsia="ja-JP"/>
        </w:rPr>
        <w:t xml:space="preserve"> “</w:t>
      </w:r>
      <w:r w:rsidRPr="00DF68DC">
        <w:rPr>
          <w:rFonts w:cs="Arial"/>
        </w:rPr>
        <w:t>Informe sobre las novedades acaecidas en el Comité Técnico</w:t>
      </w:r>
      <w:r w:rsidRPr="00DF68DC">
        <w:rPr>
          <w:color w:val="000000"/>
          <w:lang w:eastAsia="ja-JP"/>
        </w:rPr>
        <w:t xml:space="preserve">” </w:t>
      </w:r>
      <w:r w:rsidRPr="00DF68DC">
        <w:rPr>
          <w:rFonts w:cs="Arial"/>
        </w:rPr>
        <w:t xml:space="preserve">se dará cuenta de </w:t>
      </w:r>
      <w:r w:rsidR="00925C25" w:rsidRPr="00DF68DC">
        <w:rPr>
          <w:rFonts w:cs="Arial"/>
        </w:rPr>
        <w:t xml:space="preserve">las novedades que se produzcan en la </w:t>
      </w:r>
      <w:r w:rsidR="00925C25" w:rsidRPr="00DF68DC">
        <w:t>quincuagésima quinta</w:t>
      </w:r>
      <w:r w:rsidR="00925C25" w:rsidRPr="00DF68DC">
        <w:rPr>
          <w:rFonts w:cs="Arial"/>
        </w:rPr>
        <w:t xml:space="preserve"> sesión del TC</w:t>
      </w:r>
      <w:r w:rsidR="00925C25" w:rsidRPr="00DF68DC">
        <w:rPr>
          <w:color w:val="000000"/>
          <w:lang w:eastAsia="ja-JP"/>
        </w:rPr>
        <w:t>.</w:t>
      </w:r>
    </w:p>
    <w:p w:rsidR="00E976A6" w:rsidRPr="00DF68DC" w:rsidRDefault="00E976A6" w:rsidP="00E976A6"/>
    <w:p w:rsidR="00E976A6" w:rsidRPr="00DF68DC" w:rsidRDefault="00E976A6" w:rsidP="00E976A6"/>
    <w:p w:rsidR="00E976A6" w:rsidRPr="00DF68DC" w:rsidRDefault="00E976A6" w:rsidP="00E976A6"/>
    <w:p w:rsidR="00E976A6" w:rsidRPr="00DF68DC" w:rsidRDefault="00925C25" w:rsidP="009F4090">
      <w:pPr>
        <w:outlineLvl w:val="0"/>
        <w:rPr>
          <w:caps/>
          <w:spacing w:val="-4"/>
          <w:lang w:eastAsia="ja-JP"/>
        </w:rPr>
      </w:pPr>
      <w:bookmarkStart w:id="12" w:name="_Toc19890920"/>
      <w:r w:rsidRPr="00DF68DC">
        <w:rPr>
          <w:caps/>
          <w:spacing w:val="-4"/>
          <w:lang w:eastAsia="ja-JP"/>
        </w:rPr>
        <w:t>COOPERACIÓN ENTRE LAS ORGANIZACIONES INTERNACIONALES</w:t>
      </w:r>
      <w:bookmarkEnd w:id="12"/>
    </w:p>
    <w:p w:rsidR="00E976A6" w:rsidRPr="00DF68DC" w:rsidRDefault="00E976A6" w:rsidP="009F4090">
      <w:pPr>
        <w:rPr>
          <w:lang w:eastAsia="ja-JP"/>
        </w:rPr>
      </w:pPr>
    </w:p>
    <w:p w:rsidR="00E976A6" w:rsidRPr="00DF68DC" w:rsidRDefault="00925C25" w:rsidP="009F4090">
      <w:pPr>
        <w:pStyle w:val="ListParagraph"/>
        <w:numPr>
          <w:ilvl w:val="0"/>
          <w:numId w:val="3"/>
        </w:numPr>
        <w:rPr>
          <w:rFonts w:eastAsiaTheme="minorEastAsia"/>
          <w:lang w:eastAsia="ja-JP"/>
        </w:rPr>
      </w:pPr>
      <w:r w:rsidRPr="00DF68DC">
        <w:rPr>
          <w:rFonts w:eastAsiaTheme="minorEastAsia"/>
          <w:lang w:eastAsia="ja-JP"/>
        </w:rPr>
        <w:t>Los antecedentes de esta cuestión figuran en los párrafos 36 a 44 del documento CAJ/75/11 “Técnicas moleculares”.</w:t>
      </w:r>
    </w:p>
    <w:p w:rsidR="00E976A6" w:rsidRPr="00DF68DC" w:rsidRDefault="00E976A6" w:rsidP="00E976A6"/>
    <w:p w:rsidR="00E976A6" w:rsidRPr="00DF68DC" w:rsidRDefault="009D7E55" w:rsidP="00DF68DC">
      <w:pPr>
        <w:pStyle w:val="ListParagraph"/>
        <w:numPr>
          <w:ilvl w:val="0"/>
          <w:numId w:val="3"/>
        </w:numPr>
      </w:pPr>
      <w:r w:rsidRPr="00DF68DC">
        <w:t xml:space="preserve">En su septuagésima quinta sesión, el CAJ tomó nota de que el TC </w:t>
      </w:r>
      <w:r w:rsidRPr="00DF68DC">
        <w:rPr>
          <w:bCs/>
        </w:rPr>
        <w:t>ha</w:t>
      </w:r>
      <w:r w:rsidR="007A4D09" w:rsidRPr="00DF68DC">
        <w:rPr>
          <w:bCs/>
        </w:rPr>
        <w:t>bía</w:t>
      </w:r>
      <w:r w:rsidRPr="00DF68DC">
        <w:rPr>
          <w:bCs/>
        </w:rPr>
        <w:t xml:space="preserve"> </w:t>
      </w:r>
      <w:r w:rsidR="000B3265" w:rsidRPr="00DF68DC">
        <w:t>acordado</w:t>
      </w:r>
      <w:r w:rsidR="007A4D09" w:rsidRPr="00DF68DC">
        <w:t xml:space="preserve"> que la UPOV y la OCDE avancen en los siguientes </w:t>
      </w:r>
      <w:r w:rsidRPr="00DF68DC">
        <w:t>asuntos</w:t>
      </w:r>
      <w:r w:rsidR="007A4D09" w:rsidRPr="00DF68DC">
        <w:t xml:space="preserve"> convenidos con anterioridad por el TC</w:t>
      </w:r>
      <w:r w:rsidRPr="00DF68DC">
        <w:t xml:space="preserve">, </w:t>
      </w:r>
      <w:r w:rsidR="007A4D09" w:rsidRPr="00DF68DC">
        <w:t xml:space="preserve">según se expone en el párrafo 46 del Anexo del </w:t>
      </w:r>
      <w:r w:rsidRPr="00DF68DC">
        <w:t>documento</w:t>
      </w:r>
      <w:r w:rsidR="007A4D09" w:rsidRPr="00DF68DC">
        <w:t xml:space="preserve"> </w:t>
      </w:r>
      <w:r w:rsidRPr="00DF68DC">
        <w:t>CAJ/75/13</w:t>
      </w:r>
      <w:r w:rsidR="007A4D09" w:rsidRPr="00DF68DC">
        <w:t>:</w:t>
      </w:r>
      <w:r w:rsidRPr="00DF68DC">
        <w:rPr>
          <w:vertAlign w:val="superscript"/>
        </w:rPr>
        <w:footnoteReference w:id="7"/>
      </w:r>
    </w:p>
    <w:p w:rsidR="00E976A6" w:rsidRPr="00DF68DC" w:rsidRDefault="00E976A6" w:rsidP="00E976A6">
      <w:pPr>
        <w:rPr>
          <w:rFonts w:cs="Arial"/>
          <w:iCs/>
        </w:rPr>
      </w:pPr>
    </w:p>
    <w:p w:rsidR="00E976A6" w:rsidRPr="00DF68DC" w:rsidRDefault="00EA2EEF" w:rsidP="00247610">
      <w:pPr>
        <w:pStyle w:val="ListParagraph"/>
        <w:numPr>
          <w:ilvl w:val="1"/>
          <w:numId w:val="3"/>
        </w:numPr>
        <w:ind w:left="0" w:firstLine="1080"/>
      </w:pPr>
      <w:r w:rsidRPr="00DF68DC">
        <w:t>elaborar un documento conjunto en el que se expliquen las características principales de los sistemas de la OCDE, la UPOV y la ISTA;</w:t>
      </w:r>
      <w:r w:rsidR="00E976A6" w:rsidRPr="00DF68DC">
        <w:t xml:space="preserve"> </w:t>
      </w:r>
    </w:p>
    <w:p w:rsidR="00E976A6" w:rsidRPr="00DF68DC" w:rsidRDefault="00E976A6" w:rsidP="00247610">
      <w:pPr>
        <w:ind w:firstLine="1080"/>
      </w:pPr>
    </w:p>
    <w:p w:rsidR="00E976A6" w:rsidRPr="00DF68DC" w:rsidRDefault="00EA2EEF" w:rsidP="00CF4AEA">
      <w:pPr>
        <w:pStyle w:val="ListParagraph"/>
        <w:numPr>
          <w:ilvl w:val="1"/>
          <w:numId w:val="3"/>
        </w:numPr>
        <w:ind w:left="0" w:firstLine="1080"/>
      </w:pPr>
      <w:r w:rsidRPr="00DF68DC">
        <w:t>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w:t>
      </w:r>
      <w:r w:rsidR="0072302D" w:rsidRPr="00DF68DC">
        <w:t> OCDE y la </w:t>
      </w:r>
      <w:r w:rsidRPr="00DF68DC">
        <w:t>ISTA;</w:t>
      </w:r>
      <w:r w:rsidR="00233AEA">
        <w:t xml:space="preserve"> </w:t>
      </w:r>
      <w:r w:rsidRPr="00DF68DC">
        <w:t xml:space="preserve"> y</w:t>
      </w:r>
      <w:r w:rsidR="00E976A6" w:rsidRPr="00DF68DC">
        <w:t xml:space="preserve"> </w:t>
      </w:r>
    </w:p>
    <w:p w:rsidR="00E976A6" w:rsidRPr="00DF68DC" w:rsidRDefault="00E976A6" w:rsidP="00247610">
      <w:pPr>
        <w:ind w:firstLine="1080"/>
      </w:pPr>
    </w:p>
    <w:p w:rsidR="00E976A6" w:rsidRPr="00247610" w:rsidRDefault="0072302D" w:rsidP="00247610">
      <w:pPr>
        <w:pStyle w:val="ListParagraph"/>
        <w:numPr>
          <w:ilvl w:val="1"/>
          <w:numId w:val="3"/>
        </w:numPr>
        <w:ind w:left="0" w:firstLine="1080"/>
        <w:rPr>
          <w:rFonts w:cs="Arial"/>
        </w:rPr>
      </w:pPr>
      <w:r w:rsidRPr="00DF68DC">
        <w:t>aprobar la propuesta de que el BMT elabore listas de posibles iniciativas conjuntas con la</w:t>
      </w:r>
      <w:r w:rsidR="00694161" w:rsidRPr="00DF68DC">
        <w:t> OCDE y la </w:t>
      </w:r>
      <w:r w:rsidRPr="00DF68DC">
        <w:t>ISTA relacionadas con las técnicas moleculares a fin de que las examine el TC.</w:t>
      </w:r>
    </w:p>
    <w:p w:rsidR="00E976A6" w:rsidRPr="00DF68DC" w:rsidRDefault="00E976A6" w:rsidP="00E976A6">
      <w:pPr>
        <w:rPr>
          <w:rFonts w:cs="Arial"/>
        </w:rPr>
      </w:pPr>
    </w:p>
    <w:p w:rsidR="00E976A6" w:rsidRPr="00DF68DC" w:rsidRDefault="00633BC2" w:rsidP="00DF68DC">
      <w:pPr>
        <w:pStyle w:val="ListParagraph"/>
        <w:numPr>
          <w:ilvl w:val="0"/>
          <w:numId w:val="3"/>
        </w:numPr>
        <w:rPr>
          <w:rFonts w:cs="Arial"/>
        </w:rPr>
      </w:pPr>
      <w:r w:rsidRPr="00DF68DC">
        <w:rPr>
          <w:rFonts w:cs="Arial"/>
        </w:rPr>
        <w:t>En su quincuagésima cuarta sesión, el TC convino en invitar a la ISTA a sumarse a las iniciativas en el momento en que lo disponga.</w:t>
      </w:r>
    </w:p>
    <w:p w:rsidR="00E976A6" w:rsidRPr="00DF68DC" w:rsidRDefault="00E976A6" w:rsidP="00E976A6">
      <w:pPr>
        <w:rPr>
          <w:rFonts w:cs="Arial"/>
        </w:rPr>
      </w:pPr>
    </w:p>
    <w:p w:rsidR="00E976A6" w:rsidRPr="00DF68DC" w:rsidRDefault="00633BC2" w:rsidP="00DF68DC">
      <w:pPr>
        <w:pStyle w:val="ListParagraph"/>
        <w:numPr>
          <w:ilvl w:val="0"/>
          <w:numId w:val="3"/>
        </w:numPr>
        <w:rPr>
          <w:rFonts w:cs="Arial"/>
        </w:rPr>
      </w:pPr>
      <w:r w:rsidRPr="00DF68DC">
        <w:rPr>
          <w:rFonts w:cs="Arial"/>
        </w:rPr>
        <w:t>En los apartados siguientes se exponen las novedades acaecidas en relación con las cuestiones mencionadas.</w:t>
      </w:r>
    </w:p>
    <w:p w:rsidR="00E976A6" w:rsidRDefault="00E976A6" w:rsidP="00E976A6"/>
    <w:p w:rsidR="00233AEA" w:rsidRDefault="00233AEA">
      <w:pPr>
        <w:jc w:val="left"/>
      </w:pPr>
      <w:r>
        <w:br w:type="page"/>
      </w:r>
    </w:p>
    <w:p w:rsidR="00E976A6" w:rsidRPr="00DF68DC" w:rsidRDefault="00633BC2" w:rsidP="00E976A6">
      <w:pPr>
        <w:rPr>
          <w:u w:val="single"/>
        </w:rPr>
      </w:pPr>
      <w:r w:rsidRPr="00DF68DC">
        <w:rPr>
          <w:u w:val="single"/>
        </w:rPr>
        <w:lastRenderedPageBreak/>
        <w:t>Documento conjunto en el que se expliquen las características principales de los sistemas de la OCDE, la UPOV y la ISTA</w:t>
      </w:r>
    </w:p>
    <w:p w:rsidR="00E976A6" w:rsidRPr="00DF68DC" w:rsidRDefault="00E976A6" w:rsidP="00E976A6">
      <w:pPr>
        <w:ind w:left="567" w:hanging="567"/>
      </w:pPr>
    </w:p>
    <w:p w:rsidR="00E976A6" w:rsidRPr="00DF68DC" w:rsidRDefault="00FA7C8C" w:rsidP="00DF68DC">
      <w:pPr>
        <w:pStyle w:val="ListParagraph"/>
        <w:numPr>
          <w:ilvl w:val="0"/>
          <w:numId w:val="3"/>
        </w:numPr>
      </w:pPr>
      <w:r w:rsidRPr="00DF68DC">
        <w:t xml:space="preserve">Con respecto a la posibilidad de elaborar un documento conjunto en el que se expliquen las características principales de los sistemas de la OCDE, la UPOV y la ISTA, expuesta en el </w:t>
      </w:r>
      <w:r w:rsidRPr="00233AEA">
        <w:t>párrafo 10.a)</w:t>
      </w:r>
      <w:r w:rsidR="005B0EFA" w:rsidRPr="00DF68DC">
        <w:t xml:space="preserve"> anterior</w:t>
      </w:r>
      <w:r w:rsidRPr="00DF68DC">
        <w:t>, el CAJ, en su septuagésima</w:t>
      </w:r>
      <w:r w:rsidR="00512DB9" w:rsidRPr="00DF68DC">
        <w:t xml:space="preserve"> </w:t>
      </w:r>
      <w:r w:rsidRPr="00DF68DC">
        <w:t xml:space="preserve">quinta sesión, </w:t>
      </w:r>
      <w:r w:rsidR="00A324B6" w:rsidRPr="00DF68DC">
        <w:t xml:space="preserve">tomó nota de que </w:t>
      </w:r>
      <w:r w:rsidRPr="00DF68DC">
        <w:t>el TC ha</w:t>
      </w:r>
      <w:r w:rsidR="00A324B6" w:rsidRPr="00DF68DC">
        <w:t>bía</w:t>
      </w:r>
      <w:r w:rsidRPr="00DF68DC">
        <w:t xml:space="preserve"> </w:t>
      </w:r>
      <w:r w:rsidR="00A324B6" w:rsidRPr="00DF68DC">
        <w:t>convenido en solicitar al BMT que elabore un documento conjunto en el que se expliquen las características principales de los sistemas de la OCDE, la UPOV y la ISTA</w:t>
      </w:r>
      <w:r w:rsidRPr="00DF68DC">
        <w:t xml:space="preserve">, </w:t>
      </w:r>
      <w:r w:rsidR="003B6EE4" w:rsidRPr="00DF68DC">
        <w:t>según se expone</w:t>
      </w:r>
      <w:r w:rsidR="00EE638F" w:rsidRPr="00DF68DC">
        <w:t xml:space="preserve"> en el párrafo 48 del Anexo del documento </w:t>
      </w:r>
      <w:r w:rsidRPr="00DF68DC">
        <w:t>CAJ/75/13</w:t>
      </w:r>
      <w:r w:rsidR="00EE638F" w:rsidRPr="00DF68DC">
        <w:t>.</w:t>
      </w:r>
      <w:r w:rsidRPr="00DF68DC">
        <w:rPr>
          <w:vertAlign w:val="superscript"/>
        </w:rPr>
        <w:footnoteReference w:id="8"/>
      </w:r>
      <w:r w:rsidR="00233AEA">
        <w:t xml:space="preserve"> </w:t>
      </w:r>
      <w:r w:rsidR="00D52B09" w:rsidRPr="00DF68DC">
        <w:t xml:space="preserve"> </w:t>
      </w:r>
      <w:r w:rsidR="00BB0705" w:rsidRPr="00DF68DC">
        <w:t>La Oficina de la Unión elaborará un proyecto para someterlo al examen del BMT en su decimoctava sesión, a partir de los elementos pertinentes de la Alianza Mundial por las Semillas y las preguntas frecuentes sobre la utilización de técnicas moleculares en el examen DHE.</w:t>
      </w:r>
      <w:r w:rsidR="00E976A6" w:rsidRPr="00DF68DC">
        <w:t xml:space="preserve"> </w:t>
      </w:r>
      <w:r w:rsidR="00BB0705" w:rsidRPr="00DF68DC">
        <w:t>Las novedades que se produzcan en la decimoctava sesión del BMT se comunicarán al TC en su quincuagésima quinta sesión.</w:t>
      </w:r>
      <w:r w:rsidR="00E976A6" w:rsidRPr="00DF68DC">
        <w:t xml:space="preserve"> </w:t>
      </w:r>
    </w:p>
    <w:p w:rsidR="00E976A6" w:rsidRPr="00DF68DC" w:rsidRDefault="00E976A6" w:rsidP="00E976A6">
      <w:pPr>
        <w:ind w:left="567" w:hanging="567"/>
      </w:pPr>
    </w:p>
    <w:p w:rsidR="00E976A6" w:rsidRPr="00DF68DC" w:rsidRDefault="00EF1A03" w:rsidP="00E976A6">
      <w:pPr>
        <w:rPr>
          <w:u w:val="single"/>
        </w:rPr>
      </w:pPr>
      <w:r w:rsidRPr="00DF68DC">
        <w:rPr>
          <w:u w:val="single"/>
        </w:rPr>
        <w:t>Inventario sobre la utilización de técnicas basadas en marcadores moleculares, por cultivos</w:t>
      </w:r>
    </w:p>
    <w:p w:rsidR="00E976A6" w:rsidRPr="00DF68DC" w:rsidRDefault="00E976A6" w:rsidP="00E976A6">
      <w:pPr>
        <w:keepNext/>
        <w:ind w:left="567" w:hanging="567"/>
      </w:pPr>
    </w:p>
    <w:p w:rsidR="00E976A6" w:rsidRPr="00DF68DC" w:rsidRDefault="000A3B97" w:rsidP="00DF68DC">
      <w:pPr>
        <w:pStyle w:val="ListParagraph"/>
        <w:keepNext/>
        <w:numPr>
          <w:ilvl w:val="0"/>
          <w:numId w:val="3"/>
        </w:numPr>
      </w:pPr>
      <w:r w:rsidRPr="00DF68DC">
        <w:t xml:space="preserve">Con respecto a la posible elaboración de un inventario sobre la utilización de técnicas basadas en marcadores moleculares, por cultivos, expuesta en el </w:t>
      </w:r>
      <w:r w:rsidRPr="00233AEA">
        <w:t>párrafo 10.b)</w:t>
      </w:r>
      <w:r w:rsidR="005B0EFA" w:rsidRPr="00233AEA">
        <w:t xml:space="preserve"> anterior</w:t>
      </w:r>
      <w:r w:rsidRPr="00DF68DC">
        <w:t xml:space="preserve">, </w:t>
      </w:r>
      <w:r w:rsidR="00233AEA">
        <w:t>el CAJ, en su septuagésima </w:t>
      </w:r>
      <w:r w:rsidR="009C7905" w:rsidRPr="00DF68DC">
        <w:t xml:space="preserve">quinta sesión, tomó nota de que el TC había convenido en </w:t>
      </w:r>
      <w:r w:rsidRPr="00DF68DC">
        <w:t>invitar al BMT y</w:t>
      </w:r>
      <w:r w:rsidR="00B32B0F" w:rsidRPr="00DF68DC">
        <w:t xml:space="preserve"> a</w:t>
      </w:r>
      <w:r w:rsidRPr="00DF68DC">
        <w:t xml:space="preserve"> los TWP a </w:t>
      </w:r>
      <w:r w:rsidR="00C111BA" w:rsidRPr="00DF68DC">
        <w:t xml:space="preserve">que realicen </w:t>
      </w:r>
      <w:r w:rsidR="00B32B0F" w:rsidRPr="00DF68DC">
        <w:t xml:space="preserve">un inventario sobre la utilización de técnicas basadas en marcadores moleculares, por cultivos, con objeto de </w:t>
      </w:r>
      <w:r w:rsidR="00B42798" w:rsidRPr="00DF68DC">
        <w:t>elaborar</w:t>
      </w:r>
      <w:r w:rsidR="00B32B0F" w:rsidRPr="00DF68DC">
        <w:t xml:space="preserve"> un documento conjunto </w:t>
      </w:r>
      <w:r w:rsidR="00B42798" w:rsidRPr="00DF68DC">
        <w:t xml:space="preserve">de la OCDE, la UPOV y la ISTA </w:t>
      </w:r>
      <w:r w:rsidR="00B32B0F" w:rsidRPr="00DF68DC">
        <w:t>en el que figure dicha información en un formato similar al del documento UPOV/INF/16 “Programas informáticos para intercambio”</w:t>
      </w:r>
      <w:r w:rsidRPr="00DF68DC">
        <w:t xml:space="preserve">, </w:t>
      </w:r>
      <w:r w:rsidR="00E31CAE" w:rsidRPr="00DF68DC">
        <w:t xml:space="preserve">según se expone en el párrafo 47 del Anexo del documento </w:t>
      </w:r>
      <w:r w:rsidRPr="00DF68DC">
        <w:t>CAJ/75/13</w:t>
      </w:r>
      <w:r w:rsidR="00E31CAE" w:rsidRPr="00DF68DC">
        <w:t>.</w:t>
      </w:r>
      <w:r w:rsidRPr="00DF68DC">
        <w:rPr>
          <w:vertAlign w:val="superscript"/>
        </w:rPr>
        <w:footnoteReference w:id="9"/>
      </w:r>
      <w:r w:rsidR="00D52B09" w:rsidRPr="00DF68DC">
        <w:t xml:space="preserve"> </w:t>
      </w:r>
    </w:p>
    <w:p w:rsidR="00E976A6" w:rsidRPr="00DF68DC" w:rsidRDefault="00E976A6" w:rsidP="00E976A6"/>
    <w:p w:rsidR="00E976A6" w:rsidRPr="00DF68DC" w:rsidRDefault="00EE17CC" w:rsidP="00DF68DC">
      <w:pPr>
        <w:pStyle w:val="ListParagraph"/>
        <w:numPr>
          <w:ilvl w:val="0"/>
          <w:numId w:val="3"/>
        </w:numPr>
      </w:pPr>
      <w:r w:rsidRPr="00DF68DC">
        <w:t xml:space="preserve">En su quincuagésima quinta sesión, se </w:t>
      </w:r>
      <w:r w:rsidR="008D6CA1" w:rsidRPr="00DF68DC">
        <w:t>invitará a</w:t>
      </w:r>
      <w:r w:rsidR="00EE61A1" w:rsidRPr="00DF68DC">
        <w:t>l TC</w:t>
      </w:r>
      <w:r w:rsidR="008D6CA1" w:rsidRPr="00DF68DC">
        <w:t xml:space="preserve"> a que</w:t>
      </w:r>
      <w:r w:rsidR="00EE61A1" w:rsidRPr="00DF68DC">
        <w:t xml:space="preserve"> </w:t>
      </w:r>
      <w:r w:rsidR="008D6CA1" w:rsidRPr="00DF68DC">
        <w:t>examine los siguientes elementos para el inventario sobre la utilización de técnicas basadas en marcadores moleculares, por cultivos, que se han formulado tras consultarlo con la</w:t>
      </w:r>
      <w:r w:rsidR="00542D4C" w:rsidRPr="00DF68DC">
        <w:t> </w:t>
      </w:r>
      <w:r w:rsidR="008D6CA1" w:rsidRPr="00DF68DC">
        <w:t xml:space="preserve">OCDE </w:t>
      </w:r>
      <w:r w:rsidR="00EE61A1" w:rsidRPr="00DF68DC">
        <w:t xml:space="preserve">y </w:t>
      </w:r>
      <w:r w:rsidR="00A07920" w:rsidRPr="00DF68DC">
        <w:t>teniendo en cuenta las observaciones</w:t>
      </w:r>
      <w:r w:rsidR="00A07920" w:rsidRPr="00DF68DC">
        <w:rPr>
          <w:iCs/>
        </w:rPr>
        <w:t xml:space="preserve"> de</w:t>
      </w:r>
      <w:r w:rsidR="00E923BB" w:rsidRPr="00DF68DC">
        <w:rPr>
          <w:iCs/>
        </w:rPr>
        <w:t xml:space="preserve"> los TWP y el BMT en sus sesiones de 2019</w:t>
      </w:r>
      <w:r w:rsidR="00EE61A1" w:rsidRPr="00DF68DC">
        <w:t>:</w:t>
      </w:r>
    </w:p>
    <w:p w:rsidR="00E976A6" w:rsidRPr="00DF68DC" w:rsidRDefault="00E976A6" w:rsidP="00E976A6"/>
    <w:tbl>
      <w:tblPr>
        <w:tblStyle w:val="TableGrid3"/>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E976A6" w:rsidRPr="00DF68DC" w:rsidTr="00AE1870">
        <w:trPr>
          <w:cantSplit/>
        </w:trPr>
        <w:tc>
          <w:tcPr>
            <w:tcW w:w="9039" w:type="dxa"/>
          </w:tcPr>
          <w:p w:rsidR="00E976A6" w:rsidRPr="00DF68DC" w:rsidRDefault="00542D4C" w:rsidP="00A42E9A">
            <w:pPr>
              <w:keepNext/>
              <w:rPr>
                <w:sz w:val="18"/>
                <w:szCs w:val="18"/>
              </w:rPr>
            </w:pPr>
            <w:r w:rsidRPr="00DF68DC">
              <w:rPr>
                <w:sz w:val="18"/>
                <w:szCs w:val="18"/>
              </w:rPr>
              <w:t>País u organización intergubernamental que utiliza la técnica basada en marcadores moleculares</w:t>
            </w:r>
          </w:p>
        </w:tc>
      </w:tr>
      <w:tr w:rsidR="00E976A6" w:rsidRPr="00DF68DC" w:rsidTr="00AE1870">
        <w:trPr>
          <w:cantSplit/>
        </w:trPr>
        <w:tc>
          <w:tcPr>
            <w:tcW w:w="9039" w:type="dxa"/>
          </w:tcPr>
          <w:p w:rsidR="00E976A6" w:rsidRPr="00DF68DC" w:rsidRDefault="00542D4C" w:rsidP="00A42E9A">
            <w:pPr>
              <w:keepNext/>
              <w:rPr>
                <w:sz w:val="18"/>
                <w:szCs w:val="18"/>
              </w:rPr>
            </w:pPr>
            <w:r w:rsidRPr="00DF68DC">
              <w:rPr>
                <w:sz w:val="18"/>
                <w:szCs w:val="18"/>
              </w:rPr>
              <w:t>Fuente [nombre de la autoridad] y datos de contacto [dirección de correo electrónico]</w:t>
            </w:r>
          </w:p>
        </w:tc>
      </w:tr>
      <w:tr w:rsidR="00E976A6" w:rsidRPr="00DF68DC" w:rsidTr="00AE1870">
        <w:trPr>
          <w:cantSplit/>
        </w:trPr>
        <w:tc>
          <w:tcPr>
            <w:tcW w:w="9039" w:type="dxa"/>
          </w:tcPr>
          <w:p w:rsidR="00E976A6" w:rsidRPr="00DF68DC" w:rsidRDefault="00542D4C" w:rsidP="00A42E9A">
            <w:pPr>
              <w:keepNext/>
              <w:rPr>
                <w:sz w:val="18"/>
                <w:szCs w:val="18"/>
              </w:rPr>
            </w:pPr>
            <w:r w:rsidRPr="00DF68DC">
              <w:rPr>
                <w:sz w:val="18"/>
                <w:szCs w:val="18"/>
              </w:rPr>
              <w:t>Tipo de técnica basada en marcadores moleculares</w:t>
            </w:r>
          </w:p>
        </w:tc>
      </w:tr>
      <w:tr w:rsidR="00E976A6" w:rsidRPr="00DF68DC" w:rsidTr="00AE1870">
        <w:trPr>
          <w:cantSplit/>
        </w:trPr>
        <w:tc>
          <w:tcPr>
            <w:tcW w:w="9039" w:type="dxa"/>
          </w:tcPr>
          <w:p w:rsidR="00E976A6" w:rsidRPr="00DF68DC" w:rsidRDefault="006176F6" w:rsidP="00A42E9A">
            <w:pPr>
              <w:keepNext/>
              <w:rPr>
                <w:sz w:val="18"/>
                <w:szCs w:val="18"/>
              </w:rPr>
            </w:pPr>
            <w:r w:rsidRPr="00DF68DC">
              <w:rPr>
                <w:sz w:val="18"/>
                <w:szCs w:val="18"/>
              </w:rPr>
              <w:t>Fuente del marcador molecular y datos de contacto [dirección de correo electrónico]</w:t>
            </w:r>
            <w:r w:rsidR="00E976A6" w:rsidRPr="00DF68DC">
              <w:rPr>
                <w:sz w:val="18"/>
                <w:szCs w:val="18"/>
              </w:rPr>
              <w:t xml:space="preserve"> </w:t>
            </w:r>
          </w:p>
        </w:tc>
      </w:tr>
      <w:tr w:rsidR="00E976A6" w:rsidRPr="00DF68DC" w:rsidTr="00AE1870">
        <w:trPr>
          <w:cantSplit/>
        </w:trPr>
        <w:tc>
          <w:tcPr>
            <w:tcW w:w="9039" w:type="dxa"/>
          </w:tcPr>
          <w:p w:rsidR="00E976A6" w:rsidRPr="00DF68DC" w:rsidRDefault="008A6CA1" w:rsidP="00A42E9A">
            <w:pPr>
              <w:keepNext/>
              <w:rPr>
                <w:sz w:val="18"/>
                <w:szCs w:val="18"/>
              </w:rPr>
            </w:pPr>
            <w:r w:rsidRPr="00DF68DC">
              <w:rPr>
                <w:sz w:val="18"/>
                <w:szCs w:val="18"/>
              </w:rPr>
              <w:t>Disponibilidad del marcador [a disposición del público o protegido</w:t>
            </w:r>
            <w:r w:rsidR="006176F6" w:rsidRPr="00DF68DC">
              <w:rPr>
                <w:sz w:val="18"/>
                <w:szCs w:val="18"/>
              </w:rPr>
              <w:t>]</w:t>
            </w:r>
          </w:p>
        </w:tc>
      </w:tr>
      <w:tr w:rsidR="00E976A6" w:rsidRPr="00DF68DC" w:rsidTr="00AE1870">
        <w:trPr>
          <w:cantSplit/>
        </w:trPr>
        <w:tc>
          <w:tcPr>
            <w:tcW w:w="9039" w:type="dxa"/>
            <w:shd w:val="clear" w:color="auto" w:fill="auto"/>
          </w:tcPr>
          <w:p w:rsidR="00E976A6" w:rsidRPr="00DF68DC" w:rsidRDefault="008A6CA1" w:rsidP="00A42E9A">
            <w:pPr>
              <w:rPr>
                <w:sz w:val="18"/>
                <w:szCs w:val="18"/>
                <w:highlight w:val="lightGray"/>
              </w:rPr>
            </w:pPr>
            <w:r w:rsidRPr="00DF68DC">
              <w:rPr>
                <w:sz w:val="18"/>
                <w:szCs w:val="18"/>
              </w:rPr>
              <w:t>Situación (es decir, en uso actualmente o en desarrollo)</w:t>
            </w:r>
          </w:p>
        </w:tc>
      </w:tr>
      <w:tr w:rsidR="00E976A6" w:rsidRPr="00DF68DC" w:rsidTr="00AE1870">
        <w:trPr>
          <w:cantSplit/>
        </w:trPr>
        <w:tc>
          <w:tcPr>
            <w:tcW w:w="9039" w:type="dxa"/>
            <w:shd w:val="clear" w:color="auto" w:fill="auto"/>
          </w:tcPr>
          <w:p w:rsidR="00E976A6" w:rsidRPr="00DF68DC" w:rsidRDefault="008A6CA1" w:rsidP="00A42E9A">
            <w:pPr>
              <w:keepNext/>
              <w:rPr>
                <w:sz w:val="18"/>
                <w:szCs w:val="18"/>
              </w:rPr>
            </w:pPr>
            <w:r w:rsidRPr="00DF68DC">
              <w:rPr>
                <w:sz w:val="18"/>
                <w:szCs w:val="18"/>
              </w:rPr>
              <w:t>Cultivo(s) para el(los) que se utiliza la técnica basada en marcadores moleculares y carácter al que está ligado [se han de facilitar el(los) nombre(s) botánico(s) y código(s) UPOV]</w:t>
            </w:r>
          </w:p>
        </w:tc>
      </w:tr>
      <w:tr w:rsidR="00E976A6" w:rsidRPr="00DF68DC" w:rsidTr="00AE1870">
        <w:trPr>
          <w:cantSplit/>
        </w:trPr>
        <w:tc>
          <w:tcPr>
            <w:tcW w:w="9039" w:type="dxa"/>
          </w:tcPr>
          <w:p w:rsidR="00E976A6" w:rsidRPr="00DF68DC" w:rsidRDefault="008A6CA1" w:rsidP="00A42E9A">
            <w:pPr>
              <w:rPr>
                <w:sz w:val="18"/>
                <w:szCs w:val="18"/>
              </w:rPr>
            </w:pPr>
            <w:r w:rsidRPr="00DF68DC">
              <w:rPr>
                <w:sz w:val="18"/>
                <w:szCs w:val="18"/>
              </w:rPr>
              <w:t>Finalidad de la utilización de la técnica molecular [modelo de la UPOV “Marcadores moleculares ligados a caracteres”, modelo de la UPOV “Combinación de distancias fenotípicas y moleculares en la gestión de las colecciones de variedades”, pureza, identidad, comprobación de la correspondencia entre el material vegetal y una variedad protegida a efectos del ejercicio de los derechos de obtentor, verificación de la hibridez]</w:t>
            </w:r>
          </w:p>
        </w:tc>
      </w:tr>
      <w:tr w:rsidR="00E976A6" w:rsidRPr="00DF68DC" w:rsidTr="00AE1870">
        <w:trPr>
          <w:cantSplit/>
        </w:trPr>
        <w:tc>
          <w:tcPr>
            <w:tcW w:w="9039" w:type="dxa"/>
          </w:tcPr>
          <w:p w:rsidR="00E976A6" w:rsidRPr="00DF68DC" w:rsidRDefault="008A6CA1" w:rsidP="00A42E9A">
            <w:pPr>
              <w:rPr>
                <w:sz w:val="18"/>
                <w:szCs w:val="18"/>
              </w:rPr>
            </w:pPr>
            <w:r w:rsidRPr="00DF68DC">
              <w:rPr>
                <w:sz w:val="18"/>
                <w:szCs w:val="18"/>
              </w:rPr>
              <w:t>Si se ha utilizado la técnica basada en marcadores moleculares como parte de una certificación de semillas en los últimos dos años [certificación nacional, certificación de la OCDE] [relevante para los sistemas de semillas de la OCDE]</w:t>
            </w:r>
          </w:p>
        </w:tc>
      </w:tr>
      <w:tr w:rsidR="00E976A6" w:rsidRPr="00DF68DC" w:rsidTr="00AE1870">
        <w:trPr>
          <w:cantSplit/>
        </w:trPr>
        <w:tc>
          <w:tcPr>
            <w:tcW w:w="9039" w:type="dxa"/>
          </w:tcPr>
          <w:p w:rsidR="00E976A6" w:rsidRPr="00DF68DC" w:rsidRDefault="008A6CA1" w:rsidP="00A42E9A">
            <w:pPr>
              <w:rPr>
                <w:sz w:val="18"/>
                <w:szCs w:val="18"/>
              </w:rPr>
            </w:pPr>
            <w:r w:rsidRPr="00DF68DC">
              <w:rPr>
                <w:sz w:val="18"/>
                <w:szCs w:val="18"/>
              </w:rPr>
              <w:t>Número de veces que la autoridad utilizó la técnica basada en marcadores moleculares en los últimos dos años</w:t>
            </w:r>
          </w:p>
        </w:tc>
      </w:tr>
      <w:tr w:rsidR="00E976A6" w:rsidRPr="00DF68DC" w:rsidTr="00AE1870">
        <w:trPr>
          <w:cantSplit/>
        </w:trPr>
        <w:tc>
          <w:tcPr>
            <w:tcW w:w="9039" w:type="dxa"/>
          </w:tcPr>
          <w:p w:rsidR="00E976A6" w:rsidRPr="00DF68DC" w:rsidRDefault="008A6CA1" w:rsidP="00A42E9A">
            <w:pPr>
              <w:rPr>
                <w:sz w:val="18"/>
                <w:szCs w:val="18"/>
              </w:rPr>
            </w:pPr>
            <w:r w:rsidRPr="00DF68DC">
              <w:rPr>
                <w:sz w:val="18"/>
                <w:szCs w:val="18"/>
              </w:rPr>
              <w:t>Si la técnica basada en marcadores moleculares está contemplada en [directriz(ces) de examen de la UPOV, documento(s) TGP de la UPOV, otro(s) documento(s) de la UPOV (especifique)</w:t>
            </w:r>
          </w:p>
        </w:tc>
      </w:tr>
      <w:tr w:rsidR="00E976A6" w:rsidRPr="00DF68DC" w:rsidTr="00AE1870">
        <w:trPr>
          <w:cantSplit/>
        </w:trPr>
        <w:tc>
          <w:tcPr>
            <w:tcW w:w="9039" w:type="dxa"/>
          </w:tcPr>
          <w:p w:rsidR="00E976A6" w:rsidRPr="00DF68DC" w:rsidRDefault="008A6CA1" w:rsidP="009258C4">
            <w:pPr>
              <w:rPr>
                <w:sz w:val="18"/>
                <w:szCs w:val="18"/>
              </w:rPr>
            </w:pPr>
            <w:r w:rsidRPr="00DF68DC">
              <w:rPr>
                <w:sz w:val="18"/>
                <w:szCs w:val="18"/>
              </w:rPr>
              <w:t>Si la técnica molecular está validada [si lo está, indique la organización o autoridad concreta]</w:t>
            </w:r>
            <w:r w:rsidR="00E976A6" w:rsidRPr="00DF68DC">
              <w:rPr>
                <w:sz w:val="18"/>
                <w:szCs w:val="18"/>
              </w:rPr>
              <w:t xml:space="preserve"> </w:t>
            </w:r>
          </w:p>
          <w:p w:rsidR="00E976A6" w:rsidRPr="00DF68DC" w:rsidRDefault="008A6CA1" w:rsidP="00A42E9A">
            <w:pPr>
              <w:rPr>
                <w:sz w:val="18"/>
                <w:szCs w:val="18"/>
              </w:rPr>
            </w:pPr>
            <w:r w:rsidRPr="00DF68DC">
              <w:rPr>
                <w:sz w:val="18"/>
                <w:szCs w:val="18"/>
              </w:rPr>
              <w:t>[relevante para los sistemas de semillas de la OCDE]</w:t>
            </w:r>
          </w:p>
        </w:tc>
      </w:tr>
    </w:tbl>
    <w:p w:rsidR="00E976A6" w:rsidRPr="00DF68DC" w:rsidRDefault="00E976A6" w:rsidP="00E976A6">
      <w:pPr>
        <w:rPr>
          <w:rFonts w:eastAsia="MS Mincho"/>
          <w:snapToGrid w:val="0"/>
        </w:rPr>
      </w:pPr>
    </w:p>
    <w:p w:rsidR="00E976A6" w:rsidRPr="00DF68DC" w:rsidRDefault="00364A99" w:rsidP="00DF68DC">
      <w:pPr>
        <w:pStyle w:val="ListParagraph"/>
        <w:keepLines/>
        <w:numPr>
          <w:ilvl w:val="0"/>
          <w:numId w:val="3"/>
        </w:numPr>
      </w:pPr>
      <w:r w:rsidRPr="00DF68DC">
        <w:rPr>
          <w:rFonts w:eastAsia="MS Mincho"/>
          <w:iCs/>
          <w:snapToGrid w:val="0"/>
        </w:rPr>
        <w:t>Previo acuerdo del TC en su quincuagésima quinta sesión y en coordinación con la OCDE, se enviará una circular para solicitar a los miembros de la</w:t>
      </w:r>
      <w:r w:rsidR="00446868" w:rsidRPr="00DF68DC">
        <w:rPr>
          <w:rFonts w:eastAsia="MS Mincho"/>
          <w:iCs/>
          <w:snapToGrid w:val="0"/>
        </w:rPr>
        <w:t> </w:t>
      </w:r>
      <w:r w:rsidRPr="00DF68DC">
        <w:rPr>
          <w:rFonts w:eastAsia="MS Mincho"/>
          <w:iCs/>
          <w:snapToGrid w:val="0"/>
        </w:rPr>
        <w:t>Unión que respondan una encuesta como punto de partida de la elaboración de un inventario sobre la utilización de técnicas basadas en marcadores moleculares, por cultivos</w:t>
      </w:r>
      <w:r w:rsidR="008A6CA1" w:rsidRPr="00DF68DC">
        <w:t>.</w:t>
      </w:r>
      <w:r w:rsidR="00446868" w:rsidRPr="00DF68DC">
        <w:t xml:space="preserve"> </w:t>
      </w:r>
    </w:p>
    <w:p w:rsidR="00E976A6" w:rsidRPr="00DF68DC" w:rsidRDefault="00E976A6" w:rsidP="00E976A6"/>
    <w:p w:rsidR="00233AEA" w:rsidRDefault="00233AEA">
      <w:pPr>
        <w:jc w:val="left"/>
        <w:rPr>
          <w:u w:val="single"/>
        </w:rPr>
      </w:pPr>
      <w:r>
        <w:rPr>
          <w:u w:val="single"/>
        </w:rPr>
        <w:br w:type="page"/>
      </w:r>
    </w:p>
    <w:p w:rsidR="00E976A6" w:rsidRPr="00DF68DC" w:rsidRDefault="00446868" w:rsidP="00E976A6">
      <w:pPr>
        <w:rPr>
          <w:u w:val="single"/>
        </w:rPr>
      </w:pPr>
      <w:r w:rsidRPr="00DF68DC">
        <w:rPr>
          <w:u w:val="single"/>
        </w:rPr>
        <w:lastRenderedPageBreak/>
        <w:t>Listas de posibles iniciativas conjuntas con la OCDE y la ISTA relacionadas con las técnicas moleculares</w:t>
      </w:r>
    </w:p>
    <w:p w:rsidR="00E976A6" w:rsidRPr="00DF68DC" w:rsidRDefault="00E976A6" w:rsidP="00E976A6"/>
    <w:p w:rsidR="00E976A6" w:rsidRDefault="000E3AEC" w:rsidP="003C1771">
      <w:pPr>
        <w:pStyle w:val="ListParagraph"/>
        <w:numPr>
          <w:ilvl w:val="0"/>
          <w:numId w:val="3"/>
        </w:numPr>
      </w:pPr>
      <w:r w:rsidRPr="00DF68DC">
        <w:rPr>
          <w:snapToGrid w:val="0"/>
        </w:rPr>
        <w:t>En su decimoctava sesión, se invitará al BMT a elaborar listas de posibles iniciativas conjuntas con la OCDE y la ISTA relacionadas con las técnicas moleculares a fin de que las examine el TC en su quincuagésima quinta sesión</w:t>
      </w:r>
      <w:r w:rsidR="00446868" w:rsidRPr="00DF68DC">
        <w:rPr>
          <w:snapToGrid w:val="0"/>
        </w:rPr>
        <w:t>.</w:t>
      </w:r>
      <w:r w:rsidR="00E976A6" w:rsidRPr="00DF68DC">
        <w:t xml:space="preserve"> </w:t>
      </w:r>
      <w:r w:rsidRPr="00DF68DC">
        <w:t>Las novedades que se produzcan en la decimoctava sesión del BMT se comunicarán al TC en su quincuagésima quinta sesión.</w:t>
      </w:r>
      <w:bookmarkStart w:id="13" w:name="_Toc525647216"/>
      <w:bookmarkStart w:id="14" w:name="_Toc526175656"/>
      <w:bookmarkStart w:id="15" w:name="_Toc527366644"/>
    </w:p>
    <w:p w:rsidR="00233AEA" w:rsidRDefault="00233AEA" w:rsidP="00233AEA"/>
    <w:p w:rsidR="00233AEA" w:rsidRDefault="00233AEA" w:rsidP="00233AEA"/>
    <w:p w:rsidR="00233AEA" w:rsidRPr="003C1771" w:rsidRDefault="00233AEA" w:rsidP="00233AEA"/>
    <w:p w:rsidR="00E976A6" w:rsidRPr="00DF68DC" w:rsidRDefault="000E3AEC" w:rsidP="00E976A6">
      <w:pPr>
        <w:keepNext/>
        <w:outlineLvl w:val="0"/>
        <w:rPr>
          <w:caps/>
          <w:spacing w:val="-4"/>
          <w:lang w:eastAsia="ja-JP"/>
        </w:rPr>
      </w:pPr>
      <w:bookmarkStart w:id="16" w:name="_Toc19890921"/>
      <w:bookmarkEnd w:id="13"/>
      <w:bookmarkEnd w:id="14"/>
      <w:bookmarkEnd w:id="15"/>
      <w:r w:rsidRPr="00DF68DC">
        <w:rPr>
          <w:caps/>
          <w:spacing w:val="-4"/>
          <w:lang w:eastAsia="ja-JP"/>
        </w:rPr>
        <w:t>SESIÓN PARA FACILITAR LA COOPERACIÓN EN EL BMT</w:t>
      </w:r>
      <w:r w:rsidR="00354A06" w:rsidRPr="00DF68DC">
        <w:rPr>
          <w:caps/>
          <w:spacing w:val="-4"/>
          <w:lang w:eastAsia="ja-JP"/>
        </w:rPr>
        <w:t xml:space="preserve"> y LOS </w:t>
      </w:r>
      <w:r w:rsidR="00354A06" w:rsidRPr="00DF68DC">
        <w:rPr>
          <w:spacing w:val="-4"/>
          <w:lang w:eastAsia="ja-JP"/>
        </w:rPr>
        <w:t>TWP</w:t>
      </w:r>
      <w:bookmarkEnd w:id="16"/>
    </w:p>
    <w:p w:rsidR="00E976A6" w:rsidRPr="00DF68DC" w:rsidRDefault="00E976A6" w:rsidP="00E976A6">
      <w:pPr>
        <w:keepNext/>
        <w:rPr>
          <w:lang w:eastAsia="ja-JP"/>
        </w:rPr>
      </w:pPr>
    </w:p>
    <w:p w:rsidR="00E976A6" w:rsidRPr="00DF68DC" w:rsidRDefault="00872AF2" w:rsidP="00DF68DC">
      <w:pPr>
        <w:pStyle w:val="ListParagraph"/>
        <w:keepNext/>
        <w:numPr>
          <w:ilvl w:val="0"/>
          <w:numId w:val="3"/>
        </w:numPr>
        <w:rPr>
          <w:rFonts w:eastAsiaTheme="minorEastAsia"/>
          <w:lang w:eastAsia="ja-JP"/>
        </w:rPr>
      </w:pPr>
      <w:r w:rsidRPr="00DF68DC">
        <w:rPr>
          <w:rFonts w:eastAsiaTheme="minorEastAsia"/>
          <w:lang w:eastAsia="ja-JP"/>
        </w:rPr>
        <w:t>Los antecedentes de esta cuestión figuran en los párrafos 46 a 50 del documento CAJ/75/11 “Técnicas moleculares”.</w:t>
      </w:r>
    </w:p>
    <w:p w:rsidR="00E976A6" w:rsidRPr="00DF68DC" w:rsidRDefault="00E976A6" w:rsidP="00E976A6">
      <w:pPr>
        <w:keepNext/>
        <w:keepLines/>
      </w:pPr>
    </w:p>
    <w:p w:rsidR="00E976A6" w:rsidRPr="00DF68DC" w:rsidRDefault="001A25F5" w:rsidP="00DF68DC">
      <w:pPr>
        <w:pStyle w:val="ListParagraph"/>
        <w:numPr>
          <w:ilvl w:val="0"/>
          <w:numId w:val="3"/>
        </w:numPr>
      </w:pPr>
      <w:r w:rsidRPr="00DF68DC">
        <w:t xml:space="preserve">En su septuagésima quinta sesión, el CAJ tomó nota de que </w:t>
      </w:r>
      <w:r w:rsidR="00872AF2" w:rsidRPr="00DF68DC">
        <w:t>el TC ha</w:t>
      </w:r>
      <w:r w:rsidRPr="00DF68DC">
        <w:t>bía</w:t>
      </w:r>
      <w:r w:rsidR="00872AF2" w:rsidRPr="00DF68DC">
        <w:t xml:space="preserve"> </w:t>
      </w:r>
      <w:r w:rsidRPr="00DF68DC">
        <w:t>convenido en que se comuniquen a los demás TWP los resultados de la sesión de coordinación del BMT</w:t>
      </w:r>
      <w:r w:rsidRPr="00DF68DC">
        <w:rPr>
          <w:bCs/>
        </w:rPr>
        <w:t xml:space="preserve"> </w:t>
      </w:r>
      <w:r w:rsidRPr="00DF68DC">
        <w:t>y</w:t>
      </w:r>
      <w:r w:rsidR="00872AF2" w:rsidRPr="00DF68DC">
        <w:t xml:space="preserve"> </w:t>
      </w:r>
      <w:r w:rsidRPr="00DF68DC">
        <w:t>se</w:t>
      </w:r>
      <w:r w:rsidR="00872AF2" w:rsidRPr="00DF68DC">
        <w:t xml:space="preserve"> </w:t>
      </w:r>
      <w:r w:rsidRPr="00DF68DC">
        <w:t xml:space="preserve">invite a </w:t>
      </w:r>
      <w:r w:rsidR="00872AF2" w:rsidRPr="00DF68DC">
        <w:t xml:space="preserve">los TWP </w:t>
      </w:r>
      <w:r w:rsidR="007C2131" w:rsidRPr="00DF68DC">
        <w:rPr>
          <w:rFonts w:cs="Arial"/>
        </w:rPr>
        <w:t>a llevar a cabo una sesión similar para que reflexionen sobre dichos resultados y contribuyan a la labor futura del BMT</w:t>
      </w:r>
      <w:r w:rsidR="00872AF2" w:rsidRPr="00DF68DC">
        <w:t xml:space="preserve">, </w:t>
      </w:r>
      <w:r w:rsidR="007C2131" w:rsidRPr="00DF68DC">
        <w:t xml:space="preserve">según se expone en el párrafo 50 </w:t>
      </w:r>
      <w:r w:rsidR="00872AF2" w:rsidRPr="00DF68DC">
        <w:t>del documento</w:t>
      </w:r>
      <w:r w:rsidR="00AE1870" w:rsidRPr="00DF68DC">
        <w:t xml:space="preserve"> </w:t>
      </w:r>
      <w:r w:rsidR="00872AF2" w:rsidRPr="00DF68DC">
        <w:t>CAJ/75/</w:t>
      </w:r>
      <w:r w:rsidR="00872AF2" w:rsidRPr="00DF68DC">
        <w:rPr>
          <w:rFonts w:cs="Arial"/>
        </w:rPr>
        <w:t>11</w:t>
      </w:r>
      <w:r w:rsidR="007C2131" w:rsidRPr="00DF68DC">
        <w:rPr>
          <w:rFonts w:cs="Arial"/>
        </w:rPr>
        <w:t>.</w:t>
      </w:r>
      <w:r w:rsidR="00872AF2" w:rsidRPr="00DF68DC">
        <w:rPr>
          <w:vertAlign w:val="superscript"/>
        </w:rPr>
        <w:footnoteReference w:id="10"/>
      </w:r>
      <w:r w:rsidR="00D52B09" w:rsidRPr="00DF68DC">
        <w:t xml:space="preserve"> </w:t>
      </w:r>
      <w:r w:rsidR="00233AEA">
        <w:t xml:space="preserve"> </w:t>
      </w:r>
      <w:r w:rsidR="00D95C5A" w:rsidRPr="00DF68DC">
        <w:t xml:space="preserve">El TC convino en que se creen grupos de debate en todos los TWP respecto de los principales cultivos con objeto de que los asistentes intercambien información sobre su labor </w:t>
      </w:r>
      <w:r w:rsidR="008A75EE" w:rsidRPr="00DF68DC">
        <w:t xml:space="preserve">en materia de técnicas bioquímicas y moleculares </w:t>
      </w:r>
      <w:r w:rsidR="00D95C5A" w:rsidRPr="00DF68DC">
        <w:t>y definan ámbitos de cooperación.</w:t>
      </w:r>
      <w:r w:rsidR="00D95C5A" w:rsidRPr="00DF68DC">
        <w:rPr>
          <w:vertAlign w:val="superscript"/>
        </w:rPr>
        <w:footnoteReference w:id="11"/>
      </w:r>
      <w:r w:rsidR="00D52B09" w:rsidRPr="00DF68DC">
        <w:t xml:space="preserve"> </w:t>
      </w:r>
    </w:p>
    <w:p w:rsidR="00E976A6" w:rsidRPr="00DF68DC" w:rsidRDefault="00E976A6" w:rsidP="00E976A6"/>
    <w:p w:rsidR="00E976A6" w:rsidRPr="00DF68DC" w:rsidRDefault="009E43FF" w:rsidP="00DF68DC">
      <w:pPr>
        <w:pStyle w:val="ListParagraph"/>
        <w:numPr>
          <w:ilvl w:val="0"/>
          <w:numId w:val="3"/>
        </w:numPr>
      </w:pPr>
      <w:r w:rsidRPr="00DF68DC">
        <w:t>Los resultados de los debates mantenidos en los TWP en sus sesiones de 2019 para definir ámbitos de cooperación en el uso de técnicas moleculares se comunicarán al BMT en su decimoctava sesión</w:t>
      </w:r>
      <w:r w:rsidR="000C1590" w:rsidRPr="00DF68DC">
        <w:t>.</w:t>
      </w:r>
      <w:r w:rsidR="00D52B09" w:rsidRPr="00DF68DC">
        <w:t xml:space="preserve"> </w:t>
      </w:r>
    </w:p>
    <w:p w:rsidR="00E976A6" w:rsidRPr="00DF68DC" w:rsidRDefault="00E976A6" w:rsidP="00E976A6">
      <w:pPr>
        <w:rPr>
          <w:lang w:eastAsia="ja-JP"/>
        </w:rPr>
      </w:pPr>
    </w:p>
    <w:p w:rsidR="00E976A6" w:rsidRPr="00DF68DC" w:rsidRDefault="008A526B" w:rsidP="00DF68DC">
      <w:pPr>
        <w:pStyle w:val="ListParagraph"/>
        <w:numPr>
          <w:ilvl w:val="0"/>
          <w:numId w:val="3"/>
        </w:numPr>
        <w:rPr>
          <w:snapToGrid w:val="0"/>
          <w:color w:val="000000"/>
        </w:rPr>
      </w:pPr>
      <w:r w:rsidRPr="00DF68DC">
        <w:rPr>
          <w:rFonts w:cs="Arial"/>
        </w:rPr>
        <w:t>En su decimoctava sesión, se invitará al BMT a elaborar propuestas sobre los próximos pasos encaminados a definir ámbitos de cooperación en el uso de técnicas moleculares.</w:t>
      </w:r>
      <w:r w:rsidR="00D52B09" w:rsidRPr="00DF68DC">
        <w:rPr>
          <w:color w:val="000000"/>
          <w:lang w:eastAsia="ja-JP"/>
        </w:rPr>
        <w:t xml:space="preserve"> </w:t>
      </w:r>
    </w:p>
    <w:p w:rsidR="00DF68DC" w:rsidRDefault="00DF68DC" w:rsidP="00E976A6">
      <w:pPr>
        <w:rPr>
          <w:color w:val="000000"/>
          <w:lang w:eastAsia="ja-JP"/>
        </w:rPr>
      </w:pPr>
    </w:p>
    <w:p w:rsidR="00E976A6" w:rsidRPr="00DF68DC" w:rsidRDefault="008A526B" w:rsidP="00DF68DC">
      <w:pPr>
        <w:pStyle w:val="ListParagraph"/>
        <w:numPr>
          <w:ilvl w:val="0"/>
          <w:numId w:val="3"/>
        </w:numPr>
        <w:rPr>
          <w:color w:val="000000"/>
          <w:lang w:eastAsia="ja-JP"/>
        </w:rPr>
      </w:pPr>
      <w:r w:rsidRPr="00DF68DC">
        <w:rPr>
          <w:rFonts w:cs="Arial"/>
        </w:rPr>
        <w:t>Las propuestas elaboradas por el BMT en su decimoctava sesión se someterán al examen del TC en su quincuagésima quinta sesión.</w:t>
      </w:r>
      <w:r w:rsidR="00D52B09" w:rsidRPr="00DF68DC">
        <w:rPr>
          <w:color w:val="000000"/>
          <w:lang w:eastAsia="ja-JP"/>
        </w:rPr>
        <w:t xml:space="preserve"> </w:t>
      </w:r>
    </w:p>
    <w:p w:rsidR="00E976A6" w:rsidRPr="00DF68DC" w:rsidRDefault="00E976A6" w:rsidP="00E976A6">
      <w:pPr>
        <w:rPr>
          <w:color w:val="000000"/>
          <w:lang w:eastAsia="ja-JP"/>
        </w:rPr>
      </w:pPr>
    </w:p>
    <w:p w:rsidR="00E976A6" w:rsidRPr="00DF68DC" w:rsidRDefault="00172EEF" w:rsidP="00DF68DC">
      <w:pPr>
        <w:pStyle w:val="ListParagraph"/>
        <w:numPr>
          <w:ilvl w:val="0"/>
          <w:numId w:val="3"/>
        </w:numPr>
        <w:rPr>
          <w:snapToGrid w:val="0"/>
          <w:color w:val="000000"/>
        </w:rPr>
      </w:pPr>
      <w:r w:rsidRPr="00DF68DC">
        <w:rPr>
          <w:rFonts w:cs="Arial"/>
        </w:rPr>
        <w:t xml:space="preserve">Las novedades </w:t>
      </w:r>
      <w:r w:rsidR="00021EBF" w:rsidRPr="00DF68DC">
        <w:rPr>
          <w:rFonts w:cs="Arial"/>
        </w:rPr>
        <w:t xml:space="preserve">que se produzcan en la quincuagésima quinta sesión del TC en relación con </w:t>
      </w:r>
      <w:r w:rsidRPr="00DF68DC">
        <w:rPr>
          <w:rFonts w:cs="Arial"/>
        </w:rPr>
        <w:t>las cuestiones exp</w:t>
      </w:r>
      <w:r w:rsidR="00021EBF" w:rsidRPr="00DF68DC">
        <w:rPr>
          <w:rFonts w:cs="Arial"/>
        </w:rPr>
        <w:t xml:space="preserve">uestas </w:t>
      </w:r>
      <w:r w:rsidRPr="00DF68DC">
        <w:rPr>
          <w:rFonts w:cs="Arial"/>
        </w:rPr>
        <w:t>en el presente documento se comunicarán al CAJ en</w:t>
      </w:r>
      <w:r w:rsidR="00233AEA">
        <w:rPr>
          <w:rFonts w:cs="Arial"/>
        </w:rPr>
        <w:t xml:space="preserve"> el documento CAJ/76/2 “Informe </w:t>
      </w:r>
      <w:r w:rsidRPr="00DF68DC">
        <w:rPr>
          <w:rFonts w:cs="Arial"/>
        </w:rPr>
        <w:t>sobre las novedades acaecidas en el Comité Técnico”.</w:t>
      </w:r>
      <w:r w:rsidR="00E976A6" w:rsidRPr="00DF68DC">
        <w:rPr>
          <w:rFonts w:cs="Arial"/>
        </w:rPr>
        <w:t xml:space="preserve"> </w:t>
      </w:r>
    </w:p>
    <w:p w:rsidR="00E976A6" w:rsidRPr="00DF68DC" w:rsidRDefault="00E976A6" w:rsidP="00E976A6"/>
    <w:p w:rsidR="00371BAA" w:rsidRPr="00DF68DC" w:rsidRDefault="00371BAA" w:rsidP="00E976A6">
      <w:pPr>
        <w:rPr>
          <w:rFonts w:cs="Arial"/>
          <w:iCs/>
        </w:rPr>
      </w:pPr>
    </w:p>
    <w:p w:rsidR="00E976A6" w:rsidRPr="00DF68DC" w:rsidRDefault="00E976A6" w:rsidP="00E976A6"/>
    <w:p w:rsidR="00E976A6" w:rsidRPr="00DF68DC" w:rsidRDefault="00172EEF" w:rsidP="00371BAA">
      <w:pPr>
        <w:jc w:val="right"/>
        <w:sectPr w:rsidR="00E976A6" w:rsidRPr="00DF68DC" w:rsidSect="009258C4">
          <w:headerReference w:type="default" r:id="rId8"/>
          <w:pgSz w:w="11907" w:h="16840" w:code="9"/>
          <w:pgMar w:top="510" w:right="1134" w:bottom="851" w:left="1134" w:header="510" w:footer="680" w:gutter="0"/>
          <w:cols w:space="720"/>
          <w:titlePg/>
        </w:sectPr>
      </w:pPr>
      <w:r w:rsidRPr="00DF68DC">
        <w:t>[Sigue el Anexo]</w:t>
      </w:r>
    </w:p>
    <w:p w:rsidR="00E976A6" w:rsidRPr="00DF68DC" w:rsidRDefault="00172EEF" w:rsidP="00E976A6">
      <w:pPr>
        <w:jc w:val="center"/>
      </w:pPr>
      <w:r w:rsidRPr="00DF68DC">
        <w:lastRenderedPageBreak/>
        <w:t>FUNCIÓN DEL GRUPO DE TRABAJO SOBRE TÉCNICAS BIOQUÍMICAS Y MOLECULARES,</w:t>
      </w:r>
      <w:r w:rsidR="00E976A6" w:rsidRPr="00DF68DC">
        <w:t xml:space="preserve"> </w:t>
      </w:r>
      <w:r w:rsidR="00E976A6" w:rsidRPr="00DF68DC">
        <w:br/>
      </w:r>
      <w:r w:rsidRPr="00DF68DC">
        <w:t>Y PERFILES DE ADN EN PARTICULAR (BMT)</w:t>
      </w:r>
    </w:p>
    <w:p w:rsidR="00E976A6" w:rsidRPr="00DF68DC" w:rsidRDefault="00172EEF" w:rsidP="00172EEF">
      <w:pPr>
        <w:spacing w:before="60" w:after="120"/>
        <w:jc w:val="center"/>
        <w:rPr>
          <w:i/>
        </w:rPr>
      </w:pPr>
      <w:r w:rsidRPr="00DF68DC">
        <w:rPr>
          <w:i/>
        </w:rPr>
        <w:t>(Tal como acordó el Comité Técnico en su trigésima octava sesión, celebrada en Ginebra</w:t>
      </w:r>
      <w:r w:rsidR="00E976A6" w:rsidRPr="00DF68DC">
        <w:rPr>
          <w:i/>
        </w:rPr>
        <w:t xml:space="preserve"> </w:t>
      </w:r>
      <w:r w:rsidR="00E976A6" w:rsidRPr="00DF68DC">
        <w:rPr>
          <w:i/>
        </w:rPr>
        <w:br/>
      </w:r>
      <w:r w:rsidRPr="00DF68DC">
        <w:rPr>
          <w:i/>
        </w:rPr>
        <w:t>del 15 al 17 de abril de 2002 (véase el documento TC/38/16, párrafo 204))</w:t>
      </w:r>
    </w:p>
    <w:p w:rsidR="00E976A6" w:rsidRPr="00DF68DC" w:rsidRDefault="00E976A6" w:rsidP="00E976A6">
      <w:pPr>
        <w:spacing w:before="60" w:after="60"/>
      </w:pPr>
    </w:p>
    <w:p w:rsidR="00E976A6" w:rsidRPr="00DF68DC" w:rsidRDefault="00172EEF" w:rsidP="00E976A6">
      <w:pPr>
        <w:spacing w:before="60" w:after="60"/>
      </w:pPr>
      <w:r w:rsidRPr="00DF68DC">
        <w:t>El BMT es un grupo compuesto por expertos en el examen DHE, especialistas en técnicas bioquímicas y moleculares y obtentores cuya función consiste en:</w:t>
      </w:r>
    </w:p>
    <w:p w:rsidR="00E976A6" w:rsidRPr="00DF68DC" w:rsidRDefault="00E976A6" w:rsidP="00E976A6">
      <w:pPr>
        <w:spacing w:before="60" w:after="60"/>
      </w:pPr>
    </w:p>
    <w:p w:rsidR="00E976A6" w:rsidRPr="00DF68DC" w:rsidRDefault="004B5890" w:rsidP="00E976A6">
      <w:pPr>
        <w:numPr>
          <w:ilvl w:val="0"/>
          <w:numId w:val="1"/>
        </w:numPr>
        <w:tabs>
          <w:tab w:val="left" w:pos="1134"/>
        </w:tabs>
        <w:spacing w:before="60" w:after="60"/>
        <w:ind w:left="1134" w:hanging="708"/>
        <w:contextualSpacing/>
        <w:rPr>
          <w:rFonts w:eastAsiaTheme="minorEastAsia"/>
        </w:rPr>
      </w:pPr>
      <w:r w:rsidRPr="00DF68DC">
        <w:rPr>
          <w:rFonts w:eastAsiaTheme="minorEastAsia"/>
        </w:rPr>
        <w:t>examinar la evolución general de las técnicas bioquímicas y moleculares;</w:t>
      </w:r>
    </w:p>
    <w:p w:rsidR="00E976A6" w:rsidRPr="00DF68DC" w:rsidRDefault="00E976A6" w:rsidP="00E976A6">
      <w:pPr>
        <w:tabs>
          <w:tab w:val="left" w:pos="1134"/>
        </w:tabs>
        <w:spacing w:before="60" w:after="60"/>
        <w:ind w:left="1134" w:hanging="708"/>
        <w:contextualSpacing/>
        <w:rPr>
          <w:rFonts w:eastAsiaTheme="minorEastAsia"/>
        </w:rPr>
      </w:pPr>
    </w:p>
    <w:p w:rsidR="00E976A6" w:rsidRPr="00DF68DC" w:rsidRDefault="004B5890" w:rsidP="00E976A6">
      <w:pPr>
        <w:numPr>
          <w:ilvl w:val="0"/>
          <w:numId w:val="1"/>
        </w:numPr>
        <w:tabs>
          <w:tab w:val="left" w:pos="1134"/>
        </w:tabs>
        <w:spacing w:before="60" w:after="60"/>
        <w:ind w:left="1134" w:hanging="708"/>
        <w:contextualSpacing/>
        <w:rPr>
          <w:rFonts w:eastAsiaTheme="minorEastAsia"/>
        </w:rPr>
      </w:pPr>
      <w:r w:rsidRPr="00DF68DC">
        <w:rPr>
          <w:rFonts w:eastAsiaTheme="minorEastAsia"/>
        </w:rPr>
        <w:t>informar acerca de las aplicaciones pertinentes de las técnicas bioquímicas y moleculares al fitomejoramiento;</w:t>
      </w:r>
    </w:p>
    <w:p w:rsidR="00E976A6" w:rsidRPr="00DF68DC" w:rsidRDefault="00E976A6" w:rsidP="00E976A6">
      <w:pPr>
        <w:tabs>
          <w:tab w:val="left" w:pos="1134"/>
        </w:tabs>
        <w:ind w:left="1134" w:hanging="708"/>
        <w:contextualSpacing/>
        <w:rPr>
          <w:rFonts w:eastAsiaTheme="minorEastAsia"/>
        </w:rPr>
      </w:pPr>
    </w:p>
    <w:p w:rsidR="00E976A6" w:rsidRPr="00DF68DC" w:rsidRDefault="004B5890" w:rsidP="00E976A6">
      <w:pPr>
        <w:numPr>
          <w:ilvl w:val="0"/>
          <w:numId w:val="1"/>
        </w:numPr>
        <w:tabs>
          <w:tab w:val="left" w:pos="1134"/>
        </w:tabs>
        <w:spacing w:before="60" w:after="60"/>
        <w:ind w:left="1134" w:hanging="708"/>
        <w:contextualSpacing/>
        <w:rPr>
          <w:rFonts w:eastAsiaTheme="minorEastAsia"/>
        </w:rPr>
      </w:pPr>
      <w:r w:rsidRPr="00DF68DC">
        <w:rPr>
          <w:rFonts w:eastAsiaTheme="minorEastAsia"/>
        </w:rPr>
        <w:t>estudiar la posible aplicación de técnicas bioquímicas y moleculares al examen DHE e informar sobre sus conclusiones al Comité Técnico;</w:t>
      </w:r>
    </w:p>
    <w:p w:rsidR="00E976A6" w:rsidRPr="00DF68DC" w:rsidRDefault="00E976A6" w:rsidP="00E976A6">
      <w:pPr>
        <w:tabs>
          <w:tab w:val="left" w:pos="1134"/>
        </w:tabs>
        <w:spacing w:before="60" w:after="60"/>
        <w:ind w:left="1134" w:hanging="708"/>
        <w:contextualSpacing/>
        <w:rPr>
          <w:rFonts w:eastAsiaTheme="minorEastAsia"/>
        </w:rPr>
      </w:pPr>
    </w:p>
    <w:p w:rsidR="00E976A6" w:rsidRPr="00DF68DC" w:rsidRDefault="004B5890" w:rsidP="00E976A6">
      <w:pPr>
        <w:numPr>
          <w:ilvl w:val="0"/>
          <w:numId w:val="1"/>
        </w:numPr>
        <w:tabs>
          <w:tab w:val="left" w:pos="1134"/>
        </w:tabs>
        <w:spacing w:before="60" w:after="60"/>
        <w:ind w:left="1134" w:hanging="708"/>
        <w:contextualSpacing/>
        <w:rPr>
          <w:rFonts w:eastAsiaTheme="minorEastAsia"/>
        </w:rPr>
      </w:pPr>
      <w:r w:rsidRPr="00DF68DC">
        <w:rPr>
          <w:rFonts w:eastAsiaTheme="minorEastAsia"/>
        </w:rPr>
        <w:t>si procede, elaborar directrices para metodologías bioquímicas y moleculares y su armonización y, en particular, contribuir a la elaboración del documento TGP/15, “Nuevos tipos de caracteres.”</w:t>
      </w:r>
      <w:r w:rsidR="00D52B09" w:rsidRPr="00DF68DC">
        <w:rPr>
          <w:rFonts w:eastAsiaTheme="minorEastAsia"/>
        </w:rPr>
        <w:t xml:space="preserve"> </w:t>
      </w:r>
      <w:r w:rsidRPr="00DF68DC">
        <w:rPr>
          <w:rFonts w:eastAsiaTheme="minorEastAsia"/>
        </w:rPr>
        <w:t>Estas directrices se elaborarán en colaboración con los Grupos de Trabajo Técnico;</w:t>
      </w:r>
      <w:r w:rsidR="00E976A6" w:rsidRPr="00DF68DC">
        <w:rPr>
          <w:rFonts w:eastAsiaTheme="minorEastAsia"/>
        </w:rPr>
        <w:t xml:space="preserve"> </w:t>
      </w:r>
    </w:p>
    <w:p w:rsidR="00E976A6" w:rsidRPr="00DF68DC" w:rsidRDefault="00E976A6" w:rsidP="00E976A6">
      <w:pPr>
        <w:tabs>
          <w:tab w:val="left" w:pos="1134"/>
        </w:tabs>
        <w:spacing w:before="60" w:after="60"/>
        <w:ind w:left="1134" w:hanging="708"/>
      </w:pPr>
    </w:p>
    <w:p w:rsidR="00E976A6" w:rsidRPr="00DF68DC" w:rsidRDefault="004B5890" w:rsidP="00E976A6">
      <w:pPr>
        <w:numPr>
          <w:ilvl w:val="0"/>
          <w:numId w:val="1"/>
        </w:numPr>
        <w:tabs>
          <w:tab w:val="left" w:pos="1134"/>
        </w:tabs>
        <w:spacing w:before="60" w:after="60"/>
        <w:ind w:left="1134" w:hanging="708"/>
        <w:contextualSpacing/>
        <w:rPr>
          <w:rFonts w:eastAsiaTheme="minorEastAsia"/>
        </w:rPr>
      </w:pPr>
      <w:r w:rsidRPr="00DF68DC">
        <w:rPr>
          <w:rFonts w:eastAsiaTheme="minorEastAsia"/>
        </w:rPr>
        <w:t>examinar las iniciativas de los TWP sobre el establecimiento de subgrupos sobre cultivos específicos, tomando en consideración la información disponible y la necesidad de métodos bioquímicos y moleculares;</w:t>
      </w:r>
    </w:p>
    <w:p w:rsidR="00E976A6" w:rsidRPr="00DF68DC" w:rsidRDefault="00E976A6" w:rsidP="00E976A6">
      <w:pPr>
        <w:tabs>
          <w:tab w:val="left" w:pos="1134"/>
        </w:tabs>
        <w:ind w:left="1134" w:hanging="708"/>
        <w:contextualSpacing/>
        <w:rPr>
          <w:rFonts w:eastAsiaTheme="minorEastAsia"/>
        </w:rPr>
      </w:pPr>
    </w:p>
    <w:p w:rsidR="00E976A6" w:rsidRPr="00DF68DC" w:rsidRDefault="004B5890" w:rsidP="00E976A6">
      <w:pPr>
        <w:numPr>
          <w:ilvl w:val="0"/>
          <w:numId w:val="1"/>
        </w:numPr>
        <w:tabs>
          <w:tab w:val="left" w:pos="1134"/>
        </w:tabs>
        <w:spacing w:before="60" w:after="60"/>
        <w:ind w:left="1134" w:hanging="708"/>
        <w:contextualSpacing/>
        <w:rPr>
          <w:rFonts w:eastAsiaTheme="minorEastAsia"/>
        </w:rPr>
      </w:pPr>
      <w:r w:rsidRPr="00DF68DC">
        <w:rPr>
          <w:rFonts w:eastAsiaTheme="minorEastAsia"/>
        </w:rPr>
        <w:t>elaborar directrices en relación con la gestión y la armonización de bases de datos sobre información bioquímica y molecular, en colaboración con el TWC;</w:t>
      </w:r>
    </w:p>
    <w:p w:rsidR="00E976A6" w:rsidRPr="00DF68DC" w:rsidRDefault="00E976A6" w:rsidP="00E976A6">
      <w:pPr>
        <w:tabs>
          <w:tab w:val="left" w:pos="1134"/>
        </w:tabs>
        <w:spacing w:before="60" w:after="60"/>
        <w:ind w:left="1134" w:hanging="708"/>
        <w:contextualSpacing/>
        <w:rPr>
          <w:rFonts w:eastAsiaTheme="minorEastAsia"/>
        </w:rPr>
      </w:pPr>
    </w:p>
    <w:p w:rsidR="00E976A6" w:rsidRPr="00DF68DC" w:rsidRDefault="004B5890" w:rsidP="00E976A6">
      <w:pPr>
        <w:numPr>
          <w:ilvl w:val="0"/>
          <w:numId w:val="1"/>
        </w:numPr>
        <w:tabs>
          <w:tab w:val="left" w:pos="1134"/>
        </w:tabs>
        <w:spacing w:before="60" w:after="60"/>
        <w:ind w:left="1134" w:hanging="708"/>
        <w:contextualSpacing/>
        <w:rPr>
          <w:rFonts w:eastAsiaTheme="minorEastAsia"/>
        </w:rPr>
      </w:pPr>
      <w:r w:rsidRPr="00DF68DC">
        <w:rPr>
          <w:rFonts w:eastAsiaTheme="minorEastAsia"/>
        </w:rPr>
        <w:t>recibir informes de los Subgrupos sobre Cultivos y del Grupo de Consulta del BMT;</w:t>
      </w:r>
    </w:p>
    <w:p w:rsidR="00E976A6" w:rsidRPr="00DF68DC" w:rsidRDefault="00E976A6" w:rsidP="00E976A6">
      <w:pPr>
        <w:tabs>
          <w:tab w:val="left" w:pos="1134"/>
        </w:tabs>
        <w:spacing w:before="60" w:after="60"/>
        <w:ind w:left="1134" w:hanging="708"/>
      </w:pPr>
    </w:p>
    <w:p w:rsidR="00E976A6" w:rsidRPr="00DF68DC" w:rsidRDefault="004B5890" w:rsidP="00E976A6">
      <w:pPr>
        <w:numPr>
          <w:ilvl w:val="0"/>
          <w:numId w:val="1"/>
        </w:numPr>
        <w:tabs>
          <w:tab w:val="left" w:pos="1134"/>
        </w:tabs>
        <w:spacing w:before="60" w:after="60"/>
        <w:ind w:left="1134" w:hanging="708"/>
        <w:contextualSpacing/>
        <w:rPr>
          <w:rFonts w:eastAsiaTheme="minorEastAsia"/>
        </w:rPr>
      </w:pPr>
      <w:r w:rsidRPr="00DF68DC">
        <w:rPr>
          <w:rFonts w:eastAsiaTheme="minorEastAsia"/>
        </w:rPr>
        <w:t>constituir un foro para debatir la utilización de técnicas bioquímicas y moleculares en el examen de las variedades esencialmente derivadas y la identificación de variedades.</w:t>
      </w:r>
    </w:p>
    <w:p w:rsidR="00E976A6" w:rsidRPr="00DF68DC" w:rsidRDefault="00E976A6" w:rsidP="00DF68DC">
      <w:pPr>
        <w:jc w:val="left"/>
      </w:pPr>
    </w:p>
    <w:p w:rsidR="00544581" w:rsidRPr="00DF68DC" w:rsidRDefault="00544581">
      <w:pPr>
        <w:jc w:val="left"/>
      </w:pPr>
    </w:p>
    <w:p w:rsidR="00DF68DC" w:rsidRPr="00DF68DC" w:rsidRDefault="00DF68DC" w:rsidP="00050E16"/>
    <w:p w:rsidR="00050E16" w:rsidRPr="00DF68DC" w:rsidRDefault="00050E16" w:rsidP="00DF68DC">
      <w:pPr>
        <w:jc w:val="right"/>
      </w:pPr>
      <w:r w:rsidRPr="00DF68DC">
        <w:t>[</w:t>
      </w:r>
      <w:r w:rsidR="000638A9" w:rsidRPr="00DF68DC">
        <w:t xml:space="preserve">Fin del </w:t>
      </w:r>
      <w:r w:rsidR="00E976A6" w:rsidRPr="00DF68DC">
        <w:t xml:space="preserve">Anexo y del </w:t>
      </w:r>
      <w:r w:rsidR="000638A9" w:rsidRPr="00DF68DC">
        <w:t>documento</w:t>
      </w:r>
      <w:r w:rsidRPr="00DF68DC">
        <w:t>]</w:t>
      </w:r>
    </w:p>
    <w:sectPr w:rsidR="00050E16" w:rsidRPr="00DF68DC" w:rsidSect="00906DDC">
      <w:headerReference w:type="default" r:id="rId9"/>
      <w:head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C4" w:rsidRDefault="009258C4" w:rsidP="006655D3">
      <w:r>
        <w:separator/>
      </w:r>
    </w:p>
    <w:p w:rsidR="009258C4" w:rsidRDefault="009258C4" w:rsidP="006655D3"/>
    <w:p w:rsidR="009258C4" w:rsidRDefault="009258C4" w:rsidP="006655D3"/>
  </w:endnote>
  <w:endnote w:type="continuationSeparator" w:id="0">
    <w:p w:rsidR="009258C4" w:rsidRDefault="009258C4" w:rsidP="006655D3">
      <w:r>
        <w:separator/>
      </w:r>
    </w:p>
    <w:p w:rsidR="009258C4" w:rsidRPr="00294751" w:rsidRDefault="009258C4">
      <w:pPr>
        <w:pStyle w:val="Footer"/>
        <w:spacing w:after="60"/>
        <w:rPr>
          <w:sz w:val="18"/>
          <w:lang w:val="fr-FR"/>
        </w:rPr>
      </w:pPr>
      <w:r w:rsidRPr="00294751">
        <w:rPr>
          <w:sz w:val="18"/>
          <w:lang w:val="fr-FR"/>
        </w:rPr>
        <w:t>[Suite de la note de la page précédente]</w:t>
      </w:r>
    </w:p>
    <w:p w:rsidR="009258C4" w:rsidRPr="00294751" w:rsidRDefault="009258C4" w:rsidP="006655D3">
      <w:pPr>
        <w:rPr>
          <w:lang w:val="fr-FR"/>
        </w:rPr>
      </w:pPr>
    </w:p>
    <w:p w:rsidR="009258C4" w:rsidRPr="00294751" w:rsidRDefault="009258C4" w:rsidP="006655D3">
      <w:pPr>
        <w:rPr>
          <w:lang w:val="fr-FR"/>
        </w:rPr>
      </w:pPr>
    </w:p>
  </w:endnote>
  <w:endnote w:type="continuationNotice" w:id="1">
    <w:p w:rsidR="009258C4" w:rsidRPr="00294751" w:rsidRDefault="009258C4" w:rsidP="006655D3">
      <w:pPr>
        <w:rPr>
          <w:lang w:val="fr-FR"/>
        </w:rPr>
      </w:pPr>
      <w:r w:rsidRPr="00294751">
        <w:rPr>
          <w:lang w:val="fr-FR"/>
        </w:rPr>
        <w:t>[Suite de la note page suivante]</w:t>
      </w:r>
    </w:p>
    <w:p w:rsidR="009258C4" w:rsidRPr="00294751" w:rsidRDefault="009258C4" w:rsidP="006655D3">
      <w:pPr>
        <w:rPr>
          <w:lang w:val="fr-FR"/>
        </w:rPr>
      </w:pPr>
    </w:p>
    <w:p w:rsidR="009258C4" w:rsidRPr="00294751" w:rsidRDefault="009258C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Calibri">
    <w:altName w:val="Century Gothic"/>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C4" w:rsidRDefault="009258C4" w:rsidP="006655D3">
      <w:r>
        <w:separator/>
      </w:r>
    </w:p>
  </w:footnote>
  <w:footnote w:type="continuationSeparator" w:id="0">
    <w:p w:rsidR="009258C4" w:rsidRDefault="009258C4" w:rsidP="006655D3">
      <w:r>
        <w:separator/>
      </w:r>
    </w:p>
  </w:footnote>
  <w:footnote w:type="continuationNotice" w:id="1">
    <w:p w:rsidR="009258C4" w:rsidRPr="00AB530F" w:rsidRDefault="009258C4" w:rsidP="00AB530F">
      <w:pPr>
        <w:pStyle w:val="Footer"/>
      </w:pPr>
    </w:p>
  </w:footnote>
  <w:footnote w:id="2">
    <w:p w:rsidR="009258C4" w:rsidRPr="00DF68DC" w:rsidRDefault="009258C4" w:rsidP="00E976A6">
      <w:pPr>
        <w:pStyle w:val="FootnoteText"/>
        <w:rPr>
          <w:lang w:val="es-ES" w:eastAsia="ja-JP"/>
        </w:rPr>
      </w:pPr>
      <w:r>
        <w:rPr>
          <w:rStyle w:val="FootnoteReference"/>
        </w:rPr>
        <w:footnoteRef/>
      </w:r>
      <w:r w:rsidRPr="00DF68DC">
        <w:rPr>
          <w:lang w:val="es-ES"/>
        </w:rPr>
        <w:t xml:space="preserve"> </w:t>
      </w:r>
      <w:r w:rsidRPr="00DF68DC">
        <w:rPr>
          <w:rFonts w:hint="eastAsia"/>
          <w:lang w:val="es-ES" w:eastAsia="ja-JP"/>
        </w:rPr>
        <w:tab/>
      </w:r>
      <w:r w:rsidRPr="00FF0983">
        <w:rPr>
          <w:iCs/>
          <w:lang w:eastAsia="ja-JP"/>
        </w:rPr>
        <w:t>Celebrada en Ginebra el 31 de octubre de 2018.</w:t>
      </w:r>
    </w:p>
  </w:footnote>
  <w:footnote w:id="3">
    <w:p w:rsidR="009258C4" w:rsidRPr="00DF68DC" w:rsidRDefault="009258C4" w:rsidP="00E976A6">
      <w:pPr>
        <w:pStyle w:val="FootnoteText"/>
        <w:rPr>
          <w:lang w:val="es-ES" w:eastAsia="ja-JP"/>
        </w:rPr>
      </w:pPr>
      <w:r>
        <w:rPr>
          <w:rStyle w:val="FootnoteReference"/>
        </w:rPr>
        <w:footnoteRef/>
      </w:r>
      <w:r w:rsidRPr="00DF68DC">
        <w:rPr>
          <w:lang w:val="es-ES"/>
        </w:rPr>
        <w:t xml:space="preserve"> </w:t>
      </w:r>
      <w:r w:rsidRPr="00DF68DC">
        <w:rPr>
          <w:rFonts w:hint="eastAsia"/>
          <w:lang w:val="es-ES" w:eastAsia="ja-JP"/>
        </w:rPr>
        <w:tab/>
      </w:r>
      <w:r w:rsidRPr="00FF0983">
        <w:rPr>
          <w:iCs/>
          <w:lang w:eastAsia="ja-JP"/>
        </w:rPr>
        <w:t>Celebrada en Ginebra los días 29 y 30 de octubre de 2018.</w:t>
      </w:r>
    </w:p>
  </w:footnote>
  <w:footnote w:id="4">
    <w:p w:rsidR="009258C4" w:rsidRPr="00DF68DC" w:rsidRDefault="009258C4" w:rsidP="00E976A6">
      <w:pPr>
        <w:pStyle w:val="FootnoteText"/>
        <w:rPr>
          <w:lang w:val="es-ES" w:eastAsia="ja-JP"/>
        </w:rPr>
      </w:pPr>
      <w:r>
        <w:rPr>
          <w:rStyle w:val="FootnoteReference"/>
        </w:rPr>
        <w:footnoteRef/>
      </w:r>
      <w:r w:rsidRPr="00DF68DC">
        <w:rPr>
          <w:lang w:val="es-ES"/>
        </w:rPr>
        <w:t xml:space="preserve"> </w:t>
      </w:r>
      <w:r w:rsidRPr="00DF68DC">
        <w:rPr>
          <w:rFonts w:hint="eastAsia"/>
          <w:lang w:val="es-ES" w:eastAsia="ja-JP"/>
        </w:rPr>
        <w:tab/>
      </w:r>
      <w:r w:rsidRPr="00FF0983">
        <w:rPr>
          <w:lang w:eastAsia="ja-JP"/>
        </w:rPr>
        <w:t>Véase el párrafo 63 del documento CAJ/75/14 “Informe”.</w:t>
      </w:r>
    </w:p>
  </w:footnote>
  <w:footnote w:id="5">
    <w:p w:rsidR="009258C4" w:rsidRPr="00DF68DC" w:rsidRDefault="009258C4" w:rsidP="004D45DF">
      <w:pPr>
        <w:pStyle w:val="FootnoteText"/>
        <w:rPr>
          <w:lang w:val="es-ES" w:eastAsia="ja-JP"/>
        </w:rPr>
      </w:pPr>
      <w:r>
        <w:rPr>
          <w:rStyle w:val="FootnoteReference"/>
        </w:rPr>
        <w:footnoteRef/>
      </w:r>
      <w:r w:rsidRPr="00DF68DC">
        <w:rPr>
          <w:lang w:val="es-ES"/>
        </w:rPr>
        <w:t xml:space="preserve"> </w:t>
      </w:r>
      <w:r w:rsidRPr="00DF68DC">
        <w:rPr>
          <w:rFonts w:hint="eastAsia"/>
          <w:lang w:val="es-ES" w:eastAsia="ja-JP"/>
        </w:rPr>
        <w:tab/>
      </w:r>
      <w:r w:rsidRPr="00FF0983">
        <w:rPr>
          <w:lang w:eastAsia="ja-JP"/>
        </w:rPr>
        <w:t>Prevista en Ginebra los días 28 y 29 de octubre de 2019.</w:t>
      </w:r>
    </w:p>
  </w:footnote>
  <w:footnote w:id="6">
    <w:p w:rsidR="009258C4" w:rsidRPr="00DF68DC" w:rsidRDefault="009258C4" w:rsidP="00E976A6">
      <w:pPr>
        <w:pStyle w:val="FootnoteText"/>
        <w:rPr>
          <w:lang w:val="es-ES" w:eastAsia="ja-JP"/>
        </w:rPr>
      </w:pPr>
      <w:r>
        <w:rPr>
          <w:rStyle w:val="FootnoteReference"/>
        </w:rPr>
        <w:footnoteRef/>
      </w:r>
      <w:r w:rsidRPr="00DF68DC">
        <w:rPr>
          <w:lang w:val="es-ES"/>
        </w:rPr>
        <w:t xml:space="preserve"> </w:t>
      </w:r>
      <w:r w:rsidRPr="00DF68DC">
        <w:rPr>
          <w:rFonts w:hint="eastAsia"/>
          <w:lang w:val="es-ES" w:eastAsia="ja-JP"/>
        </w:rPr>
        <w:tab/>
      </w:r>
      <w:r w:rsidRPr="00FF0983">
        <w:rPr>
          <w:lang w:eastAsia="ja-JP"/>
        </w:rPr>
        <w:t>Prevista en Ginebra los días 26 y 27 de octubre de 2020.</w:t>
      </w:r>
    </w:p>
  </w:footnote>
  <w:footnote w:id="7">
    <w:p w:rsidR="009258C4" w:rsidRPr="00DF68DC" w:rsidRDefault="009258C4" w:rsidP="00E976A6">
      <w:pPr>
        <w:pStyle w:val="FootnoteText"/>
        <w:rPr>
          <w:lang w:val="es-ES" w:eastAsia="ja-JP"/>
        </w:rPr>
      </w:pPr>
      <w:r>
        <w:rPr>
          <w:rStyle w:val="FootnoteReference"/>
        </w:rPr>
        <w:footnoteRef/>
      </w:r>
      <w:r w:rsidRPr="00DF68DC">
        <w:rPr>
          <w:lang w:val="es-ES"/>
        </w:rPr>
        <w:t xml:space="preserve"> </w:t>
      </w:r>
      <w:r w:rsidRPr="00DF68DC">
        <w:rPr>
          <w:rFonts w:hint="eastAsia"/>
          <w:lang w:val="es-ES" w:eastAsia="ja-JP"/>
        </w:rPr>
        <w:tab/>
      </w:r>
      <w:r w:rsidRPr="00BB0705">
        <w:rPr>
          <w:lang w:eastAsia="ja-JP"/>
        </w:rPr>
        <w:t>Véase el párrafo 65 del documento CAJ/75/14 “Informe”.</w:t>
      </w:r>
    </w:p>
  </w:footnote>
  <w:footnote w:id="8">
    <w:p w:rsidR="009258C4" w:rsidRPr="00DF68DC" w:rsidRDefault="009258C4" w:rsidP="00E976A6">
      <w:pPr>
        <w:pStyle w:val="FootnoteText"/>
        <w:rPr>
          <w:lang w:val="es-ES" w:eastAsia="ja-JP"/>
        </w:rPr>
      </w:pPr>
      <w:r>
        <w:rPr>
          <w:rStyle w:val="FootnoteReference"/>
        </w:rPr>
        <w:footnoteRef/>
      </w:r>
      <w:r w:rsidRPr="00DF68DC">
        <w:rPr>
          <w:lang w:val="es-ES"/>
        </w:rPr>
        <w:t xml:space="preserve"> </w:t>
      </w:r>
      <w:r w:rsidRPr="00DF68DC">
        <w:rPr>
          <w:rFonts w:hint="eastAsia"/>
          <w:lang w:val="es-ES" w:eastAsia="ja-JP"/>
        </w:rPr>
        <w:tab/>
      </w:r>
      <w:r w:rsidRPr="00BB0705">
        <w:rPr>
          <w:lang w:eastAsia="ja-JP"/>
        </w:rPr>
        <w:t>Véase el párrafo 67 del documento CAJ/75/14 “Informe”.</w:t>
      </w:r>
    </w:p>
  </w:footnote>
  <w:footnote w:id="9">
    <w:p w:rsidR="009258C4" w:rsidRPr="00DF68DC" w:rsidRDefault="009258C4" w:rsidP="00E976A6">
      <w:pPr>
        <w:pStyle w:val="FootnoteText"/>
        <w:rPr>
          <w:lang w:val="es-ES" w:eastAsia="ja-JP"/>
        </w:rPr>
      </w:pPr>
      <w:r>
        <w:rPr>
          <w:rStyle w:val="FootnoteReference"/>
        </w:rPr>
        <w:footnoteRef/>
      </w:r>
      <w:r w:rsidRPr="00DF68DC">
        <w:rPr>
          <w:lang w:val="es-ES"/>
        </w:rPr>
        <w:t xml:space="preserve"> </w:t>
      </w:r>
      <w:r w:rsidRPr="00DF68DC">
        <w:rPr>
          <w:rFonts w:hint="eastAsia"/>
          <w:lang w:val="es-ES" w:eastAsia="ja-JP"/>
        </w:rPr>
        <w:tab/>
      </w:r>
      <w:r w:rsidRPr="00BB0705">
        <w:rPr>
          <w:lang w:eastAsia="ja-JP"/>
        </w:rPr>
        <w:t>Véase el párrafo 66 del documento CAJ/75/14 “Informe”.</w:t>
      </w:r>
    </w:p>
  </w:footnote>
  <w:footnote w:id="10">
    <w:p w:rsidR="009258C4" w:rsidRPr="00DF68DC" w:rsidRDefault="009258C4" w:rsidP="00E976A6">
      <w:pPr>
        <w:pStyle w:val="FootnoteText"/>
        <w:rPr>
          <w:lang w:val="es-ES" w:eastAsia="ja-JP"/>
        </w:rPr>
      </w:pPr>
      <w:r>
        <w:rPr>
          <w:rStyle w:val="FootnoteReference"/>
        </w:rPr>
        <w:footnoteRef/>
      </w:r>
      <w:r w:rsidRPr="00DF68DC">
        <w:rPr>
          <w:rFonts w:hint="eastAsia"/>
          <w:lang w:val="es-ES" w:eastAsia="ja-JP"/>
        </w:rPr>
        <w:tab/>
      </w:r>
      <w:r w:rsidRPr="00BB0705">
        <w:rPr>
          <w:lang w:eastAsia="ja-JP"/>
        </w:rPr>
        <w:t>Véase el párrafo 71 del documento CAJ/75/14 “Informe”.</w:t>
      </w:r>
    </w:p>
  </w:footnote>
  <w:footnote w:id="11">
    <w:p w:rsidR="009258C4" w:rsidRPr="00DA760B" w:rsidRDefault="009258C4" w:rsidP="00E976A6">
      <w:pPr>
        <w:pStyle w:val="FootnoteText"/>
        <w:rPr>
          <w:lang w:eastAsia="ja-JP"/>
        </w:rPr>
      </w:pPr>
      <w:r>
        <w:rPr>
          <w:rStyle w:val="FootnoteReference"/>
        </w:rPr>
        <w:footnoteRef/>
      </w:r>
      <w:r>
        <w:rPr>
          <w:rFonts w:hint="eastAsia"/>
          <w:lang w:eastAsia="ja-JP"/>
        </w:rPr>
        <w:tab/>
      </w:r>
      <w:r w:rsidRPr="00BB0705">
        <w:rPr>
          <w:lang w:eastAsia="ja-JP"/>
        </w:rPr>
        <w:t>Véase el párrafo 281 del documento TC/54/31 “Informe”.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C4" w:rsidRPr="00C5280D" w:rsidRDefault="009258C4" w:rsidP="009258C4">
    <w:pPr>
      <w:pStyle w:val="Header"/>
      <w:rPr>
        <w:rStyle w:val="PageNumber"/>
        <w:lang w:val="en-US"/>
      </w:rPr>
    </w:pPr>
    <w:r>
      <w:rPr>
        <w:rStyle w:val="PageNumber"/>
        <w:lang w:val="en-US"/>
      </w:rPr>
      <w:t>CAJ/76/INF/3</w:t>
    </w:r>
  </w:p>
  <w:p w:rsidR="009258C4" w:rsidRPr="00BF4826" w:rsidRDefault="009258C4" w:rsidP="00EB048E">
    <w:pPr>
      <w:pStyle w:val="Header"/>
    </w:pPr>
    <w:r w:rsidRPr="00BF4826">
      <w:t xml:space="preserve">página </w:t>
    </w:r>
    <w:r w:rsidR="00AC2C1F" w:rsidRPr="00BF4826">
      <w:rPr>
        <w:rStyle w:val="PageNumber"/>
      </w:rPr>
      <w:fldChar w:fldCharType="begin"/>
    </w:r>
    <w:r w:rsidRPr="00BF4826">
      <w:rPr>
        <w:rStyle w:val="PageNumber"/>
      </w:rPr>
      <w:instrText xml:space="preserve"> PAGE </w:instrText>
    </w:r>
    <w:r w:rsidR="00AC2C1F" w:rsidRPr="00BF4826">
      <w:rPr>
        <w:rStyle w:val="PageNumber"/>
      </w:rPr>
      <w:fldChar w:fldCharType="separate"/>
    </w:r>
    <w:r w:rsidR="00233AEA">
      <w:rPr>
        <w:rStyle w:val="PageNumber"/>
        <w:noProof/>
      </w:rPr>
      <w:t>2</w:t>
    </w:r>
    <w:r w:rsidR="00AC2C1F" w:rsidRPr="00BF4826">
      <w:rPr>
        <w:rStyle w:val="PageNumber"/>
      </w:rPr>
      <w:fldChar w:fldCharType="end"/>
    </w:r>
    <w:bookmarkStart w:id="17" w:name="_Toc410822398"/>
    <w:bookmarkStart w:id="18" w:name="_Toc410822802"/>
  </w:p>
  <w:p w:rsidR="003C1771" w:rsidRPr="00C5280D" w:rsidRDefault="003C1771" w:rsidP="003C1771">
    <w:pPr>
      <w:jc w:val="center"/>
    </w:pPr>
    <w:bookmarkStart w:id="19" w:name="_Toc441145847"/>
    <w:bookmarkStart w:id="20" w:name="_Toc374716168"/>
    <w:bookmarkEnd w:id="17"/>
    <w:bookmarkEnd w:id="18"/>
    <w:bookmarkEnd w:id="19"/>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C4" w:rsidRPr="000A23DC" w:rsidRDefault="009258C4" w:rsidP="000A23DC">
    <w:pPr>
      <w:pStyle w:val="Header"/>
      <w:rPr>
        <w:rStyle w:val="PageNumber"/>
      </w:rPr>
    </w:pPr>
    <w:r>
      <w:rPr>
        <w:rStyle w:val="PageNumber"/>
      </w:rPr>
      <w:t>CAJ/76</w:t>
    </w:r>
    <w:r w:rsidRPr="000A23DC">
      <w:rPr>
        <w:rStyle w:val="PageNumber"/>
      </w:rPr>
      <w:t>/</w:t>
    </w:r>
  </w:p>
  <w:p w:rsidR="009258C4" w:rsidRPr="00202E38" w:rsidRDefault="009258C4" w:rsidP="008B3D8D">
    <w:pPr>
      <w:pStyle w:val="Header"/>
      <w:rPr>
        <w:lang w:val="de-DE"/>
      </w:rPr>
    </w:pPr>
    <w:r w:rsidRPr="008B3D8D">
      <w:t>página</w:t>
    </w:r>
    <w:r w:rsidRPr="00202E38">
      <w:rPr>
        <w:lang w:val="de-DE"/>
      </w:rPr>
      <w:t xml:space="preserve"> </w:t>
    </w:r>
    <w:r w:rsidR="00AC2C1F" w:rsidRPr="00202E38">
      <w:rPr>
        <w:rStyle w:val="PageNumber"/>
        <w:lang w:val="de-DE"/>
      </w:rPr>
      <w:fldChar w:fldCharType="begin"/>
    </w:r>
    <w:r w:rsidRPr="00202E38">
      <w:rPr>
        <w:rStyle w:val="PageNumber"/>
        <w:lang w:val="de-DE"/>
      </w:rPr>
      <w:instrText xml:space="preserve"> PAGE </w:instrText>
    </w:r>
    <w:r w:rsidR="00AC2C1F" w:rsidRPr="00202E38">
      <w:rPr>
        <w:rStyle w:val="PageNumber"/>
        <w:lang w:val="de-DE"/>
      </w:rPr>
      <w:fldChar w:fldCharType="separate"/>
    </w:r>
    <w:r>
      <w:rPr>
        <w:rStyle w:val="PageNumber"/>
        <w:noProof/>
        <w:lang w:val="de-DE"/>
      </w:rPr>
      <w:t>8</w:t>
    </w:r>
    <w:r w:rsidR="00AC2C1F" w:rsidRPr="00202E38">
      <w:rPr>
        <w:rStyle w:val="PageNumber"/>
        <w:lang w:val="de-DE"/>
      </w:rPr>
      <w:fldChar w:fldCharType="end"/>
    </w:r>
  </w:p>
  <w:p w:rsidR="009258C4" w:rsidRPr="00202E38" w:rsidRDefault="009258C4"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C4" w:rsidRDefault="009258C4">
    <w:pPr>
      <w:pStyle w:val="Header"/>
      <w:rPr>
        <w:lang w:val="es-ES"/>
      </w:rPr>
    </w:pPr>
    <w:r>
      <w:rPr>
        <w:lang w:val="es-ES"/>
      </w:rPr>
      <w:t>CAJ/76/INF/3</w:t>
    </w:r>
  </w:p>
  <w:p w:rsidR="009258C4" w:rsidRDefault="009258C4">
    <w:pPr>
      <w:pStyle w:val="Header"/>
      <w:rPr>
        <w:lang w:val="es-ES"/>
      </w:rPr>
    </w:pPr>
  </w:p>
  <w:p w:rsidR="009258C4" w:rsidRPr="001A6024" w:rsidRDefault="009258C4">
    <w:pPr>
      <w:pStyle w:val="Header"/>
    </w:pPr>
    <w:r w:rsidRPr="001A6024">
      <w:t>ANEXO</w:t>
    </w:r>
  </w:p>
  <w:p w:rsidR="009258C4" w:rsidRDefault="009258C4">
    <w:pPr>
      <w:pStyle w:val="Header"/>
      <w:rPr>
        <w:lang w:val="es-ES"/>
      </w:rPr>
    </w:pPr>
  </w:p>
  <w:p w:rsidR="009258C4" w:rsidRPr="00184F46" w:rsidRDefault="009258C4">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2F81"/>
    <w:multiLevelType w:val="hybridMultilevel"/>
    <w:tmpl w:val="699027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BC32F0"/>
    <w:multiLevelType w:val="hybridMultilevel"/>
    <w:tmpl w:val="E4727732"/>
    <w:lvl w:ilvl="0" w:tplc="D3B09DC2">
      <w:start w:val="1"/>
      <w:numFmt w:val="decimal"/>
      <w:lvlText w:val="%1."/>
      <w:lvlJc w:val="left"/>
      <w:pPr>
        <w:ind w:left="0" w:firstLine="0"/>
      </w:pPr>
      <w:rPr>
        <w:rFonts w:hint="default"/>
      </w:rPr>
    </w:lvl>
    <w:lvl w:ilvl="1" w:tplc="4CE2E2F6">
      <w:start w:val="1"/>
      <w:numFmt w:val="lowerLetter"/>
      <w:lvlText w:val="%2)"/>
      <w:lvlJc w:val="left"/>
      <w:pPr>
        <w:ind w:left="1650" w:hanging="57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D23DA3"/>
    <w:multiLevelType w:val="hybridMultilevel"/>
    <w:tmpl w:val="D95C310E"/>
    <w:lvl w:ilvl="0" w:tplc="7446385E">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7CCD1A2B"/>
    <w:multiLevelType w:val="hybridMultilevel"/>
    <w:tmpl w:val="1EE21FDE"/>
    <w:lvl w:ilvl="0" w:tplc="D3B09DC2">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rsids>
    <w:rsidRoot w:val="00E05B4A"/>
    <w:rsid w:val="00010CF3"/>
    <w:rsid w:val="00011E27"/>
    <w:rsid w:val="000148BC"/>
    <w:rsid w:val="00021EBF"/>
    <w:rsid w:val="00024AB8"/>
    <w:rsid w:val="00030854"/>
    <w:rsid w:val="00036028"/>
    <w:rsid w:val="00044642"/>
    <w:rsid w:val="000446B9"/>
    <w:rsid w:val="00047E21"/>
    <w:rsid w:val="00050E16"/>
    <w:rsid w:val="00060841"/>
    <w:rsid w:val="000638A9"/>
    <w:rsid w:val="00085505"/>
    <w:rsid w:val="000A23DC"/>
    <w:rsid w:val="000A3B97"/>
    <w:rsid w:val="000B3265"/>
    <w:rsid w:val="000B66EA"/>
    <w:rsid w:val="000C1590"/>
    <w:rsid w:val="000C17FD"/>
    <w:rsid w:val="000C4E25"/>
    <w:rsid w:val="000C7021"/>
    <w:rsid w:val="000D6BBC"/>
    <w:rsid w:val="000D7780"/>
    <w:rsid w:val="000E3AEC"/>
    <w:rsid w:val="000E636A"/>
    <w:rsid w:val="000F2F11"/>
    <w:rsid w:val="00105929"/>
    <w:rsid w:val="00110C36"/>
    <w:rsid w:val="00111E10"/>
    <w:rsid w:val="001131D5"/>
    <w:rsid w:val="00137452"/>
    <w:rsid w:val="00141DB8"/>
    <w:rsid w:val="00172084"/>
    <w:rsid w:val="00172EEF"/>
    <w:rsid w:val="0017474A"/>
    <w:rsid w:val="001758C6"/>
    <w:rsid w:val="00182B99"/>
    <w:rsid w:val="0018426D"/>
    <w:rsid w:val="00184F46"/>
    <w:rsid w:val="00191B15"/>
    <w:rsid w:val="001A25F5"/>
    <w:rsid w:val="001A6024"/>
    <w:rsid w:val="001F64BF"/>
    <w:rsid w:val="00202E38"/>
    <w:rsid w:val="0021332C"/>
    <w:rsid w:val="00213982"/>
    <w:rsid w:val="00233AEA"/>
    <w:rsid w:val="0024416D"/>
    <w:rsid w:val="00244236"/>
    <w:rsid w:val="002464A3"/>
    <w:rsid w:val="002465AA"/>
    <w:rsid w:val="00247610"/>
    <w:rsid w:val="00265BF6"/>
    <w:rsid w:val="00271911"/>
    <w:rsid w:val="002800A0"/>
    <w:rsid w:val="002801B3"/>
    <w:rsid w:val="00281060"/>
    <w:rsid w:val="002940E8"/>
    <w:rsid w:val="00294751"/>
    <w:rsid w:val="00294B89"/>
    <w:rsid w:val="002A6E50"/>
    <w:rsid w:val="002B0594"/>
    <w:rsid w:val="002B4298"/>
    <w:rsid w:val="002C256A"/>
    <w:rsid w:val="002E5944"/>
    <w:rsid w:val="002F639E"/>
    <w:rsid w:val="00305A7F"/>
    <w:rsid w:val="00313878"/>
    <w:rsid w:val="003152FE"/>
    <w:rsid w:val="00327436"/>
    <w:rsid w:val="00344BD6"/>
    <w:rsid w:val="0035112B"/>
    <w:rsid w:val="00354A06"/>
    <w:rsid w:val="0035528D"/>
    <w:rsid w:val="00361821"/>
    <w:rsid w:val="00361E9E"/>
    <w:rsid w:val="00364A99"/>
    <w:rsid w:val="00371BAA"/>
    <w:rsid w:val="003B031A"/>
    <w:rsid w:val="003B6EE4"/>
    <w:rsid w:val="003C1771"/>
    <w:rsid w:val="003C7FBE"/>
    <w:rsid w:val="003D227C"/>
    <w:rsid w:val="003D2B4D"/>
    <w:rsid w:val="003D5DCC"/>
    <w:rsid w:val="00404329"/>
    <w:rsid w:val="0040557F"/>
    <w:rsid w:val="004313F7"/>
    <w:rsid w:val="00444A88"/>
    <w:rsid w:val="00446868"/>
    <w:rsid w:val="004614F1"/>
    <w:rsid w:val="00474DA4"/>
    <w:rsid w:val="00476B4D"/>
    <w:rsid w:val="004805FA"/>
    <w:rsid w:val="004935D2"/>
    <w:rsid w:val="004A3560"/>
    <w:rsid w:val="004B1215"/>
    <w:rsid w:val="004B5890"/>
    <w:rsid w:val="004D047D"/>
    <w:rsid w:val="004D060D"/>
    <w:rsid w:val="004D2B1A"/>
    <w:rsid w:val="004D45DF"/>
    <w:rsid w:val="004F1E9E"/>
    <w:rsid w:val="004F282B"/>
    <w:rsid w:val="004F305A"/>
    <w:rsid w:val="00512164"/>
    <w:rsid w:val="00512DB9"/>
    <w:rsid w:val="00520297"/>
    <w:rsid w:val="005338F9"/>
    <w:rsid w:val="0054281C"/>
    <w:rsid w:val="00542D4C"/>
    <w:rsid w:val="00544581"/>
    <w:rsid w:val="00545E42"/>
    <w:rsid w:val="0055268D"/>
    <w:rsid w:val="00566C7E"/>
    <w:rsid w:val="00576BE4"/>
    <w:rsid w:val="00590D54"/>
    <w:rsid w:val="005A400A"/>
    <w:rsid w:val="005B0EFA"/>
    <w:rsid w:val="005C6E8D"/>
    <w:rsid w:val="005F7B92"/>
    <w:rsid w:val="00612379"/>
    <w:rsid w:val="006153B6"/>
    <w:rsid w:val="0061555F"/>
    <w:rsid w:val="006176F6"/>
    <w:rsid w:val="00633BC2"/>
    <w:rsid w:val="00636CA6"/>
    <w:rsid w:val="00637EDD"/>
    <w:rsid w:val="00641200"/>
    <w:rsid w:val="00645CA8"/>
    <w:rsid w:val="006655D3"/>
    <w:rsid w:val="00667404"/>
    <w:rsid w:val="006818F4"/>
    <w:rsid w:val="00687EB4"/>
    <w:rsid w:val="00694161"/>
    <w:rsid w:val="00695C56"/>
    <w:rsid w:val="006A32E5"/>
    <w:rsid w:val="006A5CDE"/>
    <w:rsid w:val="006A644A"/>
    <w:rsid w:val="006B17D2"/>
    <w:rsid w:val="006C224E"/>
    <w:rsid w:val="006D780A"/>
    <w:rsid w:val="006E0FAC"/>
    <w:rsid w:val="0071271E"/>
    <w:rsid w:val="0072302D"/>
    <w:rsid w:val="00732DEC"/>
    <w:rsid w:val="00735BD5"/>
    <w:rsid w:val="00750AA6"/>
    <w:rsid w:val="00751613"/>
    <w:rsid w:val="00752334"/>
    <w:rsid w:val="007556F6"/>
    <w:rsid w:val="00760EEF"/>
    <w:rsid w:val="00777EE5"/>
    <w:rsid w:val="0078227D"/>
    <w:rsid w:val="00783722"/>
    <w:rsid w:val="00784836"/>
    <w:rsid w:val="0079023E"/>
    <w:rsid w:val="007A2854"/>
    <w:rsid w:val="007A4D09"/>
    <w:rsid w:val="007C1D92"/>
    <w:rsid w:val="007C2131"/>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72AF2"/>
    <w:rsid w:val="00890DF8"/>
    <w:rsid w:val="008A4ACC"/>
    <w:rsid w:val="008A526B"/>
    <w:rsid w:val="008A6CA1"/>
    <w:rsid w:val="008A743F"/>
    <w:rsid w:val="008A75EE"/>
    <w:rsid w:val="008B3D8D"/>
    <w:rsid w:val="008C0970"/>
    <w:rsid w:val="008C6250"/>
    <w:rsid w:val="008D0BC5"/>
    <w:rsid w:val="008D2CF7"/>
    <w:rsid w:val="008D6CA1"/>
    <w:rsid w:val="00900C26"/>
    <w:rsid w:val="0090197F"/>
    <w:rsid w:val="00906DDC"/>
    <w:rsid w:val="009258C4"/>
    <w:rsid w:val="00925C25"/>
    <w:rsid w:val="00934E09"/>
    <w:rsid w:val="00936253"/>
    <w:rsid w:val="00940D46"/>
    <w:rsid w:val="00943983"/>
    <w:rsid w:val="00952DD4"/>
    <w:rsid w:val="0096175D"/>
    <w:rsid w:val="00965AE7"/>
    <w:rsid w:val="00970FED"/>
    <w:rsid w:val="00984309"/>
    <w:rsid w:val="00992D82"/>
    <w:rsid w:val="00997029"/>
    <w:rsid w:val="009A7339"/>
    <w:rsid w:val="009B1542"/>
    <w:rsid w:val="009B440E"/>
    <w:rsid w:val="009C7905"/>
    <w:rsid w:val="009D690D"/>
    <w:rsid w:val="009D7E55"/>
    <w:rsid w:val="009E43FF"/>
    <w:rsid w:val="009E65B6"/>
    <w:rsid w:val="009F4090"/>
    <w:rsid w:val="00A027E3"/>
    <w:rsid w:val="00A07920"/>
    <w:rsid w:val="00A24C10"/>
    <w:rsid w:val="00A324B6"/>
    <w:rsid w:val="00A42AC3"/>
    <w:rsid w:val="00A42E9A"/>
    <w:rsid w:val="00A430CF"/>
    <w:rsid w:val="00A54309"/>
    <w:rsid w:val="00A706D3"/>
    <w:rsid w:val="00AA0CBC"/>
    <w:rsid w:val="00AB2B93"/>
    <w:rsid w:val="00AB530F"/>
    <w:rsid w:val="00AB7E5B"/>
    <w:rsid w:val="00AC2883"/>
    <w:rsid w:val="00AC2C1F"/>
    <w:rsid w:val="00AE0EF1"/>
    <w:rsid w:val="00AE1870"/>
    <w:rsid w:val="00AE2937"/>
    <w:rsid w:val="00AF6ADA"/>
    <w:rsid w:val="00B07301"/>
    <w:rsid w:val="00B11F3E"/>
    <w:rsid w:val="00B224DE"/>
    <w:rsid w:val="00B324D4"/>
    <w:rsid w:val="00B32B0F"/>
    <w:rsid w:val="00B42798"/>
    <w:rsid w:val="00B46575"/>
    <w:rsid w:val="00B61777"/>
    <w:rsid w:val="00B84BBD"/>
    <w:rsid w:val="00BA43FB"/>
    <w:rsid w:val="00BB0705"/>
    <w:rsid w:val="00BB683E"/>
    <w:rsid w:val="00BC0BD4"/>
    <w:rsid w:val="00BC127D"/>
    <w:rsid w:val="00BC1FE6"/>
    <w:rsid w:val="00BE3223"/>
    <w:rsid w:val="00BF4826"/>
    <w:rsid w:val="00C061B6"/>
    <w:rsid w:val="00C111BA"/>
    <w:rsid w:val="00C2446C"/>
    <w:rsid w:val="00C34F2A"/>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4AEA"/>
    <w:rsid w:val="00CF7E36"/>
    <w:rsid w:val="00D3708D"/>
    <w:rsid w:val="00D40426"/>
    <w:rsid w:val="00D52B09"/>
    <w:rsid w:val="00D57C96"/>
    <w:rsid w:val="00D57D18"/>
    <w:rsid w:val="00D6153C"/>
    <w:rsid w:val="00D64C0C"/>
    <w:rsid w:val="00D91203"/>
    <w:rsid w:val="00D95174"/>
    <w:rsid w:val="00D95C5A"/>
    <w:rsid w:val="00D96707"/>
    <w:rsid w:val="00DA4973"/>
    <w:rsid w:val="00DA6F36"/>
    <w:rsid w:val="00DB596E"/>
    <w:rsid w:val="00DB7773"/>
    <w:rsid w:val="00DC00EA"/>
    <w:rsid w:val="00DC3802"/>
    <w:rsid w:val="00DF68DC"/>
    <w:rsid w:val="00E05B4A"/>
    <w:rsid w:val="00E07D87"/>
    <w:rsid w:val="00E11C35"/>
    <w:rsid w:val="00E31CAE"/>
    <w:rsid w:val="00E32F7E"/>
    <w:rsid w:val="00E5267B"/>
    <w:rsid w:val="00E63C0E"/>
    <w:rsid w:val="00E72D49"/>
    <w:rsid w:val="00E7593C"/>
    <w:rsid w:val="00E7678A"/>
    <w:rsid w:val="00E809F8"/>
    <w:rsid w:val="00E923BB"/>
    <w:rsid w:val="00E935F1"/>
    <w:rsid w:val="00E94A81"/>
    <w:rsid w:val="00E976A6"/>
    <w:rsid w:val="00EA1FFB"/>
    <w:rsid w:val="00EA2EEF"/>
    <w:rsid w:val="00EB048E"/>
    <w:rsid w:val="00EB4E9C"/>
    <w:rsid w:val="00EB7224"/>
    <w:rsid w:val="00EC2265"/>
    <w:rsid w:val="00EE17CC"/>
    <w:rsid w:val="00EE34DF"/>
    <w:rsid w:val="00EE61A1"/>
    <w:rsid w:val="00EE638F"/>
    <w:rsid w:val="00EF1A03"/>
    <w:rsid w:val="00EF2F89"/>
    <w:rsid w:val="00F03E98"/>
    <w:rsid w:val="00F1237A"/>
    <w:rsid w:val="00F22CBD"/>
    <w:rsid w:val="00F272F1"/>
    <w:rsid w:val="00F45372"/>
    <w:rsid w:val="00F560F7"/>
    <w:rsid w:val="00F6334D"/>
    <w:rsid w:val="00F644BF"/>
    <w:rsid w:val="00FA49AB"/>
    <w:rsid w:val="00FA7C8C"/>
    <w:rsid w:val="00FD3F87"/>
    <w:rsid w:val="00FE39C7"/>
    <w:rsid w:val="00FF098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DB32A4"/>
  <w15:docId w15:val="{2BA7D6BB-89D7-4E90-A96E-D6676BFE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419"/>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233AEA"/>
    <w:pPr>
      <w:tabs>
        <w:tab w:val="right" w:leader="dot" w:pos="9639"/>
      </w:tabs>
      <w:spacing w:after="120"/>
      <w:jc w:val="both"/>
    </w:pPr>
    <w:rPr>
      <w:rFonts w:ascii="Arial" w:hAnsi="Arial"/>
      <w:caps/>
      <w:noProof/>
      <w:sz w:val="18"/>
      <w:lang w:val="es-419"/>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E976A6"/>
    <w:rPr>
      <w:rFonts w:ascii="Arial" w:hAnsi="Arial"/>
      <w:lang w:val="es-ES_tradnl"/>
    </w:rPr>
  </w:style>
  <w:style w:type="character" w:customStyle="1" w:styleId="FootnoteTextChar">
    <w:name w:val="Footnote Text Char"/>
    <w:basedOn w:val="DefaultParagraphFont"/>
    <w:link w:val="FootnoteText"/>
    <w:rsid w:val="00E976A6"/>
    <w:rPr>
      <w:rFonts w:ascii="Arial" w:hAnsi="Arial"/>
      <w:sz w:val="16"/>
      <w:lang w:val="es-ES_tradnl"/>
    </w:rPr>
  </w:style>
  <w:style w:type="table" w:customStyle="1" w:styleId="TableGrid3">
    <w:name w:val="Table Grid3"/>
    <w:basedOn w:val="TableNormal"/>
    <w:next w:val="TableGrid"/>
    <w:rsid w:val="00E9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9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CAJ/76/INF/3</vt:lpstr>
    </vt:vector>
  </TitlesOfParts>
  <Company>UPOV</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CAJ/76/INF/3</dc:title>
  <dc:creator>CEVALLOS DUQUE Nilo</dc:creator>
  <cp:lastModifiedBy>SANTOS Carla Marina</cp:lastModifiedBy>
  <cp:revision>13</cp:revision>
  <cp:lastPrinted>2016-11-22T15:41:00Z</cp:lastPrinted>
  <dcterms:created xsi:type="dcterms:W3CDTF">2019-09-03T07:13:00Z</dcterms:created>
  <dcterms:modified xsi:type="dcterms:W3CDTF">2019-09-20T14:55:00Z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aaf8dca0-5811-43bf-9c87-705b64bf7b49</vt:lpwstr>
  </property>
</Properties>
</file>