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F5541" w:rsidTr="00EB4E9C">
        <w:tc>
          <w:tcPr>
            <w:tcW w:w="6522" w:type="dxa"/>
          </w:tcPr>
          <w:p w:rsidR="00DC3802" w:rsidRPr="007F5541" w:rsidRDefault="00DC3802" w:rsidP="00AC2883">
            <w:pPr>
              <w:rPr>
                <w:dstrike/>
                <w:lang w:val="es-419"/>
              </w:rPr>
            </w:pPr>
            <w:r w:rsidRPr="007F5541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F5541" w:rsidRDefault="002E5944" w:rsidP="00AC2883">
            <w:pPr>
              <w:pStyle w:val="Lettrine"/>
              <w:rPr>
                <w:lang w:val="es-419"/>
              </w:rPr>
            </w:pPr>
            <w:r w:rsidRPr="007F5541">
              <w:rPr>
                <w:lang w:val="es-419"/>
              </w:rPr>
              <w:t>S</w:t>
            </w:r>
          </w:p>
        </w:tc>
      </w:tr>
      <w:tr w:rsidR="00DC3802" w:rsidRPr="007F5541" w:rsidTr="00645CA8">
        <w:trPr>
          <w:trHeight w:val="219"/>
        </w:trPr>
        <w:tc>
          <w:tcPr>
            <w:tcW w:w="6522" w:type="dxa"/>
          </w:tcPr>
          <w:p w:rsidR="00DC3802" w:rsidRPr="007F5541" w:rsidRDefault="002E5944" w:rsidP="00BC0BD4">
            <w:pPr>
              <w:pStyle w:val="upove"/>
              <w:rPr>
                <w:dstrike/>
                <w:lang w:val="es-419"/>
              </w:rPr>
            </w:pPr>
            <w:r w:rsidRPr="007F5541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F5541" w:rsidRDefault="00DC3802" w:rsidP="00DA4973">
            <w:pPr>
              <w:rPr>
                <w:lang w:val="es-419"/>
              </w:rPr>
            </w:pPr>
          </w:p>
        </w:tc>
      </w:tr>
    </w:tbl>
    <w:p w:rsidR="00DC3802" w:rsidRPr="007F5541" w:rsidRDefault="00DC3802" w:rsidP="00DC3802">
      <w:pPr>
        <w:rPr>
          <w:lang w:val="es-419"/>
        </w:rPr>
      </w:pPr>
    </w:p>
    <w:p w:rsidR="00DA4973" w:rsidRPr="007F5541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F5541" w:rsidTr="00EB4E9C">
        <w:tc>
          <w:tcPr>
            <w:tcW w:w="6512" w:type="dxa"/>
          </w:tcPr>
          <w:p w:rsidR="00EB4E9C" w:rsidRPr="007F5541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7F5541">
              <w:rPr>
                <w:lang w:val="es-419"/>
              </w:rPr>
              <w:t xml:space="preserve">Comité </w:t>
            </w:r>
            <w:r w:rsidR="00752334" w:rsidRPr="007F5541">
              <w:rPr>
                <w:lang w:val="es-419"/>
              </w:rPr>
              <w:t>Administrativo y Jurídico</w:t>
            </w:r>
          </w:p>
          <w:p w:rsidR="00EB4E9C" w:rsidRPr="007F5541" w:rsidRDefault="00943983" w:rsidP="008C6250">
            <w:pPr>
              <w:pStyle w:val="Sessiontcplacedate"/>
              <w:rPr>
                <w:dstrike/>
                <w:sz w:val="22"/>
                <w:lang w:val="es-419"/>
              </w:rPr>
            </w:pPr>
            <w:r w:rsidRPr="007F5541">
              <w:rPr>
                <w:lang w:val="es-419"/>
              </w:rPr>
              <w:t xml:space="preserve">Septuagésima </w:t>
            </w:r>
            <w:r w:rsidR="008C6250" w:rsidRPr="007F5541">
              <w:rPr>
                <w:lang w:val="es-419"/>
              </w:rPr>
              <w:t>sex</w:t>
            </w:r>
            <w:r w:rsidR="00404329" w:rsidRPr="007F5541">
              <w:rPr>
                <w:lang w:val="es-419"/>
              </w:rPr>
              <w:t>ta</w:t>
            </w:r>
            <w:r w:rsidR="002E5944" w:rsidRPr="007F5541">
              <w:rPr>
                <w:lang w:val="es-419"/>
              </w:rPr>
              <w:t xml:space="preserve"> sesión</w:t>
            </w:r>
            <w:r w:rsidR="00EB4E9C" w:rsidRPr="007F5541">
              <w:rPr>
                <w:lang w:val="es-419"/>
              </w:rPr>
              <w:br/>
            </w:r>
            <w:r w:rsidR="002E5944" w:rsidRPr="007F5541">
              <w:rPr>
                <w:lang w:val="es-419"/>
              </w:rPr>
              <w:t>Ginebra</w:t>
            </w:r>
            <w:r w:rsidR="00EB4E9C" w:rsidRPr="007F5541">
              <w:rPr>
                <w:lang w:val="es-419"/>
              </w:rPr>
              <w:t xml:space="preserve">, </w:t>
            </w:r>
            <w:r w:rsidR="00404329" w:rsidRPr="007F5541">
              <w:rPr>
                <w:lang w:val="es-419"/>
              </w:rPr>
              <w:t>3</w:t>
            </w:r>
            <w:r w:rsidR="008C6250" w:rsidRPr="007F5541">
              <w:rPr>
                <w:lang w:val="es-419"/>
              </w:rPr>
              <w:t>0</w:t>
            </w:r>
            <w:r w:rsidR="00A706D3" w:rsidRPr="007F5541">
              <w:rPr>
                <w:lang w:val="es-419"/>
              </w:rPr>
              <w:t xml:space="preserve"> </w:t>
            </w:r>
            <w:r w:rsidR="002E5944" w:rsidRPr="007F5541">
              <w:rPr>
                <w:lang w:val="es-419"/>
              </w:rPr>
              <w:t xml:space="preserve">de </w:t>
            </w:r>
            <w:r w:rsidR="00752334" w:rsidRPr="007F5541">
              <w:rPr>
                <w:lang w:val="es-419"/>
              </w:rPr>
              <w:t xml:space="preserve">octubre </w:t>
            </w:r>
            <w:r w:rsidR="002E5944" w:rsidRPr="007F5541">
              <w:rPr>
                <w:lang w:val="es-419"/>
              </w:rPr>
              <w:t>de</w:t>
            </w:r>
            <w:r w:rsidR="00A706D3" w:rsidRPr="007F5541">
              <w:rPr>
                <w:lang w:val="es-419"/>
              </w:rPr>
              <w:t xml:space="preserve"> </w:t>
            </w:r>
            <w:r w:rsidR="008C6250" w:rsidRPr="007F5541">
              <w:rPr>
                <w:lang w:val="es-419"/>
              </w:rPr>
              <w:t>2019</w:t>
            </w:r>
          </w:p>
        </w:tc>
        <w:tc>
          <w:tcPr>
            <w:tcW w:w="3127" w:type="dxa"/>
          </w:tcPr>
          <w:p w:rsidR="00EB4E9C" w:rsidRPr="007F5541" w:rsidRDefault="008C6250" w:rsidP="003C7FBE">
            <w:pPr>
              <w:pStyle w:val="Doccode"/>
              <w:rPr>
                <w:lang w:val="es-419"/>
              </w:rPr>
            </w:pPr>
            <w:r w:rsidRPr="007F5541">
              <w:rPr>
                <w:lang w:val="es-419"/>
              </w:rPr>
              <w:t>CAJ/76</w:t>
            </w:r>
            <w:r w:rsidR="00EB4E9C" w:rsidRPr="007F5541">
              <w:rPr>
                <w:lang w:val="es-419"/>
              </w:rPr>
              <w:t>/</w:t>
            </w:r>
            <w:r w:rsidR="00785473" w:rsidRPr="007F5541">
              <w:rPr>
                <w:lang w:val="es-419"/>
              </w:rPr>
              <w:t>6</w:t>
            </w:r>
          </w:p>
          <w:p w:rsidR="00EB4E9C" w:rsidRPr="007F5541" w:rsidRDefault="00EB4E9C" w:rsidP="003C7FBE">
            <w:pPr>
              <w:pStyle w:val="Docoriginal"/>
              <w:rPr>
                <w:lang w:val="es-419"/>
              </w:rPr>
            </w:pPr>
            <w:r w:rsidRPr="007F5541">
              <w:rPr>
                <w:lang w:val="es-419"/>
              </w:rPr>
              <w:t>Original:</w:t>
            </w:r>
            <w:r w:rsidR="00E4199D" w:rsidRPr="007F5541">
              <w:rPr>
                <w:b w:val="0"/>
                <w:spacing w:val="0"/>
                <w:lang w:val="es-419"/>
              </w:rPr>
              <w:t xml:space="preserve"> </w:t>
            </w:r>
            <w:r w:rsidR="002E5944" w:rsidRPr="007F5541">
              <w:rPr>
                <w:b w:val="0"/>
                <w:spacing w:val="0"/>
                <w:lang w:val="es-419"/>
              </w:rPr>
              <w:t>Inglés</w:t>
            </w:r>
          </w:p>
          <w:p w:rsidR="00EB4E9C" w:rsidRPr="007F5541" w:rsidRDefault="002E5944" w:rsidP="00785473">
            <w:pPr>
              <w:pStyle w:val="Docoriginal"/>
              <w:rPr>
                <w:lang w:val="es-419"/>
              </w:rPr>
            </w:pPr>
            <w:r w:rsidRPr="007F5541">
              <w:rPr>
                <w:lang w:val="es-419"/>
              </w:rPr>
              <w:t>Fecha</w:t>
            </w:r>
            <w:r w:rsidR="00EB4E9C" w:rsidRPr="007F5541">
              <w:rPr>
                <w:lang w:val="es-419"/>
              </w:rPr>
              <w:t>:</w:t>
            </w:r>
            <w:r w:rsidR="00E4199D" w:rsidRPr="007F5541">
              <w:rPr>
                <w:b w:val="0"/>
                <w:spacing w:val="0"/>
                <w:lang w:val="es-419"/>
              </w:rPr>
              <w:t xml:space="preserve"> </w:t>
            </w:r>
            <w:r w:rsidR="004761B7" w:rsidRPr="00A066EE">
              <w:rPr>
                <w:b w:val="0"/>
                <w:spacing w:val="0"/>
                <w:lang w:val="es-419"/>
              </w:rPr>
              <w:t>24</w:t>
            </w:r>
            <w:r w:rsidR="00785473" w:rsidRPr="00A066EE">
              <w:rPr>
                <w:b w:val="0"/>
                <w:spacing w:val="0"/>
                <w:lang w:val="es-419"/>
              </w:rPr>
              <w:t xml:space="preserve"> de julio</w:t>
            </w:r>
            <w:r w:rsidR="00EB4E9C" w:rsidRPr="00A066EE">
              <w:rPr>
                <w:b w:val="0"/>
                <w:spacing w:val="0"/>
                <w:lang w:val="es-419"/>
              </w:rPr>
              <w:t xml:space="preserve"> </w:t>
            </w:r>
            <w:r w:rsidRPr="00A066EE">
              <w:rPr>
                <w:b w:val="0"/>
                <w:spacing w:val="0"/>
                <w:lang w:val="es-419"/>
              </w:rPr>
              <w:t xml:space="preserve">de </w:t>
            </w:r>
            <w:r w:rsidR="00EB4E9C" w:rsidRPr="00A066EE">
              <w:rPr>
                <w:b w:val="0"/>
                <w:spacing w:val="0"/>
                <w:lang w:val="es-419"/>
              </w:rPr>
              <w:t>201</w:t>
            </w:r>
            <w:r w:rsidR="008C6250" w:rsidRPr="00A066EE">
              <w:rPr>
                <w:b w:val="0"/>
                <w:spacing w:val="0"/>
                <w:lang w:val="es-419"/>
              </w:rPr>
              <w:t>9</w:t>
            </w:r>
          </w:p>
        </w:tc>
      </w:tr>
    </w:tbl>
    <w:p w:rsidR="00785473" w:rsidRPr="007F5541" w:rsidRDefault="00D6136F" w:rsidP="00010A43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7F5541">
        <w:rPr>
          <w:lang w:val="es-419"/>
        </w:rPr>
        <w:t>DENOMINACIONES DE VARIEDADES</w:t>
      </w:r>
    </w:p>
    <w:p w:rsidR="006A644A" w:rsidRPr="007F5541" w:rsidRDefault="000638A9" w:rsidP="006A644A">
      <w:pPr>
        <w:pStyle w:val="preparedby1"/>
        <w:jc w:val="left"/>
        <w:rPr>
          <w:lang w:val="es-419"/>
        </w:rPr>
      </w:pPr>
      <w:r w:rsidRPr="007F5541">
        <w:rPr>
          <w:lang w:val="es-419"/>
        </w:rPr>
        <w:t>Documento preparado por la Oficina de la Unión</w:t>
      </w:r>
    </w:p>
    <w:p w:rsidR="00050E16" w:rsidRPr="007F5541" w:rsidRDefault="000638A9" w:rsidP="006A644A">
      <w:pPr>
        <w:pStyle w:val="Disclaimer"/>
        <w:rPr>
          <w:lang w:val="es-419"/>
        </w:rPr>
      </w:pPr>
      <w:r w:rsidRPr="007F5541">
        <w:rPr>
          <w:lang w:val="es-419"/>
        </w:rPr>
        <w:t>Descargo de responsabilidad: el presente documento no constituye un documento de política u orientación de la UPOV</w:t>
      </w:r>
    </w:p>
    <w:p w:rsidR="00785473" w:rsidRPr="007F5541" w:rsidRDefault="00D6136F" w:rsidP="00785473">
      <w:pPr>
        <w:keepNext/>
        <w:outlineLvl w:val="0"/>
        <w:rPr>
          <w:rFonts w:eastAsia="MS Mincho"/>
          <w:caps/>
          <w:lang w:val="es-419"/>
        </w:rPr>
      </w:pPr>
      <w:bookmarkStart w:id="2" w:name="_Toc15376495"/>
      <w:r w:rsidRPr="007F5541">
        <w:rPr>
          <w:rFonts w:eastAsia="MS Mincho"/>
          <w:caps/>
          <w:lang w:val="es-419"/>
        </w:rPr>
        <w:t>RESUMEN</w:t>
      </w:r>
      <w:bookmarkEnd w:id="2"/>
    </w:p>
    <w:p w:rsidR="00785473" w:rsidRPr="007F5541" w:rsidRDefault="00785473" w:rsidP="00785473">
      <w:pPr>
        <w:rPr>
          <w:rFonts w:eastAsia="MS Mincho"/>
          <w:lang w:val="es-419" w:eastAsia="ja-JP"/>
        </w:rPr>
      </w:pPr>
    </w:p>
    <w:p w:rsidR="00785473" w:rsidRPr="007F5541" w:rsidRDefault="009337B9" w:rsidP="00785473">
      <w:pPr>
        <w:rPr>
          <w:rFonts w:eastAsiaTheme="minorEastAsia" w:cs="Arial"/>
          <w:snapToGrid w:val="0"/>
          <w:lang w:val="es-419"/>
        </w:rPr>
      </w:pPr>
      <w:r w:rsidRPr="007F5541">
        <w:rPr>
          <w:rFonts w:eastAsiaTheme="minorEastAsia" w:cs="Arial"/>
          <w:snapToGrid w:val="0"/>
          <w:lang w:val="es-419"/>
        </w:rPr>
        <w:fldChar w:fldCharType="begin"/>
      </w:r>
      <w:r w:rsidR="00785473" w:rsidRPr="007F5541">
        <w:rPr>
          <w:rFonts w:eastAsiaTheme="minorEastAsia" w:cs="Arial"/>
          <w:snapToGrid w:val="0"/>
          <w:lang w:val="es-419"/>
        </w:rPr>
        <w:instrText xml:space="preserve"> AUTONUM  </w:instrText>
      </w:r>
      <w:r w:rsidRPr="007F5541">
        <w:rPr>
          <w:rFonts w:eastAsiaTheme="minorEastAsia" w:cs="Arial"/>
          <w:snapToGrid w:val="0"/>
          <w:lang w:val="es-419"/>
        </w:rPr>
        <w:fldChar w:fldCharType="end"/>
      </w:r>
      <w:r w:rsidR="00785473" w:rsidRPr="007F5541">
        <w:rPr>
          <w:rFonts w:eastAsiaTheme="minorEastAsia" w:cs="Arial"/>
          <w:snapToGrid w:val="0"/>
          <w:lang w:val="es-419"/>
        </w:rPr>
        <w:tab/>
      </w:r>
      <w:r w:rsidR="00D6136F" w:rsidRPr="007F5541">
        <w:rPr>
          <w:rFonts w:eastAsiaTheme="minorEastAsia" w:cs="Arial"/>
          <w:snapToGrid w:val="0"/>
          <w:lang w:val="es-419"/>
        </w:rPr>
        <w:t xml:space="preserve">El presente documento tiene por objeto proporcionar información que facilite al CAJ su examen de la </w:t>
      </w:r>
      <w:r w:rsidR="00D6136F" w:rsidRPr="007F5541">
        <w:rPr>
          <w:rFonts w:eastAsiaTheme="minorEastAsia" w:cs="Arial"/>
          <w:snapToGrid w:val="0"/>
          <w:lang w:val="es-419" w:eastAsia="ja-JP"/>
        </w:rPr>
        <w:t xml:space="preserve">revisión </w:t>
      </w:r>
      <w:r w:rsidR="00D6136F" w:rsidRPr="007F5541">
        <w:rPr>
          <w:rFonts w:eastAsiaTheme="minorEastAsia" w:cs="Arial"/>
          <w:lang w:val="es-419"/>
        </w:rPr>
        <w:t>del documento UPOV/INF/12 “</w:t>
      </w:r>
      <w:r w:rsidR="00D6136F" w:rsidRPr="007F5541">
        <w:rPr>
          <w:rFonts w:eastAsiaTheme="minorEastAsia" w:cs="Arial"/>
          <w:snapToGrid w:val="0"/>
          <w:lang w:val="es-419"/>
        </w:rPr>
        <w:t>Notas explicativas sobre las denominaciones de variedades con arreglo al Convenio de la UPOV</w:t>
      </w:r>
      <w:r w:rsidR="00D6136F" w:rsidRPr="007F5541">
        <w:rPr>
          <w:rFonts w:eastAsiaTheme="minorEastAsia" w:cs="Arial"/>
          <w:lang w:val="es-419"/>
        </w:rPr>
        <w:t xml:space="preserve">” conforme al documento UPOV/EXN/DEN/1 Draft 2, </w:t>
      </w:r>
      <w:r w:rsidR="00845304" w:rsidRPr="007F5541">
        <w:rPr>
          <w:rFonts w:eastAsiaTheme="minorEastAsia" w:cs="Arial"/>
          <w:lang w:val="es-419"/>
        </w:rPr>
        <w:t>y</w:t>
      </w:r>
      <w:r w:rsidR="00D6136F" w:rsidRPr="007F5541">
        <w:rPr>
          <w:rFonts w:eastAsiaTheme="minorEastAsia" w:cs="Arial"/>
          <w:lang w:val="es-419"/>
        </w:rPr>
        <w:t xml:space="preserve"> </w:t>
      </w:r>
      <w:r w:rsidR="00845304" w:rsidRPr="007F5541">
        <w:rPr>
          <w:rFonts w:eastAsiaTheme="minorEastAsia" w:cs="Arial"/>
          <w:snapToGrid w:val="0"/>
          <w:lang w:val="es-419"/>
        </w:rPr>
        <w:t xml:space="preserve">exponer las novedades </w:t>
      </w:r>
      <w:r w:rsidR="005C0BF4" w:rsidRPr="007F5541">
        <w:rPr>
          <w:rFonts w:eastAsiaTheme="minorEastAsia" w:cs="Arial"/>
          <w:snapToGrid w:val="0"/>
          <w:lang w:val="es-419"/>
        </w:rPr>
        <w:t>ac</w:t>
      </w:r>
      <w:r w:rsidR="00845304" w:rsidRPr="007F5541">
        <w:rPr>
          <w:rFonts w:eastAsiaTheme="minorEastAsia" w:cs="Arial"/>
          <w:snapToGrid w:val="0"/>
          <w:lang w:val="es-419"/>
        </w:rPr>
        <w:t>ont</w:t>
      </w:r>
      <w:r w:rsidR="005C0BF4" w:rsidRPr="007F5541">
        <w:rPr>
          <w:rFonts w:eastAsiaTheme="minorEastAsia" w:cs="Arial"/>
          <w:snapToGrid w:val="0"/>
          <w:lang w:val="es-419"/>
        </w:rPr>
        <w:t>ecidas en relación con el Código Internacional de Nomenclatura de Plantas Cultivadas</w:t>
      </w:r>
      <w:r w:rsidR="005C0BF4" w:rsidRPr="007F5541">
        <w:rPr>
          <w:rFonts w:eastAsiaTheme="minorEastAsia" w:cs="Arial"/>
          <w:lang w:val="es-419"/>
        </w:rPr>
        <w:t xml:space="preserve"> </w:t>
      </w:r>
      <w:r w:rsidR="00D6136F" w:rsidRPr="007F5541">
        <w:rPr>
          <w:lang w:val="es-419" w:eastAsia="ja-JP"/>
        </w:rPr>
        <w:t>(CINPC)</w:t>
      </w:r>
      <w:r w:rsidR="00D6136F" w:rsidRPr="007F5541">
        <w:rPr>
          <w:rFonts w:eastAsiaTheme="minorEastAsia" w:cs="Arial"/>
          <w:snapToGrid w:val="0"/>
          <w:lang w:val="es-419"/>
        </w:rPr>
        <w:t xml:space="preserve"> de </w:t>
      </w:r>
      <w:r w:rsidR="005C0BF4" w:rsidRPr="007F5541">
        <w:rPr>
          <w:rFonts w:eastAsiaTheme="minorEastAsia" w:cs="Arial"/>
          <w:snapToGrid w:val="0"/>
          <w:lang w:val="es-419"/>
        </w:rPr>
        <w:t>la</w:t>
      </w:r>
      <w:r w:rsidR="00D6136F" w:rsidRPr="007F5541">
        <w:rPr>
          <w:rFonts w:eastAsiaTheme="minorEastAsia" w:cs="Arial"/>
          <w:snapToGrid w:val="0"/>
          <w:lang w:val="es-419"/>
        </w:rPr>
        <w:t xml:space="preserve"> Comisión Internacional para la Nomenclatura de Plantas Cultivadas </w:t>
      </w:r>
      <w:r w:rsidR="005C0BF4" w:rsidRPr="007F5541">
        <w:rPr>
          <w:rFonts w:eastAsiaTheme="minorEastAsia" w:cs="Arial"/>
          <w:snapToGrid w:val="0"/>
          <w:lang w:val="es-419"/>
        </w:rPr>
        <w:t>de la Unión Internacional de</w:t>
      </w:r>
      <w:r w:rsidR="00845304" w:rsidRPr="007F5541">
        <w:rPr>
          <w:rFonts w:eastAsiaTheme="minorEastAsia" w:cs="Arial"/>
          <w:snapToGrid w:val="0"/>
          <w:lang w:val="es-419"/>
        </w:rPr>
        <w:t xml:space="preserve"> </w:t>
      </w:r>
      <w:r w:rsidR="005C0BF4" w:rsidRPr="007F5541">
        <w:rPr>
          <w:rFonts w:eastAsiaTheme="minorEastAsia" w:cs="Arial"/>
          <w:snapToGrid w:val="0"/>
          <w:lang w:val="es-419"/>
        </w:rPr>
        <w:t>Ciencias Biológicas (Comisión de la</w:t>
      </w:r>
      <w:r w:rsidR="00010A43" w:rsidRPr="007F5541">
        <w:rPr>
          <w:rFonts w:eastAsiaTheme="minorEastAsia" w:cs="Arial"/>
          <w:snapToGrid w:val="0"/>
          <w:lang w:val="es-419"/>
        </w:rPr>
        <w:t> </w:t>
      </w:r>
      <w:r w:rsidR="005C0BF4" w:rsidRPr="007F5541">
        <w:rPr>
          <w:rFonts w:eastAsiaTheme="minorEastAsia" w:cs="Arial"/>
          <w:snapToGrid w:val="0"/>
          <w:lang w:val="es-419"/>
        </w:rPr>
        <w:t>UICB).</w:t>
      </w:r>
    </w:p>
    <w:p w:rsidR="00785473" w:rsidRPr="007F5541" w:rsidRDefault="00785473" w:rsidP="00785473">
      <w:pPr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9337B9" w:rsidP="00785473">
      <w:pPr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/>
        </w:rPr>
        <w:fldChar w:fldCharType="begin"/>
      </w:r>
      <w:r w:rsidR="00785473" w:rsidRPr="007F5541">
        <w:rPr>
          <w:rFonts w:eastAsiaTheme="minorEastAsia" w:cs="Arial"/>
          <w:snapToGrid w:val="0"/>
          <w:lang w:val="es-419"/>
        </w:rPr>
        <w:instrText xml:space="preserve"> AUTONUM  </w:instrText>
      </w:r>
      <w:r w:rsidRPr="007F5541">
        <w:rPr>
          <w:rFonts w:eastAsiaTheme="minorEastAsia" w:cs="Arial"/>
          <w:snapToGrid w:val="0"/>
          <w:lang w:val="es-419"/>
        </w:rPr>
        <w:fldChar w:fldCharType="end"/>
      </w:r>
      <w:r w:rsidR="00785473" w:rsidRPr="007F5541">
        <w:rPr>
          <w:rFonts w:eastAsiaTheme="minorEastAsia" w:cs="Arial"/>
          <w:snapToGrid w:val="0"/>
          <w:lang w:val="es-419"/>
        </w:rPr>
        <w:tab/>
      </w:r>
      <w:r w:rsidR="00845304" w:rsidRPr="007F5541">
        <w:rPr>
          <w:rFonts w:eastAsiaTheme="minorEastAsia" w:cs="Arial"/>
          <w:snapToGrid w:val="0"/>
          <w:lang w:val="es-419" w:eastAsia="ja-JP"/>
        </w:rPr>
        <w:t>Se invita al Comité Administrativo y Jurídico (CAJ) a:</w:t>
      </w:r>
    </w:p>
    <w:p w:rsidR="00785473" w:rsidRPr="007F5541" w:rsidRDefault="00785473" w:rsidP="00785473">
      <w:pPr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845304" w:rsidP="00785473">
      <w:pPr>
        <w:ind w:firstLine="567"/>
        <w:rPr>
          <w:rFonts w:eastAsiaTheme="minorEastAsia" w:cs="Arial"/>
          <w:snapToGrid w:val="0"/>
          <w:spacing w:val="-2"/>
          <w:lang w:val="es-419" w:eastAsia="ja-JP"/>
        </w:rPr>
      </w:pPr>
      <w:r w:rsidRPr="007F5541">
        <w:rPr>
          <w:rFonts w:eastAsiaTheme="minorEastAsia" w:cs="Arial"/>
          <w:snapToGrid w:val="0"/>
          <w:spacing w:val="-2"/>
          <w:lang w:val="es-419" w:eastAsia="ja-JP"/>
        </w:rPr>
        <w:t>a)</w:t>
      </w:r>
      <w:r w:rsidR="00785473" w:rsidRPr="007F5541">
        <w:rPr>
          <w:rFonts w:eastAsiaTheme="minorEastAsia" w:cs="Arial"/>
          <w:snapToGrid w:val="0"/>
          <w:spacing w:val="-2"/>
          <w:lang w:val="es-419" w:eastAsia="ja-JP"/>
        </w:rPr>
        <w:tab/>
      </w:r>
      <w:r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tomar nota de las novedades relativas a la </w:t>
      </w:r>
      <w:r w:rsidR="0081542D" w:rsidRPr="0081542D">
        <w:rPr>
          <w:rFonts w:eastAsiaTheme="minorEastAsia"/>
          <w:spacing w:val="-2"/>
          <w:lang w:val="es-419"/>
        </w:rPr>
        <w:t>eventual</w:t>
      </w:r>
      <w:r w:rsidR="0081542D" w:rsidRPr="007F5541">
        <w:rPr>
          <w:rFonts w:eastAsiaTheme="minorEastAsia"/>
          <w:i/>
          <w:spacing w:val="-2"/>
          <w:lang w:val="es-419"/>
        </w:rPr>
        <w:t xml:space="preserve"> </w:t>
      </w:r>
      <w:r w:rsidRPr="007F5541">
        <w:rPr>
          <w:rFonts w:eastAsiaTheme="minorEastAsia" w:cs="Arial"/>
          <w:snapToGrid w:val="0"/>
          <w:spacing w:val="-2"/>
          <w:lang w:val="es-419" w:eastAsia="ja-JP"/>
        </w:rPr>
        <w:t>revisión del documento</w:t>
      </w:r>
      <w:r w:rsidR="003C1066"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 </w:t>
      </w:r>
      <w:r w:rsidR="0081542D">
        <w:rPr>
          <w:rFonts w:eastAsiaTheme="minorEastAsia" w:cs="Arial"/>
          <w:snapToGrid w:val="0"/>
          <w:spacing w:val="-2"/>
          <w:lang w:val="es-419" w:eastAsia="ja-JP"/>
        </w:rPr>
        <w:t>UPOV/</w:t>
      </w:r>
      <w:proofErr w:type="spellStart"/>
      <w:r w:rsidR="0081542D">
        <w:rPr>
          <w:rFonts w:eastAsiaTheme="minorEastAsia" w:cs="Arial"/>
          <w:snapToGrid w:val="0"/>
          <w:spacing w:val="-2"/>
          <w:lang w:val="es-419" w:eastAsia="ja-JP"/>
        </w:rPr>
        <w:t>INF</w:t>
      </w:r>
      <w:proofErr w:type="spellEnd"/>
      <w:r w:rsidR="0081542D">
        <w:rPr>
          <w:rFonts w:eastAsiaTheme="minorEastAsia" w:cs="Arial"/>
          <w:snapToGrid w:val="0"/>
          <w:spacing w:val="-2"/>
          <w:lang w:val="es-419" w:eastAsia="ja-JP"/>
        </w:rPr>
        <w:t>/12 “Notas </w:t>
      </w:r>
      <w:r w:rsidRPr="007F5541">
        <w:rPr>
          <w:rFonts w:eastAsiaTheme="minorEastAsia" w:cs="Arial"/>
          <w:snapToGrid w:val="0"/>
          <w:spacing w:val="-2"/>
          <w:lang w:val="es-419" w:eastAsia="ja-JP"/>
        </w:rPr>
        <w:t>explicativas sobre las denominaciones de variedades con arreglo</w:t>
      </w:r>
      <w:r w:rsidR="00010A43"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 al Convenio de la </w:t>
      </w:r>
      <w:r w:rsidR="003C1066" w:rsidRPr="007F5541">
        <w:rPr>
          <w:rFonts w:eastAsiaTheme="minorEastAsia" w:cs="Arial"/>
          <w:snapToGrid w:val="0"/>
          <w:spacing w:val="-2"/>
          <w:lang w:val="es-419" w:eastAsia="ja-JP"/>
        </w:rPr>
        <w:t>UPOV”</w:t>
      </w:r>
      <w:r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 </w:t>
      </w:r>
      <w:r w:rsidR="003C1066" w:rsidRPr="007F5541">
        <w:rPr>
          <w:rFonts w:eastAsiaTheme="minorEastAsia" w:cs="Arial"/>
          <w:snapToGrid w:val="0"/>
          <w:spacing w:val="-2"/>
          <w:lang w:val="es-419" w:eastAsia="ja-JP"/>
        </w:rPr>
        <w:t>conforme al d</w:t>
      </w:r>
      <w:r w:rsidR="004C5144" w:rsidRPr="007F5541">
        <w:rPr>
          <w:rFonts w:eastAsiaTheme="minorEastAsia" w:cs="Arial"/>
          <w:snapToGrid w:val="0"/>
          <w:spacing w:val="-2"/>
          <w:lang w:val="es-419" w:eastAsia="ja-JP"/>
        </w:rPr>
        <w:t>ocumento UPOV/EXN/DEN/1 Draft 2,</w:t>
      </w:r>
      <w:r w:rsidR="003C1066"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 </w:t>
      </w:r>
      <w:r w:rsidR="004C5144" w:rsidRPr="007F5541">
        <w:rPr>
          <w:rFonts w:eastAsiaTheme="minorEastAsia" w:cs="Arial"/>
          <w:snapToGrid w:val="0"/>
          <w:spacing w:val="-2"/>
          <w:lang w:val="es-419" w:eastAsia="ja-JP"/>
        </w:rPr>
        <w:t>que</w:t>
      </w:r>
      <w:r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 </w:t>
      </w:r>
      <w:r w:rsidR="003C1066" w:rsidRPr="007F5541">
        <w:rPr>
          <w:rFonts w:eastAsiaTheme="minorEastAsia" w:cs="Arial"/>
          <w:snapToGrid w:val="0"/>
          <w:spacing w:val="-2"/>
          <w:lang w:val="es-419" w:eastAsia="ja-JP"/>
        </w:rPr>
        <w:t>se expone</w:t>
      </w:r>
      <w:r w:rsidR="004C5144" w:rsidRPr="007F5541">
        <w:rPr>
          <w:rFonts w:eastAsiaTheme="minorEastAsia" w:cs="Arial"/>
          <w:snapToGrid w:val="0"/>
          <w:spacing w:val="-2"/>
          <w:lang w:val="es-419" w:eastAsia="ja-JP"/>
        </w:rPr>
        <w:t>n</w:t>
      </w:r>
      <w:r w:rsidR="003C1066"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 en los </w:t>
      </w:r>
      <w:r w:rsidR="003C1066" w:rsidRPr="00274367">
        <w:rPr>
          <w:rFonts w:eastAsiaTheme="minorEastAsia" w:cs="Arial"/>
          <w:snapToGrid w:val="0"/>
          <w:spacing w:val="-2"/>
          <w:lang w:val="es-419" w:eastAsia="ja-JP"/>
        </w:rPr>
        <w:t>párrafos 6 a 10</w:t>
      </w:r>
      <w:r w:rsidRPr="00274367">
        <w:rPr>
          <w:rFonts w:eastAsiaTheme="minorEastAsia" w:cs="Arial"/>
          <w:snapToGrid w:val="0"/>
          <w:spacing w:val="-2"/>
          <w:lang w:val="es-419" w:eastAsia="ja-JP"/>
        </w:rPr>
        <w:t xml:space="preserve"> </w:t>
      </w:r>
      <w:r w:rsidR="003C1066" w:rsidRPr="00274367">
        <w:rPr>
          <w:rFonts w:eastAsiaTheme="minorEastAsia" w:cs="Arial"/>
          <w:snapToGrid w:val="0"/>
          <w:spacing w:val="-2"/>
          <w:lang w:val="es-419" w:eastAsia="ja-JP"/>
        </w:rPr>
        <w:t>del</w:t>
      </w:r>
      <w:r w:rsidR="003C1066" w:rsidRPr="007F5541">
        <w:rPr>
          <w:rFonts w:eastAsiaTheme="minorEastAsia" w:cs="Arial"/>
          <w:snapToGrid w:val="0"/>
          <w:spacing w:val="-2"/>
          <w:lang w:val="es-419" w:eastAsia="ja-JP"/>
        </w:rPr>
        <w:t xml:space="preserve"> presente documento</w:t>
      </w:r>
      <w:r w:rsidR="000D2A6A">
        <w:rPr>
          <w:rFonts w:eastAsiaTheme="minorEastAsia" w:cs="Arial"/>
          <w:snapToGrid w:val="0"/>
          <w:spacing w:val="-2"/>
          <w:lang w:val="es-419" w:eastAsia="ja-JP"/>
        </w:rPr>
        <w:t>;</w:t>
      </w:r>
    </w:p>
    <w:p w:rsidR="00785473" w:rsidRPr="007F5541" w:rsidRDefault="00785473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4C5144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b)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>examinar el documento UPOV/EXN/DEN/1 Draft 2 “Notas explicativas sobre las denominaciones de variedades con arreglo al Convenio de la</w:t>
      </w:r>
      <w:r w:rsidR="002B7960" w:rsidRPr="007F5541">
        <w:rPr>
          <w:rFonts w:eastAsiaTheme="minorEastAsia" w:cs="Arial"/>
          <w:snapToGrid w:val="0"/>
          <w:lang w:val="es-419" w:eastAsia="ja-JP"/>
        </w:rPr>
        <w:t> </w:t>
      </w:r>
      <w:r w:rsidRPr="007F5541">
        <w:rPr>
          <w:rFonts w:eastAsiaTheme="minorEastAsia" w:cs="Arial"/>
          <w:snapToGrid w:val="0"/>
          <w:lang w:val="es-419" w:eastAsia="ja-JP"/>
        </w:rPr>
        <w:t xml:space="preserve">UPOV” junto con los comentarios formulados por el WG-DEN, </w:t>
      </w:r>
      <w:r w:rsidR="00BE746B" w:rsidRPr="007F5541">
        <w:rPr>
          <w:rFonts w:eastAsiaTheme="minorEastAsia" w:cs="Arial"/>
          <w:snapToGrid w:val="0"/>
          <w:lang w:val="es-419" w:eastAsia="ja-JP"/>
        </w:rPr>
        <w:t xml:space="preserve">según se indica en el </w:t>
      </w:r>
      <w:r w:rsidR="00BE746B" w:rsidRPr="00274367">
        <w:rPr>
          <w:rFonts w:eastAsiaTheme="minorEastAsia" w:cs="Arial"/>
          <w:snapToGrid w:val="0"/>
          <w:lang w:val="es-419" w:eastAsia="ja-JP"/>
        </w:rPr>
        <w:t>párrafo</w:t>
      </w:r>
      <w:r w:rsidRPr="00274367">
        <w:rPr>
          <w:rFonts w:eastAsiaTheme="minorEastAsia" w:cs="Arial"/>
          <w:snapToGrid w:val="0"/>
          <w:lang w:val="es-419" w:eastAsia="ja-JP"/>
        </w:rPr>
        <w:t> 9;</w:t>
      </w:r>
      <w:r w:rsidR="00785473" w:rsidRPr="007F5541">
        <w:rPr>
          <w:rFonts w:eastAsiaTheme="minorEastAsia" w:cs="Arial"/>
          <w:snapToGrid w:val="0"/>
          <w:lang w:val="es-419" w:eastAsia="ja-JP"/>
        </w:rPr>
        <w:t xml:space="preserve"> </w:t>
      </w:r>
    </w:p>
    <w:p w:rsidR="00785473" w:rsidRPr="007F5541" w:rsidRDefault="00785473" w:rsidP="00785473">
      <w:pPr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4C5144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c)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 xml:space="preserve">tomar nota de las novedades relativas al proceso de revisión de la novena edición del CINPC, que se exponen en el </w:t>
      </w:r>
      <w:r w:rsidRPr="00274367">
        <w:rPr>
          <w:rFonts w:eastAsiaTheme="minorEastAsia" w:cs="Arial"/>
          <w:snapToGrid w:val="0"/>
          <w:lang w:val="es-419" w:eastAsia="ja-JP"/>
        </w:rPr>
        <w:t>párrafo 13 del</w:t>
      </w:r>
      <w:r w:rsidRPr="007F5541">
        <w:rPr>
          <w:rFonts w:eastAsiaTheme="minorEastAsia" w:cs="Arial"/>
          <w:snapToGrid w:val="0"/>
          <w:lang w:val="es-419" w:eastAsia="ja-JP"/>
        </w:rPr>
        <w:t xml:space="preserve"> presente documento;</w:t>
      </w:r>
    </w:p>
    <w:p w:rsidR="00785473" w:rsidRPr="007F5541" w:rsidRDefault="00785473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4C5144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d)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 xml:space="preserve">tomar nota de las novedades relativas al instrumento de la UPOV de búsqueda de similitud a los fines de la denominación de variedades, que se exponen en los </w:t>
      </w:r>
      <w:r w:rsidRPr="00274367">
        <w:rPr>
          <w:rFonts w:eastAsiaTheme="minorEastAsia" w:cs="Arial"/>
          <w:snapToGrid w:val="0"/>
          <w:lang w:val="es-419" w:eastAsia="ja-JP"/>
        </w:rPr>
        <w:t>párrafos 16 y 17 del presente</w:t>
      </w:r>
      <w:r w:rsidRPr="007F5541">
        <w:rPr>
          <w:rFonts w:eastAsiaTheme="minorEastAsia" w:cs="Arial"/>
          <w:snapToGrid w:val="0"/>
          <w:lang w:val="es-419" w:eastAsia="ja-JP"/>
        </w:rPr>
        <w:t xml:space="preserve"> documento;</w:t>
      </w:r>
      <w:r w:rsidR="00785473" w:rsidRPr="007F5541">
        <w:rPr>
          <w:rFonts w:eastAsiaTheme="minorEastAsia" w:cs="Arial"/>
          <w:snapToGrid w:val="0"/>
          <w:lang w:val="es-419" w:eastAsia="ja-JP"/>
        </w:rPr>
        <w:t xml:space="preserve"> </w:t>
      </w:r>
    </w:p>
    <w:p w:rsidR="00785473" w:rsidRPr="007F5541" w:rsidRDefault="00785473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116650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e)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>tomar nota de las novedades relativas a la posible ampliación del contenido de la base de datos PLUTO, que se exponen en los párrafos </w:t>
      </w:r>
      <w:r w:rsidRPr="00274367">
        <w:rPr>
          <w:rFonts w:eastAsiaTheme="minorEastAsia" w:cs="Arial"/>
          <w:snapToGrid w:val="0"/>
          <w:lang w:val="es-419" w:eastAsia="ja-JP"/>
        </w:rPr>
        <w:t>19 a 23 del presente</w:t>
      </w:r>
      <w:r w:rsidRPr="007F5541">
        <w:rPr>
          <w:rFonts w:eastAsiaTheme="minorEastAsia" w:cs="Arial"/>
          <w:snapToGrid w:val="0"/>
          <w:lang w:val="es-419" w:eastAsia="ja-JP"/>
        </w:rPr>
        <w:t xml:space="preserve"> documento;</w:t>
      </w:r>
      <w:r w:rsidR="00785473" w:rsidRPr="007F5541">
        <w:rPr>
          <w:rFonts w:eastAsiaTheme="minorEastAsia" w:cs="Arial"/>
          <w:snapToGrid w:val="0"/>
          <w:lang w:val="es-419" w:eastAsia="ja-JP"/>
        </w:rPr>
        <w:t xml:space="preserve"> </w:t>
      </w:r>
    </w:p>
    <w:p w:rsidR="00785473" w:rsidRPr="007F5541" w:rsidRDefault="00785473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116650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f)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 xml:space="preserve">tomar nota de las novedades relativas a los términos inadmisibles, que se exponen en el </w:t>
      </w:r>
      <w:r w:rsidRPr="00274367">
        <w:rPr>
          <w:rFonts w:eastAsiaTheme="minorEastAsia" w:cs="Arial"/>
          <w:snapToGrid w:val="0"/>
          <w:lang w:val="es-419" w:eastAsia="ja-JP"/>
        </w:rPr>
        <w:t>párrafo 25 del</w:t>
      </w:r>
      <w:r w:rsidRPr="007F5541">
        <w:rPr>
          <w:rFonts w:eastAsiaTheme="minorEastAsia" w:cs="Arial"/>
          <w:snapToGrid w:val="0"/>
          <w:lang w:val="es-419" w:eastAsia="ja-JP"/>
        </w:rPr>
        <w:t xml:space="preserve"> presente documento;</w:t>
      </w:r>
      <w:r w:rsidR="00785473" w:rsidRPr="007F5541">
        <w:rPr>
          <w:rFonts w:eastAsiaTheme="minorEastAsia" w:cs="Arial"/>
          <w:snapToGrid w:val="0"/>
          <w:lang w:val="es-419" w:eastAsia="ja-JP"/>
        </w:rPr>
        <w:t xml:space="preserve"> </w:t>
      </w:r>
    </w:p>
    <w:p w:rsidR="00785473" w:rsidRPr="007F5541" w:rsidRDefault="00785473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116650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g)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 xml:space="preserve">tomar nota de que la </w:t>
      </w:r>
      <w:r w:rsidRPr="007F5541">
        <w:rPr>
          <w:rFonts w:eastAsiaTheme="minorEastAsia"/>
          <w:lang w:val="es-419"/>
        </w:rPr>
        <w:t xml:space="preserve">sexta </w:t>
      </w:r>
      <w:r w:rsidRPr="007F5541">
        <w:rPr>
          <w:rFonts w:eastAsiaTheme="minorEastAsia" w:cs="Arial"/>
          <w:snapToGrid w:val="0"/>
          <w:lang w:val="es-419" w:eastAsia="ja-JP"/>
        </w:rPr>
        <w:t>reunión del WG-DEN se celebrará en Ginebra el 29 de octubre de 2019;</w:t>
      </w:r>
      <w:r w:rsidR="00785473" w:rsidRPr="007F5541">
        <w:rPr>
          <w:rFonts w:eastAsiaTheme="minorEastAsia" w:cs="Arial"/>
          <w:snapToGrid w:val="0"/>
          <w:lang w:val="es-419" w:eastAsia="ja-JP"/>
        </w:rPr>
        <w:t xml:space="preserve"> </w:t>
      </w:r>
    </w:p>
    <w:p w:rsidR="00785473" w:rsidRPr="007F5541" w:rsidRDefault="00785473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116650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h)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 xml:space="preserve">tomar nota del proyecto de orden del día de la </w:t>
      </w:r>
      <w:r w:rsidRPr="007F5541">
        <w:rPr>
          <w:rFonts w:eastAsiaTheme="minorEastAsia"/>
          <w:lang w:val="es-419"/>
        </w:rPr>
        <w:t xml:space="preserve">sexta </w:t>
      </w:r>
      <w:r w:rsidRPr="007F5541">
        <w:rPr>
          <w:rFonts w:eastAsiaTheme="minorEastAsia" w:cs="Arial"/>
          <w:snapToGrid w:val="0"/>
          <w:lang w:val="es-419" w:eastAsia="ja-JP"/>
        </w:rPr>
        <w:t xml:space="preserve">reunión del WG-DEN, que se expone en el </w:t>
      </w:r>
      <w:r w:rsidRPr="00274367">
        <w:rPr>
          <w:rFonts w:eastAsiaTheme="minorEastAsia" w:cs="Arial"/>
          <w:snapToGrid w:val="0"/>
          <w:lang w:val="es-419" w:eastAsia="ja-JP"/>
        </w:rPr>
        <w:t>párrafo 27 del presente</w:t>
      </w:r>
      <w:r w:rsidRPr="007F5541">
        <w:rPr>
          <w:rFonts w:eastAsiaTheme="minorEastAsia" w:cs="Arial"/>
          <w:snapToGrid w:val="0"/>
          <w:lang w:val="es-419" w:eastAsia="ja-JP"/>
        </w:rPr>
        <w:t xml:space="preserve"> </w:t>
      </w:r>
      <w:proofErr w:type="gramStart"/>
      <w:r w:rsidRPr="007F5541">
        <w:rPr>
          <w:rFonts w:eastAsiaTheme="minorEastAsia" w:cs="Arial"/>
          <w:snapToGrid w:val="0"/>
          <w:lang w:val="es-419" w:eastAsia="ja-JP"/>
        </w:rPr>
        <w:t xml:space="preserve">documento; </w:t>
      </w:r>
      <w:r w:rsidR="000D2A6A">
        <w:rPr>
          <w:rFonts w:eastAsiaTheme="minorEastAsia" w:cs="Arial"/>
          <w:snapToGrid w:val="0"/>
          <w:lang w:val="es-419" w:eastAsia="ja-JP"/>
        </w:rPr>
        <w:t xml:space="preserve"> </w:t>
      </w:r>
      <w:r w:rsidRPr="007F5541">
        <w:rPr>
          <w:rFonts w:eastAsiaTheme="minorEastAsia" w:cs="Arial"/>
          <w:snapToGrid w:val="0"/>
          <w:lang w:val="es-419" w:eastAsia="ja-JP"/>
        </w:rPr>
        <w:t>y</w:t>
      </w:r>
      <w:proofErr w:type="gramEnd"/>
    </w:p>
    <w:p w:rsidR="00785473" w:rsidRPr="007F5541" w:rsidRDefault="00785473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116650" w:rsidP="00785473">
      <w:pPr>
        <w:ind w:firstLine="567"/>
        <w:rPr>
          <w:rFonts w:eastAsiaTheme="minorEastAsia" w:cs="Arial"/>
          <w:snapToGrid w:val="0"/>
          <w:lang w:val="es-419" w:eastAsia="ja-JP"/>
        </w:rPr>
      </w:pPr>
      <w:r w:rsidRPr="007F5541">
        <w:rPr>
          <w:rFonts w:eastAsiaTheme="minorEastAsia" w:cs="Arial"/>
          <w:snapToGrid w:val="0"/>
          <w:lang w:val="es-419" w:eastAsia="ja-JP"/>
        </w:rPr>
        <w:t>i)</w:t>
      </w:r>
      <w:r w:rsidR="00785473" w:rsidRPr="007F5541">
        <w:rPr>
          <w:rFonts w:eastAsiaTheme="minorEastAsia" w:cs="Arial"/>
          <w:snapToGrid w:val="0"/>
          <w:lang w:val="es-419" w:eastAsia="ja-JP"/>
        </w:rPr>
        <w:tab/>
      </w:r>
      <w:r w:rsidRPr="007F5541">
        <w:rPr>
          <w:rFonts w:eastAsiaTheme="minorEastAsia" w:cs="Arial"/>
          <w:snapToGrid w:val="0"/>
          <w:lang w:val="es-419" w:eastAsia="ja-JP"/>
        </w:rPr>
        <w:t xml:space="preserve">tomar nota de que en la septuagésima </w:t>
      </w:r>
      <w:r w:rsidRPr="007F5541">
        <w:rPr>
          <w:rFonts w:eastAsiaTheme="minorEastAsia"/>
          <w:lang w:val="es-419"/>
        </w:rPr>
        <w:t xml:space="preserve">sexta </w:t>
      </w:r>
      <w:r w:rsidRPr="007F5541">
        <w:rPr>
          <w:rFonts w:eastAsiaTheme="minorEastAsia" w:cs="Arial"/>
          <w:snapToGrid w:val="0"/>
          <w:lang w:val="es-419" w:eastAsia="ja-JP"/>
        </w:rPr>
        <w:t xml:space="preserve">sesión del CAJ se presentará un informe de las novedades acontecidas en la </w:t>
      </w:r>
      <w:r w:rsidRPr="007F5541">
        <w:rPr>
          <w:rFonts w:eastAsiaTheme="minorEastAsia"/>
          <w:lang w:val="es-419"/>
        </w:rPr>
        <w:t>sexta reunión del WG-DEN.</w:t>
      </w:r>
      <w:r w:rsidR="00785473" w:rsidRPr="007F5541">
        <w:rPr>
          <w:rFonts w:eastAsiaTheme="minorEastAsia" w:cs="Arial"/>
          <w:snapToGrid w:val="0"/>
          <w:lang w:val="es-419" w:eastAsia="ja-JP"/>
        </w:rPr>
        <w:t xml:space="preserve"> </w:t>
      </w:r>
    </w:p>
    <w:p w:rsidR="00785473" w:rsidRPr="007F5541" w:rsidRDefault="00785473" w:rsidP="00785473">
      <w:pPr>
        <w:rPr>
          <w:rFonts w:eastAsiaTheme="minorEastAsia" w:cs="Arial"/>
          <w:snapToGrid w:val="0"/>
          <w:lang w:val="es-419" w:eastAsia="ja-JP"/>
        </w:rPr>
      </w:pPr>
    </w:p>
    <w:p w:rsidR="00785473" w:rsidRPr="007F5541" w:rsidRDefault="009337B9" w:rsidP="00785473">
      <w:pPr>
        <w:keepNext/>
        <w:rPr>
          <w:rFonts w:eastAsiaTheme="minorEastAsia" w:cs="Arial"/>
          <w:snapToGrid w:val="0"/>
          <w:lang w:val="es-419"/>
        </w:rPr>
      </w:pPr>
      <w:r w:rsidRPr="007F5541">
        <w:rPr>
          <w:rFonts w:eastAsiaTheme="minorEastAsia" w:cs="Arial"/>
          <w:snapToGrid w:val="0"/>
          <w:lang w:val="es-419"/>
        </w:rPr>
        <w:lastRenderedPageBreak/>
        <w:fldChar w:fldCharType="begin"/>
      </w:r>
      <w:r w:rsidR="00785473" w:rsidRPr="007F5541">
        <w:rPr>
          <w:rFonts w:eastAsiaTheme="minorEastAsia" w:cs="Arial"/>
          <w:snapToGrid w:val="0"/>
          <w:lang w:val="es-419"/>
        </w:rPr>
        <w:instrText xml:space="preserve"> AUTONUM  </w:instrText>
      </w:r>
      <w:r w:rsidRPr="007F5541">
        <w:rPr>
          <w:rFonts w:eastAsiaTheme="minorEastAsia" w:cs="Arial"/>
          <w:snapToGrid w:val="0"/>
          <w:lang w:val="es-419"/>
        </w:rPr>
        <w:fldChar w:fldCharType="end"/>
      </w:r>
      <w:r w:rsidR="00785473" w:rsidRPr="007F5541">
        <w:rPr>
          <w:rFonts w:eastAsiaTheme="minorEastAsia" w:cs="Arial"/>
          <w:snapToGrid w:val="0"/>
          <w:lang w:val="es-419"/>
        </w:rPr>
        <w:tab/>
      </w:r>
      <w:r w:rsidR="00116650" w:rsidRPr="007F5541">
        <w:rPr>
          <w:rFonts w:eastAsiaTheme="minorEastAsia" w:cs="Arial"/>
          <w:snapToGrid w:val="0"/>
          <w:lang w:val="es-419"/>
        </w:rPr>
        <w:t>En el presente documento se utilizan las abreviaturas siguientes:</w:t>
      </w:r>
    </w:p>
    <w:p w:rsidR="00785473" w:rsidRPr="007F5541" w:rsidRDefault="00785473" w:rsidP="00785473">
      <w:pPr>
        <w:keepNext/>
        <w:rPr>
          <w:rFonts w:eastAsiaTheme="minorEastAsia" w:cs="Arial"/>
          <w:snapToGrid w:val="0"/>
          <w:lang w:val="es-419"/>
        </w:rPr>
      </w:pPr>
    </w:p>
    <w:p w:rsidR="00785473" w:rsidRPr="0081542D" w:rsidRDefault="00116650" w:rsidP="00785473">
      <w:pPr>
        <w:keepNext/>
        <w:tabs>
          <w:tab w:val="left" w:pos="1560"/>
        </w:tabs>
        <w:ind w:left="567"/>
        <w:rPr>
          <w:rFonts w:eastAsiaTheme="minorEastAsia"/>
          <w:snapToGrid w:val="0"/>
          <w:lang w:val="es-419" w:eastAsia="ja-JP"/>
        </w:rPr>
      </w:pPr>
      <w:r w:rsidRPr="0081542D">
        <w:rPr>
          <w:rFonts w:eastAsiaTheme="minorEastAsia"/>
          <w:snapToGrid w:val="0"/>
          <w:lang w:val="es-419" w:eastAsia="ja-JP"/>
        </w:rPr>
        <w:t>CAJ:</w:t>
      </w:r>
      <w:r w:rsidR="00785473" w:rsidRPr="0081542D">
        <w:rPr>
          <w:rFonts w:eastAsiaTheme="minorEastAsia"/>
          <w:snapToGrid w:val="0"/>
          <w:lang w:val="es-419" w:eastAsia="ja-JP"/>
        </w:rPr>
        <w:tab/>
      </w:r>
      <w:r w:rsidRPr="0081542D">
        <w:rPr>
          <w:rFonts w:eastAsiaTheme="minorEastAsia"/>
          <w:snapToGrid w:val="0"/>
          <w:lang w:val="es-419" w:eastAsia="ja-JP"/>
        </w:rPr>
        <w:t>Comité Administrativo y Jurídico</w:t>
      </w:r>
      <w:r w:rsidR="00785473" w:rsidRPr="0081542D">
        <w:rPr>
          <w:rFonts w:eastAsiaTheme="minorEastAsia"/>
          <w:snapToGrid w:val="0"/>
          <w:lang w:val="es-419" w:eastAsia="ja-JP"/>
        </w:rPr>
        <w:t xml:space="preserve"> </w:t>
      </w:r>
    </w:p>
    <w:p w:rsidR="00785473" w:rsidRPr="0081542D" w:rsidRDefault="00116650" w:rsidP="00785473">
      <w:pPr>
        <w:keepNext/>
        <w:tabs>
          <w:tab w:val="left" w:pos="1560"/>
        </w:tabs>
        <w:ind w:left="567"/>
        <w:rPr>
          <w:rFonts w:eastAsiaTheme="minorEastAsia"/>
          <w:snapToGrid w:val="0"/>
          <w:lang w:val="es-419" w:eastAsia="ja-JP"/>
        </w:rPr>
      </w:pPr>
      <w:r w:rsidRPr="0081542D">
        <w:rPr>
          <w:lang w:val="es-419" w:eastAsia="ja-JP"/>
        </w:rPr>
        <w:t>CINPC</w:t>
      </w:r>
      <w:r w:rsidRPr="0081542D">
        <w:rPr>
          <w:rFonts w:eastAsiaTheme="minorEastAsia"/>
          <w:snapToGrid w:val="0"/>
          <w:lang w:val="es-419" w:eastAsia="ja-JP"/>
        </w:rPr>
        <w:t>:</w:t>
      </w:r>
      <w:r w:rsidR="00785473" w:rsidRPr="0081542D">
        <w:rPr>
          <w:rFonts w:eastAsiaTheme="minorEastAsia"/>
          <w:snapToGrid w:val="0"/>
          <w:lang w:val="es-419" w:eastAsia="ja-JP"/>
        </w:rPr>
        <w:t xml:space="preserve"> </w:t>
      </w:r>
      <w:r w:rsidR="00785473" w:rsidRPr="0081542D">
        <w:rPr>
          <w:rFonts w:eastAsiaTheme="minorEastAsia"/>
          <w:snapToGrid w:val="0"/>
          <w:lang w:val="es-419" w:eastAsia="ja-JP"/>
        </w:rPr>
        <w:tab/>
      </w:r>
      <w:r w:rsidRPr="0081542D">
        <w:rPr>
          <w:rFonts w:eastAsiaTheme="minorEastAsia"/>
          <w:snapToGrid w:val="0"/>
          <w:lang w:val="es-419" w:eastAsia="ja-JP"/>
        </w:rPr>
        <w:t>Código Internacional de Nomenclatura de Plantas Cultivadas</w:t>
      </w:r>
      <w:r w:rsidR="00785473" w:rsidRPr="0081542D">
        <w:rPr>
          <w:rFonts w:eastAsiaTheme="minorEastAsia"/>
          <w:snapToGrid w:val="0"/>
          <w:lang w:val="es-419" w:eastAsia="ja-JP"/>
        </w:rPr>
        <w:t xml:space="preserve"> </w:t>
      </w:r>
    </w:p>
    <w:p w:rsidR="00785473" w:rsidRPr="0081542D" w:rsidRDefault="00FC48BF" w:rsidP="0081542D">
      <w:pPr>
        <w:keepNext/>
        <w:tabs>
          <w:tab w:val="left" w:pos="2790"/>
          <w:tab w:val="right" w:pos="9639"/>
        </w:tabs>
        <w:ind w:left="1560" w:hanging="993"/>
        <w:jc w:val="left"/>
        <w:rPr>
          <w:rFonts w:eastAsiaTheme="minorEastAsia"/>
          <w:snapToGrid w:val="0"/>
          <w:lang w:val="es-419" w:eastAsia="ja-JP"/>
        </w:rPr>
      </w:pPr>
      <w:r w:rsidRPr="0081542D">
        <w:rPr>
          <w:rFonts w:eastAsiaTheme="minorEastAsia"/>
          <w:snapToGrid w:val="0"/>
          <w:lang w:val="es-419" w:eastAsia="ja-JP"/>
        </w:rPr>
        <w:t>Comisión de la </w:t>
      </w:r>
      <w:r w:rsidR="00116650" w:rsidRPr="0081542D">
        <w:rPr>
          <w:rFonts w:eastAsiaTheme="minorEastAsia"/>
          <w:snapToGrid w:val="0"/>
          <w:lang w:val="es-419" w:eastAsia="ja-JP"/>
        </w:rPr>
        <w:t>UICB:</w:t>
      </w:r>
      <w:r w:rsidR="00785473" w:rsidRPr="0081542D">
        <w:rPr>
          <w:rFonts w:eastAsiaTheme="minorEastAsia"/>
          <w:snapToGrid w:val="0"/>
          <w:lang w:val="es-419" w:eastAsia="ja-JP"/>
        </w:rPr>
        <w:tab/>
      </w:r>
      <w:r w:rsidR="00116650" w:rsidRPr="0081542D">
        <w:rPr>
          <w:rFonts w:eastAsiaTheme="minorEastAsia"/>
          <w:snapToGrid w:val="0"/>
          <w:lang w:val="es-419" w:eastAsia="ja-JP"/>
        </w:rPr>
        <w:t>Comisión Internacional para la Nomenclatura de Plantas Cultivadas de la Unión Internacional de Ciencias Biológicas</w:t>
      </w:r>
      <w:r w:rsidR="00785473" w:rsidRPr="0081542D">
        <w:rPr>
          <w:rFonts w:eastAsiaTheme="minorEastAsia"/>
          <w:snapToGrid w:val="0"/>
          <w:lang w:val="es-419" w:eastAsia="ja-JP"/>
        </w:rPr>
        <w:t xml:space="preserve"> </w:t>
      </w:r>
    </w:p>
    <w:p w:rsidR="00785473" w:rsidRPr="0081542D" w:rsidRDefault="00116650" w:rsidP="00785473">
      <w:pPr>
        <w:tabs>
          <w:tab w:val="left" w:pos="1560"/>
        </w:tabs>
        <w:ind w:left="567"/>
        <w:rPr>
          <w:rFonts w:eastAsiaTheme="minorEastAsia"/>
          <w:snapToGrid w:val="0"/>
          <w:lang w:val="es-419" w:eastAsia="ja-JP"/>
        </w:rPr>
      </w:pPr>
      <w:r w:rsidRPr="0081542D">
        <w:rPr>
          <w:rFonts w:eastAsiaTheme="minorEastAsia"/>
          <w:snapToGrid w:val="0"/>
          <w:lang w:val="es-419" w:eastAsia="ja-JP"/>
        </w:rPr>
        <w:t>WG-DEN:</w:t>
      </w:r>
      <w:r w:rsidR="00785473" w:rsidRPr="0081542D">
        <w:rPr>
          <w:rFonts w:eastAsiaTheme="minorEastAsia"/>
          <w:snapToGrid w:val="0"/>
          <w:lang w:val="es-419" w:eastAsia="ja-JP"/>
        </w:rPr>
        <w:tab/>
      </w:r>
      <w:r w:rsidRPr="0081542D">
        <w:rPr>
          <w:rFonts w:eastAsiaTheme="minorEastAsia"/>
          <w:lang w:val="es-419" w:eastAsia="ja-JP"/>
        </w:rPr>
        <w:t>Grupo de trabajo sobre denominaciones de variedades</w:t>
      </w:r>
    </w:p>
    <w:p w:rsidR="00785473" w:rsidRPr="007F5541" w:rsidRDefault="00785473" w:rsidP="00785473">
      <w:pPr>
        <w:ind w:left="1701" w:hanging="1134"/>
        <w:jc w:val="left"/>
        <w:rPr>
          <w:rFonts w:eastAsiaTheme="minorEastAsia" w:cs="Arial"/>
          <w:snapToGrid w:val="0"/>
          <w:lang w:val="es-419"/>
        </w:rPr>
      </w:pPr>
    </w:p>
    <w:p w:rsidR="00785473" w:rsidRPr="007F5541" w:rsidRDefault="009337B9" w:rsidP="00785473">
      <w:pPr>
        <w:keepNext/>
        <w:rPr>
          <w:lang w:val="es-419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116650" w:rsidRPr="007F5541">
        <w:rPr>
          <w:lang w:val="es-419"/>
        </w:rPr>
        <w:t>El presente documento se estructura del modo siguiente:</w:t>
      </w:r>
    </w:p>
    <w:p w:rsidR="00785473" w:rsidRPr="007F5541" w:rsidRDefault="00785473" w:rsidP="00785473">
      <w:pPr>
        <w:keepNext/>
        <w:rPr>
          <w:lang w:val="es-419"/>
        </w:rPr>
      </w:pPr>
    </w:p>
    <w:p w:rsidR="00877A5B" w:rsidRPr="007F5541" w:rsidRDefault="009337B9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es-419" w:eastAsia="en-GB"/>
        </w:rPr>
      </w:pPr>
      <w:r w:rsidRPr="007F5541">
        <w:rPr>
          <w:sz w:val="18"/>
          <w:szCs w:val="18"/>
          <w:lang w:val="es-419"/>
        </w:rPr>
        <w:fldChar w:fldCharType="begin"/>
      </w:r>
      <w:r w:rsidR="00785473" w:rsidRPr="007F5541">
        <w:rPr>
          <w:sz w:val="18"/>
          <w:szCs w:val="18"/>
          <w:lang w:val="es-419"/>
        </w:rPr>
        <w:instrText xml:space="preserve"> TOC \o "1-3" \h \z \u </w:instrText>
      </w:r>
      <w:r w:rsidRPr="007F5541">
        <w:rPr>
          <w:sz w:val="18"/>
          <w:szCs w:val="18"/>
          <w:lang w:val="es-419"/>
        </w:rPr>
        <w:fldChar w:fldCharType="separate"/>
      </w:r>
      <w:hyperlink w:anchor="_Toc15376495" w:history="1">
        <w:r w:rsidR="00877A5B" w:rsidRPr="007F5541">
          <w:rPr>
            <w:rStyle w:val="Hyperlink"/>
            <w:rFonts w:eastAsia="MS Mincho"/>
            <w:noProof/>
            <w:sz w:val="18"/>
            <w:szCs w:val="18"/>
            <w:lang w:val="es-419"/>
          </w:rPr>
          <w:t>RESUMEN</w:t>
        </w:r>
        <w:r w:rsidR="00877A5B" w:rsidRPr="007F5541">
          <w:rPr>
            <w:noProof/>
            <w:webHidden/>
            <w:sz w:val="18"/>
            <w:szCs w:val="18"/>
            <w:lang w:val="es-419"/>
          </w:rPr>
          <w:tab/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begin"/>
        </w:r>
        <w:r w:rsidR="00877A5B" w:rsidRPr="007F5541">
          <w:rPr>
            <w:noProof/>
            <w:webHidden/>
            <w:sz w:val="18"/>
            <w:szCs w:val="18"/>
            <w:lang w:val="es-419"/>
          </w:rPr>
          <w:instrText xml:space="preserve"> PAGEREF _Toc15376495 \h </w:instrText>
        </w:r>
        <w:r w:rsidR="00877A5B" w:rsidRPr="007F5541">
          <w:rPr>
            <w:noProof/>
            <w:webHidden/>
            <w:sz w:val="18"/>
            <w:szCs w:val="18"/>
            <w:lang w:val="es-419"/>
          </w:rPr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separate"/>
        </w:r>
        <w:r w:rsidR="007E628D">
          <w:rPr>
            <w:noProof/>
            <w:webHidden/>
            <w:sz w:val="18"/>
            <w:szCs w:val="18"/>
            <w:lang w:val="es-419"/>
          </w:rPr>
          <w:t>1</w:t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end"/>
        </w:r>
      </w:hyperlink>
    </w:p>
    <w:p w:rsidR="00877A5B" w:rsidRPr="007F5541" w:rsidRDefault="007E628D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es-419" w:eastAsia="en-GB"/>
        </w:rPr>
      </w:pPr>
      <w:hyperlink w:anchor="_Toc15376496" w:history="1">
        <w:r w:rsidR="00877A5B" w:rsidRPr="00433AFC">
          <w:rPr>
            <w:rStyle w:val="Hyperlink"/>
            <w:noProof/>
            <w:spacing w:val="-2"/>
            <w:sz w:val="18"/>
            <w:szCs w:val="18"/>
            <w:lang w:val="es-419"/>
          </w:rPr>
          <w:t>EVENTUAL REVISIÓN DEL DOCUMENTO UPOV/INF/12 “NOTAS EXPLICATIVAS SOBRE LAS DENOMINACIONES DE VARIEDADES CON ARREGLO AL CONVENIO DE LA UPOV</w:t>
        </w:r>
        <w:r w:rsidR="00877A5B" w:rsidRPr="007F5541">
          <w:rPr>
            <w:rStyle w:val="Hyperlink"/>
            <w:noProof/>
            <w:sz w:val="18"/>
            <w:szCs w:val="18"/>
            <w:lang w:val="es-419"/>
          </w:rPr>
          <w:t>”</w:t>
        </w:r>
        <w:r w:rsidR="00877A5B" w:rsidRPr="007F5541">
          <w:rPr>
            <w:noProof/>
            <w:webHidden/>
            <w:sz w:val="18"/>
            <w:szCs w:val="18"/>
            <w:lang w:val="es-419"/>
          </w:rPr>
          <w:tab/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begin"/>
        </w:r>
        <w:r w:rsidR="00877A5B" w:rsidRPr="007F5541">
          <w:rPr>
            <w:noProof/>
            <w:webHidden/>
            <w:sz w:val="18"/>
            <w:szCs w:val="18"/>
            <w:lang w:val="es-419"/>
          </w:rPr>
          <w:instrText xml:space="preserve"> PAGEREF _Toc15376496 \h </w:instrText>
        </w:r>
        <w:r w:rsidR="00877A5B" w:rsidRPr="007F5541">
          <w:rPr>
            <w:noProof/>
            <w:webHidden/>
            <w:sz w:val="18"/>
            <w:szCs w:val="18"/>
            <w:lang w:val="es-419"/>
          </w:rPr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separate"/>
        </w:r>
        <w:r>
          <w:rPr>
            <w:noProof/>
            <w:webHidden/>
            <w:sz w:val="18"/>
            <w:szCs w:val="18"/>
            <w:lang w:val="es-419"/>
          </w:rPr>
          <w:t>2</w:t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end"/>
        </w:r>
      </w:hyperlink>
    </w:p>
    <w:p w:rsidR="00877A5B" w:rsidRPr="007F5541" w:rsidRDefault="007E628D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es-419" w:eastAsia="en-GB"/>
        </w:rPr>
      </w:pPr>
      <w:hyperlink w:anchor="_Toc15376497" w:history="1">
        <w:r w:rsidR="00877A5B" w:rsidRPr="007F5541">
          <w:rPr>
            <w:rStyle w:val="Hyperlink"/>
            <w:noProof/>
            <w:sz w:val="18"/>
            <w:szCs w:val="18"/>
            <w:lang w:val="es-419"/>
          </w:rPr>
          <w:t>POSIBLE CONTRIBUCIÓN a La</w:t>
        </w:r>
        <w:bookmarkStart w:id="3" w:name="_GoBack"/>
        <w:bookmarkEnd w:id="3"/>
        <w:r w:rsidR="00877A5B" w:rsidRPr="007F5541">
          <w:rPr>
            <w:rStyle w:val="Hyperlink"/>
            <w:noProof/>
            <w:sz w:val="18"/>
            <w:szCs w:val="18"/>
            <w:lang w:val="es-419"/>
          </w:rPr>
          <w:t xml:space="preserve"> REVISIÓN de la NOVENA EDICIÓN del CINPC</w:t>
        </w:r>
        <w:r w:rsidR="00877A5B" w:rsidRPr="007F5541">
          <w:rPr>
            <w:noProof/>
            <w:webHidden/>
            <w:sz w:val="18"/>
            <w:szCs w:val="18"/>
            <w:lang w:val="es-419"/>
          </w:rPr>
          <w:tab/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begin"/>
        </w:r>
        <w:r w:rsidR="00877A5B" w:rsidRPr="007F5541">
          <w:rPr>
            <w:noProof/>
            <w:webHidden/>
            <w:sz w:val="18"/>
            <w:szCs w:val="18"/>
            <w:lang w:val="es-419"/>
          </w:rPr>
          <w:instrText xml:space="preserve"> PAGEREF _Toc15376497 \h </w:instrText>
        </w:r>
        <w:r w:rsidR="00877A5B" w:rsidRPr="007F5541">
          <w:rPr>
            <w:noProof/>
            <w:webHidden/>
            <w:sz w:val="18"/>
            <w:szCs w:val="18"/>
            <w:lang w:val="es-419"/>
          </w:rPr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separate"/>
        </w:r>
        <w:r>
          <w:rPr>
            <w:noProof/>
            <w:webHidden/>
            <w:sz w:val="18"/>
            <w:szCs w:val="18"/>
            <w:lang w:val="es-419"/>
          </w:rPr>
          <w:t>3</w:t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end"/>
        </w:r>
      </w:hyperlink>
    </w:p>
    <w:p w:rsidR="00877A5B" w:rsidRPr="007F5541" w:rsidRDefault="007E628D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es-419" w:eastAsia="en-GB"/>
        </w:rPr>
      </w:pPr>
      <w:hyperlink w:anchor="_Toc15376498" w:history="1">
        <w:r w:rsidR="00877A5B" w:rsidRPr="007F5541">
          <w:rPr>
            <w:rStyle w:val="Hyperlink"/>
            <w:noProof/>
            <w:sz w:val="18"/>
            <w:szCs w:val="18"/>
            <w:lang w:val="es-419"/>
          </w:rPr>
          <w:t>POSIBLE ELABORACIÓN DE UN INSTRUMENTO DE LA UPOV DE BÚSQUEDA DE SIMILITUD A LOS FINES DE LA DENOMINACIÓN DE VARIEDADES</w:t>
        </w:r>
        <w:r w:rsidR="00877A5B" w:rsidRPr="007F5541">
          <w:rPr>
            <w:noProof/>
            <w:webHidden/>
            <w:sz w:val="18"/>
            <w:szCs w:val="18"/>
            <w:lang w:val="es-419"/>
          </w:rPr>
          <w:tab/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begin"/>
        </w:r>
        <w:r w:rsidR="00877A5B" w:rsidRPr="007F5541">
          <w:rPr>
            <w:noProof/>
            <w:webHidden/>
            <w:sz w:val="18"/>
            <w:szCs w:val="18"/>
            <w:lang w:val="es-419"/>
          </w:rPr>
          <w:instrText xml:space="preserve"> PAGEREF _Toc15376498 \h </w:instrText>
        </w:r>
        <w:r w:rsidR="00877A5B" w:rsidRPr="007F5541">
          <w:rPr>
            <w:noProof/>
            <w:webHidden/>
            <w:sz w:val="18"/>
            <w:szCs w:val="18"/>
            <w:lang w:val="es-419"/>
          </w:rPr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separate"/>
        </w:r>
        <w:r>
          <w:rPr>
            <w:noProof/>
            <w:webHidden/>
            <w:sz w:val="18"/>
            <w:szCs w:val="18"/>
            <w:lang w:val="es-419"/>
          </w:rPr>
          <w:t>3</w:t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end"/>
        </w:r>
      </w:hyperlink>
    </w:p>
    <w:p w:rsidR="00877A5B" w:rsidRPr="007F5541" w:rsidRDefault="007E628D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es-419" w:eastAsia="en-GB"/>
        </w:rPr>
      </w:pPr>
      <w:hyperlink w:anchor="_Toc15376499" w:history="1">
        <w:r w:rsidR="00877A5B" w:rsidRPr="007F5541">
          <w:rPr>
            <w:rStyle w:val="Hyperlink"/>
            <w:noProof/>
            <w:sz w:val="18"/>
            <w:szCs w:val="18"/>
            <w:lang w:val="es-419"/>
          </w:rPr>
          <w:t>AMPLIACIÓN DEL CONTENIDO DE LA BASE DE DATOS PLUTO</w:t>
        </w:r>
        <w:r w:rsidR="00877A5B" w:rsidRPr="007F5541">
          <w:rPr>
            <w:noProof/>
            <w:webHidden/>
            <w:sz w:val="18"/>
            <w:szCs w:val="18"/>
            <w:lang w:val="es-419"/>
          </w:rPr>
          <w:tab/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begin"/>
        </w:r>
        <w:r w:rsidR="00877A5B" w:rsidRPr="007F5541">
          <w:rPr>
            <w:noProof/>
            <w:webHidden/>
            <w:sz w:val="18"/>
            <w:szCs w:val="18"/>
            <w:lang w:val="es-419"/>
          </w:rPr>
          <w:instrText xml:space="preserve"> PAGEREF _Toc15376499 \h </w:instrText>
        </w:r>
        <w:r w:rsidR="00877A5B" w:rsidRPr="007F5541">
          <w:rPr>
            <w:noProof/>
            <w:webHidden/>
            <w:sz w:val="18"/>
            <w:szCs w:val="18"/>
            <w:lang w:val="es-419"/>
          </w:rPr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separate"/>
        </w:r>
        <w:r>
          <w:rPr>
            <w:noProof/>
            <w:webHidden/>
            <w:sz w:val="18"/>
            <w:szCs w:val="18"/>
            <w:lang w:val="es-419"/>
          </w:rPr>
          <w:t>3</w:t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end"/>
        </w:r>
      </w:hyperlink>
    </w:p>
    <w:p w:rsidR="00877A5B" w:rsidRPr="007F5541" w:rsidRDefault="007E628D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es-419" w:eastAsia="en-GB"/>
        </w:rPr>
      </w:pPr>
      <w:hyperlink w:anchor="_Toc15376503" w:history="1">
        <w:r w:rsidR="00877A5B" w:rsidRPr="007F5541">
          <w:rPr>
            <w:rStyle w:val="Hyperlink"/>
            <w:noProof/>
            <w:sz w:val="18"/>
            <w:szCs w:val="18"/>
            <w:lang w:val="es-419"/>
          </w:rPr>
          <w:t>TÉRMINOS INADMISIBLES</w:t>
        </w:r>
        <w:r w:rsidR="00877A5B" w:rsidRPr="007F5541">
          <w:rPr>
            <w:noProof/>
            <w:webHidden/>
            <w:sz w:val="18"/>
            <w:szCs w:val="18"/>
            <w:lang w:val="es-419"/>
          </w:rPr>
          <w:tab/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begin"/>
        </w:r>
        <w:r w:rsidR="00877A5B" w:rsidRPr="007F5541">
          <w:rPr>
            <w:noProof/>
            <w:webHidden/>
            <w:sz w:val="18"/>
            <w:szCs w:val="18"/>
            <w:lang w:val="es-419"/>
          </w:rPr>
          <w:instrText xml:space="preserve"> PAGEREF _Toc15376503 \h </w:instrText>
        </w:r>
        <w:r w:rsidR="00877A5B" w:rsidRPr="007F5541">
          <w:rPr>
            <w:noProof/>
            <w:webHidden/>
            <w:sz w:val="18"/>
            <w:szCs w:val="18"/>
            <w:lang w:val="es-419"/>
          </w:rPr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separate"/>
        </w:r>
        <w:r>
          <w:rPr>
            <w:noProof/>
            <w:webHidden/>
            <w:sz w:val="18"/>
            <w:szCs w:val="18"/>
            <w:lang w:val="es-419"/>
          </w:rPr>
          <w:t>5</w:t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end"/>
        </w:r>
      </w:hyperlink>
    </w:p>
    <w:p w:rsidR="00877A5B" w:rsidRPr="007F5541" w:rsidRDefault="007E628D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es-419" w:eastAsia="en-GB"/>
        </w:rPr>
      </w:pPr>
      <w:hyperlink w:anchor="_Toc15376504" w:history="1">
        <w:r w:rsidR="00877A5B" w:rsidRPr="007F5541">
          <w:rPr>
            <w:rStyle w:val="Hyperlink"/>
            <w:noProof/>
            <w:sz w:val="18"/>
            <w:szCs w:val="18"/>
            <w:lang w:val="es-419"/>
          </w:rPr>
          <w:t>FECHA Y PROGRAMA DE LA PRÓXIMA REUNIÓN DEL WG-DEN</w:t>
        </w:r>
        <w:r w:rsidR="00877A5B" w:rsidRPr="007F5541">
          <w:rPr>
            <w:noProof/>
            <w:webHidden/>
            <w:sz w:val="18"/>
            <w:szCs w:val="18"/>
            <w:lang w:val="es-419"/>
          </w:rPr>
          <w:tab/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begin"/>
        </w:r>
        <w:r w:rsidR="00877A5B" w:rsidRPr="007F5541">
          <w:rPr>
            <w:noProof/>
            <w:webHidden/>
            <w:sz w:val="18"/>
            <w:szCs w:val="18"/>
            <w:lang w:val="es-419"/>
          </w:rPr>
          <w:instrText xml:space="preserve"> PAGEREF _Toc15376504 \h </w:instrText>
        </w:r>
        <w:r w:rsidR="00877A5B" w:rsidRPr="007F5541">
          <w:rPr>
            <w:noProof/>
            <w:webHidden/>
            <w:sz w:val="18"/>
            <w:szCs w:val="18"/>
            <w:lang w:val="es-419"/>
          </w:rPr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separate"/>
        </w:r>
        <w:r>
          <w:rPr>
            <w:noProof/>
            <w:webHidden/>
            <w:sz w:val="18"/>
            <w:szCs w:val="18"/>
            <w:lang w:val="es-419"/>
          </w:rPr>
          <w:t>5</w:t>
        </w:r>
        <w:r w:rsidR="00877A5B" w:rsidRPr="007F5541">
          <w:rPr>
            <w:noProof/>
            <w:webHidden/>
            <w:sz w:val="18"/>
            <w:szCs w:val="18"/>
            <w:lang w:val="es-419"/>
          </w:rPr>
          <w:fldChar w:fldCharType="end"/>
        </w:r>
      </w:hyperlink>
    </w:p>
    <w:p w:rsidR="00785473" w:rsidRPr="007F5541" w:rsidRDefault="009337B9" w:rsidP="00785473">
      <w:pPr>
        <w:pStyle w:val="Heading1"/>
        <w:rPr>
          <w:lang w:val="es-419"/>
        </w:rPr>
      </w:pPr>
      <w:r w:rsidRPr="007F5541">
        <w:rPr>
          <w:sz w:val="18"/>
          <w:szCs w:val="18"/>
          <w:lang w:val="es-419"/>
        </w:rPr>
        <w:fldChar w:fldCharType="end"/>
      </w:r>
    </w:p>
    <w:p w:rsidR="00785473" w:rsidRDefault="00785473" w:rsidP="00785473">
      <w:pPr>
        <w:rPr>
          <w:lang w:val="es-419"/>
        </w:rPr>
      </w:pPr>
    </w:p>
    <w:p w:rsidR="0012465E" w:rsidRPr="007F5541" w:rsidRDefault="0012465E" w:rsidP="00785473">
      <w:pPr>
        <w:rPr>
          <w:lang w:val="es-419"/>
        </w:rPr>
      </w:pPr>
    </w:p>
    <w:p w:rsidR="00785473" w:rsidRPr="00E64D38" w:rsidRDefault="00116650" w:rsidP="00785473">
      <w:pPr>
        <w:pStyle w:val="Heading1"/>
        <w:rPr>
          <w:rFonts w:eastAsiaTheme="minorEastAsia"/>
          <w:lang w:val="es-419"/>
        </w:rPr>
      </w:pPr>
      <w:bookmarkStart w:id="4" w:name="_Toc15376496"/>
      <w:r w:rsidRPr="00E64D38">
        <w:rPr>
          <w:rFonts w:eastAsiaTheme="minorEastAsia"/>
          <w:lang w:val="es-419"/>
        </w:rPr>
        <w:t xml:space="preserve">EVENTUAL REVISIÓN DEL DOCUMENTO UPOV/INF/12 “NOTAS EXPLICATIVAS SOBRE LAS DENOMINACIONES DE VARIEDADES CON ARREGLO AL CONVENIO DE </w:t>
      </w:r>
      <w:r w:rsidR="00FC48BF" w:rsidRPr="00E64D38">
        <w:rPr>
          <w:rFonts w:eastAsiaTheme="minorEastAsia"/>
          <w:lang w:val="es-419"/>
        </w:rPr>
        <w:t>LA</w:t>
      </w:r>
      <w:r w:rsidRPr="00E64D38">
        <w:rPr>
          <w:rFonts w:eastAsiaTheme="minorEastAsia"/>
          <w:lang w:val="es-419"/>
        </w:rPr>
        <w:t> UPOV”</w:t>
      </w:r>
      <w:bookmarkEnd w:id="4"/>
    </w:p>
    <w:p w:rsidR="00785473" w:rsidRPr="00E64D38" w:rsidRDefault="00785473" w:rsidP="00785473">
      <w:pPr>
        <w:keepNext/>
        <w:rPr>
          <w:rFonts w:eastAsiaTheme="minorEastAsia"/>
          <w:snapToGrid w:val="0"/>
          <w:lang w:val="es-419" w:eastAsia="ja-JP"/>
        </w:rPr>
      </w:pPr>
    </w:p>
    <w:p w:rsidR="00785473" w:rsidRPr="00E64D38" w:rsidRDefault="009337B9" w:rsidP="00785473">
      <w:pPr>
        <w:rPr>
          <w:rFonts w:eastAsiaTheme="minorEastAsia"/>
          <w:lang w:val="es-419" w:eastAsia="ja-JP"/>
        </w:rPr>
      </w:pPr>
      <w:r w:rsidRPr="00E64D38">
        <w:rPr>
          <w:rFonts w:eastAsiaTheme="minorEastAsia"/>
          <w:lang w:val="es-419"/>
        </w:rPr>
        <w:fldChar w:fldCharType="begin"/>
      </w:r>
      <w:r w:rsidR="00785473" w:rsidRPr="00E64D38">
        <w:rPr>
          <w:rFonts w:eastAsiaTheme="minorEastAsia"/>
          <w:lang w:val="es-419"/>
        </w:rPr>
        <w:instrText xml:space="preserve"> AUTONUM  </w:instrText>
      </w:r>
      <w:r w:rsidRPr="00E64D38">
        <w:rPr>
          <w:rFonts w:eastAsiaTheme="minorEastAsia"/>
          <w:lang w:val="es-419"/>
        </w:rPr>
        <w:fldChar w:fldCharType="end"/>
      </w:r>
      <w:r w:rsidR="00785473" w:rsidRPr="00E64D38">
        <w:rPr>
          <w:rFonts w:eastAsiaTheme="minorEastAsia"/>
          <w:lang w:val="es-419"/>
        </w:rPr>
        <w:tab/>
      </w:r>
      <w:r w:rsidR="00116650" w:rsidRPr="00E64D38">
        <w:rPr>
          <w:rFonts w:eastAsiaTheme="minorEastAsia"/>
          <w:lang w:val="es-419" w:eastAsia="ja-JP"/>
        </w:rPr>
        <w:t xml:space="preserve">Los antecedentes de esta cuestión figuran en los párrafos 6 a 8 del documento </w:t>
      </w:r>
      <w:hyperlink r:id="rId8" w:history="1">
        <w:proofErr w:type="spellStart"/>
        <w:r w:rsidR="00116650" w:rsidRPr="00BD0E0E">
          <w:rPr>
            <w:rStyle w:val="Hyperlink"/>
            <w:rFonts w:eastAsiaTheme="minorEastAsia"/>
            <w:lang w:val="es-419" w:eastAsia="ja-JP"/>
          </w:rPr>
          <w:t>CAJ</w:t>
        </w:r>
        <w:proofErr w:type="spellEnd"/>
        <w:r w:rsidR="00116650" w:rsidRPr="00BD0E0E">
          <w:rPr>
            <w:rStyle w:val="Hyperlink"/>
            <w:rFonts w:eastAsiaTheme="minorEastAsia"/>
            <w:lang w:val="es-419" w:eastAsia="ja-JP"/>
          </w:rPr>
          <w:t>/75/7</w:t>
        </w:r>
      </w:hyperlink>
      <w:r w:rsidR="00116650" w:rsidRPr="00E64D38">
        <w:rPr>
          <w:rFonts w:eastAsiaTheme="minorEastAsia"/>
          <w:lang w:val="es-419" w:eastAsia="ja-JP"/>
        </w:rPr>
        <w:t xml:space="preserve"> “Denominaciones de variedades”.</w:t>
      </w:r>
    </w:p>
    <w:p w:rsidR="00785473" w:rsidRPr="00E64D38" w:rsidRDefault="00785473" w:rsidP="00785473">
      <w:pPr>
        <w:rPr>
          <w:rFonts w:eastAsiaTheme="minorEastAsia"/>
          <w:lang w:val="es-419" w:eastAsia="ja-JP"/>
        </w:rPr>
      </w:pPr>
    </w:p>
    <w:p w:rsidR="00785473" w:rsidRPr="00B9398F" w:rsidRDefault="009337B9" w:rsidP="00785473">
      <w:pPr>
        <w:rPr>
          <w:rFonts w:eastAsiaTheme="minorEastAsia"/>
          <w:lang w:val="es-419" w:eastAsia="ja-JP"/>
        </w:rPr>
      </w:pPr>
      <w:r w:rsidRPr="00B9398F">
        <w:rPr>
          <w:rFonts w:eastAsiaTheme="minorEastAsia"/>
          <w:lang w:val="es-419"/>
        </w:rPr>
        <w:fldChar w:fldCharType="begin"/>
      </w:r>
      <w:r w:rsidR="00785473" w:rsidRPr="00B9398F">
        <w:rPr>
          <w:rFonts w:eastAsiaTheme="minorEastAsia"/>
          <w:lang w:val="es-419"/>
        </w:rPr>
        <w:instrText xml:space="preserve"> AUTONUM  </w:instrText>
      </w:r>
      <w:r w:rsidRPr="00B9398F">
        <w:rPr>
          <w:rFonts w:eastAsiaTheme="minorEastAsia"/>
          <w:lang w:val="es-419"/>
        </w:rPr>
        <w:fldChar w:fldCharType="end"/>
      </w:r>
      <w:r w:rsidR="00785473" w:rsidRPr="00B9398F">
        <w:rPr>
          <w:rFonts w:eastAsiaTheme="minorEastAsia"/>
          <w:lang w:val="es-419"/>
        </w:rPr>
        <w:tab/>
      </w:r>
      <w:r w:rsidR="00D37F8D" w:rsidRPr="00B9398F">
        <w:rPr>
          <w:rFonts w:eastAsiaTheme="minorEastAsia"/>
          <w:lang w:val="es-419" w:eastAsia="ja-JP"/>
        </w:rPr>
        <w:t>En su quinta reunión,</w:t>
      </w:r>
      <w:r w:rsidR="00D37F8D" w:rsidRPr="00B9398F">
        <w:rPr>
          <w:rFonts w:cs="Arial"/>
          <w:vertAlign w:val="superscript"/>
          <w:lang w:val="es-419"/>
        </w:rPr>
        <w:footnoteReference w:id="2"/>
      </w:r>
      <w:r w:rsidR="00D37F8D" w:rsidRPr="00B9398F">
        <w:rPr>
          <w:rFonts w:eastAsiaTheme="minorEastAsia"/>
          <w:lang w:val="es-419"/>
        </w:rPr>
        <w:t xml:space="preserve"> el </w:t>
      </w:r>
      <w:r w:rsidR="009100FC" w:rsidRPr="00B9398F">
        <w:rPr>
          <w:rFonts w:eastAsiaTheme="minorEastAsia"/>
          <w:lang w:val="es-419"/>
        </w:rPr>
        <w:t xml:space="preserve">Grupo de trabajo sobre denominaciones de variedades </w:t>
      </w:r>
      <w:r w:rsidR="00CE6607" w:rsidRPr="00B9398F">
        <w:rPr>
          <w:rFonts w:eastAsiaTheme="minorEastAsia"/>
          <w:lang w:val="es-419"/>
        </w:rPr>
        <w:t>(</w:t>
      </w:r>
      <w:r w:rsidR="00D37F8D" w:rsidRPr="00B9398F">
        <w:rPr>
          <w:rFonts w:eastAsiaTheme="minorEastAsia"/>
          <w:lang w:val="es-419" w:eastAsia="ja-JP"/>
        </w:rPr>
        <w:t>WG-DEN)</w:t>
      </w:r>
      <w:r w:rsidR="00CE6607" w:rsidRPr="00B9398F">
        <w:rPr>
          <w:rFonts w:eastAsiaTheme="minorEastAsia"/>
          <w:lang w:val="es-419" w:eastAsia="ja-JP"/>
        </w:rPr>
        <w:t xml:space="preserve"> examinó </w:t>
      </w:r>
      <w:r w:rsidR="00D37F8D" w:rsidRPr="00B9398F">
        <w:rPr>
          <w:rFonts w:eastAsiaTheme="minorEastAsia"/>
          <w:lang w:val="es-419" w:eastAsia="ja-JP"/>
        </w:rPr>
        <w:t>el</w:t>
      </w:r>
      <w:r w:rsidR="00CE6607" w:rsidRPr="00B9398F">
        <w:rPr>
          <w:rFonts w:eastAsiaTheme="minorEastAsia"/>
          <w:lang w:val="es-419" w:eastAsia="ja-JP"/>
        </w:rPr>
        <w:t xml:space="preserve"> documento </w:t>
      </w:r>
      <w:hyperlink r:id="rId9" w:history="1">
        <w:r w:rsidR="00CE6607" w:rsidRPr="00B9398F">
          <w:rPr>
            <w:rStyle w:val="Hyperlink"/>
            <w:rFonts w:eastAsiaTheme="minorEastAsia"/>
            <w:lang w:val="es-419" w:eastAsia="ja-JP"/>
          </w:rPr>
          <w:t>UPOV/WG-DEN/5/2</w:t>
        </w:r>
      </w:hyperlink>
      <w:r w:rsidR="00CE6607" w:rsidRPr="00B9398F">
        <w:rPr>
          <w:rFonts w:eastAsiaTheme="minorEastAsia"/>
          <w:lang w:val="es-419" w:eastAsia="ja-JP"/>
        </w:rPr>
        <w:t xml:space="preserve"> “</w:t>
      </w:r>
      <w:r w:rsidR="009100FC" w:rsidRPr="00B9398F">
        <w:rPr>
          <w:rFonts w:eastAsiaTheme="minorEastAsia"/>
          <w:i/>
          <w:lang w:val="es-419"/>
        </w:rPr>
        <w:t>Revision of document UPOV/INF/12/5 ‘Explanatory Notes on Variety Denominations under the UPOV Convention’</w:t>
      </w:r>
      <w:r w:rsidR="00CE6607" w:rsidRPr="00B9398F">
        <w:rPr>
          <w:rFonts w:eastAsiaTheme="minorEastAsia"/>
          <w:lang w:val="es-419" w:eastAsia="ja-JP"/>
        </w:rPr>
        <w:t xml:space="preserve">” </w:t>
      </w:r>
      <w:r w:rsidR="009100FC" w:rsidRPr="00B9398F">
        <w:rPr>
          <w:rFonts w:eastAsiaTheme="minorEastAsia"/>
          <w:lang w:val="es-419"/>
        </w:rPr>
        <w:t>(</w:t>
      </w:r>
      <w:r w:rsidR="00B9398F" w:rsidRPr="00B9398F">
        <w:rPr>
          <w:rFonts w:eastAsiaTheme="minorEastAsia"/>
          <w:lang w:val="es-419"/>
        </w:rPr>
        <w:t>“</w:t>
      </w:r>
      <w:r w:rsidR="009100FC" w:rsidRPr="00B9398F">
        <w:rPr>
          <w:rFonts w:eastAsiaTheme="minorEastAsia"/>
          <w:lang w:val="es-419"/>
        </w:rPr>
        <w:t>Revisi</w:t>
      </w:r>
      <w:r w:rsidR="00B9398F" w:rsidRPr="00B9398F">
        <w:rPr>
          <w:rFonts w:eastAsiaTheme="minorEastAsia"/>
          <w:lang w:val="es-419"/>
        </w:rPr>
        <w:t>ón del documento UPOV/INF/12/5 ‘</w:t>
      </w:r>
      <w:r w:rsidR="009100FC" w:rsidRPr="00B9398F">
        <w:rPr>
          <w:rFonts w:eastAsiaTheme="minorEastAsia"/>
          <w:lang w:val="es-419"/>
        </w:rPr>
        <w:t>Notas explicativas sobre las denominaciones de variedades con arreglo al Convenio de la</w:t>
      </w:r>
      <w:r w:rsidR="00A36B4C" w:rsidRPr="00B9398F">
        <w:rPr>
          <w:rFonts w:eastAsiaTheme="minorEastAsia"/>
          <w:lang w:val="es-419"/>
        </w:rPr>
        <w:t> </w:t>
      </w:r>
      <w:r w:rsidR="009100FC" w:rsidRPr="00B9398F">
        <w:rPr>
          <w:rFonts w:eastAsiaTheme="minorEastAsia"/>
          <w:lang w:val="es-419"/>
        </w:rPr>
        <w:t xml:space="preserve">UPOV”) </w:t>
      </w:r>
      <w:r w:rsidR="00CE6607" w:rsidRPr="00B9398F">
        <w:rPr>
          <w:rFonts w:eastAsiaTheme="minorEastAsia"/>
          <w:lang w:val="es-419" w:eastAsia="ja-JP"/>
        </w:rPr>
        <w:t xml:space="preserve">y </w:t>
      </w:r>
      <w:r w:rsidR="00D37F8D" w:rsidRPr="00B9398F">
        <w:rPr>
          <w:rFonts w:eastAsiaTheme="minorEastAsia"/>
          <w:lang w:val="es-419" w:eastAsia="ja-JP"/>
        </w:rPr>
        <w:t xml:space="preserve">el documento </w:t>
      </w:r>
      <w:hyperlink r:id="rId10" w:history="1">
        <w:r w:rsidR="00A36B4C" w:rsidRPr="00B9398F">
          <w:rPr>
            <w:rStyle w:val="Hyperlink"/>
            <w:rFonts w:eastAsiaTheme="minorEastAsia"/>
            <w:lang w:val="es-419" w:eastAsia="ja-JP"/>
          </w:rPr>
          <w:t>UPOV/</w:t>
        </w:r>
        <w:proofErr w:type="spellStart"/>
        <w:r w:rsidR="00A36B4C" w:rsidRPr="00B9398F">
          <w:rPr>
            <w:rStyle w:val="Hyperlink"/>
            <w:rFonts w:eastAsiaTheme="minorEastAsia"/>
            <w:lang w:val="es-419" w:eastAsia="ja-JP"/>
          </w:rPr>
          <w:t>EXN</w:t>
        </w:r>
        <w:proofErr w:type="spellEnd"/>
        <w:r w:rsidR="00A36B4C" w:rsidRPr="00B9398F">
          <w:rPr>
            <w:rStyle w:val="Hyperlink"/>
            <w:rFonts w:eastAsiaTheme="minorEastAsia"/>
            <w:lang w:val="es-419" w:eastAsia="ja-JP"/>
          </w:rPr>
          <w:t>/DEN/1 </w:t>
        </w:r>
        <w:proofErr w:type="spellStart"/>
        <w:r w:rsidR="00A36B4C" w:rsidRPr="00B9398F">
          <w:rPr>
            <w:rStyle w:val="Hyperlink"/>
            <w:rFonts w:eastAsiaTheme="minorEastAsia"/>
            <w:lang w:val="es-419" w:eastAsia="ja-JP"/>
          </w:rPr>
          <w:t>Draft</w:t>
        </w:r>
        <w:proofErr w:type="spellEnd"/>
        <w:r w:rsidR="00A36B4C" w:rsidRPr="00B9398F">
          <w:rPr>
            <w:rStyle w:val="Hyperlink"/>
            <w:rFonts w:eastAsiaTheme="minorEastAsia"/>
            <w:lang w:val="es-419" w:eastAsia="ja-JP"/>
          </w:rPr>
          <w:t> 1</w:t>
        </w:r>
      </w:hyperlink>
      <w:r w:rsidR="003B0507" w:rsidRPr="00B9398F">
        <w:rPr>
          <w:rFonts w:eastAsiaTheme="minorEastAsia"/>
          <w:i/>
          <w:lang w:val="es-419"/>
        </w:rPr>
        <w:t xml:space="preserve"> “</w:t>
      </w:r>
      <w:proofErr w:type="spellStart"/>
      <w:r w:rsidR="003B0507" w:rsidRPr="00B9398F">
        <w:rPr>
          <w:rFonts w:eastAsiaTheme="minorEastAsia"/>
          <w:i/>
          <w:lang w:val="es-419"/>
        </w:rPr>
        <w:t>Explanatory</w:t>
      </w:r>
      <w:proofErr w:type="spellEnd"/>
      <w:r w:rsidR="003B0507" w:rsidRPr="00B9398F">
        <w:rPr>
          <w:rFonts w:eastAsiaTheme="minorEastAsia"/>
          <w:i/>
          <w:lang w:val="es-419"/>
        </w:rPr>
        <w:t xml:space="preserve"> Notes </w:t>
      </w:r>
      <w:proofErr w:type="spellStart"/>
      <w:r w:rsidR="003B0507" w:rsidRPr="00B9398F">
        <w:rPr>
          <w:rFonts w:eastAsiaTheme="minorEastAsia"/>
          <w:i/>
          <w:lang w:val="es-419"/>
        </w:rPr>
        <w:t>on</w:t>
      </w:r>
      <w:proofErr w:type="spellEnd"/>
      <w:r w:rsidR="003B0507" w:rsidRPr="00B9398F">
        <w:rPr>
          <w:rFonts w:eastAsiaTheme="minorEastAsia"/>
          <w:i/>
          <w:lang w:val="es-419"/>
        </w:rPr>
        <w:t xml:space="preserve"> </w:t>
      </w:r>
      <w:proofErr w:type="spellStart"/>
      <w:r w:rsidR="003B0507" w:rsidRPr="00B9398F">
        <w:rPr>
          <w:rFonts w:eastAsiaTheme="minorEastAsia"/>
          <w:i/>
          <w:lang w:val="es-419"/>
        </w:rPr>
        <w:t>Variety</w:t>
      </w:r>
      <w:proofErr w:type="spellEnd"/>
      <w:r w:rsidR="003B0507" w:rsidRPr="00B9398F">
        <w:rPr>
          <w:rFonts w:eastAsiaTheme="minorEastAsia"/>
          <w:i/>
          <w:lang w:val="es-419"/>
        </w:rPr>
        <w:t xml:space="preserve"> </w:t>
      </w:r>
      <w:proofErr w:type="spellStart"/>
      <w:r w:rsidR="003B0507" w:rsidRPr="00B9398F">
        <w:rPr>
          <w:rFonts w:eastAsiaTheme="minorEastAsia"/>
          <w:i/>
          <w:lang w:val="es-419"/>
        </w:rPr>
        <w:t>Denominations</w:t>
      </w:r>
      <w:proofErr w:type="spellEnd"/>
      <w:r w:rsidR="003B0507" w:rsidRPr="00B9398F">
        <w:rPr>
          <w:rFonts w:eastAsiaTheme="minorEastAsia"/>
          <w:i/>
          <w:lang w:val="es-419"/>
        </w:rPr>
        <w:t xml:space="preserve"> </w:t>
      </w:r>
      <w:proofErr w:type="spellStart"/>
      <w:r w:rsidR="003B0507" w:rsidRPr="00B9398F">
        <w:rPr>
          <w:rFonts w:eastAsiaTheme="minorEastAsia"/>
          <w:i/>
          <w:lang w:val="es-419"/>
        </w:rPr>
        <w:t>under</w:t>
      </w:r>
      <w:proofErr w:type="spellEnd"/>
      <w:r w:rsidR="003B0507" w:rsidRPr="00B9398F">
        <w:rPr>
          <w:rFonts w:eastAsiaTheme="minorEastAsia"/>
          <w:i/>
          <w:lang w:val="es-419"/>
        </w:rPr>
        <w:t xml:space="preserve"> </w:t>
      </w:r>
      <w:proofErr w:type="spellStart"/>
      <w:r w:rsidR="003B0507" w:rsidRPr="00B9398F">
        <w:rPr>
          <w:rFonts w:eastAsiaTheme="minorEastAsia"/>
          <w:i/>
          <w:lang w:val="es-419"/>
        </w:rPr>
        <w:t>the</w:t>
      </w:r>
      <w:proofErr w:type="spellEnd"/>
      <w:r w:rsidR="003B0507" w:rsidRPr="00B9398F">
        <w:rPr>
          <w:rFonts w:eastAsiaTheme="minorEastAsia"/>
          <w:i/>
          <w:lang w:val="es-419"/>
        </w:rPr>
        <w:t xml:space="preserve"> UPOV </w:t>
      </w:r>
      <w:proofErr w:type="spellStart"/>
      <w:r w:rsidR="003B0507" w:rsidRPr="00B9398F">
        <w:rPr>
          <w:rFonts w:eastAsiaTheme="minorEastAsia"/>
          <w:i/>
          <w:lang w:val="es-419"/>
        </w:rPr>
        <w:t>Convention</w:t>
      </w:r>
      <w:proofErr w:type="spellEnd"/>
      <w:r w:rsidR="00B9398F" w:rsidRPr="00B9398F">
        <w:rPr>
          <w:rFonts w:eastAsiaTheme="minorEastAsia"/>
          <w:i/>
          <w:lang w:val="es-419"/>
        </w:rPr>
        <w:t xml:space="preserve"> (</w:t>
      </w:r>
      <w:proofErr w:type="spellStart"/>
      <w:r w:rsidR="00D07E5A">
        <w:rPr>
          <w:rFonts w:eastAsiaTheme="minorEastAsia"/>
          <w:i/>
          <w:lang w:val="es-419"/>
        </w:rPr>
        <w:t>R</w:t>
      </w:r>
      <w:r w:rsidR="00B9398F" w:rsidRPr="00B9398F">
        <w:rPr>
          <w:rFonts w:eastAsiaTheme="minorEastAsia"/>
          <w:i/>
          <w:lang w:val="es-419"/>
        </w:rPr>
        <w:t>evision</w:t>
      </w:r>
      <w:proofErr w:type="spellEnd"/>
      <w:r w:rsidR="00B9398F" w:rsidRPr="00B9398F">
        <w:rPr>
          <w:rFonts w:eastAsiaTheme="minorEastAsia"/>
          <w:i/>
          <w:lang w:val="es-419"/>
        </w:rPr>
        <w:t>)</w:t>
      </w:r>
      <w:r w:rsidR="003B0507" w:rsidRPr="00B9398F">
        <w:rPr>
          <w:rFonts w:eastAsiaTheme="minorEastAsia"/>
          <w:i/>
          <w:lang w:val="es-419"/>
        </w:rPr>
        <w:t>’</w:t>
      </w:r>
      <w:r w:rsidR="003B0507" w:rsidRPr="00B9398F">
        <w:rPr>
          <w:rFonts w:eastAsiaTheme="minorEastAsia"/>
          <w:lang w:val="es-419" w:eastAsia="ja-JP"/>
        </w:rPr>
        <w:t>” (</w:t>
      </w:r>
      <w:r w:rsidR="00CE6607" w:rsidRPr="00B9398F">
        <w:rPr>
          <w:rFonts w:eastAsiaTheme="minorEastAsia"/>
          <w:lang w:val="es-419" w:eastAsia="ja-JP"/>
        </w:rPr>
        <w:t>“</w:t>
      </w:r>
      <w:r w:rsidR="003B0507" w:rsidRPr="00B9398F">
        <w:rPr>
          <w:rFonts w:eastAsiaTheme="minorEastAsia"/>
          <w:iCs/>
          <w:lang w:val="es-419"/>
        </w:rPr>
        <w:t>Notas </w:t>
      </w:r>
      <w:r w:rsidR="009E49A4" w:rsidRPr="00B9398F">
        <w:rPr>
          <w:rFonts w:eastAsiaTheme="minorEastAsia"/>
          <w:iCs/>
          <w:lang w:val="es-419"/>
        </w:rPr>
        <w:t>explicativas sobre las denominaciones de variedades con arreglo al Convenio de la UPOV (revisión)</w:t>
      </w:r>
      <w:r w:rsidR="00CE6607" w:rsidRPr="00B9398F">
        <w:rPr>
          <w:rFonts w:eastAsiaTheme="minorEastAsia"/>
          <w:iCs/>
          <w:lang w:val="es-419"/>
        </w:rPr>
        <w:t>”</w:t>
      </w:r>
      <w:r w:rsidR="00CE6607" w:rsidRPr="00B9398F">
        <w:rPr>
          <w:rFonts w:eastAsiaTheme="minorEastAsia"/>
          <w:lang w:val="es-419" w:eastAsia="ja-JP"/>
        </w:rPr>
        <w:t>.</w:t>
      </w:r>
      <w:r w:rsidR="00785473" w:rsidRPr="00B9398F">
        <w:rPr>
          <w:rFonts w:eastAsiaTheme="minorEastAsia"/>
          <w:lang w:val="es-419" w:eastAsia="ja-JP"/>
        </w:rPr>
        <w:t xml:space="preserve"> </w:t>
      </w:r>
    </w:p>
    <w:p w:rsidR="00785473" w:rsidRPr="00E64D38" w:rsidRDefault="00785473" w:rsidP="00785473">
      <w:pPr>
        <w:rPr>
          <w:rFonts w:eastAsiaTheme="minorEastAsia"/>
          <w:lang w:val="es-419" w:eastAsia="ja-JP"/>
        </w:rPr>
      </w:pPr>
    </w:p>
    <w:p w:rsidR="00785473" w:rsidRPr="00E64D38" w:rsidRDefault="009337B9" w:rsidP="00785473">
      <w:pPr>
        <w:rPr>
          <w:rFonts w:eastAsiaTheme="minorEastAsia"/>
          <w:lang w:val="es-419" w:eastAsia="ja-JP"/>
        </w:rPr>
      </w:pPr>
      <w:r w:rsidRPr="00E64D38">
        <w:rPr>
          <w:rFonts w:eastAsiaTheme="minorEastAsia"/>
          <w:lang w:val="es-419"/>
        </w:rPr>
        <w:fldChar w:fldCharType="begin"/>
      </w:r>
      <w:r w:rsidR="00785473" w:rsidRPr="00E64D38">
        <w:rPr>
          <w:rFonts w:eastAsiaTheme="minorEastAsia"/>
          <w:lang w:val="es-419"/>
        </w:rPr>
        <w:instrText xml:space="preserve"> AUTONUM  </w:instrText>
      </w:r>
      <w:r w:rsidRPr="00E64D38">
        <w:rPr>
          <w:rFonts w:eastAsiaTheme="minorEastAsia"/>
          <w:lang w:val="es-419"/>
        </w:rPr>
        <w:fldChar w:fldCharType="end"/>
      </w:r>
      <w:r w:rsidR="00785473" w:rsidRPr="00E64D38">
        <w:rPr>
          <w:rFonts w:eastAsiaTheme="minorEastAsia"/>
          <w:lang w:val="es-419"/>
        </w:rPr>
        <w:tab/>
      </w:r>
      <w:r w:rsidR="00C177D4" w:rsidRPr="00E64D38">
        <w:rPr>
          <w:rFonts w:eastAsiaTheme="minorEastAsia"/>
          <w:lang w:val="es-419"/>
        </w:rPr>
        <w:t xml:space="preserve">El informe de la </w:t>
      </w:r>
      <w:r w:rsidR="00483982" w:rsidRPr="00E64D38">
        <w:rPr>
          <w:rFonts w:eastAsiaTheme="minorEastAsia"/>
          <w:lang w:val="es-419"/>
        </w:rPr>
        <w:t xml:space="preserve">quinta </w:t>
      </w:r>
      <w:r w:rsidR="00C177D4" w:rsidRPr="00E64D38">
        <w:rPr>
          <w:rFonts w:eastAsiaTheme="minorEastAsia"/>
          <w:lang w:val="es-419"/>
        </w:rPr>
        <w:t>reunión figura en el documento</w:t>
      </w:r>
      <w:hyperlink r:id="rId11" w:history="1">
        <w:r w:rsidR="00C177D4" w:rsidRPr="00E64D38">
          <w:rPr>
            <w:lang w:val="es-419"/>
          </w:rPr>
          <w:t xml:space="preserve"> </w:t>
        </w:r>
        <w:r w:rsidR="00C177D4" w:rsidRPr="00E64D38">
          <w:rPr>
            <w:rStyle w:val="Hyperlink"/>
            <w:rFonts w:eastAsiaTheme="minorEastAsia"/>
            <w:lang w:val="es-419" w:eastAsia="ja-JP"/>
          </w:rPr>
          <w:t>UPOV/WG-DEN/5/3</w:t>
        </w:r>
      </w:hyperlink>
      <w:r w:rsidR="00C177D4" w:rsidRPr="00E64D38">
        <w:rPr>
          <w:lang w:val="es-419"/>
        </w:rPr>
        <w:t xml:space="preserve"> </w:t>
      </w:r>
      <w:r w:rsidR="00C177D4" w:rsidRPr="00E64D38">
        <w:rPr>
          <w:rFonts w:eastAsiaTheme="minorEastAsia"/>
          <w:lang w:val="es-419"/>
        </w:rPr>
        <w:t>“</w:t>
      </w:r>
      <w:r w:rsidR="00C177D4" w:rsidRPr="00E64D38">
        <w:rPr>
          <w:rFonts w:eastAsiaTheme="minorEastAsia"/>
          <w:i/>
          <w:lang w:val="es-419"/>
        </w:rPr>
        <w:t>Report</w:t>
      </w:r>
      <w:r w:rsidR="00C177D4" w:rsidRPr="00E64D38">
        <w:rPr>
          <w:rFonts w:eastAsiaTheme="minorEastAsia"/>
          <w:lang w:val="es-419"/>
        </w:rPr>
        <w:t>” (Informe).</w:t>
      </w:r>
    </w:p>
    <w:p w:rsidR="00785473" w:rsidRPr="00E64D38" w:rsidRDefault="00785473" w:rsidP="00785473">
      <w:pPr>
        <w:rPr>
          <w:rFonts w:eastAsiaTheme="minorEastAsia"/>
          <w:lang w:val="es-419" w:eastAsia="ja-JP"/>
        </w:rPr>
      </w:pPr>
    </w:p>
    <w:p w:rsidR="00785473" w:rsidRPr="00E64D38" w:rsidRDefault="009337B9" w:rsidP="00785473">
      <w:pPr>
        <w:rPr>
          <w:rFonts w:eastAsiaTheme="minorEastAsia"/>
          <w:spacing w:val="-2"/>
          <w:lang w:val="es-419" w:eastAsia="ja-JP"/>
        </w:rPr>
      </w:pPr>
      <w:r w:rsidRPr="00E64D38">
        <w:rPr>
          <w:rFonts w:eastAsiaTheme="minorEastAsia"/>
          <w:lang w:val="es-419" w:eastAsia="ja-JP"/>
        </w:rPr>
        <w:fldChar w:fldCharType="begin"/>
      </w:r>
      <w:r w:rsidR="00785473" w:rsidRPr="00E64D38">
        <w:rPr>
          <w:rFonts w:eastAsiaTheme="minorEastAsia"/>
          <w:lang w:val="es-419" w:eastAsia="ja-JP"/>
        </w:rPr>
        <w:instrText xml:space="preserve"> AUTONUM  </w:instrText>
      </w:r>
      <w:r w:rsidRPr="00E64D38">
        <w:rPr>
          <w:rFonts w:eastAsiaTheme="minorEastAsia"/>
          <w:lang w:val="es-419" w:eastAsia="ja-JP"/>
        </w:rPr>
        <w:fldChar w:fldCharType="end"/>
      </w:r>
      <w:r w:rsidR="00785473" w:rsidRPr="00E64D38">
        <w:rPr>
          <w:rFonts w:eastAsiaTheme="minorEastAsia"/>
          <w:lang w:val="es-419" w:eastAsia="ja-JP"/>
        </w:rPr>
        <w:tab/>
      </w:r>
      <w:r w:rsidR="00483982" w:rsidRPr="00E64D38">
        <w:rPr>
          <w:rFonts w:eastAsiaTheme="minorEastAsia"/>
          <w:lang w:val="es-419" w:eastAsia="ja-JP"/>
        </w:rPr>
        <w:t>El WG-DEN convino en que</w:t>
      </w:r>
      <w:r w:rsidR="006D4F2A" w:rsidRPr="00E64D38">
        <w:rPr>
          <w:rFonts w:eastAsiaTheme="minorEastAsia"/>
          <w:lang w:val="es-419" w:eastAsia="ja-JP"/>
        </w:rPr>
        <w:t>,</w:t>
      </w:r>
      <w:r w:rsidR="00483982" w:rsidRPr="00E64D38">
        <w:rPr>
          <w:rFonts w:eastAsiaTheme="minorEastAsia"/>
          <w:lang w:val="es-419" w:eastAsia="ja-JP"/>
        </w:rPr>
        <w:t xml:space="preserve"> </w:t>
      </w:r>
      <w:r w:rsidR="006D4F2A" w:rsidRPr="00E64D38">
        <w:rPr>
          <w:rFonts w:eastAsiaTheme="minorEastAsia"/>
          <w:lang w:val="es-419" w:eastAsia="ja-JP"/>
        </w:rPr>
        <w:t xml:space="preserve">a principios de 2019, </w:t>
      </w:r>
      <w:r w:rsidR="00CE2499" w:rsidRPr="00E64D38">
        <w:rPr>
          <w:rFonts w:eastAsiaTheme="minorEastAsia"/>
          <w:lang w:val="es-419" w:eastAsia="ja-JP"/>
        </w:rPr>
        <w:t xml:space="preserve">se ha de distribuir por correspondencia </w:t>
      </w:r>
      <w:r w:rsidR="00A20414" w:rsidRPr="00E64D38">
        <w:rPr>
          <w:rFonts w:eastAsiaTheme="minorEastAsia"/>
          <w:lang w:val="es-419" w:eastAsia="ja-JP"/>
        </w:rPr>
        <w:t xml:space="preserve">una nueva versión </w:t>
      </w:r>
      <w:r w:rsidR="00483982" w:rsidRPr="00E64D38">
        <w:rPr>
          <w:rFonts w:eastAsiaTheme="minorEastAsia"/>
          <w:lang w:val="es-419" w:eastAsia="ja-JP"/>
        </w:rPr>
        <w:t xml:space="preserve">de las secciones pertinentes del documento UPOV/EXN/DEN </w:t>
      </w:r>
      <w:r w:rsidR="00CE2499" w:rsidRPr="00E64D38">
        <w:rPr>
          <w:rFonts w:eastAsiaTheme="minorEastAsia"/>
          <w:lang w:val="es-419" w:eastAsia="ja-JP"/>
        </w:rPr>
        <w:t>para que se formulen observaciones a este grupo de trabajo</w:t>
      </w:r>
      <w:r w:rsidR="00483982" w:rsidRPr="00E64D38">
        <w:rPr>
          <w:rFonts w:eastAsiaTheme="minorEastAsia"/>
          <w:lang w:val="es-419" w:eastAsia="ja-JP"/>
        </w:rPr>
        <w:t>.</w:t>
      </w:r>
      <w:r w:rsidR="00785473" w:rsidRPr="00E64D38">
        <w:rPr>
          <w:rFonts w:eastAsiaTheme="minorEastAsia"/>
          <w:lang w:val="es-419" w:eastAsia="ja-JP"/>
        </w:rPr>
        <w:t xml:space="preserve"> </w:t>
      </w:r>
      <w:r w:rsidR="008D6EDE">
        <w:rPr>
          <w:rFonts w:eastAsiaTheme="minorEastAsia"/>
          <w:lang w:val="es-419" w:eastAsia="ja-JP"/>
        </w:rPr>
        <w:t xml:space="preserve"> 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El </w:t>
      </w:r>
      <w:proofErr w:type="spellStart"/>
      <w:r w:rsidR="00D70EF7" w:rsidRPr="00E64D38">
        <w:rPr>
          <w:rFonts w:eastAsiaTheme="minorEastAsia"/>
          <w:spacing w:val="-2"/>
          <w:lang w:val="es-419" w:eastAsia="ja-JP"/>
        </w:rPr>
        <w:t>WG</w:t>
      </w:r>
      <w:proofErr w:type="spellEnd"/>
      <w:r w:rsidR="00D70EF7" w:rsidRPr="00E64D38">
        <w:rPr>
          <w:rFonts w:eastAsiaTheme="minorEastAsia"/>
          <w:spacing w:val="-2"/>
          <w:lang w:val="es-419" w:eastAsia="ja-JP"/>
        </w:rPr>
        <w:t xml:space="preserve">-DEN convino asimismo en que </w:t>
      </w:r>
      <w:r w:rsidR="006015FF" w:rsidRPr="00E64D38">
        <w:rPr>
          <w:rFonts w:eastAsiaTheme="minorEastAsia"/>
          <w:spacing w:val="-2"/>
          <w:lang w:val="es-419" w:eastAsia="ja-JP"/>
        </w:rPr>
        <w:t>el documento UPOV/EXN/DEN/1 Draft 2 ha de elaborarse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 teniendo en cuenta las observaciones</w:t>
      </w:r>
      <w:r w:rsidR="006D4F2A" w:rsidRPr="00E64D38">
        <w:rPr>
          <w:rFonts w:eastAsiaTheme="minorEastAsia"/>
          <w:spacing w:val="-2"/>
          <w:lang w:val="es-419" w:eastAsia="ja-JP"/>
        </w:rPr>
        <w:t xml:space="preserve"> recibidas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 por correspondencia y </w:t>
      </w:r>
      <w:r w:rsidR="006015FF" w:rsidRPr="00E64D38">
        <w:rPr>
          <w:rFonts w:eastAsiaTheme="minorEastAsia"/>
          <w:spacing w:val="-2"/>
          <w:lang w:val="es-419" w:eastAsia="ja-JP"/>
        </w:rPr>
        <w:t xml:space="preserve">ha de presentarse </w:t>
      </w:r>
      <w:r w:rsidR="006D4F2A" w:rsidRPr="00E64D38">
        <w:rPr>
          <w:rFonts w:eastAsiaTheme="minorEastAsia"/>
          <w:spacing w:val="-2"/>
          <w:lang w:val="es-419" w:eastAsia="ja-JP"/>
        </w:rPr>
        <w:t xml:space="preserve">en la </w:t>
      </w:r>
      <w:r w:rsidR="00D70EF7" w:rsidRPr="00E64D38">
        <w:rPr>
          <w:rFonts w:eastAsiaTheme="minorEastAsia"/>
          <w:spacing w:val="-2"/>
          <w:lang w:val="es-419" w:eastAsia="ja-JP"/>
        </w:rPr>
        <w:t>sexta reunión de</w:t>
      </w:r>
      <w:r w:rsidR="006D4F2A" w:rsidRPr="00E64D38">
        <w:rPr>
          <w:rFonts w:eastAsiaTheme="minorEastAsia"/>
          <w:spacing w:val="-2"/>
          <w:lang w:val="es-419" w:eastAsia="ja-JP"/>
        </w:rPr>
        <w:t>l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 WG-DEN, </w:t>
      </w:r>
      <w:r w:rsidR="006D4F2A" w:rsidRPr="00E64D38">
        <w:rPr>
          <w:rFonts w:eastAsiaTheme="minorEastAsia"/>
          <w:spacing w:val="-2"/>
          <w:lang w:val="es-419" w:eastAsia="ja-JP"/>
        </w:rPr>
        <w:t>prevista el 29 de octubre de 2019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, y </w:t>
      </w:r>
      <w:r w:rsidR="006D4F2A" w:rsidRPr="00E64D38">
        <w:rPr>
          <w:rFonts w:eastAsiaTheme="minorEastAsia"/>
          <w:spacing w:val="-2"/>
          <w:lang w:val="es-419" w:eastAsia="ja-JP"/>
        </w:rPr>
        <w:t>en la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 septuagésima</w:t>
      </w:r>
      <w:r w:rsidR="006D4F2A" w:rsidRPr="00E64D38">
        <w:rPr>
          <w:rFonts w:eastAsiaTheme="minorEastAsia"/>
          <w:spacing w:val="-2"/>
          <w:lang w:val="es-419" w:eastAsia="ja-JP"/>
        </w:rPr>
        <w:t xml:space="preserve"> 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sexta sesión </w:t>
      </w:r>
      <w:r w:rsidR="006D4F2A" w:rsidRPr="00E64D38">
        <w:rPr>
          <w:rFonts w:eastAsiaTheme="minorEastAsia"/>
          <w:spacing w:val="-2"/>
          <w:lang w:val="es-419" w:eastAsia="ja-JP"/>
        </w:rPr>
        <w:t>d</w:t>
      </w:r>
      <w:r w:rsidR="00D70EF7" w:rsidRPr="00E64D38">
        <w:rPr>
          <w:rFonts w:eastAsiaTheme="minorEastAsia"/>
          <w:spacing w:val="-2"/>
          <w:lang w:val="es-419" w:eastAsia="ja-JP"/>
        </w:rPr>
        <w:t xml:space="preserve">el CAJ, </w:t>
      </w:r>
      <w:r w:rsidR="006D4F2A" w:rsidRPr="00E64D38">
        <w:rPr>
          <w:rFonts w:eastAsiaTheme="minorEastAsia"/>
          <w:spacing w:val="-2"/>
          <w:lang w:val="es-419" w:eastAsia="ja-JP"/>
        </w:rPr>
        <w:t>prevista el 30 de octubre de 2019</w:t>
      </w:r>
      <w:r w:rsidR="00D70EF7" w:rsidRPr="00E64D38">
        <w:rPr>
          <w:rFonts w:eastAsiaTheme="minorEastAsia"/>
          <w:spacing w:val="-2"/>
          <w:lang w:val="es-419" w:eastAsia="ja-JP"/>
        </w:rPr>
        <w:t>.</w:t>
      </w:r>
      <w:r w:rsidR="00E4199D" w:rsidRPr="00E64D38">
        <w:rPr>
          <w:rFonts w:eastAsiaTheme="minorEastAsia"/>
          <w:spacing w:val="-2"/>
          <w:lang w:val="es-419" w:eastAsia="ja-JP"/>
        </w:rPr>
        <w:t xml:space="preserve"> </w:t>
      </w:r>
    </w:p>
    <w:p w:rsidR="00785473" w:rsidRPr="00E64D38" w:rsidRDefault="00785473" w:rsidP="00785473">
      <w:pPr>
        <w:rPr>
          <w:rFonts w:eastAsiaTheme="minorEastAsia"/>
          <w:spacing w:val="-2"/>
          <w:lang w:val="es-419" w:eastAsia="ja-JP"/>
        </w:rPr>
      </w:pPr>
    </w:p>
    <w:p w:rsidR="00785473" w:rsidRPr="008D6EDE" w:rsidRDefault="009337B9" w:rsidP="00785473">
      <w:pPr>
        <w:rPr>
          <w:lang w:val="es-419"/>
        </w:rPr>
      </w:pPr>
      <w:r w:rsidRPr="008D6EDE">
        <w:rPr>
          <w:snapToGrid w:val="0"/>
          <w:spacing w:val="2"/>
          <w:lang w:val="es-419"/>
        </w:rPr>
        <w:fldChar w:fldCharType="begin"/>
      </w:r>
      <w:r w:rsidR="00785473" w:rsidRPr="008D6EDE">
        <w:rPr>
          <w:snapToGrid w:val="0"/>
          <w:spacing w:val="2"/>
          <w:lang w:val="es-419"/>
        </w:rPr>
        <w:instrText xml:space="preserve"> AUTONUM  </w:instrText>
      </w:r>
      <w:r w:rsidRPr="008D6EDE">
        <w:rPr>
          <w:snapToGrid w:val="0"/>
          <w:spacing w:val="2"/>
          <w:lang w:val="es-419"/>
        </w:rPr>
        <w:fldChar w:fldCharType="end"/>
      </w:r>
      <w:r w:rsidR="00785473" w:rsidRPr="008D6EDE">
        <w:rPr>
          <w:snapToGrid w:val="0"/>
          <w:spacing w:val="2"/>
          <w:lang w:val="es-419"/>
        </w:rPr>
        <w:tab/>
      </w:r>
      <w:r w:rsidR="00F7289F">
        <w:rPr>
          <w:snapToGrid w:val="0"/>
          <w:spacing w:val="2"/>
          <w:lang w:val="es-419"/>
        </w:rPr>
        <w:t xml:space="preserve">El </w:t>
      </w:r>
      <w:r w:rsidR="00ED00D3" w:rsidRPr="008D6EDE">
        <w:rPr>
          <w:snapToGrid w:val="0"/>
          <w:spacing w:val="2"/>
          <w:lang w:val="es-419" w:eastAsia="ja-JP"/>
        </w:rPr>
        <w:t>18</w:t>
      </w:r>
      <w:r w:rsidR="00ED00D3" w:rsidRPr="008D6EDE">
        <w:rPr>
          <w:snapToGrid w:val="0"/>
          <w:spacing w:val="2"/>
          <w:lang w:val="es-419"/>
        </w:rPr>
        <w:t xml:space="preserve"> de abril de 2019</w:t>
      </w:r>
      <w:r w:rsidR="006015FF" w:rsidRPr="008D6EDE">
        <w:rPr>
          <w:snapToGrid w:val="0"/>
          <w:spacing w:val="2"/>
          <w:lang w:val="es-419"/>
        </w:rPr>
        <w:t xml:space="preserve">, la Oficina </w:t>
      </w:r>
      <w:r w:rsidR="00ED00D3" w:rsidRPr="008D6EDE">
        <w:rPr>
          <w:snapToGrid w:val="0"/>
          <w:spacing w:val="2"/>
          <w:lang w:val="es-419"/>
        </w:rPr>
        <w:t>de la </w:t>
      </w:r>
      <w:r w:rsidR="006015FF" w:rsidRPr="008D6EDE">
        <w:rPr>
          <w:snapToGrid w:val="0"/>
          <w:spacing w:val="2"/>
          <w:lang w:val="es-419"/>
        </w:rPr>
        <w:t xml:space="preserve">Unión </w:t>
      </w:r>
      <w:r w:rsidR="00ED00D3" w:rsidRPr="008D6EDE">
        <w:rPr>
          <w:snapToGrid w:val="0"/>
          <w:spacing w:val="2"/>
          <w:lang w:val="es-419"/>
        </w:rPr>
        <w:t xml:space="preserve">envió la circular </w:t>
      </w:r>
      <w:r w:rsidR="006015FF" w:rsidRPr="008D6EDE">
        <w:rPr>
          <w:spacing w:val="2"/>
          <w:lang w:val="es-419"/>
        </w:rPr>
        <w:t>E-19/</w:t>
      </w:r>
      <w:r w:rsidR="006015FF" w:rsidRPr="008D6EDE">
        <w:rPr>
          <w:spacing w:val="2"/>
          <w:lang w:val="es-419" w:eastAsia="ja-JP"/>
        </w:rPr>
        <w:t>041</w:t>
      </w:r>
      <w:r w:rsidR="006015FF" w:rsidRPr="008D6EDE">
        <w:rPr>
          <w:spacing w:val="2"/>
          <w:lang w:val="es-419"/>
        </w:rPr>
        <w:t xml:space="preserve"> </w:t>
      </w:r>
      <w:r w:rsidR="00ED00D3" w:rsidRPr="008D6EDE">
        <w:rPr>
          <w:snapToGrid w:val="0"/>
          <w:spacing w:val="2"/>
          <w:lang w:val="es-419"/>
        </w:rPr>
        <w:t xml:space="preserve">a las personas designadas </w:t>
      </w:r>
      <w:r w:rsidR="00933F99" w:rsidRPr="008D6EDE">
        <w:rPr>
          <w:spacing w:val="2"/>
          <w:lang w:val="es-419"/>
        </w:rPr>
        <w:t>de</w:t>
      </w:r>
      <w:r w:rsidR="006015FF" w:rsidRPr="008D6EDE">
        <w:rPr>
          <w:spacing w:val="2"/>
          <w:lang w:val="es-419"/>
        </w:rPr>
        <w:t xml:space="preserve"> </w:t>
      </w:r>
      <w:r w:rsidR="00ED00D3" w:rsidRPr="008D6EDE">
        <w:rPr>
          <w:spacing w:val="2"/>
          <w:lang w:val="es-419"/>
        </w:rPr>
        <w:t xml:space="preserve">los </w:t>
      </w:r>
      <w:r w:rsidR="006015FF" w:rsidRPr="008D6EDE">
        <w:rPr>
          <w:spacing w:val="2"/>
          <w:lang w:val="es-419"/>
        </w:rPr>
        <w:t>miembros de</w:t>
      </w:r>
      <w:r w:rsidR="0002290F" w:rsidRPr="008D6EDE">
        <w:rPr>
          <w:spacing w:val="2"/>
          <w:lang w:val="es-419"/>
        </w:rPr>
        <w:t>l</w:t>
      </w:r>
      <w:r w:rsidR="006015FF" w:rsidRPr="008D6EDE">
        <w:rPr>
          <w:spacing w:val="2"/>
          <w:lang w:val="es-419"/>
        </w:rPr>
        <w:t xml:space="preserve"> WG-DEN, </w:t>
      </w:r>
      <w:r w:rsidR="0002290F" w:rsidRPr="008D6EDE">
        <w:rPr>
          <w:spacing w:val="2"/>
          <w:lang w:val="es-419"/>
        </w:rPr>
        <w:t xml:space="preserve">en la que se les invitaba </w:t>
      </w:r>
      <w:r w:rsidR="006015FF" w:rsidRPr="008D6EDE">
        <w:rPr>
          <w:spacing w:val="2"/>
          <w:lang w:val="es-419"/>
        </w:rPr>
        <w:t xml:space="preserve">a </w:t>
      </w:r>
      <w:r w:rsidR="0002290F" w:rsidRPr="008D6EDE">
        <w:rPr>
          <w:spacing w:val="2"/>
          <w:lang w:val="es-419"/>
        </w:rPr>
        <w:t>examinar las</w:t>
      </w:r>
      <w:r w:rsidR="006015FF" w:rsidRPr="008D6EDE">
        <w:rPr>
          <w:spacing w:val="2"/>
          <w:lang w:val="es-419"/>
        </w:rPr>
        <w:t xml:space="preserve"> propuestas </w:t>
      </w:r>
      <w:r w:rsidR="0002290F" w:rsidRPr="008D6EDE">
        <w:rPr>
          <w:spacing w:val="2"/>
          <w:lang w:val="es-419"/>
        </w:rPr>
        <w:t>relativas a</w:t>
      </w:r>
      <w:r w:rsidR="006015FF" w:rsidRPr="008D6EDE">
        <w:rPr>
          <w:spacing w:val="2"/>
          <w:lang w:val="es-419"/>
        </w:rPr>
        <w:t xml:space="preserve"> </w:t>
      </w:r>
      <w:r w:rsidR="0002290F" w:rsidRPr="008D6EDE">
        <w:rPr>
          <w:snapToGrid w:val="0"/>
          <w:spacing w:val="2"/>
          <w:lang w:val="es-419"/>
        </w:rPr>
        <w:t xml:space="preserve">las secciones pertinentes </w:t>
      </w:r>
      <w:r w:rsidR="006015FF" w:rsidRPr="008D6EDE">
        <w:rPr>
          <w:spacing w:val="2"/>
          <w:lang w:val="es-419"/>
        </w:rPr>
        <w:t xml:space="preserve">del documento UPOV/EXN/DEN y </w:t>
      </w:r>
      <w:r w:rsidR="0002290F" w:rsidRPr="008D6EDE">
        <w:rPr>
          <w:spacing w:val="2"/>
          <w:lang w:val="es-419"/>
        </w:rPr>
        <w:t>remitir sus</w:t>
      </w:r>
      <w:r w:rsidR="006015FF" w:rsidRPr="008D6EDE">
        <w:rPr>
          <w:spacing w:val="2"/>
          <w:lang w:val="es-419"/>
        </w:rPr>
        <w:t xml:space="preserve"> comentarios.</w:t>
      </w:r>
      <w:r w:rsidR="008D6EDE" w:rsidRPr="008D6EDE">
        <w:rPr>
          <w:lang w:val="es-419"/>
        </w:rPr>
        <w:t xml:space="preserve"> </w:t>
      </w:r>
      <w:r w:rsidR="00785473" w:rsidRPr="008D6EDE">
        <w:rPr>
          <w:lang w:val="es-419"/>
        </w:rPr>
        <w:t xml:space="preserve"> </w:t>
      </w:r>
      <w:r w:rsidR="00BF289A" w:rsidRPr="008D6EDE">
        <w:rPr>
          <w:rFonts w:eastAsiaTheme="minorEastAsia"/>
          <w:lang w:val="es-419" w:eastAsia="ja-JP"/>
        </w:rPr>
        <w:t xml:space="preserve">El documento </w:t>
      </w:r>
      <w:r w:rsidR="0002290F" w:rsidRPr="008D6EDE">
        <w:rPr>
          <w:rFonts w:eastAsiaTheme="minorEastAsia"/>
          <w:lang w:val="es-419" w:eastAsia="ja-JP"/>
        </w:rPr>
        <w:t>UPOV/EXN/DEN/1</w:t>
      </w:r>
      <w:r w:rsidR="00BF289A" w:rsidRPr="008D6EDE">
        <w:rPr>
          <w:rFonts w:eastAsiaTheme="minorEastAsia"/>
          <w:lang w:val="es-419" w:eastAsia="ja-JP"/>
        </w:rPr>
        <w:t> </w:t>
      </w:r>
      <w:r w:rsidR="0002290F" w:rsidRPr="008D6EDE">
        <w:rPr>
          <w:rFonts w:eastAsiaTheme="minorEastAsia"/>
          <w:lang w:val="es-419" w:eastAsia="ja-JP"/>
        </w:rPr>
        <w:t xml:space="preserve">Draft 2 </w:t>
      </w:r>
      <w:r w:rsidR="00BF289A" w:rsidRPr="008D6EDE">
        <w:rPr>
          <w:rFonts w:eastAsiaTheme="minorEastAsia"/>
          <w:lang w:val="es-419" w:eastAsia="ja-JP"/>
        </w:rPr>
        <w:t>ha sido elaborado teniendo en cuenta l</w:t>
      </w:r>
      <w:r w:rsidR="000A1C7E" w:rsidRPr="008D6EDE">
        <w:rPr>
          <w:rFonts w:eastAsiaTheme="minorEastAsia"/>
          <w:lang w:val="es-419" w:eastAsia="ja-JP"/>
        </w:rPr>
        <w:t>a</w:t>
      </w:r>
      <w:r w:rsidR="00BF289A" w:rsidRPr="008D6EDE">
        <w:rPr>
          <w:rFonts w:eastAsiaTheme="minorEastAsia"/>
          <w:lang w:val="es-419" w:eastAsia="ja-JP"/>
        </w:rPr>
        <w:t xml:space="preserve">s </w:t>
      </w:r>
      <w:r w:rsidR="000A1C7E" w:rsidRPr="008D6EDE">
        <w:rPr>
          <w:rFonts w:eastAsiaTheme="minorEastAsia"/>
          <w:lang w:val="es-419" w:eastAsia="ja-JP"/>
        </w:rPr>
        <w:t>respuestas recibida</w:t>
      </w:r>
      <w:r w:rsidR="00BF289A" w:rsidRPr="008D6EDE">
        <w:rPr>
          <w:rFonts w:eastAsiaTheme="minorEastAsia"/>
          <w:lang w:val="es-419" w:eastAsia="ja-JP"/>
        </w:rPr>
        <w:t xml:space="preserve">s </w:t>
      </w:r>
      <w:r w:rsidR="0002290F" w:rsidRPr="008D6EDE">
        <w:rPr>
          <w:rFonts w:eastAsiaTheme="minorEastAsia"/>
          <w:lang w:val="es-419" w:eastAsia="ja-JP"/>
        </w:rPr>
        <w:t xml:space="preserve">y </w:t>
      </w:r>
      <w:r w:rsidR="00BF289A" w:rsidRPr="008D6EDE">
        <w:rPr>
          <w:rFonts w:eastAsiaTheme="minorEastAsia"/>
          <w:lang w:val="es-419" w:eastAsia="ja-JP"/>
        </w:rPr>
        <w:t>será examinado</w:t>
      </w:r>
      <w:r w:rsidR="0002290F" w:rsidRPr="008D6EDE">
        <w:rPr>
          <w:rFonts w:eastAsiaTheme="minorEastAsia"/>
          <w:lang w:val="es-419" w:eastAsia="ja-JP"/>
        </w:rPr>
        <w:t xml:space="preserve"> </w:t>
      </w:r>
      <w:r w:rsidR="00BF289A" w:rsidRPr="008D6EDE">
        <w:rPr>
          <w:rFonts w:eastAsiaTheme="minorEastAsia"/>
          <w:lang w:val="es-419" w:eastAsia="ja-JP"/>
        </w:rPr>
        <w:t xml:space="preserve">por el WG-DEN en su sexta reunión </w:t>
      </w:r>
      <w:r w:rsidR="0002290F" w:rsidRPr="008D6EDE">
        <w:rPr>
          <w:rFonts w:eastAsiaTheme="minorEastAsia"/>
          <w:lang w:val="es-419" w:eastAsia="ja-JP"/>
        </w:rPr>
        <w:t xml:space="preserve">y por el CAJ </w:t>
      </w:r>
      <w:r w:rsidR="00BF289A" w:rsidRPr="008D6EDE">
        <w:rPr>
          <w:rFonts w:eastAsiaTheme="minorEastAsia"/>
          <w:lang w:val="es-419" w:eastAsia="ja-JP"/>
        </w:rPr>
        <w:t xml:space="preserve">en su </w:t>
      </w:r>
      <w:r w:rsidR="0002290F" w:rsidRPr="008D6EDE">
        <w:rPr>
          <w:rFonts w:eastAsiaTheme="minorEastAsia"/>
          <w:lang w:val="es-419" w:eastAsia="ja-JP"/>
        </w:rPr>
        <w:t>septuagésima</w:t>
      </w:r>
      <w:r w:rsidR="00BF289A" w:rsidRPr="008D6EDE">
        <w:rPr>
          <w:rFonts w:eastAsiaTheme="minorEastAsia"/>
          <w:lang w:val="es-419" w:eastAsia="ja-JP"/>
        </w:rPr>
        <w:t xml:space="preserve"> </w:t>
      </w:r>
      <w:r w:rsidR="0002290F" w:rsidRPr="008D6EDE">
        <w:rPr>
          <w:rFonts w:eastAsiaTheme="minorEastAsia"/>
          <w:lang w:val="es-419" w:eastAsia="ja-JP"/>
        </w:rPr>
        <w:t>sexta sesión.</w:t>
      </w:r>
    </w:p>
    <w:p w:rsidR="00785473" w:rsidRPr="00E64D38" w:rsidRDefault="00785473" w:rsidP="00785473">
      <w:pPr>
        <w:rPr>
          <w:rFonts w:eastAsiaTheme="minorEastAsia"/>
          <w:lang w:val="es-419" w:eastAsia="ja-JP"/>
        </w:rPr>
      </w:pPr>
    </w:p>
    <w:p w:rsidR="00785473" w:rsidRPr="00E64D38" w:rsidRDefault="009337B9" w:rsidP="00785473">
      <w:pPr>
        <w:rPr>
          <w:rFonts w:eastAsiaTheme="minorEastAsia"/>
          <w:spacing w:val="-2"/>
          <w:lang w:val="es-419" w:eastAsia="ja-JP"/>
        </w:rPr>
      </w:pPr>
      <w:r w:rsidRPr="00E64D38">
        <w:rPr>
          <w:snapToGrid w:val="0"/>
          <w:lang w:val="es-419"/>
        </w:rPr>
        <w:fldChar w:fldCharType="begin"/>
      </w:r>
      <w:r w:rsidR="00785473" w:rsidRPr="00E64D38">
        <w:rPr>
          <w:snapToGrid w:val="0"/>
          <w:lang w:val="es-419"/>
        </w:rPr>
        <w:instrText xml:space="preserve"> AUTONUM  </w:instrText>
      </w:r>
      <w:r w:rsidRPr="00E64D38">
        <w:rPr>
          <w:snapToGrid w:val="0"/>
          <w:lang w:val="es-419"/>
        </w:rPr>
        <w:fldChar w:fldCharType="end"/>
      </w:r>
      <w:r w:rsidR="00785473" w:rsidRPr="00E64D38">
        <w:rPr>
          <w:snapToGrid w:val="0"/>
          <w:lang w:val="es-419"/>
        </w:rPr>
        <w:tab/>
      </w:r>
      <w:r w:rsidR="00BF289A" w:rsidRPr="00E64D38">
        <w:rPr>
          <w:rFonts w:eastAsiaTheme="minorEastAsia"/>
          <w:spacing w:val="-2"/>
          <w:lang w:val="es-419" w:eastAsia="ja-JP"/>
        </w:rPr>
        <w:t>Las observaciones que se formulen en la sexta reunión del WG-DEN acerca del documento UPOV/EXN/DEN/1 Draft 2 se presentarán al CAJ en su septuagésima sexta sesión, en una adición al documento CAJ/76/6.</w:t>
      </w:r>
    </w:p>
    <w:p w:rsidR="00785473" w:rsidRPr="007F5541" w:rsidRDefault="00785473" w:rsidP="00785473">
      <w:pPr>
        <w:autoSpaceDE w:val="0"/>
        <w:autoSpaceDN w:val="0"/>
        <w:adjustRightInd w:val="0"/>
        <w:jc w:val="left"/>
        <w:rPr>
          <w:rFonts w:eastAsiaTheme="minorEastAsia"/>
          <w:lang w:val="es-419" w:eastAsia="ja-JP"/>
        </w:rPr>
      </w:pPr>
    </w:p>
    <w:bookmarkStart w:id="5" w:name="_Toc382388626"/>
    <w:p w:rsidR="00785473" w:rsidRPr="007F5541" w:rsidRDefault="009337B9" w:rsidP="0012465E">
      <w:pPr>
        <w:keepNext/>
        <w:keepLines/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7F5541">
        <w:rPr>
          <w:rFonts w:eastAsiaTheme="minorEastAsia"/>
          <w:i/>
          <w:lang w:val="es-419"/>
        </w:rPr>
        <w:lastRenderedPageBreak/>
        <w:fldChar w:fldCharType="begin"/>
      </w:r>
      <w:r w:rsidR="00785473" w:rsidRPr="007F5541">
        <w:rPr>
          <w:rFonts w:eastAsiaTheme="minorEastAsia"/>
          <w:i/>
          <w:lang w:val="es-419"/>
        </w:rPr>
        <w:instrText xml:space="preserve"> AUTONUM  </w:instrText>
      </w:r>
      <w:r w:rsidRPr="007F5541">
        <w:rPr>
          <w:rFonts w:eastAsiaTheme="minorEastAsia"/>
          <w:i/>
          <w:lang w:val="es-419"/>
        </w:rPr>
        <w:fldChar w:fldCharType="end"/>
      </w:r>
      <w:r w:rsidR="00785473" w:rsidRPr="007F5541">
        <w:rPr>
          <w:rFonts w:eastAsiaTheme="minorEastAsia"/>
          <w:i/>
          <w:lang w:val="es-419"/>
        </w:rPr>
        <w:tab/>
      </w:r>
      <w:bookmarkEnd w:id="5"/>
      <w:r w:rsidR="00776930" w:rsidRPr="007F5541">
        <w:rPr>
          <w:rFonts w:eastAsiaTheme="minorEastAsia"/>
          <w:i/>
          <w:lang w:val="es-419"/>
        </w:rPr>
        <w:t>Se invita al CAJ a:</w:t>
      </w:r>
    </w:p>
    <w:p w:rsidR="00785473" w:rsidRPr="007F5541" w:rsidRDefault="00785473" w:rsidP="0012465E">
      <w:pPr>
        <w:keepNext/>
        <w:keepLines/>
        <w:tabs>
          <w:tab w:val="left" w:pos="5387"/>
          <w:tab w:val="left" w:pos="5954"/>
        </w:tabs>
        <w:ind w:left="4820"/>
        <w:rPr>
          <w:rFonts w:eastAsiaTheme="minorEastAsia"/>
          <w:i/>
          <w:sz w:val="16"/>
          <w:lang w:val="es-419"/>
        </w:rPr>
      </w:pPr>
    </w:p>
    <w:p w:rsidR="00785473" w:rsidRPr="007F5541" w:rsidRDefault="00785473" w:rsidP="0012465E">
      <w:pPr>
        <w:keepNext/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lang w:val="es-419"/>
        </w:rPr>
      </w:pPr>
      <w:r w:rsidRPr="007F5541">
        <w:rPr>
          <w:rFonts w:eastAsiaTheme="minorEastAsia"/>
          <w:i/>
          <w:spacing w:val="-2"/>
          <w:lang w:val="es-419"/>
        </w:rPr>
        <w:tab/>
      </w:r>
      <w:r w:rsidR="00776930" w:rsidRPr="007F5541">
        <w:rPr>
          <w:rFonts w:eastAsiaTheme="minorEastAsia"/>
          <w:i/>
          <w:spacing w:val="-2"/>
          <w:lang w:val="es-419"/>
        </w:rPr>
        <w:t>a)</w:t>
      </w:r>
      <w:r w:rsidRPr="007F5541">
        <w:rPr>
          <w:rFonts w:eastAsiaTheme="minorEastAsia"/>
          <w:i/>
          <w:spacing w:val="-2"/>
          <w:lang w:val="es-419"/>
        </w:rPr>
        <w:tab/>
      </w:r>
      <w:r w:rsidR="00776930" w:rsidRPr="007F5541">
        <w:rPr>
          <w:rFonts w:eastAsiaTheme="minorEastAsia"/>
          <w:i/>
          <w:spacing w:val="-2"/>
          <w:lang w:val="es-419"/>
        </w:rPr>
        <w:t xml:space="preserve">tomar nota de las novedades relativas a la eventual revisión del documento UPOV/INF/12 “Notas explicativas sobre las denominaciones de variedades con arreglo al Convenio de la UPOV”, </w:t>
      </w:r>
      <w:r w:rsidR="00BD0E0E" w:rsidRPr="00BD0E0E">
        <w:rPr>
          <w:rFonts w:eastAsiaTheme="minorEastAsia"/>
          <w:i/>
          <w:spacing w:val="-2"/>
          <w:lang w:val="es-419"/>
        </w:rPr>
        <w:t>conforme al documento UPOV/</w:t>
      </w:r>
      <w:proofErr w:type="spellStart"/>
      <w:r w:rsidR="00BD0E0E" w:rsidRPr="00BD0E0E">
        <w:rPr>
          <w:rFonts w:eastAsiaTheme="minorEastAsia"/>
          <w:i/>
          <w:spacing w:val="-2"/>
          <w:lang w:val="es-419"/>
        </w:rPr>
        <w:t>EXN</w:t>
      </w:r>
      <w:proofErr w:type="spellEnd"/>
      <w:r w:rsidR="00BD0E0E" w:rsidRPr="00BD0E0E">
        <w:rPr>
          <w:rFonts w:eastAsiaTheme="minorEastAsia"/>
          <w:i/>
          <w:spacing w:val="-2"/>
          <w:lang w:val="es-419"/>
        </w:rPr>
        <w:t xml:space="preserve">/DEN/1 </w:t>
      </w:r>
      <w:proofErr w:type="spellStart"/>
      <w:r w:rsidR="00BD0E0E" w:rsidRPr="00BD0E0E">
        <w:rPr>
          <w:rFonts w:eastAsiaTheme="minorEastAsia"/>
          <w:i/>
          <w:spacing w:val="-2"/>
          <w:lang w:val="es-419"/>
        </w:rPr>
        <w:t>Draft</w:t>
      </w:r>
      <w:proofErr w:type="spellEnd"/>
      <w:r w:rsidR="00BD0E0E" w:rsidRPr="00BD0E0E">
        <w:rPr>
          <w:rFonts w:eastAsiaTheme="minorEastAsia"/>
          <w:i/>
          <w:spacing w:val="-2"/>
          <w:lang w:val="es-419"/>
        </w:rPr>
        <w:t xml:space="preserve"> 2, </w:t>
      </w:r>
      <w:r w:rsidR="00776930" w:rsidRPr="007F5541">
        <w:rPr>
          <w:rFonts w:eastAsiaTheme="minorEastAsia"/>
          <w:i/>
          <w:spacing w:val="-2"/>
          <w:lang w:val="es-419"/>
        </w:rPr>
        <w:t xml:space="preserve">que se exponen en los </w:t>
      </w:r>
      <w:r w:rsidR="00776930" w:rsidRPr="00F7289F">
        <w:rPr>
          <w:rFonts w:eastAsiaTheme="minorEastAsia"/>
          <w:i/>
          <w:spacing w:val="-2"/>
          <w:lang w:val="es-419"/>
        </w:rPr>
        <w:t>párrafos 6 a 10 del presente</w:t>
      </w:r>
      <w:r w:rsidR="00776930" w:rsidRPr="007F5541">
        <w:rPr>
          <w:rFonts w:eastAsiaTheme="minorEastAsia"/>
          <w:i/>
          <w:spacing w:val="-2"/>
          <w:lang w:val="es-419"/>
        </w:rPr>
        <w:t xml:space="preserve"> </w:t>
      </w:r>
      <w:proofErr w:type="gramStart"/>
      <w:r w:rsidR="00776930" w:rsidRPr="007F5541">
        <w:rPr>
          <w:rFonts w:eastAsiaTheme="minorEastAsia"/>
          <w:i/>
          <w:spacing w:val="-2"/>
          <w:lang w:val="es-419"/>
        </w:rPr>
        <w:t xml:space="preserve">documento; </w:t>
      </w:r>
      <w:r w:rsidR="0081542D">
        <w:rPr>
          <w:rFonts w:eastAsiaTheme="minorEastAsia"/>
          <w:i/>
          <w:spacing w:val="-2"/>
          <w:lang w:val="es-419"/>
        </w:rPr>
        <w:t xml:space="preserve"> </w:t>
      </w:r>
      <w:r w:rsidR="00776930" w:rsidRPr="007F5541">
        <w:rPr>
          <w:rFonts w:eastAsiaTheme="minorEastAsia"/>
          <w:i/>
          <w:spacing w:val="-2"/>
          <w:lang w:val="es-419"/>
        </w:rPr>
        <w:t>y</w:t>
      </w:r>
      <w:proofErr w:type="gramEnd"/>
      <w:r w:rsidRPr="007F5541">
        <w:rPr>
          <w:rFonts w:eastAsiaTheme="minorEastAsia"/>
          <w:i/>
          <w:spacing w:val="-2"/>
          <w:lang w:val="es-419"/>
        </w:rPr>
        <w:t xml:space="preserve"> </w:t>
      </w:r>
    </w:p>
    <w:p w:rsidR="00785473" w:rsidRPr="007F5541" w:rsidRDefault="00785473" w:rsidP="0012465E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sz w:val="16"/>
          <w:lang w:val="es-419"/>
        </w:rPr>
      </w:pPr>
    </w:p>
    <w:p w:rsidR="00785473" w:rsidRPr="007F5541" w:rsidRDefault="00785473" w:rsidP="00785473">
      <w:pPr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lang w:val="es-419"/>
        </w:rPr>
      </w:pPr>
      <w:r w:rsidRPr="007F5541">
        <w:rPr>
          <w:rFonts w:eastAsiaTheme="minorEastAsia"/>
          <w:i/>
          <w:spacing w:val="-2"/>
          <w:lang w:val="es-419"/>
        </w:rPr>
        <w:tab/>
      </w:r>
      <w:r w:rsidR="002077AC" w:rsidRPr="007F5541">
        <w:rPr>
          <w:rFonts w:eastAsiaTheme="minorEastAsia"/>
          <w:i/>
          <w:spacing w:val="-2"/>
          <w:lang w:val="es-419"/>
        </w:rPr>
        <w:t>b)</w:t>
      </w:r>
      <w:r w:rsidRPr="007F5541">
        <w:rPr>
          <w:rFonts w:eastAsiaTheme="minorEastAsia"/>
          <w:i/>
          <w:spacing w:val="-2"/>
          <w:lang w:val="es-419"/>
        </w:rPr>
        <w:tab/>
      </w:r>
      <w:r w:rsidR="002077AC" w:rsidRPr="007F5541">
        <w:rPr>
          <w:rFonts w:eastAsiaTheme="minorEastAsia"/>
          <w:i/>
          <w:spacing w:val="-2"/>
          <w:lang w:val="es-419"/>
        </w:rPr>
        <w:t>examinar el documento UPOV/</w:t>
      </w:r>
      <w:proofErr w:type="spellStart"/>
      <w:r w:rsidR="002077AC" w:rsidRPr="007F5541">
        <w:rPr>
          <w:rFonts w:eastAsiaTheme="minorEastAsia"/>
          <w:i/>
          <w:spacing w:val="-2"/>
          <w:lang w:val="es-419"/>
        </w:rPr>
        <w:t>EXN</w:t>
      </w:r>
      <w:proofErr w:type="spellEnd"/>
      <w:r w:rsidR="002077AC" w:rsidRPr="007F5541">
        <w:rPr>
          <w:rFonts w:eastAsiaTheme="minorEastAsia"/>
          <w:i/>
          <w:spacing w:val="-2"/>
          <w:lang w:val="es-419"/>
        </w:rPr>
        <w:t>/DEN/1 </w:t>
      </w:r>
      <w:proofErr w:type="spellStart"/>
      <w:r w:rsidR="002077AC" w:rsidRPr="007F5541">
        <w:rPr>
          <w:rFonts w:eastAsiaTheme="minorEastAsia"/>
          <w:i/>
          <w:spacing w:val="-2"/>
          <w:lang w:val="es-419"/>
        </w:rPr>
        <w:t>Draft</w:t>
      </w:r>
      <w:proofErr w:type="spellEnd"/>
      <w:r w:rsidR="002077AC" w:rsidRPr="007F5541">
        <w:rPr>
          <w:rFonts w:eastAsiaTheme="minorEastAsia"/>
          <w:i/>
          <w:spacing w:val="-2"/>
          <w:lang w:val="es-419"/>
        </w:rPr>
        <w:t> 2 “Notas explicativas sobre las denominaciones de variedades con arreglo al Convenio de la</w:t>
      </w:r>
      <w:r w:rsidR="002B7960" w:rsidRPr="007F5541">
        <w:rPr>
          <w:rFonts w:eastAsiaTheme="minorEastAsia"/>
          <w:i/>
          <w:spacing w:val="-2"/>
          <w:lang w:val="es-419"/>
        </w:rPr>
        <w:t> </w:t>
      </w:r>
      <w:r w:rsidR="002077AC" w:rsidRPr="007F5541">
        <w:rPr>
          <w:rFonts w:eastAsiaTheme="minorEastAsia"/>
          <w:i/>
          <w:spacing w:val="-2"/>
          <w:lang w:val="es-419"/>
        </w:rPr>
        <w:t xml:space="preserve">UPOV” junto con los comentarios formulados por el WG-DEN, </w:t>
      </w:r>
      <w:r w:rsidR="00BE746B" w:rsidRPr="007F5541">
        <w:rPr>
          <w:rFonts w:eastAsiaTheme="minorEastAsia"/>
          <w:i/>
          <w:spacing w:val="-2"/>
          <w:lang w:val="es-419"/>
        </w:rPr>
        <w:t xml:space="preserve">según se indica en el </w:t>
      </w:r>
      <w:r w:rsidR="00BE746B" w:rsidRPr="00F7289F">
        <w:rPr>
          <w:rFonts w:eastAsiaTheme="minorEastAsia"/>
          <w:i/>
          <w:spacing w:val="-2"/>
          <w:lang w:val="es-419"/>
        </w:rPr>
        <w:t>párrafo</w:t>
      </w:r>
      <w:r w:rsidR="00180CC8" w:rsidRPr="00F7289F">
        <w:rPr>
          <w:rFonts w:eastAsiaTheme="minorEastAsia"/>
          <w:i/>
          <w:spacing w:val="-2"/>
          <w:lang w:val="es-419"/>
        </w:rPr>
        <w:t> 9.</w:t>
      </w:r>
    </w:p>
    <w:p w:rsidR="00785473" w:rsidRPr="007F5541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785473" w:rsidRPr="007F5541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785473" w:rsidRPr="007F5541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785473" w:rsidRPr="007F5541" w:rsidRDefault="00645211" w:rsidP="00785473">
      <w:pPr>
        <w:pStyle w:val="Heading1"/>
        <w:rPr>
          <w:rFonts w:eastAsiaTheme="minorEastAsia"/>
          <w:lang w:val="es-419"/>
        </w:rPr>
      </w:pPr>
      <w:bookmarkStart w:id="6" w:name="_Toc15376497"/>
      <w:r w:rsidRPr="007F5541">
        <w:rPr>
          <w:rFonts w:eastAsiaTheme="minorEastAsia"/>
          <w:caps w:val="0"/>
          <w:lang w:val="es-419"/>
        </w:rPr>
        <w:t>POSIBLE</w:t>
      </w:r>
      <w:r w:rsidRPr="007F5541">
        <w:rPr>
          <w:rFonts w:eastAsiaTheme="minorEastAsia"/>
          <w:lang w:val="es-419"/>
        </w:rPr>
        <w:t xml:space="preserve"> </w:t>
      </w:r>
      <w:r w:rsidRPr="007F5541">
        <w:rPr>
          <w:rFonts w:eastAsiaTheme="minorEastAsia"/>
          <w:caps w:val="0"/>
          <w:lang w:val="es-419"/>
        </w:rPr>
        <w:t>CONTRIBUCIÓN</w:t>
      </w:r>
      <w:r w:rsidRPr="007F5541">
        <w:rPr>
          <w:rFonts w:eastAsiaTheme="minorEastAsia"/>
          <w:lang w:val="es-419"/>
        </w:rPr>
        <w:t xml:space="preserve"> a La </w:t>
      </w:r>
      <w:r w:rsidRPr="007F5541">
        <w:rPr>
          <w:rFonts w:eastAsiaTheme="minorEastAsia"/>
          <w:caps w:val="0"/>
          <w:lang w:val="es-419"/>
        </w:rPr>
        <w:t>REVISIÓN</w:t>
      </w:r>
      <w:r w:rsidRPr="007F5541">
        <w:rPr>
          <w:rFonts w:eastAsiaTheme="minorEastAsia"/>
          <w:lang w:val="es-419"/>
        </w:rPr>
        <w:t xml:space="preserve"> de la </w:t>
      </w:r>
      <w:r w:rsidRPr="007F5541">
        <w:rPr>
          <w:rFonts w:eastAsiaTheme="minorEastAsia"/>
          <w:caps w:val="0"/>
          <w:lang w:val="es-419"/>
        </w:rPr>
        <w:t>NOVENA</w:t>
      </w:r>
      <w:r w:rsidRPr="007F5541">
        <w:rPr>
          <w:rFonts w:eastAsiaTheme="minorEastAsia"/>
          <w:lang w:val="es-419"/>
        </w:rPr>
        <w:t xml:space="preserve"> </w:t>
      </w:r>
      <w:r w:rsidRPr="007F5541">
        <w:rPr>
          <w:rFonts w:eastAsiaTheme="minorEastAsia"/>
          <w:caps w:val="0"/>
          <w:lang w:val="es-419"/>
        </w:rPr>
        <w:t>EDICIÓN</w:t>
      </w:r>
      <w:r w:rsidRPr="007F5541">
        <w:rPr>
          <w:rFonts w:eastAsiaTheme="minorEastAsia"/>
          <w:lang w:val="es-419"/>
        </w:rPr>
        <w:t xml:space="preserve"> del </w:t>
      </w:r>
      <w:r w:rsidRPr="007F5541">
        <w:rPr>
          <w:rFonts w:eastAsiaTheme="minorEastAsia"/>
          <w:caps w:val="0"/>
          <w:lang w:val="es-419"/>
        </w:rPr>
        <w:t>CINPC</w:t>
      </w:r>
      <w:bookmarkEnd w:id="6"/>
    </w:p>
    <w:p w:rsidR="00785473" w:rsidRPr="007F5541" w:rsidRDefault="00785473" w:rsidP="00785473">
      <w:pPr>
        <w:keepNext/>
        <w:rPr>
          <w:rFonts w:eastAsiaTheme="minorEastAsia"/>
          <w:snapToGrid w:val="0"/>
          <w:lang w:val="es-419" w:eastAsia="ja-JP"/>
        </w:rPr>
      </w:pPr>
    </w:p>
    <w:p w:rsidR="00785473" w:rsidRPr="007F5541" w:rsidRDefault="009337B9" w:rsidP="00785473">
      <w:pPr>
        <w:keepNext/>
        <w:rPr>
          <w:rFonts w:eastAsiaTheme="minorEastAsia"/>
          <w:lang w:val="es-419" w:eastAsia="ja-JP"/>
        </w:rPr>
      </w:pPr>
      <w:r w:rsidRPr="007F5541">
        <w:rPr>
          <w:rFonts w:eastAsiaTheme="minorEastAsia"/>
          <w:lang w:val="es-419"/>
        </w:rPr>
        <w:fldChar w:fldCharType="begin"/>
      </w:r>
      <w:r w:rsidR="00785473" w:rsidRPr="007F5541">
        <w:rPr>
          <w:rFonts w:eastAsiaTheme="minorEastAsia"/>
          <w:lang w:val="es-419"/>
        </w:rPr>
        <w:instrText xml:space="preserve"> AUTONUM  </w:instrText>
      </w:r>
      <w:r w:rsidRPr="007F5541">
        <w:rPr>
          <w:rFonts w:eastAsiaTheme="minorEastAsia"/>
          <w:lang w:val="es-419"/>
        </w:rPr>
        <w:fldChar w:fldCharType="end"/>
      </w:r>
      <w:r w:rsidR="00785473" w:rsidRPr="007F5541">
        <w:rPr>
          <w:rFonts w:eastAsiaTheme="minorEastAsia"/>
          <w:lang w:val="es-419"/>
        </w:rPr>
        <w:tab/>
      </w:r>
      <w:r w:rsidR="00645211" w:rsidRPr="007F5541">
        <w:rPr>
          <w:lang w:val="es-419"/>
        </w:rPr>
        <w:t xml:space="preserve">Los antecedentes de esta cuestión figuran en los párrafos 3 a 7 del documento </w:t>
      </w:r>
      <w:hyperlink r:id="rId12" w:history="1">
        <w:r w:rsidR="00645211" w:rsidRPr="007F5541">
          <w:rPr>
            <w:rStyle w:val="Hyperlink"/>
            <w:lang w:val="es-419"/>
          </w:rPr>
          <w:t>CAJ/75/7 Add.</w:t>
        </w:r>
      </w:hyperlink>
      <w:r w:rsidR="00645211" w:rsidRPr="007F5541">
        <w:rPr>
          <w:lang w:val="es-419"/>
        </w:rPr>
        <w:t xml:space="preserve"> “Adición a</w:t>
      </w:r>
      <w:r w:rsidR="00477B59" w:rsidRPr="007F5541">
        <w:rPr>
          <w:lang w:val="es-419"/>
        </w:rPr>
        <w:t>l documento:</w:t>
      </w:r>
      <w:r w:rsidR="00645211" w:rsidRPr="007F5541">
        <w:rPr>
          <w:lang w:val="es-419"/>
        </w:rPr>
        <w:t xml:space="preserve"> </w:t>
      </w:r>
      <w:r w:rsidR="00477B59" w:rsidRPr="007F5541">
        <w:rPr>
          <w:lang w:val="es-419"/>
        </w:rPr>
        <w:t xml:space="preserve">Denominación </w:t>
      </w:r>
      <w:r w:rsidR="00645211" w:rsidRPr="007F5541">
        <w:rPr>
          <w:lang w:val="es-419"/>
        </w:rPr>
        <w:t>de variedades”.</w:t>
      </w:r>
    </w:p>
    <w:p w:rsidR="00785473" w:rsidRPr="007F5541" w:rsidRDefault="00785473" w:rsidP="00785473">
      <w:pPr>
        <w:rPr>
          <w:rFonts w:eastAsiaTheme="minorEastAsia"/>
          <w:lang w:val="es-419" w:eastAsia="ja-JP"/>
        </w:rPr>
      </w:pPr>
    </w:p>
    <w:p w:rsidR="00645211" w:rsidRPr="007F5541" w:rsidRDefault="009337B9" w:rsidP="00645211">
      <w:pPr>
        <w:rPr>
          <w:rFonts w:eastAsiaTheme="minorEastAsia"/>
          <w:lang w:val="es-419" w:eastAsia="ja-JP"/>
        </w:rPr>
      </w:pPr>
      <w:r w:rsidRPr="007F5541">
        <w:rPr>
          <w:rFonts w:eastAsiaTheme="minorEastAsia"/>
          <w:lang w:val="es-419"/>
        </w:rPr>
        <w:fldChar w:fldCharType="begin"/>
      </w:r>
      <w:r w:rsidR="00645211" w:rsidRPr="007F5541">
        <w:rPr>
          <w:rFonts w:eastAsiaTheme="minorEastAsia"/>
          <w:lang w:val="es-419"/>
        </w:rPr>
        <w:instrText xml:space="preserve"> AUTONUM  </w:instrText>
      </w:r>
      <w:r w:rsidRPr="007F5541">
        <w:rPr>
          <w:rFonts w:eastAsiaTheme="minorEastAsia"/>
          <w:lang w:val="es-419"/>
        </w:rPr>
        <w:fldChar w:fldCharType="end"/>
      </w:r>
      <w:r w:rsidR="00645211" w:rsidRPr="007F5541">
        <w:rPr>
          <w:rFonts w:eastAsiaTheme="minorEastAsia"/>
          <w:lang w:val="es-419"/>
        </w:rPr>
        <w:tab/>
      </w:r>
      <w:r w:rsidR="00F01537" w:rsidRPr="007F5541">
        <w:rPr>
          <w:rFonts w:eastAsiaTheme="minorEastAsia"/>
          <w:lang w:val="es-419"/>
        </w:rPr>
        <w:t xml:space="preserve">El 9 de abril de 2019, el Sr. John C. David, presidente de </w:t>
      </w:r>
      <w:r w:rsidR="00477B59" w:rsidRPr="007F5541">
        <w:rPr>
          <w:rFonts w:eastAsiaTheme="minorEastAsia"/>
          <w:lang w:val="es-419"/>
        </w:rPr>
        <w:t xml:space="preserve">la </w:t>
      </w:r>
      <w:r w:rsidR="00F01537" w:rsidRPr="007F5541">
        <w:rPr>
          <w:rFonts w:eastAsiaTheme="minorEastAsia"/>
          <w:lang w:val="es-419"/>
        </w:rPr>
        <w:t xml:space="preserve">Comisión de la UICB, comunicó a la </w:t>
      </w:r>
      <w:r w:rsidR="00A26345">
        <w:rPr>
          <w:rFonts w:eastAsiaTheme="minorEastAsia"/>
          <w:lang w:val="es-419"/>
        </w:rPr>
        <w:t>Oficina </w:t>
      </w:r>
      <w:r w:rsidR="00F01537" w:rsidRPr="007F5541">
        <w:rPr>
          <w:rFonts w:eastAsiaTheme="minorEastAsia"/>
          <w:lang w:val="es-419"/>
        </w:rPr>
        <w:t>de la Unión que la próxima reunión de la Comisión del CINPC</w:t>
      </w:r>
      <w:r w:rsidR="006E2DF7" w:rsidRPr="007F5541">
        <w:rPr>
          <w:rFonts w:eastAsiaTheme="minorEastAsia"/>
          <w:lang w:val="es-419"/>
        </w:rPr>
        <w:t>,</w:t>
      </w:r>
      <w:r w:rsidR="00F01537" w:rsidRPr="007F5541">
        <w:rPr>
          <w:rFonts w:eastAsiaTheme="minorEastAsia"/>
          <w:lang w:val="es-419"/>
        </w:rPr>
        <w:t xml:space="preserve"> </w:t>
      </w:r>
      <w:r w:rsidR="006E2DF7" w:rsidRPr="007F5541">
        <w:rPr>
          <w:rFonts w:eastAsiaTheme="minorEastAsia"/>
          <w:lang w:val="es-419"/>
        </w:rPr>
        <w:t xml:space="preserve">que había de celebrarse en Singapur, </w:t>
      </w:r>
      <w:r w:rsidR="00F01537" w:rsidRPr="007F5541">
        <w:rPr>
          <w:rFonts w:eastAsiaTheme="minorEastAsia"/>
          <w:lang w:val="es-419"/>
        </w:rPr>
        <w:t xml:space="preserve">en </w:t>
      </w:r>
      <w:r w:rsidR="00477B59" w:rsidRPr="007F5541">
        <w:rPr>
          <w:rFonts w:eastAsiaTheme="minorEastAsia"/>
          <w:lang w:val="es-419"/>
        </w:rPr>
        <w:t xml:space="preserve">el </w:t>
      </w:r>
      <w:r w:rsidR="006E2DF7" w:rsidRPr="007F5541">
        <w:rPr>
          <w:rFonts w:eastAsiaTheme="minorEastAsia"/>
          <w:lang w:val="es-419"/>
        </w:rPr>
        <w:t xml:space="preserve">marco del </w:t>
      </w:r>
      <w:r w:rsidR="00F01537" w:rsidRPr="007F5541">
        <w:rPr>
          <w:rFonts w:eastAsiaTheme="minorEastAsia"/>
          <w:lang w:val="es-419"/>
        </w:rPr>
        <w:t xml:space="preserve">Simposio Internacional </w:t>
      </w:r>
      <w:r w:rsidR="00477B59" w:rsidRPr="007F5541">
        <w:rPr>
          <w:rFonts w:eastAsiaTheme="minorEastAsia"/>
          <w:lang w:val="es-419"/>
        </w:rPr>
        <w:t>sobre la</w:t>
      </w:r>
      <w:r w:rsidR="00F01537" w:rsidRPr="007F5541">
        <w:rPr>
          <w:rFonts w:eastAsiaTheme="minorEastAsia"/>
          <w:lang w:val="es-419"/>
        </w:rPr>
        <w:t xml:space="preserve"> Taxonomía de </w:t>
      </w:r>
      <w:r w:rsidR="00477B59" w:rsidRPr="007F5541">
        <w:rPr>
          <w:rFonts w:eastAsiaTheme="minorEastAsia"/>
          <w:lang w:val="es-419"/>
        </w:rPr>
        <w:t xml:space="preserve">las </w:t>
      </w:r>
      <w:r w:rsidR="00F01537" w:rsidRPr="007F5541">
        <w:rPr>
          <w:rFonts w:eastAsiaTheme="minorEastAsia"/>
          <w:lang w:val="es-419"/>
        </w:rPr>
        <w:t xml:space="preserve">Plantas Cultivadas, </w:t>
      </w:r>
      <w:r w:rsidR="007E6FF1" w:rsidRPr="007F5541">
        <w:rPr>
          <w:rFonts w:eastAsiaTheme="minorEastAsia"/>
          <w:lang w:val="es-419"/>
        </w:rPr>
        <w:t>se</w:t>
      </w:r>
      <w:r w:rsidR="00F01537" w:rsidRPr="007F5541">
        <w:rPr>
          <w:rFonts w:eastAsiaTheme="minorEastAsia"/>
          <w:lang w:val="es-419"/>
        </w:rPr>
        <w:t xml:space="preserve"> </w:t>
      </w:r>
      <w:r w:rsidR="007E6FF1" w:rsidRPr="007F5541">
        <w:rPr>
          <w:rFonts w:eastAsiaTheme="minorEastAsia"/>
          <w:lang w:val="es-419"/>
        </w:rPr>
        <w:t>aplazará</w:t>
      </w:r>
      <w:r w:rsidR="00F01537" w:rsidRPr="007F5541">
        <w:rPr>
          <w:rFonts w:eastAsiaTheme="minorEastAsia"/>
          <w:lang w:val="es-419"/>
        </w:rPr>
        <w:t xml:space="preserve"> hasta </w:t>
      </w:r>
      <w:r w:rsidR="007E6FF1" w:rsidRPr="007F5541">
        <w:rPr>
          <w:rFonts w:eastAsiaTheme="minorEastAsia"/>
          <w:lang w:val="es-419"/>
        </w:rPr>
        <w:t>principios de </w:t>
      </w:r>
      <w:r w:rsidR="00F01537" w:rsidRPr="007F5541">
        <w:rPr>
          <w:rFonts w:eastAsiaTheme="minorEastAsia"/>
          <w:lang w:val="es-419"/>
        </w:rPr>
        <w:t>2020.</w:t>
      </w:r>
      <w:r w:rsidR="00645211" w:rsidRPr="007F5541">
        <w:rPr>
          <w:rFonts w:eastAsiaTheme="minorEastAsia"/>
          <w:lang w:val="es-419"/>
        </w:rPr>
        <w:t xml:space="preserve"> </w:t>
      </w:r>
      <w:r w:rsidR="00A26345">
        <w:rPr>
          <w:rFonts w:eastAsiaTheme="minorEastAsia"/>
          <w:lang w:val="es-419"/>
        </w:rPr>
        <w:t xml:space="preserve"> </w:t>
      </w:r>
      <w:r w:rsidR="005D66B0" w:rsidRPr="007F5541">
        <w:rPr>
          <w:rFonts w:eastAsiaTheme="minorEastAsia"/>
          <w:lang w:val="es-419"/>
        </w:rPr>
        <w:t xml:space="preserve">El 8 de julio de 2019, el Sr. David </w:t>
      </w:r>
      <w:r w:rsidR="00971DB4" w:rsidRPr="007F5541">
        <w:rPr>
          <w:rFonts w:eastAsiaTheme="minorEastAsia"/>
          <w:lang w:val="es-419"/>
        </w:rPr>
        <w:t>anunci</w:t>
      </w:r>
      <w:r w:rsidR="005D66B0" w:rsidRPr="007F5541">
        <w:rPr>
          <w:rFonts w:eastAsiaTheme="minorEastAsia"/>
          <w:lang w:val="es-419"/>
        </w:rPr>
        <w:t>ó a la Oficina de la Unión que se prevé celebrar la próxima reunión de la Comisión de la UICB</w:t>
      </w:r>
      <w:r w:rsidR="009179F1" w:rsidRPr="007F5541">
        <w:rPr>
          <w:rFonts w:eastAsiaTheme="minorEastAsia"/>
          <w:lang w:val="es-419"/>
        </w:rPr>
        <w:t>,</w:t>
      </w:r>
      <w:r w:rsidR="005D66B0" w:rsidRPr="007F5541">
        <w:rPr>
          <w:rFonts w:eastAsiaTheme="minorEastAsia"/>
          <w:lang w:val="es-419"/>
        </w:rPr>
        <w:t xml:space="preserve"> encargada de modificar el CINPC</w:t>
      </w:r>
      <w:r w:rsidR="009179F1" w:rsidRPr="007F5541">
        <w:rPr>
          <w:rFonts w:eastAsiaTheme="minorEastAsia"/>
          <w:lang w:val="es-419"/>
        </w:rPr>
        <w:t>,</w:t>
      </w:r>
      <w:r w:rsidR="005D66B0" w:rsidRPr="007F5541">
        <w:rPr>
          <w:rFonts w:eastAsiaTheme="minorEastAsia"/>
          <w:lang w:val="es-419"/>
        </w:rPr>
        <w:t xml:space="preserve"> en Angers (Francia)</w:t>
      </w:r>
      <w:r w:rsidR="00F71B4B" w:rsidRPr="007F5541">
        <w:rPr>
          <w:rFonts w:eastAsiaTheme="minorEastAsia"/>
          <w:lang w:val="es-419"/>
        </w:rPr>
        <w:t>,</w:t>
      </w:r>
      <w:r w:rsidR="005D66B0" w:rsidRPr="007F5541">
        <w:rPr>
          <w:rFonts w:eastAsiaTheme="minorEastAsia"/>
          <w:lang w:val="es-419"/>
        </w:rPr>
        <w:t xml:space="preserve"> a principios </w:t>
      </w:r>
      <w:r w:rsidR="00F71B4B" w:rsidRPr="007F5541">
        <w:rPr>
          <w:rFonts w:eastAsiaTheme="minorEastAsia"/>
          <w:lang w:val="es-419"/>
        </w:rPr>
        <w:t>de </w:t>
      </w:r>
      <w:r w:rsidR="005D66B0" w:rsidRPr="007F5541">
        <w:rPr>
          <w:rFonts w:eastAsiaTheme="minorEastAsia"/>
          <w:lang w:val="es-419"/>
        </w:rPr>
        <w:t>2020.</w:t>
      </w:r>
      <w:r w:rsidR="00645211" w:rsidRPr="007F5541">
        <w:rPr>
          <w:rFonts w:eastAsiaTheme="minorEastAsia"/>
          <w:lang w:val="es-419"/>
        </w:rPr>
        <w:t xml:space="preserve"> </w:t>
      </w:r>
      <w:r w:rsidR="00A26345">
        <w:rPr>
          <w:rFonts w:eastAsiaTheme="minorEastAsia"/>
          <w:lang w:val="es-419"/>
        </w:rPr>
        <w:t xml:space="preserve"> </w:t>
      </w:r>
      <w:r w:rsidR="005D66B0" w:rsidRPr="007F5541">
        <w:rPr>
          <w:lang w:val="es-419" w:eastAsia="ja-JP"/>
        </w:rPr>
        <w:t xml:space="preserve">Se </w:t>
      </w:r>
      <w:r w:rsidR="00A1495E" w:rsidRPr="007F5541">
        <w:rPr>
          <w:lang w:val="es-419" w:eastAsia="ja-JP"/>
        </w:rPr>
        <w:t>ha solicitado</w:t>
      </w:r>
      <w:r w:rsidR="005D66B0" w:rsidRPr="007F5541">
        <w:rPr>
          <w:lang w:val="es-419" w:eastAsia="ja-JP"/>
        </w:rPr>
        <w:t xml:space="preserve"> que </w:t>
      </w:r>
      <w:r w:rsidR="004C5B33" w:rsidRPr="007F5541">
        <w:rPr>
          <w:lang w:val="es-419" w:eastAsia="ja-JP"/>
        </w:rPr>
        <w:t xml:space="preserve">las propuestas de modificación del CINPC </w:t>
      </w:r>
      <w:r w:rsidR="005D66B0" w:rsidRPr="007F5541">
        <w:rPr>
          <w:lang w:val="es-419" w:eastAsia="ja-JP"/>
        </w:rPr>
        <w:t xml:space="preserve">se </w:t>
      </w:r>
      <w:r w:rsidR="004C5B33" w:rsidRPr="007F5541">
        <w:rPr>
          <w:lang w:val="es-419" w:eastAsia="ja-JP"/>
        </w:rPr>
        <w:t xml:space="preserve">envíen </w:t>
      </w:r>
      <w:r w:rsidR="00A26345">
        <w:rPr>
          <w:lang w:val="es-419" w:eastAsia="ja-JP"/>
        </w:rPr>
        <w:t xml:space="preserve">al presidente de </w:t>
      </w:r>
      <w:r w:rsidR="005D66B0" w:rsidRPr="007F5541">
        <w:rPr>
          <w:lang w:val="es-419" w:eastAsia="ja-JP"/>
        </w:rPr>
        <w:t xml:space="preserve">la Comisión </w:t>
      </w:r>
      <w:r w:rsidR="005D66B0" w:rsidRPr="007F5541">
        <w:rPr>
          <w:rFonts w:eastAsiaTheme="minorEastAsia"/>
          <w:lang w:val="es-419"/>
        </w:rPr>
        <w:t>de la UICB</w:t>
      </w:r>
      <w:r w:rsidR="005D66B0" w:rsidRPr="007F5541">
        <w:rPr>
          <w:lang w:val="es-419" w:eastAsia="ja-JP"/>
        </w:rPr>
        <w:t xml:space="preserve"> antes de que finalice noviembre de 2019</w:t>
      </w:r>
      <w:r w:rsidR="005D66B0" w:rsidRPr="007F5541">
        <w:rPr>
          <w:rFonts w:eastAsiaTheme="minorEastAsia"/>
          <w:lang w:val="es-419"/>
        </w:rPr>
        <w:t>.</w:t>
      </w:r>
      <w:r w:rsidR="00645211" w:rsidRPr="007F5541">
        <w:rPr>
          <w:rFonts w:eastAsiaTheme="minorEastAsia"/>
          <w:lang w:val="es-419" w:eastAsia="ja-JP"/>
        </w:rPr>
        <w:t xml:space="preserve"> </w:t>
      </w:r>
      <w:r w:rsidR="00A26345">
        <w:rPr>
          <w:rFonts w:eastAsiaTheme="minorEastAsia"/>
          <w:lang w:val="es-419" w:eastAsia="ja-JP"/>
        </w:rPr>
        <w:t xml:space="preserve"> </w:t>
      </w:r>
      <w:r w:rsidR="004C5B33" w:rsidRPr="007F5541">
        <w:rPr>
          <w:rFonts w:eastAsiaTheme="minorEastAsia"/>
          <w:lang w:val="es-419" w:eastAsia="ja-JP"/>
        </w:rPr>
        <w:t xml:space="preserve">La Oficina de la Unión </w:t>
      </w:r>
      <w:r w:rsidR="00F916BE" w:rsidRPr="007F5541">
        <w:rPr>
          <w:rFonts w:eastAsiaTheme="minorEastAsia"/>
          <w:lang w:val="es-419" w:eastAsia="ja-JP"/>
        </w:rPr>
        <w:t xml:space="preserve">tiene </w:t>
      </w:r>
      <w:r w:rsidR="004C5B33" w:rsidRPr="007F5541">
        <w:rPr>
          <w:rFonts w:eastAsiaTheme="minorEastAsia"/>
          <w:lang w:val="es-419" w:eastAsia="ja-JP"/>
        </w:rPr>
        <w:t>prev</w:t>
      </w:r>
      <w:r w:rsidR="00F916BE" w:rsidRPr="007F5541">
        <w:rPr>
          <w:rFonts w:eastAsiaTheme="minorEastAsia"/>
          <w:lang w:val="es-419" w:eastAsia="ja-JP"/>
        </w:rPr>
        <w:t>isto</w:t>
      </w:r>
      <w:r w:rsidR="004C5B33" w:rsidRPr="007F5541">
        <w:rPr>
          <w:rFonts w:eastAsiaTheme="minorEastAsia"/>
          <w:lang w:val="es-419" w:eastAsia="ja-JP"/>
        </w:rPr>
        <w:t xml:space="preserve"> enviar las propuestas aprobadas por el CAJ en octubre de 2018.</w:t>
      </w:r>
      <w:r w:rsidR="007E6FF1" w:rsidRPr="007F5541">
        <w:rPr>
          <w:rFonts w:eastAsiaTheme="minorEastAsia" w:cs="Arial"/>
          <w:bCs/>
          <w:vertAlign w:val="superscript"/>
          <w:lang w:val="es-419"/>
        </w:rPr>
        <w:footnoteReference w:id="3"/>
      </w:r>
    </w:p>
    <w:p w:rsidR="00645211" w:rsidRPr="007F5541" w:rsidRDefault="00645211" w:rsidP="00645211">
      <w:pPr>
        <w:autoSpaceDE w:val="0"/>
        <w:autoSpaceDN w:val="0"/>
        <w:adjustRightInd w:val="0"/>
        <w:jc w:val="left"/>
        <w:rPr>
          <w:rFonts w:eastAsiaTheme="minorEastAsia"/>
          <w:lang w:val="es-419" w:eastAsia="ja-JP"/>
        </w:rPr>
      </w:pPr>
    </w:p>
    <w:p w:rsidR="00645211" w:rsidRPr="007F5541" w:rsidRDefault="009337B9" w:rsidP="00645211">
      <w:pPr>
        <w:pStyle w:val="DecisionParagraphs"/>
        <w:rPr>
          <w:rFonts w:eastAsiaTheme="minorEastAsia"/>
          <w:spacing w:val="-2"/>
          <w:lang w:val="es-419"/>
        </w:rPr>
      </w:pPr>
      <w:r w:rsidRPr="007F5541">
        <w:rPr>
          <w:rFonts w:eastAsiaTheme="minorEastAsia"/>
          <w:lang w:val="es-419"/>
        </w:rPr>
        <w:fldChar w:fldCharType="begin"/>
      </w:r>
      <w:r w:rsidR="00645211" w:rsidRPr="007F5541">
        <w:rPr>
          <w:rFonts w:eastAsiaTheme="minorEastAsia"/>
          <w:lang w:val="es-419"/>
        </w:rPr>
        <w:instrText xml:space="preserve"> AUTONUM  </w:instrText>
      </w:r>
      <w:r w:rsidRPr="007F5541">
        <w:rPr>
          <w:rFonts w:eastAsiaTheme="minorEastAsia"/>
          <w:lang w:val="es-419"/>
        </w:rPr>
        <w:fldChar w:fldCharType="end"/>
      </w:r>
      <w:r w:rsidR="00645211" w:rsidRPr="007F5541">
        <w:rPr>
          <w:rFonts w:eastAsiaTheme="minorEastAsia"/>
          <w:lang w:val="es-419"/>
        </w:rPr>
        <w:tab/>
      </w:r>
      <w:r w:rsidR="00F916BE" w:rsidRPr="007F5541">
        <w:rPr>
          <w:rFonts w:eastAsiaTheme="minorEastAsia"/>
          <w:lang w:val="es-419"/>
        </w:rPr>
        <w:t>Se invita al CAJ a tomar nota de las novedades relativas al proceso de revisión de la novena edición del CINPC, que se exponen en el párrafo 13 del presente documento.</w:t>
      </w:r>
    </w:p>
    <w:p w:rsidR="00785473" w:rsidRDefault="00785473" w:rsidP="00785473">
      <w:pPr>
        <w:rPr>
          <w:rFonts w:eastAsiaTheme="minorEastAsia"/>
          <w:lang w:val="es-419" w:eastAsia="ja-JP"/>
        </w:rPr>
      </w:pPr>
    </w:p>
    <w:p w:rsidR="00A26345" w:rsidRPr="007F5541" w:rsidRDefault="00A26345" w:rsidP="00785473">
      <w:pPr>
        <w:rPr>
          <w:rFonts w:eastAsiaTheme="minorEastAsia"/>
          <w:lang w:val="es-419" w:eastAsia="ja-JP"/>
        </w:rPr>
      </w:pPr>
    </w:p>
    <w:p w:rsidR="00785473" w:rsidRPr="007F5541" w:rsidRDefault="00785473" w:rsidP="00785473">
      <w:pPr>
        <w:rPr>
          <w:rFonts w:eastAsiaTheme="minorEastAsia"/>
          <w:lang w:val="es-419" w:eastAsia="ja-JP"/>
        </w:rPr>
      </w:pPr>
    </w:p>
    <w:p w:rsidR="00785473" w:rsidRPr="007F5541" w:rsidRDefault="00F916BE" w:rsidP="00785473">
      <w:pPr>
        <w:keepNext/>
        <w:outlineLvl w:val="0"/>
        <w:rPr>
          <w:rFonts w:eastAsiaTheme="minorEastAsia"/>
          <w:caps/>
          <w:lang w:val="es-419"/>
        </w:rPr>
      </w:pPr>
      <w:bookmarkStart w:id="7" w:name="_Toc15376498"/>
      <w:r w:rsidRPr="007F5541">
        <w:rPr>
          <w:rFonts w:eastAsiaTheme="minorEastAsia"/>
          <w:caps/>
          <w:lang w:val="es-419"/>
        </w:rPr>
        <w:t>POSIBLE ELABORAC</w:t>
      </w:r>
      <w:r w:rsidR="00A1495E" w:rsidRPr="007F5541">
        <w:rPr>
          <w:rFonts w:eastAsiaTheme="minorEastAsia"/>
          <w:caps/>
          <w:lang w:val="es-419"/>
        </w:rPr>
        <w:t>IÓN DE UN INSTRUMENTO DE LA </w:t>
      </w:r>
      <w:r w:rsidRPr="007F5541">
        <w:rPr>
          <w:rFonts w:eastAsiaTheme="minorEastAsia"/>
          <w:caps/>
          <w:lang w:val="es-419"/>
        </w:rPr>
        <w:t>UPOV DE BÚSQUEDA DE SIMILITUD A LOS FINES DE LA DENOMINACIÓN DE VARIEDADES</w:t>
      </w:r>
      <w:bookmarkEnd w:id="7"/>
    </w:p>
    <w:p w:rsidR="00785473" w:rsidRPr="007F5541" w:rsidRDefault="00785473" w:rsidP="00785473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lang w:val="es-419"/>
        </w:rPr>
      </w:pPr>
    </w:p>
    <w:p w:rsidR="00785473" w:rsidRPr="007F5541" w:rsidRDefault="009337B9" w:rsidP="00785473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lang w:val="es-419"/>
        </w:rPr>
      </w:pPr>
      <w:r w:rsidRPr="007F5541">
        <w:rPr>
          <w:rFonts w:eastAsiaTheme="minorEastAsia"/>
          <w:lang w:val="es-419"/>
        </w:rPr>
        <w:fldChar w:fldCharType="begin"/>
      </w:r>
      <w:r w:rsidR="00785473" w:rsidRPr="007F5541">
        <w:rPr>
          <w:rFonts w:eastAsiaTheme="minorEastAsia"/>
          <w:lang w:val="es-419"/>
        </w:rPr>
        <w:instrText xml:space="preserve"> AUTONUM  </w:instrText>
      </w:r>
      <w:r w:rsidRPr="007F5541">
        <w:rPr>
          <w:rFonts w:eastAsiaTheme="minorEastAsia"/>
          <w:lang w:val="es-419"/>
        </w:rPr>
        <w:fldChar w:fldCharType="end"/>
      </w:r>
      <w:r w:rsidR="00785473" w:rsidRPr="007F5541">
        <w:rPr>
          <w:rFonts w:eastAsiaTheme="minorEastAsia"/>
          <w:lang w:val="es-419"/>
        </w:rPr>
        <w:tab/>
      </w:r>
      <w:r w:rsidR="001146A4" w:rsidRPr="007F5541">
        <w:rPr>
          <w:rFonts w:eastAsiaTheme="minorEastAsia"/>
          <w:lang w:val="es-419"/>
        </w:rPr>
        <w:t>Los antecedentes de esta cuestión figuran en el párrafo 10 del documento CAJ/75/7 “Denominaciones de variedades”.</w:t>
      </w:r>
    </w:p>
    <w:p w:rsidR="00785473" w:rsidRPr="007F5541" w:rsidRDefault="00785473" w:rsidP="00785473">
      <w:pPr>
        <w:rPr>
          <w:rFonts w:eastAsiaTheme="minorEastAsia" w:cs="Arial"/>
          <w:lang w:val="es-419"/>
        </w:rPr>
      </w:pPr>
    </w:p>
    <w:p w:rsidR="00785473" w:rsidRPr="007F5541" w:rsidRDefault="009337B9" w:rsidP="00785473">
      <w:pPr>
        <w:rPr>
          <w:rFonts w:eastAsiaTheme="minorEastAsia" w:cs="Arial"/>
          <w:lang w:val="es-419"/>
        </w:rPr>
      </w:pPr>
      <w:r w:rsidRPr="007F5541">
        <w:rPr>
          <w:rFonts w:eastAsiaTheme="minorEastAsia" w:cs="Arial"/>
          <w:lang w:val="es-419"/>
        </w:rPr>
        <w:fldChar w:fldCharType="begin"/>
      </w:r>
      <w:r w:rsidR="00785473" w:rsidRPr="007F5541">
        <w:rPr>
          <w:rFonts w:eastAsiaTheme="minorEastAsia" w:cs="Arial"/>
          <w:lang w:val="es-419"/>
        </w:rPr>
        <w:instrText xml:space="preserve"> AUTONUM  </w:instrText>
      </w:r>
      <w:r w:rsidRPr="007F5541">
        <w:rPr>
          <w:rFonts w:eastAsiaTheme="minorEastAsia" w:cs="Arial"/>
          <w:lang w:val="es-419"/>
        </w:rPr>
        <w:fldChar w:fldCharType="end"/>
      </w:r>
      <w:r w:rsidR="00785473" w:rsidRPr="007F5541">
        <w:rPr>
          <w:rFonts w:eastAsiaTheme="minorEastAsia" w:cs="Arial"/>
          <w:lang w:val="es-419"/>
        </w:rPr>
        <w:tab/>
      </w:r>
      <w:r w:rsidR="001146A4" w:rsidRPr="007F5541">
        <w:rPr>
          <w:rFonts w:eastAsiaTheme="minorEastAsia" w:cs="Arial"/>
          <w:lang w:val="es-419"/>
        </w:rPr>
        <w:t>En su quinta reunión,</w:t>
      </w:r>
      <w:r w:rsidR="001146A4" w:rsidRPr="007F5541">
        <w:rPr>
          <w:rFonts w:eastAsiaTheme="minorEastAsia"/>
          <w:lang w:val="es-419"/>
        </w:rPr>
        <w:t xml:space="preserve"> </w:t>
      </w:r>
      <w:r w:rsidR="001146A4" w:rsidRPr="007F5541">
        <w:rPr>
          <w:rFonts w:eastAsiaTheme="minorEastAsia" w:cs="Arial"/>
          <w:lang w:val="es-419"/>
        </w:rPr>
        <w:t xml:space="preserve">el WG-DEN </w:t>
      </w:r>
      <w:r w:rsidR="001146A4" w:rsidRPr="007F5541">
        <w:rPr>
          <w:rFonts w:eastAsiaTheme="minorEastAsia"/>
          <w:lang w:val="es-419"/>
        </w:rPr>
        <w:t xml:space="preserve">convino en que </w:t>
      </w:r>
      <w:r w:rsidR="001146A4" w:rsidRPr="007F5541">
        <w:rPr>
          <w:lang w:val="es-419"/>
        </w:rPr>
        <w:t xml:space="preserve">la Oficina de la Unión </w:t>
      </w:r>
      <w:r w:rsidR="00852B9B" w:rsidRPr="007F5541">
        <w:rPr>
          <w:lang w:val="es-419"/>
        </w:rPr>
        <w:t>reanude</w:t>
      </w:r>
      <w:r w:rsidR="001146A4" w:rsidRPr="007F5541">
        <w:rPr>
          <w:lang w:val="es-419"/>
        </w:rPr>
        <w:t xml:space="preserve"> </w:t>
      </w:r>
      <w:r w:rsidR="00852B9B" w:rsidRPr="007F5541">
        <w:rPr>
          <w:lang w:val="es-419"/>
        </w:rPr>
        <w:t>su labor de</w:t>
      </w:r>
      <w:r w:rsidR="001146A4" w:rsidRPr="007F5541">
        <w:rPr>
          <w:lang w:val="es-419"/>
        </w:rPr>
        <w:t xml:space="preserve"> </w:t>
      </w:r>
      <w:r w:rsidR="00852B9B" w:rsidRPr="007F5541">
        <w:rPr>
          <w:lang w:val="es-419"/>
        </w:rPr>
        <w:t>estudiar</w:t>
      </w:r>
      <w:r w:rsidR="00E51668" w:rsidRPr="007F5541">
        <w:rPr>
          <w:lang w:val="es-419"/>
        </w:rPr>
        <w:t>, conjuntamente con la Oficina Comunitaria de Variedades Vegetales de la Unión Europea (OCVV),</w:t>
      </w:r>
      <w:r w:rsidR="00852B9B" w:rsidRPr="007F5541">
        <w:rPr>
          <w:lang w:val="es-419"/>
        </w:rPr>
        <w:t xml:space="preserve"> posibilidades de</w:t>
      </w:r>
      <w:r w:rsidR="001146A4" w:rsidRPr="007F5541">
        <w:rPr>
          <w:lang w:val="es-419"/>
        </w:rPr>
        <w:t xml:space="preserve"> </w:t>
      </w:r>
      <w:r w:rsidR="00852B9B" w:rsidRPr="007F5541">
        <w:rPr>
          <w:lang w:val="es-419"/>
        </w:rPr>
        <w:t>mejora</w:t>
      </w:r>
      <w:r w:rsidR="00E51668" w:rsidRPr="007F5541">
        <w:rPr>
          <w:lang w:val="es-419"/>
        </w:rPr>
        <w:t xml:space="preserve"> d</w:t>
      </w:r>
      <w:r w:rsidR="00852B9B" w:rsidRPr="007F5541">
        <w:rPr>
          <w:lang w:val="es-419"/>
        </w:rPr>
        <w:t xml:space="preserve">el instrumento </w:t>
      </w:r>
      <w:r w:rsidR="007255FC" w:rsidRPr="007F5541">
        <w:rPr>
          <w:rFonts w:eastAsiaTheme="minorEastAsia"/>
          <w:lang w:val="es-419" w:eastAsia="ja-JP"/>
        </w:rPr>
        <w:t>de la UPOV para la búsqueda de denominaciones similares</w:t>
      </w:r>
      <w:r w:rsidR="001146A4" w:rsidRPr="007F5541">
        <w:rPr>
          <w:lang w:val="es-419"/>
        </w:rPr>
        <w:t>.</w:t>
      </w:r>
      <w:r w:rsidR="001146A4" w:rsidRPr="007F5541">
        <w:rPr>
          <w:rFonts w:eastAsiaTheme="minorEastAsia" w:cs="Arial"/>
          <w:bCs/>
          <w:vertAlign w:val="superscript"/>
          <w:lang w:val="es-419"/>
        </w:rPr>
        <w:footnoteReference w:id="4"/>
      </w:r>
    </w:p>
    <w:p w:rsidR="00785473" w:rsidRPr="007F5541" w:rsidRDefault="00785473" w:rsidP="00785473">
      <w:pPr>
        <w:rPr>
          <w:rFonts w:eastAsiaTheme="minorEastAsia" w:cs="Arial"/>
          <w:lang w:val="es-419"/>
        </w:rPr>
      </w:pPr>
    </w:p>
    <w:p w:rsidR="00785473" w:rsidRPr="007F5541" w:rsidRDefault="009337B9" w:rsidP="00785473">
      <w:pPr>
        <w:rPr>
          <w:lang w:val="es-419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852B9B" w:rsidRPr="007F5541">
        <w:rPr>
          <w:lang w:val="es-419"/>
        </w:rPr>
        <w:t xml:space="preserve">La Oficina de la Unión informará </w:t>
      </w:r>
      <w:r w:rsidR="00411EF8" w:rsidRPr="007F5541">
        <w:rPr>
          <w:lang w:val="es-419"/>
        </w:rPr>
        <w:t>al WG-DEN, en su sexta reunión,</w:t>
      </w:r>
      <w:r w:rsidR="00411EF8" w:rsidRPr="007F5541">
        <w:rPr>
          <w:bCs/>
          <w:vertAlign w:val="superscript"/>
          <w:lang w:val="es-419"/>
        </w:rPr>
        <w:footnoteReference w:id="5"/>
      </w:r>
      <w:r w:rsidR="00411EF8" w:rsidRPr="007F5541">
        <w:rPr>
          <w:lang w:val="es-419"/>
        </w:rPr>
        <w:t xml:space="preserve"> y al CAJ, en su septuagésima sexta sesión, </w:t>
      </w:r>
      <w:r w:rsidR="00852B9B" w:rsidRPr="007F5541">
        <w:rPr>
          <w:lang w:val="es-419"/>
        </w:rPr>
        <w:t>de las últimas novedades acontecidas en relación con este asunto.</w:t>
      </w:r>
      <w:r w:rsidR="00E4199D" w:rsidRPr="007F5541">
        <w:rPr>
          <w:lang w:val="es-419"/>
        </w:rPr>
        <w:t xml:space="preserve"> </w:t>
      </w:r>
    </w:p>
    <w:p w:rsidR="00785473" w:rsidRDefault="00785473" w:rsidP="00785473">
      <w:pPr>
        <w:rPr>
          <w:rFonts w:eastAsiaTheme="minorEastAsia"/>
          <w:lang w:val="es-419" w:eastAsia="ja-JP"/>
        </w:rPr>
      </w:pPr>
    </w:p>
    <w:p w:rsidR="00300530" w:rsidRPr="007F5541" w:rsidRDefault="00300530" w:rsidP="00785473">
      <w:pPr>
        <w:rPr>
          <w:rFonts w:eastAsiaTheme="minorEastAsia"/>
          <w:lang w:val="es-419" w:eastAsia="ja-JP"/>
        </w:rPr>
      </w:pPr>
    </w:p>
    <w:p w:rsidR="00785473" w:rsidRPr="007F5541" w:rsidRDefault="00785473" w:rsidP="00785473">
      <w:pPr>
        <w:rPr>
          <w:rFonts w:eastAsiaTheme="minorEastAsia"/>
          <w:lang w:val="es-419" w:eastAsia="ja-JP"/>
        </w:rPr>
      </w:pPr>
    </w:p>
    <w:p w:rsidR="00785473" w:rsidRPr="007F5541" w:rsidRDefault="00411EF8" w:rsidP="00785473">
      <w:pPr>
        <w:keepNext/>
        <w:outlineLvl w:val="0"/>
        <w:rPr>
          <w:rFonts w:eastAsiaTheme="minorEastAsia"/>
          <w:caps/>
          <w:lang w:val="es-419"/>
        </w:rPr>
      </w:pPr>
      <w:bookmarkStart w:id="8" w:name="_Toc15376499"/>
      <w:r w:rsidRPr="007F5541">
        <w:rPr>
          <w:rFonts w:eastAsiaTheme="minorEastAsia"/>
          <w:caps/>
          <w:lang w:val="es-419"/>
        </w:rPr>
        <w:t>AMPLIACIÓN DEL CONTENIDO DE LA BASE DE DATOS PLUTO</w:t>
      </w:r>
      <w:bookmarkEnd w:id="8"/>
    </w:p>
    <w:p w:rsidR="00785473" w:rsidRPr="007F5541" w:rsidRDefault="00785473" w:rsidP="00785473">
      <w:pPr>
        <w:keepNext/>
        <w:keepLines/>
        <w:rPr>
          <w:rFonts w:eastAsiaTheme="minorEastAsia"/>
          <w:lang w:val="es-419" w:eastAsia="ja-JP"/>
        </w:rPr>
      </w:pPr>
    </w:p>
    <w:p w:rsidR="00785473" w:rsidRPr="007F5541" w:rsidRDefault="009337B9" w:rsidP="00785473">
      <w:pPr>
        <w:rPr>
          <w:lang w:val="es-419" w:eastAsia="ja-JP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411EF8" w:rsidRPr="007F5541">
        <w:rPr>
          <w:lang w:val="es-419"/>
        </w:rPr>
        <w:t>Los antecedentes de esta cuestión figuran en el párrafo 12 del documento CAJ/75/7 “Denominaciones de variedades”.</w:t>
      </w:r>
    </w:p>
    <w:p w:rsidR="00785473" w:rsidRPr="007F5541" w:rsidRDefault="00785473" w:rsidP="00785473">
      <w:pPr>
        <w:rPr>
          <w:lang w:val="es-419" w:eastAsia="ja-JP"/>
        </w:rPr>
      </w:pPr>
    </w:p>
    <w:p w:rsidR="00785473" w:rsidRPr="007F5541" w:rsidRDefault="009337B9" w:rsidP="00A26345">
      <w:pPr>
        <w:keepNext/>
        <w:keepLines/>
        <w:rPr>
          <w:lang w:val="es-419"/>
        </w:rPr>
      </w:pPr>
      <w:r w:rsidRPr="007F5541">
        <w:rPr>
          <w:lang w:val="es-419" w:eastAsia="ja-JP"/>
        </w:rPr>
        <w:lastRenderedPageBreak/>
        <w:fldChar w:fldCharType="begin"/>
      </w:r>
      <w:r w:rsidR="00785473" w:rsidRPr="007F5541">
        <w:rPr>
          <w:lang w:val="es-419" w:eastAsia="ja-JP"/>
        </w:rPr>
        <w:instrText xml:space="preserve"> AUTONUM  </w:instrText>
      </w:r>
      <w:r w:rsidRPr="007F5541">
        <w:rPr>
          <w:lang w:val="es-419" w:eastAsia="ja-JP"/>
        </w:rPr>
        <w:fldChar w:fldCharType="end"/>
      </w:r>
      <w:r w:rsidR="00785473" w:rsidRPr="007F5541">
        <w:rPr>
          <w:lang w:val="es-419" w:eastAsia="ja-JP"/>
        </w:rPr>
        <w:tab/>
      </w:r>
      <w:r w:rsidR="00411EF8" w:rsidRPr="007F5541">
        <w:rPr>
          <w:lang w:val="es-419" w:eastAsia="ja-JP"/>
        </w:rPr>
        <w:t xml:space="preserve">En su </w:t>
      </w:r>
      <w:r w:rsidR="00411EF8" w:rsidRPr="007F5541">
        <w:rPr>
          <w:rFonts w:eastAsiaTheme="minorEastAsia"/>
          <w:lang w:val="es-419" w:eastAsia="ja-JP"/>
        </w:rPr>
        <w:t>quinta</w:t>
      </w:r>
      <w:r w:rsidR="00411EF8" w:rsidRPr="007F5541">
        <w:rPr>
          <w:lang w:val="es-419" w:eastAsia="ja-JP"/>
        </w:rPr>
        <w:t xml:space="preserve"> reunión,</w:t>
      </w:r>
      <w:r w:rsidR="00411EF8" w:rsidRPr="007F5541">
        <w:rPr>
          <w:lang w:val="es-419"/>
        </w:rPr>
        <w:t xml:space="preserve"> </w:t>
      </w:r>
      <w:r w:rsidR="00411EF8" w:rsidRPr="007F5541">
        <w:rPr>
          <w:rFonts w:cs="Arial"/>
          <w:lang w:val="es-419" w:eastAsia="ja-JP"/>
        </w:rPr>
        <w:t>el WG-DEN</w:t>
      </w:r>
      <w:r w:rsidR="00411EF8" w:rsidRPr="007F5541">
        <w:rPr>
          <w:lang w:val="es-419" w:eastAsia="ja-JP"/>
        </w:rPr>
        <w:t>:</w:t>
      </w:r>
      <w:r w:rsidR="00411EF8" w:rsidRPr="007F5541">
        <w:rPr>
          <w:rFonts w:eastAsiaTheme="minorEastAsia" w:cs="Arial"/>
          <w:bCs/>
          <w:vertAlign w:val="superscript"/>
          <w:lang w:val="es-419"/>
        </w:rPr>
        <w:footnoteReference w:id="6"/>
      </w:r>
    </w:p>
    <w:p w:rsidR="00785473" w:rsidRPr="007F5541" w:rsidRDefault="00785473" w:rsidP="00A26345">
      <w:pPr>
        <w:keepNext/>
        <w:keepLines/>
        <w:rPr>
          <w:lang w:val="es-419"/>
        </w:rPr>
      </w:pPr>
    </w:p>
    <w:p w:rsidR="00785473" w:rsidRPr="007F5541" w:rsidRDefault="00411EF8" w:rsidP="00A26345">
      <w:pPr>
        <w:keepNext/>
        <w:keepLines/>
        <w:ind w:firstLine="567"/>
        <w:rPr>
          <w:lang w:val="es-419"/>
        </w:rPr>
      </w:pPr>
      <w:r w:rsidRPr="007F5541">
        <w:rPr>
          <w:lang w:val="es-419"/>
        </w:rPr>
        <w:t>a)</w:t>
      </w:r>
      <w:r w:rsidR="00785473" w:rsidRPr="007F5541">
        <w:rPr>
          <w:lang w:val="es-419"/>
        </w:rPr>
        <w:tab/>
      </w:r>
      <w:r w:rsidRPr="007F5541">
        <w:rPr>
          <w:lang w:val="es-419"/>
        </w:rPr>
        <w:t>convino en que se a</w:t>
      </w:r>
      <w:r w:rsidR="00343CEF" w:rsidRPr="007F5541">
        <w:rPr>
          <w:lang w:val="es-419"/>
        </w:rPr>
        <w:t>cepte</w:t>
      </w:r>
      <w:r w:rsidRPr="007F5541">
        <w:rPr>
          <w:lang w:val="es-419"/>
        </w:rPr>
        <w:t xml:space="preserve">n acentos y caracteres especiales en las denominaciones </w:t>
      </w:r>
      <w:r w:rsidR="00AE067D" w:rsidRPr="007F5541">
        <w:rPr>
          <w:lang w:val="es-419"/>
        </w:rPr>
        <w:t>que figuran</w:t>
      </w:r>
      <w:r w:rsidRPr="007F5541">
        <w:rPr>
          <w:lang w:val="es-419"/>
        </w:rPr>
        <w:t xml:space="preserve"> en la base de datos PLUTO, teniendo en cuenta que el instrumento de búsqueda de denominaciones de </w:t>
      </w:r>
      <w:r w:rsidR="007B1AAF" w:rsidRPr="007F5541">
        <w:rPr>
          <w:lang w:val="es-419"/>
        </w:rPr>
        <w:t>dich</w:t>
      </w:r>
      <w:r w:rsidRPr="007F5541">
        <w:rPr>
          <w:lang w:val="es-419"/>
        </w:rPr>
        <w:t>a base de datos solo admite la representación en caracteres del conjunto ASCII, de conformidad con la definición que figura en la Norma ISO 646;</w:t>
      </w:r>
    </w:p>
    <w:p w:rsidR="00785473" w:rsidRPr="007F5541" w:rsidRDefault="00785473" w:rsidP="00785473">
      <w:pPr>
        <w:ind w:firstLine="567"/>
        <w:rPr>
          <w:lang w:val="es-419"/>
        </w:rPr>
      </w:pPr>
    </w:p>
    <w:p w:rsidR="00785473" w:rsidRPr="00BF4FB2" w:rsidRDefault="00411EF8" w:rsidP="00673AD4">
      <w:pPr>
        <w:spacing w:after="240"/>
        <w:ind w:firstLine="567"/>
        <w:rPr>
          <w:spacing w:val="-2"/>
          <w:lang w:val="es-419"/>
        </w:rPr>
      </w:pPr>
      <w:r w:rsidRPr="00BF4FB2">
        <w:rPr>
          <w:spacing w:val="-2"/>
          <w:lang w:val="es-419"/>
        </w:rPr>
        <w:t>b)</w:t>
      </w:r>
      <w:r w:rsidR="00785473" w:rsidRPr="00BF4FB2">
        <w:rPr>
          <w:spacing w:val="-2"/>
          <w:lang w:val="es-419"/>
        </w:rPr>
        <w:tab/>
      </w:r>
      <w:r w:rsidRPr="00BF4FB2">
        <w:rPr>
          <w:spacing w:val="-2"/>
          <w:lang w:val="es-419"/>
        </w:rPr>
        <w:t>acordó que se revise la sección 3.1.3 del “Programa de mejoras de la Base de datos sobre variedades vegetales” a fin de sustituir el conjunto válido d</w:t>
      </w:r>
      <w:r w:rsidR="00BF4FB2" w:rsidRPr="00BF4FB2">
        <w:rPr>
          <w:spacing w:val="-2"/>
          <w:lang w:val="es-419"/>
        </w:rPr>
        <w:t>e caracteres por el de la Norma </w:t>
      </w:r>
      <w:r w:rsidRPr="00BF4FB2">
        <w:rPr>
          <w:spacing w:val="-2"/>
          <w:lang w:val="es-419"/>
        </w:rPr>
        <w:t>ISO/</w:t>
      </w:r>
      <w:proofErr w:type="spellStart"/>
      <w:r w:rsidRPr="00BF4FB2">
        <w:rPr>
          <w:spacing w:val="-2"/>
          <w:lang w:val="es-419"/>
        </w:rPr>
        <w:t>IEC</w:t>
      </w:r>
      <w:proofErr w:type="spellEnd"/>
      <w:r w:rsidRPr="00BF4FB2">
        <w:rPr>
          <w:spacing w:val="-2"/>
          <w:lang w:val="es-419"/>
        </w:rPr>
        <w:t> 8859</w:t>
      </w:r>
      <w:r w:rsidR="00B248D4" w:rsidRPr="00BF4FB2">
        <w:rPr>
          <w:spacing w:val="-2"/>
          <w:lang w:val="es-419"/>
        </w:rPr>
        <w:t> </w:t>
      </w:r>
      <w:r w:rsidRPr="00BF4FB2">
        <w:rPr>
          <w:spacing w:val="-2"/>
          <w:lang w:val="es-419"/>
        </w:rPr>
        <w:t>1:</w:t>
      </w:r>
      <w:r w:rsidR="00924FA9">
        <w:rPr>
          <w:spacing w:val="-2"/>
          <w:lang w:val="es-419"/>
        </w:rPr>
        <w:t xml:space="preserve"> </w:t>
      </w:r>
      <w:r w:rsidRPr="00BF4FB2">
        <w:rPr>
          <w:spacing w:val="-2"/>
          <w:lang w:val="es-419"/>
        </w:rPr>
        <w:t>1998;</w:t>
      </w:r>
    </w:p>
    <w:p w:rsidR="00785473" w:rsidRPr="007F5541" w:rsidRDefault="00411EF8" w:rsidP="00785473">
      <w:pPr>
        <w:ind w:firstLine="567"/>
        <w:rPr>
          <w:lang w:val="es-419"/>
        </w:rPr>
      </w:pPr>
      <w:r w:rsidRPr="007F5541">
        <w:rPr>
          <w:lang w:val="es-419"/>
        </w:rPr>
        <w:t>c)</w:t>
      </w:r>
      <w:r w:rsidR="00785473" w:rsidRPr="007F5541">
        <w:rPr>
          <w:lang w:val="es-419"/>
        </w:rPr>
        <w:tab/>
      </w:r>
      <w:r w:rsidRPr="007F5541">
        <w:rPr>
          <w:lang w:val="es-419"/>
        </w:rPr>
        <w:t xml:space="preserve">acordó invitar a los miembros de la Unión a que comprueben si disponen de datos </w:t>
      </w:r>
      <w:r w:rsidR="00B41D28" w:rsidRPr="007F5541">
        <w:rPr>
          <w:lang w:val="es-419"/>
        </w:rPr>
        <w:t xml:space="preserve">de interés </w:t>
      </w:r>
      <w:r w:rsidRPr="007F5541">
        <w:rPr>
          <w:lang w:val="es-419"/>
        </w:rPr>
        <w:t>sobre variedades que ya no figuran en la base de datos PLUTO a pesar de haber sido enviados con anterioridad a esa base de datos;</w:t>
      </w:r>
    </w:p>
    <w:p w:rsidR="00785473" w:rsidRPr="007F5541" w:rsidRDefault="00785473" w:rsidP="00785473">
      <w:pPr>
        <w:ind w:firstLine="567"/>
        <w:rPr>
          <w:lang w:val="es-419"/>
        </w:rPr>
      </w:pPr>
    </w:p>
    <w:p w:rsidR="00785473" w:rsidRPr="007F5541" w:rsidRDefault="00B248D4" w:rsidP="00785473">
      <w:pPr>
        <w:ind w:firstLine="567"/>
        <w:rPr>
          <w:lang w:val="es-419"/>
        </w:rPr>
      </w:pPr>
      <w:r w:rsidRPr="007F5541">
        <w:rPr>
          <w:lang w:val="es-419"/>
        </w:rPr>
        <w:t>d)</w:t>
      </w:r>
      <w:r w:rsidR="00785473" w:rsidRPr="007F5541">
        <w:rPr>
          <w:lang w:val="es-419"/>
        </w:rPr>
        <w:tab/>
      </w:r>
      <w:r w:rsidR="003959D6" w:rsidRPr="007F5541">
        <w:rPr>
          <w:lang w:val="es-419"/>
        </w:rPr>
        <w:t>convino en que la Oficina de la Unión estudie las posibilidades de introducir un identificador único de los registros de variedades en la base de datos PLUTO, a fin de que los nuevos datos aportados se añadan a los datos existentes en lugar de sustituirlos</w:t>
      </w:r>
      <w:r w:rsidRPr="007F5541">
        <w:rPr>
          <w:lang w:val="es-419"/>
        </w:rPr>
        <w:t>;</w:t>
      </w:r>
    </w:p>
    <w:p w:rsidR="00785473" w:rsidRPr="007F5541" w:rsidRDefault="00785473" w:rsidP="00785473">
      <w:pPr>
        <w:ind w:firstLine="567"/>
        <w:rPr>
          <w:lang w:val="es-419"/>
        </w:rPr>
      </w:pPr>
    </w:p>
    <w:p w:rsidR="00785473" w:rsidRPr="007F5541" w:rsidRDefault="002428AD" w:rsidP="00785473">
      <w:pPr>
        <w:ind w:firstLine="567"/>
        <w:rPr>
          <w:lang w:val="es-419"/>
        </w:rPr>
      </w:pPr>
      <w:r w:rsidRPr="007F5541">
        <w:rPr>
          <w:lang w:val="es-419"/>
        </w:rPr>
        <w:t>e)</w:t>
      </w:r>
      <w:r w:rsidR="00785473" w:rsidRPr="007F5541">
        <w:rPr>
          <w:lang w:val="es-419"/>
        </w:rPr>
        <w:tab/>
      </w:r>
      <w:r w:rsidRPr="007F5541">
        <w:rPr>
          <w:lang w:val="es-419"/>
        </w:rPr>
        <w:t>convino en que los datos nuevos no deben incluirse en PLUTO</w:t>
      </w:r>
      <w:r w:rsidR="00673AD4" w:rsidRPr="007F5541">
        <w:rPr>
          <w:lang w:val="es-419"/>
        </w:rPr>
        <w:t>,</w:t>
      </w:r>
      <w:r w:rsidRPr="007F5541">
        <w:rPr>
          <w:lang w:val="es-419"/>
        </w:rPr>
        <w:t xml:space="preserve"> sino que deben ser accesibles por medio de una plataforma de búsqueda en bases de datos </w:t>
      </w:r>
      <w:proofErr w:type="gramStart"/>
      <w:r w:rsidRPr="007F5541">
        <w:rPr>
          <w:lang w:val="es-419"/>
        </w:rPr>
        <w:t>independientes;</w:t>
      </w:r>
      <w:r w:rsidR="00924FA9">
        <w:rPr>
          <w:lang w:val="es-419"/>
        </w:rPr>
        <w:t xml:space="preserve"> </w:t>
      </w:r>
      <w:r w:rsidRPr="007F5541">
        <w:rPr>
          <w:lang w:val="es-419"/>
        </w:rPr>
        <w:t xml:space="preserve"> y</w:t>
      </w:r>
      <w:proofErr w:type="gramEnd"/>
    </w:p>
    <w:p w:rsidR="00785473" w:rsidRPr="007F5541" w:rsidRDefault="00785473" w:rsidP="00785473">
      <w:pPr>
        <w:ind w:firstLine="567"/>
        <w:rPr>
          <w:lang w:val="es-419"/>
        </w:rPr>
      </w:pPr>
    </w:p>
    <w:p w:rsidR="00785473" w:rsidRPr="007F5541" w:rsidRDefault="002428AD" w:rsidP="00785473">
      <w:pPr>
        <w:ind w:firstLine="567"/>
        <w:rPr>
          <w:lang w:val="es-419" w:eastAsia="ja-JP"/>
        </w:rPr>
      </w:pPr>
      <w:r w:rsidRPr="007F5541">
        <w:rPr>
          <w:lang w:val="es-419"/>
        </w:rPr>
        <w:t>f)</w:t>
      </w:r>
      <w:r w:rsidR="00785473" w:rsidRPr="007F5541">
        <w:rPr>
          <w:lang w:val="es-419"/>
        </w:rPr>
        <w:tab/>
      </w:r>
      <w:r w:rsidR="00726865" w:rsidRPr="007F5541">
        <w:rPr>
          <w:lang w:val="es-419"/>
        </w:rPr>
        <w:t>convino en que la Oficina de la Unión envíe una circular invitando a los miembros de la</w:t>
      </w:r>
      <w:r w:rsidR="00E10492" w:rsidRPr="007F5541">
        <w:rPr>
          <w:lang w:val="es-419"/>
        </w:rPr>
        <w:t> </w:t>
      </w:r>
      <w:r w:rsidR="00726865" w:rsidRPr="007F5541">
        <w:rPr>
          <w:lang w:val="es-419"/>
        </w:rPr>
        <w:t>Unión a proponer datos que consideren conveniente incluir en la base de datos PLUTO o hacer accesibles por medio de una plataforma de búsqueda en bases de datos independientes</w:t>
      </w:r>
      <w:r w:rsidR="00E10492" w:rsidRPr="007F5541">
        <w:rPr>
          <w:lang w:val="es-419"/>
        </w:rPr>
        <w:t>.</w:t>
      </w:r>
    </w:p>
    <w:p w:rsidR="00785473" w:rsidRDefault="00785473" w:rsidP="00785473">
      <w:pPr>
        <w:ind w:left="567" w:hanging="567"/>
        <w:rPr>
          <w:lang w:val="es-419"/>
        </w:rPr>
      </w:pPr>
    </w:p>
    <w:p w:rsidR="00924FA9" w:rsidRPr="007F5541" w:rsidRDefault="00924FA9" w:rsidP="00785473">
      <w:pPr>
        <w:ind w:left="567" w:hanging="567"/>
        <w:rPr>
          <w:lang w:val="es-419"/>
        </w:rPr>
      </w:pPr>
    </w:p>
    <w:p w:rsidR="00785473" w:rsidRPr="007F5541" w:rsidRDefault="00E10492" w:rsidP="00785473">
      <w:pPr>
        <w:pStyle w:val="Heading2"/>
        <w:rPr>
          <w:lang w:val="es-419"/>
        </w:rPr>
      </w:pPr>
      <w:bookmarkStart w:id="9" w:name="_Toc15376500"/>
      <w:r w:rsidRPr="007F5541">
        <w:rPr>
          <w:lang w:val="es-419"/>
        </w:rPr>
        <w:t>Acentos y caracteres especiales en las denominaciones que figuran en la base de datos PLUTO</w:t>
      </w:r>
      <w:bookmarkEnd w:id="9"/>
    </w:p>
    <w:p w:rsidR="00785473" w:rsidRPr="007F5541" w:rsidRDefault="00785473" w:rsidP="00785473">
      <w:pPr>
        <w:ind w:left="567" w:hanging="567"/>
        <w:rPr>
          <w:lang w:val="es-419"/>
        </w:rPr>
      </w:pPr>
    </w:p>
    <w:p w:rsidR="00785473" w:rsidRPr="007F5541" w:rsidRDefault="009337B9" w:rsidP="00785473">
      <w:pPr>
        <w:rPr>
          <w:lang w:val="es-419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E10492" w:rsidRPr="007F5541">
        <w:rPr>
          <w:lang w:val="es-419"/>
        </w:rPr>
        <w:t xml:space="preserve">Las propuestas relativas a los acentos y los caracteres especiales en las denominaciones que figuran en la base de datos PLUTO, </w:t>
      </w:r>
      <w:r w:rsidR="00A72A1C" w:rsidRPr="007F5541">
        <w:rPr>
          <w:lang w:val="es-419"/>
        </w:rPr>
        <w:t>recogidas</w:t>
      </w:r>
      <w:r w:rsidR="001C334B" w:rsidRPr="007F5541">
        <w:rPr>
          <w:lang w:val="es-419"/>
        </w:rPr>
        <w:t xml:space="preserve"> </w:t>
      </w:r>
      <w:r w:rsidR="00E10492" w:rsidRPr="007F5541">
        <w:rPr>
          <w:lang w:val="es-419"/>
        </w:rPr>
        <w:t xml:space="preserve">en el </w:t>
      </w:r>
      <w:r w:rsidR="00E10492" w:rsidRPr="00924FA9">
        <w:rPr>
          <w:lang w:val="es-419"/>
        </w:rPr>
        <w:t>párrafo 19.a) y b)</w:t>
      </w:r>
      <w:r w:rsidR="00A72A1C" w:rsidRPr="00924FA9">
        <w:rPr>
          <w:lang w:val="es-419"/>
        </w:rPr>
        <w:t xml:space="preserve"> </w:t>
      </w:r>
      <w:r w:rsidR="0063138F" w:rsidRPr="00924FA9">
        <w:rPr>
          <w:lang w:val="es-419"/>
        </w:rPr>
        <w:t>anterior</w:t>
      </w:r>
      <w:r w:rsidR="00E10492" w:rsidRPr="007F5541">
        <w:rPr>
          <w:lang w:val="es-419"/>
        </w:rPr>
        <w:t xml:space="preserve">, se </w:t>
      </w:r>
      <w:r w:rsidR="00673AD4" w:rsidRPr="007F5541">
        <w:rPr>
          <w:lang w:val="es-419"/>
        </w:rPr>
        <w:t>presentan</w:t>
      </w:r>
      <w:r w:rsidR="00E10492" w:rsidRPr="007F5541">
        <w:rPr>
          <w:lang w:val="es-419"/>
        </w:rPr>
        <w:t xml:space="preserve"> en el documento CAJ/76/7 “Bases de datos de información de la UPOV”.</w:t>
      </w:r>
      <w:r w:rsidR="00E4199D" w:rsidRPr="007F5541">
        <w:rPr>
          <w:lang w:val="es-419"/>
        </w:rPr>
        <w:t xml:space="preserve"> </w:t>
      </w:r>
    </w:p>
    <w:p w:rsidR="00785473" w:rsidRDefault="00785473" w:rsidP="00785473">
      <w:pPr>
        <w:rPr>
          <w:rFonts w:eastAsiaTheme="minorEastAsia"/>
          <w:lang w:val="es-419" w:eastAsia="ja-JP"/>
        </w:rPr>
      </w:pPr>
      <w:bookmarkStart w:id="10" w:name="_Toc13678267"/>
    </w:p>
    <w:p w:rsidR="00924FA9" w:rsidRPr="007F5541" w:rsidRDefault="00924FA9" w:rsidP="00785473">
      <w:pPr>
        <w:rPr>
          <w:rFonts w:eastAsiaTheme="minorEastAsia"/>
          <w:lang w:val="es-419" w:eastAsia="ja-JP"/>
        </w:rPr>
      </w:pPr>
    </w:p>
    <w:p w:rsidR="00785473" w:rsidRPr="007F5541" w:rsidRDefault="00A72A1C" w:rsidP="00785473">
      <w:pPr>
        <w:pStyle w:val="Heading2"/>
        <w:rPr>
          <w:rFonts w:eastAsiaTheme="minorEastAsia"/>
          <w:lang w:val="es-419" w:eastAsia="ja-JP"/>
        </w:rPr>
      </w:pPr>
      <w:bookmarkStart w:id="11" w:name="_Toc15376501"/>
      <w:bookmarkEnd w:id="10"/>
      <w:r w:rsidRPr="007F5541">
        <w:rPr>
          <w:rFonts w:eastAsiaTheme="minorEastAsia"/>
          <w:lang w:val="es-419" w:eastAsia="ja-JP"/>
        </w:rPr>
        <w:t>Datos sobre variedades que ya no figuran en la base de datos PLUTO (datos históricos)</w:t>
      </w:r>
      <w:bookmarkEnd w:id="11"/>
    </w:p>
    <w:p w:rsidR="00785473" w:rsidRPr="007F5541" w:rsidRDefault="00785473" w:rsidP="00785473">
      <w:pPr>
        <w:ind w:left="567" w:hanging="567"/>
        <w:rPr>
          <w:lang w:val="es-419"/>
        </w:rPr>
      </w:pPr>
    </w:p>
    <w:p w:rsidR="00785473" w:rsidRPr="007F5541" w:rsidRDefault="009337B9" w:rsidP="00785473">
      <w:pPr>
        <w:rPr>
          <w:lang w:val="es-419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A72A1C" w:rsidRPr="007F5541">
        <w:rPr>
          <w:lang w:val="es-419"/>
        </w:rPr>
        <w:t>Con respecto a la invitaci</w:t>
      </w:r>
      <w:r w:rsidR="00673AD4" w:rsidRPr="007F5541">
        <w:rPr>
          <w:lang w:val="es-419"/>
        </w:rPr>
        <w:t>ón cursada a los miembros de la </w:t>
      </w:r>
      <w:r w:rsidR="00A72A1C" w:rsidRPr="007F5541">
        <w:rPr>
          <w:lang w:val="es-419"/>
        </w:rPr>
        <w:t xml:space="preserve">Unión </w:t>
      </w:r>
      <w:r w:rsidR="00673AD4" w:rsidRPr="007F5541">
        <w:rPr>
          <w:lang w:val="es-419"/>
        </w:rPr>
        <w:t>par</w:t>
      </w:r>
      <w:r w:rsidR="00A72A1C" w:rsidRPr="007F5541">
        <w:rPr>
          <w:lang w:val="es-419"/>
        </w:rPr>
        <w:t xml:space="preserve">a que comprueben si disponen de datos sobre variedades que ya no figuran en la base de datos PLUTO, mencionada en el </w:t>
      </w:r>
      <w:r w:rsidR="00A72A1C" w:rsidRPr="00924FA9">
        <w:rPr>
          <w:lang w:val="es-419"/>
        </w:rPr>
        <w:t xml:space="preserve">párrafo 19.c) </w:t>
      </w:r>
      <w:r w:rsidR="0063138F" w:rsidRPr="00924FA9">
        <w:rPr>
          <w:lang w:val="es-419"/>
        </w:rPr>
        <w:t>anterior</w:t>
      </w:r>
      <w:r w:rsidR="00A72A1C" w:rsidRPr="007F5541">
        <w:rPr>
          <w:lang w:val="es-419"/>
        </w:rPr>
        <w:t>, la Oficina de la Unión enviará una circular invita</w:t>
      </w:r>
      <w:r w:rsidR="00673AD4" w:rsidRPr="007F5541">
        <w:rPr>
          <w:lang w:val="es-419"/>
        </w:rPr>
        <w:t>ndo</w:t>
      </w:r>
      <w:r w:rsidR="00A72A1C" w:rsidRPr="007F5541">
        <w:rPr>
          <w:lang w:val="es-419"/>
        </w:rPr>
        <w:t xml:space="preserve"> a quienes aportan datos a la base de datos PLUTO a que comuniquen a la Oficina de la</w:t>
      </w:r>
      <w:r w:rsidR="00E110A6" w:rsidRPr="007F5541">
        <w:rPr>
          <w:lang w:val="es-419"/>
        </w:rPr>
        <w:t> </w:t>
      </w:r>
      <w:r w:rsidR="00A72A1C" w:rsidRPr="007F5541">
        <w:rPr>
          <w:lang w:val="es-419"/>
        </w:rPr>
        <w:t xml:space="preserve">Unión si disponen de datos de interés </w:t>
      </w:r>
      <w:r w:rsidR="00FB68D6" w:rsidRPr="007F5541">
        <w:rPr>
          <w:lang w:val="es-419"/>
        </w:rPr>
        <w:t xml:space="preserve">sobre variedades </w:t>
      </w:r>
      <w:r w:rsidR="00A72A1C" w:rsidRPr="007F5541">
        <w:rPr>
          <w:lang w:val="es-419"/>
        </w:rPr>
        <w:t>que ya no figuran en la base de datos PLUTO a pesar de haber sido enviados con anterioridad a esa base de datos.</w:t>
      </w:r>
      <w:r w:rsidR="00785473" w:rsidRPr="007F5541">
        <w:rPr>
          <w:lang w:val="es-419"/>
        </w:rPr>
        <w:t xml:space="preserve"> </w:t>
      </w:r>
      <w:r w:rsidR="00924FA9">
        <w:rPr>
          <w:lang w:val="es-419"/>
        </w:rPr>
        <w:t xml:space="preserve"> </w:t>
      </w:r>
      <w:r w:rsidR="00D53E33" w:rsidRPr="007F5541">
        <w:rPr>
          <w:lang w:val="es-419"/>
        </w:rPr>
        <w:t xml:space="preserve">Si procede, se presentará al WG-DEN la </w:t>
      </w:r>
      <w:r w:rsidR="00A72A1C" w:rsidRPr="007F5541">
        <w:rPr>
          <w:lang w:val="es-419"/>
        </w:rPr>
        <w:t>información que se reciba en respuesta a esa circular.</w:t>
      </w:r>
    </w:p>
    <w:p w:rsidR="00785473" w:rsidRPr="007F5541" w:rsidRDefault="00785473" w:rsidP="00785473">
      <w:pPr>
        <w:ind w:left="567" w:hanging="567"/>
        <w:rPr>
          <w:lang w:val="es-419"/>
        </w:rPr>
      </w:pPr>
    </w:p>
    <w:p w:rsidR="00785473" w:rsidRPr="007F5541" w:rsidRDefault="009337B9" w:rsidP="00785473">
      <w:pPr>
        <w:rPr>
          <w:lang w:val="es-419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D53E33" w:rsidRPr="007F5541">
        <w:rPr>
          <w:lang w:val="es-419"/>
        </w:rPr>
        <w:t xml:space="preserve">Con respecto a la posible introducción de un identificador único de los registros de variedades en la base de datos PLUTO, </w:t>
      </w:r>
      <w:r w:rsidR="0063138F" w:rsidRPr="007F5541">
        <w:rPr>
          <w:lang w:val="es-419"/>
        </w:rPr>
        <w:t>mencionada</w:t>
      </w:r>
      <w:r w:rsidR="00D53E33" w:rsidRPr="007F5541">
        <w:rPr>
          <w:lang w:val="es-419"/>
        </w:rPr>
        <w:t xml:space="preserve"> en el </w:t>
      </w:r>
      <w:r w:rsidR="00D53E33" w:rsidRPr="00924FA9">
        <w:rPr>
          <w:lang w:val="es-419"/>
        </w:rPr>
        <w:t>párrafo</w:t>
      </w:r>
      <w:r w:rsidR="0063138F" w:rsidRPr="00924FA9">
        <w:rPr>
          <w:lang w:val="es-419"/>
        </w:rPr>
        <w:t> </w:t>
      </w:r>
      <w:r w:rsidR="00D53E33" w:rsidRPr="00924FA9">
        <w:rPr>
          <w:lang w:val="es-419"/>
        </w:rPr>
        <w:t>19</w:t>
      </w:r>
      <w:r w:rsidR="0063138F" w:rsidRPr="00924FA9">
        <w:rPr>
          <w:lang w:val="es-419"/>
        </w:rPr>
        <w:t>.</w:t>
      </w:r>
      <w:r w:rsidR="00D53E33" w:rsidRPr="00924FA9">
        <w:rPr>
          <w:lang w:val="es-419"/>
        </w:rPr>
        <w:t xml:space="preserve">d) </w:t>
      </w:r>
      <w:r w:rsidR="0063138F" w:rsidRPr="00924FA9">
        <w:rPr>
          <w:lang w:val="es-419"/>
        </w:rPr>
        <w:t>anterior</w:t>
      </w:r>
      <w:r w:rsidR="00D53E33" w:rsidRPr="007F5541">
        <w:rPr>
          <w:lang w:val="es-419"/>
        </w:rPr>
        <w:t xml:space="preserve">, </w:t>
      </w:r>
      <w:r w:rsidR="0063138F" w:rsidRPr="007F5541">
        <w:rPr>
          <w:lang w:val="es-419"/>
        </w:rPr>
        <w:t>la Oficina de la </w:t>
      </w:r>
      <w:r w:rsidR="00D53E33" w:rsidRPr="007F5541">
        <w:rPr>
          <w:lang w:val="es-419"/>
        </w:rPr>
        <w:t xml:space="preserve">Unión </w:t>
      </w:r>
      <w:r w:rsidR="0063138F" w:rsidRPr="007F5541">
        <w:rPr>
          <w:lang w:val="es-419"/>
        </w:rPr>
        <w:t xml:space="preserve">presentará </w:t>
      </w:r>
      <w:r w:rsidR="00D53E33" w:rsidRPr="007F5541">
        <w:rPr>
          <w:lang w:val="es-419"/>
        </w:rPr>
        <w:t xml:space="preserve">propuestas </w:t>
      </w:r>
      <w:r w:rsidR="0063138F" w:rsidRPr="007F5541">
        <w:rPr>
          <w:lang w:val="es-419"/>
        </w:rPr>
        <w:t xml:space="preserve">sobre </w:t>
      </w:r>
      <w:r w:rsidR="00D53E33" w:rsidRPr="007F5541">
        <w:rPr>
          <w:lang w:val="es-419"/>
        </w:rPr>
        <w:t xml:space="preserve">este </w:t>
      </w:r>
      <w:r w:rsidR="0063138F" w:rsidRPr="007F5541">
        <w:rPr>
          <w:lang w:val="es-419"/>
        </w:rPr>
        <w:t xml:space="preserve">asunto en la </w:t>
      </w:r>
      <w:r w:rsidR="00D53E33" w:rsidRPr="007F5541">
        <w:rPr>
          <w:lang w:val="es-419"/>
        </w:rPr>
        <w:t>sexta reunión de</w:t>
      </w:r>
      <w:r w:rsidR="0063138F" w:rsidRPr="007F5541">
        <w:rPr>
          <w:lang w:val="es-419"/>
        </w:rPr>
        <w:t>l</w:t>
      </w:r>
      <w:r w:rsidR="00D53E33" w:rsidRPr="007F5541">
        <w:rPr>
          <w:lang w:val="es-419"/>
        </w:rPr>
        <w:t xml:space="preserve"> WG-DEN.</w:t>
      </w:r>
      <w:r w:rsidR="00E4199D" w:rsidRPr="007F5541">
        <w:rPr>
          <w:lang w:val="es-419"/>
        </w:rPr>
        <w:t xml:space="preserve"> </w:t>
      </w:r>
    </w:p>
    <w:p w:rsidR="00785473" w:rsidRDefault="00785473" w:rsidP="00785473">
      <w:pPr>
        <w:rPr>
          <w:rFonts w:eastAsiaTheme="minorEastAsia"/>
          <w:lang w:val="es-419" w:eastAsia="ja-JP"/>
        </w:rPr>
      </w:pPr>
      <w:bookmarkStart w:id="12" w:name="_Toc13678268"/>
    </w:p>
    <w:p w:rsidR="00924FA9" w:rsidRPr="007F5541" w:rsidRDefault="00924FA9" w:rsidP="00785473">
      <w:pPr>
        <w:rPr>
          <w:rFonts w:eastAsiaTheme="minorEastAsia"/>
          <w:lang w:val="es-419" w:eastAsia="ja-JP"/>
        </w:rPr>
      </w:pPr>
    </w:p>
    <w:p w:rsidR="00785473" w:rsidRPr="007F5541" w:rsidRDefault="0063138F" w:rsidP="00785473">
      <w:pPr>
        <w:pStyle w:val="Heading2"/>
        <w:rPr>
          <w:rFonts w:eastAsiaTheme="minorEastAsia"/>
          <w:lang w:val="es-419" w:eastAsia="ja-JP"/>
        </w:rPr>
      </w:pPr>
      <w:bookmarkStart w:id="13" w:name="_Toc15376502"/>
      <w:bookmarkEnd w:id="12"/>
      <w:r w:rsidRPr="007F5541">
        <w:rPr>
          <w:rFonts w:eastAsiaTheme="minorEastAsia"/>
          <w:lang w:val="es-419" w:eastAsia="ja-JP"/>
        </w:rPr>
        <w:t>Otras variedades (datos nuevos)</w:t>
      </w:r>
      <w:bookmarkEnd w:id="13"/>
    </w:p>
    <w:p w:rsidR="00785473" w:rsidRPr="007F5541" w:rsidRDefault="00785473" w:rsidP="00785473">
      <w:pPr>
        <w:rPr>
          <w:lang w:val="es-419"/>
        </w:rPr>
      </w:pPr>
    </w:p>
    <w:p w:rsidR="00785473" w:rsidRPr="007F5541" w:rsidRDefault="009337B9" w:rsidP="00785473">
      <w:pPr>
        <w:rPr>
          <w:lang w:val="es-419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62482F" w:rsidRPr="007F5541">
        <w:rPr>
          <w:lang w:val="es-419"/>
        </w:rPr>
        <w:t xml:space="preserve">Con respecto a la inclusión de otras variedades (datos nuevos) en la base de datos PLUTO, </w:t>
      </w:r>
      <w:r w:rsidR="000F048A" w:rsidRPr="007F5541">
        <w:rPr>
          <w:lang w:val="es-419"/>
        </w:rPr>
        <w:t>mencionada en el</w:t>
      </w:r>
      <w:r w:rsidR="0062482F" w:rsidRPr="007F5541">
        <w:rPr>
          <w:lang w:val="es-419"/>
        </w:rPr>
        <w:t xml:space="preserve"> </w:t>
      </w:r>
      <w:r w:rsidR="000F048A" w:rsidRPr="00924FA9">
        <w:rPr>
          <w:lang w:val="es-419"/>
        </w:rPr>
        <w:t>párrafo</w:t>
      </w:r>
      <w:r w:rsidR="0062482F" w:rsidRPr="00924FA9">
        <w:rPr>
          <w:lang w:val="es-419"/>
        </w:rPr>
        <w:t xml:space="preserve"> 19</w:t>
      </w:r>
      <w:r w:rsidR="000F048A" w:rsidRPr="00924FA9">
        <w:rPr>
          <w:lang w:val="es-419"/>
        </w:rPr>
        <w:t>.</w:t>
      </w:r>
      <w:r w:rsidR="0062482F" w:rsidRPr="00924FA9">
        <w:rPr>
          <w:lang w:val="es-419"/>
        </w:rPr>
        <w:t>e) y</w:t>
      </w:r>
      <w:r w:rsidR="000F048A" w:rsidRPr="00924FA9">
        <w:rPr>
          <w:lang w:val="es-419"/>
        </w:rPr>
        <w:t> </w:t>
      </w:r>
      <w:r w:rsidR="0062482F" w:rsidRPr="00924FA9">
        <w:rPr>
          <w:lang w:val="es-419"/>
        </w:rPr>
        <w:t>f) anterior</w:t>
      </w:r>
      <w:r w:rsidR="0062482F" w:rsidRPr="007F5541">
        <w:rPr>
          <w:lang w:val="es-419"/>
        </w:rPr>
        <w:t>, la Oficina de la</w:t>
      </w:r>
      <w:r w:rsidR="00E110A6" w:rsidRPr="007F5541">
        <w:rPr>
          <w:lang w:val="es-419"/>
        </w:rPr>
        <w:t> </w:t>
      </w:r>
      <w:r w:rsidR="0062482F" w:rsidRPr="007F5541">
        <w:rPr>
          <w:lang w:val="es-419"/>
        </w:rPr>
        <w:t xml:space="preserve">Unión </w:t>
      </w:r>
      <w:r w:rsidR="00923416" w:rsidRPr="007F5541">
        <w:rPr>
          <w:lang w:val="es-419"/>
        </w:rPr>
        <w:t>envió, el 28 de junio de 2019, la</w:t>
      </w:r>
      <w:r w:rsidR="0062482F" w:rsidRPr="007F5541">
        <w:rPr>
          <w:lang w:val="es-419"/>
        </w:rPr>
        <w:t xml:space="preserve"> </w:t>
      </w:r>
      <w:r w:rsidR="00924FA9">
        <w:rPr>
          <w:lang w:val="es-419"/>
        </w:rPr>
        <w:t>circular </w:t>
      </w:r>
      <w:r w:rsidR="0062482F" w:rsidRPr="007F5541">
        <w:rPr>
          <w:lang w:val="es-419"/>
        </w:rPr>
        <w:t>E</w:t>
      </w:r>
      <w:r w:rsidR="00887FF1" w:rsidRPr="007F5541">
        <w:rPr>
          <w:lang w:val="es-419"/>
        </w:rPr>
        <w:noBreakHyphen/>
      </w:r>
      <w:r w:rsidR="0062482F" w:rsidRPr="007F5541">
        <w:rPr>
          <w:lang w:val="es-419"/>
        </w:rPr>
        <w:t xml:space="preserve">19/082 a </w:t>
      </w:r>
      <w:r w:rsidR="00923416" w:rsidRPr="007F5541">
        <w:rPr>
          <w:lang w:val="es-419"/>
        </w:rPr>
        <w:t>las</w:t>
      </w:r>
      <w:r w:rsidR="0062482F" w:rsidRPr="007F5541">
        <w:rPr>
          <w:lang w:val="es-419"/>
        </w:rPr>
        <w:t xml:space="preserve"> personas designadas de </w:t>
      </w:r>
      <w:r w:rsidR="00923416" w:rsidRPr="007F5541">
        <w:rPr>
          <w:lang w:val="es-419"/>
        </w:rPr>
        <w:t xml:space="preserve">los miembros de la Unión </w:t>
      </w:r>
      <w:r w:rsidR="0062482F" w:rsidRPr="007F5541">
        <w:rPr>
          <w:lang w:val="es-419"/>
        </w:rPr>
        <w:t xml:space="preserve">en el Consejo, </w:t>
      </w:r>
      <w:r w:rsidR="00923416" w:rsidRPr="007F5541">
        <w:rPr>
          <w:lang w:val="es-419"/>
        </w:rPr>
        <w:t xml:space="preserve">el </w:t>
      </w:r>
      <w:proofErr w:type="spellStart"/>
      <w:r w:rsidR="0062482F" w:rsidRPr="007F5541">
        <w:rPr>
          <w:lang w:val="es-419"/>
        </w:rPr>
        <w:t>CAJ</w:t>
      </w:r>
      <w:proofErr w:type="spellEnd"/>
      <w:r w:rsidR="0062482F" w:rsidRPr="007F5541">
        <w:rPr>
          <w:lang w:val="es-419"/>
        </w:rPr>
        <w:t xml:space="preserve"> y </w:t>
      </w:r>
      <w:r w:rsidR="00923416" w:rsidRPr="007F5541">
        <w:rPr>
          <w:lang w:val="es-419"/>
        </w:rPr>
        <w:t xml:space="preserve">el </w:t>
      </w:r>
      <w:proofErr w:type="spellStart"/>
      <w:r w:rsidR="00924FA9">
        <w:rPr>
          <w:lang w:val="es-419"/>
        </w:rPr>
        <w:t>WG</w:t>
      </w:r>
      <w:proofErr w:type="spellEnd"/>
      <w:r w:rsidR="00924FA9">
        <w:rPr>
          <w:lang w:val="es-419"/>
        </w:rPr>
        <w:noBreakHyphen/>
      </w:r>
      <w:r w:rsidR="0062482F" w:rsidRPr="007F5541">
        <w:rPr>
          <w:lang w:val="es-419"/>
        </w:rPr>
        <w:t xml:space="preserve">DEN, </w:t>
      </w:r>
      <w:r w:rsidR="00923416" w:rsidRPr="007F5541">
        <w:rPr>
          <w:lang w:val="es-419"/>
        </w:rPr>
        <w:t xml:space="preserve">invitándolas a </w:t>
      </w:r>
      <w:r w:rsidR="0062482F" w:rsidRPr="007F5541">
        <w:rPr>
          <w:lang w:val="es-419"/>
        </w:rPr>
        <w:t>propo</w:t>
      </w:r>
      <w:r w:rsidR="00923416" w:rsidRPr="007F5541">
        <w:rPr>
          <w:lang w:val="es-419"/>
        </w:rPr>
        <w:t>ner</w:t>
      </w:r>
      <w:r w:rsidR="0062482F" w:rsidRPr="007F5541">
        <w:rPr>
          <w:lang w:val="es-419"/>
        </w:rPr>
        <w:t xml:space="preserve">, </w:t>
      </w:r>
      <w:r w:rsidR="00923416" w:rsidRPr="007F5541">
        <w:rPr>
          <w:lang w:val="es-419"/>
        </w:rPr>
        <w:t>a más tardar el </w:t>
      </w:r>
      <w:r w:rsidR="0062482F" w:rsidRPr="007F5541">
        <w:rPr>
          <w:lang w:val="es-419"/>
        </w:rPr>
        <w:t>31</w:t>
      </w:r>
      <w:r w:rsidR="00923416" w:rsidRPr="007F5541">
        <w:rPr>
          <w:lang w:val="es-419"/>
        </w:rPr>
        <w:t xml:space="preserve"> de julio de </w:t>
      </w:r>
      <w:r w:rsidR="0062482F" w:rsidRPr="007F5541">
        <w:rPr>
          <w:lang w:val="es-419"/>
        </w:rPr>
        <w:t xml:space="preserve">2019, </w:t>
      </w:r>
      <w:r w:rsidR="00923416" w:rsidRPr="007F5541">
        <w:rPr>
          <w:lang w:val="es-419"/>
        </w:rPr>
        <w:t>otros</w:t>
      </w:r>
      <w:r w:rsidR="0062482F" w:rsidRPr="007F5541">
        <w:rPr>
          <w:lang w:val="es-419"/>
        </w:rPr>
        <w:t xml:space="preserve"> tipos </w:t>
      </w:r>
      <w:r w:rsidR="00923416" w:rsidRPr="007F5541">
        <w:rPr>
          <w:lang w:val="es-419"/>
        </w:rPr>
        <w:t xml:space="preserve">de </w:t>
      </w:r>
      <w:r w:rsidR="0062482F" w:rsidRPr="007F5541">
        <w:rPr>
          <w:lang w:val="es-419"/>
        </w:rPr>
        <w:t xml:space="preserve">registro </w:t>
      </w:r>
      <w:r w:rsidR="00C4482C" w:rsidRPr="007F5541">
        <w:rPr>
          <w:lang w:val="es-419"/>
        </w:rPr>
        <w:t>que consideren conveniente</w:t>
      </w:r>
      <w:r w:rsidR="0062482F" w:rsidRPr="007F5541">
        <w:rPr>
          <w:lang w:val="es-419"/>
        </w:rPr>
        <w:t xml:space="preserve"> inclu</w:t>
      </w:r>
      <w:r w:rsidR="00C4482C" w:rsidRPr="007F5541">
        <w:rPr>
          <w:lang w:val="es-419"/>
        </w:rPr>
        <w:t>ir</w:t>
      </w:r>
      <w:r w:rsidR="0062482F" w:rsidRPr="007F5541">
        <w:rPr>
          <w:lang w:val="es-419"/>
        </w:rPr>
        <w:t xml:space="preserve"> en la base de datos PLUTO </w:t>
      </w:r>
      <w:r w:rsidR="00C4482C" w:rsidRPr="007F5541">
        <w:rPr>
          <w:lang w:val="es-419"/>
        </w:rPr>
        <w:t>o hacer accesibles por medio de una plataforma de búsqueda en bases de datos independientes</w:t>
      </w:r>
      <w:r w:rsidR="0062482F" w:rsidRPr="007F5541">
        <w:rPr>
          <w:lang w:val="es-419"/>
        </w:rPr>
        <w:t>.</w:t>
      </w:r>
      <w:r w:rsidR="00924FA9">
        <w:rPr>
          <w:lang w:val="es-419"/>
        </w:rPr>
        <w:t xml:space="preserve"> </w:t>
      </w:r>
      <w:r w:rsidR="00E4199D" w:rsidRPr="007F5541">
        <w:rPr>
          <w:lang w:val="es-419"/>
        </w:rPr>
        <w:t xml:space="preserve"> </w:t>
      </w:r>
      <w:r w:rsidR="0062482F" w:rsidRPr="007F5541">
        <w:rPr>
          <w:lang w:val="es-419"/>
        </w:rPr>
        <w:t>Si procede, se presentará al WG-DEN la información que se reciba en respuesta a esa circular</w:t>
      </w:r>
      <w:r w:rsidR="00C4482C" w:rsidRPr="007F5541">
        <w:rPr>
          <w:lang w:val="es-419"/>
        </w:rPr>
        <w:t xml:space="preserve"> y las propuestas correspondientes</w:t>
      </w:r>
      <w:r w:rsidR="0062482F" w:rsidRPr="007F5541">
        <w:rPr>
          <w:lang w:val="es-419"/>
        </w:rPr>
        <w:t>.</w:t>
      </w:r>
      <w:r w:rsidR="00785473" w:rsidRPr="007F5541">
        <w:rPr>
          <w:lang w:val="es-419"/>
        </w:rPr>
        <w:t xml:space="preserve"> </w:t>
      </w:r>
    </w:p>
    <w:p w:rsidR="00785473" w:rsidRDefault="00785473" w:rsidP="00785473">
      <w:pPr>
        <w:rPr>
          <w:rFonts w:eastAsiaTheme="minorEastAsia"/>
          <w:lang w:val="es-419"/>
        </w:rPr>
      </w:pPr>
    </w:p>
    <w:p w:rsidR="00924FA9" w:rsidRPr="007F5541" w:rsidRDefault="00924FA9" w:rsidP="00785473">
      <w:pPr>
        <w:rPr>
          <w:rFonts w:eastAsiaTheme="minorEastAsia"/>
          <w:lang w:val="es-419"/>
        </w:rPr>
      </w:pPr>
    </w:p>
    <w:p w:rsidR="00785473" w:rsidRPr="007F5541" w:rsidRDefault="00785473" w:rsidP="00785473">
      <w:pPr>
        <w:rPr>
          <w:rFonts w:eastAsiaTheme="minorEastAsia"/>
          <w:lang w:val="es-419"/>
        </w:rPr>
      </w:pPr>
    </w:p>
    <w:p w:rsidR="00785473" w:rsidRPr="007F5541" w:rsidRDefault="00C4482C" w:rsidP="00785473">
      <w:pPr>
        <w:keepNext/>
        <w:outlineLvl w:val="0"/>
        <w:rPr>
          <w:rFonts w:eastAsiaTheme="minorEastAsia"/>
          <w:caps/>
          <w:lang w:val="es-419"/>
        </w:rPr>
      </w:pPr>
      <w:bookmarkStart w:id="14" w:name="_Toc15376503"/>
      <w:r w:rsidRPr="007F5541">
        <w:rPr>
          <w:rFonts w:eastAsiaTheme="minorEastAsia"/>
          <w:caps/>
          <w:lang w:val="es-419"/>
        </w:rPr>
        <w:lastRenderedPageBreak/>
        <w:t>TÉRMINOS INADMISIBLES</w:t>
      </w:r>
      <w:bookmarkEnd w:id="14"/>
    </w:p>
    <w:p w:rsidR="00785473" w:rsidRPr="007F5541" w:rsidRDefault="00785473" w:rsidP="00785473">
      <w:pPr>
        <w:keepNext/>
        <w:keepLines/>
        <w:rPr>
          <w:rFonts w:eastAsiaTheme="minorEastAsia"/>
          <w:lang w:val="es-419" w:eastAsia="ja-JP"/>
        </w:rPr>
      </w:pPr>
    </w:p>
    <w:p w:rsidR="00785473" w:rsidRPr="007F5541" w:rsidRDefault="009337B9" w:rsidP="00785473">
      <w:pPr>
        <w:rPr>
          <w:lang w:val="es-419" w:eastAsia="ja-JP"/>
        </w:rPr>
      </w:pPr>
      <w:r w:rsidRPr="007F5541">
        <w:rPr>
          <w:lang w:val="es-419"/>
        </w:rPr>
        <w:fldChar w:fldCharType="begin"/>
      </w:r>
      <w:r w:rsidR="00785473" w:rsidRPr="007F5541">
        <w:rPr>
          <w:lang w:val="es-419"/>
        </w:rPr>
        <w:instrText xml:space="preserve"> AUTONUM  </w:instrText>
      </w:r>
      <w:r w:rsidRPr="007F5541">
        <w:rPr>
          <w:lang w:val="es-419"/>
        </w:rPr>
        <w:fldChar w:fldCharType="end"/>
      </w:r>
      <w:r w:rsidR="00785473" w:rsidRPr="007F5541">
        <w:rPr>
          <w:lang w:val="es-419"/>
        </w:rPr>
        <w:tab/>
      </w:r>
      <w:r w:rsidR="00C4482C" w:rsidRPr="007F5541">
        <w:rPr>
          <w:lang w:val="es-419"/>
        </w:rPr>
        <w:t>Los antecedentes de esta cuestión figuran en el párrafo 14 del documento CAJ/75/7 “Denominaciones de variedades”.</w:t>
      </w:r>
    </w:p>
    <w:p w:rsidR="00785473" w:rsidRPr="007F5541" w:rsidRDefault="00785473" w:rsidP="00785473">
      <w:pPr>
        <w:rPr>
          <w:lang w:val="es-419" w:eastAsia="ja-JP"/>
        </w:rPr>
      </w:pPr>
    </w:p>
    <w:p w:rsidR="00785473" w:rsidRPr="007F5541" w:rsidRDefault="009337B9" w:rsidP="00785473">
      <w:pPr>
        <w:rPr>
          <w:highlight w:val="yellow"/>
          <w:lang w:val="es-419"/>
        </w:rPr>
      </w:pPr>
      <w:r w:rsidRPr="007F5541">
        <w:rPr>
          <w:lang w:val="es-419" w:eastAsia="ja-JP"/>
        </w:rPr>
        <w:fldChar w:fldCharType="begin"/>
      </w:r>
      <w:r w:rsidR="00785473" w:rsidRPr="007F5541">
        <w:rPr>
          <w:lang w:val="es-419" w:eastAsia="ja-JP"/>
        </w:rPr>
        <w:instrText xml:space="preserve"> AUTONUM  </w:instrText>
      </w:r>
      <w:r w:rsidRPr="007F5541">
        <w:rPr>
          <w:lang w:val="es-419" w:eastAsia="ja-JP"/>
        </w:rPr>
        <w:fldChar w:fldCharType="end"/>
      </w:r>
      <w:r w:rsidR="00785473" w:rsidRPr="007F5541">
        <w:rPr>
          <w:lang w:val="es-419" w:eastAsia="ja-JP"/>
        </w:rPr>
        <w:tab/>
      </w:r>
      <w:r w:rsidR="00C4482C" w:rsidRPr="007F5541">
        <w:rPr>
          <w:lang w:val="es-419" w:eastAsia="ja-JP"/>
        </w:rPr>
        <w:t xml:space="preserve">En su </w:t>
      </w:r>
      <w:r w:rsidR="00C4482C" w:rsidRPr="007F5541">
        <w:rPr>
          <w:rFonts w:eastAsiaTheme="minorEastAsia"/>
          <w:lang w:val="es-419" w:eastAsia="ja-JP"/>
        </w:rPr>
        <w:t>quinta</w:t>
      </w:r>
      <w:r w:rsidR="00C4482C" w:rsidRPr="007F5541">
        <w:rPr>
          <w:lang w:val="es-419" w:eastAsia="ja-JP"/>
        </w:rPr>
        <w:t xml:space="preserve"> reunión,</w:t>
      </w:r>
      <w:r w:rsidR="00C4482C" w:rsidRPr="007F5541">
        <w:rPr>
          <w:lang w:val="es-419"/>
        </w:rPr>
        <w:t xml:space="preserve"> </w:t>
      </w:r>
      <w:r w:rsidR="00C4482C" w:rsidRPr="007F5541">
        <w:rPr>
          <w:rFonts w:cs="Arial"/>
          <w:lang w:val="es-419" w:eastAsia="ja-JP"/>
        </w:rPr>
        <w:t>el WG-DEN</w:t>
      </w:r>
      <w:r w:rsidR="00C4482C" w:rsidRPr="007F5541">
        <w:rPr>
          <w:lang w:val="es-419" w:eastAsia="ja-JP"/>
        </w:rPr>
        <w:t xml:space="preserve"> acordó </w:t>
      </w:r>
      <w:r w:rsidR="00C4482C" w:rsidRPr="007F5541">
        <w:rPr>
          <w:rFonts w:cs="Arial"/>
          <w:spacing w:val="-2"/>
          <w:lang w:val="es-419" w:eastAsia="ja-JP"/>
        </w:rPr>
        <w:t xml:space="preserve">no seguir adelante con la cuestión de los </w:t>
      </w:r>
      <w:r w:rsidR="00C4482C" w:rsidRPr="007F5541">
        <w:rPr>
          <w:lang w:val="es-419"/>
        </w:rPr>
        <w:t>términos inadmisibles.</w:t>
      </w:r>
      <w:r w:rsidR="00C4482C" w:rsidRPr="007F5541">
        <w:rPr>
          <w:rFonts w:eastAsiaTheme="minorEastAsia" w:cs="Arial"/>
          <w:bCs/>
          <w:vertAlign w:val="superscript"/>
          <w:lang w:val="es-419"/>
        </w:rPr>
        <w:footnoteReference w:id="7"/>
      </w:r>
      <w:r w:rsidR="00785473" w:rsidRPr="007F5541">
        <w:rPr>
          <w:lang w:val="es-419"/>
        </w:rPr>
        <w:t xml:space="preserve"> </w:t>
      </w:r>
    </w:p>
    <w:p w:rsidR="00785473" w:rsidRPr="008B6F03" w:rsidRDefault="00785473" w:rsidP="00785473">
      <w:pPr>
        <w:rPr>
          <w:sz w:val="18"/>
          <w:highlight w:val="yellow"/>
          <w:lang w:val="es-419"/>
        </w:rPr>
      </w:pPr>
    </w:p>
    <w:p w:rsidR="00924FA9" w:rsidRPr="008B6F03" w:rsidRDefault="00924FA9" w:rsidP="00785473">
      <w:pPr>
        <w:rPr>
          <w:sz w:val="18"/>
          <w:highlight w:val="yellow"/>
          <w:lang w:val="es-419"/>
        </w:rPr>
      </w:pPr>
    </w:p>
    <w:p w:rsidR="00785473" w:rsidRPr="008B6F03" w:rsidRDefault="00785473" w:rsidP="00785473">
      <w:pPr>
        <w:rPr>
          <w:sz w:val="18"/>
          <w:highlight w:val="yellow"/>
          <w:lang w:val="es-419"/>
        </w:rPr>
      </w:pPr>
    </w:p>
    <w:p w:rsidR="00785473" w:rsidRPr="007F5541" w:rsidRDefault="00C4482C" w:rsidP="00785473">
      <w:pPr>
        <w:keepNext/>
        <w:outlineLvl w:val="0"/>
        <w:rPr>
          <w:rFonts w:eastAsiaTheme="minorEastAsia"/>
          <w:caps/>
          <w:lang w:val="es-419"/>
        </w:rPr>
      </w:pPr>
      <w:bookmarkStart w:id="15" w:name="_Toc15376504"/>
      <w:r w:rsidRPr="007F5541">
        <w:rPr>
          <w:rFonts w:eastAsiaTheme="minorEastAsia"/>
          <w:caps/>
          <w:lang w:val="es-419"/>
        </w:rPr>
        <w:t xml:space="preserve">FECHA Y PROGRAMA DE LA PRÓXIMA REUNIÓN DEL </w:t>
      </w:r>
      <w:proofErr w:type="spellStart"/>
      <w:r w:rsidRPr="007F5541">
        <w:rPr>
          <w:rFonts w:eastAsiaTheme="minorEastAsia"/>
          <w:caps/>
          <w:lang w:val="es-419"/>
        </w:rPr>
        <w:t>WG</w:t>
      </w:r>
      <w:proofErr w:type="spellEnd"/>
      <w:r w:rsidRPr="007F5541">
        <w:rPr>
          <w:rFonts w:eastAsiaTheme="minorEastAsia"/>
          <w:caps/>
          <w:lang w:val="es-419"/>
        </w:rPr>
        <w:t>-DEN</w:t>
      </w:r>
      <w:bookmarkEnd w:id="15"/>
    </w:p>
    <w:p w:rsidR="00785473" w:rsidRPr="007F5541" w:rsidRDefault="00785473" w:rsidP="00785473">
      <w:pPr>
        <w:keepNext/>
        <w:rPr>
          <w:rFonts w:eastAsiaTheme="minorEastAsia"/>
          <w:color w:val="000000" w:themeColor="text1"/>
          <w:lang w:val="es-419" w:eastAsia="ja-JP"/>
        </w:rPr>
      </w:pPr>
    </w:p>
    <w:p w:rsidR="00785473" w:rsidRPr="007F5541" w:rsidRDefault="009337B9" w:rsidP="00785473">
      <w:pPr>
        <w:rPr>
          <w:rFonts w:eastAsiaTheme="minorEastAsia"/>
          <w:color w:val="000000" w:themeColor="text1"/>
          <w:lang w:val="es-419" w:eastAsia="ja-JP"/>
        </w:rPr>
      </w:pPr>
      <w:r w:rsidRPr="007F5541">
        <w:rPr>
          <w:rFonts w:eastAsiaTheme="minorEastAsia"/>
          <w:lang w:val="es-419"/>
        </w:rPr>
        <w:fldChar w:fldCharType="begin"/>
      </w:r>
      <w:r w:rsidR="00785473" w:rsidRPr="007F5541">
        <w:rPr>
          <w:rFonts w:eastAsiaTheme="minorEastAsia"/>
          <w:lang w:val="es-419"/>
        </w:rPr>
        <w:instrText xml:space="preserve"> AUTONUM  </w:instrText>
      </w:r>
      <w:r w:rsidRPr="007F5541">
        <w:rPr>
          <w:rFonts w:eastAsiaTheme="minorEastAsia"/>
          <w:lang w:val="es-419"/>
        </w:rPr>
        <w:fldChar w:fldCharType="end"/>
      </w:r>
      <w:r w:rsidR="00785473" w:rsidRPr="007F5541">
        <w:rPr>
          <w:rFonts w:eastAsiaTheme="minorEastAsia"/>
          <w:lang w:val="es-419"/>
        </w:rPr>
        <w:tab/>
      </w:r>
      <w:r w:rsidR="00C4482C" w:rsidRPr="007F5541">
        <w:rPr>
          <w:rFonts w:eastAsiaTheme="minorEastAsia" w:cs="Arial"/>
          <w:lang w:val="es-419"/>
        </w:rPr>
        <w:t>La sexta reunión del WG-DEN se celebrará en Ginebra el 29 de octubre de 2019 por la noche.</w:t>
      </w:r>
    </w:p>
    <w:p w:rsidR="00785473" w:rsidRPr="007F5541" w:rsidRDefault="00785473" w:rsidP="00785473">
      <w:pPr>
        <w:rPr>
          <w:rFonts w:eastAsiaTheme="minorEastAsia"/>
          <w:color w:val="000000" w:themeColor="text1"/>
          <w:lang w:val="es-419" w:eastAsia="ja-JP"/>
        </w:rPr>
      </w:pPr>
    </w:p>
    <w:p w:rsidR="00785473" w:rsidRPr="007F5541" w:rsidRDefault="009337B9" w:rsidP="00785473">
      <w:pPr>
        <w:keepNext/>
        <w:rPr>
          <w:color w:val="000000" w:themeColor="text1"/>
          <w:lang w:val="es-419" w:eastAsia="ja-JP"/>
        </w:rPr>
      </w:pPr>
      <w:r w:rsidRPr="007F5541">
        <w:rPr>
          <w:lang w:val="es-419" w:eastAsia="ja-JP"/>
        </w:rPr>
        <w:fldChar w:fldCharType="begin"/>
      </w:r>
      <w:r w:rsidR="00785473" w:rsidRPr="007F5541">
        <w:rPr>
          <w:lang w:val="es-419" w:eastAsia="ja-JP"/>
        </w:rPr>
        <w:instrText xml:space="preserve"> AUTONUM  </w:instrText>
      </w:r>
      <w:r w:rsidRPr="007F5541">
        <w:rPr>
          <w:lang w:val="es-419" w:eastAsia="ja-JP"/>
        </w:rPr>
        <w:fldChar w:fldCharType="end"/>
      </w:r>
      <w:r w:rsidR="00785473" w:rsidRPr="007F5541">
        <w:rPr>
          <w:lang w:val="es-419" w:eastAsia="ja-JP"/>
        </w:rPr>
        <w:tab/>
      </w:r>
      <w:r w:rsidR="007255FC" w:rsidRPr="007F5541">
        <w:rPr>
          <w:lang w:val="es-419" w:eastAsia="ja-JP"/>
        </w:rPr>
        <w:t xml:space="preserve">En su </w:t>
      </w:r>
      <w:r w:rsidR="007255FC" w:rsidRPr="007F5541">
        <w:rPr>
          <w:lang w:val="es-419"/>
        </w:rPr>
        <w:t>quinta</w:t>
      </w:r>
      <w:r w:rsidR="007255FC" w:rsidRPr="007F5541">
        <w:rPr>
          <w:lang w:val="es-419" w:eastAsia="ja-JP"/>
        </w:rPr>
        <w:t xml:space="preserve"> reunión,</w:t>
      </w:r>
      <w:r w:rsidR="007255FC" w:rsidRPr="007F5541">
        <w:rPr>
          <w:lang w:val="es-419"/>
        </w:rPr>
        <w:t xml:space="preserve"> </w:t>
      </w:r>
      <w:r w:rsidR="007255FC" w:rsidRPr="007F5541">
        <w:rPr>
          <w:rFonts w:eastAsiaTheme="minorEastAsia"/>
          <w:snapToGrid w:val="0"/>
          <w:lang w:val="es-419" w:eastAsia="ja-JP"/>
        </w:rPr>
        <w:t xml:space="preserve">el </w:t>
      </w:r>
      <w:r w:rsidR="007255FC" w:rsidRPr="007F5541">
        <w:rPr>
          <w:rFonts w:eastAsiaTheme="minorEastAsia" w:cs="Arial"/>
          <w:lang w:val="es-419" w:eastAsia="ja-JP"/>
        </w:rPr>
        <w:t>WG-DEN</w:t>
      </w:r>
      <w:r w:rsidR="007255FC" w:rsidRPr="007F5541">
        <w:rPr>
          <w:rFonts w:eastAsiaTheme="minorEastAsia" w:cs="Arial"/>
          <w:lang w:val="es-419"/>
        </w:rPr>
        <w:t xml:space="preserve"> acordó el siguiente programa para su</w:t>
      </w:r>
      <w:r w:rsidR="007255FC" w:rsidRPr="007F5541">
        <w:rPr>
          <w:lang w:val="es-419"/>
        </w:rPr>
        <w:t xml:space="preserve"> sexta reunión</w:t>
      </w:r>
      <w:r w:rsidR="007255FC" w:rsidRPr="007F5541">
        <w:rPr>
          <w:rFonts w:cs="Arial"/>
          <w:lang w:val="es-419" w:eastAsia="ja-JP"/>
        </w:rPr>
        <w:t>:</w:t>
      </w:r>
    </w:p>
    <w:p w:rsidR="00785473" w:rsidRPr="007F5541" w:rsidRDefault="00785473" w:rsidP="00785473">
      <w:pPr>
        <w:keepNext/>
        <w:ind w:left="540"/>
        <w:rPr>
          <w:color w:val="000000" w:themeColor="text1"/>
          <w:sz w:val="18"/>
          <w:lang w:val="es-419" w:eastAsia="ja-JP"/>
        </w:rPr>
      </w:pPr>
    </w:p>
    <w:p w:rsidR="00785473" w:rsidRPr="007F5541" w:rsidRDefault="007255FC" w:rsidP="00785473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es-419"/>
        </w:rPr>
      </w:pPr>
      <w:r w:rsidRPr="007F5541">
        <w:rPr>
          <w:rFonts w:eastAsiaTheme="minorEastAsia"/>
          <w:lang w:val="es-419"/>
        </w:rPr>
        <w:t>Apertura de la reunión</w:t>
      </w:r>
    </w:p>
    <w:p w:rsidR="00785473" w:rsidRPr="007F5541" w:rsidRDefault="00785473" w:rsidP="00785473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es-419"/>
        </w:rPr>
      </w:pPr>
    </w:p>
    <w:p w:rsidR="00785473" w:rsidRPr="007F5541" w:rsidRDefault="007255FC" w:rsidP="00785473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es-419"/>
        </w:rPr>
      </w:pPr>
      <w:r w:rsidRPr="007F5541">
        <w:rPr>
          <w:rFonts w:eastAsiaTheme="minorEastAsia"/>
          <w:lang w:val="es-419"/>
        </w:rPr>
        <w:t>Aprobación del orden del día</w:t>
      </w:r>
    </w:p>
    <w:p w:rsidR="00785473" w:rsidRPr="007F5541" w:rsidRDefault="00785473" w:rsidP="00785473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es-419"/>
        </w:rPr>
      </w:pPr>
    </w:p>
    <w:p w:rsidR="00785473" w:rsidRPr="007F5541" w:rsidRDefault="007255FC" w:rsidP="00785473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  <w:lang w:val="es-419" w:eastAsia="ja-JP"/>
        </w:rPr>
      </w:pPr>
      <w:r w:rsidRPr="007F5541">
        <w:rPr>
          <w:rFonts w:eastAsiaTheme="minorEastAsia"/>
          <w:lang w:val="es-419" w:eastAsia="ja-JP"/>
        </w:rPr>
        <w:t>Revisión del documento UPOV/INF/12/5 “Notas explicativas sobre las denominaciones de variedades con arreglo al Convenio de la UPOV”</w:t>
      </w:r>
    </w:p>
    <w:p w:rsidR="00785473" w:rsidRPr="007F5541" w:rsidRDefault="00785473" w:rsidP="00785473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es-419" w:eastAsia="ja-JP"/>
        </w:rPr>
      </w:pPr>
    </w:p>
    <w:p w:rsidR="00785473" w:rsidRPr="007F5541" w:rsidRDefault="007255FC" w:rsidP="00785473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lang w:val="es-419"/>
        </w:rPr>
      </w:pPr>
      <w:r w:rsidRPr="007F5541">
        <w:rPr>
          <w:rFonts w:eastAsiaTheme="minorEastAsia"/>
          <w:lang w:val="es-419" w:eastAsia="ja-JP"/>
        </w:rPr>
        <w:t>Instrumento de la UPOV para la búsqueda de denominaciones similares</w:t>
      </w:r>
    </w:p>
    <w:p w:rsidR="00785473" w:rsidRPr="007F5541" w:rsidRDefault="00785473" w:rsidP="00785473">
      <w:pPr>
        <w:keepNext/>
        <w:autoSpaceDE w:val="0"/>
        <w:autoSpaceDN w:val="0"/>
        <w:adjustRightInd w:val="0"/>
        <w:jc w:val="left"/>
        <w:rPr>
          <w:lang w:val="es-419" w:eastAsia="ja-JP"/>
        </w:rPr>
      </w:pPr>
    </w:p>
    <w:p w:rsidR="00785473" w:rsidRPr="007F5541" w:rsidRDefault="007255FC" w:rsidP="00785473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lang w:val="es-419"/>
        </w:rPr>
      </w:pPr>
      <w:r w:rsidRPr="007F5541">
        <w:rPr>
          <w:rFonts w:eastAsiaTheme="minorEastAsia"/>
          <w:lang w:val="es-419"/>
        </w:rPr>
        <w:t>Ampliación del contenido de la base de datos PLUTO</w:t>
      </w:r>
    </w:p>
    <w:p w:rsidR="00785473" w:rsidRPr="007F5541" w:rsidRDefault="00785473" w:rsidP="00785473">
      <w:pPr>
        <w:keepNext/>
        <w:rPr>
          <w:lang w:val="es-419"/>
        </w:rPr>
      </w:pPr>
    </w:p>
    <w:p w:rsidR="00785473" w:rsidRPr="007F5541" w:rsidRDefault="007255FC" w:rsidP="00785473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es-419" w:eastAsia="ja-JP"/>
        </w:rPr>
      </w:pPr>
      <w:r w:rsidRPr="007F5541">
        <w:rPr>
          <w:rFonts w:eastAsiaTheme="minorEastAsia"/>
          <w:lang w:val="es-419"/>
        </w:rPr>
        <w:t>Fecha, lugar y programa de la próxima reunión</w:t>
      </w:r>
    </w:p>
    <w:p w:rsidR="00785473" w:rsidRPr="007F5541" w:rsidRDefault="00785473" w:rsidP="00785473">
      <w:pPr>
        <w:tabs>
          <w:tab w:val="left" w:pos="1358"/>
        </w:tabs>
        <w:autoSpaceDE w:val="0"/>
        <w:autoSpaceDN w:val="0"/>
        <w:adjustRightInd w:val="0"/>
        <w:jc w:val="left"/>
        <w:rPr>
          <w:rFonts w:eastAsiaTheme="minorEastAsia"/>
          <w:sz w:val="18"/>
          <w:lang w:val="es-419"/>
        </w:rPr>
      </w:pPr>
    </w:p>
    <w:p w:rsidR="00785473" w:rsidRPr="007F5541" w:rsidRDefault="009337B9" w:rsidP="00785473">
      <w:pPr>
        <w:keepNext/>
        <w:rPr>
          <w:caps/>
          <w:lang w:val="es-419"/>
        </w:rPr>
      </w:pPr>
      <w:r w:rsidRPr="007F5541">
        <w:rPr>
          <w:lang w:val="es-419" w:eastAsia="ja-JP"/>
        </w:rPr>
        <w:fldChar w:fldCharType="begin"/>
      </w:r>
      <w:r w:rsidR="00785473" w:rsidRPr="007F5541">
        <w:rPr>
          <w:lang w:val="es-419" w:eastAsia="ja-JP"/>
        </w:rPr>
        <w:instrText xml:space="preserve"> AUTONUM  </w:instrText>
      </w:r>
      <w:r w:rsidRPr="007F5541">
        <w:rPr>
          <w:lang w:val="es-419" w:eastAsia="ja-JP"/>
        </w:rPr>
        <w:fldChar w:fldCharType="end"/>
      </w:r>
      <w:r w:rsidR="00785473" w:rsidRPr="007F5541">
        <w:rPr>
          <w:lang w:val="es-419" w:eastAsia="ja-JP"/>
        </w:rPr>
        <w:tab/>
      </w:r>
      <w:r w:rsidR="007255FC" w:rsidRPr="007F5541">
        <w:rPr>
          <w:lang w:val="es-419"/>
        </w:rPr>
        <w:t>En la septuagésima sexta sesión del CAJ se presentará un informe de las novedades acontecidas en la sexta reunión del WG-DEN.</w:t>
      </w:r>
    </w:p>
    <w:p w:rsidR="00785473" w:rsidRPr="007F5541" w:rsidRDefault="00785473" w:rsidP="00785473">
      <w:pPr>
        <w:autoSpaceDE w:val="0"/>
        <w:autoSpaceDN w:val="0"/>
        <w:adjustRightInd w:val="0"/>
        <w:jc w:val="left"/>
        <w:rPr>
          <w:rFonts w:eastAsiaTheme="minorEastAsia"/>
          <w:lang w:val="es-419" w:eastAsia="ja-JP"/>
        </w:rPr>
      </w:pPr>
    </w:p>
    <w:p w:rsidR="00785473" w:rsidRPr="007F5541" w:rsidRDefault="009337B9" w:rsidP="00785473">
      <w:pPr>
        <w:keepNext/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7F5541">
        <w:rPr>
          <w:rFonts w:eastAsiaTheme="minorEastAsia"/>
          <w:i/>
          <w:lang w:val="es-419"/>
        </w:rPr>
        <w:fldChar w:fldCharType="begin"/>
      </w:r>
      <w:r w:rsidR="00785473" w:rsidRPr="007F5541">
        <w:rPr>
          <w:rFonts w:eastAsiaTheme="minorEastAsia"/>
          <w:i/>
          <w:lang w:val="es-419"/>
        </w:rPr>
        <w:instrText xml:space="preserve"> AUTONUM  </w:instrText>
      </w:r>
      <w:r w:rsidRPr="007F5541">
        <w:rPr>
          <w:rFonts w:eastAsiaTheme="minorEastAsia"/>
          <w:i/>
          <w:lang w:val="es-419"/>
        </w:rPr>
        <w:fldChar w:fldCharType="end"/>
      </w:r>
      <w:r w:rsidR="00785473" w:rsidRPr="007F5541">
        <w:rPr>
          <w:rFonts w:eastAsiaTheme="minorEastAsia"/>
          <w:i/>
          <w:lang w:val="es-419"/>
        </w:rPr>
        <w:tab/>
      </w:r>
      <w:r w:rsidR="007255FC" w:rsidRPr="007F5541">
        <w:rPr>
          <w:rFonts w:eastAsiaTheme="minorEastAsia"/>
          <w:i/>
          <w:lang w:val="es-419"/>
        </w:rPr>
        <w:t>Se invita al CAJ a tomar nota:</w:t>
      </w:r>
    </w:p>
    <w:p w:rsidR="00785473" w:rsidRPr="007F5541" w:rsidRDefault="00785473" w:rsidP="00785473">
      <w:pPr>
        <w:keepNext/>
        <w:tabs>
          <w:tab w:val="left" w:pos="5387"/>
          <w:tab w:val="left" w:pos="5954"/>
        </w:tabs>
        <w:ind w:left="4820"/>
        <w:rPr>
          <w:rFonts w:eastAsiaTheme="minorEastAsia"/>
          <w:i/>
          <w:highlight w:val="yellow"/>
          <w:lang w:val="es-419"/>
        </w:rPr>
      </w:pPr>
    </w:p>
    <w:p w:rsidR="00785473" w:rsidRPr="009277CE" w:rsidRDefault="00785473" w:rsidP="00785473">
      <w:pPr>
        <w:keepNext/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7F5541">
        <w:rPr>
          <w:rFonts w:eastAsiaTheme="minorEastAsia"/>
          <w:i/>
          <w:lang w:val="es-419"/>
        </w:rPr>
        <w:tab/>
      </w:r>
      <w:r w:rsidR="007255FC" w:rsidRPr="007F5541">
        <w:rPr>
          <w:rFonts w:eastAsiaTheme="minorEastAsia"/>
          <w:i/>
          <w:lang w:val="es-419"/>
        </w:rPr>
        <w:t>a)</w:t>
      </w:r>
      <w:r w:rsidRPr="007F5541">
        <w:rPr>
          <w:rFonts w:eastAsiaTheme="minorEastAsia"/>
          <w:i/>
          <w:lang w:val="es-419"/>
        </w:rPr>
        <w:tab/>
      </w:r>
      <w:r w:rsidR="007255FC" w:rsidRPr="007F5541">
        <w:rPr>
          <w:rFonts w:eastAsiaTheme="minorEastAsia"/>
          <w:i/>
          <w:lang w:val="es-419"/>
        </w:rPr>
        <w:t xml:space="preserve">de las novedades relativas al instrumento </w:t>
      </w:r>
      <w:r w:rsidR="007255FC" w:rsidRPr="009277CE">
        <w:rPr>
          <w:rFonts w:eastAsiaTheme="minorEastAsia"/>
          <w:i/>
          <w:lang w:val="es-419"/>
        </w:rPr>
        <w:t>de la UPOV de búsqueda de similitud a los fines de la denominación de variedades, que se exponen en los párrafos 16 y 17 del presente documento;</w:t>
      </w: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9277CE">
        <w:rPr>
          <w:rFonts w:eastAsiaTheme="minorEastAsia"/>
          <w:i/>
          <w:lang w:val="es-419"/>
        </w:rPr>
        <w:tab/>
      </w:r>
      <w:r w:rsidR="007255FC" w:rsidRPr="009277CE">
        <w:rPr>
          <w:rFonts w:eastAsiaTheme="minorEastAsia"/>
          <w:i/>
          <w:lang w:val="es-419"/>
        </w:rPr>
        <w:t>b)</w:t>
      </w:r>
      <w:r w:rsidRPr="009277CE">
        <w:rPr>
          <w:rFonts w:eastAsiaTheme="minorEastAsia"/>
          <w:i/>
          <w:lang w:val="es-419"/>
        </w:rPr>
        <w:tab/>
      </w:r>
      <w:r w:rsidR="007255FC" w:rsidRPr="009277CE">
        <w:rPr>
          <w:rFonts w:eastAsiaTheme="minorEastAsia"/>
          <w:i/>
          <w:lang w:val="es-419"/>
        </w:rPr>
        <w:t>de las novedades relativas a la posible ampliación del contenido de la base de datos PLUTO, que se exponen en los párrafos 19 a 23 del presente documento;</w:t>
      </w: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9277CE">
        <w:rPr>
          <w:rFonts w:eastAsiaTheme="minorEastAsia"/>
          <w:i/>
          <w:lang w:val="es-419"/>
        </w:rPr>
        <w:tab/>
      </w:r>
      <w:r w:rsidR="007255FC" w:rsidRPr="009277CE">
        <w:rPr>
          <w:rFonts w:eastAsiaTheme="minorEastAsia"/>
          <w:i/>
          <w:lang w:val="es-419"/>
        </w:rPr>
        <w:t>c)</w:t>
      </w:r>
      <w:r w:rsidRPr="009277CE">
        <w:rPr>
          <w:rFonts w:eastAsiaTheme="minorEastAsia"/>
          <w:i/>
          <w:lang w:val="es-419"/>
        </w:rPr>
        <w:tab/>
      </w:r>
      <w:r w:rsidR="007255FC" w:rsidRPr="009277CE">
        <w:rPr>
          <w:rFonts w:eastAsiaTheme="minorEastAsia"/>
          <w:i/>
          <w:spacing w:val="-2"/>
          <w:lang w:val="es-419"/>
        </w:rPr>
        <w:t>de las novedades relativas a los términos inadmisibles, que se exponen en el párrafo 25 del presente documento;</w:t>
      </w:r>
      <w:r w:rsidRPr="009277CE">
        <w:rPr>
          <w:rFonts w:eastAsiaTheme="minorEastAsia"/>
          <w:i/>
          <w:spacing w:val="-2"/>
          <w:lang w:val="es-419"/>
        </w:rPr>
        <w:t xml:space="preserve"> </w:t>
      </w: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9277CE">
        <w:rPr>
          <w:rFonts w:eastAsiaTheme="minorEastAsia"/>
          <w:i/>
          <w:lang w:val="es-419"/>
        </w:rPr>
        <w:tab/>
      </w:r>
      <w:r w:rsidR="001D317D" w:rsidRPr="009277CE">
        <w:rPr>
          <w:rFonts w:eastAsiaTheme="minorEastAsia"/>
          <w:i/>
          <w:lang w:val="es-419"/>
        </w:rPr>
        <w:t>d)</w:t>
      </w:r>
      <w:r w:rsidRPr="009277CE">
        <w:rPr>
          <w:rFonts w:eastAsiaTheme="minorEastAsia"/>
          <w:i/>
          <w:lang w:val="es-419"/>
        </w:rPr>
        <w:tab/>
      </w:r>
      <w:r w:rsidR="001D317D" w:rsidRPr="009277CE">
        <w:rPr>
          <w:rFonts w:eastAsiaTheme="minorEastAsia"/>
          <w:i/>
          <w:lang w:val="es-419"/>
        </w:rPr>
        <w:t>de que la sexta reunión del WG-DEN se celebrará en Ginebra el 29 de octubre de 2019;</w:t>
      </w:r>
      <w:r w:rsidRPr="009277CE">
        <w:rPr>
          <w:rFonts w:eastAsiaTheme="minorEastAsia"/>
          <w:i/>
          <w:lang w:val="es-419"/>
        </w:rPr>
        <w:t xml:space="preserve"> </w:t>
      </w: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9277CE">
        <w:rPr>
          <w:rFonts w:eastAsiaTheme="minorEastAsia"/>
          <w:i/>
          <w:lang w:val="es-419"/>
        </w:rPr>
        <w:tab/>
      </w:r>
      <w:r w:rsidR="001D317D" w:rsidRPr="009277CE">
        <w:rPr>
          <w:rFonts w:eastAsiaTheme="minorEastAsia"/>
          <w:i/>
          <w:lang w:val="es-419"/>
        </w:rPr>
        <w:t>e)</w:t>
      </w:r>
      <w:r w:rsidRPr="009277CE">
        <w:rPr>
          <w:rFonts w:eastAsiaTheme="minorEastAsia"/>
          <w:i/>
          <w:lang w:val="es-419"/>
        </w:rPr>
        <w:tab/>
      </w:r>
      <w:r w:rsidR="001D317D" w:rsidRPr="009277CE">
        <w:rPr>
          <w:rFonts w:eastAsiaTheme="minorEastAsia"/>
          <w:i/>
          <w:lang w:val="es-419"/>
        </w:rPr>
        <w:t>del proyec</w:t>
      </w:r>
      <w:r w:rsidR="00BD0E0E">
        <w:rPr>
          <w:rFonts w:eastAsiaTheme="minorEastAsia"/>
          <w:i/>
          <w:lang w:val="es-419"/>
        </w:rPr>
        <w:t>to de orden del día de la sexta </w:t>
      </w:r>
      <w:r w:rsidR="001D317D" w:rsidRPr="009277CE">
        <w:rPr>
          <w:rFonts w:eastAsiaTheme="minorEastAsia"/>
          <w:i/>
          <w:lang w:val="es-419"/>
        </w:rPr>
        <w:t xml:space="preserve">reunión del </w:t>
      </w:r>
      <w:proofErr w:type="spellStart"/>
      <w:r w:rsidR="001D317D" w:rsidRPr="009277CE">
        <w:rPr>
          <w:rFonts w:eastAsiaTheme="minorEastAsia"/>
          <w:i/>
          <w:lang w:val="es-419"/>
        </w:rPr>
        <w:t>WG</w:t>
      </w:r>
      <w:proofErr w:type="spellEnd"/>
      <w:r w:rsidR="001D317D" w:rsidRPr="009277CE">
        <w:rPr>
          <w:rFonts w:eastAsiaTheme="minorEastAsia"/>
          <w:i/>
          <w:lang w:val="es-419"/>
        </w:rPr>
        <w:t xml:space="preserve">-DEN, que se expone en el párrafo 27 del presente </w:t>
      </w:r>
      <w:proofErr w:type="gramStart"/>
      <w:r w:rsidR="001D317D" w:rsidRPr="009277CE">
        <w:rPr>
          <w:rFonts w:eastAsiaTheme="minorEastAsia"/>
          <w:i/>
          <w:lang w:val="es-419"/>
        </w:rPr>
        <w:t>documento;</w:t>
      </w:r>
      <w:r w:rsidR="000D2A6A">
        <w:rPr>
          <w:rFonts w:eastAsiaTheme="minorEastAsia"/>
          <w:i/>
          <w:lang w:val="es-419"/>
        </w:rPr>
        <w:t xml:space="preserve"> </w:t>
      </w:r>
      <w:r w:rsidR="001D317D" w:rsidRPr="009277CE">
        <w:rPr>
          <w:rFonts w:eastAsiaTheme="minorEastAsia"/>
          <w:i/>
          <w:lang w:val="es-419"/>
        </w:rPr>
        <w:t xml:space="preserve"> y</w:t>
      </w:r>
      <w:proofErr w:type="gramEnd"/>
    </w:p>
    <w:p w:rsidR="00785473" w:rsidRPr="009277CE" w:rsidRDefault="00785473" w:rsidP="00785473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050E16" w:rsidRDefault="00785473" w:rsidP="00975B50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  <w:r w:rsidRPr="009277CE">
        <w:rPr>
          <w:rFonts w:eastAsiaTheme="minorEastAsia"/>
          <w:i/>
          <w:lang w:val="es-419"/>
        </w:rPr>
        <w:tab/>
      </w:r>
      <w:r w:rsidR="001D317D" w:rsidRPr="009277CE">
        <w:rPr>
          <w:rFonts w:eastAsiaTheme="minorEastAsia"/>
          <w:i/>
          <w:lang w:val="es-419"/>
        </w:rPr>
        <w:t>f)</w:t>
      </w:r>
      <w:r w:rsidRPr="009277CE">
        <w:rPr>
          <w:rFonts w:eastAsiaTheme="minorEastAsia"/>
          <w:i/>
          <w:lang w:val="es-419"/>
        </w:rPr>
        <w:tab/>
      </w:r>
      <w:r w:rsidR="001D317D" w:rsidRPr="009277CE">
        <w:rPr>
          <w:rFonts w:eastAsiaTheme="minorEastAsia"/>
          <w:i/>
          <w:lang w:val="es-419"/>
        </w:rPr>
        <w:t xml:space="preserve">de que en la septuagésima sexta sesión del CAJ se presentará un informe de las novedades acontecidas en la sexta reunión del </w:t>
      </w:r>
      <w:proofErr w:type="spellStart"/>
      <w:r w:rsidR="001D317D" w:rsidRPr="009277CE">
        <w:rPr>
          <w:rFonts w:eastAsiaTheme="minorEastAsia"/>
          <w:i/>
          <w:lang w:val="es-419"/>
        </w:rPr>
        <w:t>WG</w:t>
      </w:r>
      <w:proofErr w:type="spellEnd"/>
      <w:r w:rsidR="001D317D" w:rsidRPr="009277CE">
        <w:rPr>
          <w:rFonts w:eastAsiaTheme="minorEastAsia"/>
          <w:i/>
          <w:lang w:val="es-419"/>
        </w:rPr>
        <w:t>-DEN.</w:t>
      </w:r>
    </w:p>
    <w:p w:rsidR="00975B50" w:rsidRDefault="00975B50" w:rsidP="00975B50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es-419"/>
        </w:rPr>
      </w:pPr>
    </w:p>
    <w:p w:rsidR="00975B50" w:rsidRPr="00975B50" w:rsidRDefault="00975B50" w:rsidP="00975B50">
      <w:pPr>
        <w:tabs>
          <w:tab w:val="left" w:pos="5387"/>
          <w:tab w:val="left" w:pos="5954"/>
        </w:tabs>
        <w:ind w:left="4820"/>
        <w:rPr>
          <w:rFonts w:eastAsiaTheme="minorEastAsia"/>
          <w:i/>
          <w:sz w:val="28"/>
          <w:lang w:val="es-419"/>
        </w:rPr>
      </w:pPr>
    </w:p>
    <w:p w:rsidR="00202E38" w:rsidRPr="007F5541" w:rsidRDefault="00050E16" w:rsidP="00924FA9">
      <w:pPr>
        <w:jc w:val="right"/>
        <w:rPr>
          <w:lang w:val="es-419"/>
        </w:rPr>
      </w:pPr>
      <w:r w:rsidRPr="007F5541">
        <w:rPr>
          <w:lang w:val="es-419"/>
        </w:rPr>
        <w:t>[</w:t>
      </w:r>
      <w:r w:rsidR="000638A9" w:rsidRPr="007F5541">
        <w:rPr>
          <w:lang w:val="es-419"/>
        </w:rPr>
        <w:t>Fin del documento</w:t>
      </w:r>
      <w:r w:rsidRPr="007F5541">
        <w:rPr>
          <w:lang w:val="es-419"/>
        </w:rPr>
        <w:t>]</w:t>
      </w:r>
    </w:p>
    <w:sectPr w:rsidR="00202E38" w:rsidRPr="007F5541" w:rsidSect="00906D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2D3" w:rsidRDefault="00C012D3" w:rsidP="006655D3">
      <w:r>
        <w:separator/>
      </w:r>
    </w:p>
    <w:p w:rsidR="00C012D3" w:rsidRDefault="00C012D3" w:rsidP="006655D3"/>
    <w:p w:rsidR="00C012D3" w:rsidRDefault="00C012D3" w:rsidP="006655D3"/>
  </w:endnote>
  <w:endnote w:type="continuationSeparator" w:id="0">
    <w:p w:rsidR="00C012D3" w:rsidRDefault="00C012D3" w:rsidP="006655D3">
      <w:r>
        <w:separator/>
      </w:r>
    </w:p>
    <w:p w:rsidR="00C012D3" w:rsidRPr="00294751" w:rsidRDefault="00C012D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012D3" w:rsidRPr="00294751" w:rsidRDefault="00C012D3" w:rsidP="006655D3">
      <w:pPr>
        <w:rPr>
          <w:lang w:val="fr-FR"/>
        </w:rPr>
      </w:pPr>
    </w:p>
    <w:p w:rsidR="00C012D3" w:rsidRPr="00294751" w:rsidRDefault="00C012D3" w:rsidP="006655D3">
      <w:pPr>
        <w:rPr>
          <w:lang w:val="fr-FR"/>
        </w:rPr>
      </w:pPr>
    </w:p>
  </w:endnote>
  <w:endnote w:type="continuationNotice" w:id="1">
    <w:p w:rsidR="00C012D3" w:rsidRPr="00294751" w:rsidRDefault="00C012D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012D3" w:rsidRPr="00294751" w:rsidRDefault="00C012D3" w:rsidP="006655D3">
      <w:pPr>
        <w:rPr>
          <w:lang w:val="fr-FR"/>
        </w:rPr>
      </w:pPr>
    </w:p>
    <w:p w:rsidR="00C012D3" w:rsidRPr="00294751" w:rsidRDefault="00C012D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0" w:rsidRDefault="00854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0" w:rsidRDefault="008542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0" w:rsidRDefault="00854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2D3" w:rsidRDefault="00C012D3" w:rsidP="006655D3">
      <w:r>
        <w:separator/>
      </w:r>
    </w:p>
  </w:footnote>
  <w:footnote w:type="continuationSeparator" w:id="0">
    <w:p w:rsidR="00C012D3" w:rsidRDefault="00C012D3" w:rsidP="006655D3">
      <w:r>
        <w:separator/>
      </w:r>
    </w:p>
  </w:footnote>
  <w:footnote w:type="continuationNotice" w:id="1">
    <w:p w:rsidR="00C012D3" w:rsidRPr="00AB530F" w:rsidRDefault="00C012D3" w:rsidP="00AB530F">
      <w:pPr>
        <w:pStyle w:val="Footer"/>
      </w:pPr>
    </w:p>
  </w:footnote>
  <w:footnote w:id="2">
    <w:p w:rsidR="00C012D3" w:rsidRPr="007F5541" w:rsidRDefault="00C012D3" w:rsidP="00D37F8D">
      <w:pPr>
        <w:pStyle w:val="FootnoteText"/>
        <w:rPr>
          <w:lang w:val="es-419" w:eastAsia="ja-JP"/>
        </w:rPr>
      </w:pPr>
      <w:r w:rsidRPr="007F5541">
        <w:rPr>
          <w:rStyle w:val="FootnoteReference"/>
          <w:lang w:val="es-419"/>
        </w:rPr>
        <w:footnoteRef/>
      </w:r>
      <w:r w:rsidRPr="007F5541">
        <w:rPr>
          <w:lang w:val="es-419"/>
        </w:rPr>
        <w:t xml:space="preserve"> </w:t>
      </w:r>
      <w:r w:rsidRPr="007F5541">
        <w:rPr>
          <w:lang w:val="es-419" w:eastAsia="ja-JP"/>
        </w:rPr>
        <w:tab/>
      </w:r>
      <w:r w:rsidRPr="007F5541">
        <w:rPr>
          <w:rFonts w:eastAsiaTheme="minorEastAsia"/>
          <w:lang w:val="es-419" w:eastAsia="ja-JP"/>
        </w:rPr>
        <w:t>Celebrada en Ginebra el 30 de octubre de 2018.</w:t>
      </w:r>
    </w:p>
  </w:footnote>
  <w:footnote w:id="3">
    <w:p w:rsidR="00C012D3" w:rsidRPr="007F5541" w:rsidRDefault="00C012D3" w:rsidP="00645211">
      <w:pPr>
        <w:pStyle w:val="FootnoteText"/>
        <w:rPr>
          <w:lang w:val="es-419" w:eastAsia="ja-JP"/>
        </w:rPr>
      </w:pPr>
      <w:r w:rsidRPr="007F5541">
        <w:rPr>
          <w:rStyle w:val="FootnoteReference"/>
          <w:lang w:val="es-419"/>
        </w:rPr>
        <w:footnoteRef/>
      </w:r>
      <w:r w:rsidRPr="007F5541">
        <w:rPr>
          <w:lang w:val="es-419"/>
        </w:rPr>
        <w:t xml:space="preserve"> </w:t>
      </w:r>
      <w:r w:rsidRPr="007F5541">
        <w:rPr>
          <w:lang w:val="es-419" w:eastAsia="ja-JP"/>
        </w:rPr>
        <w:tab/>
        <w:t xml:space="preserve">Véase el </w:t>
      </w:r>
      <w:r w:rsidRPr="007F5541">
        <w:rPr>
          <w:rFonts w:eastAsiaTheme="minorEastAsia"/>
          <w:lang w:val="es-419"/>
        </w:rPr>
        <w:t>párrafo 45 del documento CAJ/75/14 “Informe”</w:t>
      </w:r>
      <w:r w:rsidRPr="007F5541">
        <w:rPr>
          <w:szCs w:val="16"/>
          <w:lang w:val="es-419" w:eastAsia="ja-JP"/>
        </w:rPr>
        <w:t>.</w:t>
      </w:r>
    </w:p>
  </w:footnote>
  <w:footnote w:id="4">
    <w:p w:rsidR="00C012D3" w:rsidRPr="007F5541" w:rsidRDefault="00C012D3" w:rsidP="00785473">
      <w:pPr>
        <w:pStyle w:val="FootnoteText"/>
        <w:rPr>
          <w:lang w:val="es-419" w:eastAsia="ja-JP"/>
        </w:rPr>
      </w:pPr>
      <w:r w:rsidRPr="007F5541">
        <w:rPr>
          <w:rStyle w:val="FootnoteReference"/>
          <w:lang w:val="es-419"/>
        </w:rPr>
        <w:footnoteRef/>
      </w:r>
      <w:r w:rsidRPr="007F5541">
        <w:rPr>
          <w:lang w:val="es-419"/>
        </w:rPr>
        <w:t xml:space="preserve"> </w:t>
      </w:r>
      <w:r w:rsidRPr="007F5541">
        <w:rPr>
          <w:lang w:val="es-419" w:eastAsia="ja-JP"/>
        </w:rPr>
        <w:tab/>
        <w:t>Véase el párrafo 28 del documento UPOV/WG-DEN/5/3 “</w:t>
      </w:r>
      <w:r w:rsidRPr="007F5541">
        <w:rPr>
          <w:i/>
          <w:lang w:val="es-419" w:eastAsia="ja-JP"/>
        </w:rPr>
        <w:t>Report</w:t>
      </w:r>
      <w:r w:rsidRPr="007F5541">
        <w:rPr>
          <w:lang w:val="es-419" w:eastAsia="ja-JP"/>
        </w:rPr>
        <w:t>”.</w:t>
      </w:r>
    </w:p>
  </w:footnote>
  <w:footnote w:id="5">
    <w:p w:rsidR="00C012D3" w:rsidRPr="007F5541" w:rsidRDefault="00C012D3" w:rsidP="00411EF8">
      <w:pPr>
        <w:pStyle w:val="FootnoteText"/>
        <w:rPr>
          <w:lang w:val="es-419" w:eastAsia="ja-JP"/>
        </w:rPr>
      </w:pPr>
      <w:r w:rsidRPr="007F5541">
        <w:rPr>
          <w:rStyle w:val="FootnoteReference"/>
          <w:lang w:val="es-419"/>
        </w:rPr>
        <w:footnoteRef/>
      </w:r>
      <w:r w:rsidRPr="007F5541">
        <w:rPr>
          <w:lang w:val="es-419"/>
        </w:rPr>
        <w:t xml:space="preserve"> </w:t>
      </w:r>
      <w:r w:rsidRPr="007F5541">
        <w:rPr>
          <w:lang w:val="es-419" w:eastAsia="ja-JP"/>
        </w:rPr>
        <w:tab/>
        <w:t>Prevista en Ginebra el 29 de octubre de 2019.</w:t>
      </w:r>
    </w:p>
  </w:footnote>
  <w:footnote w:id="6">
    <w:p w:rsidR="00C012D3" w:rsidRPr="007F5541" w:rsidRDefault="00C012D3" w:rsidP="00785473">
      <w:pPr>
        <w:pStyle w:val="FootnoteText"/>
        <w:rPr>
          <w:lang w:val="es-419" w:eastAsia="ja-JP"/>
        </w:rPr>
      </w:pPr>
      <w:r w:rsidRPr="007F5541">
        <w:rPr>
          <w:rStyle w:val="FootnoteReference"/>
          <w:lang w:val="es-419"/>
        </w:rPr>
        <w:footnoteRef/>
      </w:r>
      <w:r w:rsidRPr="007F5541">
        <w:rPr>
          <w:lang w:val="es-419"/>
        </w:rPr>
        <w:t xml:space="preserve"> </w:t>
      </w:r>
      <w:r w:rsidRPr="007F5541">
        <w:rPr>
          <w:lang w:val="es-419" w:eastAsia="ja-JP"/>
        </w:rPr>
        <w:tab/>
        <w:t>Véase el párrafo 30 del documento UPOV/WG-DEN/5/3 “</w:t>
      </w:r>
      <w:r w:rsidRPr="007F5541">
        <w:rPr>
          <w:i/>
          <w:lang w:val="es-419" w:eastAsia="ja-JP"/>
        </w:rPr>
        <w:t>Report</w:t>
      </w:r>
      <w:r w:rsidRPr="007F5541">
        <w:rPr>
          <w:lang w:val="es-419" w:eastAsia="ja-JP"/>
        </w:rPr>
        <w:t>”.</w:t>
      </w:r>
    </w:p>
  </w:footnote>
  <w:footnote w:id="7">
    <w:p w:rsidR="00C012D3" w:rsidRPr="007F5541" w:rsidRDefault="00C012D3" w:rsidP="00785473">
      <w:pPr>
        <w:pStyle w:val="FootnoteText"/>
        <w:rPr>
          <w:lang w:val="es-419" w:eastAsia="ja-JP"/>
        </w:rPr>
      </w:pPr>
      <w:r w:rsidRPr="007F5541">
        <w:rPr>
          <w:rStyle w:val="FootnoteReference"/>
          <w:lang w:val="es-419"/>
        </w:rPr>
        <w:footnoteRef/>
      </w:r>
      <w:r w:rsidRPr="007F5541">
        <w:rPr>
          <w:lang w:val="es-419"/>
        </w:rPr>
        <w:t xml:space="preserve"> </w:t>
      </w:r>
      <w:r w:rsidRPr="007F5541">
        <w:rPr>
          <w:lang w:val="es-419" w:eastAsia="ja-JP"/>
        </w:rPr>
        <w:tab/>
        <w:t>Véase el párrafo 32 del documento UPOV/WG-DEN/5/3 “</w:t>
      </w:r>
      <w:r w:rsidRPr="007F5541">
        <w:rPr>
          <w:i/>
          <w:lang w:val="es-419" w:eastAsia="ja-JP"/>
        </w:rPr>
        <w:t>Report</w:t>
      </w:r>
      <w:r w:rsidRPr="007F5541">
        <w:rPr>
          <w:lang w:val="es-419" w:eastAsia="ja-JP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0" w:rsidRDefault="008542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D3" w:rsidRPr="000A23DC" w:rsidRDefault="00C012D3" w:rsidP="000A23DC">
    <w:pPr>
      <w:pStyle w:val="Header"/>
      <w:rPr>
        <w:rStyle w:val="PageNumber"/>
      </w:rPr>
    </w:pPr>
    <w:r>
      <w:rPr>
        <w:rStyle w:val="PageNumber"/>
      </w:rPr>
      <w:t>CAJ/76</w:t>
    </w:r>
    <w:r w:rsidRPr="000A23DC">
      <w:rPr>
        <w:rStyle w:val="PageNumber"/>
      </w:rPr>
      <w:t>/</w:t>
    </w:r>
    <w:r>
      <w:rPr>
        <w:rStyle w:val="PageNumber"/>
      </w:rPr>
      <w:t>6</w:t>
    </w:r>
  </w:p>
  <w:p w:rsidR="00C012D3" w:rsidRPr="00202E38" w:rsidRDefault="00C012D3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7E628D">
      <w:rPr>
        <w:rStyle w:val="PageNumber"/>
        <w:noProof/>
        <w:lang w:val="de-DE"/>
      </w:rPr>
      <w:t>5</w:t>
    </w:r>
    <w:r w:rsidRPr="00202E38">
      <w:rPr>
        <w:rStyle w:val="PageNumber"/>
        <w:lang w:val="de-DE"/>
      </w:rPr>
      <w:fldChar w:fldCharType="end"/>
    </w:r>
  </w:p>
  <w:p w:rsidR="00C012D3" w:rsidRPr="00202E38" w:rsidRDefault="00C012D3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0" w:rsidRDefault="008542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8"/>
  </w:docVars>
  <w:rsids>
    <w:rsidRoot w:val="007C05F0"/>
    <w:rsid w:val="00010A43"/>
    <w:rsid w:val="00010CF3"/>
    <w:rsid w:val="00011E27"/>
    <w:rsid w:val="000148BC"/>
    <w:rsid w:val="0002290F"/>
    <w:rsid w:val="00024AB8"/>
    <w:rsid w:val="00030854"/>
    <w:rsid w:val="00036028"/>
    <w:rsid w:val="00044642"/>
    <w:rsid w:val="000446B9"/>
    <w:rsid w:val="00047E21"/>
    <w:rsid w:val="00050E16"/>
    <w:rsid w:val="000638A9"/>
    <w:rsid w:val="00073DE9"/>
    <w:rsid w:val="000835E8"/>
    <w:rsid w:val="00085505"/>
    <w:rsid w:val="00090187"/>
    <w:rsid w:val="000A1C7E"/>
    <w:rsid w:val="000A23DC"/>
    <w:rsid w:val="000A3332"/>
    <w:rsid w:val="000B0799"/>
    <w:rsid w:val="000B225A"/>
    <w:rsid w:val="000C4E25"/>
    <w:rsid w:val="000C7021"/>
    <w:rsid w:val="000D119F"/>
    <w:rsid w:val="000D2A6A"/>
    <w:rsid w:val="000D2DC7"/>
    <w:rsid w:val="000D6BBC"/>
    <w:rsid w:val="000D7780"/>
    <w:rsid w:val="000E636A"/>
    <w:rsid w:val="000F048A"/>
    <w:rsid w:val="000F2F11"/>
    <w:rsid w:val="00105929"/>
    <w:rsid w:val="00110C36"/>
    <w:rsid w:val="001131D5"/>
    <w:rsid w:val="001146A4"/>
    <w:rsid w:val="00116650"/>
    <w:rsid w:val="0012465E"/>
    <w:rsid w:val="001370C8"/>
    <w:rsid w:val="00141DB8"/>
    <w:rsid w:val="001559AC"/>
    <w:rsid w:val="00172084"/>
    <w:rsid w:val="0017474A"/>
    <w:rsid w:val="001758C6"/>
    <w:rsid w:val="00180CC8"/>
    <w:rsid w:val="00182B99"/>
    <w:rsid w:val="0019678D"/>
    <w:rsid w:val="001A044B"/>
    <w:rsid w:val="001B4B5F"/>
    <w:rsid w:val="001C334B"/>
    <w:rsid w:val="001C7B8B"/>
    <w:rsid w:val="001D317D"/>
    <w:rsid w:val="001F64BF"/>
    <w:rsid w:val="00202E38"/>
    <w:rsid w:val="002077AC"/>
    <w:rsid w:val="0021332C"/>
    <w:rsid w:val="00213982"/>
    <w:rsid w:val="002428AD"/>
    <w:rsid w:val="0024416D"/>
    <w:rsid w:val="002464A3"/>
    <w:rsid w:val="00264E49"/>
    <w:rsid w:val="00271911"/>
    <w:rsid w:val="00274367"/>
    <w:rsid w:val="002800A0"/>
    <w:rsid w:val="002801B3"/>
    <w:rsid w:val="00281060"/>
    <w:rsid w:val="002940E8"/>
    <w:rsid w:val="00294751"/>
    <w:rsid w:val="002A6E50"/>
    <w:rsid w:val="002B4298"/>
    <w:rsid w:val="002B7960"/>
    <w:rsid w:val="002C256A"/>
    <w:rsid w:val="002E5944"/>
    <w:rsid w:val="00300530"/>
    <w:rsid w:val="00305A7F"/>
    <w:rsid w:val="003152FE"/>
    <w:rsid w:val="00327436"/>
    <w:rsid w:val="00343CEF"/>
    <w:rsid w:val="00344BD6"/>
    <w:rsid w:val="0035528D"/>
    <w:rsid w:val="00361821"/>
    <w:rsid w:val="00361E9E"/>
    <w:rsid w:val="003812ED"/>
    <w:rsid w:val="0039159B"/>
    <w:rsid w:val="003959D6"/>
    <w:rsid w:val="003B031A"/>
    <w:rsid w:val="003B0507"/>
    <w:rsid w:val="003C1066"/>
    <w:rsid w:val="003C7FBE"/>
    <w:rsid w:val="003D227C"/>
    <w:rsid w:val="003D2B4D"/>
    <w:rsid w:val="003D5DCC"/>
    <w:rsid w:val="00404329"/>
    <w:rsid w:val="0040557F"/>
    <w:rsid w:val="00411EF8"/>
    <w:rsid w:val="00433AFC"/>
    <w:rsid w:val="00444A88"/>
    <w:rsid w:val="00453CB5"/>
    <w:rsid w:val="00455DAB"/>
    <w:rsid w:val="00474DA4"/>
    <w:rsid w:val="004761B7"/>
    <w:rsid w:val="00476B4D"/>
    <w:rsid w:val="00477B59"/>
    <w:rsid w:val="004805FA"/>
    <w:rsid w:val="00483982"/>
    <w:rsid w:val="00492C4D"/>
    <w:rsid w:val="004935D2"/>
    <w:rsid w:val="004B1215"/>
    <w:rsid w:val="004C14BA"/>
    <w:rsid w:val="004C5144"/>
    <w:rsid w:val="004C5B33"/>
    <w:rsid w:val="004D047D"/>
    <w:rsid w:val="004D2B1A"/>
    <w:rsid w:val="004E4A9F"/>
    <w:rsid w:val="004F1E9E"/>
    <w:rsid w:val="004F305A"/>
    <w:rsid w:val="00504924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A400A"/>
    <w:rsid w:val="005B2BFD"/>
    <w:rsid w:val="005C0BF4"/>
    <w:rsid w:val="005D66B0"/>
    <w:rsid w:val="005F7B92"/>
    <w:rsid w:val="006015FF"/>
    <w:rsid w:val="00612379"/>
    <w:rsid w:val="006153B6"/>
    <w:rsid w:val="0061555F"/>
    <w:rsid w:val="0062482F"/>
    <w:rsid w:val="0063138F"/>
    <w:rsid w:val="00636CA6"/>
    <w:rsid w:val="00637EDD"/>
    <w:rsid w:val="00641068"/>
    <w:rsid w:val="00641200"/>
    <w:rsid w:val="00645211"/>
    <w:rsid w:val="00645CA8"/>
    <w:rsid w:val="006655D3"/>
    <w:rsid w:val="00667404"/>
    <w:rsid w:val="00673AD4"/>
    <w:rsid w:val="006818F4"/>
    <w:rsid w:val="00687EB4"/>
    <w:rsid w:val="00695C56"/>
    <w:rsid w:val="006A32E5"/>
    <w:rsid w:val="006A5CDE"/>
    <w:rsid w:val="006A644A"/>
    <w:rsid w:val="006B17D2"/>
    <w:rsid w:val="006C224E"/>
    <w:rsid w:val="006C46ED"/>
    <w:rsid w:val="006D3E38"/>
    <w:rsid w:val="006D4F2A"/>
    <w:rsid w:val="006D780A"/>
    <w:rsid w:val="006E2DF7"/>
    <w:rsid w:val="00706142"/>
    <w:rsid w:val="0071271E"/>
    <w:rsid w:val="007255FC"/>
    <w:rsid w:val="00726865"/>
    <w:rsid w:val="00732DEC"/>
    <w:rsid w:val="00735BD5"/>
    <w:rsid w:val="00742870"/>
    <w:rsid w:val="00750AA6"/>
    <w:rsid w:val="00751613"/>
    <w:rsid w:val="00752334"/>
    <w:rsid w:val="007556F6"/>
    <w:rsid w:val="00760EEF"/>
    <w:rsid w:val="00776930"/>
    <w:rsid w:val="00777EE5"/>
    <w:rsid w:val="00783722"/>
    <w:rsid w:val="00784836"/>
    <w:rsid w:val="00785473"/>
    <w:rsid w:val="00786705"/>
    <w:rsid w:val="0079023E"/>
    <w:rsid w:val="007A2854"/>
    <w:rsid w:val="007B1AAF"/>
    <w:rsid w:val="007B23FC"/>
    <w:rsid w:val="007B6B6C"/>
    <w:rsid w:val="007C004B"/>
    <w:rsid w:val="007C05F0"/>
    <w:rsid w:val="007C1D92"/>
    <w:rsid w:val="007C4CB9"/>
    <w:rsid w:val="007D0B9D"/>
    <w:rsid w:val="007D19B0"/>
    <w:rsid w:val="007E628D"/>
    <w:rsid w:val="007E6FF1"/>
    <w:rsid w:val="007F498F"/>
    <w:rsid w:val="007F5541"/>
    <w:rsid w:val="0080679D"/>
    <w:rsid w:val="008108B0"/>
    <w:rsid w:val="00811B20"/>
    <w:rsid w:val="0081542D"/>
    <w:rsid w:val="008211B5"/>
    <w:rsid w:val="0082296E"/>
    <w:rsid w:val="00824099"/>
    <w:rsid w:val="008418E4"/>
    <w:rsid w:val="008446AC"/>
    <w:rsid w:val="00845304"/>
    <w:rsid w:val="00846D7C"/>
    <w:rsid w:val="00850F92"/>
    <w:rsid w:val="00852B9B"/>
    <w:rsid w:val="00854200"/>
    <w:rsid w:val="008574A4"/>
    <w:rsid w:val="00857F80"/>
    <w:rsid w:val="00864C55"/>
    <w:rsid w:val="00867AC1"/>
    <w:rsid w:val="00877A5B"/>
    <w:rsid w:val="00887FF1"/>
    <w:rsid w:val="00890DF8"/>
    <w:rsid w:val="008A743F"/>
    <w:rsid w:val="008B3D8D"/>
    <w:rsid w:val="008B6F03"/>
    <w:rsid w:val="008C0970"/>
    <w:rsid w:val="008C6250"/>
    <w:rsid w:val="008D0BC5"/>
    <w:rsid w:val="008D2CF7"/>
    <w:rsid w:val="008D6EDE"/>
    <w:rsid w:val="00900C26"/>
    <w:rsid w:val="0090197F"/>
    <w:rsid w:val="00906DDC"/>
    <w:rsid w:val="009100FC"/>
    <w:rsid w:val="009179F1"/>
    <w:rsid w:val="00922CAB"/>
    <w:rsid w:val="00923416"/>
    <w:rsid w:val="00924FA9"/>
    <w:rsid w:val="009277CE"/>
    <w:rsid w:val="009337B9"/>
    <w:rsid w:val="00933F99"/>
    <w:rsid w:val="00934E09"/>
    <w:rsid w:val="00936253"/>
    <w:rsid w:val="00940D46"/>
    <w:rsid w:val="00943983"/>
    <w:rsid w:val="00950416"/>
    <w:rsid w:val="00952DD4"/>
    <w:rsid w:val="0096175D"/>
    <w:rsid w:val="00965AE7"/>
    <w:rsid w:val="00970FED"/>
    <w:rsid w:val="00971DB4"/>
    <w:rsid w:val="00975B50"/>
    <w:rsid w:val="00992D82"/>
    <w:rsid w:val="00996744"/>
    <w:rsid w:val="00997029"/>
    <w:rsid w:val="009A7339"/>
    <w:rsid w:val="009B440E"/>
    <w:rsid w:val="009C05B3"/>
    <w:rsid w:val="009C12AF"/>
    <w:rsid w:val="009C7B54"/>
    <w:rsid w:val="009D690D"/>
    <w:rsid w:val="009D7E09"/>
    <w:rsid w:val="009E1389"/>
    <w:rsid w:val="009E49A4"/>
    <w:rsid w:val="009E65B6"/>
    <w:rsid w:val="00A066EE"/>
    <w:rsid w:val="00A1495E"/>
    <w:rsid w:val="00A20414"/>
    <w:rsid w:val="00A24C10"/>
    <w:rsid w:val="00A26345"/>
    <w:rsid w:val="00A36B4C"/>
    <w:rsid w:val="00A42AC3"/>
    <w:rsid w:val="00A430CF"/>
    <w:rsid w:val="00A54309"/>
    <w:rsid w:val="00A706D3"/>
    <w:rsid w:val="00A72A1C"/>
    <w:rsid w:val="00A82235"/>
    <w:rsid w:val="00AB2B93"/>
    <w:rsid w:val="00AB530F"/>
    <w:rsid w:val="00AB7E5B"/>
    <w:rsid w:val="00AC2883"/>
    <w:rsid w:val="00AE067D"/>
    <w:rsid w:val="00AE0EF1"/>
    <w:rsid w:val="00AE2937"/>
    <w:rsid w:val="00B07301"/>
    <w:rsid w:val="00B11F3E"/>
    <w:rsid w:val="00B224DE"/>
    <w:rsid w:val="00B248D4"/>
    <w:rsid w:val="00B31FD9"/>
    <w:rsid w:val="00B324D4"/>
    <w:rsid w:val="00B4128E"/>
    <w:rsid w:val="00B41D28"/>
    <w:rsid w:val="00B46575"/>
    <w:rsid w:val="00B61777"/>
    <w:rsid w:val="00B64EB8"/>
    <w:rsid w:val="00B84BBD"/>
    <w:rsid w:val="00B9398F"/>
    <w:rsid w:val="00BA43FB"/>
    <w:rsid w:val="00BA5AA3"/>
    <w:rsid w:val="00BB4E59"/>
    <w:rsid w:val="00BC0BD4"/>
    <w:rsid w:val="00BC127D"/>
    <w:rsid w:val="00BC1FE6"/>
    <w:rsid w:val="00BD0E0E"/>
    <w:rsid w:val="00BE746B"/>
    <w:rsid w:val="00BF289A"/>
    <w:rsid w:val="00BF4FB2"/>
    <w:rsid w:val="00C012D3"/>
    <w:rsid w:val="00C061B6"/>
    <w:rsid w:val="00C177D4"/>
    <w:rsid w:val="00C2446C"/>
    <w:rsid w:val="00C26682"/>
    <w:rsid w:val="00C36AE5"/>
    <w:rsid w:val="00C41F17"/>
    <w:rsid w:val="00C4482C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ED4"/>
    <w:rsid w:val="00CC11B0"/>
    <w:rsid w:val="00CC2841"/>
    <w:rsid w:val="00CE2499"/>
    <w:rsid w:val="00CE348E"/>
    <w:rsid w:val="00CE4712"/>
    <w:rsid w:val="00CE6607"/>
    <w:rsid w:val="00CF1330"/>
    <w:rsid w:val="00CF7E36"/>
    <w:rsid w:val="00D07E5A"/>
    <w:rsid w:val="00D23210"/>
    <w:rsid w:val="00D3708D"/>
    <w:rsid w:val="00D37F8D"/>
    <w:rsid w:val="00D40426"/>
    <w:rsid w:val="00D53E33"/>
    <w:rsid w:val="00D57C96"/>
    <w:rsid w:val="00D57D18"/>
    <w:rsid w:val="00D6136F"/>
    <w:rsid w:val="00D70EF7"/>
    <w:rsid w:val="00D716CA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0492"/>
    <w:rsid w:val="00E110A6"/>
    <w:rsid w:val="00E32F7E"/>
    <w:rsid w:val="00E34B16"/>
    <w:rsid w:val="00E4199D"/>
    <w:rsid w:val="00E47A7F"/>
    <w:rsid w:val="00E51668"/>
    <w:rsid w:val="00E5267B"/>
    <w:rsid w:val="00E63C0E"/>
    <w:rsid w:val="00E64D38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D00D3"/>
    <w:rsid w:val="00ED2135"/>
    <w:rsid w:val="00EE34DF"/>
    <w:rsid w:val="00EF2F89"/>
    <w:rsid w:val="00F01537"/>
    <w:rsid w:val="00F03E98"/>
    <w:rsid w:val="00F042C5"/>
    <w:rsid w:val="00F1237A"/>
    <w:rsid w:val="00F22CBD"/>
    <w:rsid w:val="00F272F1"/>
    <w:rsid w:val="00F45372"/>
    <w:rsid w:val="00F560F7"/>
    <w:rsid w:val="00F6334D"/>
    <w:rsid w:val="00F71B4B"/>
    <w:rsid w:val="00F7289F"/>
    <w:rsid w:val="00F916BE"/>
    <w:rsid w:val="00F942B3"/>
    <w:rsid w:val="00FA49AB"/>
    <w:rsid w:val="00FB68D6"/>
    <w:rsid w:val="00FC48BF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925995E"/>
  <w15:docId w15:val="{A7974F4B-07E1-4093-94A6-6AB140BD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433AFC"/>
    <w:pPr>
      <w:tabs>
        <w:tab w:val="right" w:leader="dot" w:pos="9639"/>
      </w:tabs>
      <w:spacing w:after="120"/>
      <w:ind w:left="562" w:right="1699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785473"/>
    <w:rPr>
      <w:rFonts w:ascii="Arial" w:hAnsi="Arial"/>
      <w:sz w:val="16"/>
      <w:lang w:val="es-ES_tradnl"/>
    </w:rPr>
  </w:style>
  <w:style w:type="character" w:customStyle="1" w:styleId="Heading1Char">
    <w:name w:val="Heading 1 Char"/>
    <w:basedOn w:val="DefaultParagraphFont"/>
    <w:link w:val="Heading1"/>
    <w:rsid w:val="00785473"/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D37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s/caj_75/caj_75_7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pov.int/edocs/mdocs/upov/es/caj_75/caj_75_7_add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v.int/edocs/mdocs/upov/en/upov_wg_den_5/upov_wg_den_5_3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pov.int/edocs/mdocs/upov/en/upov_wg_den_5/upov_exn_den_1_draft_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mdocs/upov/en/upov_wg_den_5/upov_wg_den_5_2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2276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CAJ/76/6</vt:lpstr>
    </vt:vector>
  </TitlesOfParts>
  <Company>UPOV</Company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CAJ/76/6</dc:title>
  <dc:creator>CEVALLOS DUQUE Nilo</dc:creator>
  <cp:lastModifiedBy>SANTOS Carla Marina</cp:lastModifiedBy>
  <cp:revision>30</cp:revision>
  <cp:lastPrinted>2019-08-02T10:58:00Z</cp:lastPrinted>
  <dcterms:created xsi:type="dcterms:W3CDTF">2019-07-30T08:54:00Z</dcterms:created>
  <dcterms:modified xsi:type="dcterms:W3CDTF">2019-08-02T10:58:00Z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bdeebee3-50fd-4e8f-ad51-bd237c65ac1b</vt:lpwstr>
  </property>
</Properties>
</file>